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B948" w14:textId="77777777" w:rsidR="00F84BA7" w:rsidRDefault="00F84BA7" w:rsidP="00F84BA7">
      <w:pPr>
        <w:pStyle w:val="Heading1"/>
        <w:numPr>
          <w:ilvl w:val="0"/>
          <w:numId w:val="0"/>
        </w:numPr>
        <w:pBdr>
          <w:bottom w:val="none" w:sz="0" w:space="0" w:color="auto"/>
        </w:pBdr>
        <w:spacing w:before="0" w:after="360"/>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p w14:paraId="7A128FDE" w14:textId="09BD8E7B" w:rsidR="00772829" w:rsidRPr="00CE28E3" w:rsidRDefault="00865255" w:rsidP="00772829">
      <w:pPr>
        <w:pStyle w:val="Subtitle"/>
      </w:pPr>
      <w:r w:rsidRPr="00865255">
        <w:t>Application No. 1732</w:t>
      </w:r>
      <w:r w:rsidR="002D5EF2">
        <w:t>.1</w:t>
      </w:r>
      <w:r w:rsidRPr="00865255">
        <w:t xml:space="preserve"> </w:t>
      </w:r>
      <w:r w:rsidR="00924DE3">
        <w:t>–</w:t>
      </w:r>
      <w:r w:rsidRPr="00865255">
        <w:t xml:space="preserve"> Imlifidase as a desensitisation treatment to enable kidney transplant in highly sensitised adult transplant candidates</w:t>
      </w:r>
    </w:p>
    <w:p w14:paraId="10AC407F" w14:textId="753B413C" w:rsidR="003218F4" w:rsidRPr="00C359CC" w:rsidRDefault="003218F4" w:rsidP="00F84BA7">
      <w:pPr>
        <w:tabs>
          <w:tab w:val="left" w:pos="3686"/>
        </w:tabs>
        <w:rPr>
          <w:rFonts w:ascii="Arial" w:hAnsi="Arial" w:cs="Arial"/>
          <w:b/>
          <w:bCs/>
        </w:rPr>
      </w:pPr>
      <w:r w:rsidRPr="00C359CC">
        <w:rPr>
          <w:rFonts w:ascii="Arial" w:hAnsi="Arial" w:cs="Arial"/>
          <w:b/>
          <w:bCs/>
        </w:rPr>
        <w:t>Applicant:</w:t>
      </w:r>
      <w:r w:rsidR="00F84BA7">
        <w:rPr>
          <w:rFonts w:ascii="Arial" w:hAnsi="Arial" w:cs="Arial"/>
          <w:b/>
          <w:bCs/>
        </w:rPr>
        <w:tab/>
      </w:r>
      <w:r w:rsidRPr="00C359CC">
        <w:rPr>
          <w:rFonts w:ascii="Arial" w:hAnsi="Arial" w:cs="Arial"/>
          <w:b/>
          <w:bCs/>
        </w:rPr>
        <w:t>Hansa Biopharma (Australia) Pty Ltd</w:t>
      </w:r>
    </w:p>
    <w:p w14:paraId="17347966" w14:textId="77777777" w:rsidR="00A45DEE" w:rsidRDefault="003218F4" w:rsidP="00A45DEE">
      <w:pPr>
        <w:tabs>
          <w:tab w:val="left" w:pos="3686"/>
        </w:tabs>
        <w:spacing w:before="320" w:after="0"/>
        <w:rPr>
          <w:rFonts w:ascii="Arial" w:hAnsi="Arial" w:cs="Arial"/>
          <w:b/>
          <w:bCs/>
        </w:rPr>
      </w:pPr>
      <w:r w:rsidRPr="00C359CC">
        <w:rPr>
          <w:rFonts w:ascii="Arial" w:hAnsi="Arial" w:cs="Arial"/>
          <w:b/>
          <w:bCs/>
        </w:rPr>
        <w:t xml:space="preserve">Date of </w:t>
      </w:r>
      <w:r w:rsidR="00F84BA7">
        <w:rPr>
          <w:rFonts w:ascii="Arial" w:hAnsi="Arial" w:cs="Arial"/>
          <w:b/>
          <w:bCs/>
        </w:rPr>
        <w:t>MSAC</w:t>
      </w:r>
      <w:r w:rsidRPr="00C359CC">
        <w:rPr>
          <w:rFonts w:ascii="Arial" w:hAnsi="Arial" w:cs="Arial"/>
          <w:b/>
          <w:bCs/>
        </w:rPr>
        <w:t xml:space="preserve"> consideration:</w:t>
      </w:r>
      <w:r w:rsidRPr="00C359CC">
        <w:rPr>
          <w:rFonts w:ascii="Arial" w:hAnsi="Arial" w:cs="Arial"/>
          <w:b/>
          <w:bCs/>
        </w:rPr>
        <w:tab/>
      </w:r>
      <w:r w:rsidR="00A45DEE">
        <w:rPr>
          <w:rFonts w:ascii="Arial" w:hAnsi="Arial" w:cs="Arial"/>
          <w:b/>
          <w:bCs/>
        </w:rPr>
        <w:t>3-4 April 2025</w:t>
      </w:r>
    </w:p>
    <w:p w14:paraId="3B3301C2" w14:textId="6A17610A" w:rsidR="003218F4" w:rsidRDefault="00A45DEE" w:rsidP="00A45DEE">
      <w:pPr>
        <w:tabs>
          <w:tab w:val="left" w:pos="3686"/>
        </w:tabs>
        <w:spacing w:before="0"/>
        <w:rPr>
          <w:rFonts w:ascii="Arial" w:hAnsi="Arial" w:cs="Arial"/>
          <w:b/>
          <w:bCs/>
        </w:rPr>
      </w:pPr>
      <w:r>
        <w:rPr>
          <w:rFonts w:ascii="Arial" w:hAnsi="Arial" w:cs="Arial"/>
          <w:b/>
          <w:bCs/>
        </w:rPr>
        <w:tab/>
      </w:r>
      <w:r w:rsidR="00F84BA7">
        <w:rPr>
          <w:rFonts w:ascii="Arial" w:hAnsi="Arial" w:cs="Arial"/>
          <w:b/>
          <w:bCs/>
        </w:rPr>
        <w:t>1-2 August</w:t>
      </w:r>
      <w:r w:rsidR="003218F4" w:rsidRPr="00C359CC">
        <w:rPr>
          <w:rFonts w:ascii="Arial" w:hAnsi="Arial" w:cs="Arial"/>
          <w:b/>
          <w:bCs/>
        </w:rPr>
        <w:t xml:space="preserve"> 2024</w:t>
      </w:r>
    </w:p>
    <w:p w14:paraId="1CC0D3B5" w14:textId="77777777" w:rsidR="00F84BA7" w:rsidRPr="00415A9B" w:rsidRDefault="00F84BA7" w:rsidP="00F84BA7">
      <w:pPr>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6BF31FF2" w14:textId="3A218A02" w:rsidR="00772829" w:rsidRDefault="00772829" w:rsidP="00772829">
      <w:pPr>
        <w:spacing w:after="240"/>
        <w:rPr>
          <w:iCs/>
        </w:rPr>
      </w:pPr>
      <w:bookmarkStart w:id="1" w:name="_Hlk69734469"/>
      <w:r w:rsidRPr="009A3778">
        <w:rPr>
          <w:iCs/>
        </w:rPr>
        <w:t xml:space="preserve">An application requesting </w:t>
      </w:r>
      <w:r w:rsidR="00E33E73" w:rsidRPr="00E33E73">
        <w:rPr>
          <w:iCs/>
        </w:rPr>
        <w:t>public funding for imlifidase (Idefirix®) pursuant to the National Health Reform Agreement (NHRA) Addendum</w:t>
      </w:r>
      <w:r w:rsidR="00E259D5">
        <w:rPr>
          <w:iCs/>
        </w:rPr>
        <w:t>—</w:t>
      </w:r>
      <w:r w:rsidR="00E33E73" w:rsidRPr="00E33E73">
        <w:rPr>
          <w:iCs/>
        </w:rPr>
        <w:t xml:space="preserve">funding for Highly Specialised </w:t>
      </w:r>
      <w:r w:rsidR="00676847">
        <w:rPr>
          <w:iCs/>
        </w:rPr>
        <w:t>Therapies</w:t>
      </w:r>
      <w:r w:rsidR="001B483F">
        <w:rPr>
          <w:iCs/>
        </w:rPr>
        <w:t>—</w:t>
      </w:r>
      <w:r w:rsidR="00A1031C" w:rsidRPr="009A3778">
        <w:rPr>
          <w:iCs/>
        </w:rPr>
        <w:t xml:space="preserve">was received from </w:t>
      </w:r>
      <w:r w:rsidR="00A1031C" w:rsidRPr="00AB001A">
        <w:rPr>
          <w:iCs/>
        </w:rPr>
        <w:t>Hansa Biopharma Australia</w:t>
      </w:r>
      <w:r w:rsidR="00A1031C" w:rsidRPr="009A3778">
        <w:rPr>
          <w:iCs/>
        </w:rPr>
        <w:t xml:space="preserve"> by the Department of Health</w:t>
      </w:r>
      <w:r w:rsidR="00EE26E6">
        <w:rPr>
          <w:iCs/>
        </w:rPr>
        <w:t xml:space="preserve"> and Aged Care</w:t>
      </w:r>
      <w:r w:rsidR="000002B1">
        <w:rPr>
          <w:iCs/>
        </w:rPr>
        <w:t xml:space="preserve"> (the department)</w:t>
      </w:r>
      <w:r w:rsidR="00A1031C" w:rsidRPr="009A3778">
        <w:rPr>
          <w:iCs/>
        </w:rPr>
        <w:t>.</w:t>
      </w:r>
      <w:r w:rsidR="00E33E73" w:rsidRPr="00E33E73">
        <w:rPr>
          <w:iCs/>
        </w:rPr>
        <w:t xml:space="preserve"> Funding is sought for use of imlifidase in the desensitisation treatment of highly sensitised (HS) adult kidney transplant patients with a positive crossmatch against an available deceased donor (DD) or living donor (LD), who are unlikely to be transplanted under current kidney allocation systems</w:t>
      </w:r>
      <w:r w:rsidR="00A1031C">
        <w:rPr>
          <w:iCs/>
        </w:rPr>
        <w:t>.</w:t>
      </w:r>
    </w:p>
    <w:p w14:paraId="7DC821A3" w14:textId="77777777" w:rsidR="00F84BA7" w:rsidRDefault="00F84BA7" w:rsidP="00F84BA7">
      <w:pPr>
        <w:pStyle w:val="Heading2"/>
        <w:numPr>
          <w:ilvl w:val="0"/>
          <w:numId w:val="0"/>
        </w:numPr>
      </w:pPr>
      <w:r>
        <w:t>2.</w:t>
      </w:r>
      <w:r>
        <w:tab/>
        <w:t>MSAC’s advice to the Minister</w:t>
      </w:r>
    </w:p>
    <w:p w14:paraId="73163761" w14:textId="1D70BED8" w:rsidR="005869F5" w:rsidRPr="00F9346A" w:rsidRDefault="005869F5" w:rsidP="005869F5">
      <w:pPr>
        <w:rPr>
          <w:b/>
          <w:bCs/>
          <w:sz w:val="24"/>
          <w:szCs w:val="24"/>
        </w:rPr>
      </w:pPr>
      <w:r>
        <w:rPr>
          <w:b/>
          <w:bCs/>
          <w:i/>
          <w:iCs/>
          <w:sz w:val="24"/>
          <w:szCs w:val="24"/>
        </w:rPr>
        <w:t>April 2025</w:t>
      </w:r>
      <w:r w:rsidRPr="00F9346A">
        <w:rPr>
          <w:b/>
          <w:bCs/>
          <w:i/>
          <w:iCs/>
          <w:sz w:val="24"/>
          <w:szCs w:val="24"/>
        </w:rPr>
        <w:t xml:space="preserve"> MSAC consideration </w:t>
      </w:r>
    </w:p>
    <w:p w14:paraId="65997572" w14:textId="3A9BCA41" w:rsidR="00974E8D" w:rsidRDefault="002B09F9" w:rsidP="00974E8D">
      <w:pPr>
        <w:spacing w:after="120"/>
        <w:rPr>
          <w:rFonts w:eastAsia="Franklin Gothic Book"/>
          <w:color w:val="000000" w:themeColor="text1"/>
        </w:rPr>
      </w:pPr>
      <w:r w:rsidRPr="00D81A81">
        <w:t>After considering the strength of the available evidence in relation to comparative safety, clinical effectiveness</w:t>
      </w:r>
      <w:r>
        <w:t xml:space="preserve">, </w:t>
      </w:r>
      <w:r w:rsidRPr="00D81A81">
        <w:t>cost-effectiveness</w:t>
      </w:r>
      <w:r>
        <w:t xml:space="preserve"> and total </w:t>
      </w:r>
      <w:r w:rsidRPr="002B09F9">
        <w:t xml:space="preserve">cost, </w:t>
      </w:r>
      <w:r w:rsidRPr="002B09F9">
        <w:rPr>
          <w:szCs w:val="24"/>
        </w:rPr>
        <w:t>MSAC supported</w:t>
      </w:r>
      <w:r>
        <w:rPr>
          <w:szCs w:val="24"/>
        </w:rPr>
        <w:t xml:space="preserve"> </w:t>
      </w:r>
      <w:r w:rsidR="00974E8D" w:rsidRPr="3861A045">
        <w:rPr>
          <w:rFonts w:eastAsia="Franklin Gothic Book"/>
          <w:color w:val="000000" w:themeColor="text1"/>
        </w:rPr>
        <w:t xml:space="preserve">the public funding of imlifidase </w:t>
      </w:r>
      <w:r w:rsidR="00974E8D" w:rsidRPr="3861A045">
        <w:rPr>
          <w:rFonts w:eastAsia="Franklin Gothic Book" w:cs="Franklin Gothic Book"/>
        </w:rPr>
        <w:t>as a Highly Specialised Therapy (HST) through the National Health Reform Agreement (NHRA) Addendum</w:t>
      </w:r>
      <w:r w:rsidR="00974E8D" w:rsidRPr="3861A045">
        <w:rPr>
          <w:rFonts w:eastAsia="Franklin Gothic Book"/>
          <w:color w:val="000000" w:themeColor="text1"/>
        </w:rPr>
        <w:t xml:space="preserve"> as a desensitisation treatment to enable kidney transplant in highly sensitised adult transplant candidates. MSAC had deferred its advice in August 2024 pending further engagement with stakeholders to resolve and agree on remaining issues primarily relating to eligibility criteria and implementation issues. MSAC noted the outcomes of the Department-convened stakeholder meeting</w:t>
      </w:r>
      <w:r w:rsidR="00675A27">
        <w:rPr>
          <w:rFonts w:eastAsia="Franklin Gothic Book"/>
          <w:color w:val="000000" w:themeColor="text1"/>
        </w:rPr>
        <w:t xml:space="preserve"> </w:t>
      </w:r>
      <w:r w:rsidR="00675A27" w:rsidRPr="5DED1EE9">
        <w:rPr>
          <w:rFonts w:eastAsia="Franklin Gothic Book"/>
          <w:color w:val="000000" w:themeColor="text1"/>
        </w:rPr>
        <w:t>on 4 February 2025</w:t>
      </w:r>
      <w:r w:rsidR="00974E8D" w:rsidRPr="3861A045">
        <w:rPr>
          <w:rFonts w:eastAsia="Franklin Gothic Book"/>
          <w:color w:val="000000" w:themeColor="text1"/>
        </w:rPr>
        <w:t>.</w:t>
      </w:r>
    </w:p>
    <w:p w14:paraId="4B3B8FB9" w14:textId="3AA94D99" w:rsidR="00974E8D" w:rsidRDefault="00974E8D" w:rsidP="00974E8D">
      <w:pPr>
        <w:spacing w:after="120"/>
        <w:rPr>
          <w:rFonts w:eastAsia="Franklin Gothic Book" w:cstheme="minorHAnsi"/>
          <w:color w:val="000000" w:themeColor="text1"/>
        </w:rPr>
      </w:pPr>
      <w:r>
        <w:rPr>
          <w:rFonts w:eastAsia="Franklin Gothic Book" w:cstheme="minorHAnsi"/>
          <w:color w:val="000000" w:themeColor="text1"/>
        </w:rPr>
        <w:t xml:space="preserve">MSAC acknowledged the high clinical need for imlifidase to address a renal transplant access inequity in a small group of highly sensitised individuals who would otherwise be unlikely to receive a transplant. MSAC recalled that in its previous consideration MSAC considered that </w:t>
      </w:r>
      <w:r w:rsidRPr="009266B6">
        <w:rPr>
          <w:rFonts w:eastAsia="Franklin Gothic Book" w:cstheme="minorHAnsi"/>
          <w:color w:val="000000" w:themeColor="text1"/>
        </w:rPr>
        <w:t>while</w:t>
      </w:r>
      <w:r>
        <w:rPr>
          <w:rFonts w:eastAsia="Franklin Gothic Book" w:cstheme="minorHAnsi"/>
          <w:color w:val="000000" w:themeColor="text1"/>
        </w:rPr>
        <w:t xml:space="preserve"> </w:t>
      </w:r>
      <w:r w:rsidRPr="009266B6">
        <w:rPr>
          <w:rFonts w:eastAsia="Franklin Gothic Book" w:cstheme="minorHAnsi"/>
          <w:color w:val="000000" w:themeColor="text1"/>
        </w:rPr>
        <w:t>imlifidase was likely to have superior effectiveness and safety compared with dialysis, some</w:t>
      </w:r>
      <w:r>
        <w:rPr>
          <w:rFonts w:eastAsia="Franklin Gothic Book" w:cstheme="minorHAnsi"/>
          <w:color w:val="000000" w:themeColor="text1"/>
        </w:rPr>
        <w:t xml:space="preserve"> </w:t>
      </w:r>
      <w:r w:rsidRPr="009266B6">
        <w:rPr>
          <w:rFonts w:eastAsia="Franklin Gothic Book" w:cstheme="minorHAnsi"/>
          <w:color w:val="000000" w:themeColor="text1"/>
        </w:rPr>
        <w:t>concerns remained</w:t>
      </w:r>
      <w:r>
        <w:rPr>
          <w:rFonts w:eastAsia="Franklin Gothic Book" w:cstheme="minorHAnsi"/>
          <w:color w:val="000000" w:themeColor="text1"/>
        </w:rPr>
        <w:t xml:space="preserve"> relating to</w:t>
      </w:r>
      <w:r w:rsidRPr="009266B6">
        <w:rPr>
          <w:rFonts w:eastAsia="Franklin Gothic Book" w:cstheme="minorHAnsi"/>
          <w:color w:val="000000" w:themeColor="text1"/>
        </w:rPr>
        <w:t xml:space="preserve"> the long-term effectiveness and safety outcomes of imlifidase</w:t>
      </w:r>
      <w:r>
        <w:rPr>
          <w:rFonts w:eastAsia="Franklin Gothic Book" w:cstheme="minorHAnsi"/>
          <w:color w:val="000000" w:themeColor="text1"/>
        </w:rPr>
        <w:t xml:space="preserve">, </w:t>
      </w:r>
      <w:r w:rsidRPr="009266B6">
        <w:rPr>
          <w:rFonts w:eastAsia="Franklin Gothic Book" w:cstheme="minorHAnsi"/>
          <w:color w:val="000000" w:themeColor="text1"/>
        </w:rPr>
        <w:t xml:space="preserve">antibody mediated rejection, and </w:t>
      </w:r>
      <w:r>
        <w:rPr>
          <w:rFonts w:eastAsia="Franklin Gothic Book" w:cstheme="minorHAnsi"/>
          <w:color w:val="000000" w:themeColor="text1"/>
        </w:rPr>
        <w:t xml:space="preserve">graft loss. </w:t>
      </w:r>
    </w:p>
    <w:p w14:paraId="722BC154" w14:textId="4E06EA33" w:rsidR="005869F5" w:rsidRPr="004A3745" w:rsidRDefault="00974E8D" w:rsidP="00F9346A">
      <w:pPr>
        <w:rPr>
          <w:szCs w:val="24"/>
        </w:rPr>
      </w:pPr>
      <w:r w:rsidRPr="3861A045">
        <w:rPr>
          <w:rFonts w:eastAsia="Franklin Gothic Book"/>
          <w:color w:val="000000" w:themeColor="text1"/>
        </w:rPr>
        <w:t xml:space="preserve">MSAC supported public funding of imlifidase for patients with a </w:t>
      </w:r>
      <w:r w:rsidRPr="0090240A">
        <w:rPr>
          <w:rFonts w:eastAsia="Franklin Gothic Book"/>
          <w:color w:val="000000" w:themeColor="text1"/>
        </w:rPr>
        <w:t xml:space="preserve">calculated panel reactive antibody </w:t>
      </w:r>
      <w:r>
        <w:rPr>
          <w:rFonts w:eastAsia="Franklin Gothic Book"/>
          <w:color w:val="000000" w:themeColor="text1"/>
        </w:rPr>
        <w:t xml:space="preserve">(cPRA) </w:t>
      </w:r>
      <w:r w:rsidRPr="3861A045">
        <w:rPr>
          <w:rFonts w:eastAsia="Franklin Gothic Book"/>
          <w:color w:val="000000" w:themeColor="text1"/>
        </w:rPr>
        <w:t>≥</w:t>
      </w:r>
      <w:r>
        <w:rPr>
          <w:rFonts w:eastAsia="Franklin Gothic Book"/>
          <w:color w:val="000000" w:themeColor="text1"/>
        </w:rPr>
        <w:t> </w:t>
      </w:r>
      <w:r w:rsidRPr="3861A045">
        <w:rPr>
          <w:rFonts w:eastAsia="Franklin Gothic Book"/>
          <w:color w:val="000000" w:themeColor="text1"/>
        </w:rPr>
        <w:t xml:space="preserve">99%. For patients receiving </w:t>
      </w:r>
      <w:r>
        <w:rPr>
          <w:rFonts w:eastAsia="Franklin Gothic Book"/>
          <w:color w:val="000000" w:themeColor="text1"/>
        </w:rPr>
        <w:t xml:space="preserve">a </w:t>
      </w:r>
      <w:r w:rsidRPr="3861A045">
        <w:rPr>
          <w:rFonts w:eastAsia="Franklin Gothic Book"/>
          <w:color w:val="000000" w:themeColor="text1"/>
        </w:rPr>
        <w:t xml:space="preserve">deceased donor transplant, MSAC considered patients would be eligible for imlifidase if they had not received a transplant 2 years after being placed on the transplant list. MSAC considered that patients receiving a kidney transplant from a living donor do not need to wait 2 years to be eligible but the criterion should be ‘for whom </w:t>
      </w:r>
      <w:r w:rsidRPr="00C36792">
        <w:rPr>
          <w:rFonts w:eastAsia="Franklin Gothic Book"/>
          <w:color w:val="000000" w:themeColor="text1"/>
        </w:rPr>
        <w:lastRenderedPageBreak/>
        <w:t>alternate desensitisation regimens for organ transplantation have failed or are contraindicated or are unlikely to be successful.’ MSAC supported the medicine price of $</w:t>
      </w:r>
      <w:r w:rsidR="00373C6F" w:rsidRPr="00C36792">
        <w:rPr>
          <w:rFonts w:eastAsia="Franklin Gothic Book"/>
          <w:b/>
          <w:bCs/>
          <w:color w:val="000000" w:themeColor="text1"/>
        </w:rPr>
        <w:t>redacted</w:t>
      </w:r>
      <w:r w:rsidRPr="00C36792">
        <w:rPr>
          <w:rFonts w:eastAsia="Franklin Gothic Book"/>
          <w:color w:val="000000" w:themeColor="text1"/>
        </w:rPr>
        <w:t xml:space="preserve"> per patient for imlifidase (irrespective of the number of doses and vials required)</w:t>
      </w:r>
      <w:r w:rsidR="004B7762" w:rsidRPr="00C36792">
        <w:rPr>
          <w:rFonts w:eastAsia="Franklin Gothic Book"/>
          <w:color w:val="000000" w:themeColor="text1"/>
        </w:rPr>
        <w:t xml:space="preserve">, noting a </w:t>
      </w:r>
      <w:r w:rsidR="00373C6F" w:rsidRPr="00C36792">
        <w:rPr>
          <w:rFonts w:eastAsia="Franklin Gothic Book"/>
          <w:b/>
          <w:bCs/>
          <w:color w:val="000000" w:themeColor="text1"/>
        </w:rPr>
        <w:t>redacted</w:t>
      </w:r>
      <w:r w:rsidR="00242A46" w:rsidRPr="00C36792">
        <w:rPr>
          <w:rFonts w:eastAsia="Franklin Gothic Book"/>
          <w:color w:val="000000" w:themeColor="text1"/>
        </w:rPr>
        <w:t>%</w:t>
      </w:r>
      <w:r w:rsidR="004B7762" w:rsidRPr="00C36792">
        <w:rPr>
          <w:rFonts w:eastAsia="Franklin Gothic Book"/>
          <w:color w:val="000000" w:themeColor="text1"/>
        </w:rPr>
        <w:t xml:space="preserve"> prior reduction by the applicant,</w:t>
      </w:r>
      <w:r w:rsidRPr="00C36792">
        <w:rPr>
          <w:rFonts w:eastAsia="Franklin Gothic Book"/>
          <w:color w:val="000000" w:themeColor="text1"/>
        </w:rPr>
        <w:t xml:space="preserve"> </w:t>
      </w:r>
      <w:r w:rsidR="003D1061" w:rsidRPr="00C36792">
        <w:rPr>
          <w:rFonts w:eastAsia="Franklin Gothic Book"/>
          <w:color w:val="000000" w:themeColor="text1"/>
        </w:rPr>
        <w:t>contingent on</w:t>
      </w:r>
      <w:r w:rsidR="00FE433A" w:rsidRPr="00C36792">
        <w:rPr>
          <w:rFonts w:eastAsia="Franklin Gothic Book"/>
          <w:color w:val="000000" w:themeColor="text1"/>
        </w:rPr>
        <w:t xml:space="preserve"> a risk sharing arrangement that includes</w:t>
      </w:r>
      <w:r w:rsidR="003D1061" w:rsidRPr="00C36792">
        <w:rPr>
          <w:rFonts w:eastAsia="Franklin Gothic Book"/>
          <w:color w:val="000000" w:themeColor="text1"/>
        </w:rPr>
        <w:t xml:space="preserve"> </w:t>
      </w:r>
      <w:r w:rsidRPr="00C36792">
        <w:rPr>
          <w:rFonts w:eastAsia="Franklin Gothic Book"/>
          <w:color w:val="000000" w:themeColor="text1"/>
        </w:rPr>
        <w:t>a pay-for-performance arrangement</w:t>
      </w:r>
      <w:r w:rsidR="00FE433A" w:rsidRPr="00C36792">
        <w:rPr>
          <w:rFonts w:eastAsia="Franklin Gothic Book"/>
          <w:color w:val="000000" w:themeColor="text1"/>
        </w:rPr>
        <w:t xml:space="preserve"> (PfP)</w:t>
      </w:r>
      <w:r w:rsidRPr="00C36792">
        <w:rPr>
          <w:rFonts w:eastAsia="Franklin Gothic Book"/>
          <w:color w:val="000000" w:themeColor="text1"/>
        </w:rPr>
        <w:t xml:space="preserve">. MSAC considered </w:t>
      </w:r>
      <w:r w:rsidR="0010678E" w:rsidRPr="00C36792">
        <w:rPr>
          <w:rFonts w:eastAsia="Franklin Gothic Book"/>
          <w:color w:val="000000" w:themeColor="text1"/>
        </w:rPr>
        <w:t xml:space="preserve">the PfP should have a </w:t>
      </w:r>
      <w:r w:rsidRPr="00C36792">
        <w:rPr>
          <w:rFonts w:eastAsia="Franklin Gothic Book"/>
          <w:color w:val="000000" w:themeColor="text1"/>
        </w:rPr>
        <w:t xml:space="preserve">first payment of </w:t>
      </w:r>
      <w:r w:rsidR="00373C6F" w:rsidRPr="00C36792">
        <w:rPr>
          <w:rFonts w:eastAsia="Franklin Gothic Book"/>
          <w:b/>
          <w:bCs/>
          <w:color w:val="000000" w:themeColor="text1"/>
        </w:rPr>
        <w:t>redacted</w:t>
      </w:r>
      <w:r w:rsidR="00373C6F" w:rsidRPr="00C36792" w:rsidDel="00373C6F">
        <w:rPr>
          <w:rFonts w:eastAsia="Franklin Gothic Book"/>
          <w:color w:val="000000" w:themeColor="text1"/>
        </w:rPr>
        <w:t xml:space="preserve"> </w:t>
      </w:r>
      <w:r w:rsidRPr="00C36792">
        <w:rPr>
          <w:rFonts w:eastAsia="Franklin Gothic Book"/>
          <w:color w:val="000000" w:themeColor="text1"/>
        </w:rPr>
        <w:t xml:space="preserve">% </w:t>
      </w:r>
      <w:r w:rsidR="00F84FA4" w:rsidRPr="00C36792">
        <w:rPr>
          <w:rFonts w:eastAsia="Franklin Gothic Book"/>
          <w:color w:val="000000" w:themeColor="text1"/>
        </w:rPr>
        <w:t xml:space="preserve">to </w:t>
      </w:r>
      <w:r w:rsidRPr="00C36792">
        <w:rPr>
          <w:rFonts w:eastAsia="Franklin Gothic Book"/>
          <w:color w:val="000000" w:themeColor="text1"/>
        </w:rPr>
        <w:t xml:space="preserve">be paid on transplantation, with the remaining </w:t>
      </w:r>
      <w:r w:rsidR="00373C6F" w:rsidRPr="00C36792">
        <w:rPr>
          <w:rFonts w:eastAsia="Franklin Gothic Book"/>
          <w:b/>
          <w:bCs/>
          <w:color w:val="000000" w:themeColor="text1"/>
        </w:rPr>
        <w:t>redacted</w:t>
      </w:r>
      <w:r w:rsidR="00373C6F" w:rsidRPr="00C36792" w:rsidDel="00373C6F">
        <w:rPr>
          <w:rFonts w:eastAsia="Franklin Gothic Book"/>
          <w:color w:val="000000" w:themeColor="text1"/>
        </w:rPr>
        <w:t xml:space="preserve"> </w:t>
      </w:r>
      <w:r w:rsidRPr="00C36792">
        <w:rPr>
          <w:rFonts w:eastAsia="Franklin Gothic Book"/>
          <w:color w:val="000000" w:themeColor="text1"/>
        </w:rPr>
        <w:t xml:space="preserve">% paid at 12 months if the patient </w:t>
      </w:r>
      <w:r w:rsidR="004125DE" w:rsidRPr="00C36792">
        <w:rPr>
          <w:rFonts w:eastAsia="Franklin Gothic Book"/>
          <w:color w:val="000000" w:themeColor="text1"/>
        </w:rPr>
        <w:t>is</w:t>
      </w:r>
      <w:r w:rsidR="00AA56F1" w:rsidRPr="00C36792">
        <w:rPr>
          <w:rFonts w:eastAsia="Franklin Gothic Book"/>
          <w:color w:val="000000" w:themeColor="text1"/>
        </w:rPr>
        <w:t xml:space="preserve"> alive and </w:t>
      </w:r>
      <w:r w:rsidRPr="00C36792">
        <w:rPr>
          <w:rFonts w:eastAsia="Franklin Gothic Book"/>
          <w:color w:val="000000" w:themeColor="text1"/>
        </w:rPr>
        <w:t xml:space="preserve">had a functioning transplanted kidney. </w:t>
      </w:r>
      <w:r w:rsidR="004B7762" w:rsidRPr="00C36792">
        <w:rPr>
          <w:rFonts w:eastAsia="Franklin Gothic Book"/>
          <w:color w:val="000000" w:themeColor="text1"/>
        </w:rPr>
        <w:t xml:space="preserve">A PfP agreement was required because there was moderate uncertainty regarding the benefit to recipients in the Australian context. </w:t>
      </w:r>
      <w:r w:rsidRPr="00C36792">
        <w:rPr>
          <w:rFonts w:eastAsia="Franklin Gothic Book"/>
          <w:color w:val="000000" w:themeColor="text1"/>
        </w:rPr>
        <w:t xml:space="preserve">MSAC considered this arrangement would appropriately manage the </w:t>
      </w:r>
      <w:r w:rsidR="004B7762" w:rsidRPr="00C36792">
        <w:rPr>
          <w:rFonts w:eastAsia="Franklin Gothic Book"/>
          <w:color w:val="000000" w:themeColor="text1"/>
        </w:rPr>
        <w:t xml:space="preserve">clinical and financial </w:t>
      </w:r>
      <w:r w:rsidRPr="00C36792">
        <w:rPr>
          <w:rFonts w:eastAsia="Franklin Gothic Book"/>
          <w:color w:val="000000" w:themeColor="text1"/>
        </w:rPr>
        <w:t xml:space="preserve">risk that imlifidase may not lead to a functioning kidney transplant. MSAC considered a patient cap of </w:t>
      </w:r>
      <w:r w:rsidR="00373C6F" w:rsidRPr="00C36792">
        <w:rPr>
          <w:rFonts w:eastAsia="Franklin Gothic Book"/>
          <w:b/>
          <w:bCs/>
          <w:color w:val="000000" w:themeColor="text1"/>
        </w:rPr>
        <w:t>redacted</w:t>
      </w:r>
      <w:r w:rsidR="00373C6F" w:rsidRPr="00C36792" w:rsidDel="00373C6F">
        <w:rPr>
          <w:rFonts w:eastAsia="Franklin Gothic Book"/>
          <w:color w:val="000000" w:themeColor="text1"/>
        </w:rPr>
        <w:t xml:space="preserve"> </w:t>
      </w:r>
      <w:r w:rsidRPr="00C36792">
        <w:rPr>
          <w:rFonts w:eastAsia="Franklin Gothic Book"/>
          <w:color w:val="000000" w:themeColor="text1"/>
        </w:rPr>
        <w:t xml:space="preserve"> patients per year (with a 100% rebate) should be implemented for</w:t>
      </w:r>
      <w:r w:rsidR="00011DBA" w:rsidRPr="00C36792">
        <w:rPr>
          <w:rFonts w:eastAsia="Franklin Gothic Book"/>
          <w:color w:val="000000" w:themeColor="text1"/>
        </w:rPr>
        <w:t xml:space="preserve"> the</w:t>
      </w:r>
      <w:r w:rsidRPr="00C36792">
        <w:rPr>
          <w:rFonts w:eastAsia="Franklin Gothic Book"/>
          <w:color w:val="000000" w:themeColor="text1"/>
        </w:rPr>
        <w:t xml:space="preserve"> first 6 years to share the risk of usage above expectations. MSAC recommended a post-implementation review after 2 years.</w:t>
      </w:r>
    </w:p>
    <w:tbl>
      <w:tblPr>
        <w:tblStyle w:val="TableGrid"/>
        <w:tblW w:w="0" w:type="auto"/>
        <w:tblLook w:val="04A0" w:firstRow="1" w:lastRow="0" w:firstColumn="1" w:lastColumn="0" w:noHBand="0" w:noVBand="1"/>
        <w:tblDescription w:val="Consumer summary of MSAC consideration"/>
      </w:tblPr>
      <w:tblGrid>
        <w:gridCol w:w="9016"/>
      </w:tblGrid>
      <w:tr w:rsidR="000772D7" w:rsidRPr="00AF46D8" w14:paraId="6D078C15" w14:textId="77777777" w:rsidTr="004B1684">
        <w:trPr>
          <w:tblHeader/>
        </w:trPr>
        <w:tc>
          <w:tcPr>
            <w:tcW w:w="9016" w:type="dxa"/>
          </w:tcPr>
          <w:p w14:paraId="165C4674" w14:textId="5E1383C0" w:rsidR="000772D7" w:rsidRPr="00AF46D8" w:rsidRDefault="000772D7" w:rsidP="000772D7">
            <w:pPr>
              <w:pStyle w:val="Heading3"/>
              <w:spacing w:before="120" w:after="120"/>
              <w:rPr>
                <w:rFonts w:eastAsiaTheme="minorHAnsi" w:cstheme="minorBidi"/>
                <w:iCs/>
              </w:rPr>
            </w:pPr>
            <w:r w:rsidRPr="00AF46D8">
              <w:t>Consumer summary</w:t>
            </w:r>
            <w:r w:rsidR="008121AF">
              <w:t xml:space="preserve"> – April 2025</w:t>
            </w:r>
          </w:p>
        </w:tc>
      </w:tr>
      <w:tr w:rsidR="000772D7" w:rsidRPr="00AF46D8" w14:paraId="2B15F2FE" w14:textId="77777777" w:rsidTr="004B1684">
        <w:tc>
          <w:tcPr>
            <w:tcW w:w="9016" w:type="dxa"/>
          </w:tcPr>
          <w:p w14:paraId="5595E775" w14:textId="77777777" w:rsidR="000772D7" w:rsidRDefault="000772D7" w:rsidP="004B1684">
            <w:r w:rsidRPr="00AF46D8">
              <w:t xml:space="preserve">This is an application from </w:t>
            </w:r>
            <w:r>
              <w:t xml:space="preserve">Hansa Biopharma (Australia) </w:t>
            </w:r>
            <w:r w:rsidRPr="00AF46D8">
              <w:t xml:space="preserve">requesting </w:t>
            </w:r>
            <w:r>
              <w:t>public funding under the National Health Reform Agreement (NHRA) Addendum, Highly Specialised Therapies (HST) program for use of imlifidase as a desensitisation treatment to enable kidney transplant in highly sensitised adult transplant candidates with a positive crossmatch against an available deceased or living donor who are unlikely to be transplanted under current kidney allocation systems.</w:t>
            </w:r>
          </w:p>
          <w:p w14:paraId="72DD47A5" w14:textId="6D534FA2" w:rsidR="000772D7" w:rsidRDefault="000772D7" w:rsidP="004B1684">
            <w:r>
              <w:t xml:space="preserve">People with end-stage kidney disease need regular dialysis or a kidney transplant to survive. A kidney transplant gives patients a greater chance of survival and a better quality of life than remaining on dialysis. However, there are a group of people waiting for kidney transplants who have developed antibodies that means they have a higher chance of </w:t>
            </w:r>
            <w:r w:rsidR="001A3297">
              <w:t xml:space="preserve">their body </w:t>
            </w:r>
            <w:r>
              <w:t>rejecting a donated kidney. These people are classified as ‘highly sensitised’ and include groups such as women who have previously been pregnant and people who have already had a transplant.</w:t>
            </w:r>
          </w:p>
          <w:p w14:paraId="2E128479" w14:textId="00124EB1" w:rsidR="000772D7" w:rsidRDefault="000772D7" w:rsidP="004B1684">
            <w:r>
              <w:t>Imlifidase is a medication used as a ‘desensitisation’ treatment that tries to prevent the body from rejecting a newly transplanted kidney. This treatment is used before transplantation in people who are considered ‘highly sensitised’ based on a positive crossmatch test. A positive crossmatch is where a high level of antibodies (measured as calculated panel reactive antibody, or cPRA, values) in the person receiving the transplant bind to the cells of the donor (or the donor’s kidney) and destroy</w:t>
            </w:r>
            <w:r w:rsidR="009E1BFC">
              <w:t>s</w:t>
            </w:r>
            <w:r>
              <w:t xml:space="preserve"> them. Imlifidase converts people from crossmatch positive to negative, which reduces the likelihood of the patient’s body rejecting the donated kidney for about 1 week (the peak period for a very serious form of rejection, called hyper-acute rejection).</w:t>
            </w:r>
            <w:r w:rsidR="00DF674B">
              <w:t xml:space="preserve"> Imlifidase will </w:t>
            </w:r>
            <w:r w:rsidR="000F5919">
              <w:t xml:space="preserve">not increase the number of </w:t>
            </w:r>
            <w:r w:rsidR="004253D9">
              <w:t xml:space="preserve">people who will </w:t>
            </w:r>
            <w:r w:rsidR="00982866">
              <w:t xml:space="preserve">have a transplant from a </w:t>
            </w:r>
            <w:r w:rsidR="00402616">
              <w:t>deceased donor</w:t>
            </w:r>
            <w:r w:rsidR="00771066">
              <w:t xml:space="preserve"> – someone who has donated their kidney after</w:t>
            </w:r>
            <w:r w:rsidR="00C21180">
              <w:t xml:space="preserve"> they have died</w:t>
            </w:r>
            <w:r w:rsidR="00402616">
              <w:t xml:space="preserve">. This is because all </w:t>
            </w:r>
            <w:r w:rsidR="000F67C4">
              <w:t xml:space="preserve">kidneys donated after death </w:t>
            </w:r>
            <w:r w:rsidR="006F048F">
              <w:t xml:space="preserve">are transplanted </w:t>
            </w:r>
            <w:r w:rsidR="004C104D">
              <w:t>to someone on the waitlist (if transplant is possible</w:t>
            </w:r>
            <w:r w:rsidR="004B7762">
              <w:t>)</w:t>
            </w:r>
            <w:r w:rsidR="004C104D">
              <w:t xml:space="preserve">. </w:t>
            </w:r>
          </w:p>
          <w:p w14:paraId="1770CF6E" w14:textId="7A538801" w:rsidR="000772D7" w:rsidRDefault="000772D7" w:rsidP="004B1684">
            <w:r>
              <w:t xml:space="preserve">MSAC has previously considered imlifidase in July 2023 and August 2024. MSAC had already accepted that imlifidase would provide benefit to a specific group of patients who have no effective alternative treatments, and that it likely had superior effectiveness and safety compared with dialysis. At its most recent meeting, MSAC had deferred its decision pending a consultation with stakeholders who are involved in the planning and governance of kidney transplants, to discuss issues relating to how imlifidase would be implemented and paid for. A stakeholder meeting was held in </w:t>
            </w:r>
            <w:r w:rsidRPr="00C36792">
              <w:t xml:space="preserve">February 2025, and MSAC considered that all remaining issues had been addressed to a satisfactory level at this meeting. Therefore, MSAC supported funding of imlifidase, advising that the pay-for-performance arrangement should be amended and that a patient cap of </w:t>
            </w:r>
            <w:r w:rsidR="00373C6F" w:rsidRPr="00C36792">
              <w:rPr>
                <w:rFonts w:eastAsia="Franklin Gothic Book"/>
                <w:b/>
                <w:bCs/>
                <w:color w:val="000000" w:themeColor="text1"/>
              </w:rPr>
              <w:t>redacted</w:t>
            </w:r>
            <w:r w:rsidRPr="00C36792">
              <w:t xml:space="preserve"> per year for the first 6 years should be in place</w:t>
            </w:r>
            <w:r w:rsidR="00DC5F5D" w:rsidRPr="00C36792">
              <w:t xml:space="preserve"> </w:t>
            </w:r>
            <w:r w:rsidR="00DC5F5D" w:rsidRPr="00C36792">
              <w:rPr>
                <w:rFonts w:eastAsia="Franklin Gothic Book" w:cs="Franklin Gothic Book"/>
              </w:rPr>
              <w:t>to share the financial risk between Hansa Biopharma (Australia</w:t>
            </w:r>
            <w:r w:rsidR="00DC5F5D" w:rsidRPr="001C2B44">
              <w:rPr>
                <w:rFonts w:eastAsia="Franklin Gothic Book" w:cs="Franklin Gothic Book"/>
              </w:rPr>
              <w:t xml:space="preserve">) and </w:t>
            </w:r>
            <w:r w:rsidR="00BA641E">
              <w:rPr>
                <w:rFonts w:eastAsia="Franklin Gothic Book" w:cs="Franklin Gothic Book"/>
              </w:rPr>
              <w:t>Australian governments</w:t>
            </w:r>
            <w:r>
              <w:t>. MSAC also advised that a post-implementation review was required after 2 (and before 3) years, to monitor utilisation of the treatment.</w:t>
            </w:r>
          </w:p>
          <w:p w14:paraId="5DD26EA6" w14:textId="77777777" w:rsidR="000772D7" w:rsidRPr="00AF46D8" w:rsidRDefault="000772D7" w:rsidP="00754A05">
            <w:pPr>
              <w:pStyle w:val="Heading3"/>
              <w:spacing w:before="0"/>
            </w:pPr>
            <w:r w:rsidRPr="00AF46D8">
              <w:lastRenderedPageBreak/>
              <w:t xml:space="preserve">MSAC’s advice to the </w:t>
            </w:r>
            <w:proofErr w:type="gramStart"/>
            <w:r w:rsidRPr="00AF46D8">
              <w:t>Commonwealth Minister</w:t>
            </w:r>
            <w:proofErr w:type="gramEnd"/>
            <w:r w:rsidRPr="00AF46D8">
              <w:t xml:space="preserve"> for Health</w:t>
            </w:r>
            <w:r>
              <w:t xml:space="preserve"> and Aged Care</w:t>
            </w:r>
          </w:p>
          <w:p w14:paraId="6CEBBF47" w14:textId="058E103F" w:rsidR="000772D7" w:rsidRPr="00AF46D8" w:rsidRDefault="000772D7" w:rsidP="004B1684">
            <w:r w:rsidRPr="00AF46D8">
              <w:t>MSAC supported</w:t>
            </w:r>
            <w:r>
              <w:t xml:space="preserve"> public funding of imlifidase as a desensitisation treatment to enable kidney transplant in highly sensitised adult transplant candidates with a positive crossmatch against an available donor. MSAC had previously accepted that imlifidase was more effective and safer than dialysis, but had advised that a stakeholder meeting was needed to work out how the treatment would be implemented and paid for. MSAC was satisfied with the outcomes of this stakeholder meeting, so </w:t>
            </w:r>
            <w:r w:rsidR="0025458D">
              <w:t>supported</w:t>
            </w:r>
            <w:r w:rsidR="0025458D">
              <w:rPr>
                <w:rStyle w:val="CommentReference"/>
                <w:rFonts w:ascii="Calibri" w:eastAsia="Times New Roman" w:hAnsi="Calibri" w:cs="Times New Roman"/>
                <w:color w:val="000000"/>
                <w:lang w:eastAsia="en-AU"/>
              </w:rPr>
              <w:t xml:space="preserve"> </w:t>
            </w:r>
            <w:r w:rsidR="0025458D">
              <w:t>fun</w:t>
            </w:r>
            <w:r>
              <w:t>ding the treatment for a specific group of patients with no effective alternative treatments. MSAC advised that a post-implementation review was required after 2 (and before 3) years, to monitor utilisation of the treatment.</w:t>
            </w:r>
          </w:p>
        </w:tc>
      </w:tr>
    </w:tbl>
    <w:p w14:paraId="4A88255F" w14:textId="13A495E6" w:rsidR="00F9346A" w:rsidRPr="00F9346A" w:rsidRDefault="00F9346A" w:rsidP="008121AF">
      <w:pPr>
        <w:spacing w:before="240"/>
        <w:rPr>
          <w:b/>
          <w:bCs/>
          <w:sz w:val="24"/>
          <w:szCs w:val="24"/>
        </w:rPr>
      </w:pPr>
      <w:r>
        <w:rPr>
          <w:b/>
          <w:bCs/>
          <w:i/>
          <w:iCs/>
          <w:sz w:val="24"/>
          <w:szCs w:val="24"/>
        </w:rPr>
        <w:lastRenderedPageBreak/>
        <w:t>August</w:t>
      </w:r>
      <w:r w:rsidRPr="00F9346A">
        <w:rPr>
          <w:b/>
          <w:bCs/>
          <w:i/>
          <w:iCs/>
          <w:sz w:val="24"/>
          <w:szCs w:val="24"/>
        </w:rPr>
        <w:t xml:space="preserve"> 2024 MSAC consideration </w:t>
      </w:r>
    </w:p>
    <w:p w14:paraId="53812B56" w14:textId="33B8316A" w:rsidR="008F0096" w:rsidRDefault="00F84BA7" w:rsidP="008F0096">
      <w:pPr>
        <w:rPr>
          <w:szCs w:val="24"/>
        </w:rPr>
      </w:pPr>
      <w:r w:rsidRPr="00C86E49">
        <w:rPr>
          <w:rFonts w:eastAsia="Calibri" w:cs="Times New Roman"/>
        </w:rPr>
        <w:t xml:space="preserve">After considering the strength of the available evidence in relation to comparative safety, clinical effectiveness, cost-effectiveness and total cost, </w:t>
      </w:r>
      <w:r w:rsidR="008F0096" w:rsidRPr="00F94921">
        <w:rPr>
          <w:szCs w:val="24"/>
        </w:rPr>
        <w:t xml:space="preserve">MSAC </w:t>
      </w:r>
      <w:r w:rsidR="008F0096">
        <w:rPr>
          <w:szCs w:val="24"/>
        </w:rPr>
        <w:t xml:space="preserve">deferred its decision on public funding for </w:t>
      </w:r>
      <w:r w:rsidR="008F0096">
        <w:t>i</w:t>
      </w:r>
      <w:r w:rsidR="008F0096" w:rsidRPr="00CC465C">
        <w:t xml:space="preserve">mlifidase as a desensitisation treatment to enable kidney transplant in highly sensitised adult transplant </w:t>
      </w:r>
      <w:r w:rsidR="00022F6F" w:rsidRPr="00E33E73">
        <w:rPr>
          <w:iCs/>
        </w:rPr>
        <w:t>patients</w:t>
      </w:r>
      <w:r w:rsidR="0039723D">
        <w:t xml:space="preserve"> </w:t>
      </w:r>
      <w:r w:rsidR="0039723D" w:rsidRPr="0039723D">
        <w:t xml:space="preserve">with a </w:t>
      </w:r>
      <w:r w:rsidR="00022F6F" w:rsidRPr="00E33E73">
        <w:rPr>
          <w:iCs/>
        </w:rPr>
        <w:t>positive crossmatch against an available deceased donor (DD)</w:t>
      </w:r>
      <w:r w:rsidR="0039723D" w:rsidRPr="0039723D">
        <w:t xml:space="preserve"> or </w:t>
      </w:r>
      <w:r w:rsidR="00022F6F" w:rsidRPr="00E33E73">
        <w:rPr>
          <w:iCs/>
        </w:rPr>
        <w:t>living donor (LD), who are unlikely to be transplanted under current kidney allocation systems</w:t>
      </w:r>
      <w:r w:rsidR="008F0096">
        <w:t>.</w:t>
      </w:r>
    </w:p>
    <w:p w14:paraId="197A4C88" w14:textId="126CFBE5" w:rsidR="00AE5D14" w:rsidRDefault="00AE5D14" w:rsidP="00AE5D14">
      <w:pPr>
        <w:pStyle w:val="paragraph"/>
        <w:spacing w:before="0" w:beforeAutospacing="0" w:after="0" w:afterAutospacing="0"/>
        <w:textAlignment w:val="baseline"/>
        <w:rPr>
          <w:rStyle w:val="eop"/>
          <w:rFonts w:ascii="Franklin Gothic Book" w:hAnsi="Franklin Gothic Book"/>
          <w:sz w:val="22"/>
          <w:szCs w:val="22"/>
        </w:rPr>
      </w:pPr>
      <w:r>
        <w:rPr>
          <w:rStyle w:val="normaltextrun"/>
          <w:rFonts w:ascii="Franklin Gothic Book" w:hAnsi="Franklin Gothic Book"/>
          <w:sz w:val="22"/>
          <w:szCs w:val="22"/>
        </w:rPr>
        <w:t>MSAC considered there is a high unmet clinical need for imlifidase. MSAC considered that while imlifidase was likely to have superior effectiveness and safety compared with dialysis</w:t>
      </w:r>
      <w:r w:rsidR="001E10E2">
        <w:rPr>
          <w:rStyle w:val="normaltextrun"/>
          <w:rFonts w:ascii="Franklin Gothic Book" w:hAnsi="Franklin Gothic Book"/>
          <w:sz w:val="22"/>
          <w:szCs w:val="22"/>
        </w:rPr>
        <w:t>,</w:t>
      </w:r>
      <w:r>
        <w:rPr>
          <w:rStyle w:val="normaltextrun"/>
          <w:rFonts w:ascii="Franklin Gothic Book" w:hAnsi="Franklin Gothic Book"/>
          <w:sz w:val="22"/>
          <w:szCs w:val="22"/>
        </w:rPr>
        <w:t xml:space="preserve"> and most of the clinical issues identified by MSAC in the previous application have been resolved, some </w:t>
      </w:r>
      <w:r w:rsidRPr="00583E33">
        <w:rPr>
          <w:rStyle w:val="normaltextrun"/>
          <w:rFonts w:ascii="Franklin Gothic Book" w:hAnsi="Franklin Gothic Book"/>
          <w:sz w:val="22"/>
          <w:szCs w:val="22"/>
        </w:rPr>
        <w:t xml:space="preserve">concerns remained, </w:t>
      </w:r>
      <w:r w:rsidR="01C103BB" w:rsidRPr="5A5D1D29" w:rsidDel="001E10E2">
        <w:rPr>
          <w:rStyle w:val="normaltextrun"/>
          <w:rFonts w:ascii="Franklin Gothic Book" w:hAnsi="Franklin Gothic Book"/>
          <w:sz w:val="22"/>
          <w:szCs w:val="22"/>
        </w:rPr>
        <w:t>i</w:t>
      </w:r>
      <w:r w:rsidRPr="5A5D1D29">
        <w:rPr>
          <w:rStyle w:val="normaltextrun"/>
          <w:rFonts w:ascii="Franklin Gothic Book" w:hAnsi="Franklin Gothic Book"/>
          <w:sz w:val="22"/>
          <w:szCs w:val="22"/>
        </w:rPr>
        <w:t>n</w:t>
      </w:r>
      <w:r w:rsidRPr="00583E33">
        <w:rPr>
          <w:rStyle w:val="normaltextrun"/>
          <w:rFonts w:ascii="Franklin Gothic Book" w:hAnsi="Franklin Gothic Book"/>
          <w:sz w:val="22"/>
          <w:szCs w:val="22"/>
        </w:rPr>
        <w:t xml:space="preserve"> particular the long-term effectiveness and safety outcomes of imlifidase for delayed graft function, antibody mediated rejection, and chronic kidney disease.</w:t>
      </w:r>
      <w:r>
        <w:rPr>
          <w:rStyle w:val="eop"/>
          <w:rFonts w:ascii="Franklin Gothic Book" w:hAnsi="Franklin Gothic Book"/>
          <w:sz w:val="22"/>
          <w:szCs w:val="22"/>
        </w:rPr>
        <w:t> </w:t>
      </w:r>
    </w:p>
    <w:p w14:paraId="61911A23" w14:textId="43833833" w:rsidR="00AE5D14" w:rsidRDefault="00AE5D14" w:rsidP="00A0206D">
      <w:pPr>
        <w:pStyle w:val="paragraph"/>
        <w:spacing w:before="240" w:beforeAutospacing="0" w:after="0" w:afterAutospacing="0"/>
        <w:textAlignment w:val="baseline"/>
      </w:pPr>
      <w:r>
        <w:rPr>
          <w:rStyle w:val="normaltextrun"/>
          <w:rFonts w:ascii="Franklin Gothic Book" w:hAnsi="Franklin Gothic Book"/>
          <w:sz w:val="22"/>
          <w:szCs w:val="22"/>
        </w:rPr>
        <w:t xml:space="preserve">MSAC noted unresolved </w:t>
      </w:r>
      <w:r w:rsidRPr="00A862CE">
        <w:rPr>
          <w:rStyle w:val="normaltextrun"/>
          <w:rFonts w:ascii="Franklin Gothic Book" w:hAnsi="Franklin Gothic Book"/>
          <w:sz w:val="22"/>
          <w:szCs w:val="22"/>
        </w:rPr>
        <w:t>uncertainty remained in the economic modelling around the true incremental cost-effectiveness ratio (ICER) for imlifidase. MSAC considered that the assessment did not include all relevant costs and benefits from a health system perspective and should have included non-HS transplant candidates</w:t>
      </w:r>
      <w:r>
        <w:rPr>
          <w:rStyle w:val="normaltextrun"/>
          <w:rFonts w:ascii="Franklin Gothic Book" w:hAnsi="Franklin Gothic Book"/>
          <w:sz w:val="22"/>
          <w:szCs w:val="22"/>
        </w:rPr>
        <w:t xml:space="preserve"> </w:t>
      </w:r>
      <w:r w:rsidDel="00E16CB0">
        <w:rPr>
          <w:rStyle w:val="normaltextrun"/>
          <w:rFonts w:ascii="Franklin Gothic Book" w:hAnsi="Franklin Gothic Book"/>
          <w:sz w:val="22"/>
          <w:szCs w:val="22"/>
        </w:rPr>
        <w:t xml:space="preserve">because </w:t>
      </w:r>
      <w:r>
        <w:rPr>
          <w:rStyle w:val="normaltextrun"/>
          <w:rFonts w:ascii="Franklin Gothic Book" w:hAnsi="Franklin Gothic Book"/>
          <w:sz w:val="22"/>
          <w:szCs w:val="22"/>
        </w:rPr>
        <w:t>DD transplants are a highly supply</w:t>
      </w:r>
      <w:r w:rsidR="008C3A6D">
        <w:rPr>
          <w:rStyle w:val="normaltextrun"/>
          <w:rFonts w:ascii="Franklin Gothic Book" w:hAnsi="Franklin Gothic Book"/>
          <w:sz w:val="22"/>
          <w:szCs w:val="22"/>
        </w:rPr>
        <w:t>-</w:t>
      </w:r>
      <w:r>
        <w:rPr>
          <w:rStyle w:val="normaltextrun"/>
          <w:rFonts w:ascii="Franklin Gothic Book" w:hAnsi="Franklin Gothic Book"/>
          <w:sz w:val="22"/>
          <w:szCs w:val="22"/>
        </w:rPr>
        <w:t>constrained resource and quantifying the impact on all transplant candidates (not just HS transplant candidates) was important to understanding any unintended negative consequences</w:t>
      </w:r>
      <w:r w:rsidR="00A206F5" w:rsidRPr="00A206F5">
        <w:rPr>
          <w:rStyle w:val="normaltextrun"/>
          <w:rFonts w:ascii="Franklin Gothic Book" w:hAnsi="Franklin Gothic Book"/>
          <w:sz w:val="22"/>
          <w:szCs w:val="22"/>
        </w:rPr>
        <w:t xml:space="preserve"> </w:t>
      </w:r>
      <w:r w:rsidDel="00A25FCF">
        <w:rPr>
          <w:rStyle w:val="normaltextrun"/>
          <w:rFonts w:ascii="Franklin Gothic Book" w:hAnsi="Franklin Gothic Book"/>
          <w:sz w:val="22"/>
          <w:szCs w:val="22"/>
        </w:rPr>
        <w:t>for</w:t>
      </w:r>
      <w:r>
        <w:rPr>
          <w:rStyle w:val="normaltextrun"/>
          <w:rFonts w:ascii="Franklin Gothic Book" w:hAnsi="Franklin Gothic Book"/>
          <w:sz w:val="22"/>
          <w:szCs w:val="22"/>
        </w:rPr>
        <w:t xml:space="preserve"> non-HS patients </w:t>
      </w:r>
      <w:r w:rsidDel="00A206F5">
        <w:rPr>
          <w:rStyle w:val="normaltextrun"/>
          <w:rFonts w:ascii="Franklin Gothic Book" w:hAnsi="Franklin Gothic Book"/>
          <w:sz w:val="22"/>
          <w:szCs w:val="22"/>
        </w:rPr>
        <w:t>from funding imlifidase for HS patients</w:t>
      </w:r>
      <w:r>
        <w:rPr>
          <w:rStyle w:val="normaltextrun"/>
          <w:rFonts w:ascii="Franklin Gothic Book" w:hAnsi="Franklin Gothic Book"/>
          <w:sz w:val="22"/>
          <w:szCs w:val="22"/>
        </w:rPr>
        <w:t xml:space="preserve">. MSAC noted that while the applicant did not address previous MSAC advice to </w:t>
      </w:r>
      <w:r w:rsidRPr="00A862CE">
        <w:rPr>
          <w:rStyle w:val="normaltextrun"/>
          <w:rFonts w:ascii="Franklin Gothic Book" w:hAnsi="Franklin Gothic Book"/>
          <w:sz w:val="22"/>
          <w:szCs w:val="22"/>
        </w:rPr>
        <w:t>report ICERs by DD and LD transplant recipients, the true ICER estimates for each of these populations after taking account of impacts on all transplant recipients was likely in excess of $</w:t>
      </w:r>
      <w:r w:rsidR="00D14702" w:rsidRPr="009E2F9F" w:rsidDel="00093E2A">
        <w:rPr>
          <w:rStyle w:val="normaltextrun"/>
          <w:rFonts w:ascii="Franklin Gothic Book" w:hAnsi="Franklin Gothic Book"/>
          <w:b/>
          <w:bCs/>
          <w:sz w:val="22"/>
          <w:szCs w:val="22"/>
        </w:rPr>
        <w:t>redacted</w:t>
      </w:r>
      <w:r w:rsidRPr="00A862CE" w:rsidDel="00093E2A">
        <w:rPr>
          <w:rStyle w:val="normaltextrun"/>
          <w:rFonts w:ascii="Franklin Gothic Book" w:hAnsi="Franklin Gothic Book"/>
          <w:sz w:val="22"/>
          <w:szCs w:val="22"/>
        </w:rPr>
        <w:t>/</w:t>
      </w:r>
      <w:r w:rsidRPr="00A862CE">
        <w:rPr>
          <w:rStyle w:val="normaltextrun"/>
          <w:rFonts w:ascii="Franklin Gothic Book" w:hAnsi="Franklin Gothic Book"/>
          <w:sz w:val="22"/>
          <w:szCs w:val="22"/>
        </w:rPr>
        <w:t>QALY for DD transplant recipients but dominant for LD transplant recipients. MSAC noted that</w:t>
      </w:r>
      <w:r>
        <w:rPr>
          <w:rStyle w:val="normaltextrun"/>
          <w:rFonts w:ascii="Franklin Gothic Book" w:hAnsi="Franklin Gothic Book"/>
          <w:sz w:val="22"/>
          <w:szCs w:val="22"/>
        </w:rPr>
        <w:t xml:space="preserve"> while there were uncertainties associated with the financial impacts of funding imlifidase, these were mainly due to the impacts being overestimated.</w:t>
      </w:r>
      <w:r>
        <w:rPr>
          <w:rStyle w:val="eop"/>
          <w:rFonts w:ascii="Franklin Gothic Book" w:hAnsi="Franklin Gothic Book"/>
          <w:sz w:val="22"/>
          <w:szCs w:val="22"/>
        </w:rPr>
        <w:t> </w:t>
      </w:r>
    </w:p>
    <w:p w14:paraId="1C1F8D2A" w14:textId="1D85CA0E" w:rsidR="00103D81" w:rsidRPr="00A862CE" w:rsidRDefault="00AE5D14" w:rsidP="00A0206D">
      <w:pPr>
        <w:pStyle w:val="paragraph"/>
        <w:spacing w:before="240" w:beforeAutospacing="0" w:after="0" w:afterAutospacing="0"/>
        <w:textAlignment w:val="baseline"/>
      </w:pPr>
      <w:r w:rsidRPr="00825E18">
        <w:rPr>
          <w:rStyle w:val="normaltextrun"/>
          <w:rFonts w:ascii="Franklin Gothic Book" w:hAnsi="Franklin Gothic Book"/>
          <w:sz w:val="22"/>
          <w:szCs w:val="22"/>
        </w:rPr>
        <w:t xml:space="preserve">MSAC deferred its advice and recommended </w:t>
      </w:r>
      <w:r w:rsidRPr="00A862CE">
        <w:rPr>
          <w:rStyle w:val="normaltextrun"/>
          <w:rFonts w:ascii="Franklin Gothic Book" w:hAnsi="Franklin Gothic Book"/>
          <w:sz w:val="22"/>
          <w:szCs w:val="22"/>
        </w:rPr>
        <w:t>engagement with relevant stakeholders including the applicant, jurisdictions, OrganMatch, Australia and New Zealand Dialysis and Transplant Registry, LifeBlood, the Renal Transplant Advisory Committee (RTAC) of the Transplantation Society of Australia and New Zealand and the RTAC/Australian and New Zealand Paired Kidney Exchange Clinical Oversight Subcommittee (RACOS) to work through the above issues and remaining implementation issues including:</w:t>
      </w:r>
      <w:r w:rsidRPr="00A862CE">
        <w:rPr>
          <w:rStyle w:val="eop"/>
          <w:rFonts w:ascii="Franklin Gothic Book" w:hAnsi="Franklin Gothic Book"/>
          <w:sz w:val="22"/>
          <w:szCs w:val="22"/>
        </w:rPr>
        <w:t> </w:t>
      </w:r>
    </w:p>
    <w:p w14:paraId="17C018EF" w14:textId="71DA9837" w:rsidR="00103D81" w:rsidRPr="00A862CE" w:rsidRDefault="00AE5D14" w:rsidP="0033037C">
      <w:pPr>
        <w:pStyle w:val="paragraph"/>
        <w:numPr>
          <w:ilvl w:val="0"/>
          <w:numId w:val="38"/>
        </w:numPr>
        <w:spacing w:before="0" w:beforeAutospacing="0" w:after="0" w:afterAutospacing="0"/>
        <w:textAlignment w:val="baseline"/>
        <w:rPr>
          <w:rFonts w:ascii="Franklin Gothic Book" w:hAnsi="Franklin Gothic Book"/>
          <w:sz w:val="22"/>
          <w:szCs w:val="22"/>
        </w:rPr>
      </w:pPr>
      <w:r w:rsidRPr="00A862CE">
        <w:rPr>
          <w:rStyle w:val="normaltextrun"/>
          <w:rFonts w:ascii="Franklin Gothic Book" w:hAnsi="Franklin Gothic Book"/>
          <w:sz w:val="22"/>
          <w:szCs w:val="22"/>
        </w:rPr>
        <w:t>refining the proposed eligibility criteria including the current proposed criteria for LD transplant recipients which refers to logistical incompatibility with other desensitisation regimes, and with reference to the established ethical principles that guide allocation of transplants in Australia</w:t>
      </w:r>
      <w:r w:rsidRPr="00A862CE">
        <w:rPr>
          <w:rStyle w:val="eop"/>
          <w:rFonts w:ascii="Franklin Gothic Book" w:hAnsi="Franklin Gothic Book"/>
          <w:sz w:val="22"/>
          <w:szCs w:val="22"/>
        </w:rPr>
        <w:t> </w:t>
      </w:r>
    </w:p>
    <w:p w14:paraId="647DE67B" w14:textId="05DDFAEF" w:rsidR="00103D81" w:rsidRPr="00A862CE" w:rsidRDefault="00AE5D14" w:rsidP="0033037C">
      <w:pPr>
        <w:pStyle w:val="paragraph"/>
        <w:numPr>
          <w:ilvl w:val="0"/>
          <w:numId w:val="38"/>
        </w:numPr>
        <w:spacing w:before="0" w:beforeAutospacing="0" w:after="0" w:afterAutospacing="0"/>
        <w:textAlignment w:val="baseline"/>
        <w:rPr>
          <w:rFonts w:ascii="Franklin Gothic Book" w:hAnsi="Franklin Gothic Book"/>
          <w:sz w:val="22"/>
          <w:szCs w:val="22"/>
        </w:rPr>
      </w:pPr>
      <w:r w:rsidRPr="00A862CE">
        <w:rPr>
          <w:rStyle w:val="normaltextrun"/>
          <w:rFonts w:ascii="Franklin Gothic Book" w:hAnsi="Franklin Gothic Book"/>
          <w:sz w:val="22"/>
          <w:szCs w:val="22"/>
        </w:rPr>
        <w:t>development of national guidelines for imlifidase use</w:t>
      </w:r>
      <w:r w:rsidRPr="00A862CE">
        <w:rPr>
          <w:rStyle w:val="eop"/>
          <w:rFonts w:ascii="Franklin Gothic Book" w:hAnsi="Franklin Gothic Book"/>
          <w:sz w:val="22"/>
          <w:szCs w:val="22"/>
        </w:rPr>
        <w:t> </w:t>
      </w:r>
    </w:p>
    <w:p w14:paraId="132DFEA7" w14:textId="12B19CB5" w:rsidR="00103D81" w:rsidRPr="00A862CE" w:rsidRDefault="00AE5D14" w:rsidP="0033037C">
      <w:pPr>
        <w:pStyle w:val="paragraph"/>
        <w:numPr>
          <w:ilvl w:val="0"/>
          <w:numId w:val="38"/>
        </w:numPr>
        <w:spacing w:before="0" w:beforeAutospacing="0" w:after="0" w:afterAutospacing="0"/>
        <w:textAlignment w:val="baseline"/>
        <w:rPr>
          <w:rStyle w:val="eop"/>
          <w:rFonts w:ascii="Franklin Gothic Book" w:eastAsiaTheme="minorHAnsi" w:hAnsi="Franklin Gothic Book" w:cstheme="minorBidi"/>
          <w:sz w:val="22"/>
          <w:szCs w:val="22"/>
          <w:lang w:eastAsia="en-US"/>
        </w:rPr>
      </w:pPr>
      <w:r w:rsidRPr="00A862CE">
        <w:rPr>
          <w:rStyle w:val="normaltextrun"/>
          <w:rFonts w:ascii="Franklin Gothic Book" w:hAnsi="Franklin Gothic Book"/>
          <w:sz w:val="22"/>
          <w:szCs w:val="22"/>
        </w:rPr>
        <w:t>addressing accessibility to single antigen bead testing for kidney transplantation centres where imlifidase would be used </w:t>
      </w:r>
      <w:r w:rsidRPr="00A862CE">
        <w:rPr>
          <w:rStyle w:val="eop"/>
          <w:rFonts w:ascii="Franklin Gothic Book" w:hAnsi="Franklin Gothic Book"/>
          <w:sz w:val="22"/>
          <w:szCs w:val="22"/>
        </w:rPr>
        <w:t> </w:t>
      </w:r>
    </w:p>
    <w:p w14:paraId="59D5048F" w14:textId="2397F209" w:rsidR="00103D81" w:rsidRPr="00A862CE" w:rsidRDefault="00825E18" w:rsidP="0033037C">
      <w:pPr>
        <w:pStyle w:val="paragraph"/>
        <w:numPr>
          <w:ilvl w:val="0"/>
          <w:numId w:val="38"/>
        </w:numPr>
        <w:spacing w:before="0" w:beforeAutospacing="0" w:after="0" w:afterAutospacing="0"/>
        <w:textAlignment w:val="baseline"/>
        <w:rPr>
          <w:rFonts w:ascii="Franklin Gothic Book" w:hAnsi="Franklin Gothic Book"/>
          <w:sz w:val="22"/>
          <w:szCs w:val="22"/>
        </w:rPr>
      </w:pPr>
      <w:r w:rsidRPr="00A862CE">
        <w:rPr>
          <w:rFonts w:ascii="Franklin Gothic Book" w:hAnsi="Franklin Gothic Book"/>
          <w:sz w:val="22"/>
          <w:szCs w:val="22"/>
        </w:rPr>
        <w:lastRenderedPageBreak/>
        <w:t xml:space="preserve">designing an appropriate pay for performance (PfP) scheme </w:t>
      </w:r>
      <w:r w:rsidRPr="009E2F9F">
        <w:rPr>
          <w:rFonts w:ascii="Franklin Gothic Book" w:hAnsi="Franklin Gothic Book"/>
          <w:sz w:val="22"/>
          <w:szCs w:val="22"/>
        </w:rPr>
        <w:t xml:space="preserve">with a two tiered patient financial cap </w:t>
      </w:r>
      <w:r w:rsidRPr="007D5DEB">
        <w:rPr>
          <w:rFonts w:ascii="Franklin Gothic Book" w:hAnsi="Franklin Gothic Book"/>
          <w:sz w:val="22"/>
          <w:szCs w:val="22"/>
        </w:rPr>
        <w:t>to manage the remaining clinical, economic and financial</w:t>
      </w:r>
      <w:r w:rsidRPr="00A862CE">
        <w:rPr>
          <w:rFonts w:ascii="Franklin Gothic Book" w:hAnsi="Franklin Gothic Book"/>
          <w:sz w:val="22"/>
          <w:szCs w:val="22"/>
        </w:rPr>
        <w:t xml:space="preserve"> uncertainties identified. </w:t>
      </w:r>
    </w:p>
    <w:p w14:paraId="01BF6C12" w14:textId="2273DC30" w:rsidR="00F84BA7" w:rsidRPr="00A862CE" w:rsidRDefault="00825E18" w:rsidP="0033037C">
      <w:pPr>
        <w:pStyle w:val="paragraph"/>
        <w:numPr>
          <w:ilvl w:val="0"/>
          <w:numId w:val="38"/>
        </w:numPr>
        <w:spacing w:before="0" w:beforeAutospacing="0" w:after="240" w:afterAutospacing="0"/>
        <w:textAlignment w:val="baseline"/>
      </w:pPr>
      <w:r w:rsidRPr="00A862CE">
        <w:rPr>
          <w:rFonts w:ascii="Franklin Gothic Book" w:hAnsi="Franklin Gothic Book"/>
          <w:sz w:val="22"/>
          <w:szCs w:val="22"/>
        </w:rPr>
        <w:t xml:space="preserve">collection of data for post-implementation review for MSAC consideration (and potential sharing of data between TGA and MSAC) and the timing of the TGA re-consideration of the provisional registration for imlifidase with respect to MSAC review and potential implications for PfP payment scheduling. </w:t>
      </w:r>
    </w:p>
    <w:tbl>
      <w:tblPr>
        <w:tblStyle w:val="TableGrid"/>
        <w:tblW w:w="0" w:type="auto"/>
        <w:tblLook w:val="04A0" w:firstRow="1" w:lastRow="0" w:firstColumn="1" w:lastColumn="0" w:noHBand="0" w:noVBand="1"/>
        <w:tblDescription w:val="Consumer summary of MSAC consideration"/>
      </w:tblPr>
      <w:tblGrid>
        <w:gridCol w:w="9016"/>
      </w:tblGrid>
      <w:tr w:rsidR="00F84BA7" w:rsidRPr="00C86E49" w14:paraId="7D95135A" w14:textId="77777777" w:rsidTr="00154777">
        <w:trPr>
          <w:tblHeader/>
        </w:trPr>
        <w:tc>
          <w:tcPr>
            <w:tcW w:w="9016" w:type="dxa"/>
          </w:tcPr>
          <w:p w14:paraId="27A199C6" w14:textId="6FDE40FD" w:rsidR="00F84BA7" w:rsidRPr="00C86E49" w:rsidRDefault="00F84BA7" w:rsidP="00154777">
            <w:pPr>
              <w:keepNext/>
              <w:keepLines/>
              <w:spacing w:after="200"/>
              <w:outlineLvl w:val="2"/>
              <w:rPr>
                <w:rFonts w:ascii="Franklin Gothic Medium" w:eastAsia="Calibri" w:hAnsi="Franklin Gothic Medium" w:cs="Times New Roman"/>
                <w:iCs/>
                <w:color w:val="1F3763"/>
                <w:sz w:val="24"/>
                <w:szCs w:val="24"/>
              </w:rPr>
            </w:pPr>
            <w:r w:rsidRPr="00C86E49">
              <w:rPr>
                <w:rFonts w:ascii="Franklin Gothic Medium" w:eastAsia="Times New Roman" w:hAnsi="Franklin Gothic Medium" w:cs="Times New Roman"/>
                <w:sz w:val="24"/>
                <w:szCs w:val="24"/>
              </w:rPr>
              <w:t>Consumer summary</w:t>
            </w:r>
            <w:r w:rsidR="00406CA3">
              <w:rPr>
                <w:rFonts w:ascii="Franklin Gothic Medium" w:eastAsia="Times New Roman" w:hAnsi="Franklin Gothic Medium" w:cs="Times New Roman"/>
                <w:sz w:val="24"/>
                <w:szCs w:val="24"/>
              </w:rPr>
              <w:t xml:space="preserve"> – August 2024</w:t>
            </w:r>
          </w:p>
        </w:tc>
      </w:tr>
      <w:tr w:rsidR="00F84BA7" w:rsidRPr="00C86E49" w14:paraId="18D22508" w14:textId="77777777" w:rsidTr="00154777">
        <w:tc>
          <w:tcPr>
            <w:tcW w:w="9016" w:type="dxa"/>
          </w:tcPr>
          <w:p w14:paraId="67C83A08" w14:textId="1638EDDD" w:rsidR="00780181" w:rsidRDefault="00780181" w:rsidP="00780181">
            <w:r w:rsidRPr="00AF46D8">
              <w:t xml:space="preserve">This is an application from </w:t>
            </w:r>
            <w:r>
              <w:t>Hansa Biopharma Australia</w:t>
            </w:r>
            <w:r w:rsidRPr="00AF46D8">
              <w:t xml:space="preserve"> requesting </w:t>
            </w:r>
            <w:r>
              <w:t>public funding</w:t>
            </w:r>
            <w:r w:rsidRPr="00AF46D8">
              <w:t xml:space="preserve"> of</w:t>
            </w:r>
            <w:r>
              <w:t xml:space="preserve"> i</w:t>
            </w:r>
            <w:r w:rsidRPr="00CC465C">
              <w:t>mlifidase as a desensitisation treatment to enable kidney transplant in highly sensitised adult transplant candidates</w:t>
            </w:r>
            <w:r>
              <w:t xml:space="preserve"> with a positive crossmatch against an available deceased or living donor who are unlikely to be transplanted under current kidney allocation systems.</w:t>
            </w:r>
          </w:p>
          <w:p w14:paraId="67BB564B" w14:textId="10721378" w:rsidR="00A44010" w:rsidRDefault="00A44010" w:rsidP="00780181">
            <w:r w:rsidRPr="00A44010">
              <w:t>People with end-stage kidney disease need regular dialysis or a kidney transplant to survive. A kidney transplant gives patients a greater chance of survival and a better quality of life than remaining on dialysis. However there are a group of people waiting for kidney transplants who have developed antibodies that means that they have a higher chance of rejecting a donated kidney. These people are classified as “highly sensitised” and include groups such as women who have previously been pregnant and people who have already had a transplant.</w:t>
            </w:r>
          </w:p>
          <w:p w14:paraId="60AA8419" w14:textId="5C408467" w:rsidR="006E2D8C" w:rsidRDefault="006E2D8C" w:rsidP="006E2D8C">
            <w:r>
              <w:t>Imlifidase is a “desensitisation” treatment that tries to prevent the body from rejecting a newly transplanted kidney. This treatment is used before transplantation in people who are considered “highly sensitised” based on a positive crossmatch test. A positive crossmatch is where a high level of antibodies (measured as calculated panel reactive antibody values, or cPRA) in the person receiving the transplant bind to the cells of the donor (or the donor’s kidney) and destroy them. Imlifidase converts people from crossmatch positive to negative, which reduces the likelihood of the patient’s body rejecting the donated kidney for about 1 week (the peak period for a very serious form of rejection, called hyper-acute rejection).</w:t>
            </w:r>
          </w:p>
          <w:p w14:paraId="4CFECE91" w14:textId="680DE6EA" w:rsidR="00780181" w:rsidRDefault="00780181" w:rsidP="00780181">
            <w:r>
              <w:t xml:space="preserve">MSAC had previously considered imlifidase in July 2023 but </w:t>
            </w:r>
            <w:r w:rsidRPr="00EB30CC">
              <w:t>did not support public funding</w:t>
            </w:r>
            <w:r>
              <w:t xml:space="preserve"> at the time. In this resubmission, the applicant had addressed many of MSAC’s concerns from the previous application. However, MSAC considered that some issues remained in the economic analysis that made it difficult to tell whether imlifidase would be good value for money. This included the </w:t>
            </w:r>
            <w:r w:rsidRPr="002D506F">
              <w:t>potential effect on other patients on the transplant waiting list who might</w:t>
            </w:r>
            <w:r w:rsidR="00035856" w:rsidRPr="002D506F">
              <w:t xml:space="preserve"> have their transplant delayed</w:t>
            </w:r>
            <w:r w:rsidR="00035856">
              <w:t xml:space="preserve"> </w:t>
            </w:r>
            <w:r w:rsidR="00C41EC5">
              <w:t xml:space="preserve">because a donated kidney that would otherwise be available to them is </w:t>
            </w:r>
            <w:r w:rsidR="00035856">
              <w:t xml:space="preserve">transplanted by a person who received imlifidase </w:t>
            </w:r>
            <w:r w:rsidR="00C41EC5">
              <w:t>instead</w:t>
            </w:r>
            <w:r>
              <w:t xml:space="preserve">. MSAC also considered that other issues relating to </w:t>
            </w:r>
            <w:r w:rsidRPr="0025144E">
              <w:t>how imlifidase would be implemented and paid for would benefit from discussion with other stakeholders.</w:t>
            </w:r>
          </w:p>
          <w:p w14:paraId="34DC87D2" w14:textId="77777777" w:rsidR="00F84BA7" w:rsidRPr="00C86E49" w:rsidRDefault="00F84BA7" w:rsidP="00154777">
            <w:pPr>
              <w:keepNext/>
              <w:keepLines/>
              <w:outlineLvl w:val="2"/>
              <w:rPr>
                <w:rFonts w:ascii="Franklin Gothic Medium" w:eastAsia="Times New Roman" w:hAnsi="Franklin Gothic Medium" w:cs="Times New Roman"/>
                <w:sz w:val="24"/>
                <w:szCs w:val="24"/>
              </w:rPr>
            </w:pPr>
            <w:r w:rsidRPr="00C86E49">
              <w:rPr>
                <w:rFonts w:ascii="Franklin Gothic Medium" w:eastAsia="Times New Roman" w:hAnsi="Franklin Gothic Medium" w:cs="Times New Roman"/>
                <w:sz w:val="24"/>
                <w:szCs w:val="24"/>
              </w:rPr>
              <w:t>MSAC’s advice to the Commonwealth Minister for Health and Aged Care</w:t>
            </w:r>
          </w:p>
          <w:p w14:paraId="0B53618D" w14:textId="63C5441D" w:rsidR="00F84BA7" w:rsidRPr="00C86E49" w:rsidRDefault="008D10F6" w:rsidP="008D10F6">
            <w:pPr>
              <w:spacing w:after="120"/>
              <w:rPr>
                <w:rFonts w:eastAsia="Calibri" w:cs="Times New Roman"/>
              </w:rPr>
            </w:pPr>
            <w:r w:rsidRPr="00AF46D8">
              <w:t xml:space="preserve">MSAC deferred its </w:t>
            </w:r>
            <w:r>
              <w:t>decision on whether to support imlifidase until it could consult with other stakeholders who are involved in the planning and governance of kidney transplants.</w:t>
            </w:r>
          </w:p>
        </w:tc>
      </w:tr>
    </w:tbl>
    <w:p w14:paraId="50E37055" w14:textId="77777777" w:rsidR="00F84BA7" w:rsidRPr="00C86E49" w:rsidRDefault="00F84BA7" w:rsidP="00F84BA7">
      <w:pPr>
        <w:pStyle w:val="Heading2"/>
        <w:numPr>
          <w:ilvl w:val="1"/>
          <w:numId w:val="0"/>
        </w:numPr>
      </w:pPr>
      <w:r w:rsidRPr="00C86E49">
        <w:t>3.</w:t>
      </w:r>
      <w:r w:rsidRPr="00C86E49">
        <w:tab/>
        <w:t>Summary of consideration and rationale for MSAC’s advice</w:t>
      </w:r>
    </w:p>
    <w:p w14:paraId="3C701775" w14:textId="77777777" w:rsidR="00406CA3" w:rsidRPr="00F9346A" w:rsidRDefault="00406CA3" w:rsidP="00406CA3">
      <w:pPr>
        <w:rPr>
          <w:b/>
          <w:bCs/>
          <w:sz w:val="24"/>
          <w:szCs w:val="24"/>
        </w:rPr>
      </w:pPr>
      <w:r>
        <w:rPr>
          <w:b/>
          <w:bCs/>
          <w:i/>
          <w:iCs/>
          <w:sz w:val="24"/>
          <w:szCs w:val="24"/>
        </w:rPr>
        <w:t>April 2025</w:t>
      </w:r>
      <w:r w:rsidRPr="00F9346A">
        <w:rPr>
          <w:b/>
          <w:bCs/>
          <w:i/>
          <w:iCs/>
          <w:sz w:val="24"/>
          <w:szCs w:val="24"/>
        </w:rPr>
        <w:t xml:space="preserve"> MSAC consideration </w:t>
      </w:r>
    </w:p>
    <w:p w14:paraId="3EC6F201" w14:textId="77777777" w:rsidR="00C145EA" w:rsidRDefault="00C145EA" w:rsidP="00C145EA">
      <w:r>
        <w:t>MSAC noted that this was an application from Hansa Biopharma (Australia) Pty Ltd r</w:t>
      </w:r>
      <w:r w:rsidRPr="00AE3A52">
        <w:t xml:space="preserve">equesting public funding under </w:t>
      </w:r>
      <w:r>
        <w:t>the National Health Reform Agreement (</w:t>
      </w:r>
      <w:r w:rsidRPr="00AE3A52">
        <w:t>NHRA</w:t>
      </w:r>
      <w:r>
        <w:t>)</w:t>
      </w:r>
      <w:r w:rsidRPr="00AE3A52">
        <w:t xml:space="preserve"> Addendum</w:t>
      </w:r>
      <w:r>
        <w:t>,</w:t>
      </w:r>
      <w:r w:rsidRPr="00AE3A52">
        <w:t xml:space="preserve"> Highly Specialised Therapies </w:t>
      </w:r>
      <w:r>
        <w:t xml:space="preserve">(HST) program </w:t>
      </w:r>
      <w:r w:rsidRPr="00AE3A52">
        <w:t xml:space="preserve">for use of imlifidase in the desensitisation </w:t>
      </w:r>
      <w:r>
        <w:t>treatment</w:t>
      </w:r>
      <w:r w:rsidRPr="00AE3A52">
        <w:t xml:space="preserve"> of </w:t>
      </w:r>
      <w:r>
        <w:t>highly sensitised (</w:t>
      </w:r>
      <w:r w:rsidRPr="00AE3A52">
        <w:t>HS</w:t>
      </w:r>
      <w:r>
        <w:t>)</w:t>
      </w:r>
      <w:r w:rsidRPr="00AE3A52">
        <w:t xml:space="preserve"> adult kidney transplant patients with a </w:t>
      </w:r>
      <w:r>
        <w:t>positi</w:t>
      </w:r>
      <w:r w:rsidRPr="00AE3A52">
        <w:t xml:space="preserve">ve crossmatch against an </w:t>
      </w:r>
      <w:r w:rsidRPr="00AE3A52">
        <w:lastRenderedPageBreak/>
        <w:t xml:space="preserve">available </w:t>
      </w:r>
      <w:r>
        <w:t>deceased donor (</w:t>
      </w:r>
      <w:r w:rsidRPr="00AE3A52">
        <w:t>DD</w:t>
      </w:r>
      <w:r>
        <w:t>)</w:t>
      </w:r>
      <w:r w:rsidRPr="00AE3A52">
        <w:t xml:space="preserve"> or </w:t>
      </w:r>
      <w:r>
        <w:t>living donor (</w:t>
      </w:r>
      <w:r w:rsidRPr="00AE3A52">
        <w:t>LD</w:t>
      </w:r>
      <w:r>
        <w:t>)</w:t>
      </w:r>
      <w:r w:rsidRPr="00AE3A52">
        <w:t xml:space="preserve"> who are unlikely to be transplanted under current kidney allocation systems.</w:t>
      </w:r>
      <w:r>
        <w:t xml:space="preserve"> This is the third time MSAC has considered this application.</w:t>
      </w:r>
    </w:p>
    <w:p w14:paraId="3BEAA9A9" w14:textId="3453C3B6" w:rsidR="00CD4754" w:rsidRDefault="00C145EA" w:rsidP="00CD4754">
      <w:r>
        <w:t xml:space="preserve">MSAC acknowledged that </w:t>
      </w:r>
      <w:r w:rsidRPr="00C0009C">
        <w:t>improving health equity is central to this application. At present</w:t>
      </w:r>
      <w:r>
        <w:t>,</w:t>
      </w:r>
      <w:r w:rsidRPr="00C0009C">
        <w:t xml:space="preserve"> a significant proportion of</w:t>
      </w:r>
      <w:r>
        <w:t xml:space="preserve"> HS</w:t>
      </w:r>
      <w:r w:rsidRPr="00C0009C">
        <w:t xml:space="preserve"> individuals are people</w:t>
      </w:r>
      <w:r w:rsidR="004B7762">
        <w:t xml:space="preserve"> (women)</w:t>
      </w:r>
      <w:r w:rsidRPr="00C0009C">
        <w:t xml:space="preserve"> who have been pregnant, people who have had multiple blood transfusions or people with failed prior transplants</w:t>
      </w:r>
      <w:r>
        <w:t>. There are n</w:t>
      </w:r>
      <w:r w:rsidRPr="00582D52">
        <w:t>o effective alternative</w:t>
      </w:r>
      <w:r>
        <w:t xml:space="preserve"> treatments</w:t>
      </w:r>
      <w:r w:rsidRPr="00582D52">
        <w:t xml:space="preserve"> for this indication available on the</w:t>
      </w:r>
      <w:r>
        <w:t xml:space="preserve"> Medicare Benefits Schedule (MBS) or Pharmaceutical Benefits Schedule (</w:t>
      </w:r>
      <w:r w:rsidRPr="00582D52">
        <w:t>PBS</w:t>
      </w:r>
      <w:r>
        <w:t xml:space="preserve">). Additionally, </w:t>
      </w:r>
      <w:r w:rsidRPr="00DF794B">
        <w:t xml:space="preserve">some groups have a higher rate of </w:t>
      </w:r>
      <w:r>
        <w:t>chronic kidney disease</w:t>
      </w:r>
      <w:r w:rsidRPr="00DF794B">
        <w:t xml:space="preserve"> coupled with a lower rate of successful transplantation</w:t>
      </w:r>
      <w:r>
        <w:t>, such as First Nations</w:t>
      </w:r>
      <w:r w:rsidRPr="00DF794B">
        <w:t xml:space="preserve"> Australians</w:t>
      </w:r>
      <w:r>
        <w:t>.</w:t>
      </w:r>
      <w:r w:rsidR="004A65FF">
        <w:t xml:space="preserve"> MSAC noted that </w:t>
      </w:r>
      <w:r w:rsidR="00F22BE9">
        <w:t>S</w:t>
      </w:r>
      <w:r w:rsidR="004A65FF">
        <w:t xml:space="preserve">tate and </w:t>
      </w:r>
      <w:r w:rsidR="00F22BE9">
        <w:t>T</w:t>
      </w:r>
      <w:r w:rsidR="004A65FF">
        <w:t>erritory submissions received in relation to this application were generally supportive of public funding o</w:t>
      </w:r>
      <w:r w:rsidR="009B3DCA">
        <w:t>f imlifidase</w:t>
      </w:r>
      <w:r w:rsidR="004A65FF">
        <w:t>.</w:t>
      </w:r>
      <w:r w:rsidR="00CD4754" w:rsidRPr="00CD4754">
        <w:t xml:space="preserve"> </w:t>
      </w:r>
      <w:r w:rsidR="00CD4754">
        <w:t xml:space="preserve">MSAC noted that imlifidase </w:t>
      </w:r>
      <w:r w:rsidR="00CD4754" w:rsidRPr="00DD5A06">
        <w:t xml:space="preserve"> will not increase total deceased donor transplants </w:t>
      </w:r>
      <w:r w:rsidR="00CD4754">
        <w:t xml:space="preserve"> which are the </w:t>
      </w:r>
      <w:r w:rsidR="00CD4754" w:rsidRPr="00DD5A06">
        <w:t>main source of donor kidney</w:t>
      </w:r>
      <w:r w:rsidR="00CD4754">
        <w:t>s but will allow s</w:t>
      </w:r>
      <w:r w:rsidR="00CD4754" w:rsidRPr="00DD5A06">
        <w:t>ome highly sensitised people</w:t>
      </w:r>
      <w:r w:rsidR="00CD4754">
        <w:t xml:space="preserve"> </w:t>
      </w:r>
      <w:r w:rsidR="0025458D">
        <w:t xml:space="preserve">who </w:t>
      </w:r>
      <w:r w:rsidR="00CD4754" w:rsidRPr="00DD5A06">
        <w:t>would otherwise be incompatible</w:t>
      </w:r>
      <w:r w:rsidR="00CD4754">
        <w:t xml:space="preserve"> with a donated kidney to</w:t>
      </w:r>
      <w:r w:rsidR="00CD4754" w:rsidRPr="00DD5A06">
        <w:t xml:space="preserve"> be eligible for a transplant</w:t>
      </w:r>
      <w:r w:rsidR="00CD4754">
        <w:t>.</w:t>
      </w:r>
      <w:r w:rsidR="004B7762">
        <w:t xml:space="preserve"> There may be a small increase in living kidney donation.</w:t>
      </w:r>
    </w:p>
    <w:p w14:paraId="3A2619C6" w14:textId="5BC23E72" w:rsidR="00496608" w:rsidRPr="00DF3BBC" w:rsidRDefault="00496608" w:rsidP="00496608">
      <w:r>
        <w:t>MSAC recalled that when it considered imlifidase in August 2024, t</w:t>
      </w:r>
      <w:r w:rsidRPr="00730595">
        <w:t>he pooled studies reported no non-responders to imlifidase, with the use of imlifidase allowing crossmatch conversion and DSA elimination in all study participants</w:t>
      </w:r>
      <w:r w:rsidR="007F5800">
        <w:t>.</w:t>
      </w:r>
      <w:r>
        <w:t xml:space="preserve"> </w:t>
      </w:r>
      <w:r w:rsidRPr="0039687D">
        <w:t>8</w:t>
      </w:r>
      <w:r>
        <w:t xml:space="preserve"> out of </w:t>
      </w:r>
      <w:r w:rsidRPr="0039687D">
        <w:t xml:space="preserve">54 (14.8%) </w:t>
      </w:r>
      <w:r w:rsidR="00DC4FA7">
        <w:t>of</w:t>
      </w:r>
      <w:r w:rsidRPr="0039687D">
        <w:t xml:space="preserve"> the patients in the imlifidase study program who received at least one dose of imlifidase did not </w:t>
      </w:r>
      <w:r w:rsidR="007F5800">
        <w:t xml:space="preserve">receive </w:t>
      </w:r>
      <w:r w:rsidRPr="0039687D">
        <w:t xml:space="preserve">a transplant (Table </w:t>
      </w:r>
      <w:r w:rsidR="00FB7557">
        <w:t>3</w:t>
      </w:r>
      <w:r>
        <w:t>)</w:t>
      </w:r>
      <w:r w:rsidR="00AD59F2">
        <w:t>,</w:t>
      </w:r>
      <w:r>
        <w:t xml:space="preserve"> although 7 of these patients </w:t>
      </w:r>
      <w:r w:rsidRPr="0039687D">
        <w:t>were enrolled in a study where transplantation was not a prespecified part of the protocol (13-HMedIde S-02</w:t>
      </w:r>
      <w:r>
        <w:t>)</w:t>
      </w:r>
      <w:r w:rsidR="00EA3DD3">
        <w:t>. G</w:t>
      </w:r>
      <w:r w:rsidRPr="005E0A62">
        <w:t xml:space="preserve">raft survival (death-censored) at 6 months was 96% (23/24) in the pooled AUS-UTT-A population which </w:t>
      </w:r>
      <w:r w:rsidR="006A1553">
        <w:t xml:space="preserve">MSAC considered to </w:t>
      </w:r>
      <w:r w:rsidRPr="005E0A62">
        <w:t xml:space="preserve">better reflect the proposed population. Graft survival (death-censored) at 6 months ranged from 93-96% in other analyses (Table </w:t>
      </w:r>
      <w:r w:rsidR="00D02BFF">
        <w:t>5</w:t>
      </w:r>
      <w:r w:rsidRPr="005E0A62">
        <w:t>).</w:t>
      </w:r>
      <w:r w:rsidR="00033E2B">
        <w:t xml:space="preserve"> MSAC recalled that it had concluded the intervention l</w:t>
      </w:r>
      <w:r w:rsidR="00033E2B" w:rsidRPr="006067F2">
        <w:t>ikely</w:t>
      </w:r>
      <w:r w:rsidR="00033E2B">
        <w:t xml:space="preserve"> had</w:t>
      </w:r>
      <w:r w:rsidR="00033E2B" w:rsidRPr="006067F2">
        <w:t xml:space="preserve"> superior effectiveness and</w:t>
      </w:r>
      <w:r w:rsidR="00033E2B">
        <w:t xml:space="preserve"> </w:t>
      </w:r>
      <w:r w:rsidR="00033E2B" w:rsidRPr="006067F2">
        <w:t>safety compared with dialysis</w:t>
      </w:r>
      <w:r w:rsidR="00033E2B">
        <w:t xml:space="preserve">. </w:t>
      </w:r>
    </w:p>
    <w:p w14:paraId="6BE5A536" w14:textId="718006E5" w:rsidR="00496608" w:rsidRPr="00ED4F3A" w:rsidRDefault="00496608" w:rsidP="00C145EA">
      <w:r>
        <w:t xml:space="preserve">MSAC noted that the applicant-developed assessment report (ADAR) presented new evidence for 5-year survival. This showed that all 46 patients transplanted using imlifidase were alive at 6 months. Five-year follow-up data showed a 90% survival rate, with 3 deaths occurring between 6 months and 1 year (causes included pseudomonas, bacteraemia/influenza and cardiac arrest). MSAC noted that this </w:t>
      </w:r>
      <w:r w:rsidRPr="00791C20">
        <w:t>5 year patient and graft survival</w:t>
      </w:r>
      <w:r>
        <w:t xml:space="preserve"> rate is</w:t>
      </w:r>
      <w:r w:rsidRPr="00791C20">
        <w:t xml:space="preserve"> similar to that in the general renal transplant population</w:t>
      </w:r>
      <w:r>
        <w:t xml:space="preserve"> although subsequent survival remains unknown.</w:t>
      </w:r>
      <w:r w:rsidRPr="00791C20">
        <w:t xml:space="preserve"> </w:t>
      </w:r>
      <w:r>
        <w:t xml:space="preserve">MSAC noted that </w:t>
      </w:r>
      <w:r w:rsidR="00CF42A6">
        <w:t>kidne</w:t>
      </w:r>
      <w:r w:rsidR="00070274">
        <w:t>y</w:t>
      </w:r>
      <w:r w:rsidR="00CF42A6">
        <w:t xml:space="preserve"> transplants are</w:t>
      </w:r>
      <w:r w:rsidR="00070274">
        <w:t xml:space="preserve"> </w:t>
      </w:r>
      <w:r>
        <w:t>less successful in older people, with patient survival curves decreasing as age increases. MSAC noted that the ADAR claimed</w:t>
      </w:r>
      <w:r w:rsidR="00ED4F3A">
        <w:t>,</w:t>
      </w:r>
      <w:r>
        <w:t xml:space="preserve"> in the imlifidase studies, all antibody-mediated rejection had occurred by 6 months.</w:t>
      </w:r>
      <w:r w:rsidR="00C24237">
        <w:t xml:space="preserve"> MSAC noted the updated data had not been independently evaluated. </w:t>
      </w:r>
    </w:p>
    <w:p w14:paraId="0B83E743" w14:textId="2F06CF84" w:rsidR="00D822C7" w:rsidRDefault="00C145EA" w:rsidP="00C145EA">
      <w:r>
        <w:t xml:space="preserve">MSAC </w:t>
      </w:r>
      <w:r w:rsidR="00DB16D3">
        <w:t xml:space="preserve">recalled that it </w:t>
      </w:r>
      <w:r>
        <w:t xml:space="preserve">had requested that the sponsor work with stakeholders to address </w:t>
      </w:r>
      <w:r w:rsidR="00D822C7">
        <w:t>the following issues:</w:t>
      </w:r>
    </w:p>
    <w:p w14:paraId="3ACC4680" w14:textId="0E284481" w:rsidR="00D822C7" w:rsidRDefault="0092611D" w:rsidP="00D822C7">
      <w:pPr>
        <w:pStyle w:val="ListParagraph"/>
        <w:numPr>
          <w:ilvl w:val="0"/>
          <w:numId w:val="43"/>
        </w:numPr>
      </w:pPr>
      <w:r w:rsidRPr="0092611D">
        <w:t>eligibility criteria</w:t>
      </w:r>
      <w:r>
        <w:t xml:space="preserve"> </w:t>
      </w:r>
      <w:r w:rsidR="005F53DD">
        <w:t xml:space="preserve">for imlifidase </w:t>
      </w:r>
      <w:r w:rsidRPr="0092611D">
        <w:t>including logistical incompatibility with other desensitisation regimes</w:t>
      </w:r>
    </w:p>
    <w:p w14:paraId="3D7920E6" w14:textId="032AB4BB" w:rsidR="0092611D" w:rsidRDefault="005F53DD" w:rsidP="00D822C7">
      <w:pPr>
        <w:pStyle w:val="ListParagraph"/>
        <w:numPr>
          <w:ilvl w:val="0"/>
          <w:numId w:val="43"/>
        </w:numPr>
      </w:pPr>
      <w:r w:rsidRPr="005F53DD">
        <w:t>development of national guidelines for imlifidase use</w:t>
      </w:r>
    </w:p>
    <w:p w14:paraId="554E7318" w14:textId="2F7A6D82" w:rsidR="005F53DD" w:rsidRDefault="005F53DD" w:rsidP="00D822C7">
      <w:pPr>
        <w:pStyle w:val="ListParagraph"/>
        <w:numPr>
          <w:ilvl w:val="0"/>
          <w:numId w:val="43"/>
        </w:numPr>
      </w:pPr>
      <w:r w:rsidRPr="005F53DD">
        <w:t>accessibility to single antigen bead testing</w:t>
      </w:r>
      <w:r>
        <w:t xml:space="preserve"> prior to administration of imlifidase</w:t>
      </w:r>
    </w:p>
    <w:p w14:paraId="39E556CE" w14:textId="251A4F2F" w:rsidR="00CA7141" w:rsidRDefault="00CA7141" w:rsidP="00D822C7">
      <w:pPr>
        <w:pStyle w:val="ListParagraph"/>
        <w:numPr>
          <w:ilvl w:val="0"/>
          <w:numId w:val="43"/>
        </w:numPr>
      </w:pPr>
      <w:r w:rsidRPr="00CA7141">
        <w:t>designing an appropriate pay for performance (PfP) scheme with a two tiered patient financial cap</w:t>
      </w:r>
    </w:p>
    <w:p w14:paraId="0A000B56" w14:textId="39D8C688" w:rsidR="00CA7141" w:rsidRDefault="00CA7141" w:rsidP="004204FD">
      <w:pPr>
        <w:pStyle w:val="ListParagraph"/>
        <w:numPr>
          <w:ilvl w:val="0"/>
          <w:numId w:val="43"/>
        </w:numPr>
      </w:pPr>
      <w:r w:rsidRPr="00CA7141">
        <w:t>collection of data for post-implementation review; timing of the TGA re</w:t>
      </w:r>
      <w:r w:rsidR="00A6019E">
        <w:t>-</w:t>
      </w:r>
      <w:r w:rsidRPr="00CA7141">
        <w:t>consideration of the provisional registration for imlifidase with respect to MSAC review and potential implications for PfP payment scheduling</w:t>
      </w:r>
      <w:r>
        <w:t>.</w:t>
      </w:r>
    </w:p>
    <w:p w14:paraId="51454D1F" w14:textId="4EE75A9F" w:rsidR="00C145EA" w:rsidRDefault="00D61296" w:rsidP="00C145EA">
      <w:r>
        <w:t>MSAC noted th</w:t>
      </w:r>
      <w:r w:rsidR="00DC5EB4">
        <w:t xml:space="preserve">at consultation </w:t>
      </w:r>
      <w:r w:rsidR="0073020A">
        <w:t xml:space="preserve">around these issues </w:t>
      </w:r>
      <w:r w:rsidR="00581936">
        <w:t xml:space="preserve">occurred </w:t>
      </w:r>
      <w:r w:rsidR="00C145EA">
        <w:t>through a stakeholder meeting held in February 2025.</w:t>
      </w:r>
      <w:r w:rsidR="00D052A3">
        <w:t xml:space="preserve"> </w:t>
      </w:r>
    </w:p>
    <w:p w14:paraId="2267FD6A" w14:textId="386B86FD" w:rsidR="00644A64" w:rsidRDefault="006F116A" w:rsidP="00EE3955">
      <w:r>
        <w:lastRenderedPageBreak/>
        <w:t>MSAC noted</w:t>
      </w:r>
      <w:r w:rsidR="00CC2467">
        <w:t xml:space="preserve"> and accepted the outcome from the stakeholder meeting </w:t>
      </w:r>
      <w:r>
        <w:t>regarding the eligibility criteria for DD recipients</w:t>
      </w:r>
      <w:r w:rsidR="002F7C36">
        <w:t xml:space="preserve">. </w:t>
      </w:r>
      <w:r w:rsidR="00664F4C">
        <w:t>MSAC considered t</w:t>
      </w:r>
      <w:r>
        <w:t>he t</w:t>
      </w:r>
      <w:r w:rsidRPr="001F4746">
        <w:t xml:space="preserve">ime from being first active on the </w:t>
      </w:r>
      <w:r>
        <w:t>DD</w:t>
      </w:r>
      <w:r w:rsidRPr="001F4746">
        <w:t xml:space="preserve"> waitlist was an appropriate measure</w:t>
      </w:r>
      <w:r>
        <w:t>, and</w:t>
      </w:r>
      <w:r w:rsidRPr="001F4746">
        <w:t xml:space="preserve"> </w:t>
      </w:r>
      <w:r>
        <w:t>the same waiting time should be applicable to all patients with calculated panel reactive antibody (cPRA) levels ≥99%.</w:t>
      </w:r>
      <w:r w:rsidR="00EE3955">
        <w:t xml:space="preserve"> MSAC considered it appropriate that eligible patients have cPRA levels ≥99% as this is consistent with National Institute for Health and Care Excellence (NICE) guidelines. </w:t>
      </w:r>
    </w:p>
    <w:p w14:paraId="06E0308C" w14:textId="0E6735A8" w:rsidR="00EE3955" w:rsidRDefault="00EE3955" w:rsidP="00EE3955">
      <w:r>
        <w:t>MSAC also considered it appropriate that there must be a p</w:t>
      </w:r>
      <w:r w:rsidRPr="000932B2">
        <w:t>ositive crossmatch against an available donor</w:t>
      </w:r>
      <w:r>
        <w:t>. MSAC noted that a positive crossmatch c</w:t>
      </w:r>
      <w:r w:rsidRPr="000932B2">
        <w:t>an only be known once the donor kidney is available</w:t>
      </w:r>
      <w:r>
        <w:t>,</w:t>
      </w:r>
      <w:r w:rsidRPr="000932B2">
        <w:t xml:space="preserve"> </w:t>
      </w:r>
      <w:r w:rsidR="007E370F">
        <w:t>therefore</w:t>
      </w:r>
      <w:r w:rsidRPr="000932B2">
        <w:t xml:space="preserve"> availability of the crossmatch service is important</w:t>
      </w:r>
      <w:r>
        <w:t>. MSAC considered that the time of 2 years on the DD waitlist is consistent with expert opinion</w:t>
      </w:r>
      <w:r w:rsidRPr="000932B2">
        <w:t>.</w:t>
      </w:r>
      <w:r>
        <w:t xml:space="preserve"> </w:t>
      </w:r>
    </w:p>
    <w:p w14:paraId="6FAFEB6F" w14:textId="7D8BD9E2" w:rsidR="00A81E92" w:rsidRDefault="006F116A" w:rsidP="00115FD6">
      <w:r>
        <w:t>MSAC noted</w:t>
      </w:r>
      <w:r w:rsidR="00CC2467">
        <w:t xml:space="preserve"> and accepted the outcome from the stakeholder meeting that t</w:t>
      </w:r>
      <w:r>
        <w:t xml:space="preserve">he eligibility criterion for LD recipients, beginning ‘based on clinical judgement and experience …’, should be replaced with ‘for whom alternate </w:t>
      </w:r>
      <w:r w:rsidRPr="004072AF">
        <w:t>desensitisation regimens for organ transplantation have failed or are contraindicated or are unlikely to be successful.’</w:t>
      </w:r>
      <w:r w:rsidR="003D056A" w:rsidRPr="003D056A">
        <w:t xml:space="preserve"> </w:t>
      </w:r>
    </w:p>
    <w:p w14:paraId="08435050" w14:textId="6545A032" w:rsidR="00A81E92" w:rsidRDefault="00586E10" w:rsidP="00A81E92">
      <w:pPr>
        <w:spacing w:before="0" w:after="0" w:line="240" w:lineRule="auto"/>
      </w:pPr>
      <w:r>
        <w:t xml:space="preserve">MSAC </w:t>
      </w:r>
      <w:r w:rsidRPr="0082344D">
        <w:t>noted and accepted the outcome from the stakeholder meeting</w:t>
      </w:r>
      <w:r w:rsidR="00F66AFD" w:rsidRPr="0082344D">
        <w:t xml:space="preserve"> regarding the number of eligible people</w:t>
      </w:r>
      <w:r w:rsidR="00AF776F" w:rsidRPr="0082344D">
        <w:t>. Only</w:t>
      </w:r>
      <w:r w:rsidR="00F66AFD" w:rsidRPr="0082344D">
        <w:t xml:space="preserve"> approximately </w:t>
      </w:r>
      <w:r w:rsidR="004B7762" w:rsidRPr="0082344D">
        <w:t xml:space="preserve">(at most) </w:t>
      </w:r>
      <w:r w:rsidR="00F66AFD" w:rsidRPr="0082344D">
        <w:t xml:space="preserve">50% of 135 patients </w:t>
      </w:r>
      <w:r w:rsidR="00AF776F" w:rsidRPr="0082344D">
        <w:t xml:space="preserve">who </w:t>
      </w:r>
      <w:r w:rsidR="00F66AFD" w:rsidRPr="0082344D">
        <w:t xml:space="preserve">may make up a prevalent </w:t>
      </w:r>
      <w:r w:rsidR="004B7762" w:rsidRPr="0082344D">
        <w:t>group</w:t>
      </w:r>
      <w:r w:rsidR="00F66AFD" w:rsidRPr="0082344D">
        <w:t xml:space="preserve"> of imlifidase-eligible waitlisted patients,</w:t>
      </w:r>
      <w:r w:rsidR="00611012" w:rsidRPr="0082344D">
        <w:t xml:space="preserve"> are likely to </w:t>
      </w:r>
      <w:r w:rsidR="000635AE" w:rsidRPr="0082344D">
        <w:t>be deemed eligible to receive a transplant</w:t>
      </w:r>
      <w:r w:rsidR="003A1513" w:rsidRPr="0082344D">
        <w:t xml:space="preserve">. MSAC considered this was due to a range of </w:t>
      </w:r>
      <w:r w:rsidR="00D012D0" w:rsidRPr="0082344D">
        <w:t>re</w:t>
      </w:r>
      <w:r w:rsidR="002F4E44" w:rsidRPr="0082344D">
        <w:t>asons</w:t>
      </w:r>
      <w:r w:rsidR="00323B73" w:rsidRPr="0082344D">
        <w:t xml:space="preserve"> </w:t>
      </w:r>
      <w:r w:rsidR="008D1EC9" w:rsidRPr="0082344D">
        <w:t xml:space="preserve">including </w:t>
      </w:r>
      <w:r w:rsidR="00C90ECD" w:rsidRPr="0082344D">
        <w:t xml:space="preserve">poor </w:t>
      </w:r>
      <w:r w:rsidR="00C9141C" w:rsidRPr="0082344D">
        <w:t>health</w:t>
      </w:r>
      <w:r w:rsidR="00594FB5" w:rsidRPr="0082344D">
        <w:t xml:space="preserve"> and </w:t>
      </w:r>
      <w:r w:rsidR="004B7762" w:rsidRPr="0082344D">
        <w:t xml:space="preserve">uncertainty </w:t>
      </w:r>
      <w:r w:rsidR="004C64D3" w:rsidRPr="0082344D">
        <w:t xml:space="preserve">in adhering to </w:t>
      </w:r>
      <w:r w:rsidR="00EF77B7" w:rsidRPr="0082344D">
        <w:t xml:space="preserve">post-transplant </w:t>
      </w:r>
      <w:r w:rsidR="004B7762" w:rsidRPr="0082344D">
        <w:t>care</w:t>
      </w:r>
      <w:r w:rsidR="00EF77B7" w:rsidRPr="0082344D">
        <w:t>. MSAC noted that the applicant had advised that the incident population would be an average of 29 patients per year, according to OrganMatch data. However, MSAC agreed with the outcome of the stakeholder meeting, that</w:t>
      </w:r>
      <w:r w:rsidR="00F66AFD" w:rsidRPr="0082344D">
        <w:t xml:space="preserve"> the ‘steady state’ is estimated to be about 10–15 patients per year for LD and DD recipients. </w:t>
      </w:r>
      <w:r w:rsidR="006A727B" w:rsidRPr="0082344D">
        <w:t>S</w:t>
      </w:r>
      <w:r w:rsidR="00A81E92" w:rsidRPr="0082344D">
        <w:t xml:space="preserve">takeholders </w:t>
      </w:r>
      <w:r w:rsidR="006A727B" w:rsidRPr="0082344D">
        <w:t xml:space="preserve">also </w:t>
      </w:r>
      <w:r w:rsidR="00A81E92" w:rsidRPr="0082344D">
        <w:t>noted that a higher percentage of patients</w:t>
      </w:r>
      <w:r w:rsidR="00A81E92">
        <w:t xml:space="preserve"> with cPRA levels ≥99%</w:t>
      </w:r>
      <w:r w:rsidR="00A81E92" w:rsidRPr="007D1116">
        <w:t xml:space="preserve"> may be suitable over time as</w:t>
      </w:r>
      <w:r w:rsidR="002C4D9A">
        <w:t xml:space="preserve"> more patients remain in good health </w:t>
      </w:r>
      <w:r w:rsidR="00131043">
        <w:t>due to quicker access to t</w:t>
      </w:r>
      <w:r w:rsidR="00426D67">
        <w:t>ransplantation through</w:t>
      </w:r>
      <w:r w:rsidR="00A81E92" w:rsidRPr="007D1116">
        <w:t xml:space="preserve"> </w:t>
      </w:r>
      <w:r w:rsidR="00426D67" w:rsidRPr="007D1116">
        <w:t xml:space="preserve">decreased </w:t>
      </w:r>
      <w:r w:rsidR="00A81E92" w:rsidRPr="007D1116">
        <w:t xml:space="preserve">waiting lists </w:t>
      </w:r>
      <w:r w:rsidR="00A81E92">
        <w:t xml:space="preserve">and </w:t>
      </w:r>
      <w:r w:rsidR="00A81E92" w:rsidRPr="007D1116">
        <w:t xml:space="preserve">the </w:t>
      </w:r>
      <w:r w:rsidR="000B23C5">
        <w:t xml:space="preserve">‘clearing’ of the </w:t>
      </w:r>
      <w:r w:rsidR="00A81E92" w:rsidRPr="007D1116">
        <w:t>prevalent population</w:t>
      </w:r>
      <w:r w:rsidR="00A81E92">
        <w:t>.</w:t>
      </w:r>
    </w:p>
    <w:p w14:paraId="468B64CC" w14:textId="1359ED87" w:rsidR="00393D62" w:rsidRDefault="00393D62" w:rsidP="00393D62">
      <w:r w:rsidRPr="0082344D">
        <w:t xml:space="preserve">Regarding the patient cap, MSAC noted that the ADAR had previously suggested a cap of </w:t>
      </w:r>
      <w:r w:rsidR="00373C6F" w:rsidRPr="0082344D">
        <w:rPr>
          <w:rFonts w:eastAsia="Franklin Gothic Book"/>
          <w:b/>
          <w:bCs/>
          <w:color w:val="000000" w:themeColor="text1"/>
        </w:rPr>
        <w:t>redacted</w:t>
      </w:r>
      <w:r w:rsidR="00373C6F" w:rsidRPr="0082344D" w:rsidDel="00373C6F">
        <w:t xml:space="preserve"> </w:t>
      </w:r>
      <w:r w:rsidRPr="0082344D">
        <w:t> patients per year to achieve parity between kidney transplants</w:t>
      </w:r>
      <w:r w:rsidR="00E05F25" w:rsidRPr="0082344D">
        <w:t xml:space="preserve"> </w:t>
      </w:r>
      <w:r w:rsidRPr="0082344D">
        <w:t>of HS and non-HS patients within 5 years. MSAC noted that, of the 28 enrolled patients in HansaGAP, 8 had experienced successful transplants (5 from LDs and 3 from DDs). MSAC also noted that 7 out of 9 major transplant centres had enrolled in HansaGAP, but only 4 centres had performed transplants. MSAC agreed with</w:t>
      </w:r>
      <w:r w:rsidR="007B51DB" w:rsidRPr="0082344D">
        <w:t xml:space="preserve"> the department</w:t>
      </w:r>
      <w:r w:rsidRPr="0082344D">
        <w:t xml:space="preserve"> that the cap should be </w:t>
      </w:r>
      <w:r w:rsidR="00373C6F" w:rsidRPr="0082344D">
        <w:rPr>
          <w:rFonts w:eastAsia="Franklin Gothic Book"/>
          <w:b/>
          <w:bCs/>
          <w:color w:val="000000" w:themeColor="text1"/>
        </w:rPr>
        <w:t>redacted</w:t>
      </w:r>
      <w:r w:rsidR="00373C6F" w:rsidRPr="0082344D" w:rsidDel="00373C6F">
        <w:t xml:space="preserve"> </w:t>
      </w:r>
      <w:r w:rsidRPr="0082344D">
        <w:t> patients per year for the first 6 years of funding with 100% rebate (and the option to roll over unused cap allocations</w:t>
      </w:r>
      <w:r w:rsidR="00A93588" w:rsidRPr="0082344D">
        <w:t xml:space="preserve"> between years</w:t>
      </w:r>
      <w:r w:rsidRPr="0082344D">
        <w:t>)</w:t>
      </w:r>
      <w:r w:rsidR="00136D5C" w:rsidRPr="0082344D">
        <w:t>. MSAC also</w:t>
      </w:r>
      <w:r w:rsidR="00136D5C">
        <w:t xml:space="preserve"> considered</w:t>
      </w:r>
      <w:r>
        <w:t xml:space="preserve"> that th</w:t>
      </w:r>
      <w:r w:rsidR="00D62D12">
        <w:t>e</w:t>
      </w:r>
      <w:r>
        <w:t xml:space="preserve"> proposed cap provided sufficient financial certainty to governments.</w:t>
      </w:r>
    </w:p>
    <w:p w14:paraId="11E9EEFF" w14:textId="14C8DB58" w:rsidR="00057F3E" w:rsidRPr="0072039E" w:rsidRDefault="00057F3E" w:rsidP="00057F3E">
      <w:pPr>
        <w:spacing w:before="0" w:after="0" w:line="240" w:lineRule="auto"/>
      </w:pPr>
      <w:r>
        <w:t xml:space="preserve">MSAC noted </w:t>
      </w:r>
      <w:r w:rsidR="004546B4">
        <w:t>at</w:t>
      </w:r>
      <w:r>
        <w:t xml:space="preserve"> the stakeholder meeting t</w:t>
      </w:r>
      <w:r w:rsidRPr="00057F3E">
        <w:t>he Renal Transplant Advisory Committee (RTAC) advised that a committee has been established to develop clinical guidelines to guide desensitisation protocols for imlifidase use in Australia. MSAC noted that these guidelines should be developed as a priority and agreed that current UK and French Guidelines provide a comprehensive approach to imlifidase use and could be adapted to develop Australian guidelines</w:t>
      </w:r>
      <w:r>
        <w:t>.</w:t>
      </w:r>
    </w:p>
    <w:p w14:paraId="35DDC72D" w14:textId="7D76FCBA" w:rsidR="00701010" w:rsidRDefault="00701010" w:rsidP="006057BF">
      <w:pPr>
        <w:spacing w:after="0" w:line="240" w:lineRule="auto"/>
      </w:pPr>
      <w:r>
        <w:t>MSAC noted and accepted the outcome from the stakeholder meeting that</w:t>
      </w:r>
      <w:r w:rsidR="003E38A6">
        <w:t xml:space="preserve"> s</w:t>
      </w:r>
      <w:r w:rsidR="003E38A6" w:rsidRPr="00285471">
        <w:t xml:space="preserve">ingle </w:t>
      </w:r>
      <w:r w:rsidR="003E38A6">
        <w:t>a</w:t>
      </w:r>
      <w:r w:rsidR="003E38A6" w:rsidRPr="00285471">
        <w:t xml:space="preserve">ntigen </w:t>
      </w:r>
      <w:r w:rsidR="003E38A6">
        <w:t>b</w:t>
      </w:r>
      <w:r w:rsidR="003E38A6" w:rsidRPr="00285471">
        <w:t>ead</w:t>
      </w:r>
      <w:r w:rsidR="003E38A6">
        <w:t xml:space="preserve"> human leukocyte antigen</w:t>
      </w:r>
      <w:r w:rsidR="003E38A6" w:rsidRPr="00285471">
        <w:t xml:space="preserve"> </w:t>
      </w:r>
      <w:r w:rsidR="003E38A6">
        <w:t>(</w:t>
      </w:r>
      <w:r w:rsidR="003E38A6" w:rsidRPr="00285471">
        <w:t>HLA</w:t>
      </w:r>
      <w:r w:rsidR="003E38A6">
        <w:t>)</w:t>
      </w:r>
      <w:r w:rsidR="003E38A6" w:rsidRPr="00285471">
        <w:t xml:space="preserve"> testing </w:t>
      </w:r>
      <w:r w:rsidR="003E38A6">
        <w:t xml:space="preserve">is </w:t>
      </w:r>
      <w:r w:rsidR="003E38A6" w:rsidRPr="00285471">
        <w:t xml:space="preserve">available </w:t>
      </w:r>
      <w:r w:rsidR="003E38A6">
        <w:t xml:space="preserve">in </w:t>
      </w:r>
      <w:r w:rsidR="003E38A6" w:rsidRPr="00285471">
        <w:t xml:space="preserve">all </w:t>
      </w:r>
      <w:r w:rsidR="003E38A6">
        <w:t>states and territories</w:t>
      </w:r>
      <w:r w:rsidR="003E38A6" w:rsidRPr="00285471">
        <w:t xml:space="preserve"> (</w:t>
      </w:r>
      <w:r w:rsidR="003E38A6">
        <w:t xml:space="preserve">although there is </w:t>
      </w:r>
      <w:r w:rsidR="003E38A6" w:rsidRPr="00285471">
        <w:t>no kidney transplantation in the N</w:t>
      </w:r>
      <w:r w:rsidR="003E38A6">
        <w:t xml:space="preserve">orthern </w:t>
      </w:r>
      <w:r w:rsidR="003E38A6" w:rsidRPr="00285471">
        <w:t>T</w:t>
      </w:r>
      <w:r w:rsidR="003E38A6">
        <w:t>erritory</w:t>
      </w:r>
      <w:r w:rsidR="003E38A6" w:rsidRPr="00285471">
        <w:t xml:space="preserve"> or Tasmania</w:t>
      </w:r>
      <w:r w:rsidR="003E38A6">
        <w:t>)</w:t>
      </w:r>
      <w:r w:rsidR="6C25423C">
        <w:t>. T</w:t>
      </w:r>
      <w:r w:rsidR="003E38A6" w:rsidRPr="00285471">
        <w:t xml:space="preserve">esting could occur at </w:t>
      </w:r>
      <w:r w:rsidR="0016040B">
        <w:t>other</w:t>
      </w:r>
      <w:r w:rsidR="003E38A6" w:rsidRPr="00285471">
        <w:t xml:space="preserve"> laboratories, </w:t>
      </w:r>
      <w:r w:rsidR="003E38A6">
        <w:t xml:space="preserve">and </w:t>
      </w:r>
      <w:r w:rsidR="00587D53">
        <w:t>is</w:t>
      </w:r>
      <w:r w:rsidR="1D30B43C">
        <w:t xml:space="preserve"> </w:t>
      </w:r>
      <w:r w:rsidR="003E38A6" w:rsidRPr="00285471">
        <w:t>not</w:t>
      </w:r>
      <w:r w:rsidR="003E38A6">
        <w:t xml:space="preserve"> </w:t>
      </w:r>
      <w:r w:rsidR="003E38A6" w:rsidRPr="00285471">
        <w:t>restricted to Australian Red</w:t>
      </w:r>
      <w:r w:rsidR="003E38A6">
        <w:t xml:space="preserve"> C</w:t>
      </w:r>
      <w:r w:rsidR="003E38A6" w:rsidRPr="00285471">
        <w:t>ross Life</w:t>
      </w:r>
      <w:r w:rsidR="003E38A6">
        <w:t>b</w:t>
      </w:r>
      <w:r w:rsidR="003E38A6" w:rsidRPr="00285471">
        <w:t>lood laboratories</w:t>
      </w:r>
      <w:r w:rsidR="003E38A6">
        <w:t>.</w:t>
      </w:r>
    </w:p>
    <w:p w14:paraId="3895695C" w14:textId="34A6B182" w:rsidR="00057F3E" w:rsidRDefault="003E38A6" w:rsidP="006057BF">
      <w:pPr>
        <w:spacing w:after="0" w:line="240" w:lineRule="auto"/>
      </w:pPr>
      <w:r>
        <w:t>MSAC noted and accepted the outcome from the stakeholder meeting that</w:t>
      </w:r>
      <w:r w:rsidR="00057F3E">
        <w:t xml:space="preserve"> States and Territories should decide which and how many transplant centres can offer the service.</w:t>
      </w:r>
      <w:r w:rsidR="00057F3E" w:rsidRPr="0072039E">
        <w:t xml:space="preserve"> </w:t>
      </w:r>
      <w:r w:rsidR="00355ACF">
        <w:t>However,</w:t>
      </w:r>
      <w:r w:rsidR="00057F3E">
        <w:t xml:space="preserve"> MSAC also considered that </w:t>
      </w:r>
      <w:r w:rsidR="00425A83">
        <w:t xml:space="preserve">specialist </w:t>
      </w:r>
      <w:r w:rsidR="00057F3E">
        <w:t xml:space="preserve">expertise was required to deliver the treatment, </w:t>
      </w:r>
      <w:r w:rsidR="00057F3E" w:rsidRPr="00EE4BA5">
        <w:t xml:space="preserve">so </w:t>
      </w:r>
      <w:r w:rsidR="00057F3E">
        <w:t xml:space="preserve">the States and Territories would need to have in place appropriate </w:t>
      </w:r>
      <w:r w:rsidR="00057F3E" w:rsidRPr="00EE4BA5">
        <w:t>stipulation</w:t>
      </w:r>
      <w:r w:rsidR="00057F3E">
        <w:t>s</w:t>
      </w:r>
      <w:r w:rsidR="00057F3E" w:rsidRPr="00EE4BA5">
        <w:t xml:space="preserve"> on which </w:t>
      </w:r>
      <w:r w:rsidR="00AC3714">
        <w:t xml:space="preserve">transplant </w:t>
      </w:r>
      <w:r w:rsidR="00057F3E" w:rsidRPr="00EE4BA5">
        <w:t>centres can perform the service.</w:t>
      </w:r>
    </w:p>
    <w:p w14:paraId="7ACC73A0" w14:textId="53D7E686" w:rsidR="009C4F3A" w:rsidRDefault="009C4F3A" w:rsidP="009C4F3A">
      <w:r w:rsidRPr="0082344D">
        <w:lastRenderedPageBreak/>
        <w:t>MSAC noted that the ADAR proposed a flat price of $</w:t>
      </w:r>
      <w:r w:rsidR="00373C6F" w:rsidRPr="0082344D">
        <w:rPr>
          <w:rFonts w:eastAsia="Franklin Gothic Book"/>
          <w:b/>
          <w:bCs/>
          <w:color w:val="000000" w:themeColor="text1"/>
        </w:rPr>
        <w:t xml:space="preserve"> redacted</w:t>
      </w:r>
      <w:r w:rsidR="00373C6F" w:rsidRPr="0082344D" w:rsidDel="00373C6F">
        <w:t xml:space="preserve"> </w:t>
      </w:r>
      <w:r w:rsidRPr="0082344D">
        <w:t>per patient</w:t>
      </w:r>
      <w:r w:rsidR="008F2D56" w:rsidRPr="0082344D">
        <w:t xml:space="preserve"> </w:t>
      </w:r>
      <w:r w:rsidR="008F2D56" w:rsidRPr="0082344D">
        <w:rPr>
          <w:rFonts w:eastAsia="Franklin Gothic Book"/>
          <w:color w:val="000000" w:themeColor="text1"/>
        </w:rPr>
        <w:t>contingent on a risk sharing arrangement that includes a pay-for-performance arrangement (PfP)</w:t>
      </w:r>
      <w:r w:rsidRPr="0082344D">
        <w:t xml:space="preserve">, to manage the risk of weight-based administration for patients weighing more than 88 kg requiring 3 vials, and redosing. This equated to a </w:t>
      </w:r>
      <w:r w:rsidR="00373C6F" w:rsidRPr="0082344D">
        <w:rPr>
          <w:rFonts w:eastAsia="Franklin Gothic Book"/>
          <w:b/>
          <w:bCs/>
          <w:color w:val="000000" w:themeColor="text1"/>
        </w:rPr>
        <w:t>redacted</w:t>
      </w:r>
      <w:r w:rsidR="00373C6F" w:rsidRPr="0082344D" w:rsidDel="00373C6F">
        <w:t xml:space="preserve"> </w:t>
      </w:r>
      <w:r w:rsidRPr="0082344D">
        <w:t>% discount from the original application. MSAC also noted that the ADAR proposed a consignment stock model, in which ‘each authorised transplant centre will hold vials</w:t>
      </w:r>
      <w:r w:rsidR="00B90CC4" w:rsidRPr="0082344D">
        <w:t xml:space="preserve"> in stock (proposed </w:t>
      </w:r>
      <w:r w:rsidR="000874FC" w:rsidRPr="0082344D">
        <w:rPr>
          <w:rFonts w:eastAsia="Franklin Gothic Book"/>
          <w:b/>
          <w:bCs/>
          <w:color w:val="000000" w:themeColor="text1"/>
        </w:rPr>
        <w:t>redacted</w:t>
      </w:r>
      <w:r w:rsidR="000874FC" w:rsidRPr="0082344D">
        <w:rPr>
          <w:rStyle w:val="CommentReference"/>
          <w:rFonts w:ascii="Calibri" w:eastAsia="Times New Roman" w:hAnsi="Calibri" w:cs="Times New Roman"/>
          <w:color w:val="000000"/>
          <w:lang w:eastAsia="en-AU"/>
        </w:rPr>
        <w:t xml:space="preserve"> </w:t>
      </w:r>
      <w:r w:rsidR="003472B7" w:rsidRPr="0082344D">
        <w:t xml:space="preserve"> vials)</w:t>
      </w:r>
      <w:r w:rsidR="00B304A1" w:rsidRPr="0082344D">
        <w:t xml:space="preserve"> </w:t>
      </w:r>
      <w:r w:rsidRPr="0082344D">
        <w:t>to ensure coverage for all potential scenarios’</w:t>
      </w:r>
      <w:r w:rsidR="00392016" w:rsidRPr="0082344D">
        <w:t xml:space="preserve"> where the applicant would replace </w:t>
      </w:r>
      <w:r w:rsidR="00BA641E" w:rsidRPr="0082344D">
        <w:t xml:space="preserve">used and </w:t>
      </w:r>
      <w:r w:rsidR="00392016" w:rsidRPr="0082344D">
        <w:t>expiring stock and invoices sent on achievement of the respective performance milestone</w:t>
      </w:r>
      <w:r w:rsidR="003472B7" w:rsidRPr="0082344D">
        <w:t>s</w:t>
      </w:r>
      <w:r w:rsidRPr="0082344D">
        <w:t>.</w:t>
      </w:r>
      <w:r w:rsidR="00A82878" w:rsidRPr="0082344D">
        <w:t xml:space="preserve"> Imlifidase needs to be kept in stock because </w:t>
      </w:r>
      <w:r w:rsidR="00854505" w:rsidRPr="0082344D">
        <w:t xml:space="preserve">kidneys from deceased donors </w:t>
      </w:r>
      <w:r w:rsidR="00221385" w:rsidRPr="0082344D">
        <w:t xml:space="preserve">need to be transplanted </w:t>
      </w:r>
      <w:r w:rsidR="00C76FE2" w:rsidRPr="0082344D">
        <w:t xml:space="preserve">very quickly </w:t>
      </w:r>
      <w:r w:rsidR="0091305C" w:rsidRPr="0082344D">
        <w:t>(usually within 24 hours).</w:t>
      </w:r>
      <w:r w:rsidR="00B304A1" w:rsidRPr="0082344D">
        <w:t xml:space="preserve"> </w:t>
      </w:r>
      <w:r w:rsidR="00B066F1" w:rsidRPr="0082344D">
        <w:t xml:space="preserve">One </w:t>
      </w:r>
      <w:r w:rsidR="003472B7" w:rsidRPr="0082344D">
        <w:t xml:space="preserve">jurisdiction </w:t>
      </w:r>
      <w:r w:rsidRPr="0082344D">
        <w:t xml:space="preserve">highlighted that </w:t>
      </w:r>
      <w:r w:rsidR="0091305C" w:rsidRPr="0082344D">
        <w:t xml:space="preserve">the consignment stock model </w:t>
      </w:r>
      <w:r w:rsidRPr="0082344D">
        <w:t>was a new approach for supply of an HST</w:t>
      </w:r>
      <w:r w:rsidR="0091305C" w:rsidRPr="0082344D">
        <w:t xml:space="preserve"> </w:t>
      </w:r>
      <w:r w:rsidRPr="0082344D">
        <w:t xml:space="preserve">funded </w:t>
      </w:r>
      <w:r w:rsidR="0091305C" w:rsidRPr="0082344D">
        <w:t xml:space="preserve">through the NHRA </w:t>
      </w:r>
      <w:r w:rsidRPr="0082344D">
        <w:t xml:space="preserve">and that there is currently no provision for this type of arrangement under existing NHRA funding mechanisms. MSAC queried whether there was another option for providing imlifidase to patients. However, MSAC acknowledged that the consignment stock model </w:t>
      </w:r>
      <w:r w:rsidR="007C6FF6" w:rsidRPr="0082344D">
        <w:t xml:space="preserve">is a matter </w:t>
      </w:r>
      <w:r w:rsidRPr="0082344D">
        <w:t>to be decided between</w:t>
      </w:r>
      <w:r>
        <w:t xml:space="preserve"> the Commonwealth and states and territories, and was not for MSAC’s deliberation (according to the MSAC Terms of Reference).</w:t>
      </w:r>
    </w:p>
    <w:p w14:paraId="7884301A" w14:textId="7E1B14B0" w:rsidR="00B83DC9" w:rsidRPr="0082344D" w:rsidRDefault="00B83DC9" w:rsidP="00B83DC9">
      <w:r>
        <w:t xml:space="preserve">MSAC noted that the </w:t>
      </w:r>
      <w:r w:rsidRPr="0082344D">
        <w:t>financials had been revised to take into account the lower estimated utilisation and cost of imlifidase relative to the August 2024 estimates. This resulted in a reduced estimated net financial impact to all governments of $</w:t>
      </w:r>
      <w:r w:rsidR="000874FC" w:rsidRPr="0082344D">
        <w:rPr>
          <w:rFonts w:eastAsia="Franklin Gothic Book"/>
          <w:b/>
          <w:bCs/>
          <w:color w:val="000000" w:themeColor="text1"/>
        </w:rPr>
        <w:t xml:space="preserve"> redacted</w:t>
      </w:r>
      <w:r w:rsidR="000874FC" w:rsidRPr="0082344D">
        <w:t xml:space="preserve"> </w:t>
      </w:r>
      <w:r w:rsidRPr="0082344D">
        <w:t>in year 1 to $</w:t>
      </w:r>
      <w:r w:rsidR="00373C6F" w:rsidRPr="0082344D">
        <w:rPr>
          <w:rFonts w:eastAsia="Franklin Gothic Book"/>
          <w:b/>
          <w:bCs/>
          <w:color w:val="000000" w:themeColor="text1"/>
        </w:rPr>
        <w:t xml:space="preserve"> redacted</w:t>
      </w:r>
      <w:r w:rsidRPr="0082344D">
        <w:t xml:space="preserve"> in year 6 (compared with the August 2024 estimates of $</w:t>
      </w:r>
      <w:r w:rsidR="00373C6F" w:rsidRPr="0082344D">
        <w:rPr>
          <w:rFonts w:eastAsia="Franklin Gothic Book"/>
          <w:b/>
          <w:bCs/>
          <w:color w:val="000000" w:themeColor="text1"/>
        </w:rPr>
        <w:t xml:space="preserve"> redacted</w:t>
      </w:r>
      <w:r w:rsidRPr="0082344D">
        <w:t xml:space="preserve"> in year 1 to $</w:t>
      </w:r>
      <w:r w:rsidR="00373C6F" w:rsidRPr="0082344D">
        <w:rPr>
          <w:rFonts w:eastAsia="Franklin Gothic Book"/>
          <w:b/>
          <w:bCs/>
          <w:color w:val="000000" w:themeColor="text1"/>
        </w:rPr>
        <w:t xml:space="preserve"> redacted</w:t>
      </w:r>
      <w:r w:rsidR="00373C6F" w:rsidRPr="0082344D" w:rsidDel="00373C6F">
        <w:t xml:space="preserve"> </w:t>
      </w:r>
      <w:r w:rsidRPr="0082344D">
        <w:t>in year 6).</w:t>
      </w:r>
    </w:p>
    <w:p w14:paraId="569EFCEA" w14:textId="70DF097A" w:rsidR="00F65726" w:rsidRDefault="0004790A" w:rsidP="00057F3E">
      <w:pPr>
        <w:spacing w:before="0" w:after="0" w:line="240" w:lineRule="auto"/>
      </w:pPr>
      <w:r w:rsidRPr="0082344D">
        <w:t xml:space="preserve">MSAC noted the </w:t>
      </w:r>
      <w:r w:rsidR="00CA4B97" w:rsidRPr="0082344D">
        <w:t xml:space="preserve">advice </w:t>
      </w:r>
      <w:r w:rsidRPr="0082344D">
        <w:t>from the stakeholder meeting</w:t>
      </w:r>
      <w:r w:rsidR="00CA4B97" w:rsidRPr="0082344D">
        <w:t xml:space="preserve"> regarding appropriate outcomes for</w:t>
      </w:r>
      <w:r w:rsidRPr="0082344D">
        <w:t xml:space="preserve"> </w:t>
      </w:r>
      <w:r w:rsidR="00CA4B97" w:rsidRPr="0082344D">
        <w:t>a</w:t>
      </w:r>
      <w:r w:rsidRPr="0082344D">
        <w:t xml:space="preserve"> pay-for-performance (PfP) funding arrangements. </w:t>
      </w:r>
      <w:r w:rsidR="00CD70EA" w:rsidRPr="0082344D">
        <w:t>The consensus from the stakeholder meeting was that</w:t>
      </w:r>
      <w:r w:rsidR="00F65726" w:rsidRPr="0082344D">
        <w:t>:</w:t>
      </w:r>
    </w:p>
    <w:p w14:paraId="7680B8AA" w14:textId="19D180C7" w:rsidR="00F65726" w:rsidRDefault="008D7F8A" w:rsidP="00F65726">
      <w:pPr>
        <w:pStyle w:val="ListParagraph"/>
        <w:numPr>
          <w:ilvl w:val="0"/>
          <w:numId w:val="38"/>
        </w:numPr>
        <w:spacing w:before="0" w:after="0" w:line="240" w:lineRule="auto"/>
      </w:pPr>
      <w:r>
        <w:t>P</w:t>
      </w:r>
      <w:r w:rsidR="0004790A" w:rsidRPr="007C2F7C">
        <w:t xml:space="preserve">roceeding to transplantation </w:t>
      </w:r>
      <w:r w:rsidR="0004790A">
        <w:t xml:space="preserve">should be the </w:t>
      </w:r>
      <w:r w:rsidR="0004790A" w:rsidRPr="007C2F7C">
        <w:t xml:space="preserve">key outcome for </w:t>
      </w:r>
      <w:r w:rsidR="0004790A">
        <w:t xml:space="preserve">the </w:t>
      </w:r>
      <w:r w:rsidR="0004790A" w:rsidRPr="007C2F7C">
        <w:t>first payment</w:t>
      </w:r>
      <w:r w:rsidR="00F65726">
        <w:t xml:space="preserve">; and </w:t>
      </w:r>
    </w:p>
    <w:p w14:paraId="013F35CA" w14:textId="26E1BEB1" w:rsidR="00CF4E44" w:rsidRDefault="003D7D38" w:rsidP="00B304A1">
      <w:pPr>
        <w:pStyle w:val="ListParagraph"/>
        <w:numPr>
          <w:ilvl w:val="0"/>
          <w:numId w:val="38"/>
        </w:numPr>
        <w:spacing w:before="0" w:after="0" w:line="240" w:lineRule="auto"/>
      </w:pPr>
      <w:r>
        <w:t>A</w:t>
      </w:r>
      <w:r w:rsidRPr="003D7D38">
        <w:t xml:space="preserve"> metric based on post-transplant graft outcome was appropriate</w:t>
      </w:r>
      <w:r>
        <w:t xml:space="preserve"> for a second payment conditional on longer term outcomes</w:t>
      </w:r>
      <w:r w:rsidR="0004790A">
        <w:t xml:space="preserve">. </w:t>
      </w:r>
    </w:p>
    <w:p w14:paraId="5405E781" w14:textId="496D312B" w:rsidR="00CF4E44" w:rsidRDefault="0004790A" w:rsidP="006123CC">
      <w:pPr>
        <w:spacing w:after="0" w:line="240" w:lineRule="auto"/>
      </w:pPr>
      <w:r w:rsidRPr="0082344D">
        <w:t xml:space="preserve">MSAC noted that the applicant proposed a 2-part PfP arrangement with payment of </w:t>
      </w:r>
      <w:r w:rsidR="005B41F5" w:rsidRPr="0082344D">
        <w:rPr>
          <w:rFonts w:eastAsia="Franklin Gothic Book"/>
          <w:b/>
          <w:bCs/>
          <w:color w:val="000000" w:themeColor="text1"/>
        </w:rPr>
        <w:t>redacted</w:t>
      </w:r>
      <w:r w:rsidR="005B41F5" w:rsidRPr="0082344D" w:rsidDel="005B41F5">
        <w:t xml:space="preserve"> </w:t>
      </w:r>
      <w:r w:rsidRPr="0082344D">
        <w:t xml:space="preserve">% on transplantation without experiencing hyperacute rejection, and the remaining </w:t>
      </w:r>
      <w:r w:rsidR="005B41F5" w:rsidRPr="0082344D">
        <w:rPr>
          <w:rFonts w:eastAsia="Franklin Gothic Book"/>
          <w:b/>
          <w:bCs/>
          <w:color w:val="000000" w:themeColor="text1"/>
        </w:rPr>
        <w:t>redacted</w:t>
      </w:r>
      <w:r w:rsidR="005B41F5" w:rsidRPr="0082344D" w:rsidDel="005B41F5">
        <w:t xml:space="preserve"> </w:t>
      </w:r>
      <w:r w:rsidRPr="0082344D">
        <w:t>% if the</w:t>
      </w:r>
      <w:r w:rsidR="00A2352F" w:rsidRPr="0082344D">
        <w:t xml:space="preserve"> patient</w:t>
      </w:r>
      <w:r w:rsidRPr="0082344D">
        <w:t xml:space="preserve"> is alive with a functioning graft 180 days post-transplantation</w:t>
      </w:r>
      <w:r w:rsidR="001B7F5E" w:rsidRPr="0082344D">
        <w:t xml:space="preserve"> or if the graft was functioning at the time of death</w:t>
      </w:r>
      <w:r w:rsidRPr="0082344D">
        <w:t>.</w:t>
      </w:r>
      <w:r w:rsidR="00170383" w:rsidRPr="0082344D">
        <w:t xml:space="preserve"> </w:t>
      </w:r>
      <w:r w:rsidR="001B7F5E" w:rsidRPr="0082344D">
        <w:t>The applicant proposed that i</w:t>
      </w:r>
      <w:r w:rsidRPr="0082344D">
        <w:t xml:space="preserve">f the cause of graft failure falls into one of the rejection categories in the ANZDATA form, </w:t>
      </w:r>
      <w:r w:rsidR="00A06011" w:rsidRPr="0082344D">
        <w:t xml:space="preserve">this </w:t>
      </w:r>
      <w:r w:rsidRPr="0082344D">
        <w:t>would preclude the second payment. It</w:t>
      </w:r>
      <w:r>
        <w:t xml:space="preserve"> was noted that t</w:t>
      </w:r>
      <w:r w:rsidRPr="000E291B">
        <w:t>he causes of graft loss captured under the vascular, technical, glomerulonephritis, drug therapy and miscellaneous categories</w:t>
      </w:r>
      <w:r w:rsidR="00287EDE">
        <w:t>,</w:t>
      </w:r>
      <w:r w:rsidRPr="000E291B">
        <w:t xml:space="preserve"> would allow a second payment as these are not reasonably attributable to imlifidase non-performance</w:t>
      </w:r>
      <w:r w:rsidR="00CF4E44">
        <w:t>.</w:t>
      </w:r>
      <w:r w:rsidR="005B0092" w:rsidRPr="005B0092">
        <w:t xml:space="preserve"> MSAC considered that </w:t>
      </w:r>
      <w:r w:rsidR="005B0092">
        <w:t xml:space="preserve">a </w:t>
      </w:r>
      <w:r w:rsidR="005B0092" w:rsidRPr="005B0092">
        <w:t>2-part PfP arrangement appropriately manages the risks that imlifidase does not lead to a transplant with a functioning graft and the longer-term risk of poor transplant outcomes.</w:t>
      </w:r>
    </w:p>
    <w:p w14:paraId="2FF73CB0" w14:textId="1CB1EC5B" w:rsidR="00C51C70" w:rsidRPr="0082344D" w:rsidRDefault="00C51C70" w:rsidP="00F4015C">
      <w:pPr>
        <w:spacing w:after="0" w:line="240" w:lineRule="auto"/>
      </w:pPr>
      <w:r>
        <w:t xml:space="preserve">MSAC considered that </w:t>
      </w:r>
      <w:r w:rsidRPr="008E0E51">
        <w:t>the rate of short</w:t>
      </w:r>
      <w:r>
        <w:t>-</w:t>
      </w:r>
      <w:r w:rsidRPr="008E0E51">
        <w:t xml:space="preserve">term renal wastage is not obviously higher with imlifidase, and </w:t>
      </w:r>
      <w:r w:rsidRPr="0082344D">
        <w:t xml:space="preserve">the rate of graft loss due to acute rejection related to antibody-mediated rejection is low in the first few months. Therefore, proceeding to transplant </w:t>
      </w:r>
      <w:r w:rsidR="00D06B67" w:rsidRPr="0082344D">
        <w:t xml:space="preserve">(without hyperacute rejection) </w:t>
      </w:r>
      <w:r w:rsidRPr="0082344D">
        <w:t xml:space="preserve">is a reasonable </w:t>
      </w:r>
      <w:r w:rsidR="00D06B67" w:rsidRPr="0082344D">
        <w:t xml:space="preserve">outcome </w:t>
      </w:r>
      <w:r w:rsidRPr="0082344D">
        <w:t>for the first payment</w:t>
      </w:r>
      <w:r w:rsidR="00BB2F2C" w:rsidRPr="0082344D">
        <w:t>.</w:t>
      </w:r>
      <w:r w:rsidRPr="0082344D">
        <w:t xml:space="preserve"> </w:t>
      </w:r>
      <w:r w:rsidR="00CF4E44" w:rsidRPr="0082344D">
        <w:t>However</w:t>
      </w:r>
      <w:r w:rsidR="00BB2F2C" w:rsidRPr="0082344D">
        <w:t>,</w:t>
      </w:r>
      <w:r w:rsidR="00CF4E44" w:rsidRPr="0082344D">
        <w:t xml:space="preserve"> MSAC</w:t>
      </w:r>
      <w:r w:rsidR="00DB4A7B" w:rsidRPr="0082344D">
        <w:t xml:space="preserve"> recommended reducing the </w:t>
      </w:r>
      <w:r w:rsidR="002B003A" w:rsidRPr="0082344D">
        <w:t>share of the first payment conditional on transplantation to</w:t>
      </w:r>
      <w:r w:rsidR="0023243B" w:rsidRPr="0082344D">
        <w:t xml:space="preserve"> a range of</w:t>
      </w:r>
      <w:r w:rsidR="002B003A" w:rsidRPr="0082344D">
        <w:t xml:space="preserve"> </w:t>
      </w:r>
      <w:r w:rsidR="005B41F5" w:rsidRPr="0082344D">
        <w:rPr>
          <w:rFonts w:eastAsia="Franklin Gothic Book"/>
          <w:b/>
          <w:bCs/>
          <w:color w:val="000000" w:themeColor="text1"/>
        </w:rPr>
        <w:t>redacted</w:t>
      </w:r>
      <w:r w:rsidR="005B41F5" w:rsidRPr="0082344D" w:rsidDel="005B41F5">
        <w:t xml:space="preserve"> </w:t>
      </w:r>
      <w:r w:rsidR="002B003A" w:rsidRPr="0082344D">
        <w:t xml:space="preserve">% </w:t>
      </w:r>
      <w:r w:rsidR="00D06B67" w:rsidRPr="0082344D">
        <w:t>of the proposed total price</w:t>
      </w:r>
      <w:r w:rsidR="002B003A" w:rsidRPr="0082344D">
        <w:t xml:space="preserve"> </w:t>
      </w:r>
      <w:r w:rsidR="00117372" w:rsidRPr="0082344D">
        <w:t xml:space="preserve">noting that the proposed </w:t>
      </w:r>
      <w:r w:rsidR="005B41F5" w:rsidRPr="0082344D">
        <w:rPr>
          <w:rFonts w:eastAsia="Franklin Gothic Book"/>
          <w:b/>
          <w:bCs/>
          <w:color w:val="000000" w:themeColor="text1"/>
        </w:rPr>
        <w:t>redacted</w:t>
      </w:r>
      <w:r w:rsidR="005B41F5" w:rsidRPr="0082344D" w:rsidDel="005B41F5">
        <w:t xml:space="preserve"> </w:t>
      </w:r>
      <w:r w:rsidR="00117372" w:rsidRPr="0082344D">
        <w:t xml:space="preserve">split </w:t>
      </w:r>
      <w:r w:rsidR="00D06B67" w:rsidRPr="0082344D">
        <w:t>did not appropriate</w:t>
      </w:r>
      <w:r w:rsidR="005A3DBD" w:rsidRPr="0082344D">
        <w:t>ly</w:t>
      </w:r>
      <w:r w:rsidR="00D06B67" w:rsidRPr="0082344D">
        <w:t xml:space="preserve"> share the </w:t>
      </w:r>
      <w:r w:rsidR="00117372" w:rsidRPr="0082344D">
        <w:t>potential risk of treatment performance or non-performance</w:t>
      </w:r>
      <w:r w:rsidR="00443241" w:rsidRPr="0082344D">
        <w:t xml:space="preserve">. MSAC considered a lower first payment was more consistent with existing </w:t>
      </w:r>
      <w:r w:rsidR="00117372" w:rsidRPr="0082344D">
        <w:t xml:space="preserve"> PfP </w:t>
      </w:r>
      <w:r w:rsidR="00443241" w:rsidRPr="0082344D">
        <w:t>arrangements</w:t>
      </w:r>
      <w:r w:rsidR="00117372" w:rsidRPr="0082344D">
        <w:t xml:space="preserve"> for treatments under the NHRA</w:t>
      </w:r>
      <w:r w:rsidR="002B003A" w:rsidRPr="0082344D">
        <w:t xml:space="preserve">. MSAC also noted there was jurisdictional feedback supporting a </w:t>
      </w:r>
      <w:r w:rsidR="005B41F5" w:rsidRPr="0082344D">
        <w:rPr>
          <w:rFonts w:eastAsia="Franklin Gothic Book"/>
          <w:b/>
          <w:bCs/>
          <w:color w:val="000000" w:themeColor="text1"/>
        </w:rPr>
        <w:t>redacted</w:t>
      </w:r>
      <w:r w:rsidR="005B41F5" w:rsidRPr="0082344D" w:rsidDel="005B41F5">
        <w:t xml:space="preserve"> </w:t>
      </w:r>
      <w:r w:rsidR="002B003A" w:rsidRPr="0082344D">
        <w:t xml:space="preserve">split or a lower unit price if a </w:t>
      </w:r>
      <w:r w:rsidR="005B41F5" w:rsidRPr="0082344D">
        <w:rPr>
          <w:rFonts w:eastAsia="Franklin Gothic Book"/>
          <w:b/>
          <w:bCs/>
          <w:color w:val="000000" w:themeColor="text1"/>
        </w:rPr>
        <w:t>redacted</w:t>
      </w:r>
      <w:r w:rsidR="005B41F5" w:rsidRPr="0082344D" w:rsidDel="005B41F5">
        <w:t xml:space="preserve"> </w:t>
      </w:r>
      <w:r w:rsidR="002B003A" w:rsidRPr="0082344D">
        <w:t xml:space="preserve">split were retained. </w:t>
      </w:r>
    </w:p>
    <w:p w14:paraId="1A405556" w14:textId="3CA9D635" w:rsidR="00357577" w:rsidRPr="0082344D" w:rsidRDefault="002B003A" w:rsidP="00F4015C">
      <w:pPr>
        <w:spacing w:after="0" w:line="240" w:lineRule="auto"/>
      </w:pPr>
      <w:r w:rsidRPr="0082344D">
        <w:t>MSAC</w:t>
      </w:r>
      <w:r w:rsidR="00843EFA" w:rsidRPr="0082344D">
        <w:t xml:space="preserve"> recommended a second payment of </w:t>
      </w:r>
      <w:r w:rsidR="005B41F5" w:rsidRPr="0082344D">
        <w:rPr>
          <w:rFonts w:eastAsia="Franklin Gothic Book"/>
          <w:b/>
          <w:bCs/>
          <w:color w:val="000000" w:themeColor="text1"/>
        </w:rPr>
        <w:t>redacted</w:t>
      </w:r>
      <w:r w:rsidR="005B41F5" w:rsidRPr="0082344D" w:rsidDel="005B41F5">
        <w:t xml:space="preserve"> </w:t>
      </w:r>
      <w:r w:rsidR="001A6A91" w:rsidRPr="0082344D">
        <w:t>%</w:t>
      </w:r>
      <w:r w:rsidR="00297815" w:rsidRPr="0082344D">
        <w:t xml:space="preserve"> of the proposed price if</w:t>
      </w:r>
      <w:r w:rsidRPr="0082344D">
        <w:t xml:space="preserve"> </w:t>
      </w:r>
      <w:r w:rsidR="00B43D2B" w:rsidRPr="0082344D">
        <w:rPr>
          <w:rFonts w:eastAsia="Franklin Gothic Book" w:cs="Franklin Gothic Book"/>
        </w:rPr>
        <w:t>the patient is alive with a functioning graft 12 months post-transplantation</w:t>
      </w:r>
      <w:r w:rsidR="000A2690" w:rsidRPr="0082344D">
        <w:t xml:space="preserve"> (compared to the 6 months proposed in the ADAR)</w:t>
      </w:r>
      <w:r w:rsidR="00E806B0" w:rsidRPr="0082344D">
        <w:t>. MSAC considered a</w:t>
      </w:r>
      <w:r w:rsidRPr="0082344D">
        <w:t xml:space="preserve"> reduced second payment</w:t>
      </w:r>
      <w:r w:rsidR="00393C7B" w:rsidRPr="0082344D">
        <w:t xml:space="preserve"> was appropriate</w:t>
      </w:r>
      <w:r w:rsidRPr="0082344D">
        <w:t xml:space="preserve"> if the patient is lost to follow-up or if graft survival cannot be assessed</w:t>
      </w:r>
      <w:r w:rsidR="007A5641" w:rsidRPr="0082344D">
        <w:t xml:space="preserve"> (</w:t>
      </w:r>
      <w:r w:rsidR="00DF6BFC" w:rsidRPr="0082344D">
        <w:t xml:space="preserve">e.g. if </w:t>
      </w:r>
      <w:r w:rsidR="007A5641" w:rsidRPr="0082344D">
        <w:t>‘reason of graft failure’ criteria is not provided on the ANZDATA form)</w:t>
      </w:r>
      <w:r w:rsidR="000A2690" w:rsidRPr="0082344D">
        <w:t>. M</w:t>
      </w:r>
      <w:r w:rsidRPr="0082344D">
        <w:t xml:space="preserve">SAC </w:t>
      </w:r>
      <w:r w:rsidR="00CD1AA9" w:rsidRPr="0082344D">
        <w:t xml:space="preserve">recommended that this reduction be in the order of </w:t>
      </w:r>
      <w:r w:rsidR="005B41F5" w:rsidRPr="0082344D">
        <w:rPr>
          <w:rFonts w:eastAsia="Franklin Gothic Book"/>
          <w:b/>
          <w:bCs/>
          <w:color w:val="000000" w:themeColor="text1"/>
        </w:rPr>
        <w:t>redacted</w:t>
      </w:r>
      <w:r w:rsidR="005B41F5" w:rsidRPr="0082344D" w:rsidDel="005B41F5">
        <w:t xml:space="preserve"> </w:t>
      </w:r>
      <w:r w:rsidR="00CD1AA9" w:rsidRPr="0082344D">
        <w:t>%</w:t>
      </w:r>
      <w:r w:rsidRPr="0082344D">
        <w:t>.</w:t>
      </w:r>
      <w:r w:rsidR="00F92AA4" w:rsidRPr="0082344D">
        <w:t xml:space="preserve"> MSAC considered death with graft</w:t>
      </w:r>
      <w:r w:rsidR="00F92AA4" w:rsidRPr="00170383">
        <w:t xml:space="preserve"> function should not qualify for payment</w:t>
      </w:r>
      <w:r w:rsidR="00906B7B">
        <w:t>,</w:t>
      </w:r>
      <w:r w:rsidR="00F92AA4" w:rsidRPr="00170383">
        <w:t xml:space="preserve"> </w:t>
      </w:r>
      <w:r w:rsidR="00F92AA4" w:rsidRPr="0082344D">
        <w:lastRenderedPageBreak/>
        <w:t xml:space="preserve">consistent with existing PfPs where payment is not made if patients die due to causes other the one being treated by the HST. </w:t>
      </w:r>
      <w:r w:rsidRPr="0082344D">
        <w:t>MSAC noted jurisdictional feedback</w:t>
      </w:r>
      <w:r w:rsidR="0093278F" w:rsidRPr="0082344D">
        <w:t xml:space="preserve"> supporting the approach of nullifying the </w:t>
      </w:r>
      <w:r w:rsidRPr="0082344D">
        <w:t xml:space="preserve">second payment if the patient dies before 12 months and </w:t>
      </w:r>
      <w:r w:rsidR="0093278F" w:rsidRPr="0082344D">
        <w:t>reducing it</w:t>
      </w:r>
      <w:r w:rsidRPr="0082344D">
        <w:t xml:space="preserve"> if graft failure requires further transplant or dialysis.</w:t>
      </w:r>
      <w:r w:rsidR="002E4D87" w:rsidRPr="0082344D">
        <w:t xml:space="preserve"> MSAC noted that all deaths</w:t>
      </w:r>
      <w:r w:rsidR="00714963" w:rsidRPr="0082344D">
        <w:t xml:space="preserve"> in</w:t>
      </w:r>
      <w:r w:rsidR="005B0092" w:rsidRPr="0082344D">
        <w:t xml:space="preserve"> imlifidase trials</w:t>
      </w:r>
      <w:r w:rsidR="002E4D87" w:rsidRPr="0082344D">
        <w:t xml:space="preserve"> to date were between 6 and 12 months post-transplantation</w:t>
      </w:r>
      <w:r w:rsidR="005B0092" w:rsidRPr="0082344D">
        <w:t>.</w:t>
      </w:r>
      <w:r w:rsidR="002E4D87" w:rsidRPr="0082344D">
        <w:t xml:space="preserve"> Therefore, MSAC considered that the second payment at 12 months was </w:t>
      </w:r>
      <w:r w:rsidR="0089254F" w:rsidRPr="0082344D">
        <w:t xml:space="preserve">more </w:t>
      </w:r>
      <w:r w:rsidR="002E4D87" w:rsidRPr="0082344D">
        <w:t xml:space="preserve">appropriate </w:t>
      </w:r>
      <w:r w:rsidR="0089254F" w:rsidRPr="0082344D">
        <w:t>as it would better</w:t>
      </w:r>
      <w:r w:rsidR="002E4D87" w:rsidRPr="0082344D">
        <w:t xml:space="preserve"> capture long-term graft survival.</w:t>
      </w:r>
    </w:p>
    <w:p w14:paraId="2BC6EB5C" w14:textId="435760AA" w:rsidR="004105A9" w:rsidRDefault="00326FA4" w:rsidP="00DB440F">
      <w:pPr>
        <w:spacing w:after="0" w:line="240" w:lineRule="auto"/>
      </w:pPr>
      <w:r w:rsidRPr="0082344D">
        <w:t>MSAC noted that there were concerns</w:t>
      </w:r>
      <w:r w:rsidRPr="009B3DCA">
        <w:t xml:space="preserve"> about the lack of long-term outcome data, and </w:t>
      </w:r>
      <w:r>
        <w:t xml:space="preserve">jurisdictional </w:t>
      </w:r>
      <w:r w:rsidRPr="009B3DCA">
        <w:t xml:space="preserve">feedback </w:t>
      </w:r>
      <w:r w:rsidR="00864F98">
        <w:t>stated</w:t>
      </w:r>
      <w:r w:rsidR="000F039A">
        <w:t xml:space="preserve"> </w:t>
      </w:r>
      <w:r w:rsidRPr="009B3DCA">
        <w:t>that robust follow-up was therefore necessary.</w:t>
      </w:r>
      <w:r>
        <w:t xml:space="preserve"> </w:t>
      </w:r>
    </w:p>
    <w:p w14:paraId="43441641" w14:textId="0959FB9C" w:rsidR="00C145EA" w:rsidRDefault="004105A9" w:rsidP="00C145EA">
      <w:r>
        <w:t>MSAC recalled that i</w:t>
      </w:r>
      <w:r w:rsidR="00C145EA">
        <w:t xml:space="preserve">n the </w:t>
      </w:r>
      <w:r w:rsidR="00897CAF">
        <w:t xml:space="preserve">previous </w:t>
      </w:r>
      <w:r w:rsidR="00C145EA">
        <w:t xml:space="preserve">post-MSAC debrief, the applicant </w:t>
      </w:r>
      <w:r w:rsidR="00625069">
        <w:t xml:space="preserve">had </w:t>
      </w:r>
      <w:r w:rsidR="00C145EA">
        <w:t>advised that there were 3 elements required for conversion from provisional approval to full approval:</w:t>
      </w:r>
    </w:p>
    <w:p w14:paraId="26169E85" w14:textId="77777777" w:rsidR="00C145EA" w:rsidRDefault="00C145EA" w:rsidP="0033037C">
      <w:pPr>
        <w:pStyle w:val="ListParagraph"/>
        <w:numPr>
          <w:ilvl w:val="0"/>
          <w:numId w:val="42"/>
        </w:numPr>
        <w:spacing w:before="0" w:after="0" w:line="240" w:lineRule="auto"/>
      </w:pPr>
      <w:r>
        <w:t>5-year follow-up from registration studies (study 14) – completed and filed with the Therapeutic Goods Administration (TGA)</w:t>
      </w:r>
    </w:p>
    <w:p w14:paraId="4CCC252A" w14:textId="77777777" w:rsidR="00C145EA" w:rsidRDefault="00C145EA" w:rsidP="0033037C">
      <w:pPr>
        <w:pStyle w:val="ListParagraph"/>
        <w:numPr>
          <w:ilvl w:val="0"/>
          <w:numId w:val="42"/>
        </w:numPr>
        <w:spacing w:before="0" w:after="0" w:line="240" w:lineRule="auto"/>
      </w:pPr>
      <w:r>
        <w:t>US Confides (study 17) – fully enrolled since June 2024, last patient visit in June 2025, data available shortly thereafter</w:t>
      </w:r>
    </w:p>
    <w:p w14:paraId="4EBA95B9" w14:textId="77777777" w:rsidR="00C145EA" w:rsidRDefault="00C145EA" w:rsidP="0033037C">
      <w:pPr>
        <w:pStyle w:val="ListParagraph"/>
        <w:numPr>
          <w:ilvl w:val="0"/>
          <w:numId w:val="42"/>
        </w:numPr>
        <w:spacing w:before="0" w:after="0" w:line="240" w:lineRule="auto"/>
      </w:pPr>
      <w:r>
        <w:t>EU Post Approval Efficacy Study (study 19) – still recruiting.</w:t>
      </w:r>
    </w:p>
    <w:p w14:paraId="670EAF66" w14:textId="77777777" w:rsidR="00C145EA" w:rsidRPr="00F8170A" w:rsidRDefault="00C145EA" w:rsidP="00C145EA">
      <w:r>
        <w:t>MSAC noted that the a</w:t>
      </w:r>
      <w:r w:rsidRPr="00C045BF">
        <w:t xml:space="preserve">pplicant did not refer to </w:t>
      </w:r>
      <w:r>
        <w:t>‘</w:t>
      </w:r>
      <w:r w:rsidRPr="00C045BF">
        <w:t>an observational study of renal transplant recipients following desensitisation with imlifidase conducted in Australia</w:t>
      </w:r>
      <w:r>
        <w:t>’</w:t>
      </w:r>
      <w:r w:rsidRPr="00C045BF">
        <w:t xml:space="preserve"> that was requested as </w:t>
      </w:r>
      <w:r>
        <w:t xml:space="preserve">part of the </w:t>
      </w:r>
      <w:r w:rsidRPr="00C045BF">
        <w:t>TGA’s provisional approval</w:t>
      </w:r>
      <w:r>
        <w:t>. The a</w:t>
      </w:r>
      <w:r w:rsidRPr="00F8170A">
        <w:t xml:space="preserve">pplicant </w:t>
      </w:r>
      <w:r>
        <w:t>advised that it had</w:t>
      </w:r>
      <w:r w:rsidRPr="00F8170A">
        <w:t xml:space="preserve"> </w:t>
      </w:r>
      <w:r>
        <w:t>6 </w:t>
      </w:r>
      <w:r w:rsidRPr="00F8170A">
        <w:t xml:space="preserve">years from </w:t>
      </w:r>
      <w:r>
        <w:t xml:space="preserve">provisional </w:t>
      </w:r>
      <w:r w:rsidRPr="00F8170A">
        <w:t xml:space="preserve">approval </w:t>
      </w:r>
      <w:r>
        <w:t xml:space="preserve">(i.e. until </w:t>
      </w:r>
      <w:r w:rsidRPr="00F8170A">
        <w:t>July 2029</w:t>
      </w:r>
      <w:r>
        <w:t xml:space="preserve">) to provide the </w:t>
      </w:r>
      <w:r w:rsidRPr="00F8170A">
        <w:t>data</w:t>
      </w:r>
      <w:r>
        <w:t xml:space="preserve"> required</w:t>
      </w:r>
      <w:r w:rsidRPr="00F8170A">
        <w:t xml:space="preserve"> for conversion to full TGA approval.</w:t>
      </w:r>
    </w:p>
    <w:p w14:paraId="27D673D4" w14:textId="2B3DD6B2" w:rsidR="00BC6DC2" w:rsidRDefault="00055E12" w:rsidP="00F77ED6">
      <w:r>
        <w:t xml:space="preserve">MSAC considered that a post-implementation review after 2 (and before 3) years was required. </w:t>
      </w:r>
      <w:r w:rsidR="00F77ED6">
        <w:t xml:space="preserve">MSAC advised that Australian data be collected and reviewed by MSAC no later than 3 years post the commencement of public subsidy of imlifidase for the purposes of understanding the clinical place, utilisation, equity of access and budget impact of imlifidase in Australian clinical practice. </w:t>
      </w:r>
    </w:p>
    <w:p w14:paraId="396BCA0D" w14:textId="628A6AF9" w:rsidR="00C145EA" w:rsidRDefault="00055E12" w:rsidP="00C145EA">
      <w:r>
        <w:t>MSAC noted and accepted the outcome from the stakeholder meeting that data collection should be through the Australian and New Zealand Dialysis and Transplant Registry (ANZDATA).</w:t>
      </w:r>
      <w:r w:rsidRPr="009B3DCA">
        <w:t xml:space="preserve"> </w:t>
      </w:r>
      <w:r w:rsidR="00C145EA">
        <w:t>MSAC agreed with the Department’s suggestions that the post-implementation review should include</w:t>
      </w:r>
      <w:r w:rsidR="00D0582F">
        <w:t xml:space="preserve"> the following</w:t>
      </w:r>
      <w:r w:rsidR="002B0B08">
        <w:t xml:space="preserve"> outcomes</w:t>
      </w:r>
      <w:r w:rsidR="00C145EA">
        <w:t>:</w:t>
      </w:r>
    </w:p>
    <w:p w14:paraId="77332112" w14:textId="535C9BF0" w:rsidR="00C145EA" w:rsidRDefault="00C145EA" w:rsidP="00B83DC9">
      <w:pPr>
        <w:pStyle w:val="ListParagraph"/>
        <w:numPr>
          <w:ilvl w:val="0"/>
          <w:numId w:val="43"/>
        </w:numPr>
      </w:pPr>
      <w:r>
        <w:t>the n</w:t>
      </w:r>
      <w:r w:rsidRPr="00F43E57">
        <w:t xml:space="preserve">umber of patients administered imlifidase </w:t>
      </w:r>
    </w:p>
    <w:p w14:paraId="7F88B342" w14:textId="22D72B91" w:rsidR="00C145EA" w:rsidRDefault="00C145EA" w:rsidP="00B83DC9">
      <w:pPr>
        <w:pStyle w:val="ListParagraph"/>
        <w:numPr>
          <w:ilvl w:val="0"/>
          <w:numId w:val="43"/>
        </w:numPr>
      </w:pPr>
      <w:r w:rsidRPr="00F43E57">
        <w:t xml:space="preserve">cPRA </w:t>
      </w:r>
    </w:p>
    <w:p w14:paraId="3A51F7C4" w14:textId="33AF2A4D" w:rsidR="00C145EA" w:rsidRDefault="00C145EA" w:rsidP="00B83DC9">
      <w:pPr>
        <w:pStyle w:val="ListParagraph"/>
        <w:numPr>
          <w:ilvl w:val="0"/>
          <w:numId w:val="43"/>
        </w:numPr>
      </w:pPr>
      <w:r>
        <w:t>the n</w:t>
      </w:r>
      <w:r w:rsidRPr="00F43E57">
        <w:t xml:space="preserve">umber of patients who received a transplant </w:t>
      </w:r>
    </w:p>
    <w:p w14:paraId="759AFFBA" w14:textId="61F69088" w:rsidR="00C145EA" w:rsidRDefault="00C145EA" w:rsidP="00B83DC9">
      <w:pPr>
        <w:pStyle w:val="ListParagraph"/>
        <w:numPr>
          <w:ilvl w:val="0"/>
          <w:numId w:val="43"/>
        </w:numPr>
      </w:pPr>
      <w:r>
        <w:t>g</w:t>
      </w:r>
      <w:r w:rsidRPr="00F43E57">
        <w:t xml:space="preserve">raft loss </w:t>
      </w:r>
      <w:r w:rsidR="00827CBB">
        <w:t xml:space="preserve">(including causes of graft loss) </w:t>
      </w:r>
      <w:r w:rsidRPr="00F43E57">
        <w:t xml:space="preserve">and </w:t>
      </w:r>
      <w:r w:rsidR="00827CBB">
        <w:t xml:space="preserve">graft </w:t>
      </w:r>
      <w:r w:rsidRPr="00F43E57">
        <w:t xml:space="preserve">survival outcomes </w:t>
      </w:r>
    </w:p>
    <w:p w14:paraId="5651877E" w14:textId="4B1392F6" w:rsidR="00C145EA" w:rsidRDefault="00C145EA" w:rsidP="00B83DC9">
      <w:pPr>
        <w:pStyle w:val="ListParagraph"/>
        <w:numPr>
          <w:ilvl w:val="0"/>
          <w:numId w:val="43"/>
        </w:numPr>
      </w:pPr>
      <w:r>
        <w:t>r</w:t>
      </w:r>
      <w:r w:rsidRPr="00F43E57">
        <w:t xml:space="preserve">ejection outcomes </w:t>
      </w:r>
    </w:p>
    <w:p w14:paraId="5328C79C" w14:textId="334FFF14" w:rsidR="00406CA3" w:rsidRDefault="00C145EA" w:rsidP="00B83DC9">
      <w:pPr>
        <w:pStyle w:val="ListParagraph"/>
        <w:numPr>
          <w:ilvl w:val="0"/>
          <w:numId w:val="43"/>
        </w:numPr>
      </w:pPr>
      <w:r>
        <w:t>p</w:t>
      </w:r>
      <w:r w:rsidRPr="00F43E57">
        <w:t xml:space="preserve">atient survival </w:t>
      </w:r>
    </w:p>
    <w:p w14:paraId="5FDAC173" w14:textId="188B4EDC" w:rsidR="00357577" w:rsidRDefault="00DC1324">
      <w:r>
        <w:t xml:space="preserve">MSAC noted the jurisdictional feedback </w:t>
      </w:r>
      <w:r w:rsidR="004A65FF">
        <w:t xml:space="preserve">that </w:t>
      </w:r>
      <w:r>
        <w:t xml:space="preserve">dedicated funding beyond baseline was required for data collection </w:t>
      </w:r>
      <w:r w:rsidR="004A65FF">
        <w:t>for the post-implementation review</w:t>
      </w:r>
      <w:r w:rsidR="004F19BD" w:rsidRPr="004F19BD">
        <w:t xml:space="preserve"> </w:t>
      </w:r>
      <w:r w:rsidR="00CB51EF">
        <w:t xml:space="preserve"> </w:t>
      </w:r>
      <w:r w:rsidR="00925066">
        <w:t>In noting this. MSAC recalled ANZDATA feedback a</w:t>
      </w:r>
      <w:r w:rsidR="00925066" w:rsidRPr="004F19BD">
        <w:t>t the  stakeholder meeting, that although patient numbers would be low, there would still be resource considerations associated with capturing this additional data</w:t>
      </w:r>
      <w:r w:rsidR="00925066">
        <w:t>.</w:t>
      </w:r>
    </w:p>
    <w:p w14:paraId="31EC825D" w14:textId="03B7CC20" w:rsidR="009815EA" w:rsidRDefault="009815EA" w:rsidP="009815EA">
      <w:r>
        <w:t xml:space="preserve">Post-MSAC, the Department advised </w:t>
      </w:r>
      <w:r w:rsidRPr="00BA15A4">
        <w:t xml:space="preserve">consideration of types of data to be collected as part of monitoring the HST, that is outlined in the </w:t>
      </w:r>
      <w:r w:rsidRPr="00BE7ED3">
        <w:rPr>
          <w:i/>
          <w:iCs/>
        </w:rPr>
        <w:t>Framework for the assessment, funding and implementation of high cost, highly specialised therapies and services</w:t>
      </w:r>
      <w:r>
        <w:t>.</w:t>
      </w:r>
    </w:p>
    <w:p w14:paraId="132379FE" w14:textId="02B9AA5A" w:rsidR="00090997" w:rsidRDefault="00DE3D90" w:rsidP="00DE3D90">
      <w:r>
        <w:t xml:space="preserve">MSAC noted that given </w:t>
      </w:r>
      <w:r w:rsidRPr="00A5718D">
        <w:t>the high clinical need for imlifidase to address a renal transplant access inequity in a relatively small group of highly sensitised individuals who would otherwise be unlikely to receive a transplant</w:t>
      </w:r>
      <w:r w:rsidR="005D20A3">
        <w:t xml:space="preserve">. MSAC considered  </w:t>
      </w:r>
      <w:r>
        <w:t xml:space="preserve">the outcomes of the stakeholder meeting in </w:t>
      </w:r>
      <w:r w:rsidR="00CD44A3">
        <w:t xml:space="preserve">addressed </w:t>
      </w:r>
      <w:r>
        <w:t xml:space="preserve">remaining uncertainties </w:t>
      </w:r>
      <w:r w:rsidR="00CD44A3">
        <w:t>f</w:t>
      </w:r>
      <w:r w:rsidR="004B79F5">
        <w:t xml:space="preserve">rom </w:t>
      </w:r>
      <w:r w:rsidR="00746689">
        <w:t xml:space="preserve">its previous consideration. </w:t>
      </w:r>
    </w:p>
    <w:p w14:paraId="08043DFD" w14:textId="40FCCD19" w:rsidR="00C1720C" w:rsidRDefault="00746689" w:rsidP="00DE3D90">
      <w:r>
        <w:t>Overall</w:t>
      </w:r>
      <w:r w:rsidR="00090997">
        <w:t xml:space="preserve">, </w:t>
      </w:r>
      <w:r>
        <w:t xml:space="preserve">MSAC supported </w:t>
      </w:r>
      <w:r w:rsidR="00DE3D90" w:rsidRPr="00047AD4">
        <w:t xml:space="preserve">the public funding of imlifidase as a Highly Specialised Therapy (HST) through the National Health Reform Agreement (NHRA) Addendum as a desensitisation </w:t>
      </w:r>
      <w:r w:rsidR="00DE3D90" w:rsidRPr="00047AD4">
        <w:lastRenderedPageBreak/>
        <w:t>treatment to enable kidney transplant in highly sensitised adult transplant candidates</w:t>
      </w:r>
      <w:r w:rsidR="00C1720C">
        <w:t xml:space="preserve"> who meet the following criteria:</w:t>
      </w:r>
    </w:p>
    <w:p w14:paraId="7AB3A338" w14:textId="77777777" w:rsidR="00C1720C" w:rsidRPr="0092387C" w:rsidRDefault="008B066D" w:rsidP="00C1720C">
      <w:r>
        <w:t xml:space="preserve"> </w:t>
      </w:r>
      <w:r w:rsidR="00C1720C" w:rsidRPr="0092387C">
        <w:rPr>
          <w:i/>
          <w:lang w:val="en-US"/>
        </w:rPr>
        <w:t>Deceased donor recipients</w:t>
      </w:r>
      <w:r w:rsidR="00C1720C" w:rsidRPr="0092387C">
        <w:t> </w:t>
      </w:r>
    </w:p>
    <w:p w14:paraId="5889A669" w14:textId="77777777" w:rsidR="00C1720C" w:rsidRPr="0092387C" w:rsidRDefault="00C1720C" w:rsidP="00C1720C">
      <w:pPr>
        <w:numPr>
          <w:ilvl w:val="0"/>
          <w:numId w:val="47"/>
        </w:numPr>
      </w:pPr>
      <w:r w:rsidRPr="0092387C">
        <w:rPr>
          <w:lang w:val="en-US"/>
        </w:rPr>
        <w:t>Highly sensitised adult patients with a cPRA of 99% or more, AND</w:t>
      </w:r>
      <w:r w:rsidRPr="0092387C">
        <w:t> </w:t>
      </w:r>
    </w:p>
    <w:p w14:paraId="33C1E8C8" w14:textId="77777777" w:rsidR="00C1720C" w:rsidRPr="0092387C" w:rsidRDefault="00C1720C" w:rsidP="00C1720C">
      <w:pPr>
        <w:numPr>
          <w:ilvl w:val="0"/>
          <w:numId w:val="48"/>
        </w:numPr>
      </w:pPr>
      <w:r w:rsidRPr="0092387C">
        <w:rPr>
          <w:lang w:val="en-US"/>
        </w:rPr>
        <w:t>Positive crossmatch against an available donor, AND</w:t>
      </w:r>
      <w:r w:rsidRPr="0092387C">
        <w:t> </w:t>
      </w:r>
    </w:p>
    <w:p w14:paraId="310C03F1" w14:textId="58F6238D" w:rsidR="00C1720C" w:rsidRPr="0092387C" w:rsidRDefault="00C1720C" w:rsidP="00C1720C">
      <w:pPr>
        <w:numPr>
          <w:ilvl w:val="0"/>
          <w:numId w:val="49"/>
        </w:numPr>
      </w:pPr>
      <w:r w:rsidRPr="0092387C">
        <w:rPr>
          <w:lang w:val="en-US"/>
        </w:rPr>
        <w:t>Have been on the deceased donor transplant list for at least 2 years</w:t>
      </w:r>
      <w:r w:rsidRPr="0092387C">
        <w:t> </w:t>
      </w:r>
      <w:r w:rsidR="00540B8A" w:rsidRPr="0092387C">
        <w:t>(</w:t>
      </w:r>
      <w:r w:rsidR="006461EB" w:rsidRPr="0092387C">
        <w:t>from</w:t>
      </w:r>
      <w:r w:rsidR="00540B8A" w:rsidRPr="0092387C">
        <w:t xml:space="preserve"> the date </w:t>
      </w:r>
      <w:r w:rsidR="006461EB" w:rsidRPr="0092387C">
        <w:t xml:space="preserve">they were first </w:t>
      </w:r>
      <w:r w:rsidR="00F54721" w:rsidRPr="0092387C">
        <w:t>active on the deceased donor waiting list)</w:t>
      </w:r>
    </w:p>
    <w:p w14:paraId="350012BD" w14:textId="77777777" w:rsidR="00C1720C" w:rsidRPr="0092387C" w:rsidRDefault="00C1720C" w:rsidP="00C1720C">
      <w:r w:rsidRPr="0092387C">
        <w:rPr>
          <w:i/>
          <w:lang w:val="en-US"/>
        </w:rPr>
        <w:t>Living donor recipients</w:t>
      </w:r>
      <w:r w:rsidRPr="0092387C">
        <w:t> </w:t>
      </w:r>
    </w:p>
    <w:p w14:paraId="5EDB9C7F" w14:textId="77777777" w:rsidR="00C1720C" w:rsidRPr="0092387C" w:rsidRDefault="00C1720C" w:rsidP="00C1720C">
      <w:pPr>
        <w:numPr>
          <w:ilvl w:val="0"/>
          <w:numId w:val="50"/>
        </w:numPr>
      </w:pPr>
      <w:r w:rsidRPr="0092387C">
        <w:rPr>
          <w:lang w:val="en-US"/>
        </w:rPr>
        <w:t>Highly sensitised adult patients with a cPRA of 99% or more, AND</w:t>
      </w:r>
      <w:r w:rsidRPr="0092387C">
        <w:t> </w:t>
      </w:r>
    </w:p>
    <w:p w14:paraId="2A0FAB0D" w14:textId="77777777" w:rsidR="00C1720C" w:rsidRPr="0092387C" w:rsidRDefault="00C1720C" w:rsidP="00C1720C">
      <w:pPr>
        <w:numPr>
          <w:ilvl w:val="0"/>
          <w:numId w:val="51"/>
        </w:numPr>
      </w:pPr>
      <w:r w:rsidRPr="0092387C">
        <w:rPr>
          <w:lang w:val="en-US"/>
        </w:rPr>
        <w:t>With a positive crossmatch against an available living donor AND </w:t>
      </w:r>
      <w:r w:rsidRPr="0092387C">
        <w:t> </w:t>
      </w:r>
    </w:p>
    <w:p w14:paraId="3621CF51" w14:textId="3BADAC06" w:rsidR="00C1720C" w:rsidRPr="0092387C" w:rsidRDefault="00C1720C" w:rsidP="00C1720C">
      <w:pPr>
        <w:numPr>
          <w:ilvl w:val="0"/>
          <w:numId w:val="52"/>
        </w:numPr>
      </w:pPr>
      <w:r w:rsidRPr="0092387C">
        <w:rPr>
          <w:lang w:val="en-US"/>
        </w:rPr>
        <w:t>For whom alternate desensitisation regimens for organ transplantation have failed or are contraindicated or are unlikely to be successful.</w:t>
      </w:r>
    </w:p>
    <w:p w14:paraId="2F6FA2DE" w14:textId="2F92A165" w:rsidR="008B066D" w:rsidRPr="0092387C" w:rsidRDefault="00450F99" w:rsidP="00DE3D90">
      <w:r w:rsidRPr="0092387C">
        <w:t>MSAC’s support fo</w:t>
      </w:r>
      <w:r w:rsidR="00467116" w:rsidRPr="0092387C">
        <w:t xml:space="preserve">r public funding was </w:t>
      </w:r>
      <w:r w:rsidR="00523190" w:rsidRPr="0092387C">
        <w:t>contingent on a risk sharing arrangement that included the following requirements</w:t>
      </w:r>
      <w:r w:rsidR="00E0369C" w:rsidRPr="0092387C">
        <w:t>:</w:t>
      </w:r>
    </w:p>
    <w:p w14:paraId="0A05B12B" w14:textId="18E058A5" w:rsidR="008E3C96" w:rsidRPr="0082344D" w:rsidRDefault="008E3C96" w:rsidP="00E0369C">
      <w:pPr>
        <w:pStyle w:val="ListParagraph"/>
        <w:numPr>
          <w:ilvl w:val="0"/>
          <w:numId w:val="53"/>
        </w:numPr>
      </w:pPr>
      <w:r w:rsidRPr="0092387C">
        <w:t xml:space="preserve">A PfP </w:t>
      </w:r>
      <w:r w:rsidRPr="0082344D">
        <w:t xml:space="preserve">arrangement composed of the following payment structure: </w:t>
      </w:r>
    </w:p>
    <w:p w14:paraId="06DF61C9" w14:textId="2DE93706" w:rsidR="003F6BB2" w:rsidRPr="0082344D" w:rsidRDefault="008E3C96" w:rsidP="008E3C96">
      <w:pPr>
        <w:pStyle w:val="ListParagraph"/>
        <w:numPr>
          <w:ilvl w:val="1"/>
          <w:numId w:val="53"/>
        </w:numPr>
      </w:pPr>
      <w:r w:rsidRPr="0082344D">
        <w:t xml:space="preserve">an initial payment only on </w:t>
      </w:r>
      <w:r w:rsidR="003F6BB2" w:rsidRPr="0082344D">
        <w:t>transplant without hyperacute rejection</w:t>
      </w:r>
      <w:r w:rsidRPr="0082344D">
        <w:t xml:space="preserve"> infusion (up to </w:t>
      </w:r>
      <w:r w:rsidR="005B41F5" w:rsidRPr="0082344D">
        <w:rPr>
          <w:rFonts w:eastAsia="Franklin Gothic Book"/>
          <w:b/>
          <w:bCs/>
          <w:color w:val="000000" w:themeColor="text1"/>
        </w:rPr>
        <w:t>redacted</w:t>
      </w:r>
      <w:r w:rsidR="005B41F5" w:rsidRPr="0082344D" w:rsidDel="005B41F5">
        <w:t xml:space="preserve"> </w:t>
      </w:r>
      <w:r w:rsidR="00D454B4" w:rsidRPr="0082344D">
        <w:t>% of the maximum price</w:t>
      </w:r>
      <w:r w:rsidRPr="0082344D">
        <w:t xml:space="preserve">); and </w:t>
      </w:r>
    </w:p>
    <w:p w14:paraId="1D844569" w14:textId="3B634A94" w:rsidR="00E0369C" w:rsidRPr="0082344D" w:rsidRDefault="003F6BB2" w:rsidP="008E3C96">
      <w:pPr>
        <w:pStyle w:val="ListParagraph"/>
        <w:numPr>
          <w:ilvl w:val="1"/>
          <w:numId w:val="53"/>
        </w:numPr>
      </w:pPr>
      <w:r w:rsidRPr="0082344D">
        <w:t xml:space="preserve">a </w:t>
      </w:r>
      <w:r w:rsidR="005917BB" w:rsidRPr="0082344D">
        <w:t>s</w:t>
      </w:r>
      <w:r w:rsidR="005271E4" w:rsidRPr="0082344D">
        <w:t>econd payment</w:t>
      </w:r>
      <w:r w:rsidR="008E3C96" w:rsidRPr="0082344D">
        <w:t xml:space="preserve"> at 12</w:t>
      </w:r>
      <w:r w:rsidR="005917BB" w:rsidRPr="0082344D">
        <w:t xml:space="preserve"> </w:t>
      </w:r>
      <w:r w:rsidR="008E3C96" w:rsidRPr="0082344D">
        <w:t xml:space="preserve">months </w:t>
      </w:r>
      <w:r w:rsidR="007669EC" w:rsidRPr="0082344D">
        <w:t>if the patient is alive without graft failure</w:t>
      </w:r>
      <w:r w:rsidR="00C34822" w:rsidRPr="0082344D">
        <w:t xml:space="preserve"> or graft loss</w:t>
      </w:r>
      <w:r w:rsidR="00D454B4" w:rsidRPr="0082344D">
        <w:t xml:space="preserve"> (</w:t>
      </w:r>
      <w:r w:rsidR="005B41F5" w:rsidRPr="0082344D">
        <w:rPr>
          <w:rFonts w:eastAsia="Franklin Gothic Book"/>
          <w:b/>
          <w:bCs/>
          <w:color w:val="000000" w:themeColor="text1"/>
        </w:rPr>
        <w:t>redacted</w:t>
      </w:r>
      <w:r w:rsidR="005B41F5" w:rsidRPr="0082344D" w:rsidDel="005B41F5">
        <w:t xml:space="preserve"> </w:t>
      </w:r>
      <w:r w:rsidR="00D454B4" w:rsidRPr="0082344D">
        <w:t>% of the maximum price)</w:t>
      </w:r>
      <w:r w:rsidR="001D48A7" w:rsidRPr="0082344D">
        <w:t>; and</w:t>
      </w:r>
    </w:p>
    <w:p w14:paraId="08D67519" w14:textId="1F67A628" w:rsidR="005271E4" w:rsidRPr="0082344D" w:rsidRDefault="005271E4" w:rsidP="008E3C96">
      <w:pPr>
        <w:pStyle w:val="ListParagraph"/>
        <w:numPr>
          <w:ilvl w:val="1"/>
          <w:numId w:val="53"/>
        </w:numPr>
      </w:pPr>
      <w:r w:rsidRPr="0082344D">
        <w:t xml:space="preserve">a lower second payment if the patient is lost to follow-up or </w:t>
      </w:r>
      <w:r w:rsidR="00171E96" w:rsidRPr="0082344D">
        <w:t xml:space="preserve">graft failure or graft loss cannot be </w:t>
      </w:r>
      <w:r w:rsidR="00F70711" w:rsidRPr="0082344D">
        <w:t>determined</w:t>
      </w:r>
      <w:r w:rsidR="001D48A7" w:rsidRPr="0082344D">
        <w:t xml:space="preserve">; </w:t>
      </w:r>
      <w:r w:rsidR="00144336" w:rsidRPr="0082344D">
        <w:t xml:space="preserve"> </w:t>
      </w:r>
    </w:p>
    <w:p w14:paraId="43F7C05E" w14:textId="4ADB5AE2" w:rsidR="00887483" w:rsidRPr="0082344D" w:rsidRDefault="00887483" w:rsidP="0078483A">
      <w:pPr>
        <w:pStyle w:val="ListParagraph"/>
        <w:numPr>
          <w:ilvl w:val="0"/>
          <w:numId w:val="53"/>
        </w:numPr>
      </w:pPr>
      <w:r w:rsidRPr="0082344D">
        <w:t xml:space="preserve">A maximum price per responder of </w:t>
      </w:r>
      <w:r w:rsidR="00A24742" w:rsidRPr="0082344D">
        <w:t>$</w:t>
      </w:r>
      <w:r w:rsidR="005B41F5" w:rsidRPr="0082344D">
        <w:rPr>
          <w:rFonts w:eastAsia="Franklin Gothic Book"/>
          <w:b/>
          <w:bCs/>
          <w:color w:val="000000" w:themeColor="text1"/>
        </w:rPr>
        <w:t xml:space="preserve"> redacted</w:t>
      </w:r>
      <w:r w:rsidR="005B41F5" w:rsidRPr="0082344D" w:rsidDel="005B41F5">
        <w:t xml:space="preserve"> </w:t>
      </w:r>
      <w:r w:rsidR="007E7E14" w:rsidRPr="0082344D">
        <w:t xml:space="preserve">irrespective of the number of doses and vials of imlifidase </w:t>
      </w:r>
      <w:r w:rsidR="00A24742" w:rsidRPr="0082344D">
        <w:t>administered</w:t>
      </w:r>
      <w:r w:rsidR="001D48A7" w:rsidRPr="0082344D">
        <w:t>;</w:t>
      </w:r>
      <w:r w:rsidR="00A24742" w:rsidRPr="0082344D">
        <w:t xml:space="preserve"> </w:t>
      </w:r>
    </w:p>
    <w:p w14:paraId="3689C6DB" w14:textId="080E7279" w:rsidR="00261C18" w:rsidRPr="0082344D" w:rsidRDefault="006D2CA9" w:rsidP="006D2CA9">
      <w:pPr>
        <w:pStyle w:val="ListParagraph"/>
        <w:numPr>
          <w:ilvl w:val="0"/>
          <w:numId w:val="53"/>
        </w:numPr>
      </w:pPr>
      <w:r w:rsidRPr="0082344D">
        <w:t xml:space="preserve">A patient </w:t>
      </w:r>
      <w:r w:rsidR="009E0804" w:rsidRPr="0082344D">
        <w:t>or ex</w:t>
      </w:r>
      <w:r w:rsidR="00F31BF0" w:rsidRPr="0082344D">
        <w:t xml:space="preserve">penditure </w:t>
      </w:r>
      <w:r w:rsidRPr="0082344D">
        <w:t xml:space="preserve">cap </w:t>
      </w:r>
      <w:r w:rsidR="00F31BF0" w:rsidRPr="0082344D">
        <w:t xml:space="preserve">based on </w:t>
      </w:r>
      <w:r w:rsidR="00123CCD" w:rsidRPr="0082344D">
        <w:t xml:space="preserve">a maximum of </w:t>
      </w:r>
      <w:r w:rsidR="00351B0F" w:rsidRPr="0082344D">
        <w:rPr>
          <w:rFonts w:eastAsia="Franklin Gothic Book"/>
          <w:b/>
          <w:bCs/>
          <w:color w:val="000000" w:themeColor="text1"/>
        </w:rPr>
        <w:t>redacted</w:t>
      </w:r>
      <w:r w:rsidRPr="0082344D">
        <w:t xml:space="preserve"> patients per year with a roll-over provision</w:t>
      </w:r>
      <w:r w:rsidR="001D48A7" w:rsidRPr="0082344D">
        <w:t xml:space="preserve">; </w:t>
      </w:r>
      <w:r w:rsidRPr="0082344D">
        <w:t xml:space="preserve"> </w:t>
      </w:r>
      <w:r w:rsidR="000D7926" w:rsidRPr="0082344D">
        <w:t xml:space="preserve">and </w:t>
      </w:r>
    </w:p>
    <w:p w14:paraId="6EE1D9E5" w14:textId="705B8BB4" w:rsidR="00284BE7" w:rsidRPr="0082344D" w:rsidRDefault="00B34258" w:rsidP="006D2CA9">
      <w:pPr>
        <w:pStyle w:val="ListParagraph"/>
        <w:numPr>
          <w:ilvl w:val="0"/>
          <w:numId w:val="53"/>
        </w:numPr>
      </w:pPr>
      <w:r w:rsidRPr="0082344D">
        <w:t xml:space="preserve">Data collection </w:t>
      </w:r>
      <w:r w:rsidR="002C119B" w:rsidRPr="0082344D">
        <w:t>through the Australian and New Zealand Dialysis and Transplant Registry</w:t>
      </w:r>
      <w:r w:rsidR="001D48A7" w:rsidRPr="0082344D">
        <w:t xml:space="preserve">; </w:t>
      </w:r>
    </w:p>
    <w:p w14:paraId="083675CA" w14:textId="208313C0" w:rsidR="001D48A7" w:rsidRPr="0082344D" w:rsidRDefault="001D48A7" w:rsidP="0078483A">
      <w:pPr>
        <w:pStyle w:val="ListParagraph"/>
        <w:numPr>
          <w:ilvl w:val="0"/>
          <w:numId w:val="53"/>
        </w:numPr>
      </w:pPr>
      <w:r w:rsidRPr="0082344D">
        <w:t xml:space="preserve">A </w:t>
      </w:r>
      <w:r w:rsidR="000D7926" w:rsidRPr="0082344D">
        <w:t xml:space="preserve">review of the data to be conducted by MSAC no later than 3 years post the commencement of public subsidy of imlifidase. </w:t>
      </w:r>
    </w:p>
    <w:p w14:paraId="5E7E8775" w14:textId="77777777" w:rsidR="00406CA3" w:rsidRPr="00F9346A" w:rsidRDefault="00406CA3" w:rsidP="00C145EA">
      <w:pPr>
        <w:spacing w:before="240"/>
        <w:rPr>
          <w:b/>
          <w:bCs/>
          <w:sz w:val="24"/>
          <w:szCs w:val="24"/>
        </w:rPr>
      </w:pPr>
      <w:r>
        <w:rPr>
          <w:b/>
          <w:bCs/>
          <w:i/>
          <w:iCs/>
          <w:sz w:val="24"/>
          <w:szCs w:val="24"/>
        </w:rPr>
        <w:t>August</w:t>
      </w:r>
      <w:r w:rsidRPr="00F9346A">
        <w:rPr>
          <w:b/>
          <w:bCs/>
          <w:i/>
          <w:iCs/>
          <w:sz w:val="24"/>
          <w:szCs w:val="24"/>
        </w:rPr>
        <w:t xml:space="preserve"> 2024 MSAC consideration </w:t>
      </w:r>
    </w:p>
    <w:p w14:paraId="6B5AB619" w14:textId="2FFE3347" w:rsidR="004E486B" w:rsidRDefault="004E486B" w:rsidP="004E486B">
      <w:r w:rsidRPr="00516D4E">
        <w:t>MSAC</w:t>
      </w:r>
      <w:r>
        <w:t xml:space="preserve"> noted that this was a resubmission from Hansa Biopharma Australia requesting public funding under the National Health Reform Agreement (NHRA) Addendum for highly specialised therapies for the use of imlifidase in the desensitisation therapy of highly sensitised (HS) adult kidney transplant patients with a positive crossmatch against an available deceased donor (DD) or living donor (LD) who are </w:t>
      </w:r>
      <w:r w:rsidR="0009338F">
        <w:t xml:space="preserve">otherwise </w:t>
      </w:r>
      <w:r>
        <w:t>unlikely to be transplanted under current kidney allocation systems</w:t>
      </w:r>
      <w:r w:rsidR="0009338F">
        <w:t xml:space="preserve"> in Australia</w:t>
      </w:r>
      <w:r>
        <w:t>. MSAC noted that imlifidase received provisional registration on the Australian Register of Therapeutic Goods (ARTG; ID 391413) in July 2023.</w:t>
      </w:r>
    </w:p>
    <w:p w14:paraId="1208C6E2" w14:textId="1AFA0838" w:rsidR="004E486B" w:rsidRDefault="004E486B" w:rsidP="004E486B">
      <w:r>
        <w:t>MSAC recalled that it had considered the original application (</w:t>
      </w:r>
      <w:hyperlink r:id="rId9" w:history="1">
        <w:r w:rsidRPr="002748DE">
          <w:rPr>
            <w:rStyle w:val="Hyperlink"/>
          </w:rPr>
          <w:t>1732</w:t>
        </w:r>
      </w:hyperlink>
      <w:r>
        <w:t>) at its July 2023 meeting and</w:t>
      </w:r>
      <w:r w:rsidRPr="00EB30CC">
        <w:t xml:space="preserve"> did not support public funding</w:t>
      </w:r>
      <w:r>
        <w:t xml:space="preserve"> at the time</w:t>
      </w:r>
      <w:r w:rsidRPr="00EB30CC">
        <w:t xml:space="preserve">. The key matters of concern included eligibility criteria and </w:t>
      </w:r>
      <w:r>
        <w:t xml:space="preserve">the </w:t>
      </w:r>
      <w:r w:rsidRPr="00EB30CC">
        <w:t>clinical place of therapy (</w:t>
      </w:r>
      <w:r>
        <w:t>with MSAC recommending</w:t>
      </w:r>
      <w:r w:rsidRPr="00EB30CC">
        <w:t xml:space="preserve"> </w:t>
      </w:r>
      <w:r>
        <w:t xml:space="preserve">a </w:t>
      </w:r>
      <w:r w:rsidRPr="00EB30CC">
        <w:t>revised population and comparators), implementation issues relating to the centres offering the proposed technology, commercial terms</w:t>
      </w:r>
      <w:r>
        <w:t>,</w:t>
      </w:r>
      <w:r w:rsidRPr="00EB30CC">
        <w:t xml:space="preserve"> and concerns regarding the economic and financial modelling.</w:t>
      </w:r>
      <w:r w:rsidR="00E41BC8" w:rsidRPr="00E41BC8">
        <w:t xml:space="preserve"> </w:t>
      </w:r>
      <w:r w:rsidR="00E41BC8">
        <w:t xml:space="preserve">MSAC noted that the applicant had addressed </w:t>
      </w:r>
      <w:r w:rsidR="001B1026">
        <w:t>or partially</w:t>
      </w:r>
      <w:r w:rsidR="00233C02">
        <w:t xml:space="preserve"> addressed</w:t>
      </w:r>
      <w:r w:rsidR="001B1026">
        <w:t xml:space="preserve"> </w:t>
      </w:r>
      <w:r w:rsidR="00E41BC8">
        <w:t>many of these concerns in the resubmission,</w:t>
      </w:r>
      <w:r w:rsidR="009D4C82">
        <w:t xml:space="preserve"> </w:t>
      </w:r>
      <w:r w:rsidR="001B1026">
        <w:t xml:space="preserve">but there were remaining concerns and uncertainties as </w:t>
      </w:r>
      <w:r w:rsidR="00E41BC8">
        <w:t>described below</w:t>
      </w:r>
      <w:r w:rsidR="0049311D">
        <w:t>.</w:t>
      </w:r>
    </w:p>
    <w:p w14:paraId="24CF634C" w14:textId="591D83D4" w:rsidR="00BA71B3" w:rsidRDefault="00BA71B3" w:rsidP="004E486B">
      <w:r>
        <w:lastRenderedPageBreak/>
        <w:t xml:space="preserve">MSAC noted the feedback from states and territories, which expressed concerns about the uncertainty in the evidence base, comparator and placement in the clinical pathway, as well as the </w:t>
      </w:r>
      <w:r w:rsidR="00682F18">
        <w:t xml:space="preserve">mechanisms for ongoing data collection, </w:t>
      </w:r>
      <w:r w:rsidR="0017442B">
        <w:t xml:space="preserve">the </w:t>
      </w:r>
      <w:r>
        <w:t xml:space="preserve">high </w:t>
      </w:r>
      <w:r w:rsidR="008175A3">
        <w:t xml:space="preserve">proposed </w:t>
      </w:r>
      <w:r>
        <w:t>price</w:t>
      </w:r>
      <w:r w:rsidR="008175A3">
        <w:t xml:space="preserve"> of imlifidase</w:t>
      </w:r>
      <w:r>
        <w:t>, the equity and access issues if limited to specialist centres with an annual patient cap, and implementation issues that may limit uptake.</w:t>
      </w:r>
    </w:p>
    <w:p w14:paraId="627C29E1" w14:textId="116B142D" w:rsidR="00B04F0E" w:rsidRDefault="00B04F0E" w:rsidP="004E486B">
      <w:r>
        <w:rPr>
          <w:rStyle w:val="normaltextrun"/>
        </w:rPr>
        <w:t>MSAC considered there is a high unmet clinical need for imlifidase.</w:t>
      </w:r>
    </w:p>
    <w:p w14:paraId="446282E2" w14:textId="2ADA6E0B" w:rsidR="004E486B" w:rsidRPr="001F6D92" w:rsidRDefault="004E486B" w:rsidP="004E486B">
      <w:r>
        <w:t xml:space="preserve">As suggested by MSAC, the resubmission limited the eligibility criteria for potential DD transplant recipients to </w:t>
      </w:r>
      <w:r w:rsidRPr="00020716">
        <w:t xml:space="preserve">those with </w:t>
      </w:r>
      <w:r>
        <w:t>calculated panel reactive antibody (</w:t>
      </w:r>
      <w:r w:rsidRPr="00020716">
        <w:t>cPRA</w:t>
      </w:r>
      <w:r>
        <w:t>)</w:t>
      </w:r>
      <w:r w:rsidRPr="00020716">
        <w:t xml:space="preserve"> </w:t>
      </w:r>
      <w:r>
        <w:t xml:space="preserve">values </w:t>
      </w:r>
      <w:r w:rsidRPr="00020716">
        <w:t xml:space="preserve">of 99% or more and who have been on the </w:t>
      </w:r>
      <w:r>
        <w:t>DD waitlist</w:t>
      </w:r>
      <w:r w:rsidRPr="00020716">
        <w:t xml:space="preserve"> for </w:t>
      </w:r>
      <w:r>
        <w:t>at least 2</w:t>
      </w:r>
      <w:r w:rsidRPr="00020716">
        <w:t> years</w:t>
      </w:r>
      <w:r>
        <w:t xml:space="preserve">. For potential LD transplant recipients, the criteria had been modified to </w:t>
      </w:r>
      <w:r w:rsidRPr="00020716">
        <w:t>those with cPRA of 99% or more</w:t>
      </w:r>
      <w:r>
        <w:t xml:space="preserve"> and who have failed previous desensitisation regimens, or where these are contraindicated, or where other desensitisation regimens are considered unlikely to be effective or are not logistically compatible with the circumstances. </w:t>
      </w:r>
      <w:r w:rsidR="006B47A4">
        <w:rPr>
          <w:rFonts w:eastAsia="Segoe UI"/>
        </w:rPr>
        <w:t>MSAC</w:t>
      </w:r>
      <w:r w:rsidR="00E90F3F">
        <w:rPr>
          <w:rFonts w:eastAsia="Segoe UI"/>
        </w:rPr>
        <w:t xml:space="preserve"> </w:t>
      </w:r>
      <w:r w:rsidR="007E4628">
        <w:rPr>
          <w:rFonts w:eastAsia="Segoe UI"/>
        </w:rPr>
        <w:t>noted that</w:t>
      </w:r>
      <w:r w:rsidR="006B47A4">
        <w:rPr>
          <w:rFonts w:eastAsia="Segoe UI"/>
        </w:rPr>
        <w:t xml:space="preserve"> the</w:t>
      </w:r>
      <w:r w:rsidR="007E4628">
        <w:rPr>
          <w:rFonts w:eastAsia="Segoe UI"/>
        </w:rPr>
        <w:t xml:space="preserve"> </w:t>
      </w:r>
      <w:r w:rsidR="006E68BC" w:rsidRPr="00825E18">
        <w:rPr>
          <w:rStyle w:val="normaltextrun"/>
        </w:rPr>
        <w:t xml:space="preserve">Renal Transplant Advisory Committee </w:t>
      </w:r>
      <w:r w:rsidR="006E68BC">
        <w:rPr>
          <w:rStyle w:val="normaltextrun"/>
        </w:rPr>
        <w:t>(</w:t>
      </w:r>
      <w:r w:rsidR="007E4628">
        <w:rPr>
          <w:rFonts w:eastAsia="Segoe UI"/>
        </w:rPr>
        <w:t>RTAC</w:t>
      </w:r>
      <w:r w:rsidR="006E68BC">
        <w:rPr>
          <w:rFonts w:eastAsia="Segoe UI"/>
        </w:rPr>
        <w:t>)</w:t>
      </w:r>
      <w:r w:rsidR="003801B8">
        <w:rPr>
          <w:rFonts w:eastAsia="Segoe UI"/>
        </w:rPr>
        <w:t xml:space="preserve"> of the </w:t>
      </w:r>
      <w:r w:rsidR="003801B8">
        <w:t>Transplantation Society of Australia and New Zealand</w:t>
      </w:r>
      <w:r w:rsidR="00870318">
        <w:t xml:space="preserve"> (TSANZ)</w:t>
      </w:r>
      <w:r w:rsidR="007E4628">
        <w:rPr>
          <w:rFonts w:eastAsia="Segoe UI"/>
        </w:rPr>
        <w:t xml:space="preserve"> had </w:t>
      </w:r>
      <w:r w:rsidR="003C2402">
        <w:rPr>
          <w:rFonts w:eastAsia="Segoe UI"/>
        </w:rPr>
        <w:t xml:space="preserve">questioned </w:t>
      </w:r>
      <w:r w:rsidR="007E4628">
        <w:rPr>
          <w:rFonts w:eastAsia="Segoe UI"/>
        </w:rPr>
        <w:t xml:space="preserve">the </w:t>
      </w:r>
      <w:r w:rsidR="006B47A4">
        <w:rPr>
          <w:rFonts w:eastAsia="Segoe UI"/>
        </w:rPr>
        <w:t xml:space="preserve">applicant’s </w:t>
      </w:r>
      <w:r w:rsidR="007E4628">
        <w:rPr>
          <w:rFonts w:eastAsia="Segoe UI"/>
        </w:rPr>
        <w:t>revised eligibility criteria</w:t>
      </w:r>
      <w:r w:rsidR="003C2402">
        <w:rPr>
          <w:rFonts w:eastAsia="Segoe UI"/>
        </w:rPr>
        <w:t xml:space="preserve"> </w:t>
      </w:r>
      <w:r w:rsidR="007E4628">
        <w:rPr>
          <w:rFonts w:eastAsia="Segoe UI"/>
        </w:rPr>
        <w:t xml:space="preserve">for </w:t>
      </w:r>
      <w:r w:rsidR="007E4628">
        <w:t>potential LD transplant</w:t>
      </w:r>
      <w:r w:rsidR="00A27D10">
        <w:t>s</w:t>
      </w:r>
      <w:r w:rsidR="003C2402" w:rsidRPr="00B3150A">
        <w:t xml:space="preserve"> </w:t>
      </w:r>
      <w:r w:rsidR="00B54D93">
        <w:t>citing</w:t>
      </w:r>
      <w:r w:rsidR="00B54D93" w:rsidRPr="00527717">
        <w:t xml:space="preserve"> </w:t>
      </w:r>
      <w:r w:rsidR="003C2402" w:rsidRPr="00527717">
        <w:t xml:space="preserve">logistical </w:t>
      </w:r>
      <w:r w:rsidR="003C2402">
        <w:t>issues preventing the use of existing desensitisation regimens</w:t>
      </w:r>
      <w:r w:rsidR="00A27D10">
        <w:t xml:space="preserve"> because </w:t>
      </w:r>
      <w:r w:rsidR="003C2402">
        <w:t xml:space="preserve">in practice, </w:t>
      </w:r>
      <w:r w:rsidR="003C2402" w:rsidRPr="00B3150A">
        <w:t xml:space="preserve">a </w:t>
      </w:r>
      <w:r w:rsidR="003C2402" w:rsidRPr="00576FA1">
        <w:t>substantial</w:t>
      </w:r>
      <w:r w:rsidR="003C2402" w:rsidRPr="00B3150A">
        <w:t xml:space="preserve"> proportion of recipients managed with </w:t>
      </w:r>
      <w:r w:rsidR="003C2402" w:rsidRPr="00527717">
        <w:t>imlifidase</w:t>
      </w:r>
      <w:r w:rsidR="003C2402">
        <w:t xml:space="preserve"> will require existing desensitising regimens to manage rejection</w:t>
      </w:r>
      <w:r w:rsidR="003C2402" w:rsidRPr="00527717">
        <w:t>.</w:t>
      </w:r>
      <w:r w:rsidR="00A27D10">
        <w:t xml:space="preserve"> </w:t>
      </w:r>
      <w:r w:rsidR="00201F90">
        <w:t xml:space="preserve">MSAC noted that ESC </w:t>
      </w:r>
      <w:r w:rsidR="007D19C0">
        <w:t xml:space="preserve">had </w:t>
      </w:r>
      <w:r w:rsidR="00201F90">
        <w:t xml:space="preserve">similar concerns and </w:t>
      </w:r>
      <w:r w:rsidR="00CD608D">
        <w:t xml:space="preserve">agreed with ESC </w:t>
      </w:r>
      <w:r w:rsidR="00A27D10">
        <w:t>that this criterion should be revised</w:t>
      </w:r>
      <w:r w:rsidR="009016DA">
        <w:t>.</w:t>
      </w:r>
    </w:p>
    <w:p w14:paraId="7A1B714C" w14:textId="1129A29B" w:rsidR="00F507F2" w:rsidRDefault="004E486B" w:rsidP="00F507F2">
      <w:r>
        <w:t xml:space="preserve">RTAC noted that not all patients will be medically suitable to receive imlifidase and, at least initially, </w:t>
      </w:r>
      <w:r w:rsidRPr="0051338A">
        <w:t xml:space="preserve">the ability to </w:t>
      </w:r>
      <w:r>
        <w:t>use</w:t>
      </w:r>
      <w:r w:rsidRPr="0051338A">
        <w:t xml:space="preserve"> imlifidase for DD </w:t>
      </w:r>
      <w:r>
        <w:t>transplants will be affected</w:t>
      </w:r>
      <w:r w:rsidRPr="0051338A">
        <w:t xml:space="preserve"> by logistic considerations (such as the ability to repeat single antigen bead testing </w:t>
      </w:r>
      <w:r>
        <w:t xml:space="preserve">[e.g. Luminex] </w:t>
      </w:r>
      <w:r w:rsidRPr="0051338A">
        <w:t>after administration of imli</w:t>
      </w:r>
      <w:r>
        <w:t>fi</w:t>
      </w:r>
      <w:r w:rsidRPr="0051338A">
        <w:t xml:space="preserve">dase </w:t>
      </w:r>
      <w:r>
        <w:t>before</w:t>
      </w:r>
      <w:r w:rsidRPr="0051338A">
        <w:t xml:space="preserve"> proceeding with transplantation</w:t>
      </w:r>
      <w:r>
        <w:t xml:space="preserve">). </w:t>
      </w:r>
      <w:r w:rsidR="00F507F2" w:rsidRPr="49342470">
        <w:rPr>
          <w:rFonts w:eastAsia="Times New Roman"/>
        </w:rPr>
        <w:t xml:space="preserve">MSAC recalled that ESC requested that the </w:t>
      </w:r>
      <w:r w:rsidR="00EB447F">
        <w:rPr>
          <w:rFonts w:eastAsia="Times New Roman"/>
        </w:rPr>
        <w:t>d</w:t>
      </w:r>
      <w:r w:rsidR="00F507F2" w:rsidRPr="49342470">
        <w:rPr>
          <w:rFonts w:eastAsia="Times New Roman"/>
        </w:rPr>
        <w:t xml:space="preserve">epartment undertake additional consultation with </w:t>
      </w:r>
      <w:r w:rsidR="001D0962">
        <w:rPr>
          <w:rFonts w:eastAsia="Times New Roman"/>
        </w:rPr>
        <w:t>relevant stakeholder</w:t>
      </w:r>
      <w:r w:rsidR="00456FD3">
        <w:rPr>
          <w:rFonts w:eastAsia="Times New Roman"/>
        </w:rPr>
        <w:t>s</w:t>
      </w:r>
      <w:r w:rsidR="00F507F2" w:rsidRPr="49342470">
        <w:rPr>
          <w:rFonts w:eastAsia="Times New Roman"/>
        </w:rPr>
        <w:t xml:space="preserve"> to collect additional data on the estimated numbers of patients in the ANZDATA with cPRA ≥99% to assist with the enquiry into how many patients would be considered medically suitable for imlifidase</w:t>
      </w:r>
      <w:r w:rsidR="00F507F2">
        <w:rPr>
          <w:rFonts w:eastAsia="Times New Roman"/>
        </w:rPr>
        <w:t xml:space="preserve">. </w:t>
      </w:r>
      <w:r w:rsidR="00F507F2">
        <w:t xml:space="preserve">MSAC noted the following information received from the </w:t>
      </w:r>
      <w:r w:rsidR="00EB447F">
        <w:t>d</w:t>
      </w:r>
      <w:r w:rsidR="00F507F2">
        <w:t>epartment’s further inquiries into these questions:</w:t>
      </w:r>
    </w:p>
    <w:p w14:paraId="09D66953" w14:textId="1FF75C12" w:rsidR="00F507F2" w:rsidRDefault="00F507F2" w:rsidP="0033037C">
      <w:pPr>
        <w:pStyle w:val="ListParagraph"/>
        <w:numPr>
          <w:ilvl w:val="0"/>
          <w:numId w:val="37"/>
        </w:numPr>
      </w:pPr>
      <w:r>
        <w:t xml:space="preserve">ANZDATA stated that, at the end of 2022, there were 135 patients on the kidney transplant waitlist with PRA &gt;99% (equating to 10.4% of patients on the waiting list), and these patients had a median wait time of 5.2 years. ANZDATA also advised that the use of imlifidase can be recorded at the time of transplant </w:t>
      </w:r>
      <w:r w:rsidRPr="00BF2C51">
        <w:t xml:space="preserve">for the induction variable </w:t>
      </w:r>
      <w:r>
        <w:t>“</w:t>
      </w:r>
      <w:r w:rsidRPr="00BF2C51">
        <w:t>other</w:t>
      </w:r>
      <w:r>
        <w:t>”</w:t>
      </w:r>
      <w:r w:rsidRPr="00BF2C51">
        <w:t>, with the option for free</w:t>
      </w:r>
      <w:r>
        <w:t>-</w:t>
      </w:r>
      <w:r w:rsidRPr="00BF2C51">
        <w:t>text entry</w:t>
      </w:r>
      <w:r>
        <w:t>.</w:t>
      </w:r>
    </w:p>
    <w:p w14:paraId="01933A3F" w14:textId="14271CCC" w:rsidR="00F507F2" w:rsidRDefault="00F507F2" w:rsidP="0033037C">
      <w:pPr>
        <w:pStyle w:val="ListParagraph"/>
        <w:numPr>
          <w:ilvl w:val="0"/>
          <w:numId w:val="37"/>
        </w:numPr>
      </w:pPr>
      <w:r>
        <w:t>OrganMatch stated that there are 114 patients waiting for a DD kidney with a match panel reactive antibody (mPRA) value &gt;99% who have been waiting more than 2 years, and nine kidney paired donation recipients &gt;99% who have been waiting more than 2 years</w:t>
      </w:r>
      <w:r w:rsidRPr="002D506F">
        <w:t>. OrganMatch advised that it could flag these patients in the database, which would allow review of the numbers of patients transplanted after using imlifidase, as well as the impact of waiting times on imlifidase patients and other patients on the transplant waiting list. These</w:t>
      </w:r>
      <w:r>
        <w:t xml:space="preserve"> data would be included in the annual report from OrganMatch to RTAC.</w:t>
      </w:r>
    </w:p>
    <w:p w14:paraId="082E32FF" w14:textId="77777777" w:rsidR="00F507F2" w:rsidRPr="002D506F" w:rsidRDefault="00F507F2" w:rsidP="0033037C">
      <w:pPr>
        <w:pStyle w:val="ListParagraph"/>
        <w:numPr>
          <w:ilvl w:val="0"/>
          <w:numId w:val="37"/>
        </w:numPr>
      </w:pPr>
      <w:r>
        <w:t xml:space="preserve">The Organ and Tissue Authority did not know the number of </w:t>
      </w:r>
      <w:r w:rsidRPr="000508F2">
        <w:t xml:space="preserve">recipients who could potentially benefit from the use of </w:t>
      </w:r>
      <w:r>
        <w:t>i</w:t>
      </w:r>
      <w:r w:rsidRPr="000508F2">
        <w:t>mlifidase</w:t>
      </w:r>
      <w:r>
        <w:t xml:space="preserve"> and were uncertain about how it would be used in </w:t>
      </w:r>
      <w:r w:rsidRPr="002D506F">
        <w:t xml:space="preserve">the DD segment.  </w:t>
      </w:r>
    </w:p>
    <w:p w14:paraId="4FCD1C57" w14:textId="6EBFCD33" w:rsidR="004E486B" w:rsidRDefault="002A1C0C" w:rsidP="004E486B">
      <w:r w:rsidRPr="00E45808">
        <w:t xml:space="preserve">RTAC also supported restricting imlifidase use to current centres of excellence but advised that it was reasonable to leave the definition of which centres should be able to access imlifidase to the state transplant advisory committees, aligned with the governance processes outlined within the NHRA (Addendum) </w:t>
      </w:r>
      <w:r w:rsidRPr="00791CF9">
        <w:t>Appendix B, Part F, which states that “States and Territories decide when and where the therapy will be provided”</w:t>
      </w:r>
      <w:r w:rsidRPr="008C4D28">
        <w:t>.</w:t>
      </w:r>
      <w:r w:rsidRPr="00491E19">
        <w:t xml:space="preserve"> MSAC noted the applicant’s survey of transplant centres, in which only one centre indicated that it would not have the capability to administer imlifidase. </w:t>
      </w:r>
      <w:r w:rsidRPr="00491E19">
        <w:lastRenderedPageBreak/>
        <w:t>MSAC agreed with RTAC’s proposed approach of restricting imlifidase use to centres of excellence if imlifidase were funded</w:t>
      </w:r>
      <w:r>
        <w:t xml:space="preserve">. </w:t>
      </w:r>
    </w:p>
    <w:p w14:paraId="48669220" w14:textId="5099F585" w:rsidR="004E486B" w:rsidRDefault="004E486B" w:rsidP="004E486B">
      <w:pPr>
        <w:rPr>
          <w:rFonts w:eastAsia="Times New Roman"/>
          <w:snapToGrid w:val="0"/>
        </w:rPr>
      </w:pPr>
      <w:r>
        <w:t xml:space="preserve">Regarding the comparator, MSAC had previously considered that other </w:t>
      </w:r>
      <w:r w:rsidRPr="00020716">
        <w:rPr>
          <w:rFonts w:eastAsia="Times New Roman"/>
          <w:snapToGrid w:val="0"/>
        </w:rPr>
        <w:t>desensitisation protocols</w:t>
      </w:r>
      <w:r>
        <w:rPr>
          <w:rFonts w:eastAsia="Times New Roman"/>
          <w:snapToGrid w:val="0"/>
        </w:rPr>
        <w:t xml:space="preserve"> (intravenous immunoglobulin [IVIg], rituximab, plasma exchange) were an appropriate comparator, along with dialysis. </w:t>
      </w:r>
      <w:r w:rsidR="00F21052">
        <w:rPr>
          <w:rFonts w:eastAsia="Times New Roman"/>
          <w:snapToGrid w:val="0"/>
        </w:rPr>
        <w:t xml:space="preserve">MSAC </w:t>
      </w:r>
      <w:r w:rsidR="008E2819">
        <w:rPr>
          <w:rFonts w:eastAsia="Times New Roman"/>
          <w:snapToGrid w:val="0"/>
        </w:rPr>
        <w:t>recalled that</w:t>
      </w:r>
      <w:r w:rsidR="00F21052">
        <w:rPr>
          <w:rFonts w:eastAsia="Times New Roman"/>
          <w:snapToGrid w:val="0"/>
        </w:rPr>
        <w:t xml:space="preserve"> </w:t>
      </w:r>
      <w:r w:rsidR="003763B3">
        <w:rPr>
          <w:rFonts w:eastAsia="Times New Roman"/>
          <w:snapToGrid w:val="0"/>
        </w:rPr>
        <w:t>d</w:t>
      </w:r>
      <w:r w:rsidR="003763B3" w:rsidRPr="003763B3">
        <w:rPr>
          <w:rFonts w:eastAsia="Times New Roman"/>
          <w:snapToGrid w:val="0"/>
        </w:rPr>
        <w:t xml:space="preserve">espite </w:t>
      </w:r>
      <w:r w:rsidR="006E3AD8">
        <w:rPr>
          <w:rFonts w:eastAsia="Times New Roman"/>
          <w:snapToGrid w:val="0"/>
        </w:rPr>
        <w:t>its</w:t>
      </w:r>
      <w:r w:rsidR="003763B3" w:rsidRPr="003763B3">
        <w:rPr>
          <w:rFonts w:eastAsia="Times New Roman"/>
          <w:snapToGrid w:val="0"/>
        </w:rPr>
        <w:t xml:space="preserve"> advice</w:t>
      </w:r>
      <w:r w:rsidR="0020430D">
        <w:rPr>
          <w:rFonts w:eastAsia="Times New Roman"/>
          <w:snapToGrid w:val="0"/>
        </w:rPr>
        <w:t xml:space="preserve"> in the previous application (1732)</w:t>
      </w:r>
      <w:r w:rsidR="003763B3" w:rsidRPr="003763B3">
        <w:rPr>
          <w:rFonts w:eastAsia="Times New Roman"/>
          <w:snapToGrid w:val="0"/>
        </w:rPr>
        <w:t xml:space="preserve">, the </w:t>
      </w:r>
      <w:r w:rsidR="00FF783F">
        <w:rPr>
          <w:rFonts w:eastAsia="Times New Roman"/>
          <w:snapToGrid w:val="0"/>
        </w:rPr>
        <w:t>applicant developed assessment report (</w:t>
      </w:r>
      <w:r w:rsidR="003763B3">
        <w:rPr>
          <w:rFonts w:eastAsia="Times New Roman"/>
          <w:snapToGrid w:val="0"/>
        </w:rPr>
        <w:t>ADAR</w:t>
      </w:r>
      <w:r w:rsidR="00FF783F">
        <w:rPr>
          <w:rFonts w:eastAsia="Times New Roman"/>
          <w:snapToGrid w:val="0"/>
        </w:rPr>
        <w:t>)</w:t>
      </w:r>
      <w:r w:rsidR="003763B3">
        <w:rPr>
          <w:rFonts w:eastAsia="Times New Roman"/>
          <w:snapToGrid w:val="0"/>
        </w:rPr>
        <w:t xml:space="preserve"> </w:t>
      </w:r>
      <w:r w:rsidR="003763B3" w:rsidRPr="003763B3">
        <w:rPr>
          <w:rFonts w:eastAsia="Times New Roman"/>
          <w:snapToGrid w:val="0"/>
        </w:rPr>
        <w:t>retain</w:t>
      </w:r>
      <w:r w:rsidR="003763B3">
        <w:rPr>
          <w:rFonts w:eastAsia="Times New Roman"/>
          <w:snapToGrid w:val="0"/>
        </w:rPr>
        <w:t>ed</w:t>
      </w:r>
      <w:r w:rsidR="003763B3" w:rsidRPr="003763B3">
        <w:rPr>
          <w:rFonts w:eastAsia="Times New Roman"/>
          <w:snapToGrid w:val="0"/>
        </w:rPr>
        <w:t xml:space="preserve"> current care (dialysis) as the comparator for both the LD and DD transplant populations</w:t>
      </w:r>
      <w:r w:rsidR="00FF786C">
        <w:rPr>
          <w:rFonts w:eastAsia="Times New Roman"/>
          <w:snapToGrid w:val="0"/>
        </w:rPr>
        <w:t xml:space="preserve">. MSAC noted ESC’s advice that the </w:t>
      </w:r>
      <w:r w:rsidR="003763B3" w:rsidRPr="003763B3">
        <w:rPr>
          <w:rFonts w:eastAsia="Times New Roman"/>
          <w:snapToGrid w:val="0"/>
        </w:rPr>
        <w:t>applicant should identify, collate and evaluate evidence of effectiveness of other desensitisation treatments</w:t>
      </w:r>
      <w:r w:rsidR="003763B3">
        <w:rPr>
          <w:rFonts w:eastAsia="Times New Roman"/>
          <w:snapToGrid w:val="0"/>
        </w:rPr>
        <w:t xml:space="preserve">. </w:t>
      </w:r>
      <w:r w:rsidR="00A900B7">
        <w:rPr>
          <w:rFonts w:eastAsia="Times New Roman"/>
          <w:snapToGrid w:val="0"/>
        </w:rPr>
        <w:t>MSAC no</w:t>
      </w:r>
      <w:r w:rsidR="000F3C48">
        <w:rPr>
          <w:rFonts w:eastAsia="Times New Roman"/>
          <w:snapToGrid w:val="0"/>
        </w:rPr>
        <w:t xml:space="preserve">ted the pre-MSAC response reasserted that </w:t>
      </w:r>
      <w:r w:rsidR="00A900B7" w:rsidRPr="00A900B7">
        <w:rPr>
          <w:rFonts w:eastAsia="Times New Roman"/>
          <w:snapToGrid w:val="0"/>
        </w:rPr>
        <w:t>no alternate desensitisation regimens or agents are registered by the TGA</w:t>
      </w:r>
      <w:r w:rsidR="000F3C48">
        <w:rPr>
          <w:rFonts w:eastAsia="Times New Roman"/>
          <w:snapToGrid w:val="0"/>
        </w:rPr>
        <w:t xml:space="preserve">. </w:t>
      </w:r>
      <w:r>
        <w:rPr>
          <w:rFonts w:eastAsia="Times New Roman"/>
          <w:snapToGrid w:val="0"/>
        </w:rPr>
        <w:t>MSAC noted the applicant’s survey of transplant centres, which indicated that a</w:t>
      </w:r>
      <w:r w:rsidRPr="00F7091A">
        <w:rPr>
          <w:rFonts w:eastAsia="Times New Roman"/>
          <w:snapToGrid w:val="0"/>
        </w:rPr>
        <w:t>ll centres had HS patients on their waitlist</w:t>
      </w:r>
      <w:r>
        <w:rPr>
          <w:rFonts w:eastAsia="Times New Roman"/>
          <w:snapToGrid w:val="0"/>
        </w:rPr>
        <w:t>,</w:t>
      </w:r>
      <w:r w:rsidRPr="00F7091A">
        <w:rPr>
          <w:rFonts w:eastAsia="Times New Roman"/>
          <w:snapToGrid w:val="0"/>
        </w:rPr>
        <w:t xml:space="preserve"> but only 45% had attempted currently available desensitisation regimens in the past year. Of those centres that did attempt desensitisation regimens, </w:t>
      </w:r>
      <w:r w:rsidR="005157E7">
        <w:rPr>
          <w:rFonts w:eastAsia="Times New Roman"/>
          <w:snapToGrid w:val="0"/>
        </w:rPr>
        <w:t>the reg</w:t>
      </w:r>
      <w:r w:rsidR="00B83336">
        <w:rPr>
          <w:rFonts w:eastAsia="Times New Roman"/>
          <w:snapToGrid w:val="0"/>
        </w:rPr>
        <w:t>i</w:t>
      </w:r>
      <w:r w:rsidR="005157E7">
        <w:rPr>
          <w:rFonts w:eastAsia="Times New Roman"/>
          <w:snapToGrid w:val="0"/>
        </w:rPr>
        <w:t>mens</w:t>
      </w:r>
      <w:r w:rsidR="00B83336">
        <w:rPr>
          <w:rFonts w:eastAsia="Times New Roman"/>
          <w:snapToGrid w:val="0"/>
        </w:rPr>
        <w:t xml:space="preserve"> </w:t>
      </w:r>
      <w:r w:rsidRPr="00F7091A">
        <w:rPr>
          <w:rFonts w:eastAsia="Times New Roman"/>
          <w:snapToGrid w:val="0"/>
        </w:rPr>
        <w:t>w</w:t>
      </w:r>
      <w:r w:rsidR="005157E7">
        <w:rPr>
          <w:rFonts w:eastAsia="Times New Roman"/>
          <w:snapToGrid w:val="0"/>
        </w:rPr>
        <w:t>ere</w:t>
      </w:r>
      <w:r w:rsidRPr="00F7091A">
        <w:rPr>
          <w:rFonts w:eastAsia="Times New Roman"/>
          <w:snapToGrid w:val="0"/>
        </w:rPr>
        <w:t xml:space="preserve"> only offered on average to </w:t>
      </w:r>
      <w:r>
        <w:rPr>
          <w:rFonts w:eastAsia="Times New Roman"/>
          <w:snapToGrid w:val="0"/>
        </w:rPr>
        <w:t xml:space="preserve">less than </w:t>
      </w:r>
      <w:r w:rsidRPr="00F7091A">
        <w:rPr>
          <w:rFonts w:eastAsia="Times New Roman"/>
          <w:snapToGrid w:val="0"/>
        </w:rPr>
        <w:t xml:space="preserve">20% of HS patients. </w:t>
      </w:r>
      <w:r>
        <w:rPr>
          <w:rFonts w:eastAsia="Times New Roman"/>
          <w:snapToGrid w:val="0"/>
        </w:rPr>
        <w:t>More than</w:t>
      </w:r>
      <w:r w:rsidRPr="00F7091A">
        <w:rPr>
          <w:rFonts w:eastAsia="Times New Roman"/>
          <w:snapToGrid w:val="0"/>
        </w:rPr>
        <w:t xml:space="preserve"> 80% of respondents cited an inadequate response </w:t>
      </w:r>
      <w:r w:rsidR="00B8468B">
        <w:rPr>
          <w:rFonts w:eastAsia="Times New Roman"/>
          <w:snapToGrid w:val="0"/>
        </w:rPr>
        <w:t xml:space="preserve">as the reason </w:t>
      </w:r>
      <w:r w:rsidRPr="00F7091A">
        <w:rPr>
          <w:rFonts w:eastAsia="Times New Roman"/>
          <w:snapToGrid w:val="0"/>
        </w:rPr>
        <w:t>for not offering desensitisation regimens.</w:t>
      </w:r>
      <w:r>
        <w:rPr>
          <w:rFonts w:eastAsia="Times New Roman"/>
          <w:snapToGrid w:val="0"/>
        </w:rPr>
        <w:t xml:space="preserve"> </w:t>
      </w:r>
      <w:r w:rsidRPr="00F7091A">
        <w:rPr>
          <w:rFonts w:eastAsia="Times New Roman"/>
          <w:snapToGrid w:val="0"/>
        </w:rPr>
        <w:t xml:space="preserve">Considering these </w:t>
      </w:r>
      <w:r w:rsidRPr="002D506F">
        <w:rPr>
          <w:rFonts w:eastAsia="Times New Roman"/>
          <w:snapToGrid w:val="0"/>
        </w:rPr>
        <w:t>results, MSAC agreed that the comparator should remain as current care in the absence of imlifidase – that</w:t>
      </w:r>
      <w:r>
        <w:rPr>
          <w:rFonts w:eastAsia="Times New Roman"/>
          <w:snapToGrid w:val="0"/>
        </w:rPr>
        <w:t xml:space="preserve"> is,</w:t>
      </w:r>
      <w:r w:rsidRPr="00F7091A">
        <w:rPr>
          <w:rFonts w:eastAsia="Times New Roman"/>
          <w:snapToGrid w:val="0"/>
        </w:rPr>
        <w:t xml:space="preserve"> dialysis until a transplant becomes available</w:t>
      </w:r>
      <w:r>
        <w:rPr>
          <w:rFonts w:eastAsia="Times New Roman"/>
          <w:snapToGrid w:val="0"/>
        </w:rPr>
        <w:t>. For LD recipients, MSAC noted the absence of clinical guidelines to guide desensitisation protocols,</w:t>
      </w:r>
      <w:r w:rsidR="001E2FE1">
        <w:rPr>
          <w:rFonts w:eastAsia="Times New Roman"/>
          <w:snapToGrid w:val="0"/>
        </w:rPr>
        <w:t xml:space="preserve"> which meant that </w:t>
      </w:r>
      <w:r w:rsidR="00A27F0B">
        <w:rPr>
          <w:rFonts w:eastAsia="Times New Roman"/>
          <w:snapToGrid w:val="0"/>
        </w:rPr>
        <w:t xml:space="preserve">the decision about </w:t>
      </w:r>
      <w:r w:rsidR="001E2FE1">
        <w:rPr>
          <w:rFonts w:eastAsia="Times New Roman"/>
          <w:snapToGrid w:val="0"/>
        </w:rPr>
        <w:t xml:space="preserve">when to </w:t>
      </w:r>
      <w:r w:rsidR="006E2663">
        <w:rPr>
          <w:rFonts w:eastAsia="Times New Roman"/>
          <w:snapToGrid w:val="0"/>
        </w:rPr>
        <w:t xml:space="preserve">use imlifidase </w:t>
      </w:r>
      <w:r w:rsidR="00976A48">
        <w:rPr>
          <w:rFonts w:eastAsia="Times New Roman"/>
          <w:snapToGrid w:val="0"/>
        </w:rPr>
        <w:t xml:space="preserve">was highly </w:t>
      </w:r>
      <w:r>
        <w:rPr>
          <w:rFonts w:eastAsia="Times New Roman"/>
          <w:snapToGrid w:val="0"/>
        </w:rPr>
        <w:t>dependent on clinical judgement.</w:t>
      </w:r>
    </w:p>
    <w:p w14:paraId="2200A799" w14:textId="22A3F3E8" w:rsidR="004E486B" w:rsidRDefault="004E486B" w:rsidP="004E486B">
      <w:r w:rsidRPr="00020716">
        <w:rPr>
          <w:rFonts w:eastAsia="Times New Roman"/>
          <w:snapToGrid w:val="0"/>
        </w:rPr>
        <w:t>MSAC</w:t>
      </w:r>
      <w:r w:rsidR="00F745E3">
        <w:rPr>
          <w:rFonts w:eastAsia="Times New Roman"/>
          <w:snapToGrid w:val="0"/>
        </w:rPr>
        <w:t xml:space="preserve"> recalled that in the previous application (1732) it</w:t>
      </w:r>
      <w:r w:rsidRPr="00020716">
        <w:rPr>
          <w:rFonts w:eastAsia="Times New Roman"/>
          <w:snapToGrid w:val="0"/>
        </w:rPr>
        <w:t xml:space="preserve"> </w:t>
      </w:r>
      <w:r>
        <w:rPr>
          <w:rFonts w:eastAsia="Times New Roman"/>
          <w:snapToGrid w:val="0"/>
        </w:rPr>
        <w:t xml:space="preserve">had </w:t>
      </w:r>
      <w:r w:rsidRPr="00020716">
        <w:rPr>
          <w:rFonts w:eastAsia="Times New Roman"/>
          <w:snapToGrid w:val="0"/>
        </w:rPr>
        <w:t>requested updated clinical data consistent with the proposed new population restriction</w:t>
      </w:r>
      <w:r>
        <w:rPr>
          <w:rFonts w:eastAsia="Times New Roman"/>
          <w:snapToGrid w:val="0"/>
        </w:rPr>
        <w:t xml:space="preserve">, including follow-up of initial trials, results of new and current phase 3 trials, and phase 4 trial data from the UK and Europe. MSAC noted that </w:t>
      </w:r>
      <w:r w:rsidR="00653FF6">
        <w:rPr>
          <w:rFonts w:eastAsia="Times New Roman"/>
          <w:snapToGrid w:val="0"/>
        </w:rPr>
        <w:t xml:space="preserve">additional </w:t>
      </w:r>
      <w:r>
        <w:rPr>
          <w:rFonts w:eastAsia="Times New Roman"/>
          <w:snapToGrid w:val="0"/>
        </w:rPr>
        <w:t>data had been provided</w:t>
      </w:r>
      <w:r w:rsidR="00653FF6">
        <w:rPr>
          <w:rFonts w:eastAsia="Times New Roman"/>
          <w:snapToGrid w:val="0"/>
        </w:rPr>
        <w:t xml:space="preserve"> in the form of</w:t>
      </w:r>
      <w:r w:rsidR="009974F5">
        <w:rPr>
          <w:rFonts w:eastAsia="Times New Roman"/>
          <w:snapToGrid w:val="0"/>
        </w:rPr>
        <w:t xml:space="preserve"> </w:t>
      </w:r>
      <w:r w:rsidR="005A51A5">
        <w:rPr>
          <w:rFonts w:eastAsia="Times New Roman"/>
          <w:snapToGrid w:val="0"/>
        </w:rPr>
        <w:t>a p</w:t>
      </w:r>
      <w:r w:rsidR="005A51A5" w:rsidRPr="005A51A5">
        <w:rPr>
          <w:rFonts w:eastAsia="Times New Roman"/>
          <w:snapToGrid w:val="0"/>
        </w:rPr>
        <w:t xml:space="preserve">ooled analysis of </w:t>
      </w:r>
      <w:r w:rsidR="009974F5" w:rsidRPr="009974F5">
        <w:rPr>
          <w:rFonts w:eastAsia="Times New Roman"/>
          <w:snapToGrid w:val="0"/>
        </w:rPr>
        <w:t xml:space="preserve">the 17-HMedIdeS-14 5-year observational study with </w:t>
      </w:r>
      <w:r w:rsidR="005A51A5" w:rsidRPr="005A51A5">
        <w:rPr>
          <w:rFonts w:eastAsia="Times New Roman"/>
          <w:snapToGrid w:val="0"/>
        </w:rPr>
        <w:t>6-month phase II data</w:t>
      </w:r>
      <w:r>
        <w:rPr>
          <w:rFonts w:eastAsia="Times New Roman"/>
          <w:snapToGrid w:val="0"/>
        </w:rPr>
        <w:t>, but agreed with ESC that these data were very limited.</w:t>
      </w:r>
    </w:p>
    <w:p w14:paraId="0E2A677C" w14:textId="57511928" w:rsidR="004E486B" w:rsidRDefault="004E486B" w:rsidP="004E486B">
      <w:pPr>
        <w:rPr>
          <w:rFonts w:eastAsia="Times New Roman"/>
          <w:snapToGrid w:val="0"/>
        </w:rPr>
      </w:pPr>
      <w:r w:rsidRPr="00020716">
        <w:rPr>
          <w:rFonts w:eastAsia="Times New Roman"/>
          <w:snapToGrid w:val="0"/>
        </w:rPr>
        <w:t xml:space="preserve">MSAC </w:t>
      </w:r>
      <w:r w:rsidR="000C74B3">
        <w:rPr>
          <w:rFonts w:eastAsia="Times New Roman"/>
          <w:snapToGrid w:val="0"/>
        </w:rPr>
        <w:t xml:space="preserve">recalled that it had </w:t>
      </w:r>
      <w:r>
        <w:rPr>
          <w:rFonts w:eastAsia="Times New Roman"/>
          <w:snapToGrid w:val="0"/>
        </w:rPr>
        <w:t>expressed concern regarding</w:t>
      </w:r>
      <w:r w:rsidRPr="00020716">
        <w:rPr>
          <w:rFonts w:eastAsia="Times New Roman"/>
          <w:snapToGrid w:val="0"/>
        </w:rPr>
        <w:t xml:space="preserve"> the effectiveness outcomes</w:t>
      </w:r>
      <w:r w:rsidR="000C74B3">
        <w:rPr>
          <w:rFonts w:eastAsia="Times New Roman"/>
          <w:snapToGrid w:val="0"/>
        </w:rPr>
        <w:t xml:space="preserve"> reported in the previous ADAR</w:t>
      </w:r>
      <w:r w:rsidRPr="00020716">
        <w:rPr>
          <w:rFonts w:eastAsia="Times New Roman"/>
          <w:snapToGrid w:val="0"/>
        </w:rPr>
        <w:t>, especially the rates of hyperacute rejection (33%)</w:t>
      </w:r>
      <w:r>
        <w:rPr>
          <w:rFonts w:eastAsia="Times New Roman"/>
          <w:snapToGrid w:val="0"/>
        </w:rPr>
        <w:t>,</w:t>
      </w:r>
      <w:r w:rsidRPr="00E62C03">
        <w:rPr>
          <w:rFonts w:eastAsia="Times New Roman"/>
          <w:snapToGrid w:val="0"/>
        </w:rPr>
        <w:t xml:space="preserve"> </w:t>
      </w:r>
      <w:r>
        <w:rPr>
          <w:rFonts w:eastAsia="Times New Roman"/>
          <w:snapToGrid w:val="0"/>
        </w:rPr>
        <w:t xml:space="preserve">delayed graft function (DGF, </w:t>
      </w:r>
      <w:r w:rsidRPr="00E62C03">
        <w:rPr>
          <w:rFonts w:eastAsia="Times New Roman"/>
          <w:snapToGrid w:val="0"/>
        </w:rPr>
        <w:t xml:space="preserve">41%), </w:t>
      </w:r>
      <w:r>
        <w:rPr>
          <w:rFonts w:eastAsia="Times New Roman"/>
          <w:snapToGrid w:val="0"/>
        </w:rPr>
        <w:t xml:space="preserve">antibody-mediated rejection (AMR, </w:t>
      </w:r>
      <w:r w:rsidRPr="00E62C03">
        <w:rPr>
          <w:rFonts w:eastAsia="Times New Roman"/>
          <w:snapToGrid w:val="0"/>
        </w:rPr>
        <w:t xml:space="preserve">24%), and </w:t>
      </w:r>
      <w:r>
        <w:rPr>
          <w:rFonts w:eastAsia="Times New Roman"/>
          <w:snapToGrid w:val="0"/>
        </w:rPr>
        <w:t>chronic kidney disease (CKD)</w:t>
      </w:r>
      <w:r w:rsidRPr="00E62C03">
        <w:rPr>
          <w:rFonts w:eastAsia="Times New Roman"/>
          <w:snapToGrid w:val="0"/>
        </w:rPr>
        <w:t xml:space="preserve"> at stages 3–5 (50% at 6 months)</w:t>
      </w:r>
      <w:r>
        <w:rPr>
          <w:rFonts w:eastAsia="Times New Roman"/>
          <w:snapToGrid w:val="0"/>
        </w:rPr>
        <w:t xml:space="preserve">. The </w:t>
      </w:r>
      <w:r w:rsidR="000C74B3">
        <w:rPr>
          <w:rFonts w:eastAsia="Times New Roman"/>
          <w:snapToGrid w:val="0"/>
        </w:rPr>
        <w:t xml:space="preserve">resubmission ADAR </w:t>
      </w:r>
      <w:r>
        <w:rPr>
          <w:rFonts w:eastAsia="Times New Roman"/>
          <w:snapToGrid w:val="0"/>
        </w:rPr>
        <w:t xml:space="preserve">noted that </w:t>
      </w:r>
      <w:r w:rsidRPr="002D506F">
        <w:rPr>
          <w:rFonts w:eastAsia="Times New Roman"/>
          <w:snapToGrid w:val="0"/>
        </w:rPr>
        <w:t>the 33% hyperacute rejection</w:t>
      </w:r>
      <w:r w:rsidR="00B8468B" w:rsidRPr="002D506F">
        <w:rPr>
          <w:rFonts w:eastAsia="Times New Roman"/>
          <w:snapToGrid w:val="0"/>
        </w:rPr>
        <w:t xml:space="preserve"> rate</w:t>
      </w:r>
      <w:r w:rsidRPr="002D506F">
        <w:rPr>
          <w:rFonts w:eastAsia="Times New Roman"/>
          <w:snapToGrid w:val="0"/>
        </w:rPr>
        <w:t xml:space="preserve"> was a typographical error, and this had been revised to 2%. However, the </w:t>
      </w:r>
      <w:r w:rsidR="000C74B3" w:rsidRPr="002D506F">
        <w:rPr>
          <w:rFonts w:eastAsia="Times New Roman"/>
          <w:snapToGrid w:val="0"/>
        </w:rPr>
        <w:t>resubmission ADAR</w:t>
      </w:r>
      <w:r w:rsidRPr="002D506F">
        <w:rPr>
          <w:rFonts w:eastAsia="Times New Roman"/>
          <w:snapToGrid w:val="0"/>
        </w:rPr>
        <w:t xml:space="preserve"> did not provide additional information about </w:t>
      </w:r>
      <w:r w:rsidR="009A7E06" w:rsidRPr="002D506F">
        <w:rPr>
          <w:rFonts w:eastAsia="Times New Roman"/>
          <w:snapToGrid w:val="0"/>
        </w:rPr>
        <w:t xml:space="preserve">rates of </w:t>
      </w:r>
      <w:r w:rsidRPr="002D506F">
        <w:rPr>
          <w:rFonts w:eastAsia="Times New Roman"/>
          <w:snapToGrid w:val="0"/>
        </w:rPr>
        <w:t>DGF, AMR or CKD.</w:t>
      </w:r>
    </w:p>
    <w:p w14:paraId="0BD0BDCB" w14:textId="1276C951" w:rsidR="004E486B" w:rsidRPr="001F6D92" w:rsidRDefault="004E486B" w:rsidP="004E486B">
      <w:pPr>
        <w:rPr>
          <w:rFonts w:eastAsia="Times New Roman"/>
          <w:snapToGrid w:val="0"/>
        </w:rPr>
      </w:pPr>
      <w:r w:rsidRPr="00020716">
        <w:rPr>
          <w:rFonts w:eastAsia="Times New Roman"/>
          <w:snapToGrid w:val="0"/>
        </w:rPr>
        <w:t>MSAC</w:t>
      </w:r>
      <w:r>
        <w:rPr>
          <w:rFonts w:eastAsia="Times New Roman"/>
          <w:snapToGrid w:val="0"/>
        </w:rPr>
        <w:t xml:space="preserve"> had</w:t>
      </w:r>
      <w:r w:rsidRPr="00020716">
        <w:rPr>
          <w:rFonts w:eastAsia="Times New Roman"/>
          <w:snapToGrid w:val="0"/>
        </w:rPr>
        <w:t xml:space="preserve"> questioned the applicability of the clinical trial data to Australian kidney transplant patients</w:t>
      </w:r>
      <w:r>
        <w:rPr>
          <w:rFonts w:eastAsia="Times New Roman"/>
          <w:snapToGrid w:val="0"/>
        </w:rPr>
        <w:t xml:space="preserve">. </w:t>
      </w:r>
      <w:r w:rsidR="00482782" w:rsidRPr="49342470">
        <w:rPr>
          <w:rFonts w:eastAsia="Times New Roman"/>
        </w:rPr>
        <w:t xml:space="preserve">To address this concern the ADAR reported the results of </w:t>
      </w:r>
      <w:r w:rsidR="00C0561A" w:rsidRPr="49342470">
        <w:rPr>
          <w:rFonts w:eastAsia="Times New Roman"/>
        </w:rPr>
        <w:t xml:space="preserve">a </w:t>
      </w:r>
      <w:r>
        <w:rPr>
          <w:rFonts w:eastAsia="Times New Roman"/>
          <w:snapToGrid w:val="0"/>
        </w:rPr>
        <w:t>survey of transplant centres</w:t>
      </w:r>
      <w:r w:rsidR="00C0561A" w:rsidRPr="49342470">
        <w:rPr>
          <w:rFonts w:eastAsia="Times New Roman"/>
        </w:rPr>
        <w:t xml:space="preserve"> which </w:t>
      </w:r>
      <w:r>
        <w:rPr>
          <w:rFonts w:eastAsia="Times New Roman"/>
          <w:snapToGrid w:val="0"/>
        </w:rPr>
        <w:t>indicated that 9</w:t>
      </w:r>
      <w:r w:rsidRPr="004450B7">
        <w:rPr>
          <w:rFonts w:eastAsia="Times New Roman"/>
          <w:snapToGrid w:val="0"/>
        </w:rPr>
        <w:t xml:space="preserve"> of 11 </w:t>
      </w:r>
      <w:r>
        <w:rPr>
          <w:rFonts w:eastAsia="Times New Roman"/>
          <w:snapToGrid w:val="0"/>
        </w:rPr>
        <w:t xml:space="preserve">centres </w:t>
      </w:r>
      <w:r w:rsidRPr="004450B7">
        <w:rPr>
          <w:rFonts w:eastAsia="Times New Roman"/>
          <w:snapToGrid w:val="0"/>
        </w:rPr>
        <w:t>(8</w:t>
      </w:r>
      <w:r w:rsidR="0096795C">
        <w:rPr>
          <w:rFonts w:eastAsia="Times New Roman"/>
          <w:snapToGrid w:val="0"/>
        </w:rPr>
        <w:t>2</w:t>
      </w:r>
      <w:r w:rsidRPr="004450B7">
        <w:rPr>
          <w:rFonts w:eastAsia="Times New Roman"/>
          <w:snapToGrid w:val="0"/>
        </w:rPr>
        <w:t xml:space="preserve">%) </w:t>
      </w:r>
      <w:r w:rsidR="00C0561A" w:rsidRPr="49342470">
        <w:rPr>
          <w:rFonts w:eastAsia="Times New Roman"/>
        </w:rPr>
        <w:t xml:space="preserve">considered that </w:t>
      </w:r>
      <w:r w:rsidR="00F129D6" w:rsidRPr="49342470">
        <w:rPr>
          <w:rFonts w:eastAsia="Times New Roman"/>
        </w:rPr>
        <w:t>the results of the trial data were applicable while</w:t>
      </w:r>
      <w:r w:rsidRPr="004450B7">
        <w:rPr>
          <w:rFonts w:eastAsia="Times New Roman"/>
          <w:snapToGrid w:val="0"/>
        </w:rPr>
        <w:t xml:space="preserve"> the other </w:t>
      </w:r>
      <w:r>
        <w:rPr>
          <w:rFonts w:eastAsia="Times New Roman"/>
          <w:snapToGrid w:val="0"/>
        </w:rPr>
        <w:t>2</w:t>
      </w:r>
      <w:r w:rsidRPr="004450B7">
        <w:rPr>
          <w:rFonts w:eastAsia="Times New Roman"/>
          <w:snapToGrid w:val="0"/>
        </w:rPr>
        <w:t xml:space="preserve"> (18%) responded</w:t>
      </w:r>
      <w:r w:rsidR="00F129D6" w:rsidRPr="49342470">
        <w:rPr>
          <w:rFonts w:eastAsia="Times New Roman"/>
        </w:rPr>
        <w:t xml:space="preserve"> that they were</w:t>
      </w:r>
      <w:r w:rsidRPr="004450B7">
        <w:rPr>
          <w:rFonts w:eastAsia="Times New Roman"/>
          <w:snapToGrid w:val="0"/>
        </w:rPr>
        <w:t xml:space="preserve"> ‘unsure’. </w:t>
      </w:r>
      <w:r w:rsidR="00893390">
        <w:rPr>
          <w:rFonts w:eastAsia="Times New Roman"/>
        </w:rPr>
        <w:t xml:space="preserve">MSAC noted </w:t>
      </w:r>
      <w:r w:rsidR="006108F7">
        <w:rPr>
          <w:rFonts w:eastAsia="Times New Roman"/>
        </w:rPr>
        <w:t xml:space="preserve">that the patient population presented in the survey did not align with that proposed in the application. Furthermore, MSAC noted </w:t>
      </w:r>
      <w:r w:rsidR="00893390">
        <w:rPr>
          <w:rFonts w:eastAsia="Times New Roman"/>
        </w:rPr>
        <w:t xml:space="preserve">that </w:t>
      </w:r>
      <w:r w:rsidR="00971548">
        <w:rPr>
          <w:rFonts w:eastAsia="Times New Roman"/>
        </w:rPr>
        <w:t xml:space="preserve">as </w:t>
      </w:r>
      <w:r w:rsidR="00893390">
        <w:rPr>
          <w:rFonts w:eastAsia="Times New Roman"/>
        </w:rPr>
        <w:t xml:space="preserve">this is a survey based on opinion </w:t>
      </w:r>
      <w:r w:rsidR="00971548">
        <w:rPr>
          <w:rFonts w:eastAsia="Times New Roman"/>
        </w:rPr>
        <w:t>it</w:t>
      </w:r>
      <w:r w:rsidR="00893390">
        <w:rPr>
          <w:rFonts w:eastAsia="Times New Roman"/>
        </w:rPr>
        <w:t xml:space="preserve"> cannot be verified.</w:t>
      </w:r>
      <w:r w:rsidR="00D330EB">
        <w:t xml:space="preserve"> </w:t>
      </w:r>
      <w:r w:rsidR="006F6C78">
        <w:t xml:space="preserve">MSAC noted that the pre-MSAC response </w:t>
      </w:r>
      <w:r w:rsidR="00175FDA">
        <w:t xml:space="preserve">reasserted the claim that imlifidase had a </w:t>
      </w:r>
      <w:r w:rsidR="006F6C78" w:rsidRPr="006F6C78">
        <w:t>universally reliable mode of action for rapidly cleaving IgG in humans irrespective of the heterogeneity observed in the trial population</w:t>
      </w:r>
      <w:r w:rsidR="00175FDA">
        <w:t>.</w:t>
      </w:r>
    </w:p>
    <w:p w14:paraId="142871EF" w14:textId="0AFDB8B7" w:rsidR="0081249E" w:rsidRDefault="004E486B" w:rsidP="004E486B">
      <w:r>
        <w:t xml:space="preserve">MSAC </w:t>
      </w:r>
      <w:r w:rsidR="00FF783F">
        <w:t>considered that the resubmission ADAR had partially addressed MSAC’s previous advice that the economic model should include clinical data to fit the new proposed population.</w:t>
      </w:r>
      <w:r w:rsidR="00C3312E">
        <w:t xml:space="preserve"> MSAC noted that although the economic model included clinical data from the pooled AUS-UTT-A population which better reflects the proposed population, this is restricted to patients who have been on the waitlist for at least 2 years, a requirement </w:t>
      </w:r>
      <w:r w:rsidR="0053753C">
        <w:t>not applicable to</w:t>
      </w:r>
      <w:r w:rsidR="00C3312E">
        <w:t xml:space="preserve"> the proposed LD population. </w:t>
      </w:r>
      <w:r w:rsidR="009A7093">
        <w:t xml:space="preserve">MSAC </w:t>
      </w:r>
      <w:r w:rsidR="00915618">
        <w:t xml:space="preserve">agreed that its previous concerns in </w:t>
      </w:r>
      <w:r w:rsidR="002865B3">
        <w:t xml:space="preserve">application </w:t>
      </w:r>
      <w:r w:rsidR="00915618">
        <w:t xml:space="preserve">1732 that the </w:t>
      </w:r>
      <w:r w:rsidR="00915618" w:rsidRPr="00F27150">
        <w:t>economic model underestimated the probability of transplantation without imlifidase treatment</w:t>
      </w:r>
      <w:r w:rsidR="002D1687">
        <w:t xml:space="preserve"> </w:t>
      </w:r>
      <w:r w:rsidR="00915618">
        <w:t xml:space="preserve">had been </w:t>
      </w:r>
      <w:r w:rsidR="00915618">
        <w:lastRenderedPageBreak/>
        <w:t>addressed in the resubmission ADAR by</w:t>
      </w:r>
      <w:r w:rsidR="00CE4224">
        <w:t xml:space="preserve"> assuming a </w:t>
      </w:r>
      <w:r w:rsidR="00CE4224" w:rsidRPr="00CE4224">
        <w:t>constant annual transplant rate of 13% in the current care arm of the model</w:t>
      </w:r>
      <w:r w:rsidR="00971548">
        <w:t>, which</w:t>
      </w:r>
      <w:r w:rsidR="00CE4224">
        <w:t xml:space="preserve"> was derived from OrganMatch data.</w:t>
      </w:r>
    </w:p>
    <w:p w14:paraId="67612D22" w14:textId="7BA89FB1" w:rsidR="004A4D29" w:rsidRDefault="00EF7823" w:rsidP="004A4D29">
      <w:r>
        <w:t>MSAC noted that</w:t>
      </w:r>
      <w:r w:rsidR="00135CA0" w:rsidRPr="00135CA0">
        <w:t xml:space="preserve"> </w:t>
      </w:r>
      <w:r w:rsidR="00135CA0" w:rsidRPr="002D506F">
        <w:t>the ADAR economic model base case still did not include all relevant costs and benefits from a health system perspective</w:t>
      </w:r>
      <w:r w:rsidR="000770B1">
        <w:t xml:space="preserve"> as had been previously advised in application 1732</w:t>
      </w:r>
      <w:r w:rsidR="00347781">
        <w:t>.</w:t>
      </w:r>
      <w:r w:rsidR="00135CA0" w:rsidRPr="00135CA0">
        <w:t xml:space="preserve"> </w:t>
      </w:r>
      <w:r w:rsidR="000B322B">
        <w:t xml:space="preserve">MSAC noted that there were three </w:t>
      </w:r>
      <w:r w:rsidR="00150375">
        <w:t xml:space="preserve">spillovers associated with </w:t>
      </w:r>
      <w:r w:rsidR="00355840">
        <w:t>imlifidase</w:t>
      </w:r>
      <w:r w:rsidR="00150375">
        <w:t xml:space="preserve"> (a </w:t>
      </w:r>
      <w:r w:rsidR="00205F7D">
        <w:t>‘</w:t>
      </w:r>
      <w:r w:rsidR="00150375">
        <w:t>spillover</w:t>
      </w:r>
      <w:r w:rsidR="00205F7D">
        <w:t>’</w:t>
      </w:r>
      <w:r w:rsidR="00150375">
        <w:t xml:space="preserve"> in this case meaning an impact, which </w:t>
      </w:r>
      <w:r w:rsidR="00355840">
        <w:t xml:space="preserve">can </w:t>
      </w:r>
      <w:r w:rsidR="00150375">
        <w:t>either be positive or negative</w:t>
      </w:r>
      <w:r w:rsidR="00205F7D">
        <w:t>,</w:t>
      </w:r>
      <w:r w:rsidR="00355840">
        <w:t xml:space="preserve"> on </w:t>
      </w:r>
      <w:r w:rsidR="00DE6300">
        <w:t>non-recipients of imlifidase</w:t>
      </w:r>
      <w:r w:rsidR="00150375">
        <w:t>)</w:t>
      </w:r>
      <w:r w:rsidR="00205F7D">
        <w:t>.</w:t>
      </w:r>
      <w:r w:rsidR="00A614E6">
        <w:t xml:space="preserve"> The first was a negative spillover</w:t>
      </w:r>
      <w:r w:rsidR="007C628A">
        <w:t xml:space="preserve"> due to</w:t>
      </w:r>
      <w:r w:rsidR="007C628A" w:rsidRPr="007C628A">
        <w:t xml:space="preserve"> </w:t>
      </w:r>
      <w:r w:rsidR="00796A3E">
        <w:t xml:space="preserve">non-HS patients </w:t>
      </w:r>
      <w:r w:rsidR="007C628A" w:rsidRPr="007C628A">
        <w:t xml:space="preserve">on the DD transplant waitlist </w:t>
      </w:r>
      <w:r w:rsidR="00796A3E">
        <w:t>being</w:t>
      </w:r>
      <w:r w:rsidR="007C628A" w:rsidRPr="007C628A">
        <w:t xml:space="preserve"> displaced by the allocation of a DD transplant to an imlifidase</w:t>
      </w:r>
      <w:r w:rsidR="00A90B94">
        <w:t xml:space="preserve"> recipient </w:t>
      </w:r>
      <w:r w:rsidR="007C628A" w:rsidRPr="007C628A">
        <w:t xml:space="preserve">due to the scarcity of </w:t>
      </w:r>
      <w:r w:rsidR="00796A3E">
        <w:t>DD</w:t>
      </w:r>
      <w:r w:rsidR="007C628A" w:rsidRPr="007C628A">
        <w:t xml:space="preserve"> kidneys</w:t>
      </w:r>
      <w:r w:rsidR="00796A3E">
        <w:t xml:space="preserve">. The second was a positive </w:t>
      </w:r>
      <w:r w:rsidR="006B0CF1">
        <w:t xml:space="preserve">spillover </w:t>
      </w:r>
      <w:r w:rsidR="00DE6300">
        <w:t xml:space="preserve">due to </w:t>
      </w:r>
      <w:r w:rsidR="0014058B">
        <w:t xml:space="preserve">an imlifidase-facilitated transplant completing a </w:t>
      </w:r>
      <w:r w:rsidR="00FB6DD4" w:rsidRPr="00FB6DD4">
        <w:t>LD kidney donation chain</w:t>
      </w:r>
      <w:r w:rsidR="00FB6DD4">
        <w:t xml:space="preserve"> </w:t>
      </w:r>
      <w:r w:rsidR="0014058B">
        <w:t xml:space="preserve">(which benefits people on the chain who are not recipients of </w:t>
      </w:r>
      <w:r w:rsidR="00FE319D">
        <w:t xml:space="preserve">imlifidase) </w:t>
      </w:r>
      <w:r w:rsidR="00FB6DD4">
        <w:t xml:space="preserve">and the third was a positive spillover </w:t>
      </w:r>
      <w:r w:rsidR="00FB6DD4" w:rsidRPr="00FB6DD4">
        <w:t>due to imlifidase</w:t>
      </w:r>
      <w:r w:rsidR="00032D12">
        <w:t xml:space="preserve">-facilitated transplants reducing the </w:t>
      </w:r>
      <w:r w:rsidR="00FB6DD4" w:rsidRPr="00FB6DD4">
        <w:t>waitlist for DD transplants</w:t>
      </w:r>
      <w:r w:rsidR="00DE6300">
        <w:t xml:space="preserve"> </w:t>
      </w:r>
      <w:r w:rsidR="00E5466B">
        <w:t xml:space="preserve">leading to a potential increase in the pool </w:t>
      </w:r>
      <w:r w:rsidR="001D27DA">
        <w:t>of donor kidneys</w:t>
      </w:r>
      <w:r w:rsidR="00032D12">
        <w:t>.</w:t>
      </w:r>
      <w:r w:rsidR="002B069F">
        <w:t xml:space="preserve"> MSAC noted that the base case economic model did not include any of these spillovers though the ADAR included a scenario analysis which took account of the first two spillovers</w:t>
      </w:r>
      <w:r w:rsidR="00484193">
        <w:t xml:space="preserve"> (</w:t>
      </w:r>
      <w:r w:rsidR="00ED422D">
        <w:t>the third spillover was not included in any</w:t>
      </w:r>
      <w:r w:rsidR="001F5B80">
        <w:t xml:space="preserve"> </w:t>
      </w:r>
      <w:r w:rsidR="002B069F">
        <w:t xml:space="preserve">scenario analyses because </w:t>
      </w:r>
      <w:r w:rsidR="001F5B80">
        <w:t>it was considered too uncertain to quantify</w:t>
      </w:r>
      <w:r w:rsidR="00484193">
        <w:t xml:space="preserve">). </w:t>
      </w:r>
      <w:r w:rsidR="004A4D29">
        <w:t xml:space="preserve">MSAC noted that that the size of the second spillover was based on expert opinion and </w:t>
      </w:r>
      <w:r w:rsidR="004A4D29" w:rsidRPr="001F5B80">
        <w:t>there was significant uncertainty about the number of patients in a completed LD kidney donation chain facilitated by imlifidase</w:t>
      </w:r>
      <w:r w:rsidR="004A4D29">
        <w:t>.</w:t>
      </w:r>
    </w:p>
    <w:p w14:paraId="6BF129AB" w14:textId="42B8E10B" w:rsidR="00726F69" w:rsidRDefault="00484193" w:rsidP="00C25F1F">
      <w:r>
        <w:t xml:space="preserve">MSAC noted that </w:t>
      </w:r>
      <w:r w:rsidR="00F538E9">
        <w:t xml:space="preserve">the base case </w:t>
      </w:r>
      <w:r w:rsidR="007F3BA1">
        <w:t>was highly sensitive to</w:t>
      </w:r>
      <w:r w:rsidR="00D3146D">
        <w:t xml:space="preserve"> </w:t>
      </w:r>
      <w:r w:rsidR="007F3BA1">
        <w:t xml:space="preserve">the first kind of (negative) spillover because </w:t>
      </w:r>
      <w:r w:rsidR="00EF3DD2">
        <w:t xml:space="preserve">the claimed cost offsets for dialysis for patients receiving imlifidase </w:t>
      </w:r>
      <w:r w:rsidR="000768DE">
        <w:t>would be</w:t>
      </w:r>
      <w:r w:rsidR="00EF3DD2">
        <w:t xml:space="preserve"> negligible </w:t>
      </w:r>
      <w:r w:rsidR="000768DE">
        <w:t>after accounting for</w:t>
      </w:r>
      <w:r w:rsidR="00EF3DD2">
        <w:t xml:space="preserve"> the additional costs of ongoing dialysis for </w:t>
      </w:r>
      <w:r w:rsidR="00C25F1F">
        <w:t xml:space="preserve">displaced </w:t>
      </w:r>
      <w:r w:rsidR="00EF3DD2">
        <w:t xml:space="preserve">non-HS patients who do not receive a DD transplant. </w:t>
      </w:r>
      <w:r w:rsidR="0080597F">
        <w:t xml:space="preserve">In addition the health outcomes of these displaced </w:t>
      </w:r>
      <w:r w:rsidR="000768DE">
        <w:t xml:space="preserve">non-HS </w:t>
      </w:r>
      <w:r w:rsidR="0080597F">
        <w:t>patients wh</w:t>
      </w:r>
      <w:r w:rsidR="00922F2F">
        <w:t>o</w:t>
      </w:r>
      <w:r w:rsidR="0080597F">
        <w:t xml:space="preserve"> would have been worse off due to displacement were also not included in any </w:t>
      </w:r>
      <w:r w:rsidR="002508AE">
        <w:t xml:space="preserve">scenario </w:t>
      </w:r>
      <w:r w:rsidR="0080597F">
        <w:t>analysis in the ADAR.</w:t>
      </w:r>
    </w:p>
    <w:p w14:paraId="06A5E868" w14:textId="0D1640F4" w:rsidR="0007284E" w:rsidRDefault="00347781" w:rsidP="001F5B80">
      <w:r w:rsidRPr="00347781">
        <w:t xml:space="preserve">MSAC noted </w:t>
      </w:r>
      <w:r>
        <w:t xml:space="preserve">that </w:t>
      </w:r>
      <w:r w:rsidRPr="00347781">
        <w:t>the pre-MSAC response</w:t>
      </w:r>
      <w:r>
        <w:t xml:space="preserve"> continued to </w:t>
      </w:r>
      <w:r w:rsidR="00A24E7A">
        <w:t>contend</w:t>
      </w:r>
      <w:r w:rsidR="00A24E7A" w:rsidRPr="00347781">
        <w:t xml:space="preserve"> </w:t>
      </w:r>
      <w:r w:rsidRPr="00347781">
        <w:t>against including</w:t>
      </w:r>
      <w:r w:rsidR="00051292">
        <w:t xml:space="preserve"> </w:t>
      </w:r>
      <w:r w:rsidR="00AE65EE">
        <w:t>negative spillovers</w:t>
      </w:r>
      <w:r w:rsidR="007108A2">
        <w:t xml:space="preserve"> </w:t>
      </w:r>
      <w:r w:rsidRPr="00347781">
        <w:t xml:space="preserve">in the </w:t>
      </w:r>
      <w:r w:rsidR="00AE65EE">
        <w:t xml:space="preserve">base case </w:t>
      </w:r>
      <w:r w:rsidRPr="00347781">
        <w:t xml:space="preserve">economic model, as </w:t>
      </w:r>
      <w:r w:rsidR="00AE65EE">
        <w:t>(by definition)</w:t>
      </w:r>
      <w:r w:rsidRPr="00347781">
        <w:t xml:space="preserve"> they are </w:t>
      </w:r>
      <w:r w:rsidR="00AE65EE">
        <w:t>impacts</w:t>
      </w:r>
      <w:r w:rsidRPr="00347781">
        <w:t xml:space="preserve"> outside the target population</w:t>
      </w:r>
      <w:r w:rsidR="000D0C5F">
        <w:t xml:space="preserve"> and that this was </w:t>
      </w:r>
      <w:r w:rsidR="00925FE1">
        <w:t xml:space="preserve">the approach adopted </w:t>
      </w:r>
      <w:r w:rsidR="00051292">
        <w:t>in</w:t>
      </w:r>
      <w:r w:rsidR="00925FE1">
        <w:t xml:space="preserve"> </w:t>
      </w:r>
      <w:r w:rsidR="00870318">
        <w:t>health technology assessment</w:t>
      </w:r>
      <w:r w:rsidR="003661C5">
        <w:t xml:space="preserve"> for imlifidase in other countries such as t</w:t>
      </w:r>
      <w:r w:rsidR="003661C5" w:rsidRPr="003661C5">
        <w:t>he NICE/ERG analysis resulting in a UK decision to reimburse imlifidase</w:t>
      </w:r>
      <w:r w:rsidR="003661C5">
        <w:t xml:space="preserve">. </w:t>
      </w:r>
      <w:r w:rsidR="008364B3">
        <w:t xml:space="preserve">The pre-MSAC response also </w:t>
      </w:r>
      <w:r w:rsidR="003F48D6">
        <w:t xml:space="preserve">asserted </w:t>
      </w:r>
      <w:r w:rsidR="009C4879">
        <w:t>that any</w:t>
      </w:r>
      <w:r w:rsidR="00BD2AA1">
        <w:t xml:space="preserve"> negative</w:t>
      </w:r>
      <w:r w:rsidR="009C4879">
        <w:t xml:space="preserve"> impacts </w:t>
      </w:r>
      <w:r w:rsidR="00697D25">
        <w:t xml:space="preserve">on non-HS patients </w:t>
      </w:r>
      <w:r w:rsidR="009C4879">
        <w:t xml:space="preserve">were </w:t>
      </w:r>
      <w:r w:rsidR="000229C2">
        <w:t>i</w:t>
      </w:r>
      <w:r w:rsidR="009C4879">
        <w:t xml:space="preserve">n terms of </w:t>
      </w:r>
      <w:r w:rsidR="00697D25">
        <w:t>a short delay in kidney transplantation rather than being denied transplantation altoge</w:t>
      </w:r>
      <w:r w:rsidR="000229C2">
        <w:t>t</w:t>
      </w:r>
      <w:r w:rsidR="00697D25">
        <w:t>her</w:t>
      </w:r>
      <w:r w:rsidR="0008147D">
        <w:t xml:space="preserve"> and cited new data from the </w:t>
      </w:r>
      <w:r w:rsidR="000D0C5F" w:rsidRPr="000D0C5F">
        <w:t>TSANZ Annual Scientific Meeting in June 2024</w:t>
      </w:r>
      <w:r w:rsidR="000D0C5F">
        <w:t xml:space="preserve"> </w:t>
      </w:r>
      <w:r w:rsidR="00FE1BCF">
        <w:t>that the median wait time from a declined organ offer to the next offer was 1.7 months. However, MSAC was uncertain whether this would be analogous to the wait time of a displaced patient to the next offer.</w:t>
      </w:r>
      <w:r w:rsidR="00EC429C">
        <w:t xml:space="preserve"> The pre-MSAC response also reasserted that</w:t>
      </w:r>
      <w:r w:rsidR="00416224">
        <w:t xml:space="preserve"> imlifidase was the only </w:t>
      </w:r>
      <w:r w:rsidR="00416224" w:rsidRPr="00416224">
        <w:t xml:space="preserve">treatment option </w:t>
      </w:r>
      <w:r w:rsidR="00416224">
        <w:t xml:space="preserve">that </w:t>
      </w:r>
      <w:r w:rsidR="00416224" w:rsidRPr="00416224">
        <w:t>enable</w:t>
      </w:r>
      <w:r w:rsidR="00416224">
        <w:t>d</w:t>
      </w:r>
      <w:r w:rsidR="00416224" w:rsidRPr="00416224">
        <w:t xml:space="preserve"> equity of access to kidney transplantation for a small subset of HS patients</w:t>
      </w:r>
      <w:r w:rsidR="00416224">
        <w:t xml:space="preserve">. </w:t>
      </w:r>
      <w:r w:rsidR="00996B76">
        <w:t>MSAC acknowledged that imlifidase restores health equity to a disadvantaged group with high clinical need, which includes females and First Nations patients</w:t>
      </w:r>
      <w:r w:rsidR="00BF38F2">
        <w:t xml:space="preserve">. However MSAC </w:t>
      </w:r>
      <w:r w:rsidR="000A7572">
        <w:t>con</w:t>
      </w:r>
      <w:r w:rsidR="00EE7FE1">
        <w:t>sidered</w:t>
      </w:r>
      <w:r w:rsidR="000A7572">
        <w:t xml:space="preserve"> that the base case model </w:t>
      </w:r>
      <w:r w:rsidR="00135CA0" w:rsidRPr="00135CA0">
        <w:t xml:space="preserve">should </w:t>
      </w:r>
      <w:r w:rsidR="00EE7FE1">
        <w:t>i</w:t>
      </w:r>
      <w:r w:rsidR="00135CA0" w:rsidRPr="00135CA0">
        <w:t>nclude</w:t>
      </w:r>
      <w:r w:rsidR="00FD4876">
        <w:t xml:space="preserve"> </w:t>
      </w:r>
      <w:r w:rsidR="00832324">
        <w:t>impacts</w:t>
      </w:r>
      <w:r w:rsidR="00135CA0">
        <w:t xml:space="preserve"> on</w:t>
      </w:r>
      <w:r w:rsidR="00135CA0" w:rsidRPr="00135CA0">
        <w:t xml:space="preserve"> non-HS transplant candidates because DD transplants are </w:t>
      </w:r>
      <w:r w:rsidR="00F77094">
        <w:t>highly supply</w:t>
      </w:r>
      <w:r w:rsidR="008A3768">
        <w:t>-</w:t>
      </w:r>
      <w:r w:rsidR="00F77094">
        <w:t>constrained</w:t>
      </w:r>
      <w:r w:rsidR="00135CA0" w:rsidRPr="00135CA0">
        <w:t xml:space="preserve"> and quantifying the impact on all transplant candidates (not just HS transplant candidates) was important to understanding any unintended negative consequences for non-HS patients from funding imlifidase for HS patients</w:t>
      </w:r>
      <w:r w:rsidR="00BF38F2">
        <w:t xml:space="preserve"> and </w:t>
      </w:r>
      <w:r w:rsidR="00897A48">
        <w:t xml:space="preserve">hence </w:t>
      </w:r>
      <w:r w:rsidR="00FD4876">
        <w:t xml:space="preserve">understanding </w:t>
      </w:r>
      <w:r w:rsidR="00BF38F2">
        <w:t>an</w:t>
      </w:r>
      <w:r w:rsidR="00113874">
        <w:t>y equity versus efficiency</w:t>
      </w:r>
      <w:r w:rsidR="00A33206">
        <w:t xml:space="preserve"> tradeoffs associated with the funding of imlifidase.</w:t>
      </w:r>
    </w:p>
    <w:p w14:paraId="3A1AF998" w14:textId="2F2DAD27" w:rsidR="0007284E" w:rsidRDefault="0007284E" w:rsidP="0007284E">
      <w:r>
        <w:t>MSAC</w:t>
      </w:r>
      <w:r w:rsidR="00C2798D">
        <w:t xml:space="preserve"> recalled that in application 1732 it had also requested that different incremental cost-effectiveness ratios (ICERs) for DD and LD recipients should be reported but these had </w:t>
      </w:r>
      <w:r w:rsidR="00643F55">
        <w:t xml:space="preserve">not </w:t>
      </w:r>
      <w:r w:rsidR="00E833CD">
        <w:t xml:space="preserve">been addressed by the </w:t>
      </w:r>
      <w:r w:rsidR="00A23126">
        <w:t xml:space="preserve">resubmission </w:t>
      </w:r>
      <w:r w:rsidR="00E833CD">
        <w:t xml:space="preserve">ADAR. However MSAC </w:t>
      </w:r>
      <w:r>
        <w:t>noted that these estimates were reported as spillover scenarios by the commentary.</w:t>
      </w:r>
    </w:p>
    <w:p w14:paraId="408D32D9" w14:textId="08716136" w:rsidR="00794D95" w:rsidRDefault="00794D95" w:rsidP="004E486B">
      <w:r>
        <w:lastRenderedPageBreak/>
        <w:t xml:space="preserve">MSAC </w:t>
      </w:r>
      <w:r w:rsidR="000709EC">
        <w:t xml:space="preserve">recalled that it had expressed concerns </w:t>
      </w:r>
      <w:r w:rsidR="00534623">
        <w:t xml:space="preserve">that the previous submission </w:t>
      </w:r>
      <w:r w:rsidR="000709EC">
        <w:t>ADAR</w:t>
      </w:r>
      <w:r w:rsidR="00534623">
        <w:t>’s</w:t>
      </w:r>
      <w:r w:rsidR="000709EC">
        <w:t xml:space="preserve"> </w:t>
      </w:r>
      <w:r w:rsidRPr="00794D95">
        <w:t xml:space="preserve">economic model </w:t>
      </w:r>
      <w:r w:rsidR="000709EC">
        <w:t>was incomplete</w:t>
      </w:r>
      <w:r w:rsidR="00534623">
        <w:t xml:space="preserve"> because it</w:t>
      </w:r>
      <w:r w:rsidR="000709EC">
        <w:t xml:space="preserve"> </w:t>
      </w:r>
      <w:r w:rsidR="000709EC" w:rsidRPr="000709EC">
        <w:t>did not include the cost of extra immunological tests and increased staffing requirements and delayed or potentially no transplantation outcomes in some cases</w:t>
      </w:r>
      <w:r w:rsidR="00534623">
        <w:t xml:space="preserve">. MSAC considered that this has been partially addressed in the resubmission ADAR by adding costs for </w:t>
      </w:r>
      <w:r w:rsidR="00EE4F2C" w:rsidRPr="00EE4F2C">
        <w:t>an additional 8 Luminex tests into the base case costings</w:t>
      </w:r>
      <w:r w:rsidR="00D347C8">
        <w:t xml:space="preserve"> (</w:t>
      </w:r>
      <w:r w:rsidR="00EE4F2C" w:rsidRPr="00EE4F2C">
        <w:t>based on French guidelines</w:t>
      </w:r>
      <w:r w:rsidR="00D347C8">
        <w:t>)</w:t>
      </w:r>
      <w:r w:rsidR="006108CE" w:rsidRPr="006108CE">
        <w:t xml:space="preserve"> </w:t>
      </w:r>
      <w:r w:rsidR="006108CE">
        <w:t xml:space="preserve">while the </w:t>
      </w:r>
      <w:r w:rsidR="006108CE" w:rsidRPr="006108CE">
        <w:t>probability of no transplantation was already included in the model (i.e. 1 minus 96.3%).</w:t>
      </w:r>
      <w:r w:rsidR="006108CE">
        <w:t xml:space="preserve"> However MSAC </w:t>
      </w:r>
      <w:r w:rsidR="00B43764">
        <w:t xml:space="preserve">agreed with the commentary that it was unclear whether adding the cost of an additional eight tests was sufficient to account for the complex </w:t>
      </w:r>
      <w:r w:rsidR="00F47DC2">
        <w:t>implementation costs associated with imli</w:t>
      </w:r>
      <w:r w:rsidR="00D81067">
        <w:t>fidase.</w:t>
      </w:r>
    </w:p>
    <w:p w14:paraId="0A68C464" w14:textId="77777777" w:rsidR="004F744F" w:rsidRDefault="004F744F" w:rsidP="004F744F">
      <w:r>
        <w:t>MSAC noted the</w:t>
      </w:r>
      <w:r w:rsidRPr="00933BA4">
        <w:t xml:space="preserve"> </w:t>
      </w:r>
      <w:r>
        <w:t xml:space="preserve">data provided about </w:t>
      </w:r>
      <w:r w:rsidRPr="00491E19">
        <w:rPr>
          <w:b/>
          <w:bCs/>
        </w:rPr>
        <w:t>redacted</w:t>
      </w:r>
      <w:r w:rsidRPr="002D506F">
        <w:t xml:space="preserve"> </w:t>
      </w:r>
      <w:r>
        <w:t>whose treatment costs were estimated at $</w:t>
      </w:r>
      <w:r w:rsidRPr="00491E19">
        <w:rPr>
          <w:b/>
          <w:bCs/>
        </w:rPr>
        <w:t>redacted</w:t>
      </w:r>
      <w:r>
        <w:t xml:space="preserve">. The department confirmed that some components of these costs were categorised differently resulting in different total cost calculations, therefore making comparisons difficult. MSAC also noted that these data were from </w:t>
      </w:r>
      <w:r w:rsidRPr="00491E19">
        <w:rPr>
          <w:b/>
          <w:bCs/>
        </w:rPr>
        <w:t>redacted</w:t>
      </w:r>
      <w:r>
        <w:t xml:space="preserve">, so the applicability is unclear and the data </w:t>
      </w:r>
      <w:r w:rsidRPr="002D506F">
        <w:t>may not be useful to include in the analysis</w:t>
      </w:r>
      <w:r>
        <w:t>.</w:t>
      </w:r>
    </w:p>
    <w:p w14:paraId="620DBBA2" w14:textId="69F4AC0B" w:rsidR="004E486B" w:rsidRDefault="004E486B" w:rsidP="004E486B">
      <w:r>
        <w:t>The model also does not include treatment-emergent adverse events or health-related quality of life, for which there may be a substantial difference between those who receive imlifidase and those who do not. MSAC also queried why the applicant’s micro-costing approach in the model result</w:t>
      </w:r>
      <w:r w:rsidR="00E52DB1">
        <w:t>ed</w:t>
      </w:r>
      <w:r>
        <w:t xml:space="preserve"> in significantly different ICERs compared with using the Kidney Health Australia inflated cost data, and requested that this difference be justified by the applicant.</w:t>
      </w:r>
    </w:p>
    <w:p w14:paraId="17F011A0" w14:textId="0BC79583" w:rsidR="00041669" w:rsidRDefault="002A7EA6" w:rsidP="004E486B">
      <w:r w:rsidRPr="002D506F">
        <w:t xml:space="preserve">MSAC considered that </w:t>
      </w:r>
      <w:r w:rsidR="004E486B" w:rsidRPr="002D506F">
        <w:t xml:space="preserve">OrganMatch data could </w:t>
      </w:r>
      <w:r w:rsidR="00B97DCB" w:rsidRPr="002D506F">
        <w:t xml:space="preserve">have </w:t>
      </w:r>
      <w:r w:rsidR="004E486B" w:rsidRPr="002D506F">
        <w:t>be</w:t>
      </w:r>
      <w:r w:rsidR="00B97DCB" w:rsidRPr="002D506F">
        <w:t>en</w:t>
      </w:r>
      <w:r w:rsidR="004E486B" w:rsidRPr="002D506F">
        <w:t xml:space="preserve"> used in a microsimulation model</w:t>
      </w:r>
      <w:r w:rsidRPr="002D506F">
        <w:t xml:space="preserve"> to capture the </w:t>
      </w:r>
      <w:r w:rsidR="00AE555D" w:rsidRPr="002D506F">
        <w:t xml:space="preserve">differential </w:t>
      </w:r>
      <w:r w:rsidRPr="002D506F">
        <w:t>waiting time impacts</w:t>
      </w:r>
      <w:r w:rsidR="00AE555D" w:rsidRPr="002D506F">
        <w:t xml:space="preserve"> of imlifidase on HS and non-HS patients</w:t>
      </w:r>
      <w:r w:rsidR="004E486B" w:rsidRPr="002D506F">
        <w:t xml:space="preserve">, although MSAC noted that microsimulation models tend to increase complexity and uncertainty, and </w:t>
      </w:r>
      <w:r w:rsidR="00B31AEF" w:rsidRPr="002D506F">
        <w:t>microsimulations</w:t>
      </w:r>
      <w:r w:rsidR="004E486B" w:rsidRPr="002D506F">
        <w:t xml:space="preserve"> should only be attempted if there are sufficient data.</w:t>
      </w:r>
    </w:p>
    <w:p w14:paraId="43E41A1B" w14:textId="05E4E7DC" w:rsidR="004E486B" w:rsidRPr="007D5DEB" w:rsidRDefault="00991402" w:rsidP="004E486B">
      <w:r>
        <w:t xml:space="preserve">MSAC considered that </w:t>
      </w:r>
      <w:r w:rsidR="00B97DCB">
        <w:t>in the absence of such models, th</w:t>
      </w:r>
      <w:r w:rsidR="00D62A5D">
        <w:t>e</w:t>
      </w:r>
      <w:r w:rsidR="00B97DCB">
        <w:t xml:space="preserve"> ADAR economic model should have been revised to </w:t>
      </w:r>
      <w:r w:rsidR="004E486B">
        <w:t xml:space="preserve">include </w:t>
      </w:r>
      <w:r w:rsidR="004E486B" w:rsidRPr="002D506F">
        <w:t xml:space="preserve">separate models for DD and LD patients (in line with previous MSAC advice) </w:t>
      </w:r>
      <w:r w:rsidR="00B97DCB" w:rsidRPr="002D506F">
        <w:t xml:space="preserve">incorporating </w:t>
      </w:r>
      <w:r w:rsidR="00375745" w:rsidRPr="002D506F">
        <w:t xml:space="preserve">all </w:t>
      </w:r>
      <w:r w:rsidR="004E486B" w:rsidRPr="002D506F">
        <w:t xml:space="preserve">spillover effects </w:t>
      </w:r>
      <w:r w:rsidR="00375745" w:rsidRPr="002D506F">
        <w:t xml:space="preserve">but </w:t>
      </w:r>
      <w:r w:rsidR="004E486B" w:rsidRPr="002D506F">
        <w:t>using more conservative estimates of LD chain closure. MSAC considered</w:t>
      </w:r>
      <w:r w:rsidR="004E486B">
        <w:t xml:space="preserve"> that the additional scenario analysis prepared by the </w:t>
      </w:r>
      <w:r w:rsidR="00606941">
        <w:t>c</w:t>
      </w:r>
      <w:r w:rsidR="004E486B">
        <w:t>ommentary that split LD and DD recipients and incorporated spillover scenarios was the most reliable model to inform decision-making</w:t>
      </w:r>
      <w:r w:rsidR="006F666A">
        <w:t xml:space="preserve"> and these reported that the </w:t>
      </w:r>
      <w:r w:rsidR="006F666A" w:rsidRPr="002D506F">
        <w:t>ICER for LD recipients was dominant but for DD recipients it was</w:t>
      </w:r>
      <w:r w:rsidR="006A62D5" w:rsidRPr="002D506F">
        <w:t xml:space="preserve"> a</w:t>
      </w:r>
      <w:r w:rsidR="001C0D42" w:rsidRPr="002D506F">
        <w:t>s</w:t>
      </w:r>
      <w:r w:rsidR="006A62D5" w:rsidRPr="002D506F">
        <w:t xml:space="preserve"> high</w:t>
      </w:r>
      <w:r w:rsidR="001C0D42" w:rsidRPr="002D506F">
        <w:t xml:space="preserve"> as</w:t>
      </w:r>
      <w:r w:rsidR="006F666A" w:rsidRPr="002D506F">
        <w:t xml:space="preserve"> $</w:t>
      </w:r>
      <w:r w:rsidR="00FC6828" w:rsidRPr="009E2F9F">
        <w:rPr>
          <w:b/>
          <w:bCs/>
        </w:rPr>
        <w:t>redacted</w:t>
      </w:r>
      <w:r w:rsidR="006F666A" w:rsidRPr="007D5DEB">
        <w:t>.</w:t>
      </w:r>
      <w:r w:rsidR="00440C71" w:rsidRPr="007D5DEB">
        <w:t xml:space="preserve"> </w:t>
      </w:r>
      <w:r w:rsidR="004E486B" w:rsidRPr="007D5DEB">
        <w:t>However, MSAC acknowledged that uncertainty would remain (as it is impossible to accurately predict when and from what source the next kidney might be available), so ICERs could be expressed as a range.</w:t>
      </w:r>
    </w:p>
    <w:p w14:paraId="1C3B9416" w14:textId="5AFBD441" w:rsidR="00B675FF" w:rsidRDefault="004E486B" w:rsidP="0033037C">
      <w:pPr>
        <w:pStyle w:val="ListParagraph"/>
        <w:numPr>
          <w:ilvl w:val="0"/>
          <w:numId w:val="39"/>
        </w:numPr>
      </w:pPr>
      <w:r w:rsidRPr="007D5DEB">
        <w:t xml:space="preserve">Regarding the financial analysis, MSAC agreed with ESC that the applicant had addressed MSAC’s concerns regarding incomplete costs, and included a fixed cost per patient irrespective of patient weight and second administrations. MSAC also noted the applicant’s revised price to incorporate a </w:t>
      </w:r>
      <w:r w:rsidR="00FC6828" w:rsidRPr="009E2F9F">
        <w:rPr>
          <w:b/>
          <w:bCs/>
        </w:rPr>
        <w:t>redacted</w:t>
      </w:r>
      <w:r w:rsidRPr="007D5DEB">
        <w:t>% discount on the previous cost of imlifidase</w:t>
      </w:r>
      <w:r w:rsidR="002B666C" w:rsidRPr="007D5DEB">
        <w:t xml:space="preserve"> and an overall</w:t>
      </w:r>
      <w:r w:rsidR="00FC6828" w:rsidRPr="007D5DEB">
        <w:t xml:space="preserve"> </w:t>
      </w:r>
      <w:r w:rsidR="00FC6828" w:rsidRPr="009E2F9F">
        <w:rPr>
          <w:b/>
          <w:bCs/>
        </w:rPr>
        <w:t>redacted</w:t>
      </w:r>
      <w:r w:rsidR="002B666C" w:rsidRPr="007D5DEB">
        <w:t>% discoun</w:t>
      </w:r>
      <w:r w:rsidR="002B666C">
        <w:t>t</w:t>
      </w:r>
      <w:r w:rsidR="00731BBD">
        <w:t xml:space="preserve"> after taking account of payments being restricted to</w:t>
      </w:r>
      <w:r w:rsidR="00802A3F">
        <w:t xml:space="preserve"> the </w:t>
      </w:r>
      <w:r w:rsidR="00154777">
        <w:t xml:space="preserve">fixed </w:t>
      </w:r>
      <w:r w:rsidR="00802A3F">
        <w:t>price of a</w:t>
      </w:r>
      <w:r w:rsidR="00731BBD">
        <w:t xml:space="preserve"> single dose per patient regardless of </w:t>
      </w:r>
      <w:r w:rsidR="00802A3F">
        <w:t>number of doses actually used</w:t>
      </w:r>
      <w:r>
        <w:t>.</w:t>
      </w:r>
    </w:p>
    <w:p w14:paraId="61582959" w14:textId="3ED845DA" w:rsidR="00B675FF" w:rsidRDefault="00B675FF" w:rsidP="00B675FF">
      <w:r>
        <w:t xml:space="preserve">Regarding the potential number of patients who would be treated each year, RTAC estimated a maximum of </w:t>
      </w:r>
      <w:r w:rsidRPr="009E2F9F">
        <w:t>10</w:t>
      </w:r>
      <w:r w:rsidRPr="007D5DEB">
        <w:t>–</w:t>
      </w:r>
      <w:r w:rsidR="000A61B4" w:rsidRPr="009E2F9F">
        <w:t>15</w:t>
      </w:r>
      <w:r w:rsidR="00F4233F" w:rsidRPr="007D5DEB">
        <w:t xml:space="preserve"> </w:t>
      </w:r>
      <w:r w:rsidRPr="007D5DEB">
        <w:t xml:space="preserve">imlifidase-facilitated transplants per year (and a likely initial bolus effect due to the approximately 100 patients on the waiting list who would be eligible). However, MSAC noted the applicant’s pre-MSAC response, which indicated that an appropriate patient cap should be set at </w:t>
      </w:r>
      <w:r w:rsidR="00FC6828" w:rsidRPr="009E2F9F">
        <w:rPr>
          <w:b/>
          <w:bCs/>
        </w:rPr>
        <w:t>redacted</w:t>
      </w:r>
      <w:r w:rsidRPr="007D5DEB">
        <w:t xml:space="preserve"> patients per year to achieve parity between kidney transplants of HS and non-HS patients within 5 years. As part of the hearing (see below), the applicant reiterated that the potential number of patients would be around </w:t>
      </w:r>
      <w:r w:rsidR="00FC6828" w:rsidRPr="009E2F9F">
        <w:rPr>
          <w:b/>
          <w:bCs/>
        </w:rPr>
        <w:t>redacted</w:t>
      </w:r>
      <w:r w:rsidRPr="007D5DEB">
        <w:t xml:space="preserve"> patients per year.</w:t>
      </w:r>
      <w:r w:rsidR="007B21B4" w:rsidRPr="007D5DEB">
        <w:t xml:space="preserve"> MSAC agreed that a financial cap of </w:t>
      </w:r>
      <w:r w:rsidR="00FC6828" w:rsidRPr="007D5DEB">
        <w:rPr>
          <w:b/>
          <w:bCs/>
        </w:rPr>
        <w:t>redacted</w:t>
      </w:r>
      <w:r w:rsidR="007B21B4" w:rsidRPr="007D5DEB">
        <w:t xml:space="preserve"> patients a year may be insufficient to address the waitlist issue. Overall, </w:t>
      </w:r>
      <w:r w:rsidR="007B21B4" w:rsidRPr="007D5DEB">
        <w:lastRenderedPageBreak/>
        <w:t>MSAC considered that the financial estimates remained uncertain, but that these were likely to be overestimated.</w:t>
      </w:r>
    </w:p>
    <w:p w14:paraId="1DD8CBDE" w14:textId="3D9EAFB5" w:rsidR="004E486B" w:rsidRDefault="004E486B" w:rsidP="004E486B">
      <w:r>
        <w:t>MSAC noted the applicant’s consideration of mechanisms for data monitoring and post-implementation review in the resubmission. MSAC had also requested further information on the planned Australian observational study, but this was not provided by the applicant.</w:t>
      </w:r>
      <w:r w:rsidR="00522995">
        <w:t xml:space="preserve"> </w:t>
      </w:r>
      <w:r w:rsidR="00471D34">
        <w:t xml:space="preserve">Based on the information provided </w:t>
      </w:r>
      <w:r w:rsidR="00C8679F">
        <w:t>in the ADAR and repeated in the pre-MSAC response</w:t>
      </w:r>
      <w:r w:rsidR="005E5D5C">
        <w:t>,</w:t>
      </w:r>
      <w:r w:rsidR="00471D34">
        <w:t xml:space="preserve"> MSAC considered that there were weaknesses with the proposed study because it was a single arm stud</w:t>
      </w:r>
      <w:r w:rsidR="00934C1D">
        <w:t>y and</w:t>
      </w:r>
      <w:r w:rsidR="002F1893">
        <w:t xml:space="preserve"> it was unclear how eligibility </w:t>
      </w:r>
      <w:r w:rsidR="005E5D5C">
        <w:t>would be</w:t>
      </w:r>
      <w:r w:rsidR="002F1893">
        <w:t xml:space="preserve"> determine</w:t>
      </w:r>
      <w:r w:rsidR="00934C1D">
        <w:t>d.</w:t>
      </w:r>
    </w:p>
    <w:p w14:paraId="2111B601" w14:textId="75DBD420" w:rsidR="004E486B" w:rsidRPr="006245F4" w:rsidRDefault="004E486B" w:rsidP="004E486B">
      <w:pPr>
        <w:rPr>
          <w:b/>
          <w:bCs/>
        </w:rPr>
      </w:pPr>
      <w:r w:rsidRPr="006245F4">
        <w:rPr>
          <w:b/>
          <w:bCs/>
        </w:rPr>
        <w:t>Applicant hearing</w:t>
      </w:r>
    </w:p>
    <w:p w14:paraId="3F7FFA3D" w14:textId="7AAC4A4A" w:rsidR="004E486B" w:rsidRDefault="004E486B" w:rsidP="004E486B">
      <w:r>
        <w:t>The applicant was granted a hearing, during which a clinician supporting the applicant presented information on a patient case study using imlifidase</w:t>
      </w:r>
      <w:r w:rsidR="00EC4F91">
        <w:t xml:space="preserve"> in Australia</w:t>
      </w:r>
      <w:r>
        <w:t xml:space="preserve">. MSAC noted the substantial decrease in crossmatch antibodies after imlifidase compared with plasma exchange; however, antibodies rebound substantially after 7–8 days and may return to previous levels, meaning that patients are still at risk of acute rejection. Imlifidase prevents hyperacute rejection, which can be aggressive and difficult to control, but not other rejection events. The applicant stated that managing antibody rebound after imlifidase </w:t>
      </w:r>
      <w:r w:rsidR="002B1D6F">
        <w:t xml:space="preserve">is a key challenge and </w:t>
      </w:r>
      <w:r>
        <w:t>requires costly and intensive management, but can be done using standard approaches.</w:t>
      </w:r>
    </w:p>
    <w:p w14:paraId="2BAFC0A4" w14:textId="3554ADBD" w:rsidR="004E486B" w:rsidRDefault="004E486B" w:rsidP="004E486B">
      <w:r>
        <w:t xml:space="preserve">Regarding the projected number of patients who would receive imlifidase each year in Australia, the applicant noted that ANZDATA indicated that 135 patients in 2022 </w:t>
      </w:r>
      <w:r w:rsidR="00F372ED">
        <w:t xml:space="preserve">had a PRA </w:t>
      </w:r>
      <w:r w:rsidR="0053753C">
        <w:t>&gt;</w:t>
      </w:r>
      <w:r w:rsidR="00F372ED">
        <w:t>99%</w:t>
      </w:r>
      <w:r>
        <w:t xml:space="preserve">, and that most of </w:t>
      </w:r>
      <w:r w:rsidRPr="002C663F">
        <w:t xml:space="preserve">these </w:t>
      </w:r>
      <w:r w:rsidR="002B1D6F" w:rsidRPr="002C663F">
        <w:t xml:space="preserve">patients </w:t>
      </w:r>
      <w:r w:rsidRPr="002C663F">
        <w:t xml:space="preserve">would have been on dialysis for </w:t>
      </w:r>
      <w:r w:rsidR="00F372ED" w:rsidRPr="002C663F">
        <w:t xml:space="preserve">at least </w:t>
      </w:r>
      <w:r w:rsidRPr="002C663F">
        <w:t xml:space="preserve">2 years. </w:t>
      </w:r>
      <w:r w:rsidR="00F372ED" w:rsidRPr="002C663F">
        <w:t>The applicant noted that not all of these patients w</w:t>
      </w:r>
      <w:r w:rsidR="002E0592" w:rsidRPr="002C663F">
        <w:t>ould</w:t>
      </w:r>
      <w:r w:rsidR="00F372ED" w:rsidRPr="002C663F">
        <w:t xml:space="preserve"> be medically suitable to receive imlifidase</w:t>
      </w:r>
      <w:r w:rsidR="002E0592" w:rsidRPr="002C663F">
        <w:t xml:space="preserve"> and</w:t>
      </w:r>
      <w:r w:rsidRPr="002C663F">
        <w:t xml:space="preserve"> estimated that around 110 of these patients would be eligible. The applicant </w:t>
      </w:r>
      <w:r w:rsidR="002E0592" w:rsidRPr="002C663F">
        <w:t xml:space="preserve">further noted </w:t>
      </w:r>
      <w:r w:rsidRPr="002C663F">
        <w:t xml:space="preserve">that around </w:t>
      </w:r>
      <w:r w:rsidR="00952E1C" w:rsidRPr="002C663F">
        <w:br/>
      </w:r>
      <w:r w:rsidR="00FC6828" w:rsidRPr="002C663F">
        <w:rPr>
          <w:b/>
          <w:bCs/>
        </w:rPr>
        <w:t>redacted</w:t>
      </w:r>
      <w:r w:rsidRPr="002C663F">
        <w:t>–</w:t>
      </w:r>
      <w:r w:rsidR="00FC6828" w:rsidRPr="002C663F">
        <w:rPr>
          <w:b/>
          <w:bCs/>
        </w:rPr>
        <w:t xml:space="preserve"> redacted</w:t>
      </w:r>
      <w:r w:rsidRPr="002C663F">
        <w:t xml:space="preserve"> suitable patients would enter the waitlist each year. </w:t>
      </w:r>
      <w:r w:rsidR="00F372ED" w:rsidRPr="002C663F">
        <w:t xml:space="preserve">The applicant stated that there is likely to be a </w:t>
      </w:r>
      <w:r w:rsidRPr="002C663F">
        <w:t xml:space="preserve">backlog of patients, </w:t>
      </w:r>
      <w:r w:rsidR="00F372ED" w:rsidRPr="002C663F">
        <w:t>and</w:t>
      </w:r>
      <w:r w:rsidRPr="002C663F">
        <w:t xml:space="preserve"> noted that the Hansa Global Access Program includes </w:t>
      </w:r>
      <w:r w:rsidR="00FC6828" w:rsidRPr="002C663F">
        <w:rPr>
          <w:b/>
          <w:bCs/>
        </w:rPr>
        <w:t>redacted</w:t>
      </w:r>
      <w:r w:rsidR="00952E1C" w:rsidRPr="009E2F9F">
        <w:t> </w:t>
      </w:r>
      <w:r w:rsidRPr="002C663F">
        <w:t>currently registered patients who would be interested in receiving imlifidase.</w:t>
      </w:r>
    </w:p>
    <w:p w14:paraId="107E1C30" w14:textId="77777777" w:rsidR="004E486B" w:rsidRDefault="004E486B" w:rsidP="004E486B">
      <w:r>
        <w:t>Regarding which patients would be medically suitable to receive imlifidase, the applicant noted that this is affected by two factors. Firstly, the patient must be sufficiently highly sensitised to be eligible to receive imlifidase. Secondly, a suitable donor kidney must be available for that patient. Because the availability of a donor kidney is effectively a chance event, it cannot be assumed that all those patients who are eligible to receive imlifidase will receive it.</w:t>
      </w:r>
    </w:p>
    <w:p w14:paraId="510C114A" w14:textId="6A791D67" w:rsidR="004E486B" w:rsidRDefault="004E486B" w:rsidP="004E486B">
      <w:r>
        <w:t>Regarding access to single bead antigen testing (such as Luminex), MSAC noted feedback from Lifeblood Services stating that transplantation-matching laboratories that use this test are in Sydney, Melbourne and Adelaide</w:t>
      </w:r>
      <w:r w:rsidR="00660FD5">
        <w:t xml:space="preserve"> and </w:t>
      </w:r>
      <w:r w:rsidR="00265142">
        <w:t>that it was the responsibility of the transplant unit to discuss the timing of imlifidase treatment to determine local availability for testing</w:t>
      </w:r>
      <w:r>
        <w:t xml:space="preserve">. The applicant </w:t>
      </w:r>
      <w:r w:rsidR="002E761D">
        <w:t xml:space="preserve">noted that single antigen bead testing is an essential requirement </w:t>
      </w:r>
      <w:r>
        <w:t>for all patients on the transplant waiting list</w:t>
      </w:r>
      <w:r w:rsidR="003A70CD">
        <w:t xml:space="preserve"> (whether or not their transplantation will be facilitated by imlifidase)</w:t>
      </w:r>
      <w:r>
        <w:t xml:space="preserve">, and </w:t>
      </w:r>
      <w:r w:rsidR="00631310">
        <w:t xml:space="preserve">expressed the view </w:t>
      </w:r>
      <w:r w:rsidR="002E761D">
        <w:t>that the</w:t>
      </w:r>
      <w:r>
        <w:t xml:space="preserve"> existing arrangements </w:t>
      </w:r>
      <w:r w:rsidR="00F245A6">
        <w:t>function</w:t>
      </w:r>
      <w:r>
        <w:t xml:space="preserve"> well and </w:t>
      </w:r>
      <w:r w:rsidR="00F245A6">
        <w:t xml:space="preserve">are </w:t>
      </w:r>
      <w:r>
        <w:t>adequately resourced, so access to testing should not be an issue.</w:t>
      </w:r>
    </w:p>
    <w:p w14:paraId="57001208" w14:textId="77777777" w:rsidR="004E486B" w:rsidRPr="00F179AE" w:rsidRDefault="004E486B" w:rsidP="004E486B">
      <w:pPr>
        <w:rPr>
          <w:b/>
          <w:bCs/>
        </w:rPr>
      </w:pPr>
      <w:r w:rsidRPr="00F179AE">
        <w:rPr>
          <w:b/>
          <w:bCs/>
        </w:rPr>
        <w:t>Further MSAC discussion</w:t>
      </w:r>
    </w:p>
    <w:p w14:paraId="38C0A80E" w14:textId="4369D87A" w:rsidR="004E486B" w:rsidRDefault="004E486B" w:rsidP="004E486B">
      <w:r>
        <w:t>MSAC noted that the antibody rebound management mentioned in the hearing had not been included in the economic model, and expressed concern that the ICER did not include all components of patient care. Given that the applicant identified that management of rebound is costly and intensive, MSAC considered that this may have an important impact on cost-effectiveness.</w:t>
      </w:r>
    </w:p>
    <w:p w14:paraId="712FE949" w14:textId="19EA97B2" w:rsidR="00306D39" w:rsidRDefault="00B210BC" w:rsidP="00925478">
      <w:pPr>
        <w:rPr>
          <w:rStyle w:val="normaltextrun"/>
        </w:rPr>
      </w:pPr>
      <w:r>
        <w:rPr>
          <w:rStyle w:val="normaltextrun"/>
        </w:rPr>
        <w:t xml:space="preserve">MSAC recommended </w:t>
      </w:r>
      <w:r w:rsidR="000C04F2">
        <w:rPr>
          <w:rStyle w:val="normaltextrun"/>
        </w:rPr>
        <w:t>further</w:t>
      </w:r>
      <w:r>
        <w:rPr>
          <w:rStyle w:val="normaltextrun"/>
        </w:rPr>
        <w:t xml:space="preserve"> engagement with relevant stakeholders including the applicant, jurisdictions, OrganMatch, Australia and New Zealand Dialysis and Transplant Registry, LifeBlood, </w:t>
      </w:r>
      <w:r>
        <w:rPr>
          <w:rStyle w:val="normaltextrun"/>
        </w:rPr>
        <w:lastRenderedPageBreak/>
        <w:t xml:space="preserve">RTAC and the RTAC/Australian and New Zealand Paired Kidney Exchange Clinical Oversight Subcommittee (RACOS) </w:t>
      </w:r>
      <w:r w:rsidR="000C04F2">
        <w:rPr>
          <w:rStyle w:val="normaltextrun"/>
        </w:rPr>
        <w:t>to resolve the</w:t>
      </w:r>
      <w:r w:rsidR="00574CA1">
        <w:rPr>
          <w:rStyle w:val="normaltextrun"/>
        </w:rPr>
        <w:t xml:space="preserve"> </w:t>
      </w:r>
      <w:r w:rsidR="00574CA1">
        <w:t>remaining range of clinical, economic and implementation issues identified</w:t>
      </w:r>
      <w:r w:rsidR="00306D39">
        <w:rPr>
          <w:rStyle w:val="normaltextrun"/>
        </w:rPr>
        <w:t>.</w:t>
      </w:r>
    </w:p>
    <w:p w14:paraId="4900FBB0" w14:textId="4EA294EA" w:rsidR="007D7DF8" w:rsidRDefault="007D7DF8" w:rsidP="007D7DF8">
      <w:r>
        <w:t xml:space="preserve">MSAC considered that RTAC in particular could advise on ethical guidelines and how imlifidase may be positioned within the kidney allocation algorithm. MSAC confirmed that guidelines should also be developed to accommodate the use of imlifidase in clinical pathways. While RTAC had indicated that it would develop guidelines if imlifidase is approved MSAC considered that guidelines would help to inform the parameters for approval. MSAC noted that the current UK guidelines, although not fully aligned with the Australian context, would be a good starting point. MSAC queried whether a working group could be established to consider the issues relevant to guideline development, or whether the </w:t>
      </w:r>
      <w:r w:rsidR="00EB447F">
        <w:t>d</w:t>
      </w:r>
      <w:r>
        <w:t xml:space="preserve">epartment could support or provide resourcing for the relevant </w:t>
      </w:r>
      <w:r w:rsidR="00631310">
        <w:t xml:space="preserve">clinical </w:t>
      </w:r>
      <w:r>
        <w:t>colleges</w:t>
      </w:r>
      <w:r w:rsidR="00631310">
        <w:t>/organisations</w:t>
      </w:r>
      <w:r>
        <w:t xml:space="preserve"> to develop guidelines.</w:t>
      </w:r>
    </w:p>
    <w:p w14:paraId="62E78AAA" w14:textId="0D10E2D2" w:rsidR="00B854EA" w:rsidRPr="009E2F9F" w:rsidRDefault="00B854EA" w:rsidP="00B854EA">
      <w:r>
        <w:t>MSAC considered that</w:t>
      </w:r>
      <w:r w:rsidR="00063DB7">
        <w:t xml:space="preserve"> the development of an appropriate pay for performance (PfP) scheme </w:t>
      </w:r>
      <w:r w:rsidR="0097378E">
        <w:t>with</w:t>
      </w:r>
      <w:r w:rsidR="00A073CA">
        <w:t xml:space="preserve"> a risk sharing arrangement </w:t>
      </w:r>
      <w:r w:rsidR="00063DB7">
        <w:t xml:space="preserve">could help address the </w:t>
      </w:r>
      <w:r w:rsidR="00396AE0">
        <w:t>remaining clinical, economic and financial uncertainties identified</w:t>
      </w:r>
      <w:r w:rsidR="00396AE0" w:rsidRPr="002C663F">
        <w:t xml:space="preserve">. </w:t>
      </w:r>
      <w:r w:rsidR="00396AE0" w:rsidRPr="009E2F9F">
        <w:t xml:space="preserve">For instance, </w:t>
      </w:r>
      <w:r w:rsidRPr="009E2F9F">
        <w:t xml:space="preserve">a </w:t>
      </w:r>
      <w:r w:rsidR="00396AE0" w:rsidRPr="009E2F9F">
        <w:t xml:space="preserve">PfP scheme with a </w:t>
      </w:r>
      <w:r w:rsidRPr="009E2F9F">
        <w:t>partial payment on successful transplant (with a functioning graft) may be able to manage the risk that imlifidase use may not lead to a successful transplant</w:t>
      </w:r>
      <w:r w:rsidR="00631310" w:rsidRPr="009E2F9F">
        <w:t>,</w:t>
      </w:r>
      <w:r w:rsidRPr="009E2F9F">
        <w:t xml:space="preserve"> </w:t>
      </w:r>
      <w:r w:rsidR="00396AE0" w:rsidRPr="009E2F9F">
        <w:t>while</w:t>
      </w:r>
      <w:r w:rsidRPr="009E2F9F">
        <w:t xml:space="preserve"> a second outcomes-based payment at one year or other</w:t>
      </w:r>
      <w:r w:rsidR="00667A0E" w:rsidRPr="009E2F9F">
        <w:t xml:space="preserve"> suitable</w:t>
      </w:r>
      <w:r w:rsidRPr="009E2F9F">
        <w:t xml:space="preserve"> interval </w:t>
      </w:r>
      <w:r w:rsidR="00396AE0" w:rsidRPr="009E2F9F">
        <w:t xml:space="preserve">could be used to mitigate </w:t>
      </w:r>
      <w:r w:rsidRPr="009E2F9F">
        <w:t>the risks associated with poor transplant outcomes.</w:t>
      </w:r>
      <w:r w:rsidRPr="002C663F">
        <w:t xml:space="preserve"> MSAC noted that the provisional approval of imlifidase on the ARTG is conditional on a regulatory</w:t>
      </w:r>
      <w:r>
        <w:t xml:space="preserve"> study with a primary endpoint of graft survival at 12 months. </w:t>
      </w:r>
      <w:r w:rsidR="00631310">
        <w:t xml:space="preserve">MSAC noted that </w:t>
      </w:r>
      <w:r w:rsidR="005B0B6E">
        <w:t>th</w:t>
      </w:r>
      <w:r>
        <w:t xml:space="preserve">e data from this regulatory study </w:t>
      </w:r>
      <w:r w:rsidR="005B0B6E">
        <w:t>may be suitable</w:t>
      </w:r>
      <w:r>
        <w:t xml:space="preserve"> as the basis for </w:t>
      </w:r>
      <w:r w:rsidR="00396AE0">
        <w:t xml:space="preserve">designing </w:t>
      </w:r>
      <w:r w:rsidR="007D0088">
        <w:t xml:space="preserve">the proposed </w:t>
      </w:r>
      <w:r>
        <w:t>PfP model, along with other clinical data and input from states and territories. The PfP arrangement should also specify a maximum price.</w:t>
      </w:r>
      <w:r w:rsidR="00A073CA">
        <w:t xml:space="preserve"> </w:t>
      </w:r>
      <w:r w:rsidRPr="009E2F9F">
        <w:t xml:space="preserve">MSAC considered </w:t>
      </w:r>
      <w:r w:rsidR="007D0088" w:rsidRPr="009E2F9F">
        <w:t>that</w:t>
      </w:r>
      <w:r w:rsidRPr="009E2F9F">
        <w:t xml:space="preserve"> a two-tier </w:t>
      </w:r>
      <w:r w:rsidR="007D0088" w:rsidRPr="009E2F9F">
        <w:t xml:space="preserve">price </w:t>
      </w:r>
      <w:r w:rsidRPr="009E2F9F">
        <w:t xml:space="preserve">cap could be applied as part of a risk-sharing arrangement; for example, the first </w:t>
      </w:r>
      <w:r w:rsidR="00706FD3" w:rsidRPr="009E2F9F">
        <w:rPr>
          <w:b/>
          <w:bCs/>
        </w:rPr>
        <w:t>redacted</w:t>
      </w:r>
      <w:r w:rsidRPr="009E2F9F">
        <w:t xml:space="preserve"> patients would attract a scheduled PfP payment, then the second tier of patients (up to a maximum of</w:t>
      </w:r>
      <w:r w:rsidR="00706FD3" w:rsidRPr="009E2F9F">
        <w:t xml:space="preserve"> </w:t>
      </w:r>
      <w:r w:rsidR="00706FD3" w:rsidRPr="009E2F9F">
        <w:rPr>
          <w:b/>
          <w:bCs/>
        </w:rPr>
        <w:t>redacted</w:t>
      </w:r>
      <w:r w:rsidR="008F54CD" w:rsidRPr="009E2F9F">
        <w:t>,</w:t>
      </w:r>
      <w:r w:rsidR="00667A0E" w:rsidRPr="009E2F9F">
        <w:t xml:space="preserve"> based on </w:t>
      </w:r>
      <w:r w:rsidR="008F54CD" w:rsidRPr="009E2F9F">
        <w:t xml:space="preserve">the </w:t>
      </w:r>
      <w:r w:rsidR="00667A0E" w:rsidRPr="009E2F9F">
        <w:t>applicant</w:t>
      </w:r>
      <w:r w:rsidR="008F54CD" w:rsidRPr="009E2F9F">
        <w:t>’s</w:t>
      </w:r>
      <w:r w:rsidR="00667A0E" w:rsidRPr="009E2F9F">
        <w:t xml:space="preserve"> </w:t>
      </w:r>
      <w:r w:rsidR="008F54CD" w:rsidRPr="009E2F9F">
        <w:t>pre-MSAC response</w:t>
      </w:r>
      <w:r w:rsidR="00667A0E" w:rsidRPr="009E2F9F">
        <w:t xml:space="preserve"> regarding the </w:t>
      </w:r>
      <w:r w:rsidR="008F54CD" w:rsidRPr="009E2F9F">
        <w:t xml:space="preserve">number needed to treat to achieve equity in transplant rates between HS and non-HS patients </w:t>
      </w:r>
      <w:r w:rsidR="008B3BF3" w:rsidRPr="009E2F9F">
        <w:t>in</w:t>
      </w:r>
      <w:r w:rsidR="008F54CD" w:rsidRPr="009E2F9F">
        <w:t xml:space="preserve"> 5 years</w:t>
      </w:r>
      <w:r w:rsidRPr="009E2F9F">
        <w:t>) would attract a reduced PfP payment.</w:t>
      </w:r>
    </w:p>
    <w:p w14:paraId="0F9BA6EA" w14:textId="385B280F" w:rsidR="00925478" w:rsidRDefault="00574CA1" w:rsidP="00925478">
      <w:r>
        <w:rPr>
          <w:rStyle w:val="normaltextrun"/>
        </w:rPr>
        <w:t>Therefore</w:t>
      </w:r>
      <w:r w:rsidR="00AB0370">
        <w:rPr>
          <w:rStyle w:val="normaltextrun"/>
        </w:rPr>
        <w:t>,</w:t>
      </w:r>
      <w:r>
        <w:rPr>
          <w:rStyle w:val="normaltextrun"/>
        </w:rPr>
        <w:t xml:space="preserve"> MSAC deferred its advice pending </w:t>
      </w:r>
      <w:r w:rsidR="007D0088">
        <w:rPr>
          <w:rStyle w:val="normaltextrun"/>
        </w:rPr>
        <w:t>the p</w:t>
      </w:r>
      <w:r w:rsidR="000C04F2">
        <w:rPr>
          <w:rStyle w:val="normaltextrun"/>
        </w:rPr>
        <w:t xml:space="preserve">roposed engagement with the aforementioned stakeholders </w:t>
      </w:r>
      <w:r>
        <w:rPr>
          <w:rStyle w:val="normaltextrun"/>
        </w:rPr>
        <w:t xml:space="preserve">to address </w:t>
      </w:r>
      <w:r w:rsidR="00133C59">
        <w:rPr>
          <w:rStyle w:val="normaltextrun"/>
        </w:rPr>
        <w:t>the following issues</w:t>
      </w:r>
      <w:r w:rsidR="002238A3">
        <w:t>:</w:t>
      </w:r>
    </w:p>
    <w:p w14:paraId="200A2A23" w14:textId="6CB2884C" w:rsidR="002238A3" w:rsidRDefault="002238A3" w:rsidP="0033037C">
      <w:pPr>
        <w:pStyle w:val="ListParagraph"/>
        <w:numPr>
          <w:ilvl w:val="0"/>
          <w:numId w:val="37"/>
        </w:numPr>
        <w:rPr>
          <w:rStyle w:val="eop"/>
        </w:rPr>
      </w:pPr>
      <w:r>
        <w:rPr>
          <w:rStyle w:val="normaltextrun"/>
        </w:rPr>
        <w:t>refining the proposed eligibility criteria including the current proposed criteria for LD transplant recipients which refers to logistical incompatibility with other desensitisation regimes, and with reference to the established ethical principles that guide allocation of transplants in Australia</w:t>
      </w:r>
      <w:r>
        <w:rPr>
          <w:rStyle w:val="eop"/>
        </w:rPr>
        <w:t> </w:t>
      </w:r>
    </w:p>
    <w:p w14:paraId="49AA7863" w14:textId="77777777" w:rsidR="00925478" w:rsidRDefault="002238A3" w:rsidP="0033037C">
      <w:pPr>
        <w:pStyle w:val="ListParagraph"/>
        <w:numPr>
          <w:ilvl w:val="0"/>
          <w:numId w:val="37"/>
        </w:numPr>
        <w:rPr>
          <w:rStyle w:val="eop"/>
        </w:rPr>
      </w:pPr>
      <w:r w:rsidRPr="00925478">
        <w:rPr>
          <w:rStyle w:val="normaltextrun"/>
        </w:rPr>
        <w:t>development of national guidelines for imlifidase use</w:t>
      </w:r>
    </w:p>
    <w:p w14:paraId="1B033C25" w14:textId="1E368451" w:rsidR="002238A3" w:rsidRDefault="002238A3" w:rsidP="0033037C">
      <w:pPr>
        <w:pStyle w:val="ListParagraph"/>
        <w:numPr>
          <w:ilvl w:val="0"/>
          <w:numId w:val="37"/>
        </w:numPr>
        <w:rPr>
          <w:rStyle w:val="eop"/>
        </w:rPr>
      </w:pPr>
      <w:r w:rsidRPr="00925478">
        <w:rPr>
          <w:rStyle w:val="normaltextrun"/>
        </w:rPr>
        <w:t xml:space="preserve">addressing </w:t>
      </w:r>
      <w:r w:rsidR="00925478">
        <w:rPr>
          <w:rStyle w:val="normaltextrun"/>
        </w:rPr>
        <w:t xml:space="preserve">any remaining issues relating to </w:t>
      </w:r>
      <w:r w:rsidRPr="00925478">
        <w:rPr>
          <w:rStyle w:val="normaltextrun"/>
        </w:rPr>
        <w:t>accessibility to single antigen bead testing for</w:t>
      </w:r>
      <w:r w:rsidR="00925478">
        <w:rPr>
          <w:rStyle w:val="normaltextrun"/>
        </w:rPr>
        <w:t xml:space="preserve"> </w:t>
      </w:r>
      <w:r w:rsidRPr="00925478">
        <w:rPr>
          <w:rStyle w:val="normaltextrun"/>
        </w:rPr>
        <w:t>kidney transplantation centres where imlifidase would be used </w:t>
      </w:r>
      <w:r w:rsidRPr="00925478">
        <w:rPr>
          <w:rStyle w:val="eop"/>
        </w:rPr>
        <w:t> </w:t>
      </w:r>
    </w:p>
    <w:p w14:paraId="34F2185F" w14:textId="12CBB564" w:rsidR="007D7289" w:rsidRDefault="007D7289" w:rsidP="0033037C">
      <w:pPr>
        <w:pStyle w:val="ListParagraph"/>
        <w:numPr>
          <w:ilvl w:val="0"/>
          <w:numId w:val="37"/>
        </w:numPr>
        <w:rPr>
          <w:rStyle w:val="normaltextrun"/>
        </w:rPr>
      </w:pPr>
      <w:r w:rsidRPr="00925478">
        <w:rPr>
          <w:rStyle w:val="normaltextrun"/>
        </w:rPr>
        <w:t>designing an appropriate P</w:t>
      </w:r>
      <w:r>
        <w:rPr>
          <w:rStyle w:val="normaltextrun"/>
        </w:rPr>
        <w:t>f</w:t>
      </w:r>
      <w:r w:rsidRPr="00925478">
        <w:rPr>
          <w:rStyle w:val="normaltextrun"/>
        </w:rPr>
        <w:t xml:space="preserve">P scheme with </w:t>
      </w:r>
      <w:r w:rsidRPr="00430B28">
        <w:rPr>
          <w:rStyle w:val="normaltextrun"/>
        </w:rPr>
        <w:t xml:space="preserve">a </w:t>
      </w:r>
      <w:r w:rsidRPr="009E2F9F">
        <w:rPr>
          <w:rStyle w:val="normaltextrun"/>
        </w:rPr>
        <w:t>two tiered</w:t>
      </w:r>
      <w:r w:rsidRPr="00430B28">
        <w:rPr>
          <w:rStyle w:val="normaltextrun"/>
        </w:rPr>
        <w:t xml:space="preserve"> patient</w:t>
      </w:r>
      <w:r w:rsidRPr="00925478">
        <w:rPr>
          <w:rStyle w:val="normaltextrun"/>
        </w:rPr>
        <w:t xml:space="preserve"> financial cap</w:t>
      </w:r>
    </w:p>
    <w:p w14:paraId="71C944FC" w14:textId="20D2C98D" w:rsidR="00925478" w:rsidRDefault="005724F6" w:rsidP="0033037C">
      <w:pPr>
        <w:pStyle w:val="ListParagraph"/>
        <w:numPr>
          <w:ilvl w:val="0"/>
          <w:numId w:val="37"/>
        </w:numPr>
        <w:rPr>
          <w:rStyle w:val="eop"/>
        </w:rPr>
      </w:pPr>
      <w:r w:rsidRPr="00925478">
        <w:rPr>
          <w:rStyle w:val="normaltextrun"/>
        </w:rPr>
        <w:t>collection of data for post-implementation review for MSAC consideration (and potential sharing of data between TGA and MSAC) and the timing of the TGA re-consideration of the provisional registration for imlifidase with respect to MSAC review and potential implications for PfP payment scheduling</w:t>
      </w:r>
      <w:r w:rsidR="007D7289">
        <w:rPr>
          <w:rStyle w:val="eop"/>
        </w:rPr>
        <w:t>.</w:t>
      </w:r>
    </w:p>
    <w:p w14:paraId="2DA5FAFC" w14:textId="4E37B19E" w:rsidR="007071FD" w:rsidRDefault="004E486B" w:rsidP="004E486B">
      <w:r>
        <w:t xml:space="preserve">MSAC and the </w:t>
      </w:r>
      <w:r w:rsidR="00EB447F">
        <w:t>d</w:t>
      </w:r>
      <w:r>
        <w:t>epartment agreed to finalise a set of questions and issues that require input from these stakeholders.</w:t>
      </w:r>
      <w:r w:rsidR="00870318">
        <w:t xml:space="preserve"> </w:t>
      </w:r>
      <w:r>
        <w:t>MSAC considered that th</w:t>
      </w:r>
      <w:r w:rsidR="00B210BC">
        <w:t xml:space="preserve">is </w:t>
      </w:r>
      <w:r>
        <w:t>pathway would be preferable to a resubmission</w:t>
      </w:r>
      <w:r w:rsidR="008B3BF3">
        <w:t xml:space="preserve"> to address and manage the remaining uncertainties in the current application</w:t>
      </w:r>
      <w:r>
        <w:t>, and therefore deferred its advice until further information could be sought</w:t>
      </w:r>
      <w:r w:rsidR="00BA71B3">
        <w:t xml:space="preserve"> through the engagement proposed</w:t>
      </w:r>
      <w:r>
        <w:t>.</w:t>
      </w:r>
    </w:p>
    <w:p w14:paraId="6710B69D" w14:textId="0F61D4D4" w:rsidR="00772829" w:rsidRPr="00CE28E3" w:rsidRDefault="00F84BA7" w:rsidP="002A18BE">
      <w:pPr>
        <w:pStyle w:val="Heading2"/>
        <w:numPr>
          <w:ilvl w:val="0"/>
          <w:numId w:val="0"/>
        </w:numPr>
      </w:pPr>
      <w:bookmarkStart w:id="2" w:name="_Toc69491416"/>
      <w:bookmarkEnd w:id="1"/>
      <w:r>
        <w:lastRenderedPageBreak/>
        <w:t>4</w:t>
      </w:r>
      <w:r w:rsidR="00C36633">
        <w:t>.</w:t>
      </w:r>
      <w:r w:rsidR="00C36633">
        <w:tab/>
      </w:r>
      <w:r w:rsidR="00772829" w:rsidRPr="00CE28E3">
        <w:t>Background</w:t>
      </w:r>
      <w:bookmarkEnd w:id="2"/>
    </w:p>
    <w:p w14:paraId="107D7A0A" w14:textId="0B61F5FB" w:rsidR="00937518" w:rsidRDefault="00937518" w:rsidP="00937518">
      <w:pPr>
        <w:rPr>
          <w:b/>
          <w:bCs/>
        </w:rPr>
      </w:pPr>
      <w:bookmarkStart w:id="3" w:name="_Ref69726894"/>
      <w:bookmarkStart w:id="4" w:name="_Hlk69734494"/>
      <w:r w:rsidRPr="00D17BFD">
        <w:t>MSAC previously considered imlifidase on two prior occasions</w:t>
      </w:r>
      <w:r>
        <w:t xml:space="preserve">. </w:t>
      </w:r>
      <w:r w:rsidRPr="007D411B">
        <w:t>Refer to</w:t>
      </w:r>
      <w:r>
        <w:t xml:space="preserve"> Table 1</w:t>
      </w:r>
      <w:r>
        <w:rPr>
          <w:b/>
          <w:bCs/>
        </w:rPr>
        <w:t>.</w:t>
      </w:r>
    </w:p>
    <w:bookmarkEnd w:id="3"/>
    <w:p w14:paraId="38BF8EED" w14:textId="77777777" w:rsidR="00937518" w:rsidRPr="00FC27C7" w:rsidRDefault="00937518" w:rsidP="00937518">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xml:space="preserve"> MSAC Application History </w:t>
      </w:r>
    </w:p>
    <w:tbl>
      <w:tblPr>
        <w:tblW w:w="7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03"/>
        <w:gridCol w:w="1980"/>
      </w:tblGrid>
      <w:tr w:rsidR="00937518" w:rsidRPr="000F29CB" w14:paraId="390C73E5" w14:textId="77777777" w:rsidTr="00C21D21">
        <w:trPr>
          <w:trHeight w:val="300"/>
          <w:tblHeader/>
        </w:trPr>
        <w:tc>
          <w:tcPr>
            <w:tcW w:w="3003" w:type="dxa"/>
          </w:tcPr>
          <w:p w14:paraId="27DAE3E7" w14:textId="77777777" w:rsidR="00937518" w:rsidRPr="000F29CB" w:rsidRDefault="00937518" w:rsidP="00C21D21">
            <w:pPr>
              <w:pStyle w:val="TableFigureHeading"/>
              <w:rPr>
                <w:rFonts w:asciiTheme="minorHAnsi" w:hAnsiTheme="minorHAnsi" w:cstheme="minorHAnsi"/>
                <w:sz w:val="18"/>
                <w:szCs w:val="22"/>
              </w:rPr>
            </w:pPr>
            <w:bookmarkStart w:id="5" w:name="Title_Table13" w:colFirst="0" w:colLast="0"/>
            <w:r w:rsidRPr="000F29CB">
              <w:rPr>
                <w:rFonts w:asciiTheme="minorHAnsi" w:hAnsiTheme="minorHAnsi" w:cstheme="minorHAnsi"/>
                <w:sz w:val="18"/>
                <w:szCs w:val="22"/>
              </w:rPr>
              <w:t>Committee</w:t>
            </w:r>
          </w:p>
        </w:tc>
        <w:tc>
          <w:tcPr>
            <w:tcW w:w="3003" w:type="dxa"/>
          </w:tcPr>
          <w:p w14:paraId="1365EB8A" w14:textId="77777777" w:rsidR="00937518" w:rsidRPr="000F29CB" w:rsidRDefault="00937518" w:rsidP="00C21D21">
            <w:pPr>
              <w:pStyle w:val="TableFigureHeading"/>
              <w:rPr>
                <w:rFonts w:asciiTheme="minorHAnsi" w:hAnsiTheme="minorHAnsi" w:cstheme="minorHAnsi"/>
                <w:sz w:val="18"/>
                <w:szCs w:val="22"/>
              </w:rPr>
            </w:pPr>
            <w:r w:rsidRPr="000F29CB">
              <w:rPr>
                <w:rFonts w:asciiTheme="minorHAnsi" w:hAnsiTheme="minorHAnsi" w:cstheme="minorHAnsi"/>
                <w:sz w:val="18"/>
                <w:szCs w:val="22"/>
              </w:rPr>
              <w:t>Meeting date(s)</w:t>
            </w:r>
          </w:p>
        </w:tc>
        <w:tc>
          <w:tcPr>
            <w:tcW w:w="1980" w:type="dxa"/>
          </w:tcPr>
          <w:p w14:paraId="4809BFB6" w14:textId="77777777" w:rsidR="00937518" w:rsidRPr="000F29CB" w:rsidRDefault="00937518" w:rsidP="00C21D21">
            <w:pPr>
              <w:pStyle w:val="TableFigureHeading"/>
              <w:rPr>
                <w:rFonts w:asciiTheme="minorHAnsi" w:hAnsiTheme="minorHAnsi" w:cstheme="minorHAnsi"/>
                <w:sz w:val="18"/>
                <w:szCs w:val="22"/>
              </w:rPr>
            </w:pPr>
            <w:r w:rsidRPr="000F29CB">
              <w:rPr>
                <w:rFonts w:asciiTheme="minorHAnsi" w:hAnsiTheme="minorHAnsi" w:cstheme="minorHAnsi"/>
                <w:sz w:val="18"/>
                <w:szCs w:val="22"/>
              </w:rPr>
              <w:t>Outcome</w:t>
            </w:r>
          </w:p>
        </w:tc>
      </w:tr>
      <w:bookmarkEnd w:id="5"/>
      <w:tr w:rsidR="00937518" w:rsidRPr="000F29CB" w14:paraId="5912B28C" w14:textId="77777777" w:rsidTr="00C21D21">
        <w:trPr>
          <w:trHeight w:val="300"/>
        </w:trPr>
        <w:tc>
          <w:tcPr>
            <w:tcW w:w="3003" w:type="dxa"/>
          </w:tcPr>
          <w:p w14:paraId="2DC6FCAC" w14:textId="77777777" w:rsidR="00937518" w:rsidRPr="000F29CB" w:rsidRDefault="00937518" w:rsidP="00C21D21">
            <w:pPr>
              <w:pStyle w:val="TableText"/>
              <w:rPr>
                <w:rFonts w:asciiTheme="minorHAnsi" w:hAnsiTheme="minorHAnsi" w:cstheme="minorHAnsi"/>
                <w:sz w:val="18"/>
              </w:rPr>
            </w:pPr>
            <w:r w:rsidRPr="000F29CB">
              <w:rPr>
                <w:rFonts w:asciiTheme="minorHAnsi" w:hAnsiTheme="minorHAnsi" w:cstheme="minorHAnsi"/>
                <w:sz w:val="18"/>
              </w:rPr>
              <w:t>PASC – 1732</w:t>
            </w:r>
          </w:p>
        </w:tc>
        <w:tc>
          <w:tcPr>
            <w:tcW w:w="3003" w:type="dxa"/>
          </w:tcPr>
          <w:p w14:paraId="45D81C37" w14:textId="77777777" w:rsidR="00937518" w:rsidRPr="000F29CB" w:rsidRDefault="00937518" w:rsidP="00C21D21">
            <w:pPr>
              <w:pStyle w:val="TableText"/>
              <w:rPr>
                <w:rFonts w:asciiTheme="minorHAnsi" w:hAnsiTheme="minorHAnsi" w:cstheme="minorHAnsi"/>
                <w:sz w:val="18"/>
              </w:rPr>
            </w:pPr>
            <w:r w:rsidRPr="000F29CB">
              <w:rPr>
                <w:rFonts w:asciiTheme="minorHAnsi" w:hAnsiTheme="minorHAnsi" w:cstheme="minorHAnsi"/>
                <w:sz w:val="18"/>
              </w:rPr>
              <w:t>8-9 December 2022</w:t>
            </w:r>
          </w:p>
        </w:tc>
        <w:tc>
          <w:tcPr>
            <w:tcW w:w="1980" w:type="dxa"/>
            <w:shd w:val="clear" w:color="auto" w:fill="D0CECE" w:themeFill="background2" w:themeFillShade="E6"/>
          </w:tcPr>
          <w:p w14:paraId="0EBF39A2" w14:textId="77777777" w:rsidR="00937518" w:rsidRPr="000F29CB" w:rsidRDefault="00937518" w:rsidP="00C21D21">
            <w:pPr>
              <w:pStyle w:val="TableText"/>
              <w:rPr>
                <w:rFonts w:asciiTheme="minorHAnsi" w:hAnsiTheme="minorHAnsi" w:cstheme="minorHAnsi"/>
                <w:sz w:val="18"/>
              </w:rPr>
            </w:pPr>
          </w:p>
        </w:tc>
      </w:tr>
      <w:tr w:rsidR="00937518" w:rsidRPr="000F29CB" w14:paraId="6EA46B24" w14:textId="77777777" w:rsidTr="00C21D21">
        <w:trPr>
          <w:trHeight w:val="300"/>
        </w:trPr>
        <w:tc>
          <w:tcPr>
            <w:tcW w:w="3003" w:type="dxa"/>
          </w:tcPr>
          <w:p w14:paraId="3D5895A0" w14:textId="77777777" w:rsidR="00937518" w:rsidRPr="000F29CB" w:rsidRDefault="00937518" w:rsidP="00C21D21">
            <w:pPr>
              <w:pStyle w:val="TableText"/>
              <w:rPr>
                <w:rFonts w:asciiTheme="minorHAnsi" w:hAnsiTheme="minorHAnsi" w:cstheme="minorHAnsi"/>
                <w:sz w:val="18"/>
              </w:rPr>
            </w:pPr>
            <w:r w:rsidRPr="000F29CB">
              <w:rPr>
                <w:rFonts w:asciiTheme="minorHAnsi" w:hAnsiTheme="minorHAnsi" w:cstheme="minorHAnsi"/>
                <w:sz w:val="18"/>
              </w:rPr>
              <w:t>ESC – 1732</w:t>
            </w:r>
          </w:p>
        </w:tc>
        <w:tc>
          <w:tcPr>
            <w:tcW w:w="3003" w:type="dxa"/>
          </w:tcPr>
          <w:p w14:paraId="0A710321" w14:textId="77777777" w:rsidR="00937518" w:rsidRPr="000F29CB" w:rsidRDefault="00937518" w:rsidP="00C21D21">
            <w:pPr>
              <w:pStyle w:val="TableText"/>
              <w:rPr>
                <w:rFonts w:asciiTheme="minorHAnsi" w:hAnsiTheme="minorHAnsi" w:cstheme="minorHAnsi"/>
                <w:sz w:val="18"/>
              </w:rPr>
            </w:pPr>
            <w:r w:rsidRPr="000F29CB">
              <w:rPr>
                <w:rFonts w:asciiTheme="minorHAnsi" w:hAnsiTheme="minorHAnsi" w:cstheme="minorHAnsi"/>
                <w:sz w:val="18"/>
              </w:rPr>
              <w:t>8-9 June 2023</w:t>
            </w:r>
          </w:p>
        </w:tc>
        <w:tc>
          <w:tcPr>
            <w:tcW w:w="1980" w:type="dxa"/>
            <w:shd w:val="clear" w:color="auto" w:fill="D0CECE" w:themeFill="background2" w:themeFillShade="E6"/>
          </w:tcPr>
          <w:p w14:paraId="2C91C0F6" w14:textId="77777777" w:rsidR="00937518" w:rsidRPr="000F29CB" w:rsidRDefault="00937518" w:rsidP="00C21D21">
            <w:pPr>
              <w:pStyle w:val="TableText"/>
              <w:rPr>
                <w:rFonts w:asciiTheme="minorHAnsi" w:hAnsiTheme="minorHAnsi" w:cstheme="minorHAnsi"/>
                <w:sz w:val="18"/>
              </w:rPr>
            </w:pPr>
          </w:p>
        </w:tc>
      </w:tr>
      <w:tr w:rsidR="00937518" w:rsidRPr="000F29CB" w14:paraId="5CCEEB73" w14:textId="77777777" w:rsidTr="00C21D21">
        <w:trPr>
          <w:trHeight w:val="300"/>
        </w:trPr>
        <w:tc>
          <w:tcPr>
            <w:tcW w:w="3003" w:type="dxa"/>
          </w:tcPr>
          <w:p w14:paraId="34AF32C0" w14:textId="77777777" w:rsidR="00937518" w:rsidRPr="000F29CB" w:rsidRDefault="00937518" w:rsidP="00C21D21">
            <w:pPr>
              <w:pStyle w:val="TableText"/>
              <w:rPr>
                <w:rFonts w:asciiTheme="minorHAnsi" w:hAnsiTheme="minorHAnsi" w:cstheme="minorHAnsi"/>
                <w:sz w:val="18"/>
              </w:rPr>
            </w:pPr>
            <w:r w:rsidRPr="000F29CB">
              <w:rPr>
                <w:rFonts w:asciiTheme="minorHAnsi" w:hAnsiTheme="minorHAnsi" w:cstheme="minorHAnsi"/>
                <w:sz w:val="18"/>
              </w:rPr>
              <w:t>MSAC - 1732</w:t>
            </w:r>
          </w:p>
        </w:tc>
        <w:tc>
          <w:tcPr>
            <w:tcW w:w="3003" w:type="dxa"/>
          </w:tcPr>
          <w:p w14:paraId="403AAE2A" w14:textId="77777777" w:rsidR="00937518" w:rsidRPr="000F29CB" w:rsidRDefault="00937518" w:rsidP="00C21D21">
            <w:pPr>
              <w:pStyle w:val="TableText"/>
              <w:rPr>
                <w:rFonts w:asciiTheme="minorHAnsi" w:hAnsiTheme="minorHAnsi" w:cstheme="minorHAnsi"/>
                <w:sz w:val="18"/>
              </w:rPr>
            </w:pPr>
            <w:r w:rsidRPr="000F29CB">
              <w:rPr>
                <w:rFonts w:asciiTheme="minorHAnsi" w:hAnsiTheme="minorHAnsi" w:cstheme="minorHAnsi"/>
                <w:sz w:val="18"/>
              </w:rPr>
              <w:t>27-28 July 2023</w:t>
            </w:r>
          </w:p>
        </w:tc>
        <w:tc>
          <w:tcPr>
            <w:tcW w:w="1980" w:type="dxa"/>
          </w:tcPr>
          <w:p w14:paraId="263866DD" w14:textId="77777777" w:rsidR="00937518" w:rsidRPr="000F29CB" w:rsidRDefault="00937518" w:rsidP="00C21D21">
            <w:pPr>
              <w:pStyle w:val="TableText"/>
              <w:rPr>
                <w:rFonts w:asciiTheme="minorHAnsi" w:hAnsiTheme="minorHAnsi" w:cstheme="minorHAnsi"/>
                <w:sz w:val="18"/>
              </w:rPr>
            </w:pPr>
            <w:r w:rsidRPr="000F29CB">
              <w:rPr>
                <w:rFonts w:asciiTheme="minorHAnsi" w:hAnsiTheme="minorHAnsi" w:cstheme="minorHAnsi"/>
                <w:sz w:val="18"/>
              </w:rPr>
              <w:t>Not recommended</w:t>
            </w:r>
          </w:p>
        </w:tc>
      </w:tr>
      <w:tr w:rsidR="00937518" w:rsidRPr="000F29CB" w14:paraId="4D23AF76" w14:textId="77777777" w:rsidTr="00C21D21">
        <w:trPr>
          <w:trHeight w:val="300"/>
        </w:trPr>
        <w:tc>
          <w:tcPr>
            <w:tcW w:w="3003" w:type="dxa"/>
          </w:tcPr>
          <w:p w14:paraId="092B7957" w14:textId="77777777" w:rsidR="00937518" w:rsidRPr="000F29CB" w:rsidRDefault="00937518" w:rsidP="00C21D21">
            <w:pPr>
              <w:pStyle w:val="TableText"/>
              <w:rPr>
                <w:rFonts w:asciiTheme="minorHAnsi" w:hAnsiTheme="minorHAnsi" w:cstheme="minorHAnsi"/>
                <w:sz w:val="18"/>
              </w:rPr>
            </w:pPr>
            <w:r w:rsidRPr="000F29CB">
              <w:rPr>
                <w:rFonts w:asciiTheme="minorHAnsi" w:hAnsiTheme="minorHAnsi" w:cstheme="minorHAnsi"/>
                <w:sz w:val="18"/>
              </w:rPr>
              <w:t>PASC - 1732.1</w:t>
            </w:r>
          </w:p>
        </w:tc>
        <w:tc>
          <w:tcPr>
            <w:tcW w:w="3003" w:type="dxa"/>
          </w:tcPr>
          <w:p w14:paraId="63DABAEC" w14:textId="77777777" w:rsidR="00937518" w:rsidRPr="000F29CB" w:rsidDel="00A62324" w:rsidRDefault="00937518" w:rsidP="00C21D21">
            <w:pPr>
              <w:pStyle w:val="TableText"/>
              <w:rPr>
                <w:rFonts w:asciiTheme="minorHAnsi" w:hAnsiTheme="minorHAnsi" w:cstheme="minorHAnsi"/>
                <w:sz w:val="18"/>
              </w:rPr>
            </w:pPr>
            <w:r w:rsidRPr="000F29CB">
              <w:rPr>
                <w:rFonts w:asciiTheme="minorHAnsi" w:hAnsiTheme="minorHAnsi" w:cstheme="minorHAnsi"/>
                <w:sz w:val="18"/>
              </w:rPr>
              <w:t>Bypassed PASC</w:t>
            </w:r>
          </w:p>
        </w:tc>
        <w:tc>
          <w:tcPr>
            <w:tcW w:w="1980" w:type="dxa"/>
            <w:shd w:val="clear" w:color="auto" w:fill="D0CECE" w:themeFill="background2" w:themeFillShade="E6"/>
          </w:tcPr>
          <w:p w14:paraId="5941D20A" w14:textId="77777777" w:rsidR="00937518" w:rsidRPr="000F29CB" w:rsidRDefault="00937518" w:rsidP="00C21D21">
            <w:pPr>
              <w:pStyle w:val="TableText"/>
              <w:rPr>
                <w:rFonts w:asciiTheme="minorHAnsi" w:hAnsiTheme="minorHAnsi" w:cstheme="minorHAnsi"/>
                <w:sz w:val="18"/>
              </w:rPr>
            </w:pPr>
          </w:p>
        </w:tc>
      </w:tr>
      <w:tr w:rsidR="00937518" w:rsidRPr="000F29CB" w14:paraId="195BEE78" w14:textId="77777777" w:rsidTr="00C21D21">
        <w:trPr>
          <w:trHeight w:val="300"/>
        </w:trPr>
        <w:tc>
          <w:tcPr>
            <w:tcW w:w="3003" w:type="dxa"/>
          </w:tcPr>
          <w:p w14:paraId="6D0F15EF" w14:textId="77777777" w:rsidR="00937518" w:rsidRPr="000F29CB" w:rsidRDefault="00937518" w:rsidP="00C21D21">
            <w:pPr>
              <w:pStyle w:val="TableText"/>
              <w:rPr>
                <w:rFonts w:asciiTheme="minorHAnsi" w:hAnsiTheme="minorHAnsi" w:cstheme="minorHAnsi"/>
                <w:sz w:val="18"/>
              </w:rPr>
            </w:pPr>
            <w:r w:rsidRPr="000F29CB">
              <w:rPr>
                <w:rFonts w:asciiTheme="minorHAnsi" w:hAnsiTheme="minorHAnsi" w:cstheme="minorHAnsi"/>
                <w:sz w:val="18"/>
              </w:rPr>
              <w:t>ESC - 1732.1</w:t>
            </w:r>
          </w:p>
        </w:tc>
        <w:tc>
          <w:tcPr>
            <w:tcW w:w="3003" w:type="dxa"/>
          </w:tcPr>
          <w:p w14:paraId="76C96A61" w14:textId="77777777" w:rsidR="00937518" w:rsidRPr="000F29CB" w:rsidDel="00A62324" w:rsidRDefault="00937518" w:rsidP="00C21D21">
            <w:pPr>
              <w:pStyle w:val="TableText"/>
              <w:rPr>
                <w:rFonts w:asciiTheme="minorHAnsi" w:hAnsiTheme="minorHAnsi" w:cstheme="minorHAnsi"/>
                <w:sz w:val="18"/>
              </w:rPr>
            </w:pPr>
            <w:r w:rsidRPr="000F29CB">
              <w:rPr>
                <w:rFonts w:asciiTheme="minorHAnsi" w:hAnsiTheme="minorHAnsi" w:cstheme="minorHAnsi"/>
                <w:sz w:val="18"/>
              </w:rPr>
              <w:t>13-14 June 2024</w:t>
            </w:r>
          </w:p>
        </w:tc>
        <w:tc>
          <w:tcPr>
            <w:tcW w:w="1980" w:type="dxa"/>
            <w:shd w:val="clear" w:color="auto" w:fill="D0CECE" w:themeFill="background2" w:themeFillShade="E6"/>
          </w:tcPr>
          <w:p w14:paraId="2803157C" w14:textId="77777777" w:rsidR="00937518" w:rsidRPr="000F29CB" w:rsidRDefault="00937518" w:rsidP="00C21D21">
            <w:pPr>
              <w:pStyle w:val="TableText"/>
              <w:rPr>
                <w:rFonts w:asciiTheme="minorHAnsi" w:hAnsiTheme="minorHAnsi" w:cstheme="minorHAnsi"/>
                <w:sz w:val="18"/>
              </w:rPr>
            </w:pPr>
          </w:p>
        </w:tc>
      </w:tr>
      <w:tr w:rsidR="00937518" w:rsidRPr="000F29CB" w14:paraId="088D4553" w14:textId="77777777" w:rsidTr="00C21D21">
        <w:trPr>
          <w:trHeight w:val="396"/>
        </w:trPr>
        <w:tc>
          <w:tcPr>
            <w:tcW w:w="3003" w:type="dxa"/>
          </w:tcPr>
          <w:p w14:paraId="76D842D0" w14:textId="77777777" w:rsidR="00937518" w:rsidRPr="000F29CB" w:rsidRDefault="00937518" w:rsidP="00C21D21">
            <w:pPr>
              <w:rPr>
                <w:rFonts w:asciiTheme="minorHAnsi" w:hAnsiTheme="minorHAnsi" w:cstheme="minorHAnsi"/>
                <w:sz w:val="18"/>
              </w:rPr>
            </w:pPr>
            <w:r w:rsidRPr="000F29CB">
              <w:rPr>
                <w:rFonts w:asciiTheme="minorHAnsi" w:hAnsiTheme="minorHAnsi" w:cstheme="minorHAnsi"/>
                <w:sz w:val="18"/>
              </w:rPr>
              <w:t>MSAC  - 1732.1</w:t>
            </w:r>
          </w:p>
        </w:tc>
        <w:tc>
          <w:tcPr>
            <w:tcW w:w="3003" w:type="dxa"/>
          </w:tcPr>
          <w:p w14:paraId="618821DE" w14:textId="77777777" w:rsidR="00937518" w:rsidRPr="000F29CB" w:rsidDel="00A62324" w:rsidRDefault="00937518" w:rsidP="00C21D21">
            <w:pPr>
              <w:rPr>
                <w:rFonts w:asciiTheme="minorHAnsi" w:hAnsiTheme="minorHAnsi" w:cstheme="minorHAnsi"/>
                <w:sz w:val="18"/>
              </w:rPr>
            </w:pPr>
            <w:r w:rsidRPr="000F29CB">
              <w:rPr>
                <w:rFonts w:asciiTheme="minorHAnsi" w:hAnsiTheme="minorHAnsi" w:cstheme="minorHAnsi"/>
                <w:sz w:val="18"/>
              </w:rPr>
              <w:t>1-2 August 2024</w:t>
            </w:r>
          </w:p>
        </w:tc>
        <w:tc>
          <w:tcPr>
            <w:tcW w:w="1980" w:type="dxa"/>
          </w:tcPr>
          <w:p w14:paraId="3E8828AD" w14:textId="77777777" w:rsidR="00937518" w:rsidRPr="000F29CB" w:rsidRDefault="00937518" w:rsidP="00C21D21">
            <w:pPr>
              <w:rPr>
                <w:rFonts w:asciiTheme="minorHAnsi" w:hAnsiTheme="minorHAnsi" w:cstheme="minorHAnsi"/>
                <w:sz w:val="18"/>
              </w:rPr>
            </w:pPr>
            <w:r w:rsidRPr="000F29CB">
              <w:rPr>
                <w:rFonts w:asciiTheme="minorHAnsi" w:hAnsiTheme="minorHAnsi" w:cstheme="minorHAnsi"/>
                <w:sz w:val="18"/>
              </w:rPr>
              <w:t>Deferred</w:t>
            </w:r>
          </w:p>
        </w:tc>
      </w:tr>
      <w:tr w:rsidR="00937518" w:rsidRPr="000F29CB" w14:paraId="67D13342" w14:textId="77777777" w:rsidTr="00C21D21">
        <w:trPr>
          <w:trHeight w:val="300"/>
        </w:trPr>
        <w:tc>
          <w:tcPr>
            <w:tcW w:w="3003" w:type="dxa"/>
          </w:tcPr>
          <w:p w14:paraId="2EA937C7" w14:textId="77777777" w:rsidR="00937518" w:rsidRPr="000F29CB" w:rsidRDefault="00937518" w:rsidP="00C21D21">
            <w:pPr>
              <w:pStyle w:val="TableText"/>
              <w:rPr>
                <w:rFonts w:asciiTheme="minorHAnsi" w:hAnsiTheme="minorHAnsi" w:cstheme="minorHAnsi"/>
                <w:sz w:val="18"/>
              </w:rPr>
            </w:pPr>
            <w:r w:rsidRPr="000F29CB">
              <w:rPr>
                <w:rFonts w:asciiTheme="minorHAnsi" w:hAnsiTheme="minorHAnsi" w:cstheme="minorHAnsi"/>
                <w:sz w:val="18"/>
              </w:rPr>
              <w:t xml:space="preserve">Stakeholder Meeting </w:t>
            </w:r>
          </w:p>
        </w:tc>
        <w:tc>
          <w:tcPr>
            <w:tcW w:w="3003" w:type="dxa"/>
          </w:tcPr>
          <w:p w14:paraId="2CCD90BB" w14:textId="77777777" w:rsidR="00937518" w:rsidRPr="000F29CB" w:rsidDel="00A62324" w:rsidRDefault="00937518" w:rsidP="00C21D21">
            <w:pPr>
              <w:pStyle w:val="TableText"/>
              <w:rPr>
                <w:rFonts w:asciiTheme="minorHAnsi" w:hAnsiTheme="minorHAnsi" w:cstheme="minorHAnsi"/>
                <w:sz w:val="18"/>
                <w:highlight w:val="cyan"/>
              </w:rPr>
            </w:pPr>
            <w:r w:rsidRPr="000F29CB">
              <w:rPr>
                <w:rFonts w:asciiTheme="minorHAnsi" w:hAnsiTheme="minorHAnsi" w:cstheme="minorHAnsi"/>
                <w:sz w:val="18"/>
              </w:rPr>
              <w:t>4 February 2025</w:t>
            </w:r>
          </w:p>
        </w:tc>
        <w:tc>
          <w:tcPr>
            <w:tcW w:w="1980" w:type="dxa"/>
            <w:shd w:val="clear" w:color="auto" w:fill="D0CECE" w:themeFill="background2" w:themeFillShade="E6"/>
          </w:tcPr>
          <w:p w14:paraId="65361BB1" w14:textId="77777777" w:rsidR="00937518" w:rsidRPr="000F29CB" w:rsidRDefault="00937518" w:rsidP="00C21D21">
            <w:pPr>
              <w:pStyle w:val="TableText"/>
              <w:rPr>
                <w:rFonts w:asciiTheme="minorHAnsi" w:hAnsiTheme="minorHAnsi" w:cstheme="minorHAnsi"/>
                <w:sz w:val="18"/>
              </w:rPr>
            </w:pPr>
          </w:p>
        </w:tc>
      </w:tr>
      <w:tr w:rsidR="00937518" w:rsidRPr="000F29CB" w14:paraId="4F218C62" w14:textId="77777777" w:rsidTr="00C21D21">
        <w:trPr>
          <w:trHeight w:val="300"/>
        </w:trPr>
        <w:tc>
          <w:tcPr>
            <w:tcW w:w="3003" w:type="dxa"/>
          </w:tcPr>
          <w:p w14:paraId="5FA862A3" w14:textId="77777777" w:rsidR="00937518" w:rsidRPr="000F29CB" w:rsidRDefault="00937518" w:rsidP="00C21D21">
            <w:pPr>
              <w:pStyle w:val="TableText"/>
              <w:rPr>
                <w:rFonts w:asciiTheme="minorHAnsi" w:hAnsiTheme="minorHAnsi" w:cstheme="minorHAnsi"/>
                <w:i/>
                <w:iCs/>
                <w:sz w:val="18"/>
              </w:rPr>
            </w:pPr>
            <w:r w:rsidRPr="000F29CB">
              <w:rPr>
                <w:rFonts w:asciiTheme="minorHAnsi" w:hAnsiTheme="minorHAnsi" w:cstheme="minorHAnsi"/>
                <w:i/>
                <w:iCs/>
                <w:sz w:val="18"/>
              </w:rPr>
              <w:t xml:space="preserve">MSAC </w:t>
            </w:r>
          </w:p>
        </w:tc>
        <w:tc>
          <w:tcPr>
            <w:tcW w:w="3003" w:type="dxa"/>
          </w:tcPr>
          <w:p w14:paraId="59DCE420" w14:textId="09ED4514" w:rsidR="00937518" w:rsidRPr="000F29CB" w:rsidRDefault="00937518" w:rsidP="00C21D21">
            <w:pPr>
              <w:pStyle w:val="TableText"/>
              <w:rPr>
                <w:rFonts w:asciiTheme="minorHAnsi" w:hAnsiTheme="minorHAnsi" w:cstheme="minorHAnsi"/>
                <w:i/>
                <w:iCs/>
                <w:sz w:val="18"/>
              </w:rPr>
            </w:pPr>
            <w:r w:rsidRPr="000F29CB">
              <w:rPr>
                <w:rFonts w:asciiTheme="minorHAnsi" w:hAnsiTheme="minorHAnsi" w:cstheme="minorHAnsi"/>
                <w:i/>
                <w:iCs/>
                <w:sz w:val="18"/>
              </w:rPr>
              <w:t>3-4 April 2025</w:t>
            </w:r>
          </w:p>
        </w:tc>
        <w:tc>
          <w:tcPr>
            <w:tcW w:w="1980" w:type="dxa"/>
            <w:shd w:val="clear" w:color="auto" w:fill="D0CECE" w:themeFill="background2" w:themeFillShade="E6"/>
          </w:tcPr>
          <w:p w14:paraId="0A288276" w14:textId="77777777" w:rsidR="00937518" w:rsidRPr="000F29CB" w:rsidRDefault="00937518" w:rsidP="00C21D21">
            <w:pPr>
              <w:pStyle w:val="TableText"/>
              <w:rPr>
                <w:rFonts w:asciiTheme="minorHAnsi" w:hAnsiTheme="minorHAnsi" w:cstheme="minorHAnsi"/>
                <w:i/>
                <w:iCs/>
                <w:sz w:val="18"/>
              </w:rPr>
            </w:pPr>
          </w:p>
        </w:tc>
      </w:tr>
    </w:tbl>
    <w:p w14:paraId="1905C31C" w14:textId="3FC62F48" w:rsidR="00937518" w:rsidRPr="00E42454" w:rsidRDefault="00B83766" w:rsidP="00B606BB">
      <w:pPr>
        <w:rPr>
          <w:rStyle w:val="normaltextrun"/>
          <w:rFonts w:cstheme="minorHAnsi"/>
        </w:rPr>
      </w:pPr>
      <w:r w:rsidRPr="00E42454">
        <w:rPr>
          <w:rFonts w:cstheme="minorHAnsi"/>
        </w:rPr>
        <w:t>In the Public Summary document related to Application 1732.1 MSAC recalled that it had considered the original application (</w:t>
      </w:r>
      <w:hyperlink r:id="rId10">
        <w:r w:rsidRPr="00E42454">
          <w:rPr>
            <w:rStyle w:val="Hyperlink"/>
            <w:rFonts w:cstheme="minorHAnsi"/>
          </w:rPr>
          <w:t>1732</w:t>
        </w:r>
      </w:hyperlink>
      <w:r w:rsidRPr="00E42454">
        <w:rPr>
          <w:rFonts w:cstheme="minorHAnsi"/>
        </w:rPr>
        <w:t xml:space="preserve">) at its July 2023 meeting and did not support public funding at the time. The key matters of concern included eligibility criteria and the clinical place of therapy, implementation issues relating to the centres offering the proposed technology, commercial terms, and concerns regarding the economic and financial modelling. </w:t>
      </w:r>
      <w:r w:rsidRPr="00E42454">
        <w:rPr>
          <w:rStyle w:val="normaltextrun"/>
          <w:rFonts w:cstheme="minorHAnsi"/>
        </w:rPr>
        <w:t xml:space="preserve">MSAC considered there is a high unmet clinical need for imlifidase. </w:t>
      </w:r>
    </w:p>
    <w:p w14:paraId="7A0C3DA0" w14:textId="77777777" w:rsidR="00D83EF0" w:rsidRPr="00E42454" w:rsidRDefault="00E76B7E" w:rsidP="00D83EF0">
      <w:r w:rsidRPr="00E42454">
        <w:rPr>
          <w:rStyle w:val="normaltextrun"/>
          <w:rFonts w:cstheme="minorHAnsi"/>
        </w:rPr>
        <w:t>In the August 2024 reconsideration of th</w:t>
      </w:r>
      <w:r w:rsidR="00D83EF0" w:rsidRPr="00E42454">
        <w:rPr>
          <w:rStyle w:val="normaltextrun"/>
          <w:rFonts w:cstheme="minorHAnsi"/>
        </w:rPr>
        <w:t xml:space="preserve">is application. </w:t>
      </w:r>
      <w:r w:rsidR="00D83EF0" w:rsidRPr="00E42454">
        <w:t>MSAC noted that the applicant had addressed or partially addressed many of its concerns in the resubmission (1732.1), but there were remaining concerns and uncertainties. This led to a deferred decision pending input from relevant stakeholders. A Stakeholder Meeting was duly held on 4</w:t>
      </w:r>
      <w:r w:rsidR="00D83EF0" w:rsidRPr="00E42454">
        <w:rPr>
          <w:vertAlign w:val="superscript"/>
        </w:rPr>
        <w:t>th</w:t>
      </w:r>
      <w:r w:rsidR="00D83EF0" w:rsidRPr="00E42454">
        <w:t xml:space="preserve"> February 2025. </w:t>
      </w:r>
    </w:p>
    <w:p w14:paraId="6A875F40" w14:textId="07329220" w:rsidR="00AC5E39" w:rsidRDefault="00D04ED3" w:rsidP="009373C5">
      <w:r w:rsidRPr="00E42454">
        <w:rPr>
          <w:i/>
          <w:iCs/>
        </w:rPr>
        <w:t xml:space="preserve">Refer to ‘April 2025 MSAC consideration’ in Section 3 for a summary of the key outcomes of the stakeholder meeting. </w:t>
      </w:r>
    </w:p>
    <w:p w14:paraId="6F52500A" w14:textId="04C38E21" w:rsidR="00772829" w:rsidRPr="00CE28E3" w:rsidRDefault="00F84BA7" w:rsidP="002A18BE">
      <w:pPr>
        <w:pStyle w:val="Heading2"/>
        <w:numPr>
          <w:ilvl w:val="0"/>
          <w:numId w:val="0"/>
        </w:numPr>
      </w:pPr>
      <w:bookmarkStart w:id="6" w:name="_Toc69491417"/>
      <w:bookmarkEnd w:id="4"/>
      <w:r>
        <w:t>5</w:t>
      </w:r>
      <w:r w:rsidR="00C36633">
        <w:t>.</w:t>
      </w:r>
      <w:r w:rsidR="00C36633">
        <w:tab/>
      </w:r>
      <w:r w:rsidR="00772829" w:rsidRPr="00CE28E3">
        <w:t>Prerequisites to implementation of any funding advice</w:t>
      </w:r>
      <w:bookmarkEnd w:id="6"/>
    </w:p>
    <w:p w14:paraId="26894114" w14:textId="52DFA03A" w:rsidR="00904099" w:rsidRDefault="00BD192E" w:rsidP="00E3080A">
      <w:r>
        <w:t xml:space="preserve">Imlifidase </w:t>
      </w:r>
      <w:r w:rsidR="009C3796">
        <w:t xml:space="preserve">was </w:t>
      </w:r>
      <w:r w:rsidR="001B3BD9">
        <w:t xml:space="preserve"> approved </w:t>
      </w:r>
      <w:r w:rsidR="00EB679F">
        <w:t xml:space="preserve">for provisional registration </w:t>
      </w:r>
      <w:r>
        <w:t>on the Australian Register of Therapeutic Goods (ARTG</w:t>
      </w:r>
      <w:r w:rsidR="008E3846">
        <w:t>; ARTG ID 391413</w:t>
      </w:r>
      <w:r>
        <w:t>)</w:t>
      </w:r>
      <w:r w:rsidR="00AB1FFB">
        <w:t xml:space="preserve"> </w:t>
      </w:r>
      <w:r w:rsidR="00D81AAF">
        <w:t>for the indication:</w:t>
      </w:r>
      <w:r w:rsidR="00BA1441">
        <w:rPr>
          <w:rStyle w:val="FootnoteReference"/>
        </w:rPr>
        <w:footnoteReference w:id="2"/>
      </w:r>
      <w:r w:rsidR="00D6778F">
        <w:t xml:space="preserve"> </w:t>
      </w:r>
    </w:p>
    <w:p w14:paraId="5171642D" w14:textId="7E9AAF22" w:rsidR="004F5328" w:rsidRDefault="007B7A58" w:rsidP="00E3080A">
      <w:pPr>
        <w:ind w:left="1077"/>
      </w:pPr>
      <w:r>
        <w:t>‘</w:t>
      </w:r>
      <w:r w:rsidR="008F05EF" w:rsidRPr="008F05EF">
        <w:t>Idefirix has provisional approval for the desensitisation treatment of highly sensitised adult kidney transplant candidates prior to kidney transplantation from a donor against whom there is a positive crossmatch</w:t>
      </w:r>
      <w:r w:rsidR="008F05EF">
        <w:t>.</w:t>
      </w:r>
      <w:r w:rsidR="00E3080A">
        <w:t xml:space="preserve"> </w:t>
      </w:r>
      <w:r w:rsidR="008F05EF" w:rsidRPr="008F05EF">
        <w:t>The use of Idefirix should be reserved for patients who are otherwise unlikely to receive a kidney transplant</w:t>
      </w:r>
      <w:r w:rsidR="004F5328" w:rsidRPr="004F5328">
        <w:t>.</w:t>
      </w:r>
      <w:r w:rsidR="006D30F6">
        <w:t>’</w:t>
      </w:r>
    </w:p>
    <w:p w14:paraId="0456AED9" w14:textId="64C2FDAA" w:rsidR="007B7A58" w:rsidRPr="007B7A58" w:rsidRDefault="007B7A58" w:rsidP="00E3080A">
      <w:r w:rsidRPr="007B7A58">
        <w:t>Funding for imlifidase is proposed via the NHRA. Subject to a positive recommendation from MSAC, funding agreements will need to be negotiated with each respective state and territory.</w:t>
      </w:r>
    </w:p>
    <w:p w14:paraId="44C3B242" w14:textId="1EBF31E5" w:rsidR="00772829" w:rsidRPr="00CE28E3" w:rsidRDefault="00F84BA7" w:rsidP="002A18BE">
      <w:pPr>
        <w:pStyle w:val="Heading2"/>
        <w:numPr>
          <w:ilvl w:val="0"/>
          <w:numId w:val="0"/>
        </w:numPr>
      </w:pPr>
      <w:bookmarkStart w:id="7" w:name="_Toc69491418"/>
      <w:r>
        <w:lastRenderedPageBreak/>
        <w:t>6</w:t>
      </w:r>
      <w:r w:rsidR="00C36633">
        <w:t>.</w:t>
      </w:r>
      <w:r w:rsidR="00C36633">
        <w:tab/>
      </w:r>
      <w:r w:rsidR="00772829" w:rsidRPr="00CE28E3">
        <w:t>Proposal for public funding</w:t>
      </w:r>
      <w:bookmarkEnd w:id="7"/>
    </w:p>
    <w:p w14:paraId="24123133" w14:textId="668BF789" w:rsidR="00AC6F46" w:rsidRPr="00AC6F46" w:rsidRDefault="00AC6F46" w:rsidP="007637C3">
      <w:r w:rsidRPr="00AC6F46">
        <w:t xml:space="preserve">Funding is sought for the use of imlifidase in the desensitisation treatment of HS adult kidney transplant patients with a positive crossmatch against an available DD or LD who are unlikely to be transplanted under current kidney allocation systems. </w:t>
      </w:r>
    </w:p>
    <w:p w14:paraId="68F62513" w14:textId="0CEFC4BC" w:rsidR="00AC6F46" w:rsidRDefault="00AC6F46" w:rsidP="007637C3">
      <w:r w:rsidRPr="00AC6F46">
        <w:t>Patients would be eligible for imlifidase if they meet the following criteria</w:t>
      </w:r>
      <w:r w:rsidR="00F77294">
        <w:t>.</w:t>
      </w:r>
      <w:r w:rsidRPr="00AC6F46">
        <w:t xml:space="preserve"> </w:t>
      </w:r>
    </w:p>
    <w:p w14:paraId="08B81B4B" w14:textId="29947591" w:rsidR="00574BA4" w:rsidRPr="003A1A50" w:rsidRDefault="003A1A50" w:rsidP="007637C3">
      <w:pPr>
        <w:rPr>
          <w:bCs/>
        </w:rPr>
      </w:pPr>
      <w:r w:rsidRPr="003A1A50">
        <w:rPr>
          <w:bCs/>
        </w:rPr>
        <w:t>For patients waiting for a DD kidney:</w:t>
      </w:r>
    </w:p>
    <w:p w14:paraId="65C43714" w14:textId="53B7FE52" w:rsidR="003A1A50" w:rsidRDefault="00574BA4" w:rsidP="0033037C">
      <w:pPr>
        <w:pStyle w:val="ListParagraph"/>
        <w:numPr>
          <w:ilvl w:val="0"/>
          <w:numId w:val="17"/>
        </w:numPr>
      </w:pPr>
      <w:r w:rsidRPr="00574BA4">
        <w:t>Have a</w:t>
      </w:r>
      <w:r w:rsidR="00DA0E37">
        <w:t xml:space="preserve"> calculated panel reactive antibody</w:t>
      </w:r>
      <w:r w:rsidRPr="00574BA4">
        <w:t xml:space="preserve"> </w:t>
      </w:r>
      <w:r w:rsidR="00DA0E37">
        <w:t>(</w:t>
      </w:r>
      <w:r w:rsidRPr="00574BA4">
        <w:t>cPRA</w:t>
      </w:r>
      <w:r w:rsidR="00DA0E37">
        <w:t>)</w:t>
      </w:r>
      <w:r w:rsidRPr="00574BA4">
        <w:t xml:space="preserve"> ≥99%; AND</w:t>
      </w:r>
    </w:p>
    <w:p w14:paraId="5A054693" w14:textId="55B0B44B" w:rsidR="003A1A50" w:rsidRDefault="00574BA4" w:rsidP="0033037C">
      <w:pPr>
        <w:pStyle w:val="ListParagraph"/>
        <w:numPr>
          <w:ilvl w:val="0"/>
          <w:numId w:val="17"/>
        </w:numPr>
      </w:pPr>
      <w:r w:rsidRPr="00574BA4">
        <w:t xml:space="preserve">With a positive </w:t>
      </w:r>
      <w:r w:rsidR="00B92702" w:rsidRPr="00B92702">
        <w:t>crossmatch</w:t>
      </w:r>
      <w:r w:rsidR="00B92702" w:rsidRPr="00B92702" w:rsidDel="00B92702">
        <w:t xml:space="preserve"> </w:t>
      </w:r>
      <w:r w:rsidRPr="00574BA4">
        <w:t>against an available donor; AND</w:t>
      </w:r>
    </w:p>
    <w:p w14:paraId="152E4ABF" w14:textId="655B2322" w:rsidR="00AC6F46" w:rsidRDefault="00574BA4" w:rsidP="0033037C">
      <w:pPr>
        <w:pStyle w:val="ListParagraph"/>
        <w:numPr>
          <w:ilvl w:val="0"/>
          <w:numId w:val="17"/>
        </w:numPr>
      </w:pPr>
      <w:r w:rsidRPr="00574BA4">
        <w:t xml:space="preserve">Active on the </w:t>
      </w:r>
      <w:r w:rsidR="003A1A50">
        <w:t>DD</w:t>
      </w:r>
      <w:r w:rsidRPr="00574BA4">
        <w:t xml:space="preserve"> </w:t>
      </w:r>
      <w:r w:rsidR="004A2E3F">
        <w:t>waitlist</w:t>
      </w:r>
      <w:r w:rsidRPr="00574BA4">
        <w:t xml:space="preserve"> for at least </w:t>
      </w:r>
      <w:r w:rsidR="003A1A50">
        <w:t>2</w:t>
      </w:r>
      <w:r w:rsidRPr="00574BA4">
        <w:t xml:space="preserve"> years.</w:t>
      </w:r>
    </w:p>
    <w:p w14:paraId="22872F3B" w14:textId="5EB8718E" w:rsidR="00AC6F46" w:rsidRPr="00FE4FA0" w:rsidRDefault="00FE4FA0" w:rsidP="007637C3">
      <w:pPr>
        <w:rPr>
          <w:bCs/>
        </w:rPr>
      </w:pPr>
      <w:r w:rsidRPr="00FE4FA0">
        <w:rPr>
          <w:bCs/>
        </w:rPr>
        <w:t>For patients with a</w:t>
      </w:r>
      <w:r w:rsidR="00760621">
        <w:rPr>
          <w:bCs/>
        </w:rPr>
        <w:t>n</w:t>
      </w:r>
      <w:r w:rsidRPr="00FE4FA0">
        <w:rPr>
          <w:bCs/>
        </w:rPr>
        <w:t xml:space="preserve"> LD:</w:t>
      </w:r>
    </w:p>
    <w:p w14:paraId="009EA068" w14:textId="79A2E6F1" w:rsidR="00FE4FA0" w:rsidRDefault="00C75938" w:rsidP="0033037C">
      <w:pPr>
        <w:pStyle w:val="ListParagraph"/>
        <w:numPr>
          <w:ilvl w:val="0"/>
          <w:numId w:val="18"/>
        </w:numPr>
      </w:pPr>
      <w:r w:rsidRPr="00C75938">
        <w:t>Have a cPRA ≥99%</w:t>
      </w:r>
      <w:r w:rsidR="00F12EB1">
        <w:t>;</w:t>
      </w:r>
      <w:r w:rsidRPr="00C75938">
        <w:t xml:space="preserve"> AND</w:t>
      </w:r>
    </w:p>
    <w:p w14:paraId="785EDDDD" w14:textId="745FAA16" w:rsidR="00FE4FA0" w:rsidRDefault="00C75938" w:rsidP="0033037C">
      <w:pPr>
        <w:pStyle w:val="ListParagraph"/>
        <w:numPr>
          <w:ilvl w:val="0"/>
          <w:numId w:val="18"/>
        </w:numPr>
      </w:pPr>
      <w:r w:rsidRPr="00C75938">
        <w:t xml:space="preserve">With a positive crossmatch against an available </w:t>
      </w:r>
      <w:r w:rsidR="00760621">
        <w:t>LD</w:t>
      </w:r>
      <w:r w:rsidR="00F12EB1">
        <w:t>;</w:t>
      </w:r>
      <w:r w:rsidRPr="00C75938">
        <w:t xml:space="preserve"> AND</w:t>
      </w:r>
    </w:p>
    <w:p w14:paraId="3E95FE4D" w14:textId="205ADB56" w:rsidR="00E80CAA" w:rsidRPr="00E80CAA" w:rsidRDefault="00E80CAA" w:rsidP="00E80CAA">
      <w:pPr>
        <w:pStyle w:val="ListParagraph"/>
        <w:numPr>
          <w:ilvl w:val="0"/>
          <w:numId w:val="18"/>
        </w:numPr>
      </w:pPr>
      <w:r w:rsidRPr="00E80CAA">
        <w:t>For whom alternate desensitisation regimens for organ transplantation have failed or are contraindicated or are unlikely to be successful. (proposed at Stakeholder Meeting)</w:t>
      </w:r>
      <w:r>
        <w:t>.</w:t>
      </w:r>
    </w:p>
    <w:p w14:paraId="1119C859" w14:textId="29109847" w:rsidR="0092067B" w:rsidRDefault="00F538AE" w:rsidP="0092067B">
      <w:r w:rsidRPr="00F538AE">
        <w:t>Imlifidase does not require a</w:t>
      </w:r>
      <w:r w:rsidR="00B63347">
        <w:t xml:space="preserve"> Medicare Benefits Schedule</w:t>
      </w:r>
      <w:r w:rsidRPr="00F538AE">
        <w:t xml:space="preserve"> </w:t>
      </w:r>
      <w:r w:rsidR="00B63347">
        <w:t>(</w:t>
      </w:r>
      <w:r w:rsidRPr="00F538AE">
        <w:t>MBS</w:t>
      </w:r>
      <w:r w:rsidR="00B63347">
        <w:t>)</w:t>
      </w:r>
      <w:r w:rsidRPr="00F538AE">
        <w:t xml:space="preserve"> item code. Funding is</w:t>
      </w:r>
      <w:r w:rsidR="008C7037">
        <w:t xml:space="preserve"> requested</w:t>
      </w:r>
      <w:r w:rsidRPr="00F538AE">
        <w:t xml:space="preserve"> via the NHRA Addendum for </w:t>
      </w:r>
      <w:r w:rsidR="000652B8">
        <w:t>H</w:t>
      </w:r>
      <w:r w:rsidRPr="00F538AE">
        <w:t xml:space="preserve">ighly </w:t>
      </w:r>
      <w:r w:rsidR="000652B8">
        <w:t>S</w:t>
      </w:r>
      <w:r w:rsidRPr="00F538AE">
        <w:t xml:space="preserve">pecialised </w:t>
      </w:r>
      <w:r w:rsidR="002D4349">
        <w:t>Therapies</w:t>
      </w:r>
      <w:r w:rsidRPr="00F538AE">
        <w:t>.</w:t>
      </w:r>
      <w:r w:rsidR="00544A45">
        <w:rPr>
          <w:rStyle w:val="FootnoteReference"/>
        </w:rPr>
        <w:footnoteReference w:id="3"/>
      </w:r>
      <w:r w:rsidRPr="00F538AE">
        <w:t xml:space="preserve"> </w:t>
      </w:r>
    </w:p>
    <w:p w14:paraId="4764AE7F" w14:textId="6AE6149C" w:rsidR="00224907" w:rsidRPr="000D6C44" w:rsidRDefault="00224907" w:rsidP="0047601C">
      <w:r w:rsidRPr="00224907">
        <w:t>The requested price per vial of imlifidase (11</w:t>
      </w:r>
      <w:r w:rsidR="00C91787">
        <w:t> </w:t>
      </w:r>
      <w:r w:rsidRPr="00224907">
        <w:t>mg pow</w:t>
      </w:r>
      <w:r w:rsidR="00BA49C3">
        <w:t>d</w:t>
      </w:r>
      <w:r w:rsidRPr="00224907">
        <w:t xml:space="preserve">er for concentrate for solution for infusion) </w:t>
      </w:r>
      <w:r w:rsidR="00AC4358">
        <w:t xml:space="preserve">is </w:t>
      </w:r>
      <w:r w:rsidRPr="000D6C44">
        <w:t>$</w:t>
      </w:r>
      <w:r w:rsidR="00120FA4" w:rsidRPr="009E2F9F">
        <w:rPr>
          <w:rFonts w:eastAsia="Franklin Gothic Book"/>
          <w:b/>
        </w:rPr>
        <w:t>redacted</w:t>
      </w:r>
      <w:r w:rsidRPr="000D6C44">
        <w:t xml:space="preserve"> ($</w:t>
      </w:r>
      <w:r w:rsidR="00120FA4" w:rsidRPr="009E2F9F">
        <w:rPr>
          <w:rFonts w:eastAsia="Franklin Gothic Book"/>
          <w:b/>
        </w:rPr>
        <w:t>redacted</w:t>
      </w:r>
      <w:r w:rsidR="00120FA4" w:rsidRPr="009E2F9F" w:rsidDel="00120FA4">
        <w:t xml:space="preserve"> </w:t>
      </w:r>
      <w:r w:rsidRPr="000D6C44">
        <w:t xml:space="preserve">for </w:t>
      </w:r>
      <w:r w:rsidR="00C91787">
        <w:t>2</w:t>
      </w:r>
      <w:r w:rsidR="00C91787" w:rsidRPr="000D6C44">
        <w:t xml:space="preserve"> </w:t>
      </w:r>
      <w:r w:rsidRPr="000D6C44">
        <w:t xml:space="preserve">vials), which represents a </w:t>
      </w:r>
      <w:r w:rsidR="009379AF" w:rsidRPr="009E78EF">
        <w:rPr>
          <w:b/>
          <w:bCs/>
        </w:rPr>
        <w:t>redacted</w:t>
      </w:r>
      <w:r w:rsidRPr="000D6C44">
        <w:t xml:space="preserve">% discount from the original </w:t>
      </w:r>
      <w:r w:rsidR="00545390">
        <w:t>applicant developed assessment report (</w:t>
      </w:r>
      <w:r w:rsidR="009050C3">
        <w:t>ADAR</w:t>
      </w:r>
      <w:r w:rsidR="00545390">
        <w:t>)</w:t>
      </w:r>
      <w:r w:rsidRPr="00ED1F86">
        <w:t xml:space="preserve">. </w:t>
      </w:r>
    </w:p>
    <w:p w14:paraId="34E0B08F" w14:textId="53E61336" w:rsidR="00772829" w:rsidRPr="00CE28E3" w:rsidRDefault="00F84BA7" w:rsidP="002A18BE">
      <w:pPr>
        <w:pStyle w:val="Heading2"/>
        <w:numPr>
          <w:ilvl w:val="0"/>
          <w:numId w:val="0"/>
        </w:numPr>
      </w:pPr>
      <w:bookmarkStart w:id="8" w:name="_Toc69491419"/>
      <w:bookmarkStart w:id="9" w:name="_Ref163483162"/>
      <w:bookmarkStart w:id="10" w:name="_Ref163483188"/>
      <w:bookmarkStart w:id="11" w:name="_Ref163483193"/>
      <w:bookmarkStart w:id="12" w:name="_Ref163552223"/>
      <w:r>
        <w:t>7</w:t>
      </w:r>
      <w:r w:rsidR="00C36633">
        <w:t>.</w:t>
      </w:r>
      <w:r w:rsidR="00C36633">
        <w:tab/>
      </w:r>
      <w:r w:rsidR="00772829" w:rsidRPr="00CE28E3">
        <w:t>Population</w:t>
      </w:r>
      <w:bookmarkEnd w:id="8"/>
      <w:bookmarkEnd w:id="9"/>
      <w:bookmarkEnd w:id="10"/>
      <w:bookmarkEnd w:id="11"/>
      <w:r w:rsidR="00772829" w:rsidRPr="00CE28E3">
        <w:t xml:space="preserve"> </w:t>
      </w:r>
      <w:bookmarkEnd w:id="12"/>
    </w:p>
    <w:p w14:paraId="31AB80E8" w14:textId="7F975BB6" w:rsidR="00893DF5" w:rsidRPr="009624CA" w:rsidRDefault="00893DF5" w:rsidP="009624CA">
      <w:r w:rsidRPr="00893DF5">
        <w:t xml:space="preserve">The applicant has revised the </w:t>
      </w:r>
      <w:r w:rsidR="0018515A">
        <w:t xml:space="preserve">original </w:t>
      </w:r>
      <w:r w:rsidRPr="00B81755">
        <w:t xml:space="preserve"> PICO</w:t>
      </w:r>
      <w:r w:rsidR="00E66006" w:rsidRPr="00B81755">
        <w:t xml:space="preserve"> (</w:t>
      </w:r>
      <w:r w:rsidR="00D55955">
        <w:t>p</w:t>
      </w:r>
      <w:r w:rsidR="00E66006" w:rsidRPr="00B81755">
        <w:t xml:space="preserve">opulation, </w:t>
      </w:r>
      <w:r w:rsidR="00D55955">
        <w:t>i</w:t>
      </w:r>
      <w:r w:rsidR="00E66006" w:rsidRPr="00B81755">
        <w:t xml:space="preserve">ntervention, </w:t>
      </w:r>
      <w:r w:rsidR="00D55955">
        <w:t>c</w:t>
      </w:r>
      <w:r w:rsidR="00E66006" w:rsidRPr="00B81755">
        <w:t xml:space="preserve">omparator, </w:t>
      </w:r>
      <w:r w:rsidR="00D55955">
        <w:t>o</w:t>
      </w:r>
      <w:r w:rsidR="00E66006" w:rsidRPr="00B81755">
        <w:t>utcomes)</w:t>
      </w:r>
      <w:r w:rsidRPr="00B81755">
        <w:t xml:space="preserve"> criteria according to guidance from MSAC and RTAC. </w:t>
      </w:r>
      <w:r w:rsidR="00C41536">
        <w:t>I</w:t>
      </w:r>
      <w:r w:rsidR="0040401C">
        <w:t xml:space="preserve">n response to </w:t>
      </w:r>
      <w:r w:rsidR="00DE7366">
        <w:t>MSAC advice in application 1732</w:t>
      </w:r>
      <w:r w:rsidR="00B240D1">
        <w:t xml:space="preserve"> </w:t>
      </w:r>
      <w:r w:rsidR="000C7366">
        <w:t>f</w:t>
      </w:r>
      <w:r w:rsidRPr="009624CA">
        <w:t xml:space="preserve">or patients waiting for a </w:t>
      </w:r>
      <w:r w:rsidR="00FC56D8">
        <w:t>DD</w:t>
      </w:r>
      <w:r w:rsidRPr="009624CA">
        <w:t xml:space="preserve"> kidney, </w:t>
      </w:r>
      <w:r w:rsidR="007140E3">
        <w:t>‘</w:t>
      </w:r>
      <w:r w:rsidR="00567779">
        <w:t>HS</w:t>
      </w:r>
      <w:r w:rsidRPr="009624CA">
        <w:t xml:space="preserve"> and unlikely to be transplanted</w:t>
      </w:r>
      <w:r w:rsidR="007140E3">
        <w:t>’ has been</w:t>
      </w:r>
      <w:r w:rsidRPr="009624CA">
        <w:t xml:space="preserve"> defined</w:t>
      </w:r>
      <w:r w:rsidR="007140E3">
        <w:t xml:space="preserve"> by the applicant</w:t>
      </w:r>
      <w:r w:rsidRPr="009624CA">
        <w:t xml:space="preserve"> </w:t>
      </w:r>
      <w:r w:rsidR="003D44F8" w:rsidRPr="009624CA">
        <w:t>as</w:t>
      </w:r>
      <w:r w:rsidRPr="009624CA">
        <w:t>: </w:t>
      </w:r>
    </w:p>
    <w:p w14:paraId="0C92904A" w14:textId="77777777" w:rsidR="009624CA" w:rsidRDefault="00893DF5" w:rsidP="0033037C">
      <w:pPr>
        <w:pStyle w:val="ListParagraph"/>
        <w:numPr>
          <w:ilvl w:val="0"/>
          <w:numId w:val="19"/>
        </w:numPr>
      </w:pPr>
      <w:r w:rsidRPr="009624CA">
        <w:t>Have a cPR</w:t>
      </w:r>
      <w:r w:rsidR="009624CA">
        <w:t>A</w:t>
      </w:r>
      <w:r w:rsidRPr="009624CA">
        <w:t xml:space="preserve"> </w:t>
      </w:r>
      <w:r w:rsidRPr="009624CA">
        <w:rPr>
          <w:rFonts w:ascii="Arial" w:hAnsi="Arial" w:cs="Arial"/>
        </w:rPr>
        <w:t>≥</w:t>
      </w:r>
      <w:r w:rsidRPr="009624CA">
        <w:t>99%; AND</w:t>
      </w:r>
    </w:p>
    <w:p w14:paraId="46169932" w14:textId="2A5E43D5" w:rsidR="009624CA" w:rsidRDefault="00893DF5" w:rsidP="0033037C">
      <w:pPr>
        <w:pStyle w:val="ListParagraph"/>
        <w:numPr>
          <w:ilvl w:val="0"/>
          <w:numId w:val="19"/>
        </w:numPr>
      </w:pPr>
      <w:r w:rsidRPr="009624CA">
        <w:t xml:space="preserve">With a positive </w:t>
      </w:r>
      <w:r w:rsidR="00B92702" w:rsidRPr="00B92702">
        <w:t>crossmatch</w:t>
      </w:r>
      <w:r w:rsidR="00B92702" w:rsidRPr="00B92702" w:rsidDel="00B92702">
        <w:t xml:space="preserve"> </w:t>
      </w:r>
      <w:r w:rsidRPr="009624CA">
        <w:t>against an available donor; AND</w:t>
      </w:r>
    </w:p>
    <w:p w14:paraId="3747378D" w14:textId="48A9F3A8" w:rsidR="00893DF5" w:rsidRPr="009624CA" w:rsidRDefault="00893DF5" w:rsidP="0033037C">
      <w:pPr>
        <w:pStyle w:val="ListParagraph"/>
        <w:numPr>
          <w:ilvl w:val="0"/>
          <w:numId w:val="19"/>
        </w:numPr>
      </w:pPr>
      <w:r w:rsidRPr="009624CA">
        <w:t xml:space="preserve">Active on the </w:t>
      </w:r>
      <w:r w:rsidR="00FC56D8">
        <w:t>DD</w:t>
      </w:r>
      <w:r w:rsidRPr="009624CA">
        <w:t xml:space="preserve"> waitlist for at least </w:t>
      </w:r>
      <w:r w:rsidR="009624CA">
        <w:t>2</w:t>
      </w:r>
      <w:r w:rsidRPr="009624CA">
        <w:t xml:space="preserve"> years. </w:t>
      </w:r>
    </w:p>
    <w:p w14:paraId="56BA5071" w14:textId="3EF9102E" w:rsidR="006872CE" w:rsidRDefault="00892A28" w:rsidP="009624CA">
      <w:r>
        <w:t>The proposed population for patients waiting for a DD kidney is in alignment with MSAC and RTAC advice.</w:t>
      </w:r>
    </w:p>
    <w:p w14:paraId="422AF90F" w14:textId="7255DAD4" w:rsidR="00893DF5" w:rsidRPr="00893DF5" w:rsidRDefault="00893DF5" w:rsidP="009624CA">
      <w:r w:rsidRPr="009624CA">
        <w:t>For patients with</w:t>
      </w:r>
      <w:r w:rsidR="001C7FC4">
        <w:t xml:space="preserve"> an </w:t>
      </w:r>
      <w:r w:rsidR="00BB3B03">
        <w:t>available</w:t>
      </w:r>
      <w:r w:rsidR="001C7FC4">
        <w:t xml:space="preserve"> LD</w:t>
      </w:r>
      <w:r w:rsidRPr="009624CA">
        <w:t xml:space="preserve">, </w:t>
      </w:r>
      <w:r w:rsidR="00EE5096">
        <w:t>‘</w:t>
      </w:r>
      <w:r w:rsidR="00567779">
        <w:t>HS</w:t>
      </w:r>
      <w:r w:rsidRPr="009624CA">
        <w:t xml:space="preserve"> and unlikely to be transplanted</w:t>
      </w:r>
      <w:r w:rsidR="00EE5096">
        <w:t xml:space="preserve">’ has been </w:t>
      </w:r>
      <w:r w:rsidRPr="009624CA">
        <w:t>defined</w:t>
      </w:r>
      <w:r w:rsidR="0026684D">
        <w:t xml:space="preserve"> </w:t>
      </w:r>
      <w:r w:rsidR="00EE5096">
        <w:t xml:space="preserve">by the applicant </w:t>
      </w:r>
      <w:r w:rsidR="00A623C8">
        <w:t>a</w:t>
      </w:r>
      <w:r w:rsidRPr="00893DF5">
        <w:t>s: </w:t>
      </w:r>
    </w:p>
    <w:p w14:paraId="63623934" w14:textId="3986822D" w:rsidR="009624CA" w:rsidRDefault="00893DF5" w:rsidP="0033037C">
      <w:pPr>
        <w:pStyle w:val="ListParagraph"/>
        <w:numPr>
          <w:ilvl w:val="0"/>
          <w:numId w:val="20"/>
        </w:numPr>
      </w:pPr>
      <w:r w:rsidRPr="00893DF5">
        <w:t>Have a cPRA ≥99%</w:t>
      </w:r>
      <w:r w:rsidR="00D63270">
        <w:t>;</w:t>
      </w:r>
      <w:r w:rsidRPr="00893DF5">
        <w:t xml:space="preserve"> AND </w:t>
      </w:r>
    </w:p>
    <w:p w14:paraId="5D4AAF70" w14:textId="09CB1010" w:rsidR="009624CA" w:rsidRDefault="00893DF5" w:rsidP="0033037C">
      <w:pPr>
        <w:pStyle w:val="ListParagraph"/>
        <w:numPr>
          <w:ilvl w:val="0"/>
          <w:numId w:val="20"/>
        </w:numPr>
      </w:pPr>
      <w:r w:rsidRPr="00893DF5">
        <w:t xml:space="preserve">With a positive crossmatch against an available </w:t>
      </w:r>
      <w:r w:rsidR="001C7FC4">
        <w:t>LD</w:t>
      </w:r>
      <w:r w:rsidR="00D63270">
        <w:t>;</w:t>
      </w:r>
      <w:r w:rsidRPr="00893DF5">
        <w:t xml:space="preserve"> AND</w:t>
      </w:r>
    </w:p>
    <w:p w14:paraId="333A0EED" w14:textId="7D97AE5A" w:rsidR="00893DF5" w:rsidRPr="00B83B6D" w:rsidRDefault="00C41536" w:rsidP="0033037C">
      <w:pPr>
        <w:pStyle w:val="ListParagraph"/>
        <w:numPr>
          <w:ilvl w:val="0"/>
          <w:numId w:val="20"/>
        </w:numPr>
      </w:pPr>
      <w:r w:rsidRPr="00E80CAA">
        <w:t>For whom alternate desensitisation regimens for organ transplantation have failed or are contraindicated or are unlikely to be successful. (proposed at Stakeholder Meeting)</w:t>
      </w:r>
      <w:r>
        <w:t>.</w:t>
      </w:r>
    </w:p>
    <w:p w14:paraId="66BDFCC1" w14:textId="74F28045" w:rsidR="00772829" w:rsidRPr="00CE28E3" w:rsidRDefault="00F84BA7" w:rsidP="002A18BE">
      <w:pPr>
        <w:pStyle w:val="Heading2"/>
        <w:numPr>
          <w:ilvl w:val="0"/>
          <w:numId w:val="0"/>
        </w:numPr>
      </w:pPr>
      <w:bookmarkStart w:id="13" w:name="_Toc69491420"/>
      <w:bookmarkStart w:id="14" w:name="_Ref163552102"/>
      <w:r>
        <w:lastRenderedPageBreak/>
        <w:t>8</w:t>
      </w:r>
      <w:r w:rsidR="00C36633">
        <w:t>.</w:t>
      </w:r>
      <w:r w:rsidR="00C36633">
        <w:tab/>
      </w:r>
      <w:r w:rsidR="00772829" w:rsidRPr="00CE28E3">
        <w:t>Comparator</w:t>
      </w:r>
      <w:bookmarkEnd w:id="13"/>
      <w:bookmarkEnd w:id="14"/>
    </w:p>
    <w:p w14:paraId="770D5509" w14:textId="3E765BF1" w:rsidR="0085071A" w:rsidRDefault="00B44167" w:rsidP="005957D3">
      <w:r w:rsidRPr="00871CB3">
        <w:rPr>
          <w:rFonts w:cstheme="minorHAnsi"/>
        </w:rPr>
        <w:t xml:space="preserve">The comparator had significant focus during the last two MSAC reviews. </w:t>
      </w:r>
      <w:r w:rsidR="00C74D89" w:rsidRPr="00871CB3">
        <w:rPr>
          <w:rFonts w:cstheme="minorHAnsi"/>
        </w:rPr>
        <w:t xml:space="preserve">The comparator proposed in the </w:t>
      </w:r>
      <w:r w:rsidR="004C4801" w:rsidRPr="00871CB3">
        <w:rPr>
          <w:rFonts w:cstheme="minorHAnsi"/>
        </w:rPr>
        <w:t xml:space="preserve">ADAR resubmission is </w:t>
      </w:r>
      <w:r w:rsidRPr="00871CB3">
        <w:rPr>
          <w:rFonts w:cstheme="minorHAnsi"/>
        </w:rPr>
        <w:t xml:space="preserve">current care in the absence of imlifidase </w:t>
      </w:r>
      <w:r w:rsidR="00871CB3">
        <w:rPr>
          <w:rFonts w:cstheme="minorHAnsi"/>
        </w:rPr>
        <w:t>(</w:t>
      </w:r>
      <w:r w:rsidRPr="00871CB3">
        <w:rPr>
          <w:rFonts w:cstheme="minorHAnsi"/>
        </w:rPr>
        <w:t>dialysis until a transplant becomes available</w:t>
      </w:r>
      <w:r w:rsidR="00871CB3">
        <w:rPr>
          <w:rFonts w:cstheme="minorHAnsi"/>
        </w:rPr>
        <w:t>)</w:t>
      </w:r>
      <w:r w:rsidRPr="00871CB3">
        <w:rPr>
          <w:rFonts w:cstheme="minorHAnsi"/>
        </w:rPr>
        <w:t>.</w:t>
      </w:r>
    </w:p>
    <w:p w14:paraId="4FF4C885" w14:textId="77777777" w:rsidR="00F84BA7" w:rsidRPr="00CE28E3" w:rsidRDefault="00F84BA7" w:rsidP="00F84BA7">
      <w:pPr>
        <w:pStyle w:val="Heading2"/>
        <w:numPr>
          <w:ilvl w:val="0"/>
          <w:numId w:val="0"/>
        </w:numPr>
      </w:pPr>
      <w:bookmarkStart w:id="15" w:name="_Toc69491421"/>
      <w:r>
        <w:t>9.</w:t>
      </w:r>
      <w:r>
        <w:tab/>
      </w:r>
      <w:r w:rsidRPr="00CE28E3">
        <w:t xml:space="preserve">Summary of public consultation </w:t>
      </w:r>
      <w:r>
        <w:t>input</w:t>
      </w:r>
      <w:bookmarkEnd w:id="15"/>
    </w:p>
    <w:p w14:paraId="46CBBF97" w14:textId="5DB584E1" w:rsidR="00F84BA7" w:rsidRPr="00D9123D" w:rsidRDefault="00F84BA7" w:rsidP="00F84BA7">
      <w:pPr>
        <w:spacing w:after="120"/>
      </w:pPr>
      <w:r w:rsidRPr="00D9123D">
        <w:t>Consultation input was received</w:t>
      </w:r>
      <w:r w:rsidR="00231652">
        <w:t>, for th</w:t>
      </w:r>
      <w:r w:rsidR="00171D87">
        <w:t>is application at the previous MSAC consideration in August 2024</w:t>
      </w:r>
      <w:r w:rsidR="00D23EDA">
        <w:t>. That input was</w:t>
      </w:r>
      <w:r w:rsidRPr="00D9123D">
        <w:t xml:space="preserve"> from</w:t>
      </w:r>
      <w:r>
        <w:t xml:space="preserve"> two</w:t>
      </w:r>
      <w:r w:rsidRPr="00D9123D">
        <w:t xml:space="preserve"> </w:t>
      </w:r>
      <w:r>
        <w:t>(2)</w:t>
      </w:r>
      <w:r w:rsidRPr="00D9123D">
        <w:t xml:space="preserve"> professional organisation</w:t>
      </w:r>
      <w:r>
        <w:t>s, two (2) consumer organisations, and five individuals, five (5) of whom were medical specialists and one (</w:t>
      </w:r>
      <w:r w:rsidRPr="00D9123D">
        <w:t>1</w:t>
      </w:r>
      <w:r>
        <w:t>) a</w:t>
      </w:r>
      <w:r w:rsidRPr="00D9123D">
        <w:t xml:space="preserve"> consumer</w:t>
      </w:r>
      <w:r>
        <w:t xml:space="preserve"> (excluding the results of targeted consultation on specific questions)</w:t>
      </w:r>
      <w:r w:rsidRPr="00D9123D">
        <w:t>. The organisation</w:t>
      </w:r>
      <w:r>
        <w:t>s</w:t>
      </w:r>
      <w:r w:rsidRPr="00D9123D">
        <w:t xml:space="preserve"> that submitted input w</w:t>
      </w:r>
      <w:r>
        <w:t>ere</w:t>
      </w:r>
      <w:r w:rsidRPr="00D9123D">
        <w:t>:</w:t>
      </w:r>
    </w:p>
    <w:p w14:paraId="1181E484" w14:textId="77777777" w:rsidR="00F84BA7" w:rsidRDefault="00F84BA7" w:rsidP="0033037C">
      <w:pPr>
        <w:pStyle w:val="ListParagraph"/>
        <w:numPr>
          <w:ilvl w:val="0"/>
          <w:numId w:val="35"/>
        </w:numPr>
        <w:spacing w:before="0" w:after="120"/>
      </w:pPr>
      <w:r>
        <w:t xml:space="preserve">Monash Health Transplant Unit </w:t>
      </w:r>
    </w:p>
    <w:p w14:paraId="3F285B91" w14:textId="77777777" w:rsidR="00F84BA7" w:rsidRDefault="00F84BA7" w:rsidP="0033037C">
      <w:pPr>
        <w:pStyle w:val="ListParagraph"/>
        <w:numPr>
          <w:ilvl w:val="0"/>
          <w:numId w:val="35"/>
        </w:numPr>
        <w:spacing w:before="0" w:after="120"/>
      </w:pPr>
      <w:r w:rsidRPr="00893C3A">
        <w:t>Department of Renal Medicine and Kidney Transplantation, Sir Charles Gairdner Hospital</w:t>
      </w:r>
    </w:p>
    <w:p w14:paraId="0A4DABB0" w14:textId="77777777" w:rsidR="00F84BA7" w:rsidRDefault="00F84BA7" w:rsidP="0033037C">
      <w:pPr>
        <w:pStyle w:val="ListParagraph"/>
        <w:numPr>
          <w:ilvl w:val="0"/>
          <w:numId w:val="35"/>
        </w:numPr>
        <w:spacing w:before="0" w:after="120"/>
      </w:pPr>
      <w:r w:rsidRPr="00893C3A">
        <w:t>Transplant Australia</w:t>
      </w:r>
    </w:p>
    <w:p w14:paraId="60C02287" w14:textId="77777777" w:rsidR="00F84BA7" w:rsidRPr="00D9123D" w:rsidRDefault="00F84BA7" w:rsidP="0033037C">
      <w:pPr>
        <w:pStyle w:val="ListParagraph"/>
        <w:numPr>
          <w:ilvl w:val="0"/>
          <w:numId w:val="35"/>
        </w:numPr>
        <w:spacing w:before="0" w:after="120"/>
      </w:pPr>
      <w:r w:rsidRPr="00893C3A">
        <w:rPr>
          <w:rFonts w:ascii="Calibri" w:eastAsia="Times New Roman" w:hAnsi="Calibri" w:cs="Calibri"/>
          <w:color w:val="000000"/>
          <w:lang w:eastAsia="en-AU"/>
        </w:rPr>
        <w:t xml:space="preserve">Kidney Health Australia </w:t>
      </w:r>
    </w:p>
    <w:p w14:paraId="45F97999" w14:textId="77777777" w:rsidR="00F84BA7" w:rsidRDefault="00F84BA7" w:rsidP="00F84BA7">
      <w:pPr>
        <w:rPr>
          <w:color w:val="5B9BD5" w:themeColor="accent1"/>
        </w:rPr>
      </w:pPr>
      <w:r>
        <w:t xml:space="preserve">The consultation feedback received was overall supportive of Application 1732.1. </w:t>
      </w:r>
    </w:p>
    <w:p w14:paraId="0EBAB348" w14:textId="77777777" w:rsidR="00F84BA7" w:rsidRDefault="00F84BA7" w:rsidP="00F84BA7">
      <w:pPr>
        <w:rPr>
          <w:b/>
          <w:bCs/>
        </w:rPr>
      </w:pPr>
      <w:r>
        <w:rPr>
          <w:b/>
          <w:bCs/>
        </w:rPr>
        <w:t>Benefits</w:t>
      </w:r>
    </w:p>
    <w:p w14:paraId="2B7C9CB0" w14:textId="77777777" w:rsidR="00F84BA7" w:rsidRDefault="00F84BA7" w:rsidP="0033037C">
      <w:pPr>
        <w:pStyle w:val="ListParagraph"/>
        <w:numPr>
          <w:ilvl w:val="0"/>
          <w:numId w:val="36"/>
        </w:numPr>
        <w:spacing w:before="0"/>
      </w:pPr>
      <w:r>
        <w:t>The treatment o</w:t>
      </w:r>
      <w:r w:rsidRPr="003A0CB9">
        <w:t xml:space="preserve">ffers </w:t>
      </w:r>
      <w:r w:rsidRPr="000B394B">
        <w:t xml:space="preserve">sensitised </w:t>
      </w:r>
      <w:r w:rsidRPr="003A0CB9">
        <w:t>patients an improved chance of receiving a transplant, with the possibility of transplantation against a positive crossmatch</w:t>
      </w:r>
      <w:r>
        <w:t>.</w:t>
      </w:r>
    </w:p>
    <w:p w14:paraId="6693C302" w14:textId="77777777" w:rsidR="00F84BA7" w:rsidRPr="003A0CB9" w:rsidRDefault="00F84BA7" w:rsidP="0033037C">
      <w:pPr>
        <w:pStyle w:val="ListParagraph"/>
        <w:numPr>
          <w:ilvl w:val="0"/>
          <w:numId w:val="36"/>
        </w:numPr>
        <w:spacing w:before="0"/>
      </w:pPr>
      <w:r w:rsidRPr="000B394B">
        <w:t xml:space="preserve">The treatment assists with the substantial immunological barriers </w:t>
      </w:r>
      <w:r>
        <w:t>faced by h</w:t>
      </w:r>
      <w:r w:rsidRPr="000B394B">
        <w:t>ighly sensitised patients, due to its high efficacy and tolerability</w:t>
      </w:r>
      <w:r>
        <w:t>.</w:t>
      </w:r>
    </w:p>
    <w:p w14:paraId="4DAD10F9" w14:textId="77777777" w:rsidR="00F84BA7" w:rsidRPr="003A0CB9" w:rsidRDefault="00F84BA7" w:rsidP="0033037C">
      <w:pPr>
        <w:pStyle w:val="ListParagraph"/>
        <w:numPr>
          <w:ilvl w:val="0"/>
          <w:numId w:val="36"/>
        </w:numPr>
        <w:spacing w:before="0"/>
      </w:pPr>
      <w:r w:rsidRPr="003A0CB9">
        <w:t xml:space="preserve">Unmet clinical need, as currently the possibilities of transplantation without this option are limited, </w:t>
      </w:r>
      <w:r>
        <w:t>and patients require</w:t>
      </w:r>
      <w:r w:rsidRPr="003A0CB9">
        <w:t xml:space="preserve"> long term dialysis</w:t>
      </w:r>
      <w:r>
        <w:t>.</w:t>
      </w:r>
      <w:r w:rsidRPr="003A0CB9">
        <w:t xml:space="preserve"> </w:t>
      </w:r>
    </w:p>
    <w:p w14:paraId="0370F3DB" w14:textId="77777777" w:rsidR="00F84BA7" w:rsidRDefault="00F84BA7" w:rsidP="0033037C">
      <w:pPr>
        <w:pStyle w:val="ListParagraph"/>
        <w:numPr>
          <w:ilvl w:val="0"/>
          <w:numId w:val="36"/>
        </w:numPr>
        <w:spacing w:before="0"/>
      </w:pPr>
      <w:r>
        <w:t>P</w:t>
      </w:r>
      <w:r w:rsidRPr="003A0CB9">
        <w:t>atients have improved chances of survival and quality of life</w:t>
      </w:r>
      <w:r>
        <w:t xml:space="preserve"> with a transplant.</w:t>
      </w:r>
    </w:p>
    <w:p w14:paraId="1F47D268" w14:textId="77777777" w:rsidR="00F84BA7" w:rsidRDefault="00F84BA7" w:rsidP="0033037C">
      <w:pPr>
        <w:pStyle w:val="ListParagraph"/>
        <w:numPr>
          <w:ilvl w:val="0"/>
          <w:numId w:val="36"/>
        </w:numPr>
        <w:spacing w:before="0"/>
      </w:pPr>
      <w:r w:rsidRPr="00297374">
        <w:t xml:space="preserve">Cost effective as transplantation is associated with substantial savings compared to dialysis treatment. </w:t>
      </w:r>
    </w:p>
    <w:p w14:paraId="215F9BF3" w14:textId="77777777" w:rsidR="00F84BA7" w:rsidRDefault="00F84BA7" w:rsidP="0033037C">
      <w:pPr>
        <w:pStyle w:val="ListParagraph"/>
        <w:numPr>
          <w:ilvl w:val="0"/>
          <w:numId w:val="36"/>
        </w:numPr>
        <w:spacing w:before="0"/>
      </w:pPr>
      <w:r w:rsidRPr="006B63FA">
        <w:t>Increases the transplant potential of other highly sensitised patients in the Australia and New Zealand Kidney Paired Exchange program</w:t>
      </w:r>
      <w:r>
        <w:t>.</w:t>
      </w:r>
    </w:p>
    <w:p w14:paraId="6BEE8DA5" w14:textId="77777777" w:rsidR="00F84BA7" w:rsidRDefault="00F84BA7" w:rsidP="0033037C">
      <w:pPr>
        <w:pStyle w:val="ListParagraph"/>
        <w:numPr>
          <w:ilvl w:val="0"/>
          <w:numId w:val="36"/>
        </w:numPr>
        <w:spacing w:before="0"/>
      </w:pPr>
      <w:r w:rsidRPr="000B394B">
        <w:t>Where imlifidase permits use of a living donor, it effectively frees up an additional kidney for the deceased donor pool.</w:t>
      </w:r>
    </w:p>
    <w:p w14:paraId="39BCE103" w14:textId="77777777" w:rsidR="00F84BA7" w:rsidRPr="006B63FA" w:rsidRDefault="00F84BA7" w:rsidP="0033037C">
      <w:pPr>
        <w:pStyle w:val="ListParagraph"/>
        <w:numPr>
          <w:ilvl w:val="0"/>
          <w:numId w:val="36"/>
        </w:numPr>
        <w:spacing w:before="0"/>
      </w:pPr>
      <w:r>
        <w:t>U</w:t>
      </w:r>
      <w:r w:rsidRPr="00534337">
        <w:t>se of Imlifidase also has the potential to increase understanding and knowledge of managing this subset of patients with challenging immune profiles</w:t>
      </w:r>
      <w:r>
        <w:t>.</w:t>
      </w:r>
    </w:p>
    <w:p w14:paraId="1E11037D" w14:textId="77777777" w:rsidR="00F84BA7" w:rsidRPr="00297374" w:rsidRDefault="00F84BA7" w:rsidP="00EF5A0C">
      <w:pPr>
        <w:keepNext/>
        <w:keepLines/>
      </w:pPr>
      <w:r w:rsidRPr="006B63FA">
        <w:rPr>
          <w:b/>
          <w:bCs/>
        </w:rPr>
        <w:t xml:space="preserve">Disadvantages </w:t>
      </w:r>
    </w:p>
    <w:p w14:paraId="0DBF8C42" w14:textId="77777777" w:rsidR="00F84BA7" w:rsidRDefault="00F84BA7" w:rsidP="0033037C">
      <w:pPr>
        <w:pStyle w:val="ListParagraph"/>
        <w:keepNext/>
        <w:keepLines/>
        <w:numPr>
          <w:ilvl w:val="0"/>
          <w:numId w:val="36"/>
        </w:numPr>
        <w:spacing w:before="0"/>
      </w:pPr>
      <w:r w:rsidRPr="003A0CB9">
        <w:t>Length of time in hospital</w:t>
      </w:r>
      <w:r>
        <w:t>.</w:t>
      </w:r>
    </w:p>
    <w:p w14:paraId="08747C26" w14:textId="77777777" w:rsidR="00F84BA7" w:rsidRPr="00297374" w:rsidRDefault="00F84BA7" w:rsidP="0033037C">
      <w:pPr>
        <w:pStyle w:val="ListParagraph"/>
        <w:keepNext/>
        <w:keepLines/>
        <w:numPr>
          <w:ilvl w:val="0"/>
          <w:numId w:val="36"/>
        </w:numPr>
        <w:spacing w:before="0"/>
      </w:pPr>
      <w:r w:rsidRPr="00297374">
        <w:t>Risk of rebound antibody mediated rejection</w:t>
      </w:r>
      <w:r>
        <w:t>.</w:t>
      </w:r>
    </w:p>
    <w:p w14:paraId="11D67477" w14:textId="23D58EA1" w:rsidR="00F84BA7" w:rsidRPr="00F84BA7" w:rsidRDefault="00F84BA7" w:rsidP="0033037C">
      <w:pPr>
        <w:pStyle w:val="ListParagraph"/>
        <w:numPr>
          <w:ilvl w:val="0"/>
          <w:numId w:val="36"/>
        </w:numPr>
        <w:spacing w:before="0"/>
      </w:pPr>
      <w:r w:rsidRPr="00297374">
        <w:t>The drug can only be used once</w:t>
      </w:r>
      <w:r>
        <w:t>.</w:t>
      </w:r>
    </w:p>
    <w:p w14:paraId="6B3EB313" w14:textId="77777777" w:rsidR="00F84BA7" w:rsidRPr="00E76884" w:rsidRDefault="00F84BA7" w:rsidP="00872152">
      <w:pPr>
        <w:keepNext/>
        <w:keepLines/>
        <w:rPr>
          <w:color w:val="5B9BD5" w:themeColor="accent1"/>
        </w:rPr>
      </w:pPr>
      <w:r w:rsidRPr="00C50417">
        <w:rPr>
          <w:b/>
          <w:bCs/>
        </w:rPr>
        <w:t xml:space="preserve">Additional comments </w:t>
      </w:r>
    </w:p>
    <w:p w14:paraId="5F68C26E" w14:textId="77777777" w:rsidR="00F84BA7" w:rsidRDefault="00F84BA7" w:rsidP="0033037C">
      <w:pPr>
        <w:pStyle w:val="ListParagraph"/>
        <w:keepNext/>
        <w:keepLines/>
        <w:numPr>
          <w:ilvl w:val="0"/>
          <w:numId w:val="36"/>
        </w:numPr>
        <w:spacing w:before="0"/>
      </w:pPr>
      <w:r w:rsidRPr="003A0CB9">
        <w:t>It is likely that the post-transplant care will be similar to other patients undergoing transplantation</w:t>
      </w:r>
      <w:r>
        <w:t>, noting t</w:t>
      </w:r>
      <w:r w:rsidRPr="003A0CB9">
        <w:t>his group of patients are at a higher risk of rejection than standard transplant recipients.</w:t>
      </w:r>
    </w:p>
    <w:p w14:paraId="50F7F0C5" w14:textId="77777777" w:rsidR="00F84BA7" w:rsidRDefault="00F84BA7" w:rsidP="0033037C">
      <w:pPr>
        <w:pStyle w:val="ListParagraph"/>
        <w:numPr>
          <w:ilvl w:val="0"/>
          <w:numId w:val="36"/>
        </w:numPr>
        <w:spacing w:before="0"/>
      </w:pPr>
      <w:r>
        <w:t xml:space="preserve">As the target population are patients who are deemed unsuitable for transplantation, transplantation is not </w:t>
      </w:r>
      <w:r w:rsidRPr="006B63FA">
        <w:t xml:space="preserve">a suitable comparator </w:t>
      </w:r>
      <w:r>
        <w:t xml:space="preserve">for the </w:t>
      </w:r>
      <w:r w:rsidRPr="006B63FA">
        <w:t>proposed intervention.</w:t>
      </w:r>
    </w:p>
    <w:p w14:paraId="52DC843E" w14:textId="77777777" w:rsidR="00F84BA7" w:rsidRDefault="00F84BA7" w:rsidP="0033037C">
      <w:pPr>
        <w:pStyle w:val="ListParagraph"/>
        <w:numPr>
          <w:ilvl w:val="0"/>
          <w:numId w:val="36"/>
        </w:numPr>
        <w:spacing w:before="0"/>
      </w:pPr>
      <w:r w:rsidRPr="000B394B">
        <w:lastRenderedPageBreak/>
        <w:t>This intervention will require some increased pathology testing around the time of transplant, in particular additional HLA antibody testing. It will also require additional medications such as rituximab.</w:t>
      </w:r>
    </w:p>
    <w:p w14:paraId="42A4B7C9" w14:textId="7C4C38A1" w:rsidR="00F84BA7" w:rsidRPr="00330A0A" w:rsidRDefault="00F84BA7" w:rsidP="0033037C">
      <w:pPr>
        <w:pStyle w:val="ListParagraph"/>
        <w:numPr>
          <w:ilvl w:val="0"/>
          <w:numId w:val="36"/>
        </w:numPr>
        <w:spacing w:before="0"/>
      </w:pPr>
      <w:r w:rsidRPr="000B394B">
        <w:t>Dialysis has profound negative impacts on employment, personal relationships, and engagement with the community. The freedom from dialysis offered by transplantation, particularly when performed before the accrual of substantial comorbidity, is transformative.</w:t>
      </w:r>
    </w:p>
    <w:p w14:paraId="66EC24E7" w14:textId="4B2A7419" w:rsidR="002711C8" w:rsidRDefault="00F84BA7" w:rsidP="00734115">
      <w:pPr>
        <w:pStyle w:val="Heading2"/>
        <w:numPr>
          <w:ilvl w:val="0"/>
          <w:numId w:val="0"/>
        </w:numPr>
      </w:pPr>
      <w:bookmarkStart w:id="16" w:name="_Toc69491422"/>
      <w:r>
        <w:t>10</w:t>
      </w:r>
      <w:r w:rsidR="00C36633">
        <w:t>.</w:t>
      </w:r>
      <w:r w:rsidR="00C36633">
        <w:tab/>
      </w:r>
      <w:r w:rsidR="00772829" w:rsidRPr="00CE28E3">
        <w:t>Characteristics of the evidence base</w:t>
      </w:r>
      <w:bookmarkEnd w:id="16"/>
    </w:p>
    <w:p w14:paraId="333426BE" w14:textId="46D7F783" w:rsidR="00A21B94" w:rsidRDefault="002711C8" w:rsidP="00527717">
      <w:r w:rsidRPr="00383C40">
        <w:t>The efficacy and safety of imlifidase is based on 4 single-arm phase II studies (13-HMedIdeS-02, 13-HMedIdeS-03, 14-HMedIdeS04, 15-HMedIdeS-06)</w:t>
      </w:r>
      <w:r w:rsidR="00583360">
        <w:t>, a retrospective study (1</w:t>
      </w:r>
      <w:r w:rsidR="00583360" w:rsidRPr="00527717">
        <w:t>7-HMedIdeS-13</w:t>
      </w:r>
      <w:r w:rsidR="00583360">
        <w:t>; based on</w:t>
      </w:r>
      <w:r w:rsidR="00E43C76">
        <w:t xml:space="preserve"> data from patients transplanted in</w:t>
      </w:r>
      <w:r w:rsidR="00583360">
        <w:t xml:space="preserve"> </w:t>
      </w:r>
      <w:r w:rsidR="00583360" w:rsidRPr="00383C40">
        <w:t>13-HMedIdeS-02</w:t>
      </w:r>
      <w:r w:rsidR="00E43C76">
        <w:t xml:space="preserve"> and </w:t>
      </w:r>
      <w:r w:rsidR="00583360" w:rsidRPr="00383C40">
        <w:t>13-HMedIdeS-03</w:t>
      </w:r>
      <w:r w:rsidR="00583360">
        <w:t>)</w:t>
      </w:r>
      <w:r w:rsidRPr="00383C40">
        <w:t xml:space="preserve"> and </w:t>
      </w:r>
      <w:r w:rsidR="00583360">
        <w:t xml:space="preserve">a </w:t>
      </w:r>
      <w:r w:rsidRPr="00383C40">
        <w:t>long-term follow-up stud</w:t>
      </w:r>
      <w:r w:rsidR="00583360">
        <w:t>y</w:t>
      </w:r>
      <w:r w:rsidRPr="00383C40">
        <w:t xml:space="preserve"> (17-HMedIdeS-14)</w:t>
      </w:r>
      <w:r w:rsidR="004D1048" w:rsidRPr="00383C40">
        <w:t>, summarised in</w:t>
      </w:r>
      <w:r w:rsidR="009404F5">
        <w:t xml:space="preserve"> Table </w:t>
      </w:r>
      <w:r w:rsidR="0002159E">
        <w:t>2</w:t>
      </w:r>
      <w:r w:rsidRPr="00383C40">
        <w:t>. These studies are at risk of bias due to</w:t>
      </w:r>
      <w:r w:rsidRPr="00794540">
        <w:t xml:space="preserve"> the limitations of using an open-label, uncontrolled study design. The patient population is small and heterogeneous, with limited information available regarding comorbidities. There are differences in patients’ immunological characteristics, where reported, and this information is not reported consistently. Similarly, donor kidneys are also </w:t>
      </w:r>
      <w:r w:rsidR="0049039A">
        <w:t>heterogen</w:t>
      </w:r>
      <w:r w:rsidR="00C6337E">
        <w:t>e</w:t>
      </w:r>
      <w:r w:rsidR="0049039A">
        <w:t>ous</w:t>
      </w:r>
      <w:r w:rsidRPr="00794540">
        <w:t xml:space="preserve"> due to differences in </w:t>
      </w:r>
      <w:r w:rsidR="00752A8D">
        <w:t>donor</w:t>
      </w:r>
      <w:r w:rsidR="00524631">
        <w:t>-</w:t>
      </w:r>
      <w:r w:rsidR="00752A8D">
        <w:t>specific antibody (</w:t>
      </w:r>
      <w:r w:rsidRPr="00794540">
        <w:t>DSA</w:t>
      </w:r>
      <w:r w:rsidR="00752A8D">
        <w:t>)</w:t>
      </w:r>
      <w:r w:rsidRPr="00794540">
        <w:t xml:space="preserve"> levels and the unknown comorbidity status of donors. The medication</w:t>
      </w:r>
      <w:r w:rsidR="00524631">
        <w:t>s</w:t>
      </w:r>
      <w:r w:rsidRPr="00794540">
        <w:t xml:space="preserve"> used in the trial</w:t>
      </w:r>
      <w:r w:rsidR="00475D45">
        <w:t>s are</w:t>
      </w:r>
      <w:r w:rsidRPr="00794540">
        <w:t xml:space="preserve"> likely to be heterogeneous as </w:t>
      </w:r>
      <w:r w:rsidR="00475D45">
        <w:t>they</w:t>
      </w:r>
      <w:r w:rsidR="00301BAF">
        <w:t xml:space="preserve"> are</w:t>
      </w:r>
      <w:r w:rsidRPr="00794540">
        <w:t xml:space="preserve"> provided at the discretion of the investigator. The generalisability of the study results to Australian practice </w:t>
      </w:r>
      <w:r w:rsidR="003B2D42">
        <w:t>is</w:t>
      </w:r>
      <w:r w:rsidR="003B2D42" w:rsidRPr="00794540">
        <w:t xml:space="preserve"> </w:t>
      </w:r>
      <w:r w:rsidRPr="00794540">
        <w:t>uncertain.</w:t>
      </w:r>
    </w:p>
    <w:p w14:paraId="3DA5EA26" w14:textId="5B852D8E" w:rsidR="00510C9D" w:rsidRDefault="000F7767" w:rsidP="00527717">
      <w:r>
        <w:t xml:space="preserve">In its July 2023 consideration, </w:t>
      </w:r>
      <w:r w:rsidR="00AB57BB" w:rsidRPr="00733914">
        <w:t>MSAC requested updated clinical data consistent with the proposed new population restriction, including follow-up of initial trials, results of new and current phase III trials, and phase IV data from the UK and Europe</w:t>
      </w:r>
      <w:r w:rsidR="00AB57BB">
        <w:t xml:space="preserve"> (1732 PSD). </w:t>
      </w:r>
      <w:r w:rsidR="00D6308D">
        <w:t>For the</w:t>
      </w:r>
      <w:r w:rsidR="00270B4A">
        <w:t xml:space="preserve"> 202</w:t>
      </w:r>
      <w:r w:rsidR="005D39F1">
        <w:t>4</w:t>
      </w:r>
      <w:r w:rsidR="00D6308D">
        <w:t xml:space="preserve"> resubmission, </w:t>
      </w:r>
      <w:r w:rsidR="00077911">
        <w:t xml:space="preserve">a subset of the </w:t>
      </w:r>
      <w:r w:rsidR="00E03CD7">
        <w:t>a</w:t>
      </w:r>
      <w:r w:rsidR="00077911">
        <w:t xml:space="preserve">ll-transplanted population </w:t>
      </w:r>
      <w:r w:rsidR="00FA0E9D">
        <w:t>meeting MSAC</w:t>
      </w:r>
      <w:r w:rsidR="008D4D4D">
        <w:t>-</w:t>
      </w:r>
      <w:r w:rsidR="00FA0E9D">
        <w:t>recommended criteria of cPRA ≥99%</w:t>
      </w:r>
      <w:r w:rsidR="00A4593A">
        <w:t>,</w:t>
      </w:r>
      <w:r w:rsidR="0072726E">
        <w:t xml:space="preserve"> waitlisted for ≥2 years, and including both DD and LD transplants was </w:t>
      </w:r>
      <w:r w:rsidR="001B27AE">
        <w:t xml:space="preserve">created (referred to as the AUS-UTT-A population: Australia – </w:t>
      </w:r>
      <w:r w:rsidR="00E03CD7">
        <w:t>u</w:t>
      </w:r>
      <w:r w:rsidR="001B27AE">
        <w:t xml:space="preserve">nlikely to </w:t>
      </w:r>
      <w:r w:rsidR="00E03CD7">
        <w:t>t</w:t>
      </w:r>
      <w:r w:rsidR="001B27AE">
        <w:t xml:space="preserve">ransplant – </w:t>
      </w:r>
      <w:r w:rsidR="00E03CD7">
        <w:t>a</w:t>
      </w:r>
      <w:r w:rsidR="001B27AE">
        <w:t>gnostic)</w:t>
      </w:r>
      <w:r w:rsidR="00F939FF">
        <w:t>.</w:t>
      </w:r>
      <w:r w:rsidR="00510C9D">
        <w:t xml:space="preserve"> </w:t>
      </w:r>
      <w:r w:rsidR="00650CB5">
        <w:t xml:space="preserve">Longer follow-up data </w:t>
      </w:r>
      <w:r w:rsidR="002E65AC">
        <w:t xml:space="preserve">from the </w:t>
      </w:r>
      <w:r w:rsidR="002E65AC" w:rsidRPr="00383C40">
        <w:t>17-HMedIdeS-14</w:t>
      </w:r>
      <w:r w:rsidR="002E65AC">
        <w:t xml:space="preserve"> study</w:t>
      </w:r>
      <w:r w:rsidR="00650CB5">
        <w:t xml:space="preserve"> were also included</w:t>
      </w:r>
      <w:r w:rsidR="00FA6EE0">
        <w:t xml:space="preserve"> in the ADAR</w:t>
      </w:r>
      <w:r w:rsidR="00650CB5">
        <w:t>.</w:t>
      </w:r>
    </w:p>
    <w:p w14:paraId="28B2AC5C" w14:textId="7A09C0E6" w:rsidR="009F0272" w:rsidRDefault="009D0936" w:rsidP="00DA3064">
      <w:bookmarkStart w:id="17" w:name="_Hlk166071481"/>
      <w:r w:rsidRPr="00527717">
        <w:t>The</w:t>
      </w:r>
      <w:r w:rsidRPr="006B010D">
        <w:t xml:space="preserve"> ability to</w:t>
      </w:r>
      <w:r w:rsidR="00D90AD8" w:rsidRPr="009D0936">
        <w:t xml:space="preserve"> evaluate </w:t>
      </w:r>
      <w:r w:rsidRPr="00527717">
        <w:t xml:space="preserve">the </w:t>
      </w:r>
      <w:r w:rsidR="00D90AD8" w:rsidRPr="009D0936">
        <w:t xml:space="preserve">applicability </w:t>
      </w:r>
      <w:r w:rsidRPr="00527717">
        <w:t xml:space="preserve">of the AUS-UTT-A population to the proposed population, </w:t>
      </w:r>
      <w:r w:rsidR="00D90AD8" w:rsidRPr="009D0936">
        <w:t>in light of new population criteria</w:t>
      </w:r>
      <w:r w:rsidRPr="00527717">
        <w:t>,</w:t>
      </w:r>
      <w:r w:rsidR="00D90AD8" w:rsidRPr="009D0936">
        <w:t xml:space="preserve"> is </w:t>
      </w:r>
      <w:r w:rsidRPr="00527717">
        <w:t>challenging.</w:t>
      </w:r>
      <w:r w:rsidR="00D90AD8" w:rsidRPr="009D0936">
        <w:t xml:space="preserve"> </w:t>
      </w:r>
      <w:r w:rsidRPr="00527717">
        <w:t>S</w:t>
      </w:r>
      <w:r w:rsidR="00D90AD8" w:rsidRPr="009D0936">
        <w:t>tudy populations are defined based on cPRA, wait time and crossmatch positive</w:t>
      </w:r>
      <w:r w:rsidRPr="00527717">
        <w:t xml:space="preserve"> criteria</w:t>
      </w:r>
      <w:r w:rsidR="00D90AD8" w:rsidRPr="009D0936">
        <w:t xml:space="preserve">. Other factors relating to the need to have failed </w:t>
      </w:r>
      <w:r w:rsidRPr="00527717">
        <w:t xml:space="preserve">an existing </w:t>
      </w:r>
      <w:r w:rsidR="00D90AD8" w:rsidRPr="009D0936">
        <w:t xml:space="preserve">desensitisation regimen, contraindications </w:t>
      </w:r>
      <w:r w:rsidR="00574C3D">
        <w:t>to</w:t>
      </w:r>
      <w:r w:rsidR="00D90AD8" w:rsidRPr="009D0936">
        <w:t xml:space="preserve"> existing regime</w:t>
      </w:r>
      <w:r w:rsidR="00121D00">
        <w:t>n</w:t>
      </w:r>
      <w:r w:rsidR="00D90AD8" w:rsidRPr="009D0936">
        <w:t>s and logistical issues cannot be evaluated due to an absence of data on these factors in the AUS-UTT-A dataset</w:t>
      </w:r>
      <w:r w:rsidR="00901B05">
        <w:t xml:space="preserve"> specific to LD and DD patients</w:t>
      </w:r>
      <w:r w:rsidR="00D90AD8" w:rsidRPr="009D0936">
        <w:t>.</w:t>
      </w:r>
      <w:r>
        <w:t xml:space="preserve"> </w:t>
      </w:r>
    </w:p>
    <w:p w14:paraId="1F3505C5" w14:textId="36DCFB7B" w:rsidR="009F0272" w:rsidRDefault="00DA3064" w:rsidP="00595848">
      <w:r>
        <w:t>The AUS-UTT-A population only include</w:t>
      </w:r>
      <w:r w:rsidR="00897D59">
        <w:t>d</w:t>
      </w:r>
      <w:r>
        <w:t xml:space="preserve"> patients with a wait time ≥2 years while the proposed eligibility criteria for patients with an available LD </w:t>
      </w:r>
      <w:r w:rsidR="00B6405F">
        <w:t>do</w:t>
      </w:r>
      <w:r>
        <w:t xml:space="preserve"> not </w:t>
      </w:r>
      <w:r w:rsidR="00B6405F">
        <w:t>restrict eligibility based on wait time</w:t>
      </w:r>
      <w:r>
        <w:t xml:space="preserve">. While the revised population and the population for whom data have been provided (AUS-UTT-A) are different, the number of LD transplant recipients potentially excluded from the AUS-UTT-A population based on </w:t>
      </w:r>
      <w:r w:rsidR="009F3100">
        <w:t>wait</w:t>
      </w:r>
      <w:r w:rsidR="00470226">
        <w:t xml:space="preserve"> time</w:t>
      </w:r>
      <w:r>
        <w:t xml:space="preserve"> is small. Of patients in the original UTT-A population, only 2 were excluded from the AUS-UTT-A group due to having been on dialysis &lt;2 years</w:t>
      </w:r>
      <w:r w:rsidR="00B56DA6">
        <w:t>,</w:t>
      </w:r>
      <w:r>
        <w:t xml:space="preserve"> and it is unclear whether they were LD or DD recipients (Fig.ES.2. </w:t>
      </w:r>
      <w:r w:rsidRPr="00BA6E38">
        <w:t xml:space="preserve">pp </w:t>
      </w:r>
      <w:r>
        <w:t>20</w:t>
      </w:r>
      <w:r w:rsidRPr="00BA6E38">
        <w:t xml:space="preserve"> of the MSAC 1732.1 ADAR+in-line commentary</w:t>
      </w:r>
      <w:r>
        <w:t xml:space="preserve">). </w:t>
      </w:r>
    </w:p>
    <w:p w14:paraId="1A3533B1" w14:textId="77777777" w:rsidR="00C378CC" w:rsidRDefault="00B35393" w:rsidP="00527717">
      <w:r>
        <w:t>R</w:t>
      </w:r>
      <w:r w:rsidR="009D0936">
        <w:t xml:space="preserve">egarding the implications of the 2-year wait time for patients on the LD list in the AUS-UTT-A population, it is unclear what impact wait time has on cPRA level (and thus likelihood of a crossmatch); however, general evidence relating to kidney transplantation </w:t>
      </w:r>
      <w:r w:rsidR="0075760C">
        <w:t xml:space="preserve">success rates </w:t>
      </w:r>
      <w:r w:rsidR="009D0936">
        <w:t xml:space="preserve">and wait </w:t>
      </w:r>
      <w:r w:rsidR="009D0936">
        <w:lastRenderedPageBreak/>
        <w:t>times suggest a positive correlation between shorter wait times and better outcomes.</w:t>
      </w:r>
      <w:r w:rsidR="007B3AF2">
        <w:rPr>
          <w:rStyle w:val="FootnoteReference"/>
        </w:rPr>
        <w:footnoteReference w:id="4"/>
      </w:r>
      <w:r w:rsidR="009D0936">
        <w:t xml:space="preserve"> Therefore, the evidence from the AUS-UTT-A population may </w:t>
      </w:r>
      <w:r w:rsidR="00AA5372">
        <w:t>bias against imlifidase</w:t>
      </w:r>
      <w:r w:rsidR="00DC2108">
        <w:t xml:space="preserve"> compared to the eligible </w:t>
      </w:r>
      <w:r w:rsidR="000E26D2">
        <w:t xml:space="preserve">LD </w:t>
      </w:r>
      <w:r w:rsidR="00DC2108">
        <w:t>population</w:t>
      </w:r>
      <w:r w:rsidR="00E218A0">
        <w:t xml:space="preserve"> that may have comparatively shorter wait times</w:t>
      </w:r>
      <w:r w:rsidR="00DC2108">
        <w:t>.</w:t>
      </w:r>
    </w:p>
    <w:p w14:paraId="3CA70C01" w14:textId="5D89818A" w:rsidR="00817185" w:rsidRPr="00A96768" w:rsidRDefault="00C378CC" w:rsidP="00527717">
      <w:pPr>
        <w:rPr>
          <w:i/>
        </w:rPr>
      </w:pPr>
      <w:r w:rsidRPr="00A96768">
        <w:rPr>
          <w:i/>
          <w:iCs/>
        </w:rPr>
        <w:t xml:space="preserve">However refer to the subsection </w:t>
      </w:r>
      <w:r w:rsidR="005A6455" w:rsidRPr="00A96768">
        <w:rPr>
          <w:i/>
          <w:iCs/>
        </w:rPr>
        <w:t>‘New clinical data not previously presented to MSAC’ in Section 12.</w:t>
      </w:r>
      <w:r w:rsidR="00DC2108" w:rsidRPr="00A96768">
        <w:rPr>
          <w:i/>
          <w:iCs/>
        </w:rPr>
        <w:t xml:space="preserve"> </w:t>
      </w:r>
      <w:bookmarkStart w:id="18" w:name="_Ref131587624"/>
      <w:bookmarkEnd w:id="17"/>
    </w:p>
    <w:p w14:paraId="33A35037" w14:textId="3A0B540F" w:rsidR="00660F87" w:rsidRPr="00660F87" w:rsidDel="00660F87" w:rsidRDefault="00660F87" w:rsidP="00E76AE0">
      <w:pPr>
        <w:pStyle w:val="Instructionaltext"/>
        <w:rPr>
          <w:color w:val="auto"/>
        </w:rPr>
        <w:sectPr w:rsidR="00660F87" w:rsidRPr="00660F87" w:rsidDel="00660F87" w:rsidSect="00495DF8">
          <w:footerReference w:type="even" r:id="rId11"/>
          <w:footerReference w:type="default" r:id="rId12"/>
          <w:type w:val="oddPage"/>
          <w:pgSz w:w="11906" w:h="16838"/>
          <w:pgMar w:top="1440" w:right="1440" w:bottom="1440" w:left="1440" w:header="708" w:footer="708" w:gutter="0"/>
          <w:cols w:space="708"/>
          <w:docGrid w:linePitch="360"/>
        </w:sectPr>
      </w:pPr>
    </w:p>
    <w:p w14:paraId="62E1F4C3" w14:textId="29722E25" w:rsidR="006645AD" w:rsidRPr="0074475B" w:rsidRDefault="006645AD" w:rsidP="006645AD">
      <w:pPr>
        <w:pStyle w:val="Caption"/>
        <w:rPr>
          <w:sz w:val="18"/>
          <w:szCs w:val="18"/>
        </w:rPr>
      </w:pPr>
      <w:bookmarkStart w:id="19" w:name="_Ref163648926"/>
      <w:r w:rsidRPr="0074475B">
        <w:rPr>
          <w:sz w:val="18"/>
          <w:szCs w:val="18"/>
        </w:rPr>
        <w:lastRenderedPageBreak/>
        <w:t xml:space="preserve">Table </w:t>
      </w:r>
      <w:r w:rsidR="00CE0882">
        <w:rPr>
          <w:sz w:val="18"/>
          <w:szCs w:val="18"/>
        </w:rPr>
        <w:t>2</w:t>
      </w:r>
      <w:bookmarkEnd w:id="19"/>
      <w:r w:rsidRPr="0074475B">
        <w:rPr>
          <w:sz w:val="18"/>
          <w:szCs w:val="18"/>
        </w:rPr>
        <w:t xml:space="preserve"> Key features of the included evidence </w:t>
      </w:r>
      <w:r w:rsidR="00C378CC">
        <w:rPr>
          <w:sz w:val="18"/>
          <w:szCs w:val="18"/>
        </w:rPr>
        <w:t>in the 2024 resubmission</w:t>
      </w:r>
      <w:r w:rsidRPr="0074475B">
        <w:rPr>
          <w:sz w:val="18"/>
          <w:szCs w:val="18"/>
        </w:rPr>
        <w:t xml:space="preserve"> comparing use of imlifidase with current care in the absence of imlifidase</w:t>
      </w:r>
      <w:r w:rsidR="00FB155C">
        <w:rPr>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54"/>
        <w:gridCol w:w="664"/>
        <w:gridCol w:w="2689"/>
        <w:gridCol w:w="1802"/>
        <w:gridCol w:w="1155"/>
        <w:gridCol w:w="1400"/>
        <w:gridCol w:w="1389"/>
        <w:gridCol w:w="2795"/>
      </w:tblGrid>
      <w:tr w:rsidR="00D76079" w:rsidRPr="0074475B" w14:paraId="13EB3865" w14:textId="77777777" w:rsidTr="002C4FF3">
        <w:trPr>
          <w:trHeight w:val="20"/>
        </w:trPr>
        <w:tc>
          <w:tcPr>
            <w:tcW w:w="736" w:type="pct"/>
            <w:shd w:val="clear" w:color="auto" w:fill="auto"/>
            <w:hideMark/>
          </w:tcPr>
          <w:p w14:paraId="486ADAAA" w14:textId="5092D1B6" w:rsidR="00B4428B" w:rsidRPr="0074475B" w:rsidRDefault="00B4428B" w:rsidP="00D76079">
            <w:pPr>
              <w:pStyle w:val="TableText"/>
              <w:rPr>
                <w:b/>
                <w:sz w:val="18"/>
                <w:szCs w:val="20"/>
                <w:lang w:eastAsia="en-AU"/>
              </w:rPr>
            </w:pPr>
            <w:r w:rsidRPr="0074475B">
              <w:rPr>
                <w:b/>
                <w:sz w:val="18"/>
                <w:szCs w:val="20"/>
                <w:lang w:eastAsia="en-AU"/>
              </w:rPr>
              <w:t>Trial/</w:t>
            </w:r>
            <w:r w:rsidR="00486430">
              <w:rPr>
                <w:b/>
                <w:sz w:val="18"/>
                <w:szCs w:val="20"/>
                <w:lang w:eastAsia="en-AU"/>
              </w:rPr>
              <w:t>s</w:t>
            </w:r>
            <w:r w:rsidRPr="0074475B">
              <w:rPr>
                <w:b/>
                <w:sz w:val="18"/>
                <w:szCs w:val="20"/>
                <w:lang w:eastAsia="en-AU"/>
              </w:rPr>
              <w:t>tudy identifier</w:t>
            </w:r>
          </w:p>
        </w:tc>
        <w:tc>
          <w:tcPr>
            <w:tcW w:w="238" w:type="pct"/>
            <w:shd w:val="clear" w:color="auto" w:fill="auto"/>
            <w:hideMark/>
          </w:tcPr>
          <w:p w14:paraId="4653878B" w14:textId="77777777" w:rsidR="00B4428B" w:rsidRPr="0074475B" w:rsidRDefault="00B4428B" w:rsidP="00D76079">
            <w:pPr>
              <w:pStyle w:val="TableText"/>
              <w:rPr>
                <w:b/>
                <w:sz w:val="18"/>
                <w:szCs w:val="20"/>
                <w:lang w:eastAsia="en-AU"/>
              </w:rPr>
            </w:pPr>
            <w:r w:rsidRPr="0074475B">
              <w:rPr>
                <w:b/>
                <w:sz w:val="18"/>
                <w:szCs w:val="20"/>
                <w:lang w:eastAsia="en-AU"/>
              </w:rPr>
              <w:t>N</w:t>
            </w:r>
          </w:p>
        </w:tc>
        <w:tc>
          <w:tcPr>
            <w:tcW w:w="964" w:type="pct"/>
            <w:shd w:val="clear" w:color="auto" w:fill="auto"/>
            <w:hideMark/>
          </w:tcPr>
          <w:p w14:paraId="0D83CCE5" w14:textId="77777777" w:rsidR="00B4428B" w:rsidRPr="0074475B" w:rsidRDefault="00B4428B" w:rsidP="00D76079">
            <w:pPr>
              <w:pStyle w:val="TableText"/>
              <w:rPr>
                <w:b/>
                <w:sz w:val="18"/>
                <w:szCs w:val="20"/>
                <w:lang w:eastAsia="en-AU"/>
              </w:rPr>
            </w:pPr>
            <w:r w:rsidRPr="0074475B">
              <w:rPr>
                <w:b/>
                <w:sz w:val="18"/>
                <w:szCs w:val="20"/>
                <w:lang w:eastAsia="en-AU"/>
              </w:rPr>
              <w:t xml:space="preserve">Study design </w:t>
            </w:r>
          </w:p>
          <w:p w14:paraId="1458282A" w14:textId="58778C01" w:rsidR="00B4428B" w:rsidRPr="0074475B" w:rsidRDefault="00B4428B" w:rsidP="00D76079">
            <w:pPr>
              <w:pStyle w:val="TableText"/>
              <w:rPr>
                <w:b/>
                <w:sz w:val="18"/>
                <w:szCs w:val="20"/>
                <w:lang w:eastAsia="en-AU"/>
              </w:rPr>
            </w:pPr>
            <w:r w:rsidRPr="0074475B">
              <w:rPr>
                <w:b/>
                <w:sz w:val="18"/>
                <w:szCs w:val="20"/>
                <w:lang w:eastAsia="en-AU"/>
              </w:rPr>
              <w:t>Risk of bias</w:t>
            </w:r>
            <w:r w:rsidR="00A55DEA">
              <w:rPr>
                <w:b/>
                <w:sz w:val="18"/>
                <w:szCs w:val="20"/>
                <w:lang w:eastAsia="en-AU"/>
              </w:rPr>
              <w:t>*</w:t>
            </w:r>
          </w:p>
        </w:tc>
        <w:tc>
          <w:tcPr>
            <w:tcW w:w="646" w:type="pct"/>
            <w:shd w:val="clear" w:color="auto" w:fill="auto"/>
            <w:hideMark/>
          </w:tcPr>
          <w:p w14:paraId="150984DD" w14:textId="77777777" w:rsidR="00B4428B" w:rsidRPr="0074475B" w:rsidRDefault="00B4428B" w:rsidP="00D76079">
            <w:pPr>
              <w:pStyle w:val="TableText"/>
              <w:rPr>
                <w:b/>
                <w:sz w:val="18"/>
                <w:szCs w:val="20"/>
                <w:lang w:eastAsia="en-AU"/>
              </w:rPr>
            </w:pPr>
            <w:r w:rsidRPr="0074475B">
              <w:rPr>
                <w:b/>
                <w:sz w:val="18"/>
                <w:szCs w:val="20"/>
                <w:lang w:eastAsia="en-AU"/>
              </w:rPr>
              <w:t>Population</w:t>
            </w:r>
          </w:p>
        </w:tc>
        <w:tc>
          <w:tcPr>
            <w:tcW w:w="414" w:type="pct"/>
            <w:shd w:val="clear" w:color="auto" w:fill="auto"/>
            <w:hideMark/>
          </w:tcPr>
          <w:p w14:paraId="293ACF34" w14:textId="77777777" w:rsidR="00B4428B" w:rsidRPr="0074475B" w:rsidRDefault="00B4428B" w:rsidP="00D76079">
            <w:pPr>
              <w:pStyle w:val="TableText"/>
              <w:rPr>
                <w:b/>
                <w:sz w:val="18"/>
                <w:szCs w:val="20"/>
                <w:lang w:eastAsia="en-AU"/>
              </w:rPr>
            </w:pPr>
            <w:r w:rsidRPr="0074475B">
              <w:rPr>
                <w:b/>
                <w:sz w:val="18"/>
                <w:szCs w:val="20"/>
                <w:lang w:eastAsia="en-AU"/>
              </w:rPr>
              <w:t>Intervention</w:t>
            </w:r>
          </w:p>
        </w:tc>
        <w:tc>
          <w:tcPr>
            <w:tcW w:w="502" w:type="pct"/>
            <w:shd w:val="clear" w:color="auto" w:fill="auto"/>
            <w:hideMark/>
          </w:tcPr>
          <w:p w14:paraId="502BCB37" w14:textId="77777777" w:rsidR="00B4428B" w:rsidRPr="0074475B" w:rsidRDefault="00B4428B" w:rsidP="00D76079">
            <w:pPr>
              <w:pStyle w:val="TableText"/>
              <w:rPr>
                <w:b/>
                <w:sz w:val="18"/>
                <w:szCs w:val="20"/>
                <w:lang w:eastAsia="en-AU"/>
              </w:rPr>
            </w:pPr>
            <w:r w:rsidRPr="0074475B">
              <w:rPr>
                <w:b/>
                <w:sz w:val="18"/>
                <w:szCs w:val="20"/>
                <w:lang w:eastAsia="en-AU"/>
              </w:rPr>
              <w:t>Comparator</w:t>
            </w:r>
          </w:p>
        </w:tc>
        <w:tc>
          <w:tcPr>
            <w:tcW w:w="498" w:type="pct"/>
            <w:shd w:val="clear" w:color="auto" w:fill="auto"/>
            <w:hideMark/>
          </w:tcPr>
          <w:p w14:paraId="3B1FE834" w14:textId="77777777" w:rsidR="00B4428B" w:rsidRPr="0074475B" w:rsidRDefault="00B4428B" w:rsidP="00D76079">
            <w:pPr>
              <w:pStyle w:val="TableText"/>
              <w:rPr>
                <w:b/>
                <w:sz w:val="18"/>
                <w:szCs w:val="20"/>
                <w:lang w:eastAsia="en-AU"/>
              </w:rPr>
            </w:pPr>
            <w:r w:rsidRPr="0074475B">
              <w:rPr>
                <w:b/>
                <w:sz w:val="18"/>
                <w:szCs w:val="20"/>
                <w:lang w:eastAsia="en-AU"/>
              </w:rPr>
              <w:t>Key outcome(s)</w:t>
            </w:r>
          </w:p>
        </w:tc>
        <w:tc>
          <w:tcPr>
            <w:tcW w:w="1002" w:type="pct"/>
            <w:shd w:val="clear" w:color="auto" w:fill="auto"/>
            <w:hideMark/>
          </w:tcPr>
          <w:p w14:paraId="521BE9F5" w14:textId="77777777" w:rsidR="00B4428B" w:rsidRPr="0074475B" w:rsidRDefault="00B4428B" w:rsidP="00D76079">
            <w:pPr>
              <w:pStyle w:val="TableText"/>
              <w:rPr>
                <w:b/>
                <w:sz w:val="18"/>
                <w:szCs w:val="20"/>
                <w:lang w:eastAsia="en-AU"/>
              </w:rPr>
            </w:pPr>
            <w:r w:rsidRPr="0074475B">
              <w:rPr>
                <w:b/>
                <w:sz w:val="18"/>
                <w:szCs w:val="20"/>
                <w:lang w:eastAsia="en-AU"/>
              </w:rPr>
              <w:t>Result used in economic model </w:t>
            </w:r>
          </w:p>
        </w:tc>
      </w:tr>
      <w:tr w:rsidR="00B4428B" w:rsidRPr="0074475B" w14:paraId="29C45BC0" w14:textId="77777777" w:rsidTr="00D76079">
        <w:trPr>
          <w:trHeight w:val="231"/>
        </w:trPr>
        <w:tc>
          <w:tcPr>
            <w:tcW w:w="5000" w:type="pct"/>
            <w:gridSpan w:val="8"/>
            <w:shd w:val="clear" w:color="auto" w:fill="auto"/>
            <w:hideMark/>
          </w:tcPr>
          <w:p w14:paraId="41DF2CBE" w14:textId="2B8401F1" w:rsidR="00B4428B" w:rsidRPr="0074475B" w:rsidRDefault="00B4428B" w:rsidP="00D76079">
            <w:pPr>
              <w:pStyle w:val="TableText"/>
              <w:rPr>
                <w:b/>
                <w:sz w:val="18"/>
                <w:szCs w:val="20"/>
                <w:lang w:eastAsia="en-AU"/>
              </w:rPr>
            </w:pPr>
            <w:r w:rsidRPr="0074475B">
              <w:rPr>
                <w:b/>
                <w:sz w:val="18"/>
                <w:szCs w:val="20"/>
                <w:lang w:eastAsia="en-AU"/>
              </w:rPr>
              <w:t xml:space="preserve">Intervention </w:t>
            </w:r>
            <w:r w:rsidR="00754491">
              <w:rPr>
                <w:b/>
                <w:sz w:val="18"/>
                <w:szCs w:val="20"/>
                <w:lang w:eastAsia="en-AU"/>
              </w:rPr>
              <w:t>a</w:t>
            </w:r>
            <w:r w:rsidRPr="0074475B">
              <w:rPr>
                <w:b/>
                <w:sz w:val="18"/>
                <w:szCs w:val="20"/>
                <w:lang w:eastAsia="en-AU"/>
              </w:rPr>
              <w:t>rm</w:t>
            </w:r>
          </w:p>
        </w:tc>
      </w:tr>
      <w:tr w:rsidR="00741EFE" w:rsidRPr="0074475B" w14:paraId="2BF4373F" w14:textId="77777777" w:rsidTr="00A21B94">
        <w:trPr>
          <w:trHeight w:val="1328"/>
        </w:trPr>
        <w:tc>
          <w:tcPr>
            <w:tcW w:w="736" w:type="pct"/>
            <w:vMerge w:val="restart"/>
            <w:shd w:val="clear" w:color="auto" w:fill="auto"/>
            <w:hideMark/>
          </w:tcPr>
          <w:p w14:paraId="6D00AFB6" w14:textId="77777777" w:rsidR="00741EFE" w:rsidRPr="0074475B" w:rsidRDefault="00741EFE" w:rsidP="00D76079">
            <w:pPr>
              <w:pStyle w:val="TableText"/>
              <w:rPr>
                <w:sz w:val="18"/>
                <w:szCs w:val="20"/>
                <w:lang w:eastAsia="en-AU"/>
              </w:rPr>
            </w:pPr>
            <w:r w:rsidRPr="0074475B">
              <w:rPr>
                <w:sz w:val="18"/>
                <w:szCs w:val="20"/>
                <w:lang w:eastAsia="en-AU"/>
              </w:rPr>
              <w:t>Combined imlifidase trial data from:</w:t>
            </w:r>
          </w:p>
          <w:p w14:paraId="6EB7AD1F" w14:textId="77777777" w:rsidR="00A21B94" w:rsidRPr="0074475B" w:rsidRDefault="00741EFE" w:rsidP="0033037C">
            <w:pPr>
              <w:pStyle w:val="TableText"/>
              <w:numPr>
                <w:ilvl w:val="0"/>
                <w:numId w:val="25"/>
              </w:numPr>
              <w:ind w:left="284" w:hanging="227"/>
              <w:rPr>
                <w:sz w:val="18"/>
                <w:szCs w:val="20"/>
                <w:lang w:eastAsia="en-AU"/>
              </w:rPr>
            </w:pPr>
            <w:r w:rsidRPr="0074475B">
              <w:rPr>
                <w:sz w:val="18"/>
                <w:szCs w:val="20"/>
              </w:rPr>
              <w:t>13-HMedIdeS-02</w:t>
            </w:r>
          </w:p>
          <w:p w14:paraId="4ECCEF12" w14:textId="77777777" w:rsidR="00A21B94" w:rsidRPr="0074475B" w:rsidRDefault="00741EFE" w:rsidP="0033037C">
            <w:pPr>
              <w:pStyle w:val="TableText"/>
              <w:numPr>
                <w:ilvl w:val="0"/>
                <w:numId w:val="25"/>
              </w:numPr>
              <w:ind w:left="284" w:hanging="227"/>
              <w:rPr>
                <w:sz w:val="18"/>
                <w:szCs w:val="20"/>
                <w:lang w:eastAsia="en-AU"/>
              </w:rPr>
            </w:pPr>
            <w:r w:rsidRPr="0074475B">
              <w:rPr>
                <w:sz w:val="18"/>
                <w:szCs w:val="20"/>
              </w:rPr>
              <w:t>13-HMedIdeS-03</w:t>
            </w:r>
          </w:p>
          <w:p w14:paraId="7AC2007E" w14:textId="77777777" w:rsidR="00A21B94" w:rsidRPr="0074475B" w:rsidRDefault="00741EFE" w:rsidP="0033037C">
            <w:pPr>
              <w:pStyle w:val="TableText"/>
              <w:numPr>
                <w:ilvl w:val="0"/>
                <w:numId w:val="25"/>
              </w:numPr>
              <w:ind w:left="284" w:hanging="227"/>
              <w:rPr>
                <w:sz w:val="18"/>
                <w:szCs w:val="20"/>
                <w:lang w:eastAsia="en-AU"/>
              </w:rPr>
            </w:pPr>
            <w:r w:rsidRPr="0074475B">
              <w:rPr>
                <w:sz w:val="18"/>
                <w:szCs w:val="20"/>
              </w:rPr>
              <w:t>14- HMedIdeS</w:t>
            </w:r>
            <w:r w:rsidRPr="0074475B">
              <w:rPr>
                <w:sz w:val="18"/>
                <w:szCs w:val="20"/>
              </w:rPr>
              <w:noBreakHyphen/>
              <w:t>04</w:t>
            </w:r>
          </w:p>
          <w:p w14:paraId="7C34A166" w14:textId="7EBEDA1A" w:rsidR="00741EFE" w:rsidRPr="0074475B" w:rsidRDefault="00741EFE" w:rsidP="0033037C">
            <w:pPr>
              <w:pStyle w:val="TableText"/>
              <w:numPr>
                <w:ilvl w:val="0"/>
                <w:numId w:val="25"/>
              </w:numPr>
              <w:ind w:left="284" w:hanging="227"/>
              <w:rPr>
                <w:sz w:val="18"/>
                <w:szCs w:val="20"/>
                <w:lang w:eastAsia="en-AU"/>
              </w:rPr>
            </w:pPr>
            <w:r w:rsidRPr="0074475B">
              <w:rPr>
                <w:sz w:val="18"/>
                <w:szCs w:val="20"/>
              </w:rPr>
              <w:t>15- HMedIdeS</w:t>
            </w:r>
            <w:r w:rsidRPr="0074475B">
              <w:rPr>
                <w:sz w:val="18"/>
                <w:szCs w:val="20"/>
              </w:rPr>
              <w:noBreakHyphen/>
              <w:t>06</w:t>
            </w:r>
          </w:p>
          <w:p w14:paraId="0A20B69A" w14:textId="62FB7A2D" w:rsidR="00741EFE" w:rsidRPr="0074475B" w:rsidRDefault="00741EFE" w:rsidP="00D76079">
            <w:pPr>
              <w:pStyle w:val="TableText"/>
              <w:rPr>
                <w:sz w:val="18"/>
                <w:szCs w:val="20"/>
              </w:rPr>
            </w:pPr>
            <w:r w:rsidRPr="0074475B">
              <w:rPr>
                <w:sz w:val="18"/>
                <w:szCs w:val="20"/>
              </w:rPr>
              <w:t>Additional retrospective data collection on 13-HMedIdeS-02 and 13-MedIdeS-03 in:</w:t>
            </w:r>
          </w:p>
          <w:p w14:paraId="591903D8" w14:textId="5F004389" w:rsidR="00583360" w:rsidRDefault="00741EFE" w:rsidP="0033037C">
            <w:pPr>
              <w:pStyle w:val="TableText"/>
              <w:numPr>
                <w:ilvl w:val="0"/>
                <w:numId w:val="24"/>
              </w:numPr>
              <w:ind w:left="284" w:hanging="227"/>
              <w:rPr>
                <w:sz w:val="18"/>
                <w:szCs w:val="20"/>
              </w:rPr>
            </w:pPr>
            <w:r w:rsidRPr="0074475B">
              <w:rPr>
                <w:sz w:val="18"/>
                <w:szCs w:val="20"/>
              </w:rPr>
              <w:t xml:space="preserve">17-HMedIdeS-13 </w:t>
            </w:r>
          </w:p>
          <w:p w14:paraId="06EA3248" w14:textId="25A308E9" w:rsidR="00A21B94" w:rsidRPr="0074475B" w:rsidRDefault="00741EFE" w:rsidP="00CE24FE">
            <w:pPr>
              <w:pStyle w:val="TableText"/>
              <w:rPr>
                <w:sz w:val="18"/>
                <w:szCs w:val="20"/>
              </w:rPr>
            </w:pPr>
            <w:r w:rsidRPr="05E7FBDA">
              <w:rPr>
                <w:sz w:val="18"/>
                <w:szCs w:val="18"/>
              </w:rPr>
              <w:t>Long-term follow-up study of imlifidase trials</w:t>
            </w:r>
            <w:r w:rsidR="00583360" w:rsidRPr="05E7FBDA">
              <w:rPr>
                <w:sz w:val="18"/>
                <w:szCs w:val="18"/>
              </w:rPr>
              <w:t>:</w:t>
            </w:r>
          </w:p>
          <w:p w14:paraId="29B63D4A" w14:textId="1EFDD695" w:rsidR="00741EFE" w:rsidRPr="0074475B" w:rsidRDefault="00741EFE" w:rsidP="0033037C">
            <w:pPr>
              <w:pStyle w:val="TableText"/>
              <w:numPr>
                <w:ilvl w:val="0"/>
                <w:numId w:val="24"/>
              </w:numPr>
              <w:ind w:left="284" w:hanging="227"/>
              <w:rPr>
                <w:sz w:val="18"/>
                <w:szCs w:val="20"/>
              </w:rPr>
            </w:pPr>
            <w:r w:rsidRPr="0074475B">
              <w:rPr>
                <w:sz w:val="18"/>
                <w:szCs w:val="18"/>
              </w:rPr>
              <w:t>17-HMedIdeS-14</w:t>
            </w:r>
            <w:r w:rsidR="00A21B94" w:rsidRPr="0074475B">
              <w:rPr>
                <w:sz w:val="18"/>
                <w:szCs w:val="18"/>
              </w:rPr>
              <w:t xml:space="preserve"> </w:t>
            </w:r>
            <w:r w:rsidRPr="0074475B">
              <w:rPr>
                <w:sz w:val="18"/>
                <w:szCs w:val="18"/>
              </w:rPr>
              <w:t>(5</w:t>
            </w:r>
            <w:r w:rsidR="00DA70A1">
              <w:rPr>
                <w:sz w:val="18"/>
                <w:szCs w:val="20"/>
              </w:rPr>
              <w:noBreakHyphen/>
            </w:r>
            <w:r w:rsidRPr="0074475B">
              <w:rPr>
                <w:sz w:val="18"/>
                <w:szCs w:val="18"/>
              </w:rPr>
              <w:t>year follow-up)</w:t>
            </w:r>
          </w:p>
        </w:tc>
        <w:tc>
          <w:tcPr>
            <w:tcW w:w="238" w:type="pct"/>
            <w:vMerge w:val="restart"/>
            <w:shd w:val="clear" w:color="auto" w:fill="auto"/>
            <w:hideMark/>
          </w:tcPr>
          <w:p w14:paraId="4F5A044B" w14:textId="3B54B5DB" w:rsidR="00741EFE" w:rsidRPr="0074475B" w:rsidRDefault="00741EFE" w:rsidP="00D76079">
            <w:pPr>
              <w:pStyle w:val="TableText"/>
              <w:rPr>
                <w:sz w:val="18"/>
                <w:szCs w:val="20"/>
                <w:lang w:eastAsia="en-AU"/>
              </w:rPr>
            </w:pPr>
            <w:r w:rsidRPr="0074475B">
              <w:rPr>
                <w:sz w:val="18"/>
                <w:szCs w:val="20"/>
              </w:rPr>
              <w:t>24</w:t>
            </w:r>
          </w:p>
        </w:tc>
        <w:tc>
          <w:tcPr>
            <w:tcW w:w="964" w:type="pct"/>
            <w:tcBorders>
              <w:bottom w:val="nil"/>
            </w:tcBorders>
            <w:shd w:val="clear" w:color="auto" w:fill="auto"/>
            <w:hideMark/>
          </w:tcPr>
          <w:p w14:paraId="4B6384DE" w14:textId="145FECE0" w:rsidR="00741EFE" w:rsidRPr="0074475B" w:rsidRDefault="00741EFE" w:rsidP="00D76079">
            <w:pPr>
              <w:pStyle w:val="TableText"/>
              <w:rPr>
                <w:sz w:val="18"/>
                <w:szCs w:val="20"/>
                <w:lang w:eastAsia="en-AU"/>
              </w:rPr>
            </w:pPr>
            <w:r w:rsidRPr="0074475B">
              <w:rPr>
                <w:sz w:val="18"/>
                <w:szCs w:val="20"/>
                <w:lang w:eastAsia="en-AU"/>
              </w:rPr>
              <w:t>Single</w:t>
            </w:r>
            <w:r w:rsidR="00DA353A">
              <w:rPr>
                <w:sz w:val="18"/>
                <w:szCs w:val="20"/>
                <w:lang w:eastAsia="en-AU"/>
              </w:rPr>
              <w:t>-</w:t>
            </w:r>
            <w:r w:rsidRPr="0074475B">
              <w:rPr>
                <w:sz w:val="18"/>
                <w:szCs w:val="20"/>
                <w:lang w:eastAsia="en-AU"/>
              </w:rPr>
              <w:t xml:space="preserve">arm, prospective </w:t>
            </w:r>
            <w:r w:rsidR="00A21B94" w:rsidRPr="0074475B">
              <w:rPr>
                <w:sz w:val="18"/>
                <w:szCs w:val="20"/>
                <w:lang w:eastAsia="en-AU"/>
              </w:rPr>
              <w:t>p</w:t>
            </w:r>
            <w:r w:rsidRPr="0074475B">
              <w:rPr>
                <w:sz w:val="18"/>
                <w:szCs w:val="20"/>
                <w:lang w:eastAsia="en-AU"/>
              </w:rPr>
              <w:t xml:space="preserve">hase </w:t>
            </w:r>
            <w:r w:rsidR="00A21B94" w:rsidRPr="0074475B">
              <w:rPr>
                <w:sz w:val="18"/>
                <w:szCs w:val="20"/>
                <w:lang w:eastAsia="en-AU"/>
              </w:rPr>
              <w:t>II</w:t>
            </w:r>
            <w:r w:rsidRPr="0074475B">
              <w:rPr>
                <w:sz w:val="18"/>
                <w:szCs w:val="20"/>
                <w:lang w:eastAsia="en-AU"/>
              </w:rPr>
              <w:t xml:space="preserve"> trials</w:t>
            </w:r>
          </w:p>
          <w:p w14:paraId="43ED0766" w14:textId="3F0F01E6" w:rsidR="00741EFE" w:rsidRPr="0074475B" w:rsidRDefault="00741EFE" w:rsidP="00D76079">
            <w:pPr>
              <w:pStyle w:val="TableText"/>
              <w:rPr>
                <w:sz w:val="18"/>
                <w:szCs w:val="20"/>
                <w:lang w:eastAsia="en-AU"/>
              </w:rPr>
            </w:pPr>
            <w:r w:rsidRPr="0074475B">
              <w:rPr>
                <w:sz w:val="18"/>
                <w:szCs w:val="20"/>
              </w:rPr>
              <w:t xml:space="preserve">Data </w:t>
            </w:r>
            <w:r w:rsidR="0092038D">
              <w:rPr>
                <w:sz w:val="18"/>
                <w:szCs w:val="20"/>
              </w:rPr>
              <w:t>from all studies</w:t>
            </w:r>
            <w:r w:rsidRPr="0074475B">
              <w:rPr>
                <w:sz w:val="18"/>
                <w:szCs w:val="20"/>
              </w:rPr>
              <w:t xml:space="preserve"> combined to include all patients in the population</w:t>
            </w:r>
          </w:p>
          <w:p w14:paraId="7741AA38" w14:textId="3DC8BB0F" w:rsidR="00741EFE" w:rsidRPr="0074475B" w:rsidRDefault="00741EFE" w:rsidP="00D76079">
            <w:pPr>
              <w:pStyle w:val="TableText"/>
              <w:rPr>
                <w:sz w:val="18"/>
                <w:szCs w:val="20"/>
                <w:lang w:eastAsia="en-AU"/>
              </w:rPr>
            </w:pPr>
            <w:r w:rsidRPr="0074475B">
              <w:rPr>
                <w:sz w:val="18"/>
                <w:szCs w:val="20"/>
              </w:rPr>
              <w:t>Moderate risk of bias (single</w:t>
            </w:r>
            <w:r w:rsidR="00541CBB">
              <w:rPr>
                <w:sz w:val="18"/>
                <w:szCs w:val="20"/>
              </w:rPr>
              <w:t>-</w:t>
            </w:r>
            <w:r w:rsidRPr="0074475B">
              <w:rPr>
                <w:sz w:val="18"/>
                <w:szCs w:val="20"/>
              </w:rPr>
              <w:t>arm studies)</w:t>
            </w:r>
          </w:p>
          <w:p w14:paraId="2D2C2234" w14:textId="77777777" w:rsidR="00741EFE" w:rsidRPr="0074475B" w:rsidRDefault="00741EFE" w:rsidP="00D76079">
            <w:pPr>
              <w:pStyle w:val="TableText"/>
              <w:rPr>
                <w:sz w:val="18"/>
                <w:szCs w:val="20"/>
                <w:lang w:eastAsia="en-AU"/>
              </w:rPr>
            </w:pPr>
          </w:p>
        </w:tc>
        <w:tc>
          <w:tcPr>
            <w:tcW w:w="646" w:type="pct"/>
            <w:vMerge w:val="restart"/>
            <w:shd w:val="clear" w:color="auto" w:fill="auto"/>
            <w:hideMark/>
          </w:tcPr>
          <w:p w14:paraId="620E641C" w14:textId="77777777" w:rsidR="00741EFE" w:rsidRPr="0074475B" w:rsidRDefault="00741EFE" w:rsidP="00D76079">
            <w:pPr>
              <w:pStyle w:val="TableText"/>
              <w:rPr>
                <w:sz w:val="18"/>
                <w:szCs w:val="20"/>
              </w:rPr>
            </w:pPr>
            <w:r w:rsidRPr="0074475B">
              <w:rPr>
                <w:sz w:val="18"/>
                <w:szCs w:val="20"/>
              </w:rPr>
              <w:t>AUS-UTT-A</w:t>
            </w:r>
          </w:p>
          <w:p w14:paraId="5D23718B" w14:textId="58BCF482" w:rsidR="00741EFE" w:rsidRPr="0074475B" w:rsidRDefault="00741EFE" w:rsidP="00D76079">
            <w:pPr>
              <w:pStyle w:val="TableText"/>
              <w:rPr>
                <w:sz w:val="18"/>
                <w:szCs w:val="20"/>
                <w:lang w:eastAsia="en-AU"/>
              </w:rPr>
            </w:pPr>
            <w:r w:rsidRPr="0074475B">
              <w:rPr>
                <w:sz w:val="18"/>
                <w:szCs w:val="20"/>
              </w:rPr>
              <w:t xml:space="preserve">HS patients with cPRA ≥99%, positive crossmatch, DD or LD transplant on the wait list for at least </w:t>
            </w:r>
            <w:r w:rsidR="00541CBB">
              <w:rPr>
                <w:sz w:val="18"/>
                <w:szCs w:val="20"/>
              </w:rPr>
              <w:t>2</w:t>
            </w:r>
            <w:r w:rsidR="00541CBB" w:rsidRPr="0074475B">
              <w:rPr>
                <w:sz w:val="18"/>
                <w:szCs w:val="20"/>
              </w:rPr>
              <w:t xml:space="preserve"> </w:t>
            </w:r>
            <w:r w:rsidRPr="0074475B">
              <w:rPr>
                <w:sz w:val="18"/>
                <w:szCs w:val="20"/>
              </w:rPr>
              <w:t>years</w:t>
            </w:r>
          </w:p>
          <w:p w14:paraId="3A879A77" w14:textId="2D1B26AF" w:rsidR="00741EFE" w:rsidRPr="0074475B" w:rsidRDefault="00741EFE" w:rsidP="00D76079">
            <w:pPr>
              <w:pStyle w:val="TableText"/>
              <w:rPr>
                <w:sz w:val="18"/>
                <w:szCs w:val="20"/>
                <w:lang w:eastAsia="en-AU"/>
              </w:rPr>
            </w:pPr>
          </w:p>
        </w:tc>
        <w:tc>
          <w:tcPr>
            <w:tcW w:w="414" w:type="pct"/>
            <w:vMerge w:val="restart"/>
            <w:shd w:val="clear" w:color="auto" w:fill="auto"/>
            <w:hideMark/>
          </w:tcPr>
          <w:p w14:paraId="7F3D9FCB" w14:textId="63FCF2B2" w:rsidR="00741EFE" w:rsidRPr="0074475B" w:rsidRDefault="00741EFE" w:rsidP="00D76079">
            <w:pPr>
              <w:pStyle w:val="TableText"/>
              <w:rPr>
                <w:sz w:val="18"/>
                <w:szCs w:val="20"/>
                <w:lang w:eastAsia="en-AU"/>
              </w:rPr>
            </w:pPr>
            <w:r w:rsidRPr="0074475B">
              <w:rPr>
                <w:sz w:val="18"/>
                <w:szCs w:val="20"/>
                <w:lang w:eastAsia="en-AU"/>
              </w:rPr>
              <w:t xml:space="preserve">HLAi transplant with </w:t>
            </w:r>
            <w:r w:rsidR="00A348E2">
              <w:rPr>
                <w:sz w:val="18"/>
                <w:szCs w:val="20"/>
                <w:lang w:eastAsia="en-AU"/>
              </w:rPr>
              <w:t>i</w:t>
            </w:r>
            <w:r w:rsidRPr="0074475B">
              <w:rPr>
                <w:sz w:val="18"/>
                <w:szCs w:val="20"/>
                <w:lang w:eastAsia="en-AU"/>
              </w:rPr>
              <w:t>mlifidase</w:t>
            </w:r>
          </w:p>
        </w:tc>
        <w:tc>
          <w:tcPr>
            <w:tcW w:w="502" w:type="pct"/>
            <w:vMerge w:val="restart"/>
            <w:shd w:val="clear" w:color="auto" w:fill="auto"/>
            <w:hideMark/>
          </w:tcPr>
          <w:p w14:paraId="7A282368" w14:textId="1AADABE3" w:rsidR="00741EFE" w:rsidRPr="0074475B" w:rsidRDefault="00741EFE" w:rsidP="00D76079">
            <w:pPr>
              <w:pStyle w:val="TableText"/>
              <w:rPr>
                <w:sz w:val="18"/>
                <w:szCs w:val="20"/>
              </w:rPr>
            </w:pPr>
            <w:r w:rsidRPr="0074475B">
              <w:rPr>
                <w:sz w:val="18"/>
                <w:szCs w:val="20"/>
                <w:lang w:eastAsia="en-AU"/>
              </w:rPr>
              <w:t xml:space="preserve"> </w:t>
            </w:r>
            <w:r w:rsidR="00E74FE7">
              <w:rPr>
                <w:sz w:val="18"/>
                <w:szCs w:val="20"/>
                <w:lang w:eastAsia="en-AU"/>
              </w:rPr>
              <w:t>-</w:t>
            </w:r>
          </w:p>
          <w:p w14:paraId="70E345F0" w14:textId="77777777" w:rsidR="00741EFE" w:rsidRPr="0074475B" w:rsidRDefault="00741EFE" w:rsidP="00D76079">
            <w:pPr>
              <w:pStyle w:val="TableText"/>
              <w:rPr>
                <w:sz w:val="18"/>
                <w:szCs w:val="20"/>
                <w:lang w:eastAsia="en-AU"/>
              </w:rPr>
            </w:pPr>
          </w:p>
        </w:tc>
        <w:tc>
          <w:tcPr>
            <w:tcW w:w="498" w:type="pct"/>
            <w:vMerge w:val="restart"/>
            <w:shd w:val="clear" w:color="auto" w:fill="auto"/>
            <w:hideMark/>
          </w:tcPr>
          <w:p w14:paraId="59FEFD73" w14:textId="79F77DD6" w:rsidR="00741EFE" w:rsidRPr="0074475B" w:rsidRDefault="00B92702" w:rsidP="00D76079">
            <w:pPr>
              <w:pStyle w:val="TableText"/>
              <w:rPr>
                <w:sz w:val="18"/>
                <w:szCs w:val="20"/>
                <w:lang w:eastAsia="en-AU"/>
              </w:rPr>
            </w:pPr>
            <w:r w:rsidRPr="0074475B">
              <w:rPr>
                <w:sz w:val="18"/>
                <w:szCs w:val="20"/>
                <w:lang w:eastAsia="en-AU"/>
              </w:rPr>
              <w:t>Crossmatch</w:t>
            </w:r>
            <w:r w:rsidRPr="0074475B" w:rsidDel="00B92702">
              <w:rPr>
                <w:sz w:val="18"/>
                <w:szCs w:val="20"/>
                <w:lang w:eastAsia="en-AU"/>
              </w:rPr>
              <w:t xml:space="preserve"> </w:t>
            </w:r>
            <w:r w:rsidR="00741EFE" w:rsidRPr="0074475B">
              <w:rPr>
                <w:sz w:val="18"/>
                <w:szCs w:val="20"/>
                <w:lang w:eastAsia="en-AU"/>
              </w:rPr>
              <w:t>conversion</w:t>
            </w:r>
          </w:p>
          <w:p w14:paraId="264E08F5" w14:textId="26A37F84" w:rsidR="00741EFE" w:rsidRPr="0074475B" w:rsidRDefault="00741EFE" w:rsidP="00D76079">
            <w:pPr>
              <w:pStyle w:val="TableText"/>
              <w:rPr>
                <w:sz w:val="18"/>
                <w:szCs w:val="20"/>
                <w:lang w:eastAsia="en-AU"/>
              </w:rPr>
            </w:pPr>
            <w:r w:rsidRPr="0074475B">
              <w:rPr>
                <w:sz w:val="18"/>
                <w:szCs w:val="20"/>
              </w:rPr>
              <w:t>% Patients receiving a transplant</w:t>
            </w:r>
          </w:p>
          <w:p w14:paraId="1ABA733A" w14:textId="77777777" w:rsidR="00741EFE" w:rsidRPr="0074475B" w:rsidRDefault="00741EFE" w:rsidP="00D76079">
            <w:pPr>
              <w:pStyle w:val="TableText"/>
              <w:rPr>
                <w:sz w:val="18"/>
                <w:szCs w:val="20"/>
                <w:lang w:eastAsia="en-AU"/>
              </w:rPr>
            </w:pPr>
            <w:r w:rsidRPr="0074475B">
              <w:rPr>
                <w:sz w:val="18"/>
                <w:szCs w:val="20"/>
              </w:rPr>
              <w:t>Patient survival</w:t>
            </w:r>
          </w:p>
          <w:p w14:paraId="7DE331D6" w14:textId="77777777" w:rsidR="00741EFE" w:rsidRPr="0074475B" w:rsidRDefault="00741EFE" w:rsidP="00D76079">
            <w:pPr>
              <w:pStyle w:val="TableText"/>
              <w:rPr>
                <w:sz w:val="18"/>
                <w:szCs w:val="20"/>
                <w:lang w:eastAsia="en-AU"/>
              </w:rPr>
            </w:pPr>
            <w:r w:rsidRPr="0074475B">
              <w:rPr>
                <w:sz w:val="18"/>
                <w:szCs w:val="20"/>
              </w:rPr>
              <w:t>Graft survival</w:t>
            </w:r>
          </w:p>
          <w:p w14:paraId="0FFBE0AC" w14:textId="695FBFB2" w:rsidR="00741EFE" w:rsidRPr="0074475B" w:rsidRDefault="00741EFE" w:rsidP="00D76079">
            <w:pPr>
              <w:pStyle w:val="TableText"/>
              <w:rPr>
                <w:sz w:val="18"/>
                <w:szCs w:val="20"/>
              </w:rPr>
            </w:pPr>
            <w:r w:rsidRPr="0074475B">
              <w:rPr>
                <w:sz w:val="18"/>
                <w:szCs w:val="20"/>
              </w:rPr>
              <w:t>Graft rejection over time due to AMR</w:t>
            </w:r>
          </w:p>
          <w:p w14:paraId="4CE6D8C3" w14:textId="77777777" w:rsidR="00741EFE" w:rsidRPr="0074475B" w:rsidRDefault="00741EFE" w:rsidP="00D76079">
            <w:pPr>
              <w:pStyle w:val="TableText"/>
              <w:rPr>
                <w:sz w:val="18"/>
                <w:szCs w:val="20"/>
              </w:rPr>
            </w:pPr>
            <w:r w:rsidRPr="0074475B">
              <w:rPr>
                <w:sz w:val="18"/>
                <w:szCs w:val="20"/>
              </w:rPr>
              <w:t>Kidney function (GFR)</w:t>
            </w:r>
          </w:p>
          <w:p w14:paraId="4F16861C" w14:textId="77777777" w:rsidR="00741EFE" w:rsidRPr="0074475B" w:rsidRDefault="00741EFE" w:rsidP="00D76079">
            <w:pPr>
              <w:pStyle w:val="TableText"/>
              <w:rPr>
                <w:sz w:val="18"/>
                <w:szCs w:val="20"/>
                <w:lang w:eastAsia="en-AU"/>
              </w:rPr>
            </w:pPr>
            <w:r w:rsidRPr="0074475B">
              <w:rPr>
                <w:sz w:val="18"/>
                <w:szCs w:val="20"/>
              </w:rPr>
              <w:t>TEAEs, related TEAEs</w:t>
            </w:r>
          </w:p>
        </w:tc>
        <w:tc>
          <w:tcPr>
            <w:tcW w:w="1002" w:type="pct"/>
            <w:vMerge w:val="restart"/>
            <w:shd w:val="clear" w:color="auto" w:fill="auto"/>
            <w:hideMark/>
          </w:tcPr>
          <w:p w14:paraId="2E23AEC6" w14:textId="1A64D114" w:rsidR="00741EFE" w:rsidRPr="0074475B" w:rsidRDefault="00741EFE" w:rsidP="00D76079">
            <w:pPr>
              <w:pStyle w:val="TableText"/>
              <w:rPr>
                <w:sz w:val="18"/>
                <w:szCs w:val="20"/>
                <w:lang w:eastAsia="en-AU"/>
              </w:rPr>
            </w:pPr>
            <w:r w:rsidRPr="0074475B">
              <w:rPr>
                <w:sz w:val="18"/>
                <w:szCs w:val="20"/>
              </w:rPr>
              <w:t>AUS-UTT-A</w:t>
            </w:r>
            <w:r w:rsidRPr="0074475B">
              <w:rPr>
                <w:sz w:val="18"/>
                <w:szCs w:val="20"/>
                <w:lang w:eastAsia="en-AU"/>
              </w:rPr>
              <w:t xml:space="preserve"> patients (</w:t>
            </w:r>
            <w:r w:rsidR="007E0EB4" w:rsidRPr="0074475B">
              <w:rPr>
                <w:sz w:val="18"/>
                <w:szCs w:val="20"/>
              </w:rPr>
              <w:t>N=24</w:t>
            </w:r>
            <w:r w:rsidRPr="0074475B">
              <w:rPr>
                <w:sz w:val="18"/>
                <w:szCs w:val="20"/>
                <w:lang w:eastAsia="en-AU"/>
              </w:rPr>
              <w:t>): graft survival, patient survival, AMR, delayed graft function</w:t>
            </w:r>
          </w:p>
          <w:p w14:paraId="29F4AA2A" w14:textId="4610CEB2" w:rsidR="00741EFE" w:rsidRPr="0074475B" w:rsidRDefault="00741EFE" w:rsidP="00D76079">
            <w:pPr>
              <w:pStyle w:val="TableText"/>
              <w:rPr>
                <w:sz w:val="18"/>
                <w:szCs w:val="20"/>
                <w:lang w:eastAsia="en-AU"/>
              </w:rPr>
            </w:pPr>
            <w:r w:rsidRPr="0074475B">
              <w:rPr>
                <w:sz w:val="18"/>
                <w:szCs w:val="20"/>
              </w:rPr>
              <w:t xml:space="preserve">AEs (N=54: </w:t>
            </w:r>
            <w:r w:rsidR="00F8612F">
              <w:rPr>
                <w:sz w:val="18"/>
                <w:szCs w:val="20"/>
              </w:rPr>
              <w:t>a</w:t>
            </w:r>
            <w:r w:rsidRPr="0074475B">
              <w:rPr>
                <w:sz w:val="18"/>
                <w:szCs w:val="20"/>
              </w:rPr>
              <w:t xml:space="preserve">ll </w:t>
            </w:r>
            <w:r w:rsidR="0092038D">
              <w:rPr>
                <w:sz w:val="18"/>
                <w:szCs w:val="20"/>
              </w:rPr>
              <w:t>patients who received</w:t>
            </w:r>
            <w:r w:rsidRPr="0074475B">
              <w:rPr>
                <w:sz w:val="18"/>
                <w:szCs w:val="20"/>
              </w:rPr>
              <w:t xml:space="preserve"> imlifidase)</w:t>
            </w:r>
          </w:p>
          <w:p w14:paraId="2A30C4A2" w14:textId="64C3999F" w:rsidR="00741EFE" w:rsidRPr="0074475B" w:rsidRDefault="00741EFE" w:rsidP="00D76079">
            <w:pPr>
              <w:pStyle w:val="TableText"/>
              <w:rPr>
                <w:sz w:val="18"/>
                <w:szCs w:val="20"/>
                <w:lang w:eastAsia="en-AU"/>
              </w:rPr>
            </w:pPr>
            <w:r w:rsidRPr="0074475B">
              <w:rPr>
                <w:sz w:val="18"/>
                <w:szCs w:val="20"/>
              </w:rPr>
              <w:t xml:space="preserve">Scenario analyses using </w:t>
            </w:r>
            <w:r w:rsidR="004E409A">
              <w:rPr>
                <w:sz w:val="18"/>
                <w:szCs w:val="20"/>
              </w:rPr>
              <w:t>all</w:t>
            </w:r>
            <w:r w:rsidR="008324BE">
              <w:rPr>
                <w:sz w:val="18"/>
                <w:szCs w:val="20"/>
              </w:rPr>
              <w:t>-</w:t>
            </w:r>
            <w:r w:rsidR="00FB3A41">
              <w:rPr>
                <w:sz w:val="18"/>
                <w:szCs w:val="20"/>
              </w:rPr>
              <w:t>i</w:t>
            </w:r>
            <w:r w:rsidR="004E409A">
              <w:rPr>
                <w:sz w:val="18"/>
                <w:szCs w:val="20"/>
              </w:rPr>
              <w:t xml:space="preserve">mlifidase treated patients who underwent a </w:t>
            </w:r>
            <w:r w:rsidRPr="0074475B">
              <w:rPr>
                <w:sz w:val="18"/>
                <w:szCs w:val="20"/>
              </w:rPr>
              <w:t>transplant (N=46)</w:t>
            </w:r>
          </w:p>
        </w:tc>
      </w:tr>
      <w:tr w:rsidR="00741EFE" w:rsidRPr="0074475B" w14:paraId="72826705" w14:textId="77777777" w:rsidTr="05E7FBDA">
        <w:trPr>
          <w:trHeight w:val="20"/>
        </w:trPr>
        <w:tc>
          <w:tcPr>
            <w:tcW w:w="736" w:type="pct"/>
            <w:vMerge/>
          </w:tcPr>
          <w:p w14:paraId="52F82ECC" w14:textId="77777777" w:rsidR="00741EFE" w:rsidRPr="0074475B" w:rsidRDefault="00741EFE" w:rsidP="00D76079">
            <w:pPr>
              <w:pStyle w:val="TableText"/>
              <w:rPr>
                <w:sz w:val="18"/>
                <w:szCs w:val="20"/>
              </w:rPr>
            </w:pPr>
          </w:p>
        </w:tc>
        <w:tc>
          <w:tcPr>
            <w:tcW w:w="238" w:type="pct"/>
            <w:vMerge/>
          </w:tcPr>
          <w:p w14:paraId="162829D2" w14:textId="23DF4CC7" w:rsidR="00741EFE" w:rsidRPr="0074475B" w:rsidRDefault="00741EFE" w:rsidP="00D76079">
            <w:pPr>
              <w:pStyle w:val="TableText"/>
              <w:rPr>
                <w:sz w:val="18"/>
                <w:szCs w:val="20"/>
              </w:rPr>
            </w:pPr>
          </w:p>
        </w:tc>
        <w:tc>
          <w:tcPr>
            <w:tcW w:w="964" w:type="pct"/>
            <w:tcBorders>
              <w:top w:val="nil"/>
              <w:bottom w:val="nil"/>
            </w:tcBorders>
            <w:shd w:val="clear" w:color="auto" w:fill="auto"/>
          </w:tcPr>
          <w:p w14:paraId="1DD90B5F" w14:textId="77777777" w:rsidR="00741EFE" w:rsidRPr="0074475B" w:rsidRDefault="00741EFE" w:rsidP="00D76079">
            <w:pPr>
              <w:pStyle w:val="TableText"/>
              <w:rPr>
                <w:sz w:val="18"/>
                <w:szCs w:val="20"/>
              </w:rPr>
            </w:pPr>
          </w:p>
        </w:tc>
        <w:tc>
          <w:tcPr>
            <w:tcW w:w="646" w:type="pct"/>
            <w:vMerge/>
          </w:tcPr>
          <w:p w14:paraId="5911A2A3" w14:textId="2A6C9513" w:rsidR="00741EFE" w:rsidRPr="0074475B" w:rsidRDefault="00741EFE" w:rsidP="00D76079">
            <w:pPr>
              <w:pStyle w:val="TableText"/>
              <w:rPr>
                <w:strike/>
                <w:sz w:val="18"/>
                <w:szCs w:val="20"/>
              </w:rPr>
            </w:pPr>
          </w:p>
        </w:tc>
        <w:tc>
          <w:tcPr>
            <w:tcW w:w="414" w:type="pct"/>
            <w:vMerge/>
          </w:tcPr>
          <w:p w14:paraId="149920D5" w14:textId="77777777" w:rsidR="00741EFE" w:rsidRPr="0074475B" w:rsidRDefault="00741EFE" w:rsidP="00D76079">
            <w:pPr>
              <w:pStyle w:val="TableText"/>
              <w:rPr>
                <w:sz w:val="18"/>
                <w:szCs w:val="20"/>
              </w:rPr>
            </w:pPr>
          </w:p>
        </w:tc>
        <w:tc>
          <w:tcPr>
            <w:tcW w:w="502" w:type="pct"/>
            <w:vMerge/>
          </w:tcPr>
          <w:p w14:paraId="518D4825" w14:textId="77777777" w:rsidR="00741EFE" w:rsidRPr="0074475B" w:rsidRDefault="00741EFE" w:rsidP="00D76079">
            <w:pPr>
              <w:pStyle w:val="TableText"/>
              <w:rPr>
                <w:sz w:val="18"/>
                <w:szCs w:val="20"/>
              </w:rPr>
            </w:pPr>
          </w:p>
        </w:tc>
        <w:tc>
          <w:tcPr>
            <w:tcW w:w="498" w:type="pct"/>
            <w:vMerge/>
          </w:tcPr>
          <w:p w14:paraId="34159932" w14:textId="77777777" w:rsidR="00741EFE" w:rsidRPr="0074475B" w:rsidRDefault="00741EFE" w:rsidP="00D76079">
            <w:pPr>
              <w:pStyle w:val="TableText"/>
              <w:rPr>
                <w:sz w:val="18"/>
                <w:szCs w:val="20"/>
              </w:rPr>
            </w:pPr>
          </w:p>
        </w:tc>
        <w:tc>
          <w:tcPr>
            <w:tcW w:w="1002" w:type="pct"/>
            <w:vMerge/>
          </w:tcPr>
          <w:p w14:paraId="3BA2E044" w14:textId="77777777" w:rsidR="00741EFE" w:rsidRPr="0074475B" w:rsidRDefault="00741EFE" w:rsidP="00D76079">
            <w:pPr>
              <w:pStyle w:val="TableText"/>
              <w:rPr>
                <w:sz w:val="18"/>
                <w:szCs w:val="20"/>
              </w:rPr>
            </w:pPr>
          </w:p>
        </w:tc>
      </w:tr>
      <w:tr w:rsidR="00B4428B" w:rsidRPr="0074475B" w14:paraId="7FC0F5DA" w14:textId="77777777" w:rsidTr="05E7FBDA">
        <w:trPr>
          <w:trHeight w:val="20"/>
        </w:trPr>
        <w:tc>
          <w:tcPr>
            <w:tcW w:w="736" w:type="pct"/>
            <w:vMerge/>
          </w:tcPr>
          <w:p w14:paraId="53ABC527" w14:textId="77777777" w:rsidR="00B4428B" w:rsidRPr="0074475B" w:rsidRDefault="00B4428B" w:rsidP="00D76079">
            <w:pPr>
              <w:pStyle w:val="TableText"/>
              <w:rPr>
                <w:sz w:val="18"/>
                <w:szCs w:val="20"/>
              </w:rPr>
            </w:pPr>
          </w:p>
        </w:tc>
        <w:tc>
          <w:tcPr>
            <w:tcW w:w="238" w:type="pct"/>
            <w:shd w:val="clear" w:color="auto" w:fill="auto"/>
          </w:tcPr>
          <w:p w14:paraId="7FB7495F" w14:textId="77777777" w:rsidR="00B4428B" w:rsidRPr="0074475B" w:rsidRDefault="00B4428B" w:rsidP="00D76079">
            <w:pPr>
              <w:pStyle w:val="TableText"/>
              <w:rPr>
                <w:sz w:val="18"/>
                <w:szCs w:val="20"/>
              </w:rPr>
            </w:pPr>
            <w:r w:rsidRPr="0074475B">
              <w:rPr>
                <w:sz w:val="18"/>
                <w:szCs w:val="20"/>
              </w:rPr>
              <w:t>46</w:t>
            </w:r>
          </w:p>
        </w:tc>
        <w:tc>
          <w:tcPr>
            <w:tcW w:w="964" w:type="pct"/>
            <w:tcBorders>
              <w:top w:val="nil"/>
            </w:tcBorders>
            <w:shd w:val="clear" w:color="auto" w:fill="auto"/>
          </w:tcPr>
          <w:p w14:paraId="3586CA68" w14:textId="77777777" w:rsidR="00B4428B" w:rsidRPr="0074475B" w:rsidRDefault="00B4428B" w:rsidP="00D76079">
            <w:pPr>
              <w:pStyle w:val="TableText"/>
              <w:rPr>
                <w:sz w:val="18"/>
                <w:szCs w:val="20"/>
              </w:rPr>
            </w:pPr>
          </w:p>
        </w:tc>
        <w:tc>
          <w:tcPr>
            <w:tcW w:w="646" w:type="pct"/>
            <w:shd w:val="clear" w:color="auto" w:fill="auto"/>
          </w:tcPr>
          <w:p w14:paraId="0F0FCC3B" w14:textId="3EE943E0" w:rsidR="00B4428B" w:rsidRPr="0074475B" w:rsidRDefault="00B4428B" w:rsidP="00D76079">
            <w:pPr>
              <w:pStyle w:val="TableText"/>
              <w:rPr>
                <w:sz w:val="18"/>
                <w:szCs w:val="20"/>
              </w:rPr>
            </w:pPr>
            <w:r w:rsidRPr="0074475B">
              <w:rPr>
                <w:sz w:val="18"/>
                <w:szCs w:val="20"/>
              </w:rPr>
              <w:t xml:space="preserve">All </w:t>
            </w:r>
            <w:r w:rsidR="00A348E2">
              <w:rPr>
                <w:sz w:val="18"/>
                <w:szCs w:val="20"/>
              </w:rPr>
              <w:t>i</w:t>
            </w:r>
            <w:r w:rsidRPr="0074475B">
              <w:rPr>
                <w:sz w:val="18"/>
                <w:szCs w:val="20"/>
              </w:rPr>
              <w:t>mlifidase</w:t>
            </w:r>
            <w:r w:rsidR="0092038D">
              <w:rPr>
                <w:sz w:val="18"/>
                <w:szCs w:val="20"/>
              </w:rPr>
              <w:t xml:space="preserve"> treated patients who underwent a transplant</w:t>
            </w:r>
          </w:p>
          <w:p w14:paraId="6C1A9BBE" w14:textId="15DDBD6C" w:rsidR="00B4428B" w:rsidRPr="0074475B" w:rsidRDefault="00B4428B" w:rsidP="00D76079">
            <w:pPr>
              <w:pStyle w:val="TableText"/>
              <w:rPr>
                <w:sz w:val="18"/>
                <w:szCs w:val="20"/>
              </w:rPr>
            </w:pPr>
          </w:p>
        </w:tc>
        <w:tc>
          <w:tcPr>
            <w:tcW w:w="414" w:type="pct"/>
            <w:vMerge/>
          </w:tcPr>
          <w:p w14:paraId="53D5BD96" w14:textId="77777777" w:rsidR="00B4428B" w:rsidRPr="0074475B" w:rsidRDefault="00B4428B" w:rsidP="00D76079">
            <w:pPr>
              <w:pStyle w:val="TableText"/>
              <w:rPr>
                <w:sz w:val="18"/>
                <w:szCs w:val="20"/>
              </w:rPr>
            </w:pPr>
          </w:p>
        </w:tc>
        <w:tc>
          <w:tcPr>
            <w:tcW w:w="502" w:type="pct"/>
            <w:vMerge/>
          </w:tcPr>
          <w:p w14:paraId="49D6FD2E" w14:textId="77777777" w:rsidR="00B4428B" w:rsidRPr="0074475B" w:rsidRDefault="00B4428B" w:rsidP="00D76079">
            <w:pPr>
              <w:pStyle w:val="TableText"/>
              <w:rPr>
                <w:sz w:val="18"/>
                <w:szCs w:val="20"/>
              </w:rPr>
            </w:pPr>
          </w:p>
        </w:tc>
        <w:tc>
          <w:tcPr>
            <w:tcW w:w="498" w:type="pct"/>
            <w:vMerge/>
          </w:tcPr>
          <w:p w14:paraId="57BBB7CF" w14:textId="77777777" w:rsidR="00B4428B" w:rsidRPr="0074475B" w:rsidRDefault="00B4428B" w:rsidP="00D76079">
            <w:pPr>
              <w:pStyle w:val="TableText"/>
              <w:rPr>
                <w:sz w:val="18"/>
                <w:szCs w:val="20"/>
              </w:rPr>
            </w:pPr>
          </w:p>
        </w:tc>
        <w:tc>
          <w:tcPr>
            <w:tcW w:w="1002" w:type="pct"/>
            <w:vMerge/>
          </w:tcPr>
          <w:p w14:paraId="578761D4" w14:textId="77777777" w:rsidR="00B4428B" w:rsidRPr="0074475B" w:rsidRDefault="00B4428B" w:rsidP="00D76079">
            <w:pPr>
              <w:pStyle w:val="TableText"/>
              <w:rPr>
                <w:sz w:val="18"/>
                <w:szCs w:val="20"/>
              </w:rPr>
            </w:pPr>
          </w:p>
        </w:tc>
      </w:tr>
      <w:tr w:rsidR="00B4428B" w:rsidRPr="0074475B" w14:paraId="4F6862F5" w14:textId="77777777" w:rsidTr="00D76079">
        <w:trPr>
          <w:trHeight w:val="20"/>
        </w:trPr>
        <w:tc>
          <w:tcPr>
            <w:tcW w:w="5000" w:type="pct"/>
            <w:gridSpan w:val="8"/>
            <w:shd w:val="clear" w:color="auto" w:fill="auto"/>
          </w:tcPr>
          <w:p w14:paraId="28A4A55B" w14:textId="76B891ED" w:rsidR="00B4428B" w:rsidRPr="0074475B" w:rsidRDefault="00B4428B" w:rsidP="00D76079">
            <w:pPr>
              <w:pStyle w:val="TableText"/>
              <w:rPr>
                <w:b/>
                <w:sz w:val="18"/>
                <w:szCs w:val="20"/>
              </w:rPr>
            </w:pPr>
            <w:r w:rsidRPr="0074475B">
              <w:rPr>
                <w:b/>
                <w:sz w:val="18"/>
                <w:szCs w:val="20"/>
              </w:rPr>
              <w:t xml:space="preserve">Comparator </w:t>
            </w:r>
            <w:r w:rsidR="00B039F8">
              <w:rPr>
                <w:b/>
                <w:sz w:val="18"/>
                <w:szCs w:val="20"/>
              </w:rPr>
              <w:t>a</w:t>
            </w:r>
            <w:r w:rsidRPr="0074475B">
              <w:rPr>
                <w:b/>
                <w:sz w:val="18"/>
                <w:szCs w:val="20"/>
              </w:rPr>
              <w:t>rm</w:t>
            </w:r>
          </w:p>
        </w:tc>
      </w:tr>
      <w:tr w:rsidR="00B4428B" w:rsidRPr="0074475B" w14:paraId="04CDE276" w14:textId="77777777" w:rsidTr="002C4FF3">
        <w:trPr>
          <w:trHeight w:val="20"/>
        </w:trPr>
        <w:tc>
          <w:tcPr>
            <w:tcW w:w="736" w:type="pct"/>
            <w:shd w:val="clear" w:color="auto" w:fill="auto"/>
          </w:tcPr>
          <w:p w14:paraId="72A9351B" w14:textId="21C32C0F" w:rsidR="00B4428B" w:rsidRPr="0074475B" w:rsidRDefault="00B4428B" w:rsidP="00D76079">
            <w:pPr>
              <w:pStyle w:val="TableText"/>
              <w:rPr>
                <w:sz w:val="18"/>
                <w:szCs w:val="20"/>
              </w:rPr>
            </w:pPr>
            <w:r w:rsidRPr="0074475B">
              <w:rPr>
                <w:sz w:val="18"/>
                <w:szCs w:val="20"/>
              </w:rPr>
              <w:t xml:space="preserve">Current </w:t>
            </w:r>
            <w:r w:rsidR="00822646">
              <w:rPr>
                <w:sz w:val="18"/>
                <w:szCs w:val="20"/>
              </w:rPr>
              <w:t>c</w:t>
            </w:r>
            <w:r w:rsidRPr="0074475B">
              <w:rPr>
                <w:sz w:val="18"/>
                <w:szCs w:val="20"/>
              </w:rPr>
              <w:t>are</w:t>
            </w:r>
          </w:p>
          <w:p w14:paraId="1A8A0901" w14:textId="77777777" w:rsidR="00DA7BEC" w:rsidRPr="0074475B" w:rsidRDefault="00DA7BEC" w:rsidP="00D76079">
            <w:pPr>
              <w:pStyle w:val="TableText"/>
              <w:rPr>
                <w:sz w:val="18"/>
                <w:szCs w:val="20"/>
              </w:rPr>
            </w:pPr>
          </w:p>
          <w:p w14:paraId="6EE5710E" w14:textId="77777777" w:rsidR="00ED164F" w:rsidRPr="0074475B" w:rsidRDefault="00ED164F" w:rsidP="00D76079">
            <w:pPr>
              <w:pStyle w:val="TableText"/>
              <w:rPr>
                <w:sz w:val="18"/>
                <w:szCs w:val="20"/>
              </w:rPr>
            </w:pPr>
          </w:p>
          <w:p w14:paraId="741F538F" w14:textId="19973D69" w:rsidR="00B4428B" w:rsidRPr="0074475B" w:rsidRDefault="00B4428B" w:rsidP="00D76079">
            <w:pPr>
              <w:pStyle w:val="TableText"/>
              <w:rPr>
                <w:sz w:val="18"/>
                <w:szCs w:val="20"/>
              </w:rPr>
            </w:pPr>
            <w:r w:rsidRPr="0074475B">
              <w:rPr>
                <w:sz w:val="18"/>
                <w:szCs w:val="20"/>
              </w:rPr>
              <w:t>For the small percent</w:t>
            </w:r>
            <w:r w:rsidR="005F0154">
              <w:rPr>
                <w:sz w:val="18"/>
                <w:szCs w:val="20"/>
              </w:rPr>
              <w:t>age</w:t>
            </w:r>
            <w:r w:rsidRPr="0074475B">
              <w:rPr>
                <w:sz w:val="18"/>
                <w:szCs w:val="20"/>
              </w:rPr>
              <w:t xml:space="preserve"> of patients receiving a delayed transplant, imlifidase transplant-enabled outcomes are utilised.</w:t>
            </w:r>
          </w:p>
        </w:tc>
        <w:tc>
          <w:tcPr>
            <w:tcW w:w="238" w:type="pct"/>
            <w:shd w:val="clear" w:color="auto" w:fill="auto"/>
          </w:tcPr>
          <w:p w14:paraId="70D59D77" w14:textId="77777777" w:rsidR="00B4428B" w:rsidRPr="0074475B" w:rsidRDefault="00B4428B" w:rsidP="00D76079">
            <w:pPr>
              <w:pStyle w:val="TableText"/>
              <w:rPr>
                <w:sz w:val="18"/>
                <w:szCs w:val="20"/>
              </w:rPr>
            </w:pPr>
            <w:r w:rsidRPr="0074475B">
              <w:rPr>
                <w:sz w:val="18"/>
                <w:szCs w:val="20"/>
              </w:rPr>
              <w:t>135</w:t>
            </w:r>
          </w:p>
          <w:p w14:paraId="4E06DCA2" w14:textId="77777777" w:rsidR="00B4428B" w:rsidRPr="0074475B" w:rsidRDefault="00B4428B" w:rsidP="00D76079">
            <w:pPr>
              <w:pStyle w:val="TableText"/>
              <w:rPr>
                <w:strike/>
                <w:sz w:val="18"/>
                <w:szCs w:val="20"/>
              </w:rPr>
            </w:pPr>
          </w:p>
          <w:p w14:paraId="33AD847D" w14:textId="77777777" w:rsidR="00ED164F" w:rsidRPr="0074475B" w:rsidRDefault="00ED164F" w:rsidP="00D76079">
            <w:pPr>
              <w:pStyle w:val="TableText"/>
              <w:rPr>
                <w:strike/>
                <w:sz w:val="18"/>
                <w:szCs w:val="20"/>
              </w:rPr>
            </w:pPr>
          </w:p>
          <w:p w14:paraId="784B1D2C" w14:textId="0D352163" w:rsidR="00B4428B" w:rsidRPr="0074475B" w:rsidRDefault="00B4428B" w:rsidP="00D76079">
            <w:pPr>
              <w:pStyle w:val="TableText"/>
              <w:rPr>
                <w:sz w:val="18"/>
                <w:szCs w:val="20"/>
              </w:rPr>
            </w:pPr>
            <w:r w:rsidRPr="0074475B">
              <w:rPr>
                <w:sz w:val="18"/>
                <w:szCs w:val="20"/>
              </w:rPr>
              <w:t>24</w:t>
            </w:r>
          </w:p>
          <w:p w14:paraId="74AB1785" w14:textId="77777777" w:rsidR="00B4428B" w:rsidRPr="0074475B" w:rsidRDefault="00B4428B" w:rsidP="00D76079">
            <w:pPr>
              <w:pStyle w:val="TableText"/>
              <w:rPr>
                <w:sz w:val="18"/>
                <w:szCs w:val="20"/>
              </w:rPr>
            </w:pPr>
          </w:p>
        </w:tc>
        <w:tc>
          <w:tcPr>
            <w:tcW w:w="964" w:type="pct"/>
            <w:shd w:val="clear" w:color="auto" w:fill="auto"/>
          </w:tcPr>
          <w:p w14:paraId="62B230F1" w14:textId="577DF1C5" w:rsidR="00B4428B" w:rsidRPr="0074475B" w:rsidRDefault="00B4428B" w:rsidP="00D76079">
            <w:pPr>
              <w:pStyle w:val="TableText"/>
              <w:rPr>
                <w:sz w:val="18"/>
                <w:szCs w:val="20"/>
              </w:rPr>
            </w:pPr>
            <w:r w:rsidRPr="0074475B">
              <w:rPr>
                <w:sz w:val="18"/>
                <w:szCs w:val="20"/>
              </w:rPr>
              <w:t>TSANZ database</w:t>
            </w:r>
          </w:p>
          <w:p w14:paraId="690C6F7B" w14:textId="15B106DC" w:rsidR="00B4428B" w:rsidRPr="0074475B" w:rsidRDefault="00B4428B" w:rsidP="00D76079">
            <w:pPr>
              <w:pStyle w:val="TableText"/>
              <w:rPr>
                <w:sz w:val="18"/>
                <w:szCs w:val="20"/>
              </w:rPr>
            </w:pPr>
            <w:r w:rsidRPr="0074475B">
              <w:rPr>
                <w:sz w:val="18"/>
                <w:szCs w:val="20"/>
              </w:rPr>
              <w:t>Low risk of bias (single arms)</w:t>
            </w:r>
          </w:p>
          <w:p w14:paraId="76F42422" w14:textId="77777777" w:rsidR="00ED164F" w:rsidRPr="0074475B" w:rsidRDefault="00ED164F" w:rsidP="00D76079">
            <w:pPr>
              <w:pStyle w:val="TableText"/>
              <w:rPr>
                <w:sz w:val="18"/>
                <w:szCs w:val="20"/>
              </w:rPr>
            </w:pPr>
          </w:p>
          <w:p w14:paraId="1D1DAB09" w14:textId="4145B135" w:rsidR="00B4428B" w:rsidRPr="0074475B" w:rsidRDefault="00B4428B" w:rsidP="00D76079">
            <w:pPr>
              <w:pStyle w:val="TableText"/>
              <w:rPr>
                <w:sz w:val="18"/>
                <w:szCs w:val="20"/>
              </w:rPr>
            </w:pPr>
            <w:r w:rsidRPr="0074475B">
              <w:rPr>
                <w:sz w:val="18"/>
                <w:szCs w:val="20"/>
              </w:rPr>
              <w:t>Single</w:t>
            </w:r>
            <w:r w:rsidR="009F2882">
              <w:rPr>
                <w:sz w:val="18"/>
                <w:szCs w:val="20"/>
              </w:rPr>
              <w:t>-</w:t>
            </w:r>
            <w:r w:rsidRPr="0074475B">
              <w:rPr>
                <w:sz w:val="18"/>
                <w:szCs w:val="20"/>
              </w:rPr>
              <w:t xml:space="preserve">arm, prospective </w:t>
            </w:r>
            <w:r w:rsidR="004F423D">
              <w:rPr>
                <w:sz w:val="18"/>
                <w:szCs w:val="20"/>
              </w:rPr>
              <w:t>p</w:t>
            </w:r>
            <w:r w:rsidRPr="0074475B">
              <w:rPr>
                <w:sz w:val="18"/>
                <w:szCs w:val="20"/>
              </w:rPr>
              <w:t xml:space="preserve">hase </w:t>
            </w:r>
            <w:r w:rsidR="00DA7BEC" w:rsidRPr="0074475B">
              <w:rPr>
                <w:sz w:val="18"/>
                <w:szCs w:val="20"/>
              </w:rPr>
              <w:t>II</w:t>
            </w:r>
            <w:r w:rsidRPr="0074475B">
              <w:rPr>
                <w:sz w:val="18"/>
                <w:szCs w:val="20"/>
              </w:rPr>
              <w:t xml:space="preserve"> trials</w:t>
            </w:r>
          </w:p>
          <w:p w14:paraId="16373A95" w14:textId="29AC20F0" w:rsidR="00B4428B" w:rsidRPr="0074475B" w:rsidRDefault="00B4428B" w:rsidP="00D76079">
            <w:pPr>
              <w:pStyle w:val="TableText"/>
              <w:rPr>
                <w:sz w:val="18"/>
                <w:szCs w:val="20"/>
              </w:rPr>
            </w:pPr>
            <w:r w:rsidRPr="0074475B">
              <w:rPr>
                <w:sz w:val="18"/>
                <w:szCs w:val="20"/>
              </w:rPr>
              <w:t>Data combined to include all patients in the population</w:t>
            </w:r>
          </w:p>
          <w:p w14:paraId="5FCF3673" w14:textId="1726CAFF" w:rsidR="00B4428B" w:rsidRPr="0074475B" w:rsidRDefault="00B4428B" w:rsidP="00D76079">
            <w:pPr>
              <w:pStyle w:val="TableText"/>
              <w:rPr>
                <w:sz w:val="18"/>
                <w:szCs w:val="20"/>
              </w:rPr>
            </w:pPr>
            <w:r w:rsidRPr="0074475B">
              <w:rPr>
                <w:sz w:val="18"/>
                <w:szCs w:val="20"/>
              </w:rPr>
              <w:t>Low-moderate risk of bias (single arms)</w:t>
            </w:r>
          </w:p>
        </w:tc>
        <w:tc>
          <w:tcPr>
            <w:tcW w:w="646" w:type="pct"/>
            <w:shd w:val="clear" w:color="auto" w:fill="auto"/>
          </w:tcPr>
          <w:p w14:paraId="2B68CF31" w14:textId="4B785321" w:rsidR="00B4428B" w:rsidRPr="0074475B" w:rsidRDefault="00B4428B" w:rsidP="00D76079">
            <w:pPr>
              <w:pStyle w:val="TableText"/>
              <w:rPr>
                <w:sz w:val="18"/>
                <w:szCs w:val="20"/>
              </w:rPr>
            </w:pPr>
            <w:r w:rsidRPr="0074475B">
              <w:rPr>
                <w:sz w:val="18"/>
                <w:szCs w:val="20"/>
              </w:rPr>
              <w:t xml:space="preserve">Australian HS patients on DD </w:t>
            </w:r>
            <w:r w:rsidR="004A2E3F">
              <w:rPr>
                <w:sz w:val="18"/>
                <w:szCs w:val="20"/>
              </w:rPr>
              <w:t>waitlist</w:t>
            </w:r>
            <w:r w:rsidRPr="0074475B">
              <w:rPr>
                <w:sz w:val="18"/>
                <w:szCs w:val="20"/>
              </w:rPr>
              <w:t xml:space="preserve"> cPRA ≥99% and patients on dialysis (± delayed transplant)</w:t>
            </w:r>
          </w:p>
          <w:p w14:paraId="6EE1567A" w14:textId="77777777" w:rsidR="00B4428B" w:rsidRPr="0074475B" w:rsidRDefault="00B4428B" w:rsidP="00D76079">
            <w:pPr>
              <w:pStyle w:val="TableText"/>
              <w:rPr>
                <w:sz w:val="18"/>
                <w:szCs w:val="20"/>
              </w:rPr>
            </w:pPr>
            <w:r w:rsidRPr="0074475B">
              <w:rPr>
                <w:sz w:val="18"/>
                <w:szCs w:val="20"/>
              </w:rPr>
              <w:t> </w:t>
            </w:r>
          </w:p>
        </w:tc>
        <w:tc>
          <w:tcPr>
            <w:tcW w:w="414" w:type="pct"/>
            <w:shd w:val="clear" w:color="auto" w:fill="auto"/>
          </w:tcPr>
          <w:p w14:paraId="4B0BFC5A" w14:textId="08171EBA" w:rsidR="00B4428B" w:rsidRPr="0074475B" w:rsidRDefault="003E2F12" w:rsidP="00D76079">
            <w:pPr>
              <w:pStyle w:val="TableText"/>
              <w:rPr>
                <w:sz w:val="18"/>
                <w:szCs w:val="20"/>
              </w:rPr>
            </w:pPr>
            <w:r>
              <w:rPr>
                <w:sz w:val="18"/>
                <w:szCs w:val="20"/>
                <w:lang w:eastAsia="en-AU"/>
              </w:rPr>
              <w:t>-</w:t>
            </w:r>
          </w:p>
        </w:tc>
        <w:tc>
          <w:tcPr>
            <w:tcW w:w="502" w:type="pct"/>
            <w:shd w:val="clear" w:color="auto" w:fill="auto"/>
          </w:tcPr>
          <w:p w14:paraId="25DCDDBE" w14:textId="40A8E7D5" w:rsidR="00B4428B" w:rsidRPr="0074475B" w:rsidRDefault="00B4428B" w:rsidP="00D76079">
            <w:pPr>
              <w:pStyle w:val="TableText"/>
              <w:rPr>
                <w:sz w:val="18"/>
                <w:szCs w:val="20"/>
              </w:rPr>
            </w:pPr>
            <w:r w:rsidRPr="0074475B">
              <w:rPr>
                <w:sz w:val="18"/>
                <w:szCs w:val="20"/>
              </w:rPr>
              <w:t>Remain on dialysis</w:t>
            </w:r>
          </w:p>
          <w:p w14:paraId="49BD9AD9" w14:textId="5100B0A8" w:rsidR="00ED164F" w:rsidRPr="0074475B" w:rsidRDefault="00B4428B" w:rsidP="00D76079">
            <w:pPr>
              <w:pStyle w:val="TableText"/>
              <w:rPr>
                <w:sz w:val="18"/>
                <w:szCs w:val="20"/>
              </w:rPr>
            </w:pPr>
            <w:r w:rsidRPr="0074475B">
              <w:rPr>
                <w:sz w:val="18"/>
                <w:szCs w:val="20"/>
              </w:rPr>
              <w:t>OR</w:t>
            </w:r>
          </w:p>
          <w:p w14:paraId="431E1670" w14:textId="2AD2BA2F" w:rsidR="00B4428B" w:rsidRPr="0074475B" w:rsidRDefault="00B4428B" w:rsidP="00D76079">
            <w:pPr>
              <w:pStyle w:val="TableText"/>
              <w:rPr>
                <w:sz w:val="18"/>
                <w:szCs w:val="20"/>
              </w:rPr>
            </w:pPr>
            <w:r w:rsidRPr="0074475B">
              <w:rPr>
                <w:sz w:val="18"/>
                <w:szCs w:val="20"/>
              </w:rPr>
              <w:t>Remain on dialysis with a delayed transplant</w:t>
            </w:r>
          </w:p>
        </w:tc>
        <w:tc>
          <w:tcPr>
            <w:tcW w:w="498" w:type="pct"/>
            <w:shd w:val="clear" w:color="auto" w:fill="auto"/>
          </w:tcPr>
          <w:p w14:paraId="744FA34C" w14:textId="77777777" w:rsidR="00B4428B" w:rsidRPr="0074475B" w:rsidRDefault="00B4428B" w:rsidP="00D76079">
            <w:pPr>
              <w:pStyle w:val="TableText"/>
              <w:rPr>
                <w:sz w:val="18"/>
                <w:szCs w:val="20"/>
              </w:rPr>
            </w:pPr>
            <w:r w:rsidRPr="0074475B">
              <w:rPr>
                <w:sz w:val="18"/>
                <w:szCs w:val="20"/>
              </w:rPr>
              <w:t>Patient survival</w:t>
            </w:r>
          </w:p>
          <w:p w14:paraId="2E3887EE" w14:textId="77777777" w:rsidR="00B4428B" w:rsidRPr="0074475B" w:rsidRDefault="00B4428B" w:rsidP="00D76079">
            <w:pPr>
              <w:pStyle w:val="TableText"/>
              <w:rPr>
                <w:sz w:val="18"/>
                <w:szCs w:val="20"/>
              </w:rPr>
            </w:pPr>
            <w:r w:rsidRPr="0074475B">
              <w:rPr>
                <w:sz w:val="18"/>
                <w:szCs w:val="20"/>
              </w:rPr>
              <w:t>Graft survival</w:t>
            </w:r>
          </w:p>
          <w:p w14:paraId="49C38FE6" w14:textId="77777777" w:rsidR="00B4428B" w:rsidRPr="0074475B" w:rsidRDefault="00B4428B" w:rsidP="00D76079">
            <w:pPr>
              <w:pStyle w:val="TableText"/>
              <w:rPr>
                <w:sz w:val="18"/>
                <w:szCs w:val="20"/>
              </w:rPr>
            </w:pPr>
            <w:r w:rsidRPr="0074475B">
              <w:rPr>
                <w:sz w:val="18"/>
                <w:szCs w:val="20"/>
              </w:rPr>
              <w:t>AEs </w:t>
            </w:r>
          </w:p>
        </w:tc>
        <w:tc>
          <w:tcPr>
            <w:tcW w:w="1002" w:type="pct"/>
            <w:shd w:val="clear" w:color="auto" w:fill="auto"/>
          </w:tcPr>
          <w:p w14:paraId="6E744D9B" w14:textId="713D74D0" w:rsidR="00B4428B" w:rsidRPr="0074475B" w:rsidRDefault="00B4428B" w:rsidP="00D76079">
            <w:pPr>
              <w:pStyle w:val="TableText"/>
              <w:rPr>
                <w:sz w:val="18"/>
                <w:szCs w:val="20"/>
              </w:rPr>
            </w:pPr>
            <w:r w:rsidRPr="0074475B">
              <w:rPr>
                <w:sz w:val="18"/>
                <w:szCs w:val="20"/>
              </w:rPr>
              <w:t>TSANZ data 46</w:t>
            </w:r>
            <w:r w:rsidRPr="00527717">
              <w:rPr>
                <w:sz w:val="18"/>
                <w:szCs w:val="20"/>
              </w:rPr>
              <w:t>th</w:t>
            </w:r>
            <w:r w:rsidRPr="0074475B">
              <w:rPr>
                <w:sz w:val="18"/>
                <w:szCs w:val="20"/>
              </w:rPr>
              <w:t xml:space="preserve"> </w:t>
            </w:r>
            <w:r w:rsidR="00302DE0" w:rsidRPr="0074475B">
              <w:rPr>
                <w:sz w:val="18"/>
                <w:szCs w:val="20"/>
              </w:rPr>
              <w:t>Annual Report</w:t>
            </w:r>
            <w:r w:rsidRPr="0074475B">
              <w:rPr>
                <w:sz w:val="18"/>
                <w:szCs w:val="20"/>
              </w:rPr>
              <w:t xml:space="preserve"> (dialysis mortality 2022</w:t>
            </w:r>
            <w:r w:rsidR="00804027">
              <w:rPr>
                <w:sz w:val="18"/>
                <w:szCs w:val="20"/>
              </w:rPr>
              <w:t>–</w:t>
            </w:r>
            <w:r w:rsidR="00A277A4">
              <w:rPr>
                <w:sz w:val="18"/>
                <w:szCs w:val="20"/>
              </w:rPr>
              <w:t>20</w:t>
            </w:r>
            <w:r w:rsidRPr="0074475B">
              <w:rPr>
                <w:sz w:val="18"/>
                <w:szCs w:val="20"/>
              </w:rPr>
              <w:t>23)</w:t>
            </w:r>
          </w:p>
          <w:p w14:paraId="7ED23874" w14:textId="5DB7444D" w:rsidR="00B4428B" w:rsidRPr="0074475B" w:rsidRDefault="00B4428B" w:rsidP="00D76079">
            <w:pPr>
              <w:pStyle w:val="TableText"/>
              <w:rPr>
                <w:sz w:val="18"/>
                <w:szCs w:val="20"/>
              </w:rPr>
            </w:pPr>
            <w:r w:rsidRPr="0074475B">
              <w:rPr>
                <w:sz w:val="18"/>
                <w:szCs w:val="20"/>
              </w:rPr>
              <w:t>Patient survival by age.</w:t>
            </w:r>
          </w:p>
          <w:p w14:paraId="61CCB1CD" w14:textId="5AC417CF" w:rsidR="00B4428B" w:rsidRPr="0074475B" w:rsidRDefault="00B4428B" w:rsidP="00D76079">
            <w:pPr>
              <w:pStyle w:val="TableText"/>
              <w:rPr>
                <w:sz w:val="18"/>
                <w:szCs w:val="20"/>
              </w:rPr>
            </w:pPr>
            <w:r w:rsidRPr="0074475B">
              <w:rPr>
                <w:sz w:val="18"/>
                <w:szCs w:val="20"/>
              </w:rPr>
              <w:t>Combined imlifidase study data</w:t>
            </w:r>
          </w:p>
        </w:tc>
      </w:tr>
    </w:tbl>
    <w:p w14:paraId="7F02C0B9" w14:textId="20211ABD" w:rsidR="00A55DEA" w:rsidRPr="00044A9F" w:rsidRDefault="00A55DEA" w:rsidP="0033037C">
      <w:pPr>
        <w:pStyle w:val="Tablenotes"/>
        <w:numPr>
          <w:ilvl w:val="0"/>
          <w:numId w:val="24"/>
        </w:numPr>
        <w:rPr>
          <w:bCs/>
          <w:sz w:val="16"/>
          <w:szCs w:val="18"/>
          <w:u w:val="single"/>
        </w:rPr>
      </w:pPr>
      <w:r w:rsidRPr="00044A9F">
        <w:rPr>
          <w:bCs/>
          <w:lang w:eastAsia="en-AU"/>
        </w:rPr>
        <w:t xml:space="preserve">Note that the risk of bias as assessed in the table is risk of bias assessed in the ADAR. The Commentary’s assessment is provided </w:t>
      </w:r>
      <w:r w:rsidR="00444A6A" w:rsidRPr="00044A9F">
        <w:rPr>
          <w:bCs/>
          <w:lang w:eastAsia="en-AU"/>
        </w:rPr>
        <w:t>under the Clinical Claim subheading in Section 9</w:t>
      </w:r>
    </w:p>
    <w:p w14:paraId="7875DC2A" w14:textId="43A729FE" w:rsidR="00494B12" w:rsidRPr="00527717" w:rsidRDefault="00494B12" w:rsidP="001F6DA8">
      <w:pPr>
        <w:pStyle w:val="Tablenotes"/>
        <w:rPr>
          <w:b/>
          <w:bCs/>
          <w:sz w:val="16"/>
          <w:szCs w:val="18"/>
          <w:u w:val="single"/>
        </w:rPr>
      </w:pPr>
      <w:r w:rsidRPr="00527717">
        <w:rPr>
          <w:b/>
          <w:bCs/>
          <w:sz w:val="16"/>
          <w:szCs w:val="18"/>
          <w:u w:val="single"/>
        </w:rPr>
        <w:t>Abbreviations</w:t>
      </w:r>
    </w:p>
    <w:p w14:paraId="0EF2DE64" w14:textId="3E2D5B59" w:rsidR="009E314E" w:rsidRPr="0074475B" w:rsidRDefault="00701256" w:rsidP="001F6DA8">
      <w:pPr>
        <w:pStyle w:val="Tablenotes"/>
        <w:rPr>
          <w:sz w:val="16"/>
          <w:szCs w:val="18"/>
        </w:rPr>
      </w:pPr>
      <w:r>
        <w:rPr>
          <w:sz w:val="16"/>
          <w:szCs w:val="18"/>
        </w:rPr>
        <w:t>AEs = adverse events</w:t>
      </w:r>
      <w:r w:rsidR="00787987">
        <w:rPr>
          <w:sz w:val="16"/>
          <w:szCs w:val="18"/>
        </w:rPr>
        <w:t>,</w:t>
      </w:r>
      <w:r>
        <w:rPr>
          <w:sz w:val="16"/>
          <w:szCs w:val="18"/>
        </w:rPr>
        <w:t xml:space="preserve"> </w:t>
      </w:r>
      <w:r w:rsidR="00B4428B" w:rsidRPr="0074475B">
        <w:rPr>
          <w:sz w:val="16"/>
          <w:szCs w:val="18"/>
        </w:rPr>
        <w:t>AMR</w:t>
      </w:r>
      <w:r w:rsidR="00A21B94" w:rsidRPr="0074475B">
        <w:rPr>
          <w:sz w:val="16"/>
          <w:szCs w:val="18"/>
        </w:rPr>
        <w:t xml:space="preserve"> = </w:t>
      </w:r>
      <w:r w:rsidR="00B4428B" w:rsidRPr="0074475B">
        <w:rPr>
          <w:sz w:val="16"/>
          <w:szCs w:val="18"/>
        </w:rPr>
        <w:t>antibody</w:t>
      </w:r>
      <w:r w:rsidR="00494B12">
        <w:rPr>
          <w:sz w:val="16"/>
          <w:szCs w:val="18"/>
        </w:rPr>
        <w:t>-</w:t>
      </w:r>
      <w:r w:rsidR="00B4428B" w:rsidRPr="0074475B">
        <w:rPr>
          <w:sz w:val="16"/>
          <w:szCs w:val="18"/>
        </w:rPr>
        <w:t>mediated rejection</w:t>
      </w:r>
      <w:r w:rsidR="00787987">
        <w:rPr>
          <w:sz w:val="16"/>
          <w:szCs w:val="18"/>
        </w:rPr>
        <w:t>,</w:t>
      </w:r>
      <w:r w:rsidR="00B4428B" w:rsidRPr="0074475B">
        <w:rPr>
          <w:sz w:val="16"/>
          <w:szCs w:val="18"/>
        </w:rPr>
        <w:t xml:space="preserve"> </w:t>
      </w:r>
      <w:r w:rsidR="00A21B94" w:rsidRPr="0074475B">
        <w:rPr>
          <w:sz w:val="16"/>
          <w:szCs w:val="18"/>
        </w:rPr>
        <w:t xml:space="preserve">AUS-UTT-A = Australia – </w:t>
      </w:r>
      <w:r w:rsidR="00494B12">
        <w:rPr>
          <w:sz w:val="16"/>
          <w:szCs w:val="18"/>
        </w:rPr>
        <w:t>u</w:t>
      </w:r>
      <w:r w:rsidR="00A21B94" w:rsidRPr="0074475B">
        <w:rPr>
          <w:sz w:val="16"/>
          <w:szCs w:val="18"/>
        </w:rPr>
        <w:t xml:space="preserve">nlikely to </w:t>
      </w:r>
      <w:r w:rsidR="00494B12">
        <w:rPr>
          <w:sz w:val="16"/>
          <w:szCs w:val="18"/>
        </w:rPr>
        <w:t>t</w:t>
      </w:r>
      <w:r w:rsidR="00A21B94" w:rsidRPr="0074475B">
        <w:rPr>
          <w:sz w:val="16"/>
          <w:szCs w:val="18"/>
        </w:rPr>
        <w:t xml:space="preserve">ransplant – </w:t>
      </w:r>
      <w:r w:rsidR="00494B12">
        <w:rPr>
          <w:sz w:val="16"/>
          <w:szCs w:val="18"/>
        </w:rPr>
        <w:t>a</w:t>
      </w:r>
      <w:r w:rsidR="00A21B94" w:rsidRPr="0074475B">
        <w:rPr>
          <w:sz w:val="16"/>
          <w:szCs w:val="18"/>
        </w:rPr>
        <w:t xml:space="preserve">gnostic (includes deceased and living donor transplants), </w:t>
      </w:r>
      <w:r w:rsidR="0092038D">
        <w:rPr>
          <w:sz w:val="16"/>
          <w:szCs w:val="18"/>
        </w:rPr>
        <w:t>CKD = chronic kidney disease</w:t>
      </w:r>
      <w:r w:rsidR="00787987">
        <w:rPr>
          <w:sz w:val="16"/>
          <w:szCs w:val="18"/>
        </w:rPr>
        <w:t>,</w:t>
      </w:r>
      <w:r w:rsidR="00A21B94" w:rsidRPr="0074475B">
        <w:rPr>
          <w:sz w:val="16"/>
          <w:szCs w:val="18"/>
        </w:rPr>
        <w:t xml:space="preserve"> </w:t>
      </w:r>
      <w:r w:rsidR="00302DE0" w:rsidRPr="0074475B">
        <w:rPr>
          <w:sz w:val="16"/>
          <w:szCs w:val="18"/>
        </w:rPr>
        <w:t xml:space="preserve">cPRA = calculated </w:t>
      </w:r>
      <w:r w:rsidR="008F11C9">
        <w:rPr>
          <w:sz w:val="16"/>
          <w:szCs w:val="18"/>
        </w:rPr>
        <w:t>p</w:t>
      </w:r>
      <w:r w:rsidR="00302DE0" w:rsidRPr="0074475B">
        <w:rPr>
          <w:sz w:val="16"/>
          <w:szCs w:val="18"/>
        </w:rPr>
        <w:t xml:space="preserve">anel </w:t>
      </w:r>
      <w:r w:rsidR="008F11C9">
        <w:rPr>
          <w:sz w:val="16"/>
          <w:szCs w:val="18"/>
        </w:rPr>
        <w:t>r</w:t>
      </w:r>
      <w:r w:rsidR="00302DE0" w:rsidRPr="0074475B">
        <w:rPr>
          <w:sz w:val="16"/>
          <w:szCs w:val="18"/>
        </w:rPr>
        <w:t xml:space="preserve">eactive </w:t>
      </w:r>
      <w:r w:rsidR="008F11C9">
        <w:rPr>
          <w:sz w:val="16"/>
          <w:szCs w:val="18"/>
        </w:rPr>
        <w:t>a</w:t>
      </w:r>
      <w:r w:rsidR="00302DE0" w:rsidRPr="0074475B">
        <w:rPr>
          <w:sz w:val="16"/>
          <w:szCs w:val="18"/>
        </w:rPr>
        <w:t xml:space="preserve">ntibody, </w:t>
      </w:r>
      <w:r w:rsidR="00B4428B" w:rsidRPr="0074475B">
        <w:rPr>
          <w:sz w:val="16"/>
          <w:szCs w:val="18"/>
        </w:rPr>
        <w:t>DD</w:t>
      </w:r>
      <w:r w:rsidR="00A21B94" w:rsidRPr="0074475B">
        <w:rPr>
          <w:sz w:val="16"/>
          <w:szCs w:val="18"/>
        </w:rPr>
        <w:t xml:space="preserve"> =</w:t>
      </w:r>
      <w:r w:rsidR="00B4428B" w:rsidRPr="0074475B">
        <w:rPr>
          <w:sz w:val="16"/>
          <w:szCs w:val="18"/>
        </w:rPr>
        <w:t xml:space="preserve"> deceased donor</w:t>
      </w:r>
      <w:r w:rsidR="00787987">
        <w:rPr>
          <w:sz w:val="16"/>
          <w:szCs w:val="18"/>
        </w:rPr>
        <w:t>,</w:t>
      </w:r>
      <w:r w:rsidR="00B4428B" w:rsidRPr="0074475B">
        <w:rPr>
          <w:sz w:val="16"/>
          <w:szCs w:val="18"/>
        </w:rPr>
        <w:t xml:space="preserve"> GFR</w:t>
      </w:r>
      <w:r w:rsidR="00A21B94" w:rsidRPr="0074475B">
        <w:rPr>
          <w:sz w:val="16"/>
          <w:szCs w:val="18"/>
        </w:rPr>
        <w:t xml:space="preserve"> =</w:t>
      </w:r>
      <w:r w:rsidR="00B4428B" w:rsidRPr="0074475B">
        <w:rPr>
          <w:sz w:val="16"/>
          <w:szCs w:val="18"/>
        </w:rPr>
        <w:t xml:space="preserve"> glomerular filtration rate</w:t>
      </w:r>
      <w:r w:rsidR="00787987">
        <w:rPr>
          <w:sz w:val="16"/>
          <w:szCs w:val="18"/>
        </w:rPr>
        <w:t>,</w:t>
      </w:r>
      <w:r w:rsidR="00B4428B" w:rsidRPr="0074475B">
        <w:rPr>
          <w:sz w:val="16"/>
          <w:szCs w:val="18"/>
        </w:rPr>
        <w:t xml:space="preserve"> HLAi</w:t>
      </w:r>
      <w:r w:rsidR="00A21B94" w:rsidRPr="0074475B">
        <w:rPr>
          <w:sz w:val="16"/>
          <w:szCs w:val="18"/>
        </w:rPr>
        <w:t xml:space="preserve"> =</w:t>
      </w:r>
      <w:r w:rsidR="00B4428B" w:rsidRPr="0074475B">
        <w:rPr>
          <w:sz w:val="16"/>
          <w:szCs w:val="18"/>
        </w:rPr>
        <w:t xml:space="preserve"> human leucocyte antigen incompatible</w:t>
      </w:r>
      <w:r w:rsidR="00787987">
        <w:rPr>
          <w:sz w:val="16"/>
          <w:szCs w:val="18"/>
        </w:rPr>
        <w:t>,</w:t>
      </w:r>
      <w:r w:rsidR="00B4428B" w:rsidRPr="0074475B">
        <w:rPr>
          <w:sz w:val="16"/>
          <w:szCs w:val="18"/>
        </w:rPr>
        <w:t xml:space="preserve"> HS</w:t>
      </w:r>
      <w:r w:rsidR="00A21B94" w:rsidRPr="0074475B">
        <w:rPr>
          <w:sz w:val="16"/>
          <w:szCs w:val="18"/>
        </w:rPr>
        <w:t xml:space="preserve"> =</w:t>
      </w:r>
      <w:r w:rsidR="00B4428B" w:rsidRPr="0074475B">
        <w:rPr>
          <w:sz w:val="16"/>
          <w:szCs w:val="18"/>
        </w:rPr>
        <w:t xml:space="preserve"> highly sensitised</w:t>
      </w:r>
      <w:r w:rsidR="00787987">
        <w:rPr>
          <w:sz w:val="16"/>
          <w:szCs w:val="18"/>
        </w:rPr>
        <w:t>,</w:t>
      </w:r>
      <w:r w:rsidR="00B4428B" w:rsidRPr="0074475B">
        <w:rPr>
          <w:sz w:val="16"/>
          <w:szCs w:val="18"/>
        </w:rPr>
        <w:t xml:space="preserve"> LD</w:t>
      </w:r>
      <w:r w:rsidR="00A21B94" w:rsidRPr="0074475B">
        <w:rPr>
          <w:sz w:val="16"/>
          <w:szCs w:val="18"/>
        </w:rPr>
        <w:t xml:space="preserve"> =</w:t>
      </w:r>
      <w:r w:rsidR="00B4428B" w:rsidRPr="0074475B">
        <w:rPr>
          <w:sz w:val="16"/>
          <w:szCs w:val="18"/>
        </w:rPr>
        <w:t xml:space="preserve"> liv</w:t>
      </w:r>
      <w:r w:rsidR="00A21B94" w:rsidRPr="0074475B">
        <w:rPr>
          <w:sz w:val="16"/>
          <w:szCs w:val="18"/>
        </w:rPr>
        <w:t>ing</w:t>
      </w:r>
      <w:r w:rsidR="00B4428B" w:rsidRPr="0074475B">
        <w:rPr>
          <w:sz w:val="16"/>
          <w:szCs w:val="18"/>
        </w:rPr>
        <w:t xml:space="preserve"> donor</w:t>
      </w:r>
      <w:r w:rsidR="00787987">
        <w:rPr>
          <w:sz w:val="16"/>
          <w:szCs w:val="18"/>
        </w:rPr>
        <w:t>,</w:t>
      </w:r>
      <w:r w:rsidR="00B4428B" w:rsidRPr="0074475B">
        <w:rPr>
          <w:sz w:val="16"/>
          <w:szCs w:val="18"/>
        </w:rPr>
        <w:t xml:space="preserve"> TEAE</w:t>
      </w:r>
      <w:r w:rsidR="00A21B94" w:rsidRPr="0074475B">
        <w:rPr>
          <w:sz w:val="16"/>
          <w:szCs w:val="18"/>
        </w:rPr>
        <w:t xml:space="preserve"> =</w:t>
      </w:r>
      <w:r w:rsidR="00B4428B" w:rsidRPr="0074475B">
        <w:rPr>
          <w:sz w:val="16"/>
          <w:szCs w:val="18"/>
        </w:rPr>
        <w:t xml:space="preserve"> treatment-emergent adverse event</w:t>
      </w:r>
      <w:r w:rsidR="00DA7BEC" w:rsidRPr="0074475B">
        <w:rPr>
          <w:sz w:val="16"/>
          <w:szCs w:val="18"/>
        </w:rPr>
        <w:t xml:space="preserve">, TSANZ = Transplantation Society of Australia </w:t>
      </w:r>
      <w:r w:rsidR="00787987">
        <w:rPr>
          <w:sz w:val="16"/>
          <w:szCs w:val="18"/>
        </w:rPr>
        <w:t>and</w:t>
      </w:r>
      <w:r w:rsidR="00DA7BEC" w:rsidRPr="0074475B">
        <w:rPr>
          <w:sz w:val="16"/>
          <w:szCs w:val="18"/>
        </w:rPr>
        <w:t xml:space="preserve"> New Zealand</w:t>
      </w:r>
    </w:p>
    <w:p w14:paraId="1924E1DE" w14:textId="6D163833" w:rsidR="00494B12" w:rsidRPr="00527717" w:rsidRDefault="001F6DA8" w:rsidP="00F823C6">
      <w:pPr>
        <w:pStyle w:val="Tablenotes"/>
        <w:rPr>
          <w:b/>
          <w:bCs/>
          <w:sz w:val="16"/>
          <w:szCs w:val="18"/>
          <w:u w:val="single"/>
        </w:rPr>
      </w:pPr>
      <w:r w:rsidRPr="00527717">
        <w:rPr>
          <w:b/>
          <w:bCs/>
          <w:sz w:val="16"/>
          <w:szCs w:val="18"/>
          <w:u w:val="single"/>
        </w:rPr>
        <w:t xml:space="preserve">Source </w:t>
      </w:r>
    </w:p>
    <w:p w14:paraId="7651F3D2" w14:textId="47849479" w:rsidR="00B4428B" w:rsidRPr="0074475B" w:rsidRDefault="00494B12" w:rsidP="00F823C6">
      <w:pPr>
        <w:pStyle w:val="Tablenotes"/>
        <w:rPr>
          <w:sz w:val="16"/>
          <w:szCs w:val="18"/>
        </w:rPr>
      </w:pPr>
      <w:r>
        <w:rPr>
          <w:sz w:val="16"/>
          <w:szCs w:val="18"/>
        </w:rPr>
        <w:t>A</w:t>
      </w:r>
      <w:r w:rsidR="001F6DA8" w:rsidRPr="0074475B">
        <w:rPr>
          <w:sz w:val="16"/>
          <w:szCs w:val="18"/>
        </w:rPr>
        <w:t xml:space="preserve">dapted from </w:t>
      </w:r>
      <w:r w:rsidR="001C097B">
        <w:rPr>
          <w:sz w:val="16"/>
          <w:szCs w:val="18"/>
        </w:rPr>
        <w:t>Table</w:t>
      </w:r>
      <w:r w:rsidR="0068550F">
        <w:rPr>
          <w:sz w:val="16"/>
          <w:szCs w:val="18"/>
        </w:rPr>
        <w:t xml:space="preserve"> 14</w:t>
      </w:r>
      <w:r w:rsidR="00780004">
        <w:rPr>
          <w:sz w:val="16"/>
          <w:szCs w:val="18"/>
        </w:rPr>
        <w:t>, p</w:t>
      </w:r>
      <w:r w:rsidR="00991AD9">
        <w:rPr>
          <w:sz w:val="16"/>
          <w:szCs w:val="18"/>
        </w:rPr>
        <w:t>.</w:t>
      </w:r>
      <w:r w:rsidR="00EC27CB">
        <w:rPr>
          <w:sz w:val="16"/>
          <w:szCs w:val="18"/>
        </w:rPr>
        <w:t xml:space="preserve"> 97 of the MSAC </w:t>
      </w:r>
      <w:r w:rsidR="00EC27CB" w:rsidRPr="00EC27CB">
        <w:rPr>
          <w:sz w:val="16"/>
          <w:szCs w:val="18"/>
        </w:rPr>
        <w:t>1732.1 ADAR+in-line commentary</w:t>
      </w:r>
      <w:r w:rsidR="00EC27CB">
        <w:rPr>
          <w:sz w:val="16"/>
          <w:szCs w:val="18"/>
        </w:rPr>
        <w:t xml:space="preserve"> </w:t>
      </w:r>
    </w:p>
    <w:p w14:paraId="68EA21E1" w14:textId="31C7B387" w:rsidR="001F6DA8" w:rsidRPr="001F6DA8" w:rsidRDefault="001F6DA8" w:rsidP="001F6DA8">
      <w:pPr>
        <w:sectPr w:rsidR="001F6DA8" w:rsidRPr="001F6DA8" w:rsidSect="00495DF8">
          <w:pgSz w:w="16838" w:h="11906" w:orient="landscape"/>
          <w:pgMar w:top="1440" w:right="1440" w:bottom="1440" w:left="1440" w:header="709" w:footer="709" w:gutter="0"/>
          <w:cols w:space="708"/>
          <w:docGrid w:linePitch="360"/>
        </w:sectPr>
      </w:pPr>
    </w:p>
    <w:p w14:paraId="24BB12C5" w14:textId="0D18A7DF" w:rsidR="001932C4" w:rsidRPr="00CE28E3" w:rsidRDefault="00F84BA7" w:rsidP="001932C4">
      <w:pPr>
        <w:pStyle w:val="Heading2"/>
        <w:numPr>
          <w:ilvl w:val="0"/>
          <w:numId w:val="0"/>
        </w:numPr>
      </w:pPr>
      <w:bookmarkStart w:id="20" w:name="_Toc69491423"/>
      <w:r>
        <w:lastRenderedPageBreak/>
        <w:t>11</w:t>
      </w:r>
      <w:r w:rsidR="001932C4">
        <w:t>.</w:t>
      </w:r>
      <w:r w:rsidR="001932C4">
        <w:tab/>
      </w:r>
      <w:r w:rsidR="001932C4" w:rsidRPr="00CE28E3">
        <w:t>Comparative safety</w:t>
      </w:r>
      <w:bookmarkEnd w:id="20"/>
    </w:p>
    <w:p w14:paraId="2240EA4F" w14:textId="66694E4B" w:rsidR="00BF2C54" w:rsidRPr="006E6436" w:rsidRDefault="00BF2C54" w:rsidP="00527717">
      <w:r w:rsidRPr="0067503E">
        <w:t xml:space="preserve">The clinical evidence presented in the </w:t>
      </w:r>
      <w:r w:rsidR="00552322">
        <w:t>2024 re</w:t>
      </w:r>
      <w:r w:rsidRPr="0067503E">
        <w:t>submission</w:t>
      </w:r>
      <w:r w:rsidR="00552322">
        <w:t xml:space="preserve"> ADAR</w:t>
      </w:r>
      <w:r w:rsidRPr="0067503E">
        <w:t xml:space="preserve"> was primarily based on </w:t>
      </w:r>
      <w:r>
        <w:t>4 p</w:t>
      </w:r>
      <w:r w:rsidRPr="00031F21">
        <w:t>hase</w:t>
      </w:r>
      <w:r w:rsidR="00EB4EE9">
        <w:t xml:space="preserve"> </w:t>
      </w:r>
      <w:r>
        <w:t>II</w:t>
      </w:r>
      <w:r w:rsidRPr="00031F21">
        <w:t xml:space="preserve"> clinical</w:t>
      </w:r>
      <w:r w:rsidRPr="0067503E">
        <w:t xml:space="preserve"> studies</w:t>
      </w:r>
      <w:r w:rsidRPr="00031F21">
        <w:t xml:space="preserve"> of imlifidase reported (13-HMedIdeS-02, 13</w:t>
      </w:r>
      <w:r>
        <w:t>-</w:t>
      </w:r>
      <w:r w:rsidRPr="00031F21">
        <w:t>HMedIdeS-03, 14-HMedIdeS-04, 15-HMedIdeS-06)</w:t>
      </w:r>
      <w:r>
        <w:t>.</w:t>
      </w:r>
      <w:r w:rsidR="00D3424C">
        <w:t xml:space="preserve"> </w:t>
      </w:r>
      <w:r w:rsidR="003B3D01">
        <w:t>Additionally</w:t>
      </w:r>
      <w:r w:rsidR="00CE52A3">
        <w:t xml:space="preserve">, </w:t>
      </w:r>
      <w:r w:rsidR="004B3102">
        <w:t xml:space="preserve">follow-up data from </w:t>
      </w:r>
      <w:r w:rsidR="003C273C" w:rsidRPr="00527717">
        <w:t xml:space="preserve">17-HMedIdeS-13 </w:t>
      </w:r>
      <w:r w:rsidR="0038793F" w:rsidRPr="00527717">
        <w:t>and</w:t>
      </w:r>
      <w:r w:rsidR="0038793F">
        <w:rPr>
          <w:rStyle w:val="cf01"/>
        </w:rPr>
        <w:t xml:space="preserve"> </w:t>
      </w:r>
      <w:r w:rsidR="00A62DC6">
        <w:t xml:space="preserve">the </w:t>
      </w:r>
      <w:r w:rsidR="0006188D">
        <w:t>newest 5</w:t>
      </w:r>
      <w:r w:rsidR="00254B9C">
        <w:t>-</w:t>
      </w:r>
      <w:r w:rsidR="0006188D">
        <w:t xml:space="preserve">year </w:t>
      </w:r>
      <w:r w:rsidR="00C763BC">
        <w:t>follow</w:t>
      </w:r>
      <w:r w:rsidR="00D9670F">
        <w:t>-</w:t>
      </w:r>
      <w:r w:rsidR="00C763BC">
        <w:t>up</w:t>
      </w:r>
      <w:r w:rsidR="0006188D">
        <w:t xml:space="preserve"> study </w:t>
      </w:r>
      <w:r w:rsidR="00C763BC">
        <w:t>(</w:t>
      </w:r>
      <w:r w:rsidR="00C763BC" w:rsidRPr="00C763BC">
        <w:t>17-HMedIdeS-14</w:t>
      </w:r>
      <w:r w:rsidR="00C763BC">
        <w:t xml:space="preserve">) </w:t>
      </w:r>
      <w:r w:rsidR="0038793F">
        <w:t xml:space="preserve">have </w:t>
      </w:r>
      <w:r w:rsidR="0006188D">
        <w:t xml:space="preserve">been completed and data </w:t>
      </w:r>
      <w:r w:rsidR="0054127E">
        <w:t>was</w:t>
      </w:r>
      <w:r w:rsidR="0006188D">
        <w:t xml:space="preserve"> provided </w:t>
      </w:r>
      <w:r w:rsidR="00EF4798">
        <w:t xml:space="preserve">in </w:t>
      </w:r>
      <w:r w:rsidR="002042A4">
        <w:t xml:space="preserve">the </w:t>
      </w:r>
      <w:r w:rsidR="0054127E">
        <w:t xml:space="preserve">2024 </w:t>
      </w:r>
      <w:r w:rsidR="002042A4">
        <w:t>ADAR</w:t>
      </w:r>
      <w:r w:rsidR="00C763BC">
        <w:t xml:space="preserve">. </w:t>
      </w:r>
      <w:r w:rsidR="0075799D">
        <w:t>The commentary noted that this 5</w:t>
      </w:r>
      <w:r w:rsidR="00C5254D">
        <w:t>-</w:t>
      </w:r>
      <w:r w:rsidR="0075799D">
        <w:t xml:space="preserve">year follow up data was the only additional safety data </w:t>
      </w:r>
      <w:r w:rsidR="007C21AF">
        <w:t xml:space="preserve">provided </w:t>
      </w:r>
      <w:r w:rsidR="00E80897">
        <w:t xml:space="preserve">in the </w:t>
      </w:r>
      <w:r w:rsidR="00525A7F">
        <w:t>2024</w:t>
      </w:r>
      <w:r w:rsidR="00E80897">
        <w:t xml:space="preserve"> ADAR relative to what </w:t>
      </w:r>
      <w:r w:rsidR="007C21AF">
        <w:t xml:space="preserve">was available in the previous </w:t>
      </w:r>
      <w:r w:rsidR="00525A7F">
        <w:t>(2023)</w:t>
      </w:r>
      <w:r w:rsidR="007C21AF">
        <w:t xml:space="preserve"> ADAR</w:t>
      </w:r>
      <w:r w:rsidR="00AA0B2A">
        <w:t xml:space="preserve">. </w:t>
      </w:r>
    </w:p>
    <w:p w14:paraId="6BECA5B1" w14:textId="73F955FF" w:rsidR="00BF2C54" w:rsidRPr="003B5565" w:rsidRDefault="00BF2C54" w:rsidP="00B42E01">
      <w:pPr>
        <w:rPr>
          <w:lang w:val="en-GB"/>
        </w:rPr>
      </w:pPr>
      <w:r w:rsidRPr="002E5F9A">
        <w:t xml:space="preserve">The </w:t>
      </w:r>
      <w:r w:rsidR="00525A7F">
        <w:t>2024</w:t>
      </w:r>
      <w:r w:rsidRPr="002E5F9A">
        <w:t xml:space="preserve"> </w:t>
      </w:r>
      <w:r>
        <w:t>ADAR</w:t>
      </w:r>
      <w:r w:rsidRPr="002E5F9A">
        <w:t xml:space="preserve"> </w:t>
      </w:r>
      <w:r>
        <w:t>included</w:t>
      </w:r>
      <w:r w:rsidRPr="002E5F9A">
        <w:t xml:space="preserve"> </w:t>
      </w:r>
      <w:r>
        <w:t>a</w:t>
      </w:r>
      <w:r w:rsidRPr="002E5F9A">
        <w:t xml:space="preserve"> safety dataset consisting of a broader group of patients </w:t>
      </w:r>
      <w:r>
        <w:t xml:space="preserve">in the safety analyses. </w:t>
      </w:r>
      <w:r w:rsidRPr="001B2A24">
        <w:t xml:space="preserve">This group encompasses all patients in the study </w:t>
      </w:r>
      <w:r w:rsidRPr="004A35AF">
        <w:t>program who received at least one dose of imlifidase (N</w:t>
      </w:r>
      <w:r w:rsidR="00FC38A5">
        <w:t> </w:t>
      </w:r>
      <w:r w:rsidR="00FC38A5" w:rsidRPr="004A35AF">
        <w:t>=</w:t>
      </w:r>
      <w:r w:rsidR="00FC38A5">
        <w:t> </w:t>
      </w:r>
      <w:r w:rsidR="00FC38A5" w:rsidRPr="004A35AF">
        <w:t>54</w:t>
      </w:r>
      <w:r w:rsidRPr="004A35AF">
        <w:t xml:space="preserve">), constituting the complete safety </w:t>
      </w:r>
      <w:r w:rsidRPr="00B42E01">
        <w:t>set in the combined analyses. A summary of patients in the all-imlifidase safety dataset is provided in</w:t>
      </w:r>
      <w:r w:rsidR="009404F5">
        <w:t xml:space="preserve"> Table </w:t>
      </w:r>
      <w:r w:rsidR="0002159E">
        <w:t>3</w:t>
      </w:r>
      <w:r w:rsidR="0074475B" w:rsidRPr="00B42E01">
        <w:t>.</w:t>
      </w:r>
      <w:r w:rsidR="004C088B">
        <w:t xml:space="preserve"> </w:t>
      </w:r>
      <w:r w:rsidR="004C088B">
        <w:rPr>
          <w:lang w:val="en-GB"/>
        </w:rPr>
        <w:t>The ADAR did not present safety data specifically for the AUS-UTT-A population</w:t>
      </w:r>
      <w:r w:rsidR="00564E48">
        <w:rPr>
          <w:lang w:val="en-GB"/>
        </w:rPr>
        <w:t xml:space="preserve"> (although note that this sub-population was derived from the UTT-A population).</w:t>
      </w:r>
    </w:p>
    <w:p w14:paraId="3CC799B0" w14:textId="3F651AE9" w:rsidR="00490C4D" w:rsidRPr="00490C4D" w:rsidRDefault="004A35AF" w:rsidP="00527717">
      <w:pPr>
        <w:rPr>
          <w:lang w:val="en-GB"/>
        </w:rPr>
      </w:pPr>
      <w:r w:rsidRPr="00490C4D">
        <w:rPr>
          <w:lang w:val="en-GB"/>
        </w:rPr>
        <w:t xml:space="preserve">In the UTT-A </w:t>
      </w:r>
      <w:r w:rsidR="00E24218" w:rsidRPr="00E24218">
        <w:rPr>
          <w:lang w:val="en-GB"/>
        </w:rPr>
        <w:t>(unlikely to transplant – agnostic</w:t>
      </w:r>
      <w:r w:rsidR="00D62865">
        <w:rPr>
          <w:lang w:val="en-GB"/>
        </w:rPr>
        <w:t>:</w:t>
      </w:r>
      <w:r w:rsidR="00E24218" w:rsidRPr="00E24218">
        <w:rPr>
          <w:lang w:val="en-GB"/>
        </w:rPr>
        <w:t xml:space="preserve"> includes both LD and DD transplants in patients with a cPRA ≥95%)</w:t>
      </w:r>
      <w:r w:rsidRPr="00490C4D">
        <w:rPr>
          <w:lang w:val="en-GB"/>
        </w:rPr>
        <w:t xml:space="preserve">and UTT </w:t>
      </w:r>
      <w:r w:rsidR="00D62865">
        <w:rPr>
          <w:lang w:val="en-GB"/>
        </w:rPr>
        <w:t>(UTT: unlikely to transplant: includes DD transplants only in patients with a cPRA ≥95%)</w:t>
      </w:r>
      <w:r w:rsidRPr="00490C4D">
        <w:rPr>
          <w:lang w:val="en-GB"/>
        </w:rPr>
        <w:t xml:space="preserve"> subpopulations</w:t>
      </w:r>
      <w:r w:rsidR="00D7322E">
        <w:rPr>
          <w:lang w:val="en-GB"/>
        </w:rPr>
        <w:t>,</w:t>
      </w:r>
      <w:r w:rsidRPr="00490C4D">
        <w:rPr>
          <w:lang w:val="en-GB"/>
        </w:rPr>
        <w:t xml:space="preserve"> 2 patients withdrew and discontinued the study</w:t>
      </w:r>
      <w:r w:rsidR="00787FE7" w:rsidRPr="00490C4D">
        <w:rPr>
          <w:lang w:val="en-GB"/>
        </w:rPr>
        <w:t xml:space="preserve"> (</w:t>
      </w:r>
      <w:r w:rsidR="0002159E">
        <w:rPr>
          <w:bCs/>
        </w:rPr>
        <w:t>3</w:t>
      </w:r>
      <w:r w:rsidR="00787FE7" w:rsidRPr="00490C4D">
        <w:rPr>
          <w:lang w:val="en-GB"/>
        </w:rPr>
        <w:t>)</w:t>
      </w:r>
      <w:r w:rsidRPr="00490C4D">
        <w:rPr>
          <w:lang w:val="en-GB"/>
        </w:rPr>
        <w:t>; according to the ADAR</w:t>
      </w:r>
      <w:r w:rsidR="00CD6A26">
        <w:rPr>
          <w:lang w:val="en-GB"/>
        </w:rPr>
        <w:t>,</w:t>
      </w:r>
      <w:r w:rsidRPr="00490C4D">
        <w:rPr>
          <w:lang w:val="en-GB"/>
        </w:rPr>
        <w:t xml:space="preserve"> these patients were also included in the AUS-UTT-A population.</w:t>
      </w:r>
      <w:bookmarkStart w:id="21" w:name="_Ref163648956"/>
      <w:bookmarkEnd w:id="18"/>
      <w:r w:rsidR="004C088B">
        <w:rPr>
          <w:lang w:val="en-GB"/>
        </w:rPr>
        <w:t xml:space="preserve"> </w:t>
      </w:r>
    </w:p>
    <w:p w14:paraId="55AFF377" w14:textId="7CA0DE82" w:rsidR="006645AD" w:rsidRDefault="006645AD" w:rsidP="006645AD">
      <w:pPr>
        <w:pStyle w:val="Caption"/>
      </w:pPr>
      <w:r>
        <w:t xml:space="preserve">Table </w:t>
      </w:r>
      <w:bookmarkEnd w:id="21"/>
      <w:r w:rsidR="00CE0882">
        <w:t>3</w:t>
      </w:r>
      <w:r w:rsidR="009404F5">
        <w:t xml:space="preserve"> </w:t>
      </w:r>
      <w:r w:rsidRPr="004D4D3E">
        <w:t>Summary of patients in safety dataset</w:t>
      </w:r>
      <w:r w:rsidR="00CA7E95" w:rsidRPr="00CA7E95">
        <w:t xml:space="preserve"> </w:t>
      </w:r>
    </w:p>
    <w:tbl>
      <w:tblPr>
        <w:tblStyle w:val="TableGridLight"/>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816"/>
        <w:gridCol w:w="816"/>
        <w:gridCol w:w="817"/>
        <w:gridCol w:w="816"/>
        <w:gridCol w:w="816"/>
        <w:gridCol w:w="817"/>
        <w:gridCol w:w="816"/>
        <w:gridCol w:w="817"/>
        <w:gridCol w:w="817"/>
      </w:tblGrid>
      <w:tr w:rsidR="008E5C3C" w:rsidRPr="00857473" w14:paraId="5CEDC05D" w14:textId="10D39D59" w:rsidTr="3CD450B9">
        <w:trPr>
          <w:trHeight w:val="300"/>
        </w:trPr>
        <w:tc>
          <w:tcPr>
            <w:tcW w:w="1671" w:type="dxa"/>
          </w:tcPr>
          <w:p w14:paraId="136EC205" w14:textId="77777777" w:rsidR="008E5C3C" w:rsidRPr="00857473" w:rsidRDefault="008E5C3C">
            <w:pPr>
              <w:pStyle w:val="TableHeading0"/>
              <w:spacing w:before="40" w:after="40"/>
              <w:rPr>
                <w:sz w:val="16"/>
                <w:szCs w:val="16"/>
              </w:rPr>
            </w:pPr>
          </w:p>
        </w:tc>
        <w:tc>
          <w:tcPr>
            <w:tcW w:w="816" w:type="dxa"/>
          </w:tcPr>
          <w:p w14:paraId="1B1606C5" w14:textId="77777777" w:rsidR="008E5C3C" w:rsidRPr="00857473" w:rsidRDefault="008E5C3C">
            <w:pPr>
              <w:pStyle w:val="TableHeading0"/>
              <w:spacing w:before="40" w:after="40"/>
              <w:rPr>
                <w:sz w:val="16"/>
                <w:szCs w:val="16"/>
              </w:rPr>
            </w:pPr>
            <w:r w:rsidRPr="00857473">
              <w:rPr>
                <w:sz w:val="16"/>
                <w:szCs w:val="16"/>
              </w:rPr>
              <w:t>13-HMedIdeS-02</w:t>
            </w:r>
          </w:p>
        </w:tc>
        <w:tc>
          <w:tcPr>
            <w:tcW w:w="816" w:type="dxa"/>
          </w:tcPr>
          <w:p w14:paraId="370E7BF3" w14:textId="77777777" w:rsidR="008E5C3C" w:rsidRPr="00857473" w:rsidRDefault="008E5C3C">
            <w:pPr>
              <w:pStyle w:val="TableHeading0"/>
              <w:spacing w:before="40" w:after="40"/>
              <w:rPr>
                <w:sz w:val="16"/>
                <w:szCs w:val="16"/>
              </w:rPr>
            </w:pPr>
            <w:r w:rsidRPr="00857473">
              <w:rPr>
                <w:sz w:val="16"/>
                <w:szCs w:val="16"/>
              </w:rPr>
              <w:t>13-HMedIdeS-03</w:t>
            </w:r>
          </w:p>
        </w:tc>
        <w:tc>
          <w:tcPr>
            <w:tcW w:w="817" w:type="dxa"/>
          </w:tcPr>
          <w:p w14:paraId="41B5DE96" w14:textId="77777777" w:rsidR="008E5C3C" w:rsidRPr="00857473" w:rsidRDefault="008E5C3C">
            <w:pPr>
              <w:pStyle w:val="TableHeading0"/>
              <w:spacing w:before="40" w:after="40"/>
              <w:rPr>
                <w:sz w:val="16"/>
                <w:szCs w:val="16"/>
              </w:rPr>
            </w:pPr>
            <w:r w:rsidRPr="00857473">
              <w:rPr>
                <w:sz w:val="16"/>
                <w:szCs w:val="16"/>
              </w:rPr>
              <w:t>14 HMedIdeS-04</w:t>
            </w:r>
          </w:p>
        </w:tc>
        <w:tc>
          <w:tcPr>
            <w:tcW w:w="816" w:type="dxa"/>
          </w:tcPr>
          <w:p w14:paraId="7928FB01" w14:textId="77777777" w:rsidR="008E5C3C" w:rsidRPr="00857473" w:rsidRDefault="008E5C3C">
            <w:pPr>
              <w:pStyle w:val="TableHeading0"/>
              <w:spacing w:before="40" w:after="40"/>
              <w:rPr>
                <w:sz w:val="16"/>
                <w:szCs w:val="16"/>
              </w:rPr>
            </w:pPr>
            <w:r w:rsidRPr="00857473">
              <w:rPr>
                <w:sz w:val="16"/>
                <w:szCs w:val="16"/>
              </w:rPr>
              <w:t>15-HMedIdeS-06</w:t>
            </w:r>
          </w:p>
        </w:tc>
        <w:tc>
          <w:tcPr>
            <w:tcW w:w="816" w:type="dxa"/>
          </w:tcPr>
          <w:p w14:paraId="34323F63" w14:textId="77777777" w:rsidR="008E5C3C" w:rsidRPr="00112A75" w:rsidRDefault="008E5C3C">
            <w:pPr>
              <w:pStyle w:val="TableHeading0"/>
              <w:spacing w:before="40" w:after="40"/>
              <w:ind w:left="-32"/>
              <w:rPr>
                <w:color w:val="000000" w:themeColor="text1"/>
                <w:sz w:val="16"/>
                <w:szCs w:val="16"/>
              </w:rPr>
            </w:pPr>
            <w:r w:rsidRPr="00112A75">
              <w:rPr>
                <w:color w:val="000000" w:themeColor="text1"/>
                <w:sz w:val="16"/>
                <w:szCs w:val="16"/>
              </w:rPr>
              <w:t>All-Imlifidase</w:t>
            </w:r>
          </w:p>
          <w:p w14:paraId="06B693B5" w14:textId="77777777" w:rsidR="008E5C3C" w:rsidRPr="00112A75" w:rsidRDefault="008E5C3C">
            <w:pPr>
              <w:pStyle w:val="TableHeading0"/>
              <w:spacing w:before="40" w:after="40"/>
              <w:ind w:left="-32"/>
              <w:rPr>
                <w:color w:val="000000" w:themeColor="text1"/>
                <w:sz w:val="16"/>
                <w:szCs w:val="16"/>
              </w:rPr>
            </w:pPr>
            <w:r w:rsidRPr="00112A75">
              <w:rPr>
                <w:color w:val="000000" w:themeColor="text1"/>
                <w:sz w:val="16"/>
                <w:szCs w:val="16"/>
              </w:rPr>
              <w:t>Total safety set (N=54)</w:t>
            </w:r>
          </w:p>
        </w:tc>
        <w:tc>
          <w:tcPr>
            <w:tcW w:w="817" w:type="dxa"/>
          </w:tcPr>
          <w:p w14:paraId="254D38F5" w14:textId="77777777" w:rsidR="008E5C3C" w:rsidRPr="00112A75" w:rsidRDefault="008E5C3C">
            <w:pPr>
              <w:pStyle w:val="TableHeading0"/>
              <w:spacing w:before="40" w:after="40"/>
              <w:rPr>
                <w:color w:val="000000" w:themeColor="text1"/>
                <w:sz w:val="16"/>
                <w:szCs w:val="16"/>
              </w:rPr>
            </w:pPr>
            <w:r w:rsidRPr="00112A75">
              <w:rPr>
                <w:color w:val="000000" w:themeColor="text1"/>
                <w:sz w:val="16"/>
                <w:szCs w:val="16"/>
              </w:rPr>
              <w:t>All-Transplanted</w:t>
            </w:r>
          </w:p>
          <w:p w14:paraId="1E8EDD4E" w14:textId="580B551C" w:rsidR="008E5C3C" w:rsidRPr="00112A75" w:rsidRDefault="008E5C3C">
            <w:pPr>
              <w:pStyle w:val="TableHeading0"/>
              <w:spacing w:before="40" w:after="40"/>
              <w:rPr>
                <w:color w:val="000000" w:themeColor="text1"/>
                <w:sz w:val="16"/>
                <w:szCs w:val="16"/>
              </w:rPr>
            </w:pPr>
            <w:r w:rsidRPr="00112A75">
              <w:rPr>
                <w:color w:val="000000" w:themeColor="text1"/>
                <w:sz w:val="16"/>
                <w:szCs w:val="16"/>
              </w:rPr>
              <w:t>(N=46)</w:t>
            </w:r>
          </w:p>
        </w:tc>
        <w:tc>
          <w:tcPr>
            <w:tcW w:w="816" w:type="dxa"/>
          </w:tcPr>
          <w:p w14:paraId="69CCCC0E" w14:textId="77777777" w:rsidR="008E5C3C" w:rsidRPr="00112A75" w:rsidRDefault="008E5C3C">
            <w:pPr>
              <w:pStyle w:val="TableHeading0"/>
              <w:spacing w:before="40" w:after="40"/>
              <w:rPr>
                <w:color w:val="000000" w:themeColor="text1"/>
                <w:sz w:val="16"/>
                <w:szCs w:val="16"/>
              </w:rPr>
            </w:pPr>
            <w:r w:rsidRPr="00112A75">
              <w:rPr>
                <w:color w:val="000000" w:themeColor="text1"/>
                <w:sz w:val="16"/>
                <w:szCs w:val="16"/>
              </w:rPr>
              <w:t xml:space="preserve">UTT-A </w:t>
            </w:r>
            <w:r w:rsidRPr="00112A75">
              <w:rPr>
                <w:color w:val="000000" w:themeColor="text1"/>
                <w:sz w:val="16"/>
                <w:szCs w:val="16"/>
              </w:rPr>
              <w:br/>
              <w:t>(N=30)</w:t>
            </w:r>
          </w:p>
        </w:tc>
        <w:tc>
          <w:tcPr>
            <w:tcW w:w="817" w:type="dxa"/>
          </w:tcPr>
          <w:p w14:paraId="70BD234E" w14:textId="77777777" w:rsidR="008E5C3C" w:rsidRPr="00112A75" w:rsidRDefault="008E5C3C">
            <w:pPr>
              <w:pStyle w:val="TableHeading0"/>
              <w:spacing w:before="40" w:after="40"/>
              <w:rPr>
                <w:color w:val="000000" w:themeColor="text1"/>
                <w:sz w:val="16"/>
                <w:szCs w:val="16"/>
              </w:rPr>
            </w:pPr>
            <w:r w:rsidRPr="00112A75">
              <w:rPr>
                <w:color w:val="000000" w:themeColor="text1"/>
                <w:sz w:val="16"/>
                <w:szCs w:val="16"/>
              </w:rPr>
              <w:t>UTT</w:t>
            </w:r>
          </w:p>
          <w:p w14:paraId="23004898" w14:textId="32C6C8D8" w:rsidR="008E5C3C" w:rsidRPr="00112A75" w:rsidRDefault="008E5C3C">
            <w:pPr>
              <w:pStyle w:val="TableHeading0"/>
              <w:spacing w:before="40" w:after="40"/>
              <w:rPr>
                <w:color w:val="000000" w:themeColor="text1"/>
                <w:sz w:val="16"/>
                <w:szCs w:val="16"/>
              </w:rPr>
            </w:pPr>
            <w:r w:rsidRPr="00112A75">
              <w:rPr>
                <w:color w:val="000000" w:themeColor="text1"/>
                <w:sz w:val="16"/>
                <w:szCs w:val="16"/>
              </w:rPr>
              <w:t>(N=25)</w:t>
            </w:r>
          </w:p>
        </w:tc>
        <w:tc>
          <w:tcPr>
            <w:tcW w:w="817" w:type="dxa"/>
          </w:tcPr>
          <w:p w14:paraId="07BA5CB4" w14:textId="22EE2658" w:rsidR="3CD450B9" w:rsidRDefault="3CD450B9" w:rsidP="3CD450B9">
            <w:pPr>
              <w:pStyle w:val="TableHeading0"/>
              <w:rPr>
                <w:color w:val="000000" w:themeColor="text1"/>
                <w:sz w:val="16"/>
                <w:szCs w:val="16"/>
              </w:rPr>
            </w:pPr>
          </w:p>
        </w:tc>
      </w:tr>
      <w:tr w:rsidR="008E5C3C" w:rsidRPr="00857473" w14:paraId="06A7AA48" w14:textId="071369D6" w:rsidTr="3CD450B9">
        <w:trPr>
          <w:trHeight w:val="300"/>
        </w:trPr>
        <w:tc>
          <w:tcPr>
            <w:tcW w:w="1671" w:type="dxa"/>
          </w:tcPr>
          <w:p w14:paraId="27F9A520" w14:textId="77777777" w:rsidR="008E5C3C" w:rsidRPr="00857473" w:rsidRDefault="008E5C3C">
            <w:pPr>
              <w:pStyle w:val="TableText"/>
              <w:rPr>
                <w:sz w:val="16"/>
                <w:szCs w:val="16"/>
              </w:rPr>
            </w:pPr>
            <w:r w:rsidRPr="00857473">
              <w:rPr>
                <w:sz w:val="16"/>
                <w:szCs w:val="16"/>
              </w:rPr>
              <w:t>Received at least one dose of imlifidase, n (%)</w:t>
            </w:r>
          </w:p>
        </w:tc>
        <w:tc>
          <w:tcPr>
            <w:tcW w:w="816" w:type="dxa"/>
          </w:tcPr>
          <w:p w14:paraId="2F408156" w14:textId="77777777" w:rsidR="008E5C3C" w:rsidRPr="00857473" w:rsidRDefault="008E5C3C">
            <w:pPr>
              <w:pStyle w:val="TableText"/>
              <w:rPr>
                <w:sz w:val="16"/>
                <w:szCs w:val="16"/>
              </w:rPr>
            </w:pPr>
            <w:r w:rsidRPr="00857473">
              <w:rPr>
                <w:sz w:val="16"/>
                <w:szCs w:val="16"/>
              </w:rPr>
              <w:t>8</w:t>
            </w:r>
          </w:p>
        </w:tc>
        <w:tc>
          <w:tcPr>
            <w:tcW w:w="816" w:type="dxa"/>
          </w:tcPr>
          <w:p w14:paraId="58AE895F" w14:textId="77777777" w:rsidR="008E5C3C" w:rsidRPr="00857473" w:rsidRDefault="008E5C3C">
            <w:pPr>
              <w:pStyle w:val="TableText"/>
              <w:rPr>
                <w:sz w:val="16"/>
                <w:szCs w:val="16"/>
              </w:rPr>
            </w:pPr>
            <w:r w:rsidRPr="00857473">
              <w:rPr>
                <w:sz w:val="16"/>
                <w:szCs w:val="16"/>
              </w:rPr>
              <w:t>10</w:t>
            </w:r>
          </w:p>
        </w:tc>
        <w:tc>
          <w:tcPr>
            <w:tcW w:w="817" w:type="dxa"/>
          </w:tcPr>
          <w:p w14:paraId="3AD8E624" w14:textId="77777777" w:rsidR="008E5C3C" w:rsidRPr="00857473" w:rsidRDefault="008E5C3C">
            <w:pPr>
              <w:pStyle w:val="TableText"/>
              <w:rPr>
                <w:sz w:val="16"/>
                <w:szCs w:val="16"/>
              </w:rPr>
            </w:pPr>
            <w:r w:rsidRPr="00857473">
              <w:rPr>
                <w:sz w:val="16"/>
                <w:szCs w:val="16"/>
              </w:rPr>
              <w:t>17</w:t>
            </w:r>
          </w:p>
        </w:tc>
        <w:tc>
          <w:tcPr>
            <w:tcW w:w="816" w:type="dxa"/>
          </w:tcPr>
          <w:p w14:paraId="2E01CABF" w14:textId="77777777" w:rsidR="008E5C3C" w:rsidRPr="00857473" w:rsidRDefault="008E5C3C">
            <w:pPr>
              <w:pStyle w:val="TableText"/>
              <w:rPr>
                <w:sz w:val="16"/>
                <w:szCs w:val="16"/>
              </w:rPr>
            </w:pPr>
            <w:r w:rsidRPr="00857473">
              <w:rPr>
                <w:sz w:val="16"/>
                <w:szCs w:val="16"/>
              </w:rPr>
              <w:t>19</w:t>
            </w:r>
          </w:p>
        </w:tc>
        <w:tc>
          <w:tcPr>
            <w:tcW w:w="816" w:type="dxa"/>
          </w:tcPr>
          <w:p w14:paraId="15CBC8CC" w14:textId="77777777" w:rsidR="008E5C3C" w:rsidRPr="00857473" w:rsidRDefault="008E5C3C">
            <w:pPr>
              <w:pStyle w:val="TableText"/>
              <w:rPr>
                <w:sz w:val="16"/>
                <w:szCs w:val="16"/>
              </w:rPr>
            </w:pPr>
            <w:r w:rsidRPr="00857473">
              <w:rPr>
                <w:sz w:val="16"/>
                <w:szCs w:val="16"/>
              </w:rPr>
              <w:t>54</w:t>
            </w:r>
          </w:p>
        </w:tc>
        <w:tc>
          <w:tcPr>
            <w:tcW w:w="817" w:type="dxa"/>
          </w:tcPr>
          <w:p w14:paraId="45E2F18E" w14:textId="77777777" w:rsidR="008E5C3C" w:rsidRPr="00857473" w:rsidRDefault="008E5C3C">
            <w:pPr>
              <w:pStyle w:val="TableText"/>
              <w:rPr>
                <w:sz w:val="16"/>
                <w:szCs w:val="16"/>
              </w:rPr>
            </w:pPr>
            <w:r w:rsidRPr="00857473">
              <w:rPr>
                <w:sz w:val="16"/>
                <w:szCs w:val="16"/>
              </w:rPr>
              <w:t>46</w:t>
            </w:r>
          </w:p>
        </w:tc>
        <w:tc>
          <w:tcPr>
            <w:tcW w:w="816" w:type="dxa"/>
          </w:tcPr>
          <w:p w14:paraId="2E59BE50" w14:textId="77777777" w:rsidR="008E5C3C" w:rsidRPr="00961DFE" w:rsidRDefault="008E5C3C">
            <w:pPr>
              <w:pStyle w:val="TableText"/>
              <w:rPr>
                <w:sz w:val="16"/>
                <w:szCs w:val="16"/>
              </w:rPr>
            </w:pPr>
            <w:r w:rsidRPr="00961DFE">
              <w:rPr>
                <w:sz w:val="16"/>
                <w:szCs w:val="16"/>
              </w:rPr>
              <w:t>30</w:t>
            </w:r>
          </w:p>
        </w:tc>
        <w:tc>
          <w:tcPr>
            <w:tcW w:w="817" w:type="dxa"/>
          </w:tcPr>
          <w:p w14:paraId="43E6C1DA" w14:textId="77777777" w:rsidR="008E5C3C" w:rsidRPr="00961DFE" w:rsidRDefault="008E5C3C">
            <w:pPr>
              <w:pStyle w:val="TableText"/>
              <w:rPr>
                <w:sz w:val="16"/>
                <w:szCs w:val="16"/>
              </w:rPr>
            </w:pPr>
            <w:r w:rsidRPr="00961DFE">
              <w:rPr>
                <w:sz w:val="16"/>
                <w:szCs w:val="16"/>
              </w:rPr>
              <w:t>25</w:t>
            </w:r>
          </w:p>
        </w:tc>
        <w:tc>
          <w:tcPr>
            <w:tcW w:w="817" w:type="dxa"/>
          </w:tcPr>
          <w:p w14:paraId="6ABF72AD" w14:textId="2958FFBA" w:rsidR="3CD450B9" w:rsidRDefault="3CD450B9" w:rsidP="3CD450B9">
            <w:pPr>
              <w:pStyle w:val="TableText"/>
              <w:rPr>
                <w:sz w:val="16"/>
                <w:szCs w:val="16"/>
              </w:rPr>
            </w:pPr>
          </w:p>
        </w:tc>
      </w:tr>
      <w:tr w:rsidR="008E5C3C" w:rsidRPr="00857473" w14:paraId="329B8A34" w14:textId="17D0CD43" w:rsidTr="3CD450B9">
        <w:trPr>
          <w:trHeight w:val="300"/>
        </w:trPr>
        <w:tc>
          <w:tcPr>
            <w:tcW w:w="1671" w:type="dxa"/>
          </w:tcPr>
          <w:p w14:paraId="693C36B7" w14:textId="77777777" w:rsidR="008E5C3C" w:rsidRPr="00857473" w:rsidRDefault="008E5C3C">
            <w:pPr>
              <w:pStyle w:val="TableText"/>
              <w:rPr>
                <w:sz w:val="16"/>
                <w:szCs w:val="16"/>
              </w:rPr>
            </w:pPr>
            <w:r w:rsidRPr="00857473">
              <w:rPr>
                <w:sz w:val="16"/>
                <w:szCs w:val="16"/>
              </w:rPr>
              <w:t>Received transplantation, n (%)</w:t>
            </w:r>
          </w:p>
        </w:tc>
        <w:tc>
          <w:tcPr>
            <w:tcW w:w="816" w:type="dxa"/>
          </w:tcPr>
          <w:p w14:paraId="460BEAEA" w14:textId="77777777" w:rsidR="008E5C3C" w:rsidRPr="00857473" w:rsidRDefault="008E5C3C">
            <w:pPr>
              <w:pStyle w:val="TableText"/>
              <w:rPr>
                <w:sz w:val="16"/>
                <w:szCs w:val="16"/>
              </w:rPr>
            </w:pPr>
            <w:r w:rsidRPr="00857473">
              <w:rPr>
                <w:sz w:val="16"/>
                <w:szCs w:val="16"/>
              </w:rPr>
              <w:t>1 (12.5%)</w:t>
            </w:r>
          </w:p>
        </w:tc>
        <w:tc>
          <w:tcPr>
            <w:tcW w:w="816" w:type="dxa"/>
          </w:tcPr>
          <w:p w14:paraId="523FE414" w14:textId="77777777" w:rsidR="008E5C3C" w:rsidRPr="00857473" w:rsidRDefault="008E5C3C">
            <w:pPr>
              <w:pStyle w:val="TableText"/>
              <w:rPr>
                <w:sz w:val="16"/>
                <w:szCs w:val="16"/>
              </w:rPr>
            </w:pPr>
            <w:r w:rsidRPr="00857473">
              <w:rPr>
                <w:sz w:val="16"/>
                <w:szCs w:val="16"/>
              </w:rPr>
              <w:t>10 (100.0%)</w:t>
            </w:r>
          </w:p>
        </w:tc>
        <w:tc>
          <w:tcPr>
            <w:tcW w:w="817" w:type="dxa"/>
          </w:tcPr>
          <w:p w14:paraId="781DC1A2" w14:textId="77777777" w:rsidR="008E5C3C" w:rsidRPr="00857473" w:rsidRDefault="008E5C3C">
            <w:pPr>
              <w:pStyle w:val="TableText"/>
              <w:rPr>
                <w:sz w:val="16"/>
                <w:szCs w:val="16"/>
              </w:rPr>
            </w:pPr>
            <w:r w:rsidRPr="00857473">
              <w:rPr>
                <w:sz w:val="16"/>
                <w:szCs w:val="16"/>
              </w:rPr>
              <w:t>17 (100.0%)</w:t>
            </w:r>
          </w:p>
        </w:tc>
        <w:tc>
          <w:tcPr>
            <w:tcW w:w="816" w:type="dxa"/>
          </w:tcPr>
          <w:p w14:paraId="289A530C" w14:textId="77777777" w:rsidR="008E5C3C" w:rsidRPr="00857473" w:rsidRDefault="008E5C3C">
            <w:pPr>
              <w:pStyle w:val="TableText"/>
              <w:rPr>
                <w:sz w:val="16"/>
                <w:szCs w:val="16"/>
              </w:rPr>
            </w:pPr>
            <w:r w:rsidRPr="00857473">
              <w:rPr>
                <w:sz w:val="16"/>
                <w:szCs w:val="16"/>
              </w:rPr>
              <w:t>18 (94.7%)</w:t>
            </w:r>
          </w:p>
        </w:tc>
        <w:tc>
          <w:tcPr>
            <w:tcW w:w="816" w:type="dxa"/>
          </w:tcPr>
          <w:p w14:paraId="4370BC1D" w14:textId="77777777" w:rsidR="008E5C3C" w:rsidRPr="00857473" w:rsidRDefault="008E5C3C">
            <w:pPr>
              <w:pStyle w:val="TableText"/>
              <w:rPr>
                <w:sz w:val="16"/>
                <w:szCs w:val="16"/>
              </w:rPr>
            </w:pPr>
            <w:r w:rsidRPr="00857473">
              <w:rPr>
                <w:sz w:val="16"/>
                <w:szCs w:val="16"/>
              </w:rPr>
              <w:t>46 (85.2%)</w:t>
            </w:r>
          </w:p>
        </w:tc>
        <w:tc>
          <w:tcPr>
            <w:tcW w:w="817" w:type="dxa"/>
          </w:tcPr>
          <w:p w14:paraId="56ED8CAF" w14:textId="77777777" w:rsidR="008E5C3C" w:rsidRPr="00857473" w:rsidRDefault="008E5C3C">
            <w:pPr>
              <w:pStyle w:val="TableText"/>
              <w:rPr>
                <w:sz w:val="16"/>
                <w:szCs w:val="16"/>
              </w:rPr>
            </w:pPr>
            <w:r w:rsidRPr="00857473">
              <w:rPr>
                <w:sz w:val="16"/>
                <w:szCs w:val="16"/>
              </w:rPr>
              <w:t>46 (100</w:t>
            </w:r>
            <w:r>
              <w:rPr>
                <w:sz w:val="16"/>
                <w:szCs w:val="16"/>
              </w:rPr>
              <w:t>.0</w:t>
            </w:r>
            <w:r w:rsidRPr="00857473">
              <w:rPr>
                <w:sz w:val="16"/>
                <w:szCs w:val="16"/>
              </w:rPr>
              <w:t>%)</w:t>
            </w:r>
          </w:p>
        </w:tc>
        <w:tc>
          <w:tcPr>
            <w:tcW w:w="816" w:type="dxa"/>
          </w:tcPr>
          <w:p w14:paraId="723B01D8" w14:textId="77777777" w:rsidR="008E5C3C" w:rsidRPr="009E2F9F" w:rsidRDefault="008E5C3C">
            <w:pPr>
              <w:pStyle w:val="TableText"/>
              <w:rPr>
                <w:sz w:val="16"/>
                <w:szCs w:val="16"/>
              </w:rPr>
            </w:pPr>
            <w:r w:rsidRPr="009E2F9F">
              <w:rPr>
                <w:sz w:val="16"/>
                <w:szCs w:val="16"/>
              </w:rPr>
              <w:t>30 (10.0%)</w:t>
            </w:r>
          </w:p>
        </w:tc>
        <w:tc>
          <w:tcPr>
            <w:tcW w:w="817" w:type="dxa"/>
          </w:tcPr>
          <w:p w14:paraId="5CC2A75D" w14:textId="77777777" w:rsidR="008E5C3C" w:rsidRPr="009E2F9F" w:rsidRDefault="008E5C3C">
            <w:pPr>
              <w:pStyle w:val="TableText"/>
              <w:rPr>
                <w:sz w:val="16"/>
                <w:szCs w:val="16"/>
              </w:rPr>
            </w:pPr>
            <w:r w:rsidRPr="009E2F9F">
              <w:rPr>
                <w:sz w:val="16"/>
                <w:szCs w:val="16"/>
              </w:rPr>
              <w:t>25 (100.0%)</w:t>
            </w:r>
          </w:p>
        </w:tc>
        <w:tc>
          <w:tcPr>
            <w:tcW w:w="817" w:type="dxa"/>
          </w:tcPr>
          <w:p w14:paraId="37BF5AC1" w14:textId="678BCB5D" w:rsidR="3CD450B9" w:rsidRDefault="3CD450B9" w:rsidP="3CD450B9">
            <w:pPr>
              <w:pStyle w:val="TableText"/>
              <w:rPr>
                <w:sz w:val="16"/>
                <w:szCs w:val="16"/>
                <w:highlight w:val="green"/>
              </w:rPr>
            </w:pPr>
          </w:p>
        </w:tc>
      </w:tr>
      <w:tr w:rsidR="008E5C3C" w:rsidRPr="00857473" w14:paraId="66DE223A" w14:textId="42605CA7" w:rsidTr="3CD450B9">
        <w:trPr>
          <w:trHeight w:val="300"/>
        </w:trPr>
        <w:tc>
          <w:tcPr>
            <w:tcW w:w="1671" w:type="dxa"/>
          </w:tcPr>
          <w:p w14:paraId="1411CA8E" w14:textId="77777777" w:rsidR="008E5C3C" w:rsidRPr="00857473" w:rsidRDefault="008E5C3C">
            <w:pPr>
              <w:pStyle w:val="TableText"/>
              <w:rPr>
                <w:sz w:val="16"/>
                <w:szCs w:val="16"/>
              </w:rPr>
            </w:pPr>
            <w:r w:rsidRPr="00857473">
              <w:rPr>
                <w:sz w:val="16"/>
                <w:szCs w:val="16"/>
              </w:rPr>
              <w:t>Did not receive transplantation, n (%)</w:t>
            </w:r>
          </w:p>
        </w:tc>
        <w:tc>
          <w:tcPr>
            <w:tcW w:w="816" w:type="dxa"/>
          </w:tcPr>
          <w:p w14:paraId="09945F03" w14:textId="77777777" w:rsidR="008E5C3C" w:rsidRPr="00857473" w:rsidRDefault="008E5C3C">
            <w:pPr>
              <w:pStyle w:val="TableText"/>
              <w:rPr>
                <w:sz w:val="16"/>
                <w:szCs w:val="16"/>
              </w:rPr>
            </w:pPr>
            <w:r w:rsidRPr="00857473">
              <w:rPr>
                <w:sz w:val="16"/>
                <w:szCs w:val="16"/>
              </w:rPr>
              <w:t>7</w:t>
            </w:r>
            <w:r w:rsidRPr="00527717">
              <w:rPr>
                <w:sz w:val="16"/>
                <w:szCs w:val="16"/>
                <w:vertAlign w:val="superscript"/>
              </w:rPr>
              <w:t>a</w:t>
            </w:r>
            <w:r w:rsidRPr="00857473">
              <w:rPr>
                <w:sz w:val="16"/>
                <w:szCs w:val="16"/>
              </w:rPr>
              <w:t xml:space="preserve"> (87.5%)</w:t>
            </w:r>
          </w:p>
        </w:tc>
        <w:tc>
          <w:tcPr>
            <w:tcW w:w="816" w:type="dxa"/>
          </w:tcPr>
          <w:p w14:paraId="1C0DBD20" w14:textId="77777777" w:rsidR="008E5C3C" w:rsidRPr="00857473" w:rsidRDefault="008E5C3C">
            <w:pPr>
              <w:pStyle w:val="TableText"/>
              <w:rPr>
                <w:sz w:val="16"/>
                <w:szCs w:val="16"/>
              </w:rPr>
            </w:pPr>
            <w:r w:rsidRPr="00857473">
              <w:rPr>
                <w:sz w:val="16"/>
                <w:szCs w:val="16"/>
              </w:rPr>
              <w:t>0</w:t>
            </w:r>
          </w:p>
        </w:tc>
        <w:tc>
          <w:tcPr>
            <w:tcW w:w="817" w:type="dxa"/>
          </w:tcPr>
          <w:p w14:paraId="561D2F98" w14:textId="77777777" w:rsidR="008E5C3C" w:rsidRPr="00857473" w:rsidRDefault="008E5C3C">
            <w:pPr>
              <w:pStyle w:val="TableText"/>
              <w:rPr>
                <w:sz w:val="16"/>
                <w:szCs w:val="16"/>
              </w:rPr>
            </w:pPr>
            <w:r w:rsidRPr="00857473">
              <w:rPr>
                <w:sz w:val="16"/>
                <w:szCs w:val="16"/>
              </w:rPr>
              <w:t>0</w:t>
            </w:r>
          </w:p>
        </w:tc>
        <w:tc>
          <w:tcPr>
            <w:tcW w:w="816" w:type="dxa"/>
          </w:tcPr>
          <w:p w14:paraId="38B7B22F" w14:textId="77777777" w:rsidR="008E5C3C" w:rsidRPr="00857473" w:rsidRDefault="008E5C3C">
            <w:pPr>
              <w:pStyle w:val="TableText"/>
              <w:rPr>
                <w:sz w:val="16"/>
                <w:szCs w:val="16"/>
              </w:rPr>
            </w:pPr>
            <w:r w:rsidRPr="00857473">
              <w:rPr>
                <w:sz w:val="16"/>
                <w:szCs w:val="16"/>
              </w:rPr>
              <w:t>1</w:t>
            </w:r>
            <w:r w:rsidRPr="00527717">
              <w:rPr>
                <w:sz w:val="16"/>
                <w:szCs w:val="16"/>
                <w:vertAlign w:val="superscript"/>
              </w:rPr>
              <w:t>b</w:t>
            </w:r>
            <w:r w:rsidRPr="00857473">
              <w:rPr>
                <w:sz w:val="16"/>
                <w:szCs w:val="16"/>
              </w:rPr>
              <w:t xml:space="preserve"> (5.3%)</w:t>
            </w:r>
          </w:p>
        </w:tc>
        <w:tc>
          <w:tcPr>
            <w:tcW w:w="816" w:type="dxa"/>
          </w:tcPr>
          <w:p w14:paraId="7A3B985A" w14:textId="77777777" w:rsidR="008E5C3C" w:rsidRPr="00857473" w:rsidRDefault="008E5C3C">
            <w:pPr>
              <w:pStyle w:val="TableText"/>
              <w:rPr>
                <w:sz w:val="16"/>
                <w:szCs w:val="16"/>
              </w:rPr>
            </w:pPr>
            <w:r w:rsidRPr="00857473">
              <w:rPr>
                <w:sz w:val="16"/>
                <w:szCs w:val="16"/>
              </w:rPr>
              <w:t>8 (14.8%)</w:t>
            </w:r>
          </w:p>
        </w:tc>
        <w:tc>
          <w:tcPr>
            <w:tcW w:w="817" w:type="dxa"/>
          </w:tcPr>
          <w:p w14:paraId="5B50A862" w14:textId="77777777" w:rsidR="008E5C3C" w:rsidRPr="00857473" w:rsidRDefault="008E5C3C">
            <w:pPr>
              <w:pStyle w:val="TableText"/>
              <w:rPr>
                <w:sz w:val="16"/>
                <w:szCs w:val="16"/>
              </w:rPr>
            </w:pPr>
            <w:r w:rsidRPr="00857473">
              <w:rPr>
                <w:sz w:val="16"/>
                <w:szCs w:val="16"/>
              </w:rPr>
              <w:t>0</w:t>
            </w:r>
          </w:p>
        </w:tc>
        <w:tc>
          <w:tcPr>
            <w:tcW w:w="816" w:type="dxa"/>
          </w:tcPr>
          <w:p w14:paraId="4058A2D3" w14:textId="77777777" w:rsidR="008E5C3C" w:rsidRPr="009E2F9F" w:rsidRDefault="008E5C3C">
            <w:pPr>
              <w:pStyle w:val="TableText"/>
              <w:rPr>
                <w:sz w:val="16"/>
                <w:szCs w:val="16"/>
              </w:rPr>
            </w:pPr>
            <w:r w:rsidRPr="009E2F9F">
              <w:rPr>
                <w:sz w:val="16"/>
                <w:szCs w:val="16"/>
              </w:rPr>
              <w:t>0</w:t>
            </w:r>
          </w:p>
        </w:tc>
        <w:tc>
          <w:tcPr>
            <w:tcW w:w="817" w:type="dxa"/>
          </w:tcPr>
          <w:p w14:paraId="236B4FB9" w14:textId="77777777" w:rsidR="008E5C3C" w:rsidRPr="009E2F9F" w:rsidRDefault="008E5C3C">
            <w:pPr>
              <w:pStyle w:val="TableText"/>
              <w:rPr>
                <w:sz w:val="16"/>
                <w:szCs w:val="16"/>
              </w:rPr>
            </w:pPr>
            <w:r w:rsidRPr="009E2F9F">
              <w:rPr>
                <w:sz w:val="16"/>
                <w:szCs w:val="16"/>
              </w:rPr>
              <w:t>0</w:t>
            </w:r>
          </w:p>
        </w:tc>
        <w:tc>
          <w:tcPr>
            <w:tcW w:w="817" w:type="dxa"/>
          </w:tcPr>
          <w:p w14:paraId="76E3FE77" w14:textId="2F7596E7" w:rsidR="3CD450B9" w:rsidRDefault="3CD450B9" w:rsidP="3CD450B9">
            <w:pPr>
              <w:pStyle w:val="TableText"/>
              <w:rPr>
                <w:sz w:val="16"/>
                <w:szCs w:val="16"/>
                <w:highlight w:val="green"/>
              </w:rPr>
            </w:pPr>
          </w:p>
        </w:tc>
      </w:tr>
      <w:tr w:rsidR="008E5C3C" w:rsidRPr="00857473" w14:paraId="3CE14FA3" w14:textId="4BBCFAAE" w:rsidTr="3CD450B9">
        <w:trPr>
          <w:trHeight w:val="300"/>
        </w:trPr>
        <w:tc>
          <w:tcPr>
            <w:tcW w:w="1671" w:type="dxa"/>
          </w:tcPr>
          <w:p w14:paraId="72D409D9" w14:textId="77777777" w:rsidR="008E5C3C" w:rsidRPr="00857473" w:rsidRDefault="008E5C3C">
            <w:pPr>
              <w:pStyle w:val="TableText"/>
              <w:rPr>
                <w:sz w:val="16"/>
                <w:szCs w:val="16"/>
              </w:rPr>
            </w:pPr>
            <w:r w:rsidRPr="00857473">
              <w:rPr>
                <w:sz w:val="16"/>
                <w:szCs w:val="16"/>
              </w:rPr>
              <w:t>Completed core study, n (%)</w:t>
            </w:r>
          </w:p>
        </w:tc>
        <w:tc>
          <w:tcPr>
            <w:tcW w:w="816" w:type="dxa"/>
          </w:tcPr>
          <w:p w14:paraId="4B8AB08F" w14:textId="77777777" w:rsidR="008E5C3C" w:rsidRPr="00857473" w:rsidRDefault="008E5C3C">
            <w:pPr>
              <w:pStyle w:val="TableText"/>
              <w:rPr>
                <w:sz w:val="16"/>
                <w:szCs w:val="16"/>
              </w:rPr>
            </w:pPr>
            <w:r w:rsidRPr="00857473">
              <w:rPr>
                <w:sz w:val="16"/>
                <w:szCs w:val="16"/>
              </w:rPr>
              <w:t>8 (100.0%)</w:t>
            </w:r>
          </w:p>
        </w:tc>
        <w:tc>
          <w:tcPr>
            <w:tcW w:w="816" w:type="dxa"/>
          </w:tcPr>
          <w:p w14:paraId="22A438FD" w14:textId="77777777" w:rsidR="008E5C3C" w:rsidRPr="00857473" w:rsidRDefault="008E5C3C">
            <w:pPr>
              <w:pStyle w:val="TableText"/>
              <w:rPr>
                <w:sz w:val="16"/>
                <w:szCs w:val="16"/>
              </w:rPr>
            </w:pPr>
            <w:r w:rsidRPr="00857473">
              <w:rPr>
                <w:sz w:val="16"/>
                <w:szCs w:val="16"/>
              </w:rPr>
              <w:t>10 (100.0%)</w:t>
            </w:r>
          </w:p>
        </w:tc>
        <w:tc>
          <w:tcPr>
            <w:tcW w:w="817" w:type="dxa"/>
          </w:tcPr>
          <w:p w14:paraId="112B0FFD" w14:textId="77777777" w:rsidR="008E5C3C" w:rsidRPr="00857473" w:rsidRDefault="008E5C3C">
            <w:pPr>
              <w:pStyle w:val="TableText"/>
              <w:rPr>
                <w:sz w:val="16"/>
                <w:szCs w:val="16"/>
              </w:rPr>
            </w:pPr>
            <w:r w:rsidRPr="00857473">
              <w:rPr>
                <w:sz w:val="16"/>
                <w:szCs w:val="16"/>
              </w:rPr>
              <w:t>15 (88.2%)</w:t>
            </w:r>
          </w:p>
        </w:tc>
        <w:tc>
          <w:tcPr>
            <w:tcW w:w="816" w:type="dxa"/>
          </w:tcPr>
          <w:p w14:paraId="3C111ABA" w14:textId="77777777" w:rsidR="008E5C3C" w:rsidRPr="00857473" w:rsidRDefault="008E5C3C">
            <w:pPr>
              <w:pStyle w:val="TableText"/>
              <w:rPr>
                <w:sz w:val="16"/>
                <w:szCs w:val="16"/>
              </w:rPr>
            </w:pPr>
            <w:r w:rsidRPr="00857473">
              <w:rPr>
                <w:sz w:val="16"/>
                <w:szCs w:val="16"/>
              </w:rPr>
              <w:t>16 (84.2%)</w:t>
            </w:r>
          </w:p>
        </w:tc>
        <w:tc>
          <w:tcPr>
            <w:tcW w:w="816" w:type="dxa"/>
          </w:tcPr>
          <w:p w14:paraId="773B25C9" w14:textId="77777777" w:rsidR="008E5C3C" w:rsidRPr="00857473" w:rsidRDefault="008E5C3C">
            <w:pPr>
              <w:pStyle w:val="TableText"/>
              <w:rPr>
                <w:sz w:val="16"/>
                <w:szCs w:val="16"/>
              </w:rPr>
            </w:pPr>
            <w:r w:rsidRPr="00857473">
              <w:rPr>
                <w:sz w:val="16"/>
                <w:szCs w:val="16"/>
              </w:rPr>
              <w:t>49 (90.7%)</w:t>
            </w:r>
          </w:p>
        </w:tc>
        <w:tc>
          <w:tcPr>
            <w:tcW w:w="817" w:type="dxa"/>
          </w:tcPr>
          <w:p w14:paraId="33259684" w14:textId="77777777" w:rsidR="008E5C3C" w:rsidRPr="00857473" w:rsidRDefault="008E5C3C">
            <w:pPr>
              <w:pStyle w:val="TableText"/>
              <w:rPr>
                <w:sz w:val="16"/>
                <w:szCs w:val="16"/>
              </w:rPr>
            </w:pPr>
            <w:r w:rsidRPr="00857473">
              <w:rPr>
                <w:sz w:val="16"/>
                <w:szCs w:val="16"/>
              </w:rPr>
              <w:t>42 (91</w:t>
            </w:r>
            <w:r>
              <w:rPr>
                <w:sz w:val="16"/>
                <w:szCs w:val="16"/>
              </w:rPr>
              <w:t>.0</w:t>
            </w:r>
            <w:r w:rsidRPr="00857473">
              <w:rPr>
                <w:sz w:val="16"/>
                <w:szCs w:val="16"/>
              </w:rPr>
              <w:t>%)</w:t>
            </w:r>
          </w:p>
        </w:tc>
        <w:tc>
          <w:tcPr>
            <w:tcW w:w="816" w:type="dxa"/>
          </w:tcPr>
          <w:p w14:paraId="440C2197" w14:textId="77777777" w:rsidR="008E5C3C" w:rsidRPr="009E2F9F" w:rsidRDefault="008E5C3C">
            <w:pPr>
              <w:pStyle w:val="TableText"/>
              <w:rPr>
                <w:sz w:val="16"/>
                <w:szCs w:val="16"/>
              </w:rPr>
            </w:pPr>
            <w:r w:rsidRPr="009E2F9F">
              <w:rPr>
                <w:sz w:val="16"/>
                <w:szCs w:val="16"/>
              </w:rPr>
              <w:t>23 (92.0%)</w:t>
            </w:r>
          </w:p>
        </w:tc>
        <w:tc>
          <w:tcPr>
            <w:tcW w:w="817" w:type="dxa"/>
          </w:tcPr>
          <w:p w14:paraId="20717D51" w14:textId="65E06D64" w:rsidR="008E5C3C" w:rsidRPr="009E2F9F" w:rsidRDefault="00D04C84">
            <w:pPr>
              <w:pStyle w:val="TableText"/>
              <w:rPr>
                <w:sz w:val="16"/>
                <w:szCs w:val="16"/>
              </w:rPr>
            </w:pPr>
            <w:r w:rsidRPr="009E2F9F">
              <w:rPr>
                <w:sz w:val="16"/>
                <w:szCs w:val="16"/>
              </w:rPr>
              <w:t xml:space="preserve">23 </w:t>
            </w:r>
            <w:r w:rsidR="008E5C3C" w:rsidRPr="009E2F9F">
              <w:rPr>
                <w:sz w:val="16"/>
                <w:szCs w:val="16"/>
              </w:rPr>
              <w:t>(93.0%)</w:t>
            </w:r>
          </w:p>
        </w:tc>
        <w:tc>
          <w:tcPr>
            <w:tcW w:w="817" w:type="dxa"/>
          </w:tcPr>
          <w:p w14:paraId="0FA33328" w14:textId="3949D90C" w:rsidR="3CD450B9" w:rsidRDefault="3CD450B9" w:rsidP="3CD450B9">
            <w:pPr>
              <w:pStyle w:val="TableText"/>
              <w:rPr>
                <w:sz w:val="16"/>
                <w:szCs w:val="16"/>
                <w:highlight w:val="green"/>
              </w:rPr>
            </w:pPr>
          </w:p>
        </w:tc>
      </w:tr>
      <w:tr w:rsidR="008E5C3C" w:rsidRPr="00857473" w14:paraId="5EF5C8DF" w14:textId="5F4E463D" w:rsidTr="3CD450B9">
        <w:trPr>
          <w:trHeight w:val="300"/>
        </w:trPr>
        <w:tc>
          <w:tcPr>
            <w:tcW w:w="1671" w:type="dxa"/>
          </w:tcPr>
          <w:p w14:paraId="2AB8F76F" w14:textId="77777777" w:rsidR="008E5C3C" w:rsidRPr="00857473" w:rsidRDefault="008E5C3C">
            <w:pPr>
              <w:pStyle w:val="TableText"/>
              <w:rPr>
                <w:sz w:val="16"/>
                <w:szCs w:val="16"/>
              </w:rPr>
            </w:pPr>
            <w:r w:rsidRPr="00857473">
              <w:rPr>
                <w:sz w:val="16"/>
                <w:szCs w:val="16"/>
              </w:rPr>
              <w:t>Drug withdrawal/dose interruption, n (%)</w:t>
            </w:r>
          </w:p>
        </w:tc>
        <w:tc>
          <w:tcPr>
            <w:tcW w:w="816" w:type="dxa"/>
          </w:tcPr>
          <w:p w14:paraId="14F9214A" w14:textId="77777777" w:rsidR="008E5C3C" w:rsidRPr="00857473" w:rsidRDefault="008E5C3C">
            <w:pPr>
              <w:pStyle w:val="TableText"/>
              <w:rPr>
                <w:sz w:val="16"/>
                <w:szCs w:val="16"/>
              </w:rPr>
            </w:pPr>
            <w:r w:rsidRPr="00857473">
              <w:rPr>
                <w:sz w:val="16"/>
                <w:szCs w:val="16"/>
              </w:rPr>
              <w:t>1 (12.5%)</w:t>
            </w:r>
          </w:p>
        </w:tc>
        <w:tc>
          <w:tcPr>
            <w:tcW w:w="816" w:type="dxa"/>
          </w:tcPr>
          <w:p w14:paraId="347EBDB2" w14:textId="77777777" w:rsidR="008E5C3C" w:rsidRPr="00857473" w:rsidRDefault="008E5C3C">
            <w:pPr>
              <w:pStyle w:val="TableText"/>
              <w:rPr>
                <w:sz w:val="16"/>
                <w:szCs w:val="16"/>
              </w:rPr>
            </w:pPr>
            <w:r w:rsidRPr="00857473">
              <w:rPr>
                <w:sz w:val="16"/>
                <w:szCs w:val="16"/>
              </w:rPr>
              <w:t>0</w:t>
            </w:r>
          </w:p>
        </w:tc>
        <w:tc>
          <w:tcPr>
            <w:tcW w:w="817" w:type="dxa"/>
          </w:tcPr>
          <w:p w14:paraId="7D4016C6" w14:textId="77777777" w:rsidR="008E5C3C" w:rsidRPr="00857473" w:rsidRDefault="008E5C3C">
            <w:pPr>
              <w:pStyle w:val="TableText"/>
              <w:rPr>
                <w:sz w:val="16"/>
                <w:szCs w:val="16"/>
              </w:rPr>
            </w:pPr>
            <w:r w:rsidRPr="00857473">
              <w:rPr>
                <w:sz w:val="16"/>
                <w:szCs w:val="16"/>
              </w:rPr>
              <w:t>0</w:t>
            </w:r>
          </w:p>
        </w:tc>
        <w:tc>
          <w:tcPr>
            <w:tcW w:w="816" w:type="dxa"/>
          </w:tcPr>
          <w:p w14:paraId="1EB6A437" w14:textId="77777777" w:rsidR="008E5C3C" w:rsidRPr="00857473" w:rsidRDefault="008E5C3C">
            <w:pPr>
              <w:pStyle w:val="TableText"/>
              <w:rPr>
                <w:sz w:val="16"/>
                <w:szCs w:val="16"/>
              </w:rPr>
            </w:pPr>
            <w:r w:rsidRPr="00857473">
              <w:rPr>
                <w:sz w:val="16"/>
                <w:szCs w:val="16"/>
              </w:rPr>
              <w:t>3 (15.8%)</w:t>
            </w:r>
          </w:p>
        </w:tc>
        <w:tc>
          <w:tcPr>
            <w:tcW w:w="816" w:type="dxa"/>
          </w:tcPr>
          <w:p w14:paraId="5FC6963D" w14:textId="77777777" w:rsidR="008E5C3C" w:rsidRPr="00857473" w:rsidRDefault="008E5C3C">
            <w:pPr>
              <w:pStyle w:val="TableText"/>
              <w:rPr>
                <w:sz w:val="16"/>
                <w:szCs w:val="16"/>
              </w:rPr>
            </w:pPr>
            <w:r w:rsidRPr="00857473">
              <w:rPr>
                <w:sz w:val="16"/>
                <w:szCs w:val="16"/>
              </w:rPr>
              <w:t>4 (7.4%)</w:t>
            </w:r>
          </w:p>
        </w:tc>
        <w:tc>
          <w:tcPr>
            <w:tcW w:w="817" w:type="dxa"/>
          </w:tcPr>
          <w:p w14:paraId="607E8E35" w14:textId="77777777" w:rsidR="008E5C3C" w:rsidRPr="00857473" w:rsidRDefault="008E5C3C">
            <w:pPr>
              <w:pStyle w:val="TableText"/>
              <w:rPr>
                <w:sz w:val="16"/>
                <w:szCs w:val="16"/>
              </w:rPr>
            </w:pPr>
            <w:r w:rsidRPr="00857473">
              <w:rPr>
                <w:sz w:val="16"/>
                <w:szCs w:val="16"/>
              </w:rPr>
              <w:t>2 (4</w:t>
            </w:r>
            <w:r>
              <w:rPr>
                <w:sz w:val="16"/>
                <w:szCs w:val="16"/>
              </w:rPr>
              <w:t>.0</w:t>
            </w:r>
            <w:r w:rsidRPr="00857473">
              <w:rPr>
                <w:sz w:val="16"/>
                <w:szCs w:val="16"/>
              </w:rPr>
              <w:t>%)</w:t>
            </w:r>
          </w:p>
        </w:tc>
        <w:tc>
          <w:tcPr>
            <w:tcW w:w="816" w:type="dxa"/>
          </w:tcPr>
          <w:p w14:paraId="72225E3E" w14:textId="77777777" w:rsidR="008E5C3C" w:rsidRPr="009E2F9F" w:rsidRDefault="008E5C3C">
            <w:pPr>
              <w:pStyle w:val="TableText"/>
              <w:rPr>
                <w:sz w:val="16"/>
                <w:szCs w:val="16"/>
              </w:rPr>
            </w:pPr>
            <w:r w:rsidRPr="009E2F9F">
              <w:rPr>
                <w:sz w:val="16"/>
                <w:szCs w:val="16"/>
              </w:rPr>
              <w:t>2 (8.0%)</w:t>
            </w:r>
          </w:p>
        </w:tc>
        <w:tc>
          <w:tcPr>
            <w:tcW w:w="817" w:type="dxa"/>
          </w:tcPr>
          <w:p w14:paraId="2B866C4E" w14:textId="77777777" w:rsidR="008E5C3C" w:rsidRPr="009E2F9F" w:rsidRDefault="008E5C3C">
            <w:pPr>
              <w:pStyle w:val="TableText"/>
              <w:rPr>
                <w:sz w:val="16"/>
                <w:szCs w:val="16"/>
              </w:rPr>
            </w:pPr>
            <w:r w:rsidRPr="009E2F9F">
              <w:rPr>
                <w:sz w:val="16"/>
                <w:szCs w:val="16"/>
              </w:rPr>
              <w:t>2 (7.0%)</w:t>
            </w:r>
          </w:p>
        </w:tc>
        <w:tc>
          <w:tcPr>
            <w:tcW w:w="817" w:type="dxa"/>
          </w:tcPr>
          <w:p w14:paraId="2C1E316C" w14:textId="44AEBC98" w:rsidR="3CD450B9" w:rsidRDefault="3CD450B9" w:rsidP="3CD450B9">
            <w:pPr>
              <w:pStyle w:val="TableText"/>
              <w:rPr>
                <w:sz w:val="16"/>
                <w:szCs w:val="16"/>
                <w:highlight w:val="green"/>
              </w:rPr>
            </w:pPr>
          </w:p>
        </w:tc>
      </w:tr>
      <w:tr w:rsidR="008E5C3C" w:rsidRPr="00857473" w14:paraId="0D7CBE83" w14:textId="1FDE3722" w:rsidTr="3CD450B9">
        <w:trPr>
          <w:trHeight w:val="300"/>
        </w:trPr>
        <w:tc>
          <w:tcPr>
            <w:tcW w:w="1671" w:type="dxa"/>
          </w:tcPr>
          <w:p w14:paraId="1627F95E" w14:textId="77777777" w:rsidR="008E5C3C" w:rsidRPr="00857473" w:rsidRDefault="008E5C3C">
            <w:pPr>
              <w:pStyle w:val="TableText"/>
              <w:rPr>
                <w:sz w:val="16"/>
                <w:szCs w:val="16"/>
              </w:rPr>
            </w:pPr>
            <w:r w:rsidRPr="00857473">
              <w:rPr>
                <w:sz w:val="16"/>
                <w:szCs w:val="16"/>
              </w:rPr>
              <w:t>Discontinued study, n (%)</w:t>
            </w:r>
          </w:p>
          <w:p w14:paraId="16964346" w14:textId="77777777" w:rsidR="008E5C3C" w:rsidRPr="00857473" w:rsidRDefault="008E5C3C">
            <w:pPr>
              <w:pStyle w:val="TableText"/>
              <w:ind w:left="458"/>
              <w:rPr>
                <w:sz w:val="16"/>
                <w:szCs w:val="16"/>
              </w:rPr>
            </w:pPr>
            <w:r w:rsidRPr="00857473">
              <w:rPr>
                <w:sz w:val="16"/>
                <w:szCs w:val="16"/>
              </w:rPr>
              <w:t>AE</w:t>
            </w:r>
          </w:p>
          <w:p w14:paraId="1D9F89C8" w14:textId="77777777" w:rsidR="008E5C3C" w:rsidRPr="00857473" w:rsidRDefault="008E5C3C">
            <w:pPr>
              <w:pStyle w:val="TableText"/>
              <w:ind w:left="458"/>
              <w:rPr>
                <w:sz w:val="16"/>
                <w:szCs w:val="16"/>
              </w:rPr>
            </w:pPr>
            <w:r w:rsidRPr="00857473">
              <w:rPr>
                <w:sz w:val="16"/>
                <w:szCs w:val="16"/>
              </w:rPr>
              <w:t>Lost to follow-up</w:t>
            </w:r>
          </w:p>
          <w:p w14:paraId="0C757DB9" w14:textId="77777777" w:rsidR="008E5C3C" w:rsidRPr="00857473" w:rsidRDefault="008E5C3C">
            <w:pPr>
              <w:pStyle w:val="TableText"/>
              <w:ind w:left="458"/>
              <w:rPr>
                <w:sz w:val="16"/>
                <w:szCs w:val="16"/>
              </w:rPr>
            </w:pPr>
            <w:r w:rsidRPr="00857473">
              <w:rPr>
                <w:sz w:val="16"/>
                <w:szCs w:val="16"/>
              </w:rPr>
              <w:t>Other</w:t>
            </w:r>
            <w:r w:rsidRPr="00527717">
              <w:rPr>
                <w:sz w:val="16"/>
                <w:szCs w:val="16"/>
                <w:vertAlign w:val="superscript"/>
              </w:rPr>
              <w:t>c</w:t>
            </w:r>
          </w:p>
          <w:p w14:paraId="1264E14D" w14:textId="77777777" w:rsidR="008E5C3C" w:rsidRPr="00857473" w:rsidRDefault="008E5C3C">
            <w:pPr>
              <w:pStyle w:val="TableText"/>
              <w:ind w:left="458"/>
              <w:rPr>
                <w:sz w:val="16"/>
                <w:szCs w:val="16"/>
              </w:rPr>
            </w:pPr>
            <w:r w:rsidRPr="00857473">
              <w:rPr>
                <w:sz w:val="16"/>
                <w:szCs w:val="16"/>
              </w:rPr>
              <w:t>Patient withdrew</w:t>
            </w:r>
          </w:p>
        </w:tc>
        <w:tc>
          <w:tcPr>
            <w:tcW w:w="816" w:type="dxa"/>
          </w:tcPr>
          <w:p w14:paraId="4323F833" w14:textId="77777777" w:rsidR="008E5C3C" w:rsidRPr="00857473" w:rsidRDefault="008E5C3C">
            <w:pPr>
              <w:pStyle w:val="TableText"/>
              <w:rPr>
                <w:sz w:val="16"/>
                <w:szCs w:val="16"/>
              </w:rPr>
            </w:pPr>
            <w:r w:rsidRPr="00857473">
              <w:rPr>
                <w:sz w:val="16"/>
                <w:szCs w:val="16"/>
              </w:rPr>
              <w:t>0</w:t>
            </w:r>
          </w:p>
        </w:tc>
        <w:tc>
          <w:tcPr>
            <w:tcW w:w="816" w:type="dxa"/>
          </w:tcPr>
          <w:p w14:paraId="55F5A354" w14:textId="77777777" w:rsidR="008E5C3C" w:rsidRPr="00857473" w:rsidRDefault="008E5C3C">
            <w:pPr>
              <w:pStyle w:val="TableText"/>
              <w:rPr>
                <w:sz w:val="16"/>
                <w:szCs w:val="16"/>
              </w:rPr>
            </w:pPr>
            <w:r w:rsidRPr="00857473">
              <w:rPr>
                <w:sz w:val="16"/>
                <w:szCs w:val="16"/>
              </w:rPr>
              <w:t>0</w:t>
            </w:r>
          </w:p>
        </w:tc>
        <w:tc>
          <w:tcPr>
            <w:tcW w:w="817" w:type="dxa"/>
          </w:tcPr>
          <w:p w14:paraId="4B87AF72" w14:textId="77777777" w:rsidR="008E5C3C" w:rsidRPr="00857473" w:rsidRDefault="008E5C3C">
            <w:pPr>
              <w:pStyle w:val="TableText"/>
              <w:rPr>
                <w:sz w:val="16"/>
                <w:szCs w:val="16"/>
              </w:rPr>
            </w:pPr>
            <w:r w:rsidRPr="00857473">
              <w:rPr>
                <w:sz w:val="16"/>
                <w:szCs w:val="16"/>
              </w:rPr>
              <w:t>2 (11.8%)</w:t>
            </w:r>
          </w:p>
          <w:p w14:paraId="2F6291C4" w14:textId="77777777" w:rsidR="008E5C3C" w:rsidRPr="00857473" w:rsidRDefault="008E5C3C">
            <w:pPr>
              <w:pStyle w:val="TableText"/>
              <w:rPr>
                <w:sz w:val="16"/>
                <w:szCs w:val="16"/>
              </w:rPr>
            </w:pPr>
            <w:r w:rsidRPr="00857473">
              <w:rPr>
                <w:sz w:val="16"/>
                <w:szCs w:val="16"/>
              </w:rPr>
              <w:t>0</w:t>
            </w:r>
          </w:p>
          <w:p w14:paraId="737ECE83" w14:textId="77777777" w:rsidR="008E5C3C" w:rsidRPr="00857473" w:rsidRDefault="008E5C3C">
            <w:pPr>
              <w:pStyle w:val="TableText"/>
              <w:rPr>
                <w:sz w:val="16"/>
                <w:szCs w:val="16"/>
              </w:rPr>
            </w:pPr>
            <w:r w:rsidRPr="00857473">
              <w:rPr>
                <w:sz w:val="16"/>
                <w:szCs w:val="16"/>
              </w:rPr>
              <w:t>1 (5.9%)</w:t>
            </w:r>
          </w:p>
          <w:p w14:paraId="62C56E46" w14:textId="77777777" w:rsidR="008E5C3C" w:rsidRPr="00857473" w:rsidRDefault="008E5C3C">
            <w:pPr>
              <w:pStyle w:val="TableText"/>
              <w:rPr>
                <w:sz w:val="16"/>
                <w:szCs w:val="16"/>
              </w:rPr>
            </w:pPr>
            <w:r w:rsidRPr="00857473">
              <w:rPr>
                <w:sz w:val="16"/>
                <w:szCs w:val="16"/>
              </w:rPr>
              <w:t>0</w:t>
            </w:r>
          </w:p>
          <w:p w14:paraId="4B2468D8" w14:textId="77777777" w:rsidR="008E5C3C" w:rsidRPr="00857473" w:rsidRDefault="008E5C3C">
            <w:pPr>
              <w:pStyle w:val="TableText"/>
              <w:rPr>
                <w:sz w:val="16"/>
                <w:szCs w:val="16"/>
              </w:rPr>
            </w:pPr>
            <w:r w:rsidRPr="00857473">
              <w:rPr>
                <w:sz w:val="16"/>
                <w:szCs w:val="16"/>
              </w:rPr>
              <w:t>1 (5.9%)</w:t>
            </w:r>
          </w:p>
        </w:tc>
        <w:tc>
          <w:tcPr>
            <w:tcW w:w="816" w:type="dxa"/>
          </w:tcPr>
          <w:p w14:paraId="4ED6F225" w14:textId="77777777" w:rsidR="008E5C3C" w:rsidRPr="00857473" w:rsidRDefault="008E5C3C">
            <w:pPr>
              <w:pStyle w:val="TableText"/>
              <w:rPr>
                <w:sz w:val="16"/>
                <w:szCs w:val="16"/>
              </w:rPr>
            </w:pPr>
            <w:r w:rsidRPr="00857473">
              <w:rPr>
                <w:sz w:val="16"/>
                <w:szCs w:val="16"/>
              </w:rPr>
              <w:t>3 (15.8%)</w:t>
            </w:r>
          </w:p>
          <w:p w14:paraId="271460D1" w14:textId="77777777" w:rsidR="008E5C3C" w:rsidRPr="00857473" w:rsidRDefault="008E5C3C">
            <w:pPr>
              <w:pStyle w:val="TableText"/>
              <w:rPr>
                <w:sz w:val="16"/>
                <w:szCs w:val="16"/>
              </w:rPr>
            </w:pPr>
            <w:r w:rsidRPr="00857473">
              <w:rPr>
                <w:sz w:val="16"/>
                <w:szCs w:val="16"/>
              </w:rPr>
              <w:t>1 (5.3%)</w:t>
            </w:r>
          </w:p>
          <w:p w14:paraId="53D2F091" w14:textId="77777777" w:rsidR="008E5C3C" w:rsidRPr="00857473" w:rsidRDefault="008E5C3C">
            <w:pPr>
              <w:pStyle w:val="TableText"/>
              <w:rPr>
                <w:sz w:val="16"/>
                <w:szCs w:val="16"/>
              </w:rPr>
            </w:pPr>
            <w:r w:rsidRPr="00857473">
              <w:rPr>
                <w:sz w:val="16"/>
                <w:szCs w:val="16"/>
              </w:rPr>
              <w:t>0</w:t>
            </w:r>
          </w:p>
          <w:p w14:paraId="5E63BED2" w14:textId="77777777" w:rsidR="008E5C3C" w:rsidRPr="00857473" w:rsidRDefault="008E5C3C">
            <w:pPr>
              <w:pStyle w:val="TableText"/>
              <w:rPr>
                <w:sz w:val="16"/>
                <w:szCs w:val="16"/>
              </w:rPr>
            </w:pPr>
            <w:r w:rsidRPr="00857473">
              <w:rPr>
                <w:sz w:val="16"/>
                <w:szCs w:val="16"/>
              </w:rPr>
              <w:t>1 (5.3%)</w:t>
            </w:r>
          </w:p>
          <w:p w14:paraId="339C5774" w14:textId="77777777" w:rsidR="008E5C3C" w:rsidRPr="00857473" w:rsidRDefault="008E5C3C">
            <w:pPr>
              <w:pStyle w:val="TableText"/>
              <w:rPr>
                <w:sz w:val="16"/>
                <w:szCs w:val="16"/>
              </w:rPr>
            </w:pPr>
            <w:r w:rsidRPr="00857473">
              <w:rPr>
                <w:sz w:val="16"/>
                <w:szCs w:val="16"/>
              </w:rPr>
              <w:t>1 (5.3%)</w:t>
            </w:r>
          </w:p>
        </w:tc>
        <w:tc>
          <w:tcPr>
            <w:tcW w:w="816" w:type="dxa"/>
          </w:tcPr>
          <w:p w14:paraId="0FD3DCD4" w14:textId="77777777" w:rsidR="008E5C3C" w:rsidRPr="00857473" w:rsidRDefault="008E5C3C">
            <w:pPr>
              <w:pStyle w:val="TableText"/>
              <w:rPr>
                <w:sz w:val="16"/>
                <w:szCs w:val="16"/>
              </w:rPr>
            </w:pPr>
            <w:r w:rsidRPr="00857473">
              <w:rPr>
                <w:sz w:val="16"/>
                <w:szCs w:val="16"/>
              </w:rPr>
              <w:t>5 (9.3%)</w:t>
            </w:r>
          </w:p>
          <w:p w14:paraId="4DCB62C4" w14:textId="77777777" w:rsidR="008E5C3C" w:rsidRPr="00857473" w:rsidRDefault="008E5C3C">
            <w:pPr>
              <w:pStyle w:val="TableText"/>
              <w:rPr>
                <w:sz w:val="16"/>
                <w:szCs w:val="16"/>
              </w:rPr>
            </w:pPr>
            <w:r w:rsidRPr="00857473">
              <w:rPr>
                <w:sz w:val="16"/>
                <w:szCs w:val="16"/>
              </w:rPr>
              <w:t>1 (1.9%)</w:t>
            </w:r>
          </w:p>
          <w:p w14:paraId="0E98EA6C" w14:textId="77777777" w:rsidR="008E5C3C" w:rsidRPr="00857473" w:rsidRDefault="008E5C3C">
            <w:pPr>
              <w:pStyle w:val="TableText"/>
              <w:rPr>
                <w:sz w:val="16"/>
                <w:szCs w:val="16"/>
              </w:rPr>
            </w:pPr>
            <w:r w:rsidRPr="00857473">
              <w:rPr>
                <w:sz w:val="16"/>
                <w:szCs w:val="16"/>
              </w:rPr>
              <w:t>1 (1.9%)</w:t>
            </w:r>
          </w:p>
          <w:p w14:paraId="1B65F652" w14:textId="77777777" w:rsidR="008E5C3C" w:rsidRPr="00857473" w:rsidRDefault="008E5C3C">
            <w:pPr>
              <w:pStyle w:val="TableText"/>
              <w:rPr>
                <w:sz w:val="16"/>
                <w:szCs w:val="16"/>
              </w:rPr>
            </w:pPr>
            <w:r w:rsidRPr="00857473">
              <w:rPr>
                <w:sz w:val="16"/>
                <w:szCs w:val="16"/>
              </w:rPr>
              <w:t>1 (1.9%)</w:t>
            </w:r>
          </w:p>
          <w:p w14:paraId="31A76D66" w14:textId="77777777" w:rsidR="008E5C3C" w:rsidRPr="00857473" w:rsidRDefault="008E5C3C">
            <w:pPr>
              <w:pStyle w:val="TableText"/>
              <w:rPr>
                <w:sz w:val="16"/>
                <w:szCs w:val="16"/>
              </w:rPr>
            </w:pPr>
            <w:r w:rsidRPr="00857473">
              <w:rPr>
                <w:sz w:val="16"/>
                <w:szCs w:val="16"/>
              </w:rPr>
              <w:t>2 (3.7%)</w:t>
            </w:r>
          </w:p>
        </w:tc>
        <w:tc>
          <w:tcPr>
            <w:tcW w:w="817" w:type="dxa"/>
          </w:tcPr>
          <w:p w14:paraId="7F1CB213" w14:textId="77777777" w:rsidR="008E5C3C" w:rsidRPr="00857473" w:rsidRDefault="008E5C3C">
            <w:pPr>
              <w:pStyle w:val="TableText"/>
              <w:rPr>
                <w:sz w:val="16"/>
                <w:szCs w:val="16"/>
              </w:rPr>
            </w:pPr>
            <w:r w:rsidRPr="00857473">
              <w:rPr>
                <w:sz w:val="16"/>
                <w:szCs w:val="16"/>
              </w:rPr>
              <w:t>4 (9</w:t>
            </w:r>
            <w:r>
              <w:rPr>
                <w:sz w:val="16"/>
                <w:szCs w:val="16"/>
              </w:rPr>
              <w:t>.0</w:t>
            </w:r>
            <w:r w:rsidRPr="00857473">
              <w:rPr>
                <w:sz w:val="16"/>
                <w:szCs w:val="16"/>
              </w:rPr>
              <w:t>%)</w:t>
            </w:r>
          </w:p>
          <w:p w14:paraId="0AE882CF" w14:textId="77777777" w:rsidR="008E5C3C" w:rsidRPr="00857473" w:rsidRDefault="008E5C3C">
            <w:pPr>
              <w:pStyle w:val="TableText"/>
              <w:rPr>
                <w:sz w:val="16"/>
                <w:szCs w:val="16"/>
              </w:rPr>
            </w:pPr>
            <w:r w:rsidRPr="00857473">
              <w:rPr>
                <w:sz w:val="16"/>
                <w:szCs w:val="16"/>
              </w:rPr>
              <w:t>0</w:t>
            </w:r>
          </w:p>
          <w:p w14:paraId="14EEF513" w14:textId="77777777" w:rsidR="008E5C3C" w:rsidRPr="00857473" w:rsidRDefault="008E5C3C">
            <w:pPr>
              <w:pStyle w:val="TableText"/>
              <w:rPr>
                <w:sz w:val="16"/>
                <w:szCs w:val="16"/>
              </w:rPr>
            </w:pPr>
            <w:r w:rsidRPr="00857473">
              <w:rPr>
                <w:sz w:val="16"/>
                <w:szCs w:val="16"/>
              </w:rPr>
              <w:t>1 (2</w:t>
            </w:r>
            <w:r>
              <w:rPr>
                <w:sz w:val="16"/>
                <w:szCs w:val="16"/>
              </w:rPr>
              <w:t>.0</w:t>
            </w:r>
            <w:r w:rsidRPr="00857473">
              <w:rPr>
                <w:sz w:val="16"/>
                <w:szCs w:val="16"/>
              </w:rPr>
              <w:t>%)</w:t>
            </w:r>
          </w:p>
          <w:p w14:paraId="2E3CA462" w14:textId="77777777" w:rsidR="008E5C3C" w:rsidRPr="00857473" w:rsidRDefault="008E5C3C">
            <w:pPr>
              <w:pStyle w:val="TableText"/>
              <w:rPr>
                <w:sz w:val="16"/>
                <w:szCs w:val="16"/>
              </w:rPr>
            </w:pPr>
            <w:r w:rsidRPr="00857473">
              <w:rPr>
                <w:sz w:val="16"/>
                <w:szCs w:val="16"/>
              </w:rPr>
              <w:t>1 (2</w:t>
            </w:r>
            <w:r>
              <w:rPr>
                <w:sz w:val="16"/>
                <w:szCs w:val="16"/>
              </w:rPr>
              <w:t>.0</w:t>
            </w:r>
            <w:r w:rsidRPr="00857473">
              <w:rPr>
                <w:sz w:val="16"/>
                <w:szCs w:val="16"/>
              </w:rPr>
              <w:t>%)</w:t>
            </w:r>
          </w:p>
          <w:p w14:paraId="677B0C34" w14:textId="77777777" w:rsidR="008E5C3C" w:rsidRPr="00857473" w:rsidRDefault="008E5C3C">
            <w:pPr>
              <w:pStyle w:val="TableText"/>
              <w:rPr>
                <w:sz w:val="16"/>
                <w:szCs w:val="16"/>
              </w:rPr>
            </w:pPr>
            <w:r w:rsidRPr="00857473">
              <w:rPr>
                <w:sz w:val="16"/>
                <w:szCs w:val="16"/>
              </w:rPr>
              <w:t>2 (4</w:t>
            </w:r>
            <w:r>
              <w:rPr>
                <w:sz w:val="16"/>
                <w:szCs w:val="16"/>
              </w:rPr>
              <w:t>.0</w:t>
            </w:r>
            <w:r w:rsidRPr="00857473">
              <w:rPr>
                <w:sz w:val="16"/>
                <w:szCs w:val="16"/>
              </w:rPr>
              <w:t>%)</w:t>
            </w:r>
          </w:p>
        </w:tc>
        <w:tc>
          <w:tcPr>
            <w:tcW w:w="816" w:type="dxa"/>
          </w:tcPr>
          <w:p w14:paraId="76902777" w14:textId="77777777" w:rsidR="008E5C3C" w:rsidRPr="009E2F9F" w:rsidRDefault="008E5C3C">
            <w:pPr>
              <w:pStyle w:val="TableText"/>
              <w:rPr>
                <w:sz w:val="16"/>
                <w:szCs w:val="16"/>
              </w:rPr>
            </w:pPr>
            <w:r w:rsidRPr="009E2F9F">
              <w:rPr>
                <w:sz w:val="16"/>
                <w:szCs w:val="16"/>
              </w:rPr>
              <w:t>2 (8.0%)</w:t>
            </w:r>
          </w:p>
          <w:p w14:paraId="1346F4BF" w14:textId="77777777" w:rsidR="008E5C3C" w:rsidRPr="009E2F9F" w:rsidRDefault="008E5C3C">
            <w:pPr>
              <w:pStyle w:val="TableText"/>
              <w:rPr>
                <w:sz w:val="16"/>
                <w:szCs w:val="16"/>
              </w:rPr>
            </w:pPr>
            <w:r w:rsidRPr="009E2F9F">
              <w:rPr>
                <w:sz w:val="16"/>
                <w:szCs w:val="16"/>
              </w:rPr>
              <w:t>0</w:t>
            </w:r>
          </w:p>
          <w:p w14:paraId="2428083F" w14:textId="77777777" w:rsidR="008E5C3C" w:rsidRPr="009E2F9F" w:rsidRDefault="008E5C3C">
            <w:pPr>
              <w:pStyle w:val="TableText"/>
              <w:rPr>
                <w:sz w:val="16"/>
                <w:szCs w:val="16"/>
              </w:rPr>
            </w:pPr>
            <w:r w:rsidRPr="009E2F9F">
              <w:rPr>
                <w:sz w:val="16"/>
                <w:szCs w:val="16"/>
              </w:rPr>
              <w:t>0</w:t>
            </w:r>
          </w:p>
          <w:p w14:paraId="2ED12FF4" w14:textId="77777777" w:rsidR="008E5C3C" w:rsidRPr="009E2F9F" w:rsidRDefault="008E5C3C">
            <w:pPr>
              <w:pStyle w:val="TableText"/>
              <w:rPr>
                <w:sz w:val="16"/>
                <w:szCs w:val="16"/>
              </w:rPr>
            </w:pPr>
            <w:r w:rsidRPr="009E2F9F">
              <w:rPr>
                <w:sz w:val="16"/>
                <w:szCs w:val="16"/>
              </w:rPr>
              <w:t>0</w:t>
            </w:r>
          </w:p>
          <w:p w14:paraId="2A298007" w14:textId="77777777" w:rsidR="008E5C3C" w:rsidRPr="009E2F9F" w:rsidRDefault="008E5C3C">
            <w:pPr>
              <w:pStyle w:val="TableText"/>
              <w:rPr>
                <w:sz w:val="16"/>
                <w:szCs w:val="16"/>
              </w:rPr>
            </w:pPr>
            <w:r w:rsidRPr="009E2F9F">
              <w:rPr>
                <w:sz w:val="16"/>
                <w:szCs w:val="16"/>
              </w:rPr>
              <w:t>2 (8.0%)</w:t>
            </w:r>
          </w:p>
        </w:tc>
        <w:tc>
          <w:tcPr>
            <w:tcW w:w="817" w:type="dxa"/>
          </w:tcPr>
          <w:p w14:paraId="152164F6" w14:textId="77777777" w:rsidR="008E5C3C" w:rsidRPr="009E2F9F" w:rsidRDefault="008E5C3C">
            <w:pPr>
              <w:pStyle w:val="TableText"/>
              <w:rPr>
                <w:sz w:val="16"/>
                <w:szCs w:val="16"/>
              </w:rPr>
            </w:pPr>
            <w:r w:rsidRPr="009E2F9F">
              <w:rPr>
                <w:sz w:val="16"/>
                <w:szCs w:val="16"/>
              </w:rPr>
              <w:t>2 (7.0%)</w:t>
            </w:r>
          </w:p>
          <w:p w14:paraId="3D2AF1BB" w14:textId="77777777" w:rsidR="008E5C3C" w:rsidRPr="009E2F9F" w:rsidRDefault="008E5C3C">
            <w:pPr>
              <w:pStyle w:val="TableText"/>
              <w:rPr>
                <w:sz w:val="16"/>
                <w:szCs w:val="16"/>
              </w:rPr>
            </w:pPr>
            <w:r w:rsidRPr="009E2F9F">
              <w:rPr>
                <w:sz w:val="16"/>
                <w:szCs w:val="16"/>
              </w:rPr>
              <w:t>0</w:t>
            </w:r>
          </w:p>
          <w:p w14:paraId="33886DE6" w14:textId="77777777" w:rsidR="008E5C3C" w:rsidRPr="009E2F9F" w:rsidRDefault="008E5C3C">
            <w:pPr>
              <w:pStyle w:val="TableText"/>
              <w:rPr>
                <w:sz w:val="16"/>
                <w:szCs w:val="16"/>
              </w:rPr>
            </w:pPr>
            <w:r w:rsidRPr="009E2F9F">
              <w:rPr>
                <w:sz w:val="16"/>
                <w:szCs w:val="16"/>
              </w:rPr>
              <w:t>0</w:t>
            </w:r>
          </w:p>
          <w:p w14:paraId="13ECD7AA" w14:textId="77777777" w:rsidR="008E5C3C" w:rsidRPr="009E2F9F" w:rsidRDefault="008E5C3C">
            <w:pPr>
              <w:pStyle w:val="TableText"/>
              <w:rPr>
                <w:sz w:val="16"/>
                <w:szCs w:val="16"/>
              </w:rPr>
            </w:pPr>
            <w:r w:rsidRPr="009E2F9F">
              <w:rPr>
                <w:sz w:val="16"/>
                <w:szCs w:val="16"/>
              </w:rPr>
              <w:t>0</w:t>
            </w:r>
          </w:p>
          <w:p w14:paraId="001A56B3" w14:textId="77777777" w:rsidR="008E5C3C" w:rsidRPr="009E2F9F" w:rsidRDefault="008E5C3C">
            <w:pPr>
              <w:pStyle w:val="TableText"/>
              <w:rPr>
                <w:sz w:val="16"/>
                <w:szCs w:val="16"/>
              </w:rPr>
            </w:pPr>
            <w:r w:rsidRPr="009E2F9F">
              <w:rPr>
                <w:sz w:val="16"/>
                <w:szCs w:val="16"/>
              </w:rPr>
              <w:t>2 (7.0%)</w:t>
            </w:r>
          </w:p>
        </w:tc>
        <w:tc>
          <w:tcPr>
            <w:tcW w:w="817" w:type="dxa"/>
          </w:tcPr>
          <w:p w14:paraId="281038B2" w14:textId="278D8C74" w:rsidR="3CD450B9" w:rsidRDefault="3CD450B9" w:rsidP="3CD450B9">
            <w:pPr>
              <w:pStyle w:val="TableText"/>
              <w:rPr>
                <w:sz w:val="16"/>
                <w:szCs w:val="16"/>
                <w:highlight w:val="green"/>
              </w:rPr>
            </w:pPr>
          </w:p>
        </w:tc>
      </w:tr>
    </w:tbl>
    <w:p w14:paraId="59A12A1B" w14:textId="1A21942B" w:rsidR="00263A76" w:rsidRPr="00527717" w:rsidRDefault="00263A76" w:rsidP="00F823C6">
      <w:pPr>
        <w:pStyle w:val="Tablenotes"/>
        <w:rPr>
          <w:b/>
          <w:bCs/>
          <w:u w:val="single"/>
        </w:rPr>
      </w:pPr>
      <w:r w:rsidRPr="00527717">
        <w:rPr>
          <w:b/>
          <w:bCs/>
          <w:u w:val="single"/>
        </w:rPr>
        <w:t>Abbreviations</w:t>
      </w:r>
    </w:p>
    <w:p w14:paraId="351C0A46" w14:textId="0E8EF4DD" w:rsidR="008E5C3C" w:rsidRPr="00F823C6" w:rsidRDefault="008E5C3C" w:rsidP="00F823C6">
      <w:pPr>
        <w:pStyle w:val="Tablenotes"/>
      </w:pPr>
      <w:r w:rsidRPr="00F823C6">
        <w:t>AE = adverse event</w:t>
      </w:r>
      <w:r w:rsidR="00F823C6">
        <w:t>,</w:t>
      </w:r>
      <w:r w:rsidRPr="00F823C6">
        <w:t xml:space="preserve"> UTT = unlikely to be transplanted</w:t>
      </w:r>
      <w:r w:rsidR="00F823C6">
        <w:t>,</w:t>
      </w:r>
      <w:r w:rsidRPr="00F823C6">
        <w:t xml:space="preserve"> UTT-A = unlikely to be transplanted</w:t>
      </w:r>
      <w:r w:rsidR="0028223C">
        <w:t xml:space="preserve"> </w:t>
      </w:r>
      <w:r w:rsidRPr="00F823C6">
        <w:t>–</w:t>
      </w:r>
      <w:r w:rsidR="0028223C">
        <w:t xml:space="preserve"> </w:t>
      </w:r>
      <w:r w:rsidRPr="00F823C6">
        <w:t xml:space="preserve">agnostic </w:t>
      </w:r>
    </w:p>
    <w:p w14:paraId="0FC2F91A" w14:textId="6DD18E56" w:rsidR="008E5C3C" w:rsidRPr="00527717" w:rsidRDefault="008E5C3C" w:rsidP="00F823C6">
      <w:pPr>
        <w:pStyle w:val="Tablenotes"/>
        <w:rPr>
          <w:b/>
          <w:bCs/>
          <w:u w:val="single"/>
        </w:rPr>
      </w:pPr>
      <w:r w:rsidRPr="00527717">
        <w:rPr>
          <w:b/>
          <w:bCs/>
          <w:u w:val="single"/>
        </w:rPr>
        <w:t xml:space="preserve">Notes </w:t>
      </w:r>
    </w:p>
    <w:p w14:paraId="45DB260C" w14:textId="77777777" w:rsidR="008E5C3C" w:rsidRPr="00F823C6" w:rsidRDefault="008E5C3C" w:rsidP="00F823C6">
      <w:pPr>
        <w:pStyle w:val="Tablenotes"/>
      </w:pPr>
      <w:r w:rsidRPr="00F823C6">
        <w:t xml:space="preserve">a) Transplantation was NOT a prespecified part of the trial protocol and only occurred at the investigators’ discretion if the possibility became available. </w:t>
      </w:r>
    </w:p>
    <w:p w14:paraId="034F7EC4" w14:textId="77777777" w:rsidR="008E5C3C" w:rsidRPr="00F823C6" w:rsidRDefault="008E5C3C" w:rsidP="00F823C6">
      <w:pPr>
        <w:pStyle w:val="Tablenotes"/>
      </w:pPr>
      <w:r w:rsidRPr="00F823C6">
        <w:t xml:space="preserve">b) One patient did not receive a transplant following an infusion-related reaction (serious adverse event) with imlifidase that resulted in treatment and study discontinuation. </w:t>
      </w:r>
    </w:p>
    <w:p w14:paraId="1BBEE7F7" w14:textId="77777777" w:rsidR="0051244D" w:rsidRDefault="008E5C3C" w:rsidP="00F823C6">
      <w:pPr>
        <w:pStyle w:val="Tablenotes"/>
      </w:pPr>
      <w:r w:rsidRPr="00F823C6">
        <w:t xml:space="preserve">c) One subject experienced graft failure and decided not to complete the study. One patient treated (0.25 mg/kg) but not transplanted in Study 13-HMedIdeS-02, was included in 13-HMedIdeS-03 1.5 years later and was treated (0.50 mg/kg) and transplanted. </w:t>
      </w:r>
    </w:p>
    <w:p w14:paraId="2E545078" w14:textId="1B4E607F" w:rsidR="005438A2" w:rsidRPr="00527717" w:rsidRDefault="00030994" w:rsidP="00F823C6">
      <w:pPr>
        <w:pStyle w:val="Tablenotes"/>
        <w:rPr>
          <w:b/>
          <w:bCs/>
          <w:u w:val="single"/>
        </w:rPr>
      </w:pPr>
      <w:r w:rsidRPr="00527717">
        <w:rPr>
          <w:b/>
          <w:u w:val="single"/>
        </w:rPr>
        <w:t xml:space="preserve">Source </w:t>
      </w:r>
    </w:p>
    <w:p w14:paraId="28F8E2F4" w14:textId="1A971389" w:rsidR="0051244D" w:rsidRPr="00F823C6" w:rsidRDefault="00334722" w:rsidP="00F823C6">
      <w:pPr>
        <w:pStyle w:val="Tablenotes"/>
      </w:pPr>
      <w:r w:rsidRPr="00334722">
        <w:t xml:space="preserve">Table </w:t>
      </w:r>
      <w:r>
        <w:t>31</w:t>
      </w:r>
      <w:r w:rsidRPr="00334722">
        <w:t>, p</w:t>
      </w:r>
      <w:r w:rsidR="005438A2">
        <w:t>.</w:t>
      </w:r>
      <w:r w:rsidRPr="00334722">
        <w:t xml:space="preserve"> </w:t>
      </w:r>
      <w:r w:rsidR="006B2167">
        <w:t>150</w:t>
      </w:r>
      <w:r w:rsidRPr="00334722">
        <w:t xml:space="preserve"> of the MSAC 1732.1 ADAR+in-line commentary</w:t>
      </w:r>
    </w:p>
    <w:p w14:paraId="231AACD4" w14:textId="59585C95" w:rsidR="005957D3" w:rsidRDefault="00187F6A" w:rsidP="00F84BA7">
      <w:pPr>
        <w:spacing w:before="240"/>
        <w:rPr>
          <w:lang w:val="en-GB"/>
        </w:rPr>
      </w:pPr>
      <w:bookmarkStart w:id="22" w:name="_Ref131597449"/>
      <w:bookmarkStart w:id="23" w:name="_Toc126746529"/>
      <w:r w:rsidRPr="00187F6A">
        <w:rPr>
          <w:lang w:val="en-GB"/>
        </w:rPr>
        <w:lastRenderedPageBreak/>
        <w:t>Imlifidase is administered in a clinical environment where numerous factors, including underlying disease, immunosuppressive treatments, hospitalisation and transplantation, can contribute to a broad range of adverse events (AEs) and safety concerns. The AEs observed in imlifidase trials were manageable and no life-threatening severe AEs occurred during the clinical program.</w:t>
      </w:r>
      <w:r w:rsidR="00CD4B1B">
        <w:rPr>
          <w:lang w:val="en-GB"/>
        </w:rPr>
        <w:t xml:space="preserve"> </w:t>
      </w:r>
    </w:p>
    <w:p w14:paraId="1267A875" w14:textId="7CE2CD4B" w:rsidR="00187F6A" w:rsidRDefault="00CD4B1B" w:rsidP="00575E36">
      <w:pPr>
        <w:rPr>
          <w:b/>
          <w:bCs/>
          <w:lang w:val="en-GB"/>
        </w:rPr>
      </w:pPr>
      <w:r w:rsidRPr="00CD4B1B">
        <w:rPr>
          <w:lang w:val="en-GB"/>
        </w:rPr>
        <w:t xml:space="preserve">Similar to other intravenously administered antibody-based agents, infusion-related reactions may occur during imlifidase infusion. To minimise this risk, glucocorticoids and antihistamines are given before dosing. AEs of particular interest included severe or serious infections (15.2%) and infusion-related reactions (2.2%), as reported for the all-transplanted population. The outlined toxicities are deemed </w:t>
      </w:r>
      <w:r w:rsidRPr="00F45C39">
        <w:rPr>
          <w:lang w:val="en-GB"/>
        </w:rPr>
        <w:t>manageable (E</w:t>
      </w:r>
      <w:r w:rsidR="00031379" w:rsidRPr="00F45C39">
        <w:rPr>
          <w:lang w:val="en-GB"/>
        </w:rPr>
        <w:t>uropean Medicines A</w:t>
      </w:r>
      <w:r w:rsidR="00C715C0" w:rsidRPr="00F45C39">
        <w:rPr>
          <w:lang w:val="en-GB"/>
        </w:rPr>
        <w:t>gency</w:t>
      </w:r>
      <w:r w:rsidRPr="00F45C39">
        <w:rPr>
          <w:lang w:val="en-GB"/>
        </w:rPr>
        <w:t xml:space="preserve"> 2020)</w:t>
      </w:r>
      <w:r w:rsidR="00BE5F11">
        <w:rPr>
          <w:lang w:val="en-GB"/>
        </w:rPr>
        <w:t>.</w:t>
      </w:r>
      <w:r w:rsidR="00C715C0" w:rsidRPr="00F45C39">
        <w:rPr>
          <w:rStyle w:val="FootnoteReference"/>
          <w:lang w:val="en-GB"/>
        </w:rPr>
        <w:footnoteReference w:id="5"/>
      </w:r>
      <w:r w:rsidRPr="00F45C39">
        <w:rPr>
          <w:lang w:val="en-GB"/>
        </w:rPr>
        <w:t xml:space="preserve"> </w:t>
      </w:r>
      <w:r w:rsidR="00D32B0B" w:rsidRPr="00F45C39">
        <w:rPr>
          <w:lang w:val="en-GB"/>
        </w:rPr>
        <w:t>Transplantation-related events, such as delayed graft function and graft rejection, are anticipated following kidney transplantation, particularly in recipients of DD organs and those undergoing their second or subsequent transplant. The risks of these events may</w:t>
      </w:r>
      <w:r w:rsidR="00D32B0B" w:rsidRPr="00D32B0B">
        <w:rPr>
          <w:lang w:val="en-GB"/>
        </w:rPr>
        <w:t xml:space="preserve"> be increased in patients receiving imlifidase due to increased cold ischaemia as a result of delays in transplantation due to imlifidase administration and additional testing required, in comparison with current practice.</w:t>
      </w:r>
      <w:r w:rsidR="00A80145">
        <w:rPr>
          <w:lang w:val="en-GB"/>
        </w:rPr>
        <w:t xml:space="preserve"> </w:t>
      </w:r>
    </w:p>
    <w:p w14:paraId="732935C7" w14:textId="20ACC7F5" w:rsidR="00C16658" w:rsidRPr="005621BA" w:rsidRDefault="00A80145" w:rsidP="001A30BC">
      <w:pPr>
        <w:rPr>
          <w:lang w:val="en-GB"/>
        </w:rPr>
      </w:pPr>
      <w:r w:rsidRPr="00A80145">
        <w:rPr>
          <w:lang w:val="en-GB"/>
        </w:rPr>
        <w:t>The ADAR also include</w:t>
      </w:r>
      <w:r w:rsidR="00701256">
        <w:rPr>
          <w:lang w:val="en-GB"/>
        </w:rPr>
        <w:t>d</w:t>
      </w:r>
      <w:r w:rsidRPr="00A80145">
        <w:rPr>
          <w:lang w:val="en-GB"/>
        </w:rPr>
        <w:t xml:space="preserve"> data from the 17-HMedIdeS-14 study, an observational follow-up investigation designed to collect long-term data (up to 5 years) from all transplanted patients involved in the imlifidase studies</w:t>
      </w:r>
      <w:bookmarkEnd w:id="22"/>
      <w:bookmarkEnd w:id="23"/>
      <w:r w:rsidR="00225CFD">
        <w:rPr>
          <w:lang w:val="en-GB"/>
        </w:rPr>
        <w:t xml:space="preserve"> (see</w:t>
      </w:r>
      <w:r w:rsidR="009404F5">
        <w:rPr>
          <w:lang w:val="en-GB"/>
        </w:rPr>
        <w:t xml:space="preserve"> Table </w:t>
      </w:r>
      <w:r w:rsidR="0002159E">
        <w:rPr>
          <w:lang w:val="en-GB"/>
        </w:rPr>
        <w:t>4</w:t>
      </w:r>
      <w:r w:rsidR="00225CFD">
        <w:rPr>
          <w:lang w:val="en-GB"/>
        </w:rPr>
        <w:t>)</w:t>
      </w:r>
      <w:r w:rsidRPr="00A80145">
        <w:rPr>
          <w:lang w:val="en-GB"/>
        </w:rPr>
        <w:t>.</w:t>
      </w:r>
    </w:p>
    <w:p w14:paraId="7CCF8AD0" w14:textId="4285258D" w:rsidR="006645AD" w:rsidRDefault="006645AD" w:rsidP="006645AD">
      <w:pPr>
        <w:pStyle w:val="Caption"/>
      </w:pPr>
      <w:bookmarkStart w:id="24" w:name="_Ref163648974"/>
      <w:r>
        <w:t xml:space="preserve">Table </w:t>
      </w:r>
      <w:bookmarkEnd w:id="24"/>
      <w:r w:rsidR="00CE0882">
        <w:t>4</w:t>
      </w:r>
      <w:r w:rsidR="009404F5">
        <w:t xml:space="preserve"> </w:t>
      </w:r>
      <w:r w:rsidRPr="00D61817">
        <w:t>Summary of patients in safety dataset in patients followed up, study 17-HMedIdeS-1</w:t>
      </w:r>
      <w:r w:rsidR="00701256">
        <w:t>4</w:t>
      </w:r>
    </w:p>
    <w:tbl>
      <w:tblPr>
        <w:tblStyle w:val="TableGridLight"/>
        <w:tblpPr w:leftFromText="181" w:rightFromText="181" w:vertAnchor="text" w:horzAnchor="margin" w:tblpY="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591"/>
        <w:gridCol w:w="1715"/>
        <w:gridCol w:w="1708"/>
        <w:gridCol w:w="1715"/>
        <w:gridCol w:w="1057"/>
      </w:tblGrid>
      <w:tr w:rsidR="00405B28" w:rsidRPr="005621BA" w14:paraId="58565AE5" w14:textId="77777777" w:rsidTr="0FD0CF2A">
        <w:trPr>
          <w:tblHeader/>
        </w:trPr>
        <w:tc>
          <w:tcPr>
            <w:tcW w:w="1230" w:type="dxa"/>
            <w:vMerge w:val="restart"/>
          </w:tcPr>
          <w:p w14:paraId="0F0105C9" w14:textId="77777777" w:rsidR="00405B28" w:rsidRPr="005621BA" w:rsidRDefault="00405B28" w:rsidP="00B77FAC">
            <w:pPr>
              <w:pStyle w:val="TableText"/>
            </w:pPr>
          </w:p>
        </w:tc>
        <w:tc>
          <w:tcPr>
            <w:tcW w:w="1591" w:type="dxa"/>
          </w:tcPr>
          <w:p w14:paraId="3547B87A" w14:textId="77777777" w:rsidR="00405B28" w:rsidRPr="00603C30" w:rsidRDefault="00405B28" w:rsidP="00B77FAC">
            <w:pPr>
              <w:pStyle w:val="TableText"/>
              <w:rPr>
                <w:b/>
                <w:bCs/>
              </w:rPr>
            </w:pPr>
            <w:r w:rsidRPr="00603C30">
              <w:rPr>
                <w:b/>
                <w:bCs/>
              </w:rPr>
              <w:t>13-HMedIdeS-02 (N=1)</w:t>
            </w:r>
          </w:p>
        </w:tc>
        <w:tc>
          <w:tcPr>
            <w:tcW w:w="1715" w:type="dxa"/>
          </w:tcPr>
          <w:p w14:paraId="1B7CEC9A" w14:textId="77777777" w:rsidR="00405B28" w:rsidRPr="00603C30" w:rsidRDefault="00405B28" w:rsidP="00B77FAC">
            <w:pPr>
              <w:pStyle w:val="TableText"/>
              <w:rPr>
                <w:b/>
                <w:bCs/>
              </w:rPr>
            </w:pPr>
            <w:r w:rsidRPr="00603C30">
              <w:rPr>
                <w:b/>
                <w:bCs/>
              </w:rPr>
              <w:t>13-HMedIdeS-03 (N=10)</w:t>
            </w:r>
          </w:p>
        </w:tc>
        <w:tc>
          <w:tcPr>
            <w:tcW w:w="1708" w:type="dxa"/>
          </w:tcPr>
          <w:p w14:paraId="228D7FFA" w14:textId="77777777" w:rsidR="00405B28" w:rsidRPr="00603C30" w:rsidRDefault="00405B28" w:rsidP="00B77FAC">
            <w:pPr>
              <w:pStyle w:val="TableText"/>
              <w:rPr>
                <w:b/>
                <w:bCs/>
              </w:rPr>
            </w:pPr>
            <w:r w:rsidRPr="00603C30">
              <w:rPr>
                <w:b/>
                <w:bCs/>
              </w:rPr>
              <w:t>14</w:t>
            </w:r>
            <w:r>
              <w:rPr>
                <w:b/>
                <w:bCs/>
              </w:rPr>
              <w:t>-</w:t>
            </w:r>
            <w:r w:rsidRPr="00603C30">
              <w:rPr>
                <w:b/>
                <w:bCs/>
              </w:rPr>
              <w:t>HMedIdeS-04 (N=11)</w:t>
            </w:r>
          </w:p>
        </w:tc>
        <w:tc>
          <w:tcPr>
            <w:tcW w:w="1715" w:type="dxa"/>
          </w:tcPr>
          <w:p w14:paraId="29735DDB" w14:textId="77777777" w:rsidR="00405B28" w:rsidRPr="00603C30" w:rsidRDefault="00405B28" w:rsidP="00B77FAC">
            <w:pPr>
              <w:pStyle w:val="TableText"/>
              <w:rPr>
                <w:b/>
                <w:bCs/>
              </w:rPr>
            </w:pPr>
            <w:r w:rsidRPr="00603C30">
              <w:rPr>
                <w:b/>
                <w:bCs/>
              </w:rPr>
              <w:t>15-HMedIdeS-06 (N=13)</w:t>
            </w:r>
          </w:p>
        </w:tc>
        <w:tc>
          <w:tcPr>
            <w:tcW w:w="1057" w:type="dxa"/>
          </w:tcPr>
          <w:p w14:paraId="49E471B3" w14:textId="77777777" w:rsidR="00405B28" w:rsidRPr="00603C30" w:rsidRDefault="00405B28" w:rsidP="00B77FAC">
            <w:pPr>
              <w:pStyle w:val="TableText"/>
              <w:rPr>
                <w:b/>
                <w:bCs/>
              </w:rPr>
            </w:pPr>
            <w:r w:rsidRPr="00603C30">
              <w:rPr>
                <w:b/>
                <w:bCs/>
              </w:rPr>
              <w:t xml:space="preserve">Total </w:t>
            </w:r>
          </w:p>
          <w:p w14:paraId="5BEAC362" w14:textId="11699411" w:rsidR="00405B28" w:rsidRPr="00603C30" w:rsidRDefault="00405B28" w:rsidP="00B77FAC">
            <w:pPr>
              <w:pStyle w:val="TableText"/>
              <w:rPr>
                <w:b/>
                <w:bCs/>
              </w:rPr>
            </w:pPr>
            <w:r w:rsidRPr="00603C30">
              <w:rPr>
                <w:b/>
                <w:bCs/>
              </w:rPr>
              <w:t>(N=35)</w:t>
            </w:r>
            <w:r w:rsidR="001A3415">
              <w:rPr>
                <w:b/>
                <w:bCs/>
                <w:vertAlign w:val="superscript"/>
              </w:rPr>
              <w:t>*</w:t>
            </w:r>
          </w:p>
        </w:tc>
      </w:tr>
      <w:tr w:rsidR="00405B28" w:rsidRPr="005621BA" w14:paraId="5FC0F95D" w14:textId="77777777" w:rsidTr="0FD0CF2A">
        <w:trPr>
          <w:tblHeader/>
        </w:trPr>
        <w:tc>
          <w:tcPr>
            <w:tcW w:w="1230" w:type="dxa"/>
            <w:vMerge/>
          </w:tcPr>
          <w:p w14:paraId="03E9EA4C" w14:textId="77777777" w:rsidR="00405B28" w:rsidRPr="005621BA" w:rsidRDefault="00405B28" w:rsidP="00B77FAC">
            <w:pPr>
              <w:pStyle w:val="TableText"/>
            </w:pPr>
          </w:p>
        </w:tc>
        <w:tc>
          <w:tcPr>
            <w:tcW w:w="1591" w:type="dxa"/>
          </w:tcPr>
          <w:p w14:paraId="3FCE16B0" w14:textId="77777777" w:rsidR="00405B28" w:rsidRPr="00603C30" w:rsidRDefault="00405B28" w:rsidP="00B77FAC">
            <w:pPr>
              <w:pStyle w:val="TableText"/>
              <w:rPr>
                <w:b/>
                <w:bCs/>
              </w:rPr>
            </w:pPr>
            <w:r w:rsidRPr="00603C30">
              <w:rPr>
                <w:b/>
                <w:bCs/>
              </w:rPr>
              <w:t>n (%)</w:t>
            </w:r>
          </w:p>
        </w:tc>
        <w:tc>
          <w:tcPr>
            <w:tcW w:w="1715" w:type="dxa"/>
          </w:tcPr>
          <w:p w14:paraId="604936CD" w14:textId="77777777" w:rsidR="00405B28" w:rsidRPr="00603C30" w:rsidRDefault="00405B28" w:rsidP="00B77FAC">
            <w:pPr>
              <w:pStyle w:val="TableText"/>
              <w:rPr>
                <w:b/>
                <w:bCs/>
              </w:rPr>
            </w:pPr>
            <w:r w:rsidRPr="00603C30">
              <w:rPr>
                <w:b/>
                <w:bCs/>
              </w:rPr>
              <w:t>n (%)</w:t>
            </w:r>
          </w:p>
        </w:tc>
        <w:tc>
          <w:tcPr>
            <w:tcW w:w="1708" w:type="dxa"/>
          </w:tcPr>
          <w:p w14:paraId="73C840A5" w14:textId="77777777" w:rsidR="00405B28" w:rsidRPr="00603C30" w:rsidRDefault="00405B28" w:rsidP="00B77FAC">
            <w:pPr>
              <w:pStyle w:val="TableText"/>
              <w:rPr>
                <w:b/>
                <w:bCs/>
              </w:rPr>
            </w:pPr>
            <w:r w:rsidRPr="00603C30">
              <w:rPr>
                <w:b/>
                <w:bCs/>
              </w:rPr>
              <w:t>n (%)</w:t>
            </w:r>
          </w:p>
        </w:tc>
        <w:tc>
          <w:tcPr>
            <w:tcW w:w="1715" w:type="dxa"/>
          </w:tcPr>
          <w:p w14:paraId="6464E28A" w14:textId="77777777" w:rsidR="00405B28" w:rsidRPr="00603C30" w:rsidRDefault="00405B28" w:rsidP="00B77FAC">
            <w:pPr>
              <w:pStyle w:val="TableText"/>
              <w:rPr>
                <w:b/>
                <w:bCs/>
              </w:rPr>
            </w:pPr>
            <w:r w:rsidRPr="00603C30">
              <w:rPr>
                <w:b/>
                <w:bCs/>
              </w:rPr>
              <w:t>n (%)</w:t>
            </w:r>
          </w:p>
        </w:tc>
        <w:tc>
          <w:tcPr>
            <w:tcW w:w="1057" w:type="dxa"/>
          </w:tcPr>
          <w:p w14:paraId="0D53B7DB" w14:textId="77777777" w:rsidR="00405B28" w:rsidRPr="00603C30" w:rsidRDefault="00405B28" w:rsidP="00B77FAC">
            <w:pPr>
              <w:pStyle w:val="TableText"/>
              <w:rPr>
                <w:b/>
                <w:bCs/>
              </w:rPr>
            </w:pPr>
            <w:r w:rsidRPr="00603C30">
              <w:rPr>
                <w:b/>
                <w:bCs/>
              </w:rPr>
              <w:t>n (%)</w:t>
            </w:r>
          </w:p>
        </w:tc>
      </w:tr>
      <w:tr w:rsidR="00405B28" w:rsidRPr="005621BA" w14:paraId="20D4D6FD" w14:textId="77777777" w:rsidTr="0FD0CF2A">
        <w:tc>
          <w:tcPr>
            <w:tcW w:w="1230" w:type="dxa"/>
          </w:tcPr>
          <w:p w14:paraId="092B5674" w14:textId="77777777" w:rsidR="00405B28" w:rsidRPr="005621BA" w:rsidRDefault="00405B28" w:rsidP="00B77FAC">
            <w:pPr>
              <w:pStyle w:val="TableText"/>
            </w:pPr>
            <w:r w:rsidRPr="005621BA">
              <w:t>Full analysis set</w:t>
            </w:r>
          </w:p>
        </w:tc>
        <w:tc>
          <w:tcPr>
            <w:tcW w:w="1591" w:type="dxa"/>
          </w:tcPr>
          <w:p w14:paraId="5EA068AB" w14:textId="77777777" w:rsidR="00405B28" w:rsidRPr="005621BA" w:rsidRDefault="00405B28" w:rsidP="00B77FAC">
            <w:pPr>
              <w:pStyle w:val="TableText"/>
            </w:pPr>
            <w:r w:rsidRPr="005621BA">
              <w:t>1 (100%)</w:t>
            </w:r>
          </w:p>
        </w:tc>
        <w:tc>
          <w:tcPr>
            <w:tcW w:w="1715" w:type="dxa"/>
          </w:tcPr>
          <w:p w14:paraId="4ADC61BB" w14:textId="77777777" w:rsidR="00405B28" w:rsidRPr="005621BA" w:rsidRDefault="00405B28" w:rsidP="00B77FAC">
            <w:pPr>
              <w:pStyle w:val="TableText"/>
            </w:pPr>
            <w:r w:rsidRPr="005621BA">
              <w:t>10 (100%)</w:t>
            </w:r>
          </w:p>
        </w:tc>
        <w:tc>
          <w:tcPr>
            <w:tcW w:w="1708" w:type="dxa"/>
          </w:tcPr>
          <w:p w14:paraId="039E1535" w14:textId="77777777" w:rsidR="00405B28" w:rsidRPr="005621BA" w:rsidRDefault="00405B28" w:rsidP="00B77FAC">
            <w:pPr>
              <w:pStyle w:val="TableText"/>
            </w:pPr>
            <w:r w:rsidRPr="005621BA">
              <w:t>11 (100%)</w:t>
            </w:r>
          </w:p>
        </w:tc>
        <w:tc>
          <w:tcPr>
            <w:tcW w:w="1715" w:type="dxa"/>
          </w:tcPr>
          <w:p w14:paraId="62A056A9" w14:textId="77777777" w:rsidR="00405B28" w:rsidRPr="005621BA" w:rsidRDefault="00405B28" w:rsidP="00B77FAC">
            <w:pPr>
              <w:pStyle w:val="TableText"/>
            </w:pPr>
            <w:r w:rsidRPr="005621BA">
              <w:t>13 (100%)</w:t>
            </w:r>
          </w:p>
        </w:tc>
        <w:tc>
          <w:tcPr>
            <w:tcW w:w="1057" w:type="dxa"/>
          </w:tcPr>
          <w:p w14:paraId="3C298B61" w14:textId="77777777" w:rsidR="00405B28" w:rsidRPr="005621BA" w:rsidRDefault="00405B28" w:rsidP="00B77FAC">
            <w:pPr>
              <w:pStyle w:val="TableText"/>
            </w:pPr>
            <w:r w:rsidRPr="005621BA">
              <w:t>35 (100%)</w:t>
            </w:r>
          </w:p>
        </w:tc>
      </w:tr>
      <w:tr w:rsidR="00405B28" w:rsidRPr="005621BA" w14:paraId="1620AC3F" w14:textId="77777777" w:rsidTr="0FD0CF2A">
        <w:tc>
          <w:tcPr>
            <w:tcW w:w="1230" w:type="dxa"/>
          </w:tcPr>
          <w:p w14:paraId="20487E14" w14:textId="77777777" w:rsidR="00405B28" w:rsidRPr="005621BA" w:rsidRDefault="00405B28" w:rsidP="00B77FAC">
            <w:pPr>
              <w:pStyle w:val="TableText"/>
            </w:pPr>
            <w:r w:rsidRPr="005621BA">
              <w:t>Completed</w:t>
            </w:r>
          </w:p>
        </w:tc>
        <w:tc>
          <w:tcPr>
            <w:tcW w:w="1591" w:type="dxa"/>
          </w:tcPr>
          <w:p w14:paraId="18199AC3" w14:textId="77777777" w:rsidR="00405B28" w:rsidRPr="005621BA" w:rsidRDefault="00405B28" w:rsidP="00B77FAC">
            <w:pPr>
              <w:pStyle w:val="TableText"/>
            </w:pPr>
            <w:r w:rsidRPr="005621BA">
              <w:t>1 (100%)</w:t>
            </w:r>
          </w:p>
        </w:tc>
        <w:tc>
          <w:tcPr>
            <w:tcW w:w="1715" w:type="dxa"/>
          </w:tcPr>
          <w:p w14:paraId="2952E7FC" w14:textId="77777777" w:rsidR="00405B28" w:rsidRPr="005621BA" w:rsidRDefault="00405B28" w:rsidP="00B77FAC">
            <w:pPr>
              <w:pStyle w:val="TableText"/>
            </w:pPr>
            <w:r w:rsidRPr="005621BA">
              <w:t>0</w:t>
            </w:r>
          </w:p>
        </w:tc>
        <w:tc>
          <w:tcPr>
            <w:tcW w:w="1708" w:type="dxa"/>
          </w:tcPr>
          <w:p w14:paraId="6C9A6A6A" w14:textId="77777777" w:rsidR="00405B28" w:rsidRPr="005621BA" w:rsidRDefault="00405B28" w:rsidP="00B77FAC">
            <w:pPr>
              <w:pStyle w:val="TableText"/>
            </w:pPr>
            <w:r w:rsidRPr="005621BA">
              <w:t>0</w:t>
            </w:r>
          </w:p>
        </w:tc>
        <w:tc>
          <w:tcPr>
            <w:tcW w:w="1715" w:type="dxa"/>
          </w:tcPr>
          <w:p w14:paraId="7AF1435D" w14:textId="77777777" w:rsidR="00405B28" w:rsidRPr="005621BA" w:rsidRDefault="00405B28" w:rsidP="00B77FAC">
            <w:pPr>
              <w:pStyle w:val="TableText"/>
            </w:pPr>
            <w:r w:rsidRPr="005621BA">
              <w:t>0</w:t>
            </w:r>
          </w:p>
        </w:tc>
        <w:tc>
          <w:tcPr>
            <w:tcW w:w="1057" w:type="dxa"/>
          </w:tcPr>
          <w:p w14:paraId="14B2457E" w14:textId="77777777" w:rsidR="00405B28" w:rsidRPr="005621BA" w:rsidRDefault="00405B28" w:rsidP="00B77FAC">
            <w:pPr>
              <w:pStyle w:val="TableText"/>
            </w:pPr>
            <w:r w:rsidRPr="005621BA">
              <w:t>1 (3%)</w:t>
            </w:r>
          </w:p>
        </w:tc>
      </w:tr>
      <w:tr w:rsidR="00405B28" w:rsidRPr="005621BA" w14:paraId="197271E0" w14:textId="77777777" w:rsidTr="0FD0CF2A">
        <w:tc>
          <w:tcPr>
            <w:tcW w:w="1230" w:type="dxa"/>
          </w:tcPr>
          <w:p w14:paraId="7E7CAC93" w14:textId="77777777" w:rsidR="00405B28" w:rsidRPr="005621BA" w:rsidRDefault="00405B28" w:rsidP="00B77FAC">
            <w:pPr>
              <w:pStyle w:val="TableText"/>
            </w:pPr>
            <w:r w:rsidRPr="005621BA">
              <w:t>Ongoing</w:t>
            </w:r>
          </w:p>
        </w:tc>
        <w:tc>
          <w:tcPr>
            <w:tcW w:w="1591" w:type="dxa"/>
          </w:tcPr>
          <w:p w14:paraId="0FF56C61" w14:textId="77777777" w:rsidR="00405B28" w:rsidRPr="005621BA" w:rsidRDefault="00405B28" w:rsidP="00B77FAC">
            <w:pPr>
              <w:pStyle w:val="TableText"/>
            </w:pPr>
            <w:r w:rsidRPr="005621BA">
              <w:t>0</w:t>
            </w:r>
          </w:p>
        </w:tc>
        <w:tc>
          <w:tcPr>
            <w:tcW w:w="1715" w:type="dxa"/>
          </w:tcPr>
          <w:p w14:paraId="554B8B25" w14:textId="77777777" w:rsidR="00405B28" w:rsidRPr="005621BA" w:rsidRDefault="00405B28" w:rsidP="00B77FAC">
            <w:pPr>
              <w:pStyle w:val="TableText"/>
            </w:pPr>
            <w:r w:rsidRPr="005621BA">
              <w:t>9 (90%)</w:t>
            </w:r>
          </w:p>
        </w:tc>
        <w:tc>
          <w:tcPr>
            <w:tcW w:w="1708" w:type="dxa"/>
          </w:tcPr>
          <w:p w14:paraId="4E25F656" w14:textId="77777777" w:rsidR="00405B28" w:rsidRPr="005621BA" w:rsidRDefault="00405B28" w:rsidP="00B77FAC">
            <w:pPr>
              <w:pStyle w:val="TableText"/>
            </w:pPr>
            <w:r w:rsidRPr="005621BA">
              <w:t>7 (64%)</w:t>
            </w:r>
          </w:p>
        </w:tc>
        <w:tc>
          <w:tcPr>
            <w:tcW w:w="1715" w:type="dxa"/>
          </w:tcPr>
          <w:p w14:paraId="216830AA" w14:textId="77777777" w:rsidR="00405B28" w:rsidRPr="005621BA" w:rsidRDefault="00405B28" w:rsidP="00B77FAC">
            <w:pPr>
              <w:pStyle w:val="TableText"/>
            </w:pPr>
            <w:r w:rsidRPr="005621BA">
              <w:t>12 (92%)</w:t>
            </w:r>
          </w:p>
        </w:tc>
        <w:tc>
          <w:tcPr>
            <w:tcW w:w="1057" w:type="dxa"/>
          </w:tcPr>
          <w:p w14:paraId="351FA10E" w14:textId="77777777" w:rsidR="00405B28" w:rsidRPr="005621BA" w:rsidRDefault="00405B28" w:rsidP="00B77FAC">
            <w:pPr>
              <w:pStyle w:val="TableText"/>
            </w:pPr>
            <w:r w:rsidRPr="005621BA">
              <w:t>28 (80%)</w:t>
            </w:r>
          </w:p>
        </w:tc>
      </w:tr>
      <w:tr w:rsidR="00405B28" w:rsidRPr="005621BA" w14:paraId="3A3B78BD" w14:textId="77777777" w:rsidTr="0FD0CF2A">
        <w:tc>
          <w:tcPr>
            <w:tcW w:w="1230" w:type="dxa"/>
          </w:tcPr>
          <w:p w14:paraId="56876568" w14:textId="77777777" w:rsidR="00405B28" w:rsidRPr="005621BA" w:rsidRDefault="00405B28" w:rsidP="00B77FAC">
            <w:pPr>
              <w:pStyle w:val="TableText"/>
            </w:pPr>
            <w:r w:rsidRPr="005621BA">
              <w:t>Discontinued</w:t>
            </w:r>
          </w:p>
        </w:tc>
        <w:tc>
          <w:tcPr>
            <w:tcW w:w="1591" w:type="dxa"/>
          </w:tcPr>
          <w:p w14:paraId="234A281D" w14:textId="77777777" w:rsidR="00405B28" w:rsidRPr="005621BA" w:rsidRDefault="00405B28" w:rsidP="00B77FAC">
            <w:pPr>
              <w:pStyle w:val="TableText"/>
            </w:pPr>
            <w:r w:rsidRPr="005621BA">
              <w:t>0</w:t>
            </w:r>
          </w:p>
        </w:tc>
        <w:tc>
          <w:tcPr>
            <w:tcW w:w="1715" w:type="dxa"/>
          </w:tcPr>
          <w:p w14:paraId="6EF1B880" w14:textId="77777777" w:rsidR="00405B28" w:rsidRPr="005621BA" w:rsidRDefault="00405B28" w:rsidP="00B77FAC">
            <w:pPr>
              <w:pStyle w:val="TableText"/>
            </w:pPr>
            <w:r w:rsidRPr="005621BA">
              <w:t>1 (10%)</w:t>
            </w:r>
          </w:p>
        </w:tc>
        <w:tc>
          <w:tcPr>
            <w:tcW w:w="1708" w:type="dxa"/>
          </w:tcPr>
          <w:p w14:paraId="4A3FE9C8" w14:textId="77777777" w:rsidR="00405B28" w:rsidRPr="005621BA" w:rsidRDefault="00405B28" w:rsidP="00B77FAC">
            <w:pPr>
              <w:pStyle w:val="TableText"/>
            </w:pPr>
            <w:r w:rsidRPr="005621BA">
              <w:t>4 (36%)</w:t>
            </w:r>
          </w:p>
        </w:tc>
        <w:tc>
          <w:tcPr>
            <w:tcW w:w="1715" w:type="dxa"/>
          </w:tcPr>
          <w:p w14:paraId="10F86B0F" w14:textId="77777777" w:rsidR="00405B28" w:rsidRPr="005621BA" w:rsidRDefault="00405B28" w:rsidP="00B77FAC">
            <w:pPr>
              <w:pStyle w:val="TableText"/>
            </w:pPr>
            <w:r w:rsidRPr="005621BA">
              <w:t>1 (8%)</w:t>
            </w:r>
          </w:p>
        </w:tc>
        <w:tc>
          <w:tcPr>
            <w:tcW w:w="1057" w:type="dxa"/>
          </w:tcPr>
          <w:p w14:paraId="252FEA47" w14:textId="77777777" w:rsidR="00405B28" w:rsidRPr="005621BA" w:rsidRDefault="00405B28" w:rsidP="00B77FAC">
            <w:pPr>
              <w:pStyle w:val="TableText"/>
            </w:pPr>
            <w:r w:rsidRPr="005621BA">
              <w:t>6 (17%)</w:t>
            </w:r>
          </w:p>
        </w:tc>
      </w:tr>
      <w:tr w:rsidR="00405B28" w:rsidRPr="005621BA" w14:paraId="46927EC5" w14:textId="77777777" w:rsidTr="0FD0CF2A">
        <w:tc>
          <w:tcPr>
            <w:tcW w:w="1230" w:type="dxa"/>
          </w:tcPr>
          <w:p w14:paraId="1693C76D" w14:textId="0D039A2B" w:rsidR="00405B28" w:rsidRPr="005621BA" w:rsidRDefault="00701256" w:rsidP="00B77FAC">
            <w:pPr>
              <w:pStyle w:val="TableText"/>
            </w:pPr>
            <w:r>
              <w:t xml:space="preserve">     </w:t>
            </w:r>
            <w:r w:rsidR="00405B28" w:rsidRPr="005621BA">
              <w:t>Graft loss</w:t>
            </w:r>
          </w:p>
        </w:tc>
        <w:tc>
          <w:tcPr>
            <w:tcW w:w="1591" w:type="dxa"/>
          </w:tcPr>
          <w:p w14:paraId="3E564F21" w14:textId="77777777" w:rsidR="00405B28" w:rsidRPr="005621BA" w:rsidRDefault="00405B28" w:rsidP="00B77FAC">
            <w:pPr>
              <w:pStyle w:val="TableText"/>
            </w:pPr>
          </w:p>
        </w:tc>
        <w:tc>
          <w:tcPr>
            <w:tcW w:w="1715" w:type="dxa"/>
          </w:tcPr>
          <w:p w14:paraId="1026771D" w14:textId="77777777" w:rsidR="00405B28" w:rsidRPr="005621BA" w:rsidRDefault="00405B28" w:rsidP="00B77FAC">
            <w:pPr>
              <w:pStyle w:val="TableText"/>
            </w:pPr>
            <w:r w:rsidRPr="005621BA">
              <w:t>0</w:t>
            </w:r>
          </w:p>
        </w:tc>
        <w:tc>
          <w:tcPr>
            <w:tcW w:w="1708" w:type="dxa"/>
          </w:tcPr>
          <w:p w14:paraId="2EB44A02" w14:textId="77777777" w:rsidR="00405B28" w:rsidRPr="005621BA" w:rsidRDefault="00405B28" w:rsidP="00B77FAC">
            <w:pPr>
              <w:pStyle w:val="TableText"/>
            </w:pPr>
            <w:r w:rsidRPr="005621BA">
              <w:t>3 (27%)</w:t>
            </w:r>
          </w:p>
        </w:tc>
        <w:tc>
          <w:tcPr>
            <w:tcW w:w="1715" w:type="dxa"/>
          </w:tcPr>
          <w:p w14:paraId="55880A96" w14:textId="77777777" w:rsidR="00405B28" w:rsidRPr="005621BA" w:rsidRDefault="00405B28" w:rsidP="00B77FAC">
            <w:pPr>
              <w:pStyle w:val="TableText"/>
            </w:pPr>
            <w:r w:rsidRPr="005621BA">
              <w:t>0</w:t>
            </w:r>
          </w:p>
        </w:tc>
        <w:tc>
          <w:tcPr>
            <w:tcW w:w="1057" w:type="dxa"/>
          </w:tcPr>
          <w:p w14:paraId="5F0B10DB" w14:textId="77777777" w:rsidR="00405B28" w:rsidRPr="005621BA" w:rsidRDefault="00405B28" w:rsidP="00B77FAC">
            <w:pPr>
              <w:pStyle w:val="TableText"/>
            </w:pPr>
            <w:r w:rsidRPr="005621BA">
              <w:t>3 (9%)</w:t>
            </w:r>
          </w:p>
        </w:tc>
      </w:tr>
      <w:tr w:rsidR="00405B28" w:rsidRPr="005621BA" w14:paraId="200BDB0E" w14:textId="77777777" w:rsidTr="0FD0CF2A">
        <w:tc>
          <w:tcPr>
            <w:tcW w:w="1230" w:type="dxa"/>
          </w:tcPr>
          <w:p w14:paraId="7D1623E7" w14:textId="6459339D" w:rsidR="00405B28" w:rsidRPr="005621BA" w:rsidRDefault="00701256" w:rsidP="00B77FAC">
            <w:pPr>
              <w:pStyle w:val="TableText"/>
            </w:pPr>
            <w:r>
              <w:t xml:space="preserve">     </w:t>
            </w:r>
            <w:r w:rsidR="00405B28" w:rsidRPr="005621BA">
              <w:t>Death</w:t>
            </w:r>
          </w:p>
        </w:tc>
        <w:tc>
          <w:tcPr>
            <w:tcW w:w="1591" w:type="dxa"/>
          </w:tcPr>
          <w:p w14:paraId="556C5B0A" w14:textId="77777777" w:rsidR="00405B28" w:rsidRPr="005621BA" w:rsidRDefault="00405B28" w:rsidP="00B77FAC">
            <w:pPr>
              <w:pStyle w:val="TableText"/>
            </w:pPr>
          </w:p>
        </w:tc>
        <w:tc>
          <w:tcPr>
            <w:tcW w:w="1715" w:type="dxa"/>
          </w:tcPr>
          <w:p w14:paraId="38ED6DDE" w14:textId="77777777" w:rsidR="00405B28" w:rsidRPr="005621BA" w:rsidRDefault="00405B28" w:rsidP="00B77FAC">
            <w:pPr>
              <w:pStyle w:val="TableText"/>
            </w:pPr>
            <w:r w:rsidRPr="005621BA">
              <w:t>1 (10%)</w:t>
            </w:r>
          </w:p>
        </w:tc>
        <w:tc>
          <w:tcPr>
            <w:tcW w:w="1708" w:type="dxa"/>
          </w:tcPr>
          <w:p w14:paraId="079CB252" w14:textId="77777777" w:rsidR="00405B28" w:rsidRPr="005621BA" w:rsidRDefault="00405B28" w:rsidP="00B77FAC">
            <w:pPr>
              <w:pStyle w:val="TableText"/>
            </w:pPr>
            <w:r w:rsidRPr="005621BA">
              <w:t>1 (9%)</w:t>
            </w:r>
          </w:p>
        </w:tc>
        <w:tc>
          <w:tcPr>
            <w:tcW w:w="1715" w:type="dxa"/>
          </w:tcPr>
          <w:p w14:paraId="2171B102" w14:textId="77777777" w:rsidR="00405B28" w:rsidRPr="005621BA" w:rsidRDefault="00405B28" w:rsidP="00B77FAC">
            <w:pPr>
              <w:pStyle w:val="TableText"/>
            </w:pPr>
            <w:r w:rsidRPr="005621BA">
              <w:t>1 (8%)</w:t>
            </w:r>
          </w:p>
        </w:tc>
        <w:tc>
          <w:tcPr>
            <w:tcW w:w="1057" w:type="dxa"/>
          </w:tcPr>
          <w:p w14:paraId="21A05C91" w14:textId="77777777" w:rsidR="00405B28" w:rsidRPr="005621BA" w:rsidRDefault="00405B28" w:rsidP="00B77FAC">
            <w:pPr>
              <w:pStyle w:val="TableText"/>
            </w:pPr>
            <w:r w:rsidRPr="005621BA">
              <w:t>3 (9%)</w:t>
            </w:r>
          </w:p>
        </w:tc>
      </w:tr>
    </w:tbl>
    <w:p w14:paraId="796CBE62" w14:textId="5CDE02AD" w:rsidR="00BE5F11" w:rsidRPr="00527717" w:rsidRDefault="00BE5F11" w:rsidP="00B73CDB">
      <w:pPr>
        <w:pStyle w:val="Tablenotes"/>
        <w:rPr>
          <w:b/>
          <w:bCs/>
          <w:u w:val="single"/>
        </w:rPr>
      </w:pPr>
      <w:r w:rsidRPr="00527717">
        <w:rPr>
          <w:b/>
          <w:bCs/>
          <w:u w:val="single"/>
        </w:rPr>
        <w:t>Abbreviations</w:t>
      </w:r>
    </w:p>
    <w:p w14:paraId="1A77E64F" w14:textId="6CD7DFFC" w:rsidR="00AB6516" w:rsidRDefault="00AB6516" w:rsidP="00B73CDB">
      <w:pPr>
        <w:pStyle w:val="Tablenotes"/>
      </w:pPr>
      <w:r w:rsidRPr="005621BA">
        <w:t xml:space="preserve">N=all subjects; n=subjects with data; %=n/N </w:t>
      </w:r>
    </w:p>
    <w:p w14:paraId="4565B8BB" w14:textId="0A43DDE1" w:rsidR="00BE5F11" w:rsidRPr="00527717" w:rsidRDefault="00BE5F11" w:rsidP="00B73CDB">
      <w:pPr>
        <w:pStyle w:val="Tablenotes"/>
        <w:rPr>
          <w:b/>
          <w:bCs/>
          <w:u w:val="single"/>
        </w:rPr>
      </w:pPr>
      <w:r>
        <w:rPr>
          <w:b/>
          <w:bCs/>
          <w:u w:val="single"/>
        </w:rPr>
        <w:t>Note</w:t>
      </w:r>
    </w:p>
    <w:p w14:paraId="04CB1AE0" w14:textId="7693D5C9" w:rsidR="00AB6516" w:rsidRPr="005621BA" w:rsidRDefault="001A3415" w:rsidP="00B73CDB">
      <w:pPr>
        <w:pStyle w:val="Tablenotes"/>
      </w:pPr>
      <w:r>
        <w:rPr>
          <w:vertAlign w:val="superscript"/>
        </w:rPr>
        <w:t>*</w:t>
      </w:r>
      <w:r w:rsidR="00AB6516" w:rsidRPr="005621BA">
        <w:t xml:space="preserve"> </w:t>
      </w:r>
      <w:r>
        <w:t>R</w:t>
      </w:r>
      <w:r w:rsidR="00AB6516" w:rsidRPr="005621BA">
        <w:t xml:space="preserve">epresents 35 of the 46 patients in the </w:t>
      </w:r>
      <w:r w:rsidR="00AB6516">
        <w:t>a</w:t>
      </w:r>
      <w:r w:rsidR="00AB6516" w:rsidRPr="005621BA">
        <w:t>ll-</w:t>
      </w:r>
      <w:r w:rsidR="00AB6516">
        <w:t>t</w:t>
      </w:r>
      <w:r w:rsidR="00AB6516" w:rsidRPr="005621BA">
        <w:t>ransplanted group that were followed up at year 2.</w:t>
      </w:r>
    </w:p>
    <w:p w14:paraId="6FBB5798" w14:textId="30B8A615" w:rsidR="00584EDE" w:rsidRPr="00527717" w:rsidRDefault="00863983" w:rsidP="00B73CDB">
      <w:pPr>
        <w:pStyle w:val="Tablenotes"/>
        <w:rPr>
          <w:b/>
          <w:u w:val="single"/>
        </w:rPr>
      </w:pPr>
      <w:r w:rsidRPr="00527717">
        <w:rPr>
          <w:b/>
          <w:u w:val="single"/>
        </w:rPr>
        <w:t xml:space="preserve">Source </w:t>
      </w:r>
    </w:p>
    <w:p w14:paraId="31D5B630" w14:textId="1F8A1052" w:rsidR="00A80145" w:rsidRDefault="00EE0F97" w:rsidP="00B73CDB">
      <w:pPr>
        <w:pStyle w:val="Tablenotes"/>
      </w:pPr>
      <w:r>
        <w:t xml:space="preserve">Adapted from </w:t>
      </w:r>
      <w:r w:rsidRPr="00EE0F97">
        <w:t xml:space="preserve">Table </w:t>
      </w:r>
      <w:r>
        <w:t>32</w:t>
      </w:r>
      <w:r w:rsidRPr="00EE0F97">
        <w:t>, p</w:t>
      </w:r>
      <w:r w:rsidR="00F63336">
        <w:t>.</w:t>
      </w:r>
      <w:r w:rsidRPr="00EE0F97">
        <w:t xml:space="preserve"> </w:t>
      </w:r>
      <w:r>
        <w:t>151</w:t>
      </w:r>
      <w:r w:rsidRPr="00EE0F97">
        <w:t xml:space="preserve"> of the MSAC 1732.1 ADAR+in-line commentary </w:t>
      </w:r>
    </w:p>
    <w:p w14:paraId="2FAF7DD9" w14:textId="34C637AA" w:rsidR="00D0281B" w:rsidRPr="008D2C38" w:rsidRDefault="00F02465" w:rsidP="00F84BA7">
      <w:pPr>
        <w:spacing w:before="240"/>
        <w:rPr>
          <w:lang w:val="en-GB"/>
        </w:rPr>
      </w:pPr>
      <w:r>
        <w:rPr>
          <w:lang w:val="en-GB"/>
        </w:rPr>
        <w:t>The ADAR reported the following key findings regarding the safety of the comparator (dialysis): d</w:t>
      </w:r>
      <w:r w:rsidR="00917EAB" w:rsidRPr="007850D2">
        <w:rPr>
          <w:lang w:val="en-GB"/>
        </w:rPr>
        <w:t>ialysis is associated with significant AEs</w:t>
      </w:r>
      <w:r w:rsidR="00584EDE">
        <w:rPr>
          <w:lang w:val="en-GB"/>
        </w:rPr>
        <w:t>,</w:t>
      </w:r>
      <w:r w:rsidR="00917EAB" w:rsidRPr="007850D2">
        <w:rPr>
          <w:lang w:val="en-GB"/>
        </w:rPr>
        <w:t xml:space="preserve"> including peritonitis with </w:t>
      </w:r>
      <w:r>
        <w:rPr>
          <w:lang w:val="en-GB"/>
        </w:rPr>
        <w:t>peritoneal dialysis</w:t>
      </w:r>
      <w:r w:rsidR="00917EAB" w:rsidRPr="007850D2">
        <w:rPr>
          <w:lang w:val="en-GB"/>
        </w:rPr>
        <w:t xml:space="preserve"> (mean 0.28 episodes per year reported in Australia) and </w:t>
      </w:r>
      <w:r w:rsidR="00260D78">
        <w:rPr>
          <w:lang w:val="en-GB"/>
        </w:rPr>
        <w:t>haemodialysis</w:t>
      </w:r>
      <w:r w:rsidR="00917EAB" w:rsidRPr="007850D2">
        <w:rPr>
          <w:lang w:val="en-GB"/>
        </w:rPr>
        <w:t xml:space="preserve"> with high rates of arteriovenous fistula stenosis and cardiovascular disease that can reduce survival, plus fatigue and reduced quality of life that adversely impacts patient daily functioning</w:t>
      </w:r>
      <w:r w:rsidR="00027B6F">
        <w:rPr>
          <w:lang w:val="en-GB"/>
        </w:rPr>
        <w:t>.</w:t>
      </w:r>
      <w:r w:rsidR="004529A4">
        <w:rPr>
          <w:lang w:val="en-GB"/>
        </w:rPr>
        <w:t xml:space="preserve"> </w:t>
      </w:r>
      <w:r w:rsidR="00D0281B" w:rsidRPr="00D0281B">
        <w:rPr>
          <w:lang w:val="en-GB"/>
        </w:rPr>
        <w:t>A formal indirect comparison of key AEs for imlifidase vs the comparator</w:t>
      </w:r>
      <w:r w:rsidR="00D0281B">
        <w:rPr>
          <w:lang w:val="en-GB"/>
        </w:rPr>
        <w:t xml:space="preserve"> </w:t>
      </w:r>
      <w:r w:rsidR="00D0281B" w:rsidRPr="00D0281B">
        <w:rPr>
          <w:lang w:val="en-GB"/>
        </w:rPr>
        <w:t>dialysis</w:t>
      </w:r>
      <w:r w:rsidR="00D0281B">
        <w:rPr>
          <w:lang w:val="en-GB"/>
        </w:rPr>
        <w:t xml:space="preserve"> </w:t>
      </w:r>
      <w:r w:rsidR="00260D78">
        <w:rPr>
          <w:lang w:val="en-GB"/>
        </w:rPr>
        <w:t>was</w:t>
      </w:r>
      <w:r w:rsidR="00D0281B">
        <w:rPr>
          <w:lang w:val="en-GB"/>
        </w:rPr>
        <w:t xml:space="preserve"> not included</w:t>
      </w:r>
      <w:r w:rsidR="00763782">
        <w:rPr>
          <w:lang w:val="en-GB"/>
        </w:rPr>
        <w:t xml:space="preserve"> in the ADAR</w:t>
      </w:r>
      <w:r w:rsidR="00920926">
        <w:rPr>
          <w:lang w:val="en-GB"/>
        </w:rPr>
        <w:t xml:space="preserve">. </w:t>
      </w:r>
    </w:p>
    <w:p w14:paraId="70FC5B46" w14:textId="370EC1CD" w:rsidR="00A80145" w:rsidRPr="00260D78" w:rsidRDefault="00CC1A37" w:rsidP="00405B28">
      <w:pPr>
        <w:pStyle w:val="Notes-TableFigure"/>
        <w:rPr>
          <w:rFonts w:ascii="Franklin Gothic Book" w:hAnsi="Franklin Gothic Book"/>
          <w:b/>
          <w:bCs/>
          <w:sz w:val="22"/>
          <w:szCs w:val="28"/>
          <w:u w:val="single"/>
        </w:rPr>
      </w:pPr>
      <w:r w:rsidRPr="00E217E2">
        <w:rPr>
          <w:rFonts w:ascii="Franklin Gothic Book" w:hAnsi="Franklin Gothic Book"/>
          <w:sz w:val="22"/>
          <w:szCs w:val="28"/>
        </w:rPr>
        <w:t xml:space="preserve">The </w:t>
      </w:r>
      <w:r w:rsidR="00EA27C3">
        <w:rPr>
          <w:rFonts w:ascii="Franklin Gothic Book" w:hAnsi="Franklin Gothic Book"/>
          <w:sz w:val="22"/>
          <w:szCs w:val="28"/>
        </w:rPr>
        <w:t xml:space="preserve">commentary of the </w:t>
      </w:r>
      <w:r w:rsidR="00E05F24">
        <w:rPr>
          <w:rFonts w:ascii="Franklin Gothic Book" w:hAnsi="Franklin Gothic Book"/>
          <w:sz w:val="22"/>
          <w:szCs w:val="28"/>
        </w:rPr>
        <w:t>2023</w:t>
      </w:r>
      <w:r w:rsidR="00EA27C3">
        <w:rPr>
          <w:rFonts w:ascii="Franklin Gothic Book" w:hAnsi="Franklin Gothic Book"/>
          <w:sz w:val="22"/>
          <w:szCs w:val="28"/>
        </w:rPr>
        <w:t xml:space="preserve"> submission (MSAC 1732)</w:t>
      </w:r>
      <w:r w:rsidRPr="00E217E2">
        <w:rPr>
          <w:rFonts w:ascii="Franklin Gothic Book" w:hAnsi="Franklin Gothic Book"/>
          <w:sz w:val="22"/>
          <w:szCs w:val="28"/>
        </w:rPr>
        <w:t xml:space="preserve"> consider</w:t>
      </w:r>
      <w:r w:rsidR="00701256">
        <w:rPr>
          <w:rFonts w:ascii="Franklin Gothic Book" w:hAnsi="Franklin Gothic Book"/>
          <w:sz w:val="22"/>
          <w:szCs w:val="28"/>
        </w:rPr>
        <w:t>ed</w:t>
      </w:r>
      <w:r w:rsidRPr="00E217E2">
        <w:rPr>
          <w:rFonts w:ascii="Franklin Gothic Book" w:hAnsi="Franklin Gothic Book"/>
          <w:sz w:val="22"/>
          <w:szCs w:val="28"/>
        </w:rPr>
        <w:t xml:space="preserve"> that using imlifidase leads to safety outcomes that are at least non-inferior</w:t>
      </w:r>
      <w:r w:rsidR="00584EDE">
        <w:rPr>
          <w:rFonts w:ascii="Franklin Gothic Book" w:hAnsi="Franklin Gothic Book"/>
          <w:sz w:val="22"/>
          <w:szCs w:val="28"/>
        </w:rPr>
        <w:t>; h</w:t>
      </w:r>
      <w:r w:rsidRPr="00E217E2">
        <w:rPr>
          <w:rFonts w:ascii="Franklin Gothic Book" w:hAnsi="Franklin Gothic Book"/>
          <w:sz w:val="22"/>
          <w:szCs w:val="28"/>
        </w:rPr>
        <w:t xml:space="preserve">owever, the lack of longer-term data raises </w:t>
      </w:r>
      <w:r w:rsidRPr="00E217E2">
        <w:rPr>
          <w:rFonts w:ascii="Franklin Gothic Book" w:hAnsi="Franklin Gothic Book"/>
          <w:sz w:val="22"/>
          <w:szCs w:val="28"/>
        </w:rPr>
        <w:lastRenderedPageBreak/>
        <w:t>concerns about the potential long-term safety issues associated with imlifidase therapy. While the existing evidence provides a foundation for understanding the treatment's safety, further research with larger sample sizes and extended follow-up periods would be valuable to substantiate the findings and to better evaluate the long-term safety profile of imlifidase in the context of kidney transplantation.</w:t>
      </w:r>
    </w:p>
    <w:p w14:paraId="3717AA01" w14:textId="71E58B41" w:rsidR="00772829" w:rsidRPr="00CE28E3" w:rsidRDefault="00F84BA7" w:rsidP="002A18BE">
      <w:pPr>
        <w:pStyle w:val="Heading2"/>
        <w:numPr>
          <w:ilvl w:val="1"/>
          <w:numId w:val="0"/>
        </w:numPr>
      </w:pPr>
      <w:bookmarkStart w:id="25" w:name="_Toc69491424"/>
      <w:r>
        <w:t>12</w:t>
      </w:r>
      <w:r w:rsidR="00C36633">
        <w:t>.</w:t>
      </w:r>
      <w:r w:rsidR="00C36633">
        <w:tab/>
      </w:r>
      <w:r w:rsidR="00772829" w:rsidRPr="00CE28E3">
        <w:t>Comparative effectiveness</w:t>
      </w:r>
      <w:bookmarkEnd w:id="25"/>
    </w:p>
    <w:p w14:paraId="34A0501C" w14:textId="21923659" w:rsidR="00AF5F99" w:rsidRPr="006D1797" w:rsidRDefault="00AF5F99" w:rsidP="00F9637E">
      <w:pPr>
        <w:pStyle w:val="Heading3"/>
      </w:pPr>
      <w:r w:rsidRPr="006D1797">
        <w:t xml:space="preserve">Crossmatch conversion with </w:t>
      </w:r>
      <w:r w:rsidR="00E36F69" w:rsidRPr="006D1797">
        <w:t>imlifidase</w:t>
      </w:r>
    </w:p>
    <w:p w14:paraId="1599BE61" w14:textId="09233979" w:rsidR="006D1797" w:rsidRPr="006D1797" w:rsidRDefault="009842AA" w:rsidP="00AF5F99">
      <w:pPr>
        <w:pStyle w:val="Instructionaltext"/>
        <w:rPr>
          <w:color w:val="auto"/>
        </w:rPr>
      </w:pPr>
      <w:r w:rsidRPr="006D1797">
        <w:rPr>
          <w:color w:val="auto"/>
        </w:rPr>
        <w:t xml:space="preserve">The </w:t>
      </w:r>
      <w:r w:rsidR="001A0A09" w:rsidRPr="006D1797">
        <w:rPr>
          <w:color w:val="auto"/>
        </w:rPr>
        <w:t>pooled</w:t>
      </w:r>
      <w:r w:rsidRPr="006D1797">
        <w:rPr>
          <w:color w:val="auto"/>
        </w:rPr>
        <w:t xml:space="preserve"> </w:t>
      </w:r>
      <w:r w:rsidR="00AC2AE4" w:rsidRPr="006D1797">
        <w:rPr>
          <w:color w:val="auto"/>
        </w:rPr>
        <w:t xml:space="preserve">studies </w:t>
      </w:r>
      <w:r w:rsidR="00860154" w:rsidRPr="006D1797">
        <w:rPr>
          <w:color w:val="auto"/>
        </w:rPr>
        <w:t>reported no non-responders to imlifidase</w:t>
      </w:r>
      <w:r w:rsidR="007B600A" w:rsidRPr="006D1797">
        <w:rPr>
          <w:color w:val="auto"/>
        </w:rPr>
        <w:t>, with the use of imlifidase</w:t>
      </w:r>
      <w:r w:rsidR="00912796" w:rsidRPr="006D1797">
        <w:rPr>
          <w:color w:val="auto"/>
        </w:rPr>
        <w:t xml:space="preserve"> allowing </w:t>
      </w:r>
      <w:r w:rsidR="00214498" w:rsidRPr="006D1797">
        <w:rPr>
          <w:color w:val="auto"/>
        </w:rPr>
        <w:t xml:space="preserve">crossmatch conversion and DSA elimination in all </w:t>
      </w:r>
      <w:r w:rsidR="00AB2008">
        <w:rPr>
          <w:color w:val="auto"/>
        </w:rPr>
        <w:t>UTT</w:t>
      </w:r>
      <w:r w:rsidR="00A14896">
        <w:rPr>
          <w:color w:val="auto"/>
        </w:rPr>
        <w:t xml:space="preserve"> (</w:t>
      </w:r>
      <w:r w:rsidR="005E3925">
        <w:rPr>
          <w:color w:val="auto"/>
        </w:rPr>
        <w:t>u</w:t>
      </w:r>
      <w:r w:rsidR="00A14896">
        <w:rPr>
          <w:color w:val="auto"/>
        </w:rPr>
        <w:t xml:space="preserve">nlikely to </w:t>
      </w:r>
      <w:r w:rsidR="005E3925">
        <w:rPr>
          <w:color w:val="auto"/>
        </w:rPr>
        <w:t>t</w:t>
      </w:r>
      <w:r w:rsidR="00A14896">
        <w:rPr>
          <w:color w:val="auto"/>
        </w:rPr>
        <w:t>ransplant)</w:t>
      </w:r>
      <w:r w:rsidR="00AB2008">
        <w:rPr>
          <w:color w:val="auto"/>
        </w:rPr>
        <w:t xml:space="preserve"> and UTT-A </w:t>
      </w:r>
      <w:r w:rsidR="00A14896">
        <w:rPr>
          <w:color w:val="auto"/>
        </w:rPr>
        <w:t>(</w:t>
      </w:r>
      <w:r w:rsidR="005E3925">
        <w:rPr>
          <w:color w:val="auto"/>
        </w:rPr>
        <w:t>u</w:t>
      </w:r>
      <w:r w:rsidR="00A14896">
        <w:rPr>
          <w:color w:val="auto"/>
        </w:rPr>
        <w:t xml:space="preserve">nlikely to </w:t>
      </w:r>
      <w:r w:rsidR="005E3925">
        <w:rPr>
          <w:color w:val="auto"/>
        </w:rPr>
        <w:t>t</w:t>
      </w:r>
      <w:r w:rsidR="00A14896">
        <w:rPr>
          <w:color w:val="auto"/>
        </w:rPr>
        <w:t xml:space="preserve">ransplant – </w:t>
      </w:r>
      <w:r w:rsidR="005E3925">
        <w:rPr>
          <w:color w:val="auto"/>
        </w:rPr>
        <w:t>a</w:t>
      </w:r>
      <w:r w:rsidR="00A14896">
        <w:rPr>
          <w:color w:val="auto"/>
        </w:rPr>
        <w:t xml:space="preserve">gnostic) </w:t>
      </w:r>
      <w:r w:rsidR="00214498" w:rsidRPr="006D1797">
        <w:rPr>
          <w:color w:val="auto"/>
        </w:rPr>
        <w:t>participants</w:t>
      </w:r>
      <w:r w:rsidR="008C12F7" w:rsidRPr="006D1797">
        <w:rPr>
          <w:color w:val="auto"/>
        </w:rPr>
        <w:t xml:space="preserve">. </w:t>
      </w:r>
      <w:r w:rsidR="001F03F9" w:rsidRPr="006D1797">
        <w:rPr>
          <w:color w:val="auto"/>
        </w:rPr>
        <w:t>All crossmatch</w:t>
      </w:r>
      <w:r w:rsidR="0059672E">
        <w:rPr>
          <w:color w:val="auto"/>
        </w:rPr>
        <w:t>-</w:t>
      </w:r>
      <w:r w:rsidR="001F03F9" w:rsidRPr="006D1797">
        <w:rPr>
          <w:color w:val="auto"/>
        </w:rPr>
        <w:t>positive patients were converted to negative within 24 hours</w:t>
      </w:r>
      <w:r w:rsidR="00C05029" w:rsidRPr="006D1797">
        <w:rPr>
          <w:color w:val="auto"/>
        </w:rPr>
        <w:t xml:space="preserve"> and subsequently underwent transplant</w:t>
      </w:r>
      <w:r w:rsidR="001F03F9" w:rsidRPr="006D1797">
        <w:rPr>
          <w:color w:val="auto"/>
        </w:rPr>
        <w:t xml:space="preserve">. </w:t>
      </w:r>
      <w:r w:rsidR="00AE07BA">
        <w:rPr>
          <w:color w:val="auto"/>
        </w:rPr>
        <w:t xml:space="preserve">The </w:t>
      </w:r>
      <w:r w:rsidR="00D456C0">
        <w:rPr>
          <w:color w:val="auto"/>
        </w:rPr>
        <w:t xml:space="preserve">additional </w:t>
      </w:r>
      <w:r w:rsidR="009A75CE">
        <w:rPr>
          <w:color w:val="auto"/>
        </w:rPr>
        <w:t xml:space="preserve">data </w:t>
      </w:r>
      <w:r w:rsidR="00CF3B0D">
        <w:rPr>
          <w:color w:val="auto"/>
        </w:rPr>
        <w:t xml:space="preserve">supplied </w:t>
      </w:r>
      <w:r w:rsidR="007B4526">
        <w:rPr>
          <w:color w:val="auto"/>
        </w:rPr>
        <w:t>for a</w:t>
      </w:r>
      <w:r w:rsidR="00D86406" w:rsidRPr="00D86406">
        <w:rPr>
          <w:color w:val="auto"/>
        </w:rPr>
        <w:t>ll AUS-UTT-A patients (</w:t>
      </w:r>
      <w:r w:rsidR="00351401">
        <w:rPr>
          <w:color w:val="auto"/>
        </w:rPr>
        <w:t>N</w:t>
      </w:r>
      <w:r w:rsidR="00857017">
        <w:rPr>
          <w:color w:val="auto"/>
        </w:rPr>
        <w:t> </w:t>
      </w:r>
      <w:r w:rsidR="00857017" w:rsidRPr="00D86406">
        <w:rPr>
          <w:color w:val="auto"/>
        </w:rPr>
        <w:t>=</w:t>
      </w:r>
      <w:r w:rsidR="00857017">
        <w:rPr>
          <w:color w:val="auto"/>
        </w:rPr>
        <w:t> </w:t>
      </w:r>
      <w:r w:rsidR="00D86406" w:rsidRPr="00D86406">
        <w:rPr>
          <w:color w:val="auto"/>
        </w:rPr>
        <w:t xml:space="preserve">24) were crossmatch positive pre-dose. All patients converted from crossmatch positive to negative, </w:t>
      </w:r>
      <w:r w:rsidR="00B70A8D">
        <w:rPr>
          <w:color w:val="auto"/>
        </w:rPr>
        <w:t xml:space="preserve">with the exception of </w:t>
      </w:r>
      <w:r w:rsidR="00D86406" w:rsidRPr="00D86406">
        <w:rPr>
          <w:color w:val="auto"/>
        </w:rPr>
        <w:t>one case (</w:t>
      </w:r>
      <w:r w:rsidR="008B58D7">
        <w:rPr>
          <w:color w:val="auto"/>
        </w:rPr>
        <w:t>also included in the</w:t>
      </w:r>
      <w:r w:rsidR="00D86406" w:rsidRPr="00D86406">
        <w:rPr>
          <w:color w:val="auto"/>
        </w:rPr>
        <w:t xml:space="preserve"> UTT and UTT-A population</w:t>
      </w:r>
      <w:r w:rsidR="008B58D7">
        <w:rPr>
          <w:color w:val="auto"/>
        </w:rPr>
        <w:t>s</w:t>
      </w:r>
      <w:r w:rsidR="00D86406" w:rsidRPr="00D86406">
        <w:rPr>
          <w:color w:val="auto"/>
        </w:rPr>
        <w:t xml:space="preserve">), which was shown to be borderline positive from flow </w:t>
      </w:r>
      <w:r w:rsidR="00701256">
        <w:rPr>
          <w:color w:val="auto"/>
        </w:rPr>
        <w:t xml:space="preserve">cytometry </w:t>
      </w:r>
      <w:r w:rsidR="00D86406" w:rsidRPr="00D86406">
        <w:rPr>
          <w:color w:val="auto"/>
        </w:rPr>
        <w:t xml:space="preserve">crossmatch at 24 hours </w:t>
      </w:r>
      <w:r w:rsidR="00B70A8D">
        <w:rPr>
          <w:color w:val="auto"/>
        </w:rPr>
        <w:t xml:space="preserve">although it then </w:t>
      </w:r>
      <w:r w:rsidR="00D86406" w:rsidRPr="00D86406">
        <w:rPr>
          <w:color w:val="auto"/>
        </w:rPr>
        <w:t>had a negative virtual crossmatch at 2 hours. The flow</w:t>
      </w:r>
      <w:r w:rsidR="00701256">
        <w:rPr>
          <w:color w:val="auto"/>
        </w:rPr>
        <w:t xml:space="preserve"> cytometry </w:t>
      </w:r>
      <w:r w:rsidR="00B92702" w:rsidRPr="00B92702">
        <w:rPr>
          <w:color w:val="auto"/>
        </w:rPr>
        <w:t>crossmatch</w:t>
      </w:r>
      <w:r w:rsidR="00B92702" w:rsidRPr="00B92702" w:rsidDel="00B92702">
        <w:rPr>
          <w:color w:val="auto"/>
        </w:rPr>
        <w:t xml:space="preserve"> </w:t>
      </w:r>
      <w:r w:rsidR="00D86406" w:rsidRPr="00D86406">
        <w:rPr>
          <w:color w:val="auto"/>
        </w:rPr>
        <w:t>did not correlate to DSAs and was interpreted as not clinically significant. The patient proceeded to transplantation.</w:t>
      </w:r>
      <w:r w:rsidR="00D86406">
        <w:rPr>
          <w:color w:val="auto"/>
        </w:rPr>
        <w:t xml:space="preserve"> </w:t>
      </w:r>
      <w:r w:rsidR="001F03F9" w:rsidRPr="006D1797">
        <w:rPr>
          <w:color w:val="auto"/>
        </w:rPr>
        <w:t>The levels of anti-</w:t>
      </w:r>
      <w:r w:rsidR="00701256" w:rsidRPr="008911F7" w:rsidDel="00701256">
        <w:rPr>
          <w:color w:val="auto"/>
        </w:rPr>
        <w:t xml:space="preserve"> </w:t>
      </w:r>
      <w:r w:rsidR="001F03F9" w:rsidRPr="006D1797">
        <w:rPr>
          <w:color w:val="auto"/>
        </w:rPr>
        <w:t>HLA antibodies and DSA were substantially and significantly reduced in all patients, between 6 and 24 hours after treatment.</w:t>
      </w:r>
    </w:p>
    <w:p w14:paraId="28FB1563" w14:textId="01249710" w:rsidR="008B485D" w:rsidRPr="006D1797" w:rsidRDefault="004B4F60" w:rsidP="00F9637E">
      <w:pPr>
        <w:pStyle w:val="Heading3"/>
      </w:pPr>
      <w:r w:rsidRPr="006D1797">
        <w:t>Patient survival</w:t>
      </w:r>
    </w:p>
    <w:p w14:paraId="1D90888C" w14:textId="1F7FCEA8" w:rsidR="00076D10" w:rsidRPr="004B7C87" w:rsidRDefault="00076D10" w:rsidP="00DB26C3">
      <w:r w:rsidRPr="004B7C87">
        <w:t>Patient survival and graft survival outcomes are summarised in</w:t>
      </w:r>
      <w:r w:rsidR="009404F5">
        <w:t xml:space="preserve"> Table </w:t>
      </w:r>
      <w:r w:rsidR="0002159E">
        <w:t>5</w:t>
      </w:r>
      <w:r w:rsidR="009256D6" w:rsidRPr="00DB26C3">
        <w:t>.</w:t>
      </w:r>
    </w:p>
    <w:p w14:paraId="1A25C881" w14:textId="74ADA1FF" w:rsidR="00036AC7" w:rsidRPr="00E4282D" w:rsidRDefault="00036AC7" w:rsidP="00036AC7">
      <w:pPr>
        <w:pStyle w:val="Instructionaltext"/>
        <w:rPr>
          <w:color w:val="auto"/>
        </w:rPr>
      </w:pPr>
      <w:r w:rsidRPr="006D1797">
        <w:rPr>
          <w:color w:val="auto"/>
        </w:rPr>
        <w:t xml:space="preserve">All patients in the </w:t>
      </w:r>
      <w:r w:rsidR="003A2BB2">
        <w:rPr>
          <w:color w:val="auto"/>
        </w:rPr>
        <w:t>AUS-UTT-A</w:t>
      </w:r>
      <w:r w:rsidRPr="006D1797">
        <w:rPr>
          <w:color w:val="auto"/>
        </w:rPr>
        <w:t xml:space="preserve"> population were alive at the end of the clinical trial period (6 months); however, 3 patients died after this time. The ADAR did not present any reason to </w:t>
      </w:r>
      <w:r w:rsidRPr="00E4282D">
        <w:rPr>
          <w:color w:val="auto"/>
        </w:rPr>
        <w:t>assume that any death was related to the administration of imlifidase or due to kidney malfunction.</w:t>
      </w:r>
    </w:p>
    <w:p w14:paraId="3689CA44" w14:textId="6D77F2AF" w:rsidR="00036AC7" w:rsidRPr="006D1797" w:rsidRDefault="00036AC7" w:rsidP="00036AC7">
      <w:pPr>
        <w:pStyle w:val="Instructionaltext"/>
        <w:rPr>
          <w:color w:val="auto"/>
        </w:rPr>
      </w:pPr>
      <w:r w:rsidRPr="00E4282D">
        <w:rPr>
          <w:color w:val="auto"/>
        </w:rPr>
        <w:t xml:space="preserve">The </w:t>
      </w:r>
      <w:r w:rsidR="000054A8" w:rsidRPr="00E4282D">
        <w:rPr>
          <w:color w:val="auto"/>
        </w:rPr>
        <w:t>5</w:t>
      </w:r>
      <w:r w:rsidRPr="00E4282D">
        <w:rPr>
          <w:color w:val="auto"/>
        </w:rPr>
        <w:t xml:space="preserve">-year long-term imlifidase study </w:t>
      </w:r>
      <w:r w:rsidR="00D860F8" w:rsidRPr="00F117CF">
        <w:rPr>
          <w:color w:val="auto"/>
        </w:rPr>
        <w:t>(</w:t>
      </w:r>
      <w:r w:rsidR="00D860F8" w:rsidRPr="00527717">
        <w:rPr>
          <w:color w:val="auto"/>
        </w:rPr>
        <w:t>17-HMedIdeS-14</w:t>
      </w:r>
      <w:r w:rsidR="00D860F8" w:rsidRPr="00F117CF">
        <w:rPr>
          <w:color w:val="auto"/>
        </w:rPr>
        <w:t>)</w:t>
      </w:r>
      <w:r w:rsidR="00D860F8">
        <w:rPr>
          <w:color w:val="auto"/>
        </w:rPr>
        <w:t xml:space="preserve"> </w:t>
      </w:r>
      <w:r w:rsidRPr="00E4282D">
        <w:rPr>
          <w:color w:val="auto"/>
        </w:rPr>
        <w:t xml:space="preserve">follow-up data showed an overall patient survival rate of </w:t>
      </w:r>
      <w:r w:rsidR="000054A8" w:rsidRPr="00E4282D">
        <w:rPr>
          <w:color w:val="auto"/>
        </w:rPr>
        <w:t>83% for the AUS-UTT-A population</w:t>
      </w:r>
      <w:r w:rsidRPr="00E4282D">
        <w:rPr>
          <w:color w:val="auto"/>
        </w:rPr>
        <w:t xml:space="preserve">. In the larger all-transplanted imlifidase population, survival was 92% at year 3, being similar to survival seen in the Canadian </w:t>
      </w:r>
      <w:r w:rsidR="00701256">
        <w:rPr>
          <w:color w:val="auto"/>
        </w:rPr>
        <w:t>highly sensitised</w:t>
      </w:r>
      <w:r w:rsidR="00701256" w:rsidRPr="00E4282D">
        <w:rPr>
          <w:color w:val="auto"/>
        </w:rPr>
        <w:t xml:space="preserve"> </w:t>
      </w:r>
      <w:r w:rsidR="003A2BB2" w:rsidRPr="00E4282D">
        <w:rPr>
          <w:color w:val="auto"/>
        </w:rPr>
        <w:t>program</w:t>
      </w:r>
      <w:r w:rsidR="00701256">
        <w:rPr>
          <w:color w:val="auto"/>
        </w:rPr>
        <w:t xml:space="preserve"> (HSP)</w:t>
      </w:r>
      <w:r w:rsidR="003A2BB2" w:rsidRPr="00E4282D">
        <w:rPr>
          <w:color w:val="auto"/>
        </w:rPr>
        <w:t xml:space="preserve"> and remained at 92% in year 5.</w:t>
      </w:r>
      <w:r w:rsidR="00A1695C" w:rsidRPr="006D1797">
        <w:rPr>
          <w:color w:val="auto"/>
        </w:rPr>
        <w:t xml:space="preserve"> </w:t>
      </w:r>
    </w:p>
    <w:p w14:paraId="597B0B75" w14:textId="5810CDF9" w:rsidR="00036AC7" w:rsidRPr="006D1797" w:rsidRDefault="00036AC7" w:rsidP="00036AC7">
      <w:pPr>
        <w:pStyle w:val="Instructionaltext"/>
        <w:rPr>
          <w:color w:val="auto"/>
        </w:rPr>
      </w:pPr>
      <w:r w:rsidRPr="006D1797">
        <w:rPr>
          <w:color w:val="auto"/>
        </w:rPr>
        <w:t xml:space="preserve">The overall similar graft survival rates seen in Australia and Canada for all transplants suggests that Canadian HSP survival data may be reasonably consistent with expected Australian HSP transplant survival data. In addition, the </w:t>
      </w:r>
      <w:r w:rsidR="000D268A">
        <w:rPr>
          <w:color w:val="auto"/>
        </w:rPr>
        <w:t xml:space="preserve">previous </w:t>
      </w:r>
      <w:r w:rsidR="005E221B">
        <w:rPr>
          <w:color w:val="auto"/>
        </w:rPr>
        <w:t>commentary</w:t>
      </w:r>
      <w:r w:rsidR="000D268A">
        <w:rPr>
          <w:color w:val="auto"/>
        </w:rPr>
        <w:t xml:space="preserve"> (MSAC 1732)</w:t>
      </w:r>
      <w:r w:rsidRPr="006D1797">
        <w:rPr>
          <w:color w:val="auto"/>
        </w:rPr>
        <w:t xml:space="preserve"> noted that the imlifidase trial UTT-A population 3-year survival rate of 87% appears comparable to the Canadian HSP population survival rate, making the Canadian HSP data a reasonable proxy.</w:t>
      </w:r>
    </w:p>
    <w:p w14:paraId="2B678AF8" w14:textId="15925E2F" w:rsidR="00155B90" w:rsidRDefault="00036AC7" w:rsidP="00AF5F99">
      <w:pPr>
        <w:pStyle w:val="Instructionaltext"/>
        <w:rPr>
          <w:color w:val="auto"/>
        </w:rPr>
        <w:sectPr w:rsidR="00155B90" w:rsidSect="00495DF8">
          <w:pgSz w:w="11906" w:h="16838"/>
          <w:pgMar w:top="1440" w:right="1440" w:bottom="1440" w:left="1440" w:header="708" w:footer="708" w:gutter="0"/>
          <w:cols w:space="708"/>
          <w:docGrid w:linePitch="360"/>
        </w:sectPr>
      </w:pPr>
      <w:r w:rsidRPr="006D1797">
        <w:rPr>
          <w:color w:val="auto"/>
        </w:rPr>
        <w:t>Based on the similarity of the survival outcomes in Sweden and Canada to the imlifidase study follow-up data (</w:t>
      </w:r>
      <w:r w:rsidR="00D32FF9">
        <w:rPr>
          <w:color w:val="auto"/>
        </w:rPr>
        <w:t>3</w:t>
      </w:r>
      <w:r w:rsidRPr="006D1797">
        <w:rPr>
          <w:color w:val="auto"/>
        </w:rPr>
        <w:t xml:space="preserve">-year survival of 87% in the UTT-A population and 92% in the all-transplanted population), it </w:t>
      </w:r>
      <w:r w:rsidR="00A1695C" w:rsidRPr="006D1797">
        <w:rPr>
          <w:color w:val="auto"/>
        </w:rPr>
        <w:t xml:space="preserve">may therefore be </w:t>
      </w:r>
      <w:r w:rsidRPr="006D1797">
        <w:rPr>
          <w:color w:val="auto"/>
        </w:rPr>
        <w:t xml:space="preserve">reasonable to conclude that the imlifidase data can be generalised to Australian imlifidase use in the proposed setting. </w:t>
      </w:r>
    </w:p>
    <w:p w14:paraId="73876172" w14:textId="08FE63AC" w:rsidR="006645AD" w:rsidRPr="009256D6" w:rsidRDefault="006645AD" w:rsidP="001255BA">
      <w:pPr>
        <w:pStyle w:val="Caption"/>
        <w:rPr>
          <w:sz w:val="18"/>
          <w:szCs w:val="18"/>
        </w:rPr>
      </w:pPr>
      <w:bookmarkStart w:id="26" w:name="_Ref163648998"/>
      <w:r w:rsidRPr="009256D6">
        <w:rPr>
          <w:sz w:val="18"/>
          <w:szCs w:val="18"/>
        </w:rPr>
        <w:lastRenderedPageBreak/>
        <w:t xml:space="preserve">Table </w:t>
      </w:r>
      <w:bookmarkEnd w:id="26"/>
      <w:r w:rsidR="00CE0882">
        <w:rPr>
          <w:sz w:val="18"/>
          <w:szCs w:val="18"/>
        </w:rPr>
        <w:t>5</w:t>
      </w:r>
      <w:r w:rsidR="009404F5" w:rsidRPr="009256D6">
        <w:rPr>
          <w:sz w:val="18"/>
          <w:szCs w:val="18"/>
        </w:rPr>
        <w:t xml:space="preserve"> </w:t>
      </w:r>
      <w:r w:rsidRPr="009256D6">
        <w:rPr>
          <w:sz w:val="18"/>
          <w:szCs w:val="18"/>
        </w:rPr>
        <w:t>Imlifidase patient survival and death-censored graft survival, compared to overall Australian and Canadian highly sensitised programs</w:t>
      </w:r>
    </w:p>
    <w:tbl>
      <w:tblPr>
        <w:tblStyle w:val="TableGrid"/>
        <w:tblW w:w="5000" w:type="pct"/>
        <w:tblCellMar>
          <w:left w:w="28" w:type="dxa"/>
          <w:right w:w="85" w:type="dxa"/>
        </w:tblCellMar>
        <w:tblLook w:val="04A0" w:firstRow="1" w:lastRow="0" w:firstColumn="1" w:lastColumn="0" w:noHBand="0" w:noVBand="1"/>
      </w:tblPr>
      <w:tblGrid>
        <w:gridCol w:w="5632"/>
        <w:gridCol w:w="1091"/>
        <w:gridCol w:w="909"/>
        <w:gridCol w:w="1816"/>
        <w:gridCol w:w="1816"/>
        <w:gridCol w:w="1091"/>
        <w:gridCol w:w="1593"/>
      </w:tblGrid>
      <w:tr w:rsidR="006530B8" w:rsidRPr="009256D6" w14:paraId="3D8D33C4" w14:textId="77777777" w:rsidTr="002150E1">
        <w:trPr>
          <w:trHeight w:val="126"/>
        </w:trPr>
        <w:tc>
          <w:tcPr>
            <w:tcW w:w="2019" w:type="pct"/>
            <w:vMerge w:val="restart"/>
            <w:shd w:val="clear" w:color="auto" w:fill="auto"/>
            <w:noWrap/>
            <w:hideMark/>
          </w:tcPr>
          <w:p w14:paraId="2DEF6DC0" w14:textId="17CD25F1" w:rsidR="00155B90" w:rsidRPr="009256D6" w:rsidRDefault="005A7A8B" w:rsidP="002150E1">
            <w:pPr>
              <w:pStyle w:val="Tabletext0"/>
              <w:rPr>
                <w:b/>
                <w:sz w:val="18"/>
                <w:szCs w:val="18"/>
              </w:rPr>
            </w:pPr>
            <w:r w:rsidRPr="009256D6">
              <w:rPr>
                <w:b/>
                <w:sz w:val="18"/>
                <w:szCs w:val="18"/>
              </w:rPr>
              <w:t>Population</w:t>
            </w:r>
          </w:p>
        </w:tc>
        <w:tc>
          <w:tcPr>
            <w:tcW w:w="391" w:type="pct"/>
            <w:vMerge w:val="restart"/>
            <w:shd w:val="clear" w:color="auto" w:fill="auto"/>
          </w:tcPr>
          <w:p w14:paraId="555228C7" w14:textId="77777777" w:rsidR="00155B90" w:rsidRPr="009256D6" w:rsidRDefault="00155B90" w:rsidP="002150E1">
            <w:pPr>
              <w:pStyle w:val="Tabletext0"/>
              <w:rPr>
                <w:b/>
                <w:sz w:val="18"/>
                <w:szCs w:val="18"/>
              </w:rPr>
            </w:pPr>
            <w:r w:rsidRPr="009256D6">
              <w:rPr>
                <w:b/>
                <w:sz w:val="18"/>
                <w:szCs w:val="18"/>
              </w:rPr>
              <w:t>Era</w:t>
            </w:r>
          </w:p>
        </w:tc>
        <w:tc>
          <w:tcPr>
            <w:tcW w:w="326" w:type="pct"/>
            <w:vMerge w:val="restart"/>
            <w:shd w:val="clear" w:color="auto" w:fill="auto"/>
          </w:tcPr>
          <w:p w14:paraId="4BF345D1" w14:textId="77777777" w:rsidR="00155B90" w:rsidRPr="009256D6" w:rsidRDefault="00155B90" w:rsidP="002150E1">
            <w:pPr>
              <w:pStyle w:val="Tabletext0"/>
              <w:rPr>
                <w:b/>
                <w:sz w:val="18"/>
                <w:szCs w:val="18"/>
              </w:rPr>
            </w:pPr>
            <w:r w:rsidRPr="009256D6">
              <w:rPr>
                <w:b/>
                <w:sz w:val="18"/>
                <w:szCs w:val="18"/>
              </w:rPr>
              <w:t>N</w:t>
            </w:r>
          </w:p>
        </w:tc>
        <w:tc>
          <w:tcPr>
            <w:tcW w:w="2264" w:type="pct"/>
            <w:gridSpan w:val="4"/>
            <w:shd w:val="clear" w:color="auto" w:fill="auto"/>
            <w:noWrap/>
            <w:hideMark/>
          </w:tcPr>
          <w:p w14:paraId="4ECA2F80" w14:textId="77777777" w:rsidR="00155B90" w:rsidRPr="009256D6" w:rsidRDefault="00155B90" w:rsidP="002150E1">
            <w:pPr>
              <w:pStyle w:val="Tabletext0"/>
              <w:rPr>
                <w:b/>
                <w:sz w:val="18"/>
                <w:szCs w:val="18"/>
              </w:rPr>
            </w:pPr>
            <w:r w:rsidRPr="009256D6">
              <w:rPr>
                <w:b/>
                <w:sz w:val="18"/>
                <w:szCs w:val="18"/>
              </w:rPr>
              <w:t>Survival outcomes, percent with 95% CIs</w:t>
            </w:r>
          </w:p>
        </w:tc>
      </w:tr>
      <w:tr w:rsidR="006530B8" w:rsidRPr="009256D6" w14:paraId="0BCC4324" w14:textId="77777777" w:rsidTr="27A6ADB5">
        <w:trPr>
          <w:trHeight w:val="185"/>
        </w:trPr>
        <w:tc>
          <w:tcPr>
            <w:tcW w:w="2019" w:type="pct"/>
            <w:vMerge/>
            <w:noWrap/>
            <w:hideMark/>
          </w:tcPr>
          <w:p w14:paraId="6D07C01D" w14:textId="77777777" w:rsidR="00155B90" w:rsidRPr="009256D6" w:rsidRDefault="00155B90" w:rsidP="002150E1">
            <w:pPr>
              <w:pStyle w:val="Tabletext0"/>
              <w:rPr>
                <w:b/>
                <w:sz w:val="18"/>
                <w:szCs w:val="18"/>
              </w:rPr>
            </w:pPr>
          </w:p>
        </w:tc>
        <w:tc>
          <w:tcPr>
            <w:tcW w:w="391" w:type="pct"/>
            <w:vMerge/>
          </w:tcPr>
          <w:p w14:paraId="5D62178A" w14:textId="77777777" w:rsidR="00155B90" w:rsidRPr="009256D6" w:rsidRDefault="00155B90" w:rsidP="002150E1">
            <w:pPr>
              <w:pStyle w:val="Tabletext0"/>
              <w:rPr>
                <w:b/>
                <w:sz w:val="18"/>
                <w:szCs w:val="18"/>
              </w:rPr>
            </w:pPr>
          </w:p>
        </w:tc>
        <w:tc>
          <w:tcPr>
            <w:tcW w:w="326" w:type="pct"/>
            <w:vMerge/>
          </w:tcPr>
          <w:p w14:paraId="172DDE7B" w14:textId="77777777" w:rsidR="00155B90" w:rsidRPr="009256D6" w:rsidRDefault="00155B90" w:rsidP="002150E1">
            <w:pPr>
              <w:pStyle w:val="Tabletext0"/>
              <w:rPr>
                <w:b/>
                <w:sz w:val="18"/>
                <w:szCs w:val="18"/>
              </w:rPr>
            </w:pPr>
          </w:p>
        </w:tc>
        <w:tc>
          <w:tcPr>
            <w:tcW w:w="651" w:type="pct"/>
            <w:shd w:val="clear" w:color="auto" w:fill="auto"/>
            <w:noWrap/>
            <w:hideMark/>
          </w:tcPr>
          <w:p w14:paraId="55BCC3E3" w14:textId="17BAC132" w:rsidR="00155B90" w:rsidRPr="009256D6" w:rsidRDefault="00155B90" w:rsidP="002150E1">
            <w:pPr>
              <w:pStyle w:val="Tabletext0"/>
              <w:rPr>
                <w:b/>
                <w:sz w:val="18"/>
                <w:szCs w:val="18"/>
              </w:rPr>
            </w:pPr>
            <w:r w:rsidRPr="009256D6">
              <w:rPr>
                <w:b/>
                <w:sz w:val="18"/>
                <w:szCs w:val="18"/>
              </w:rPr>
              <w:t>6 month</w:t>
            </w:r>
          </w:p>
        </w:tc>
        <w:tc>
          <w:tcPr>
            <w:tcW w:w="651" w:type="pct"/>
            <w:shd w:val="clear" w:color="auto" w:fill="auto"/>
            <w:noWrap/>
            <w:hideMark/>
          </w:tcPr>
          <w:p w14:paraId="45B3C5F0" w14:textId="77777777" w:rsidR="00155B90" w:rsidRPr="009256D6" w:rsidRDefault="00155B90" w:rsidP="002150E1">
            <w:pPr>
              <w:pStyle w:val="Tabletext0"/>
              <w:rPr>
                <w:b/>
                <w:sz w:val="18"/>
                <w:szCs w:val="18"/>
              </w:rPr>
            </w:pPr>
            <w:r w:rsidRPr="009256D6">
              <w:rPr>
                <w:b/>
                <w:sz w:val="18"/>
                <w:szCs w:val="18"/>
              </w:rPr>
              <w:t>1 year</w:t>
            </w:r>
          </w:p>
        </w:tc>
        <w:tc>
          <w:tcPr>
            <w:tcW w:w="391" w:type="pct"/>
            <w:shd w:val="clear" w:color="auto" w:fill="auto"/>
            <w:noWrap/>
            <w:hideMark/>
          </w:tcPr>
          <w:p w14:paraId="1CBD664D" w14:textId="77777777" w:rsidR="00155B90" w:rsidRPr="009256D6" w:rsidRDefault="00155B90" w:rsidP="002150E1">
            <w:pPr>
              <w:pStyle w:val="Tabletext0"/>
              <w:rPr>
                <w:b/>
                <w:sz w:val="18"/>
                <w:szCs w:val="18"/>
              </w:rPr>
            </w:pPr>
            <w:r w:rsidRPr="009256D6">
              <w:rPr>
                <w:b/>
                <w:sz w:val="18"/>
                <w:szCs w:val="18"/>
              </w:rPr>
              <w:t>3 year</w:t>
            </w:r>
          </w:p>
        </w:tc>
        <w:tc>
          <w:tcPr>
            <w:tcW w:w="571" w:type="pct"/>
            <w:shd w:val="clear" w:color="auto" w:fill="auto"/>
            <w:noWrap/>
            <w:hideMark/>
          </w:tcPr>
          <w:p w14:paraId="290A50D8" w14:textId="77777777" w:rsidR="00155B90" w:rsidRPr="009256D6" w:rsidRDefault="00155B90" w:rsidP="002150E1">
            <w:pPr>
              <w:pStyle w:val="Tabletext0"/>
              <w:rPr>
                <w:b/>
                <w:sz w:val="18"/>
                <w:szCs w:val="18"/>
              </w:rPr>
            </w:pPr>
            <w:r w:rsidRPr="009256D6">
              <w:rPr>
                <w:b/>
                <w:sz w:val="18"/>
                <w:szCs w:val="18"/>
              </w:rPr>
              <w:t>5 year</w:t>
            </w:r>
          </w:p>
        </w:tc>
      </w:tr>
      <w:tr w:rsidR="006530B8" w:rsidRPr="009256D6" w14:paraId="2F921B72" w14:textId="77777777" w:rsidTr="002150E1">
        <w:trPr>
          <w:trHeight w:val="143"/>
        </w:trPr>
        <w:tc>
          <w:tcPr>
            <w:tcW w:w="5000" w:type="pct"/>
            <w:gridSpan w:val="7"/>
            <w:shd w:val="clear" w:color="auto" w:fill="auto"/>
            <w:noWrap/>
          </w:tcPr>
          <w:p w14:paraId="3638794C" w14:textId="77777777" w:rsidR="00155B90" w:rsidRPr="009256D6" w:rsidRDefault="00155B90" w:rsidP="002150E1">
            <w:pPr>
              <w:pStyle w:val="Tabletext0"/>
              <w:rPr>
                <w:b/>
                <w:i/>
                <w:sz w:val="18"/>
                <w:szCs w:val="18"/>
              </w:rPr>
            </w:pPr>
            <w:r w:rsidRPr="009256D6">
              <w:rPr>
                <w:b/>
                <w:i/>
                <w:sz w:val="18"/>
                <w:szCs w:val="18"/>
              </w:rPr>
              <w:t>Patient survival</w:t>
            </w:r>
          </w:p>
        </w:tc>
      </w:tr>
      <w:tr w:rsidR="006530B8" w:rsidRPr="009256D6" w14:paraId="7326B28E" w14:textId="77777777" w:rsidTr="002150E1">
        <w:trPr>
          <w:trHeight w:val="484"/>
        </w:trPr>
        <w:tc>
          <w:tcPr>
            <w:tcW w:w="2019" w:type="pct"/>
            <w:shd w:val="clear" w:color="auto" w:fill="auto"/>
            <w:noWrap/>
            <w:hideMark/>
          </w:tcPr>
          <w:p w14:paraId="1333BF28" w14:textId="729258AD" w:rsidR="00155B90" w:rsidRPr="00992554" w:rsidRDefault="00155B90" w:rsidP="002150E1">
            <w:pPr>
              <w:pStyle w:val="Tabletext0"/>
              <w:rPr>
                <w:sz w:val="18"/>
                <w:szCs w:val="18"/>
              </w:rPr>
            </w:pPr>
            <w:r w:rsidRPr="00992554">
              <w:rPr>
                <w:sz w:val="18"/>
                <w:szCs w:val="18"/>
              </w:rPr>
              <w:t xml:space="preserve">Imlifidase </w:t>
            </w:r>
            <w:r w:rsidR="00E84F8B" w:rsidRPr="00992554">
              <w:rPr>
                <w:sz w:val="18"/>
                <w:szCs w:val="18"/>
              </w:rPr>
              <w:t>a</w:t>
            </w:r>
            <w:r w:rsidRPr="00992554">
              <w:rPr>
                <w:sz w:val="18"/>
                <w:szCs w:val="18"/>
              </w:rPr>
              <w:t>ll-transplanted: 15% LD, 70% retransplant</w:t>
            </w:r>
          </w:p>
        </w:tc>
        <w:tc>
          <w:tcPr>
            <w:tcW w:w="391" w:type="pct"/>
            <w:vMerge w:val="restart"/>
            <w:shd w:val="clear" w:color="auto" w:fill="auto"/>
          </w:tcPr>
          <w:p w14:paraId="433913BC" w14:textId="7360E9EB" w:rsidR="00155B90" w:rsidRPr="00992554" w:rsidRDefault="00155B90" w:rsidP="002150E1">
            <w:pPr>
              <w:pStyle w:val="Tabletext0"/>
              <w:rPr>
                <w:sz w:val="18"/>
                <w:szCs w:val="18"/>
              </w:rPr>
            </w:pPr>
            <w:r w:rsidRPr="00992554">
              <w:rPr>
                <w:sz w:val="18"/>
                <w:szCs w:val="18"/>
              </w:rPr>
              <w:t>2014</w:t>
            </w:r>
            <w:r w:rsidR="00C17D18" w:rsidRPr="00992554">
              <w:rPr>
                <w:sz w:val="18"/>
                <w:szCs w:val="18"/>
              </w:rPr>
              <w:t>–20</w:t>
            </w:r>
            <w:r w:rsidRPr="00992554">
              <w:rPr>
                <w:sz w:val="18"/>
                <w:szCs w:val="18"/>
              </w:rPr>
              <w:t>17</w:t>
            </w:r>
          </w:p>
        </w:tc>
        <w:tc>
          <w:tcPr>
            <w:tcW w:w="326" w:type="pct"/>
            <w:shd w:val="clear" w:color="auto" w:fill="auto"/>
          </w:tcPr>
          <w:p w14:paraId="7FB6E198" w14:textId="77777777" w:rsidR="00155B90" w:rsidRPr="00992554" w:rsidRDefault="00155B90" w:rsidP="002150E1">
            <w:pPr>
              <w:pStyle w:val="Tabletext0"/>
              <w:rPr>
                <w:sz w:val="18"/>
                <w:szCs w:val="18"/>
              </w:rPr>
            </w:pPr>
            <w:r w:rsidRPr="00992554">
              <w:rPr>
                <w:sz w:val="18"/>
                <w:szCs w:val="18"/>
              </w:rPr>
              <w:t>46</w:t>
            </w:r>
          </w:p>
        </w:tc>
        <w:tc>
          <w:tcPr>
            <w:tcW w:w="651" w:type="pct"/>
            <w:shd w:val="clear" w:color="auto" w:fill="auto"/>
            <w:noWrap/>
          </w:tcPr>
          <w:p w14:paraId="25F97D4E" w14:textId="77777777" w:rsidR="00155B90" w:rsidRPr="00992554" w:rsidRDefault="00155B90" w:rsidP="002150E1">
            <w:pPr>
              <w:pStyle w:val="Tabletext0"/>
              <w:rPr>
                <w:sz w:val="18"/>
                <w:szCs w:val="18"/>
              </w:rPr>
            </w:pPr>
            <w:r w:rsidRPr="00992554">
              <w:rPr>
                <w:sz w:val="18"/>
                <w:szCs w:val="18"/>
              </w:rPr>
              <w:t>100%</w:t>
            </w:r>
          </w:p>
        </w:tc>
        <w:tc>
          <w:tcPr>
            <w:tcW w:w="651" w:type="pct"/>
            <w:shd w:val="clear" w:color="auto" w:fill="auto"/>
            <w:noWrap/>
          </w:tcPr>
          <w:p w14:paraId="6F48E131" w14:textId="77777777" w:rsidR="00155B90" w:rsidRPr="00992554" w:rsidRDefault="00155B90" w:rsidP="002150E1">
            <w:pPr>
              <w:pStyle w:val="Tabletext0"/>
              <w:rPr>
                <w:sz w:val="18"/>
                <w:szCs w:val="18"/>
              </w:rPr>
            </w:pPr>
            <w:r w:rsidRPr="00992554">
              <w:rPr>
                <w:sz w:val="18"/>
                <w:szCs w:val="18"/>
              </w:rPr>
              <w:t>92%</w:t>
            </w:r>
          </w:p>
        </w:tc>
        <w:tc>
          <w:tcPr>
            <w:tcW w:w="391" w:type="pct"/>
            <w:shd w:val="clear" w:color="auto" w:fill="auto"/>
            <w:noWrap/>
          </w:tcPr>
          <w:p w14:paraId="59F3F60E" w14:textId="77777777" w:rsidR="00155B90" w:rsidRPr="00992554" w:rsidRDefault="00155B90" w:rsidP="002150E1">
            <w:pPr>
              <w:pStyle w:val="Tabletext0"/>
              <w:rPr>
                <w:sz w:val="18"/>
                <w:szCs w:val="18"/>
              </w:rPr>
            </w:pPr>
            <w:r w:rsidRPr="00992554">
              <w:rPr>
                <w:sz w:val="18"/>
                <w:szCs w:val="18"/>
              </w:rPr>
              <w:t>92%</w:t>
            </w:r>
          </w:p>
        </w:tc>
        <w:tc>
          <w:tcPr>
            <w:tcW w:w="571" w:type="pct"/>
            <w:shd w:val="clear" w:color="auto" w:fill="auto"/>
            <w:noWrap/>
          </w:tcPr>
          <w:p w14:paraId="7F336E98" w14:textId="77777777" w:rsidR="00155B90" w:rsidRPr="00992554" w:rsidRDefault="00155B90" w:rsidP="002150E1">
            <w:pPr>
              <w:pStyle w:val="Tabletext0"/>
              <w:rPr>
                <w:sz w:val="18"/>
                <w:szCs w:val="18"/>
              </w:rPr>
            </w:pPr>
            <w:r w:rsidRPr="00992554">
              <w:rPr>
                <w:sz w:val="18"/>
                <w:szCs w:val="18"/>
              </w:rPr>
              <w:t>92%</w:t>
            </w:r>
          </w:p>
        </w:tc>
      </w:tr>
      <w:tr w:rsidR="006530B8" w:rsidRPr="009256D6" w14:paraId="3C5CF6AA" w14:textId="77777777" w:rsidTr="27A6ADB5">
        <w:trPr>
          <w:trHeight w:val="81"/>
        </w:trPr>
        <w:tc>
          <w:tcPr>
            <w:tcW w:w="2019" w:type="pct"/>
            <w:shd w:val="clear" w:color="auto" w:fill="auto"/>
            <w:noWrap/>
            <w:hideMark/>
          </w:tcPr>
          <w:p w14:paraId="2E9CDCCF" w14:textId="67FACCFC" w:rsidR="00155B90" w:rsidRPr="009E2F9F" w:rsidRDefault="00155B90" w:rsidP="002150E1">
            <w:pPr>
              <w:pStyle w:val="Tabletext0"/>
              <w:rPr>
                <w:sz w:val="18"/>
                <w:szCs w:val="18"/>
              </w:rPr>
            </w:pPr>
            <w:r w:rsidRPr="00992554">
              <w:rPr>
                <w:sz w:val="18"/>
                <w:szCs w:val="18"/>
              </w:rPr>
              <w:t xml:space="preserve">Imlifidase UTT-A: </w:t>
            </w:r>
            <w:r w:rsidRPr="009E2F9F">
              <w:rPr>
                <w:sz w:val="18"/>
                <w:szCs w:val="18"/>
              </w:rPr>
              <w:t>17% LD, 70% retransplant</w:t>
            </w:r>
          </w:p>
        </w:tc>
        <w:tc>
          <w:tcPr>
            <w:tcW w:w="391" w:type="pct"/>
            <w:vMerge/>
          </w:tcPr>
          <w:p w14:paraId="52CFC857" w14:textId="77777777" w:rsidR="00155B90" w:rsidRPr="00992554" w:rsidRDefault="00155B90" w:rsidP="002150E1">
            <w:pPr>
              <w:pStyle w:val="Tabletext0"/>
              <w:rPr>
                <w:sz w:val="18"/>
                <w:szCs w:val="18"/>
              </w:rPr>
            </w:pPr>
          </w:p>
        </w:tc>
        <w:tc>
          <w:tcPr>
            <w:tcW w:w="326" w:type="pct"/>
            <w:shd w:val="clear" w:color="auto" w:fill="auto"/>
          </w:tcPr>
          <w:p w14:paraId="084594F7" w14:textId="77777777" w:rsidR="00155B90" w:rsidRPr="009E2F9F" w:rsidRDefault="00155B90" w:rsidP="002150E1">
            <w:pPr>
              <w:pStyle w:val="Tabletext0"/>
              <w:rPr>
                <w:sz w:val="18"/>
                <w:szCs w:val="18"/>
              </w:rPr>
            </w:pPr>
            <w:r w:rsidRPr="009E2F9F">
              <w:rPr>
                <w:sz w:val="18"/>
                <w:szCs w:val="18"/>
              </w:rPr>
              <w:t>30</w:t>
            </w:r>
          </w:p>
        </w:tc>
        <w:tc>
          <w:tcPr>
            <w:tcW w:w="651" w:type="pct"/>
            <w:shd w:val="clear" w:color="auto" w:fill="auto"/>
            <w:noWrap/>
          </w:tcPr>
          <w:p w14:paraId="707075A9" w14:textId="77777777" w:rsidR="00155B90" w:rsidRPr="009E2F9F" w:rsidRDefault="00155B90" w:rsidP="002150E1">
            <w:pPr>
              <w:pStyle w:val="Tabletext0"/>
              <w:rPr>
                <w:sz w:val="18"/>
                <w:szCs w:val="18"/>
              </w:rPr>
            </w:pPr>
            <w:r w:rsidRPr="009E2F9F">
              <w:rPr>
                <w:sz w:val="18"/>
                <w:szCs w:val="18"/>
              </w:rPr>
              <w:t>100%</w:t>
            </w:r>
          </w:p>
        </w:tc>
        <w:tc>
          <w:tcPr>
            <w:tcW w:w="651" w:type="pct"/>
            <w:shd w:val="clear" w:color="auto" w:fill="auto"/>
            <w:noWrap/>
          </w:tcPr>
          <w:p w14:paraId="255EBB7F" w14:textId="77777777" w:rsidR="00155B90" w:rsidRPr="009E2F9F" w:rsidRDefault="00155B90" w:rsidP="002150E1">
            <w:pPr>
              <w:pStyle w:val="Tabletext0"/>
              <w:rPr>
                <w:sz w:val="18"/>
                <w:szCs w:val="18"/>
              </w:rPr>
            </w:pPr>
            <w:r w:rsidRPr="009E2F9F">
              <w:rPr>
                <w:sz w:val="18"/>
                <w:szCs w:val="18"/>
              </w:rPr>
              <w:t>87%</w:t>
            </w:r>
          </w:p>
        </w:tc>
        <w:tc>
          <w:tcPr>
            <w:tcW w:w="391" w:type="pct"/>
            <w:shd w:val="clear" w:color="auto" w:fill="auto"/>
            <w:noWrap/>
          </w:tcPr>
          <w:p w14:paraId="3E4BCE94" w14:textId="77777777" w:rsidR="00155B90" w:rsidRPr="009E2F9F" w:rsidRDefault="00155B90" w:rsidP="002150E1">
            <w:pPr>
              <w:pStyle w:val="Tabletext0"/>
              <w:rPr>
                <w:sz w:val="18"/>
                <w:szCs w:val="18"/>
              </w:rPr>
            </w:pPr>
            <w:r w:rsidRPr="009E2F9F">
              <w:rPr>
                <w:sz w:val="18"/>
                <w:szCs w:val="18"/>
              </w:rPr>
              <w:t>87%</w:t>
            </w:r>
          </w:p>
        </w:tc>
        <w:tc>
          <w:tcPr>
            <w:tcW w:w="571" w:type="pct"/>
            <w:shd w:val="clear" w:color="auto" w:fill="auto"/>
            <w:noWrap/>
          </w:tcPr>
          <w:p w14:paraId="7D40DCA1" w14:textId="77777777" w:rsidR="00155B90" w:rsidRPr="009E2F9F" w:rsidRDefault="00155B90" w:rsidP="002150E1">
            <w:pPr>
              <w:pStyle w:val="Tabletext0"/>
              <w:rPr>
                <w:sz w:val="18"/>
                <w:szCs w:val="18"/>
              </w:rPr>
            </w:pPr>
            <w:r w:rsidRPr="009E2F9F">
              <w:rPr>
                <w:sz w:val="18"/>
                <w:szCs w:val="18"/>
              </w:rPr>
              <w:t>87%</w:t>
            </w:r>
          </w:p>
        </w:tc>
      </w:tr>
      <w:tr w:rsidR="006530B8" w:rsidRPr="009256D6" w14:paraId="102DDC1B" w14:textId="77777777" w:rsidTr="27A6ADB5">
        <w:trPr>
          <w:trHeight w:val="58"/>
        </w:trPr>
        <w:tc>
          <w:tcPr>
            <w:tcW w:w="2019" w:type="pct"/>
            <w:shd w:val="clear" w:color="auto" w:fill="auto"/>
            <w:noWrap/>
            <w:hideMark/>
          </w:tcPr>
          <w:p w14:paraId="556F9A12" w14:textId="77777777" w:rsidR="00155B90" w:rsidRPr="00992554" w:rsidRDefault="00155B90" w:rsidP="002150E1">
            <w:pPr>
              <w:pStyle w:val="Tabletext0"/>
              <w:rPr>
                <w:sz w:val="18"/>
                <w:szCs w:val="18"/>
              </w:rPr>
            </w:pPr>
            <w:r w:rsidRPr="00992554">
              <w:rPr>
                <w:sz w:val="18"/>
                <w:szCs w:val="18"/>
              </w:rPr>
              <w:t>Imlifidase UTT: DD only, 67% retransplant</w:t>
            </w:r>
          </w:p>
        </w:tc>
        <w:tc>
          <w:tcPr>
            <w:tcW w:w="391" w:type="pct"/>
            <w:vMerge/>
          </w:tcPr>
          <w:p w14:paraId="357674DD" w14:textId="77777777" w:rsidR="00155B90" w:rsidRPr="00992554" w:rsidRDefault="00155B90" w:rsidP="002150E1">
            <w:pPr>
              <w:pStyle w:val="Tabletext0"/>
              <w:rPr>
                <w:sz w:val="18"/>
                <w:szCs w:val="18"/>
              </w:rPr>
            </w:pPr>
          </w:p>
        </w:tc>
        <w:tc>
          <w:tcPr>
            <w:tcW w:w="326" w:type="pct"/>
            <w:shd w:val="clear" w:color="auto" w:fill="auto"/>
          </w:tcPr>
          <w:p w14:paraId="1C6E1156" w14:textId="77777777" w:rsidR="00155B90" w:rsidRPr="00992554" w:rsidRDefault="00155B90" w:rsidP="002150E1">
            <w:pPr>
              <w:pStyle w:val="Tabletext0"/>
              <w:rPr>
                <w:sz w:val="18"/>
                <w:szCs w:val="18"/>
              </w:rPr>
            </w:pPr>
            <w:r w:rsidRPr="00992554">
              <w:rPr>
                <w:sz w:val="18"/>
                <w:szCs w:val="18"/>
              </w:rPr>
              <w:t>25</w:t>
            </w:r>
          </w:p>
        </w:tc>
        <w:tc>
          <w:tcPr>
            <w:tcW w:w="651" w:type="pct"/>
            <w:shd w:val="clear" w:color="auto" w:fill="auto"/>
            <w:noWrap/>
          </w:tcPr>
          <w:p w14:paraId="459BDBEB" w14:textId="77777777" w:rsidR="00155B90" w:rsidRPr="00992554" w:rsidRDefault="00155B90" w:rsidP="002150E1">
            <w:pPr>
              <w:pStyle w:val="Tabletext0"/>
              <w:rPr>
                <w:sz w:val="18"/>
                <w:szCs w:val="18"/>
              </w:rPr>
            </w:pPr>
            <w:r w:rsidRPr="00992554">
              <w:rPr>
                <w:sz w:val="18"/>
                <w:szCs w:val="18"/>
              </w:rPr>
              <w:t>100%</w:t>
            </w:r>
          </w:p>
        </w:tc>
        <w:tc>
          <w:tcPr>
            <w:tcW w:w="651" w:type="pct"/>
            <w:shd w:val="clear" w:color="auto" w:fill="auto"/>
            <w:noWrap/>
          </w:tcPr>
          <w:p w14:paraId="0750B1BF" w14:textId="77777777" w:rsidR="00155B90" w:rsidRPr="00992554" w:rsidRDefault="00155B90" w:rsidP="002150E1">
            <w:pPr>
              <w:pStyle w:val="Tabletext0"/>
              <w:rPr>
                <w:sz w:val="18"/>
                <w:szCs w:val="18"/>
              </w:rPr>
            </w:pPr>
            <w:r w:rsidRPr="00992554">
              <w:rPr>
                <w:sz w:val="18"/>
                <w:szCs w:val="18"/>
              </w:rPr>
              <w:t>84%</w:t>
            </w:r>
          </w:p>
        </w:tc>
        <w:tc>
          <w:tcPr>
            <w:tcW w:w="391" w:type="pct"/>
            <w:shd w:val="clear" w:color="auto" w:fill="auto"/>
            <w:noWrap/>
          </w:tcPr>
          <w:p w14:paraId="3DBFAB07" w14:textId="77777777" w:rsidR="00155B90" w:rsidRPr="00992554" w:rsidRDefault="00155B90" w:rsidP="002150E1">
            <w:pPr>
              <w:pStyle w:val="Tabletext0"/>
              <w:rPr>
                <w:sz w:val="18"/>
                <w:szCs w:val="18"/>
              </w:rPr>
            </w:pPr>
            <w:r w:rsidRPr="00992554">
              <w:rPr>
                <w:sz w:val="18"/>
                <w:szCs w:val="18"/>
              </w:rPr>
              <w:t>84%</w:t>
            </w:r>
          </w:p>
        </w:tc>
        <w:tc>
          <w:tcPr>
            <w:tcW w:w="571" w:type="pct"/>
            <w:shd w:val="clear" w:color="auto" w:fill="auto"/>
            <w:noWrap/>
          </w:tcPr>
          <w:p w14:paraId="7D10FFAF" w14:textId="77777777" w:rsidR="00155B90" w:rsidRPr="00992554" w:rsidRDefault="00155B90" w:rsidP="002150E1">
            <w:pPr>
              <w:pStyle w:val="Tabletext0"/>
              <w:rPr>
                <w:sz w:val="18"/>
                <w:szCs w:val="18"/>
              </w:rPr>
            </w:pPr>
            <w:r w:rsidRPr="00992554">
              <w:rPr>
                <w:sz w:val="18"/>
                <w:szCs w:val="18"/>
              </w:rPr>
              <w:t>84%</w:t>
            </w:r>
          </w:p>
        </w:tc>
      </w:tr>
      <w:tr w:rsidR="006530B8" w:rsidRPr="009256D6" w14:paraId="6234CB3E" w14:textId="77777777" w:rsidTr="27A6ADB5">
        <w:trPr>
          <w:trHeight w:val="58"/>
        </w:trPr>
        <w:tc>
          <w:tcPr>
            <w:tcW w:w="2019" w:type="pct"/>
            <w:shd w:val="clear" w:color="auto" w:fill="auto"/>
            <w:noWrap/>
          </w:tcPr>
          <w:p w14:paraId="4A61B147" w14:textId="061E19E9" w:rsidR="00155B90" w:rsidRPr="009E2F9F" w:rsidRDefault="00155B90" w:rsidP="002150E1">
            <w:pPr>
              <w:pStyle w:val="Tabletext0"/>
              <w:rPr>
                <w:sz w:val="18"/>
                <w:szCs w:val="18"/>
              </w:rPr>
            </w:pPr>
            <w:r w:rsidRPr="00992554">
              <w:rPr>
                <w:sz w:val="18"/>
                <w:szCs w:val="18"/>
              </w:rPr>
              <w:t>Imlifidase AUS-UTT-A</w:t>
            </w:r>
            <w:r w:rsidR="000B39E4" w:rsidRPr="00992554">
              <w:rPr>
                <w:sz w:val="18"/>
                <w:szCs w:val="18"/>
              </w:rPr>
              <w:t>:</w:t>
            </w:r>
            <w:r w:rsidRPr="00992554">
              <w:rPr>
                <w:sz w:val="18"/>
                <w:szCs w:val="18"/>
              </w:rPr>
              <w:t xml:space="preserve"> </w:t>
            </w:r>
            <w:r w:rsidR="008C277B" w:rsidRPr="009E2F9F">
              <w:rPr>
                <w:sz w:val="18"/>
                <w:szCs w:val="18"/>
              </w:rPr>
              <w:t xml:space="preserve">22% </w:t>
            </w:r>
            <w:r w:rsidRPr="009E2F9F">
              <w:rPr>
                <w:sz w:val="18"/>
                <w:szCs w:val="18"/>
              </w:rPr>
              <w:t>LD, 74% retransplant</w:t>
            </w:r>
          </w:p>
        </w:tc>
        <w:tc>
          <w:tcPr>
            <w:tcW w:w="391" w:type="pct"/>
            <w:vMerge/>
          </w:tcPr>
          <w:p w14:paraId="20DAD6D9" w14:textId="77777777" w:rsidR="00155B90" w:rsidRPr="00992554" w:rsidRDefault="00155B90" w:rsidP="002150E1">
            <w:pPr>
              <w:pStyle w:val="Tabletext0"/>
              <w:rPr>
                <w:sz w:val="18"/>
                <w:szCs w:val="18"/>
              </w:rPr>
            </w:pPr>
          </w:p>
        </w:tc>
        <w:tc>
          <w:tcPr>
            <w:tcW w:w="326" w:type="pct"/>
            <w:shd w:val="clear" w:color="auto" w:fill="auto"/>
          </w:tcPr>
          <w:p w14:paraId="06710572" w14:textId="77777777" w:rsidR="00155B90" w:rsidRPr="009E2F9F" w:rsidRDefault="00155B90" w:rsidP="002150E1">
            <w:pPr>
              <w:pStyle w:val="Tabletext0"/>
              <w:rPr>
                <w:sz w:val="18"/>
                <w:szCs w:val="18"/>
              </w:rPr>
            </w:pPr>
            <w:r w:rsidRPr="009E2F9F">
              <w:rPr>
                <w:sz w:val="18"/>
                <w:szCs w:val="18"/>
              </w:rPr>
              <w:t>24</w:t>
            </w:r>
          </w:p>
        </w:tc>
        <w:tc>
          <w:tcPr>
            <w:tcW w:w="651" w:type="pct"/>
            <w:shd w:val="clear" w:color="auto" w:fill="auto"/>
            <w:noWrap/>
          </w:tcPr>
          <w:p w14:paraId="38EAAC3F" w14:textId="77777777" w:rsidR="00155B90" w:rsidRPr="009E2F9F" w:rsidRDefault="00155B90" w:rsidP="002150E1">
            <w:pPr>
              <w:pStyle w:val="Tabletext0"/>
              <w:rPr>
                <w:sz w:val="18"/>
                <w:szCs w:val="18"/>
              </w:rPr>
            </w:pPr>
            <w:r w:rsidRPr="009E2F9F">
              <w:rPr>
                <w:sz w:val="18"/>
                <w:szCs w:val="18"/>
              </w:rPr>
              <w:t>100%</w:t>
            </w:r>
          </w:p>
        </w:tc>
        <w:tc>
          <w:tcPr>
            <w:tcW w:w="651" w:type="pct"/>
            <w:shd w:val="clear" w:color="auto" w:fill="auto"/>
            <w:noWrap/>
          </w:tcPr>
          <w:p w14:paraId="1DDED1D1" w14:textId="77777777" w:rsidR="00155B90" w:rsidRPr="009E2F9F" w:rsidRDefault="00155B90" w:rsidP="002150E1">
            <w:pPr>
              <w:pStyle w:val="Tabletext0"/>
              <w:rPr>
                <w:sz w:val="18"/>
                <w:szCs w:val="18"/>
              </w:rPr>
            </w:pPr>
            <w:r w:rsidRPr="009E2F9F">
              <w:rPr>
                <w:sz w:val="18"/>
                <w:szCs w:val="18"/>
              </w:rPr>
              <w:t>83%</w:t>
            </w:r>
          </w:p>
        </w:tc>
        <w:tc>
          <w:tcPr>
            <w:tcW w:w="391" w:type="pct"/>
            <w:shd w:val="clear" w:color="auto" w:fill="auto"/>
            <w:noWrap/>
          </w:tcPr>
          <w:p w14:paraId="08240C1B" w14:textId="77777777" w:rsidR="00155B90" w:rsidRPr="009E2F9F" w:rsidRDefault="00155B90" w:rsidP="002150E1">
            <w:pPr>
              <w:pStyle w:val="Tabletext0"/>
              <w:rPr>
                <w:sz w:val="18"/>
                <w:szCs w:val="18"/>
              </w:rPr>
            </w:pPr>
            <w:r w:rsidRPr="009E2F9F">
              <w:rPr>
                <w:sz w:val="18"/>
                <w:szCs w:val="18"/>
              </w:rPr>
              <w:t>83%</w:t>
            </w:r>
          </w:p>
        </w:tc>
        <w:tc>
          <w:tcPr>
            <w:tcW w:w="571" w:type="pct"/>
            <w:shd w:val="clear" w:color="auto" w:fill="auto"/>
            <w:noWrap/>
          </w:tcPr>
          <w:p w14:paraId="69F11EBB" w14:textId="77777777" w:rsidR="00155B90" w:rsidRPr="009E2F9F" w:rsidRDefault="00155B90" w:rsidP="002150E1">
            <w:pPr>
              <w:pStyle w:val="Tabletext0"/>
              <w:rPr>
                <w:sz w:val="18"/>
                <w:szCs w:val="18"/>
              </w:rPr>
            </w:pPr>
            <w:r w:rsidRPr="009E2F9F">
              <w:rPr>
                <w:sz w:val="18"/>
                <w:szCs w:val="18"/>
              </w:rPr>
              <w:t>83%</w:t>
            </w:r>
          </w:p>
        </w:tc>
      </w:tr>
      <w:tr w:rsidR="006530B8" w:rsidRPr="009256D6" w14:paraId="666DBD30" w14:textId="77777777" w:rsidTr="002150E1">
        <w:trPr>
          <w:trHeight w:val="56"/>
        </w:trPr>
        <w:tc>
          <w:tcPr>
            <w:tcW w:w="2019" w:type="pct"/>
            <w:shd w:val="clear" w:color="auto" w:fill="auto"/>
            <w:noWrap/>
            <w:hideMark/>
          </w:tcPr>
          <w:p w14:paraId="1E65E52A" w14:textId="77777777" w:rsidR="00155B90" w:rsidRPr="00992554" w:rsidRDefault="00155B90" w:rsidP="002150E1">
            <w:pPr>
              <w:pStyle w:val="Tabletext0"/>
              <w:rPr>
                <w:sz w:val="18"/>
                <w:szCs w:val="18"/>
              </w:rPr>
            </w:pPr>
            <w:r w:rsidRPr="00992554">
              <w:rPr>
                <w:sz w:val="18"/>
                <w:szCs w:val="18"/>
              </w:rPr>
              <w:t>Canadian HSP</w:t>
            </w:r>
          </w:p>
        </w:tc>
        <w:tc>
          <w:tcPr>
            <w:tcW w:w="391" w:type="pct"/>
            <w:shd w:val="clear" w:color="auto" w:fill="auto"/>
          </w:tcPr>
          <w:p w14:paraId="4615355A" w14:textId="4BD4A230" w:rsidR="00155B90" w:rsidRPr="00992554" w:rsidRDefault="00155B90" w:rsidP="002150E1">
            <w:pPr>
              <w:pStyle w:val="Tabletext0"/>
              <w:rPr>
                <w:sz w:val="18"/>
                <w:szCs w:val="18"/>
              </w:rPr>
            </w:pPr>
            <w:r w:rsidRPr="00992554">
              <w:rPr>
                <w:sz w:val="18"/>
                <w:szCs w:val="18"/>
              </w:rPr>
              <w:t>2014</w:t>
            </w:r>
            <w:r w:rsidR="00293301" w:rsidRPr="00992554">
              <w:rPr>
                <w:sz w:val="18"/>
                <w:szCs w:val="18"/>
              </w:rPr>
              <w:t>–20</w:t>
            </w:r>
            <w:r w:rsidRPr="00992554">
              <w:rPr>
                <w:sz w:val="18"/>
                <w:szCs w:val="18"/>
              </w:rPr>
              <w:t>17</w:t>
            </w:r>
          </w:p>
        </w:tc>
        <w:tc>
          <w:tcPr>
            <w:tcW w:w="326" w:type="pct"/>
            <w:shd w:val="clear" w:color="auto" w:fill="auto"/>
          </w:tcPr>
          <w:p w14:paraId="36ACA745" w14:textId="77777777" w:rsidR="00155B90" w:rsidRPr="00992554" w:rsidRDefault="00155B90" w:rsidP="002150E1">
            <w:pPr>
              <w:pStyle w:val="Tabletext0"/>
              <w:rPr>
                <w:sz w:val="18"/>
                <w:szCs w:val="18"/>
              </w:rPr>
            </w:pPr>
            <w:r w:rsidRPr="00992554">
              <w:rPr>
                <w:sz w:val="18"/>
                <w:szCs w:val="18"/>
              </w:rPr>
              <w:t>378</w:t>
            </w:r>
          </w:p>
        </w:tc>
        <w:tc>
          <w:tcPr>
            <w:tcW w:w="651" w:type="pct"/>
            <w:shd w:val="clear" w:color="auto" w:fill="auto"/>
            <w:noWrap/>
          </w:tcPr>
          <w:p w14:paraId="1899D949" w14:textId="4D0A97EC" w:rsidR="00155B90" w:rsidRPr="00992554" w:rsidRDefault="00A06EB2" w:rsidP="002150E1">
            <w:pPr>
              <w:pStyle w:val="Tabletext0"/>
              <w:rPr>
                <w:sz w:val="18"/>
                <w:szCs w:val="18"/>
              </w:rPr>
            </w:pPr>
            <w:r w:rsidRPr="00992554">
              <w:rPr>
                <w:sz w:val="18"/>
                <w:szCs w:val="18"/>
              </w:rPr>
              <w:t>9</w:t>
            </w:r>
            <w:r w:rsidR="005D6103" w:rsidRPr="00992554">
              <w:rPr>
                <w:sz w:val="18"/>
                <w:szCs w:val="18"/>
              </w:rPr>
              <w:t>8</w:t>
            </w:r>
            <w:r w:rsidRPr="00992554">
              <w:rPr>
                <w:sz w:val="18"/>
                <w:szCs w:val="18"/>
              </w:rPr>
              <w:t>%</w:t>
            </w:r>
          </w:p>
        </w:tc>
        <w:tc>
          <w:tcPr>
            <w:tcW w:w="651" w:type="pct"/>
            <w:shd w:val="clear" w:color="auto" w:fill="auto"/>
            <w:noWrap/>
          </w:tcPr>
          <w:p w14:paraId="6131897A" w14:textId="2A732562" w:rsidR="00155B90" w:rsidRPr="00992554" w:rsidRDefault="00155B90" w:rsidP="002150E1">
            <w:pPr>
              <w:pStyle w:val="Tabletext0"/>
              <w:rPr>
                <w:sz w:val="18"/>
                <w:szCs w:val="18"/>
              </w:rPr>
            </w:pPr>
            <w:r w:rsidRPr="00992554">
              <w:rPr>
                <w:sz w:val="18"/>
                <w:szCs w:val="18"/>
              </w:rPr>
              <w:t>97%</w:t>
            </w:r>
          </w:p>
        </w:tc>
        <w:tc>
          <w:tcPr>
            <w:tcW w:w="391" w:type="pct"/>
            <w:shd w:val="clear" w:color="auto" w:fill="auto"/>
            <w:noWrap/>
          </w:tcPr>
          <w:p w14:paraId="447403DB" w14:textId="789B7BD8" w:rsidR="00155B90" w:rsidRPr="00992554" w:rsidRDefault="00155B90" w:rsidP="002150E1">
            <w:pPr>
              <w:pStyle w:val="Tabletext0"/>
              <w:rPr>
                <w:sz w:val="18"/>
                <w:szCs w:val="18"/>
              </w:rPr>
            </w:pPr>
            <w:r w:rsidRPr="00992554">
              <w:rPr>
                <w:sz w:val="18"/>
                <w:szCs w:val="18"/>
              </w:rPr>
              <w:t>9</w:t>
            </w:r>
            <w:r w:rsidR="005D6103" w:rsidRPr="00992554">
              <w:rPr>
                <w:sz w:val="18"/>
                <w:szCs w:val="18"/>
              </w:rPr>
              <w:t>4</w:t>
            </w:r>
            <w:r w:rsidRPr="00992554">
              <w:rPr>
                <w:sz w:val="18"/>
                <w:szCs w:val="18"/>
              </w:rPr>
              <w:t>%</w:t>
            </w:r>
          </w:p>
        </w:tc>
        <w:tc>
          <w:tcPr>
            <w:tcW w:w="571" w:type="pct"/>
            <w:shd w:val="clear" w:color="auto" w:fill="auto"/>
            <w:noWrap/>
          </w:tcPr>
          <w:p w14:paraId="31C4D009" w14:textId="77777777" w:rsidR="00155B90" w:rsidRPr="00992554" w:rsidRDefault="00155B90" w:rsidP="002150E1">
            <w:pPr>
              <w:pStyle w:val="Tabletext0"/>
              <w:rPr>
                <w:sz w:val="18"/>
                <w:szCs w:val="18"/>
              </w:rPr>
            </w:pPr>
            <w:r w:rsidRPr="00992554">
              <w:rPr>
                <w:sz w:val="18"/>
                <w:szCs w:val="18"/>
              </w:rPr>
              <w:t>-</w:t>
            </w:r>
          </w:p>
        </w:tc>
      </w:tr>
      <w:tr w:rsidR="006530B8" w:rsidRPr="009256D6" w14:paraId="180998E6" w14:textId="77777777" w:rsidTr="002150E1">
        <w:trPr>
          <w:trHeight w:val="56"/>
        </w:trPr>
        <w:tc>
          <w:tcPr>
            <w:tcW w:w="2019" w:type="pct"/>
            <w:shd w:val="clear" w:color="auto" w:fill="auto"/>
            <w:noWrap/>
          </w:tcPr>
          <w:p w14:paraId="1AFFC510" w14:textId="77777777" w:rsidR="00155B90" w:rsidRPr="00992554" w:rsidRDefault="00155B90" w:rsidP="002150E1">
            <w:pPr>
              <w:pStyle w:val="Tabletext0"/>
              <w:rPr>
                <w:sz w:val="18"/>
                <w:szCs w:val="18"/>
              </w:rPr>
            </w:pPr>
            <w:r w:rsidRPr="00992554">
              <w:rPr>
                <w:sz w:val="18"/>
                <w:szCs w:val="18"/>
              </w:rPr>
              <w:t>Australia: Primary DD graft</w:t>
            </w:r>
          </w:p>
        </w:tc>
        <w:tc>
          <w:tcPr>
            <w:tcW w:w="391" w:type="pct"/>
            <w:vMerge w:val="restart"/>
            <w:shd w:val="clear" w:color="auto" w:fill="auto"/>
          </w:tcPr>
          <w:p w14:paraId="6137BC7E" w14:textId="7FEB135D" w:rsidR="00155B90" w:rsidRPr="00992554" w:rsidRDefault="00155B90" w:rsidP="002150E1">
            <w:pPr>
              <w:pStyle w:val="Tabletext0"/>
              <w:rPr>
                <w:sz w:val="18"/>
                <w:szCs w:val="18"/>
              </w:rPr>
            </w:pPr>
            <w:r w:rsidRPr="00992554">
              <w:rPr>
                <w:sz w:val="18"/>
                <w:szCs w:val="18"/>
              </w:rPr>
              <w:t>2015</w:t>
            </w:r>
            <w:r w:rsidR="00293301" w:rsidRPr="00992554">
              <w:rPr>
                <w:sz w:val="18"/>
                <w:szCs w:val="18"/>
              </w:rPr>
              <w:t>–20</w:t>
            </w:r>
            <w:r w:rsidRPr="00992554">
              <w:rPr>
                <w:sz w:val="18"/>
                <w:szCs w:val="18"/>
              </w:rPr>
              <w:t>16</w:t>
            </w:r>
          </w:p>
        </w:tc>
        <w:tc>
          <w:tcPr>
            <w:tcW w:w="326" w:type="pct"/>
            <w:shd w:val="clear" w:color="auto" w:fill="auto"/>
          </w:tcPr>
          <w:p w14:paraId="32472B21" w14:textId="77777777" w:rsidR="00155B90" w:rsidRPr="00992554" w:rsidRDefault="00155B90" w:rsidP="002150E1">
            <w:pPr>
              <w:pStyle w:val="Tabletext0"/>
              <w:rPr>
                <w:sz w:val="18"/>
                <w:szCs w:val="18"/>
              </w:rPr>
            </w:pPr>
            <w:r w:rsidRPr="00992554">
              <w:rPr>
                <w:sz w:val="18"/>
                <w:szCs w:val="18"/>
              </w:rPr>
              <w:t>1,327</w:t>
            </w:r>
          </w:p>
        </w:tc>
        <w:tc>
          <w:tcPr>
            <w:tcW w:w="651" w:type="pct"/>
            <w:shd w:val="clear" w:color="auto" w:fill="auto"/>
            <w:noWrap/>
          </w:tcPr>
          <w:p w14:paraId="6F4E6667" w14:textId="77777777" w:rsidR="00155B90" w:rsidRPr="00992554" w:rsidRDefault="00155B90" w:rsidP="002150E1">
            <w:pPr>
              <w:pStyle w:val="Tabletext0"/>
              <w:rPr>
                <w:sz w:val="18"/>
                <w:szCs w:val="18"/>
              </w:rPr>
            </w:pPr>
            <w:r w:rsidRPr="00992554">
              <w:rPr>
                <w:sz w:val="18"/>
                <w:szCs w:val="18"/>
              </w:rPr>
              <w:t>100% (99, 100)</w:t>
            </w:r>
          </w:p>
        </w:tc>
        <w:tc>
          <w:tcPr>
            <w:tcW w:w="651" w:type="pct"/>
            <w:shd w:val="clear" w:color="auto" w:fill="auto"/>
            <w:noWrap/>
          </w:tcPr>
          <w:p w14:paraId="2DBB8052" w14:textId="77777777" w:rsidR="00155B90" w:rsidRPr="00992554" w:rsidRDefault="00155B90" w:rsidP="002150E1">
            <w:pPr>
              <w:pStyle w:val="Tabletext0"/>
              <w:rPr>
                <w:sz w:val="18"/>
                <w:szCs w:val="18"/>
              </w:rPr>
            </w:pPr>
            <w:r w:rsidRPr="00992554">
              <w:rPr>
                <w:sz w:val="18"/>
                <w:szCs w:val="18"/>
              </w:rPr>
              <w:t>98% (97, 99)</w:t>
            </w:r>
          </w:p>
        </w:tc>
        <w:tc>
          <w:tcPr>
            <w:tcW w:w="391" w:type="pct"/>
            <w:shd w:val="clear" w:color="auto" w:fill="auto"/>
            <w:noWrap/>
          </w:tcPr>
          <w:p w14:paraId="0D3689DB" w14:textId="77777777" w:rsidR="00155B90" w:rsidRPr="00992554" w:rsidRDefault="00155B90" w:rsidP="002150E1">
            <w:pPr>
              <w:pStyle w:val="Tabletext0"/>
              <w:rPr>
                <w:sz w:val="18"/>
                <w:szCs w:val="18"/>
              </w:rPr>
            </w:pPr>
            <w:r w:rsidRPr="00992554">
              <w:rPr>
                <w:sz w:val="18"/>
                <w:szCs w:val="18"/>
              </w:rPr>
              <w:t>-</w:t>
            </w:r>
          </w:p>
        </w:tc>
        <w:tc>
          <w:tcPr>
            <w:tcW w:w="571" w:type="pct"/>
            <w:shd w:val="clear" w:color="auto" w:fill="auto"/>
            <w:noWrap/>
          </w:tcPr>
          <w:p w14:paraId="005355A7" w14:textId="77777777" w:rsidR="00155B90" w:rsidRPr="00992554" w:rsidRDefault="00155B90" w:rsidP="002150E1">
            <w:pPr>
              <w:pStyle w:val="Tabletext0"/>
              <w:rPr>
                <w:sz w:val="18"/>
                <w:szCs w:val="18"/>
              </w:rPr>
            </w:pPr>
            <w:r w:rsidRPr="00992554">
              <w:rPr>
                <w:sz w:val="18"/>
                <w:szCs w:val="18"/>
              </w:rPr>
              <w:t>97% (96, 98)</w:t>
            </w:r>
          </w:p>
        </w:tc>
      </w:tr>
      <w:tr w:rsidR="006530B8" w:rsidRPr="009256D6" w14:paraId="39DB1F1A" w14:textId="77777777" w:rsidTr="27A6ADB5">
        <w:trPr>
          <w:trHeight w:val="56"/>
        </w:trPr>
        <w:tc>
          <w:tcPr>
            <w:tcW w:w="2019" w:type="pct"/>
            <w:shd w:val="clear" w:color="auto" w:fill="auto"/>
            <w:noWrap/>
          </w:tcPr>
          <w:p w14:paraId="433B6FFF" w14:textId="77777777" w:rsidR="00155B90" w:rsidRPr="00992554" w:rsidRDefault="00155B90" w:rsidP="002150E1">
            <w:pPr>
              <w:pStyle w:val="Tabletext0"/>
              <w:rPr>
                <w:sz w:val="18"/>
                <w:szCs w:val="18"/>
              </w:rPr>
            </w:pPr>
            <w:r w:rsidRPr="00992554">
              <w:rPr>
                <w:sz w:val="18"/>
                <w:szCs w:val="18"/>
              </w:rPr>
              <w:t>ANZ: Retransplant DD graft</w:t>
            </w:r>
          </w:p>
        </w:tc>
        <w:tc>
          <w:tcPr>
            <w:tcW w:w="391" w:type="pct"/>
            <w:vMerge/>
          </w:tcPr>
          <w:p w14:paraId="5A445392" w14:textId="77777777" w:rsidR="00155B90" w:rsidRPr="00992554" w:rsidRDefault="00155B90" w:rsidP="002150E1">
            <w:pPr>
              <w:pStyle w:val="Tabletext0"/>
              <w:rPr>
                <w:sz w:val="18"/>
                <w:szCs w:val="18"/>
              </w:rPr>
            </w:pPr>
          </w:p>
        </w:tc>
        <w:tc>
          <w:tcPr>
            <w:tcW w:w="326" w:type="pct"/>
            <w:shd w:val="clear" w:color="auto" w:fill="auto"/>
          </w:tcPr>
          <w:p w14:paraId="0A46F477" w14:textId="77777777" w:rsidR="00155B90" w:rsidRPr="00992554" w:rsidRDefault="00155B90" w:rsidP="002150E1">
            <w:pPr>
              <w:pStyle w:val="Tabletext0"/>
              <w:rPr>
                <w:sz w:val="18"/>
                <w:szCs w:val="18"/>
              </w:rPr>
            </w:pPr>
            <w:r w:rsidRPr="00992554">
              <w:rPr>
                <w:sz w:val="18"/>
                <w:szCs w:val="18"/>
              </w:rPr>
              <w:t>225</w:t>
            </w:r>
          </w:p>
        </w:tc>
        <w:tc>
          <w:tcPr>
            <w:tcW w:w="651" w:type="pct"/>
            <w:shd w:val="clear" w:color="auto" w:fill="auto"/>
            <w:noWrap/>
          </w:tcPr>
          <w:p w14:paraId="5F1D2656" w14:textId="77777777" w:rsidR="00155B90" w:rsidRPr="00992554" w:rsidRDefault="00155B90" w:rsidP="002150E1">
            <w:pPr>
              <w:pStyle w:val="Tabletext0"/>
              <w:rPr>
                <w:sz w:val="18"/>
                <w:szCs w:val="18"/>
              </w:rPr>
            </w:pPr>
            <w:r w:rsidRPr="00992554">
              <w:rPr>
                <w:sz w:val="18"/>
                <w:szCs w:val="18"/>
              </w:rPr>
              <w:t>99% (96, 100)</w:t>
            </w:r>
          </w:p>
        </w:tc>
        <w:tc>
          <w:tcPr>
            <w:tcW w:w="651" w:type="pct"/>
            <w:shd w:val="clear" w:color="auto" w:fill="auto"/>
            <w:noWrap/>
          </w:tcPr>
          <w:p w14:paraId="7C54986A" w14:textId="77777777" w:rsidR="00155B90" w:rsidRPr="00992554" w:rsidRDefault="00155B90" w:rsidP="002150E1">
            <w:pPr>
              <w:pStyle w:val="Tabletext0"/>
              <w:rPr>
                <w:sz w:val="18"/>
                <w:szCs w:val="18"/>
              </w:rPr>
            </w:pPr>
            <w:r w:rsidRPr="00992554">
              <w:rPr>
                <w:sz w:val="18"/>
                <w:szCs w:val="18"/>
              </w:rPr>
              <w:t>97% (94, 99)</w:t>
            </w:r>
          </w:p>
        </w:tc>
        <w:tc>
          <w:tcPr>
            <w:tcW w:w="391" w:type="pct"/>
            <w:shd w:val="clear" w:color="auto" w:fill="auto"/>
            <w:noWrap/>
          </w:tcPr>
          <w:p w14:paraId="54681F48" w14:textId="77777777" w:rsidR="00155B90" w:rsidRPr="00992554" w:rsidRDefault="00155B90" w:rsidP="002150E1">
            <w:pPr>
              <w:pStyle w:val="Tabletext0"/>
              <w:rPr>
                <w:sz w:val="18"/>
                <w:szCs w:val="18"/>
              </w:rPr>
            </w:pPr>
            <w:r w:rsidRPr="00992554">
              <w:rPr>
                <w:sz w:val="18"/>
                <w:szCs w:val="18"/>
              </w:rPr>
              <w:t>-</w:t>
            </w:r>
          </w:p>
        </w:tc>
        <w:tc>
          <w:tcPr>
            <w:tcW w:w="571" w:type="pct"/>
            <w:shd w:val="clear" w:color="auto" w:fill="auto"/>
            <w:noWrap/>
          </w:tcPr>
          <w:p w14:paraId="3984E1E7" w14:textId="77777777" w:rsidR="00155B90" w:rsidRPr="00992554" w:rsidRDefault="00155B90" w:rsidP="002150E1">
            <w:pPr>
              <w:pStyle w:val="Tabletext0"/>
              <w:rPr>
                <w:sz w:val="18"/>
                <w:szCs w:val="18"/>
              </w:rPr>
            </w:pPr>
            <w:r w:rsidRPr="00992554">
              <w:rPr>
                <w:sz w:val="18"/>
                <w:szCs w:val="18"/>
              </w:rPr>
              <w:t>91% (85, 94)</w:t>
            </w:r>
          </w:p>
        </w:tc>
      </w:tr>
      <w:tr w:rsidR="006530B8" w:rsidRPr="009256D6" w14:paraId="19FD36F0" w14:textId="77777777" w:rsidTr="27A6ADB5">
        <w:trPr>
          <w:trHeight w:val="82"/>
        </w:trPr>
        <w:tc>
          <w:tcPr>
            <w:tcW w:w="2019" w:type="pct"/>
            <w:shd w:val="clear" w:color="auto" w:fill="auto"/>
            <w:noWrap/>
          </w:tcPr>
          <w:p w14:paraId="26450D87" w14:textId="77777777" w:rsidR="00155B90" w:rsidRPr="00992554" w:rsidRDefault="00155B90" w:rsidP="002150E1">
            <w:pPr>
              <w:pStyle w:val="Tabletext0"/>
              <w:rPr>
                <w:sz w:val="18"/>
                <w:szCs w:val="18"/>
              </w:rPr>
            </w:pPr>
            <w:r w:rsidRPr="00992554">
              <w:rPr>
                <w:sz w:val="18"/>
                <w:szCs w:val="18"/>
              </w:rPr>
              <w:t>Australia: Primary LD graft</w:t>
            </w:r>
          </w:p>
        </w:tc>
        <w:tc>
          <w:tcPr>
            <w:tcW w:w="391" w:type="pct"/>
            <w:vMerge/>
          </w:tcPr>
          <w:p w14:paraId="4224A8CB" w14:textId="77777777" w:rsidR="00155B90" w:rsidRPr="00992554" w:rsidRDefault="00155B90" w:rsidP="002150E1">
            <w:pPr>
              <w:pStyle w:val="Tabletext0"/>
              <w:rPr>
                <w:sz w:val="18"/>
                <w:szCs w:val="18"/>
              </w:rPr>
            </w:pPr>
          </w:p>
        </w:tc>
        <w:tc>
          <w:tcPr>
            <w:tcW w:w="326" w:type="pct"/>
            <w:shd w:val="clear" w:color="auto" w:fill="auto"/>
          </w:tcPr>
          <w:p w14:paraId="136C48CB" w14:textId="77777777" w:rsidR="00155B90" w:rsidRPr="00992554" w:rsidRDefault="00155B90" w:rsidP="002150E1">
            <w:pPr>
              <w:pStyle w:val="Tabletext0"/>
              <w:rPr>
                <w:sz w:val="18"/>
                <w:szCs w:val="18"/>
              </w:rPr>
            </w:pPr>
            <w:r w:rsidRPr="00992554">
              <w:rPr>
                <w:sz w:val="18"/>
                <w:szCs w:val="18"/>
              </w:rPr>
              <w:t>447</w:t>
            </w:r>
          </w:p>
        </w:tc>
        <w:tc>
          <w:tcPr>
            <w:tcW w:w="651" w:type="pct"/>
            <w:shd w:val="clear" w:color="auto" w:fill="auto"/>
            <w:noWrap/>
          </w:tcPr>
          <w:p w14:paraId="3C314D71" w14:textId="77777777" w:rsidR="00155B90" w:rsidRPr="00992554" w:rsidRDefault="00155B90" w:rsidP="002150E1">
            <w:pPr>
              <w:pStyle w:val="Tabletext0"/>
              <w:rPr>
                <w:sz w:val="18"/>
                <w:szCs w:val="18"/>
              </w:rPr>
            </w:pPr>
            <w:r w:rsidRPr="00992554">
              <w:rPr>
                <w:sz w:val="18"/>
                <w:szCs w:val="18"/>
              </w:rPr>
              <w:t>100% (98, 100)</w:t>
            </w:r>
          </w:p>
        </w:tc>
        <w:tc>
          <w:tcPr>
            <w:tcW w:w="651" w:type="pct"/>
            <w:shd w:val="clear" w:color="auto" w:fill="auto"/>
            <w:noWrap/>
          </w:tcPr>
          <w:p w14:paraId="4A74BCA5" w14:textId="77777777" w:rsidR="00155B90" w:rsidRPr="00992554" w:rsidRDefault="00155B90" w:rsidP="002150E1">
            <w:pPr>
              <w:pStyle w:val="Tabletext0"/>
              <w:rPr>
                <w:sz w:val="18"/>
                <w:szCs w:val="18"/>
              </w:rPr>
            </w:pPr>
            <w:r w:rsidRPr="00992554">
              <w:rPr>
                <w:sz w:val="18"/>
                <w:szCs w:val="18"/>
              </w:rPr>
              <w:t>100% (98, 100)</w:t>
            </w:r>
          </w:p>
        </w:tc>
        <w:tc>
          <w:tcPr>
            <w:tcW w:w="391" w:type="pct"/>
            <w:shd w:val="clear" w:color="auto" w:fill="auto"/>
            <w:noWrap/>
          </w:tcPr>
          <w:p w14:paraId="7B75E28D" w14:textId="77777777" w:rsidR="00155B90" w:rsidRPr="00992554" w:rsidRDefault="00155B90" w:rsidP="002150E1">
            <w:pPr>
              <w:pStyle w:val="Tabletext0"/>
              <w:rPr>
                <w:sz w:val="18"/>
                <w:szCs w:val="18"/>
              </w:rPr>
            </w:pPr>
            <w:r w:rsidRPr="00992554">
              <w:rPr>
                <w:sz w:val="18"/>
                <w:szCs w:val="18"/>
              </w:rPr>
              <w:t>-</w:t>
            </w:r>
          </w:p>
        </w:tc>
        <w:tc>
          <w:tcPr>
            <w:tcW w:w="571" w:type="pct"/>
            <w:shd w:val="clear" w:color="auto" w:fill="auto"/>
            <w:noWrap/>
          </w:tcPr>
          <w:p w14:paraId="7481288A" w14:textId="77777777" w:rsidR="00155B90" w:rsidRPr="00992554" w:rsidRDefault="00155B90" w:rsidP="002150E1">
            <w:pPr>
              <w:pStyle w:val="Tabletext0"/>
              <w:rPr>
                <w:sz w:val="18"/>
                <w:szCs w:val="18"/>
              </w:rPr>
            </w:pPr>
            <w:r w:rsidRPr="00992554">
              <w:rPr>
                <w:sz w:val="18"/>
                <w:szCs w:val="18"/>
              </w:rPr>
              <w:t>95% (92, 96)</w:t>
            </w:r>
          </w:p>
        </w:tc>
      </w:tr>
      <w:tr w:rsidR="006530B8" w:rsidRPr="009256D6" w14:paraId="3648A594" w14:textId="77777777" w:rsidTr="002150E1">
        <w:trPr>
          <w:trHeight w:val="53"/>
        </w:trPr>
        <w:tc>
          <w:tcPr>
            <w:tcW w:w="2019" w:type="pct"/>
            <w:shd w:val="clear" w:color="auto" w:fill="auto"/>
            <w:noWrap/>
          </w:tcPr>
          <w:p w14:paraId="223151F5" w14:textId="77777777" w:rsidR="00155B90" w:rsidRPr="00992554" w:rsidRDefault="00155B90" w:rsidP="002150E1">
            <w:pPr>
              <w:pStyle w:val="Tabletext0"/>
              <w:rPr>
                <w:sz w:val="18"/>
                <w:szCs w:val="18"/>
              </w:rPr>
            </w:pPr>
            <w:r w:rsidRPr="00992554">
              <w:rPr>
                <w:sz w:val="18"/>
                <w:szCs w:val="18"/>
              </w:rPr>
              <w:t>ANZ: Retransplant LD graft</w:t>
            </w:r>
          </w:p>
        </w:tc>
        <w:tc>
          <w:tcPr>
            <w:tcW w:w="391" w:type="pct"/>
            <w:shd w:val="clear" w:color="auto" w:fill="auto"/>
          </w:tcPr>
          <w:p w14:paraId="5921E364" w14:textId="7852C766" w:rsidR="00155B90" w:rsidRPr="00992554" w:rsidRDefault="00155B90" w:rsidP="002150E1">
            <w:pPr>
              <w:pStyle w:val="Tabletext0"/>
              <w:rPr>
                <w:sz w:val="18"/>
                <w:szCs w:val="18"/>
              </w:rPr>
            </w:pPr>
            <w:r w:rsidRPr="00992554">
              <w:rPr>
                <w:sz w:val="18"/>
                <w:szCs w:val="18"/>
              </w:rPr>
              <w:t>2015</w:t>
            </w:r>
            <w:r w:rsidR="00293301" w:rsidRPr="00992554">
              <w:rPr>
                <w:sz w:val="18"/>
                <w:szCs w:val="18"/>
              </w:rPr>
              <w:t>–20</w:t>
            </w:r>
            <w:r w:rsidRPr="00992554">
              <w:rPr>
                <w:sz w:val="18"/>
                <w:szCs w:val="18"/>
              </w:rPr>
              <w:t>19</w:t>
            </w:r>
          </w:p>
        </w:tc>
        <w:tc>
          <w:tcPr>
            <w:tcW w:w="326" w:type="pct"/>
            <w:shd w:val="clear" w:color="auto" w:fill="auto"/>
          </w:tcPr>
          <w:p w14:paraId="041D66CC" w14:textId="77777777" w:rsidR="00155B90" w:rsidRPr="00992554" w:rsidRDefault="00155B90" w:rsidP="002150E1">
            <w:pPr>
              <w:pStyle w:val="Tabletext0"/>
              <w:rPr>
                <w:sz w:val="18"/>
                <w:szCs w:val="18"/>
              </w:rPr>
            </w:pPr>
            <w:r w:rsidRPr="00992554">
              <w:rPr>
                <w:sz w:val="18"/>
                <w:szCs w:val="18"/>
              </w:rPr>
              <w:t>167</w:t>
            </w:r>
          </w:p>
        </w:tc>
        <w:tc>
          <w:tcPr>
            <w:tcW w:w="651" w:type="pct"/>
            <w:shd w:val="clear" w:color="auto" w:fill="auto"/>
            <w:noWrap/>
          </w:tcPr>
          <w:p w14:paraId="76FD500F" w14:textId="77777777" w:rsidR="00155B90" w:rsidRPr="00992554" w:rsidRDefault="00155B90" w:rsidP="002150E1">
            <w:pPr>
              <w:pStyle w:val="Tabletext0"/>
              <w:rPr>
                <w:sz w:val="18"/>
                <w:szCs w:val="18"/>
              </w:rPr>
            </w:pPr>
            <w:r w:rsidRPr="00992554">
              <w:rPr>
                <w:sz w:val="18"/>
                <w:szCs w:val="18"/>
              </w:rPr>
              <w:t>-</w:t>
            </w:r>
          </w:p>
        </w:tc>
        <w:tc>
          <w:tcPr>
            <w:tcW w:w="651" w:type="pct"/>
            <w:shd w:val="clear" w:color="auto" w:fill="auto"/>
            <w:noWrap/>
          </w:tcPr>
          <w:p w14:paraId="6EF5593D" w14:textId="77777777" w:rsidR="00155B90" w:rsidRPr="00992554" w:rsidRDefault="00155B90" w:rsidP="002150E1">
            <w:pPr>
              <w:pStyle w:val="Tabletext0"/>
              <w:rPr>
                <w:sz w:val="18"/>
                <w:szCs w:val="18"/>
              </w:rPr>
            </w:pPr>
            <w:r w:rsidRPr="00992554">
              <w:rPr>
                <w:sz w:val="18"/>
                <w:szCs w:val="18"/>
              </w:rPr>
              <w:t>99% (95, 100)</w:t>
            </w:r>
          </w:p>
        </w:tc>
        <w:tc>
          <w:tcPr>
            <w:tcW w:w="391" w:type="pct"/>
            <w:shd w:val="clear" w:color="auto" w:fill="auto"/>
            <w:noWrap/>
          </w:tcPr>
          <w:p w14:paraId="556D7ADC" w14:textId="77777777" w:rsidR="00155B90" w:rsidRPr="00992554" w:rsidRDefault="00155B90" w:rsidP="002150E1">
            <w:pPr>
              <w:pStyle w:val="Tabletext0"/>
              <w:rPr>
                <w:sz w:val="18"/>
                <w:szCs w:val="18"/>
              </w:rPr>
            </w:pPr>
            <w:r w:rsidRPr="00992554">
              <w:rPr>
                <w:sz w:val="18"/>
                <w:szCs w:val="18"/>
              </w:rPr>
              <w:t>-</w:t>
            </w:r>
          </w:p>
        </w:tc>
        <w:tc>
          <w:tcPr>
            <w:tcW w:w="571" w:type="pct"/>
            <w:shd w:val="clear" w:color="auto" w:fill="auto"/>
            <w:noWrap/>
          </w:tcPr>
          <w:p w14:paraId="640F33F2" w14:textId="77777777" w:rsidR="00155B90" w:rsidRPr="00992554" w:rsidRDefault="00155B90" w:rsidP="002150E1">
            <w:pPr>
              <w:pStyle w:val="Tabletext0"/>
              <w:rPr>
                <w:sz w:val="18"/>
                <w:szCs w:val="18"/>
              </w:rPr>
            </w:pPr>
            <w:r w:rsidRPr="00992554">
              <w:rPr>
                <w:sz w:val="18"/>
                <w:szCs w:val="18"/>
              </w:rPr>
              <w:t>97% (90, 99)</w:t>
            </w:r>
          </w:p>
        </w:tc>
      </w:tr>
      <w:tr w:rsidR="006530B8" w:rsidRPr="009256D6" w14:paraId="0485F236" w14:textId="77777777" w:rsidTr="002150E1">
        <w:trPr>
          <w:trHeight w:val="347"/>
        </w:trPr>
        <w:tc>
          <w:tcPr>
            <w:tcW w:w="5000" w:type="pct"/>
            <w:gridSpan w:val="7"/>
            <w:shd w:val="clear" w:color="auto" w:fill="auto"/>
            <w:noWrap/>
          </w:tcPr>
          <w:p w14:paraId="1C04F05D" w14:textId="77777777" w:rsidR="00155B90" w:rsidRPr="00992554" w:rsidRDefault="00155B90" w:rsidP="002150E1">
            <w:pPr>
              <w:pStyle w:val="Tabletext0"/>
              <w:rPr>
                <w:b/>
                <w:i/>
                <w:sz w:val="18"/>
                <w:szCs w:val="18"/>
              </w:rPr>
            </w:pPr>
            <w:r w:rsidRPr="00992554">
              <w:rPr>
                <w:b/>
                <w:i/>
                <w:sz w:val="18"/>
                <w:szCs w:val="18"/>
              </w:rPr>
              <w:t>Graft survival (death-censored)</w:t>
            </w:r>
          </w:p>
        </w:tc>
      </w:tr>
      <w:tr w:rsidR="006530B8" w:rsidRPr="009256D6" w14:paraId="0D9EE411" w14:textId="77777777" w:rsidTr="002150E1">
        <w:trPr>
          <w:trHeight w:val="56"/>
        </w:trPr>
        <w:tc>
          <w:tcPr>
            <w:tcW w:w="2019" w:type="pct"/>
            <w:shd w:val="clear" w:color="auto" w:fill="auto"/>
            <w:noWrap/>
            <w:hideMark/>
          </w:tcPr>
          <w:p w14:paraId="21A9AD9A" w14:textId="1AB8948F" w:rsidR="00155B90" w:rsidRPr="00992554" w:rsidRDefault="00155B90" w:rsidP="002150E1">
            <w:pPr>
              <w:pStyle w:val="Tabletext0"/>
              <w:rPr>
                <w:sz w:val="18"/>
                <w:szCs w:val="18"/>
              </w:rPr>
            </w:pPr>
            <w:r w:rsidRPr="00992554">
              <w:rPr>
                <w:sz w:val="18"/>
                <w:szCs w:val="18"/>
              </w:rPr>
              <w:t xml:space="preserve">Imlifidase </w:t>
            </w:r>
            <w:r w:rsidR="00550B8A" w:rsidRPr="00992554">
              <w:rPr>
                <w:sz w:val="18"/>
                <w:szCs w:val="18"/>
              </w:rPr>
              <w:t>a</w:t>
            </w:r>
            <w:r w:rsidRPr="00992554">
              <w:rPr>
                <w:sz w:val="18"/>
                <w:szCs w:val="18"/>
              </w:rPr>
              <w:t>ll-transplanted: 15% LD, 70% retransplant</w:t>
            </w:r>
          </w:p>
        </w:tc>
        <w:tc>
          <w:tcPr>
            <w:tcW w:w="391" w:type="pct"/>
            <w:vMerge w:val="restart"/>
            <w:shd w:val="clear" w:color="auto" w:fill="auto"/>
          </w:tcPr>
          <w:p w14:paraId="0575B854" w14:textId="3627F935" w:rsidR="00155B90" w:rsidRPr="00992554" w:rsidRDefault="00155B90" w:rsidP="002150E1">
            <w:pPr>
              <w:pStyle w:val="Tabletext0"/>
              <w:rPr>
                <w:sz w:val="18"/>
                <w:szCs w:val="18"/>
              </w:rPr>
            </w:pPr>
            <w:r w:rsidRPr="00992554">
              <w:rPr>
                <w:sz w:val="18"/>
                <w:szCs w:val="18"/>
              </w:rPr>
              <w:t>2014</w:t>
            </w:r>
            <w:r w:rsidR="00293301" w:rsidRPr="00992554">
              <w:rPr>
                <w:sz w:val="18"/>
                <w:szCs w:val="18"/>
              </w:rPr>
              <w:t>–20</w:t>
            </w:r>
            <w:r w:rsidRPr="00992554">
              <w:rPr>
                <w:sz w:val="18"/>
                <w:szCs w:val="18"/>
              </w:rPr>
              <w:t>17</w:t>
            </w:r>
          </w:p>
        </w:tc>
        <w:tc>
          <w:tcPr>
            <w:tcW w:w="326" w:type="pct"/>
            <w:shd w:val="clear" w:color="auto" w:fill="auto"/>
          </w:tcPr>
          <w:p w14:paraId="102D17A8" w14:textId="77777777" w:rsidR="00155B90" w:rsidRPr="00992554" w:rsidRDefault="00155B90" w:rsidP="002150E1">
            <w:pPr>
              <w:pStyle w:val="Tabletext0"/>
              <w:rPr>
                <w:sz w:val="18"/>
                <w:szCs w:val="18"/>
              </w:rPr>
            </w:pPr>
            <w:r w:rsidRPr="00992554">
              <w:rPr>
                <w:sz w:val="18"/>
                <w:szCs w:val="18"/>
              </w:rPr>
              <w:t>46</w:t>
            </w:r>
          </w:p>
        </w:tc>
        <w:tc>
          <w:tcPr>
            <w:tcW w:w="651" w:type="pct"/>
            <w:shd w:val="clear" w:color="auto" w:fill="auto"/>
            <w:noWrap/>
            <w:hideMark/>
          </w:tcPr>
          <w:p w14:paraId="2CF130CB" w14:textId="77777777" w:rsidR="00155B90" w:rsidRPr="00992554" w:rsidRDefault="00155B90" w:rsidP="002150E1">
            <w:pPr>
              <w:pStyle w:val="Tabletext0"/>
              <w:rPr>
                <w:sz w:val="18"/>
                <w:szCs w:val="18"/>
              </w:rPr>
            </w:pPr>
            <w:r w:rsidRPr="00992554">
              <w:rPr>
                <w:sz w:val="18"/>
                <w:szCs w:val="18"/>
              </w:rPr>
              <w:t>93%</w:t>
            </w:r>
          </w:p>
        </w:tc>
        <w:tc>
          <w:tcPr>
            <w:tcW w:w="651" w:type="pct"/>
            <w:shd w:val="clear" w:color="auto" w:fill="auto"/>
            <w:noWrap/>
            <w:hideMark/>
          </w:tcPr>
          <w:p w14:paraId="3BE9AE64" w14:textId="77777777" w:rsidR="00155B90" w:rsidRPr="00992554" w:rsidRDefault="00155B90" w:rsidP="002150E1">
            <w:pPr>
              <w:pStyle w:val="Tabletext0"/>
              <w:rPr>
                <w:sz w:val="18"/>
                <w:szCs w:val="18"/>
              </w:rPr>
            </w:pPr>
            <w:r w:rsidRPr="00992554">
              <w:rPr>
                <w:sz w:val="18"/>
                <w:szCs w:val="18"/>
              </w:rPr>
              <w:t>93%</w:t>
            </w:r>
          </w:p>
        </w:tc>
        <w:tc>
          <w:tcPr>
            <w:tcW w:w="391" w:type="pct"/>
            <w:shd w:val="clear" w:color="auto" w:fill="auto"/>
            <w:noWrap/>
            <w:hideMark/>
          </w:tcPr>
          <w:p w14:paraId="0ED41995" w14:textId="77777777" w:rsidR="00155B90" w:rsidRPr="00992554" w:rsidRDefault="00155B90" w:rsidP="002150E1">
            <w:pPr>
              <w:pStyle w:val="Tabletext0"/>
              <w:rPr>
                <w:sz w:val="18"/>
                <w:szCs w:val="18"/>
              </w:rPr>
            </w:pPr>
            <w:r w:rsidRPr="00992554">
              <w:rPr>
                <w:sz w:val="18"/>
                <w:szCs w:val="18"/>
              </w:rPr>
              <w:t>88%</w:t>
            </w:r>
          </w:p>
        </w:tc>
        <w:tc>
          <w:tcPr>
            <w:tcW w:w="571" w:type="pct"/>
            <w:shd w:val="clear" w:color="auto" w:fill="auto"/>
            <w:noWrap/>
            <w:hideMark/>
          </w:tcPr>
          <w:p w14:paraId="79E62824" w14:textId="77777777" w:rsidR="00155B90" w:rsidRPr="00992554" w:rsidRDefault="00155B90" w:rsidP="002150E1">
            <w:pPr>
              <w:pStyle w:val="Tabletext0"/>
              <w:rPr>
                <w:sz w:val="18"/>
                <w:szCs w:val="18"/>
              </w:rPr>
            </w:pPr>
            <w:r w:rsidRPr="00992554">
              <w:rPr>
                <w:sz w:val="18"/>
                <w:szCs w:val="18"/>
              </w:rPr>
              <w:t>85%</w:t>
            </w:r>
          </w:p>
        </w:tc>
      </w:tr>
      <w:tr w:rsidR="006530B8" w:rsidRPr="009256D6" w14:paraId="189E1551" w14:textId="77777777" w:rsidTr="27A6ADB5">
        <w:trPr>
          <w:trHeight w:val="110"/>
        </w:trPr>
        <w:tc>
          <w:tcPr>
            <w:tcW w:w="2019" w:type="pct"/>
            <w:shd w:val="clear" w:color="auto" w:fill="auto"/>
            <w:noWrap/>
            <w:hideMark/>
          </w:tcPr>
          <w:p w14:paraId="23A024BD" w14:textId="36903621" w:rsidR="00155B90" w:rsidRPr="009E2F9F" w:rsidRDefault="00155B90" w:rsidP="002150E1">
            <w:pPr>
              <w:pStyle w:val="Tabletext0"/>
              <w:rPr>
                <w:sz w:val="18"/>
                <w:szCs w:val="18"/>
              </w:rPr>
            </w:pPr>
            <w:r w:rsidRPr="00992554">
              <w:rPr>
                <w:sz w:val="18"/>
                <w:szCs w:val="18"/>
              </w:rPr>
              <w:t>Imlifidase UTT-A</w:t>
            </w:r>
            <w:r w:rsidRPr="009E2F9F">
              <w:rPr>
                <w:sz w:val="18"/>
                <w:szCs w:val="18"/>
              </w:rPr>
              <w:t>: 17% LD, 70% retransplant</w:t>
            </w:r>
          </w:p>
        </w:tc>
        <w:tc>
          <w:tcPr>
            <w:tcW w:w="391" w:type="pct"/>
            <w:vMerge/>
          </w:tcPr>
          <w:p w14:paraId="51AE21DA" w14:textId="77777777" w:rsidR="00155B90" w:rsidRPr="00992554" w:rsidRDefault="00155B90" w:rsidP="002150E1">
            <w:pPr>
              <w:pStyle w:val="Tabletext0"/>
              <w:rPr>
                <w:sz w:val="18"/>
                <w:szCs w:val="18"/>
              </w:rPr>
            </w:pPr>
          </w:p>
        </w:tc>
        <w:tc>
          <w:tcPr>
            <w:tcW w:w="326" w:type="pct"/>
            <w:shd w:val="clear" w:color="auto" w:fill="auto"/>
          </w:tcPr>
          <w:p w14:paraId="20559512" w14:textId="77777777" w:rsidR="00155B90" w:rsidRPr="009E2F9F" w:rsidRDefault="00155B90" w:rsidP="002150E1">
            <w:pPr>
              <w:pStyle w:val="Tabletext0"/>
              <w:rPr>
                <w:sz w:val="18"/>
                <w:szCs w:val="18"/>
              </w:rPr>
            </w:pPr>
            <w:r w:rsidRPr="009E2F9F">
              <w:rPr>
                <w:sz w:val="18"/>
                <w:szCs w:val="18"/>
              </w:rPr>
              <w:t>30</w:t>
            </w:r>
          </w:p>
        </w:tc>
        <w:tc>
          <w:tcPr>
            <w:tcW w:w="651" w:type="pct"/>
            <w:shd w:val="clear" w:color="auto" w:fill="auto"/>
            <w:noWrap/>
            <w:hideMark/>
          </w:tcPr>
          <w:p w14:paraId="0E448419" w14:textId="77777777" w:rsidR="00155B90" w:rsidRPr="009E2F9F" w:rsidRDefault="00155B90" w:rsidP="002150E1">
            <w:pPr>
              <w:pStyle w:val="Tabletext0"/>
              <w:rPr>
                <w:sz w:val="18"/>
                <w:szCs w:val="18"/>
              </w:rPr>
            </w:pPr>
            <w:r w:rsidRPr="009E2F9F">
              <w:rPr>
                <w:sz w:val="18"/>
                <w:szCs w:val="18"/>
              </w:rPr>
              <w:t>97%</w:t>
            </w:r>
          </w:p>
        </w:tc>
        <w:tc>
          <w:tcPr>
            <w:tcW w:w="651" w:type="pct"/>
            <w:shd w:val="clear" w:color="auto" w:fill="auto"/>
            <w:noWrap/>
            <w:hideMark/>
          </w:tcPr>
          <w:p w14:paraId="758C5B2A" w14:textId="77777777" w:rsidR="00155B90" w:rsidRPr="009E2F9F" w:rsidRDefault="00155B90" w:rsidP="002150E1">
            <w:pPr>
              <w:pStyle w:val="Tabletext0"/>
              <w:rPr>
                <w:sz w:val="18"/>
                <w:szCs w:val="18"/>
              </w:rPr>
            </w:pPr>
            <w:r w:rsidRPr="009E2F9F">
              <w:rPr>
                <w:sz w:val="18"/>
                <w:szCs w:val="18"/>
              </w:rPr>
              <w:t>97%</w:t>
            </w:r>
          </w:p>
        </w:tc>
        <w:tc>
          <w:tcPr>
            <w:tcW w:w="391" w:type="pct"/>
            <w:shd w:val="clear" w:color="auto" w:fill="auto"/>
            <w:noWrap/>
            <w:hideMark/>
          </w:tcPr>
          <w:p w14:paraId="24926148" w14:textId="77777777" w:rsidR="00155B90" w:rsidRPr="009E2F9F" w:rsidRDefault="00155B90" w:rsidP="002150E1">
            <w:pPr>
              <w:pStyle w:val="Tabletext0"/>
              <w:rPr>
                <w:sz w:val="18"/>
                <w:szCs w:val="18"/>
              </w:rPr>
            </w:pPr>
            <w:r w:rsidRPr="009E2F9F">
              <w:rPr>
                <w:sz w:val="18"/>
                <w:szCs w:val="18"/>
              </w:rPr>
              <w:t>92%</w:t>
            </w:r>
          </w:p>
        </w:tc>
        <w:tc>
          <w:tcPr>
            <w:tcW w:w="571" w:type="pct"/>
            <w:shd w:val="clear" w:color="auto" w:fill="auto"/>
            <w:noWrap/>
            <w:hideMark/>
          </w:tcPr>
          <w:p w14:paraId="1EAAC6EC" w14:textId="77777777" w:rsidR="00155B90" w:rsidRPr="009E2F9F" w:rsidRDefault="00155B90" w:rsidP="002150E1">
            <w:pPr>
              <w:pStyle w:val="Tabletext0"/>
              <w:rPr>
                <w:sz w:val="18"/>
                <w:szCs w:val="18"/>
              </w:rPr>
            </w:pPr>
            <w:r w:rsidRPr="009E2F9F">
              <w:rPr>
                <w:sz w:val="18"/>
                <w:szCs w:val="18"/>
              </w:rPr>
              <w:t>87%</w:t>
            </w:r>
          </w:p>
        </w:tc>
      </w:tr>
      <w:tr w:rsidR="006530B8" w:rsidRPr="009256D6" w14:paraId="18346C9E" w14:textId="77777777" w:rsidTr="27A6ADB5">
        <w:trPr>
          <w:trHeight w:val="169"/>
        </w:trPr>
        <w:tc>
          <w:tcPr>
            <w:tcW w:w="2019" w:type="pct"/>
            <w:shd w:val="clear" w:color="auto" w:fill="auto"/>
            <w:noWrap/>
            <w:hideMark/>
          </w:tcPr>
          <w:p w14:paraId="03A48624" w14:textId="329DCF69" w:rsidR="00155B90" w:rsidRPr="00992554" w:rsidRDefault="00155B90" w:rsidP="002150E1">
            <w:pPr>
              <w:pStyle w:val="Tabletext0"/>
              <w:rPr>
                <w:sz w:val="18"/>
                <w:szCs w:val="18"/>
              </w:rPr>
            </w:pPr>
            <w:r w:rsidRPr="00992554">
              <w:rPr>
                <w:sz w:val="18"/>
                <w:szCs w:val="18"/>
              </w:rPr>
              <w:t>Imlifidase UTT</w:t>
            </w:r>
            <w:r w:rsidR="00550B8A" w:rsidRPr="00992554">
              <w:rPr>
                <w:sz w:val="18"/>
                <w:szCs w:val="18"/>
              </w:rPr>
              <w:t>:</w:t>
            </w:r>
            <w:r w:rsidRPr="00992554">
              <w:rPr>
                <w:sz w:val="18"/>
                <w:szCs w:val="18"/>
              </w:rPr>
              <w:t xml:space="preserve"> DD only, 67% retransplant</w:t>
            </w:r>
          </w:p>
        </w:tc>
        <w:tc>
          <w:tcPr>
            <w:tcW w:w="391" w:type="pct"/>
            <w:vMerge/>
          </w:tcPr>
          <w:p w14:paraId="59BAD204" w14:textId="77777777" w:rsidR="00155B90" w:rsidRPr="00992554" w:rsidRDefault="00155B90" w:rsidP="002150E1">
            <w:pPr>
              <w:pStyle w:val="Tabletext0"/>
              <w:rPr>
                <w:sz w:val="18"/>
                <w:szCs w:val="18"/>
              </w:rPr>
            </w:pPr>
          </w:p>
        </w:tc>
        <w:tc>
          <w:tcPr>
            <w:tcW w:w="326" w:type="pct"/>
            <w:shd w:val="clear" w:color="auto" w:fill="auto"/>
          </w:tcPr>
          <w:p w14:paraId="6F17D378" w14:textId="77777777" w:rsidR="00155B90" w:rsidRPr="00992554" w:rsidRDefault="00155B90" w:rsidP="002150E1">
            <w:pPr>
              <w:pStyle w:val="Tabletext0"/>
              <w:rPr>
                <w:sz w:val="18"/>
                <w:szCs w:val="18"/>
              </w:rPr>
            </w:pPr>
            <w:r w:rsidRPr="00992554">
              <w:rPr>
                <w:sz w:val="18"/>
                <w:szCs w:val="18"/>
              </w:rPr>
              <w:t>25</w:t>
            </w:r>
          </w:p>
        </w:tc>
        <w:tc>
          <w:tcPr>
            <w:tcW w:w="651" w:type="pct"/>
            <w:shd w:val="clear" w:color="auto" w:fill="auto"/>
            <w:noWrap/>
            <w:hideMark/>
          </w:tcPr>
          <w:p w14:paraId="001891A4" w14:textId="2A537BF0" w:rsidR="00155B90" w:rsidRPr="00992554" w:rsidRDefault="00155B90" w:rsidP="002150E1">
            <w:pPr>
              <w:pStyle w:val="Tabletext0"/>
              <w:rPr>
                <w:sz w:val="18"/>
                <w:szCs w:val="18"/>
              </w:rPr>
            </w:pPr>
            <w:r w:rsidRPr="00992554">
              <w:rPr>
                <w:sz w:val="18"/>
                <w:szCs w:val="18"/>
              </w:rPr>
              <w:t>96%</w:t>
            </w:r>
            <w:r w:rsidR="008750AB" w:rsidRPr="00992554">
              <w:rPr>
                <w:sz w:val="18"/>
                <w:szCs w:val="18"/>
              </w:rPr>
              <w:t xml:space="preserve"> </w:t>
            </w:r>
          </w:p>
        </w:tc>
        <w:tc>
          <w:tcPr>
            <w:tcW w:w="651" w:type="pct"/>
            <w:shd w:val="clear" w:color="auto" w:fill="auto"/>
            <w:noWrap/>
          </w:tcPr>
          <w:p w14:paraId="4997FB8C" w14:textId="77777777" w:rsidR="00155B90" w:rsidRPr="00992554" w:rsidRDefault="00155B90" w:rsidP="002150E1">
            <w:pPr>
              <w:pStyle w:val="Tabletext0"/>
              <w:rPr>
                <w:sz w:val="18"/>
                <w:szCs w:val="18"/>
              </w:rPr>
            </w:pPr>
            <w:r w:rsidRPr="00992554">
              <w:rPr>
                <w:sz w:val="18"/>
                <w:szCs w:val="18"/>
              </w:rPr>
              <w:t>96%</w:t>
            </w:r>
          </w:p>
        </w:tc>
        <w:tc>
          <w:tcPr>
            <w:tcW w:w="391" w:type="pct"/>
            <w:shd w:val="clear" w:color="auto" w:fill="auto"/>
            <w:noWrap/>
          </w:tcPr>
          <w:p w14:paraId="669A01D3" w14:textId="77777777" w:rsidR="00155B90" w:rsidRPr="00992554" w:rsidRDefault="00155B90" w:rsidP="002150E1">
            <w:pPr>
              <w:pStyle w:val="Tabletext0"/>
              <w:rPr>
                <w:sz w:val="18"/>
                <w:szCs w:val="18"/>
              </w:rPr>
            </w:pPr>
            <w:r w:rsidRPr="00992554">
              <w:rPr>
                <w:sz w:val="18"/>
                <w:szCs w:val="18"/>
              </w:rPr>
              <w:t>90%</w:t>
            </w:r>
          </w:p>
        </w:tc>
        <w:tc>
          <w:tcPr>
            <w:tcW w:w="571" w:type="pct"/>
            <w:shd w:val="clear" w:color="auto" w:fill="auto"/>
            <w:noWrap/>
          </w:tcPr>
          <w:p w14:paraId="3D44EC92" w14:textId="77777777" w:rsidR="00155B90" w:rsidRPr="00992554" w:rsidRDefault="00155B90" w:rsidP="002150E1">
            <w:pPr>
              <w:pStyle w:val="Tabletext0"/>
              <w:rPr>
                <w:sz w:val="18"/>
                <w:szCs w:val="18"/>
              </w:rPr>
            </w:pPr>
            <w:r w:rsidRPr="00992554">
              <w:rPr>
                <w:sz w:val="18"/>
                <w:szCs w:val="18"/>
              </w:rPr>
              <w:t>84%</w:t>
            </w:r>
          </w:p>
        </w:tc>
      </w:tr>
      <w:tr w:rsidR="006530B8" w:rsidRPr="009256D6" w14:paraId="74D9659F" w14:textId="77777777" w:rsidTr="27A6ADB5">
        <w:trPr>
          <w:trHeight w:val="169"/>
        </w:trPr>
        <w:tc>
          <w:tcPr>
            <w:tcW w:w="2019" w:type="pct"/>
            <w:shd w:val="clear" w:color="auto" w:fill="auto"/>
            <w:noWrap/>
          </w:tcPr>
          <w:p w14:paraId="2E379921" w14:textId="2BBB9443" w:rsidR="00155B90" w:rsidRPr="009E2F9F" w:rsidRDefault="00155B90" w:rsidP="002150E1">
            <w:pPr>
              <w:pStyle w:val="Tabletext0"/>
              <w:rPr>
                <w:sz w:val="18"/>
                <w:szCs w:val="18"/>
              </w:rPr>
            </w:pPr>
            <w:r w:rsidRPr="00992554">
              <w:rPr>
                <w:sz w:val="18"/>
                <w:szCs w:val="18"/>
              </w:rPr>
              <w:t>Imlifidase AUS-UTT-A</w:t>
            </w:r>
            <w:r w:rsidR="003E409C" w:rsidRPr="00992554">
              <w:rPr>
                <w:sz w:val="18"/>
                <w:szCs w:val="18"/>
              </w:rPr>
              <w:t>:</w:t>
            </w:r>
            <w:r w:rsidRPr="00992554">
              <w:rPr>
                <w:sz w:val="18"/>
                <w:szCs w:val="18"/>
              </w:rPr>
              <w:t xml:space="preserve"> </w:t>
            </w:r>
            <w:r w:rsidR="003E409C" w:rsidRPr="009E2F9F">
              <w:rPr>
                <w:sz w:val="18"/>
                <w:szCs w:val="18"/>
              </w:rPr>
              <w:t xml:space="preserve">22% </w:t>
            </w:r>
            <w:r w:rsidRPr="009E2F9F">
              <w:rPr>
                <w:sz w:val="18"/>
                <w:szCs w:val="18"/>
              </w:rPr>
              <w:t>LD, 74% retransplant</w:t>
            </w:r>
          </w:p>
        </w:tc>
        <w:tc>
          <w:tcPr>
            <w:tcW w:w="391" w:type="pct"/>
            <w:vMerge/>
          </w:tcPr>
          <w:p w14:paraId="25FA5584" w14:textId="77777777" w:rsidR="00155B90" w:rsidRPr="00992554" w:rsidRDefault="00155B90" w:rsidP="002150E1">
            <w:pPr>
              <w:pStyle w:val="Tabletext0"/>
              <w:rPr>
                <w:sz w:val="18"/>
                <w:szCs w:val="18"/>
              </w:rPr>
            </w:pPr>
          </w:p>
        </w:tc>
        <w:tc>
          <w:tcPr>
            <w:tcW w:w="326" w:type="pct"/>
            <w:shd w:val="clear" w:color="auto" w:fill="auto"/>
          </w:tcPr>
          <w:p w14:paraId="0FAF6A38" w14:textId="77777777" w:rsidR="00155B90" w:rsidRPr="009E2F9F" w:rsidRDefault="00155B90" w:rsidP="002150E1">
            <w:pPr>
              <w:pStyle w:val="Tabletext0"/>
              <w:rPr>
                <w:sz w:val="18"/>
                <w:szCs w:val="18"/>
              </w:rPr>
            </w:pPr>
            <w:r w:rsidRPr="009E2F9F">
              <w:rPr>
                <w:sz w:val="18"/>
                <w:szCs w:val="18"/>
              </w:rPr>
              <w:t>24</w:t>
            </w:r>
          </w:p>
        </w:tc>
        <w:tc>
          <w:tcPr>
            <w:tcW w:w="651" w:type="pct"/>
            <w:shd w:val="clear" w:color="auto" w:fill="auto"/>
            <w:noWrap/>
          </w:tcPr>
          <w:p w14:paraId="578AA1D6" w14:textId="588733A0" w:rsidR="00155B90" w:rsidRPr="009E2F9F" w:rsidRDefault="00155B90" w:rsidP="002150E1">
            <w:pPr>
              <w:pStyle w:val="Tabletext0"/>
              <w:rPr>
                <w:sz w:val="18"/>
                <w:szCs w:val="18"/>
              </w:rPr>
            </w:pPr>
            <w:r w:rsidRPr="009E2F9F">
              <w:rPr>
                <w:sz w:val="18"/>
                <w:szCs w:val="18"/>
              </w:rPr>
              <w:t>96%</w:t>
            </w:r>
            <w:r w:rsidR="00E37537" w:rsidRPr="00992554">
              <w:rPr>
                <w:sz w:val="18"/>
                <w:szCs w:val="18"/>
              </w:rPr>
              <w:t xml:space="preserve"> </w:t>
            </w:r>
          </w:p>
        </w:tc>
        <w:tc>
          <w:tcPr>
            <w:tcW w:w="651" w:type="pct"/>
            <w:shd w:val="clear" w:color="auto" w:fill="auto"/>
            <w:noWrap/>
          </w:tcPr>
          <w:p w14:paraId="7C6F711F" w14:textId="77777777" w:rsidR="00155B90" w:rsidRPr="009E2F9F" w:rsidRDefault="00155B90" w:rsidP="002150E1">
            <w:pPr>
              <w:pStyle w:val="Tabletext0"/>
              <w:rPr>
                <w:sz w:val="18"/>
                <w:szCs w:val="18"/>
              </w:rPr>
            </w:pPr>
            <w:r w:rsidRPr="009E2F9F">
              <w:rPr>
                <w:sz w:val="18"/>
                <w:szCs w:val="18"/>
              </w:rPr>
              <w:t>96%</w:t>
            </w:r>
          </w:p>
        </w:tc>
        <w:tc>
          <w:tcPr>
            <w:tcW w:w="391" w:type="pct"/>
            <w:shd w:val="clear" w:color="auto" w:fill="auto"/>
            <w:noWrap/>
          </w:tcPr>
          <w:p w14:paraId="5A539F0E" w14:textId="77777777" w:rsidR="00155B90" w:rsidRPr="009E2F9F" w:rsidRDefault="00155B90" w:rsidP="002150E1">
            <w:pPr>
              <w:pStyle w:val="Tabletext0"/>
              <w:rPr>
                <w:sz w:val="18"/>
                <w:szCs w:val="18"/>
              </w:rPr>
            </w:pPr>
            <w:r w:rsidRPr="009E2F9F">
              <w:rPr>
                <w:sz w:val="18"/>
                <w:szCs w:val="18"/>
              </w:rPr>
              <w:t>96%</w:t>
            </w:r>
          </w:p>
        </w:tc>
        <w:tc>
          <w:tcPr>
            <w:tcW w:w="571" w:type="pct"/>
            <w:shd w:val="clear" w:color="auto" w:fill="auto"/>
            <w:noWrap/>
          </w:tcPr>
          <w:p w14:paraId="5509D266" w14:textId="77777777" w:rsidR="00155B90" w:rsidRPr="009E2F9F" w:rsidRDefault="00155B90" w:rsidP="002150E1">
            <w:pPr>
              <w:pStyle w:val="Tabletext0"/>
              <w:rPr>
                <w:sz w:val="18"/>
                <w:szCs w:val="18"/>
              </w:rPr>
            </w:pPr>
            <w:r w:rsidRPr="009E2F9F">
              <w:rPr>
                <w:sz w:val="18"/>
                <w:szCs w:val="18"/>
              </w:rPr>
              <w:t>89%</w:t>
            </w:r>
          </w:p>
        </w:tc>
      </w:tr>
      <w:tr w:rsidR="006530B8" w:rsidRPr="009256D6" w14:paraId="11B7D9DD" w14:textId="77777777" w:rsidTr="002150E1">
        <w:trPr>
          <w:trHeight w:val="101"/>
        </w:trPr>
        <w:tc>
          <w:tcPr>
            <w:tcW w:w="2019" w:type="pct"/>
            <w:shd w:val="clear" w:color="auto" w:fill="auto"/>
            <w:noWrap/>
          </w:tcPr>
          <w:p w14:paraId="531C8B68" w14:textId="77777777" w:rsidR="00155B90" w:rsidRPr="00992554" w:rsidRDefault="00155B90" w:rsidP="002150E1">
            <w:pPr>
              <w:pStyle w:val="Tabletext0"/>
              <w:rPr>
                <w:sz w:val="18"/>
                <w:szCs w:val="18"/>
              </w:rPr>
            </w:pPr>
            <w:r w:rsidRPr="00992554">
              <w:rPr>
                <w:sz w:val="18"/>
                <w:szCs w:val="18"/>
              </w:rPr>
              <w:t>Canadian HSP</w:t>
            </w:r>
          </w:p>
        </w:tc>
        <w:tc>
          <w:tcPr>
            <w:tcW w:w="391" w:type="pct"/>
            <w:shd w:val="clear" w:color="auto" w:fill="auto"/>
          </w:tcPr>
          <w:p w14:paraId="091CFE5C" w14:textId="5633911A" w:rsidR="00155B90" w:rsidRPr="00992554" w:rsidRDefault="00155B90" w:rsidP="002150E1">
            <w:pPr>
              <w:pStyle w:val="Tabletext0"/>
              <w:rPr>
                <w:sz w:val="18"/>
                <w:szCs w:val="18"/>
              </w:rPr>
            </w:pPr>
            <w:r w:rsidRPr="00992554">
              <w:rPr>
                <w:sz w:val="18"/>
                <w:szCs w:val="18"/>
              </w:rPr>
              <w:t>2014</w:t>
            </w:r>
            <w:r w:rsidR="00293301" w:rsidRPr="00992554">
              <w:rPr>
                <w:sz w:val="18"/>
                <w:szCs w:val="18"/>
              </w:rPr>
              <w:t>–20</w:t>
            </w:r>
            <w:r w:rsidRPr="00992554">
              <w:rPr>
                <w:sz w:val="18"/>
                <w:szCs w:val="18"/>
              </w:rPr>
              <w:t>17</w:t>
            </w:r>
          </w:p>
        </w:tc>
        <w:tc>
          <w:tcPr>
            <w:tcW w:w="326" w:type="pct"/>
            <w:shd w:val="clear" w:color="auto" w:fill="auto"/>
          </w:tcPr>
          <w:p w14:paraId="3856C047" w14:textId="77777777" w:rsidR="00155B90" w:rsidRPr="00992554" w:rsidRDefault="00155B90" w:rsidP="002150E1">
            <w:pPr>
              <w:pStyle w:val="Tabletext0"/>
              <w:rPr>
                <w:sz w:val="18"/>
                <w:szCs w:val="18"/>
              </w:rPr>
            </w:pPr>
            <w:r w:rsidRPr="00992554">
              <w:rPr>
                <w:sz w:val="18"/>
                <w:szCs w:val="18"/>
              </w:rPr>
              <w:t>378</w:t>
            </w:r>
          </w:p>
        </w:tc>
        <w:tc>
          <w:tcPr>
            <w:tcW w:w="651" w:type="pct"/>
            <w:shd w:val="clear" w:color="auto" w:fill="auto"/>
            <w:noWrap/>
          </w:tcPr>
          <w:p w14:paraId="731B27C0" w14:textId="5B2828AA" w:rsidR="00155B90" w:rsidRPr="00992554" w:rsidRDefault="00155B90" w:rsidP="002150E1">
            <w:pPr>
              <w:pStyle w:val="Tabletext0"/>
              <w:rPr>
                <w:sz w:val="18"/>
                <w:szCs w:val="18"/>
              </w:rPr>
            </w:pPr>
            <w:r w:rsidRPr="00992554">
              <w:rPr>
                <w:sz w:val="18"/>
                <w:szCs w:val="18"/>
              </w:rPr>
              <w:t>9</w:t>
            </w:r>
            <w:r w:rsidR="005D6103" w:rsidRPr="00992554">
              <w:rPr>
                <w:sz w:val="18"/>
                <w:szCs w:val="18"/>
              </w:rPr>
              <w:t>5</w:t>
            </w:r>
            <w:r w:rsidRPr="00992554">
              <w:rPr>
                <w:sz w:val="18"/>
                <w:szCs w:val="18"/>
              </w:rPr>
              <w:t>%</w:t>
            </w:r>
          </w:p>
        </w:tc>
        <w:tc>
          <w:tcPr>
            <w:tcW w:w="651" w:type="pct"/>
            <w:shd w:val="clear" w:color="auto" w:fill="auto"/>
            <w:noWrap/>
          </w:tcPr>
          <w:p w14:paraId="73D0E749" w14:textId="2EACF60C" w:rsidR="00155B90" w:rsidRPr="00992554" w:rsidRDefault="00155B90" w:rsidP="002150E1">
            <w:pPr>
              <w:pStyle w:val="Tabletext0"/>
              <w:rPr>
                <w:sz w:val="18"/>
                <w:szCs w:val="18"/>
              </w:rPr>
            </w:pPr>
            <w:r w:rsidRPr="00992554">
              <w:rPr>
                <w:sz w:val="18"/>
                <w:szCs w:val="18"/>
              </w:rPr>
              <w:t>93%</w:t>
            </w:r>
          </w:p>
        </w:tc>
        <w:tc>
          <w:tcPr>
            <w:tcW w:w="391" w:type="pct"/>
            <w:shd w:val="clear" w:color="auto" w:fill="auto"/>
            <w:noWrap/>
          </w:tcPr>
          <w:p w14:paraId="3045C326" w14:textId="77777777" w:rsidR="00155B90" w:rsidRPr="00992554" w:rsidRDefault="00155B90" w:rsidP="002150E1">
            <w:pPr>
              <w:pStyle w:val="Tabletext0"/>
              <w:rPr>
                <w:sz w:val="18"/>
                <w:szCs w:val="18"/>
              </w:rPr>
            </w:pPr>
          </w:p>
        </w:tc>
        <w:tc>
          <w:tcPr>
            <w:tcW w:w="571" w:type="pct"/>
            <w:shd w:val="clear" w:color="auto" w:fill="auto"/>
            <w:noWrap/>
          </w:tcPr>
          <w:p w14:paraId="7F5C445F" w14:textId="3C68009A" w:rsidR="00155B90" w:rsidRPr="00992554" w:rsidRDefault="00155B90" w:rsidP="002150E1">
            <w:pPr>
              <w:pStyle w:val="Tabletext0"/>
              <w:rPr>
                <w:sz w:val="18"/>
                <w:szCs w:val="18"/>
              </w:rPr>
            </w:pPr>
            <w:r w:rsidRPr="00992554">
              <w:rPr>
                <w:sz w:val="18"/>
                <w:szCs w:val="18"/>
              </w:rPr>
              <w:t>90%</w:t>
            </w:r>
          </w:p>
        </w:tc>
      </w:tr>
      <w:tr w:rsidR="006530B8" w:rsidRPr="009256D6" w14:paraId="2DE42106" w14:textId="77777777" w:rsidTr="002150E1">
        <w:trPr>
          <w:trHeight w:val="162"/>
        </w:trPr>
        <w:tc>
          <w:tcPr>
            <w:tcW w:w="2019" w:type="pct"/>
            <w:shd w:val="clear" w:color="auto" w:fill="auto"/>
            <w:noWrap/>
          </w:tcPr>
          <w:p w14:paraId="552DB5BF" w14:textId="77777777" w:rsidR="00155B90" w:rsidRPr="009256D6" w:rsidRDefault="00155B90" w:rsidP="002150E1">
            <w:pPr>
              <w:pStyle w:val="Tabletext0"/>
              <w:rPr>
                <w:sz w:val="18"/>
                <w:szCs w:val="18"/>
              </w:rPr>
            </w:pPr>
            <w:r w:rsidRPr="009256D6">
              <w:rPr>
                <w:sz w:val="18"/>
                <w:szCs w:val="18"/>
              </w:rPr>
              <w:t>Australia: Primary DD graft*</w:t>
            </w:r>
          </w:p>
        </w:tc>
        <w:tc>
          <w:tcPr>
            <w:tcW w:w="391" w:type="pct"/>
            <w:vMerge w:val="restart"/>
            <w:shd w:val="clear" w:color="auto" w:fill="auto"/>
          </w:tcPr>
          <w:p w14:paraId="55A23EA5" w14:textId="7CEBF067" w:rsidR="00155B90" w:rsidRPr="009256D6" w:rsidRDefault="00155B90" w:rsidP="002150E1">
            <w:pPr>
              <w:pStyle w:val="Tabletext0"/>
              <w:rPr>
                <w:sz w:val="18"/>
                <w:szCs w:val="18"/>
              </w:rPr>
            </w:pPr>
            <w:r w:rsidRPr="009256D6">
              <w:rPr>
                <w:sz w:val="18"/>
                <w:szCs w:val="18"/>
              </w:rPr>
              <w:t>2015</w:t>
            </w:r>
            <w:r w:rsidR="00293301">
              <w:rPr>
                <w:sz w:val="18"/>
                <w:szCs w:val="18"/>
              </w:rPr>
              <w:t>–20</w:t>
            </w:r>
            <w:r w:rsidRPr="009256D6">
              <w:rPr>
                <w:sz w:val="18"/>
                <w:szCs w:val="18"/>
              </w:rPr>
              <w:t>16</w:t>
            </w:r>
          </w:p>
        </w:tc>
        <w:tc>
          <w:tcPr>
            <w:tcW w:w="326" w:type="pct"/>
            <w:shd w:val="clear" w:color="auto" w:fill="auto"/>
          </w:tcPr>
          <w:p w14:paraId="4C4A2D1D" w14:textId="77777777" w:rsidR="00155B90" w:rsidRPr="009256D6" w:rsidRDefault="00155B90" w:rsidP="002150E1">
            <w:pPr>
              <w:pStyle w:val="Tabletext0"/>
              <w:rPr>
                <w:sz w:val="18"/>
                <w:szCs w:val="18"/>
              </w:rPr>
            </w:pPr>
            <w:r w:rsidRPr="009256D6">
              <w:rPr>
                <w:sz w:val="18"/>
                <w:szCs w:val="18"/>
              </w:rPr>
              <w:t>1,327</w:t>
            </w:r>
          </w:p>
        </w:tc>
        <w:tc>
          <w:tcPr>
            <w:tcW w:w="651" w:type="pct"/>
            <w:shd w:val="clear" w:color="auto" w:fill="auto"/>
            <w:noWrap/>
          </w:tcPr>
          <w:p w14:paraId="54B17DF6" w14:textId="77777777" w:rsidR="00155B90" w:rsidRPr="009256D6" w:rsidRDefault="00155B90" w:rsidP="002150E1">
            <w:pPr>
              <w:pStyle w:val="Tabletext0"/>
              <w:rPr>
                <w:sz w:val="18"/>
                <w:szCs w:val="18"/>
              </w:rPr>
            </w:pPr>
            <w:r w:rsidRPr="009256D6">
              <w:rPr>
                <w:sz w:val="18"/>
                <w:szCs w:val="18"/>
              </w:rPr>
              <w:t>96% (95, 97)</w:t>
            </w:r>
          </w:p>
        </w:tc>
        <w:tc>
          <w:tcPr>
            <w:tcW w:w="651" w:type="pct"/>
            <w:shd w:val="clear" w:color="auto" w:fill="auto"/>
            <w:noWrap/>
          </w:tcPr>
          <w:p w14:paraId="383A2AB2" w14:textId="77777777" w:rsidR="00155B90" w:rsidRPr="009256D6" w:rsidRDefault="00155B90" w:rsidP="002150E1">
            <w:pPr>
              <w:pStyle w:val="Tabletext0"/>
              <w:rPr>
                <w:sz w:val="18"/>
                <w:szCs w:val="18"/>
              </w:rPr>
            </w:pPr>
            <w:r w:rsidRPr="009256D6">
              <w:rPr>
                <w:sz w:val="18"/>
                <w:szCs w:val="18"/>
              </w:rPr>
              <w:t>94% (92, 95)</w:t>
            </w:r>
          </w:p>
        </w:tc>
        <w:tc>
          <w:tcPr>
            <w:tcW w:w="391" w:type="pct"/>
            <w:shd w:val="clear" w:color="auto" w:fill="auto"/>
            <w:noWrap/>
          </w:tcPr>
          <w:p w14:paraId="2A84D0D2" w14:textId="77777777" w:rsidR="00155B90" w:rsidRPr="009256D6" w:rsidRDefault="00155B90" w:rsidP="002150E1">
            <w:pPr>
              <w:pStyle w:val="Tabletext0"/>
              <w:rPr>
                <w:sz w:val="18"/>
                <w:szCs w:val="18"/>
              </w:rPr>
            </w:pPr>
            <w:r w:rsidRPr="009256D6">
              <w:rPr>
                <w:sz w:val="18"/>
                <w:szCs w:val="18"/>
              </w:rPr>
              <w:t>-</w:t>
            </w:r>
          </w:p>
        </w:tc>
        <w:tc>
          <w:tcPr>
            <w:tcW w:w="571" w:type="pct"/>
            <w:shd w:val="clear" w:color="auto" w:fill="auto"/>
            <w:noWrap/>
          </w:tcPr>
          <w:p w14:paraId="444BE02E" w14:textId="77777777" w:rsidR="00155B90" w:rsidRPr="009256D6" w:rsidRDefault="00155B90" w:rsidP="002150E1">
            <w:pPr>
              <w:pStyle w:val="Tabletext0"/>
              <w:rPr>
                <w:sz w:val="18"/>
                <w:szCs w:val="18"/>
              </w:rPr>
            </w:pPr>
            <w:r w:rsidRPr="009256D6">
              <w:rPr>
                <w:sz w:val="18"/>
                <w:szCs w:val="18"/>
              </w:rPr>
              <w:t>82% (80, 84)</w:t>
            </w:r>
          </w:p>
        </w:tc>
      </w:tr>
      <w:tr w:rsidR="006530B8" w:rsidRPr="009256D6" w14:paraId="1A47926E" w14:textId="77777777" w:rsidTr="27A6ADB5">
        <w:trPr>
          <w:trHeight w:val="79"/>
        </w:trPr>
        <w:tc>
          <w:tcPr>
            <w:tcW w:w="2019" w:type="pct"/>
            <w:shd w:val="clear" w:color="auto" w:fill="auto"/>
            <w:noWrap/>
          </w:tcPr>
          <w:p w14:paraId="23D3B4A1" w14:textId="77777777" w:rsidR="00155B90" w:rsidRPr="009256D6" w:rsidRDefault="00155B90" w:rsidP="002150E1">
            <w:pPr>
              <w:pStyle w:val="Tabletext0"/>
              <w:rPr>
                <w:sz w:val="18"/>
                <w:szCs w:val="18"/>
              </w:rPr>
            </w:pPr>
            <w:r w:rsidRPr="009256D6">
              <w:rPr>
                <w:sz w:val="18"/>
                <w:szCs w:val="18"/>
              </w:rPr>
              <w:t>ANZ: Retransplant DD graft*</w:t>
            </w:r>
          </w:p>
        </w:tc>
        <w:tc>
          <w:tcPr>
            <w:tcW w:w="391" w:type="pct"/>
            <w:vMerge/>
          </w:tcPr>
          <w:p w14:paraId="0BC548FA" w14:textId="77777777" w:rsidR="00155B90" w:rsidRPr="009256D6" w:rsidRDefault="00155B90" w:rsidP="002150E1">
            <w:pPr>
              <w:pStyle w:val="Tabletext0"/>
              <w:rPr>
                <w:sz w:val="18"/>
                <w:szCs w:val="18"/>
              </w:rPr>
            </w:pPr>
          </w:p>
        </w:tc>
        <w:tc>
          <w:tcPr>
            <w:tcW w:w="326" w:type="pct"/>
            <w:shd w:val="clear" w:color="auto" w:fill="auto"/>
          </w:tcPr>
          <w:p w14:paraId="2A8D530C" w14:textId="77777777" w:rsidR="00155B90" w:rsidRPr="009256D6" w:rsidRDefault="00155B90" w:rsidP="002150E1">
            <w:pPr>
              <w:pStyle w:val="Tabletext0"/>
              <w:rPr>
                <w:sz w:val="18"/>
                <w:szCs w:val="18"/>
              </w:rPr>
            </w:pPr>
            <w:r w:rsidRPr="009256D6">
              <w:rPr>
                <w:sz w:val="18"/>
                <w:szCs w:val="18"/>
              </w:rPr>
              <w:t>225</w:t>
            </w:r>
          </w:p>
        </w:tc>
        <w:tc>
          <w:tcPr>
            <w:tcW w:w="651" w:type="pct"/>
            <w:shd w:val="clear" w:color="auto" w:fill="auto"/>
            <w:noWrap/>
          </w:tcPr>
          <w:p w14:paraId="0AB7BDFE" w14:textId="77777777" w:rsidR="00155B90" w:rsidRPr="009256D6" w:rsidRDefault="00155B90" w:rsidP="002150E1">
            <w:pPr>
              <w:pStyle w:val="Tabletext0"/>
              <w:rPr>
                <w:sz w:val="18"/>
                <w:szCs w:val="18"/>
              </w:rPr>
            </w:pPr>
            <w:r w:rsidRPr="009256D6">
              <w:rPr>
                <w:sz w:val="18"/>
                <w:szCs w:val="18"/>
              </w:rPr>
              <w:t>96% (93, 98)</w:t>
            </w:r>
          </w:p>
        </w:tc>
        <w:tc>
          <w:tcPr>
            <w:tcW w:w="651" w:type="pct"/>
            <w:shd w:val="clear" w:color="auto" w:fill="auto"/>
            <w:noWrap/>
          </w:tcPr>
          <w:p w14:paraId="46006974" w14:textId="77777777" w:rsidR="00155B90" w:rsidRPr="009256D6" w:rsidRDefault="00155B90" w:rsidP="002150E1">
            <w:pPr>
              <w:pStyle w:val="Tabletext0"/>
              <w:rPr>
                <w:sz w:val="18"/>
                <w:szCs w:val="18"/>
              </w:rPr>
            </w:pPr>
            <w:r w:rsidRPr="009256D6">
              <w:rPr>
                <w:sz w:val="18"/>
                <w:szCs w:val="18"/>
              </w:rPr>
              <w:t>94% (90, 96)</w:t>
            </w:r>
          </w:p>
        </w:tc>
        <w:tc>
          <w:tcPr>
            <w:tcW w:w="391" w:type="pct"/>
            <w:shd w:val="clear" w:color="auto" w:fill="auto"/>
            <w:noWrap/>
          </w:tcPr>
          <w:p w14:paraId="18DA591D" w14:textId="77777777" w:rsidR="00155B90" w:rsidRPr="009256D6" w:rsidRDefault="00155B90" w:rsidP="002150E1">
            <w:pPr>
              <w:pStyle w:val="Tabletext0"/>
              <w:rPr>
                <w:sz w:val="18"/>
                <w:szCs w:val="18"/>
              </w:rPr>
            </w:pPr>
            <w:r w:rsidRPr="009256D6">
              <w:rPr>
                <w:sz w:val="18"/>
                <w:szCs w:val="18"/>
              </w:rPr>
              <w:t>-</w:t>
            </w:r>
          </w:p>
        </w:tc>
        <w:tc>
          <w:tcPr>
            <w:tcW w:w="571" w:type="pct"/>
            <w:shd w:val="clear" w:color="auto" w:fill="auto"/>
            <w:noWrap/>
          </w:tcPr>
          <w:p w14:paraId="0B997C70" w14:textId="77777777" w:rsidR="00155B90" w:rsidRPr="009256D6" w:rsidRDefault="00155B90" w:rsidP="002150E1">
            <w:pPr>
              <w:pStyle w:val="Tabletext0"/>
              <w:rPr>
                <w:sz w:val="18"/>
                <w:szCs w:val="18"/>
              </w:rPr>
            </w:pPr>
            <w:r w:rsidRPr="009256D6">
              <w:rPr>
                <w:sz w:val="18"/>
                <w:szCs w:val="18"/>
              </w:rPr>
              <w:t>79% (72, 84)</w:t>
            </w:r>
          </w:p>
        </w:tc>
      </w:tr>
      <w:tr w:rsidR="006530B8" w:rsidRPr="009256D6" w14:paraId="34823B2F" w14:textId="77777777" w:rsidTr="27A6ADB5">
        <w:trPr>
          <w:trHeight w:val="56"/>
        </w:trPr>
        <w:tc>
          <w:tcPr>
            <w:tcW w:w="2019" w:type="pct"/>
            <w:shd w:val="clear" w:color="auto" w:fill="auto"/>
            <w:noWrap/>
          </w:tcPr>
          <w:p w14:paraId="46C95336" w14:textId="77777777" w:rsidR="00155B90" w:rsidRPr="009256D6" w:rsidRDefault="00155B90" w:rsidP="002150E1">
            <w:pPr>
              <w:pStyle w:val="Tabletext0"/>
              <w:rPr>
                <w:sz w:val="18"/>
                <w:szCs w:val="18"/>
              </w:rPr>
            </w:pPr>
            <w:r w:rsidRPr="009256D6">
              <w:rPr>
                <w:sz w:val="18"/>
                <w:szCs w:val="18"/>
              </w:rPr>
              <w:t>Australia: Primary LD graft*</w:t>
            </w:r>
          </w:p>
        </w:tc>
        <w:tc>
          <w:tcPr>
            <w:tcW w:w="391" w:type="pct"/>
            <w:vMerge/>
          </w:tcPr>
          <w:p w14:paraId="348A22DF" w14:textId="77777777" w:rsidR="00155B90" w:rsidRPr="009256D6" w:rsidRDefault="00155B90" w:rsidP="002150E1">
            <w:pPr>
              <w:pStyle w:val="Tabletext0"/>
              <w:rPr>
                <w:sz w:val="18"/>
                <w:szCs w:val="18"/>
              </w:rPr>
            </w:pPr>
          </w:p>
        </w:tc>
        <w:tc>
          <w:tcPr>
            <w:tcW w:w="326" w:type="pct"/>
            <w:shd w:val="clear" w:color="auto" w:fill="auto"/>
          </w:tcPr>
          <w:p w14:paraId="3268A033" w14:textId="77777777" w:rsidR="00155B90" w:rsidRPr="009256D6" w:rsidRDefault="00155B90" w:rsidP="002150E1">
            <w:pPr>
              <w:pStyle w:val="Tabletext0"/>
              <w:rPr>
                <w:sz w:val="18"/>
                <w:szCs w:val="18"/>
              </w:rPr>
            </w:pPr>
            <w:r w:rsidRPr="009256D6">
              <w:rPr>
                <w:sz w:val="18"/>
                <w:szCs w:val="18"/>
              </w:rPr>
              <w:t>447</w:t>
            </w:r>
          </w:p>
        </w:tc>
        <w:tc>
          <w:tcPr>
            <w:tcW w:w="651" w:type="pct"/>
            <w:shd w:val="clear" w:color="auto" w:fill="auto"/>
            <w:noWrap/>
          </w:tcPr>
          <w:p w14:paraId="72D6A089" w14:textId="77777777" w:rsidR="00155B90" w:rsidRPr="009256D6" w:rsidRDefault="00155B90" w:rsidP="002150E1">
            <w:pPr>
              <w:pStyle w:val="Tabletext0"/>
              <w:rPr>
                <w:sz w:val="18"/>
                <w:szCs w:val="18"/>
              </w:rPr>
            </w:pPr>
            <w:r w:rsidRPr="009256D6">
              <w:rPr>
                <w:sz w:val="18"/>
                <w:szCs w:val="18"/>
              </w:rPr>
              <w:t>99% (97, 100)</w:t>
            </w:r>
          </w:p>
        </w:tc>
        <w:tc>
          <w:tcPr>
            <w:tcW w:w="651" w:type="pct"/>
            <w:shd w:val="clear" w:color="auto" w:fill="auto"/>
            <w:noWrap/>
          </w:tcPr>
          <w:p w14:paraId="2ED9AA12" w14:textId="77777777" w:rsidR="00155B90" w:rsidRPr="009256D6" w:rsidRDefault="00155B90" w:rsidP="002150E1">
            <w:pPr>
              <w:pStyle w:val="Tabletext0"/>
              <w:rPr>
                <w:sz w:val="18"/>
                <w:szCs w:val="18"/>
              </w:rPr>
            </w:pPr>
            <w:r w:rsidRPr="009256D6">
              <w:rPr>
                <w:sz w:val="18"/>
                <w:szCs w:val="18"/>
              </w:rPr>
              <w:t>99% (97, 99)</w:t>
            </w:r>
          </w:p>
        </w:tc>
        <w:tc>
          <w:tcPr>
            <w:tcW w:w="391" w:type="pct"/>
            <w:shd w:val="clear" w:color="auto" w:fill="auto"/>
            <w:noWrap/>
          </w:tcPr>
          <w:p w14:paraId="6F5E4995" w14:textId="77777777" w:rsidR="00155B90" w:rsidRPr="009256D6" w:rsidRDefault="00155B90" w:rsidP="002150E1">
            <w:pPr>
              <w:pStyle w:val="Tabletext0"/>
              <w:rPr>
                <w:sz w:val="18"/>
                <w:szCs w:val="18"/>
              </w:rPr>
            </w:pPr>
            <w:r w:rsidRPr="009256D6">
              <w:rPr>
                <w:sz w:val="18"/>
                <w:szCs w:val="18"/>
              </w:rPr>
              <w:t>-</w:t>
            </w:r>
          </w:p>
        </w:tc>
        <w:tc>
          <w:tcPr>
            <w:tcW w:w="571" w:type="pct"/>
            <w:shd w:val="clear" w:color="auto" w:fill="auto"/>
            <w:noWrap/>
          </w:tcPr>
          <w:p w14:paraId="0F39B931" w14:textId="77777777" w:rsidR="00155B90" w:rsidRPr="009256D6" w:rsidRDefault="00155B90" w:rsidP="002150E1">
            <w:pPr>
              <w:pStyle w:val="Tabletext0"/>
              <w:rPr>
                <w:sz w:val="18"/>
                <w:szCs w:val="18"/>
              </w:rPr>
            </w:pPr>
            <w:r w:rsidRPr="009256D6">
              <w:rPr>
                <w:sz w:val="18"/>
                <w:szCs w:val="18"/>
              </w:rPr>
              <w:t>91% (88, 93)</w:t>
            </w:r>
          </w:p>
        </w:tc>
      </w:tr>
      <w:tr w:rsidR="006530B8" w:rsidRPr="009256D6" w14:paraId="345BBEFF" w14:textId="77777777" w:rsidTr="002150E1">
        <w:trPr>
          <w:trHeight w:val="71"/>
        </w:trPr>
        <w:tc>
          <w:tcPr>
            <w:tcW w:w="2019" w:type="pct"/>
            <w:shd w:val="clear" w:color="auto" w:fill="auto"/>
            <w:noWrap/>
            <w:hideMark/>
          </w:tcPr>
          <w:p w14:paraId="03253E43" w14:textId="77777777" w:rsidR="00155B90" w:rsidRPr="009256D6" w:rsidRDefault="00155B90" w:rsidP="002150E1">
            <w:pPr>
              <w:pStyle w:val="Tabletext0"/>
              <w:rPr>
                <w:sz w:val="18"/>
                <w:szCs w:val="18"/>
              </w:rPr>
            </w:pPr>
            <w:r w:rsidRPr="009256D6">
              <w:rPr>
                <w:sz w:val="18"/>
                <w:szCs w:val="18"/>
              </w:rPr>
              <w:t>ANZ: Retransplant LD graft*</w:t>
            </w:r>
          </w:p>
        </w:tc>
        <w:tc>
          <w:tcPr>
            <w:tcW w:w="391" w:type="pct"/>
            <w:shd w:val="clear" w:color="auto" w:fill="auto"/>
          </w:tcPr>
          <w:p w14:paraId="46D24F0E" w14:textId="0272A52B" w:rsidR="00155B90" w:rsidRPr="009256D6" w:rsidRDefault="00155B90" w:rsidP="002150E1">
            <w:pPr>
              <w:pStyle w:val="Tabletext0"/>
              <w:rPr>
                <w:sz w:val="18"/>
                <w:szCs w:val="18"/>
              </w:rPr>
            </w:pPr>
            <w:r w:rsidRPr="009256D6">
              <w:rPr>
                <w:sz w:val="18"/>
                <w:szCs w:val="18"/>
              </w:rPr>
              <w:t>2015</w:t>
            </w:r>
            <w:r w:rsidR="00293301">
              <w:rPr>
                <w:sz w:val="18"/>
                <w:szCs w:val="18"/>
              </w:rPr>
              <w:t>–20</w:t>
            </w:r>
            <w:r w:rsidRPr="009256D6">
              <w:rPr>
                <w:sz w:val="18"/>
                <w:szCs w:val="18"/>
              </w:rPr>
              <w:t>19</w:t>
            </w:r>
          </w:p>
        </w:tc>
        <w:tc>
          <w:tcPr>
            <w:tcW w:w="326" w:type="pct"/>
            <w:shd w:val="clear" w:color="auto" w:fill="auto"/>
          </w:tcPr>
          <w:p w14:paraId="0D2FA734" w14:textId="77777777" w:rsidR="00155B90" w:rsidRPr="009256D6" w:rsidRDefault="00155B90" w:rsidP="002150E1">
            <w:pPr>
              <w:pStyle w:val="Tabletext0"/>
              <w:rPr>
                <w:sz w:val="18"/>
                <w:szCs w:val="18"/>
              </w:rPr>
            </w:pPr>
            <w:r w:rsidRPr="009256D6">
              <w:rPr>
                <w:sz w:val="18"/>
                <w:szCs w:val="18"/>
              </w:rPr>
              <w:t>167</w:t>
            </w:r>
          </w:p>
        </w:tc>
        <w:tc>
          <w:tcPr>
            <w:tcW w:w="651" w:type="pct"/>
            <w:shd w:val="clear" w:color="auto" w:fill="auto"/>
            <w:noWrap/>
          </w:tcPr>
          <w:p w14:paraId="782E3B92" w14:textId="77777777" w:rsidR="00155B90" w:rsidRPr="009256D6" w:rsidRDefault="00155B90" w:rsidP="002150E1">
            <w:pPr>
              <w:pStyle w:val="Tabletext0"/>
              <w:rPr>
                <w:sz w:val="18"/>
                <w:szCs w:val="18"/>
              </w:rPr>
            </w:pPr>
            <w:r w:rsidRPr="009256D6">
              <w:rPr>
                <w:sz w:val="18"/>
                <w:szCs w:val="18"/>
              </w:rPr>
              <w:t>NR</w:t>
            </w:r>
          </w:p>
        </w:tc>
        <w:tc>
          <w:tcPr>
            <w:tcW w:w="651" w:type="pct"/>
            <w:shd w:val="clear" w:color="auto" w:fill="auto"/>
            <w:noWrap/>
          </w:tcPr>
          <w:p w14:paraId="20B04D65" w14:textId="77777777" w:rsidR="00155B90" w:rsidRPr="009256D6" w:rsidRDefault="00155B90" w:rsidP="002150E1">
            <w:pPr>
              <w:pStyle w:val="Tabletext0"/>
              <w:rPr>
                <w:sz w:val="18"/>
                <w:szCs w:val="18"/>
              </w:rPr>
            </w:pPr>
            <w:r w:rsidRPr="009256D6">
              <w:rPr>
                <w:sz w:val="18"/>
                <w:szCs w:val="18"/>
              </w:rPr>
              <w:t>98% (94, 99)</w:t>
            </w:r>
          </w:p>
        </w:tc>
        <w:tc>
          <w:tcPr>
            <w:tcW w:w="391" w:type="pct"/>
            <w:shd w:val="clear" w:color="auto" w:fill="auto"/>
            <w:noWrap/>
          </w:tcPr>
          <w:p w14:paraId="2695F130" w14:textId="77777777" w:rsidR="00155B90" w:rsidRPr="009256D6" w:rsidRDefault="00155B90" w:rsidP="002150E1">
            <w:pPr>
              <w:pStyle w:val="Tabletext0"/>
              <w:rPr>
                <w:sz w:val="18"/>
                <w:szCs w:val="18"/>
              </w:rPr>
            </w:pPr>
            <w:r w:rsidRPr="009256D6">
              <w:rPr>
                <w:sz w:val="18"/>
                <w:szCs w:val="18"/>
              </w:rPr>
              <w:t>-</w:t>
            </w:r>
          </w:p>
        </w:tc>
        <w:tc>
          <w:tcPr>
            <w:tcW w:w="571" w:type="pct"/>
            <w:shd w:val="clear" w:color="auto" w:fill="auto"/>
            <w:noWrap/>
          </w:tcPr>
          <w:p w14:paraId="61527B94" w14:textId="77777777" w:rsidR="00155B90" w:rsidRPr="009256D6" w:rsidRDefault="00155B90" w:rsidP="002150E1">
            <w:pPr>
              <w:pStyle w:val="Tabletext0"/>
              <w:rPr>
                <w:sz w:val="18"/>
                <w:szCs w:val="18"/>
              </w:rPr>
            </w:pPr>
            <w:r w:rsidRPr="009256D6">
              <w:rPr>
                <w:sz w:val="18"/>
                <w:szCs w:val="18"/>
              </w:rPr>
              <w:t>92% (84, 96)</w:t>
            </w:r>
          </w:p>
        </w:tc>
      </w:tr>
    </w:tbl>
    <w:p w14:paraId="7B53F305" w14:textId="203E2621" w:rsidR="00662197" w:rsidRPr="00527717" w:rsidRDefault="00662197" w:rsidP="00007E1F">
      <w:pPr>
        <w:pStyle w:val="Tablenotes0"/>
        <w:rPr>
          <w:b/>
          <w:bCs/>
          <w:sz w:val="16"/>
          <w:szCs w:val="20"/>
          <w:u w:val="single"/>
        </w:rPr>
      </w:pPr>
      <w:r>
        <w:rPr>
          <w:b/>
          <w:bCs/>
          <w:sz w:val="16"/>
          <w:szCs w:val="20"/>
          <w:u w:val="single"/>
        </w:rPr>
        <w:t>Abbreviations</w:t>
      </w:r>
    </w:p>
    <w:p w14:paraId="657FF4D3" w14:textId="68C937C4" w:rsidR="00007E1F" w:rsidRPr="009256D6" w:rsidRDefault="007F1593" w:rsidP="00007E1F">
      <w:pPr>
        <w:pStyle w:val="Tablenotes0"/>
        <w:rPr>
          <w:sz w:val="16"/>
          <w:szCs w:val="20"/>
        </w:rPr>
      </w:pPr>
      <w:r>
        <w:rPr>
          <w:sz w:val="16"/>
          <w:szCs w:val="20"/>
        </w:rPr>
        <w:t>ANZ</w:t>
      </w:r>
      <w:r w:rsidR="002E0645">
        <w:rPr>
          <w:sz w:val="16"/>
          <w:szCs w:val="20"/>
        </w:rPr>
        <w:t>=</w:t>
      </w:r>
      <w:r>
        <w:rPr>
          <w:sz w:val="16"/>
          <w:szCs w:val="20"/>
        </w:rPr>
        <w:t xml:space="preserve"> Australia and New Zealand</w:t>
      </w:r>
      <w:r w:rsidR="006A33D5">
        <w:rPr>
          <w:sz w:val="16"/>
          <w:szCs w:val="20"/>
        </w:rPr>
        <w:t>,</w:t>
      </w:r>
      <w:r>
        <w:rPr>
          <w:sz w:val="16"/>
          <w:szCs w:val="20"/>
        </w:rPr>
        <w:t xml:space="preserve"> </w:t>
      </w:r>
      <w:r w:rsidR="004B7C87" w:rsidRPr="009256D6">
        <w:rPr>
          <w:sz w:val="16"/>
          <w:szCs w:val="20"/>
        </w:rPr>
        <w:t>AUS-UTT-A</w:t>
      </w:r>
      <w:r w:rsidR="00007E1F" w:rsidRPr="009256D6">
        <w:rPr>
          <w:sz w:val="16"/>
          <w:szCs w:val="20"/>
        </w:rPr>
        <w:t xml:space="preserve"> =</w:t>
      </w:r>
      <w:r w:rsidR="004B7C87" w:rsidRPr="009256D6">
        <w:rPr>
          <w:sz w:val="16"/>
          <w:szCs w:val="20"/>
        </w:rPr>
        <w:t xml:space="preserve"> Australia </w:t>
      </w:r>
      <w:r w:rsidR="005E5F0A">
        <w:rPr>
          <w:sz w:val="16"/>
          <w:szCs w:val="20"/>
        </w:rPr>
        <w:t>–</w:t>
      </w:r>
      <w:r w:rsidR="004B7C87" w:rsidRPr="009256D6">
        <w:rPr>
          <w:sz w:val="16"/>
          <w:szCs w:val="20"/>
        </w:rPr>
        <w:t xml:space="preserve"> </w:t>
      </w:r>
      <w:r w:rsidR="006A33D5">
        <w:rPr>
          <w:sz w:val="16"/>
          <w:szCs w:val="20"/>
        </w:rPr>
        <w:t>u</w:t>
      </w:r>
      <w:r w:rsidR="004B7C87" w:rsidRPr="009256D6">
        <w:rPr>
          <w:sz w:val="16"/>
          <w:szCs w:val="20"/>
        </w:rPr>
        <w:t xml:space="preserve">nlikely </w:t>
      </w:r>
      <w:r w:rsidR="006A33D5">
        <w:rPr>
          <w:sz w:val="16"/>
          <w:szCs w:val="20"/>
        </w:rPr>
        <w:t>t</w:t>
      </w:r>
      <w:r w:rsidR="004B7C87" w:rsidRPr="009256D6">
        <w:rPr>
          <w:sz w:val="16"/>
          <w:szCs w:val="20"/>
        </w:rPr>
        <w:t xml:space="preserve">o </w:t>
      </w:r>
      <w:r w:rsidR="006A33D5">
        <w:rPr>
          <w:sz w:val="16"/>
          <w:szCs w:val="20"/>
        </w:rPr>
        <w:t>t</w:t>
      </w:r>
      <w:r w:rsidR="004B7C87" w:rsidRPr="009256D6">
        <w:rPr>
          <w:sz w:val="16"/>
          <w:szCs w:val="20"/>
        </w:rPr>
        <w:t>ransplant</w:t>
      </w:r>
      <w:r w:rsidR="00327A10">
        <w:rPr>
          <w:sz w:val="16"/>
          <w:szCs w:val="20"/>
        </w:rPr>
        <w:t xml:space="preserve"> </w:t>
      </w:r>
      <w:r w:rsidR="004B7C87" w:rsidRPr="009256D6">
        <w:rPr>
          <w:sz w:val="16"/>
          <w:szCs w:val="20"/>
        </w:rPr>
        <w:t xml:space="preserve">– </w:t>
      </w:r>
      <w:r w:rsidR="006A33D5">
        <w:rPr>
          <w:sz w:val="16"/>
          <w:szCs w:val="20"/>
        </w:rPr>
        <w:t>a</w:t>
      </w:r>
      <w:r w:rsidR="004B7C87" w:rsidRPr="009256D6">
        <w:rPr>
          <w:sz w:val="16"/>
          <w:szCs w:val="20"/>
        </w:rPr>
        <w:t>gnostic (includes LD and DD transplants, cPRA ≥99% with wait time of 2 years or more)</w:t>
      </w:r>
      <w:r w:rsidR="00007E1F" w:rsidRPr="009256D6">
        <w:rPr>
          <w:sz w:val="16"/>
          <w:szCs w:val="20"/>
        </w:rPr>
        <w:t>,</w:t>
      </w:r>
      <w:r w:rsidR="004B7C87" w:rsidRPr="009256D6">
        <w:rPr>
          <w:sz w:val="16"/>
          <w:szCs w:val="20"/>
        </w:rPr>
        <w:t xml:space="preserve"> </w:t>
      </w:r>
      <w:r w:rsidR="00B01568">
        <w:rPr>
          <w:sz w:val="16"/>
          <w:szCs w:val="20"/>
        </w:rPr>
        <w:t xml:space="preserve">CI = confidence interval, </w:t>
      </w:r>
      <w:r w:rsidRPr="009256D6">
        <w:rPr>
          <w:sz w:val="16"/>
          <w:szCs w:val="20"/>
        </w:rPr>
        <w:t>DD = deceased donor,</w:t>
      </w:r>
      <w:r>
        <w:rPr>
          <w:sz w:val="16"/>
          <w:szCs w:val="20"/>
        </w:rPr>
        <w:t xml:space="preserve"> </w:t>
      </w:r>
      <w:r w:rsidRPr="009256D6">
        <w:rPr>
          <w:sz w:val="16"/>
          <w:szCs w:val="20"/>
        </w:rPr>
        <w:t>HSP = highly sensitised program, LD = living donor</w:t>
      </w:r>
      <w:r>
        <w:rPr>
          <w:sz w:val="16"/>
          <w:szCs w:val="20"/>
        </w:rPr>
        <w:t xml:space="preserve">, </w:t>
      </w:r>
      <w:r w:rsidR="00B01568">
        <w:rPr>
          <w:sz w:val="16"/>
          <w:szCs w:val="20"/>
        </w:rPr>
        <w:t xml:space="preserve">UTT = </w:t>
      </w:r>
      <w:r w:rsidR="006A33D5">
        <w:rPr>
          <w:sz w:val="16"/>
          <w:szCs w:val="20"/>
        </w:rPr>
        <w:t>u</w:t>
      </w:r>
      <w:r w:rsidR="00B01568">
        <w:rPr>
          <w:sz w:val="16"/>
          <w:szCs w:val="20"/>
        </w:rPr>
        <w:t xml:space="preserve">nlikely to </w:t>
      </w:r>
      <w:r w:rsidR="006A33D5">
        <w:rPr>
          <w:sz w:val="16"/>
          <w:szCs w:val="20"/>
        </w:rPr>
        <w:t>transplant</w:t>
      </w:r>
      <w:r w:rsidR="00B01568">
        <w:rPr>
          <w:sz w:val="16"/>
          <w:szCs w:val="20"/>
        </w:rPr>
        <w:t xml:space="preserve">, </w:t>
      </w:r>
      <w:r w:rsidR="004B7C87" w:rsidRPr="009256D6">
        <w:rPr>
          <w:sz w:val="16"/>
          <w:szCs w:val="20"/>
        </w:rPr>
        <w:t>UTT-A</w:t>
      </w:r>
      <w:r w:rsidR="00007E1F" w:rsidRPr="009256D6">
        <w:rPr>
          <w:sz w:val="16"/>
          <w:szCs w:val="20"/>
        </w:rPr>
        <w:t xml:space="preserve"> =</w:t>
      </w:r>
      <w:r w:rsidR="004B7C87" w:rsidRPr="009256D6">
        <w:rPr>
          <w:sz w:val="16"/>
          <w:szCs w:val="20"/>
        </w:rPr>
        <w:t xml:space="preserve"> </w:t>
      </w:r>
      <w:r w:rsidR="00B304ED">
        <w:rPr>
          <w:sz w:val="16"/>
          <w:szCs w:val="20"/>
        </w:rPr>
        <w:t>u</w:t>
      </w:r>
      <w:r w:rsidR="004B7C87" w:rsidRPr="009256D6">
        <w:rPr>
          <w:sz w:val="16"/>
          <w:szCs w:val="20"/>
        </w:rPr>
        <w:t xml:space="preserve">nlikely to transplant – </w:t>
      </w:r>
      <w:r w:rsidR="00B304ED">
        <w:rPr>
          <w:sz w:val="16"/>
          <w:szCs w:val="20"/>
        </w:rPr>
        <w:t>a</w:t>
      </w:r>
      <w:r w:rsidR="004B7C87" w:rsidRPr="009256D6">
        <w:rPr>
          <w:sz w:val="16"/>
          <w:szCs w:val="20"/>
        </w:rPr>
        <w:t>gnostic</w:t>
      </w:r>
    </w:p>
    <w:p w14:paraId="3C7884D8" w14:textId="77777777" w:rsidR="00283A49" w:rsidRDefault="00662197" w:rsidP="00007E1F">
      <w:pPr>
        <w:pStyle w:val="Tablenotes0"/>
        <w:rPr>
          <w:b/>
          <w:bCs/>
          <w:sz w:val="16"/>
          <w:szCs w:val="20"/>
          <w:u w:val="single"/>
        </w:rPr>
      </w:pPr>
      <w:r>
        <w:rPr>
          <w:b/>
          <w:bCs/>
          <w:sz w:val="16"/>
          <w:szCs w:val="20"/>
          <w:u w:val="single"/>
        </w:rPr>
        <w:t>Note</w:t>
      </w:r>
      <w:r w:rsidR="00283A49">
        <w:rPr>
          <w:b/>
          <w:bCs/>
          <w:sz w:val="16"/>
          <w:szCs w:val="20"/>
          <w:u w:val="single"/>
        </w:rPr>
        <w:t xml:space="preserve"> </w:t>
      </w:r>
    </w:p>
    <w:p w14:paraId="08284C18" w14:textId="1F158642" w:rsidR="00155B90" w:rsidRPr="00527717" w:rsidRDefault="004B7C87" w:rsidP="00007E1F">
      <w:pPr>
        <w:pStyle w:val="Tablenotes0"/>
        <w:rPr>
          <w:b/>
          <w:bCs/>
          <w:sz w:val="16"/>
          <w:szCs w:val="20"/>
          <w:u w:val="single"/>
        </w:rPr>
      </w:pPr>
      <w:r w:rsidRPr="009256D6">
        <w:rPr>
          <w:sz w:val="16"/>
          <w:szCs w:val="20"/>
        </w:rPr>
        <w:t>*Australian data was not censored for death</w:t>
      </w:r>
      <w:r w:rsidR="00662197">
        <w:rPr>
          <w:sz w:val="16"/>
          <w:szCs w:val="20"/>
        </w:rPr>
        <w:t>; that is,</w:t>
      </w:r>
      <w:r w:rsidRPr="009256D6">
        <w:rPr>
          <w:sz w:val="16"/>
          <w:szCs w:val="20"/>
        </w:rPr>
        <w:t xml:space="preserve"> if a patient with a functioning transplant dies, the graft is considered lost, regardless of the cause of their death.</w:t>
      </w:r>
    </w:p>
    <w:p w14:paraId="01D1AA00" w14:textId="17CC5D5B" w:rsidR="00662197" w:rsidRPr="00527717" w:rsidRDefault="00C56C83" w:rsidP="00527717">
      <w:pPr>
        <w:pStyle w:val="Tablenotes0"/>
        <w:spacing w:after="0"/>
        <w:contextualSpacing w:val="0"/>
        <w:rPr>
          <w:b/>
          <w:bCs/>
          <w:sz w:val="16"/>
          <w:szCs w:val="20"/>
          <w:u w:val="single"/>
        </w:rPr>
      </w:pPr>
      <w:r w:rsidRPr="00527717">
        <w:rPr>
          <w:b/>
          <w:bCs/>
          <w:sz w:val="16"/>
          <w:szCs w:val="20"/>
          <w:u w:val="single"/>
        </w:rPr>
        <w:t>Source</w:t>
      </w:r>
    </w:p>
    <w:p w14:paraId="36FB6C01" w14:textId="48BED08D" w:rsidR="00155B90" w:rsidRPr="00527717" w:rsidRDefault="00ED7642" w:rsidP="00527717">
      <w:pPr>
        <w:pStyle w:val="Instructionaltext"/>
        <w:spacing w:before="0"/>
        <w:rPr>
          <w:rFonts w:ascii="Arial Narrow" w:hAnsi="Arial Narrow" w:cs="Arial"/>
          <w:color w:val="auto"/>
          <w:sz w:val="16"/>
          <w:szCs w:val="20"/>
        </w:rPr>
        <w:sectPr w:rsidR="00155B90" w:rsidRPr="00527717" w:rsidSect="00495DF8">
          <w:pgSz w:w="16838" w:h="11906" w:orient="landscape"/>
          <w:pgMar w:top="1440" w:right="1440" w:bottom="1440" w:left="1440" w:header="709" w:footer="709" w:gutter="0"/>
          <w:cols w:space="708"/>
          <w:docGrid w:linePitch="360"/>
        </w:sectPr>
      </w:pPr>
      <w:r w:rsidRPr="00527717">
        <w:rPr>
          <w:rFonts w:ascii="Arial Narrow" w:hAnsi="Arial Narrow" w:cs="Arial"/>
          <w:color w:val="auto"/>
          <w:sz w:val="16"/>
          <w:szCs w:val="20"/>
        </w:rPr>
        <w:t>Adapted from Table ES.1, p</w:t>
      </w:r>
      <w:r w:rsidR="00BB4472" w:rsidRPr="00527717">
        <w:rPr>
          <w:rFonts w:ascii="Arial Narrow" w:hAnsi="Arial Narrow" w:cs="Arial"/>
          <w:color w:val="auto"/>
          <w:sz w:val="16"/>
          <w:szCs w:val="20"/>
        </w:rPr>
        <w:t>.</w:t>
      </w:r>
      <w:r w:rsidRPr="00527717">
        <w:rPr>
          <w:rFonts w:ascii="Arial Narrow" w:hAnsi="Arial Narrow" w:cs="Arial"/>
          <w:color w:val="auto"/>
          <w:sz w:val="16"/>
          <w:szCs w:val="20"/>
        </w:rPr>
        <w:t xml:space="preserve"> 23 of the MSAC 1732.1 ADAR+in-line commentary </w:t>
      </w:r>
    </w:p>
    <w:p w14:paraId="189D2FF2" w14:textId="01E09CD1" w:rsidR="00791E72" w:rsidRPr="006D1797" w:rsidRDefault="004B4F60" w:rsidP="009C4296">
      <w:pPr>
        <w:pStyle w:val="Heading3"/>
      </w:pPr>
      <w:r w:rsidRPr="006D1797">
        <w:lastRenderedPageBreak/>
        <w:t>Gra</w:t>
      </w:r>
      <w:r w:rsidR="003F1BDA" w:rsidRPr="006D1797">
        <w:t>f</w:t>
      </w:r>
      <w:r w:rsidRPr="006D1797">
        <w:t>t survival</w:t>
      </w:r>
    </w:p>
    <w:p w14:paraId="5047257D" w14:textId="0527D5E8" w:rsidR="0007775A" w:rsidRDefault="001079B7" w:rsidP="00DB26C3">
      <w:r>
        <w:t xml:space="preserve">At the end of the </w:t>
      </w:r>
      <w:r w:rsidR="000113CB">
        <w:t xml:space="preserve">imlifidase trial period </w:t>
      </w:r>
      <w:r w:rsidR="0005607B">
        <w:t xml:space="preserve">(6-months) </w:t>
      </w:r>
      <w:r w:rsidR="000113CB">
        <w:t xml:space="preserve">all except one patient in the </w:t>
      </w:r>
      <w:r w:rsidR="00110E6D">
        <w:t>AUS-UTT-A</w:t>
      </w:r>
      <w:r w:rsidR="000113CB">
        <w:t xml:space="preserve"> population had a functioning graft</w:t>
      </w:r>
      <w:r w:rsidR="00D32FF9">
        <w:t xml:space="preserve"> (</w:t>
      </w:r>
      <w:r w:rsidR="00F25566">
        <w:t>survival rate of 96% [23/24]</w:t>
      </w:r>
      <w:r w:rsidR="0074162C">
        <w:t>)</w:t>
      </w:r>
      <w:r w:rsidR="006C4E3D">
        <w:t xml:space="preserve"> </w:t>
      </w:r>
      <w:r w:rsidR="00594A2C" w:rsidRPr="00DB26C3">
        <w:t>(</w:t>
      </w:r>
      <w:r w:rsidR="009404F5">
        <w:t xml:space="preserve">Table </w:t>
      </w:r>
      <w:r w:rsidR="0002159E">
        <w:t>5</w:t>
      </w:r>
      <w:r w:rsidR="00594A2C" w:rsidRPr="00DB26C3">
        <w:t>)</w:t>
      </w:r>
      <w:r w:rsidR="00141750" w:rsidRPr="00DB26C3">
        <w:t>.</w:t>
      </w:r>
    </w:p>
    <w:p w14:paraId="72DB98E8" w14:textId="630BEC5C" w:rsidR="00E55BEB" w:rsidRDefault="004B4B9F" w:rsidP="00E76AE0">
      <w:pPr>
        <w:pStyle w:val="Instructionaltext"/>
        <w:rPr>
          <w:color w:val="auto"/>
        </w:rPr>
      </w:pPr>
      <w:r>
        <w:rPr>
          <w:color w:val="auto"/>
        </w:rPr>
        <w:t>Between years 2 and 3 of follow-up</w:t>
      </w:r>
      <w:r w:rsidR="00741713" w:rsidRPr="00741713">
        <w:rPr>
          <w:color w:val="auto"/>
        </w:rPr>
        <w:t xml:space="preserve">, 3 additional patients in the </w:t>
      </w:r>
      <w:r w:rsidR="00EE5DD8">
        <w:rPr>
          <w:color w:val="auto"/>
        </w:rPr>
        <w:t>a</w:t>
      </w:r>
      <w:r w:rsidR="00741713" w:rsidRPr="00741713">
        <w:rPr>
          <w:color w:val="auto"/>
        </w:rPr>
        <w:t>ll-</w:t>
      </w:r>
      <w:r w:rsidR="00EE5DD8">
        <w:rPr>
          <w:color w:val="auto"/>
        </w:rPr>
        <w:t>t</w:t>
      </w:r>
      <w:r w:rsidR="00741713" w:rsidRPr="00741713">
        <w:rPr>
          <w:color w:val="auto"/>
        </w:rPr>
        <w:t xml:space="preserve">ransplanted population experienced graft failure, with </w:t>
      </w:r>
      <w:r w:rsidR="00871D11">
        <w:rPr>
          <w:color w:val="auto"/>
        </w:rPr>
        <w:t>1</w:t>
      </w:r>
      <w:r w:rsidR="00871D11" w:rsidRPr="00741713">
        <w:rPr>
          <w:color w:val="auto"/>
        </w:rPr>
        <w:t xml:space="preserve"> </w:t>
      </w:r>
      <w:r w:rsidR="00741713" w:rsidRPr="00741713">
        <w:rPr>
          <w:color w:val="auto"/>
        </w:rPr>
        <w:t xml:space="preserve">of these patients also in the </w:t>
      </w:r>
      <w:r w:rsidR="00871D11">
        <w:rPr>
          <w:color w:val="auto"/>
        </w:rPr>
        <w:t>AUS-UTT-A</w:t>
      </w:r>
      <w:r w:rsidR="00741713" w:rsidRPr="00741713">
        <w:rPr>
          <w:color w:val="auto"/>
        </w:rPr>
        <w:t xml:space="preserve"> </w:t>
      </w:r>
      <w:r>
        <w:rPr>
          <w:color w:val="auto"/>
        </w:rPr>
        <w:t>subgroup</w:t>
      </w:r>
      <w:r w:rsidR="00741713" w:rsidRPr="00741713">
        <w:rPr>
          <w:color w:val="auto"/>
        </w:rPr>
        <w:t>.</w:t>
      </w:r>
      <w:r w:rsidR="00741713">
        <w:rPr>
          <w:color w:val="auto"/>
        </w:rPr>
        <w:t xml:space="preserve"> </w:t>
      </w:r>
      <w:r w:rsidR="00F01C68" w:rsidRPr="00F01C68">
        <w:rPr>
          <w:color w:val="auto"/>
        </w:rPr>
        <w:t xml:space="preserve">In the </w:t>
      </w:r>
      <w:r w:rsidR="00EE5DD8">
        <w:rPr>
          <w:color w:val="auto"/>
        </w:rPr>
        <w:t>a</w:t>
      </w:r>
      <w:r w:rsidR="00F01C68" w:rsidRPr="00F01C68">
        <w:rPr>
          <w:color w:val="auto"/>
        </w:rPr>
        <w:t>ll-</w:t>
      </w:r>
      <w:r w:rsidR="00EE5DD8">
        <w:rPr>
          <w:color w:val="auto"/>
        </w:rPr>
        <w:t>t</w:t>
      </w:r>
      <w:r w:rsidR="00F01C68" w:rsidRPr="00F01C68">
        <w:rPr>
          <w:color w:val="auto"/>
        </w:rPr>
        <w:t>ransplanted population, 3 (7%) of patients lost their grafts during the 6-month study period. All 3</w:t>
      </w:r>
      <w:r w:rsidR="006D3457">
        <w:rPr>
          <w:color w:val="auto"/>
        </w:rPr>
        <w:t> </w:t>
      </w:r>
      <w:r w:rsidR="00F01C68" w:rsidRPr="00F01C68">
        <w:rPr>
          <w:color w:val="auto"/>
        </w:rPr>
        <w:t>patients had received a DD kidney that never started to function</w:t>
      </w:r>
      <w:r w:rsidR="00F01C68">
        <w:rPr>
          <w:color w:val="auto"/>
        </w:rPr>
        <w:t xml:space="preserve">. </w:t>
      </w:r>
      <w:r w:rsidR="00F74B22">
        <w:rPr>
          <w:color w:val="auto"/>
        </w:rPr>
        <w:t>Between</w:t>
      </w:r>
      <w:r w:rsidR="00651A2C" w:rsidRPr="00651A2C">
        <w:rPr>
          <w:color w:val="auto"/>
        </w:rPr>
        <w:t xml:space="preserve"> year</w:t>
      </w:r>
      <w:r w:rsidR="00F74B22">
        <w:rPr>
          <w:color w:val="auto"/>
        </w:rPr>
        <w:t>s</w:t>
      </w:r>
      <w:r w:rsidR="00651A2C" w:rsidRPr="00651A2C">
        <w:rPr>
          <w:color w:val="auto"/>
        </w:rPr>
        <w:t xml:space="preserve"> 1 </w:t>
      </w:r>
      <w:r w:rsidR="00F74B22">
        <w:rPr>
          <w:color w:val="auto"/>
        </w:rPr>
        <w:t>and</w:t>
      </w:r>
      <w:r w:rsidR="00651A2C" w:rsidRPr="00651A2C">
        <w:rPr>
          <w:color w:val="auto"/>
        </w:rPr>
        <w:t xml:space="preserve"> 2, reported graft survival was 100% in the UTT</w:t>
      </w:r>
      <w:r w:rsidR="00042B2A">
        <w:rPr>
          <w:color w:val="auto"/>
        </w:rPr>
        <w:t>,</w:t>
      </w:r>
      <w:r w:rsidR="00651A2C" w:rsidRPr="00651A2C">
        <w:rPr>
          <w:color w:val="auto"/>
        </w:rPr>
        <w:t xml:space="preserve"> UT</w:t>
      </w:r>
      <w:r w:rsidR="00042B2A">
        <w:rPr>
          <w:color w:val="auto"/>
        </w:rPr>
        <w:t>T</w:t>
      </w:r>
      <w:r w:rsidR="00651A2C" w:rsidRPr="00651A2C">
        <w:rPr>
          <w:color w:val="auto"/>
        </w:rPr>
        <w:t>-A and AUS-</w:t>
      </w:r>
      <w:r w:rsidR="00042B2A">
        <w:rPr>
          <w:color w:val="auto"/>
        </w:rPr>
        <w:t>UTT</w:t>
      </w:r>
      <w:r w:rsidR="00651A2C" w:rsidRPr="00651A2C">
        <w:rPr>
          <w:color w:val="auto"/>
        </w:rPr>
        <w:t xml:space="preserve">-A subgroups. </w:t>
      </w:r>
      <w:r w:rsidR="00E55BEB">
        <w:rPr>
          <w:color w:val="auto"/>
        </w:rPr>
        <w:t>One</w:t>
      </w:r>
      <w:r w:rsidR="00651A2C" w:rsidRPr="00651A2C">
        <w:rPr>
          <w:color w:val="auto"/>
        </w:rPr>
        <w:t xml:space="preserve"> patient in the AUS</w:t>
      </w:r>
      <w:r w:rsidR="00AC66AC">
        <w:rPr>
          <w:color w:val="auto"/>
        </w:rPr>
        <w:t>-</w:t>
      </w:r>
      <w:r w:rsidR="00651A2C" w:rsidRPr="00651A2C">
        <w:rPr>
          <w:color w:val="auto"/>
        </w:rPr>
        <w:t xml:space="preserve">UTT-A group lost their graft between years </w:t>
      </w:r>
      <w:r w:rsidR="00E55BEB">
        <w:rPr>
          <w:color w:val="auto"/>
        </w:rPr>
        <w:t xml:space="preserve">2 and </w:t>
      </w:r>
      <w:r w:rsidR="00651A2C" w:rsidRPr="00651A2C">
        <w:rPr>
          <w:color w:val="auto"/>
        </w:rPr>
        <w:t>3</w:t>
      </w:r>
      <w:r w:rsidR="00E55BEB">
        <w:rPr>
          <w:color w:val="auto"/>
        </w:rPr>
        <w:t>. N</w:t>
      </w:r>
      <w:r w:rsidR="00651A2C" w:rsidRPr="00651A2C">
        <w:rPr>
          <w:color w:val="auto"/>
        </w:rPr>
        <w:t>o further patients lost their graft thereafter</w:t>
      </w:r>
      <w:r w:rsidR="008054CF">
        <w:rPr>
          <w:color w:val="auto"/>
        </w:rPr>
        <w:t>,</w:t>
      </w:r>
      <w:r w:rsidR="00651A2C" w:rsidRPr="00651A2C">
        <w:rPr>
          <w:color w:val="auto"/>
        </w:rPr>
        <w:t xml:space="preserve"> out to end of the study period at 5 years</w:t>
      </w:r>
      <w:r w:rsidR="00A7187A">
        <w:rPr>
          <w:color w:val="auto"/>
        </w:rPr>
        <w:t xml:space="preserve">. </w:t>
      </w:r>
    </w:p>
    <w:p w14:paraId="6674F700" w14:textId="6445D4B5" w:rsidR="002C5512" w:rsidRPr="006D1797" w:rsidRDefault="00A7187A" w:rsidP="00DB26C3">
      <w:r w:rsidRPr="00A7187A">
        <w:t xml:space="preserve">In the UTT-A </w:t>
      </w:r>
      <w:r w:rsidR="00E55BEB">
        <w:t>subgroup</w:t>
      </w:r>
      <w:r w:rsidRPr="00A7187A">
        <w:t xml:space="preserve"> graft survival of 97% is reported at 6 months to 2 years and 91% at 3</w:t>
      </w:r>
      <w:r w:rsidR="006D3457">
        <w:t> </w:t>
      </w:r>
      <w:r w:rsidRPr="00A7187A">
        <w:t>years</w:t>
      </w:r>
      <w:r>
        <w:t xml:space="preserve">. </w:t>
      </w:r>
      <w:r w:rsidR="00885B33" w:rsidRPr="00885B33">
        <w:t>In the crossmatch</w:t>
      </w:r>
      <w:r w:rsidR="00122BF1">
        <w:t>-</w:t>
      </w:r>
      <w:r w:rsidR="00885B33" w:rsidRPr="00885B33">
        <w:t xml:space="preserve">positive </w:t>
      </w:r>
      <w:r w:rsidR="00122BF1">
        <w:t>a</w:t>
      </w:r>
      <w:r w:rsidR="00885B33" w:rsidRPr="00885B33">
        <w:t>ll-</w:t>
      </w:r>
      <w:r w:rsidR="00122BF1">
        <w:t>t</w:t>
      </w:r>
      <w:r w:rsidR="00885B33" w:rsidRPr="00885B33">
        <w:t>ransplanted population</w:t>
      </w:r>
      <w:r w:rsidR="00885B33">
        <w:t xml:space="preserve">, </w:t>
      </w:r>
      <w:r w:rsidR="00885B33" w:rsidRPr="00885B33">
        <w:t>3-year graft survival was 84%, lower than in the UTT-A population where 91% 3-year graft survival was reported</w:t>
      </w:r>
      <w:r w:rsidR="00885B33">
        <w:t xml:space="preserve">. </w:t>
      </w:r>
      <w:r w:rsidR="00A87D62" w:rsidRPr="00A87D62">
        <w:t xml:space="preserve">Additional analyses of AUS-UTT-A population showed death-censored graft survival to be 96% at 6 months, with another graft </w:t>
      </w:r>
      <w:r w:rsidR="00A87D62" w:rsidRPr="00DB26C3">
        <w:t>lost at 3 year</w:t>
      </w:r>
      <w:r w:rsidR="00E55BEB" w:rsidRPr="00DB26C3">
        <w:t>s</w:t>
      </w:r>
      <w:r w:rsidR="00A87D62" w:rsidRPr="00DB26C3">
        <w:t xml:space="preserve"> (or 89% graft survival)</w:t>
      </w:r>
      <w:r w:rsidR="006C4E3D" w:rsidRPr="00DB26C3">
        <w:t xml:space="preserve">, then </w:t>
      </w:r>
      <w:r w:rsidR="00A87D62" w:rsidRPr="00DB26C3">
        <w:t>no further graft loss observed until the end of study at 5 year</w:t>
      </w:r>
      <w:r w:rsidR="00E55BEB" w:rsidRPr="00DB26C3">
        <w:t>s</w:t>
      </w:r>
      <w:r w:rsidR="006C4E3D" w:rsidRPr="00DB26C3">
        <w:t xml:space="preserve"> (</w:t>
      </w:r>
      <w:r w:rsidR="00BC41D5">
        <w:t xml:space="preserve">Table </w:t>
      </w:r>
      <w:r w:rsidR="0002159E">
        <w:t>5</w:t>
      </w:r>
      <w:r w:rsidR="006C4E3D" w:rsidRPr="00DB26C3">
        <w:t>)</w:t>
      </w:r>
      <w:r w:rsidR="00A87D62" w:rsidRPr="00DB26C3">
        <w:t>. The graft survival</w:t>
      </w:r>
      <w:r w:rsidR="00A87D62" w:rsidRPr="00A87D62">
        <w:t xml:space="preserve"> rate observed in AUS-UTT-A is comparable to the overall graft survival in Australia, which included non-HS patients.</w:t>
      </w:r>
    </w:p>
    <w:p w14:paraId="694D9EC8" w14:textId="4ABBC0B8" w:rsidR="004B4F60" w:rsidRPr="006D1797" w:rsidRDefault="004B4F60" w:rsidP="009C4296">
      <w:pPr>
        <w:pStyle w:val="Heading3"/>
      </w:pPr>
      <w:r w:rsidRPr="006D1797">
        <w:t>Antibody</w:t>
      </w:r>
      <w:r w:rsidR="00414416">
        <w:t>-</w:t>
      </w:r>
      <w:r w:rsidR="009C4296">
        <w:t>m</w:t>
      </w:r>
      <w:r w:rsidRPr="006D1797">
        <w:t xml:space="preserve">ediated </w:t>
      </w:r>
      <w:r w:rsidR="009C4296">
        <w:t>r</w:t>
      </w:r>
      <w:r w:rsidRPr="006D1797">
        <w:t>ejection induced graft rejection over time</w:t>
      </w:r>
    </w:p>
    <w:p w14:paraId="60720134" w14:textId="1F004AE8" w:rsidR="00676E44" w:rsidRDefault="003809F2" w:rsidP="00E76AE0">
      <w:pPr>
        <w:pStyle w:val="Instructionaltext"/>
        <w:rPr>
          <w:color w:val="auto"/>
        </w:rPr>
      </w:pPr>
      <w:r w:rsidRPr="003809F2">
        <w:rPr>
          <w:color w:val="auto"/>
        </w:rPr>
        <w:t>An acute antibody</w:t>
      </w:r>
      <w:r w:rsidR="00414416">
        <w:rPr>
          <w:color w:val="auto"/>
        </w:rPr>
        <w:t>-</w:t>
      </w:r>
      <w:r w:rsidRPr="003809F2">
        <w:rPr>
          <w:color w:val="auto"/>
        </w:rPr>
        <w:t xml:space="preserve">mediated rejection (AMR) episode is the consequence of an immune response of the host attacking the transplanted organ or cells. Imlifidase acts to lower DSA levels over the initial period of a transplantation to avoid hyperacute rejection. As imlifidase is not expected to impact other rejection events, </w:t>
      </w:r>
      <w:r w:rsidR="003711BF">
        <w:rPr>
          <w:color w:val="auto"/>
        </w:rPr>
        <w:t xml:space="preserve">AMR </w:t>
      </w:r>
      <w:r w:rsidRPr="003809F2">
        <w:rPr>
          <w:color w:val="auto"/>
        </w:rPr>
        <w:t>was not considered to be a study primary efficacy outcome</w:t>
      </w:r>
      <w:r w:rsidR="0026077D">
        <w:rPr>
          <w:color w:val="auto"/>
        </w:rPr>
        <w:t>.</w:t>
      </w:r>
      <w:r w:rsidRPr="003809F2">
        <w:rPr>
          <w:color w:val="auto"/>
        </w:rPr>
        <w:t xml:space="preserve"> </w:t>
      </w:r>
    </w:p>
    <w:p w14:paraId="482FAC4B" w14:textId="48D77C7B" w:rsidR="001F5497" w:rsidRPr="006D1797" w:rsidRDefault="00676E44" w:rsidP="00E76AE0">
      <w:pPr>
        <w:pStyle w:val="Instructionaltext"/>
        <w:rPr>
          <w:color w:val="auto"/>
        </w:rPr>
      </w:pPr>
      <w:r w:rsidRPr="00676E44">
        <w:rPr>
          <w:color w:val="auto"/>
        </w:rPr>
        <w:t>AMR</w:t>
      </w:r>
      <w:r w:rsidR="009C4296">
        <w:rPr>
          <w:color w:val="auto"/>
        </w:rPr>
        <w:t xml:space="preserve"> </w:t>
      </w:r>
      <w:r w:rsidRPr="00676E44">
        <w:rPr>
          <w:color w:val="auto"/>
        </w:rPr>
        <w:t xml:space="preserve">was reported in 10 patients in the AUS-UTT-A, UTT-A and UTT populations, with all patients successfully treated according to local practice </w:t>
      </w:r>
      <w:r w:rsidR="00BE16C9">
        <w:rPr>
          <w:color w:val="auto"/>
        </w:rPr>
        <w:t>with</w:t>
      </w:r>
      <w:r w:rsidRPr="00676E44">
        <w:rPr>
          <w:color w:val="auto"/>
        </w:rPr>
        <w:t xml:space="preserve"> no grafts lost.</w:t>
      </w:r>
    </w:p>
    <w:p w14:paraId="1D1318D4" w14:textId="431C4E85" w:rsidR="004B4F60" w:rsidRPr="006D1797" w:rsidRDefault="004B4F60" w:rsidP="009C4296">
      <w:pPr>
        <w:pStyle w:val="Heading3"/>
      </w:pPr>
      <w:r w:rsidRPr="006D1797">
        <w:t>Kidney function by glomerular filtration rate</w:t>
      </w:r>
    </w:p>
    <w:p w14:paraId="67E9F78F" w14:textId="50045E90" w:rsidR="004B4F60" w:rsidRPr="006D1797" w:rsidRDefault="00650179" w:rsidP="00E76AE0">
      <w:pPr>
        <w:pStyle w:val="Instructionaltext"/>
        <w:rPr>
          <w:color w:val="auto"/>
        </w:rPr>
      </w:pPr>
      <w:r w:rsidRPr="00650179">
        <w:rPr>
          <w:color w:val="auto"/>
        </w:rPr>
        <w:t xml:space="preserve">Estimated glomerular filtration rate (eGFR) calculated from serum creatinine was used as an outcome measure for kidney function and was assessed for </w:t>
      </w:r>
      <w:r w:rsidR="00FE50E3">
        <w:rPr>
          <w:color w:val="auto"/>
        </w:rPr>
        <w:t>a</w:t>
      </w:r>
      <w:r w:rsidRPr="00650179">
        <w:rPr>
          <w:color w:val="auto"/>
        </w:rPr>
        <w:t>ll-</w:t>
      </w:r>
      <w:r w:rsidR="00FE50E3">
        <w:rPr>
          <w:color w:val="auto"/>
        </w:rPr>
        <w:t>t</w:t>
      </w:r>
      <w:r w:rsidRPr="00650179">
        <w:rPr>
          <w:color w:val="auto"/>
        </w:rPr>
        <w:t>ransplanted patients. Overall, the kidney function was satisfactory 6 months after transplantation for the great majority of patients</w:t>
      </w:r>
      <w:r>
        <w:rPr>
          <w:color w:val="auto"/>
        </w:rPr>
        <w:t xml:space="preserve">. </w:t>
      </w:r>
      <w:r w:rsidR="00EE52A3">
        <w:rPr>
          <w:color w:val="auto"/>
        </w:rPr>
        <w:t xml:space="preserve">Satisfactory has been </w:t>
      </w:r>
      <w:r w:rsidR="004F58FC">
        <w:rPr>
          <w:color w:val="auto"/>
        </w:rPr>
        <w:t xml:space="preserve">described as </w:t>
      </w:r>
      <w:r w:rsidR="00566799">
        <w:rPr>
          <w:color w:val="auto"/>
        </w:rPr>
        <w:t>having a</w:t>
      </w:r>
      <w:r w:rsidR="008A1024">
        <w:rPr>
          <w:color w:val="auto"/>
        </w:rPr>
        <w:t>n</w:t>
      </w:r>
      <w:r w:rsidR="00566799">
        <w:rPr>
          <w:color w:val="auto"/>
        </w:rPr>
        <w:t xml:space="preserve"> </w:t>
      </w:r>
      <w:r w:rsidR="00566799" w:rsidRPr="00566799">
        <w:rPr>
          <w:color w:val="auto"/>
        </w:rPr>
        <w:t>eGFR ≥30 mL/min/1.73 m</w:t>
      </w:r>
      <w:r w:rsidR="00566799" w:rsidRPr="003F0375">
        <w:rPr>
          <w:color w:val="auto"/>
          <w:vertAlign w:val="superscript"/>
        </w:rPr>
        <w:t>2</w:t>
      </w:r>
      <w:r w:rsidR="00566799">
        <w:rPr>
          <w:color w:val="auto"/>
        </w:rPr>
        <w:t xml:space="preserve">. </w:t>
      </w:r>
    </w:p>
    <w:p w14:paraId="1959CF12" w14:textId="23546D0E" w:rsidR="001F5497" w:rsidRPr="006D1797" w:rsidRDefault="00061F3B" w:rsidP="00E76AE0">
      <w:pPr>
        <w:pStyle w:val="Instructionaltext"/>
        <w:rPr>
          <w:color w:val="auto"/>
        </w:rPr>
      </w:pPr>
      <w:r>
        <w:rPr>
          <w:color w:val="auto"/>
        </w:rPr>
        <w:t>In</w:t>
      </w:r>
      <w:r w:rsidR="000C5D3C" w:rsidRPr="000C5D3C">
        <w:rPr>
          <w:color w:val="auto"/>
        </w:rPr>
        <w:t xml:space="preserve"> the UTT subgroup</w:t>
      </w:r>
      <w:r w:rsidR="00400975">
        <w:rPr>
          <w:color w:val="auto"/>
        </w:rPr>
        <w:t>,</w:t>
      </w:r>
      <w:r w:rsidR="000C5D3C" w:rsidRPr="000C5D3C">
        <w:rPr>
          <w:color w:val="auto"/>
        </w:rPr>
        <w:t xml:space="preserve"> </w:t>
      </w:r>
      <w:r>
        <w:rPr>
          <w:color w:val="auto"/>
        </w:rPr>
        <w:t>90%</w:t>
      </w:r>
      <w:r w:rsidR="000C5D3C" w:rsidRPr="000C5D3C">
        <w:rPr>
          <w:color w:val="auto"/>
        </w:rPr>
        <w:t xml:space="preserve"> of </w:t>
      </w:r>
      <w:r>
        <w:rPr>
          <w:color w:val="auto"/>
        </w:rPr>
        <w:t>patients</w:t>
      </w:r>
      <w:r w:rsidR="000C5D3C" w:rsidRPr="000C5D3C">
        <w:rPr>
          <w:color w:val="auto"/>
        </w:rPr>
        <w:t xml:space="preserve"> had an eGFR ≥30 mL/min/1.73m</w:t>
      </w:r>
      <w:r w:rsidR="000C5D3C" w:rsidRPr="003F0375">
        <w:rPr>
          <w:color w:val="auto"/>
          <w:vertAlign w:val="superscript"/>
        </w:rPr>
        <w:t>2</w:t>
      </w:r>
      <w:r w:rsidR="000C5D3C" w:rsidRPr="000C5D3C">
        <w:rPr>
          <w:color w:val="auto"/>
        </w:rPr>
        <w:t xml:space="preserve"> at 6 months, compared to 92% for the UTT-A subgroup. Similarly, during the long-term </w:t>
      </w:r>
      <w:r w:rsidR="006162D9" w:rsidRPr="000C5D3C">
        <w:rPr>
          <w:color w:val="auto"/>
        </w:rPr>
        <w:t>follow-up</w:t>
      </w:r>
      <w:r w:rsidR="000C5D3C" w:rsidRPr="000C5D3C">
        <w:rPr>
          <w:color w:val="auto"/>
        </w:rPr>
        <w:t>, the kidney function was comparable between the UTT and the UTT-A subgroups.</w:t>
      </w:r>
      <w:r w:rsidR="00F41C6A">
        <w:rPr>
          <w:color w:val="auto"/>
        </w:rPr>
        <w:t xml:space="preserve"> </w:t>
      </w:r>
      <w:r w:rsidR="000C5D3C" w:rsidRPr="000C5D3C">
        <w:rPr>
          <w:color w:val="auto"/>
        </w:rPr>
        <w:t xml:space="preserve">For </w:t>
      </w:r>
      <w:r w:rsidR="00E60EA1">
        <w:rPr>
          <w:color w:val="auto"/>
        </w:rPr>
        <w:t xml:space="preserve">the </w:t>
      </w:r>
      <w:r w:rsidR="000C5D3C" w:rsidRPr="000C5D3C">
        <w:rPr>
          <w:color w:val="auto"/>
        </w:rPr>
        <w:t>AUS-UTT-A,</w:t>
      </w:r>
      <w:r w:rsidR="00E60EA1">
        <w:rPr>
          <w:color w:val="auto"/>
        </w:rPr>
        <w:t xml:space="preserve"> subgroup</w:t>
      </w:r>
      <w:r w:rsidR="00400975">
        <w:rPr>
          <w:color w:val="auto"/>
        </w:rPr>
        <w:t>,</w:t>
      </w:r>
      <w:r w:rsidR="000C5D3C" w:rsidRPr="000C5D3C">
        <w:rPr>
          <w:color w:val="auto"/>
        </w:rPr>
        <w:t xml:space="preserve"> the proportion of patients with eGFR ≥30 mL/min/1.73 m</w:t>
      </w:r>
      <w:r w:rsidR="000C5D3C" w:rsidRPr="00527717">
        <w:rPr>
          <w:color w:val="auto"/>
          <w:vertAlign w:val="superscript"/>
        </w:rPr>
        <w:t>2</w:t>
      </w:r>
      <w:r w:rsidR="000C5D3C" w:rsidRPr="000C5D3C">
        <w:rPr>
          <w:color w:val="auto"/>
        </w:rPr>
        <w:t xml:space="preserve"> was 78% at month 1, and gradually increased to 89% at month 6, 93% at year 1 and year 2, </w:t>
      </w:r>
      <w:r w:rsidR="00CB03DC">
        <w:rPr>
          <w:color w:val="auto"/>
        </w:rPr>
        <w:t>but</w:t>
      </w:r>
      <w:r w:rsidR="000C5D3C" w:rsidRPr="000C5D3C">
        <w:rPr>
          <w:color w:val="auto"/>
        </w:rPr>
        <w:t xml:space="preserve"> reduced to 85% at year 3 and 84% at year 5.</w:t>
      </w:r>
    </w:p>
    <w:p w14:paraId="2CCB9C4B" w14:textId="670252E8" w:rsidR="004B4F60" w:rsidRPr="006D1797" w:rsidRDefault="004B4F60" w:rsidP="009C4296">
      <w:pPr>
        <w:pStyle w:val="Heading3"/>
      </w:pPr>
      <w:r w:rsidRPr="006D1797">
        <w:t>Delayed graft function</w:t>
      </w:r>
    </w:p>
    <w:p w14:paraId="4D5D7A19" w14:textId="2D2A8BC0" w:rsidR="006A1411" w:rsidRPr="006A1411" w:rsidRDefault="002672B6" w:rsidP="006A1411">
      <w:pPr>
        <w:pStyle w:val="Instructionaltext"/>
        <w:rPr>
          <w:color w:val="auto"/>
        </w:rPr>
      </w:pPr>
      <w:r w:rsidRPr="002672B6">
        <w:rPr>
          <w:color w:val="auto"/>
        </w:rPr>
        <w:t xml:space="preserve">Delayed graft function (DGF) </w:t>
      </w:r>
      <w:r w:rsidR="000165AF">
        <w:rPr>
          <w:color w:val="auto"/>
        </w:rPr>
        <w:t>is</w:t>
      </w:r>
      <w:r w:rsidRPr="002672B6">
        <w:rPr>
          <w:color w:val="auto"/>
        </w:rPr>
        <w:t xml:space="preserve"> defined in the study as the need for dialysis within 7 days of transplantation</w:t>
      </w:r>
      <w:r w:rsidR="000165AF">
        <w:rPr>
          <w:color w:val="auto"/>
        </w:rPr>
        <w:t>. A</w:t>
      </w:r>
      <w:r w:rsidR="006A1411" w:rsidRPr="006A1411">
        <w:rPr>
          <w:color w:val="auto"/>
        </w:rPr>
        <w:t>mong 43 patients from the all-transplant group with a functioning graft at 6</w:t>
      </w:r>
      <w:r w:rsidR="00872152">
        <w:rPr>
          <w:color w:val="auto"/>
        </w:rPr>
        <w:t> </w:t>
      </w:r>
      <w:r w:rsidR="006A1411" w:rsidRPr="006A1411">
        <w:rPr>
          <w:color w:val="auto"/>
        </w:rPr>
        <w:t>months, 19 (44%) had experienced DGF after transplantation, with persistence varying from 1</w:t>
      </w:r>
      <w:r w:rsidR="00872152">
        <w:rPr>
          <w:color w:val="auto"/>
        </w:rPr>
        <w:t> </w:t>
      </w:r>
      <w:r w:rsidR="006A1411" w:rsidRPr="006A1411">
        <w:rPr>
          <w:color w:val="auto"/>
        </w:rPr>
        <w:t xml:space="preserve">day to several weeks and </w:t>
      </w:r>
      <w:r w:rsidR="001F27A2" w:rsidRPr="006A1411">
        <w:rPr>
          <w:color w:val="auto"/>
        </w:rPr>
        <w:t>months</w:t>
      </w:r>
      <w:r w:rsidR="006A1411" w:rsidRPr="006A1411">
        <w:rPr>
          <w:color w:val="auto"/>
        </w:rPr>
        <w:t xml:space="preserve">. </w:t>
      </w:r>
      <w:r w:rsidR="007927FB" w:rsidRPr="007927FB">
        <w:rPr>
          <w:color w:val="auto"/>
        </w:rPr>
        <w:t xml:space="preserve">In the AUS-UTT-A subgroup, 11 out of 24 (46%) patients experienced DGF, consistent with the incidence in the </w:t>
      </w:r>
      <w:r w:rsidR="000A0436">
        <w:rPr>
          <w:color w:val="auto"/>
        </w:rPr>
        <w:t>a</w:t>
      </w:r>
      <w:r w:rsidR="007927FB" w:rsidRPr="007927FB">
        <w:rPr>
          <w:color w:val="auto"/>
        </w:rPr>
        <w:t>ll-transplanted population</w:t>
      </w:r>
      <w:r w:rsidR="007927FB">
        <w:rPr>
          <w:color w:val="auto"/>
        </w:rPr>
        <w:t xml:space="preserve">. </w:t>
      </w:r>
      <w:r w:rsidR="006A1411" w:rsidRPr="006A1411">
        <w:rPr>
          <w:color w:val="auto"/>
        </w:rPr>
        <w:t xml:space="preserve">There was no </w:t>
      </w:r>
      <w:r w:rsidR="006A1411" w:rsidRPr="006A1411">
        <w:rPr>
          <w:color w:val="auto"/>
        </w:rPr>
        <w:lastRenderedPageBreak/>
        <w:t>apparent relationship between the occurrence or length of DGF and cold isch</w:t>
      </w:r>
      <w:r w:rsidR="00064DAC">
        <w:rPr>
          <w:color w:val="auto"/>
        </w:rPr>
        <w:t>ae</w:t>
      </w:r>
      <w:r w:rsidR="006A1411" w:rsidRPr="006A1411">
        <w:rPr>
          <w:color w:val="auto"/>
        </w:rPr>
        <w:t xml:space="preserve">mia time or kidney donor profile index. </w:t>
      </w:r>
    </w:p>
    <w:p w14:paraId="68C6889B" w14:textId="19D07DF9" w:rsidR="00073344" w:rsidRDefault="006A1411" w:rsidP="006A1411">
      <w:pPr>
        <w:pStyle w:val="Instructionaltext"/>
        <w:rPr>
          <w:color w:val="auto"/>
        </w:rPr>
      </w:pPr>
      <w:r w:rsidRPr="00672CBD">
        <w:rPr>
          <w:color w:val="auto"/>
        </w:rPr>
        <w:t>In the literature, the incidence of DGF can greatly vary among centres from 3.2% to 63.3% (Orandi et al</w:t>
      </w:r>
      <w:r w:rsidR="002025B0">
        <w:rPr>
          <w:color w:val="auto"/>
        </w:rPr>
        <w:t>.</w:t>
      </w:r>
      <w:r w:rsidRPr="00672CBD">
        <w:rPr>
          <w:color w:val="auto"/>
        </w:rPr>
        <w:t xml:space="preserve"> 2015)</w:t>
      </w:r>
      <w:r w:rsidR="002025B0">
        <w:rPr>
          <w:color w:val="auto"/>
        </w:rPr>
        <w:t>.</w:t>
      </w:r>
      <w:r w:rsidR="00B55AF1" w:rsidRPr="00672CBD">
        <w:rPr>
          <w:rStyle w:val="FootnoteReference"/>
          <w:color w:val="auto"/>
        </w:rPr>
        <w:footnoteReference w:id="6"/>
      </w:r>
      <w:r w:rsidRPr="00672CBD">
        <w:rPr>
          <w:color w:val="auto"/>
        </w:rPr>
        <w:t xml:space="preserve"> One US study found that the duration of DGF, rather than DGF itself, was associated with graft survival (Budhiraja et al</w:t>
      </w:r>
      <w:r w:rsidR="00722E32">
        <w:rPr>
          <w:color w:val="auto"/>
        </w:rPr>
        <w:t>.</w:t>
      </w:r>
      <w:r w:rsidR="00672CBD">
        <w:rPr>
          <w:color w:val="auto"/>
        </w:rPr>
        <w:t xml:space="preserve"> </w:t>
      </w:r>
      <w:r w:rsidRPr="00672CBD">
        <w:rPr>
          <w:color w:val="auto"/>
        </w:rPr>
        <w:t>2022)</w:t>
      </w:r>
      <w:r w:rsidR="00722E32">
        <w:rPr>
          <w:color w:val="auto"/>
        </w:rPr>
        <w:t>.</w:t>
      </w:r>
      <w:r w:rsidR="00672CBD" w:rsidRPr="00672CBD">
        <w:rPr>
          <w:rStyle w:val="FootnoteReference"/>
          <w:color w:val="auto"/>
        </w:rPr>
        <w:footnoteReference w:id="7"/>
      </w:r>
    </w:p>
    <w:p w14:paraId="225C5E5C" w14:textId="0FBBDA8A" w:rsidR="007B1B69" w:rsidRPr="006D1797" w:rsidRDefault="00073344" w:rsidP="00E76AE0">
      <w:pPr>
        <w:pStyle w:val="Instructionaltext"/>
        <w:rPr>
          <w:color w:val="auto"/>
        </w:rPr>
      </w:pPr>
      <w:r w:rsidRPr="00073344">
        <w:rPr>
          <w:color w:val="auto"/>
        </w:rPr>
        <w:t xml:space="preserve">The </w:t>
      </w:r>
      <w:r w:rsidR="00272E71">
        <w:rPr>
          <w:color w:val="auto"/>
        </w:rPr>
        <w:t>commentary</w:t>
      </w:r>
      <w:r w:rsidR="007570A1">
        <w:rPr>
          <w:color w:val="auto"/>
        </w:rPr>
        <w:t xml:space="preserve"> o</w:t>
      </w:r>
      <w:r w:rsidR="0085422B">
        <w:rPr>
          <w:color w:val="auto"/>
        </w:rPr>
        <w:t>f</w:t>
      </w:r>
      <w:r w:rsidR="007570A1">
        <w:rPr>
          <w:color w:val="auto"/>
        </w:rPr>
        <w:t xml:space="preserve"> the </w:t>
      </w:r>
      <w:r w:rsidR="00E05F24">
        <w:rPr>
          <w:color w:val="auto"/>
        </w:rPr>
        <w:t xml:space="preserve">2023 </w:t>
      </w:r>
      <w:r w:rsidR="007570A1">
        <w:rPr>
          <w:color w:val="auto"/>
        </w:rPr>
        <w:t>submission (MSAC 1732)</w:t>
      </w:r>
      <w:r w:rsidRPr="00073344">
        <w:rPr>
          <w:color w:val="auto"/>
        </w:rPr>
        <w:t xml:space="preserve"> noted that no clinical justification was provided for the clinical experts’ view</w:t>
      </w:r>
      <w:r w:rsidR="005D640B">
        <w:rPr>
          <w:color w:val="auto"/>
        </w:rPr>
        <w:t xml:space="preserve"> in the ADAR</w:t>
      </w:r>
      <w:r w:rsidRPr="00073344">
        <w:rPr>
          <w:color w:val="auto"/>
        </w:rPr>
        <w:t xml:space="preserve"> that the duration of DGF is shorter on average in Australia than in the US where many of the trial patients were transplanted. The</w:t>
      </w:r>
      <w:r w:rsidR="007570A1">
        <w:rPr>
          <w:color w:val="auto"/>
        </w:rPr>
        <w:t xml:space="preserve"> previous</w:t>
      </w:r>
      <w:r w:rsidRPr="00073344">
        <w:rPr>
          <w:color w:val="auto"/>
        </w:rPr>
        <w:t xml:space="preserve"> </w:t>
      </w:r>
      <w:r w:rsidR="00272E71">
        <w:rPr>
          <w:color w:val="auto"/>
        </w:rPr>
        <w:t>commentary</w:t>
      </w:r>
      <w:r w:rsidRPr="00073344">
        <w:rPr>
          <w:color w:val="auto"/>
        </w:rPr>
        <w:t xml:space="preserve"> stated that it is unclear whether such a general country comparison is appropriate, given that the incidence rate of DGF varies greatly between centres (3.2</w:t>
      </w:r>
      <w:r w:rsidR="0067716E">
        <w:rPr>
          <w:color w:val="auto"/>
        </w:rPr>
        <w:t>%</w:t>
      </w:r>
      <w:r w:rsidRPr="00073344">
        <w:rPr>
          <w:color w:val="auto"/>
        </w:rPr>
        <w:t>–63.3%).</w:t>
      </w:r>
    </w:p>
    <w:p w14:paraId="30336274" w14:textId="67FA89FA" w:rsidR="007B1B69" w:rsidRPr="006D1797" w:rsidRDefault="007B1B69" w:rsidP="009C4296">
      <w:pPr>
        <w:pStyle w:val="Heading3"/>
      </w:pPr>
      <w:r w:rsidRPr="006D1797">
        <w:t>Quality of life</w:t>
      </w:r>
    </w:p>
    <w:p w14:paraId="5027DB4E" w14:textId="1455587F" w:rsidR="004F5154" w:rsidRDefault="002152D7" w:rsidP="00E76AE0">
      <w:pPr>
        <w:pStyle w:val="Instructionaltext"/>
        <w:rPr>
          <w:color w:val="auto"/>
        </w:rPr>
      </w:pPr>
      <w:r w:rsidRPr="002152D7">
        <w:rPr>
          <w:color w:val="auto"/>
        </w:rPr>
        <w:t xml:space="preserve">The imlifidase phase </w:t>
      </w:r>
      <w:r w:rsidR="00ED029D">
        <w:rPr>
          <w:color w:val="auto"/>
        </w:rPr>
        <w:t>II</w:t>
      </w:r>
      <w:r w:rsidRPr="002152D7">
        <w:rPr>
          <w:color w:val="auto"/>
        </w:rPr>
        <w:t xml:space="preserve"> studies did not collect </w:t>
      </w:r>
      <w:r w:rsidR="006D2578">
        <w:rPr>
          <w:color w:val="auto"/>
        </w:rPr>
        <w:t>health-related quality of life (</w:t>
      </w:r>
      <w:r w:rsidRPr="002152D7">
        <w:rPr>
          <w:color w:val="auto"/>
        </w:rPr>
        <w:t>HRQoL</w:t>
      </w:r>
      <w:r w:rsidR="006D2578">
        <w:rPr>
          <w:color w:val="auto"/>
        </w:rPr>
        <w:t>)</w:t>
      </w:r>
      <w:r w:rsidRPr="002152D7">
        <w:rPr>
          <w:color w:val="auto"/>
        </w:rPr>
        <w:t xml:space="preserve"> data. In the long-term follow-up </w:t>
      </w:r>
      <w:r w:rsidR="000B2F17">
        <w:rPr>
          <w:color w:val="auto"/>
        </w:rPr>
        <w:t>s</w:t>
      </w:r>
      <w:r w:rsidRPr="002152D7">
        <w:rPr>
          <w:color w:val="auto"/>
        </w:rPr>
        <w:t>tudy 17-HMedIdeS-14</w:t>
      </w:r>
      <w:r w:rsidR="006D2578">
        <w:rPr>
          <w:color w:val="auto"/>
        </w:rPr>
        <w:t>,</w:t>
      </w:r>
      <w:r w:rsidRPr="002152D7">
        <w:rPr>
          <w:color w:val="auto"/>
        </w:rPr>
        <w:t xml:space="preserve"> HRQoL was assessed by means of the general </w:t>
      </w:r>
      <w:r w:rsidR="000B2F17">
        <w:rPr>
          <w:color w:val="auto"/>
        </w:rPr>
        <w:t>5-level EuroQol 5-dimension</w:t>
      </w:r>
      <w:r w:rsidR="002E3598">
        <w:rPr>
          <w:color w:val="auto"/>
        </w:rPr>
        <w:t xml:space="preserve"> </w:t>
      </w:r>
      <w:r w:rsidRPr="002152D7">
        <w:rPr>
          <w:color w:val="auto"/>
        </w:rPr>
        <w:t>questionnaire</w:t>
      </w:r>
      <w:r w:rsidR="002E3598">
        <w:rPr>
          <w:color w:val="auto"/>
        </w:rPr>
        <w:t xml:space="preserve"> (EQ-5D-5L)</w:t>
      </w:r>
      <w:r w:rsidRPr="002152D7">
        <w:rPr>
          <w:color w:val="auto"/>
        </w:rPr>
        <w:t xml:space="preserve"> and the </w:t>
      </w:r>
      <w:r w:rsidR="00A878FA">
        <w:rPr>
          <w:color w:val="auto"/>
        </w:rPr>
        <w:t>disease-specific</w:t>
      </w:r>
      <w:r w:rsidRPr="002152D7">
        <w:rPr>
          <w:color w:val="auto"/>
        </w:rPr>
        <w:t xml:space="preserve"> Kidney Disease Quality of Life Questionnaire</w:t>
      </w:r>
      <w:r w:rsidR="00E14146">
        <w:rPr>
          <w:color w:val="auto"/>
        </w:rPr>
        <w:t xml:space="preserve"> – </w:t>
      </w:r>
      <w:r w:rsidRPr="002152D7">
        <w:rPr>
          <w:color w:val="auto"/>
        </w:rPr>
        <w:t>short form</w:t>
      </w:r>
      <w:r w:rsidR="00776140">
        <w:rPr>
          <w:color w:val="auto"/>
        </w:rPr>
        <w:t xml:space="preserve"> 36</w:t>
      </w:r>
      <w:r w:rsidRPr="002152D7">
        <w:rPr>
          <w:color w:val="auto"/>
        </w:rPr>
        <w:t xml:space="preserve"> (KDQOL-SF</w:t>
      </w:r>
      <w:r w:rsidR="00776140">
        <w:rPr>
          <w:color w:val="auto"/>
        </w:rPr>
        <w:t xml:space="preserve"> 36</w:t>
      </w:r>
      <w:r w:rsidRPr="002152D7">
        <w:rPr>
          <w:color w:val="auto"/>
        </w:rPr>
        <w:t>), with data collection intended at 1, 2, 3 and 5 years.</w:t>
      </w:r>
      <w:r w:rsidR="003C68B6">
        <w:rPr>
          <w:color w:val="auto"/>
        </w:rPr>
        <w:t xml:space="preserve"> </w:t>
      </w:r>
    </w:p>
    <w:p w14:paraId="12A6D157" w14:textId="4BA9A83E" w:rsidR="00DD01C7" w:rsidRDefault="003C68B6" w:rsidP="00E76AE0">
      <w:pPr>
        <w:pStyle w:val="Instructionaltext"/>
        <w:rPr>
          <w:color w:val="auto"/>
        </w:rPr>
      </w:pPr>
      <w:r w:rsidRPr="003C68B6">
        <w:rPr>
          <w:color w:val="auto"/>
        </w:rPr>
        <w:t xml:space="preserve">Although it appears from the results of both instruments that </w:t>
      </w:r>
      <w:r w:rsidR="004F5154">
        <w:rPr>
          <w:color w:val="auto"/>
        </w:rPr>
        <w:t>HR</w:t>
      </w:r>
      <w:r w:rsidRPr="003C68B6">
        <w:rPr>
          <w:color w:val="auto"/>
        </w:rPr>
        <w:t xml:space="preserve">QoL improves over time, the data collected should be interpreted with caution since only </w:t>
      </w:r>
      <w:r w:rsidR="005F376B">
        <w:rPr>
          <w:color w:val="auto"/>
        </w:rPr>
        <w:t xml:space="preserve">a </w:t>
      </w:r>
      <w:r w:rsidRPr="003C68B6">
        <w:rPr>
          <w:color w:val="auto"/>
        </w:rPr>
        <w:t>few patients had more than one visit</w:t>
      </w:r>
      <w:r w:rsidR="003C14B5">
        <w:rPr>
          <w:color w:val="auto"/>
        </w:rPr>
        <w:t>.</w:t>
      </w:r>
      <w:r w:rsidR="009D0285" w:rsidRPr="009D0285">
        <w:rPr>
          <w:color w:val="auto"/>
        </w:rPr>
        <w:t xml:space="preserve"> </w:t>
      </w:r>
      <w:r w:rsidR="003C14B5">
        <w:rPr>
          <w:color w:val="auto"/>
        </w:rPr>
        <w:t xml:space="preserve">The mean </w:t>
      </w:r>
      <w:r w:rsidR="009B0736" w:rsidRPr="009B0736">
        <w:rPr>
          <w:color w:val="auto"/>
        </w:rPr>
        <w:t>EQ-5D-5L values</w:t>
      </w:r>
      <w:r w:rsidR="003C14B5">
        <w:rPr>
          <w:color w:val="auto"/>
        </w:rPr>
        <w:t xml:space="preserve"> (</w:t>
      </w:r>
      <w:r w:rsidR="003C14B5" w:rsidRPr="00776140">
        <w:rPr>
          <w:color w:val="auto"/>
        </w:rPr>
        <w:t>valued using a Danish tariff)</w:t>
      </w:r>
      <w:r w:rsidR="009B0736" w:rsidRPr="00776140">
        <w:rPr>
          <w:color w:val="auto"/>
        </w:rPr>
        <w:t xml:space="preserve"> were 0.82, 0.89, 0.85</w:t>
      </w:r>
      <w:r w:rsidR="006151E5">
        <w:rPr>
          <w:color w:val="auto"/>
        </w:rPr>
        <w:t xml:space="preserve"> and</w:t>
      </w:r>
      <w:r w:rsidR="00B34D68">
        <w:rPr>
          <w:color w:val="auto"/>
        </w:rPr>
        <w:t xml:space="preserve"> </w:t>
      </w:r>
      <w:r w:rsidR="009B0736" w:rsidRPr="00776140">
        <w:rPr>
          <w:color w:val="auto"/>
        </w:rPr>
        <w:t>0.84 at 1 year, 2 years, 3 years and 5 years respectively</w:t>
      </w:r>
      <w:r w:rsidR="000D27E6">
        <w:rPr>
          <w:color w:val="auto"/>
        </w:rPr>
        <w:t xml:space="preserve"> (a higher score corresponds to better health)</w:t>
      </w:r>
      <w:r w:rsidR="009B0736" w:rsidRPr="00776140">
        <w:rPr>
          <w:color w:val="auto"/>
        </w:rPr>
        <w:t xml:space="preserve">. </w:t>
      </w:r>
    </w:p>
    <w:p w14:paraId="7B61184D" w14:textId="7A343F06" w:rsidR="00F228EB" w:rsidRPr="00423110" w:rsidRDefault="009B0736" w:rsidP="00E76AE0">
      <w:pPr>
        <w:pStyle w:val="Instructionaltext"/>
        <w:rPr>
          <w:rFonts w:ascii="Franklin Gothic Medium" w:hAnsi="Franklin Gothic Medium"/>
          <w:color w:val="auto"/>
        </w:rPr>
      </w:pPr>
      <w:r w:rsidRPr="00776140">
        <w:rPr>
          <w:color w:val="auto"/>
        </w:rPr>
        <w:t>KDQOL-</w:t>
      </w:r>
      <w:r w:rsidR="00776140" w:rsidRPr="00776140">
        <w:rPr>
          <w:color w:val="auto"/>
        </w:rPr>
        <w:t xml:space="preserve">SF </w:t>
      </w:r>
      <w:r w:rsidRPr="00776140">
        <w:rPr>
          <w:color w:val="auto"/>
        </w:rPr>
        <w:t>36</w:t>
      </w:r>
      <w:r w:rsidR="00DD01C7">
        <w:rPr>
          <w:color w:val="auto"/>
        </w:rPr>
        <w:t xml:space="preserve"> </w:t>
      </w:r>
      <w:r w:rsidRPr="00776140">
        <w:rPr>
          <w:color w:val="auto"/>
        </w:rPr>
        <w:t>mean scores on burden of kidney disease, effects of kidney disease, overall health rating, cognitive function, physical functioning, and work status were 79.4, 89.0, 76.0, 86.9, 86.0 and 74.0, respectively, among patients who responded at 5-year</w:t>
      </w:r>
      <w:r w:rsidR="00DF5B74">
        <w:rPr>
          <w:color w:val="auto"/>
        </w:rPr>
        <w:t>s</w:t>
      </w:r>
      <w:r w:rsidRPr="00776140">
        <w:rPr>
          <w:color w:val="auto"/>
        </w:rPr>
        <w:t xml:space="preserve"> after transplantation</w:t>
      </w:r>
      <w:r w:rsidR="00DD01C7">
        <w:rPr>
          <w:color w:val="auto"/>
        </w:rPr>
        <w:t xml:space="preserve"> (reported over a </w:t>
      </w:r>
      <w:r w:rsidR="00DD01C7" w:rsidRPr="00DD01C7">
        <w:rPr>
          <w:color w:val="auto"/>
        </w:rPr>
        <w:t xml:space="preserve">0 to 100 range, higher scores reflecting better </w:t>
      </w:r>
      <w:r w:rsidR="00DD01C7">
        <w:rPr>
          <w:color w:val="auto"/>
        </w:rPr>
        <w:t>health)</w:t>
      </w:r>
      <w:r w:rsidRPr="00776140">
        <w:rPr>
          <w:color w:val="auto"/>
        </w:rPr>
        <w:t xml:space="preserve">. </w:t>
      </w:r>
      <w:r w:rsidR="00DF0A79" w:rsidRPr="00776140">
        <w:rPr>
          <w:color w:val="auto"/>
        </w:rPr>
        <w:t>In general, KDQOL-</w:t>
      </w:r>
      <w:r w:rsidR="00776140" w:rsidRPr="00776140">
        <w:rPr>
          <w:color w:val="auto"/>
        </w:rPr>
        <w:t xml:space="preserve">SF </w:t>
      </w:r>
      <w:r w:rsidR="00DF0A79" w:rsidRPr="00776140">
        <w:rPr>
          <w:color w:val="auto"/>
        </w:rPr>
        <w:t>36 mean scores at 5</w:t>
      </w:r>
      <w:r w:rsidR="008467D2">
        <w:rPr>
          <w:color w:val="auto"/>
        </w:rPr>
        <w:t xml:space="preserve"> </w:t>
      </w:r>
      <w:r w:rsidR="00DF0A79" w:rsidRPr="00776140">
        <w:rPr>
          <w:color w:val="auto"/>
        </w:rPr>
        <w:t>years after transplantation were above 70</w:t>
      </w:r>
      <w:r w:rsidR="00EE55C7">
        <w:rPr>
          <w:color w:val="auto"/>
        </w:rPr>
        <w:t xml:space="preserve"> (out of 100)</w:t>
      </w:r>
      <w:r w:rsidR="00DF0A79" w:rsidRPr="00776140">
        <w:rPr>
          <w:color w:val="auto"/>
        </w:rPr>
        <w:t xml:space="preserve"> with only the parameters general health, energy/fatigue and sleep having lower scores (53.0, 61.4 and 67.6). </w:t>
      </w:r>
    </w:p>
    <w:p w14:paraId="7160BCB8" w14:textId="50D37FCA" w:rsidR="000B69AF" w:rsidRPr="00423110" w:rsidRDefault="00CB4A06" w:rsidP="00E76AE0">
      <w:pPr>
        <w:pStyle w:val="Instructionaltext"/>
        <w:rPr>
          <w:rFonts w:ascii="Franklin Gothic Medium" w:hAnsi="Franklin Gothic Medium"/>
          <w:color w:val="auto"/>
          <w:sz w:val="24"/>
          <w:szCs w:val="24"/>
        </w:rPr>
      </w:pPr>
      <w:r w:rsidRPr="00423110">
        <w:rPr>
          <w:rFonts w:ascii="Franklin Gothic Medium" w:hAnsi="Franklin Gothic Medium"/>
          <w:color w:val="auto"/>
          <w:sz w:val="24"/>
          <w:szCs w:val="24"/>
        </w:rPr>
        <w:t xml:space="preserve">New clinical data </w:t>
      </w:r>
      <w:r w:rsidR="002F6BED" w:rsidRPr="00423110">
        <w:rPr>
          <w:rFonts w:ascii="Franklin Gothic Medium" w:hAnsi="Franklin Gothic Medium"/>
          <w:color w:val="auto"/>
          <w:sz w:val="24"/>
          <w:szCs w:val="24"/>
        </w:rPr>
        <w:t>not previously presented to MSAC</w:t>
      </w:r>
    </w:p>
    <w:p w14:paraId="5DE70CF1" w14:textId="037600AE" w:rsidR="008E630B" w:rsidRPr="00423110" w:rsidRDefault="008E630B" w:rsidP="008E630B">
      <w:pPr>
        <w:rPr>
          <w:rFonts w:cstheme="minorHAnsi"/>
        </w:rPr>
      </w:pPr>
      <w:r w:rsidRPr="00423110">
        <w:rPr>
          <w:rFonts w:cstheme="minorHAnsi"/>
        </w:rPr>
        <w:t xml:space="preserve">Long-term follow-up of 46 transplanted patients from the feeder trials (02, 03, 04 and 06) up through 5 years has now been published. Since the five-year data has not been previously reported to MSAC this subsection notes the key elements and results. </w:t>
      </w:r>
    </w:p>
    <w:p w14:paraId="03E853B2" w14:textId="56A7B9AD" w:rsidR="008E630B" w:rsidRPr="00423110" w:rsidRDefault="008E630B" w:rsidP="008E630B">
      <w:pPr>
        <w:rPr>
          <w:rFonts w:cstheme="minorHAnsi"/>
        </w:rPr>
      </w:pPr>
      <w:r w:rsidRPr="00423110">
        <w:rPr>
          <w:rFonts w:cstheme="minorHAnsi"/>
        </w:rPr>
        <w:t>Patient survival was 90% at 5 years (confidence interval, 80%-100%) with 3 deaths occurring between 6 months and 1 year (</w:t>
      </w:r>
      <w:r w:rsidR="003B499A">
        <w:rPr>
          <w:rFonts w:cstheme="minorHAnsi"/>
        </w:rPr>
        <w:t>one d</w:t>
      </w:r>
      <w:r w:rsidRPr="00423110">
        <w:rPr>
          <w:rFonts w:cstheme="minorHAnsi"/>
        </w:rPr>
        <w:t xml:space="preserve">eath was attributed to pseudomonas bacteraemia/influenza and one due to cardiac arrest, while the cause of the third death was unknown), with no deaths occurring between 1 and 5 years. </w:t>
      </w:r>
    </w:p>
    <w:p w14:paraId="02DF747D" w14:textId="77777777" w:rsidR="008E630B" w:rsidRPr="00423110" w:rsidRDefault="008E630B" w:rsidP="008E630B">
      <w:pPr>
        <w:rPr>
          <w:color w:val="1F1F1F"/>
        </w:rPr>
      </w:pPr>
      <w:r w:rsidRPr="00423110">
        <w:rPr>
          <w:rFonts w:cstheme="minorHAnsi"/>
        </w:rPr>
        <w:t xml:space="preserve">Death-censored graft survival at 5 years was 82% (confidence interval: 70%-96%), with 3 graft losses early in the studies attributed to one IgM-mediated hyperacute rejection and two to primary nonfunctioning grafts. Two allograft losses occurred between 2 and 3 years, attributed to reduction of immunosuppression secondary to an infection in 1 patient and immunosuppression medication nonadherence in another. One graft loss occurred between 3 and 5 years owing to a </w:t>
      </w:r>
      <w:r w:rsidRPr="00423110">
        <w:rPr>
          <w:rFonts w:cstheme="minorHAnsi"/>
        </w:rPr>
        <w:lastRenderedPageBreak/>
        <w:t>decline in graft function over time from a transplant, which initially struggled with dense acute tubular necrosis and delayed graft function. No grafts were lost due to antibody-mediated rejection (AMR) throughout the trial nor during long term follow up.</w:t>
      </w:r>
      <w:r w:rsidRPr="00423110">
        <w:rPr>
          <w:color w:val="1F1F1F"/>
        </w:rPr>
        <w:t xml:space="preserve"> </w:t>
      </w:r>
    </w:p>
    <w:p w14:paraId="518481F4" w14:textId="7E5B5E2C" w:rsidR="008E630B" w:rsidRPr="00423110" w:rsidRDefault="008E630B" w:rsidP="008E630B">
      <w:pPr>
        <w:rPr>
          <w:rFonts w:cstheme="minorHAnsi"/>
        </w:rPr>
      </w:pPr>
      <w:r w:rsidRPr="00423110">
        <w:rPr>
          <w:rFonts w:cstheme="minorHAnsi"/>
          <w:color w:val="1F1F1F"/>
        </w:rPr>
        <w:t>F</w:t>
      </w:r>
      <w:r w:rsidRPr="00423110">
        <w:rPr>
          <w:rFonts w:cstheme="minorHAnsi"/>
        </w:rPr>
        <w:t>or patients with a functioning graft and with available data, the mean eGFR estimation at 5</w:t>
      </w:r>
      <w:r w:rsidR="00272B4B">
        <w:rPr>
          <w:rFonts w:cstheme="minorHAnsi"/>
        </w:rPr>
        <w:t> </w:t>
      </w:r>
      <w:r w:rsidRPr="00423110">
        <w:rPr>
          <w:rFonts w:cstheme="minorHAnsi"/>
        </w:rPr>
        <w:t xml:space="preserve">years using the chronic kidney disease epidemiology collaboration (2021), kidney recipient–specific, and MDRD equations was 55.8, 52.5, </w:t>
      </w:r>
      <w:proofErr w:type="gramStart"/>
      <w:r w:rsidRPr="00423110">
        <w:rPr>
          <w:rFonts w:cstheme="minorHAnsi"/>
        </w:rPr>
        <w:t>and,</w:t>
      </w:r>
      <w:proofErr w:type="gramEnd"/>
      <w:r w:rsidRPr="00423110">
        <w:rPr>
          <w:rFonts w:cstheme="minorHAnsi"/>
        </w:rPr>
        <w:t xml:space="preserve"> 50.1 mL/min/1.73 m</w:t>
      </w:r>
      <w:r w:rsidRPr="00423110">
        <w:rPr>
          <w:rFonts w:cstheme="minorHAnsi"/>
          <w:vertAlign w:val="superscript"/>
        </w:rPr>
        <w:t>2</w:t>
      </w:r>
      <w:r w:rsidRPr="00423110">
        <w:rPr>
          <w:rFonts w:cstheme="minorHAnsi"/>
        </w:rPr>
        <w:t>, respectively, compared with 59.5, 56.5, and 54.5 mL/min/1.73 m</w:t>
      </w:r>
      <w:r w:rsidRPr="00423110">
        <w:rPr>
          <w:rFonts w:cstheme="minorHAnsi"/>
          <w:vertAlign w:val="superscript"/>
        </w:rPr>
        <w:t>2</w:t>
      </w:r>
      <w:r w:rsidRPr="00423110">
        <w:rPr>
          <w:rFonts w:cstheme="minorHAnsi"/>
        </w:rPr>
        <w:t> at 3 years (Fig A-C</w:t>
      </w:r>
      <w:bookmarkStart w:id="27" w:name="bfig1"/>
      <w:r w:rsidRPr="00423110">
        <w:rPr>
          <w:rFonts w:cstheme="minorHAnsi"/>
        </w:rPr>
        <w:t xml:space="preserve"> below). At 5 years 75% (MDRD) of patients had an eGFR of ≥30 mL/min/1.73 m</w:t>
      </w:r>
      <w:r w:rsidRPr="00423110">
        <w:rPr>
          <w:rFonts w:cstheme="minorHAnsi"/>
          <w:vertAlign w:val="superscript"/>
        </w:rPr>
        <w:t>2</w:t>
      </w:r>
      <w:r w:rsidRPr="00423110">
        <w:rPr>
          <w:rFonts w:cstheme="minorHAnsi"/>
        </w:rPr>
        <w:t>. The slope of the eGFR remained stable over time with an initial increase seen earlier in the transplantation course. After imlifidase treatment, DSA remained low for approximately 1 week, then rebounded to approximately 80% of pretreatment levels with the peak occurring 14 days post treatment, with levels progressively decreasing over time. No increase in DSA were seen between 3 and 5 years (</w:t>
      </w:r>
      <w:bookmarkEnd w:id="27"/>
      <w:r w:rsidRPr="00423110">
        <w:rPr>
          <w:rFonts w:cstheme="minorHAnsi"/>
        </w:rPr>
        <w:t>Fig D, E).</w:t>
      </w:r>
    </w:p>
    <w:p w14:paraId="637A3D5D" w14:textId="77777777" w:rsidR="008E630B" w:rsidRPr="00423110" w:rsidRDefault="008E630B" w:rsidP="008E630B">
      <w:pPr>
        <w:rPr>
          <w:rFonts w:cstheme="minorHAnsi"/>
        </w:rPr>
      </w:pPr>
      <w:r w:rsidRPr="00423110">
        <w:rPr>
          <w:rFonts w:cstheme="minorHAnsi"/>
        </w:rPr>
        <w:t xml:space="preserve">The rate of AMR was 28% within the first month, with 4 additional AMRs occurring between 2 and 6 months, bringing the AMR rate to 38%. No AMR occurred between 3 and 5 years. At no time point did AMR result in graft loss. </w:t>
      </w:r>
    </w:p>
    <w:p w14:paraId="639113D1" w14:textId="77777777" w:rsidR="008E630B" w:rsidRPr="00423110" w:rsidRDefault="008E630B" w:rsidP="008E630B">
      <w:pPr>
        <w:rPr>
          <w:rFonts w:cstheme="minorHAnsi"/>
        </w:rPr>
      </w:pPr>
      <w:r w:rsidRPr="00423110">
        <w:rPr>
          <w:rFonts w:cstheme="minorHAnsi"/>
        </w:rPr>
        <w:t>In summary at 5 years, crossmatch-positive, imlifidase-enabled transplant recipients continue to demonstrate sustained outcomes, despite their high-risk immunologic profile. </w:t>
      </w:r>
    </w:p>
    <w:p w14:paraId="4FB21C81" w14:textId="77777777" w:rsidR="008E630B" w:rsidRDefault="008E630B" w:rsidP="008E630B">
      <w:pPr>
        <w:pStyle w:val="Caption"/>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sidRPr="00725FDA">
        <w:t>Renal function and immunodominant DSA over 5 years in imlifidase enabled transplants</w:t>
      </w:r>
      <w:r>
        <w:t>.</w:t>
      </w:r>
    </w:p>
    <w:p w14:paraId="0EDA5AC6" w14:textId="681F5CA1" w:rsidR="000D41EC" w:rsidRPr="004A3745" w:rsidRDefault="008E630B" w:rsidP="004A3745">
      <w:pPr>
        <w:jc w:val="both"/>
        <w:rPr>
          <w:rFonts w:asciiTheme="minorHAnsi" w:hAnsiTheme="minorHAnsi" w:cstheme="minorHAnsi"/>
        </w:rPr>
      </w:pPr>
      <w:r w:rsidRPr="00C52C04">
        <w:rPr>
          <w:rFonts w:asciiTheme="minorHAnsi" w:hAnsiTheme="minorHAnsi" w:cstheme="minorHAnsi"/>
          <w:noProof/>
        </w:rPr>
        <w:drawing>
          <wp:inline distT="0" distB="0" distL="0" distR="0" wp14:anchorId="347DC28D" wp14:editId="76C0426D">
            <wp:extent cx="4273550" cy="3129170"/>
            <wp:effectExtent l="0" t="0" r="0" b="0"/>
            <wp:docPr id="1578387511" name="Picture 1" descr="Figure 1 Graphs of renal function and immunodominant DSA over 5 years in imlifidase enabled trans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87511" name="Picture 1" descr="Figure 1 Graphs of renal function and immunodominant DSA over 5 years in imlifidase enabled transplants"/>
                    <pic:cNvPicPr/>
                  </pic:nvPicPr>
                  <pic:blipFill>
                    <a:blip r:embed="rId13"/>
                    <a:stretch>
                      <a:fillRect/>
                    </a:stretch>
                  </pic:blipFill>
                  <pic:spPr>
                    <a:xfrm>
                      <a:off x="0" y="0"/>
                      <a:ext cx="4323899" cy="3166036"/>
                    </a:xfrm>
                    <a:prstGeom prst="rect">
                      <a:avLst/>
                    </a:prstGeom>
                  </pic:spPr>
                </pic:pic>
              </a:graphicData>
            </a:graphic>
          </wp:inline>
        </w:drawing>
      </w:r>
    </w:p>
    <w:p w14:paraId="4382AC3E" w14:textId="77777777" w:rsidR="000D41EC" w:rsidRPr="009C5BE4" w:rsidRDefault="000D41EC" w:rsidP="000D41EC">
      <w:pPr>
        <w:pStyle w:val="Heading3"/>
        <w:rPr>
          <w:b/>
        </w:rPr>
      </w:pPr>
      <w:r w:rsidRPr="00776140">
        <w:t>Clinical claim</w:t>
      </w:r>
    </w:p>
    <w:p w14:paraId="7B693A14" w14:textId="77777777" w:rsidR="000D41EC" w:rsidRDefault="000D41EC" w:rsidP="000D41EC">
      <w:pPr>
        <w:pStyle w:val="Instructionaltext"/>
        <w:rPr>
          <w:color w:val="auto"/>
        </w:rPr>
      </w:pPr>
      <w:r>
        <w:rPr>
          <w:color w:val="auto"/>
        </w:rPr>
        <w:t xml:space="preserve">The 2024 commentary agreed with the 2023 commentary </w:t>
      </w:r>
      <w:r w:rsidRPr="00314B03">
        <w:rPr>
          <w:color w:val="auto"/>
        </w:rPr>
        <w:t>that the efficacy evidence presented sufficiently supports the claim that imlifidase results in superior effectiveness compared with current care in the absence of imlifidase.</w:t>
      </w:r>
      <w:r>
        <w:rPr>
          <w:color w:val="auto"/>
        </w:rPr>
        <w:t xml:space="preserve"> </w:t>
      </w:r>
    </w:p>
    <w:p w14:paraId="287B99E6" w14:textId="77777777" w:rsidR="000D41EC" w:rsidRPr="00BB26C5" w:rsidRDefault="000D41EC" w:rsidP="000D41EC">
      <w:pPr>
        <w:pStyle w:val="Instructionaltext"/>
        <w:rPr>
          <w:color w:val="auto"/>
        </w:rPr>
      </w:pPr>
      <w:r w:rsidRPr="00BB26C5">
        <w:rPr>
          <w:color w:val="auto"/>
        </w:rPr>
        <w:t xml:space="preserve">The </w:t>
      </w:r>
      <w:r>
        <w:rPr>
          <w:color w:val="auto"/>
        </w:rPr>
        <w:t xml:space="preserve">2024 </w:t>
      </w:r>
      <w:r w:rsidRPr="00BB26C5">
        <w:rPr>
          <w:color w:val="auto"/>
        </w:rPr>
        <w:t xml:space="preserve">ADAR (and </w:t>
      </w:r>
      <w:r>
        <w:rPr>
          <w:color w:val="auto"/>
        </w:rPr>
        <w:t>commentary</w:t>
      </w:r>
      <w:r w:rsidRPr="00BB26C5">
        <w:rPr>
          <w:color w:val="auto"/>
        </w:rPr>
        <w:t>) recognise</w:t>
      </w:r>
      <w:r>
        <w:rPr>
          <w:color w:val="auto"/>
        </w:rPr>
        <w:t>d</w:t>
      </w:r>
      <w:r w:rsidRPr="00BB26C5">
        <w:rPr>
          <w:color w:val="auto"/>
        </w:rPr>
        <w:t xml:space="preserve"> that assessing the adverse effect profile is difficult, given that patients in both arms experience AEs of different types and frequencies. Moreover, the </w:t>
      </w:r>
      <w:r>
        <w:rPr>
          <w:color w:val="auto"/>
        </w:rPr>
        <w:t xml:space="preserve">commentary of the 2023 submission (MSAC 1732) </w:t>
      </w:r>
      <w:r w:rsidRPr="00BB26C5">
        <w:rPr>
          <w:color w:val="auto"/>
        </w:rPr>
        <w:t>recognised that obtaining long-term data on graft survival can be challenging, as it requires ongoing monitoring of patients over many years and may be subject to various confounding factors</w:t>
      </w:r>
      <w:r>
        <w:rPr>
          <w:color w:val="auto"/>
        </w:rPr>
        <w:t>.</w:t>
      </w:r>
    </w:p>
    <w:p w14:paraId="28CBCEA5" w14:textId="77777777" w:rsidR="000D41EC" w:rsidRPr="00DA0E49" w:rsidRDefault="000D41EC" w:rsidP="000D41EC">
      <w:pPr>
        <w:pStyle w:val="Instructionaltext"/>
        <w:rPr>
          <w:color w:val="auto"/>
        </w:rPr>
      </w:pPr>
      <w:r w:rsidRPr="00DA0E49">
        <w:rPr>
          <w:color w:val="auto"/>
        </w:rPr>
        <w:lastRenderedPageBreak/>
        <w:t xml:space="preserve">The </w:t>
      </w:r>
      <w:r>
        <w:rPr>
          <w:color w:val="auto"/>
        </w:rPr>
        <w:t xml:space="preserve">2024 </w:t>
      </w:r>
      <w:r w:rsidRPr="00DA0E49">
        <w:rPr>
          <w:color w:val="auto"/>
        </w:rPr>
        <w:t>ADAR state</w:t>
      </w:r>
      <w:r>
        <w:rPr>
          <w:color w:val="auto"/>
        </w:rPr>
        <w:t>d</w:t>
      </w:r>
      <w:r w:rsidRPr="00DA0E49">
        <w:rPr>
          <w:color w:val="auto"/>
        </w:rPr>
        <w:t xml:space="preserve"> that data reported in the na</w:t>
      </w:r>
      <w:r>
        <w:rPr>
          <w:color w:val="auto"/>
        </w:rPr>
        <w:t>i</w:t>
      </w:r>
      <w:r w:rsidRPr="00DA0E49">
        <w:rPr>
          <w:color w:val="auto"/>
        </w:rPr>
        <w:t>ve</w:t>
      </w:r>
      <w:r w:rsidRPr="00DA0E49" w:rsidDel="00981D2C">
        <w:rPr>
          <w:color w:val="auto"/>
        </w:rPr>
        <w:t xml:space="preserve"> </w:t>
      </w:r>
      <w:r w:rsidRPr="00DA0E49">
        <w:rPr>
          <w:color w:val="auto"/>
        </w:rPr>
        <w:t>indirect</w:t>
      </w:r>
      <w:r>
        <w:rPr>
          <w:color w:val="auto"/>
        </w:rPr>
        <w:t xml:space="preserve"> treatment</w:t>
      </w:r>
      <w:r w:rsidRPr="00DA0E49">
        <w:rPr>
          <w:color w:val="auto"/>
        </w:rPr>
        <w:t xml:space="preserve"> comparison</w:t>
      </w:r>
      <w:r>
        <w:rPr>
          <w:color w:val="auto"/>
        </w:rPr>
        <w:t xml:space="preserve"> (ITC)</w:t>
      </w:r>
      <w:r w:rsidRPr="00DA0E49">
        <w:rPr>
          <w:color w:val="auto"/>
        </w:rPr>
        <w:t xml:space="preserve"> is used in the comparative modelled evaluation to support a claim of superior effectiveness over current care. The ADAR further report</w:t>
      </w:r>
      <w:r>
        <w:rPr>
          <w:color w:val="auto"/>
        </w:rPr>
        <w:t>ed</w:t>
      </w:r>
      <w:r w:rsidRPr="00DA0E49">
        <w:rPr>
          <w:color w:val="auto"/>
        </w:rPr>
        <w:t xml:space="preserve"> that the </w:t>
      </w:r>
      <w:r>
        <w:rPr>
          <w:color w:val="auto"/>
        </w:rPr>
        <w:t xml:space="preserve">overall risk of bias resulting from </w:t>
      </w:r>
      <w:r w:rsidRPr="00DA0E49">
        <w:rPr>
          <w:color w:val="auto"/>
        </w:rPr>
        <w:t xml:space="preserve">the ITC </w:t>
      </w:r>
      <w:r>
        <w:rPr>
          <w:color w:val="auto"/>
        </w:rPr>
        <w:t>was</w:t>
      </w:r>
      <w:r w:rsidRPr="00DA0E49">
        <w:rPr>
          <w:color w:val="auto"/>
        </w:rPr>
        <w:t xml:space="preserve"> assessed as moderate (GRADE criteria)</w:t>
      </w:r>
      <w:r>
        <w:rPr>
          <w:color w:val="auto"/>
        </w:rPr>
        <w:t>.</w:t>
      </w:r>
    </w:p>
    <w:p w14:paraId="2DC34B5C" w14:textId="77777777" w:rsidR="000D41EC" w:rsidRDefault="000D41EC" w:rsidP="000D41EC">
      <w:pPr>
        <w:pStyle w:val="Instructionaltext"/>
        <w:rPr>
          <w:color w:val="auto"/>
        </w:rPr>
      </w:pPr>
      <w:r w:rsidRPr="00DA0E49">
        <w:rPr>
          <w:color w:val="auto"/>
        </w:rPr>
        <w:t>The</w:t>
      </w:r>
      <w:r>
        <w:rPr>
          <w:color w:val="auto"/>
        </w:rPr>
        <w:t xml:space="preserve"> commentary of the 2023 submission (MSAC 1732) </w:t>
      </w:r>
      <w:r w:rsidRPr="00DA0E49">
        <w:rPr>
          <w:color w:val="auto"/>
        </w:rPr>
        <w:t>accepted the rationale for a na</w:t>
      </w:r>
      <w:r>
        <w:rPr>
          <w:color w:val="auto"/>
        </w:rPr>
        <w:t>i</w:t>
      </w:r>
      <w:r w:rsidRPr="00DA0E49">
        <w:rPr>
          <w:color w:val="auto"/>
        </w:rPr>
        <w:t>ve</w:t>
      </w:r>
      <w:r w:rsidRPr="00DA0E49" w:rsidDel="00797A32">
        <w:rPr>
          <w:color w:val="auto"/>
        </w:rPr>
        <w:t xml:space="preserve"> </w:t>
      </w:r>
      <w:r>
        <w:rPr>
          <w:color w:val="auto"/>
        </w:rPr>
        <w:t>ITC</w:t>
      </w:r>
      <w:r w:rsidRPr="00DA0E49">
        <w:rPr>
          <w:color w:val="auto"/>
        </w:rPr>
        <w:t>; however, th</w:t>
      </w:r>
      <w:r>
        <w:rPr>
          <w:color w:val="auto"/>
        </w:rPr>
        <w:t xml:space="preserve">at commentary </w:t>
      </w:r>
      <w:r w:rsidRPr="00DA0E49">
        <w:rPr>
          <w:color w:val="auto"/>
        </w:rPr>
        <w:t>disagreed with the conclusion drawn by the ADAR that the patient characteristics are generally homogeneous between the imlifidase study population and the Australian comparator population.</w:t>
      </w:r>
      <w:r>
        <w:rPr>
          <w:color w:val="auto"/>
        </w:rPr>
        <w:t xml:space="preserve"> Additionally, t</w:t>
      </w:r>
      <w:r w:rsidRPr="001F387B">
        <w:rPr>
          <w:color w:val="auto"/>
        </w:rPr>
        <w:t>h</w:t>
      </w:r>
      <w:r>
        <w:rPr>
          <w:color w:val="auto"/>
        </w:rPr>
        <w:t xml:space="preserve">at commentary </w:t>
      </w:r>
      <w:r w:rsidRPr="001F387B">
        <w:rPr>
          <w:color w:val="auto"/>
        </w:rPr>
        <w:t>considered the evidence for comparative clinical effectiveness to be at high risk of bias due to residual confounding, equivalent to evidence from observational studies typically assessed as low quality (GRADE criteria).</w:t>
      </w:r>
      <w:r>
        <w:rPr>
          <w:color w:val="auto"/>
        </w:rPr>
        <w:t xml:space="preserve"> The 2024 commentary agreed with these conclusions, which also apply to the evidence supplied in the 2024 ADAR. </w:t>
      </w:r>
    </w:p>
    <w:p w14:paraId="092AE0A7" w14:textId="77777777" w:rsidR="00FF6D0E" w:rsidRPr="00423110" w:rsidRDefault="00FF6D0E" w:rsidP="00FF6D0E">
      <w:r w:rsidRPr="00423110">
        <w:t xml:space="preserve">The clinical claim made by the 2025 ADAR is as follows: </w:t>
      </w:r>
    </w:p>
    <w:p w14:paraId="4CF92888" w14:textId="77777777" w:rsidR="00FF6D0E" w:rsidRPr="00423110" w:rsidRDefault="00FF6D0E" w:rsidP="00FF6D0E">
      <w:pPr>
        <w:pStyle w:val="ListParagraph"/>
        <w:numPr>
          <w:ilvl w:val="0"/>
          <w:numId w:val="36"/>
        </w:numPr>
      </w:pPr>
      <w:r w:rsidRPr="00423110">
        <w:t>Use of imlifidase results in superior effectiveness compared with current care (absence of imlifidase), which includes remaining on the transplant list, ongoing dialysis and possibility of delayed transplantation, which may or may not occur, and if it does occur will be at a decreased rate compared with the intervention.</w:t>
      </w:r>
      <w:r w:rsidRPr="00FF6D0E">
        <w:t xml:space="preserve"> </w:t>
      </w:r>
    </w:p>
    <w:p w14:paraId="190A56E1" w14:textId="30FBECED" w:rsidR="00FF6D0E" w:rsidRPr="00423110" w:rsidRDefault="00FF6D0E" w:rsidP="00423110">
      <w:pPr>
        <w:pStyle w:val="ListParagraph"/>
        <w:numPr>
          <w:ilvl w:val="0"/>
          <w:numId w:val="36"/>
        </w:numPr>
      </w:pPr>
      <w:r w:rsidRPr="00423110">
        <w:t xml:space="preserve">Use of imlifidase results in at least non-inferior safety compared to standard care (dialysis). With regard to the safety claim, the ADAR noted that the 5-year follow-up data show no graft loss due to AMR. </w:t>
      </w:r>
    </w:p>
    <w:p w14:paraId="0D09C9E4" w14:textId="7E9CD54C" w:rsidR="00772829" w:rsidRPr="00CE28E3" w:rsidRDefault="00B27795" w:rsidP="002A18BE">
      <w:pPr>
        <w:pStyle w:val="Heading2"/>
        <w:numPr>
          <w:ilvl w:val="0"/>
          <w:numId w:val="0"/>
        </w:numPr>
      </w:pPr>
      <w:bookmarkStart w:id="28" w:name="_Toc69491425"/>
      <w:r>
        <w:t>1</w:t>
      </w:r>
      <w:r w:rsidR="00F84BA7">
        <w:t>3</w:t>
      </w:r>
      <w:r w:rsidR="00C36633">
        <w:t>.</w:t>
      </w:r>
      <w:r w:rsidR="00C36633">
        <w:tab/>
      </w:r>
      <w:r w:rsidR="00772829" w:rsidRPr="00CE28E3">
        <w:t>Economic evaluation</w:t>
      </w:r>
      <w:bookmarkEnd w:id="28"/>
    </w:p>
    <w:p w14:paraId="4BE9EAB7" w14:textId="75E949CF" w:rsidR="00A57536" w:rsidRDefault="00FA31D0" w:rsidP="00FA31D0">
      <w:r>
        <w:t xml:space="preserve">The </w:t>
      </w:r>
      <w:r w:rsidR="00500C07">
        <w:t>2024</w:t>
      </w:r>
      <w:r>
        <w:t xml:space="preserve"> ADAR present</w:t>
      </w:r>
      <w:r w:rsidR="00B26690">
        <w:t>ed</w:t>
      </w:r>
      <w:r>
        <w:t xml:space="preserve"> a cost-utility analysis to quantify the incremental costs and benefits of treatment with imlifidase </w:t>
      </w:r>
      <w:r w:rsidR="00507FD8">
        <w:t>prior to kidney transplant</w:t>
      </w:r>
      <w:r w:rsidR="00CA459A">
        <w:t xml:space="preserve"> </w:t>
      </w:r>
      <w:r w:rsidR="00507FD8">
        <w:t>in HS patients</w:t>
      </w:r>
      <w:r w:rsidR="00D21F2C">
        <w:t>, relative to current care</w:t>
      </w:r>
      <w:r w:rsidR="00507FD8">
        <w:t>.</w:t>
      </w:r>
      <w:r>
        <w:t xml:space="preserve"> </w:t>
      </w:r>
      <w:r w:rsidR="003C31B8">
        <w:t xml:space="preserve">A cost-utility analysis is appropriate, </w:t>
      </w:r>
      <w:r w:rsidR="00B540E9">
        <w:t xml:space="preserve">given evidence of superior effectiveness. </w:t>
      </w:r>
      <w:r w:rsidR="008F589D">
        <w:t xml:space="preserve">While </w:t>
      </w:r>
      <w:r w:rsidR="005F39E5">
        <w:t xml:space="preserve">the </w:t>
      </w:r>
      <w:r w:rsidR="008F589D">
        <w:t>lifetime horizon</w:t>
      </w:r>
      <w:r w:rsidR="005F39E5">
        <w:t xml:space="preserve"> used in the ADAR’s economic model</w:t>
      </w:r>
      <w:r w:rsidR="008F589D">
        <w:t xml:space="preserve"> is appropriate, </w:t>
      </w:r>
      <w:r w:rsidR="00837AB9">
        <w:t>it is associated with inherent uncertai</w:t>
      </w:r>
      <w:r w:rsidR="005C1A9F">
        <w:t xml:space="preserve">nty due to </w:t>
      </w:r>
      <w:r w:rsidR="00A326FF">
        <w:t xml:space="preserve">the </w:t>
      </w:r>
      <w:r w:rsidR="005C1A9F">
        <w:t>need for extrapolation beyond available clinical evidence.</w:t>
      </w:r>
    </w:p>
    <w:p w14:paraId="2CAA1801" w14:textId="2D2A7385" w:rsidR="00B832BB" w:rsidRPr="002C4FF3" w:rsidRDefault="00046F5B" w:rsidP="00B832BB">
      <w:r w:rsidRPr="00046F5B">
        <w:t xml:space="preserve">The population </w:t>
      </w:r>
      <w:r w:rsidR="00500C07">
        <w:t xml:space="preserve">in the 2024 ADAR was </w:t>
      </w:r>
      <w:r w:rsidRPr="00046F5B">
        <w:t xml:space="preserve">amended per MSAC advice to be limited to patients with a cPRA </w:t>
      </w:r>
      <w:r w:rsidR="00B61CBB">
        <w:t>≥</w:t>
      </w:r>
      <w:r w:rsidRPr="00046F5B">
        <w:t>99%.</w:t>
      </w:r>
      <w:r w:rsidRPr="00046F5B" w:rsidDel="00E252A1">
        <w:t xml:space="preserve"> </w:t>
      </w:r>
      <w:r w:rsidR="00B61CBB">
        <w:t>While time on the</w:t>
      </w:r>
      <w:r w:rsidR="00B832BB" w:rsidRPr="00B832BB">
        <w:t xml:space="preserve"> </w:t>
      </w:r>
      <w:r w:rsidR="004A2E3F">
        <w:t>waitlist</w:t>
      </w:r>
      <w:r w:rsidR="00B832BB" w:rsidRPr="00B832BB">
        <w:t xml:space="preserve"> </w:t>
      </w:r>
      <w:r w:rsidR="00B61CBB">
        <w:t>was removed as a criterion</w:t>
      </w:r>
      <w:r w:rsidR="00B832BB" w:rsidRPr="00B832BB">
        <w:t xml:space="preserve"> for patients with a</w:t>
      </w:r>
      <w:r w:rsidR="001C7FC4">
        <w:t>n available</w:t>
      </w:r>
      <w:r w:rsidR="00B832BB" w:rsidRPr="00B832BB">
        <w:t xml:space="preserve"> </w:t>
      </w:r>
      <w:r w:rsidR="001C7FC4">
        <w:t>LD</w:t>
      </w:r>
      <w:r w:rsidR="00620882">
        <w:t xml:space="preserve">, the </w:t>
      </w:r>
      <w:r w:rsidR="00B832BB" w:rsidRPr="00B832BB">
        <w:t xml:space="preserve">criterion </w:t>
      </w:r>
      <w:r w:rsidR="008D7496">
        <w:t xml:space="preserve">was </w:t>
      </w:r>
      <w:r w:rsidR="00B832BB" w:rsidRPr="00B832BB">
        <w:t xml:space="preserve">maintained through the economic and financial </w:t>
      </w:r>
      <w:r w:rsidR="00B832BB" w:rsidRPr="002C4FF3">
        <w:t>calculations</w:t>
      </w:r>
      <w:r w:rsidR="00517DDC">
        <w:t xml:space="preserve"> presented in the ADAR</w:t>
      </w:r>
      <w:r w:rsidR="00B832BB" w:rsidRPr="002C4FF3">
        <w:t>.</w:t>
      </w:r>
      <w:r w:rsidR="007C3354">
        <w:t xml:space="preserve"> </w:t>
      </w:r>
      <w:r w:rsidR="00D94E6C">
        <w:t>For the economic analysis</w:t>
      </w:r>
      <w:r w:rsidR="00F22E3B">
        <w:t>,</w:t>
      </w:r>
      <w:r w:rsidR="00D94E6C">
        <w:t xml:space="preserve"> clinical data </w:t>
      </w:r>
      <w:r w:rsidR="00CB5A5F">
        <w:t>were</w:t>
      </w:r>
      <w:r w:rsidR="00D94E6C">
        <w:t xml:space="preserve"> sourced from the AUS-UTT-A population</w:t>
      </w:r>
      <w:r w:rsidR="004A4EE8">
        <w:t>,</w:t>
      </w:r>
      <w:r w:rsidR="00500FB0">
        <w:t xml:space="preserve"> </w:t>
      </w:r>
      <w:r w:rsidR="00726A42">
        <w:t>thus there</w:t>
      </w:r>
      <w:r w:rsidR="004F7AF8">
        <w:t xml:space="preserve"> </w:t>
      </w:r>
      <w:r w:rsidR="00AF69E8">
        <w:t>is</w:t>
      </w:r>
      <w:r w:rsidR="004F7AF8">
        <w:t xml:space="preserve"> </w:t>
      </w:r>
      <w:r w:rsidR="00FB1CF0">
        <w:t>a</w:t>
      </w:r>
      <w:r w:rsidR="004F7AF8">
        <w:t xml:space="preserve"> </w:t>
      </w:r>
      <w:r w:rsidR="006F78CE">
        <w:t>discrepancy</w:t>
      </w:r>
      <w:r w:rsidR="004F7AF8">
        <w:t xml:space="preserve"> between the </w:t>
      </w:r>
      <w:r w:rsidR="00391546">
        <w:t>model population (</w:t>
      </w:r>
      <w:r w:rsidR="00FB1CF0">
        <w:t>patients</w:t>
      </w:r>
      <w:r w:rsidR="00055520">
        <w:t xml:space="preserve"> with an LD</w:t>
      </w:r>
      <w:r w:rsidR="00FB1CF0">
        <w:t xml:space="preserve"> </w:t>
      </w:r>
      <w:r w:rsidR="006D442A">
        <w:t>required to have received</w:t>
      </w:r>
      <w:r w:rsidR="00FB1CF0">
        <w:t xml:space="preserve"> dialysis for </w:t>
      </w:r>
      <w:r w:rsidR="00FB1CF0" w:rsidRPr="00500FB0">
        <w:t>≥2 years</w:t>
      </w:r>
      <w:r w:rsidR="00FB1CF0">
        <w:t>) and the population</w:t>
      </w:r>
      <w:r w:rsidR="00E032BE">
        <w:t xml:space="preserve"> proposed </w:t>
      </w:r>
      <w:r w:rsidR="00A63D55">
        <w:t>to be treated in</w:t>
      </w:r>
      <w:r w:rsidR="00FB1CF0">
        <w:t xml:space="preserve"> Australian clinical practice (</w:t>
      </w:r>
      <w:r w:rsidR="00185A06">
        <w:t xml:space="preserve">no restriction on wait time for </w:t>
      </w:r>
      <w:r w:rsidR="00E032BE">
        <w:t>patients with an LD</w:t>
      </w:r>
      <w:r w:rsidR="00185A06">
        <w:t>)</w:t>
      </w:r>
      <w:r w:rsidR="00D44E8C">
        <w:t xml:space="preserve">. </w:t>
      </w:r>
      <w:r w:rsidR="00616C9C">
        <w:t>Overall,</w:t>
      </w:r>
      <w:r w:rsidR="002D579E">
        <w:t xml:space="preserve"> the</w:t>
      </w:r>
      <w:r w:rsidR="00D73F1D">
        <w:t xml:space="preserve"> </w:t>
      </w:r>
      <w:r w:rsidR="00616C9C">
        <w:t>generalisability</w:t>
      </w:r>
      <w:r w:rsidR="00D73F1D">
        <w:t xml:space="preserve"> </w:t>
      </w:r>
      <w:r w:rsidR="007A51B9">
        <w:t xml:space="preserve">of the clinical data </w:t>
      </w:r>
      <w:r w:rsidR="00DC63C9">
        <w:t xml:space="preserve">used in </w:t>
      </w:r>
      <w:r w:rsidR="007A51B9">
        <w:t xml:space="preserve">the </w:t>
      </w:r>
      <w:r w:rsidR="00DC63C9">
        <w:t xml:space="preserve">economic model to </w:t>
      </w:r>
      <w:r w:rsidR="007A51B9">
        <w:t xml:space="preserve">Australian </w:t>
      </w:r>
      <w:r w:rsidR="00DC63C9">
        <w:t>practice is uncertain.</w:t>
      </w:r>
      <w:r w:rsidR="00190300">
        <w:t xml:space="preserve"> </w:t>
      </w:r>
      <w:r w:rsidR="002D1D12">
        <w:t>Similarly, i</w:t>
      </w:r>
      <w:r w:rsidR="00190300">
        <w:t xml:space="preserve">n the financial analysis, patients transplanted within 2 years of listing in the ANZKX program </w:t>
      </w:r>
      <w:r w:rsidR="00AB3182">
        <w:t>were</w:t>
      </w:r>
      <w:r w:rsidR="00190300">
        <w:t xml:space="preserve"> excluded from the eligible population.</w:t>
      </w:r>
    </w:p>
    <w:p w14:paraId="3786B619" w14:textId="3E8E91FE" w:rsidR="00B832BB" w:rsidRDefault="008D7496" w:rsidP="00FA31D0">
      <w:r>
        <w:t xml:space="preserve">In 2023 </w:t>
      </w:r>
      <w:r w:rsidR="003D0A82" w:rsidRPr="00B02CE7">
        <w:t>MSAC advised the applicant</w:t>
      </w:r>
      <w:r w:rsidR="003D0A82">
        <w:t xml:space="preserve"> </w:t>
      </w:r>
      <w:r w:rsidR="00986FA3">
        <w:t xml:space="preserve">to </w:t>
      </w:r>
      <w:r w:rsidR="00967F0C">
        <w:t>amend</w:t>
      </w:r>
      <w:r w:rsidR="003D0A82" w:rsidRPr="00B02CE7">
        <w:t xml:space="preserve"> the economic model</w:t>
      </w:r>
      <w:r w:rsidR="003D0A82">
        <w:t xml:space="preserve"> before resubmission</w:t>
      </w:r>
      <w:r w:rsidR="003D0A82" w:rsidRPr="00B02CE7">
        <w:t xml:space="preserve"> using revised comparators</w:t>
      </w:r>
      <w:r w:rsidR="00620882">
        <w:t xml:space="preserve"> </w:t>
      </w:r>
      <w:r w:rsidR="00620882" w:rsidRPr="00B02CE7">
        <w:t>(MSAC 1732</w:t>
      </w:r>
      <w:r w:rsidR="00CE7BDF">
        <w:t xml:space="preserve"> PSD</w:t>
      </w:r>
      <w:r w:rsidR="00620882" w:rsidRPr="00B02CE7">
        <w:t>)</w:t>
      </w:r>
      <w:r w:rsidR="003D0A82" w:rsidRPr="00B02CE7">
        <w:t>.</w:t>
      </w:r>
      <w:r w:rsidR="003D0A82">
        <w:t xml:space="preserve"> </w:t>
      </w:r>
      <w:r w:rsidR="00620882">
        <w:t>While t</w:t>
      </w:r>
      <w:r w:rsidR="003D0A82" w:rsidRPr="00AE0301">
        <w:t>he applicant acknowledged MSAC’s recommendation</w:t>
      </w:r>
      <w:r w:rsidR="00620882">
        <w:t xml:space="preserve">, they </w:t>
      </w:r>
      <w:r w:rsidR="003D0A82" w:rsidRPr="00AE0301">
        <w:t xml:space="preserve">argued </w:t>
      </w:r>
      <w:r w:rsidR="00167F05">
        <w:t xml:space="preserve">for the retention of </w:t>
      </w:r>
      <w:r w:rsidR="003D0A82" w:rsidRPr="00AE0301">
        <w:t>dialysis until a transplant becomes available</w:t>
      </w:r>
      <w:r w:rsidR="00167F05">
        <w:t xml:space="preserve"> as the comparator</w:t>
      </w:r>
      <w:r w:rsidR="00620882">
        <w:t xml:space="preserve">, </w:t>
      </w:r>
      <w:r w:rsidR="003D0A82" w:rsidRPr="00AE0301">
        <w:t>provid</w:t>
      </w:r>
      <w:r w:rsidR="00620882">
        <w:t>ing</w:t>
      </w:r>
      <w:r w:rsidR="003D0A82" w:rsidRPr="00AE0301">
        <w:t xml:space="preserve"> evidence from a survey of adult kidney transplant centres in support of their position</w:t>
      </w:r>
      <w:r w:rsidR="000450CA">
        <w:t>.</w:t>
      </w:r>
      <w:r w:rsidR="003442A3">
        <w:t xml:space="preserve"> </w:t>
      </w:r>
    </w:p>
    <w:p w14:paraId="3867EFF2" w14:textId="73039FE6" w:rsidR="00BF197E" w:rsidRDefault="00E178B4" w:rsidP="001D4FE7">
      <w:r>
        <w:t xml:space="preserve">The same model structure </w:t>
      </w:r>
      <w:r w:rsidR="008D7496">
        <w:t>wa</w:t>
      </w:r>
      <w:r w:rsidR="005B022B">
        <w:t>s used in the</w:t>
      </w:r>
      <w:r w:rsidR="008D7496">
        <w:t xml:space="preserve"> 2024</w:t>
      </w:r>
      <w:r w:rsidR="005B022B">
        <w:t xml:space="preserve"> resubmission as originally presented in ADAR 1732</w:t>
      </w:r>
      <w:r w:rsidR="00BE6269">
        <w:t>:</w:t>
      </w:r>
      <w:r w:rsidR="00F223D9">
        <w:t xml:space="preserve"> </w:t>
      </w:r>
      <w:r w:rsidR="00BE6269">
        <w:t>a</w:t>
      </w:r>
      <w:r w:rsidR="00F223D9">
        <w:t xml:space="preserve"> cohort-level Markov model</w:t>
      </w:r>
      <w:r w:rsidR="00274862">
        <w:t xml:space="preserve">, </w:t>
      </w:r>
      <w:r w:rsidR="00A67061">
        <w:t>including</w:t>
      </w:r>
      <w:r w:rsidR="00274862">
        <w:t xml:space="preserve"> </w:t>
      </w:r>
      <w:r w:rsidR="002C6652">
        <w:t>health states describing patients receiving dialysis</w:t>
      </w:r>
      <w:r w:rsidR="00444036">
        <w:t xml:space="preserve"> </w:t>
      </w:r>
      <w:r w:rsidR="00A67061">
        <w:t xml:space="preserve">who are on a kidney transplant </w:t>
      </w:r>
      <w:r w:rsidR="004A2E3F">
        <w:t>waitlist</w:t>
      </w:r>
      <w:r w:rsidR="00A67061">
        <w:t xml:space="preserve">, patients receiving dialysis who are not on a </w:t>
      </w:r>
      <w:r w:rsidR="004A2E3F">
        <w:t>waitlist</w:t>
      </w:r>
      <w:r w:rsidR="00A67061">
        <w:t xml:space="preserve">, </w:t>
      </w:r>
      <w:r w:rsidR="008E1C47">
        <w:t>patients with a function</w:t>
      </w:r>
      <w:r w:rsidR="00A67061">
        <w:t>ing</w:t>
      </w:r>
      <w:r w:rsidR="008E1C47">
        <w:t xml:space="preserve"> graft, and death. </w:t>
      </w:r>
    </w:p>
    <w:p w14:paraId="55E4E4A7" w14:textId="6D1A2E51" w:rsidR="001F09CC" w:rsidRDefault="001F09CC" w:rsidP="001D4FE7">
      <w:r w:rsidRPr="001F09CC">
        <w:lastRenderedPageBreak/>
        <w:t>MSAC</w:t>
      </w:r>
      <w:r>
        <w:t xml:space="preserve"> raised concerns the model</w:t>
      </w:r>
      <w:r w:rsidRPr="001F09CC">
        <w:t xml:space="preserve"> did not properly consider the different comparators and corresponding different clinical pathways for potential recipients of LD and DD kidneys</w:t>
      </w:r>
      <w:r w:rsidR="00160331">
        <w:t xml:space="preserve"> (MSAC 1732 PSD)</w:t>
      </w:r>
      <w:r w:rsidRPr="001F09CC">
        <w:t xml:space="preserve">. </w:t>
      </w:r>
      <w:r w:rsidR="000C595B">
        <w:t>MSAC considered</w:t>
      </w:r>
      <w:r w:rsidR="00ED5E7E">
        <w:t xml:space="preserve"> that after adjusting the model for displacement </w:t>
      </w:r>
      <w:r w:rsidR="00F529A4">
        <w:t>effects on non-HS patients and the higher costs and inferior outcomes</w:t>
      </w:r>
      <w:r w:rsidR="006E7088">
        <w:t xml:space="preserve">, the </w:t>
      </w:r>
      <w:r w:rsidR="000C595B">
        <w:t>ICERs</w:t>
      </w:r>
      <w:r w:rsidR="006E7088">
        <w:t xml:space="preserve"> of DD </w:t>
      </w:r>
      <w:r w:rsidR="000C595B">
        <w:t xml:space="preserve">and LD </w:t>
      </w:r>
      <w:r w:rsidR="006E7088">
        <w:t xml:space="preserve">transplants facilitated by imlifidase </w:t>
      </w:r>
      <w:r w:rsidR="000C595B">
        <w:t>are</w:t>
      </w:r>
      <w:r w:rsidR="006E7088">
        <w:t xml:space="preserve"> likely to be in </w:t>
      </w:r>
      <w:r w:rsidR="000C595B">
        <w:t xml:space="preserve">different quadrants of </w:t>
      </w:r>
      <w:r w:rsidR="006E7088">
        <w:t xml:space="preserve">the </w:t>
      </w:r>
      <w:r w:rsidR="000C595B">
        <w:t xml:space="preserve">cost-effectiveness plane. </w:t>
      </w:r>
      <w:r w:rsidR="006B62B4">
        <w:t>Separate</w:t>
      </w:r>
      <w:r w:rsidR="008F78E1">
        <w:t xml:space="preserve"> ICERs for LD and DD </w:t>
      </w:r>
      <w:r w:rsidR="0062351A">
        <w:t xml:space="preserve">kidney transplant recipients </w:t>
      </w:r>
      <w:r w:rsidR="008D7496">
        <w:t>were</w:t>
      </w:r>
      <w:r w:rsidR="0062351A">
        <w:t xml:space="preserve"> not presented</w:t>
      </w:r>
      <w:r w:rsidR="000C595B">
        <w:t xml:space="preserve"> in the </w:t>
      </w:r>
      <w:r w:rsidR="008D7496">
        <w:t xml:space="preserve">2024 </w:t>
      </w:r>
      <w:r w:rsidR="00371D65">
        <w:t>ADAR</w:t>
      </w:r>
      <w:r w:rsidR="0062351A">
        <w:t>.</w:t>
      </w:r>
      <w:r w:rsidR="00DE4419">
        <w:t xml:space="preserve"> </w:t>
      </w:r>
      <w:r w:rsidR="009C0D53">
        <w:t>Instead, t</w:t>
      </w:r>
      <w:r w:rsidR="00047B56">
        <w:t>he ADAR</w:t>
      </w:r>
      <w:r w:rsidR="005C0BC4">
        <w:t xml:space="preserve"> assumes 24.0% of </w:t>
      </w:r>
      <w:r w:rsidR="00A946D6">
        <w:t xml:space="preserve">imlifidase-enabled transplants are </w:t>
      </w:r>
      <w:r w:rsidR="0053321F">
        <w:t>LD transplants</w:t>
      </w:r>
      <w:r w:rsidR="00EB1E63">
        <w:t xml:space="preserve">. </w:t>
      </w:r>
      <w:r w:rsidR="00003162">
        <w:t xml:space="preserve">Additional </w:t>
      </w:r>
      <w:r w:rsidR="00015994">
        <w:t>s</w:t>
      </w:r>
      <w:r w:rsidR="00EB1E63">
        <w:t>cenario analysis setting this parameter to 0%</w:t>
      </w:r>
      <w:r w:rsidR="00003162">
        <w:t xml:space="preserve"> and 100%</w:t>
      </w:r>
      <w:r w:rsidR="00743DBA">
        <w:t>—that is, assuming</w:t>
      </w:r>
      <w:r w:rsidR="00003162">
        <w:t xml:space="preserve"> only DD or LD transplants, respectively</w:t>
      </w:r>
      <w:r w:rsidR="00743DBA">
        <w:t>—</w:t>
      </w:r>
      <w:r w:rsidR="00C32A83">
        <w:t>was</w:t>
      </w:r>
      <w:r w:rsidR="00003162">
        <w:t xml:space="preserve"> undertaken by the commentary</w:t>
      </w:r>
      <w:r w:rsidR="00743DBA">
        <w:t xml:space="preserve"> (results below)</w:t>
      </w:r>
      <w:r w:rsidR="00003162">
        <w:t>.</w:t>
      </w:r>
      <w:r w:rsidR="00EB1E63">
        <w:t xml:space="preserve"> </w:t>
      </w:r>
    </w:p>
    <w:p w14:paraId="6DDABB10" w14:textId="65FE2321" w:rsidR="0000570A" w:rsidRDefault="00C55ABE" w:rsidP="00517DDC">
      <w:r>
        <w:t xml:space="preserve">Table </w:t>
      </w:r>
      <w:r w:rsidR="0002159E">
        <w:t>6</w:t>
      </w:r>
      <w:r>
        <w:t xml:space="preserve"> </w:t>
      </w:r>
      <w:r w:rsidR="00367F64">
        <w:t>provides a summary of the economic evaluation presented in the ADAR.</w:t>
      </w:r>
    </w:p>
    <w:p w14:paraId="67F0094E" w14:textId="224281F9" w:rsidR="001255BA" w:rsidRDefault="001255BA" w:rsidP="008811EE">
      <w:pPr>
        <w:pStyle w:val="Caption"/>
        <w:tabs>
          <w:tab w:val="left" w:pos="1134"/>
        </w:tabs>
        <w:ind w:left="1134" w:hanging="1134"/>
      </w:pPr>
      <w:bookmarkStart w:id="29" w:name="_Ref163647929"/>
      <w:bookmarkStart w:id="30" w:name="_Ref163647908"/>
      <w:r>
        <w:t xml:space="preserve">Table </w:t>
      </w:r>
      <w:bookmarkEnd w:id="29"/>
      <w:r w:rsidR="00CE0882">
        <w:t>6</w:t>
      </w:r>
      <w:r w:rsidR="00C55ABE">
        <w:t xml:space="preserve"> </w:t>
      </w:r>
      <w:r w:rsidRPr="007B1070">
        <w:t>Summary of the economic evaluation</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697"/>
        <w:gridCol w:w="7319"/>
      </w:tblGrid>
      <w:tr w:rsidR="00553E8A" w:rsidRPr="00CE28E3" w14:paraId="3C0DF1BD" w14:textId="2726922C" w:rsidTr="008A644D">
        <w:trPr>
          <w:cantSplit/>
          <w:tblHeader/>
        </w:trPr>
        <w:tc>
          <w:tcPr>
            <w:tcW w:w="941" w:type="pct"/>
          </w:tcPr>
          <w:p w14:paraId="57632985" w14:textId="77777777" w:rsidR="00553E8A" w:rsidRPr="000449D1" w:rsidRDefault="00553E8A" w:rsidP="00670650">
            <w:pPr>
              <w:pStyle w:val="TableHeading"/>
              <w:rPr>
                <w:szCs w:val="20"/>
              </w:rPr>
            </w:pPr>
            <w:bookmarkStart w:id="31" w:name="Title_Table5"/>
            <w:bookmarkStart w:id="32" w:name="_Hlk68276446"/>
            <w:bookmarkEnd w:id="31"/>
            <w:r w:rsidRPr="000449D1">
              <w:rPr>
                <w:szCs w:val="20"/>
              </w:rPr>
              <w:t>Component</w:t>
            </w:r>
          </w:p>
        </w:tc>
        <w:tc>
          <w:tcPr>
            <w:tcW w:w="4059" w:type="pct"/>
          </w:tcPr>
          <w:p w14:paraId="123CA837" w14:textId="77777777" w:rsidR="00553E8A" w:rsidRPr="000449D1" w:rsidRDefault="00553E8A" w:rsidP="00670650">
            <w:pPr>
              <w:pStyle w:val="TableHeading"/>
              <w:rPr>
                <w:szCs w:val="20"/>
              </w:rPr>
            </w:pPr>
            <w:r w:rsidRPr="000449D1">
              <w:rPr>
                <w:szCs w:val="20"/>
              </w:rPr>
              <w:t>Description</w:t>
            </w:r>
          </w:p>
        </w:tc>
      </w:tr>
      <w:tr w:rsidR="00553E8A" w:rsidRPr="000449D1" w14:paraId="31113E27" w14:textId="755DAA21" w:rsidTr="008A644D">
        <w:trPr>
          <w:cantSplit/>
        </w:trPr>
        <w:tc>
          <w:tcPr>
            <w:tcW w:w="941" w:type="pct"/>
          </w:tcPr>
          <w:p w14:paraId="7DFFBC7E" w14:textId="77777777" w:rsidR="00553E8A" w:rsidRPr="000449D1" w:rsidRDefault="00553E8A" w:rsidP="00EA50B7">
            <w:pPr>
              <w:pStyle w:val="TableText"/>
              <w:rPr>
                <w:szCs w:val="20"/>
              </w:rPr>
            </w:pPr>
            <w:r w:rsidRPr="000449D1">
              <w:rPr>
                <w:szCs w:val="20"/>
              </w:rPr>
              <w:t>Perspective</w:t>
            </w:r>
          </w:p>
        </w:tc>
        <w:tc>
          <w:tcPr>
            <w:tcW w:w="4059" w:type="pct"/>
          </w:tcPr>
          <w:p w14:paraId="56EF2FFF" w14:textId="3CA86D2A" w:rsidR="00553E8A" w:rsidRPr="000449D1" w:rsidRDefault="00553E8A" w:rsidP="00EA50B7">
            <w:pPr>
              <w:pStyle w:val="TableText"/>
              <w:rPr>
                <w:szCs w:val="20"/>
              </w:rPr>
            </w:pPr>
            <w:r w:rsidRPr="000449D1">
              <w:rPr>
                <w:szCs w:val="20"/>
              </w:rPr>
              <w:t>Healthcare system perspective</w:t>
            </w:r>
          </w:p>
        </w:tc>
      </w:tr>
      <w:tr w:rsidR="00553E8A" w:rsidRPr="000449D1" w14:paraId="3AE7C53E" w14:textId="3AF3CBC2" w:rsidTr="008A644D">
        <w:trPr>
          <w:cantSplit/>
          <w:tblHeader/>
        </w:trPr>
        <w:tc>
          <w:tcPr>
            <w:tcW w:w="941" w:type="pct"/>
          </w:tcPr>
          <w:p w14:paraId="7D8A22F3" w14:textId="2D6EF9C6" w:rsidR="00553E8A" w:rsidRPr="000449D1" w:rsidRDefault="00553E8A" w:rsidP="00EA50B7">
            <w:pPr>
              <w:pStyle w:val="TableText"/>
              <w:rPr>
                <w:szCs w:val="20"/>
              </w:rPr>
            </w:pPr>
            <w:r w:rsidRPr="000449D1">
              <w:rPr>
                <w:szCs w:val="20"/>
              </w:rPr>
              <w:t>Population</w:t>
            </w:r>
          </w:p>
        </w:tc>
        <w:tc>
          <w:tcPr>
            <w:tcW w:w="4059" w:type="pct"/>
          </w:tcPr>
          <w:p w14:paraId="0EC481F1" w14:textId="15A6A655" w:rsidR="00553E8A" w:rsidRPr="00F812FC" w:rsidRDefault="00553E8A" w:rsidP="00EA50B7">
            <w:pPr>
              <w:spacing w:before="40" w:after="40" w:line="240" w:lineRule="auto"/>
              <w:rPr>
                <w:rFonts w:ascii="Arial Narrow" w:hAnsi="Arial Narrow"/>
                <w:sz w:val="20"/>
                <w:szCs w:val="20"/>
              </w:rPr>
            </w:pPr>
            <w:r>
              <w:rPr>
                <w:rFonts w:ascii="Arial Narrow" w:hAnsi="Arial Narrow"/>
                <w:sz w:val="20"/>
                <w:szCs w:val="20"/>
              </w:rPr>
              <w:t xml:space="preserve">Adult patients with </w:t>
            </w:r>
            <w:r w:rsidR="00B722F6">
              <w:rPr>
                <w:rFonts w:ascii="Arial Narrow" w:hAnsi="Arial Narrow"/>
                <w:sz w:val="20"/>
                <w:szCs w:val="20"/>
              </w:rPr>
              <w:t>end-stage kidney disease</w:t>
            </w:r>
            <w:r>
              <w:rPr>
                <w:rFonts w:ascii="Arial Narrow" w:hAnsi="Arial Narrow"/>
                <w:sz w:val="20"/>
                <w:szCs w:val="20"/>
              </w:rPr>
              <w:t xml:space="preserve"> who are </w:t>
            </w:r>
            <w:r w:rsidR="00EF3EC7">
              <w:rPr>
                <w:rFonts w:ascii="Arial Narrow" w:hAnsi="Arial Narrow"/>
                <w:sz w:val="20"/>
                <w:szCs w:val="20"/>
              </w:rPr>
              <w:t>HS</w:t>
            </w:r>
            <w:r w:rsidRPr="00F812FC">
              <w:rPr>
                <w:rFonts w:ascii="Arial Narrow" w:hAnsi="Arial Narrow"/>
                <w:sz w:val="20"/>
                <w:szCs w:val="20"/>
              </w:rPr>
              <w:t xml:space="preserve"> </w:t>
            </w:r>
            <w:r>
              <w:rPr>
                <w:rFonts w:ascii="Arial Narrow" w:hAnsi="Arial Narrow"/>
                <w:sz w:val="20"/>
                <w:szCs w:val="20"/>
              </w:rPr>
              <w:t>and</w:t>
            </w:r>
            <w:r w:rsidRPr="00F812FC">
              <w:rPr>
                <w:rFonts w:ascii="Arial Narrow" w:hAnsi="Arial Narrow"/>
                <w:sz w:val="20"/>
                <w:szCs w:val="20"/>
              </w:rPr>
              <w:t xml:space="preserve"> unlikely to be otherwise transplanted</w:t>
            </w:r>
          </w:p>
          <w:p w14:paraId="51CB2C3F" w14:textId="2A07740B" w:rsidR="00553E8A" w:rsidRPr="00F812FC" w:rsidRDefault="00553E8A" w:rsidP="00EA50B7">
            <w:pPr>
              <w:spacing w:before="40" w:after="40" w:line="240" w:lineRule="auto"/>
              <w:rPr>
                <w:rFonts w:ascii="Arial Narrow" w:hAnsi="Arial Narrow"/>
                <w:sz w:val="20"/>
                <w:szCs w:val="20"/>
              </w:rPr>
            </w:pPr>
            <w:r w:rsidRPr="00F812FC">
              <w:rPr>
                <w:rFonts w:ascii="Arial Narrow" w:hAnsi="Arial Narrow"/>
                <w:sz w:val="20"/>
                <w:szCs w:val="20"/>
              </w:rPr>
              <w:t xml:space="preserve">For patients waiting for a </w:t>
            </w:r>
            <w:r w:rsidR="000450CA">
              <w:rPr>
                <w:rFonts w:ascii="Arial Narrow" w:hAnsi="Arial Narrow"/>
                <w:sz w:val="20"/>
                <w:szCs w:val="20"/>
              </w:rPr>
              <w:t>DD</w:t>
            </w:r>
            <w:r w:rsidRPr="00F812FC">
              <w:rPr>
                <w:rFonts w:ascii="Arial Narrow" w:hAnsi="Arial Narrow"/>
                <w:sz w:val="20"/>
                <w:szCs w:val="20"/>
              </w:rPr>
              <w:t xml:space="preserve"> kidney: </w:t>
            </w:r>
          </w:p>
          <w:p w14:paraId="395B0B77" w14:textId="768FF939" w:rsidR="00553E8A" w:rsidRDefault="00553E8A" w:rsidP="0033037C">
            <w:pPr>
              <w:pStyle w:val="ListParagraph"/>
              <w:numPr>
                <w:ilvl w:val="0"/>
                <w:numId w:val="12"/>
              </w:numPr>
              <w:spacing w:before="40" w:after="40" w:line="240" w:lineRule="auto"/>
              <w:rPr>
                <w:rFonts w:ascii="Arial Narrow" w:hAnsi="Arial Narrow"/>
                <w:sz w:val="20"/>
                <w:szCs w:val="20"/>
              </w:rPr>
            </w:pPr>
            <w:r w:rsidRPr="003B7E96">
              <w:rPr>
                <w:rFonts w:ascii="Arial Narrow" w:hAnsi="Arial Narrow"/>
                <w:sz w:val="20"/>
                <w:szCs w:val="20"/>
              </w:rPr>
              <w:t xml:space="preserve">Have a cPRA </w:t>
            </w:r>
            <w:r>
              <w:rPr>
                <w:rFonts w:ascii="Arial Narrow" w:hAnsi="Arial Narrow"/>
                <w:sz w:val="20"/>
                <w:szCs w:val="20"/>
              </w:rPr>
              <w:t>≥</w:t>
            </w:r>
            <w:r w:rsidRPr="003B7E96">
              <w:rPr>
                <w:rFonts w:ascii="Arial Narrow" w:hAnsi="Arial Narrow"/>
                <w:sz w:val="20"/>
                <w:szCs w:val="20"/>
              </w:rPr>
              <w:t>99%; AND</w:t>
            </w:r>
          </w:p>
          <w:p w14:paraId="5A27FBFE" w14:textId="161DDF40" w:rsidR="00553E8A" w:rsidRDefault="00553E8A" w:rsidP="0033037C">
            <w:pPr>
              <w:pStyle w:val="ListParagraph"/>
              <w:numPr>
                <w:ilvl w:val="0"/>
                <w:numId w:val="12"/>
              </w:numPr>
              <w:spacing w:before="40" w:after="40" w:line="240" w:lineRule="auto"/>
              <w:rPr>
                <w:rFonts w:ascii="Arial Narrow" w:hAnsi="Arial Narrow"/>
                <w:sz w:val="20"/>
                <w:szCs w:val="20"/>
              </w:rPr>
            </w:pPr>
            <w:r w:rsidRPr="003B7E96">
              <w:rPr>
                <w:rFonts w:ascii="Arial Narrow" w:hAnsi="Arial Narrow"/>
                <w:sz w:val="20"/>
                <w:szCs w:val="20"/>
              </w:rPr>
              <w:t xml:space="preserve">With a positive </w:t>
            </w:r>
            <w:r w:rsidR="00B92702" w:rsidRPr="00B92702">
              <w:rPr>
                <w:rFonts w:ascii="Arial Narrow" w:hAnsi="Arial Narrow"/>
                <w:sz w:val="20"/>
                <w:szCs w:val="20"/>
              </w:rPr>
              <w:t>crossmatch</w:t>
            </w:r>
            <w:r w:rsidR="00B92702" w:rsidRPr="00B92702" w:rsidDel="00B92702">
              <w:rPr>
                <w:rFonts w:ascii="Arial Narrow" w:hAnsi="Arial Narrow"/>
                <w:sz w:val="20"/>
                <w:szCs w:val="20"/>
              </w:rPr>
              <w:t xml:space="preserve"> </w:t>
            </w:r>
            <w:r w:rsidRPr="003B7E96">
              <w:rPr>
                <w:rFonts w:ascii="Arial Narrow" w:hAnsi="Arial Narrow"/>
                <w:sz w:val="20"/>
                <w:szCs w:val="20"/>
              </w:rPr>
              <w:t xml:space="preserve">against an available donor; AND </w:t>
            </w:r>
          </w:p>
          <w:p w14:paraId="2E749545" w14:textId="7BD540D6" w:rsidR="00553E8A" w:rsidRPr="000802DF" w:rsidRDefault="00553E8A" w:rsidP="0033037C">
            <w:pPr>
              <w:pStyle w:val="ListParagraph"/>
              <w:numPr>
                <w:ilvl w:val="0"/>
                <w:numId w:val="12"/>
              </w:numPr>
              <w:spacing w:before="40" w:after="40" w:line="240" w:lineRule="auto"/>
              <w:rPr>
                <w:rFonts w:ascii="Arial Narrow" w:hAnsi="Arial Narrow"/>
                <w:sz w:val="20"/>
                <w:szCs w:val="20"/>
              </w:rPr>
            </w:pPr>
            <w:r w:rsidRPr="00553E8A">
              <w:rPr>
                <w:rFonts w:ascii="Arial Narrow" w:hAnsi="Arial Narrow"/>
                <w:sz w:val="20"/>
                <w:szCs w:val="20"/>
              </w:rPr>
              <w:t xml:space="preserve">Have been active on the donor transplant list for at least </w:t>
            </w:r>
            <w:r w:rsidR="000450CA">
              <w:rPr>
                <w:rFonts w:ascii="Arial Narrow" w:hAnsi="Arial Narrow"/>
                <w:sz w:val="20"/>
                <w:szCs w:val="20"/>
              </w:rPr>
              <w:t>2</w:t>
            </w:r>
            <w:r w:rsidRPr="00553E8A">
              <w:rPr>
                <w:rFonts w:ascii="Arial Narrow" w:hAnsi="Arial Narrow"/>
                <w:sz w:val="20"/>
                <w:szCs w:val="20"/>
              </w:rPr>
              <w:t xml:space="preserve"> years.</w:t>
            </w:r>
          </w:p>
          <w:p w14:paraId="498F55A7" w14:textId="2D7BE158" w:rsidR="00553E8A" w:rsidRPr="00F812FC" w:rsidRDefault="00553E8A" w:rsidP="00EA50B7">
            <w:pPr>
              <w:spacing w:before="40" w:after="40" w:line="240" w:lineRule="auto"/>
              <w:rPr>
                <w:rFonts w:ascii="Arial Narrow" w:hAnsi="Arial Narrow"/>
                <w:sz w:val="20"/>
                <w:szCs w:val="20"/>
              </w:rPr>
            </w:pPr>
            <w:r w:rsidRPr="00F812FC">
              <w:rPr>
                <w:rFonts w:ascii="Arial Narrow" w:hAnsi="Arial Narrow"/>
                <w:sz w:val="20"/>
                <w:szCs w:val="20"/>
              </w:rPr>
              <w:t xml:space="preserve">For patients with </w:t>
            </w:r>
            <w:r w:rsidR="001C7FC4">
              <w:rPr>
                <w:rFonts w:ascii="Arial Narrow" w:hAnsi="Arial Narrow"/>
                <w:sz w:val="20"/>
                <w:szCs w:val="20"/>
              </w:rPr>
              <w:t>an available LD</w:t>
            </w:r>
            <w:r w:rsidRPr="00F812FC">
              <w:rPr>
                <w:rFonts w:ascii="Arial Narrow" w:hAnsi="Arial Narrow"/>
                <w:sz w:val="20"/>
                <w:szCs w:val="20"/>
              </w:rPr>
              <w:t xml:space="preserve">: </w:t>
            </w:r>
          </w:p>
          <w:p w14:paraId="15425AFB" w14:textId="3547CB9E" w:rsidR="00553E8A" w:rsidRPr="00B0464E" w:rsidRDefault="00553E8A" w:rsidP="0033037C">
            <w:pPr>
              <w:pStyle w:val="ListParagraph"/>
              <w:numPr>
                <w:ilvl w:val="0"/>
                <w:numId w:val="13"/>
              </w:numPr>
              <w:spacing w:before="40" w:after="40" w:line="240" w:lineRule="auto"/>
              <w:rPr>
                <w:rFonts w:ascii="Arial Narrow" w:hAnsi="Arial Narrow"/>
                <w:sz w:val="20"/>
                <w:szCs w:val="20"/>
              </w:rPr>
            </w:pPr>
            <w:r w:rsidRPr="00B0464E">
              <w:rPr>
                <w:rFonts w:ascii="Arial Narrow" w:hAnsi="Arial Narrow"/>
                <w:sz w:val="20"/>
                <w:szCs w:val="20"/>
              </w:rPr>
              <w:t>Have a cPRA ≥99%</w:t>
            </w:r>
            <w:r w:rsidR="003F6124">
              <w:rPr>
                <w:rFonts w:ascii="Arial Narrow" w:hAnsi="Arial Narrow"/>
                <w:sz w:val="20"/>
                <w:szCs w:val="20"/>
              </w:rPr>
              <w:t>;</w:t>
            </w:r>
            <w:r w:rsidRPr="00B0464E">
              <w:rPr>
                <w:rFonts w:ascii="Arial Narrow" w:hAnsi="Arial Narrow"/>
                <w:sz w:val="20"/>
                <w:szCs w:val="20"/>
              </w:rPr>
              <w:t xml:space="preserve"> AND </w:t>
            </w:r>
          </w:p>
          <w:p w14:paraId="76AC1248" w14:textId="1E5B43D8" w:rsidR="00F30D61" w:rsidRPr="00B0464E" w:rsidRDefault="00553E8A" w:rsidP="0033037C">
            <w:pPr>
              <w:pStyle w:val="ListParagraph"/>
              <w:numPr>
                <w:ilvl w:val="0"/>
                <w:numId w:val="13"/>
              </w:numPr>
              <w:spacing w:before="40" w:after="40" w:line="240" w:lineRule="auto"/>
              <w:rPr>
                <w:rFonts w:ascii="Arial Narrow" w:hAnsi="Arial Narrow"/>
                <w:sz w:val="20"/>
                <w:szCs w:val="20"/>
              </w:rPr>
            </w:pPr>
            <w:r w:rsidRPr="00B0464E">
              <w:rPr>
                <w:rFonts w:ascii="Arial Narrow" w:hAnsi="Arial Narrow"/>
                <w:sz w:val="20"/>
                <w:szCs w:val="20"/>
              </w:rPr>
              <w:t xml:space="preserve">With a positive crossmatch against an available </w:t>
            </w:r>
            <w:r w:rsidR="001C7FC4">
              <w:rPr>
                <w:rFonts w:ascii="Arial Narrow" w:hAnsi="Arial Narrow"/>
                <w:sz w:val="20"/>
                <w:szCs w:val="20"/>
              </w:rPr>
              <w:t>LD</w:t>
            </w:r>
            <w:r w:rsidR="003F6124">
              <w:rPr>
                <w:rFonts w:ascii="Arial Narrow" w:hAnsi="Arial Narrow"/>
                <w:sz w:val="20"/>
                <w:szCs w:val="20"/>
              </w:rPr>
              <w:t>;</w:t>
            </w:r>
            <w:r w:rsidRPr="00B0464E">
              <w:rPr>
                <w:rFonts w:ascii="Arial Narrow" w:hAnsi="Arial Narrow"/>
                <w:sz w:val="20"/>
                <w:szCs w:val="20"/>
              </w:rPr>
              <w:t xml:space="preserve"> AND</w:t>
            </w:r>
          </w:p>
          <w:p w14:paraId="043A3E4D" w14:textId="2E4667F9" w:rsidR="00E43B6F" w:rsidRPr="00B0464E" w:rsidRDefault="00553E8A" w:rsidP="0033037C">
            <w:pPr>
              <w:pStyle w:val="ListParagraph"/>
              <w:numPr>
                <w:ilvl w:val="0"/>
                <w:numId w:val="13"/>
              </w:numPr>
              <w:spacing w:before="40" w:after="40" w:line="240" w:lineRule="auto"/>
              <w:rPr>
                <w:rFonts w:ascii="Arial Narrow" w:hAnsi="Arial Narrow"/>
                <w:sz w:val="20"/>
                <w:szCs w:val="20"/>
              </w:rPr>
            </w:pPr>
            <w:r w:rsidRPr="00B0464E">
              <w:rPr>
                <w:rFonts w:ascii="Arial Narrow" w:hAnsi="Arial Narrow"/>
                <w:sz w:val="20"/>
                <w:szCs w:val="20"/>
              </w:rPr>
              <w:t xml:space="preserve">Active on the donor transplant (ANZKX) list for at least </w:t>
            </w:r>
            <w:r w:rsidR="00EE135E" w:rsidRPr="00B0464E">
              <w:rPr>
                <w:rFonts w:ascii="Arial Narrow" w:hAnsi="Arial Narrow"/>
                <w:sz w:val="20"/>
                <w:szCs w:val="20"/>
              </w:rPr>
              <w:t>2</w:t>
            </w:r>
            <w:r w:rsidRPr="00B0464E">
              <w:rPr>
                <w:rFonts w:ascii="Arial Narrow" w:hAnsi="Arial Narrow"/>
                <w:sz w:val="20"/>
                <w:szCs w:val="20"/>
              </w:rPr>
              <w:t xml:space="preserve"> years</w:t>
            </w:r>
            <w:r w:rsidR="00EE135E" w:rsidRPr="00B0464E">
              <w:rPr>
                <w:rFonts w:ascii="Arial Narrow" w:hAnsi="Arial Narrow"/>
                <w:sz w:val="20"/>
                <w:szCs w:val="20"/>
              </w:rPr>
              <w:t>*</w:t>
            </w:r>
            <w:r w:rsidR="003F6124">
              <w:rPr>
                <w:rFonts w:ascii="Arial Narrow" w:hAnsi="Arial Narrow"/>
                <w:sz w:val="20"/>
                <w:szCs w:val="20"/>
              </w:rPr>
              <w:t>;</w:t>
            </w:r>
            <w:r w:rsidRPr="00B0464E">
              <w:rPr>
                <w:rFonts w:ascii="Arial Narrow" w:hAnsi="Arial Narrow"/>
                <w:sz w:val="20"/>
                <w:szCs w:val="20"/>
              </w:rPr>
              <w:t xml:space="preserve"> AND</w:t>
            </w:r>
          </w:p>
          <w:p w14:paraId="6F3EFF0C" w14:textId="13923C4E" w:rsidR="00E43B6F" w:rsidRPr="000332BE" w:rsidRDefault="003F6124" w:rsidP="0033037C">
            <w:pPr>
              <w:pStyle w:val="ListParagraph"/>
              <w:numPr>
                <w:ilvl w:val="0"/>
                <w:numId w:val="13"/>
              </w:numPr>
              <w:spacing w:before="40" w:after="40" w:line="240" w:lineRule="auto"/>
              <w:rPr>
                <w:rFonts w:ascii="Arial Narrow" w:hAnsi="Arial Narrow"/>
                <w:sz w:val="20"/>
                <w:szCs w:val="20"/>
              </w:rPr>
            </w:pPr>
            <w:r>
              <w:rPr>
                <w:rFonts w:ascii="Arial Narrow" w:hAnsi="Arial Narrow"/>
                <w:sz w:val="20"/>
                <w:szCs w:val="20"/>
              </w:rPr>
              <w:t>For w</w:t>
            </w:r>
            <w:r w:rsidR="00553E8A" w:rsidRPr="00B0464E">
              <w:rPr>
                <w:rFonts w:ascii="Arial Narrow" w:hAnsi="Arial Narrow"/>
                <w:sz w:val="20"/>
                <w:szCs w:val="20"/>
              </w:rPr>
              <w:t>hom desensitisation regimens for organ transplantation have failed or are contraindicated</w:t>
            </w:r>
            <w:r>
              <w:rPr>
                <w:rFonts w:ascii="Arial Narrow" w:hAnsi="Arial Narrow"/>
                <w:sz w:val="20"/>
                <w:szCs w:val="20"/>
              </w:rPr>
              <w:t>;</w:t>
            </w:r>
            <w:r w:rsidR="000332BE">
              <w:rPr>
                <w:rFonts w:ascii="Arial Narrow" w:hAnsi="Arial Narrow"/>
                <w:sz w:val="20"/>
                <w:szCs w:val="20"/>
              </w:rPr>
              <w:t xml:space="preserve"> </w:t>
            </w:r>
            <w:r w:rsidR="00553E8A" w:rsidRPr="000332BE">
              <w:rPr>
                <w:rFonts w:ascii="Arial Narrow" w:hAnsi="Arial Narrow"/>
                <w:sz w:val="20"/>
                <w:szCs w:val="20"/>
              </w:rPr>
              <w:t>OR</w:t>
            </w:r>
          </w:p>
          <w:p w14:paraId="35B4207C" w14:textId="04E200A7" w:rsidR="00E43B6F" w:rsidRPr="000332BE" w:rsidRDefault="003F6124" w:rsidP="0033037C">
            <w:pPr>
              <w:pStyle w:val="ListParagraph"/>
              <w:numPr>
                <w:ilvl w:val="0"/>
                <w:numId w:val="13"/>
              </w:numPr>
              <w:spacing w:before="40" w:after="40" w:line="240" w:lineRule="auto"/>
              <w:rPr>
                <w:rFonts w:ascii="Arial Narrow" w:hAnsi="Arial Narrow"/>
                <w:sz w:val="20"/>
                <w:szCs w:val="20"/>
              </w:rPr>
            </w:pPr>
            <w:r>
              <w:rPr>
                <w:rFonts w:ascii="Arial Narrow" w:hAnsi="Arial Narrow"/>
                <w:sz w:val="20"/>
                <w:szCs w:val="20"/>
              </w:rPr>
              <w:t>B</w:t>
            </w:r>
            <w:r w:rsidR="00553E8A" w:rsidRPr="008036E4">
              <w:rPr>
                <w:rFonts w:ascii="Arial Narrow" w:hAnsi="Arial Narrow"/>
                <w:sz w:val="20"/>
                <w:szCs w:val="20"/>
              </w:rPr>
              <w:t>ased on clinical judgement and experience, plasmapheresis/IVIG/rituximab-based desensitisation regimens are considered unlikely to provide a sufficient decrease in antibodies to enable transplantation</w:t>
            </w:r>
            <w:r w:rsidR="006E283B">
              <w:rPr>
                <w:rFonts w:ascii="Arial Narrow" w:hAnsi="Arial Narrow"/>
                <w:sz w:val="20"/>
                <w:szCs w:val="20"/>
              </w:rPr>
              <w:t>;</w:t>
            </w:r>
            <w:r w:rsidR="000332BE">
              <w:rPr>
                <w:rFonts w:ascii="Arial Narrow" w:hAnsi="Arial Narrow"/>
                <w:sz w:val="20"/>
                <w:szCs w:val="20"/>
              </w:rPr>
              <w:t xml:space="preserve"> </w:t>
            </w:r>
            <w:r w:rsidR="00E43B6F" w:rsidRPr="000332BE">
              <w:rPr>
                <w:rFonts w:ascii="Arial Narrow" w:hAnsi="Arial Narrow"/>
                <w:sz w:val="20"/>
                <w:szCs w:val="20"/>
              </w:rPr>
              <w:t>OR</w:t>
            </w:r>
          </w:p>
          <w:p w14:paraId="376BBABD" w14:textId="3EAB9802" w:rsidR="00553E8A" w:rsidRPr="008036E4" w:rsidRDefault="003F6124" w:rsidP="0033037C">
            <w:pPr>
              <w:pStyle w:val="ListParagraph"/>
              <w:numPr>
                <w:ilvl w:val="0"/>
                <w:numId w:val="13"/>
              </w:numPr>
              <w:spacing w:before="40" w:after="40" w:line="240" w:lineRule="auto"/>
              <w:rPr>
                <w:rFonts w:ascii="Arial Narrow" w:hAnsi="Arial Narrow"/>
                <w:sz w:val="20"/>
                <w:szCs w:val="20"/>
              </w:rPr>
            </w:pPr>
            <w:r>
              <w:rPr>
                <w:rFonts w:ascii="Arial Narrow" w:hAnsi="Arial Narrow"/>
                <w:sz w:val="20"/>
                <w:szCs w:val="20"/>
              </w:rPr>
              <w:t>P</w:t>
            </w:r>
            <w:r w:rsidR="00553E8A" w:rsidRPr="008036E4">
              <w:rPr>
                <w:rFonts w:ascii="Arial Narrow" w:hAnsi="Arial Narrow"/>
                <w:sz w:val="20"/>
                <w:szCs w:val="20"/>
              </w:rPr>
              <w:t>lasmapheresis/IVIG/rituximab-based desensitisation regimens are not logistically compatible with the patient’s circumstance or the organisation of the transplant centre.</w:t>
            </w:r>
          </w:p>
        </w:tc>
      </w:tr>
      <w:tr w:rsidR="00553E8A" w:rsidRPr="000449D1" w14:paraId="35DC265A" w14:textId="6A15DD17" w:rsidTr="008A644D">
        <w:trPr>
          <w:cantSplit/>
        </w:trPr>
        <w:tc>
          <w:tcPr>
            <w:tcW w:w="941" w:type="pct"/>
          </w:tcPr>
          <w:p w14:paraId="6886BA88" w14:textId="77777777" w:rsidR="00553E8A" w:rsidRPr="000449D1" w:rsidRDefault="00553E8A" w:rsidP="00EA50B7">
            <w:pPr>
              <w:pStyle w:val="TableText"/>
              <w:rPr>
                <w:szCs w:val="20"/>
              </w:rPr>
            </w:pPr>
            <w:r w:rsidRPr="000449D1">
              <w:rPr>
                <w:szCs w:val="20"/>
              </w:rPr>
              <w:t>Prior testing</w:t>
            </w:r>
          </w:p>
        </w:tc>
        <w:tc>
          <w:tcPr>
            <w:tcW w:w="4059" w:type="pct"/>
          </w:tcPr>
          <w:p w14:paraId="13AED989" w14:textId="40747963" w:rsidR="00553E8A" w:rsidRPr="000449D1" w:rsidRDefault="00553E8A" w:rsidP="00EA50B7">
            <w:pPr>
              <w:pStyle w:val="TableText"/>
              <w:rPr>
                <w:szCs w:val="20"/>
              </w:rPr>
            </w:pPr>
            <w:r w:rsidRPr="00FF509A">
              <w:rPr>
                <w:szCs w:val="20"/>
              </w:rPr>
              <w:t xml:space="preserve">A Luminex single antigen bead testing or flow cytometry </w:t>
            </w:r>
            <w:r w:rsidR="00B92702" w:rsidRPr="00B92702">
              <w:rPr>
                <w:szCs w:val="20"/>
              </w:rPr>
              <w:t>crossmatch</w:t>
            </w:r>
          </w:p>
        </w:tc>
      </w:tr>
      <w:tr w:rsidR="00553E8A" w:rsidRPr="000449D1" w14:paraId="750830A5" w14:textId="33978BE8" w:rsidTr="008A644D">
        <w:trPr>
          <w:cantSplit/>
        </w:trPr>
        <w:tc>
          <w:tcPr>
            <w:tcW w:w="941" w:type="pct"/>
          </w:tcPr>
          <w:p w14:paraId="59B80C68" w14:textId="77777777" w:rsidR="00553E8A" w:rsidRPr="000449D1" w:rsidRDefault="00553E8A" w:rsidP="00EA50B7">
            <w:pPr>
              <w:pStyle w:val="TableText"/>
              <w:rPr>
                <w:szCs w:val="20"/>
              </w:rPr>
            </w:pPr>
            <w:r w:rsidRPr="000449D1">
              <w:rPr>
                <w:szCs w:val="20"/>
              </w:rPr>
              <w:t>Comparator</w:t>
            </w:r>
          </w:p>
        </w:tc>
        <w:tc>
          <w:tcPr>
            <w:tcW w:w="4059" w:type="pct"/>
          </w:tcPr>
          <w:p w14:paraId="04C0D717" w14:textId="6671696B" w:rsidR="00553E8A" w:rsidRPr="000449D1" w:rsidRDefault="00553E8A" w:rsidP="00EA50B7">
            <w:pPr>
              <w:pStyle w:val="TableText"/>
              <w:rPr>
                <w:szCs w:val="20"/>
              </w:rPr>
            </w:pPr>
            <w:r w:rsidRPr="00440A88">
              <w:rPr>
                <w:szCs w:val="20"/>
              </w:rPr>
              <w:t>Current care in the absence of imlifidase</w:t>
            </w:r>
          </w:p>
        </w:tc>
      </w:tr>
      <w:tr w:rsidR="00553E8A" w:rsidRPr="000449D1" w14:paraId="352DFBB5" w14:textId="23E331A7" w:rsidTr="008A644D">
        <w:trPr>
          <w:cantSplit/>
        </w:trPr>
        <w:tc>
          <w:tcPr>
            <w:tcW w:w="941" w:type="pct"/>
          </w:tcPr>
          <w:p w14:paraId="563F18FC" w14:textId="77777777" w:rsidR="00553E8A" w:rsidRPr="000449D1" w:rsidRDefault="00553E8A" w:rsidP="00EA50B7">
            <w:pPr>
              <w:pStyle w:val="TableText"/>
              <w:rPr>
                <w:szCs w:val="20"/>
              </w:rPr>
            </w:pPr>
            <w:r w:rsidRPr="000449D1">
              <w:rPr>
                <w:szCs w:val="20"/>
              </w:rPr>
              <w:t>Type(s) of analysis</w:t>
            </w:r>
          </w:p>
        </w:tc>
        <w:tc>
          <w:tcPr>
            <w:tcW w:w="4059" w:type="pct"/>
          </w:tcPr>
          <w:p w14:paraId="4DAE5CE1" w14:textId="465FE935" w:rsidR="00553E8A" w:rsidRPr="000449D1" w:rsidRDefault="00553E8A" w:rsidP="00EA50B7">
            <w:pPr>
              <w:pStyle w:val="TableText"/>
              <w:rPr>
                <w:szCs w:val="20"/>
              </w:rPr>
            </w:pPr>
            <w:r>
              <w:rPr>
                <w:szCs w:val="20"/>
              </w:rPr>
              <w:t>C</w:t>
            </w:r>
            <w:r w:rsidRPr="000449D1">
              <w:rPr>
                <w:szCs w:val="20"/>
              </w:rPr>
              <w:t>ost-utility analysis</w:t>
            </w:r>
          </w:p>
        </w:tc>
      </w:tr>
      <w:tr w:rsidR="00553E8A" w:rsidRPr="000449D1" w14:paraId="6CB6FA6B" w14:textId="0CFF196E" w:rsidTr="008A644D">
        <w:trPr>
          <w:cantSplit/>
        </w:trPr>
        <w:tc>
          <w:tcPr>
            <w:tcW w:w="941" w:type="pct"/>
          </w:tcPr>
          <w:p w14:paraId="401E0BAC" w14:textId="77777777" w:rsidR="00553E8A" w:rsidRPr="000449D1" w:rsidRDefault="00553E8A" w:rsidP="00EA50B7">
            <w:pPr>
              <w:pStyle w:val="TableText"/>
              <w:rPr>
                <w:szCs w:val="20"/>
              </w:rPr>
            </w:pPr>
            <w:r w:rsidRPr="000449D1">
              <w:rPr>
                <w:szCs w:val="20"/>
              </w:rPr>
              <w:t>Outcomes</w:t>
            </w:r>
          </w:p>
        </w:tc>
        <w:tc>
          <w:tcPr>
            <w:tcW w:w="4059" w:type="pct"/>
          </w:tcPr>
          <w:p w14:paraId="5BB292CF" w14:textId="30C2E90F" w:rsidR="00553E8A" w:rsidRPr="000449D1" w:rsidRDefault="00553E8A" w:rsidP="00EA50B7">
            <w:pPr>
              <w:pStyle w:val="TableText"/>
              <w:rPr>
                <w:szCs w:val="20"/>
              </w:rPr>
            </w:pPr>
            <w:r>
              <w:rPr>
                <w:szCs w:val="20"/>
              </w:rPr>
              <w:t>Q</w:t>
            </w:r>
            <w:r w:rsidRPr="000449D1">
              <w:rPr>
                <w:szCs w:val="20"/>
              </w:rPr>
              <w:t>uality-adjusted life years</w:t>
            </w:r>
          </w:p>
        </w:tc>
      </w:tr>
      <w:tr w:rsidR="00553E8A" w:rsidRPr="000449D1" w14:paraId="643C0794" w14:textId="7BA4E085" w:rsidTr="008A644D">
        <w:trPr>
          <w:cantSplit/>
        </w:trPr>
        <w:tc>
          <w:tcPr>
            <w:tcW w:w="941" w:type="pct"/>
          </w:tcPr>
          <w:p w14:paraId="42B1D84D" w14:textId="77777777" w:rsidR="00553E8A" w:rsidRPr="000449D1" w:rsidRDefault="00553E8A" w:rsidP="00EA50B7">
            <w:pPr>
              <w:pStyle w:val="TableText"/>
              <w:rPr>
                <w:szCs w:val="20"/>
              </w:rPr>
            </w:pPr>
            <w:r w:rsidRPr="000449D1">
              <w:rPr>
                <w:szCs w:val="20"/>
              </w:rPr>
              <w:t>Time horizon</w:t>
            </w:r>
          </w:p>
        </w:tc>
        <w:tc>
          <w:tcPr>
            <w:tcW w:w="4059" w:type="pct"/>
          </w:tcPr>
          <w:p w14:paraId="3BC3DE82" w14:textId="12FBE8A9" w:rsidR="00553E8A" w:rsidRPr="000449D1" w:rsidRDefault="00553E8A" w:rsidP="00EA50B7">
            <w:pPr>
              <w:pStyle w:val="TableText"/>
              <w:rPr>
                <w:szCs w:val="20"/>
              </w:rPr>
            </w:pPr>
            <w:r>
              <w:rPr>
                <w:szCs w:val="20"/>
              </w:rPr>
              <w:t>Lifetime (58 years in model base case)</w:t>
            </w:r>
          </w:p>
        </w:tc>
      </w:tr>
      <w:tr w:rsidR="00553E8A" w:rsidRPr="000449D1" w14:paraId="0949BCCC" w14:textId="4456977C" w:rsidTr="008A644D">
        <w:trPr>
          <w:cantSplit/>
        </w:trPr>
        <w:tc>
          <w:tcPr>
            <w:tcW w:w="941" w:type="pct"/>
          </w:tcPr>
          <w:p w14:paraId="6DFB973F" w14:textId="77777777" w:rsidR="00553E8A" w:rsidRPr="000449D1" w:rsidRDefault="00553E8A" w:rsidP="00EA50B7">
            <w:pPr>
              <w:pStyle w:val="TableText"/>
              <w:rPr>
                <w:szCs w:val="20"/>
              </w:rPr>
            </w:pPr>
            <w:r w:rsidRPr="000449D1">
              <w:rPr>
                <w:szCs w:val="20"/>
              </w:rPr>
              <w:t>Computational method</w:t>
            </w:r>
          </w:p>
        </w:tc>
        <w:tc>
          <w:tcPr>
            <w:tcW w:w="4059" w:type="pct"/>
          </w:tcPr>
          <w:p w14:paraId="67E64DF6" w14:textId="57F36502" w:rsidR="00553E8A" w:rsidRPr="000449D1" w:rsidRDefault="00553E8A" w:rsidP="00EA50B7">
            <w:pPr>
              <w:pStyle w:val="TableText"/>
              <w:rPr>
                <w:szCs w:val="20"/>
              </w:rPr>
            </w:pPr>
            <w:r>
              <w:rPr>
                <w:szCs w:val="20"/>
              </w:rPr>
              <w:t>Cohort</w:t>
            </w:r>
            <w:r w:rsidR="00CF0911">
              <w:rPr>
                <w:szCs w:val="20"/>
              </w:rPr>
              <w:t>-</w:t>
            </w:r>
            <w:r>
              <w:rPr>
                <w:szCs w:val="20"/>
              </w:rPr>
              <w:t>level Markov state-transition model</w:t>
            </w:r>
          </w:p>
        </w:tc>
      </w:tr>
      <w:tr w:rsidR="00553E8A" w:rsidRPr="000449D1" w14:paraId="780AB6C6" w14:textId="5D51678D" w:rsidTr="008A644D">
        <w:trPr>
          <w:cantSplit/>
        </w:trPr>
        <w:tc>
          <w:tcPr>
            <w:tcW w:w="941" w:type="pct"/>
          </w:tcPr>
          <w:p w14:paraId="6CDC9D32" w14:textId="77777777" w:rsidR="00553E8A" w:rsidRPr="000449D1" w:rsidRDefault="00553E8A" w:rsidP="00EA50B7">
            <w:pPr>
              <w:pStyle w:val="TableText"/>
              <w:rPr>
                <w:szCs w:val="20"/>
              </w:rPr>
            </w:pPr>
            <w:r w:rsidRPr="000449D1">
              <w:rPr>
                <w:szCs w:val="20"/>
              </w:rPr>
              <w:t>Generation of the base case</w:t>
            </w:r>
          </w:p>
        </w:tc>
        <w:tc>
          <w:tcPr>
            <w:tcW w:w="4059" w:type="pct"/>
          </w:tcPr>
          <w:p w14:paraId="6687851E" w14:textId="49707C64" w:rsidR="00553E8A" w:rsidRPr="000449D1" w:rsidRDefault="00553E8A" w:rsidP="00EA50B7">
            <w:pPr>
              <w:pStyle w:val="TableText"/>
              <w:rPr>
                <w:szCs w:val="20"/>
              </w:rPr>
            </w:pPr>
            <w:r>
              <w:rPr>
                <w:szCs w:val="20"/>
              </w:rPr>
              <w:t>Trial-base evaluation</w:t>
            </w:r>
          </w:p>
        </w:tc>
      </w:tr>
      <w:tr w:rsidR="00553E8A" w:rsidRPr="000449D1" w14:paraId="03A3B794" w14:textId="3A58F192" w:rsidTr="008A644D">
        <w:trPr>
          <w:cantSplit/>
        </w:trPr>
        <w:tc>
          <w:tcPr>
            <w:tcW w:w="941" w:type="pct"/>
          </w:tcPr>
          <w:p w14:paraId="4E12B2D4" w14:textId="77777777" w:rsidR="00553E8A" w:rsidRPr="000449D1" w:rsidRDefault="00553E8A" w:rsidP="00B0464E">
            <w:pPr>
              <w:pStyle w:val="TableText"/>
              <w:rPr>
                <w:szCs w:val="20"/>
              </w:rPr>
            </w:pPr>
            <w:r w:rsidRPr="000449D1">
              <w:rPr>
                <w:szCs w:val="20"/>
              </w:rPr>
              <w:t>Health states</w:t>
            </w:r>
          </w:p>
        </w:tc>
        <w:tc>
          <w:tcPr>
            <w:tcW w:w="4059" w:type="pct"/>
          </w:tcPr>
          <w:p w14:paraId="76B05F5B" w14:textId="77777777" w:rsidR="00553E8A" w:rsidRPr="00B71BA6" w:rsidRDefault="00553E8A" w:rsidP="0033037C">
            <w:pPr>
              <w:pStyle w:val="Tabletext0"/>
              <w:numPr>
                <w:ilvl w:val="0"/>
                <w:numId w:val="11"/>
              </w:numPr>
              <w:jc w:val="left"/>
            </w:pPr>
            <w:r w:rsidRPr="00B71BA6">
              <w:t>Dialysis/</w:t>
            </w:r>
            <w:r>
              <w:t>waitlist</w:t>
            </w:r>
            <w:r w:rsidRPr="00B71BA6">
              <w:t xml:space="preserve">ed: </w:t>
            </w:r>
            <w:r>
              <w:t>p</w:t>
            </w:r>
            <w:r w:rsidRPr="00B71BA6">
              <w:t xml:space="preserve">atients on the DD transplant </w:t>
            </w:r>
            <w:r>
              <w:t>waitlist</w:t>
            </w:r>
            <w:r w:rsidRPr="00B71BA6">
              <w:t xml:space="preserve"> or ANZKX program and on dialysis</w:t>
            </w:r>
          </w:p>
          <w:p w14:paraId="674710E7" w14:textId="77777777" w:rsidR="00553E8A" w:rsidRPr="00B71BA6" w:rsidRDefault="00553E8A" w:rsidP="0033037C">
            <w:pPr>
              <w:pStyle w:val="Tabletext0"/>
              <w:numPr>
                <w:ilvl w:val="0"/>
                <w:numId w:val="11"/>
              </w:numPr>
              <w:jc w:val="left"/>
            </w:pPr>
            <w:r w:rsidRPr="00B71BA6">
              <w:t>Dialysis/</w:t>
            </w:r>
            <w:r>
              <w:t>n</w:t>
            </w:r>
            <w:r w:rsidRPr="00B71BA6">
              <w:t xml:space="preserve">ot </w:t>
            </w:r>
            <w:r>
              <w:t>waitlist</w:t>
            </w:r>
            <w:r w:rsidRPr="00B71BA6">
              <w:t xml:space="preserve">ed: </w:t>
            </w:r>
            <w:r>
              <w:t>p</w:t>
            </w:r>
            <w:r w:rsidRPr="00B71BA6">
              <w:t xml:space="preserve">atients still on dialysis but no longer on the DD transplant </w:t>
            </w:r>
            <w:r>
              <w:t>waitlist</w:t>
            </w:r>
            <w:r w:rsidRPr="00B71BA6">
              <w:t xml:space="preserve"> or ANZKX program</w:t>
            </w:r>
          </w:p>
          <w:p w14:paraId="6001E3CC" w14:textId="77777777" w:rsidR="00553E8A" w:rsidRDefault="00553E8A" w:rsidP="0033037C">
            <w:pPr>
              <w:pStyle w:val="Tabletext0"/>
              <w:numPr>
                <w:ilvl w:val="0"/>
                <w:numId w:val="11"/>
              </w:numPr>
              <w:jc w:val="left"/>
            </w:pPr>
            <w:r w:rsidRPr="00B71BA6">
              <w:t xml:space="preserve">Functioning graft: </w:t>
            </w:r>
            <w:r>
              <w:t>p</w:t>
            </w:r>
            <w:r w:rsidRPr="00B71BA6">
              <w:t xml:space="preserve">atients </w:t>
            </w:r>
            <w:r>
              <w:t>with</w:t>
            </w:r>
            <w:r w:rsidRPr="00B71BA6">
              <w:t xml:space="preserve"> a functioning kidney graft</w:t>
            </w:r>
          </w:p>
          <w:p w14:paraId="3E63543F" w14:textId="7F078EE5" w:rsidR="00553E8A" w:rsidRPr="009F571C" w:rsidRDefault="00553E8A" w:rsidP="0033037C">
            <w:pPr>
              <w:pStyle w:val="Tabletext0"/>
              <w:numPr>
                <w:ilvl w:val="0"/>
                <w:numId w:val="11"/>
              </w:numPr>
              <w:jc w:val="left"/>
            </w:pPr>
            <w:r w:rsidRPr="00B71BA6">
              <w:t>Death</w:t>
            </w:r>
          </w:p>
        </w:tc>
      </w:tr>
      <w:tr w:rsidR="00553E8A" w:rsidRPr="000449D1" w14:paraId="0212C695" w14:textId="63F9F923" w:rsidTr="008A644D">
        <w:trPr>
          <w:cantSplit/>
        </w:trPr>
        <w:tc>
          <w:tcPr>
            <w:tcW w:w="941" w:type="pct"/>
          </w:tcPr>
          <w:p w14:paraId="3AC64F34" w14:textId="77777777" w:rsidR="00553E8A" w:rsidRPr="000449D1" w:rsidRDefault="00553E8A" w:rsidP="00B0464E">
            <w:pPr>
              <w:pStyle w:val="TableText"/>
              <w:rPr>
                <w:szCs w:val="20"/>
              </w:rPr>
            </w:pPr>
            <w:r w:rsidRPr="000449D1">
              <w:rPr>
                <w:szCs w:val="20"/>
              </w:rPr>
              <w:t>Cycle length</w:t>
            </w:r>
          </w:p>
        </w:tc>
        <w:tc>
          <w:tcPr>
            <w:tcW w:w="4059" w:type="pct"/>
          </w:tcPr>
          <w:p w14:paraId="64D95EB2" w14:textId="09B0B7D8" w:rsidR="00553E8A" w:rsidRPr="000449D1" w:rsidRDefault="00553E8A" w:rsidP="00B0464E">
            <w:pPr>
              <w:pStyle w:val="TableText"/>
              <w:rPr>
                <w:szCs w:val="20"/>
              </w:rPr>
            </w:pPr>
            <w:r>
              <w:rPr>
                <w:szCs w:val="20"/>
              </w:rPr>
              <w:t>6 months</w:t>
            </w:r>
          </w:p>
        </w:tc>
      </w:tr>
      <w:tr w:rsidR="00553E8A" w:rsidRPr="000449D1" w14:paraId="2976544F" w14:textId="76387CDF" w:rsidTr="008A644D">
        <w:trPr>
          <w:cantSplit/>
        </w:trPr>
        <w:tc>
          <w:tcPr>
            <w:tcW w:w="941" w:type="pct"/>
          </w:tcPr>
          <w:p w14:paraId="2558F588" w14:textId="17042BED" w:rsidR="00553E8A" w:rsidRPr="000449D1" w:rsidRDefault="00553E8A" w:rsidP="00B0464E">
            <w:pPr>
              <w:pStyle w:val="TableText"/>
              <w:rPr>
                <w:szCs w:val="20"/>
              </w:rPr>
            </w:pPr>
            <w:r w:rsidRPr="000449D1">
              <w:rPr>
                <w:szCs w:val="20"/>
              </w:rPr>
              <w:lastRenderedPageBreak/>
              <w:t>Transition probabilities</w:t>
            </w:r>
          </w:p>
        </w:tc>
        <w:tc>
          <w:tcPr>
            <w:tcW w:w="4059" w:type="pct"/>
          </w:tcPr>
          <w:p w14:paraId="08EBB8A5" w14:textId="08F54DE0" w:rsidR="00F45C39" w:rsidRPr="00F45C39" w:rsidRDefault="008068C9" w:rsidP="0033037C">
            <w:pPr>
              <w:pStyle w:val="TableText"/>
              <w:numPr>
                <w:ilvl w:val="0"/>
                <w:numId w:val="22"/>
              </w:numPr>
              <w:rPr>
                <w:szCs w:val="20"/>
              </w:rPr>
            </w:pPr>
            <w:r>
              <w:t>Probability of transplant following administration of imlifidase based on clinical trial data for the pooled safety population (</w:t>
            </w:r>
            <w:r w:rsidR="006A1289">
              <w:t>N</w:t>
            </w:r>
            <w:r>
              <w:t>=54)</w:t>
            </w:r>
          </w:p>
          <w:p w14:paraId="2497CCEF" w14:textId="6D0B36F0" w:rsidR="00B249C0" w:rsidRPr="00B249C0" w:rsidRDefault="007B1AB3" w:rsidP="0033037C">
            <w:pPr>
              <w:pStyle w:val="TableText"/>
              <w:numPr>
                <w:ilvl w:val="0"/>
                <w:numId w:val="22"/>
              </w:numPr>
              <w:rPr>
                <w:szCs w:val="20"/>
              </w:rPr>
            </w:pPr>
            <w:r>
              <w:t xml:space="preserve">Graft and patient survival for patients with a functioning graft based on extrapolations </w:t>
            </w:r>
            <w:r w:rsidR="00B76523">
              <w:t>of</w:t>
            </w:r>
            <w:r>
              <w:t xml:space="preserve"> </w:t>
            </w:r>
            <w:r w:rsidR="00556C5C">
              <w:t>clinical trial data</w:t>
            </w:r>
            <w:r w:rsidR="00AC1DD8">
              <w:t xml:space="preserve"> (data </w:t>
            </w:r>
            <w:r w:rsidR="00556C5C">
              <w:t>for the AUS-UTT-A population</w:t>
            </w:r>
            <w:r w:rsidR="00AC1DD8">
              <w:t xml:space="preserve"> [</w:t>
            </w:r>
            <w:r w:rsidR="006A1289">
              <w:t>N</w:t>
            </w:r>
            <w:r w:rsidR="00AC1DD8">
              <w:t>=24]</w:t>
            </w:r>
            <w:r w:rsidR="00556C5C">
              <w:t xml:space="preserve"> used in base case</w:t>
            </w:r>
            <w:r w:rsidR="00243E6F">
              <w:t>)</w:t>
            </w:r>
          </w:p>
          <w:p w14:paraId="30FED2BD" w14:textId="62477578" w:rsidR="00B249C0" w:rsidRPr="00B249C0" w:rsidRDefault="007B1AB3" w:rsidP="0033037C">
            <w:pPr>
              <w:pStyle w:val="TableText"/>
              <w:numPr>
                <w:ilvl w:val="0"/>
                <w:numId w:val="22"/>
              </w:numPr>
              <w:rPr>
                <w:szCs w:val="20"/>
              </w:rPr>
            </w:pPr>
            <w:r>
              <w:t>P</w:t>
            </w:r>
            <w:r w:rsidRPr="0099217C">
              <w:t xml:space="preserve">robability of transplant without imlifidase </w:t>
            </w:r>
            <w:r w:rsidR="009A7289">
              <w:t>based on data provided by OrganMatch</w:t>
            </w:r>
          </w:p>
          <w:p w14:paraId="43B247B9" w14:textId="6A72662A" w:rsidR="00553E8A" w:rsidRPr="000449D1" w:rsidRDefault="007B1AB3" w:rsidP="0033037C">
            <w:pPr>
              <w:pStyle w:val="TableText"/>
              <w:numPr>
                <w:ilvl w:val="0"/>
                <w:numId w:val="22"/>
              </w:numPr>
              <w:rPr>
                <w:szCs w:val="20"/>
              </w:rPr>
            </w:pPr>
            <w:r>
              <w:t xml:space="preserve">Probability of death in patients receiving dialysis is based on </w:t>
            </w:r>
            <w:r w:rsidRPr="0099217C">
              <w:t>ANZDATA 4</w:t>
            </w:r>
            <w:r w:rsidR="00D07909">
              <w:t>6</w:t>
            </w:r>
            <w:r w:rsidRPr="0099217C">
              <w:t xml:space="preserve">th </w:t>
            </w:r>
            <w:r w:rsidR="00AC62F2">
              <w:t>A</w:t>
            </w:r>
            <w:r w:rsidRPr="0099217C">
              <w:t xml:space="preserve">nnual </w:t>
            </w:r>
            <w:r w:rsidR="00AC62F2">
              <w:t>R</w:t>
            </w:r>
            <w:r w:rsidRPr="0099217C">
              <w:t>eport</w:t>
            </w:r>
          </w:p>
        </w:tc>
      </w:tr>
      <w:tr w:rsidR="00553E8A" w:rsidRPr="000449D1" w14:paraId="0619B77B" w14:textId="65D0CC25" w:rsidTr="008A644D">
        <w:trPr>
          <w:cantSplit/>
        </w:trPr>
        <w:tc>
          <w:tcPr>
            <w:tcW w:w="941" w:type="pct"/>
          </w:tcPr>
          <w:p w14:paraId="3B8D14D8" w14:textId="77777777" w:rsidR="00553E8A" w:rsidRPr="00F358B2" w:rsidRDefault="00553E8A" w:rsidP="00B0464E">
            <w:pPr>
              <w:pStyle w:val="TableText"/>
              <w:rPr>
                <w:szCs w:val="20"/>
              </w:rPr>
            </w:pPr>
            <w:r w:rsidRPr="00F358B2">
              <w:rPr>
                <w:szCs w:val="20"/>
              </w:rPr>
              <w:t>Discount rate</w:t>
            </w:r>
          </w:p>
        </w:tc>
        <w:tc>
          <w:tcPr>
            <w:tcW w:w="4059" w:type="pct"/>
          </w:tcPr>
          <w:p w14:paraId="2E657A83" w14:textId="426493EF" w:rsidR="00553E8A" w:rsidRPr="00F358B2" w:rsidRDefault="00553E8A" w:rsidP="00B0464E">
            <w:pPr>
              <w:pStyle w:val="TableText"/>
              <w:rPr>
                <w:szCs w:val="20"/>
              </w:rPr>
            </w:pPr>
            <w:r w:rsidRPr="009E2F9F">
              <w:rPr>
                <w:szCs w:val="20"/>
              </w:rPr>
              <w:t>5</w:t>
            </w:r>
            <w:r w:rsidRPr="00F358B2">
              <w:rPr>
                <w:szCs w:val="20"/>
              </w:rPr>
              <w:t>% for both costs and outcomes</w:t>
            </w:r>
          </w:p>
        </w:tc>
      </w:tr>
      <w:tr w:rsidR="00553E8A" w:rsidRPr="000449D1" w14:paraId="507E6356" w14:textId="7BFC4306" w:rsidTr="008A644D">
        <w:trPr>
          <w:cantSplit/>
        </w:trPr>
        <w:tc>
          <w:tcPr>
            <w:tcW w:w="941" w:type="pct"/>
          </w:tcPr>
          <w:p w14:paraId="23A08C87" w14:textId="77777777" w:rsidR="00553E8A" w:rsidRPr="000449D1" w:rsidRDefault="00553E8A" w:rsidP="00B0464E">
            <w:pPr>
              <w:pStyle w:val="TableText"/>
              <w:rPr>
                <w:szCs w:val="20"/>
              </w:rPr>
            </w:pPr>
            <w:r w:rsidRPr="000449D1">
              <w:rPr>
                <w:szCs w:val="20"/>
              </w:rPr>
              <w:t>Software</w:t>
            </w:r>
          </w:p>
        </w:tc>
        <w:tc>
          <w:tcPr>
            <w:tcW w:w="4059" w:type="pct"/>
          </w:tcPr>
          <w:p w14:paraId="613BDC46" w14:textId="703A2A43" w:rsidR="00553E8A" w:rsidRPr="000449D1" w:rsidRDefault="00553E8A" w:rsidP="00B0464E">
            <w:pPr>
              <w:pStyle w:val="TableText"/>
              <w:rPr>
                <w:szCs w:val="20"/>
              </w:rPr>
            </w:pPr>
            <w:r>
              <w:rPr>
                <w:szCs w:val="20"/>
              </w:rPr>
              <w:t>Microsoft</w:t>
            </w:r>
            <w:r w:rsidRPr="000449D1">
              <w:rPr>
                <w:szCs w:val="20"/>
              </w:rPr>
              <w:t xml:space="preserve"> Exce</w:t>
            </w:r>
            <w:r>
              <w:rPr>
                <w:szCs w:val="20"/>
              </w:rPr>
              <w:t>l</w:t>
            </w:r>
          </w:p>
        </w:tc>
      </w:tr>
    </w:tbl>
    <w:p w14:paraId="0274FCEB" w14:textId="1ADB8617" w:rsidR="00A07528" w:rsidRPr="00527717" w:rsidRDefault="00A07528" w:rsidP="003B7E96">
      <w:pPr>
        <w:pStyle w:val="Tablenotes0"/>
        <w:rPr>
          <w:b/>
          <w:bCs/>
          <w:u w:val="single"/>
        </w:rPr>
      </w:pPr>
      <w:bookmarkStart w:id="33" w:name="_Hlk68276459"/>
      <w:bookmarkEnd w:id="32"/>
      <w:r w:rsidRPr="00527717">
        <w:rPr>
          <w:b/>
          <w:bCs/>
          <w:u w:val="single"/>
        </w:rPr>
        <w:t>Abbreviations</w:t>
      </w:r>
    </w:p>
    <w:p w14:paraId="1E7580DF" w14:textId="4763B299" w:rsidR="003B7E96" w:rsidRDefault="000450CA" w:rsidP="003B7E96">
      <w:pPr>
        <w:pStyle w:val="Tablenotes0"/>
      </w:pPr>
      <w:r>
        <w:t xml:space="preserve">ANZDATA = Australia </w:t>
      </w:r>
      <w:r w:rsidR="00A07528">
        <w:t>and</w:t>
      </w:r>
      <w:r>
        <w:t xml:space="preserve"> New Zealand Dialysis </w:t>
      </w:r>
      <w:r w:rsidR="00FA5151">
        <w:t>and</w:t>
      </w:r>
      <w:r>
        <w:t xml:space="preserve"> Transplant R</w:t>
      </w:r>
      <w:r w:rsidR="00EE135E">
        <w:t xml:space="preserve">egistry, ANZKX = Australian and New Zealand Paired Kidney Exchange, </w:t>
      </w:r>
      <w:r w:rsidR="00556C5C">
        <w:t xml:space="preserve">AUS-UTT-A = Australia – </w:t>
      </w:r>
      <w:r w:rsidR="00FA5151">
        <w:t>u</w:t>
      </w:r>
      <w:r w:rsidR="00556C5C">
        <w:t xml:space="preserve">nlikely to </w:t>
      </w:r>
      <w:r w:rsidR="00FA5151">
        <w:t>t</w:t>
      </w:r>
      <w:r w:rsidR="00556C5C">
        <w:t xml:space="preserve">ransplant – </w:t>
      </w:r>
      <w:r w:rsidR="00FA5151">
        <w:t>a</w:t>
      </w:r>
      <w:r w:rsidR="00556C5C">
        <w:t xml:space="preserve">gnostic (includes both LD and DD grafts), </w:t>
      </w:r>
      <w:r w:rsidR="003B7E96" w:rsidRPr="003B7E96">
        <w:t xml:space="preserve">cPRA = calculated </w:t>
      </w:r>
      <w:r w:rsidR="00FA5151">
        <w:t>p</w:t>
      </w:r>
      <w:r w:rsidR="003B7E96" w:rsidRPr="003B7E96">
        <w:t xml:space="preserve">anel </w:t>
      </w:r>
      <w:r w:rsidR="00FA5151">
        <w:t>r</w:t>
      </w:r>
      <w:r w:rsidR="003B7E96" w:rsidRPr="003B7E96">
        <w:t xml:space="preserve">eactive </w:t>
      </w:r>
      <w:r w:rsidR="00FA5151">
        <w:t>a</w:t>
      </w:r>
      <w:r w:rsidR="003B7E96" w:rsidRPr="003B7E96">
        <w:t>ntibody test</w:t>
      </w:r>
      <w:r w:rsidR="00374A09">
        <w:t>,</w:t>
      </w:r>
      <w:r>
        <w:t xml:space="preserve"> DD = deceased donor,</w:t>
      </w:r>
      <w:r w:rsidR="009E3E91" w:rsidRPr="009E3E91">
        <w:t xml:space="preserve"> </w:t>
      </w:r>
      <w:r w:rsidR="009E3E91">
        <w:t>HS = highly sensitised,</w:t>
      </w:r>
      <w:r w:rsidR="00374A09">
        <w:t xml:space="preserve"> </w:t>
      </w:r>
      <w:r w:rsidR="00073195">
        <w:t>IVIG = intravenous immunoglobulin</w:t>
      </w:r>
    </w:p>
    <w:p w14:paraId="4A2D897D" w14:textId="1377A217" w:rsidR="00216780" w:rsidRPr="00527717" w:rsidRDefault="00216780" w:rsidP="00EE135E">
      <w:pPr>
        <w:pStyle w:val="Tablenotes0"/>
        <w:rPr>
          <w:b/>
          <w:bCs/>
          <w:u w:val="single"/>
        </w:rPr>
      </w:pPr>
      <w:r>
        <w:rPr>
          <w:b/>
          <w:bCs/>
          <w:u w:val="single"/>
        </w:rPr>
        <w:t>Note</w:t>
      </w:r>
    </w:p>
    <w:p w14:paraId="4F2BDA9B" w14:textId="3E5996C2" w:rsidR="00EE135E" w:rsidRDefault="00EE135E" w:rsidP="00EE135E">
      <w:pPr>
        <w:pStyle w:val="Tablenotes0"/>
      </w:pPr>
      <w:r w:rsidRPr="00EE135E">
        <w:t>*</w:t>
      </w:r>
      <w:r>
        <w:t xml:space="preserve"> The criterion for patients with a living donor needing to have been active on the ANZKX </w:t>
      </w:r>
      <w:r w:rsidR="00073195">
        <w:t>donor transplant</w:t>
      </w:r>
      <w:r w:rsidR="007A5765">
        <w:t xml:space="preserve"> list for at least 2 years was removed </w:t>
      </w:r>
      <w:r w:rsidR="00B0464E">
        <w:t>from the proposed population descriptor, per RTAC advice.</w:t>
      </w:r>
      <w:r w:rsidR="00C53957">
        <w:t>; h</w:t>
      </w:r>
      <w:r w:rsidR="00B0464E">
        <w:t xml:space="preserve">owever, this criterion has been retained for the </w:t>
      </w:r>
      <w:r w:rsidR="00121537">
        <w:t>economic and</w:t>
      </w:r>
      <w:r w:rsidR="00B0464E">
        <w:t xml:space="preserve"> financial analys</w:t>
      </w:r>
      <w:r w:rsidR="00121537">
        <w:t>e</w:t>
      </w:r>
      <w:r w:rsidR="00B0464E">
        <w:t xml:space="preserve">s. </w:t>
      </w:r>
    </w:p>
    <w:p w14:paraId="2031D0E9" w14:textId="77777777" w:rsidR="00216780" w:rsidRDefault="00C378BA" w:rsidP="00EE135E">
      <w:pPr>
        <w:pStyle w:val="Tablenotes0"/>
        <w:rPr>
          <w:b/>
          <w:u w:val="single"/>
        </w:rPr>
      </w:pPr>
      <w:r w:rsidRPr="00527717">
        <w:rPr>
          <w:b/>
          <w:bCs/>
          <w:u w:val="single"/>
        </w:rPr>
        <w:t>Source</w:t>
      </w:r>
    </w:p>
    <w:p w14:paraId="494A081C" w14:textId="082CCF84" w:rsidR="00C53957" w:rsidRDefault="00ED7642" w:rsidP="00EE135E">
      <w:pPr>
        <w:pStyle w:val="Tablenotes0"/>
      </w:pPr>
      <w:r>
        <w:t xml:space="preserve">Adapted from </w:t>
      </w:r>
      <w:r w:rsidRPr="00ED7642">
        <w:t xml:space="preserve">Table </w:t>
      </w:r>
      <w:r>
        <w:t>41</w:t>
      </w:r>
      <w:r w:rsidRPr="00ED7642">
        <w:t>, pp</w:t>
      </w:r>
      <w:r w:rsidR="00C53957">
        <w:t>.</w:t>
      </w:r>
      <w:r w:rsidRPr="00ED7642">
        <w:t xml:space="preserve"> </w:t>
      </w:r>
      <w:r w:rsidR="005E4846">
        <w:t>169</w:t>
      </w:r>
      <w:r w:rsidR="00042839" w:rsidRPr="00042839">
        <w:t>–</w:t>
      </w:r>
      <w:r w:rsidR="005E4846">
        <w:t>172</w:t>
      </w:r>
      <w:r w:rsidRPr="00ED7642">
        <w:t xml:space="preserve"> of the MSAC 1732.1 ADAR+in-line commentary </w:t>
      </w:r>
    </w:p>
    <w:p w14:paraId="2C61BEBC" w14:textId="46B10EEC" w:rsidR="00DD160F" w:rsidRDefault="005175E6" w:rsidP="005175E6">
      <w:r>
        <w:t xml:space="preserve">The </w:t>
      </w:r>
      <w:r w:rsidR="00E252A1">
        <w:t xml:space="preserve">commentary of the </w:t>
      </w:r>
      <w:r w:rsidR="008D7496">
        <w:t xml:space="preserve">2023  </w:t>
      </w:r>
      <w:r w:rsidR="00E252A1">
        <w:t>submission</w:t>
      </w:r>
      <w:r>
        <w:t xml:space="preserve"> raised concerns that the applicant had not considered all relevant costs and benefits from a healthcare system perspective</w:t>
      </w:r>
      <w:r w:rsidR="006F6A61">
        <w:t xml:space="preserve"> (MSAC 1732</w:t>
      </w:r>
      <w:r w:rsidR="00CE7BDF">
        <w:t xml:space="preserve"> PSD</w:t>
      </w:r>
      <w:r w:rsidR="006F6A61">
        <w:t>)</w:t>
      </w:r>
      <w:r>
        <w:t xml:space="preserve">. </w:t>
      </w:r>
      <w:r w:rsidR="00370978">
        <w:t xml:space="preserve">The </w:t>
      </w:r>
      <w:r w:rsidR="00305DD7">
        <w:t>resubmission has maint</w:t>
      </w:r>
      <w:r w:rsidR="00DD160F">
        <w:t xml:space="preserve">ained </w:t>
      </w:r>
      <w:r w:rsidR="00035839">
        <w:t>a</w:t>
      </w:r>
      <w:r w:rsidR="00DD160F">
        <w:t xml:space="preserve"> more limited perspective </w:t>
      </w:r>
      <w:r w:rsidR="000139C8">
        <w:t xml:space="preserve">focused on costs and outcomes within the target population. </w:t>
      </w:r>
    </w:p>
    <w:p w14:paraId="7A6FBC67" w14:textId="26FA9149" w:rsidR="005175E6" w:rsidRDefault="00F80EF9" w:rsidP="005175E6">
      <w:r>
        <w:t>In contrast to the original submission, the base case defined in th</w:t>
      </w:r>
      <w:r w:rsidR="003F04F0">
        <w:t>e 2024</w:t>
      </w:r>
      <w:r>
        <w:t xml:space="preserve"> resubmission </w:t>
      </w:r>
      <w:r w:rsidR="003F04F0">
        <w:t xml:space="preserve">did </w:t>
      </w:r>
      <w:r>
        <w:t xml:space="preserve"> not consider spillover benefits associated with completing </w:t>
      </w:r>
      <w:r w:rsidR="00734FD3">
        <w:t>LD</w:t>
      </w:r>
      <w:r>
        <w:t xml:space="preserve"> chains. In the original ADAR, </w:t>
      </w:r>
      <w:r w:rsidR="005175E6" w:rsidRPr="00BF197E">
        <w:t xml:space="preserve">inclusion of </w:t>
      </w:r>
      <w:r w:rsidR="00AA0EBB">
        <w:t>positive</w:t>
      </w:r>
      <w:r w:rsidR="00AA0EBB" w:rsidRPr="00BF197E">
        <w:t xml:space="preserve"> </w:t>
      </w:r>
      <w:r w:rsidR="00E85044">
        <w:t>spillovers</w:t>
      </w:r>
      <w:r w:rsidR="005175E6" w:rsidRPr="00BF197E">
        <w:t xml:space="preserve"> associated with completion of LD chains contrasted with the exclusion of the potential negative </w:t>
      </w:r>
      <w:r w:rsidR="00E85044">
        <w:t>spillovers</w:t>
      </w:r>
      <w:r w:rsidR="005175E6" w:rsidRPr="00BF197E">
        <w:t xml:space="preserve"> associated with not providing a DD kidney to a non-HS patient on the </w:t>
      </w:r>
      <w:r w:rsidR="004A2E3F">
        <w:t>waitlist</w:t>
      </w:r>
      <w:r w:rsidR="005175E6" w:rsidRPr="00BF197E">
        <w:t xml:space="preserve">. Exclusion of both potential positive and negative </w:t>
      </w:r>
      <w:r w:rsidR="00E85044">
        <w:t>spillovers</w:t>
      </w:r>
      <w:r w:rsidR="005175E6" w:rsidRPr="00BF197E">
        <w:t xml:space="preserve"> from the base case adds consistency relative to the original submission. </w:t>
      </w:r>
      <w:r>
        <w:t xml:space="preserve">The applicant has included a scenario analysis considering both </w:t>
      </w:r>
      <w:r w:rsidR="00B702B4">
        <w:t xml:space="preserve">positive and negative </w:t>
      </w:r>
      <w:r w:rsidR="00E85044">
        <w:t>spillovers</w:t>
      </w:r>
      <w:r w:rsidR="00B702B4">
        <w:t>.</w:t>
      </w:r>
    </w:p>
    <w:p w14:paraId="0047A3A4" w14:textId="32FFC4E2" w:rsidR="00066E8B" w:rsidRDefault="00066E8B" w:rsidP="00527717">
      <w:pPr>
        <w:pStyle w:val="Heading4"/>
      </w:pPr>
      <w:r w:rsidRPr="0033392D">
        <w:t>Model inputs</w:t>
      </w:r>
    </w:p>
    <w:p w14:paraId="0A0D785A" w14:textId="1828B14F" w:rsidR="00C00F44" w:rsidRDefault="007306AE" w:rsidP="00527717">
      <w:pPr>
        <w:pStyle w:val="Heading5"/>
      </w:pPr>
      <w:r>
        <w:t>Transplant rates under current care</w:t>
      </w:r>
    </w:p>
    <w:p w14:paraId="11157561" w14:textId="407E41DD" w:rsidR="007306AE" w:rsidRPr="008013ED" w:rsidRDefault="00146562" w:rsidP="004D7467">
      <w:r w:rsidRPr="003F7204">
        <w:t xml:space="preserve">The </w:t>
      </w:r>
      <w:r w:rsidR="009B28F0">
        <w:t xml:space="preserve">commentary of the </w:t>
      </w:r>
      <w:r w:rsidR="003F04F0">
        <w:t xml:space="preserve">2023 </w:t>
      </w:r>
      <w:r w:rsidR="009B28F0">
        <w:t>submission</w:t>
      </w:r>
      <w:r w:rsidRPr="003F7204">
        <w:t xml:space="preserve"> raised concerns </w:t>
      </w:r>
      <w:r>
        <w:t xml:space="preserve">with the current care transplant rates used in the original submission. The applicant sought data from OrganMatch to better inform this input. </w:t>
      </w:r>
      <w:r w:rsidR="0033392D">
        <w:t>Based on these data,</w:t>
      </w:r>
      <w:r w:rsidR="00A10DF1">
        <w:t xml:space="preserve"> a constant annual transplant rate of 13% </w:t>
      </w:r>
      <w:r w:rsidR="0033392D">
        <w:t xml:space="preserve">was adopted </w:t>
      </w:r>
      <w:r w:rsidR="00295196">
        <w:t xml:space="preserve">in the current care arm of the </w:t>
      </w:r>
      <w:r w:rsidR="003F04F0">
        <w:t>2024 ADAR</w:t>
      </w:r>
      <w:r w:rsidR="00295196">
        <w:t xml:space="preserve"> model.</w:t>
      </w:r>
      <w:r w:rsidR="004D7467">
        <w:t xml:space="preserve"> </w:t>
      </w:r>
      <w:r w:rsidR="0033392D">
        <w:t xml:space="preserve">These data were specific to </w:t>
      </w:r>
      <w:r w:rsidR="00FC56D8">
        <w:t>DD</w:t>
      </w:r>
      <w:r w:rsidR="0033392D">
        <w:t xml:space="preserve"> </w:t>
      </w:r>
      <w:r w:rsidR="004A2E3F">
        <w:t>waitlist</w:t>
      </w:r>
      <w:r w:rsidR="0033392D">
        <w:t xml:space="preserve"> transplant rates. </w:t>
      </w:r>
      <w:r w:rsidR="004D7467">
        <w:t>A</w:t>
      </w:r>
      <w:r w:rsidR="007F4B8C" w:rsidRPr="008013ED">
        <w:t xml:space="preserve">n assumption was made to equate current care transplant rates across LD and DD </w:t>
      </w:r>
      <w:r w:rsidR="004A2E3F">
        <w:t>waitlist</w:t>
      </w:r>
      <w:r w:rsidR="007F4B8C" w:rsidRPr="008013ED">
        <w:t>s</w:t>
      </w:r>
      <w:r w:rsidR="008013ED" w:rsidRPr="008013ED">
        <w:t xml:space="preserve">. </w:t>
      </w:r>
      <w:r w:rsidR="004D7467">
        <w:t>S</w:t>
      </w:r>
      <w:r w:rsidR="008013ED" w:rsidRPr="008013ED">
        <w:t xml:space="preserve">cenario analysis testing an alternate source suggested </w:t>
      </w:r>
      <w:r w:rsidR="004D7467">
        <w:t xml:space="preserve">this assumption </w:t>
      </w:r>
      <w:r w:rsidR="00FE6D0D">
        <w:t xml:space="preserve">had </w:t>
      </w:r>
      <w:r w:rsidR="00D11AF8">
        <w:t>minimal impact</w:t>
      </w:r>
      <w:r w:rsidR="005D2237">
        <w:t>.</w:t>
      </w:r>
    </w:p>
    <w:p w14:paraId="288151E0" w14:textId="369F23D1" w:rsidR="007306AE" w:rsidRPr="008013ED" w:rsidRDefault="00761636" w:rsidP="00527717">
      <w:pPr>
        <w:pStyle w:val="Heading5"/>
      </w:pPr>
      <w:r w:rsidRPr="008013ED">
        <w:t>Treatment efficacy, graft survival and mortality</w:t>
      </w:r>
    </w:p>
    <w:p w14:paraId="58BC9106" w14:textId="35FD10EA" w:rsidR="00D20C47" w:rsidRDefault="00D20C47" w:rsidP="00C00F44">
      <w:pPr>
        <w:rPr>
          <w:color w:val="000000" w:themeColor="text1"/>
        </w:rPr>
      </w:pPr>
      <w:r>
        <w:rPr>
          <w:color w:val="000000" w:themeColor="text1"/>
        </w:rPr>
        <w:t>Efficacy of imlifidase in the economic evaluation is based on the pooled safety population of 54</w:t>
      </w:r>
      <w:r w:rsidR="00872152">
        <w:rPr>
          <w:color w:val="000000" w:themeColor="text1"/>
        </w:rPr>
        <w:t> </w:t>
      </w:r>
      <w:r>
        <w:rPr>
          <w:color w:val="000000" w:themeColor="text1"/>
        </w:rPr>
        <w:t>patients. In this population, 2 patients did not receive a full dose of imlifidase (due to infusion-related reactions) and were therefore not successfully converted to crossmatch negative, leading to a model base case efficacy of 96.3% successful conversion following treatment with imlifidase.</w:t>
      </w:r>
      <w:r w:rsidR="002803A2">
        <w:rPr>
          <w:color w:val="000000" w:themeColor="text1"/>
        </w:rPr>
        <w:t xml:space="preserve"> The </w:t>
      </w:r>
      <w:r w:rsidR="00A97341">
        <w:t>commentary of the previous submission</w:t>
      </w:r>
      <w:r w:rsidR="002803A2">
        <w:t xml:space="preserve"> </w:t>
      </w:r>
      <w:r w:rsidR="00E025D9">
        <w:rPr>
          <w:color w:val="000000" w:themeColor="text1"/>
        </w:rPr>
        <w:t>agreed with the base case efficacy estimate of 96.3% used in the ADAR.</w:t>
      </w:r>
    </w:p>
    <w:p w14:paraId="65E952B9" w14:textId="7932AA09" w:rsidR="003E354E" w:rsidRDefault="002433AE" w:rsidP="00C00F44">
      <w:pPr>
        <w:rPr>
          <w:color w:val="000000" w:themeColor="text1"/>
        </w:rPr>
      </w:pPr>
      <w:r w:rsidRPr="003E354E">
        <w:rPr>
          <w:color w:val="000000" w:themeColor="text1"/>
        </w:rPr>
        <w:lastRenderedPageBreak/>
        <w:t xml:space="preserve">Patient survival with a functioning graft and death-censored graft survival were estimated based on parametric survival analysis of clinical trial data. </w:t>
      </w:r>
      <w:r w:rsidR="003E354E" w:rsidRPr="003E354E">
        <w:rPr>
          <w:color w:val="000000" w:themeColor="text1"/>
        </w:rPr>
        <w:t xml:space="preserve">The original submission used data from the </w:t>
      </w:r>
      <w:r w:rsidR="00E025D9">
        <w:rPr>
          <w:color w:val="000000" w:themeColor="text1"/>
        </w:rPr>
        <w:t>a</w:t>
      </w:r>
      <w:r w:rsidR="003E354E" w:rsidRPr="003E354E">
        <w:rPr>
          <w:color w:val="000000" w:themeColor="text1"/>
        </w:rPr>
        <w:t xml:space="preserve">ll-transplanted population to inform base case extrapolations. MSAC advised the applicant </w:t>
      </w:r>
      <w:r w:rsidR="00523C28" w:rsidRPr="003E354E">
        <w:rPr>
          <w:color w:val="000000" w:themeColor="text1"/>
        </w:rPr>
        <w:t>to</w:t>
      </w:r>
      <w:r w:rsidR="003E354E" w:rsidRPr="003E354E">
        <w:rPr>
          <w:color w:val="000000" w:themeColor="text1"/>
        </w:rPr>
        <w:t xml:space="preserve"> revise the extrapolation</w:t>
      </w:r>
      <w:r w:rsidR="00CF0F9D">
        <w:rPr>
          <w:color w:val="000000" w:themeColor="text1"/>
        </w:rPr>
        <w:t>s</w:t>
      </w:r>
      <w:r w:rsidR="003E354E" w:rsidRPr="003E354E">
        <w:rPr>
          <w:color w:val="000000" w:themeColor="text1"/>
        </w:rPr>
        <w:t xml:space="preserve"> from clinical data to fit the new proposed population </w:t>
      </w:r>
      <w:r w:rsidR="003E354E">
        <w:rPr>
          <w:color w:val="000000" w:themeColor="text1"/>
        </w:rPr>
        <w:t>(MSAC 1732 PSD</w:t>
      </w:r>
      <w:r w:rsidR="003E354E" w:rsidRPr="003E354E">
        <w:rPr>
          <w:color w:val="000000" w:themeColor="text1"/>
        </w:rPr>
        <w:t xml:space="preserve">). Data from the pooled AUS-UTT-A population has been used to inform the base case modelling. </w:t>
      </w:r>
      <w:r w:rsidR="007642B1" w:rsidRPr="007642B1">
        <w:rPr>
          <w:color w:val="000000" w:themeColor="text1"/>
        </w:rPr>
        <w:t>Despite the smaller sample size (</w:t>
      </w:r>
      <w:r w:rsidR="007642B1">
        <w:rPr>
          <w:color w:val="000000" w:themeColor="text1"/>
        </w:rPr>
        <w:t>n</w:t>
      </w:r>
      <w:r w:rsidR="0052762A">
        <w:rPr>
          <w:color w:val="000000" w:themeColor="text1"/>
        </w:rPr>
        <w:t xml:space="preserve"> </w:t>
      </w:r>
      <w:r w:rsidR="007642B1">
        <w:rPr>
          <w:color w:val="000000" w:themeColor="text1"/>
        </w:rPr>
        <w:t>=</w:t>
      </w:r>
      <w:r w:rsidR="0052762A">
        <w:rPr>
          <w:color w:val="000000" w:themeColor="text1"/>
        </w:rPr>
        <w:t xml:space="preserve"> </w:t>
      </w:r>
      <w:r w:rsidR="007642B1" w:rsidRPr="007642B1">
        <w:rPr>
          <w:color w:val="000000" w:themeColor="text1"/>
        </w:rPr>
        <w:t xml:space="preserve">24 vs </w:t>
      </w:r>
      <w:r w:rsidR="007642B1">
        <w:rPr>
          <w:color w:val="000000" w:themeColor="text1"/>
        </w:rPr>
        <w:t>n</w:t>
      </w:r>
      <w:r w:rsidR="0052762A">
        <w:rPr>
          <w:color w:val="000000" w:themeColor="text1"/>
        </w:rPr>
        <w:t xml:space="preserve"> </w:t>
      </w:r>
      <w:r w:rsidR="007642B1">
        <w:rPr>
          <w:color w:val="000000" w:themeColor="text1"/>
        </w:rPr>
        <w:t>=</w:t>
      </w:r>
      <w:r w:rsidR="0052762A">
        <w:rPr>
          <w:color w:val="000000" w:themeColor="text1"/>
        </w:rPr>
        <w:t xml:space="preserve"> </w:t>
      </w:r>
      <w:r w:rsidR="007642B1" w:rsidRPr="007642B1">
        <w:rPr>
          <w:color w:val="000000" w:themeColor="text1"/>
        </w:rPr>
        <w:t>46), this group better reflects the proposed population</w:t>
      </w:r>
      <w:r w:rsidR="008250F4">
        <w:rPr>
          <w:color w:val="000000" w:themeColor="text1"/>
        </w:rPr>
        <w:t xml:space="preserve"> and is aligned with MSAC advice.</w:t>
      </w:r>
      <w:r w:rsidR="003E354E" w:rsidRPr="003E354E">
        <w:rPr>
          <w:color w:val="000000" w:themeColor="text1"/>
        </w:rPr>
        <w:t xml:space="preserve"> </w:t>
      </w:r>
    </w:p>
    <w:p w14:paraId="55E1AF6E" w14:textId="7E84AE67" w:rsidR="00FF604C" w:rsidRDefault="002433AE" w:rsidP="00C00F44">
      <w:pPr>
        <w:rPr>
          <w:color w:val="000000" w:themeColor="text1"/>
        </w:rPr>
      </w:pPr>
      <w:r>
        <w:rPr>
          <w:color w:val="000000" w:themeColor="text1"/>
        </w:rPr>
        <w:t>Parametric models were fit</w:t>
      </w:r>
      <w:r w:rsidR="0052762A">
        <w:rPr>
          <w:color w:val="000000" w:themeColor="text1"/>
        </w:rPr>
        <w:t>ted</w:t>
      </w:r>
      <w:r>
        <w:rPr>
          <w:color w:val="000000" w:themeColor="text1"/>
        </w:rPr>
        <w:t xml:space="preserve"> </w:t>
      </w:r>
      <w:r w:rsidR="00F1583F">
        <w:rPr>
          <w:color w:val="000000" w:themeColor="text1"/>
        </w:rPr>
        <w:t>to clinical trial data to</w:t>
      </w:r>
      <w:r w:rsidR="008250F4">
        <w:rPr>
          <w:color w:val="000000" w:themeColor="text1"/>
        </w:rPr>
        <w:t xml:space="preserve"> extrapolate</w:t>
      </w:r>
      <w:r w:rsidR="0005062C" w:rsidRPr="0005062C">
        <w:rPr>
          <w:color w:val="000000" w:themeColor="text1"/>
        </w:rPr>
        <w:t xml:space="preserve"> </w:t>
      </w:r>
      <w:r w:rsidR="0005062C">
        <w:rPr>
          <w:color w:val="000000" w:themeColor="text1"/>
        </w:rPr>
        <w:t>graft survival and</w:t>
      </w:r>
      <w:r w:rsidR="008250F4">
        <w:rPr>
          <w:color w:val="000000" w:themeColor="text1"/>
        </w:rPr>
        <w:t xml:space="preserve"> </w:t>
      </w:r>
      <w:r w:rsidR="0005062C">
        <w:rPr>
          <w:color w:val="000000" w:themeColor="text1"/>
        </w:rPr>
        <w:t xml:space="preserve">patient </w:t>
      </w:r>
      <w:r w:rsidR="00732662">
        <w:rPr>
          <w:color w:val="000000" w:themeColor="text1"/>
        </w:rPr>
        <w:t>survival with a functioning graft</w:t>
      </w:r>
      <w:r w:rsidR="0005062C">
        <w:rPr>
          <w:color w:val="000000" w:themeColor="text1"/>
        </w:rPr>
        <w:t xml:space="preserve"> over the model time horizon</w:t>
      </w:r>
      <w:r>
        <w:rPr>
          <w:color w:val="000000" w:themeColor="text1"/>
        </w:rPr>
        <w:t>. The ADAR explored different parametric distributions including exponential, Weibull, log-logistic, log-normal, Gompertz and generalised gamma distributions as candidates.</w:t>
      </w:r>
      <w:r w:rsidR="002850B6">
        <w:rPr>
          <w:color w:val="000000" w:themeColor="text1"/>
        </w:rPr>
        <w:t xml:space="preserve"> </w:t>
      </w:r>
      <w:r w:rsidR="00B329AC">
        <w:rPr>
          <w:color w:val="000000" w:themeColor="text1"/>
        </w:rPr>
        <w:t>Both p</w:t>
      </w:r>
      <w:r w:rsidR="002850B6">
        <w:rPr>
          <w:color w:val="000000" w:themeColor="text1"/>
        </w:rPr>
        <w:t>atient survival with a functioning graft and graft survival were modelled using an exponential distribution</w:t>
      </w:r>
      <w:r w:rsidR="00B329AC">
        <w:rPr>
          <w:color w:val="000000" w:themeColor="text1"/>
        </w:rPr>
        <w:t xml:space="preserve"> in the base case</w:t>
      </w:r>
      <w:r w:rsidR="002850B6">
        <w:rPr>
          <w:color w:val="000000" w:themeColor="text1"/>
        </w:rPr>
        <w:t xml:space="preserve">. The </w:t>
      </w:r>
      <w:r w:rsidR="00EC2088">
        <w:t>commentary of the previous submission</w:t>
      </w:r>
      <w:r w:rsidR="002850B6">
        <w:t xml:space="preserve"> </w:t>
      </w:r>
      <w:r w:rsidR="00470AAF">
        <w:rPr>
          <w:color w:val="000000" w:themeColor="text1"/>
        </w:rPr>
        <w:t>(MSAC 1732)</w:t>
      </w:r>
      <w:r w:rsidR="00897989">
        <w:rPr>
          <w:color w:val="000000" w:themeColor="text1"/>
        </w:rPr>
        <w:t xml:space="preserve"> noted </w:t>
      </w:r>
      <w:r w:rsidR="00897989" w:rsidRPr="00897989">
        <w:rPr>
          <w:color w:val="000000" w:themeColor="text1"/>
        </w:rPr>
        <w:t>the</w:t>
      </w:r>
      <w:r w:rsidR="00897989">
        <w:rPr>
          <w:color w:val="000000" w:themeColor="text1"/>
        </w:rPr>
        <w:t xml:space="preserve"> exponential</w:t>
      </w:r>
      <w:r w:rsidR="00897989" w:rsidRPr="00897989">
        <w:rPr>
          <w:color w:val="000000" w:themeColor="text1"/>
        </w:rPr>
        <w:t xml:space="preserve"> distribution </w:t>
      </w:r>
      <w:r w:rsidR="00491908">
        <w:rPr>
          <w:color w:val="000000" w:themeColor="text1"/>
        </w:rPr>
        <w:t>implies</w:t>
      </w:r>
      <w:r w:rsidR="00897989" w:rsidRPr="00897989">
        <w:rPr>
          <w:color w:val="000000" w:themeColor="text1"/>
        </w:rPr>
        <w:t xml:space="preserve"> a constant risk of graft failure</w:t>
      </w:r>
      <w:r w:rsidR="00491908">
        <w:rPr>
          <w:color w:val="000000" w:themeColor="text1"/>
        </w:rPr>
        <w:t xml:space="preserve">, which </w:t>
      </w:r>
      <w:r w:rsidR="00897989" w:rsidRPr="00897989">
        <w:rPr>
          <w:color w:val="000000" w:themeColor="text1"/>
        </w:rPr>
        <w:t>lacks clinical face validity</w:t>
      </w:r>
      <w:r w:rsidR="00491908">
        <w:rPr>
          <w:color w:val="000000" w:themeColor="text1"/>
        </w:rPr>
        <w:t xml:space="preserve">. </w:t>
      </w:r>
      <w:r w:rsidR="008231D9" w:rsidRPr="008231D9">
        <w:rPr>
          <w:color w:val="000000" w:themeColor="text1"/>
        </w:rPr>
        <w:t>No changes have been made in this resubmission to help readers better understand whether the chosen distributions are aligned with clinical experience in Australia</w:t>
      </w:r>
      <w:r w:rsidR="00B329AC">
        <w:rPr>
          <w:color w:val="000000" w:themeColor="text1"/>
        </w:rPr>
        <w:t>.</w:t>
      </w:r>
      <w:r w:rsidR="00FF604C">
        <w:rPr>
          <w:color w:val="000000" w:themeColor="text1"/>
        </w:rPr>
        <w:t xml:space="preserve"> </w:t>
      </w:r>
    </w:p>
    <w:p w14:paraId="6DD7FF90" w14:textId="46681B08" w:rsidR="002433AE" w:rsidRPr="00C00F44" w:rsidRDefault="00FF604C" w:rsidP="00C00F44">
      <w:r>
        <w:rPr>
          <w:color w:val="000000" w:themeColor="text1"/>
        </w:rPr>
        <w:t xml:space="preserve">The </w:t>
      </w:r>
      <w:r w:rsidR="006F4B96">
        <w:rPr>
          <w:color w:val="000000" w:themeColor="text1"/>
        </w:rPr>
        <w:t xml:space="preserve">ADAR </w:t>
      </w:r>
      <w:r>
        <w:rPr>
          <w:color w:val="000000" w:themeColor="text1"/>
        </w:rPr>
        <w:t>note</w:t>
      </w:r>
      <w:r w:rsidR="006F4B96">
        <w:rPr>
          <w:color w:val="000000" w:themeColor="text1"/>
        </w:rPr>
        <w:t>d</w:t>
      </w:r>
      <w:r>
        <w:rPr>
          <w:color w:val="000000" w:themeColor="text1"/>
        </w:rPr>
        <w:t xml:space="preserve"> th</w:t>
      </w:r>
      <w:r w:rsidR="00087A02">
        <w:rPr>
          <w:color w:val="000000" w:themeColor="text1"/>
        </w:rPr>
        <w:t xml:space="preserve">e exponential </w:t>
      </w:r>
      <w:r w:rsidR="00A37763">
        <w:rPr>
          <w:color w:val="000000" w:themeColor="text1"/>
        </w:rPr>
        <w:t>distribution provides the most conservative extrapolations among the candidate distributions.</w:t>
      </w:r>
    </w:p>
    <w:p w14:paraId="6A53D4DC" w14:textId="1B0316AF" w:rsidR="00A35429" w:rsidRPr="00B329AC" w:rsidRDefault="00F43FAA" w:rsidP="00A35429">
      <w:pPr>
        <w:rPr>
          <w:color w:val="000000" w:themeColor="text1"/>
        </w:rPr>
      </w:pPr>
      <w:r w:rsidRPr="00B329AC">
        <w:rPr>
          <w:color w:val="000000" w:themeColor="text1"/>
        </w:rPr>
        <w:t>D</w:t>
      </w:r>
      <w:r w:rsidR="00C91A1B" w:rsidRPr="00B329AC">
        <w:rPr>
          <w:color w:val="000000" w:themeColor="text1"/>
        </w:rPr>
        <w:t xml:space="preserve">ata informing dialysis survival in the model were sourced from the ANZDATA </w:t>
      </w:r>
      <w:r w:rsidR="00AC52B2">
        <w:rPr>
          <w:color w:val="000000" w:themeColor="text1"/>
        </w:rPr>
        <w:t>46</w:t>
      </w:r>
      <w:r w:rsidR="00AC52B2" w:rsidRPr="00527717">
        <w:rPr>
          <w:color w:val="000000" w:themeColor="text1"/>
        </w:rPr>
        <w:t>th</w:t>
      </w:r>
      <w:r w:rsidR="00AC52B2">
        <w:rPr>
          <w:color w:val="000000" w:themeColor="text1"/>
        </w:rPr>
        <w:t xml:space="preserve"> A</w:t>
      </w:r>
      <w:r w:rsidR="00C91A1B" w:rsidRPr="00B329AC">
        <w:rPr>
          <w:color w:val="000000" w:themeColor="text1"/>
        </w:rPr>
        <w:t xml:space="preserve">nnual </w:t>
      </w:r>
      <w:r w:rsidR="00AC52B2">
        <w:rPr>
          <w:color w:val="000000" w:themeColor="text1"/>
        </w:rPr>
        <w:t>R</w:t>
      </w:r>
      <w:r w:rsidR="00C91A1B" w:rsidRPr="00B329AC">
        <w:rPr>
          <w:color w:val="000000" w:themeColor="text1"/>
        </w:rPr>
        <w:t>eport.</w:t>
      </w:r>
      <w:r w:rsidR="00AC52B2">
        <w:rPr>
          <w:rStyle w:val="FootnoteReference"/>
          <w:color w:val="000000" w:themeColor="text1"/>
        </w:rPr>
        <w:footnoteReference w:id="8"/>
      </w:r>
      <w:r w:rsidR="00C91A1B" w:rsidRPr="00B329AC">
        <w:rPr>
          <w:color w:val="000000" w:themeColor="text1"/>
        </w:rPr>
        <w:t xml:space="preserve"> </w:t>
      </w:r>
      <w:r w:rsidR="00E00865" w:rsidRPr="00B329AC">
        <w:rPr>
          <w:color w:val="000000" w:themeColor="text1"/>
        </w:rPr>
        <w:t xml:space="preserve">Reported death </w:t>
      </w:r>
      <w:r w:rsidR="00D831BE" w:rsidRPr="00B329AC">
        <w:rPr>
          <w:color w:val="000000" w:themeColor="text1"/>
        </w:rPr>
        <w:t>rates were converted into transition probabilities</w:t>
      </w:r>
      <w:r w:rsidR="00F80A55" w:rsidRPr="00B329AC">
        <w:rPr>
          <w:color w:val="000000" w:themeColor="text1"/>
        </w:rPr>
        <w:t>. U</w:t>
      </w:r>
      <w:r w:rsidR="00A35429" w:rsidRPr="00B329AC">
        <w:rPr>
          <w:color w:val="000000" w:themeColor="text1"/>
        </w:rPr>
        <w:t>ncertainties remain due the na</w:t>
      </w:r>
      <w:r w:rsidR="0089117B">
        <w:rPr>
          <w:color w:val="000000" w:themeColor="text1"/>
        </w:rPr>
        <w:t>i</w:t>
      </w:r>
      <w:r w:rsidR="00A35429" w:rsidRPr="00B329AC">
        <w:rPr>
          <w:color w:val="000000" w:themeColor="text1"/>
        </w:rPr>
        <w:t>ve ITC that underpins the comparison. There is a high risk of bias (and resulting uncertainty) due to differences in observed and unobserved prognostic and treatment</w:t>
      </w:r>
      <w:r w:rsidR="007D29B0">
        <w:rPr>
          <w:color w:val="000000" w:themeColor="text1"/>
        </w:rPr>
        <w:t>-</w:t>
      </w:r>
      <w:r w:rsidR="00A35429" w:rsidRPr="00B329AC">
        <w:rPr>
          <w:color w:val="000000" w:themeColor="text1"/>
        </w:rPr>
        <w:t>effect</w:t>
      </w:r>
      <w:r w:rsidR="007D29B0">
        <w:rPr>
          <w:color w:val="000000" w:themeColor="text1"/>
        </w:rPr>
        <w:t>-</w:t>
      </w:r>
      <w:r w:rsidR="00DD15A9" w:rsidRPr="00B329AC">
        <w:rPr>
          <w:color w:val="000000" w:themeColor="text1"/>
        </w:rPr>
        <w:t xml:space="preserve">modifying </w:t>
      </w:r>
      <w:r w:rsidR="00A35429" w:rsidRPr="00B329AC">
        <w:rPr>
          <w:color w:val="000000" w:themeColor="text1"/>
        </w:rPr>
        <w:t xml:space="preserve">variables between patients enrolled in the imlifidase trial program and HS patients in Australia. </w:t>
      </w:r>
    </w:p>
    <w:p w14:paraId="25D072E0" w14:textId="38201078" w:rsidR="003F7994" w:rsidRPr="00F80A55" w:rsidRDefault="009A1E6B" w:rsidP="00527717">
      <w:pPr>
        <w:pStyle w:val="Heading5"/>
      </w:pPr>
      <w:r>
        <w:t>Treatment costs</w:t>
      </w:r>
    </w:p>
    <w:p w14:paraId="4986FB94" w14:textId="467B56A9" w:rsidR="00AC519D" w:rsidRDefault="00A35429" w:rsidP="000333B0">
      <w:r w:rsidRPr="00367F02">
        <w:t xml:space="preserve">MSAC </w:t>
      </w:r>
      <w:r w:rsidRPr="00DE65C3">
        <w:t>advised the applicant would need to restrict payment to a single dose (2 vials only) before resubmission (MSAC 1732 PSD). This advice has been adopted, with a price per patient</w:t>
      </w:r>
      <w:r w:rsidR="004D25B3" w:rsidRPr="00DE65C3">
        <w:t>—</w:t>
      </w:r>
      <w:r w:rsidRPr="00DE65C3">
        <w:t xml:space="preserve">estimated at the cost of 2 vials </w:t>
      </w:r>
      <w:r w:rsidR="004D25B3" w:rsidRPr="00DE65C3">
        <w:t>and incorporating</w:t>
      </w:r>
      <w:r w:rsidRPr="00DE65C3">
        <w:t xml:space="preserve"> a</w:t>
      </w:r>
      <w:r w:rsidR="000333B0" w:rsidRPr="00DE65C3">
        <w:t xml:space="preserve"> </w:t>
      </w:r>
      <w:r w:rsidR="00B13B4F" w:rsidRPr="009E2F9F">
        <w:rPr>
          <w:b/>
          <w:bCs/>
        </w:rPr>
        <w:t>redacted</w:t>
      </w:r>
      <w:r w:rsidRPr="00DE65C3">
        <w:t>% discount</w:t>
      </w:r>
      <w:r w:rsidR="000333B0" w:rsidRPr="00DE65C3">
        <w:t xml:space="preserve"> on the</w:t>
      </w:r>
      <w:r w:rsidR="004D25B3" w:rsidRPr="00DE65C3">
        <w:t xml:space="preserve"> $</w:t>
      </w:r>
      <w:r w:rsidR="00B13B4F" w:rsidRPr="00DE65C3">
        <w:rPr>
          <w:b/>
          <w:bCs/>
        </w:rPr>
        <w:t>redacted</w:t>
      </w:r>
      <w:r w:rsidR="004D25B3" w:rsidRPr="00DE65C3">
        <w:t>/vial</w:t>
      </w:r>
      <w:r w:rsidR="000333B0" w:rsidRPr="00DE65C3">
        <w:t xml:space="preserve"> price</w:t>
      </w:r>
      <w:r w:rsidR="00736453" w:rsidRPr="00DE65C3">
        <w:t xml:space="preserve"> (irrespective of the number of vials or doses received in </w:t>
      </w:r>
      <w:r w:rsidR="003811F6" w:rsidRPr="00DE65C3">
        <w:t>practice)</w:t>
      </w:r>
      <w:r w:rsidRPr="00DE65C3">
        <w:t xml:space="preserve">. </w:t>
      </w:r>
      <w:r w:rsidR="004D25B3" w:rsidRPr="00DE65C3">
        <w:t>The per</w:t>
      </w:r>
      <w:r w:rsidR="00767C2C" w:rsidRPr="00DE65C3">
        <w:t>-</w:t>
      </w:r>
      <w:r w:rsidR="004D25B3" w:rsidRPr="00DE65C3">
        <w:t>patient</w:t>
      </w:r>
      <w:r w:rsidRPr="00DE65C3">
        <w:t xml:space="preserve"> cost </w:t>
      </w:r>
      <w:r w:rsidR="004D25B3" w:rsidRPr="00DE65C3">
        <w:t>of</w:t>
      </w:r>
      <w:r w:rsidRPr="00DE65C3">
        <w:t xml:space="preserve"> $</w:t>
      </w:r>
      <w:r w:rsidR="00B13B4F" w:rsidRPr="00DE65C3">
        <w:rPr>
          <w:b/>
          <w:bCs/>
        </w:rPr>
        <w:t>redacted</w:t>
      </w:r>
      <w:r w:rsidR="00B13B4F" w:rsidRPr="009E2F9F" w:rsidDel="00B13B4F">
        <w:t xml:space="preserve"> </w:t>
      </w:r>
      <w:r w:rsidRPr="00DE65C3">
        <w:t xml:space="preserve">is </w:t>
      </w:r>
      <w:r w:rsidR="00B13B4F" w:rsidRPr="00DE65C3">
        <w:rPr>
          <w:b/>
          <w:bCs/>
        </w:rPr>
        <w:t>redacted</w:t>
      </w:r>
      <w:r w:rsidRPr="00DE65C3">
        <w:t>% lower than the cost proposed in the original submission (</w:t>
      </w:r>
      <w:r w:rsidR="004D25B3" w:rsidRPr="00DE65C3">
        <w:t xml:space="preserve">average of </w:t>
      </w:r>
      <w:r w:rsidRPr="00DE65C3">
        <w:t>$</w:t>
      </w:r>
      <w:r w:rsidR="00B13B4F" w:rsidRPr="00DE65C3">
        <w:rPr>
          <w:b/>
          <w:bCs/>
        </w:rPr>
        <w:t>redacted</w:t>
      </w:r>
      <w:r w:rsidR="00B13B4F" w:rsidRPr="009E2F9F" w:rsidDel="00B13B4F">
        <w:t xml:space="preserve"> </w:t>
      </w:r>
      <w:r w:rsidR="004D25B3" w:rsidRPr="00DE65C3">
        <w:t>per patient</w:t>
      </w:r>
      <w:r w:rsidRPr="00367F02">
        <w:t xml:space="preserve">). </w:t>
      </w:r>
    </w:p>
    <w:p w14:paraId="3AA2C0CD" w14:textId="1C77031C" w:rsidR="00583064" w:rsidRPr="00367F02" w:rsidRDefault="004540DF" w:rsidP="000333B0">
      <w:r>
        <w:t>The recommended dose of imlifidase is 0.25</w:t>
      </w:r>
      <w:r w:rsidR="00C727B3">
        <w:t> </w:t>
      </w:r>
      <w:r>
        <w:t>mg/kg; each vial contains 11</w:t>
      </w:r>
      <w:r w:rsidR="00C727B3">
        <w:t> </w:t>
      </w:r>
      <w:r>
        <w:t>mg.</w:t>
      </w:r>
      <w:r w:rsidR="000B3AE0">
        <w:rPr>
          <w:rStyle w:val="FootnoteReference"/>
        </w:rPr>
        <w:footnoteReference w:id="9"/>
      </w:r>
      <w:r>
        <w:t xml:space="preserve"> </w:t>
      </w:r>
      <w:r w:rsidR="00FD7590">
        <w:t>For context, t</w:t>
      </w:r>
      <w:r>
        <w:t>he</w:t>
      </w:r>
      <w:r w:rsidR="00A02EB3">
        <w:t xml:space="preserve"> original ADAR used a weight-based costing approach informed by patient weight in the pooled imlifidase trial </w:t>
      </w:r>
      <w:r w:rsidR="00A02EB3" w:rsidRPr="00DE65C3">
        <w:t>population (</w:t>
      </w:r>
      <w:r w:rsidR="00CE0C46" w:rsidRPr="00DE65C3">
        <w:t>weighted average of 2.09 vials</w:t>
      </w:r>
      <w:r w:rsidR="00923A5E" w:rsidRPr="00DE65C3">
        <w:t>/patient</w:t>
      </w:r>
      <w:r w:rsidR="00AD6284" w:rsidRPr="00DE65C3">
        <w:t>/</w:t>
      </w:r>
      <w:r w:rsidR="00923A5E" w:rsidRPr="00DE65C3">
        <w:t>dose</w:t>
      </w:r>
      <w:r w:rsidR="00A02EB3" w:rsidRPr="00DE65C3">
        <w:t xml:space="preserve">). It also considered that 6.5% of patients require a second dose before transplant. </w:t>
      </w:r>
      <w:r w:rsidR="00C220DA" w:rsidRPr="00DE65C3">
        <w:t xml:space="preserve">The </w:t>
      </w:r>
      <w:r w:rsidR="00192DC1" w:rsidRPr="00DE65C3">
        <w:t xml:space="preserve">amended costing structure </w:t>
      </w:r>
      <w:r w:rsidR="00C220DA" w:rsidRPr="00DE65C3">
        <w:t xml:space="preserve">presented in the ADAR </w:t>
      </w:r>
      <w:r w:rsidR="002F1FD2" w:rsidRPr="00DE65C3">
        <w:t>is driven by changes to the</w:t>
      </w:r>
      <w:r w:rsidR="00192DC1" w:rsidRPr="00DE65C3">
        <w:t xml:space="preserve"> proposed funding arrangements but should not impact</w:t>
      </w:r>
      <w:r w:rsidR="004821CA" w:rsidRPr="00DE65C3">
        <w:t xml:space="preserve"> </w:t>
      </w:r>
      <w:r w:rsidR="004821CA" w:rsidRPr="009E2F9F">
        <w:rPr>
          <w:b/>
          <w:bCs/>
        </w:rPr>
        <w:t>redacted</w:t>
      </w:r>
      <w:r w:rsidR="00192DC1" w:rsidRPr="009E2F9F">
        <w:t>.</w:t>
      </w:r>
    </w:p>
    <w:p w14:paraId="510ED5E3" w14:textId="1CBF1620" w:rsidR="00495ABF" w:rsidRPr="001E3DB1" w:rsidRDefault="00184CB2" w:rsidP="00F80A55">
      <w:r w:rsidRPr="001E3DB1">
        <w:t xml:space="preserve">For comparative purposes, the </w:t>
      </w:r>
      <w:r w:rsidR="00FC0389">
        <w:t xml:space="preserve">assessment group </w:t>
      </w:r>
      <w:r w:rsidRPr="001E3DB1">
        <w:t xml:space="preserve">has estimated the ICER using the original weight-based dosing </w:t>
      </w:r>
      <w:r w:rsidR="00A35429" w:rsidRPr="001E3DB1">
        <w:t>approach (</w:t>
      </w:r>
      <w:r w:rsidRPr="001E3DB1">
        <w:t>incorporating the</w:t>
      </w:r>
      <w:r w:rsidR="00A35429" w:rsidRPr="001E3DB1">
        <w:t xml:space="preserve"> </w:t>
      </w:r>
      <w:r w:rsidR="007110CD" w:rsidRPr="009E2F9F">
        <w:rPr>
          <w:b/>
        </w:rPr>
        <w:t>redacted</w:t>
      </w:r>
      <w:r w:rsidR="00A35429" w:rsidRPr="001E3DB1">
        <w:t>% discount on the price/vial)</w:t>
      </w:r>
      <w:r w:rsidRPr="001E3DB1">
        <w:t>.</w:t>
      </w:r>
      <w:r w:rsidR="002B775E">
        <w:t xml:space="preserve"> </w:t>
      </w:r>
    </w:p>
    <w:p w14:paraId="0CA6CFAE" w14:textId="3FD03425" w:rsidR="0098068F" w:rsidRPr="001E3DB1" w:rsidRDefault="0098068F" w:rsidP="00F80A55">
      <w:r>
        <w:t xml:space="preserve">A small percentage of patients may be unable to proceed with treatment due to infusion-related reactions and </w:t>
      </w:r>
      <w:r w:rsidR="00363FA8">
        <w:t xml:space="preserve">may </w:t>
      </w:r>
      <w:r>
        <w:t xml:space="preserve">not be administered a full dose. In the </w:t>
      </w:r>
      <w:r>
        <w:rPr>
          <w:color w:val="000000" w:themeColor="text1"/>
        </w:rPr>
        <w:t>pooled safety population (</w:t>
      </w:r>
      <w:r w:rsidR="00B42CCC">
        <w:rPr>
          <w:color w:val="000000" w:themeColor="text1"/>
        </w:rPr>
        <w:t>N</w:t>
      </w:r>
      <w:r w:rsidR="00884ADB">
        <w:rPr>
          <w:color w:val="000000" w:themeColor="text1"/>
        </w:rPr>
        <w:t> = </w:t>
      </w:r>
      <w:r>
        <w:rPr>
          <w:color w:val="000000" w:themeColor="text1"/>
        </w:rPr>
        <w:t>54)</w:t>
      </w:r>
      <w:r>
        <w:t xml:space="preserve">, </w:t>
      </w:r>
      <w:r>
        <w:rPr>
          <w:color w:val="000000" w:themeColor="text1"/>
        </w:rPr>
        <w:lastRenderedPageBreak/>
        <w:t>2</w:t>
      </w:r>
      <w:r w:rsidR="00872152">
        <w:rPr>
          <w:color w:val="000000" w:themeColor="text1"/>
        </w:rPr>
        <w:t> </w:t>
      </w:r>
      <w:r>
        <w:rPr>
          <w:color w:val="000000" w:themeColor="text1"/>
        </w:rPr>
        <w:t>(3.7%) patients did not receive a full dose of imlifidase due to infusion-related reactions</w:t>
      </w:r>
      <w:r>
        <w:t>. The number of vials that would be reimbursed should a patient only be administered 1 vial is unclear.</w:t>
      </w:r>
    </w:p>
    <w:p w14:paraId="459FCCB7" w14:textId="3583D14A" w:rsidR="00DB7DB3" w:rsidRDefault="0052072D" w:rsidP="00DB7DB3">
      <w:r w:rsidRPr="001E3DB1">
        <w:t>MSAC advised that before resubmission, the applicant would need to include costs of additional immunological testing and other implementation challenges</w:t>
      </w:r>
      <w:r w:rsidR="001E3DB1" w:rsidRPr="001E3DB1">
        <w:t xml:space="preserve"> (MSAC 17</w:t>
      </w:r>
      <w:r w:rsidR="00321F2F">
        <w:t>32</w:t>
      </w:r>
      <w:r w:rsidR="001E3DB1" w:rsidRPr="001E3DB1">
        <w:t xml:space="preserve"> PSD)</w:t>
      </w:r>
      <w:r w:rsidRPr="001E3DB1">
        <w:t xml:space="preserve">. The </w:t>
      </w:r>
      <w:r w:rsidR="003F04F0">
        <w:t>2024</w:t>
      </w:r>
      <w:r w:rsidRPr="001E3DB1">
        <w:t xml:space="preserve"> </w:t>
      </w:r>
      <w:r w:rsidR="0098068F">
        <w:t>ADAR</w:t>
      </w:r>
      <w:r w:rsidRPr="001E3DB1">
        <w:t xml:space="preserve"> has considered this by adding costs for an additional 8 Luminex tests. No additional changes have been made to the administration or monitoring costs. It is unclear whether this change is sufficient to address MSAC’s concerns. The </w:t>
      </w:r>
      <w:r w:rsidR="0053548C">
        <w:t>commentary</w:t>
      </w:r>
      <w:r w:rsidR="00FC0389">
        <w:t xml:space="preserve"> </w:t>
      </w:r>
      <w:r w:rsidRPr="001E3DB1">
        <w:t>notes that the impact of increasing the number of Luminex tests has a small impact on the ICER</w:t>
      </w:r>
      <w:r w:rsidR="003E287B">
        <w:t xml:space="preserve">. </w:t>
      </w:r>
    </w:p>
    <w:p w14:paraId="02A0684D" w14:textId="5DCBF292" w:rsidR="002F6E06" w:rsidRPr="00F54190" w:rsidRDefault="00C10FC8" w:rsidP="00527717">
      <w:r>
        <w:t xml:space="preserve">Alternate costing approaches for both transplant costs and dialysis costs were explored in the ADAR. </w:t>
      </w:r>
      <w:r w:rsidR="008306F4" w:rsidRPr="008306F4">
        <w:t xml:space="preserve">The </w:t>
      </w:r>
      <w:r w:rsidR="0053548C">
        <w:t>commentary of the previous submission</w:t>
      </w:r>
      <w:r w:rsidR="008306F4" w:rsidRPr="008306F4">
        <w:t xml:space="preserve"> (MSAC 1732) noted that the choice between the applicant’s micro-costing approach and </w:t>
      </w:r>
      <w:r w:rsidR="008306F4">
        <w:t>inflation-adjusted</w:t>
      </w:r>
      <w:r w:rsidR="008306F4" w:rsidRPr="008306F4">
        <w:t xml:space="preserve"> Kidney Health Australia (KHA) estimated costs has a material impact on the ICER. The micro-costing </w:t>
      </w:r>
      <w:r w:rsidR="001734F5">
        <w:t xml:space="preserve">approaches </w:t>
      </w:r>
      <w:r w:rsidR="00EE15F4">
        <w:t>were</w:t>
      </w:r>
      <w:r w:rsidR="001734F5">
        <w:t xml:space="preserve"> selected for the base case model. The micro-costing </w:t>
      </w:r>
      <w:r w:rsidR="00896656">
        <w:t>calculations</w:t>
      </w:r>
      <w:r>
        <w:t xml:space="preserve"> </w:t>
      </w:r>
      <w:r w:rsidR="008306F4" w:rsidRPr="008306F4">
        <w:t>for transplant costs and dialysis costs both favour imlifidase relative to the inflation-adjusted KHA costs</w:t>
      </w:r>
      <w:r w:rsidR="00896656">
        <w:t>.</w:t>
      </w:r>
      <w:r w:rsidR="002F6E06">
        <w:t xml:space="preserve"> </w:t>
      </w:r>
    </w:p>
    <w:p w14:paraId="5ECE0A3E" w14:textId="16275E06" w:rsidR="002F6E06" w:rsidRPr="00F54190" w:rsidRDefault="002F6E06" w:rsidP="002F6E06">
      <w:pPr>
        <w:jc w:val="both"/>
      </w:pPr>
      <w:r w:rsidRPr="004A76B4">
        <w:t xml:space="preserve">With respect to post-transplant care, the </w:t>
      </w:r>
      <w:r w:rsidR="0053548C" w:rsidRPr="004A76B4">
        <w:t>ADAR’s</w:t>
      </w:r>
      <w:r w:rsidRPr="004A76B4">
        <w:t xml:space="preserve"> micro-costing approach only include</w:t>
      </w:r>
      <w:r w:rsidR="00516C3F" w:rsidRPr="004A76B4">
        <w:t>d</w:t>
      </w:r>
      <w:r w:rsidRPr="004A76B4">
        <w:t xml:space="preserve"> costs for post-transplant nephrologist visits (MBS item 116, $</w:t>
      </w:r>
      <w:r w:rsidRPr="009E2F9F">
        <w:t>84.35</w:t>
      </w:r>
      <w:r w:rsidRPr="004A76B4">
        <w:t>). The inflation-adjusted KHA post-transplant care costs are considerably higher: $</w:t>
      </w:r>
      <w:r w:rsidRPr="009E2F9F">
        <w:t>22,928</w:t>
      </w:r>
      <w:r w:rsidRPr="004A76B4">
        <w:t xml:space="preserve"> over the first 12 months and $</w:t>
      </w:r>
      <w:r w:rsidRPr="009E2F9F">
        <w:t>2,384</w:t>
      </w:r>
      <w:r w:rsidRPr="004A76B4">
        <w:t xml:space="preserve"> per year subsequently ($</w:t>
      </w:r>
      <w:r w:rsidRPr="009E2F9F">
        <w:t>1,192</w:t>
      </w:r>
      <w:r w:rsidRPr="004A76B4">
        <w:t xml:space="preserve"> per cycle) relative to $</w:t>
      </w:r>
      <w:r w:rsidRPr="009E2F9F">
        <w:t>2,868</w:t>
      </w:r>
      <w:r w:rsidRPr="004A76B4">
        <w:t xml:space="preserve"> over the first 12 months and $</w:t>
      </w:r>
      <w:r w:rsidRPr="009E2F9F">
        <w:t>254</w:t>
      </w:r>
      <w:r w:rsidRPr="004A76B4">
        <w:t xml:space="preserve"> per year thereafter ($</w:t>
      </w:r>
      <w:r w:rsidRPr="009E2F9F">
        <w:t>127</w:t>
      </w:r>
      <w:r w:rsidRPr="004A76B4">
        <w:t xml:space="preserve"> per cycle) (ADAR</w:t>
      </w:r>
      <w:r w:rsidR="00A73B1E">
        <w:t>+in</w:t>
      </w:r>
      <w:r w:rsidR="005277BD">
        <w:t>-line commentary</w:t>
      </w:r>
      <w:r w:rsidRPr="00F54190">
        <w:t xml:space="preserve"> Table 68).</w:t>
      </w:r>
      <w:r w:rsidR="009442BD">
        <w:t xml:space="preserve"> An</w:t>
      </w:r>
      <w:r w:rsidR="009442BD" w:rsidRPr="00F54190">
        <w:t xml:space="preserve"> additional scenario in which the number of post-transplant visits is doubled in the first 6 months post transplantation</w:t>
      </w:r>
      <w:r w:rsidR="009442BD">
        <w:t xml:space="preserve"> was added </w:t>
      </w:r>
      <w:r w:rsidR="007122E6">
        <w:t>in</w:t>
      </w:r>
      <w:r w:rsidR="009442BD">
        <w:t xml:space="preserve"> the resubmission</w:t>
      </w:r>
      <w:r w:rsidR="009442BD" w:rsidRPr="00F54190">
        <w:t>. This increased the ICER only slightly (ADAR</w:t>
      </w:r>
      <w:r w:rsidR="00271DE3">
        <w:t>+in-line commentary</w:t>
      </w:r>
      <w:r w:rsidR="009442BD" w:rsidRPr="00F54190">
        <w:t xml:space="preserve"> Table 84).</w:t>
      </w:r>
    </w:p>
    <w:p w14:paraId="03BE000D" w14:textId="38A31BAD" w:rsidR="00D25EB4" w:rsidRDefault="00DD5825" w:rsidP="00527717">
      <w:pPr>
        <w:pStyle w:val="Heading4"/>
      </w:pPr>
      <w:r>
        <w:t xml:space="preserve">Model </w:t>
      </w:r>
      <w:r w:rsidR="009E009E">
        <w:t>v</w:t>
      </w:r>
      <w:r w:rsidR="005C1A9F">
        <w:t>alidation</w:t>
      </w:r>
    </w:p>
    <w:p w14:paraId="58FD5E58" w14:textId="34B74C54" w:rsidR="009162C1" w:rsidRDefault="009162C1" w:rsidP="00275F81">
      <w:r w:rsidRPr="00296FD5">
        <w:t xml:space="preserve">The </w:t>
      </w:r>
      <w:r w:rsidR="00F872E2">
        <w:t xml:space="preserve">commentary of the previous submission </w:t>
      </w:r>
      <w:r w:rsidR="00D56A23">
        <w:t>(MSAC 1732)</w:t>
      </w:r>
      <w:r w:rsidR="00A66D02">
        <w:t xml:space="preserve"> </w:t>
      </w:r>
      <w:r>
        <w:t xml:space="preserve">noted that no validation demonstrating that predicted outcomes align with clinical expectations or registry data were provided. The </w:t>
      </w:r>
      <w:r w:rsidR="003F04F0">
        <w:t>2023</w:t>
      </w:r>
      <w:r w:rsidR="003A10E5">
        <w:t xml:space="preserve"> commentary</w:t>
      </w:r>
      <w:r w:rsidR="00FC0389">
        <w:t xml:space="preserve"> </w:t>
      </w:r>
      <w:r>
        <w:t>questioned why the applicant based the economic model on uncertain extrapolations of potentially biased clinical trial data (following from a na</w:t>
      </w:r>
      <w:r w:rsidR="00E532F3">
        <w:t>i</w:t>
      </w:r>
      <w:r>
        <w:t xml:space="preserve">ve ITC) rather than using Australian registry data. </w:t>
      </w:r>
    </w:p>
    <w:p w14:paraId="0B19471D" w14:textId="101AD22D" w:rsidR="009162C1" w:rsidRDefault="009162C1" w:rsidP="00275F81">
      <w:r>
        <w:t>The applicant has responded by adding 2 external validations</w:t>
      </w:r>
      <w:r w:rsidR="008438C4">
        <w:t xml:space="preserve"> to the resubmission comparing</w:t>
      </w:r>
      <w:r>
        <w:t>:</w:t>
      </w:r>
    </w:p>
    <w:p w14:paraId="63C9E1A6" w14:textId="41AF47E8" w:rsidR="009162C1" w:rsidRDefault="00EB360A" w:rsidP="0033037C">
      <w:pPr>
        <w:pStyle w:val="ListParagraph"/>
        <w:numPr>
          <w:ilvl w:val="0"/>
          <w:numId w:val="15"/>
        </w:numPr>
      </w:pPr>
      <w:r>
        <w:t>t</w:t>
      </w:r>
      <w:r w:rsidR="009162C1">
        <w:t>he proportion of patients alive (not in the ‘dead</w:t>
      </w:r>
      <w:r w:rsidR="008438C4">
        <w:t xml:space="preserve">’ </w:t>
      </w:r>
      <w:r w:rsidR="009162C1">
        <w:t xml:space="preserve">health state) </w:t>
      </w:r>
      <w:r w:rsidR="008438C4">
        <w:t>in</w:t>
      </w:r>
      <w:r w:rsidR="009162C1">
        <w:t xml:space="preserve"> the imlifidase model arm vs ANZDATA overall patient survival data for patients receiving a second or subsequent transplant</w:t>
      </w:r>
      <w:r w:rsidR="00275F81">
        <w:t xml:space="preserve"> (up to 20 years)</w:t>
      </w:r>
    </w:p>
    <w:p w14:paraId="52E28D66" w14:textId="7C666B4A" w:rsidR="009162C1" w:rsidRDefault="00EB360A" w:rsidP="0033037C">
      <w:pPr>
        <w:pStyle w:val="ListParagraph"/>
        <w:numPr>
          <w:ilvl w:val="0"/>
          <w:numId w:val="15"/>
        </w:numPr>
      </w:pPr>
      <w:r>
        <w:t>t</w:t>
      </w:r>
      <w:r w:rsidR="009162C1">
        <w:t>he proportion of patients in the functioning graft health state (post-imlifidase-enabled transplant) vs ANZDATA graft survival data for patients receiving a second or subsequent transplant</w:t>
      </w:r>
      <w:r w:rsidR="00275F81">
        <w:t xml:space="preserve"> (up to 20 years).</w:t>
      </w:r>
    </w:p>
    <w:p w14:paraId="15E43FE2" w14:textId="24F3F81F" w:rsidR="004902C4" w:rsidRDefault="00622715" w:rsidP="00275F81">
      <w:r>
        <w:t xml:space="preserve">The </w:t>
      </w:r>
      <w:r w:rsidR="003A10E5">
        <w:t>ADAR</w:t>
      </w:r>
      <w:r>
        <w:t xml:space="preserve"> explained </w:t>
      </w:r>
      <w:r w:rsidR="00275F81">
        <w:t>that</w:t>
      </w:r>
      <w:r>
        <w:t xml:space="preserve"> </w:t>
      </w:r>
      <w:r w:rsidR="00275F81">
        <w:t>the</w:t>
      </w:r>
      <w:r>
        <w:t xml:space="preserve"> ANZDATA could not inform model transitions </w:t>
      </w:r>
      <w:r w:rsidR="00275F81">
        <w:t xml:space="preserve">because </w:t>
      </w:r>
      <w:r>
        <w:t>published graft survival is not death censored</w:t>
      </w:r>
      <w:r w:rsidR="00723EA1">
        <w:t>,</w:t>
      </w:r>
      <w:r w:rsidR="00275F81">
        <w:t xml:space="preserve"> and</w:t>
      </w:r>
      <w:r>
        <w:t xml:space="preserve"> published patient survival reflects overall survival not survival with a functioning graft. </w:t>
      </w:r>
      <w:r w:rsidR="00D42976">
        <w:t xml:space="preserve">The validations performed showed the model predictions </w:t>
      </w:r>
      <w:r w:rsidR="0057417F">
        <w:t>to be realistic (</w:t>
      </w:r>
      <w:r w:rsidR="00BF5A54">
        <w:t>modelled patient</w:t>
      </w:r>
      <w:r w:rsidR="0057417F">
        <w:t xml:space="preserve"> survival</w:t>
      </w:r>
      <w:r w:rsidR="002F0671">
        <w:t xml:space="preserve"> and graft survival</w:t>
      </w:r>
      <w:r w:rsidR="0057417F">
        <w:t xml:space="preserve"> </w:t>
      </w:r>
      <w:r w:rsidR="00961CE1">
        <w:t xml:space="preserve">equal to or below </w:t>
      </w:r>
      <w:r w:rsidR="008D78D5">
        <w:t xml:space="preserve">the </w:t>
      </w:r>
      <w:r w:rsidR="00A90A6C">
        <w:t>data</w:t>
      </w:r>
      <w:r w:rsidR="008D78D5">
        <w:t xml:space="preserve"> reported by ANZDATA with one exception—at 20 years</w:t>
      </w:r>
      <w:r w:rsidR="00723EA1">
        <w:t>,</w:t>
      </w:r>
      <w:r w:rsidR="008D78D5">
        <w:t xml:space="preserve"> modelled graft survival exceeded </w:t>
      </w:r>
      <w:r w:rsidR="007C10F2">
        <w:t>ANZDATA survival data for DD transplants).</w:t>
      </w:r>
      <w:r w:rsidR="00D42976">
        <w:t xml:space="preserve"> </w:t>
      </w:r>
    </w:p>
    <w:p w14:paraId="428E4A55" w14:textId="4879D65D" w:rsidR="005C1A9F" w:rsidRPr="00275F81" w:rsidRDefault="00275F81" w:rsidP="00275F81">
      <w:r>
        <w:t>The approaches taken and</w:t>
      </w:r>
      <w:r w:rsidR="00F768D7">
        <w:t xml:space="preserve"> the</w:t>
      </w:r>
      <w:r>
        <w:t xml:space="preserve"> rationale for using these data for validation (</w:t>
      </w:r>
      <w:r w:rsidR="001F743D">
        <w:t>compared</w:t>
      </w:r>
      <w:r>
        <w:t xml:space="preserve"> to informing model inputs) are reasonable.</w:t>
      </w:r>
      <w:r w:rsidR="00120C8A">
        <w:t xml:space="preserve"> As noted </w:t>
      </w:r>
      <w:r w:rsidR="003A10E5">
        <w:t>in the ADAR</w:t>
      </w:r>
      <w:r w:rsidR="00120C8A">
        <w:t xml:space="preserve">, </w:t>
      </w:r>
      <w:r w:rsidR="009C0E0B">
        <w:t xml:space="preserve">the reported </w:t>
      </w:r>
      <w:r w:rsidR="004902C4">
        <w:t>20-year</w:t>
      </w:r>
      <w:r w:rsidR="009C0E0B">
        <w:t xml:space="preserve"> data are based on a cohort who were transplanted in 2000</w:t>
      </w:r>
      <w:r w:rsidR="00967994">
        <w:t>–</w:t>
      </w:r>
      <w:r w:rsidR="009C0E0B">
        <w:t>2004</w:t>
      </w:r>
      <w:r w:rsidR="009067DA">
        <w:t xml:space="preserve">, potentially explaining the higher </w:t>
      </w:r>
      <w:r w:rsidR="00566F1B">
        <w:t>graft survival observed in the model at 20 years (transplant outcomes may have improved over time).</w:t>
      </w:r>
    </w:p>
    <w:p w14:paraId="3DB73566" w14:textId="3D221315" w:rsidR="00D97FAC" w:rsidRDefault="00D97FAC" w:rsidP="00527717">
      <w:pPr>
        <w:pStyle w:val="Heading4"/>
      </w:pPr>
      <w:r>
        <w:lastRenderedPageBreak/>
        <w:t>Results</w:t>
      </w:r>
    </w:p>
    <w:p w14:paraId="2C2B8291" w14:textId="27F52880" w:rsidR="008811EE" w:rsidRDefault="00C55ABE" w:rsidP="00DD4F0A">
      <w:r>
        <w:t>Table</w:t>
      </w:r>
      <w:r w:rsidR="0012532E">
        <w:t xml:space="preserve"> 7</w:t>
      </w:r>
      <w:r w:rsidR="00DF5FAF">
        <w:t xml:space="preserve"> </w:t>
      </w:r>
      <w:r w:rsidR="0027531C">
        <w:t xml:space="preserve">presents </w:t>
      </w:r>
      <w:r w:rsidR="00275F81">
        <w:t xml:space="preserve">an abridged summary of </w:t>
      </w:r>
      <w:r w:rsidR="008C2398">
        <w:t>disaggregated cost outcomes</w:t>
      </w:r>
      <w:r w:rsidR="00F57062">
        <w:t>, as estimated by the ADAR.</w:t>
      </w:r>
    </w:p>
    <w:p w14:paraId="577F80BC" w14:textId="0E3CFA99" w:rsidR="00DD4F0A" w:rsidRDefault="00DD4F0A" w:rsidP="00DD4F0A">
      <w:pPr>
        <w:pStyle w:val="Caption"/>
      </w:pPr>
      <w:bookmarkStart w:id="34" w:name="_Ref163648410"/>
      <w:r>
        <w:t xml:space="preserve">Table </w:t>
      </w:r>
      <w:r w:rsidR="009E0604">
        <w:t>7</w:t>
      </w:r>
      <w:bookmarkEnd w:id="34"/>
      <w:r>
        <w:t xml:space="preserve"> </w:t>
      </w:r>
      <w:r w:rsidR="007428B4">
        <w:t xml:space="preserve">Disaggregated cost outcomes by health state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7"/>
        <w:gridCol w:w="1560"/>
        <w:gridCol w:w="1275"/>
        <w:gridCol w:w="1650"/>
      </w:tblGrid>
      <w:tr w:rsidR="00C44C40" w:rsidRPr="00D70A9F" w14:paraId="3A5C318A" w14:textId="77777777" w:rsidTr="00D70A9F">
        <w:trPr>
          <w:tblHeader/>
        </w:trPr>
        <w:tc>
          <w:tcPr>
            <w:tcW w:w="1727" w:type="pct"/>
            <w:shd w:val="clear" w:color="auto" w:fill="auto"/>
          </w:tcPr>
          <w:p w14:paraId="3B904213" w14:textId="77777777" w:rsidR="00C44C40" w:rsidRPr="004A76B4" w:rsidRDefault="00C44C40" w:rsidP="00D70A9F">
            <w:pPr>
              <w:pStyle w:val="TableText"/>
              <w:rPr>
                <w:b/>
                <w:bCs/>
              </w:rPr>
            </w:pPr>
            <w:r w:rsidRPr="004A76B4">
              <w:rPr>
                <w:b/>
                <w:bCs/>
              </w:rPr>
              <w:t>Health state in model</w:t>
            </w:r>
          </w:p>
        </w:tc>
        <w:tc>
          <w:tcPr>
            <w:tcW w:w="786" w:type="pct"/>
            <w:shd w:val="clear" w:color="auto" w:fill="auto"/>
          </w:tcPr>
          <w:p w14:paraId="484C5AED" w14:textId="48930C8D" w:rsidR="00C44C40" w:rsidRPr="004A76B4" w:rsidRDefault="00C44C40" w:rsidP="00D70A9F">
            <w:pPr>
              <w:pStyle w:val="TableText"/>
              <w:rPr>
                <w:b/>
                <w:bCs/>
              </w:rPr>
            </w:pPr>
            <w:r w:rsidRPr="004A76B4">
              <w:rPr>
                <w:b/>
                <w:bCs/>
              </w:rPr>
              <w:t>Imlifidase</w:t>
            </w:r>
          </w:p>
        </w:tc>
        <w:tc>
          <w:tcPr>
            <w:tcW w:w="865" w:type="pct"/>
            <w:shd w:val="clear" w:color="auto" w:fill="auto"/>
          </w:tcPr>
          <w:p w14:paraId="3449181B" w14:textId="36A6397F" w:rsidR="00C44C40" w:rsidRPr="004A76B4" w:rsidRDefault="00C44C40" w:rsidP="00D70A9F">
            <w:pPr>
              <w:pStyle w:val="TableText"/>
              <w:rPr>
                <w:b/>
                <w:bCs/>
              </w:rPr>
            </w:pPr>
            <w:r w:rsidRPr="004A76B4">
              <w:rPr>
                <w:b/>
                <w:bCs/>
              </w:rPr>
              <w:t>Current care</w:t>
            </w:r>
          </w:p>
        </w:tc>
        <w:tc>
          <w:tcPr>
            <w:tcW w:w="707" w:type="pct"/>
            <w:shd w:val="clear" w:color="auto" w:fill="auto"/>
          </w:tcPr>
          <w:p w14:paraId="732E8DC3" w14:textId="05BF64D8" w:rsidR="00C44C40" w:rsidRPr="004A76B4" w:rsidRDefault="00C44C40" w:rsidP="00D70A9F">
            <w:pPr>
              <w:pStyle w:val="TableText"/>
              <w:rPr>
                <w:b/>
                <w:bCs/>
              </w:rPr>
            </w:pPr>
            <w:r w:rsidRPr="004A76B4">
              <w:rPr>
                <w:b/>
                <w:bCs/>
              </w:rPr>
              <w:t>Incremental cost</w:t>
            </w:r>
          </w:p>
        </w:tc>
        <w:tc>
          <w:tcPr>
            <w:tcW w:w="915" w:type="pct"/>
            <w:shd w:val="clear" w:color="auto" w:fill="auto"/>
          </w:tcPr>
          <w:p w14:paraId="5C015664" w14:textId="25DDDAA1" w:rsidR="00C44C40" w:rsidRPr="004A76B4" w:rsidRDefault="00C44C40" w:rsidP="00D70A9F">
            <w:pPr>
              <w:pStyle w:val="TableText"/>
              <w:rPr>
                <w:b/>
                <w:bCs/>
              </w:rPr>
            </w:pPr>
            <w:r w:rsidRPr="004A76B4">
              <w:rPr>
                <w:b/>
                <w:bCs/>
              </w:rPr>
              <w:t>Total incremental cost</w:t>
            </w:r>
            <w:r w:rsidR="004B0BAF" w:rsidRPr="004A76B4">
              <w:rPr>
                <w:b/>
                <w:bCs/>
              </w:rPr>
              <w:t xml:space="preserve"> (%)</w:t>
            </w:r>
          </w:p>
        </w:tc>
      </w:tr>
      <w:tr w:rsidR="00C44C40" w:rsidRPr="00D70A9F" w14:paraId="12A7CB4B" w14:textId="77777777" w:rsidTr="00D70A9F">
        <w:tc>
          <w:tcPr>
            <w:tcW w:w="1727" w:type="pct"/>
            <w:shd w:val="clear" w:color="auto" w:fill="auto"/>
          </w:tcPr>
          <w:p w14:paraId="482345BA" w14:textId="3F751BCE" w:rsidR="00C44C40" w:rsidRPr="004A76B4" w:rsidRDefault="00C44C40" w:rsidP="00D70A9F">
            <w:pPr>
              <w:pStyle w:val="TableText"/>
            </w:pPr>
            <w:r w:rsidRPr="004A76B4">
              <w:t>Model entry: cost of imlifidase treatment (including AEs)</w:t>
            </w:r>
          </w:p>
        </w:tc>
        <w:tc>
          <w:tcPr>
            <w:tcW w:w="786" w:type="pct"/>
            <w:shd w:val="clear" w:color="auto" w:fill="auto"/>
          </w:tcPr>
          <w:p w14:paraId="2DD4A63F" w14:textId="69C09201" w:rsidR="00C44C40" w:rsidRPr="009E2F9F" w:rsidRDefault="002363A4" w:rsidP="00D70A9F">
            <w:pPr>
              <w:pStyle w:val="TableText"/>
              <w:rPr>
                <w:b/>
              </w:rPr>
            </w:pPr>
            <w:r w:rsidRPr="009E2F9F">
              <w:rPr>
                <w:b/>
              </w:rPr>
              <w:t>$</w:t>
            </w:r>
            <w:r w:rsidR="00007BD8" w:rsidRPr="009E2F9F">
              <w:rPr>
                <w:b/>
              </w:rPr>
              <w:t>redacted</w:t>
            </w:r>
          </w:p>
        </w:tc>
        <w:tc>
          <w:tcPr>
            <w:tcW w:w="865" w:type="pct"/>
            <w:shd w:val="clear" w:color="auto" w:fill="auto"/>
          </w:tcPr>
          <w:p w14:paraId="51FA9A39" w14:textId="63DEF5F3" w:rsidR="00C44C40" w:rsidRPr="009E2F9F" w:rsidRDefault="002363A4" w:rsidP="00D70A9F">
            <w:pPr>
              <w:pStyle w:val="TableText"/>
            </w:pPr>
            <w:r w:rsidRPr="009E2F9F">
              <w:t>$</w:t>
            </w:r>
            <w:r w:rsidR="00C44C40" w:rsidRPr="009E2F9F">
              <w:t>0</w:t>
            </w:r>
          </w:p>
        </w:tc>
        <w:tc>
          <w:tcPr>
            <w:tcW w:w="707" w:type="pct"/>
            <w:shd w:val="clear" w:color="auto" w:fill="auto"/>
          </w:tcPr>
          <w:p w14:paraId="15FB66A9" w14:textId="01765FC9" w:rsidR="00C44C40" w:rsidRPr="009E2F9F" w:rsidRDefault="002363A4" w:rsidP="00D70A9F">
            <w:pPr>
              <w:pStyle w:val="TableText"/>
              <w:rPr>
                <w:b/>
              </w:rPr>
            </w:pPr>
            <w:r w:rsidRPr="009E2F9F">
              <w:rPr>
                <w:b/>
              </w:rPr>
              <w:t>$</w:t>
            </w:r>
            <w:r w:rsidR="00007BD8" w:rsidRPr="009E2F9F">
              <w:rPr>
                <w:b/>
              </w:rPr>
              <w:t>redacted</w:t>
            </w:r>
          </w:p>
        </w:tc>
        <w:tc>
          <w:tcPr>
            <w:tcW w:w="915" w:type="pct"/>
            <w:shd w:val="clear" w:color="auto" w:fill="auto"/>
          </w:tcPr>
          <w:p w14:paraId="689E0EB9" w14:textId="425A9EE0" w:rsidR="00C44C40" w:rsidRPr="009E2F9F" w:rsidRDefault="00007BD8" w:rsidP="00D70A9F">
            <w:pPr>
              <w:pStyle w:val="TableText"/>
              <w:rPr>
                <w:b/>
              </w:rPr>
            </w:pPr>
            <w:r w:rsidRPr="009E2F9F">
              <w:rPr>
                <w:b/>
              </w:rPr>
              <w:t>redacted</w:t>
            </w:r>
            <w:r w:rsidR="00C44C40" w:rsidRPr="009E2F9F">
              <w:rPr>
                <w:b/>
              </w:rPr>
              <w:t>%</w:t>
            </w:r>
          </w:p>
        </w:tc>
      </w:tr>
      <w:tr w:rsidR="00C44C40" w:rsidRPr="00D70A9F" w14:paraId="0FD5C0E2" w14:textId="77777777" w:rsidTr="00D70A9F">
        <w:tc>
          <w:tcPr>
            <w:tcW w:w="1727" w:type="pct"/>
            <w:shd w:val="clear" w:color="auto" w:fill="auto"/>
          </w:tcPr>
          <w:p w14:paraId="7D40883E" w14:textId="5ADA6B52" w:rsidR="00C44C40" w:rsidRPr="004A76B4" w:rsidRDefault="00C44C40" w:rsidP="00D70A9F">
            <w:pPr>
              <w:pStyle w:val="TableText"/>
            </w:pPr>
            <w:r w:rsidRPr="004A76B4">
              <w:t>Functioning graft</w:t>
            </w:r>
          </w:p>
        </w:tc>
        <w:tc>
          <w:tcPr>
            <w:tcW w:w="786" w:type="pct"/>
            <w:shd w:val="clear" w:color="auto" w:fill="auto"/>
          </w:tcPr>
          <w:p w14:paraId="33A40EAA" w14:textId="0A4ECD65" w:rsidR="00C44C40" w:rsidRPr="009E2F9F" w:rsidRDefault="002363A4" w:rsidP="00D70A9F">
            <w:pPr>
              <w:pStyle w:val="TableText"/>
            </w:pPr>
            <w:r w:rsidRPr="009E2F9F">
              <w:t>$</w:t>
            </w:r>
            <w:r w:rsidR="00C44C40" w:rsidRPr="009E2F9F" w:rsidDel="00007BD8">
              <w:t>128,330</w:t>
            </w:r>
          </w:p>
        </w:tc>
        <w:tc>
          <w:tcPr>
            <w:tcW w:w="865" w:type="pct"/>
            <w:shd w:val="clear" w:color="auto" w:fill="auto"/>
          </w:tcPr>
          <w:p w14:paraId="37D350F2" w14:textId="7B8E529A" w:rsidR="00C44C40" w:rsidRPr="009E2F9F" w:rsidRDefault="002363A4" w:rsidP="00D70A9F">
            <w:pPr>
              <w:pStyle w:val="TableText"/>
            </w:pPr>
            <w:r w:rsidRPr="009E2F9F">
              <w:t>$</w:t>
            </w:r>
            <w:r w:rsidR="00C44C40" w:rsidRPr="009E2F9F">
              <w:t>39,845</w:t>
            </w:r>
          </w:p>
        </w:tc>
        <w:tc>
          <w:tcPr>
            <w:tcW w:w="707" w:type="pct"/>
            <w:shd w:val="clear" w:color="auto" w:fill="auto"/>
          </w:tcPr>
          <w:p w14:paraId="40D52ECD" w14:textId="5A59DE97" w:rsidR="00C44C40" w:rsidRPr="009E2F9F" w:rsidRDefault="002363A4" w:rsidP="00D70A9F">
            <w:pPr>
              <w:pStyle w:val="TableText"/>
            </w:pPr>
            <w:r w:rsidRPr="009E2F9F">
              <w:t>$</w:t>
            </w:r>
            <w:r w:rsidR="00C44C40" w:rsidRPr="009E2F9F" w:rsidDel="00007BD8">
              <w:t>88,485</w:t>
            </w:r>
          </w:p>
        </w:tc>
        <w:tc>
          <w:tcPr>
            <w:tcW w:w="915" w:type="pct"/>
            <w:shd w:val="clear" w:color="auto" w:fill="auto"/>
          </w:tcPr>
          <w:p w14:paraId="4D7154F9" w14:textId="1EDC9FC4" w:rsidR="00C44C40" w:rsidRPr="009E2F9F" w:rsidRDefault="00C44C40" w:rsidP="00D70A9F">
            <w:pPr>
              <w:pStyle w:val="TableText"/>
            </w:pPr>
            <w:r w:rsidRPr="009E2F9F">
              <w:rPr>
                <w:bCs/>
              </w:rPr>
              <w:t>112%</w:t>
            </w:r>
          </w:p>
        </w:tc>
      </w:tr>
      <w:tr w:rsidR="00C44C40" w:rsidRPr="00D70A9F" w14:paraId="536B6ACE" w14:textId="77777777" w:rsidTr="00D70A9F">
        <w:tc>
          <w:tcPr>
            <w:tcW w:w="1727" w:type="pct"/>
            <w:shd w:val="clear" w:color="auto" w:fill="auto"/>
          </w:tcPr>
          <w:p w14:paraId="20F4E196" w14:textId="0608210C" w:rsidR="00C44C40" w:rsidRPr="004A76B4" w:rsidRDefault="00C44C40" w:rsidP="00D70A9F">
            <w:pPr>
              <w:pStyle w:val="TableText"/>
            </w:pPr>
            <w:r w:rsidRPr="004A76B4">
              <w:t>Dialysis (</w:t>
            </w:r>
            <w:r w:rsidR="00D70A9F" w:rsidRPr="004A76B4">
              <w:t>w</w:t>
            </w:r>
            <w:r w:rsidRPr="004A76B4">
              <w:t>aitlisted or not)</w:t>
            </w:r>
          </w:p>
        </w:tc>
        <w:tc>
          <w:tcPr>
            <w:tcW w:w="786" w:type="pct"/>
            <w:shd w:val="clear" w:color="auto" w:fill="auto"/>
          </w:tcPr>
          <w:p w14:paraId="3C2DD98E" w14:textId="788787CB" w:rsidR="00C44C40" w:rsidRPr="009E2F9F" w:rsidRDefault="002363A4" w:rsidP="00D70A9F">
            <w:pPr>
              <w:pStyle w:val="TableText"/>
            </w:pPr>
            <w:r w:rsidRPr="009E2F9F">
              <w:t>$</w:t>
            </w:r>
            <w:r w:rsidR="00C44C40" w:rsidRPr="009E2F9F" w:rsidDel="00007BD8">
              <w:t>160,554</w:t>
            </w:r>
          </w:p>
        </w:tc>
        <w:tc>
          <w:tcPr>
            <w:tcW w:w="865" w:type="pct"/>
            <w:shd w:val="clear" w:color="auto" w:fill="auto"/>
          </w:tcPr>
          <w:p w14:paraId="45FFF321" w14:textId="1E03CA4B" w:rsidR="00C44C40" w:rsidRPr="009E2F9F" w:rsidRDefault="002363A4" w:rsidP="00D70A9F">
            <w:pPr>
              <w:pStyle w:val="TableText"/>
            </w:pPr>
            <w:r w:rsidRPr="009E2F9F">
              <w:t>$</w:t>
            </w:r>
            <w:r w:rsidR="00C44C40" w:rsidRPr="009E2F9F">
              <w:t>634,497</w:t>
            </w:r>
          </w:p>
        </w:tc>
        <w:tc>
          <w:tcPr>
            <w:tcW w:w="707" w:type="pct"/>
            <w:shd w:val="clear" w:color="auto" w:fill="auto"/>
          </w:tcPr>
          <w:p w14:paraId="071F0AF7" w14:textId="74CAB339" w:rsidR="00C44C40" w:rsidRPr="009E2F9F" w:rsidRDefault="00C44C40" w:rsidP="00D70A9F">
            <w:pPr>
              <w:pStyle w:val="TableText"/>
            </w:pPr>
            <w:r w:rsidRPr="009E2F9F">
              <w:t>-</w:t>
            </w:r>
            <w:r w:rsidR="002363A4" w:rsidRPr="009E2F9F">
              <w:t>$</w:t>
            </w:r>
            <w:r w:rsidRPr="009E2F9F" w:rsidDel="00007BD8">
              <w:t>473,944</w:t>
            </w:r>
          </w:p>
        </w:tc>
        <w:tc>
          <w:tcPr>
            <w:tcW w:w="915" w:type="pct"/>
            <w:shd w:val="clear" w:color="auto" w:fill="auto"/>
          </w:tcPr>
          <w:p w14:paraId="4CF44E44" w14:textId="0A118837" w:rsidR="00C44C40" w:rsidRPr="009E2F9F" w:rsidRDefault="00C44C40" w:rsidP="00D70A9F">
            <w:pPr>
              <w:pStyle w:val="TableText"/>
            </w:pPr>
            <w:r w:rsidRPr="009E2F9F" w:rsidDel="00007BD8">
              <w:t>-602</w:t>
            </w:r>
            <w:r w:rsidRPr="009E2F9F">
              <w:t>%</w:t>
            </w:r>
          </w:p>
        </w:tc>
      </w:tr>
      <w:tr w:rsidR="00C44C40" w:rsidRPr="00D70A9F" w14:paraId="086D8847" w14:textId="77777777" w:rsidTr="00D70A9F">
        <w:tc>
          <w:tcPr>
            <w:tcW w:w="1727" w:type="pct"/>
            <w:shd w:val="clear" w:color="auto" w:fill="auto"/>
          </w:tcPr>
          <w:p w14:paraId="5AED5473" w14:textId="77777777" w:rsidR="00C44C40" w:rsidRPr="004A76B4" w:rsidRDefault="00C44C40" w:rsidP="00D70A9F">
            <w:pPr>
              <w:pStyle w:val="TableText"/>
              <w:rPr>
                <w:rStyle w:val="Strong"/>
                <w:b w:val="0"/>
                <w:bCs w:val="0"/>
              </w:rPr>
            </w:pPr>
            <w:r w:rsidRPr="004A76B4">
              <w:rPr>
                <w:rStyle w:val="Strong"/>
                <w:b w:val="0"/>
                <w:bCs w:val="0"/>
              </w:rPr>
              <w:t>Total</w:t>
            </w:r>
          </w:p>
        </w:tc>
        <w:tc>
          <w:tcPr>
            <w:tcW w:w="786" w:type="pct"/>
            <w:shd w:val="clear" w:color="auto" w:fill="auto"/>
          </w:tcPr>
          <w:p w14:paraId="351AA218" w14:textId="411D0710" w:rsidR="00C44C40" w:rsidRPr="009E2F9F" w:rsidRDefault="002363A4" w:rsidP="00D70A9F">
            <w:pPr>
              <w:pStyle w:val="TableText"/>
              <w:rPr>
                <w:b/>
              </w:rPr>
            </w:pPr>
            <w:r w:rsidRPr="009E2F9F">
              <w:rPr>
                <w:b/>
              </w:rPr>
              <w:t>$</w:t>
            </w:r>
            <w:r w:rsidR="00007BD8" w:rsidRPr="009E2F9F">
              <w:rPr>
                <w:b/>
              </w:rPr>
              <w:t>redacted</w:t>
            </w:r>
          </w:p>
        </w:tc>
        <w:tc>
          <w:tcPr>
            <w:tcW w:w="865" w:type="pct"/>
            <w:shd w:val="clear" w:color="auto" w:fill="auto"/>
          </w:tcPr>
          <w:p w14:paraId="59C94EBB" w14:textId="12746BE7" w:rsidR="00C44C40" w:rsidRPr="009E2F9F" w:rsidRDefault="002363A4" w:rsidP="00D70A9F">
            <w:pPr>
              <w:pStyle w:val="TableText"/>
            </w:pPr>
            <w:r w:rsidRPr="009E2F9F">
              <w:t>$</w:t>
            </w:r>
            <w:r w:rsidR="00C44C40" w:rsidRPr="009E2F9F">
              <w:t>674,343</w:t>
            </w:r>
          </w:p>
        </w:tc>
        <w:tc>
          <w:tcPr>
            <w:tcW w:w="707" w:type="pct"/>
            <w:shd w:val="clear" w:color="auto" w:fill="auto"/>
          </w:tcPr>
          <w:p w14:paraId="1ADE37E0" w14:textId="7C551F70" w:rsidR="00C44C40" w:rsidRPr="009E2F9F" w:rsidRDefault="002363A4" w:rsidP="00D70A9F">
            <w:pPr>
              <w:pStyle w:val="TableText"/>
              <w:rPr>
                <w:b/>
              </w:rPr>
            </w:pPr>
            <w:r w:rsidRPr="009E2F9F">
              <w:rPr>
                <w:b/>
              </w:rPr>
              <w:t>$</w:t>
            </w:r>
            <w:r w:rsidR="00007BD8" w:rsidRPr="009E2F9F">
              <w:rPr>
                <w:b/>
              </w:rPr>
              <w:t>redacted</w:t>
            </w:r>
          </w:p>
        </w:tc>
        <w:tc>
          <w:tcPr>
            <w:tcW w:w="915" w:type="pct"/>
            <w:shd w:val="clear" w:color="auto" w:fill="auto"/>
          </w:tcPr>
          <w:p w14:paraId="5A123AFB" w14:textId="765DD31C" w:rsidR="00C44C40" w:rsidRPr="009E2F9F" w:rsidRDefault="00007BD8" w:rsidP="00D70A9F">
            <w:pPr>
              <w:pStyle w:val="TableText"/>
              <w:rPr>
                <w:b/>
              </w:rPr>
            </w:pPr>
            <w:r w:rsidRPr="009E2F9F">
              <w:rPr>
                <w:b/>
              </w:rPr>
              <w:t>redacted</w:t>
            </w:r>
            <w:r w:rsidR="00C44C40" w:rsidRPr="009E2F9F">
              <w:rPr>
                <w:b/>
              </w:rPr>
              <w:t>%</w:t>
            </w:r>
          </w:p>
        </w:tc>
      </w:tr>
    </w:tbl>
    <w:p w14:paraId="66584065" w14:textId="7E196E29" w:rsidR="00E305F7" w:rsidRPr="00527717" w:rsidRDefault="00E305F7" w:rsidP="009669F0">
      <w:pPr>
        <w:pStyle w:val="Tablenotes"/>
        <w:rPr>
          <w:b/>
          <w:bCs/>
          <w:u w:val="single"/>
        </w:rPr>
      </w:pPr>
      <w:r>
        <w:rPr>
          <w:b/>
          <w:bCs/>
          <w:u w:val="single"/>
        </w:rPr>
        <w:t>Abbreviations</w:t>
      </w:r>
    </w:p>
    <w:p w14:paraId="222AC241" w14:textId="0152F39B" w:rsidR="002363A4" w:rsidRDefault="002363A4" w:rsidP="009669F0">
      <w:pPr>
        <w:pStyle w:val="Tablenotes"/>
      </w:pPr>
      <w:r>
        <w:t>AE = adverse event</w:t>
      </w:r>
    </w:p>
    <w:p w14:paraId="5F474248" w14:textId="05218322" w:rsidR="00E305F7" w:rsidRPr="00527717" w:rsidRDefault="00F57062" w:rsidP="004902C4">
      <w:pPr>
        <w:pStyle w:val="Tablenotes"/>
        <w:rPr>
          <w:b/>
          <w:bCs/>
          <w:u w:val="single"/>
        </w:rPr>
      </w:pPr>
      <w:r w:rsidRPr="00527717">
        <w:rPr>
          <w:b/>
          <w:bCs/>
          <w:u w:val="single"/>
        </w:rPr>
        <w:t xml:space="preserve">Source </w:t>
      </w:r>
    </w:p>
    <w:p w14:paraId="6C73FAE3" w14:textId="020EBFA3" w:rsidR="004902C4" w:rsidRDefault="005E4846" w:rsidP="004902C4">
      <w:pPr>
        <w:pStyle w:val="Tablenotes"/>
      </w:pPr>
      <w:r w:rsidRPr="005E4846">
        <w:t xml:space="preserve">Adapted from Table </w:t>
      </w:r>
      <w:r>
        <w:t>80</w:t>
      </w:r>
      <w:r w:rsidRPr="005E4846">
        <w:t>, p</w:t>
      </w:r>
      <w:r w:rsidR="00831565">
        <w:t>.</w:t>
      </w:r>
      <w:r w:rsidRPr="005E4846">
        <w:t xml:space="preserve"> </w:t>
      </w:r>
      <w:r w:rsidR="00E97D6C">
        <w:t>240</w:t>
      </w:r>
      <w:r w:rsidR="00AD5677">
        <w:t xml:space="preserve"> </w:t>
      </w:r>
      <w:r w:rsidRPr="005E4846">
        <w:t xml:space="preserve">of the MSAC 1732.1 ADAR+in-line commentary </w:t>
      </w:r>
    </w:p>
    <w:p w14:paraId="45BCBCE7" w14:textId="30540639" w:rsidR="00275F81" w:rsidRPr="00CE28E3" w:rsidRDefault="00275F81" w:rsidP="00275F81">
      <w:pPr>
        <w:rPr>
          <w:rFonts w:eastAsia="Calibri"/>
        </w:rPr>
      </w:pPr>
      <w:r>
        <w:rPr>
          <w:lang w:val="en-GB"/>
        </w:rPr>
        <w:t xml:space="preserve">Cost offsets within the target population realised through reduced time on dialysis remains a significant contributor to the incremental costs (incremental cost </w:t>
      </w:r>
      <w:r w:rsidRPr="004A76B4">
        <w:rPr>
          <w:lang w:val="en-GB"/>
        </w:rPr>
        <w:t>dialysis: -$</w:t>
      </w:r>
      <w:r w:rsidRPr="009E2F9F" w:rsidDel="00007BD8">
        <w:rPr>
          <w:lang w:val="en-GB"/>
        </w:rPr>
        <w:t>473,944</w:t>
      </w:r>
      <w:r w:rsidR="00894AFC" w:rsidRPr="004A76B4">
        <w:rPr>
          <w:lang w:val="en-GB"/>
        </w:rPr>
        <w:t>)</w:t>
      </w:r>
      <w:r w:rsidRPr="004A76B4">
        <w:rPr>
          <w:lang w:val="en-GB"/>
        </w:rPr>
        <w:t xml:space="preserve">. </w:t>
      </w:r>
      <w:r w:rsidR="00FA0628" w:rsidRPr="004A76B4">
        <w:rPr>
          <w:lang w:val="en-GB"/>
        </w:rPr>
        <w:t>While a</w:t>
      </w:r>
      <w:r w:rsidR="007776EA" w:rsidRPr="004A76B4">
        <w:rPr>
          <w:lang w:val="en-GB"/>
        </w:rPr>
        <w:t>n</w:t>
      </w:r>
      <w:r w:rsidR="00FA0628" w:rsidRPr="004A76B4">
        <w:rPr>
          <w:lang w:val="en-GB"/>
        </w:rPr>
        <w:t xml:space="preserve"> HS patient receiving an imlifidase-enabled DD transplant can stop dialysis, another patient</w:t>
      </w:r>
      <w:r w:rsidR="00FA0628">
        <w:rPr>
          <w:lang w:val="en-GB"/>
        </w:rPr>
        <w:t xml:space="preserve"> on the </w:t>
      </w:r>
      <w:r w:rsidR="004A2E3F">
        <w:rPr>
          <w:lang w:val="en-GB"/>
        </w:rPr>
        <w:t>waitlist</w:t>
      </w:r>
      <w:r w:rsidR="00FA0628">
        <w:rPr>
          <w:lang w:val="en-GB"/>
        </w:rPr>
        <w:t xml:space="preserve"> who may otherwise have received the kidney remains on dialysis longer.</w:t>
      </w:r>
      <w:r>
        <w:rPr>
          <w:lang w:val="en-GB"/>
        </w:rPr>
        <w:t xml:space="preserve"> T</w:t>
      </w:r>
      <w:r w:rsidR="00FA0628">
        <w:rPr>
          <w:lang w:val="en-GB"/>
        </w:rPr>
        <w:t>hus, t</w:t>
      </w:r>
      <w:r>
        <w:rPr>
          <w:lang w:val="en-GB"/>
        </w:rPr>
        <w:t xml:space="preserve">he </w:t>
      </w:r>
      <w:r w:rsidR="00F74887">
        <w:t>commentary</w:t>
      </w:r>
      <w:r w:rsidR="00FC0389">
        <w:t xml:space="preserve"> </w:t>
      </w:r>
      <w:r>
        <w:rPr>
          <w:lang w:val="en-GB"/>
        </w:rPr>
        <w:t>reiterates</w:t>
      </w:r>
      <w:r w:rsidR="00894AFC">
        <w:rPr>
          <w:lang w:val="en-GB"/>
        </w:rPr>
        <w:t xml:space="preserve"> </w:t>
      </w:r>
      <w:r>
        <w:rPr>
          <w:lang w:val="en-GB"/>
        </w:rPr>
        <w:t>that s</w:t>
      </w:r>
      <w:r w:rsidRPr="007D406B">
        <w:rPr>
          <w:lang w:val="en-GB"/>
        </w:rPr>
        <w:t>uch cost offsets are unlikely to be fully realised when considering a broader Australian healthcare system perspective</w:t>
      </w:r>
      <w:r>
        <w:rPr>
          <w:lang w:val="en-GB"/>
        </w:rPr>
        <w:t>.</w:t>
      </w:r>
      <w:r w:rsidR="009A3139">
        <w:rPr>
          <w:lang w:val="en-GB"/>
        </w:rPr>
        <w:t xml:space="preserve"> </w:t>
      </w:r>
    </w:p>
    <w:p w14:paraId="32F3958B" w14:textId="25B4ED81" w:rsidR="00275F81" w:rsidRDefault="00275F81" w:rsidP="005C0C9A">
      <w:r w:rsidRPr="0008413A">
        <w:t xml:space="preserve">The </w:t>
      </w:r>
      <w:r w:rsidR="00F74887">
        <w:t>previous</w:t>
      </w:r>
      <w:r w:rsidRPr="0008413A">
        <w:t xml:space="preserve"> commentary noted opportunity costs incurred outside the target patient population are routine when deciding allocation of healthcare resources. They are not typically included in cost-utility analysis</w:t>
      </w:r>
      <w:r w:rsidR="00F25C41">
        <w:t>;</w:t>
      </w:r>
      <w:r w:rsidRPr="0008413A">
        <w:t xml:space="preserve"> however, in this case the scarcity of donor kidneys means there is a direct and tangible impact on other non-HS patients waiting to receive a donor kidney</w:t>
      </w:r>
      <w:r>
        <w:t xml:space="preserve">. </w:t>
      </w:r>
      <w:r w:rsidR="00D70A9F">
        <w:t>The</w:t>
      </w:r>
      <w:r>
        <w:t xml:space="preserve"> </w:t>
      </w:r>
      <w:r w:rsidR="00F74887">
        <w:t>ADAR</w:t>
      </w:r>
      <w:r>
        <w:t xml:space="preserve"> justified their approach to limit the perspective </w:t>
      </w:r>
      <w:r w:rsidR="003A23A8">
        <w:t>to considering the costs and benefits for the</w:t>
      </w:r>
      <w:r>
        <w:t xml:space="preserve"> target population</w:t>
      </w:r>
      <w:r w:rsidR="0078161D">
        <w:t>, noting</w:t>
      </w:r>
      <w:r w:rsidR="00C508EE">
        <w:t xml:space="preserve"> that</w:t>
      </w:r>
      <w:r w:rsidR="006C0B36">
        <w:t xml:space="preserve"> the inclusion</w:t>
      </w:r>
      <w:r w:rsidR="007B4E3E">
        <w:t xml:space="preserve"> of opp</w:t>
      </w:r>
      <w:r w:rsidR="00405DD5">
        <w:t>ortunity costs incurred outside this target population</w:t>
      </w:r>
      <w:r w:rsidR="006C0B36">
        <w:t xml:space="preserve"> would contravene equity principles of organ allocation.</w:t>
      </w:r>
    </w:p>
    <w:p w14:paraId="1B770181" w14:textId="6196A119" w:rsidR="002F32FB" w:rsidRPr="004A76B4" w:rsidRDefault="00F17C5C" w:rsidP="00D57B74">
      <w:r>
        <w:t xml:space="preserve">The </w:t>
      </w:r>
      <w:r w:rsidRPr="004A76B4">
        <w:t xml:space="preserve">lifetime ICER for treatment with </w:t>
      </w:r>
      <w:r w:rsidR="00541106" w:rsidRPr="004A76B4">
        <w:t>imlifidase</w:t>
      </w:r>
      <w:r w:rsidRPr="004A76B4">
        <w:t>, relative to current care, estimated by the ADAR was $</w:t>
      </w:r>
      <w:r w:rsidR="007D2232" w:rsidRPr="009E2F9F">
        <w:rPr>
          <w:b/>
        </w:rPr>
        <w:t>redacted</w:t>
      </w:r>
      <w:r w:rsidRPr="004A76B4">
        <w:t>/QALY (</w:t>
      </w:r>
      <w:bookmarkEnd w:id="33"/>
      <w:r w:rsidR="00DF5FAF" w:rsidRPr="004A76B4">
        <w:t xml:space="preserve">Table </w:t>
      </w:r>
      <w:r w:rsidR="00A92A2C">
        <w:t>8</w:t>
      </w:r>
      <w:r w:rsidR="00C12E06" w:rsidRPr="004A76B4">
        <w:t>)</w:t>
      </w:r>
      <w:r w:rsidRPr="004A76B4">
        <w:t>.</w:t>
      </w:r>
    </w:p>
    <w:p w14:paraId="0AFC2F8C" w14:textId="2E9BDAB0" w:rsidR="008811EE" w:rsidRPr="004A76B4" w:rsidRDefault="008811EE" w:rsidP="00D57B74">
      <w:pPr>
        <w:pStyle w:val="Caption"/>
      </w:pPr>
      <w:bookmarkStart w:id="35" w:name="_Ref163648651"/>
      <w:r w:rsidRPr="004A76B4">
        <w:t xml:space="preserve">Table </w:t>
      </w:r>
      <w:bookmarkEnd w:id="35"/>
      <w:r w:rsidR="009E0604">
        <w:t>8</w:t>
      </w:r>
      <w:r w:rsidR="00DF5FAF" w:rsidRPr="004A76B4">
        <w:t xml:space="preserve"> </w:t>
      </w:r>
      <w:r w:rsidRPr="004A76B4">
        <w:t>Results of the economic evaluation for imlifidase relative to current care presented in the ADAR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99"/>
        <w:gridCol w:w="2440"/>
        <w:gridCol w:w="2378"/>
        <w:gridCol w:w="2499"/>
      </w:tblGrid>
      <w:tr w:rsidR="002F32FB" w:rsidRPr="004A76B4" w14:paraId="6C9AAE3F" w14:textId="77777777" w:rsidTr="0012054E">
        <w:trPr>
          <w:cantSplit/>
          <w:tblHeader/>
        </w:trPr>
        <w:tc>
          <w:tcPr>
            <w:tcW w:w="942" w:type="pct"/>
            <w:shd w:val="clear" w:color="auto" w:fill="FFFFFF"/>
          </w:tcPr>
          <w:p w14:paraId="3F81650A" w14:textId="250DA9C9" w:rsidR="002F32FB" w:rsidRPr="004A76B4" w:rsidRDefault="00037302" w:rsidP="003F1843">
            <w:pPr>
              <w:pStyle w:val="TableText"/>
              <w:rPr>
                <w:b/>
                <w:bCs/>
              </w:rPr>
            </w:pPr>
            <w:bookmarkStart w:id="36" w:name="Title_Table9" w:colFirst="0" w:colLast="0"/>
            <w:bookmarkStart w:id="37" w:name="_Hlk68276590"/>
            <w:r w:rsidRPr="004A76B4">
              <w:rPr>
                <w:b/>
                <w:bCs/>
              </w:rPr>
              <w:t>Parameter</w:t>
            </w:r>
            <w:r w:rsidR="00B8535F" w:rsidRPr="004A76B4">
              <w:rPr>
                <w:b/>
                <w:bCs/>
              </w:rPr>
              <w:t xml:space="preserve"> </w:t>
            </w:r>
          </w:p>
        </w:tc>
        <w:tc>
          <w:tcPr>
            <w:tcW w:w="1353" w:type="pct"/>
            <w:shd w:val="clear" w:color="auto" w:fill="FFFFFF"/>
          </w:tcPr>
          <w:p w14:paraId="620E0CCB" w14:textId="1BE0BB66" w:rsidR="002F32FB" w:rsidRPr="004A76B4" w:rsidRDefault="00CF326B" w:rsidP="003F1843">
            <w:pPr>
              <w:pStyle w:val="TableText"/>
              <w:rPr>
                <w:b/>
                <w:bCs/>
              </w:rPr>
            </w:pPr>
            <w:r w:rsidRPr="004A76B4">
              <w:rPr>
                <w:b/>
                <w:bCs/>
              </w:rPr>
              <w:t>Imlifidase</w:t>
            </w:r>
          </w:p>
        </w:tc>
        <w:tc>
          <w:tcPr>
            <w:tcW w:w="1319" w:type="pct"/>
            <w:shd w:val="clear" w:color="auto" w:fill="FFFFFF"/>
          </w:tcPr>
          <w:p w14:paraId="500DB19E" w14:textId="71FF614F" w:rsidR="002F32FB" w:rsidRPr="004A76B4" w:rsidRDefault="00CF326B" w:rsidP="003F1843">
            <w:pPr>
              <w:pStyle w:val="TableText"/>
              <w:rPr>
                <w:b/>
                <w:bCs/>
              </w:rPr>
            </w:pPr>
            <w:r w:rsidRPr="004A76B4">
              <w:rPr>
                <w:b/>
                <w:bCs/>
              </w:rPr>
              <w:t>Current care</w:t>
            </w:r>
          </w:p>
        </w:tc>
        <w:tc>
          <w:tcPr>
            <w:tcW w:w="1386" w:type="pct"/>
            <w:shd w:val="clear" w:color="auto" w:fill="FFFFFF"/>
            <w:vAlign w:val="center"/>
          </w:tcPr>
          <w:p w14:paraId="3863ED7D" w14:textId="77777777" w:rsidR="002F32FB" w:rsidRPr="004A76B4" w:rsidRDefault="002F32FB" w:rsidP="003F1843">
            <w:pPr>
              <w:pStyle w:val="TableText"/>
              <w:rPr>
                <w:b/>
                <w:bCs/>
              </w:rPr>
            </w:pPr>
            <w:r w:rsidRPr="004A76B4">
              <w:rPr>
                <w:b/>
                <w:bCs/>
              </w:rPr>
              <w:t>Increment</w:t>
            </w:r>
          </w:p>
        </w:tc>
      </w:tr>
      <w:bookmarkEnd w:id="36"/>
      <w:tr w:rsidR="002F32FB" w:rsidRPr="004A76B4" w14:paraId="369EE6BC" w14:textId="77777777" w:rsidTr="0012054E">
        <w:trPr>
          <w:cantSplit/>
        </w:trPr>
        <w:tc>
          <w:tcPr>
            <w:tcW w:w="942" w:type="pct"/>
            <w:shd w:val="clear" w:color="auto" w:fill="auto"/>
          </w:tcPr>
          <w:p w14:paraId="051B9EED" w14:textId="77777777" w:rsidR="002F32FB" w:rsidRPr="004A76B4" w:rsidRDefault="002F32FB" w:rsidP="003F1843">
            <w:pPr>
              <w:pStyle w:val="TableText"/>
            </w:pPr>
            <w:r w:rsidRPr="004A76B4">
              <w:t>Costs</w:t>
            </w:r>
          </w:p>
        </w:tc>
        <w:tc>
          <w:tcPr>
            <w:tcW w:w="1353" w:type="pct"/>
            <w:shd w:val="clear" w:color="auto" w:fill="auto"/>
          </w:tcPr>
          <w:p w14:paraId="0FAC9D47" w14:textId="1F887D64" w:rsidR="002F32FB" w:rsidRPr="009E2F9F" w:rsidRDefault="002F32FB" w:rsidP="003F1843">
            <w:pPr>
              <w:pStyle w:val="TableText"/>
            </w:pPr>
            <w:r w:rsidRPr="009E2F9F">
              <w:t>$</w:t>
            </w:r>
            <w:r w:rsidR="00604DDF" w:rsidRPr="009E2F9F">
              <w:rPr>
                <w:b/>
              </w:rPr>
              <w:t>redacted</w:t>
            </w:r>
          </w:p>
        </w:tc>
        <w:tc>
          <w:tcPr>
            <w:tcW w:w="1319" w:type="pct"/>
            <w:shd w:val="clear" w:color="auto" w:fill="auto"/>
          </w:tcPr>
          <w:p w14:paraId="6C1A6297" w14:textId="66905595" w:rsidR="002F32FB" w:rsidRPr="009E2F9F" w:rsidRDefault="002F32FB" w:rsidP="003F1843">
            <w:pPr>
              <w:pStyle w:val="TableText"/>
            </w:pPr>
            <w:r w:rsidRPr="009E2F9F">
              <w:t>$</w:t>
            </w:r>
            <w:r w:rsidR="00CF326B" w:rsidRPr="009E2F9F">
              <w:t>674,343</w:t>
            </w:r>
          </w:p>
        </w:tc>
        <w:tc>
          <w:tcPr>
            <w:tcW w:w="1386" w:type="pct"/>
            <w:shd w:val="clear" w:color="auto" w:fill="auto"/>
          </w:tcPr>
          <w:p w14:paraId="4B4524BB" w14:textId="5D9B3AFC" w:rsidR="002F32FB" w:rsidRPr="009E2F9F" w:rsidRDefault="002F32FB" w:rsidP="003F1843">
            <w:pPr>
              <w:pStyle w:val="TableText"/>
            </w:pPr>
            <w:r w:rsidRPr="009E2F9F">
              <w:t>$</w:t>
            </w:r>
            <w:r w:rsidR="00604DDF" w:rsidRPr="009E2F9F">
              <w:rPr>
                <w:b/>
              </w:rPr>
              <w:t>redacted</w:t>
            </w:r>
          </w:p>
        </w:tc>
      </w:tr>
      <w:tr w:rsidR="002F32FB" w:rsidRPr="004A76B4" w14:paraId="6A9B9196" w14:textId="77777777" w:rsidTr="0012054E">
        <w:trPr>
          <w:cantSplit/>
        </w:trPr>
        <w:tc>
          <w:tcPr>
            <w:tcW w:w="942" w:type="pct"/>
            <w:shd w:val="clear" w:color="auto" w:fill="auto"/>
          </w:tcPr>
          <w:p w14:paraId="09069B1C" w14:textId="77777777" w:rsidR="002F32FB" w:rsidRPr="004A76B4" w:rsidRDefault="002F32FB" w:rsidP="003F1843">
            <w:pPr>
              <w:pStyle w:val="TableText"/>
            </w:pPr>
            <w:r w:rsidRPr="004A76B4">
              <w:t>Life years</w:t>
            </w:r>
          </w:p>
        </w:tc>
        <w:tc>
          <w:tcPr>
            <w:tcW w:w="1353" w:type="pct"/>
            <w:shd w:val="clear" w:color="auto" w:fill="auto"/>
          </w:tcPr>
          <w:p w14:paraId="5D79285C" w14:textId="2057B99A" w:rsidR="002F32FB" w:rsidRPr="009E2F9F" w:rsidRDefault="00CF326B" w:rsidP="003F1843">
            <w:pPr>
              <w:pStyle w:val="TableText"/>
            </w:pPr>
            <w:r w:rsidRPr="009E2F9F">
              <w:t>10.11</w:t>
            </w:r>
          </w:p>
        </w:tc>
        <w:tc>
          <w:tcPr>
            <w:tcW w:w="1319" w:type="pct"/>
            <w:shd w:val="clear" w:color="auto" w:fill="auto"/>
          </w:tcPr>
          <w:p w14:paraId="0C0E2B31" w14:textId="3840CAEF" w:rsidR="002F32FB" w:rsidRPr="009E2F9F" w:rsidRDefault="00CF326B" w:rsidP="003F1843">
            <w:pPr>
              <w:pStyle w:val="TableText"/>
            </w:pPr>
            <w:r w:rsidRPr="009E2F9F">
              <w:t>8.23</w:t>
            </w:r>
          </w:p>
        </w:tc>
        <w:tc>
          <w:tcPr>
            <w:tcW w:w="1386" w:type="pct"/>
            <w:shd w:val="clear" w:color="auto" w:fill="auto"/>
          </w:tcPr>
          <w:p w14:paraId="169B9B25" w14:textId="34C1C208" w:rsidR="002F32FB" w:rsidRPr="009E2F9F" w:rsidRDefault="00CF326B" w:rsidP="003F1843">
            <w:pPr>
              <w:pStyle w:val="TableText"/>
            </w:pPr>
            <w:r w:rsidRPr="009E2F9F">
              <w:t>1.88</w:t>
            </w:r>
          </w:p>
        </w:tc>
      </w:tr>
      <w:tr w:rsidR="002F32FB" w:rsidRPr="004A76B4" w14:paraId="24736DA2" w14:textId="77777777" w:rsidTr="0012054E">
        <w:trPr>
          <w:cantSplit/>
        </w:trPr>
        <w:tc>
          <w:tcPr>
            <w:tcW w:w="942" w:type="pct"/>
            <w:shd w:val="clear" w:color="auto" w:fill="auto"/>
          </w:tcPr>
          <w:p w14:paraId="6D2D1BB4" w14:textId="73189CB3" w:rsidR="002F32FB" w:rsidRPr="004A76B4" w:rsidRDefault="002F32FB" w:rsidP="003F1843">
            <w:pPr>
              <w:pStyle w:val="TableText"/>
            </w:pPr>
            <w:r w:rsidRPr="004A76B4">
              <w:t>QALY</w:t>
            </w:r>
            <w:r w:rsidR="002363A4" w:rsidRPr="004A76B4">
              <w:t>s</w:t>
            </w:r>
          </w:p>
        </w:tc>
        <w:tc>
          <w:tcPr>
            <w:tcW w:w="1353" w:type="pct"/>
            <w:shd w:val="clear" w:color="auto" w:fill="auto"/>
          </w:tcPr>
          <w:p w14:paraId="768CBE06" w14:textId="3BD3E65A" w:rsidR="002F32FB" w:rsidRPr="009E2F9F" w:rsidRDefault="00CF326B" w:rsidP="003F1843">
            <w:pPr>
              <w:pStyle w:val="TableText"/>
            </w:pPr>
            <w:r w:rsidRPr="009E2F9F">
              <w:t>8.07</w:t>
            </w:r>
          </w:p>
        </w:tc>
        <w:tc>
          <w:tcPr>
            <w:tcW w:w="1319" w:type="pct"/>
            <w:shd w:val="clear" w:color="auto" w:fill="auto"/>
          </w:tcPr>
          <w:p w14:paraId="1062F347" w14:textId="5FB26F39" w:rsidR="002F32FB" w:rsidRPr="009E2F9F" w:rsidRDefault="00CF326B" w:rsidP="003F1843">
            <w:pPr>
              <w:pStyle w:val="TableText"/>
            </w:pPr>
            <w:r w:rsidRPr="009E2F9F">
              <w:t>5.81</w:t>
            </w:r>
          </w:p>
        </w:tc>
        <w:tc>
          <w:tcPr>
            <w:tcW w:w="1386" w:type="pct"/>
            <w:shd w:val="clear" w:color="auto" w:fill="auto"/>
          </w:tcPr>
          <w:p w14:paraId="3F1BB173" w14:textId="2A353E78" w:rsidR="002F32FB" w:rsidRPr="009E2F9F" w:rsidRDefault="00CF326B" w:rsidP="003F1843">
            <w:pPr>
              <w:pStyle w:val="TableText"/>
            </w:pPr>
            <w:r w:rsidRPr="009E2F9F">
              <w:t>2.26</w:t>
            </w:r>
          </w:p>
        </w:tc>
      </w:tr>
      <w:tr w:rsidR="002F32FB" w:rsidRPr="00CE28E3" w14:paraId="4C386061" w14:textId="77777777" w:rsidTr="0012054E">
        <w:trPr>
          <w:cantSplit/>
        </w:trPr>
        <w:tc>
          <w:tcPr>
            <w:tcW w:w="3614" w:type="pct"/>
            <w:gridSpan w:val="3"/>
            <w:tcBorders>
              <w:right w:val="single" w:sz="4" w:space="0" w:color="000000"/>
            </w:tcBorders>
            <w:shd w:val="clear" w:color="auto" w:fill="auto"/>
          </w:tcPr>
          <w:p w14:paraId="10510EF0" w14:textId="77777777" w:rsidR="002F32FB" w:rsidRPr="004A76B4" w:rsidRDefault="002F32FB" w:rsidP="003F1843">
            <w:pPr>
              <w:pStyle w:val="TableText"/>
              <w:rPr>
                <w:b/>
                <w:bCs/>
              </w:rPr>
            </w:pPr>
            <w:r w:rsidRPr="004A76B4">
              <w:rPr>
                <w:b/>
                <w:bCs/>
              </w:rPr>
              <w:t>Incremental cost per QALY gained</w:t>
            </w:r>
          </w:p>
        </w:tc>
        <w:tc>
          <w:tcPr>
            <w:tcW w:w="1386" w:type="pct"/>
            <w:tcBorders>
              <w:left w:val="single" w:sz="4" w:space="0" w:color="000000"/>
            </w:tcBorders>
            <w:shd w:val="clear" w:color="auto" w:fill="auto"/>
          </w:tcPr>
          <w:p w14:paraId="10B6B487" w14:textId="16BA92C4" w:rsidR="002F32FB" w:rsidRPr="003F1843" w:rsidRDefault="002F32FB" w:rsidP="003F1843">
            <w:pPr>
              <w:pStyle w:val="TableText"/>
              <w:rPr>
                <w:rFonts w:eastAsia="Calibri"/>
                <w:b/>
                <w:bCs/>
                <w:szCs w:val="20"/>
              </w:rPr>
            </w:pPr>
            <w:r w:rsidRPr="004A76B4">
              <w:rPr>
                <w:rFonts w:eastAsia="Calibri"/>
                <w:b/>
                <w:bCs/>
                <w:szCs w:val="20"/>
              </w:rPr>
              <w:t>$</w:t>
            </w:r>
            <w:r w:rsidR="00604DDF" w:rsidRPr="009E2F9F">
              <w:rPr>
                <w:b/>
              </w:rPr>
              <w:t>redacted</w:t>
            </w:r>
            <w:r w:rsidR="00FC719A" w:rsidRPr="004A76B4">
              <w:rPr>
                <w:rFonts w:eastAsia="Calibri"/>
                <w:b/>
                <w:bCs/>
                <w:szCs w:val="20"/>
              </w:rPr>
              <w:t>/QALY</w:t>
            </w:r>
          </w:p>
        </w:tc>
      </w:tr>
    </w:tbl>
    <w:p w14:paraId="4A3BBC25" w14:textId="60385674" w:rsidR="007D6290" w:rsidRPr="00527717" w:rsidRDefault="007D6290" w:rsidP="00137FAE">
      <w:pPr>
        <w:pStyle w:val="Tablenotes"/>
        <w:rPr>
          <w:rFonts w:eastAsia="Calibri"/>
          <w:b/>
          <w:bCs/>
          <w:u w:val="single"/>
        </w:rPr>
      </w:pPr>
      <w:bookmarkStart w:id="38" w:name="_Hlk68276600"/>
      <w:bookmarkEnd w:id="37"/>
      <w:r>
        <w:rPr>
          <w:rFonts w:eastAsia="Calibri"/>
          <w:b/>
          <w:bCs/>
          <w:u w:val="single"/>
        </w:rPr>
        <w:t>Abbreviations</w:t>
      </w:r>
    </w:p>
    <w:p w14:paraId="2B1517B5" w14:textId="75941280" w:rsidR="003F1843" w:rsidRDefault="00B454D9" w:rsidP="00137FAE">
      <w:pPr>
        <w:pStyle w:val="Tablenotes"/>
        <w:rPr>
          <w:rFonts w:eastAsia="Calibri"/>
        </w:rPr>
      </w:pPr>
      <w:r>
        <w:rPr>
          <w:rFonts w:eastAsia="Calibri"/>
        </w:rPr>
        <w:t xml:space="preserve">ADAR = applicant developed assessment report, </w:t>
      </w:r>
      <w:r w:rsidR="002F32FB" w:rsidRPr="00CE28E3">
        <w:rPr>
          <w:rFonts w:eastAsia="Calibri"/>
        </w:rPr>
        <w:t>QALY = quality</w:t>
      </w:r>
      <w:r w:rsidR="0045093D">
        <w:rPr>
          <w:rFonts w:eastAsia="Calibri"/>
        </w:rPr>
        <w:t>-</w:t>
      </w:r>
      <w:r w:rsidR="002F32FB" w:rsidRPr="00CE28E3">
        <w:rPr>
          <w:rFonts w:eastAsia="Calibri"/>
        </w:rPr>
        <w:t>adjusted life year</w:t>
      </w:r>
    </w:p>
    <w:p w14:paraId="1268F908" w14:textId="4C96ADB0" w:rsidR="007D6290" w:rsidRPr="00527717" w:rsidRDefault="009669F0" w:rsidP="00137FAE">
      <w:pPr>
        <w:pStyle w:val="Tablenotes"/>
        <w:rPr>
          <w:rFonts w:eastAsia="Calibri"/>
          <w:b/>
          <w:bCs/>
          <w:u w:val="single"/>
        </w:rPr>
      </w:pPr>
      <w:r w:rsidRPr="00527717">
        <w:rPr>
          <w:rFonts w:eastAsia="Calibri"/>
          <w:b/>
          <w:bCs/>
          <w:u w:val="single"/>
        </w:rPr>
        <w:t>Source</w:t>
      </w:r>
    </w:p>
    <w:p w14:paraId="3030DC73" w14:textId="4B921613" w:rsidR="00CC521B" w:rsidRDefault="00CD6EEC" w:rsidP="00527717">
      <w:pPr>
        <w:pStyle w:val="Tablenotes"/>
        <w:rPr>
          <w:rFonts w:eastAsia="Calibri"/>
        </w:rPr>
      </w:pPr>
      <w:r w:rsidRPr="00CD6EEC">
        <w:rPr>
          <w:rFonts w:eastAsia="Calibri"/>
        </w:rPr>
        <w:t xml:space="preserve">Adapted from Table </w:t>
      </w:r>
      <w:r>
        <w:rPr>
          <w:rFonts w:eastAsia="Calibri"/>
        </w:rPr>
        <w:t>82</w:t>
      </w:r>
      <w:r w:rsidRPr="00CD6EEC">
        <w:rPr>
          <w:rFonts w:eastAsia="Calibri"/>
        </w:rPr>
        <w:t>, p</w:t>
      </w:r>
      <w:r w:rsidR="00CC521B">
        <w:rPr>
          <w:rFonts w:eastAsia="Calibri"/>
        </w:rPr>
        <w:t>.</w:t>
      </w:r>
      <w:r w:rsidRPr="00CD6EEC">
        <w:rPr>
          <w:rFonts w:eastAsia="Calibri"/>
        </w:rPr>
        <w:t xml:space="preserve"> </w:t>
      </w:r>
      <w:r>
        <w:rPr>
          <w:rFonts w:eastAsia="Calibri"/>
        </w:rPr>
        <w:t>243</w:t>
      </w:r>
      <w:r w:rsidRPr="00CD6EEC">
        <w:rPr>
          <w:rFonts w:eastAsia="Calibri"/>
        </w:rPr>
        <w:t xml:space="preserve"> of the MSAC 1732.1 ADAR+in-line commentary</w:t>
      </w:r>
    </w:p>
    <w:p w14:paraId="2CE29150" w14:textId="42C714E4" w:rsidR="00645D96" w:rsidRDefault="00956E9E" w:rsidP="00527717">
      <w:pPr>
        <w:pStyle w:val="Heading4"/>
      </w:pPr>
      <w:r w:rsidRPr="00956E9E">
        <w:t>U</w:t>
      </w:r>
      <w:r w:rsidR="007D4AF1" w:rsidRPr="00956E9E">
        <w:t>ncertainty analysis</w:t>
      </w:r>
    </w:p>
    <w:bookmarkEnd w:id="38"/>
    <w:p w14:paraId="452BCFB6" w14:textId="6AAF1C70" w:rsidR="00C12E06" w:rsidRPr="00CE28E3" w:rsidRDefault="00DF5FAF" w:rsidP="00C12E06">
      <w:r>
        <w:t xml:space="preserve">Table </w:t>
      </w:r>
      <w:r w:rsidR="00715761">
        <w:t>9</w:t>
      </w:r>
      <w:r>
        <w:t xml:space="preserve"> </w:t>
      </w:r>
      <w:r w:rsidR="0069225E">
        <w:t xml:space="preserve">presents </w:t>
      </w:r>
      <w:r w:rsidR="0069225E" w:rsidRPr="003251C2">
        <w:t>the key drivers of the model that are uncertain.</w:t>
      </w:r>
    </w:p>
    <w:p w14:paraId="5EDC8BC6" w14:textId="2C216B1B" w:rsidR="008811EE" w:rsidRDefault="008811EE" w:rsidP="00C12E06">
      <w:pPr>
        <w:pStyle w:val="Caption"/>
      </w:pPr>
      <w:bookmarkStart w:id="39" w:name="_Ref163648660"/>
      <w:r>
        <w:lastRenderedPageBreak/>
        <w:t xml:space="preserve">Table </w:t>
      </w:r>
      <w:bookmarkEnd w:id="39"/>
      <w:r w:rsidR="009E0604">
        <w:t>9</w:t>
      </w:r>
      <w:r w:rsidR="00DF5FAF">
        <w:t xml:space="preserve"> </w:t>
      </w:r>
      <w:r w:rsidRPr="0053158B">
        <w:t>Exploration of key uncertainties and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8"/>
        <w:gridCol w:w="5246"/>
        <w:gridCol w:w="2642"/>
      </w:tblGrid>
      <w:tr w:rsidR="0069225E" w:rsidRPr="00197208" w14:paraId="54B58803" w14:textId="77777777" w:rsidTr="00527717">
        <w:trPr>
          <w:cantSplit/>
          <w:tblHeader/>
        </w:trPr>
        <w:tc>
          <w:tcPr>
            <w:tcW w:w="626" w:type="pct"/>
            <w:shd w:val="clear" w:color="auto" w:fill="auto"/>
          </w:tcPr>
          <w:p w14:paraId="58D3ADB1" w14:textId="77777777" w:rsidR="0069225E" w:rsidRPr="00197208" w:rsidRDefault="0069225E" w:rsidP="00CC0445">
            <w:pPr>
              <w:pStyle w:val="TableText"/>
              <w:rPr>
                <w:b/>
                <w:bCs/>
              </w:rPr>
            </w:pPr>
            <w:bookmarkStart w:id="40" w:name="Title_Table10" w:colFirst="0" w:colLast="0"/>
            <w:bookmarkStart w:id="41" w:name="_Hlk68276626"/>
            <w:r w:rsidRPr="00197208">
              <w:rPr>
                <w:b/>
                <w:bCs/>
              </w:rPr>
              <w:t>Description</w:t>
            </w:r>
          </w:p>
        </w:tc>
        <w:tc>
          <w:tcPr>
            <w:tcW w:w="2909" w:type="pct"/>
            <w:shd w:val="clear" w:color="auto" w:fill="auto"/>
          </w:tcPr>
          <w:p w14:paraId="4BBB4A5F" w14:textId="5A0C1980" w:rsidR="0069225E" w:rsidRPr="00197208" w:rsidRDefault="0069225E" w:rsidP="00CC0445">
            <w:pPr>
              <w:pStyle w:val="TableText"/>
              <w:rPr>
                <w:b/>
                <w:bCs/>
              </w:rPr>
            </w:pPr>
            <w:r w:rsidRPr="00197208">
              <w:rPr>
                <w:b/>
                <w:bCs/>
              </w:rPr>
              <w:t>Method/</w:t>
            </w:r>
            <w:r w:rsidR="003F0AF1">
              <w:rPr>
                <w:b/>
                <w:bCs/>
              </w:rPr>
              <w:t>v</w:t>
            </w:r>
            <w:r w:rsidRPr="00197208">
              <w:rPr>
                <w:b/>
                <w:bCs/>
              </w:rPr>
              <w:t>alue</w:t>
            </w:r>
          </w:p>
        </w:tc>
        <w:tc>
          <w:tcPr>
            <w:tcW w:w="1465" w:type="pct"/>
            <w:shd w:val="clear" w:color="auto" w:fill="auto"/>
          </w:tcPr>
          <w:p w14:paraId="6B210E01" w14:textId="77777777" w:rsidR="0069225E" w:rsidRPr="00197208" w:rsidRDefault="0069225E" w:rsidP="00CC0445">
            <w:pPr>
              <w:pStyle w:val="TableText"/>
              <w:rPr>
                <w:b/>
                <w:bCs/>
              </w:rPr>
            </w:pPr>
            <w:r w:rsidRPr="00197208">
              <w:rPr>
                <w:b/>
                <w:bCs/>
              </w:rPr>
              <w:t>Impact</w:t>
            </w:r>
          </w:p>
          <w:p w14:paraId="6E2320FD" w14:textId="16E3C37F" w:rsidR="0069225E" w:rsidRPr="00197208" w:rsidRDefault="0069225E" w:rsidP="00CC0445">
            <w:pPr>
              <w:pStyle w:val="TableText"/>
              <w:rPr>
                <w:b/>
                <w:bCs/>
              </w:rPr>
            </w:pPr>
            <w:r w:rsidRPr="00197208">
              <w:rPr>
                <w:rFonts w:cs="Arial"/>
                <w:b/>
                <w:bCs/>
                <w:szCs w:val="20"/>
              </w:rPr>
              <w:t>Base case: $</w:t>
            </w:r>
            <w:r w:rsidR="00604DDF" w:rsidRPr="009E2F9F">
              <w:rPr>
                <w:b/>
              </w:rPr>
              <w:t>redacted</w:t>
            </w:r>
            <w:r w:rsidR="00604DDF" w:rsidRPr="009E2F9F" w:rsidDel="00604DDF">
              <w:rPr>
                <w:rFonts w:cs="Arial"/>
                <w:b/>
                <w:szCs w:val="20"/>
              </w:rPr>
              <w:t xml:space="preserve"> </w:t>
            </w:r>
            <w:r w:rsidRPr="00197208">
              <w:rPr>
                <w:rFonts w:cs="Arial"/>
                <w:b/>
                <w:bCs/>
                <w:szCs w:val="20"/>
              </w:rPr>
              <w:t>/QALY gained</w:t>
            </w:r>
          </w:p>
        </w:tc>
      </w:tr>
      <w:bookmarkEnd w:id="40"/>
      <w:tr w:rsidR="0069225E" w:rsidRPr="00CE28E3" w14:paraId="4E9D9B5F" w14:textId="77777777" w:rsidTr="00527717">
        <w:trPr>
          <w:cantSplit/>
        </w:trPr>
        <w:tc>
          <w:tcPr>
            <w:tcW w:w="626" w:type="pct"/>
            <w:shd w:val="clear" w:color="auto" w:fill="auto"/>
          </w:tcPr>
          <w:p w14:paraId="532FCFE7" w14:textId="484DAF45" w:rsidR="0069225E" w:rsidRPr="00CE28E3" w:rsidRDefault="00C352A2" w:rsidP="00CC0445">
            <w:pPr>
              <w:pStyle w:val="TableText"/>
              <w:rPr>
                <w:lang w:val="en-US"/>
              </w:rPr>
            </w:pPr>
            <w:r>
              <w:rPr>
                <w:lang w:val="en-US"/>
              </w:rPr>
              <w:t>Inclusion of spillover effects</w:t>
            </w:r>
          </w:p>
        </w:tc>
        <w:tc>
          <w:tcPr>
            <w:tcW w:w="2909" w:type="pct"/>
            <w:shd w:val="clear" w:color="auto" w:fill="auto"/>
          </w:tcPr>
          <w:p w14:paraId="2B871D72" w14:textId="1D3B2522" w:rsidR="005302CE" w:rsidRDefault="005302CE" w:rsidP="00CC0445">
            <w:pPr>
              <w:pStyle w:val="TableText"/>
              <w:rPr>
                <w:lang w:val="en-US"/>
              </w:rPr>
            </w:pPr>
            <w:r>
              <w:rPr>
                <w:lang w:val="en-US"/>
              </w:rPr>
              <w:t>The evaluation presented in the ADAR consider</w:t>
            </w:r>
            <w:r w:rsidR="00516C3F">
              <w:rPr>
                <w:lang w:val="en-US"/>
              </w:rPr>
              <w:t>ed</w:t>
            </w:r>
            <w:r>
              <w:rPr>
                <w:lang w:val="en-US"/>
              </w:rPr>
              <w:t xml:space="preserve"> a limited perspective focused on costs and benefits within the target population. </w:t>
            </w:r>
          </w:p>
          <w:p w14:paraId="6A82D523" w14:textId="761CCD90" w:rsidR="0069225E" w:rsidRDefault="00853AEB" w:rsidP="00CC0445">
            <w:pPr>
              <w:pStyle w:val="TableText"/>
            </w:pPr>
            <w:r>
              <w:t xml:space="preserve">While </w:t>
            </w:r>
            <w:r w:rsidRPr="0008413A">
              <w:t xml:space="preserve">opportunity costs incurred outside the target patient population are not typically included in </w:t>
            </w:r>
            <w:r>
              <w:t>CUA</w:t>
            </w:r>
            <w:r w:rsidRPr="0008413A">
              <w:t xml:space="preserve">, the scarcity of donor kidneys means there is a direct and tangible impact on other non-HS patients waiting to receive a </w:t>
            </w:r>
            <w:r w:rsidR="00E2545D">
              <w:t>DD</w:t>
            </w:r>
            <w:r w:rsidR="00E2545D" w:rsidRPr="0008413A">
              <w:t xml:space="preserve"> </w:t>
            </w:r>
            <w:r w:rsidRPr="0008413A">
              <w:t>kidney</w:t>
            </w:r>
            <w:r>
              <w:t>.</w:t>
            </w:r>
          </w:p>
          <w:p w14:paraId="26F07D52" w14:textId="19A39E8A" w:rsidR="00853AEB" w:rsidRPr="00D25B4A" w:rsidRDefault="00D25B4A" w:rsidP="00CC0445">
            <w:pPr>
              <w:pStyle w:val="TableText"/>
            </w:pPr>
            <w:r>
              <w:t xml:space="preserve">The ADAR presents a scenario analysis which includes both positive and negative </w:t>
            </w:r>
            <w:r w:rsidR="00E85044">
              <w:t>spillovers</w:t>
            </w:r>
            <w:r>
              <w:t>.</w:t>
            </w:r>
            <w:r w:rsidR="00FF6B70">
              <w:t xml:space="preserve"> </w:t>
            </w:r>
          </w:p>
        </w:tc>
        <w:tc>
          <w:tcPr>
            <w:tcW w:w="1465" w:type="pct"/>
            <w:shd w:val="clear" w:color="auto" w:fill="auto"/>
          </w:tcPr>
          <w:p w14:paraId="0F3DBD8E" w14:textId="47105007" w:rsidR="0069225E" w:rsidRPr="00CE28E3" w:rsidRDefault="00597372" w:rsidP="00CC0445">
            <w:pPr>
              <w:pStyle w:val="TableText"/>
              <w:rPr>
                <w:i/>
                <w:lang w:val="en-US"/>
              </w:rPr>
            </w:pPr>
            <w:r>
              <w:rPr>
                <w:i/>
                <w:lang w:val="en-US"/>
              </w:rPr>
              <w:t>Moderate</w:t>
            </w:r>
            <w:r w:rsidR="000B400D">
              <w:rPr>
                <w:i/>
                <w:lang w:val="en-US"/>
              </w:rPr>
              <w:t>:</w:t>
            </w:r>
            <w:r w:rsidR="0069225E" w:rsidRPr="00CE28E3">
              <w:rPr>
                <w:i/>
                <w:lang w:val="en-US"/>
              </w:rPr>
              <w:t xml:space="preserve"> </w:t>
            </w:r>
            <w:r>
              <w:rPr>
                <w:i/>
                <w:lang w:val="en-US"/>
              </w:rPr>
              <w:t xml:space="preserve">exclusion of spillover benefits </w:t>
            </w:r>
            <w:r w:rsidR="00541106">
              <w:rPr>
                <w:i/>
                <w:lang w:val="en-US"/>
              </w:rPr>
              <w:t>favo</w:t>
            </w:r>
            <w:r w:rsidR="000B400D">
              <w:rPr>
                <w:i/>
                <w:lang w:val="en-US"/>
              </w:rPr>
              <w:t>u</w:t>
            </w:r>
            <w:r w:rsidR="00541106">
              <w:rPr>
                <w:i/>
                <w:lang w:val="en-US"/>
              </w:rPr>
              <w:t>rs</w:t>
            </w:r>
            <w:r>
              <w:rPr>
                <w:i/>
                <w:lang w:val="en-US"/>
              </w:rPr>
              <w:t xml:space="preserve"> intervention. Their inclusion </w:t>
            </w:r>
            <w:r w:rsidR="0069225E" w:rsidRPr="00CE28E3">
              <w:rPr>
                <w:i/>
                <w:lang w:val="en-US"/>
              </w:rPr>
              <w:t>increased the ICER to</w:t>
            </w:r>
            <w:r w:rsidR="00461D73">
              <w:rPr>
                <w:i/>
                <w:lang w:val="en-US"/>
              </w:rPr>
              <w:t xml:space="preserve"> </w:t>
            </w:r>
            <w:r w:rsidR="0069225E" w:rsidRPr="00CE28E3">
              <w:rPr>
                <w:i/>
                <w:lang w:val="en-US"/>
              </w:rPr>
              <w:t>$</w:t>
            </w:r>
            <w:r w:rsidR="00604DDF" w:rsidRPr="009E2F9F">
              <w:rPr>
                <w:b/>
              </w:rPr>
              <w:t>redacted</w:t>
            </w:r>
            <w:r w:rsidR="00604DDF" w:rsidRPr="009E2F9F" w:rsidDel="00604DDF">
              <w:rPr>
                <w:i/>
                <w:lang w:val="en-US"/>
              </w:rPr>
              <w:t xml:space="preserve"> </w:t>
            </w:r>
            <w:r w:rsidR="0069225E" w:rsidRPr="00CE28E3">
              <w:rPr>
                <w:i/>
                <w:lang w:val="en-US"/>
              </w:rPr>
              <w:t xml:space="preserve">/QALY gained. </w:t>
            </w:r>
          </w:p>
        </w:tc>
      </w:tr>
      <w:tr w:rsidR="0069225E" w:rsidRPr="00CE28E3" w14:paraId="2E5246AC" w14:textId="77777777" w:rsidTr="00527717">
        <w:trPr>
          <w:cantSplit/>
        </w:trPr>
        <w:tc>
          <w:tcPr>
            <w:tcW w:w="626" w:type="pct"/>
            <w:shd w:val="clear" w:color="auto" w:fill="auto"/>
          </w:tcPr>
          <w:p w14:paraId="0F5E5A7D" w14:textId="69E6A43C" w:rsidR="0069225E" w:rsidRPr="00CE28E3" w:rsidRDefault="00283ED3" w:rsidP="00CC0445">
            <w:pPr>
              <w:pStyle w:val="TableText"/>
              <w:rPr>
                <w:lang w:val="en-US"/>
              </w:rPr>
            </w:pPr>
            <w:r>
              <w:rPr>
                <w:lang w:val="en-US"/>
              </w:rPr>
              <w:t xml:space="preserve">Dialysis </w:t>
            </w:r>
            <w:r w:rsidR="00533136">
              <w:rPr>
                <w:lang w:val="en-US"/>
              </w:rPr>
              <w:t xml:space="preserve">and transplant </w:t>
            </w:r>
            <w:r>
              <w:rPr>
                <w:lang w:val="en-US"/>
              </w:rPr>
              <w:t>costing</w:t>
            </w:r>
          </w:p>
        </w:tc>
        <w:tc>
          <w:tcPr>
            <w:tcW w:w="2909" w:type="pct"/>
            <w:shd w:val="clear" w:color="auto" w:fill="auto"/>
          </w:tcPr>
          <w:p w14:paraId="38FA9993" w14:textId="77777777" w:rsidR="0069225E" w:rsidRDefault="007055CB" w:rsidP="00CC0445">
            <w:pPr>
              <w:pStyle w:val="TableText"/>
              <w:rPr>
                <w:lang w:val="en-US"/>
              </w:rPr>
            </w:pPr>
            <w:r>
              <w:rPr>
                <w:lang w:val="en-US"/>
              </w:rPr>
              <w:t>The base case model presented the ADAR used micro-costing approaches to cost dialysis and kidney transplant.</w:t>
            </w:r>
          </w:p>
          <w:p w14:paraId="31C2321F" w14:textId="4AD734F9" w:rsidR="007055CB" w:rsidRPr="00CE28E3" w:rsidRDefault="00A50572" w:rsidP="00CC0445">
            <w:pPr>
              <w:pStyle w:val="TableText"/>
              <w:rPr>
                <w:lang w:val="en-US"/>
              </w:rPr>
            </w:pPr>
            <w:r>
              <w:rPr>
                <w:lang w:val="en-US"/>
              </w:rPr>
              <w:t>Scenario analyses using inflation-adjusted KHA values were considered.</w:t>
            </w:r>
          </w:p>
        </w:tc>
        <w:tc>
          <w:tcPr>
            <w:tcW w:w="1465" w:type="pct"/>
            <w:shd w:val="clear" w:color="auto" w:fill="auto"/>
          </w:tcPr>
          <w:p w14:paraId="452818F5" w14:textId="06787BC9" w:rsidR="0069225E" w:rsidRPr="00CE28E3" w:rsidRDefault="0069225E" w:rsidP="00CC0445">
            <w:pPr>
              <w:pStyle w:val="TableText"/>
              <w:rPr>
                <w:i/>
                <w:lang w:val="en-US"/>
              </w:rPr>
            </w:pPr>
            <w:r w:rsidRPr="00CE28E3">
              <w:rPr>
                <w:i/>
                <w:lang w:val="en-US"/>
              </w:rPr>
              <w:t>High</w:t>
            </w:r>
            <w:r w:rsidR="002E32BA">
              <w:rPr>
                <w:i/>
                <w:lang w:val="en-US"/>
              </w:rPr>
              <w:t>:</w:t>
            </w:r>
            <w:r w:rsidRPr="00CE28E3">
              <w:rPr>
                <w:i/>
                <w:lang w:val="en-US"/>
              </w:rPr>
              <w:t xml:space="preserve"> </w:t>
            </w:r>
            <w:r w:rsidR="0091410B">
              <w:rPr>
                <w:i/>
                <w:lang w:val="en-US"/>
              </w:rPr>
              <w:t xml:space="preserve">micro-costing approach </w:t>
            </w:r>
            <w:r w:rsidR="00541106" w:rsidRPr="00CE28E3">
              <w:rPr>
                <w:i/>
                <w:lang w:val="en-US"/>
              </w:rPr>
              <w:t>favo</w:t>
            </w:r>
            <w:r w:rsidR="002E32BA">
              <w:rPr>
                <w:i/>
                <w:lang w:val="en-US"/>
              </w:rPr>
              <w:t>u</w:t>
            </w:r>
            <w:r w:rsidR="00541106" w:rsidRPr="00CE28E3">
              <w:rPr>
                <w:i/>
                <w:lang w:val="en-US"/>
              </w:rPr>
              <w:t>rs</w:t>
            </w:r>
            <w:r w:rsidRPr="00CE28E3">
              <w:rPr>
                <w:i/>
                <w:lang w:val="en-US"/>
              </w:rPr>
              <w:t xml:space="preserve"> </w:t>
            </w:r>
            <w:r w:rsidR="0091410B">
              <w:rPr>
                <w:i/>
                <w:lang w:val="en-US"/>
              </w:rPr>
              <w:t xml:space="preserve">intervention. Alternate use of inflation-adjusted KHA estimates increased the ICER to </w:t>
            </w:r>
            <w:r w:rsidRPr="00CE28E3">
              <w:rPr>
                <w:i/>
                <w:lang w:val="en-US"/>
              </w:rPr>
              <w:t>$</w:t>
            </w:r>
            <w:r w:rsidR="00604DDF" w:rsidRPr="009E2F9F">
              <w:rPr>
                <w:b/>
              </w:rPr>
              <w:t>redacted</w:t>
            </w:r>
            <w:r w:rsidR="00604DDF" w:rsidRPr="009E2F9F" w:rsidDel="00604DDF">
              <w:rPr>
                <w:i/>
                <w:lang w:val="en-US"/>
              </w:rPr>
              <w:t xml:space="preserve"> </w:t>
            </w:r>
            <w:r w:rsidRPr="00CE28E3">
              <w:rPr>
                <w:i/>
                <w:lang w:val="en-US"/>
              </w:rPr>
              <w:t>/QALY gained</w:t>
            </w:r>
            <w:r w:rsidR="0091410B">
              <w:rPr>
                <w:i/>
                <w:lang w:val="en-US"/>
              </w:rPr>
              <w:t xml:space="preserve"> in multiway sensitivity analysis.</w:t>
            </w:r>
          </w:p>
        </w:tc>
      </w:tr>
      <w:tr w:rsidR="008025CA" w:rsidRPr="00CE28E3" w14:paraId="7BD0E995" w14:textId="77777777" w:rsidTr="00527717">
        <w:trPr>
          <w:cantSplit/>
        </w:trPr>
        <w:tc>
          <w:tcPr>
            <w:tcW w:w="626" w:type="pct"/>
            <w:shd w:val="clear" w:color="auto" w:fill="auto"/>
          </w:tcPr>
          <w:p w14:paraId="42EBE3D3" w14:textId="65798FC6" w:rsidR="008025CA" w:rsidRDefault="007238C0" w:rsidP="00CC0445">
            <w:pPr>
              <w:pStyle w:val="TableText"/>
              <w:rPr>
                <w:lang w:val="en-US"/>
              </w:rPr>
            </w:pPr>
            <w:r>
              <w:rPr>
                <w:lang w:val="en-US"/>
              </w:rPr>
              <w:t>Choice of model population</w:t>
            </w:r>
          </w:p>
        </w:tc>
        <w:tc>
          <w:tcPr>
            <w:tcW w:w="2909" w:type="pct"/>
            <w:shd w:val="clear" w:color="auto" w:fill="auto"/>
          </w:tcPr>
          <w:p w14:paraId="467FC164" w14:textId="4DDD0F3A" w:rsidR="008025CA" w:rsidRDefault="00D96D27" w:rsidP="00CC0445">
            <w:pPr>
              <w:pStyle w:val="TableText"/>
              <w:rPr>
                <w:lang w:val="en-US"/>
              </w:rPr>
            </w:pPr>
            <w:r>
              <w:rPr>
                <w:lang w:val="en-US"/>
              </w:rPr>
              <w:t xml:space="preserve">In the base case, extrapolations of graft survival and survival with a </w:t>
            </w:r>
            <w:r w:rsidR="00B20DEB">
              <w:rPr>
                <w:lang w:val="en-US"/>
              </w:rPr>
              <w:t>function</w:t>
            </w:r>
            <w:r w:rsidR="00B6686A">
              <w:rPr>
                <w:lang w:val="en-US"/>
              </w:rPr>
              <w:t>ing</w:t>
            </w:r>
            <w:r w:rsidR="00B20DEB">
              <w:rPr>
                <w:lang w:val="en-US"/>
              </w:rPr>
              <w:t xml:space="preserve"> </w:t>
            </w:r>
            <w:r>
              <w:rPr>
                <w:lang w:val="en-US"/>
              </w:rPr>
              <w:t xml:space="preserve">graft </w:t>
            </w:r>
            <w:r w:rsidR="00FF70CC">
              <w:rPr>
                <w:lang w:val="en-US"/>
              </w:rPr>
              <w:t>are made using</w:t>
            </w:r>
            <w:r>
              <w:rPr>
                <w:lang w:val="en-US"/>
              </w:rPr>
              <w:t xml:space="preserve"> clinical trial data for the </w:t>
            </w:r>
            <w:r w:rsidR="007238C0">
              <w:rPr>
                <w:lang w:val="en-US"/>
              </w:rPr>
              <w:t>AUS-UTT-A</w:t>
            </w:r>
            <w:r w:rsidR="00FF70CC">
              <w:rPr>
                <w:lang w:val="en-US"/>
              </w:rPr>
              <w:t xml:space="preserve"> population. </w:t>
            </w:r>
            <w:r w:rsidR="002F6E24">
              <w:rPr>
                <w:lang w:val="en-US"/>
              </w:rPr>
              <w:t>AMR and DGF</w:t>
            </w:r>
            <w:r w:rsidR="007238C0">
              <w:rPr>
                <w:lang w:val="en-US"/>
              </w:rPr>
              <w:t xml:space="preserve"> </w:t>
            </w:r>
            <w:r>
              <w:rPr>
                <w:lang w:val="en-US"/>
              </w:rPr>
              <w:t xml:space="preserve">are </w:t>
            </w:r>
            <w:r w:rsidR="002F6E24">
              <w:rPr>
                <w:lang w:val="en-US"/>
              </w:rPr>
              <w:t>also sourced</w:t>
            </w:r>
            <w:r w:rsidR="00040FD7">
              <w:rPr>
                <w:lang w:val="en-US"/>
              </w:rPr>
              <w:t xml:space="preserve"> from the AUS-UTT-A population.</w:t>
            </w:r>
          </w:p>
          <w:p w14:paraId="6E8FF46F" w14:textId="6C46DEA4" w:rsidR="00040FD7" w:rsidRPr="00CE28E3" w:rsidRDefault="003B1EC3" w:rsidP="00CC0445">
            <w:pPr>
              <w:pStyle w:val="TableText"/>
              <w:rPr>
                <w:lang w:val="en-US"/>
              </w:rPr>
            </w:pPr>
            <w:r>
              <w:rPr>
                <w:lang w:val="en-US"/>
              </w:rPr>
              <w:t>One-</w:t>
            </w:r>
            <w:r w:rsidRPr="0038134A">
              <w:rPr>
                <w:lang w:val="en-US"/>
              </w:rPr>
              <w:t>way scenario</w:t>
            </w:r>
            <w:r w:rsidR="00A851B4" w:rsidRPr="0038134A">
              <w:rPr>
                <w:lang w:val="en-US"/>
              </w:rPr>
              <w:t xml:space="preserve"> analyses altering </w:t>
            </w:r>
            <w:r w:rsidR="006113E0" w:rsidRPr="0038134A">
              <w:rPr>
                <w:lang w:val="en-US"/>
              </w:rPr>
              <w:t xml:space="preserve">the source of each </w:t>
            </w:r>
            <w:r w:rsidRPr="0038134A">
              <w:rPr>
                <w:lang w:val="en-US"/>
              </w:rPr>
              <w:t xml:space="preserve">individually are presented below </w:t>
            </w:r>
            <w:r w:rsidRPr="00986F9A">
              <w:rPr>
                <w:lang w:val="en-US"/>
              </w:rPr>
              <w:t>(</w:t>
            </w:r>
            <w:r w:rsidR="00986F9A" w:rsidRPr="00986F9A">
              <w:rPr>
                <w:lang w:val="en-US"/>
              </w:rPr>
              <w:fldChar w:fldCharType="begin"/>
            </w:r>
            <w:r w:rsidR="00986F9A" w:rsidRPr="00986F9A">
              <w:rPr>
                <w:lang w:val="en-US"/>
              </w:rPr>
              <w:instrText xml:space="preserve"> REF _Ref163648718 \h  \* MERGEFORMAT </w:instrText>
            </w:r>
            <w:r w:rsidR="00986F9A" w:rsidRPr="00986F9A">
              <w:rPr>
                <w:lang w:val="en-US"/>
              </w:rPr>
            </w:r>
            <w:r w:rsidR="00986F9A" w:rsidRPr="00986F9A">
              <w:rPr>
                <w:lang w:val="en-US"/>
              </w:rPr>
              <w:fldChar w:fldCharType="separate"/>
            </w:r>
            <w:r w:rsidR="0073355E">
              <w:t xml:space="preserve">Table </w:t>
            </w:r>
            <w:r w:rsidR="0073355E">
              <w:rPr>
                <w:noProof/>
              </w:rPr>
              <w:t>10</w:t>
            </w:r>
            <w:r w:rsidR="00986F9A" w:rsidRPr="00986F9A">
              <w:rPr>
                <w:lang w:val="en-US"/>
              </w:rPr>
              <w:fldChar w:fldCharType="end"/>
            </w:r>
            <w:r w:rsidRPr="00986F9A">
              <w:rPr>
                <w:lang w:val="en-US"/>
              </w:rPr>
              <w:t>).</w:t>
            </w:r>
            <w:r w:rsidRPr="0038134A">
              <w:rPr>
                <w:lang w:val="en-US"/>
              </w:rPr>
              <w:t xml:space="preserve"> A scenario adjust</w:t>
            </w:r>
            <w:r w:rsidR="0085518C">
              <w:rPr>
                <w:lang w:val="en-US"/>
              </w:rPr>
              <w:t>ing</w:t>
            </w:r>
            <w:r w:rsidRPr="0038134A">
              <w:rPr>
                <w:lang w:val="en-US"/>
              </w:rPr>
              <w:t xml:space="preserve"> all 3 simultaneously was added </w:t>
            </w:r>
            <w:r w:rsidR="0038134A" w:rsidRPr="0038134A">
              <w:rPr>
                <w:lang w:val="en-US"/>
              </w:rPr>
              <w:t>here.</w:t>
            </w:r>
          </w:p>
        </w:tc>
        <w:tc>
          <w:tcPr>
            <w:tcW w:w="1465" w:type="pct"/>
            <w:shd w:val="clear" w:color="auto" w:fill="auto"/>
          </w:tcPr>
          <w:p w14:paraId="23A13DE9" w14:textId="21C310FE" w:rsidR="008025CA" w:rsidRPr="00B36630" w:rsidRDefault="00B36630" w:rsidP="00CC0445">
            <w:pPr>
              <w:pStyle w:val="TableText"/>
              <w:rPr>
                <w:i/>
                <w:iCs/>
                <w:lang w:val="en-US"/>
              </w:rPr>
            </w:pPr>
            <w:r>
              <w:rPr>
                <w:i/>
                <w:iCs/>
                <w:lang w:val="en-US"/>
              </w:rPr>
              <w:t>Low</w:t>
            </w:r>
            <w:r w:rsidR="0085518C">
              <w:rPr>
                <w:i/>
                <w:iCs/>
                <w:lang w:val="en-US"/>
              </w:rPr>
              <w:t>:</w:t>
            </w:r>
            <w:r>
              <w:rPr>
                <w:i/>
                <w:iCs/>
                <w:lang w:val="en-US"/>
              </w:rPr>
              <w:t xml:space="preserve"> use of </w:t>
            </w:r>
            <w:r w:rsidR="00197208">
              <w:rPr>
                <w:i/>
                <w:iCs/>
                <w:lang w:val="en-US"/>
              </w:rPr>
              <w:t xml:space="preserve">AUS-UTT-A population slightly </w:t>
            </w:r>
            <w:r w:rsidR="00541106">
              <w:rPr>
                <w:i/>
                <w:iCs/>
                <w:lang w:val="en-US"/>
              </w:rPr>
              <w:t>favo</w:t>
            </w:r>
            <w:r w:rsidR="0085518C">
              <w:rPr>
                <w:i/>
                <w:iCs/>
                <w:lang w:val="en-US"/>
              </w:rPr>
              <w:t>u</w:t>
            </w:r>
            <w:r w:rsidR="00541106">
              <w:rPr>
                <w:i/>
                <w:iCs/>
                <w:lang w:val="en-US"/>
              </w:rPr>
              <w:t>rs</w:t>
            </w:r>
            <w:r w:rsidR="00197208">
              <w:rPr>
                <w:i/>
                <w:iCs/>
                <w:lang w:val="en-US"/>
              </w:rPr>
              <w:t xml:space="preserve"> intervention. Use of </w:t>
            </w:r>
            <w:r w:rsidR="001A777A">
              <w:rPr>
                <w:i/>
                <w:iCs/>
                <w:lang w:val="en-US"/>
              </w:rPr>
              <w:t>a</w:t>
            </w:r>
            <w:r w:rsidR="00197208">
              <w:rPr>
                <w:i/>
                <w:iCs/>
                <w:lang w:val="en-US"/>
              </w:rPr>
              <w:t>ll-transplanted population decreased the ICER to $</w:t>
            </w:r>
            <w:r w:rsidR="00604DDF" w:rsidRPr="009E2F9F">
              <w:rPr>
                <w:b/>
              </w:rPr>
              <w:t>redacted</w:t>
            </w:r>
            <w:r w:rsidR="00604DDF" w:rsidRPr="009E2F9F" w:rsidDel="00604DDF">
              <w:rPr>
                <w:b/>
                <w:i/>
                <w:lang w:val="en-US"/>
              </w:rPr>
              <w:t xml:space="preserve"> </w:t>
            </w:r>
            <w:r w:rsidR="00197208">
              <w:rPr>
                <w:i/>
                <w:iCs/>
                <w:lang w:val="en-US"/>
              </w:rPr>
              <w:t>/QALY gained in multiway sensitivity analysis.</w:t>
            </w:r>
          </w:p>
        </w:tc>
      </w:tr>
      <w:tr w:rsidR="00B508BE" w:rsidRPr="00CE28E3" w14:paraId="67711D9B" w14:textId="77777777" w:rsidTr="00527717">
        <w:trPr>
          <w:cantSplit/>
        </w:trPr>
        <w:tc>
          <w:tcPr>
            <w:tcW w:w="626" w:type="pct"/>
            <w:shd w:val="clear" w:color="auto" w:fill="auto"/>
          </w:tcPr>
          <w:p w14:paraId="5DDE4CB2" w14:textId="74191040" w:rsidR="00B508BE" w:rsidRPr="00CE28E3" w:rsidRDefault="00DF006C" w:rsidP="00CC0445">
            <w:pPr>
              <w:pStyle w:val="TableText"/>
              <w:rPr>
                <w:lang w:val="en-US"/>
              </w:rPr>
            </w:pPr>
            <w:r>
              <w:rPr>
                <w:lang w:val="en-US"/>
              </w:rPr>
              <w:t>Extrapolation of survival outcomes</w:t>
            </w:r>
          </w:p>
        </w:tc>
        <w:tc>
          <w:tcPr>
            <w:tcW w:w="2909" w:type="pct"/>
            <w:shd w:val="clear" w:color="auto" w:fill="auto"/>
          </w:tcPr>
          <w:p w14:paraId="4BD9C665" w14:textId="5C7ED8A2" w:rsidR="00B508BE" w:rsidRDefault="008A7687" w:rsidP="00CC0445">
            <w:pPr>
              <w:pStyle w:val="TableText"/>
              <w:rPr>
                <w:color w:val="000000" w:themeColor="text1"/>
              </w:rPr>
            </w:pPr>
            <w:r>
              <w:rPr>
                <w:color w:val="000000" w:themeColor="text1"/>
              </w:rPr>
              <w:t>Parametric models were fit</w:t>
            </w:r>
            <w:r w:rsidR="00227881">
              <w:rPr>
                <w:color w:val="000000" w:themeColor="text1"/>
              </w:rPr>
              <w:t>ted</w:t>
            </w:r>
            <w:r>
              <w:rPr>
                <w:color w:val="000000" w:themeColor="text1"/>
              </w:rPr>
              <w:t xml:space="preserve"> to clinical trial data to extrapolate</w:t>
            </w:r>
            <w:r w:rsidRPr="0005062C">
              <w:rPr>
                <w:color w:val="000000" w:themeColor="text1"/>
              </w:rPr>
              <w:t xml:space="preserve"> </w:t>
            </w:r>
            <w:r>
              <w:rPr>
                <w:color w:val="000000" w:themeColor="text1"/>
              </w:rPr>
              <w:t>graft survival and patient survival with a functioning graft. Both were modelled using an exponential distribution</w:t>
            </w:r>
            <w:r w:rsidR="005F08FF">
              <w:rPr>
                <w:color w:val="000000" w:themeColor="text1"/>
              </w:rPr>
              <w:t xml:space="preserve">, which implies a constant risk of </w:t>
            </w:r>
            <w:r w:rsidR="00A658D5">
              <w:rPr>
                <w:color w:val="000000" w:themeColor="text1"/>
              </w:rPr>
              <w:t xml:space="preserve">graft failure/death. </w:t>
            </w:r>
          </w:p>
          <w:p w14:paraId="34313563" w14:textId="07386012" w:rsidR="00CD7356" w:rsidRPr="00CE28E3" w:rsidRDefault="00401E66" w:rsidP="00CC0445">
            <w:pPr>
              <w:pStyle w:val="TableText"/>
              <w:rPr>
                <w:lang w:val="en-US"/>
              </w:rPr>
            </w:pPr>
            <w:r>
              <w:rPr>
                <w:lang w:val="en-US"/>
              </w:rPr>
              <w:t>Scenario analyses tested the impact of selected alternate parametric models.</w:t>
            </w:r>
          </w:p>
        </w:tc>
        <w:tc>
          <w:tcPr>
            <w:tcW w:w="1465" w:type="pct"/>
            <w:shd w:val="clear" w:color="auto" w:fill="auto"/>
          </w:tcPr>
          <w:p w14:paraId="5ED9DFF2" w14:textId="1647C02A" w:rsidR="00B508BE" w:rsidRPr="004949DA" w:rsidRDefault="00401E66" w:rsidP="00CC0445">
            <w:pPr>
              <w:pStyle w:val="TableText"/>
              <w:rPr>
                <w:i/>
                <w:iCs/>
                <w:lang w:val="en-US"/>
              </w:rPr>
            </w:pPr>
            <w:r>
              <w:rPr>
                <w:i/>
                <w:iCs/>
                <w:lang w:val="en-US"/>
              </w:rPr>
              <w:t>Moderate</w:t>
            </w:r>
            <w:r w:rsidR="00EE5946">
              <w:rPr>
                <w:i/>
                <w:iCs/>
                <w:lang w:val="en-US"/>
              </w:rPr>
              <w:t>:</w:t>
            </w:r>
            <w:r>
              <w:rPr>
                <w:i/>
                <w:iCs/>
                <w:lang w:val="en-US"/>
              </w:rPr>
              <w:t xml:space="preserve"> choice of exponential distribution </w:t>
            </w:r>
            <w:r w:rsidR="00541106">
              <w:rPr>
                <w:i/>
                <w:iCs/>
                <w:lang w:val="en-US"/>
              </w:rPr>
              <w:t>favo</w:t>
            </w:r>
            <w:r w:rsidR="00EE5946">
              <w:rPr>
                <w:i/>
                <w:iCs/>
                <w:lang w:val="en-US"/>
              </w:rPr>
              <w:t>u</w:t>
            </w:r>
            <w:r w:rsidR="00541106">
              <w:rPr>
                <w:i/>
                <w:iCs/>
                <w:lang w:val="en-US"/>
              </w:rPr>
              <w:t>rs</w:t>
            </w:r>
            <w:r>
              <w:rPr>
                <w:i/>
                <w:iCs/>
                <w:lang w:val="en-US"/>
              </w:rPr>
              <w:t xml:space="preserve"> comparator.</w:t>
            </w:r>
            <w:r w:rsidR="00BC5C93">
              <w:rPr>
                <w:i/>
                <w:iCs/>
                <w:lang w:val="en-US"/>
              </w:rPr>
              <w:t xml:space="preserve"> Use of alternate distributions reduced the ICER.</w:t>
            </w:r>
            <w:r>
              <w:rPr>
                <w:i/>
                <w:iCs/>
                <w:lang w:val="en-US"/>
              </w:rPr>
              <w:t xml:space="preserve"> </w:t>
            </w:r>
          </w:p>
        </w:tc>
      </w:tr>
      <w:tr w:rsidR="005E52C6" w:rsidRPr="00CE28E3" w14:paraId="267718BD" w14:textId="77777777" w:rsidTr="00527717">
        <w:trPr>
          <w:cantSplit/>
        </w:trPr>
        <w:tc>
          <w:tcPr>
            <w:tcW w:w="626" w:type="pct"/>
            <w:shd w:val="clear" w:color="auto" w:fill="auto"/>
          </w:tcPr>
          <w:p w14:paraId="025B1D7D" w14:textId="59A3BB10" w:rsidR="005E52C6" w:rsidRDefault="005E52C6" w:rsidP="00CC0445">
            <w:pPr>
              <w:pStyle w:val="TableText"/>
              <w:rPr>
                <w:lang w:val="en-US"/>
              </w:rPr>
            </w:pPr>
            <w:r>
              <w:rPr>
                <w:lang w:val="en-US"/>
              </w:rPr>
              <w:t>Bias resulting from na</w:t>
            </w:r>
            <w:r w:rsidR="00EE5946">
              <w:rPr>
                <w:lang w:val="en-US"/>
              </w:rPr>
              <w:t>i</w:t>
            </w:r>
            <w:r>
              <w:rPr>
                <w:lang w:val="en-US"/>
              </w:rPr>
              <w:t>ve ITC</w:t>
            </w:r>
          </w:p>
        </w:tc>
        <w:tc>
          <w:tcPr>
            <w:tcW w:w="2909" w:type="pct"/>
            <w:shd w:val="clear" w:color="auto" w:fill="auto"/>
          </w:tcPr>
          <w:p w14:paraId="7C86E9CC" w14:textId="794C2A4D" w:rsidR="005E52C6" w:rsidRPr="00CE28E3" w:rsidRDefault="005E52C6" w:rsidP="00CC0445">
            <w:pPr>
              <w:pStyle w:val="TableText"/>
              <w:rPr>
                <w:lang w:val="en-US"/>
              </w:rPr>
            </w:pPr>
            <w:r>
              <w:t>The economic evaluation is based on comparative efficacy estimates derived from a na</w:t>
            </w:r>
            <w:r w:rsidR="00EE5946">
              <w:t>i</w:t>
            </w:r>
            <w:r>
              <w:t>ve ITC</w:t>
            </w:r>
            <w:r w:rsidRPr="00891B6B">
              <w:t xml:space="preserve">. There are material differences </w:t>
            </w:r>
            <w:r>
              <w:t>in patient characteristics between imlifidase clinical trials and the Australian patient population.</w:t>
            </w:r>
            <w:r w:rsidRPr="00891B6B">
              <w:t xml:space="preserve"> </w:t>
            </w:r>
            <w:r>
              <w:t xml:space="preserve">There is also the potential for </w:t>
            </w:r>
            <w:r w:rsidRPr="00891B6B">
              <w:t>further unobserv</w:t>
            </w:r>
            <w:r>
              <w:t>ed</w:t>
            </w:r>
            <w:r w:rsidRPr="00891B6B">
              <w:t xml:space="preserve"> differences in prognostic factors</w:t>
            </w:r>
            <w:r>
              <w:t>.</w:t>
            </w:r>
          </w:p>
        </w:tc>
        <w:tc>
          <w:tcPr>
            <w:tcW w:w="1465" w:type="pct"/>
            <w:shd w:val="clear" w:color="auto" w:fill="auto"/>
          </w:tcPr>
          <w:p w14:paraId="5EC42973" w14:textId="79FFD5D6" w:rsidR="005E52C6" w:rsidRPr="00CE28E3" w:rsidRDefault="005E52C6" w:rsidP="00CC0445">
            <w:pPr>
              <w:pStyle w:val="TableText"/>
              <w:rPr>
                <w:lang w:val="en-US"/>
              </w:rPr>
            </w:pPr>
            <w:r w:rsidRPr="004949DA">
              <w:rPr>
                <w:i/>
                <w:iCs/>
              </w:rPr>
              <w:t>Potential</w:t>
            </w:r>
            <w:r>
              <w:rPr>
                <w:i/>
                <w:iCs/>
              </w:rPr>
              <w:t>ly</w:t>
            </w:r>
            <w:r w:rsidRPr="004949DA">
              <w:rPr>
                <w:i/>
                <w:iCs/>
              </w:rPr>
              <w:t xml:space="preserve"> large impact given the impact on efficacy estimates and outcomes in the modelled patient population. It is uncertain </w:t>
            </w:r>
            <w:r w:rsidR="00461D3B">
              <w:rPr>
                <w:i/>
                <w:iCs/>
              </w:rPr>
              <w:t>whether</w:t>
            </w:r>
            <w:r w:rsidRPr="004949DA">
              <w:rPr>
                <w:i/>
                <w:iCs/>
              </w:rPr>
              <w:t xml:space="preserve"> any bias would favour the intervention or current care.</w:t>
            </w:r>
          </w:p>
        </w:tc>
      </w:tr>
      <w:tr w:rsidR="009E036C" w:rsidRPr="00CE28E3" w14:paraId="064226A3" w14:textId="77777777" w:rsidTr="00CC0445">
        <w:trPr>
          <w:cantSplit/>
        </w:trPr>
        <w:tc>
          <w:tcPr>
            <w:tcW w:w="626" w:type="pct"/>
            <w:shd w:val="clear" w:color="auto" w:fill="auto"/>
          </w:tcPr>
          <w:p w14:paraId="30C66824" w14:textId="1E8D3EDE" w:rsidR="009E036C" w:rsidRDefault="0044054C" w:rsidP="00CC0445">
            <w:pPr>
              <w:pStyle w:val="TableText"/>
              <w:rPr>
                <w:lang w:val="en-US"/>
              </w:rPr>
            </w:pPr>
            <w:r>
              <w:rPr>
                <w:lang w:val="en-US"/>
              </w:rPr>
              <w:t xml:space="preserve">Potentially </w:t>
            </w:r>
            <w:r w:rsidR="007A7F44">
              <w:rPr>
                <w:lang w:val="en-US"/>
              </w:rPr>
              <w:t xml:space="preserve">different economic outcomes for </w:t>
            </w:r>
            <w:r w:rsidR="00E9560F">
              <w:rPr>
                <w:lang w:val="en-US"/>
              </w:rPr>
              <w:t xml:space="preserve">DD </w:t>
            </w:r>
            <w:r w:rsidR="007A7F44">
              <w:rPr>
                <w:lang w:val="en-US"/>
              </w:rPr>
              <w:t>and</w:t>
            </w:r>
            <w:r w:rsidR="00E9560F">
              <w:rPr>
                <w:lang w:val="en-US"/>
              </w:rPr>
              <w:t xml:space="preserve"> LD transplant</w:t>
            </w:r>
            <w:r w:rsidR="007A7F44">
              <w:rPr>
                <w:lang w:val="en-US"/>
              </w:rPr>
              <w:t>s</w:t>
            </w:r>
          </w:p>
        </w:tc>
        <w:tc>
          <w:tcPr>
            <w:tcW w:w="2909" w:type="pct"/>
            <w:shd w:val="clear" w:color="auto" w:fill="auto"/>
          </w:tcPr>
          <w:p w14:paraId="7A959897" w14:textId="5D457310" w:rsidR="0029379C" w:rsidRDefault="00A84ED8" w:rsidP="00A364B9">
            <w:pPr>
              <w:pStyle w:val="TableText"/>
            </w:pPr>
            <w:r>
              <w:t xml:space="preserve">The </w:t>
            </w:r>
            <w:r w:rsidR="0053627E">
              <w:t>base case</w:t>
            </w:r>
            <w:r>
              <w:t xml:space="preserve"> presented in the ADAR </w:t>
            </w:r>
            <w:r w:rsidR="00DB0FC6">
              <w:t xml:space="preserve">assumed </w:t>
            </w:r>
            <w:r w:rsidR="0017254B">
              <w:t>24.0%</w:t>
            </w:r>
            <w:r w:rsidR="0029379C">
              <w:t xml:space="preserve"> </w:t>
            </w:r>
            <w:r w:rsidR="0029379C" w:rsidRPr="0029379C">
              <w:t>of imlifidase-enabled transplants are LD transplants</w:t>
            </w:r>
            <w:r w:rsidR="00A364B9">
              <w:t xml:space="preserve">. </w:t>
            </w:r>
          </w:p>
          <w:p w14:paraId="4695FE86" w14:textId="172E41BB" w:rsidR="009E036C" w:rsidRDefault="0070433B" w:rsidP="00CC0445">
            <w:pPr>
              <w:pStyle w:val="TableText"/>
            </w:pPr>
            <w:r>
              <w:t>The</w:t>
            </w:r>
            <w:r w:rsidR="00ED79C1">
              <w:t xml:space="preserve"> commentary explored separate ICERs for DD and LD transplants </w:t>
            </w:r>
            <w:r w:rsidR="009F6473">
              <w:t xml:space="preserve">by setting this rate to 0% and 100%, respectively. These scenarios were explored </w:t>
            </w:r>
            <w:r w:rsidR="00ED79C1">
              <w:t>under base case assumptions</w:t>
            </w:r>
            <w:r w:rsidR="009F6473">
              <w:t xml:space="preserve"> as well as </w:t>
            </w:r>
            <w:r w:rsidR="009709AB">
              <w:t>under the spillover effects scenario</w:t>
            </w:r>
            <w:r w:rsidR="009F6473">
              <w:t>.</w:t>
            </w:r>
          </w:p>
        </w:tc>
        <w:tc>
          <w:tcPr>
            <w:tcW w:w="1465" w:type="pct"/>
            <w:shd w:val="clear" w:color="auto" w:fill="auto"/>
          </w:tcPr>
          <w:p w14:paraId="74A2FADE" w14:textId="0680A49A" w:rsidR="00AE60F7" w:rsidRPr="0046142F" w:rsidRDefault="00802554" w:rsidP="00CC0445">
            <w:pPr>
              <w:pStyle w:val="TableText"/>
              <w:rPr>
                <w:i/>
                <w:iCs/>
              </w:rPr>
            </w:pPr>
            <w:r>
              <w:rPr>
                <w:i/>
                <w:iCs/>
              </w:rPr>
              <w:t xml:space="preserve">Low under base case assumptions: </w:t>
            </w:r>
            <w:r w:rsidR="000D09E3">
              <w:rPr>
                <w:i/>
                <w:iCs/>
              </w:rPr>
              <w:t xml:space="preserve">LD </w:t>
            </w:r>
            <w:r w:rsidR="000D09E3" w:rsidRPr="0046142F">
              <w:rPr>
                <w:i/>
                <w:iCs/>
              </w:rPr>
              <w:t xml:space="preserve">rates of 0% and 100% varied the ICER from </w:t>
            </w:r>
            <w:r w:rsidR="00AE60F7" w:rsidRPr="0046142F">
              <w:rPr>
                <w:i/>
                <w:iCs/>
              </w:rPr>
              <w:t>$</w:t>
            </w:r>
            <w:r w:rsidR="00604DDF" w:rsidRPr="009E2F9F">
              <w:rPr>
                <w:b/>
              </w:rPr>
              <w:t>redacted</w:t>
            </w:r>
            <w:r w:rsidR="000D09E3" w:rsidRPr="0046142F">
              <w:rPr>
                <w:i/>
                <w:iCs/>
              </w:rPr>
              <w:t xml:space="preserve">/QALY to </w:t>
            </w:r>
            <w:r w:rsidR="00A33F1A" w:rsidRPr="0046142F">
              <w:rPr>
                <w:i/>
                <w:iCs/>
              </w:rPr>
              <w:t>$</w:t>
            </w:r>
            <w:r w:rsidR="00604DDF" w:rsidRPr="009E2F9F">
              <w:rPr>
                <w:b/>
              </w:rPr>
              <w:t>redacted</w:t>
            </w:r>
            <w:r w:rsidR="000D09E3" w:rsidRPr="0046142F">
              <w:rPr>
                <w:i/>
                <w:iCs/>
              </w:rPr>
              <w:t>.</w:t>
            </w:r>
          </w:p>
          <w:p w14:paraId="03524588" w14:textId="4712BCDD" w:rsidR="009E036C" w:rsidRPr="004949DA" w:rsidRDefault="004F071A" w:rsidP="00CC0445">
            <w:pPr>
              <w:pStyle w:val="TableText"/>
              <w:rPr>
                <w:i/>
                <w:iCs/>
              </w:rPr>
            </w:pPr>
            <w:r w:rsidRPr="0046142F">
              <w:rPr>
                <w:i/>
                <w:iCs/>
              </w:rPr>
              <w:t xml:space="preserve">High in the spillover scenario: LD rates of 0% and 100% varied the </w:t>
            </w:r>
            <w:r w:rsidR="003F6BEF" w:rsidRPr="0046142F">
              <w:rPr>
                <w:i/>
                <w:iCs/>
              </w:rPr>
              <w:t>ICER</w:t>
            </w:r>
            <w:r w:rsidRPr="0046142F">
              <w:rPr>
                <w:i/>
                <w:iCs/>
              </w:rPr>
              <w:t xml:space="preserve"> from</w:t>
            </w:r>
            <w:r w:rsidR="003F6BEF" w:rsidRPr="0046142F">
              <w:rPr>
                <w:i/>
                <w:iCs/>
              </w:rPr>
              <w:t xml:space="preserve"> $</w:t>
            </w:r>
            <w:r w:rsidR="00604DDF" w:rsidRPr="009E2F9F">
              <w:rPr>
                <w:b/>
              </w:rPr>
              <w:t>redacted</w:t>
            </w:r>
            <w:r w:rsidRPr="0046142F">
              <w:rPr>
                <w:i/>
                <w:iCs/>
              </w:rPr>
              <w:t xml:space="preserve">/QALY to </w:t>
            </w:r>
            <w:r w:rsidR="000F423F" w:rsidRPr="0046142F">
              <w:rPr>
                <w:i/>
                <w:iCs/>
              </w:rPr>
              <w:t xml:space="preserve">imlifidase </w:t>
            </w:r>
            <w:r w:rsidRPr="0046142F">
              <w:rPr>
                <w:i/>
                <w:iCs/>
              </w:rPr>
              <w:t xml:space="preserve">being </w:t>
            </w:r>
            <w:r w:rsidR="000F423F" w:rsidRPr="0046142F">
              <w:rPr>
                <w:i/>
                <w:iCs/>
              </w:rPr>
              <w:t>dominant</w:t>
            </w:r>
            <w:r w:rsidRPr="0046142F">
              <w:rPr>
                <w:i/>
                <w:iCs/>
              </w:rPr>
              <w:t>.</w:t>
            </w:r>
          </w:p>
        </w:tc>
      </w:tr>
    </w:tbl>
    <w:bookmarkEnd w:id="41"/>
    <w:p w14:paraId="495B6915" w14:textId="34CA1EC1" w:rsidR="00BB1958" w:rsidRPr="00527717" w:rsidRDefault="00BB1958" w:rsidP="00527717">
      <w:pPr>
        <w:pStyle w:val="TableFigureFooter"/>
        <w:contextualSpacing/>
        <w:rPr>
          <w:b/>
          <w:bCs/>
          <w:u w:val="single"/>
        </w:rPr>
      </w:pPr>
      <w:r w:rsidRPr="00527717">
        <w:rPr>
          <w:b/>
          <w:bCs/>
          <w:u w:val="single"/>
        </w:rPr>
        <w:t>Abbreviations</w:t>
      </w:r>
    </w:p>
    <w:p w14:paraId="4724B6F8" w14:textId="2D37DEF0" w:rsidR="0069225E" w:rsidRPr="00CE28E3" w:rsidRDefault="00533136" w:rsidP="0069225E">
      <w:pPr>
        <w:pStyle w:val="TableFigureFooter"/>
      </w:pPr>
      <w:r>
        <w:t xml:space="preserve">ADAR = applicant developed assessment report, </w:t>
      </w:r>
      <w:r w:rsidR="002F6E24">
        <w:t>AMR = antibody</w:t>
      </w:r>
      <w:r w:rsidR="00BB1958">
        <w:t>-</w:t>
      </w:r>
      <w:r w:rsidR="002F6E24">
        <w:t xml:space="preserve">mediated rejection, </w:t>
      </w:r>
      <w:r w:rsidR="00853F36">
        <w:t xml:space="preserve">AUS-UTT-A = Australia – </w:t>
      </w:r>
      <w:r w:rsidR="00BB1958">
        <w:t>u</w:t>
      </w:r>
      <w:r w:rsidR="00853F36">
        <w:t xml:space="preserve">nlikely to </w:t>
      </w:r>
      <w:r w:rsidR="00BB1958">
        <w:t>t</w:t>
      </w:r>
      <w:r w:rsidR="00853F36">
        <w:t xml:space="preserve">ransplant – </w:t>
      </w:r>
      <w:r w:rsidR="00BB1958">
        <w:t>a</w:t>
      </w:r>
      <w:r w:rsidR="00853F36">
        <w:t xml:space="preserve">gnostic, </w:t>
      </w:r>
      <w:r>
        <w:t xml:space="preserve">CUA = cost-utility analysis, </w:t>
      </w:r>
      <w:r w:rsidR="00E2545D">
        <w:t xml:space="preserve">DD = deceased donor, </w:t>
      </w:r>
      <w:r w:rsidR="002F6E24">
        <w:t xml:space="preserve">DGF = delayed graft function, </w:t>
      </w:r>
      <w:r w:rsidR="0069225E" w:rsidRPr="00CE28E3">
        <w:t>ICER = incremental cost-effectiveness ratio</w:t>
      </w:r>
      <w:r w:rsidR="00BB1958">
        <w:t>,</w:t>
      </w:r>
      <w:r w:rsidR="00D066DC">
        <w:t xml:space="preserve"> ITC = indirect treatment comparison, KHA = Kidney Hea</w:t>
      </w:r>
      <w:r w:rsidR="00A82CFA">
        <w:t>l</w:t>
      </w:r>
      <w:r w:rsidR="00D066DC">
        <w:t>th Australia,</w:t>
      </w:r>
      <w:r w:rsidR="0069225E" w:rsidRPr="00CE28E3">
        <w:t xml:space="preserve"> </w:t>
      </w:r>
      <w:r w:rsidR="00E2545D">
        <w:t xml:space="preserve">LD = living donor, </w:t>
      </w:r>
      <w:r w:rsidR="0069225E" w:rsidRPr="00CE28E3">
        <w:t>QALY = quality-adjusted life year</w:t>
      </w:r>
    </w:p>
    <w:p w14:paraId="7570443F" w14:textId="47DBD522" w:rsidR="006956A9" w:rsidRDefault="00413272">
      <w:r>
        <w:t>MSAC suggested</w:t>
      </w:r>
      <w:r w:rsidR="00A12A41">
        <w:t xml:space="preserve"> (1732 PSD)</w:t>
      </w:r>
      <w:r>
        <w:t xml:space="preserve"> </w:t>
      </w:r>
      <w:r w:rsidR="00F27C4D">
        <w:t xml:space="preserve">that, after adjusting the model for the displacement effects on non-HS patients, </w:t>
      </w:r>
      <w:r>
        <w:t xml:space="preserve">the ICER of DD </w:t>
      </w:r>
      <w:r w:rsidR="00F27C4D">
        <w:t>transplants</w:t>
      </w:r>
      <w:r>
        <w:t xml:space="preserve"> facilitated by imlifidase is likely to be in the northwest quadrant</w:t>
      </w:r>
      <w:r w:rsidR="004E1DAB">
        <w:t xml:space="preserve"> of the cost-effectiveness plane</w:t>
      </w:r>
      <w:r w:rsidR="009E0747">
        <w:t xml:space="preserve"> </w:t>
      </w:r>
      <w:r>
        <w:t xml:space="preserve">(i.e. dominated because it is less effective in health </w:t>
      </w:r>
      <w:r>
        <w:lastRenderedPageBreak/>
        <w:t>outcomes but also more expensive)</w:t>
      </w:r>
      <w:r w:rsidR="00DA3370">
        <w:t>; h</w:t>
      </w:r>
      <w:r w:rsidR="004C2330">
        <w:t xml:space="preserve">owever, </w:t>
      </w:r>
      <w:r w:rsidR="00F27C4D">
        <w:t xml:space="preserve">the ICER for DD </w:t>
      </w:r>
      <w:r w:rsidR="00F27C4D" w:rsidRPr="000C2C9D">
        <w:t xml:space="preserve">transplants </w:t>
      </w:r>
      <w:r w:rsidR="006A33DF" w:rsidRPr="000C2C9D">
        <w:t>in the</w:t>
      </w:r>
      <w:r w:rsidR="004C2330">
        <w:t xml:space="preserve"> ADAR’s</w:t>
      </w:r>
      <w:r w:rsidR="006A33DF" w:rsidRPr="000C2C9D">
        <w:t xml:space="preserve"> spillover scenario remain</w:t>
      </w:r>
      <w:r w:rsidR="00536EDC">
        <w:t>ed</w:t>
      </w:r>
      <w:r w:rsidR="006A33DF" w:rsidRPr="000C2C9D">
        <w:t xml:space="preserve"> in the northeast quadrant ($</w:t>
      </w:r>
      <w:r w:rsidR="00604DDF" w:rsidRPr="009E2F9F">
        <w:rPr>
          <w:b/>
        </w:rPr>
        <w:t>redacted</w:t>
      </w:r>
      <w:r w:rsidR="006A33DF" w:rsidRPr="000C2C9D">
        <w:t xml:space="preserve">/QALY). </w:t>
      </w:r>
    </w:p>
    <w:p w14:paraId="20E1D607" w14:textId="3052D12B" w:rsidR="00E7160D" w:rsidRDefault="008B4985">
      <w:r w:rsidRPr="000C2C9D">
        <w:t>The</w:t>
      </w:r>
      <w:r w:rsidR="00413272" w:rsidRPr="000C2C9D">
        <w:t xml:space="preserve"> </w:t>
      </w:r>
      <w:r w:rsidR="00536EDC">
        <w:t xml:space="preserve">ADAR’s </w:t>
      </w:r>
      <w:r w:rsidR="00413272" w:rsidRPr="000C2C9D">
        <w:t xml:space="preserve">spillover model </w:t>
      </w:r>
      <w:r w:rsidR="006A33DF" w:rsidRPr="000C2C9D">
        <w:t>adjusted</w:t>
      </w:r>
      <w:r w:rsidR="00413272" w:rsidRPr="000C2C9D">
        <w:t xml:space="preserve"> for the displacement effects on non-HS patients </w:t>
      </w:r>
      <w:r w:rsidRPr="000C2C9D">
        <w:t xml:space="preserve">by omitting both </w:t>
      </w:r>
      <w:r w:rsidR="000732C1">
        <w:t>transplant</w:t>
      </w:r>
      <w:r w:rsidRPr="0031404E">
        <w:t xml:space="preserve"> costs and dia</w:t>
      </w:r>
      <w:r w:rsidRPr="000C2C9D">
        <w:t>lysis cost offsets</w:t>
      </w:r>
      <w:r w:rsidR="00F35381" w:rsidRPr="000C2C9D">
        <w:t xml:space="preserve"> for DD kidney recipients</w:t>
      </w:r>
      <w:r w:rsidRPr="000C2C9D">
        <w:t xml:space="preserve"> </w:t>
      </w:r>
      <w:r w:rsidR="00E67C59">
        <w:t>while</w:t>
      </w:r>
      <w:r w:rsidRPr="000C2C9D">
        <w:t xml:space="preserve"> including additional costs of administering imlifidase</w:t>
      </w:r>
      <w:r w:rsidR="00E67C59">
        <w:t>; h</w:t>
      </w:r>
      <w:r w:rsidR="00B814A6">
        <w:t xml:space="preserve">owever, </w:t>
      </w:r>
      <w:r w:rsidR="00466300">
        <w:t>the impact</w:t>
      </w:r>
      <w:r w:rsidR="002103E3">
        <w:t xml:space="preserve"> </w:t>
      </w:r>
      <w:r w:rsidR="00A576C0">
        <w:t>on</w:t>
      </w:r>
      <w:r w:rsidR="00466300">
        <w:t xml:space="preserve"> </w:t>
      </w:r>
      <w:r w:rsidR="00B814A6">
        <w:t>h</w:t>
      </w:r>
      <w:r w:rsidR="00A72755">
        <w:t>ealth</w:t>
      </w:r>
      <w:r w:rsidR="00D73843" w:rsidRPr="000C2C9D">
        <w:t xml:space="preserve"> outcomes </w:t>
      </w:r>
      <w:r w:rsidR="002103E3">
        <w:t>of</w:t>
      </w:r>
      <w:r w:rsidR="00D73843" w:rsidRPr="000C2C9D">
        <w:t xml:space="preserve"> allocati</w:t>
      </w:r>
      <w:r w:rsidR="005A1C9F">
        <w:t>ng</w:t>
      </w:r>
      <w:r w:rsidR="00D73843" w:rsidRPr="000C2C9D">
        <w:t xml:space="preserve"> </w:t>
      </w:r>
      <w:r w:rsidR="00462A78">
        <w:t>a DD</w:t>
      </w:r>
      <w:r w:rsidR="00D73843" w:rsidRPr="000C2C9D">
        <w:t xml:space="preserve"> kidney to a</w:t>
      </w:r>
      <w:r w:rsidR="00AA3EE4">
        <w:t>n</w:t>
      </w:r>
      <w:r w:rsidR="00D73843" w:rsidRPr="000C2C9D">
        <w:t xml:space="preserve"> HS patient over a non-HS patient </w:t>
      </w:r>
      <w:r w:rsidR="00462A78">
        <w:t>was</w:t>
      </w:r>
      <w:r w:rsidR="00B128B0">
        <w:t xml:space="preserve"> not </w:t>
      </w:r>
      <w:r w:rsidR="00E21A67">
        <w:t xml:space="preserve">captured in the </w:t>
      </w:r>
      <w:r w:rsidR="00EE1A6F">
        <w:t xml:space="preserve">ADAR’s </w:t>
      </w:r>
      <w:r w:rsidR="00E21A67">
        <w:t>spillover scenario</w:t>
      </w:r>
      <w:r w:rsidR="00B128B0">
        <w:t xml:space="preserve">. </w:t>
      </w:r>
      <w:r w:rsidR="00974D34">
        <w:t xml:space="preserve">While </w:t>
      </w:r>
      <w:r w:rsidR="00D73843" w:rsidRPr="000C2C9D">
        <w:t xml:space="preserve">HS patients could be </w:t>
      </w:r>
      <w:r w:rsidR="00D73843" w:rsidRPr="0046142F">
        <w:t xml:space="preserve">expected to have </w:t>
      </w:r>
      <w:r w:rsidR="00BB2598" w:rsidRPr="0046142F">
        <w:t>inferior</w:t>
      </w:r>
      <w:r w:rsidR="00D73843" w:rsidRPr="0046142F">
        <w:t xml:space="preserve"> health outcomes </w:t>
      </w:r>
      <w:r w:rsidR="009F2960" w:rsidRPr="0046142F">
        <w:t>relative</w:t>
      </w:r>
      <w:r w:rsidR="00BB2598" w:rsidRPr="0046142F">
        <w:t xml:space="preserve"> to non-</w:t>
      </w:r>
      <w:r w:rsidR="00D73843" w:rsidRPr="0046142F">
        <w:t>HS patients</w:t>
      </w:r>
      <w:r w:rsidR="00BB2598" w:rsidRPr="0046142F">
        <w:t xml:space="preserve"> (thus, MSAC’s expectation for an ICER in the </w:t>
      </w:r>
      <w:r w:rsidR="00BB2598" w:rsidRPr="009E2F9F">
        <w:t>northwest</w:t>
      </w:r>
      <w:r w:rsidR="00BB2598" w:rsidRPr="0046142F">
        <w:t xml:space="preserve"> quadrant)</w:t>
      </w:r>
      <w:r w:rsidR="00E97991" w:rsidRPr="0046142F">
        <w:t xml:space="preserve">, the ADAR’s spillover scenario </w:t>
      </w:r>
      <w:r w:rsidR="00B814A6" w:rsidRPr="0046142F">
        <w:t>did</w:t>
      </w:r>
      <w:r w:rsidR="00E97991" w:rsidRPr="0046142F">
        <w:t xml:space="preserve"> not account for </w:t>
      </w:r>
      <w:r w:rsidR="00007C25" w:rsidRPr="0046142F">
        <w:t xml:space="preserve">this </w:t>
      </w:r>
      <w:r w:rsidR="00C45ED9" w:rsidRPr="0046142F">
        <w:t xml:space="preserve">negative </w:t>
      </w:r>
      <w:r w:rsidR="00E85044" w:rsidRPr="0046142F">
        <w:t xml:space="preserve">spillover </w:t>
      </w:r>
      <w:r w:rsidR="008A5233" w:rsidRPr="0046142F">
        <w:t xml:space="preserve">and </w:t>
      </w:r>
      <w:r w:rsidR="004E1DAB" w:rsidRPr="0046142F">
        <w:t xml:space="preserve">the </w:t>
      </w:r>
      <w:r w:rsidR="000C2C9D" w:rsidRPr="0046142F">
        <w:t>ICER</w:t>
      </w:r>
      <w:r w:rsidR="000C2C9D" w:rsidRPr="000C2C9D">
        <w:t xml:space="preserve"> remain</w:t>
      </w:r>
      <w:r w:rsidR="00B814A6">
        <w:t>ed</w:t>
      </w:r>
      <w:r w:rsidR="000C2C9D" w:rsidRPr="000C2C9D">
        <w:t xml:space="preserve"> in the northeast quadrant.</w:t>
      </w:r>
    </w:p>
    <w:p w14:paraId="55B9EDAE" w14:textId="5AE2E527" w:rsidR="007F5833" w:rsidRPr="00A12A41" w:rsidRDefault="00A12A41" w:rsidP="00527717">
      <w:r>
        <w:t xml:space="preserve">For LD transplants, MSAC suggested </w:t>
      </w:r>
      <w:r w:rsidR="009E1965">
        <w:t xml:space="preserve">(1732 PSD) </w:t>
      </w:r>
      <w:r w:rsidR="00A570B5">
        <w:t>th</w:t>
      </w:r>
      <w:r w:rsidR="00BB3C1F">
        <w:t xml:space="preserve">e ICER is likely to be in the northeast </w:t>
      </w:r>
      <w:r w:rsidR="009E1965">
        <w:t xml:space="preserve">quadrant (i.e. </w:t>
      </w:r>
      <w:r w:rsidR="00544863" w:rsidRPr="00544863">
        <w:t>more effective in health outcomes but also more expensive</w:t>
      </w:r>
      <w:r w:rsidR="00544863">
        <w:t xml:space="preserve">). </w:t>
      </w:r>
      <w:r w:rsidR="007621C8">
        <w:t xml:space="preserve">In the ADAR’s model, this was observed under base case assumptions (i.e. </w:t>
      </w:r>
      <w:r w:rsidR="00CD3E30">
        <w:t>when no</w:t>
      </w:r>
      <w:r w:rsidR="002863E6">
        <w:t xml:space="preserve"> </w:t>
      </w:r>
      <w:r w:rsidR="00E85044">
        <w:t>spillovers</w:t>
      </w:r>
      <w:r w:rsidR="00892FB2">
        <w:t xml:space="preserve"> included</w:t>
      </w:r>
      <w:r w:rsidR="00F762FB">
        <w:t>)</w:t>
      </w:r>
      <w:r w:rsidR="00F57852">
        <w:t xml:space="preserve"> </w:t>
      </w:r>
      <w:r w:rsidR="00F762FB">
        <w:t>(</w:t>
      </w:r>
      <w:r w:rsidR="00F57852">
        <w:t>ICER: $</w:t>
      </w:r>
      <w:r w:rsidR="007E4204" w:rsidRPr="009E2F9F">
        <w:rPr>
          <w:b/>
        </w:rPr>
        <w:t>redacted</w:t>
      </w:r>
      <w:r w:rsidR="00F57852">
        <w:t>/QALY</w:t>
      </w:r>
      <w:r w:rsidR="00632A17">
        <w:t>)</w:t>
      </w:r>
      <w:r w:rsidR="00282C64">
        <w:t>; h</w:t>
      </w:r>
      <w:r w:rsidR="00632A17">
        <w:t xml:space="preserve">owever, </w:t>
      </w:r>
      <w:r w:rsidR="00715784">
        <w:t xml:space="preserve">when </w:t>
      </w:r>
      <w:r w:rsidR="00B21CE6">
        <w:t>potential</w:t>
      </w:r>
      <w:r w:rsidR="00715784">
        <w:t xml:space="preserve"> positive </w:t>
      </w:r>
      <w:r w:rsidR="00E85044">
        <w:t>spillovers</w:t>
      </w:r>
      <w:r w:rsidR="00715784">
        <w:t xml:space="preserve"> associated with completed LD kidney donation chains</w:t>
      </w:r>
      <w:r w:rsidR="00B21CE6">
        <w:t xml:space="preserve"> were included,</w:t>
      </w:r>
      <w:r w:rsidR="00F57852">
        <w:t xml:space="preserve"> imlifidase </w:t>
      </w:r>
      <w:r w:rsidR="00B21CE6">
        <w:t>was shown to be dominant for LD transplants (</w:t>
      </w:r>
      <w:r w:rsidR="00715761">
        <w:t>Table 10</w:t>
      </w:r>
      <w:r w:rsidR="00B21CE6">
        <w:t>).</w:t>
      </w:r>
      <w:r w:rsidR="00442522">
        <w:t xml:space="preserve"> The commentary notes significant uncertainty surrounding the </w:t>
      </w:r>
      <w:r w:rsidR="00442522" w:rsidRPr="00442522">
        <w:t>inclusion of spillover population benefits associated with completing LD chains</w:t>
      </w:r>
      <w:r w:rsidR="007B1708">
        <w:t xml:space="preserve">, </w:t>
      </w:r>
      <w:r w:rsidR="00C1044C">
        <w:t xml:space="preserve">in </w:t>
      </w:r>
      <w:r w:rsidR="007B1708" w:rsidRPr="007B1708">
        <w:t>particular with regard to the number of imlifidase patients entering donation chains, and the number of co-transplants enabled by the completion of each chain</w:t>
      </w:r>
      <w:r w:rsidR="007B1708">
        <w:t xml:space="preserve"> (</w:t>
      </w:r>
      <w:r w:rsidR="00DC7EB1">
        <w:t xml:space="preserve">further </w:t>
      </w:r>
      <w:r w:rsidR="007B1708">
        <w:t>discussed below)</w:t>
      </w:r>
      <w:r w:rsidR="00442522">
        <w:t>.</w:t>
      </w:r>
    </w:p>
    <w:p w14:paraId="183D86AA" w14:textId="4D7DFBA8" w:rsidR="00AD2029" w:rsidRPr="00CE28E3" w:rsidDel="008811EE" w:rsidRDefault="000855C0" w:rsidP="00C12E06">
      <w:r w:rsidRPr="00DB1943">
        <w:t>The results of key sensitivity analyses are summarised below</w:t>
      </w:r>
      <w:r w:rsidR="00AD2029">
        <w:t xml:space="preserve"> (</w:t>
      </w:r>
      <w:r w:rsidR="00DF5FAF">
        <w:t>Table 1</w:t>
      </w:r>
      <w:r w:rsidR="00715761">
        <w:t>0</w:t>
      </w:r>
      <w:r w:rsidR="00C12E06">
        <w:t>).</w:t>
      </w:r>
      <w:r w:rsidR="00214CA5">
        <w:t xml:space="preserve"> </w:t>
      </w:r>
    </w:p>
    <w:p w14:paraId="467B85B5" w14:textId="1916BB22" w:rsidR="008811EE" w:rsidRDefault="008811EE" w:rsidP="00C12E06">
      <w:pPr>
        <w:pStyle w:val="Caption"/>
      </w:pPr>
      <w:bookmarkStart w:id="42" w:name="_Ref163648718"/>
      <w:r>
        <w:t xml:space="preserve">Table </w:t>
      </w:r>
      <w:bookmarkEnd w:id="42"/>
      <w:r w:rsidR="00DF5FAF">
        <w:t>1</w:t>
      </w:r>
      <w:r w:rsidR="009E0604">
        <w:t>0</w:t>
      </w:r>
      <w:r w:rsidR="00DF5FAF">
        <w:t xml:space="preserve"> </w:t>
      </w:r>
      <w:r w:rsidRPr="00DC0D50">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275"/>
        <w:gridCol w:w="1275"/>
        <w:gridCol w:w="1134"/>
        <w:gridCol w:w="1084"/>
      </w:tblGrid>
      <w:tr w:rsidR="005210CD" w:rsidRPr="00AE4709" w14:paraId="3D3BAF2B" w14:textId="77777777" w:rsidTr="005210CD">
        <w:trPr>
          <w:cantSplit/>
          <w:trHeight w:val="420"/>
          <w:tblHeader/>
        </w:trPr>
        <w:tc>
          <w:tcPr>
            <w:tcW w:w="2356" w:type="pct"/>
            <w:vAlign w:val="center"/>
          </w:tcPr>
          <w:p w14:paraId="0B63F05E" w14:textId="77777777" w:rsidR="00AD2029" w:rsidRPr="008C77DF" w:rsidRDefault="00AD2029" w:rsidP="00AE4709">
            <w:pPr>
              <w:pStyle w:val="TableText"/>
              <w:rPr>
                <w:b/>
                <w:bCs/>
              </w:rPr>
            </w:pPr>
            <w:r w:rsidRPr="008C77DF">
              <w:rPr>
                <w:b/>
                <w:bCs/>
              </w:rPr>
              <w:t>Analyses</w:t>
            </w:r>
          </w:p>
        </w:tc>
        <w:tc>
          <w:tcPr>
            <w:tcW w:w="707" w:type="pct"/>
            <w:vAlign w:val="center"/>
          </w:tcPr>
          <w:p w14:paraId="1408FA00" w14:textId="24B29FE0" w:rsidR="00AD2029" w:rsidRPr="008C77DF" w:rsidRDefault="00AD2029" w:rsidP="00AE4709">
            <w:pPr>
              <w:pStyle w:val="TableText"/>
              <w:rPr>
                <w:b/>
                <w:bCs/>
              </w:rPr>
            </w:pPr>
            <w:r w:rsidRPr="008C77DF">
              <w:rPr>
                <w:b/>
                <w:bCs/>
              </w:rPr>
              <w:t xml:space="preserve">Incremental </w:t>
            </w:r>
            <w:r w:rsidR="00087BF4" w:rsidRPr="008C77DF">
              <w:rPr>
                <w:b/>
                <w:bCs/>
              </w:rPr>
              <w:t>cost</w:t>
            </w:r>
            <w:r w:rsidR="007A7F5E" w:rsidRPr="008C77DF">
              <w:rPr>
                <w:b/>
                <w:bCs/>
              </w:rPr>
              <w:t xml:space="preserve"> ($)</w:t>
            </w:r>
          </w:p>
        </w:tc>
        <w:tc>
          <w:tcPr>
            <w:tcW w:w="707" w:type="pct"/>
            <w:vAlign w:val="center"/>
          </w:tcPr>
          <w:p w14:paraId="376BA027" w14:textId="77777777" w:rsidR="00AD2029" w:rsidRPr="008C77DF" w:rsidRDefault="00AD2029" w:rsidP="00AE4709">
            <w:pPr>
              <w:pStyle w:val="TableText"/>
              <w:rPr>
                <w:b/>
                <w:bCs/>
              </w:rPr>
            </w:pPr>
            <w:r w:rsidRPr="008C77DF">
              <w:rPr>
                <w:b/>
                <w:bCs/>
              </w:rPr>
              <w:t>Incremental QALY</w:t>
            </w:r>
          </w:p>
        </w:tc>
        <w:tc>
          <w:tcPr>
            <w:tcW w:w="629" w:type="pct"/>
            <w:vAlign w:val="center"/>
          </w:tcPr>
          <w:p w14:paraId="36EBBCF4" w14:textId="4F15F473" w:rsidR="00AD2029" w:rsidRPr="008C77DF" w:rsidRDefault="00AD2029" w:rsidP="00AE4709">
            <w:pPr>
              <w:pStyle w:val="TableText"/>
              <w:rPr>
                <w:b/>
                <w:bCs/>
              </w:rPr>
            </w:pPr>
            <w:r w:rsidRPr="008C77DF">
              <w:rPr>
                <w:b/>
                <w:bCs/>
              </w:rPr>
              <w:t>ICER</w:t>
            </w:r>
            <w:r w:rsidR="007A7F5E" w:rsidRPr="008C77DF">
              <w:rPr>
                <w:b/>
                <w:bCs/>
              </w:rPr>
              <w:t xml:space="preserve"> ($ per QALY)</w:t>
            </w:r>
          </w:p>
        </w:tc>
        <w:tc>
          <w:tcPr>
            <w:tcW w:w="601" w:type="pct"/>
            <w:vAlign w:val="center"/>
          </w:tcPr>
          <w:p w14:paraId="0CBCACBE" w14:textId="56D1B099" w:rsidR="00AD2029" w:rsidRPr="008C77DF" w:rsidRDefault="00AE4709" w:rsidP="00AE4709">
            <w:pPr>
              <w:pStyle w:val="TableText"/>
              <w:rPr>
                <w:b/>
                <w:bCs/>
              </w:rPr>
            </w:pPr>
            <w:r w:rsidRPr="008C77DF">
              <w:rPr>
                <w:b/>
                <w:bCs/>
              </w:rPr>
              <w:t>ICER (%)</w:t>
            </w:r>
          </w:p>
        </w:tc>
      </w:tr>
      <w:tr w:rsidR="00AD2029" w:rsidRPr="00AE4709" w14:paraId="77B7C2C9" w14:textId="77777777" w:rsidTr="005210CD">
        <w:trPr>
          <w:cantSplit/>
        </w:trPr>
        <w:tc>
          <w:tcPr>
            <w:tcW w:w="2356" w:type="pct"/>
          </w:tcPr>
          <w:p w14:paraId="35BBDCAA" w14:textId="77777777" w:rsidR="00AD2029" w:rsidRPr="008C77DF" w:rsidRDefault="00AD2029">
            <w:pPr>
              <w:pStyle w:val="TableText"/>
              <w:rPr>
                <w:b/>
              </w:rPr>
            </w:pPr>
            <w:r w:rsidRPr="008C77DF">
              <w:rPr>
                <w:b/>
              </w:rPr>
              <w:t>Base case</w:t>
            </w:r>
          </w:p>
        </w:tc>
        <w:tc>
          <w:tcPr>
            <w:tcW w:w="707" w:type="pct"/>
          </w:tcPr>
          <w:p w14:paraId="030D29A6" w14:textId="774DB2E9" w:rsidR="00AD2029" w:rsidRPr="009E2F9F" w:rsidRDefault="007E4204">
            <w:pPr>
              <w:pStyle w:val="TableText"/>
              <w:rPr>
                <w:b/>
              </w:rPr>
            </w:pPr>
            <w:r w:rsidRPr="009E2F9F">
              <w:rPr>
                <w:b/>
              </w:rPr>
              <w:t>redacted</w:t>
            </w:r>
          </w:p>
        </w:tc>
        <w:tc>
          <w:tcPr>
            <w:tcW w:w="707" w:type="pct"/>
          </w:tcPr>
          <w:p w14:paraId="2B036826" w14:textId="1AD366A9" w:rsidR="00AD2029" w:rsidRPr="009E2F9F" w:rsidRDefault="00AE4709">
            <w:pPr>
              <w:pStyle w:val="TableText"/>
              <w:rPr>
                <w:bCs/>
              </w:rPr>
            </w:pPr>
            <w:r w:rsidRPr="009E2F9F">
              <w:rPr>
                <w:rFonts w:eastAsia="Calibri"/>
                <w:bCs/>
                <w:szCs w:val="20"/>
              </w:rPr>
              <w:t>2.26</w:t>
            </w:r>
          </w:p>
        </w:tc>
        <w:tc>
          <w:tcPr>
            <w:tcW w:w="629" w:type="pct"/>
          </w:tcPr>
          <w:p w14:paraId="3CBF3F0B" w14:textId="7AD57E4A" w:rsidR="00AD2029" w:rsidRPr="009E2F9F" w:rsidRDefault="007E4204">
            <w:pPr>
              <w:pStyle w:val="TableText"/>
              <w:rPr>
                <w:b/>
              </w:rPr>
            </w:pPr>
            <w:r w:rsidRPr="009E2F9F">
              <w:rPr>
                <w:b/>
              </w:rPr>
              <w:t>redacted</w:t>
            </w:r>
          </w:p>
        </w:tc>
        <w:tc>
          <w:tcPr>
            <w:tcW w:w="601" w:type="pct"/>
          </w:tcPr>
          <w:p w14:paraId="0FE24D2F" w14:textId="72714FD8" w:rsidR="00AD2029" w:rsidRPr="009E2F9F" w:rsidRDefault="00AE4709">
            <w:pPr>
              <w:pStyle w:val="TableText"/>
              <w:rPr>
                <w:rFonts w:eastAsia="Calibri"/>
                <w:bCs/>
                <w:szCs w:val="20"/>
              </w:rPr>
            </w:pPr>
            <w:r w:rsidRPr="009E2F9F">
              <w:rPr>
                <w:rFonts w:eastAsia="Calibri"/>
                <w:bCs/>
                <w:szCs w:val="20"/>
              </w:rPr>
              <w:t>NA</w:t>
            </w:r>
          </w:p>
        </w:tc>
      </w:tr>
      <w:tr w:rsidR="00AD2029" w:rsidRPr="00CE28E3" w14:paraId="0817F7C6" w14:textId="77777777" w:rsidTr="005210CD">
        <w:trPr>
          <w:cantSplit/>
        </w:trPr>
        <w:tc>
          <w:tcPr>
            <w:tcW w:w="4399" w:type="pct"/>
            <w:gridSpan w:val="4"/>
          </w:tcPr>
          <w:p w14:paraId="5FB89A7E" w14:textId="1F22211F" w:rsidR="00AD2029" w:rsidRPr="008C77DF" w:rsidRDefault="00AD2029">
            <w:pPr>
              <w:pStyle w:val="TableText"/>
              <w:rPr>
                <w:b/>
                <w:bCs/>
              </w:rPr>
            </w:pPr>
            <w:r w:rsidRPr="008C77DF">
              <w:rPr>
                <w:b/>
                <w:bCs/>
              </w:rPr>
              <w:t xml:space="preserve">Time horizon (base case: </w:t>
            </w:r>
            <w:r w:rsidR="001125DF" w:rsidRPr="008C77DF">
              <w:rPr>
                <w:b/>
                <w:bCs/>
              </w:rPr>
              <w:t>lifetime</w:t>
            </w:r>
            <w:r w:rsidRPr="008C77DF">
              <w:rPr>
                <w:b/>
                <w:bCs/>
              </w:rPr>
              <w:t>)</w:t>
            </w:r>
          </w:p>
        </w:tc>
        <w:tc>
          <w:tcPr>
            <w:tcW w:w="601" w:type="pct"/>
          </w:tcPr>
          <w:p w14:paraId="480BCF2E" w14:textId="77777777" w:rsidR="00AD2029" w:rsidRPr="008C77DF" w:rsidRDefault="00AD2029">
            <w:pPr>
              <w:pStyle w:val="TableText"/>
            </w:pPr>
          </w:p>
        </w:tc>
      </w:tr>
      <w:tr w:rsidR="00AD2029" w:rsidRPr="00CE28E3" w14:paraId="2C6D3B94" w14:textId="77777777" w:rsidTr="005210CD">
        <w:trPr>
          <w:cantSplit/>
        </w:trPr>
        <w:tc>
          <w:tcPr>
            <w:tcW w:w="2356" w:type="pct"/>
          </w:tcPr>
          <w:p w14:paraId="1A89152A" w14:textId="77777777" w:rsidR="00AD2029" w:rsidRPr="008C77DF" w:rsidRDefault="00AD2029">
            <w:pPr>
              <w:pStyle w:val="TableText"/>
            </w:pPr>
            <w:r w:rsidRPr="008C77DF">
              <w:t>10 years</w:t>
            </w:r>
          </w:p>
        </w:tc>
        <w:tc>
          <w:tcPr>
            <w:tcW w:w="707" w:type="pct"/>
          </w:tcPr>
          <w:p w14:paraId="17FDA282" w14:textId="6B5AE194" w:rsidR="00AD2029" w:rsidRPr="009E2F9F" w:rsidRDefault="007E4204">
            <w:pPr>
              <w:pStyle w:val="TableText"/>
              <w:rPr>
                <w:b/>
              </w:rPr>
            </w:pPr>
            <w:r w:rsidRPr="009E2F9F">
              <w:rPr>
                <w:b/>
              </w:rPr>
              <w:t>redacted</w:t>
            </w:r>
          </w:p>
        </w:tc>
        <w:tc>
          <w:tcPr>
            <w:tcW w:w="707" w:type="pct"/>
          </w:tcPr>
          <w:p w14:paraId="78501C2E" w14:textId="77777777" w:rsidR="00AD2029" w:rsidRPr="009E2F9F" w:rsidRDefault="00AD2029">
            <w:pPr>
              <w:pStyle w:val="TableText"/>
            </w:pPr>
            <w:r w:rsidRPr="009E2F9F">
              <w:rPr>
                <w:rFonts w:eastAsia="Calibri"/>
                <w:szCs w:val="20"/>
              </w:rPr>
              <w:t>1.21</w:t>
            </w:r>
          </w:p>
        </w:tc>
        <w:tc>
          <w:tcPr>
            <w:tcW w:w="629" w:type="pct"/>
          </w:tcPr>
          <w:p w14:paraId="34561170" w14:textId="188CDEFB" w:rsidR="00AD2029" w:rsidRPr="009E2F9F" w:rsidRDefault="007E4204">
            <w:pPr>
              <w:pStyle w:val="TableText"/>
              <w:rPr>
                <w:b/>
              </w:rPr>
            </w:pPr>
            <w:r w:rsidRPr="009E2F9F">
              <w:rPr>
                <w:b/>
              </w:rPr>
              <w:t>redacted</w:t>
            </w:r>
          </w:p>
        </w:tc>
        <w:tc>
          <w:tcPr>
            <w:tcW w:w="601" w:type="pct"/>
          </w:tcPr>
          <w:p w14:paraId="64E7D1EC" w14:textId="0EDEBC0D" w:rsidR="00AD2029" w:rsidRPr="009E2F9F" w:rsidRDefault="00AD2029">
            <w:pPr>
              <w:pStyle w:val="TableText"/>
              <w:rPr>
                <w:rFonts w:eastAsia="Calibri"/>
                <w:szCs w:val="20"/>
              </w:rPr>
            </w:pPr>
            <w:r w:rsidRPr="009E2F9F">
              <w:rPr>
                <w:rFonts w:eastAsia="Calibri"/>
                <w:szCs w:val="20"/>
              </w:rPr>
              <w:t>+214</w:t>
            </w:r>
            <w:r w:rsidR="00194C39" w:rsidRPr="009E2F9F">
              <w:rPr>
                <w:rFonts w:eastAsia="Calibri"/>
                <w:szCs w:val="20"/>
              </w:rPr>
              <w:t>.4</w:t>
            </w:r>
            <w:r w:rsidRPr="009E2F9F">
              <w:rPr>
                <w:rFonts w:eastAsia="Calibri"/>
                <w:szCs w:val="20"/>
              </w:rPr>
              <w:t>%</w:t>
            </w:r>
          </w:p>
        </w:tc>
      </w:tr>
      <w:tr w:rsidR="00AD2029" w:rsidRPr="00CE28E3" w14:paraId="6E7A39C2" w14:textId="77777777" w:rsidTr="005210CD">
        <w:trPr>
          <w:cantSplit/>
          <w:trHeight w:val="283"/>
        </w:trPr>
        <w:tc>
          <w:tcPr>
            <w:tcW w:w="2356" w:type="pct"/>
            <w:tcBorders>
              <w:bottom w:val="single" w:sz="4" w:space="0" w:color="auto"/>
            </w:tcBorders>
          </w:tcPr>
          <w:p w14:paraId="7593655E" w14:textId="77777777" w:rsidR="00AD2029" w:rsidRPr="008C77DF" w:rsidRDefault="00AD2029">
            <w:pPr>
              <w:pStyle w:val="TableText"/>
            </w:pPr>
            <w:r w:rsidRPr="008C77DF">
              <w:t>20 years</w:t>
            </w:r>
          </w:p>
        </w:tc>
        <w:tc>
          <w:tcPr>
            <w:tcW w:w="707" w:type="pct"/>
            <w:tcBorders>
              <w:bottom w:val="single" w:sz="4" w:space="0" w:color="auto"/>
            </w:tcBorders>
          </w:tcPr>
          <w:p w14:paraId="32A4C7BA" w14:textId="6F531288" w:rsidR="00AD2029" w:rsidRPr="009E2F9F" w:rsidRDefault="007E4204">
            <w:pPr>
              <w:pStyle w:val="TableText"/>
              <w:rPr>
                <w:b/>
              </w:rPr>
            </w:pPr>
            <w:r w:rsidRPr="009E2F9F">
              <w:rPr>
                <w:b/>
              </w:rPr>
              <w:t>redacted</w:t>
            </w:r>
          </w:p>
        </w:tc>
        <w:tc>
          <w:tcPr>
            <w:tcW w:w="707" w:type="pct"/>
            <w:tcBorders>
              <w:bottom w:val="single" w:sz="4" w:space="0" w:color="auto"/>
            </w:tcBorders>
          </w:tcPr>
          <w:p w14:paraId="768EF8B8" w14:textId="28D1A85B" w:rsidR="00AD2029" w:rsidRPr="009E2F9F" w:rsidRDefault="00194C39">
            <w:pPr>
              <w:pStyle w:val="TableText"/>
            </w:pPr>
            <w:r w:rsidRPr="009E2F9F">
              <w:rPr>
                <w:rFonts w:eastAsia="Calibri"/>
                <w:szCs w:val="20"/>
              </w:rPr>
              <w:t>1.84</w:t>
            </w:r>
          </w:p>
        </w:tc>
        <w:tc>
          <w:tcPr>
            <w:tcW w:w="629" w:type="pct"/>
            <w:tcBorders>
              <w:bottom w:val="single" w:sz="4" w:space="0" w:color="auto"/>
            </w:tcBorders>
          </w:tcPr>
          <w:p w14:paraId="65E895FD" w14:textId="60FAD2F5" w:rsidR="00AD2029" w:rsidRPr="009E2F9F" w:rsidRDefault="007E4204">
            <w:pPr>
              <w:pStyle w:val="TableText"/>
              <w:rPr>
                <w:b/>
              </w:rPr>
            </w:pPr>
            <w:r w:rsidRPr="009E2F9F">
              <w:rPr>
                <w:b/>
              </w:rPr>
              <w:t>redacted</w:t>
            </w:r>
          </w:p>
        </w:tc>
        <w:tc>
          <w:tcPr>
            <w:tcW w:w="601" w:type="pct"/>
            <w:tcBorders>
              <w:bottom w:val="single" w:sz="4" w:space="0" w:color="auto"/>
            </w:tcBorders>
          </w:tcPr>
          <w:p w14:paraId="26CF0186" w14:textId="4BEFDE8C" w:rsidR="00AD2029" w:rsidRPr="009E2F9F" w:rsidRDefault="00194C39">
            <w:pPr>
              <w:pStyle w:val="TableText"/>
              <w:rPr>
                <w:rFonts w:eastAsia="Calibri"/>
                <w:szCs w:val="20"/>
              </w:rPr>
            </w:pPr>
            <w:r w:rsidRPr="009E2F9F">
              <w:rPr>
                <w:rFonts w:eastAsia="Calibri"/>
                <w:szCs w:val="20"/>
              </w:rPr>
              <w:t>+23.5%</w:t>
            </w:r>
          </w:p>
        </w:tc>
      </w:tr>
      <w:tr w:rsidR="00653D68" w:rsidRPr="00CE28E3" w14:paraId="0DF19C1E" w14:textId="77777777" w:rsidTr="005210CD">
        <w:trPr>
          <w:cantSplit/>
          <w:trHeight w:val="283"/>
        </w:trPr>
        <w:tc>
          <w:tcPr>
            <w:tcW w:w="2356" w:type="pct"/>
            <w:tcBorders>
              <w:right w:val="nil"/>
            </w:tcBorders>
          </w:tcPr>
          <w:p w14:paraId="3B7892C2" w14:textId="146F2C07" w:rsidR="00653D68" w:rsidRPr="008C77DF" w:rsidRDefault="00653D68">
            <w:pPr>
              <w:pStyle w:val="TableText"/>
              <w:rPr>
                <w:b/>
                <w:bCs/>
              </w:rPr>
            </w:pPr>
            <w:r w:rsidRPr="008C77DF">
              <w:rPr>
                <w:b/>
                <w:bCs/>
              </w:rPr>
              <w:t>Discount rate (base case: 5% p.a.)</w:t>
            </w:r>
          </w:p>
        </w:tc>
        <w:tc>
          <w:tcPr>
            <w:tcW w:w="707" w:type="pct"/>
            <w:tcBorders>
              <w:left w:val="nil"/>
              <w:right w:val="nil"/>
            </w:tcBorders>
          </w:tcPr>
          <w:p w14:paraId="1BA2F2B9" w14:textId="77777777" w:rsidR="00653D68" w:rsidRPr="009E2F9F" w:rsidRDefault="00653D68">
            <w:pPr>
              <w:pStyle w:val="TableText"/>
              <w:rPr>
                <w:rFonts w:eastAsia="Calibri"/>
                <w:b/>
                <w:szCs w:val="20"/>
              </w:rPr>
            </w:pPr>
          </w:p>
        </w:tc>
        <w:tc>
          <w:tcPr>
            <w:tcW w:w="707" w:type="pct"/>
            <w:tcBorders>
              <w:left w:val="nil"/>
              <w:right w:val="nil"/>
            </w:tcBorders>
          </w:tcPr>
          <w:p w14:paraId="5546594E" w14:textId="77777777" w:rsidR="00653D68" w:rsidRPr="008C77DF" w:rsidRDefault="00653D68">
            <w:pPr>
              <w:pStyle w:val="TableText"/>
              <w:rPr>
                <w:rFonts w:eastAsia="Calibri"/>
                <w:szCs w:val="20"/>
              </w:rPr>
            </w:pPr>
          </w:p>
        </w:tc>
        <w:tc>
          <w:tcPr>
            <w:tcW w:w="629" w:type="pct"/>
            <w:tcBorders>
              <w:left w:val="nil"/>
              <w:right w:val="nil"/>
            </w:tcBorders>
          </w:tcPr>
          <w:p w14:paraId="06DCE4B9" w14:textId="77777777" w:rsidR="00653D68" w:rsidRPr="009E2F9F" w:rsidRDefault="00653D68">
            <w:pPr>
              <w:pStyle w:val="TableText"/>
              <w:rPr>
                <w:rFonts w:eastAsia="Calibri"/>
                <w:b/>
                <w:szCs w:val="20"/>
              </w:rPr>
            </w:pPr>
          </w:p>
        </w:tc>
        <w:tc>
          <w:tcPr>
            <w:tcW w:w="601" w:type="pct"/>
            <w:tcBorders>
              <w:left w:val="nil"/>
            </w:tcBorders>
          </w:tcPr>
          <w:p w14:paraId="633F4973" w14:textId="77777777" w:rsidR="00653D68" w:rsidRPr="008C77DF" w:rsidRDefault="00653D68">
            <w:pPr>
              <w:pStyle w:val="TableText"/>
              <w:rPr>
                <w:rFonts w:eastAsia="Calibri"/>
                <w:szCs w:val="20"/>
              </w:rPr>
            </w:pPr>
          </w:p>
        </w:tc>
      </w:tr>
      <w:tr w:rsidR="00653D68" w:rsidRPr="00CE28E3" w14:paraId="68B9C3B0" w14:textId="77777777" w:rsidTr="005210CD">
        <w:trPr>
          <w:cantSplit/>
          <w:trHeight w:val="283"/>
        </w:trPr>
        <w:tc>
          <w:tcPr>
            <w:tcW w:w="2356" w:type="pct"/>
          </w:tcPr>
          <w:p w14:paraId="4C2D3E67" w14:textId="7356C667" w:rsidR="00653D68" w:rsidRPr="008C77DF" w:rsidRDefault="00653D68" w:rsidP="00653D68">
            <w:pPr>
              <w:pStyle w:val="TableText"/>
            </w:pPr>
            <w:r w:rsidRPr="009E2F9F">
              <w:t>3.5</w:t>
            </w:r>
            <w:r w:rsidRPr="008C77DF">
              <w:t>% p.a.</w:t>
            </w:r>
          </w:p>
        </w:tc>
        <w:tc>
          <w:tcPr>
            <w:tcW w:w="707" w:type="pct"/>
          </w:tcPr>
          <w:p w14:paraId="7EBFC6CA" w14:textId="117BDC0C" w:rsidR="00653D68" w:rsidRPr="009E2F9F" w:rsidRDefault="007E4204" w:rsidP="00653D68">
            <w:pPr>
              <w:pStyle w:val="TableText"/>
              <w:rPr>
                <w:rFonts w:eastAsia="Calibri"/>
                <w:b/>
                <w:szCs w:val="20"/>
              </w:rPr>
            </w:pPr>
            <w:r w:rsidRPr="009E2F9F">
              <w:rPr>
                <w:b/>
              </w:rPr>
              <w:t>redacted</w:t>
            </w:r>
          </w:p>
        </w:tc>
        <w:tc>
          <w:tcPr>
            <w:tcW w:w="707" w:type="pct"/>
          </w:tcPr>
          <w:p w14:paraId="1E3A22BB" w14:textId="25083FCE" w:rsidR="00653D68" w:rsidRPr="009E2F9F" w:rsidRDefault="00653D68" w:rsidP="00653D68">
            <w:pPr>
              <w:pStyle w:val="TableText"/>
              <w:rPr>
                <w:rFonts w:eastAsia="Calibri"/>
                <w:szCs w:val="20"/>
              </w:rPr>
            </w:pPr>
            <w:r w:rsidRPr="009E2F9F">
              <w:rPr>
                <w:rFonts w:eastAsia="Calibri"/>
                <w:szCs w:val="20"/>
              </w:rPr>
              <w:t>2.70</w:t>
            </w:r>
          </w:p>
        </w:tc>
        <w:tc>
          <w:tcPr>
            <w:tcW w:w="629" w:type="pct"/>
          </w:tcPr>
          <w:p w14:paraId="3753106A" w14:textId="57B56012" w:rsidR="00653D68" w:rsidRPr="009E2F9F" w:rsidRDefault="007E4204" w:rsidP="00653D68">
            <w:pPr>
              <w:pStyle w:val="TableText"/>
              <w:rPr>
                <w:rFonts w:eastAsia="Calibri"/>
                <w:b/>
                <w:szCs w:val="20"/>
              </w:rPr>
            </w:pPr>
            <w:r w:rsidRPr="009E2F9F">
              <w:rPr>
                <w:b/>
              </w:rPr>
              <w:t>redacted</w:t>
            </w:r>
          </w:p>
        </w:tc>
        <w:tc>
          <w:tcPr>
            <w:tcW w:w="601" w:type="pct"/>
          </w:tcPr>
          <w:p w14:paraId="08A979FE" w14:textId="2A600D20" w:rsidR="00653D68" w:rsidRPr="009E2F9F" w:rsidRDefault="00653D68" w:rsidP="00653D68">
            <w:pPr>
              <w:pStyle w:val="TableText"/>
              <w:rPr>
                <w:rFonts w:eastAsia="Calibri"/>
                <w:szCs w:val="20"/>
              </w:rPr>
            </w:pPr>
            <w:r w:rsidRPr="009E2F9F">
              <w:rPr>
                <w:rFonts w:eastAsia="Calibri"/>
                <w:szCs w:val="20"/>
              </w:rPr>
              <w:t>-50.1%</w:t>
            </w:r>
          </w:p>
        </w:tc>
      </w:tr>
      <w:tr w:rsidR="00653D68" w:rsidRPr="00CE28E3" w14:paraId="3E72BF46" w14:textId="77777777" w:rsidTr="005210CD">
        <w:trPr>
          <w:cantSplit/>
          <w:trHeight w:val="283"/>
        </w:trPr>
        <w:tc>
          <w:tcPr>
            <w:tcW w:w="2356" w:type="pct"/>
            <w:tcBorders>
              <w:bottom w:val="single" w:sz="4" w:space="0" w:color="auto"/>
            </w:tcBorders>
          </w:tcPr>
          <w:p w14:paraId="6FF2E035" w14:textId="08C42892" w:rsidR="00653D68" w:rsidRPr="008C77DF" w:rsidRDefault="00653D68" w:rsidP="00653D68">
            <w:pPr>
              <w:pStyle w:val="TableText"/>
            </w:pPr>
            <w:r w:rsidRPr="008C77DF">
              <w:t>No discounting</w:t>
            </w:r>
          </w:p>
        </w:tc>
        <w:tc>
          <w:tcPr>
            <w:tcW w:w="707" w:type="pct"/>
            <w:tcBorders>
              <w:bottom w:val="single" w:sz="4" w:space="0" w:color="auto"/>
            </w:tcBorders>
          </w:tcPr>
          <w:p w14:paraId="5390373B" w14:textId="643376B7" w:rsidR="00653D68" w:rsidRPr="009E2F9F" w:rsidRDefault="007E4204" w:rsidP="00653D68">
            <w:pPr>
              <w:pStyle w:val="TableText"/>
              <w:rPr>
                <w:rFonts w:eastAsia="Calibri"/>
                <w:b/>
                <w:szCs w:val="20"/>
              </w:rPr>
            </w:pPr>
            <w:r w:rsidRPr="009E2F9F">
              <w:rPr>
                <w:b/>
              </w:rPr>
              <w:t>redacted</w:t>
            </w:r>
          </w:p>
        </w:tc>
        <w:tc>
          <w:tcPr>
            <w:tcW w:w="707" w:type="pct"/>
            <w:tcBorders>
              <w:bottom w:val="single" w:sz="4" w:space="0" w:color="auto"/>
            </w:tcBorders>
          </w:tcPr>
          <w:p w14:paraId="5EA3B483" w14:textId="77777777" w:rsidR="00653D68" w:rsidRPr="009E2F9F" w:rsidRDefault="00653D68" w:rsidP="00653D68">
            <w:pPr>
              <w:pStyle w:val="TableText"/>
              <w:rPr>
                <w:rFonts w:eastAsia="Calibri"/>
                <w:szCs w:val="20"/>
              </w:rPr>
            </w:pPr>
            <w:r w:rsidRPr="009E2F9F">
              <w:rPr>
                <w:rFonts w:eastAsia="Calibri"/>
                <w:szCs w:val="20"/>
              </w:rPr>
              <w:t>4.58</w:t>
            </w:r>
          </w:p>
        </w:tc>
        <w:tc>
          <w:tcPr>
            <w:tcW w:w="629" w:type="pct"/>
            <w:tcBorders>
              <w:bottom w:val="single" w:sz="4" w:space="0" w:color="auto"/>
            </w:tcBorders>
          </w:tcPr>
          <w:p w14:paraId="4950FCE0" w14:textId="77777777" w:rsidR="00653D68" w:rsidRPr="009E2F9F" w:rsidRDefault="00653D68" w:rsidP="00653D68">
            <w:pPr>
              <w:pStyle w:val="TableText"/>
              <w:rPr>
                <w:rFonts w:eastAsia="Calibri"/>
                <w:szCs w:val="20"/>
              </w:rPr>
            </w:pPr>
            <w:r w:rsidRPr="009E2F9F">
              <w:rPr>
                <w:rFonts w:eastAsia="Calibri"/>
                <w:szCs w:val="20"/>
              </w:rPr>
              <w:t>Dominant</w:t>
            </w:r>
          </w:p>
        </w:tc>
        <w:tc>
          <w:tcPr>
            <w:tcW w:w="601" w:type="pct"/>
            <w:tcBorders>
              <w:bottom w:val="single" w:sz="4" w:space="0" w:color="auto"/>
            </w:tcBorders>
          </w:tcPr>
          <w:p w14:paraId="4301FDCF" w14:textId="458AAE67" w:rsidR="00653D68" w:rsidRPr="009E2F9F" w:rsidRDefault="00653D68" w:rsidP="00653D68">
            <w:pPr>
              <w:pStyle w:val="TableText"/>
              <w:rPr>
                <w:rFonts w:eastAsia="Calibri"/>
                <w:szCs w:val="20"/>
              </w:rPr>
            </w:pPr>
            <w:r w:rsidRPr="009E2F9F">
              <w:rPr>
                <w:rFonts w:eastAsia="Calibri"/>
                <w:szCs w:val="20"/>
              </w:rPr>
              <w:t>NA</w:t>
            </w:r>
          </w:p>
        </w:tc>
      </w:tr>
      <w:tr w:rsidR="00290654" w:rsidRPr="00CE28E3" w14:paraId="6CCAD671" w14:textId="77777777" w:rsidTr="00290654">
        <w:trPr>
          <w:cantSplit/>
          <w:trHeight w:val="283"/>
        </w:trPr>
        <w:tc>
          <w:tcPr>
            <w:tcW w:w="5000" w:type="pct"/>
            <w:gridSpan w:val="5"/>
          </w:tcPr>
          <w:p w14:paraId="7AA0257B" w14:textId="652D1412" w:rsidR="00290654" w:rsidRPr="008C77DF" w:rsidRDefault="00290654" w:rsidP="00653D68">
            <w:pPr>
              <w:pStyle w:val="TableText"/>
              <w:rPr>
                <w:rFonts w:eastAsia="Calibri"/>
                <w:b/>
                <w:bCs/>
                <w:szCs w:val="20"/>
              </w:rPr>
            </w:pPr>
            <w:r w:rsidRPr="008C77DF">
              <w:rPr>
                <w:b/>
                <w:bCs/>
              </w:rPr>
              <w:t>Graft survival extrapolation</w:t>
            </w:r>
          </w:p>
        </w:tc>
      </w:tr>
      <w:tr w:rsidR="00313226" w:rsidRPr="00CE28E3" w14:paraId="7F05E49D" w14:textId="77777777" w:rsidTr="005210CD">
        <w:trPr>
          <w:cantSplit/>
          <w:trHeight w:val="283"/>
        </w:trPr>
        <w:tc>
          <w:tcPr>
            <w:tcW w:w="2356" w:type="pct"/>
          </w:tcPr>
          <w:p w14:paraId="114DBC2D" w14:textId="3945F230" w:rsidR="00313226" w:rsidRPr="008C77DF" w:rsidRDefault="00313226" w:rsidP="00313226">
            <w:pPr>
              <w:pStyle w:val="TableText"/>
            </w:pPr>
            <w:r w:rsidRPr="008C77DF">
              <w:t>All-transplanted population (base case: AUS-UTT-A)</w:t>
            </w:r>
          </w:p>
        </w:tc>
        <w:tc>
          <w:tcPr>
            <w:tcW w:w="707" w:type="pct"/>
          </w:tcPr>
          <w:p w14:paraId="6E38C889" w14:textId="255E4511" w:rsidR="00313226" w:rsidRPr="009E2F9F" w:rsidRDefault="007E4204" w:rsidP="00313226">
            <w:pPr>
              <w:pStyle w:val="TableText"/>
              <w:rPr>
                <w:rFonts w:eastAsia="Calibri"/>
                <w:b/>
                <w:szCs w:val="20"/>
              </w:rPr>
            </w:pPr>
            <w:r w:rsidRPr="009E2F9F">
              <w:rPr>
                <w:b/>
              </w:rPr>
              <w:t>redacted</w:t>
            </w:r>
          </w:p>
        </w:tc>
        <w:tc>
          <w:tcPr>
            <w:tcW w:w="707" w:type="pct"/>
          </w:tcPr>
          <w:p w14:paraId="137226D5" w14:textId="7A47CD9F" w:rsidR="00313226" w:rsidRPr="009E2F9F" w:rsidRDefault="00313226" w:rsidP="00313226">
            <w:pPr>
              <w:pStyle w:val="TableText"/>
              <w:rPr>
                <w:rFonts w:eastAsia="Calibri"/>
                <w:szCs w:val="20"/>
              </w:rPr>
            </w:pPr>
            <w:r w:rsidRPr="009E2F9F">
              <w:rPr>
                <w:rFonts w:eastAsia="Calibri"/>
                <w:szCs w:val="20"/>
              </w:rPr>
              <w:t>2.21</w:t>
            </w:r>
          </w:p>
        </w:tc>
        <w:tc>
          <w:tcPr>
            <w:tcW w:w="629" w:type="pct"/>
          </w:tcPr>
          <w:p w14:paraId="1D4884FC" w14:textId="2C8C56F2" w:rsidR="00313226" w:rsidRPr="009E2F9F" w:rsidRDefault="007E4204" w:rsidP="00313226">
            <w:pPr>
              <w:pStyle w:val="TableText"/>
              <w:rPr>
                <w:rFonts w:eastAsia="Calibri"/>
                <w:b/>
                <w:szCs w:val="20"/>
              </w:rPr>
            </w:pPr>
            <w:r w:rsidRPr="009E2F9F">
              <w:rPr>
                <w:b/>
              </w:rPr>
              <w:t>redacted</w:t>
            </w:r>
          </w:p>
        </w:tc>
        <w:tc>
          <w:tcPr>
            <w:tcW w:w="601" w:type="pct"/>
          </w:tcPr>
          <w:p w14:paraId="02227597" w14:textId="66067F29" w:rsidR="00313226" w:rsidRPr="009E2F9F" w:rsidRDefault="00760DEF" w:rsidP="00313226">
            <w:pPr>
              <w:pStyle w:val="TableText"/>
              <w:rPr>
                <w:rFonts w:eastAsia="Calibri"/>
                <w:szCs w:val="20"/>
              </w:rPr>
            </w:pPr>
            <w:r w:rsidRPr="009E2F9F">
              <w:rPr>
                <w:rFonts w:eastAsia="Calibri"/>
                <w:szCs w:val="20"/>
              </w:rPr>
              <w:t>+</w:t>
            </w:r>
            <w:r w:rsidR="00313226" w:rsidRPr="009E2F9F">
              <w:rPr>
                <w:rFonts w:eastAsia="Calibri"/>
                <w:szCs w:val="20"/>
              </w:rPr>
              <w:t>14.2</w:t>
            </w:r>
            <w:r w:rsidRPr="009E2F9F">
              <w:rPr>
                <w:rFonts w:eastAsia="Calibri"/>
                <w:szCs w:val="20"/>
              </w:rPr>
              <w:t>%</w:t>
            </w:r>
          </w:p>
        </w:tc>
      </w:tr>
      <w:tr w:rsidR="00313226" w:rsidRPr="00CE28E3" w14:paraId="5FA8242B" w14:textId="77777777" w:rsidTr="005210CD">
        <w:trPr>
          <w:cantSplit/>
          <w:trHeight w:val="283"/>
        </w:trPr>
        <w:tc>
          <w:tcPr>
            <w:tcW w:w="2356" w:type="pct"/>
            <w:tcBorders>
              <w:bottom w:val="single" w:sz="4" w:space="0" w:color="auto"/>
            </w:tcBorders>
          </w:tcPr>
          <w:p w14:paraId="6FEF2ADB" w14:textId="66518C67" w:rsidR="00313226" w:rsidRPr="008C77DF" w:rsidRDefault="00313226" w:rsidP="00313226">
            <w:pPr>
              <w:pStyle w:val="TableText"/>
            </w:pPr>
            <w:r w:rsidRPr="008C77DF">
              <w:t>Weibull distribution (base case: exponential)</w:t>
            </w:r>
          </w:p>
        </w:tc>
        <w:tc>
          <w:tcPr>
            <w:tcW w:w="707" w:type="pct"/>
            <w:tcBorders>
              <w:bottom w:val="single" w:sz="4" w:space="0" w:color="auto"/>
            </w:tcBorders>
          </w:tcPr>
          <w:p w14:paraId="454BF3B1" w14:textId="1EF05D7B" w:rsidR="00313226" w:rsidRPr="009E2F9F" w:rsidRDefault="007E4204" w:rsidP="00313226">
            <w:pPr>
              <w:pStyle w:val="TableText"/>
              <w:rPr>
                <w:rFonts w:eastAsia="Calibri"/>
                <w:b/>
                <w:szCs w:val="20"/>
              </w:rPr>
            </w:pPr>
            <w:r w:rsidRPr="009E2F9F">
              <w:rPr>
                <w:b/>
              </w:rPr>
              <w:t>redacted</w:t>
            </w:r>
          </w:p>
        </w:tc>
        <w:tc>
          <w:tcPr>
            <w:tcW w:w="707" w:type="pct"/>
            <w:tcBorders>
              <w:bottom w:val="single" w:sz="4" w:space="0" w:color="auto"/>
            </w:tcBorders>
          </w:tcPr>
          <w:p w14:paraId="0DD0A8F1" w14:textId="47FE1A08" w:rsidR="00313226" w:rsidRPr="009E2F9F" w:rsidRDefault="00313226" w:rsidP="00313226">
            <w:pPr>
              <w:pStyle w:val="TableText"/>
              <w:rPr>
                <w:rFonts w:eastAsia="Calibri"/>
                <w:szCs w:val="20"/>
              </w:rPr>
            </w:pPr>
            <w:r w:rsidRPr="009E2F9F">
              <w:rPr>
                <w:rFonts w:eastAsia="Calibri"/>
                <w:szCs w:val="20"/>
              </w:rPr>
              <w:t>2.39</w:t>
            </w:r>
          </w:p>
        </w:tc>
        <w:tc>
          <w:tcPr>
            <w:tcW w:w="629" w:type="pct"/>
            <w:tcBorders>
              <w:bottom w:val="single" w:sz="4" w:space="0" w:color="auto"/>
            </w:tcBorders>
          </w:tcPr>
          <w:p w14:paraId="18EDDEA6" w14:textId="063EE9D1" w:rsidR="00313226" w:rsidRPr="009E2F9F" w:rsidRDefault="007E4204" w:rsidP="00313226">
            <w:pPr>
              <w:pStyle w:val="TableText"/>
              <w:rPr>
                <w:rFonts w:eastAsia="Calibri"/>
                <w:b/>
                <w:szCs w:val="20"/>
              </w:rPr>
            </w:pPr>
            <w:r w:rsidRPr="009E2F9F">
              <w:rPr>
                <w:b/>
              </w:rPr>
              <w:t>redacted</w:t>
            </w:r>
          </w:p>
        </w:tc>
        <w:tc>
          <w:tcPr>
            <w:tcW w:w="601" w:type="pct"/>
            <w:tcBorders>
              <w:bottom w:val="single" w:sz="4" w:space="0" w:color="auto"/>
            </w:tcBorders>
          </w:tcPr>
          <w:p w14:paraId="78834983" w14:textId="42FB4F65" w:rsidR="00313226" w:rsidRPr="009E2F9F" w:rsidRDefault="00313226" w:rsidP="00313226">
            <w:pPr>
              <w:pStyle w:val="TableText"/>
              <w:rPr>
                <w:rFonts w:eastAsia="Calibri"/>
                <w:szCs w:val="20"/>
              </w:rPr>
            </w:pPr>
            <w:r w:rsidRPr="009E2F9F">
              <w:rPr>
                <w:rFonts w:eastAsia="Calibri"/>
                <w:szCs w:val="20"/>
              </w:rPr>
              <w:t>-33.2</w:t>
            </w:r>
            <w:r w:rsidR="00760DEF" w:rsidRPr="009E2F9F">
              <w:rPr>
                <w:rFonts w:eastAsia="Calibri"/>
                <w:szCs w:val="20"/>
              </w:rPr>
              <w:t>%</w:t>
            </w:r>
          </w:p>
        </w:tc>
      </w:tr>
      <w:tr w:rsidR="00BC522D" w:rsidRPr="00CE28E3" w14:paraId="663C0B6C" w14:textId="77777777" w:rsidTr="00BC522D">
        <w:trPr>
          <w:cantSplit/>
          <w:trHeight w:val="283"/>
        </w:trPr>
        <w:tc>
          <w:tcPr>
            <w:tcW w:w="5000" w:type="pct"/>
            <w:gridSpan w:val="5"/>
            <w:tcBorders>
              <w:bottom w:val="single" w:sz="4" w:space="0" w:color="auto"/>
            </w:tcBorders>
          </w:tcPr>
          <w:p w14:paraId="7CB27B95" w14:textId="3D7AF37D" w:rsidR="00BC522D" w:rsidRPr="008C77DF" w:rsidRDefault="0025717A" w:rsidP="00313226">
            <w:pPr>
              <w:pStyle w:val="TableText"/>
              <w:rPr>
                <w:rFonts w:eastAsia="Calibri"/>
                <w:b/>
                <w:bCs/>
                <w:szCs w:val="20"/>
              </w:rPr>
            </w:pPr>
            <w:r w:rsidRPr="008C77DF">
              <w:rPr>
                <w:rFonts w:eastAsia="Calibri"/>
                <w:b/>
                <w:bCs/>
                <w:szCs w:val="20"/>
              </w:rPr>
              <w:t>Delayed graft function</w:t>
            </w:r>
            <w:r w:rsidR="003E0BC8" w:rsidRPr="008C77DF">
              <w:rPr>
                <w:rFonts w:eastAsia="Calibri"/>
                <w:b/>
                <w:bCs/>
                <w:szCs w:val="20"/>
              </w:rPr>
              <w:t xml:space="preserve"> (DGF)</w:t>
            </w:r>
            <w:r w:rsidR="00F55627" w:rsidRPr="008C77DF">
              <w:rPr>
                <w:rFonts w:eastAsia="Calibri"/>
                <w:b/>
                <w:bCs/>
                <w:szCs w:val="20"/>
              </w:rPr>
              <w:t xml:space="preserve">, </w:t>
            </w:r>
            <w:r w:rsidRPr="008C77DF">
              <w:rPr>
                <w:rFonts w:eastAsia="Calibri"/>
                <w:b/>
                <w:bCs/>
                <w:szCs w:val="20"/>
              </w:rPr>
              <w:t xml:space="preserve">antibody-mediated </w:t>
            </w:r>
            <w:r w:rsidR="003E0BC8" w:rsidRPr="008C77DF">
              <w:rPr>
                <w:rFonts w:eastAsia="Calibri"/>
                <w:b/>
                <w:bCs/>
                <w:szCs w:val="20"/>
              </w:rPr>
              <w:t>rejection (AMR)</w:t>
            </w:r>
            <w:r w:rsidR="00F55627" w:rsidRPr="008C77DF">
              <w:rPr>
                <w:rFonts w:eastAsia="Calibri"/>
                <w:b/>
                <w:bCs/>
                <w:szCs w:val="20"/>
              </w:rPr>
              <w:t>, graft and patient survival extrapolation</w:t>
            </w:r>
            <w:r w:rsidR="003E0BC8" w:rsidRPr="008C77DF">
              <w:rPr>
                <w:rFonts w:eastAsia="Calibri"/>
                <w:b/>
                <w:bCs/>
                <w:szCs w:val="20"/>
              </w:rPr>
              <w:t xml:space="preserve">  </w:t>
            </w:r>
          </w:p>
        </w:tc>
      </w:tr>
      <w:tr w:rsidR="00BC522D" w:rsidRPr="00CE28E3" w14:paraId="16B4BF23" w14:textId="77777777" w:rsidTr="005210CD">
        <w:trPr>
          <w:cantSplit/>
          <w:trHeight w:val="283"/>
        </w:trPr>
        <w:tc>
          <w:tcPr>
            <w:tcW w:w="2356" w:type="pct"/>
            <w:tcBorders>
              <w:bottom w:val="single" w:sz="4" w:space="0" w:color="auto"/>
            </w:tcBorders>
          </w:tcPr>
          <w:p w14:paraId="288F17A9" w14:textId="24F2888D" w:rsidR="00BC522D" w:rsidRPr="008C77DF" w:rsidRDefault="00CE09D8" w:rsidP="00313226">
            <w:pPr>
              <w:pStyle w:val="TableText"/>
            </w:pPr>
            <w:r w:rsidRPr="008C77DF">
              <w:t>All-transplanted population</w:t>
            </w:r>
            <w:r w:rsidR="00606019" w:rsidRPr="008C77DF">
              <w:t xml:space="preserve"> for DGF/AMR</w:t>
            </w:r>
            <w:r w:rsidRPr="008C77DF">
              <w:t xml:space="preserve"> (base case: AUS-UTT-A)</w:t>
            </w:r>
          </w:p>
        </w:tc>
        <w:tc>
          <w:tcPr>
            <w:tcW w:w="707" w:type="pct"/>
            <w:tcBorders>
              <w:bottom w:val="single" w:sz="4" w:space="0" w:color="auto"/>
            </w:tcBorders>
          </w:tcPr>
          <w:p w14:paraId="148B77AD" w14:textId="369C97E5" w:rsidR="00BC522D" w:rsidRPr="009E2F9F" w:rsidRDefault="007E4204" w:rsidP="00313226">
            <w:pPr>
              <w:pStyle w:val="TableText"/>
              <w:rPr>
                <w:rFonts w:eastAsia="Calibri"/>
                <w:b/>
                <w:szCs w:val="20"/>
              </w:rPr>
            </w:pPr>
            <w:r w:rsidRPr="009E2F9F">
              <w:rPr>
                <w:b/>
              </w:rPr>
              <w:t>redacted</w:t>
            </w:r>
          </w:p>
        </w:tc>
        <w:tc>
          <w:tcPr>
            <w:tcW w:w="707" w:type="pct"/>
            <w:tcBorders>
              <w:bottom w:val="single" w:sz="4" w:space="0" w:color="auto"/>
            </w:tcBorders>
          </w:tcPr>
          <w:p w14:paraId="457AF40D" w14:textId="17078118" w:rsidR="00BC522D" w:rsidRPr="009E2F9F" w:rsidRDefault="00E165F4" w:rsidP="00313226">
            <w:pPr>
              <w:pStyle w:val="TableText"/>
              <w:rPr>
                <w:rFonts w:eastAsia="Calibri"/>
                <w:szCs w:val="20"/>
              </w:rPr>
            </w:pPr>
            <w:r w:rsidRPr="009E2F9F">
              <w:rPr>
                <w:rFonts w:eastAsia="Calibri"/>
                <w:szCs w:val="20"/>
              </w:rPr>
              <w:t>2.26</w:t>
            </w:r>
          </w:p>
        </w:tc>
        <w:tc>
          <w:tcPr>
            <w:tcW w:w="629" w:type="pct"/>
            <w:tcBorders>
              <w:bottom w:val="single" w:sz="4" w:space="0" w:color="auto"/>
            </w:tcBorders>
          </w:tcPr>
          <w:p w14:paraId="18F16626" w14:textId="307C0309" w:rsidR="00BC522D" w:rsidRPr="009E2F9F" w:rsidRDefault="007E4204" w:rsidP="00313226">
            <w:pPr>
              <w:pStyle w:val="TableText"/>
              <w:rPr>
                <w:rFonts w:eastAsia="Calibri"/>
                <w:b/>
                <w:szCs w:val="20"/>
              </w:rPr>
            </w:pPr>
            <w:r w:rsidRPr="009E2F9F">
              <w:rPr>
                <w:b/>
              </w:rPr>
              <w:t>redacted</w:t>
            </w:r>
          </w:p>
        </w:tc>
        <w:tc>
          <w:tcPr>
            <w:tcW w:w="601" w:type="pct"/>
            <w:tcBorders>
              <w:bottom w:val="single" w:sz="4" w:space="0" w:color="auto"/>
            </w:tcBorders>
          </w:tcPr>
          <w:p w14:paraId="7FE887F5" w14:textId="1B7E032F" w:rsidR="00BC522D" w:rsidRPr="009E2F9F" w:rsidRDefault="00715EFA" w:rsidP="00313226">
            <w:pPr>
              <w:pStyle w:val="TableText"/>
              <w:rPr>
                <w:rFonts w:eastAsia="Calibri"/>
                <w:szCs w:val="20"/>
              </w:rPr>
            </w:pPr>
            <w:r w:rsidRPr="009E2F9F">
              <w:rPr>
                <w:rFonts w:eastAsia="Calibri"/>
                <w:szCs w:val="20"/>
              </w:rPr>
              <w:t>-2.7%</w:t>
            </w:r>
          </w:p>
        </w:tc>
      </w:tr>
      <w:tr w:rsidR="00BC522D" w:rsidRPr="00CE28E3" w14:paraId="548AE3B5" w14:textId="77777777" w:rsidTr="005210CD">
        <w:trPr>
          <w:cantSplit/>
          <w:trHeight w:val="283"/>
        </w:trPr>
        <w:tc>
          <w:tcPr>
            <w:tcW w:w="2356" w:type="pct"/>
            <w:tcBorders>
              <w:bottom w:val="single" w:sz="4" w:space="0" w:color="auto"/>
            </w:tcBorders>
          </w:tcPr>
          <w:p w14:paraId="28E30E37" w14:textId="262CD9A0" w:rsidR="00BC522D" w:rsidRPr="008C77DF" w:rsidRDefault="0005081D" w:rsidP="00313226">
            <w:pPr>
              <w:pStyle w:val="TableText"/>
            </w:pPr>
            <w:r w:rsidRPr="008C77DF">
              <w:t>All-transplanted population for DGF/AMR</w:t>
            </w:r>
            <w:r w:rsidR="00E9028B" w:rsidRPr="008C77DF">
              <w:t xml:space="preserve"> and graft survival</w:t>
            </w:r>
            <w:r w:rsidRPr="008C77DF">
              <w:t xml:space="preserve"> (base case: AUS-UTT-A)</w:t>
            </w:r>
          </w:p>
        </w:tc>
        <w:tc>
          <w:tcPr>
            <w:tcW w:w="707" w:type="pct"/>
            <w:tcBorders>
              <w:bottom w:val="single" w:sz="4" w:space="0" w:color="auto"/>
            </w:tcBorders>
          </w:tcPr>
          <w:p w14:paraId="29A52940" w14:textId="208D37C1" w:rsidR="00BC522D" w:rsidRPr="009E2F9F" w:rsidRDefault="007E4204" w:rsidP="00313226">
            <w:pPr>
              <w:pStyle w:val="TableText"/>
              <w:rPr>
                <w:rFonts w:eastAsia="Calibri"/>
                <w:b/>
                <w:szCs w:val="20"/>
              </w:rPr>
            </w:pPr>
            <w:r w:rsidRPr="009E2F9F">
              <w:rPr>
                <w:b/>
              </w:rPr>
              <w:t>redacted</w:t>
            </w:r>
          </w:p>
        </w:tc>
        <w:tc>
          <w:tcPr>
            <w:tcW w:w="707" w:type="pct"/>
            <w:tcBorders>
              <w:bottom w:val="single" w:sz="4" w:space="0" w:color="auto"/>
            </w:tcBorders>
          </w:tcPr>
          <w:p w14:paraId="402C4ADA" w14:textId="289DDE9F" w:rsidR="00BC522D" w:rsidRPr="009E2F9F" w:rsidRDefault="008338EC" w:rsidP="00313226">
            <w:pPr>
              <w:pStyle w:val="TableText"/>
              <w:rPr>
                <w:rFonts w:eastAsia="Calibri"/>
                <w:szCs w:val="20"/>
              </w:rPr>
            </w:pPr>
            <w:r w:rsidRPr="009E2F9F">
              <w:rPr>
                <w:rFonts w:eastAsia="Calibri"/>
                <w:szCs w:val="20"/>
              </w:rPr>
              <w:t>2.21</w:t>
            </w:r>
          </w:p>
        </w:tc>
        <w:tc>
          <w:tcPr>
            <w:tcW w:w="629" w:type="pct"/>
            <w:tcBorders>
              <w:bottom w:val="single" w:sz="4" w:space="0" w:color="auto"/>
            </w:tcBorders>
          </w:tcPr>
          <w:p w14:paraId="7E40556C" w14:textId="64A0A587" w:rsidR="00BC522D" w:rsidRPr="009E2F9F" w:rsidRDefault="007E4204" w:rsidP="00313226">
            <w:pPr>
              <w:pStyle w:val="TableText"/>
              <w:rPr>
                <w:rFonts w:eastAsia="Calibri"/>
                <w:b/>
                <w:szCs w:val="20"/>
              </w:rPr>
            </w:pPr>
            <w:r w:rsidRPr="009E2F9F">
              <w:rPr>
                <w:b/>
              </w:rPr>
              <w:t>redacted</w:t>
            </w:r>
          </w:p>
        </w:tc>
        <w:tc>
          <w:tcPr>
            <w:tcW w:w="601" w:type="pct"/>
            <w:tcBorders>
              <w:bottom w:val="single" w:sz="4" w:space="0" w:color="auto"/>
            </w:tcBorders>
          </w:tcPr>
          <w:p w14:paraId="051A1456" w14:textId="74988882" w:rsidR="00BC522D" w:rsidRPr="009E2F9F" w:rsidRDefault="007A68D6" w:rsidP="00313226">
            <w:pPr>
              <w:pStyle w:val="TableText"/>
              <w:rPr>
                <w:rFonts w:eastAsia="Calibri"/>
                <w:szCs w:val="20"/>
              </w:rPr>
            </w:pPr>
            <w:r w:rsidRPr="009E2F9F">
              <w:rPr>
                <w:rFonts w:eastAsia="Calibri"/>
                <w:szCs w:val="20"/>
              </w:rPr>
              <w:t>11.5%</w:t>
            </w:r>
          </w:p>
        </w:tc>
      </w:tr>
      <w:tr w:rsidR="00BC522D" w:rsidRPr="00CE28E3" w14:paraId="35B646F4" w14:textId="77777777" w:rsidTr="005210CD">
        <w:trPr>
          <w:cantSplit/>
          <w:trHeight w:val="283"/>
        </w:trPr>
        <w:tc>
          <w:tcPr>
            <w:tcW w:w="2356" w:type="pct"/>
            <w:tcBorders>
              <w:bottom w:val="single" w:sz="4" w:space="0" w:color="auto"/>
            </w:tcBorders>
          </w:tcPr>
          <w:p w14:paraId="6F4E86FE" w14:textId="09C6D9D9" w:rsidR="00BC522D" w:rsidRDefault="004F07CC" w:rsidP="00313226">
            <w:pPr>
              <w:pStyle w:val="TableText"/>
            </w:pPr>
            <w:r>
              <w:t>All-transplanted population for DGF/AMR, graft and patient survival (base case: AUS-UTT-A)</w:t>
            </w:r>
          </w:p>
        </w:tc>
        <w:tc>
          <w:tcPr>
            <w:tcW w:w="707" w:type="pct"/>
            <w:tcBorders>
              <w:bottom w:val="single" w:sz="4" w:space="0" w:color="auto"/>
            </w:tcBorders>
          </w:tcPr>
          <w:p w14:paraId="329DC239" w14:textId="01FB11A6" w:rsidR="00BC522D" w:rsidRPr="009E2F9F" w:rsidRDefault="00117CBA" w:rsidP="00313226">
            <w:pPr>
              <w:pStyle w:val="TableText"/>
              <w:rPr>
                <w:rFonts w:eastAsia="Calibri"/>
                <w:szCs w:val="20"/>
              </w:rPr>
            </w:pPr>
            <w:r w:rsidRPr="009E2F9F">
              <w:rPr>
                <w:b/>
              </w:rPr>
              <w:t>redacted</w:t>
            </w:r>
          </w:p>
        </w:tc>
        <w:tc>
          <w:tcPr>
            <w:tcW w:w="707" w:type="pct"/>
            <w:tcBorders>
              <w:bottom w:val="single" w:sz="4" w:space="0" w:color="auto"/>
            </w:tcBorders>
          </w:tcPr>
          <w:p w14:paraId="6930D999" w14:textId="1771550B" w:rsidR="00BC522D" w:rsidRPr="009E2F9F" w:rsidRDefault="00DA1CEC" w:rsidP="00313226">
            <w:pPr>
              <w:pStyle w:val="TableText"/>
              <w:rPr>
                <w:rFonts w:eastAsia="Calibri"/>
                <w:szCs w:val="20"/>
              </w:rPr>
            </w:pPr>
            <w:r w:rsidRPr="009E2F9F">
              <w:rPr>
                <w:rFonts w:eastAsia="Calibri"/>
                <w:szCs w:val="20"/>
              </w:rPr>
              <w:t>3.45</w:t>
            </w:r>
          </w:p>
        </w:tc>
        <w:tc>
          <w:tcPr>
            <w:tcW w:w="629" w:type="pct"/>
            <w:tcBorders>
              <w:bottom w:val="single" w:sz="4" w:space="0" w:color="auto"/>
            </w:tcBorders>
          </w:tcPr>
          <w:p w14:paraId="1218BB12" w14:textId="17E0CC79" w:rsidR="00BC522D" w:rsidRPr="009E2F9F" w:rsidRDefault="00657546" w:rsidP="00313226">
            <w:pPr>
              <w:pStyle w:val="TableText"/>
              <w:rPr>
                <w:rFonts w:eastAsia="Calibri"/>
                <w:szCs w:val="20"/>
              </w:rPr>
            </w:pPr>
            <w:r w:rsidRPr="009E2F9F">
              <w:rPr>
                <w:b/>
              </w:rPr>
              <w:t>redacted</w:t>
            </w:r>
          </w:p>
        </w:tc>
        <w:tc>
          <w:tcPr>
            <w:tcW w:w="601" w:type="pct"/>
            <w:tcBorders>
              <w:bottom w:val="single" w:sz="4" w:space="0" w:color="auto"/>
            </w:tcBorders>
          </w:tcPr>
          <w:p w14:paraId="59CD5803" w14:textId="387A47D7" w:rsidR="00BC522D" w:rsidRPr="009E2F9F" w:rsidRDefault="007A68D6" w:rsidP="00313226">
            <w:pPr>
              <w:pStyle w:val="TableText"/>
              <w:rPr>
                <w:rFonts w:eastAsia="Calibri"/>
                <w:szCs w:val="20"/>
              </w:rPr>
            </w:pPr>
            <w:r w:rsidRPr="009E2F9F">
              <w:rPr>
                <w:rFonts w:eastAsia="Calibri"/>
                <w:szCs w:val="20"/>
              </w:rPr>
              <w:t>-5.8%</w:t>
            </w:r>
          </w:p>
        </w:tc>
      </w:tr>
      <w:tr w:rsidR="00290654" w:rsidRPr="00CE28E3" w14:paraId="437F679E" w14:textId="77777777" w:rsidTr="00290654">
        <w:trPr>
          <w:cantSplit/>
          <w:trHeight w:val="283"/>
        </w:trPr>
        <w:tc>
          <w:tcPr>
            <w:tcW w:w="5000" w:type="pct"/>
            <w:gridSpan w:val="5"/>
          </w:tcPr>
          <w:p w14:paraId="166889E9" w14:textId="10153E19" w:rsidR="00290654" w:rsidRPr="008C77DF" w:rsidRDefault="00290654" w:rsidP="00313226">
            <w:pPr>
              <w:pStyle w:val="TableText"/>
              <w:rPr>
                <w:rFonts w:eastAsia="Calibri"/>
                <w:b/>
                <w:bCs/>
                <w:szCs w:val="20"/>
              </w:rPr>
            </w:pPr>
            <w:r w:rsidRPr="008C77DF">
              <w:rPr>
                <w:b/>
                <w:bCs/>
              </w:rPr>
              <w:t xml:space="preserve">Survival with </w:t>
            </w:r>
            <w:r w:rsidR="000B3903" w:rsidRPr="008C77DF">
              <w:rPr>
                <w:b/>
                <w:bCs/>
              </w:rPr>
              <w:t xml:space="preserve">functioning </w:t>
            </w:r>
            <w:r w:rsidRPr="008C77DF">
              <w:rPr>
                <w:b/>
                <w:bCs/>
              </w:rPr>
              <w:t>graft extrapolation</w:t>
            </w:r>
          </w:p>
        </w:tc>
      </w:tr>
      <w:tr w:rsidR="00313226" w:rsidRPr="00CE28E3" w14:paraId="25B73D26" w14:textId="77777777" w:rsidTr="005210CD">
        <w:trPr>
          <w:cantSplit/>
          <w:trHeight w:val="283"/>
        </w:trPr>
        <w:tc>
          <w:tcPr>
            <w:tcW w:w="2356" w:type="pct"/>
          </w:tcPr>
          <w:p w14:paraId="53322C45" w14:textId="14ABE6DC" w:rsidR="00313226" w:rsidRPr="00651468" w:rsidRDefault="00760DEF" w:rsidP="00313226">
            <w:pPr>
              <w:pStyle w:val="TableText"/>
            </w:pPr>
            <w:r>
              <w:t>All-transplanted population (base case: AUS-UTT-A)</w:t>
            </w:r>
          </w:p>
        </w:tc>
        <w:tc>
          <w:tcPr>
            <w:tcW w:w="707" w:type="pct"/>
          </w:tcPr>
          <w:p w14:paraId="46D946E8" w14:textId="2610F628" w:rsidR="00313226" w:rsidRPr="009E2F9F" w:rsidRDefault="00117CBA" w:rsidP="00313226">
            <w:pPr>
              <w:pStyle w:val="TableText"/>
              <w:rPr>
                <w:rFonts w:eastAsia="Calibri"/>
                <w:szCs w:val="20"/>
              </w:rPr>
            </w:pPr>
            <w:r w:rsidRPr="009E2F9F">
              <w:rPr>
                <w:b/>
              </w:rPr>
              <w:t>redacted</w:t>
            </w:r>
          </w:p>
        </w:tc>
        <w:tc>
          <w:tcPr>
            <w:tcW w:w="707" w:type="pct"/>
          </w:tcPr>
          <w:p w14:paraId="18820514" w14:textId="77777777" w:rsidR="00313226" w:rsidRPr="009E2F9F" w:rsidRDefault="00313226" w:rsidP="00313226">
            <w:pPr>
              <w:pStyle w:val="TableText"/>
              <w:rPr>
                <w:rFonts w:eastAsia="Calibri"/>
                <w:szCs w:val="20"/>
              </w:rPr>
            </w:pPr>
            <w:r w:rsidRPr="009E2F9F">
              <w:rPr>
                <w:rFonts w:eastAsia="Calibri"/>
                <w:szCs w:val="20"/>
              </w:rPr>
              <w:t>3.54</w:t>
            </w:r>
          </w:p>
        </w:tc>
        <w:tc>
          <w:tcPr>
            <w:tcW w:w="629" w:type="pct"/>
          </w:tcPr>
          <w:p w14:paraId="4F099F17" w14:textId="73C02FD9" w:rsidR="00313226" w:rsidRPr="009E2F9F" w:rsidRDefault="00657546" w:rsidP="00313226">
            <w:pPr>
              <w:pStyle w:val="TableText"/>
              <w:rPr>
                <w:rFonts w:eastAsia="Calibri"/>
                <w:szCs w:val="20"/>
              </w:rPr>
            </w:pPr>
            <w:r w:rsidRPr="009E2F9F">
              <w:rPr>
                <w:b/>
              </w:rPr>
              <w:t>redacted</w:t>
            </w:r>
          </w:p>
        </w:tc>
        <w:tc>
          <w:tcPr>
            <w:tcW w:w="601" w:type="pct"/>
          </w:tcPr>
          <w:p w14:paraId="3F29127E" w14:textId="64B87D04" w:rsidR="00313226" w:rsidRPr="009E2F9F" w:rsidRDefault="00313226" w:rsidP="00313226">
            <w:pPr>
              <w:pStyle w:val="TableText"/>
              <w:rPr>
                <w:rFonts w:eastAsia="Calibri"/>
                <w:szCs w:val="20"/>
              </w:rPr>
            </w:pPr>
            <w:r w:rsidRPr="009E2F9F">
              <w:rPr>
                <w:rFonts w:eastAsia="Calibri"/>
                <w:szCs w:val="20"/>
              </w:rPr>
              <w:t>-15.1</w:t>
            </w:r>
            <w:r w:rsidR="00C81445" w:rsidRPr="009E2F9F">
              <w:rPr>
                <w:rFonts w:eastAsia="Calibri"/>
                <w:szCs w:val="20"/>
              </w:rPr>
              <w:t>%</w:t>
            </w:r>
          </w:p>
        </w:tc>
      </w:tr>
      <w:tr w:rsidR="00313226" w:rsidRPr="00CE28E3" w14:paraId="74218F8E" w14:textId="77777777" w:rsidTr="005210CD">
        <w:trPr>
          <w:cantSplit/>
          <w:trHeight w:val="283"/>
        </w:trPr>
        <w:tc>
          <w:tcPr>
            <w:tcW w:w="2356" w:type="pct"/>
            <w:tcBorders>
              <w:bottom w:val="single" w:sz="4" w:space="0" w:color="auto"/>
            </w:tcBorders>
          </w:tcPr>
          <w:p w14:paraId="01B19853" w14:textId="0BB0B7E6" w:rsidR="00313226" w:rsidRPr="00651468" w:rsidRDefault="00A93FD7" w:rsidP="00313226">
            <w:pPr>
              <w:pStyle w:val="TableText"/>
            </w:pPr>
            <w:r>
              <w:t>Weibull distribution (base case: exponential)</w:t>
            </w:r>
          </w:p>
        </w:tc>
        <w:tc>
          <w:tcPr>
            <w:tcW w:w="707" w:type="pct"/>
            <w:tcBorders>
              <w:bottom w:val="single" w:sz="4" w:space="0" w:color="auto"/>
            </w:tcBorders>
          </w:tcPr>
          <w:p w14:paraId="152D6080" w14:textId="2EF89770" w:rsidR="00313226" w:rsidRPr="009E2F9F" w:rsidRDefault="00DD6C5E" w:rsidP="00313226">
            <w:pPr>
              <w:pStyle w:val="TableText"/>
              <w:rPr>
                <w:rFonts w:eastAsia="Calibri"/>
                <w:szCs w:val="20"/>
              </w:rPr>
            </w:pPr>
            <w:r w:rsidRPr="009E2F9F">
              <w:rPr>
                <w:rFonts w:eastAsia="Calibri"/>
                <w:b/>
                <w:szCs w:val="20"/>
              </w:rPr>
              <w:t>redacted</w:t>
            </w:r>
          </w:p>
        </w:tc>
        <w:tc>
          <w:tcPr>
            <w:tcW w:w="707" w:type="pct"/>
            <w:tcBorders>
              <w:bottom w:val="single" w:sz="4" w:space="0" w:color="auto"/>
            </w:tcBorders>
          </w:tcPr>
          <w:p w14:paraId="08DBD8C3" w14:textId="77777777" w:rsidR="00313226" w:rsidRPr="009E2F9F" w:rsidRDefault="00313226" w:rsidP="00313226">
            <w:pPr>
              <w:pStyle w:val="TableText"/>
              <w:rPr>
                <w:rFonts w:eastAsia="Calibri"/>
                <w:szCs w:val="20"/>
              </w:rPr>
            </w:pPr>
            <w:r w:rsidRPr="009E2F9F">
              <w:rPr>
                <w:rFonts w:eastAsia="Calibri"/>
                <w:szCs w:val="20"/>
              </w:rPr>
              <w:t>3.20</w:t>
            </w:r>
          </w:p>
        </w:tc>
        <w:tc>
          <w:tcPr>
            <w:tcW w:w="629" w:type="pct"/>
            <w:tcBorders>
              <w:bottom w:val="single" w:sz="4" w:space="0" w:color="auto"/>
            </w:tcBorders>
          </w:tcPr>
          <w:p w14:paraId="7517552D" w14:textId="11D6640E" w:rsidR="00313226" w:rsidRPr="009E2F9F" w:rsidRDefault="00657546" w:rsidP="00313226">
            <w:pPr>
              <w:pStyle w:val="TableText"/>
              <w:rPr>
                <w:rFonts w:eastAsia="Calibri"/>
                <w:szCs w:val="20"/>
              </w:rPr>
            </w:pPr>
            <w:r w:rsidRPr="009E2F9F">
              <w:rPr>
                <w:b/>
              </w:rPr>
              <w:t>redacted</w:t>
            </w:r>
          </w:p>
        </w:tc>
        <w:tc>
          <w:tcPr>
            <w:tcW w:w="601" w:type="pct"/>
            <w:tcBorders>
              <w:bottom w:val="single" w:sz="4" w:space="0" w:color="auto"/>
            </w:tcBorders>
          </w:tcPr>
          <w:p w14:paraId="1B2BA339" w14:textId="14A0FFA9" w:rsidR="00313226" w:rsidRPr="009E2F9F" w:rsidRDefault="00313226" w:rsidP="00313226">
            <w:pPr>
              <w:pStyle w:val="TableText"/>
              <w:rPr>
                <w:rFonts w:eastAsia="Calibri"/>
                <w:szCs w:val="20"/>
              </w:rPr>
            </w:pPr>
            <w:r w:rsidRPr="009E2F9F">
              <w:rPr>
                <w:rFonts w:eastAsia="Calibri"/>
                <w:szCs w:val="20"/>
              </w:rPr>
              <w:t>-13.0</w:t>
            </w:r>
            <w:r w:rsidR="00C81445" w:rsidRPr="009E2F9F">
              <w:rPr>
                <w:rFonts w:eastAsia="Calibri"/>
                <w:szCs w:val="20"/>
              </w:rPr>
              <w:t>%</w:t>
            </w:r>
          </w:p>
        </w:tc>
      </w:tr>
      <w:tr w:rsidR="00290654" w:rsidRPr="00CE28E3" w14:paraId="47107A9B" w14:textId="77777777" w:rsidTr="00290654">
        <w:trPr>
          <w:cantSplit/>
          <w:trHeight w:val="283"/>
        </w:trPr>
        <w:tc>
          <w:tcPr>
            <w:tcW w:w="5000" w:type="pct"/>
            <w:gridSpan w:val="5"/>
          </w:tcPr>
          <w:p w14:paraId="5007673D" w14:textId="68A81793" w:rsidR="00290654" w:rsidRPr="008C77DF" w:rsidRDefault="00290654" w:rsidP="00313226">
            <w:pPr>
              <w:pStyle w:val="TableText"/>
              <w:rPr>
                <w:rFonts w:eastAsia="Calibri"/>
                <w:b/>
                <w:bCs/>
                <w:szCs w:val="20"/>
              </w:rPr>
            </w:pPr>
            <w:r w:rsidRPr="008C77DF">
              <w:rPr>
                <w:b/>
                <w:bCs/>
              </w:rPr>
              <w:t>Spillover effects (base case: not included)</w:t>
            </w:r>
          </w:p>
        </w:tc>
      </w:tr>
      <w:tr w:rsidR="00313226" w:rsidRPr="00CE28E3" w14:paraId="51828EF1" w14:textId="77777777" w:rsidTr="005210CD">
        <w:trPr>
          <w:cantSplit/>
          <w:trHeight w:val="283"/>
        </w:trPr>
        <w:tc>
          <w:tcPr>
            <w:tcW w:w="2356" w:type="pct"/>
          </w:tcPr>
          <w:p w14:paraId="468D3039" w14:textId="0110874A" w:rsidR="00313226" w:rsidRPr="00651468" w:rsidRDefault="00AD3D9D" w:rsidP="00313226">
            <w:pPr>
              <w:pStyle w:val="TableText"/>
            </w:pPr>
            <w:r>
              <w:t>Add</w:t>
            </w:r>
            <w:r w:rsidR="00313226" w:rsidRPr="00651468">
              <w:t xml:space="preserve"> </w:t>
            </w:r>
            <w:r w:rsidR="009B39C1" w:rsidRPr="00651468">
              <w:t>spillover</w:t>
            </w:r>
            <w:r w:rsidR="00313226" w:rsidRPr="00651468">
              <w:t xml:space="preserve"> effect</w:t>
            </w:r>
            <w:r>
              <w:t>s (both positive and negative)</w:t>
            </w:r>
          </w:p>
        </w:tc>
        <w:tc>
          <w:tcPr>
            <w:tcW w:w="707" w:type="pct"/>
          </w:tcPr>
          <w:p w14:paraId="317FDB71" w14:textId="68C921AF" w:rsidR="00313226" w:rsidRPr="009E2F9F" w:rsidRDefault="00DD6C5E" w:rsidP="00313226">
            <w:pPr>
              <w:pStyle w:val="TableText"/>
              <w:rPr>
                <w:rFonts w:eastAsia="Calibri"/>
                <w:szCs w:val="20"/>
              </w:rPr>
            </w:pPr>
            <w:r w:rsidRPr="009E2F9F">
              <w:rPr>
                <w:b/>
              </w:rPr>
              <w:t>redacted</w:t>
            </w:r>
          </w:p>
        </w:tc>
        <w:tc>
          <w:tcPr>
            <w:tcW w:w="707" w:type="pct"/>
          </w:tcPr>
          <w:p w14:paraId="111244A3" w14:textId="1E9A3019" w:rsidR="00313226" w:rsidRPr="009E2F9F" w:rsidRDefault="00313226" w:rsidP="00313226">
            <w:pPr>
              <w:pStyle w:val="TableText"/>
              <w:rPr>
                <w:rFonts w:eastAsia="Calibri"/>
                <w:szCs w:val="20"/>
              </w:rPr>
            </w:pPr>
            <w:r w:rsidRPr="009E2F9F">
              <w:rPr>
                <w:rFonts w:eastAsia="Calibri"/>
                <w:szCs w:val="20"/>
              </w:rPr>
              <w:t>3.54</w:t>
            </w:r>
          </w:p>
        </w:tc>
        <w:tc>
          <w:tcPr>
            <w:tcW w:w="629" w:type="pct"/>
          </w:tcPr>
          <w:p w14:paraId="04DFD8BE" w14:textId="071E240C" w:rsidR="00313226" w:rsidRPr="009E2F9F" w:rsidRDefault="00657546" w:rsidP="00313226">
            <w:pPr>
              <w:pStyle w:val="TableText"/>
              <w:rPr>
                <w:rFonts w:eastAsia="Calibri"/>
                <w:szCs w:val="20"/>
              </w:rPr>
            </w:pPr>
            <w:r w:rsidRPr="009E2F9F">
              <w:rPr>
                <w:b/>
              </w:rPr>
              <w:t>redacted</w:t>
            </w:r>
          </w:p>
        </w:tc>
        <w:tc>
          <w:tcPr>
            <w:tcW w:w="601" w:type="pct"/>
          </w:tcPr>
          <w:p w14:paraId="1A8A94FE" w14:textId="6F8D1F27" w:rsidR="00313226" w:rsidRPr="009E2F9F" w:rsidRDefault="00C81445" w:rsidP="00313226">
            <w:pPr>
              <w:pStyle w:val="TableText"/>
              <w:rPr>
                <w:rFonts w:eastAsia="Calibri"/>
                <w:szCs w:val="20"/>
              </w:rPr>
            </w:pPr>
            <w:r w:rsidRPr="009E2F9F">
              <w:rPr>
                <w:rFonts w:eastAsia="Calibri"/>
                <w:szCs w:val="20"/>
              </w:rPr>
              <w:t>+</w:t>
            </w:r>
            <w:r w:rsidR="00313226" w:rsidRPr="009E2F9F">
              <w:rPr>
                <w:rFonts w:eastAsia="Calibri"/>
                <w:szCs w:val="20"/>
              </w:rPr>
              <w:t>31.8</w:t>
            </w:r>
            <w:r w:rsidRPr="009E2F9F">
              <w:rPr>
                <w:rFonts w:eastAsia="Calibri"/>
                <w:szCs w:val="20"/>
              </w:rPr>
              <w:t>%</w:t>
            </w:r>
          </w:p>
        </w:tc>
      </w:tr>
      <w:tr w:rsidR="00C81445" w:rsidRPr="00CE28E3" w14:paraId="52AB4A02" w14:textId="77777777" w:rsidTr="00C81445">
        <w:trPr>
          <w:cantSplit/>
          <w:trHeight w:val="283"/>
        </w:trPr>
        <w:tc>
          <w:tcPr>
            <w:tcW w:w="5000" w:type="pct"/>
            <w:gridSpan w:val="5"/>
          </w:tcPr>
          <w:p w14:paraId="2F650CDD" w14:textId="527D39A9" w:rsidR="00C81445" w:rsidRPr="008C77DF" w:rsidRDefault="00C81445" w:rsidP="00313226">
            <w:pPr>
              <w:pStyle w:val="TableText"/>
              <w:rPr>
                <w:rFonts w:eastAsia="Calibri"/>
                <w:b/>
                <w:bCs/>
                <w:szCs w:val="20"/>
              </w:rPr>
            </w:pPr>
            <w:r w:rsidRPr="008C77DF">
              <w:rPr>
                <w:b/>
                <w:bCs/>
              </w:rPr>
              <w:t>Dialysis and transplant costs (base case: micro-costing)</w:t>
            </w:r>
          </w:p>
        </w:tc>
      </w:tr>
      <w:tr w:rsidR="00313226" w:rsidRPr="00CE28E3" w14:paraId="5E6658D2" w14:textId="77777777" w:rsidTr="005210CD">
        <w:trPr>
          <w:cantSplit/>
          <w:trHeight w:val="283"/>
        </w:trPr>
        <w:tc>
          <w:tcPr>
            <w:tcW w:w="2356" w:type="pct"/>
          </w:tcPr>
          <w:p w14:paraId="18B29602" w14:textId="4A563FE0" w:rsidR="00313226" w:rsidRPr="00651468" w:rsidRDefault="00005563" w:rsidP="00313226">
            <w:pPr>
              <w:pStyle w:val="TableText"/>
            </w:pPr>
            <w:r>
              <w:lastRenderedPageBreak/>
              <w:t>Inflation-adjusted KHA costs</w:t>
            </w:r>
            <w:r w:rsidR="009E29A1">
              <w:t xml:space="preserve"> for dialysis costs</w:t>
            </w:r>
          </w:p>
        </w:tc>
        <w:tc>
          <w:tcPr>
            <w:tcW w:w="707" w:type="pct"/>
          </w:tcPr>
          <w:p w14:paraId="16319821" w14:textId="2A59A24C" w:rsidR="00313226" w:rsidRPr="009E2F9F" w:rsidRDefault="00DD6C5E" w:rsidP="00313226">
            <w:pPr>
              <w:pStyle w:val="TableText"/>
              <w:rPr>
                <w:rFonts w:eastAsia="Calibri"/>
                <w:szCs w:val="20"/>
              </w:rPr>
            </w:pPr>
            <w:r w:rsidRPr="009E2F9F">
              <w:rPr>
                <w:b/>
              </w:rPr>
              <w:t>redacted</w:t>
            </w:r>
          </w:p>
        </w:tc>
        <w:tc>
          <w:tcPr>
            <w:tcW w:w="707" w:type="pct"/>
          </w:tcPr>
          <w:p w14:paraId="07A5F5D2" w14:textId="77777777" w:rsidR="00313226" w:rsidRPr="009E2F9F" w:rsidRDefault="00313226" w:rsidP="00313226">
            <w:pPr>
              <w:pStyle w:val="TableText"/>
              <w:rPr>
                <w:rFonts w:eastAsia="Calibri"/>
                <w:szCs w:val="20"/>
              </w:rPr>
            </w:pPr>
            <w:r w:rsidRPr="009E2F9F">
              <w:rPr>
                <w:rFonts w:eastAsia="Calibri"/>
                <w:szCs w:val="20"/>
              </w:rPr>
              <w:t>2.26</w:t>
            </w:r>
          </w:p>
        </w:tc>
        <w:tc>
          <w:tcPr>
            <w:tcW w:w="629" w:type="pct"/>
          </w:tcPr>
          <w:p w14:paraId="04D425E0" w14:textId="4BB41174" w:rsidR="00313226" w:rsidRPr="009E2F9F" w:rsidRDefault="00657546" w:rsidP="00313226">
            <w:pPr>
              <w:pStyle w:val="TableText"/>
              <w:rPr>
                <w:rFonts w:eastAsia="Calibri"/>
                <w:szCs w:val="20"/>
              </w:rPr>
            </w:pPr>
            <w:r w:rsidRPr="009E2F9F">
              <w:rPr>
                <w:b/>
              </w:rPr>
              <w:t>redacted</w:t>
            </w:r>
          </w:p>
        </w:tc>
        <w:tc>
          <w:tcPr>
            <w:tcW w:w="601" w:type="pct"/>
          </w:tcPr>
          <w:p w14:paraId="59BDB8C6" w14:textId="1FBA4B0B" w:rsidR="00313226" w:rsidRPr="009E2F9F" w:rsidRDefault="00C81445" w:rsidP="00313226">
            <w:pPr>
              <w:pStyle w:val="TableText"/>
              <w:rPr>
                <w:rFonts w:eastAsia="Calibri"/>
                <w:szCs w:val="20"/>
              </w:rPr>
            </w:pPr>
            <w:r w:rsidRPr="009E2F9F">
              <w:rPr>
                <w:rFonts w:eastAsia="Calibri"/>
                <w:szCs w:val="20"/>
              </w:rPr>
              <w:t>+</w:t>
            </w:r>
            <w:r w:rsidR="00313226" w:rsidRPr="009E2F9F">
              <w:rPr>
                <w:rFonts w:eastAsia="Calibri"/>
                <w:szCs w:val="20"/>
              </w:rPr>
              <w:t>105.9</w:t>
            </w:r>
            <w:r w:rsidRPr="009E2F9F">
              <w:rPr>
                <w:rFonts w:eastAsia="Calibri"/>
                <w:szCs w:val="20"/>
              </w:rPr>
              <w:t>%</w:t>
            </w:r>
          </w:p>
        </w:tc>
      </w:tr>
      <w:tr w:rsidR="00313226" w:rsidRPr="00CE28E3" w14:paraId="0801B64B" w14:textId="77777777" w:rsidTr="005210CD">
        <w:trPr>
          <w:cantSplit/>
          <w:trHeight w:val="283"/>
        </w:trPr>
        <w:tc>
          <w:tcPr>
            <w:tcW w:w="2356" w:type="pct"/>
          </w:tcPr>
          <w:p w14:paraId="176A68C7" w14:textId="65CA4A22" w:rsidR="00313226" w:rsidRPr="00651468" w:rsidRDefault="009E29A1" w:rsidP="00313226">
            <w:pPr>
              <w:pStyle w:val="TableText"/>
            </w:pPr>
            <w:r>
              <w:t>Dialysis costs</w:t>
            </w:r>
            <w:r w:rsidR="00005563">
              <w:t xml:space="preserve"> </w:t>
            </w:r>
            <w:r w:rsidR="00AD73DF">
              <w:t>per Gorham 2019</w:t>
            </w:r>
          </w:p>
        </w:tc>
        <w:tc>
          <w:tcPr>
            <w:tcW w:w="707" w:type="pct"/>
          </w:tcPr>
          <w:p w14:paraId="684250C4" w14:textId="560E72CB" w:rsidR="00313226" w:rsidRPr="009E2F9F" w:rsidRDefault="002769A6" w:rsidP="00313226">
            <w:pPr>
              <w:pStyle w:val="TableText"/>
              <w:rPr>
                <w:rFonts w:eastAsia="Calibri"/>
                <w:szCs w:val="20"/>
              </w:rPr>
            </w:pPr>
            <w:r w:rsidRPr="009E2F9F">
              <w:rPr>
                <w:b/>
              </w:rPr>
              <w:t>redacted</w:t>
            </w:r>
          </w:p>
        </w:tc>
        <w:tc>
          <w:tcPr>
            <w:tcW w:w="707" w:type="pct"/>
          </w:tcPr>
          <w:p w14:paraId="53214B10" w14:textId="77777777" w:rsidR="00313226" w:rsidRPr="009E2F9F" w:rsidRDefault="00313226" w:rsidP="00313226">
            <w:pPr>
              <w:pStyle w:val="TableText"/>
              <w:rPr>
                <w:rFonts w:eastAsia="Calibri"/>
                <w:szCs w:val="20"/>
              </w:rPr>
            </w:pPr>
            <w:r w:rsidRPr="009E2F9F">
              <w:rPr>
                <w:rFonts w:eastAsia="Calibri"/>
                <w:szCs w:val="20"/>
              </w:rPr>
              <w:t>2.26</w:t>
            </w:r>
          </w:p>
        </w:tc>
        <w:tc>
          <w:tcPr>
            <w:tcW w:w="629" w:type="pct"/>
          </w:tcPr>
          <w:p w14:paraId="3F49992D" w14:textId="0356C5EB" w:rsidR="00313226" w:rsidRPr="009E2F9F" w:rsidRDefault="00657546" w:rsidP="00313226">
            <w:pPr>
              <w:pStyle w:val="TableText"/>
              <w:rPr>
                <w:rFonts w:eastAsia="Calibri"/>
                <w:szCs w:val="20"/>
              </w:rPr>
            </w:pPr>
            <w:r w:rsidRPr="009E2F9F">
              <w:rPr>
                <w:b/>
              </w:rPr>
              <w:t>redacted</w:t>
            </w:r>
          </w:p>
        </w:tc>
        <w:tc>
          <w:tcPr>
            <w:tcW w:w="601" w:type="pct"/>
          </w:tcPr>
          <w:p w14:paraId="05863090" w14:textId="79517E90" w:rsidR="00313226" w:rsidRPr="009E2F9F" w:rsidRDefault="00C81445" w:rsidP="00313226">
            <w:pPr>
              <w:pStyle w:val="TableText"/>
              <w:rPr>
                <w:rFonts w:eastAsia="Calibri"/>
                <w:szCs w:val="20"/>
              </w:rPr>
            </w:pPr>
            <w:r w:rsidRPr="009E2F9F">
              <w:rPr>
                <w:rFonts w:eastAsia="Calibri"/>
                <w:szCs w:val="20"/>
              </w:rPr>
              <w:t>+</w:t>
            </w:r>
            <w:r w:rsidR="00313226" w:rsidRPr="009E2F9F">
              <w:rPr>
                <w:rFonts w:eastAsia="Calibri"/>
                <w:szCs w:val="20"/>
              </w:rPr>
              <w:t>49.9</w:t>
            </w:r>
            <w:r w:rsidRPr="009E2F9F">
              <w:rPr>
                <w:rFonts w:eastAsia="Calibri"/>
                <w:szCs w:val="20"/>
              </w:rPr>
              <w:t>%</w:t>
            </w:r>
          </w:p>
        </w:tc>
      </w:tr>
      <w:tr w:rsidR="00313226" w:rsidRPr="00CE28E3" w14:paraId="2FA517E2" w14:textId="77777777" w:rsidTr="005210CD">
        <w:trPr>
          <w:cantSplit/>
          <w:trHeight w:val="283"/>
        </w:trPr>
        <w:tc>
          <w:tcPr>
            <w:tcW w:w="2356" w:type="pct"/>
          </w:tcPr>
          <w:p w14:paraId="44BB14A4" w14:textId="4B188CDC" w:rsidR="00313226" w:rsidRPr="00651468" w:rsidRDefault="009E29A1" w:rsidP="00313226">
            <w:pPr>
              <w:pStyle w:val="TableText"/>
            </w:pPr>
            <w:r>
              <w:t>Dialysis costs limited</w:t>
            </w:r>
            <w:r w:rsidR="00AD73DF">
              <w:t xml:space="preserve"> to </w:t>
            </w:r>
            <w:r>
              <w:t xml:space="preserve">patients from </w:t>
            </w:r>
            <w:r w:rsidR="00AD73DF">
              <w:t>remote location</w:t>
            </w:r>
            <w:r>
              <w:t xml:space="preserve">s </w:t>
            </w:r>
          </w:p>
        </w:tc>
        <w:tc>
          <w:tcPr>
            <w:tcW w:w="707" w:type="pct"/>
          </w:tcPr>
          <w:p w14:paraId="5813B6A9" w14:textId="32F378A0" w:rsidR="00313226" w:rsidRPr="009E2F9F" w:rsidRDefault="00130252" w:rsidP="00313226">
            <w:pPr>
              <w:pStyle w:val="TableText"/>
              <w:rPr>
                <w:rFonts w:eastAsia="Calibri"/>
                <w:szCs w:val="20"/>
              </w:rPr>
            </w:pPr>
            <w:r w:rsidRPr="009E2F9F">
              <w:rPr>
                <w:b/>
              </w:rPr>
              <w:t>redacted</w:t>
            </w:r>
          </w:p>
        </w:tc>
        <w:tc>
          <w:tcPr>
            <w:tcW w:w="707" w:type="pct"/>
          </w:tcPr>
          <w:p w14:paraId="07535E7E" w14:textId="77777777" w:rsidR="00313226" w:rsidRPr="009E2F9F" w:rsidRDefault="00313226" w:rsidP="00313226">
            <w:pPr>
              <w:pStyle w:val="TableText"/>
              <w:rPr>
                <w:rFonts w:eastAsia="Calibri"/>
                <w:szCs w:val="20"/>
              </w:rPr>
            </w:pPr>
            <w:r w:rsidRPr="009E2F9F">
              <w:rPr>
                <w:rFonts w:eastAsia="Calibri"/>
                <w:szCs w:val="20"/>
              </w:rPr>
              <w:t>2.26</w:t>
            </w:r>
          </w:p>
        </w:tc>
        <w:tc>
          <w:tcPr>
            <w:tcW w:w="629" w:type="pct"/>
          </w:tcPr>
          <w:p w14:paraId="245CCD3C" w14:textId="77777777" w:rsidR="00313226" w:rsidRPr="009E2F9F" w:rsidRDefault="00313226" w:rsidP="00313226">
            <w:pPr>
              <w:pStyle w:val="TableText"/>
              <w:rPr>
                <w:rFonts w:eastAsia="Calibri"/>
                <w:szCs w:val="20"/>
              </w:rPr>
            </w:pPr>
            <w:r w:rsidRPr="009E2F9F">
              <w:rPr>
                <w:rFonts w:eastAsia="Calibri"/>
                <w:szCs w:val="20"/>
              </w:rPr>
              <w:t>Dominant</w:t>
            </w:r>
          </w:p>
        </w:tc>
        <w:tc>
          <w:tcPr>
            <w:tcW w:w="601" w:type="pct"/>
          </w:tcPr>
          <w:p w14:paraId="173A38E3" w14:textId="7CDDD16F" w:rsidR="00313226" w:rsidRPr="009E2F9F" w:rsidRDefault="00C81445" w:rsidP="00313226">
            <w:pPr>
              <w:pStyle w:val="TableText"/>
              <w:rPr>
                <w:rFonts w:eastAsia="Calibri"/>
                <w:szCs w:val="20"/>
              </w:rPr>
            </w:pPr>
            <w:r w:rsidRPr="009E2F9F">
              <w:rPr>
                <w:rFonts w:eastAsia="Calibri"/>
                <w:szCs w:val="20"/>
              </w:rPr>
              <w:t>NA</w:t>
            </w:r>
          </w:p>
        </w:tc>
      </w:tr>
      <w:tr w:rsidR="00AD73DF" w:rsidRPr="00CE28E3" w14:paraId="63CE6F5C" w14:textId="77777777" w:rsidTr="005210CD">
        <w:trPr>
          <w:cantSplit/>
          <w:trHeight w:val="283"/>
        </w:trPr>
        <w:tc>
          <w:tcPr>
            <w:tcW w:w="2356" w:type="pct"/>
          </w:tcPr>
          <w:p w14:paraId="35A22651" w14:textId="11E2523E" w:rsidR="00AD73DF" w:rsidRPr="00651468" w:rsidRDefault="009B39C1" w:rsidP="00AD73DF">
            <w:pPr>
              <w:pStyle w:val="TableText"/>
            </w:pPr>
            <w:r>
              <w:t>Inflation-adjusted KHA costs</w:t>
            </w:r>
            <w:r w:rsidR="009E29A1">
              <w:t xml:space="preserve"> for transplant costs</w:t>
            </w:r>
          </w:p>
        </w:tc>
        <w:tc>
          <w:tcPr>
            <w:tcW w:w="707" w:type="pct"/>
          </w:tcPr>
          <w:p w14:paraId="28A4B52A" w14:textId="41676B11" w:rsidR="00AD73DF" w:rsidRPr="009E2F9F" w:rsidRDefault="00130252" w:rsidP="00AD73DF">
            <w:pPr>
              <w:pStyle w:val="TableText"/>
              <w:rPr>
                <w:rFonts w:eastAsia="Calibri"/>
                <w:szCs w:val="20"/>
              </w:rPr>
            </w:pPr>
            <w:r w:rsidRPr="009E2F9F">
              <w:rPr>
                <w:b/>
              </w:rPr>
              <w:t>redacted</w:t>
            </w:r>
          </w:p>
        </w:tc>
        <w:tc>
          <w:tcPr>
            <w:tcW w:w="707" w:type="pct"/>
          </w:tcPr>
          <w:p w14:paraId="51C6C786" w14:textId="6CE88AD4" w:rsidR="00AD73DF" w:rsidRPr="009E2F9F" w:rsidRDefault="00AD73DF" w:rsidP="00AD73DF">
            <w:pPr>
              <w:pStyle w:val="TableText"/>
              <w:rPr>
                <w:rFonts w:eastAsia="Calibri"/>
                <w:szCs w:val="20"/>
              </w:rPr>
            </w:pPr>
            <w:r w:rsidRPr="009E2F9F">
              <w:rPr>
                <w:rFonts w:eastAsia="Calibri"/>
                <w:szCs w:val="20"/>
              </w:rPr>
              <w:t>2.26</w:t>
            </w:r>
          </w:p>
        </w:tc>
        <w:tc>
          <w:tcPr>
            <w:tcW w:w="629" w:type="pct"/>
          </w:tcPr>
          <w:p w14:paraId="51E15385" w14:textId="378335F4" w:rsidR="00AD73DF" w:rsidRPr="009E2F9F" w:rsidRDefault="00657546" w:rsidP="00AD73DF">
            <w:pPr>
              <w:pStyle w:val="TableText"/>
              <w:rPr>
                <w:rFonts w:eastAsia="Calibri"/>
                <w:szCs w:val="20"/>
              </w:rPr>
            </w:pPr>
            <w:r w:rsidRPr="009E2F9F">
              <w:rPr>
                <w:b/>
              </w:rPr>
              <w:t>redacted</w:t>
            </w:r>
          </w:p>
        </w:tc>
        <w:tc>
          <w:tcPr>
            <w:tcW w:w="601" w:type="pct"/>
            <w:vAlign w:val="center"/>
          </w:tcPr>
          <w:p w14:paraId="4C4DE81D" w14:textId="0B1E3C43" w:rsidR="00AD73DF" w:rsidRPr="009E2F9F" w:rsidRDefault="00C81445" w:rsidP="00AD73DF">
            <w:pPr>
              <w:pStyle w:val="TableText"/>
              <w:rPr>
                <w:rFonts w:eastAsia="Calibri"/>
                <w:szCs w:val="20"/>
              </w:rPr>
            </w:pPr>
            <w:r w:rsidRPr="009E2F9F">
              <w:rPr>
                <w:rFonts w:eastAsia="Calibri"/>
                <w:szCs w:val="20"/>
              </w:rPr>
              <w:t>+</w:t>
            </w:r>
            <w:r w:rsidR="00AD73DF" w:rsidRPr="009E2F9F">
              <w:rPr>
                <w:rFonts w:eastAsia="Calibri"/>
                <w:szCs w:val="20"/>
              </w:rPr>
              <w:t>31.1</w:t>
            </w:r>
            <w:r w:rsidRPr="009E2F9F">
              <w:rPr>
                <w:rFonts w:eastAsia="Calibri"/>
                <w:szCs w:val="20"/>
              </w:rPr>
              <w:t>%</w:t>
            </w:r>
          </w:p>
        </w:tc>
      </w:tr>
      <w:tr w:rsidR="00C81445" w:rsidRPr="00CE28E3" w14:paraId="51B16210" w14:textId="77777777" w:rsidTr="005210CD">
        <w:trPr>
          <w:cantSplit/>
          <w:trHeight w:val="283"/>
        </w:trPr>
        <w:tc>
          <w:tcPr>
            <w:tcW w:w="2356" w:type="pct"/>
          </w:tcPr>
          <w:p w14:paraId="27694155" w14:textId="2661B74D" w:rsidR="00C81445" w:rsidRDefault="00C81445" w:rsidP="00C81445">
            <w:pPr>
              <w:pStyle w:val="TableText"/>
            </w:pPr>
            <w:r>
              <w:t>Inflation-adjusted KHA costs for both dialysis and transplant costs</w:t>
            </w:r>
          </w:p>
        </w:tc>
        <w:tc>
          <w:tcPr>
            <w:tcW w:w="707" w:type="pct"/>
          </w:tcPr>
          <w:p w14:paraId="0BFC1D9E" w14:textId="3FB9B61F" w:rsidR="00C81445" w:rsidRPr="009E2F9F" w:rsidRDefault="00130252" w:rsidP="00C81445">
            <w:pPr>
              <w:pStyle w:val="TableText"/>
              <w:rPr>
                <w:rFonts w:eastAsia="Calibri"/>
                <w:szCs w:val="20"/>
              </w:rPr>
            </w:pPr>
            <w:r w:rsidRPr="009E2F9F">
              <w:rPr>
                <w:b/>
              </w:rPr>
              <w:t>redacted</w:t>
            </w:r>
          </w:p>
        </w:tc>
        <w:tc>
          <w:tcPr>
            <w:tcW w:w="707" w:type="pct"/>
          </w:tcPr>
          <w:p w14:paraId="6208F1AA" w14:textId="78191B5E" w:rsidR="00C81445" w:rsidRPr="009E2F9F" w:rsidRDefault="00C81445" w:rsidP="00C81445">
            <w:pPr>
              <w:pStyle w:val="TableText"/>
              <w:rPr>
                <w:rFonts w:eastAsia="Calibri"/>
                <w:szCs w:val="20"/>
              </w:rPr>
            </w:pPr>
            <w:r w:rsidRPr="009E2F9F">
              <w:rPr>
                <w:rFonts w:eastAsia="Calibri"/>
                <w:szCs w:val="20"/>
              </w:rPr>
              <w:t>2.26</w:t>
            </w:r>
          </w:p>
        </w:tc>
        <w:tc>
          <w:tcPr>
            <w:tcW w:w="629" w:type="pct"/>
          </w:tcPr>
          <w:p w14:paraId="0C2BFA9A" w14:textId="528C8CFE" w:rsidR="00C81445" w:rsidRPr="009E2F9F" w:rsidRDefault="00657546" w:rsidP="00C81445">
            <w:pPr>
              <w:pStyle w:val="TableText"/>
              <w:rPr>
                <w:rFonts w:eastAsia="Calibri"/>
                <w:szCs w:val="20"/>
              </w:rPr>
            </w:pPr>
            <w:r w:rsidRPr="009E2F9F">
              <w:rPr>
                <w:b/>
              </w:rPr>
              <w:t>redacted</w:t>
            </w:r>
          </w:p>
        </w:tc>
        <w:tc>
          <w:tcPr>
            <w:tcW w:w="601" w:type="pct"/>
          </w:tcPr>
          <w:p w14:paraId="0E399262" w14:textId="26D022B5" w:rsidR="00C81445" w:rsidRPr="009E2F9F" w:rsidRDefault="00C81445" w:rsidP="00C81445">
            <w:pPr>
              <w:pStyle w:val="TableText"/>
              <w:rPr>
                <w:rFonts w:eastAsia="Calibri"/>
                <w:szCs w:val="20"/>
              </w:rPr>
            </w:pPr>
            <w:r w:rsidRPr="009E2F9F">
              <w:rPr>
                <w:rFonts w:eastAsia="Calibri"/>
                <w:szCs w:val="20"/>
              </w:rPr>
              <w:t>+137.0%</w:t>
            </w:r>
          </w:p>
        </w:tc>
      </w:tr>
      <w:tr w:rsidR="00641D1D" w:rsidRPr="00CE28E3" w14:paraId="5C8A98F2" w14:textId="77777777" w:rsidTr="00641D1D">
        <w:trPr>
          <w:cantSplit/>
          <w:trHeight w:val="283"/>
        </w:trPr>
        <w:tc>
          <w:tcPr>
            <w:tcW w:w="5000" w:type="pct"/>
            <w:gridSpan w:val="5"/>
          </w:tcPr>
          <w:p w14:paraId="63695FBC" w14:textId="1FD6E9D2" w:rsidR="00641D1D" w:rsidRPr="008C77DF" w:rsidRDefault="00641D1D" w:rsidP="00C81445">
            <w:pPr>
              <w:pStyle w:val="TableText"/>
              <w:rPr>
                <w:rFonts w:eastAsia="Calibri"/>
                <w:b/>
                <w:bCs/>
                <w:szCs w:val="20"/>
              </w:rPr>
            </w:pPr>
            <w:r w:rsidRPr="008C77DF">
              <w:rPr>
                <w:b/>
                <w:bCs/>
              </w:rPr>
              <w:t>Utilities</w:t>
            </w:r>
          </w:p>
        </w:tc>
      </w:tr>
      <w:tr w:rsidR="00DB7C1C" w:rsidRPr="00CE28E3" w14:paraId="38887C41" w14:textId="77777777" w:rsidTr="005210CD">
        <w:trPr>
          <w:cantSplit/>
          <w:trHeight w:val="283"/>
        </w:trPr>
        <w:tc>
          <w:tcPr>
            <w:tcW w:w="2356" w:type="pct"/>
          </w:tcPr>
          <w:p w14:paraId="2CB29089" w14:textId="2DDE31D7" w:rsidR="00DB7C1C" w:rsidRDefault="00DB7C1C" w:rsidP="00C81445">
            <w:pPr>
              <w:pStyle w:val="TableText"/>
            </w:pPr>
            <w:r>
              <w:t>Add caregiver utility</w:t>
            </w:r>
          </w:p>
        </w:tc>
        <w:tc>
          <w:tcPr>
            <w:tcW w:w="707" w:type="pct"/>
          </w:tcPr>
          <w:p w14:paraId="595FA8EA" w14:textId="7509BBEB" w:rsidR="00DB7C1C" w:rsidRPr="009E2F9F" w:rsidRDefault="00657546" w:rsidP="00C81445">
            <w:pPr>
              <w:pStyle w:val="TableText"/>
              <w:rPr>
                <w:rFonts w:eastAsia="Calibri"/>
                <w:szCs w:val="20"/>
              </w:rPr>
            </w:pPr>
            <w:r w:rsidRPr="009E2F9F">
              <w:rPr>
                <w:b/>
              </w:rPr>
              <w:t>redacted</w:t>
            </w:r>
          </w:p>
        </w:tc>
        <w:tc>
          <w:tcPr>
            <w:tcW w:w="707" w:type="pct"/>
          </w:tcPr>
          <w:p w14:paraId="45E00E58" w14:textId="01E16FE4" w:rsidR="00DB7C1C" w:rsidRPr="009E2F9F" w:rsidRDefault="00EB626F" w:rsidP="00C81445">
            <w:pPr>
              <w:pStyle w:val="TableText"/>
              <w:rPr>
                <w:rFonts w:eastAsia="Calibri"/>
                <w:szCs w:val="20"/>
              </w:rPr>
            </w:pPr>
            <w:r w:rsidRPr="009E2F9F">
              <w:rPr>
                <w:rFonts w:eastAsia="Calibri"/>
                <w:szCs w:val="20"/>
              </w:rPr>
              <w:t>2.36</w:t>
            </w:r>
          </w:p>
        </w:tc>
        <w:tc>
          <w:tcPr>
            <w:tcW w:w="629" w:type="pct"/>
          </w:tcPr>
          <w:p w14:paraId="3F93310B" w14:textId="117B29CC" w:rsidR="00DB7C1C" w:rsidRPr="009E2F9F" w:rsidRDefault="00657546" w:rsidP="00C81445">
            <w:pPr>
              <w:pStyle w:val="TableText"/>
              <w:rPr>
                <w:rFonts w:eastAsia="Calibri"/>
                <w:szCs w:val="20"/>
              </w:rPr>
            </w:pPr>
            <w:r w:rsidRPr="009E2F9F">
              <w:rPr>
                <w:b/>
              </w:rPr>
              <w:t>redacted</w:t>
            </w:r>
          </w:p>
        </w:tc>
        <w:tc>
          <w:tcPr>
            <w:tcW w:w="601" w:type="pct"/>
          </w:tcPr>
          <w:p w14:paraId="0CCD3C21" w14:textId="449DE723" w:rsidR="00DB7C1C" w:rsidRPr="009E2F9F" w:rsidRDefault="00EB626F" w:rsidP="00C81445">
            <w:pPr>
              <w:pStyle w:val="TableText"/>
              <w:rPr>
                <w:rFonts w:eastAsia="Calibri"/>
                <w:szCs w:val="20"/>
              </w:rPr>
            </w:pPr>
            <w:r w:rsidRPr="009E2F9F">
              <w:rPr>
                <w:rFonts w:eastAsia="Calibri"/>
                <w:szCs w:val="20"/>
              </w:rPr>
              <w:t>-4.3%</w:t>
            </w:r>
          </w:p>
        </w:tc>
      </w:tr>
      <w:tr w:rsidR="00E01998" w:rsidRPr="00762612" w14:paraId="29D7D9E5" w14:textId="77777777" w:rsidTr="00E01998">
        <w:trPr>
          <w:cantSplit/>
          <w:trHeight w:val="283"/>
        </w:trPr>
        <w:tc>
          <w:tcPr>
            <w:tcW w:w="5000" w:type="pct"/>
            <w:gridSpan w:val="5"/>
          </w:tcPr>
          <w:p w14:paraId="1029ACD3" w14:textId="22A043E1" w:rsidR="00E01998" w:rsidRPr="00527717" w:rsidRDefault="00E01998" w:rsidP="00C81445">
            <w:pPr>
              <w:pStyle w:val="TableText"/>
              <w:rPr>
                <w:rFonts w:eastAsia="Calibri"/>
                <w:b/>
                <w:bCs/>
                <w:szCs w:val="20"/>
              </w:rPr>
            </w:pPr>
            <w:r w:rsidRPr="00527717">
              <w:rPr>
                <w:b/>
                <w:bCs/>
              </w:rPr>
              <w:t xml:space="preserve">LD transplant rate source </w:t>
            </w:r>
          </w:p>
        </w:tc>
      </w:tr>
      <w:tr w:rsidR="00DB1FB3" w:rsidRPr="00CE28E3" w14:paraId="3F4187B0" w14:textId="77777777" w:rsidTr="005210CD">
        <w:trPr>
          <w:cantSplit/>
          <w:trHeight w:val="283"/>
        </w:trPr>
        <w:tc>
          <w:tcPr>
            <w:tcW w:w="2356" w:type="pct"/>
          </w:tcPr>
          <w:p w14:paraId="4C9719E5" w14:textId="3271E299" w:rsidR="00DB1FB3" w:rsidRPr="008C77DF" w:rsidRDefault="00926B42" w:rsidP="00C81445">
            <w:pPr>
              <w:pStyle w:val="TableText"/>
            </w:pPr>
            <w:r w:rsidRPr="008C77DF">
              <w:t>Transplant rate of 15.7%, based on</w:t>
            </w:r>
            <w:r w:rsidR="00762612" w:rsidRPr="008C77DF">
              <w:t xml:space="preserve"> ANZKX data</w:t>
            </w:r>
            <w:r w:rsidR="001C152A" w:rsidRPr="008C77DF">
              <w:t xml:space="preserve"> (base case: based on OrganMatch data for DD recipients)</w:t>
            </w:r>
          </w:p>
        </w:tc>
        <w:tc>
          <w:tcPr>
            <w:tcW w:w="707" w:type="pct"/>
          </w:tcPr>
          <w:p w14:paraId="5BC93730" w14:textId="3CFF41AA" w:rsidR="00DB1FB3" w:rsidRPr="009E2F9F" w:rsidRDefault="00657546" w:rsidP="00C81445">
            <w:pPr>
              <w:pStyle w:val="TableText"/>
              <w:rPr>
                <w:rFonts w:eastAsia="Calibri"/>
                <w:szCs w:val="20"/>
              </w:rPr>
            </w:pPr>
            <w:r w:rsidRPr="009E2F9F">
              <w:rPr>
                <w:b/>
              </w:rPr>
              <w:t>redacted</w:t>
            </w:r>
          </w:p>
        </w:tc>
        <w:tc>
          <w:tcPr>
            <w:tcW w:w="707" w:type="pct"/>
          </w:tcPr>
          <w:p w14:paraId="515713D6" w14:textId="56046476" w:rsidR="00DB1FB3" w:rsidRPr="009E2F9F" w:rsidRDefault="00762612" w:rsidP="00C81445">
            <w:pPr>
              <w:pStyle w:val="TableText"/>
              <w:rPr>
                <w:rFonts w:eastAsia="Calibri"/>
                <w:szCs w:val="20"/>
              </w:rPr>
            </w:pPr>
            <w:r w:rsidRPr="009E2F9F">
              <w:rPr>
                <w:rFonts w:eastAsia="Calibri"/>
                <w:szCs w:val="20"/>
              </w:rPr>
              <w:t>2.23</w:t>
            </w:r>
          </w:p>
        </w:tc>
        <w:tc>
          <w:tcPr>
            <w:tcW w:w="629" w:type="pct"/>
          </w:tcPr>
          <w:p w14:paraId="14A0EC0F" w14:textId="2786E655" w:rsidR="00DB1FB3" w:rsidRPr="009E2F9F" w:rsidRDefault="00657546" w:rsidP="00C81445">
            <w:pPr>
              <w:pStyle w:val="TableText"/>
              <w:rPr>
                <w:rFonts w:eastAsia="Calibri"/>
                <w:szCs w:val="20"/>
              </w:rPr>
            </w:pPr>
            <w:r w:rsidRPr="009E2F9F">
              <w:rPr>
                <w:b/>
              </w:rPr>
              <w:t>redacted</w:t>
            </w:r>
          </w:p>
        </w:tc>
        <w:tc>
          <w:tcPr>
            <w:tcW w:w="601" w:type="pct"/>
          </w:tcPr>
          <w:p w14:paraId="7C8CC3D4" w14:textId="3A73523F" w:rsidR="00DB1FB3" w:rsidRPr="009E2F9F" w:rsidRDefault="00762612" w:rsidP="00C81445">
            <w:pPr>
              <w:pStyle w:val="TableText"/>
              <w:rPr>
                <w:rFonts w:eastAsia="Calibri"/>
                <w:szCs w:val="20"/>
              </w:rPr>
            </w:pPr>
            <w:r w:rsidRPr="009E2F9F">
              <w:rPr>
                <w:rFonts w:eastAsia="Calibri"/>
                <w:szCs w:val="20"/>
              </w:rPr>
              <w:t>+8.3%</w:t>
            </w:r>
          </w:p>
        </w:tc>
      </w:tr>
      <w:tr w:rsidR="00AD5F40" w:rsidRPr="00AD5F40" w14:paraId="4FF08C06" w14:textId="77777777" w:rsidTr="00AD5F40">
        <w:trPr>
          <w:cantSplit/>
          <w:trHeight w:val="283"/>
        </w:trPr>
        <w:tc>
          <w:tcPr>
            <w:tcW w:w="5000" w:type="pct"/>
            <w:gridSpan w:val="5"/>
          </w:tcPr>
          <w:p w14:paraId="28DA0B4F" w14:textId="2B4D0A59" w:rsidR="00AD5F40" w:rsidRPr="008C77DF" w:rsidRDefault="00AD5F40" w:rsidP="00C81445">
            <w:pPr>
              <w:pStyle w:val="TableText"/>
              <w:rPr>
                <w:rFonts w:eastAsia="Calibri"/>
                <w:b/>
                <w:bCs/>
                <w:szCs w:val="20"/>
              </w:rPr>
            </w:pPr>
            <w:r w:rsidRPr="008C77DF">
              <w:rPr>
                <w:b/>
                <w:bCs/>
              </w:rPr>
              <w:t xml:space="preserve">Cost structure for imlifidase </w:t>
            </w:r>
          </w:p>
        </w:tc>
      </w:tr>
      <w:tr w:rsidR="005E5FC9" w:rsidRPr="00CE28E3" w14:paraId="73DA0C04" w14:textId="77777777" w:rsidTr="005210CD">
        <w:trPr>
          <w:cantSplit/>
          <w:trHeight w:val="283"/>
        </w:trPr>
        <w:tc>
          <w:tcPr>
            <w:tcW w:w="2356" w:type="pct"/>
          </w:tcPr>
          <w:p w14:paraId="4F3D6361" w14:textId="30402057" w:rsidR="005E5FC9" w:rsidRPr="008C77DF" w:rsidRDefault="00926B42" w:rsidP="00C81445">
            <w:pPr>
              <w:pStyle w:val="TableText"/>
            </w:pPr>
            <w:r w:rsidRPr="008C77DF">
              <w:t xml:space="preserve">Costing per original submission with </w:t>
            </w:r>
            <w:r w:rsidR="005D2449" w:rsidRPr="008C77DF">
              <w:t xml:space="preserve">a </w:t>
            </w:r>
            <w:r w:rsidR="00A47CCC" w:rsidRPr="009E2F9F">
              <w:rPr>
                <w:b/>
                <w:bCs/>
              </w:rPr>
              <w:t>redacted</w:t>
            </w:r>
            <w:r w:rsidR="005D2449" w:rsidRPr="008C77DF">
              <w:t xml:space="preserve">% discount (base case: fixed price/patient for </w:t>
            </w:r>
            <w:r w:rsidR="00C03E4E" w:rsidRPr="009E2F9F">
              <w:rPr>
                <w:b/>
                <w:bCs/>
              </w:rPr>
              <w:t>redacted</w:t>
            </w:r>
            <w:r w:rsidR="00C006B0" w:rsidRPr="008C77DF">
              <w:t>)</w:t>
            </w:r>
          </w:p>
        </w:tc>
        <w:tc>
          <w:tcPr>
            <w:tcW w:w="707" w:type="pct"/>
          </w:tcPr>
          <w:p w14:paraId="011A6612" w14:textId="27256BEB" w:rsidR="005E5FC9" w:rsidRPr="009E2F9F" w:rsidRDefault="00657546" w:rsidP="00C81445">
            <w:pPr>
              <w:pStyle w:val="TableText"/>
              <w:rPr>
                <w:rFonts w:eastAsia="Calibri"/>
                <w:szCs w:val="20"/>
              </w:rPr>
            </w:pPr>
            <w:r w:rsidRPr="009E2F9F">
              <w:rPr>
                <w:b/>
              </w:rPr>
              <w:t>redacted</w:t>
            </w:r>
          </w:p>
        </w:tc>
        <w:tc>
          <w:tcPr>
            <w:tcW w:w="707" w:type="pct"/>
          </w:tcPr>
          <w:p w14:paraId="6CCA6E3E" w14:textId="6C28678C" w:rsidR="005E5FC9" w:rsidRPr="009E2F9F" w:rsidRDefault="00C718F0" w:rsidP="00C81445">
            <w:pPr>
              <w:pStyle w:val="TableText"/>
              <w:rPr>
                <w:rFonts w:eastAsia="Calibri"/>
                <w:szCs w:val="20"/>
              </w:rPr>
            </w:pPr>
            <w:r w:rsidRPr="009E2F9F">
              <w:rPr>
                <w:rFonts w:eastAsia="Calibri"/>
                <w:szCs w:val="20"/>
              </w:rPr>
              <w:t>2.26</w:t>
            </w:r>
          </w:p>
        </w:tc>
        <w:tc>
          <w:tcPr>
            <w:tcW w:w="629" w:type="pct"/>
          </w:tcPr>
          <w:p w14:paraId="2CF43916" w14:textId="61A9E6B1" w:rsidR="005E5FC9" w:rsidRPr="009E2F9F" w:rsidRDefault="00657546" w:rsidP="00C81445">
            <w:pPr>
              <w:pStyle w:val="TableText"/>
              <w:rPr>
                <w:rFonts w:eastAsia="Calibri"/>
                <w:szCs w:val="20"/>
              </w:rPr>
            </w:pPr>
            <w:r w:rsidRPr="009E2F9F">
              <w:rPr>
                <w:b/>
              </w:rPr>
              <w:t>redacted</w:t>
            </w:r>
          </w:p>
        </w:tc>
        <w:tc>
          <w:tcPr>
            <w:tcW w:w="601" w:type="pct"/>
          </w:tcPr>
          <w:p w14:paraId="303ECA0C" w14:textId="48362C6F" w:rsidR="005E5FC9" w:rsidRPr="009E2F9F" w:rsidRDefault="00B9377D" w:rsidP="00C81445">
            <w:pPr>
              <w:pStyle w:val="TableText"/>
              <w:rPr>
                <w:rFonts w:eastAsia="Calibri"/>
                <w:szCs w:val="20"/>
              </w:rPr>
            </w:pPr>
            <w:r w:rsidRPr="009E2F9F">
              <w:rPr>
                <w:rFonts w:eastAsia="Calibri"/>
                <w:szCs w:val="20"/>
              </w:rPr>
              <w:t>+65.5%</w:t>
            </w:r>
          </w:p>
        </w:tc>
      </w:tr>
      <w:tr w:rsidR="002E4D9E" w:rsidRPr="00CE28E3" w14:paraId="3D295A85" w14:textId="77777777" w:rsidTr="005210CD">
        <w:trPr>
          <w:cantSplit/>
          <w:trHeight w:val="283"/>
        </w:trPr>
        <w:tc>
          <w:tcPr>
            <w:tcW w:w="2356" w:type="pct"/>
          </w:tcPr>
          <w:p w14:paraId="02039510" w14:textId="2900A814" w:rsidR="002E4D9E" w:rsidRPr="008C77DF" w:rsidRDefault="002E4D9E" w:rsidP="00C81445">
            <w:pPr>
              <w:pStyle w:val="TableText"/>
              <w:rPr>
                <w:b/>
                <w:bCs/>
              </w:rPr>
            </w:pPr>
            <w:r w:rsidRPr="008C77DF">
              <w:rPr>
                <w:b/>
                <w:bCs/>
              </w:rPr>
              <w:t>Luminex tests</w:t>
            </w:r>
            <w:r w:rsidR="002B797C" w:rsidRPr="008C77DF">
              <w:rPr>
                <w:b/>
                <w:bCs/>
              </w:rPr>
              <w:t xml:space="preserve"> (base case: </w:t>
            </w:r>
            <w:r w:rsidR="00A0273E" w:rsidRPr="008C77DF">
              <w:rPr>
                <w:b/>
                <w:bCs/>
              </w:rPr>
              <w:t>9</w:t>
            </w:r>
            <w:r w:rsidR="002B797C" w:rsidRPr="008C77DF">
              <w:rPr>
                <w:b/>
                <w:bCs/>
              </w:rPr>
              <w:t xml:space="preserve"> tests)</w:t>
            </w:r>
          </w:p>
        </w:tc>
        <w:tc>
          <w:tcPr>
            <w:tcW w:w="707" w:type="pct"/>
          </w:tcPr>
          <w:p w14:paraId="5E7A3DBC" w14:textId="77777777" w:rsidR="002E4D9E" w:rsidRPr="008C77DF" w:rsidRDefault="002E4D9E" w:rsidP="00C81445">
            <w:pPr>
              <w:pStyle w:val="TableText"/>
              <w:rPr>
                <w:rFonts w:eastAsia="Calibri"/>
                <w:szCs w:val="20"/>
              </w:rPr>
            </w:pPr>
          </w:p>
        </w:tc>
        <w:tc>
          <w:tcPr>
            <w:tcW w:w="707" w:type="pct"/>
          </w:tcPr>
          <w:p w14:paraId="129F349C" w14:textId="77777777" w:rsidR="002E4D9E" w:rsidRPr="008C77DF" w:rsidRDefault="002E4D9E" w:rsidP="00C81445">
            <w:pPr>
              <w:pStyle w:val="TableText"/>
              <w:rPr>
                <w:rFonts w:eastAsia="Calibri"/>
                <w:szCs w:val="20"/>
              </w:rPr>
            </w:pPr>
          </w:p>
        </w:tc>
        <w:tc>
          <w:tcPr>
            <w:tcW w:w="629" w:type="pct"/>
          </w:tcPr>
          <w:p w14:paraId="00B210F4" w14:textId="77777777" w:rsidR="002E4D9E" w:rsidRPr="008C77DF" w:rsidRDefault="002E4D9E" w:rsidP="00C81445">
            <w:pPr>
              <w:pStyle w:val="TableText"/>
              <w:rPr>
                <w:rFonts w:eastAsia="Calibri"/>
                <w:szCs w:val="20"/>
              </w:rPr>
            </w:pPr>
          </w:p>
        </w:tc>
        <w:tc>
          <w:tcPr>
            <w:tcW w:w="601" w:type="pct"/>
          </w:tcPr>
          <w:p w14:paraId="4A4110AB" w14:textId="77777777" w:rsidR="002E4D9E" w:rsidRPr="008C77DF" w:rsidRDefault="002E4D9E" w:rsidP="00C81445">
            <w:pPr>
              <w:pStyle w:val="TableText"/>
              <w:rPr>
                <w:rFonts w:eastAsia="Calibri"/>
                <w:szCs w:val="20"/>
              </w:rPr>
            </w:pPr>
          </w:p>
        </w:tc>
      </w:tr>
      <w:tr w:rsidR="002E4D9E" w:rsidRPr="00CE28E3" w14:paraId="74AFF0C2" w14:textId="77777777" w:rsidTr="005210CD">
        <w:trPr>
          <w:cantSplit/>
          <w:trHeight w:val="283"/>
        </w:trPr>
        <w:tc>
          <w:tcPr>
            <w:tcW w:w="2356" w:type="pct"/>
          </w:tcPr>
          <w:p w14:paraId="2F15504B" w14:textId="6344C713" w:rsidR="002E4D9E" w:rsidRPr="008C77DF" w:rsidRDefault="002B797C" w:rsidP="00C81445">
            <w:pPr>
              <w:pStyle w:val="TableText"/>
            </w:pPr>
            <w:r w:rsidRPr="008C77DF">
              <w:t>One test (per original submission)</w:t>
            </w:r>
          </w:p>
        </w:tc>
        <w:tc>
          <w:tcPr>
            <w:tcW w:w="707" w:type="pct"/>
          </w:tcPr>
          <w:p w14:paraId="5FB61F97" w14:textId="0BF57D29" w:rsidR="002E4D9E" w:rsidRPr="009E2F9F" w:rsidRDefault="00657546" w:rsidP="00C81445">
            <w:pPr>
              <w:pStyle w:val="TableText"/>
              <w:rPr>
                <w:rFonts w:eastAsia="Calibri"/>
                <w:szCs w:val="20"/>
              </w:rPr>
            </w:pPr>
            <w:r w:rsidRPr="009E2F9F">
              <w:rPr>
                <w:b/>
              </w:rPr>
              <w:t>redacted</w:t>
            </w:r>
          </w:p>
        </w:tc>
        <w:tc>
          <w:tcPr>
            <w:tcW w:w="707" w:type="pct"/>
          </w:tcPr>
          <w:p w14:paraId="68E6D598" w14:textId="0F5D5996" w:rsidR="002E4D9E" w:rsidRPr="009E2F9F" w:rsidRDefault="00360E61" w:rsidP="00C81445">
            <w:pPr>
              <w:pStyle w:val="TableText"/>
              <w:rPr>
                <w:rFonts w:eastAsia="Calibri"/>
                <w:szCs w:val="20"/>
              </w:rPr>
            </w:pPr>
            <w:r w:rsidRPr="009E2F9F">
              <w:rPr>
                <w:rFonts w:eastAsia="Calibri"/>
                <w:szCs w:val="20"/>
              </w:rPr>
              <w:t>2.26</w:t>
            </w:r>
          </w:p>
        </w:tc>
        <w:tc>
          <w:tcPr>
            <w:tcW w:w="629" w:type="pct"/>
          </w:tcPr>
          <w:p w14:paraId="7A9D1E14" w14:textId="23AC4CEC" w:rsidR="002E4D9E" w:rsidRPr="009E2F9F" w:rsidRDefault="00657546" w:rsidP="00C81445">
            <w:pPr>
              <w:pStyle w:val="TableText"/>
              <w:rPr>
                <w:rFonts w:eastAsia="Calibri"/>
                <w:szCs w:val="20"/>
              </w:rPr>
            </w:pPr>
            <w:r w:rsidRPr="009E2F9F">
              <w:rPr>
                <w:b/>
              </w:rPr>
              <w:t>redacted</w:t>
            </w:r>
          </w:p>
        </w:tc>
        <w:tc>
          <w:tcPr>
            <w:tcW w:w="601" w:type="pct"/>
          </w:tcPr>
          <w:p w14:paraId="7897DAC0" w14:textId="1092B7EB" w:rsidR="002E4D9E" w:rsidRPr="009E2F9F" w:rsidRDefault="00E71166" w:rsidP="00C81445">
            <w:pPr>
              <w:pStyle w:val="TableText"/>
              <w:rPr>
                <w:rFonts w:eastAsia="Calibri"/>
                <w:szCs w:val="20"/>
              </w:rPr>
            </w:pPr>
            <w:r w:rsidRPr="009E2F9F">
              <w:rPr>
                <w:rFonts w:eastAsia="Calibri"/>
                <w:szCs w:val="20"/>
              </w:rPr>
              <w:t>-</w:t>
            </w:r>
            <w:r w:rsidR="00CB3ECA" w:rsidRPr="009E2F9F">
              <w:rPr>
                <w:rFonts w:eastAsia="Calibri"/>
                <w:szCs w:val="20"/>
              </w:rPr>
              <w:t>7.6%</w:t>
            </w:r>
          </w:p>
        </w:tc>
      </w:tr>
    </w:tbl>
    <w:p w14:paraId="4A592005" w14:textId="7AE6B008" w:rsidR="00F41344" w:rsidRPr="00527717" w:rsidRDefault="00F41344" w:rsidP="00AD2029">
      <w:pPr>
        <w:pStyle w:val="Tablenotes"/>
        <w:rPr>
          <w:rFonts w:eastAsia="Calibri"/>
          <w:b/>
          <w:bCs/>
          <w:u w:val="single"/>
        </w:rPr>
      </w:pPr>
      <w:r>
        <w:rPr>
          <w:rFonts w:eastAsia="Calibri"/>
          <w:b/>
          <w:bCs/>
          <w:u w:val="single"/>
        </w:rPr>
        <w:t>Abbreviations</w:t>
      </w:r>
    </w:p>
    <w:p w14:paraId="3000DD0A" w14:textId="2A24FB14" w:rsidR="00F41344" w:rsidRDefault="000922F8" w:rsidP="00AD2029">
      <w:pPr>
        <w:pStyle w:val="Tablenotes"/>
        <w:rPr>
          <w:rFonts w:eastAsia="Calibri"/>
          <w:b/>
          <w:bCs/>
          <w:u w:val="single"/>
        </w:rPr>
      </w:pPr>
      <w:r>
        <w:rPr>
          <w:rFonts w:eastAsia="Calibri"/>
        </w:rPr>
        <w:t xml:space="preserve">AUS-UTT-A = Australia – </w:t>
      </w:r>
      <w:r w:rsidR="00F41344">
        <w:rPr>
          <w:rFonts w:eastAsia="Calibri"/>
        </w:rPr>
        <w:t>u</w:t>
      </w:r>
      <w:r>
        <w:rPr>
          <w:rFonts w:eastAsia="Calibri"/>
        </w:rPr>
        <w:t xml:space="preserve">nlikely to </w:t>
      </w:r>
      <w:r w:rsidR="00F41344">
        <w:rPr>
          <w:rFonts w:eastAsia="Calibri"/>
        </w:rPr>
        <w:t>t</w:t>
      </w:r>
      <w:r>
        <w:rPr>
          <w:rFonts w:eastAsia="Calibri"/>
        </w:rPr>
        <w:t xml:space="preserve">ransplant – </w:t>
      </w:r>
      <w:r w:rsidR="00F41344">
        <w:rPr>
          <w:rFonts w:eastAsia="Calibri"/>
        </w:rPr>
        <w:t>a</w:t>
      </w:r>
      <w:r>
        <w:rPr>
          <w:rFonts w:eastAsia="Calibri"/>
        </w:rPr>
        <w:t xml:space="preserve">gnostic (includes both deceased donor and living donor recipients), </w:t>
      </w:r>
      <w:r w:rsidR="00AD2029" w:rsidRPr="0045093D">
        <w:rPr>
          <w:rFonts w:eastAsia="Calibri"/>
        </w:rPr>
        <w:t>ICER = incremental cost-effectiveness ratio</w:t>
      </w:r>
      <w:r w:rsidR="00F41344">
        <w:rPr>
          <w:rFonts w:eastAsia="Calibri"/>
        </w:rPr>
        <w:t>,</w:t>
      </w:r>
      <w:r>
        <w:rPr>
          <w:rFonts w:eastAsia="Calibri"/>
        </w:rPr>
        <w:t xml:space="preserve"> KHA = Kidney Health Australia,</w:t>
      </w:r>
      <w:r w:rsidR="00AD2029" w:rsidRPr="0045093D">
        <w:rPr>
          <w:rFonts w:eastAsia="Calibri"/>
        </w:rPr>
        <w:t xml:space="preserve"> </w:t>
      </w:r>
      <w:r w:rsidR="00653D68">
        <w:rPr>
          <w:rFonts w:eastAsia="Calibri"/>
        </w:rPr>
        <w:t xml:space="preserve">NA = not applicable, </w:t>
      </w:r>
      <w:r w:rsidR="00AD2029" w:rsidRPr="00CE28E3">
        <w:rPr>
          <w:rFonts w:eastAsia="Calibri"/>
        </w:rPr>
        <w:t>QALY = quality</w:t>
      </w:r>
      <w:r w:rsidR="00F41344">
        <w:rPr>
          <w:rFonts w:eastAsia="Calibri"/>
        </w:rPr>
        <w:t>-</w:t>
      </w:r>
      <w:r w:rsidR="00AD2029" w:rsidRPr="00CE28E3">
        <w:rPr>
          <w:rFonts w:eastAsia="Calibri"/>
        </w:rPr>
        <w:t>adjusted life year</w:t>
      </w:r>
      <w:r w:rsidR="00303939">
        <w:rPr>
          <w:rFonts w:eastAsia="Calibri"/>
        </w:rPr>
        <w:t xml:space="preserve"> </w:t>
      </w:r>
      <w:r w:rsidR="00F41344">
        <w:rPr>
          <w:rFonts w:eastAsia="Calibri"/>
          <w:b/>
          <w:bCs/>
          <w:u w:val="single"/>
        </w:rPr>
        <w:t>Note</w:t>
      </w:r>
    </w:p>
    <w:p w14:paraId="4988DF8C" w14:textId="77777777" w:rsidR="00F41344" w:rsidRDefault="00F41344" w:rsidP="00F41344">
      <w:pPr>
        <w:pStyle w:val="Tablenotes"/>
        <w:rPr>
          <w:rFonts w:eastAsia="Calibri"/>
        </w:rPr>
      </w:pPr>
      <w:r>
        <w:rPr>
          <w:rFonts w:eastAsia="Calibri"/>
        </w:rPr>
        <w:t>*Not all sensitivity analysis presented in the ADAR have been included in the summary table.</w:t>
      </w:r>
    </w:p>
    <w:p w14:paraId="497D666B" w14:textId="77777777" w:rsidR="00F41344" w:rsidRPr="00527717" w:rsidRDefault="00AD2029" w:rsidP="00AD2029">
      <w:pPr>
        <w:pStyle w:val="Tablenotes"/>
        <w:rPr>
          <w:rFonts w:eastAsia="Calibri"/>
          <w:b/>
          <w:bCs/>
          <w:u w:val="single"/>
        </w:rPr>
      </w:pPr>
      <w:r w:rsidRPr="00527717">
        <w:rPr>
          <w:rFonts w:eastAsia="Calibri"/>
          <w:b/>
          <w:bCs/>
          <w:u w:val="single"/>
        </w:rPr>
        <w:t>Source</w:t>
      </w:r>
    </w:p>
    <w:p w14:paraId="3EF29624" w14:textId="44B68073" w:rsidR="00AD2029" w:rsidRPr="008C77DF" w:rsidRDefault="00CD6EEC" w:rsidP="00AD2029">
      <w:pPr>
        <w:pStyle w:val="Tablenotes"/>
        <w:rPr>
          <w:rFonts w:eastAsia="Calibri"/>
        </w:rPr>
      </w:pPr>
      <w:r w:rsidRPr="00CD6EEC">
        <w:rPr>
          <w:rFonts w:eastAsia="Calibri"/>
        </w:rPr>
        <w:t xml:space="preserve">Adapted from Table </w:t>
      </w:r>
      <w:r>
        <w:rPr>
          <w:rFonts w:eastAsia="Calibri"/>
        </w:rPr>
        <w:t>84</w:t>
      </w:r>
      <w:r w:rsidRPr="00CD6EEC">
        <w:rPr>
          <w:rFonts w:eastAsia="Calibri"/>
        </w:rPr>
        <w:t>, pp</w:t>
      </w:r>
      <w:r w:rsidR="00044EEF">
        <w:rPr>
          <w:rFonts w:eastAsia="Calibri"/>
        </w:rPr>
        <w:t>.</w:t>
      </w:r>
      <w:r w:rsidRPr="00CD6EEC">
        <w:rPr>
          <w:rFonts w:eastAsia="Calibri"/>
        </w:rPr>
        <w:t xml:space="preserve"> </w:t>
      </w:r>
      <w:r>
        <w:rPr>
          <w:rFonts w:eastAsia="Calibri"/>
        </w:rPr>
        <w:t>247</w:t>
      </w:r>
      <w:r w:rsidR="00600B78">
        <w:rPr>
          <w:rFonts w:eastAsia="Calibri"/>
        </w:rPr>
        <w:t>–</w:t>
      </w:r>
      <w:r w:rsidR="00BE50EF">
        <w:rPr>
          <w:rFonts w:eastAsia="Calibri"/>
        </w:rPr>
        <w:t>249</w:t>
      </w:r>
      <w:r w:rsidR="00F677DE">
        <w:rPr>
          <w:rFonts w:eastAsia="Calibri"/>
        </w:rPr>
        <w:t xml:space="preserve">; Table </w:t>
      </w:r>
      <w:r w:rsidR="00D2395B">
        <w:rPr>
          <w:rFonts w:eastAsia="Calibri"/>
        </w:rPr>
        <w:t xml:space="preserve">85, p. </w:t>
      </w:r>
      <w:r w:rsidR="00D2395B" w:rsidRPr="008C77DF">
        <w:rPr>
          <w:rFonts w:eastAsia="Calibri"/>
        </w:rPr>
        <w:t xml:space="preserve">255 and </w:t>
      </w:r>
      <w:r w:rsidR="00FB3A1A" w:rsidRPr="008C77DF">
        <w:rPr>
          <w:rFonts w:eastAsia="Calibri"/>
        </w:rPr>
        <w:t xml:space="preserve">Table 86, p. 256 </w:t>
      </w:r>
      <w:r w:rsidRPr="008C77DF">
        <w:rPr>
          <w:rFonts w:eastAsia="Calibri"/>
        </w:rPr>
        <w:t>of the MSAC 1732.1 ADAR+in-line commentary</w:t>
      </w:r>
    </w:p>
    <w:p w14:paraId="35146A0B" w14:textId="0D5A09E8" w:rsidR="00563942" w:rsidRDefault="00563942" w:rsidP="00563942">
      <w:r w:rsidRPr="008C77DF">
        <w:t>Key drivers of the model included the</w:t>
      </w:r>
      <w:r w:rsidR="009B5E92" w:rsidRPr="008C77DF">
        <w:t xml:space="preserve"> time horizon,</w:t>
      </w:r>
      <w:r w:rsidRPr="008C77DF">
        <w:t xml:space="preserve"> choice of costing approach for dialysis and transplant costs and the </w:t>
      </w:r>
      <w:r w:rsidR="009B5E92" w:rsidRPr="008C77DF">
        <w:t xml:space="preserve">amended </w:t>
      </w:r>
      <w:r w:rsidRPr="008C77DF">
        <w:t xml:space="preserve">imlifidase </w:t>
      </w:r>
      <w:r w:rsidR="009B5E92" w:rsidRPr="008C77DF">
        <w:t>cost structure</w:t>
      </w:r>
      <w:r w:rsidRPr="008C77DF">
        <w:t xml:space="preserve"> (</w:t>
      </w:r>
      <w:r w:rsidR="0017361C" w:rsidRPr="009E2F9F">
        <w:rPr>
          <w:b/>
          <w:bCs/>
        </w:rPr>
        <w:t>redacted</w:t>
      </w:r>
      <w:r w:rsidRPr="008C77DF">
        <w:t>).</w:t>
      </w:r>
    </w:p>
    <w:p w14:paraId="745EB8D4" w14:textId="1F47E565" w:rsidR="00563942" w:rsidRPr="008C77DF" w:rsidRDefault="00563942" w:rsidP="00563942">
      <w:r>
        <w:t xml:space="preserve">The </w:t>
      </w:r>
      <w:r w:rsidRPr="008C77DF">
        <w:t>micro-costing calculations for transplant costs and dialysis costs</w:t>
      </w:r>
      <w:r w:rsidR="009B5E92" w:rsidRPr="008C77DF">
        <w:t xml:space="preserve"> (used in the base case)</w:t>
      </w:r>
      <w:r w:rsidRPr="008C77DF">
        <w:t xml:space="preserve"> both favour imlifidase relative to the inflation-adjusted KHA costs. In scenario analysis:</w:t>
      </w:r>
    </w:p>
    <w:p w14:paraId="70E58A7C" w14:textId="523AC29A" w:rsidR="00563942" w:rsidRPr="008C77DF" w:rsidRDefault="00563942" w:rsidP="0033037C">
      <w:pPr>
        <w:pStyle w:val="ListParagraph"/>
        <w:numPr>
          <w:ilvl w:val="0"/>
          <w:numId w:val="14"/>
        </w:numPr>
        <w:spacing w:after="120" w:line="276" w:lineRule="auto"/>
        <w:jc w:val="both"/>
      </w:pPr>
      <w:r w:rsidRPr="008C77DF">
        <w:t>Use of KHA costs for dialysis increases the ICER to $</w:t>
      </w:r>
      <w:r w:rsidR="0017361C" w:rsidRPr="009E2F9F">
        <w:rPr>
          <w:b/>
          <w:bCs/>
        </w:rPr>
        <w:t>redacted</w:t>
      </w:r>
      <w:r w:rsidRPr="008C77DF">
        <w:t>/QALY (+</w:t>
      </w:r>
      <w:r w:rsidRPr="009E2F9F">
        <w:t>105.9</w:t>
      </w:r>
      <w:r w:rsidRPr="008C77DF">
        <w:t>%)</w:t>
      </w:r>
      <w:r w:rsidR="00415611" w:rsidRPr="008C77DF">
        <w:t>.</w:t>
      </w:r>
    </w:p>
    <w:p w14:paraId="30FE9F6C" w14:textId="7B803EAA" w:rsidR="00563942" w:rsidRPr="008C77DF" w:rsidRDefault="00563942" w:rsidP="0033037C">
      <w:pPr>
        <w:pStyle w:val="ListParagraph"/>
        <w:numPr>
          <w:ilvl w:val="0"/>
          <w:numId w:val="14"/>
        </w:numPr>
        <w:spacing w:after="120" w:line="276" w:lineRule="auto"/>
        <w:jc w:val="both"/>
      </w:pPr>
      <w:r w:rsidRPr="008C77DF">
        <w:t>Use of KHA costs for transplants increases the ICER to $</w:t>
      </w:r>
      <w:r w:rsidR="0017361C" w:rsidRPr="008C77DF">
        <w:rPr>
          <w:b/>
          <w:bCs/>
        </w:rPr>
        <w:t>redacted</w:t>
      </w:r>
      <w:r w:rsidRPr="008C77DF">
        <w:t xml:space="preserve"> (+</w:t>
      </w:r>
      <w:r w:rsidRPr="009E2F9F">
        <w:t>31.1</w:t>
      </w:r>
      <w:r w:rsidRPr="008C77DF">
        <w:t>%)</w:t>
      </w:r>
      <w:r w:rsidR="00415611" w:rsidRPr="008C77DF">
        <w:t>.</w:t>
      </w:r>
    </w:p>
    <w:p w14:paraId="3336CD20" w14:textId="3D654F0E" w:rsidR="00563942" w:rsidRPr="008C77DF" w:rsidRDefault="00563942" w:rsidP="0033037C">
      <w:pPr>
        <w:pStyle w:val="ListParagraph"/>
        <w:numPr>
          <w:ilvl w:val="0"/>
          <w:numId w:val="14"/>
        </w:numPr>
        <w:spacing w:after="120" w:line="276" w:lineRule="auto"/>
        <w:jc w:val="both"/>
      </w:pPr>
      <w:r w:rsidRPr="008C77DF">
        <w:t>Use of KHA costs for both dialysis and transplant increases the ICER to $</w:t>
      </w:r>
      <w:r w:rsidR="0017361C" w:rsidRPr="008C77DF">
        <w:rPr>
          <w:b/>
          <w:bCs/>
        </w:rPr>
        <w:t>redacted</w:t>
      </w:r>
      <w:r w:rsidRPr="008C77DF">
        <w:t>/QALY (+</w:t>
      </w:r>
      <w:r w:rsidRPr="009E2F9F">
        <w:t>137</w:t>
      </w:r>
      <w:r w:rsidRPr="008C77DF">
        <w:t>%).</w:t>
      </w:r>
    </w:p>
    <w:p w14:paraId="335462FB" w14:textId="68DDB548" w:rsidR="00FA66D0" w:rsidRPr="008C77DF" w:rsidRDefault="00B567DE" w:rsidP="00527717">
      <w:r w:rsidRPr="008C77DF">
        <w:t>Using</w:t>
      </w:r>
      <w:r w:rsidR="003F3DAE" w:rsidRPr="008C77DF">
        <w:t xml:space="preserve"> the original </w:t>
      </w:r>
      <w:r w:rsidRPr="008C77DF">
        <w:t>imli</w:t>
      </w:r>
      <w:r w:rsidR="0088583F" w:rsidRPr="008C77DF">
        <w:t>fi</w:t>
      </w:r>
      <w:r w:rsidRPr="008C77DF">
        <w:t>dase costing</w:t>
      </w:r>
      <w:r w:rsidR="003F3DAE" w:rsidRPr="008C77DF">
        <w:t xml:space="preserve"> approach (incorporating the </w:t>
      </w:r>
      <w:r w:rsidR="0017361C" w:rsidRPr="008C77DF">
        <w:rPr>
          <w:b/>
          <w:bCs/>
        </w:rPr>
        <w:t>redacted</w:t>
      </w:r>
      <w:r w:rsidR="003F3DAE" w:rsidRPr="008C77DF">
        <w:t>% discount on the price/vial</w:t>
      </w:r>
      <w:r w:rsidRPr="008C77DF">
        <w:t>)</w:t>
      </w:r>
      <w:r w:rsidR="003F3DAE" w:rsidRPr="008C77DF">
        <w:t>, the ICER was $</w:t>
      </w:r>
      <w:r w:rsidR="0017361C" w:rsidRPr="008C77DF">
        <w:rPr>
          <w:b/>
          <w:bCs/>
        </w:rPr>
        <w:t>redacted</w:t>
      </w:r>
      <w:r w:rsidR="003F3DAE" w:rsidRPr="008C77DF">
        <w:t>/QALY (+</w:t>
      </w:r>
      <w:r w:rsidR="003F3DAE" w:rsidRPr="009E2F9F">
        <w:t>65.5</w:t>
      </w:r>
      <w:r w:rsidR="003F3DAE" w:rsidRPr="008C77DF">
        <w:t>% relative to $</w:t>
      </w:r>
      <w:r w:rsidR="0017361C" w:rsidRPr="008C77DF">
        <w:rPr>
          <w:b/>
          <w:bCs/>
        </w:rPr>
        <w:t>redacted</w:t>
      </w:r>
      <w:r w:rsidR="003F3DAE" w:rsidRPr="008C77DF">
        <w:t>/QALY estimated using the 2 vial/single dose cost structure).</w:t>
      </w:r>
      <w:r w:rsidR="003D0996" w:rsidRPr="008C77DF">
        <w:t xml:space="preserve"> This scenario was added to the commentary for comparative purposes.</w:t>
      </w:r>
      <w:r w:rsidR="007B7870" w:rsidRPr="008C77DF">
        <w:t xml:space="preserve"> </w:t>
      </w:r>
    </w:p>
    <w:p w14:paraId="79167AAE" w14:textId="679320A9" w:rsidR="003D0996" w:rsidRPr="00527717" w:rsidRDefault="003D0996" w:rsidP="00527717">
      <w:r w:rsidRPr="008C77DF">
        <w:t>Reducing the time horizon to 10 years had a significant impact on the ICER (increased ICER to $</w:t>
      </w:r>
      <w:r w:rsidR="0017361C" w:rsidRPr="008C77DF">
        <w:rPr>
          <w:b/>
          <w:bCs/>
        </w:rPr>
        <w:t>redacted</w:t>
      </w:r>
      <w:r w:rsidRPr="008C77DF">
        <w:t>/QALY, +</w:t>
      </w:r>
      <w:r w:rsidRPr="009E2F9F">
        <w:t>214.4</w:t>
      </w:r>
      <w:r w:rsidRPr="008C77DF">
        <w:t>%)</w:t>
      </w:r>
      <w:r w:rsidR="00FB2100" w:rsidRPr="008C77DF">
        <w:t>; h</w:t>
      </w:r>
      <w:r w:rsidRPr="008C77DF">
        <w:t xml:space="preserve">owever, a time horizon of 20 years had </w:t>
      </w:r>
      <w:r w:rsidR="00317F4A" w:rsidRPr="008C77DF">
        <w:t xml:space="preserve">only </w:t>
      </w:r>
      <w:r w:rsidR="009F264E" w:rsidRPr="008C77DF">
        <w:t xml:space="preserve">a </w:t>
      </w:r>
      <w:r w:rsidR="00317F4A" w:rsidRPr="008C77DF">
        <w:t xml:space="preserve">moderate impact on the ICER </w:t>
      </w:r>
      <w:r w:rsidR="009F264E" w:rsidRPr="009E2F9F">
        <w:t>(+23.5%</w:t>
      </w:r>
      <w:r w:rsidR="009F264E" w:rsidRPr="008C77DF">
        <w:t xml:space="preserve"> </w:t>
      </w:r>
      <w:r w:rsidR="00317F4A" w:rsidRPr="008C77DF">
        <w:t>relative to the base case</w:t>
      </w:r>
      <w:r w:rsidR="009F264E">
        <w:t>).</w:t>
      </w:r>
    </w:p>
    <w:p w14:paraId="0D9C1DBA" w14:textId="079A4E68" w:rsidR="00436872" w:rsidRDefault="00436872" w:rsidP="00527717">
      <w:pPr>
        <w:pStyle w:val="Heading5"/>
      </w:pPr>
      <w:r>
        <w:t>Spillover scenario</w:t>
      </w:r>
    </w:p>
    <w:p w14:paraId="1889EA79" w14:textId="52659A0F" w:rsidR="00084DB9" w:rsidRDefault="00084DB9" w:rsidP="00084DB9">
      <w:r>
        <w:t xml:space="preserve">The ADAR identified 3 key </w:t>
      </w:r>
      <w:r w:rsidR="00E85044">
        <w:t>spillovers</w:t>
      </w:r>
      <w:r>
        <w:t xml:space="preserve"> associated with imlifidase use:</w:t>
      </w:r>
    </w:p>
    <w:p w14:paraId="0A2A0D0A" w14:textId="1ED409A4" w:rsidR="00084DB9" w:rsidRDefault="00084DB9" w:rsidP="0033037C">
      <w:pPr>
        <w:pStyle w:val="ListParagraph"/>
        <w:numPr>
          <w:ilvl w:val="0"/>
          <w:numId w:val="26"/>
        </w:numPr>
      </w:pPr>
      <w:r>
        <w:t xml:space="preserve">Another patient on the DD </w:t>
      </w:r>
      <w:r w:rsidR="004A2E3F">
        <w:t>waitlist</w:t>
      </w:r>
      <w:r>
        <w:t xml:space="preserve"> is displaced by the allocation of DD kidney to an imlifidase patient (negative </w:t>
      </w:r>
      <w:r w:rsidR="00186093">
        <w:t>spillover</w:t>
      </w:r>
      <w:r>
        <w:t>).</w:t>
      </w:r>
    </w:p>
    <w:p w14:paraId="0FC8C703" w14:textId="4782AA66" w:rsidR="00084DB9" w:rsidRDefault="00084DB9" w:rsidP="0033037C">
      <w:pPr>
        <w:pStyle w:val="ListParagraph"/>
        <w:numPr>
          <w:ilvl w:val="0"/>
          <w:numId w:val="26"/>
        </w:numPr>
      </w:pPr>
      <w:r>
        <w:t xml:space="preserve">A proportion of HS patients in the ANZKX program receiving an imlifidase-enabled transplant may be transplanted as part of a kidney donation chain (positive </w:t>
      </w:r>
      <w:r w:rsidR="00186093">
        <w:t>spillover</w:t>
      </w:r>
      <w:r>
        <w:t>).</w:t>
      </w:r>
    </w:p>
    <w:p w14:paraId="7A85608A" w14:textId="7ACFF261" w:rsidR="00084DB9" w:rsidRDefault="00084DB9" w:rsidP="0033037C">
      <w:pPr>
        <w:pStyle w:val="ListParagraph"/>
        <w:numPr>
          <w:ilvl w:val="0"/>
          <w:numId w:val="26"/>
        </w:numPr>
      </w:pPr>
      <w:r>
        <w:lastRenderedPageBreak/>
        <w:t xml:space="preserve">Potential increase in the pool of donor kidneys through more patients receiving an LD transplant due to imlifidase (including co-transplanted patients)/fewer patients with an LD receiving a DD kidney (positive </w:t>
      </w:r>
      <w:r w:rsidR="00186093">
        <w:t>spillover</w:t>
      </w:r>
      <w:r>
        <w:t>).</w:t>
      </w:r>
    </w:p>
    <w:p w14:paraId="6DD0062B" w14:textId="0869CA26" w:rsidR="00084DB9" w:rsidRDefault="000A2163" w:rsidP="00084DB9">
      <w:r>
        <w:t xml:space="preserve">The spillover scenario presented in the ADAR accounted </w:t>
      </w:r>
      <w:r w:rsidR="005959ED">
        <w:t xml:space="preserve">for the first 2 </w:t>
      </w:r>
      <w:r w:rsidR="00E85044">
        <w:t>spillovers</w:t>
      </w:r>
      <w:r w:rsidR="005959ED">
        <w:t xml:space="preserve"> but not the third</w:t>
      </w:r>
      <w:r w:rsidR="008A3F22">
        <w:t xml:space="preserve"> (the ADAR noted </w:t>
      </w:r>
      <w:r w:rsidR="00750D79">
        <w:t xml:space="preserve">this </w:t>
      </w:r>
      <w:r w:rsidR="008A3F22">
        <w:t xml:space="preserve">would </w:t>
      </w:r>
      <w:r w:rsidR="00BB6B55">
        <w:t xml:space="preserve">add complexity </w:t>
      </w:r>
      <w:r w:rsidR="008A3F22">
        <w:t xml:space="preserve">to the model </w:t>
      </w:r>
      <w:r w:rsidR="00BB6B55">
        <w:t xml:space="preserve">and uncertainty to the </w:t>
      </w:r>
      <w:r w:rsidR="008A3F22">
        <w:t>results</w:t>
      </w:r>
      <w:r w:rsidR="00BB6B55">
        <w:t>)</w:t>
      </w:r>
      <w:r w:rsidR="005959ED">
        <w:t>. The</w:t>
      </w:r>
      <w:r w:rsidR="008A3F22">
        <w:t xml:space="preserve"> ADAR thus </w:t>
      </w:r>
      <w:r w:rsidR="00765ECA">
        <w:t>suggested the spillover scenario presented is conservative</w:t>
      </w:r>
      <w:r w:rsidR="00031797">
        <w:t>; h</w:t>
      </w:r>
      <w:r w:rsidR="00A232A3">
        <w:t xml:space="preserve">owever, the commentary raised concerns </w:t>
      </w:r>
      <w:r w:rsidR="00AF2B94">
        <w:t>that</w:t>
      </w:r>
      <w:r w:rsidR="00A232A3">
        <w:t xml:space="preserve"> the</w:t>
      </w:r>
      <w:r w:rsidR="00AF2B94">
        <w:t xml:space="preserve"> potentially negative</w:t>
      </w:r>
      <w:r w:rsidR="00A232A3">
        <w:t xml:space="preserve"> </w:t>
      </w:r>
      <w:r w:rsidR="00AF2B94">
        <w:t>impact</w:t>
      </w:r>
      <w:r w:rsidR="006E5AAC">
        <w:t>s</w:t>
      </w:r>
      <w:r w:rsidR="00AF2B94">
        <w:t xml:space="preserve"> on health outcomes </w:t>
      </w:r>
      <w:r w:rsidR="00C30146">
        <w:t>associated with</w:t>
      </w:r>
      <w:r w:rsidR="00AF2B94">
        <w:t xml:space="preserve"> displacing a non-HS patient </w:t>
      </w:r>
      <w:r w:rsidR="007A05D3">
        <w:t>waiting for a DD kidney are not captured (see above).</w:t>
      </w:r>
    </w:p>
    <w:p w14:paraId="1906F1A0" w14:textId="180A9630" w:rsidR="00436872" w:rsidRPr="00485FC8" w:rsidRDefault="00436872" w:rsidP="00436872">
      <w:pPr>
        <w:spacing w:before="40" w:after="40" w:line="240" w:lineRule="auto"/>
      </w:pPr>
      <w:r w:rsidRPr="00485FC8">
        <w:t>In the spillover effects scenario presented in the ADAR, the assumed length of completed LD chains (n</w:t>
      </w:r>
      <w:r w:rsidR="008764FC">
        <w:t xml:space="preserve"> </w:t>
      </w:r>
      <w:r w:rsidRPr="00485FC8">
        <w:t>=</w:t>
      </w:r>
      <w:r w:rsidR="008764FC">
        <w:t xml:space="preserve"> </w:t>
      </w:r>
      <w:r w:rsidRPr="00485FC8">
        <w:t xml:space="preserve">7, or 6 additional non-imlifidase patients benefiting from the closing of a LD chain) remained unchanged from the original submission. The number of patients within an LD chain was based on expert input and was varied between 1 and 12 additional non-imlifidase patients in </w:t>
      </w:r>
      <w:r w:rsidR="00EE3B9D">
        <w:t xml:space="preserve">the </w:t>
      </w:r>
      <w:r w:rsidRPr="00485FC8">
        <w:t>sensitivity analysis. This input was shown to be the biggest driver of the original ICER in one-way sensitivity analysis.</w:t>
      </w:r>
    </w:p>
    <w:p w14:paraId="3D7A7271" w14:textId="52F48B42" w:rsidR="00436872" w:rsidRPr="00DE656F" w:rsidRDefault="00436872" w:rsidP="00DE656F">
      <w:r w:rsidRPr="00485FC8">
        <w:t xml:space="preserve">The </w:t>
      </w:r>
      <w:r w:rsidR="002F4E54">
        <w:t>commentary of the previous submission (MSAC 1732)</w:t>
      </w:r>
      <w:r w:rsidRPr="00485FC8">
        <w:t xml:space="preserve"> raised concerns over significant uncertainty around the inclusion of spillover population benefits associated with completing LD chains including HS patients. It was previously noted that introduction of imlifidase could impact the dynamics of kidney exchanges: if a patient has a</w:t>
      </w:r>
      <w:r w:rsidR="004C7D33">
        <w:t>n</w:t>
      </w:r>
      <w:r w:rsidRPr="00485FC8">
        <w:t xml:space="preserve"> LD available, the availability of imlifidase may mean there is no need to enter into a chain to receive a transplant. </w:t>
      </w:r>
      <w:r w:rsidR="00AE1365" w:rsidRPr="00AE1365">
        <w:t xml:space="preserve">Independent clinical feedback sought by the assessment group </w:t>
      </w:r>
      <w:r w:rsidR="00D80817">
        <w:t>ag</w:t>
      </w:r>
      <w:r w:rsidR="00D9323C">
        <w:t xml:space="preserve">reed imlifidase may have a role in completing </w:t>
      </w:r>
      <w:r w:rsidR="00B42D56">
        <w:t xml:space="preserve">LD </w:t>
      </w:r>
      <w:r w:rsidR="00D9323C">
        <w:t>donation chain</w:t>
      </w:r>
      <w:r w:rsidR="001F24B0">
        <w:t>s</w:t>
      </w:r>
      <w:r w:rsidRPr="00485FC8">
        <w:t>. It was also</w:t>
      </w:r>
      <w:r w:rsidR="0064597A">
        <w:t xml:space="preserve"> previously</w:t>
      </w:r>
      <w:r w:rsidRPr="00485FC8">
        <w:t xml:space="preserve"> noted </w:t>
      </w:r>
      <w:r w:rsidR="0064597A">
        <w:t>(MSAC 1732)</w:t>
      </w:r>
      <w:r w:rsidRPr="00485FC8">
        <w:t xml:space="preserve"> that the analysis assumed that chains will only ever include a single HS patient receiving imlifidase.</w:t>
      </w:r>
      <w:r w:rsidR="00926A27">
        <w:t xml:space="preserve"> This assumption remains unchanged in ADAR’s spillover scenario.</w:t>
      </w:r>
    </w:p>
    <w:p w14:paraId="25AE2BAC" w14:textId="5F7AEF15" w:rsidR="00772829" w:rsidRPr="00CE28E3" w:rsidRDefault="00B27795" w:rsidP="002A18BE">
      <w:pPr>
        <w:pStyle w:val="Heading2"/>
        <w:numPr>
          <w:ilvl w:val="0"/>
          <w:numId w:val="0"/>
        </w:numPr>
      </w:pPr>
      <w:bookmarkStart w:id="43" w:name="_Toc69491426"/>
      <w:r>
        <w:t>1</w:t>
      </w:r>
      <w:r w:rsidR="00CF7A55">
        <w:t>4</w:t>
      </w:r>
      <w:r w:rsidR="00C36633">
        <w:t>.</w:t>
      </w:r>
      <w:r w:rsidR="00C36633">
        <w:tab/>
      </w:r>
      <w:r w:rsidR="00772829" w:rsidRPr="00CE28E3">
        <w:t>Financial/budgetary impacts</w:t>
      </w:r>
      <w:bookmarkEnd w:id="43"/>
    </w:p>
    <w:p w14:paraId="7020121C" w14:textId="1452BA68" w:rsidR="004F61BC" w:rsidRPr="00F61319" w:rsidRDefault="005C66AE" w:rsidP="0041200A">
      <w:pPr>
        <w:rPr>
          <w:rFonts w:ascii="Franklin Gothic Medium" w:hAnsi="Franklin Gothic Medium"/>
          <w:sz w:val="24"/>
          <w:szCs w:val="24"/>
        </w:rPr>
      </w:pPr>
      <w:r w:rsidRPr="00F61319">
        <w:rPr>
          <w:rFonts w:ascii="Franklin Gothic Medium" w:hAnsi="Franklin Gothic Medium"/>
          <w:sz w:val="24"/>
          <w:szCs w:val="24"/>
        </w:rPr>
        <w:t>14.1 Australian Use of imlifidase – HansaGAP</w:t>
      </w:r>
    </w:p>
    <w:p w14:paraId="04589759" w14:textId="77777777" w:rsidR="004F61BC" w:rsidRPr="00F61319" w:rsidRDefault="004F61BC" w:rsidP="004F61BC">
      <w:pPr>
        <w:rPr>
          <w:rFonts w:cstheme="minorHAnsi"/>
        </w:rPr>
      </w:pPr>
      <w:r w:rsidRPr="00F61319">
        <w:rPr>
          <w:rFonts w:cstheme="minorHAnsi"/>
        </w:rPr>
        <w:t>The Hansa Global Access Program (HansaGAP) is commissioned by Hansa Biopharma and implemented via the TGA’s Special Access Scheme to facilitate the on-label use of imlifidase in kidney transplant patients in Australia free of charge. This program has enabled real-world clinical application of imlifidase. Enrolment for the program began in March 2023 and continued through to July 2024 (end of enrolment), with the current stock of HansaGAP expiring in February 2025. Patients enrolled in the program will receive transplants using the existing HansaGAP stock if organ allocation occurs before the drug's expiry, or transition to commercial stock once national funding becomes available.</w:t>
      </w:r>
    </w:p>
    <w:p w14:paraId="55B2F165" w14:textId="77777777" w:rsidR="004F61BC" w:rsidRPr="00F61319" w:rsidRDefault="004F61BC" w:rsidP="004F61BC">
      <w:pPr>
        <w:rPr>
          <w:rFonts w:cstheme="minorHAnsi"/>
        </w:rPr>
      </w:pPr>
      <w:r w:rsidRPr="00F61319">
        <w:rPr>
          <w:rFonts w:cstheme="minorHAnsi"/>
        </w:rPr>
        <w:t>A total of 28 patients have been enrolled in the program, with 8 successful transplants completed: 5 from LDs and 3 from DDs. The program has engaged 7 out of 9 major transplant centres across Australia, which are now equipped and ready to perform transplants using imlifidase. This initiative marks a significant step forward in improving access to life-saving kidney transplants for highly sensitised patients in Australia. See below table of transplant centres enrolled and number of patients transplanted under HansaGAP.</w:t>
      </w:r>
    </w:p>
    <w:p w14:paraId="4CE39525" w14:textId="18CEF919" w:rsidR="004F61BC" w:rsidRPr="005B7A13" w:rsidRDefault="004F61BC" w:rsidP="006057BF">
      <w:pPr>
        <w:pStyle w:val="Caption"/>
        <w:keepLines/>
      </w:pPr>
      <w:r>
        <w:lastRenderedPageBreak/>
        <w:t xml:space="preserve">Table </w:t>
      </w:r>
      <w:r w:rsidR="009E0604">
        <w:t xml:space="preserve">11 </w:t>
      </w:r>
      <w:r w:rsidRPr="005B7A13">
        <w:t>Patients enrolled and transplanted under HansaGAP in Australia</w:t>
      </w:r>
    </w:p>
    <w:tbl>
      <w:tblPr>
        <w:tblW w:w="899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57"/>
        <w:gridCol w:w="1393"/>
        <w:gridCol w:w="1634"/>
        <w:gridCol w:w="1627"/>
        <w:gridCol w:w="1985"/>
      </w:tblGrid>
      <w:tr w:rsidR="004F61BC" w:rsidRPr="002345A2" w14:paraId="67024E77" w14:textId="77777777" w:rsidTr="00F61319">
        <w:trPr>
          <w:trHeight w:val="290"/>
        </w:trPr>
        <w:tc>
          <w:tcPr>
            <w:tcW w:w="2357" w:type="dxa"/>
            <w:shd w:val="clear" w:color="auto" w:fill="D0CECE" w:themeFill="background2" w:themeFillShade="E6"/>
            <w:tcMar>
              <w:top w:w="0" w:type="dxa"/>
              <w:left w:w="108" w:type="dxa"/>
              <w:bottom w:w="0" w:type="dxa"/>
              <w:right w:w="108" w:type="dxa"/>
            </w:tcMar>
            <w:vAlign w:val="center"/>
            <w:hideMark/>
          </w:tcPr>
          <w:p w14:paraId="51DD8408" w14:textId="77777777" w:rsidR="004F61BC" w:rsidRPr="005B7A13" w:rsidRDefault="004F61BC" w:rsidP="006057BF">
            <w:pPr>
              <w:pStyle w:val="TableText"/>
              <w:keepNext/>
              <w:keepLines/>
              <w:rPr>
                <w:b/>
                <w:bCs/>
              </w:rPr>
            </w:pPr>
            <w:r w:rsidRPr="005B7A13">
              <w:rPr>
                <w:b/>
                <w:bCs/>
              </w:rPr>
              <w:t>Institution</w:t>
            </w:r>
          </w:p>
        </w:tc>
        <w:tc>
          <w:tcPr>
            <w:tcW w:w="1393" w:type="dxa"/>
            <w:shd w:val="clear" w:color="auto" w:fill="D0CECE" w:themeFill="background2" w:themeFillShade="E6"/>
            <w:vAlign w:val="center"/>
          </w:tcPr>
          <w:p w14:paraId="3A1F0DB5" w14:textId="77777777" w:rsidR="004F61BC" w:rsidRDefault="004F61BC" w:rsidP="006057BF">
            <w:pPr>
              <w:pStyle w:val="TableText"/>
              <w:keepNext/>
              <w:keepLines/>
              <w:ind w:left="162"/>
              <w:rPr>
                <w:b/>
                <w:bCs/>
              </w:rPr>
            </w:pPr>
            <w:r>
              <w:rPr>
                <w:b/>
                <w:bCs/>
              </w:rPr>
              <w:t>States</w:t>
            </w:r>
          </w:p>
        </w:tc>
        <w:tc>
          <w:tcPr>
            <w:tcW w:w="1634" w:type="dxa"/>
            <w:shd w:val="clear" w:color="auto" w:fill="D0CECE" w:themeFill="background2" w:themeFillShade="E6"/>
            <w:tcMar>
              <w:top w:w="0" w:type="dxa"/>
              <w:left w:w="108" w:type="dxa"/>
              <w:bottom w:w="0" w:type="dxa"/>
              <w:right w:w="108" w:type="dxa"/>
            </w:tcMar>
            <w:vAlign w:val="center"/>
          </w:tcPr>
          <w:p w14:paraId="545DBAAF" w14:textId="77777777" w:rsidR="004F61BC" w:rsidRPr="005B7A13" w:rsidRDefault="004F61BC" w:rsidP="006057BF">
            <w:pPr>
              <w:pStyle w:val="TableText"/>
              <w:keepNext/>
              <w:keepLines/>
              <w:rPr>
                <w:b/>
                <w:bCs/>
              </w:rPr>
            </w:pPr>
            <w:r w:rsidRPr="005B7A13">
              <w:rPr>
                <w:b/>
                <w:bCs/>
              </w:rPr>
              <w:t>No. of patients enrolled</w:t>
            </w:r>
          </w:p>
        </w:tc>
        <w:tc>
          <w:tcPr>
            <w:tcW w:w="1627" w:type="dxa"/>
            <w:shd w:val="clear" w:color="auto" w:fill="D0CECE" w:themeFill="background2" w:themeFillShade="E6"/>
            <w:vAlign w:val="center"/>
          </w:tcPr>
          <w:p w14:paraId="2ACFB4ED" w14:textId="77777777" w:rsidR="004F61BC" w:rsidRPr="005B7A13" w:rsidRDefault="004F61BC" w:rsidP="006057BF">
            <w:pPr>
              <w:pStyle w:val="TableText"/>
              <w:keepNext/>
              <w:keepLines/>
              <w:ind w:left="119"/>
              <w:rPr>
                <w:b/>
                <w:bCs/>
              </w:rPr>
            </w:pPr>
            <w:r w:rsidRPr="005B7A13">
              <w:rPr>
                <w:b/>
                <w:bCs/>
              </w:rPr>
              <w:t>No. of LD transplants completed</w:t>
            </w:r>
          </w:p>
        </w:tc>
        <w:tc>
          <w:tcPr>
            <w:tcW w:w="1985" w:type="dxa"/>
            <w:shd w:val="clear" w:color="auto" w:fill="D0CECE" w:themeFill="background2" w:themeFillShade="E6"/>
            <w:noWrap/>
            <w:tcMar>
              <w:top w:w="0" w:type="dxa"/>
              <w:left w:w="108" w:type="dxa"/>
              <w:bottom w:w="0" w:type="dxa"/>
              <w:right w:w="108" w:type="dxa"/>
            </w:tcMar>
            <w:vAlign w:val="center"/>
            <w:hideMark/>
          </w:tcPr>
          <w:p w14:paraId="7D5CAA68" w14:textId="77777777" w:rsidR="004F61BC" w:rsidRPr="005B7A13" w:rsidRDefault="004F61BC" w:rsidP="006057BF">
            <w:pPr>
              <w:pStyle w:val="TableText"/>
              <w:keepNext/>
              <w:keepLines/>
              <w:rPr>
                <w:b/>
                <w:bCs/>
              </w:rPr>
            </w:pPr>
            <w:r w:rsidRPr="005B7A13">
              <w:rPr>
                <w:b/>
                <w:bCs/>
              </w:rPr>
              <w:t>No. of DD transplants completed</w:t>
            </w:r>
          </w:p>
        </w:tc>
      </w:tr>
      <w:tr w:rsidR="004F61BC" w:rsidRPr="002345A2" w14:paraId="192B0C51" w14:textId="77777777" w:rsidTr="00F61319">
        <w:trPr>
          <w:trHeight w:val="290"/>
        </w:trPr>
        <w:tc>
          <w:tcPr>
            <w:tcW w:w="2357" w:type="dxa"/>
            <w:shd w:val="clear" w:color="auto" w:fill="FFFFFF" w:themeFill="background1"/>
            <w:tcMar>
              <w:top w:w="0" w:type="dxa"/>
              <w:left w:w="108" w:type="dxa"/>
              <w:bottom w:w="0" w:type="dxa"/>
              <w:right w:w="108" w:type="dxa"/>
            </w:tcMar>
            <w:hideMark/>
          </w:tcPr>
          <w:p w14:paraId="5E8920A4" w14:textId="77777777" w:rsidR="004F61BC" w:rsidRPr="00423110" w:rsidRDefault="004F61BC" w:rsidP="006057BF">
            <w:pPr>
              <w:pStyle w:val="TableText"/>
              <w:keepNext/>
              <w:keepLines/>
            </w:pPr>
            <w:r w:rsidRPr="00423110">
              <w:t>Austin Health</w:t>
            </w:r>
          </w:p>
        </w:tc>
        <w:tc>
          <w:tcPr>
            <w:tcW w:w="1393" w:type="dxa"/>
            <w:shd w:val="clear" w:color="auto" w:fill="FFFFFF" w:themeFill="background1"/>
          </w:tcPr>
          <w:p w14:paraId="4DB6259E" w14:textId="77777777" w:rsidR="004F61BC" w:rsidRPr="00423110" w:rsidRDefault="004F61BC" w:rsidP="006057BF">
            <w:pPr>
              <w:pStyle w:val="TableText"/>
              <w:keepNext/>
              <w:keepLines/>
              <w:ind w:left="162"/>
            </w:pPr>
            <w:r w:rsidRPr="00423110">
              <w:t>VIC</w:t>
            </w:r>
          </w:p>
        </w:tc>
        <w:tc>
          <w:tcPr>
            <w:tcW w:w="1634" w:type="dxa"/>
            <w:shd w:val="clear" w:color="auto" w:fill="FFFFFF" w:themeFill="background1"/>
            <w:tcMar>
              <w:top w:w="0" w:type="dxa"/>
              <w:left w:w="108" w:type="dxa"/>
              <w:bottom w:w="0" w:type="dxa"/>
              <w:right w:w="108" w:type="dxa"/>
            </w:tcMar>
          </w:tcPr>
          <w:p w14:paraId="5FCE09C5" w14:textId="77777777" w:rsidR="004F61BC" w:rsidRPr="00423110" w:rsidRDefault="004F61BC" w:rsidP="006057BF">
            <w:pPr>
              <w:pStyle w:val="TableText"/>
              <w:keepNext/>
              <w:keepLines/>
            </w:pPr>
            <w:r w:rsidRPr="00423110">
              <w:t>8</w:t>
            </w:r>
          </w:p>
        </w:tc>
        <w:tc>
          <w:tcPr>
            <w:tcW w:w="1627" w:type="dxa"/>
            <w:shd w:val="clear" w:color="auto" w:fill="FFFFFF" w:themeFill="background1"/>
          </w:tcPr>
          <w:p w14:paraId="7E59AF91" w14:textId="77777777" w:rsidR="004F61BC" w:rsidRPr="00423110" w:rsidRDefault="004F61BC" w:rsidP="006057BF">
            <w:pPr>
              <w:pStyle w:val="TableText"/>
              <w:keepNext/>
              <w:keepLines/>
              <w:ind w:left="119"/>
            </w:pPr>
            <w:r w:rsidRPr="00423110">
              <w:t>3</w:t>
            </w:r>
          </w:p>
        </w:tc>
        <w:tc>
          <w:tcPr>
            <w:tcW w:w="1985" w:type="dxa"/>
            <w:shd w:val="clear" w:color="auto" w:fill="FFFFFF" w:themeFill="background1"/>
            <w:noWrap/>
            <w:tcMar>
              <w:top w:w="0" w:type="dxa"/>
              <w:left w:w="108" w:type="dxa"/>
              <w:bottom w:w="0" w:type="dxa"/>
              <w:right w:w="108" w:type="dxa"/>
            </w:tcMar>
            <w:vAlign w:val="bottom"/>
          </w:tcPr>
          <w:p w14:paraId="51B1482F" w14:textId="77777777" w:rsidR="004F61BC" w:rsidRPr="00423110" w:rsidRDefault="004F61BC" w:rsidP="006057BF">
            <w:pPr>
              <w:pStyle w:val="TableText"/>
              <w:keepNext/>
              <w:keepLines/>
            </w:pPr>
            <w:r w:rsidRPr="00423110">
              <w:t>0</w:t>
            </w:r>
          </w:p>
        </w:tc>
      </w:tr>
      <w:tr w:rsidR="004F61BC" w:rsidRPr="002345A2" w14:paraId="707449BB" w14:textId="77777777" w:rsidTr="00F61319">
        <w:trPr>
          <w:trHeight w:val="290"/>
        </w:trPr>
        <w:tc>
          <w:tcPr>
            <w:tcW w:w="2357" w:type="dxa"/>
            <w:shd w:val="clear" w:color="auto" w:fill="FFFFFF" w:themeFill="background1"/>
            <w:tcMar>
              <w:top w:w="0" w:type="dxa"/>
              <w:left w:w="108" w:type="dxa"/>
              <w:bottom w:w="0" w:type="dxa"/>
              <w:right w:w="108" w:type="dxa"/>
            </w:tcMar>
            <w:hideMark/>
          </w:tcPr>
          <w:p w14:paraId="23843FB7" w14:textId="77777777" w:rsidR="004F61BC" w:rsidRPr="00423110" w:rsidRDefault="004F61BC" w:rsidP="006057BF">
            <w:pPr>
              <w:pStyle w:val="TableText"/>
              <w:keepNext/>
              <w:keepLines/>
            </w:pPr>
            <w:r w:rsidRPr="00423110">
              <w:t>Royal North Shore Hospital</w:t>
            </w:r>
          </w:p>
        </w:tc>
        <w:tc>
          <w:tcPr>
            <w:tcW w:w="1393" w:type="dxa"/>
            <w:shd w:val="clear" w:color="auto" w:fill="FFFFFF" w:themeFill="background1"/>
          </w:tcPr>
          <w:p w14:paraId="238D237A" w14:textId="77777777" w:rsidR="004F61BC" w:rsidRPr="00423110" w:rsidRDefault="004F61BC" w:rsidP="006057BF">
            <w:pPr>
              <w:pStyle w:val="TableText"/>
              <w:keepNext/>
              <w:keepLines/>
              <w:ind w:left="162"/>
            </w:pPr>
            <w:r w:rsidRPr="00423110">
              <w:t>NSW</w:t>
            </w:r>
          </w:p>
        </w:tc>
        <w:tc>
          <w:tcPr>
            <w:tcW w:w="1634" w:type="dxa"/>
            <w:shd w:val="clear" w:color="auto" w:fill="FFFFFF" w:themeFill="background1"/>
            <w:tcMar>
              <w:top w:w="0" w:type="dxa"/>
              <w:left w:w="108" w:type="dxa"/>
              <w:bottom w:w="0" w:type="dxa"/>
              <w:right w:w="108" w:type="dxa"/>
            </w:tcMar>
          </w:tcPr>
          <w:p w14:paraId="7896CA8C" w14:textId="77777777" w:rsidR="004F61BC" w:rsidRPr="00423110" w:rsidRDefault="004F61BC" w:rsidP="006057BF">
            <w:pPr>
              <w:pStyle w:val="TableText"/>
              <w:keepNext/>
              <w:keepLines/>
            </w:pPr>
            <w:r w:rsidRPr="00423110">
              <w:t>4</w:t>
            </w:r>
          </w:p>
        </w:tc>
        <w:tc>
          <w:tcPr>
            <w:tcW w:w="1627" w:type="dxa"/>
            <w:shd w:val="clear" w:color="auto" w:fill="FFFFFF" w:themeFill="background1"/>
          </w:tcPr>
          <w:p w14:paraId="4BE544C9" w14:textId="77777777" w:rsidR="004F61BC" w:rsidRPr="00423110" w:rsidRDefault="004F61BC" w:rsidP="006057BF">
            <w:pPr>
              <w:pStyle w:val="TableText"/>
              <w:keepNext/>
              <w:keepLines/>
              <w:ind w:left="119"/>
            </w:pPr>
            <w:r w:rsidRPr="00423110">
              <w:t>1</w:t>
            </w:r>
          </w:p>
        </w:tc>
        <w:tc>
          <w:tcPr>
            <w:tcW w:w="1985" w:type="dxa"/>
            <w:shd w:val="clear" w:color="auto" w:fill="FFFFFF" w:themeFill="background1"/>
            <w:noWrap/>
            <w:tcMar>
              <w:top w:w="0" w:type="dxa"/>
              <w:left w:w="108" w:type="dxa"/>
              <w:bottom w:w="0" w:type="dxa"/>
              <w:right w:w="108" w:type="dxa"/>
            </w:tcMar>
            <w:vAlign w:val="bottom"/>
          </w:tcPr>
          <w:p w14:paraId="358CAA76" w14:textId="77777777" w:rsidR="004F61BC" w:rsidRPr="00423110" w:rsidRDefault="004F61BC" w:rsidP="006057BF">
            <w:pPr>
              <w:pStyle w:val="TableText"/>
              <w:keepNext/>
              <w:keepLines/>
            </w:pPr>
            <w:r w:rsidRPr="00423110">
              <w:t>1</w:t>
            </w:r>
          </w:p>
        </w:tc>
      </w:tr>
      <w:tr w:rsidR="004F61BC" w:rsidRPr="002345A2" w14:paraId="767D796E" w14:textId="77777777" w:rsidTr="00F61319">
        <w:trPr>
          <w:trHeight w:val="290"/>
        </w:trPr>
        <w:tc>
          <w:tcPr>
            <w:tcW w:w="2357" w:type="dxa"/>
            <w:shd w:val="clear" w:color="auto" w:fill="FFFFFF" w:themeFill="background1"/>
            <w:tcMar>
              <w:top w:w="0" w:type="dxa"/>
              <w:left w:w="108" w:type="dxa"/>
              <w:bottom w:w="0" w:type="dxa"/>
              <w:right w:w="108" w:type="dxa"/>
            </w:tcMar>
          </w:tcPr>
          <w:p w14:paraId="383D751C" w14:textId="77777777" w:rsidR="004F61BC" w:rsidRPr="00423110" w:rsidRDefault="004F61BC" w:rsidP="006057BF">
            <w:pPr>
              <w:pStyle w:val="TableText"/>
              <w:keepNext/>
              <w:keepLines/>
            </w:pPr>
            <w:r w:rsidRPr="00423110">
              <w:t>Sir Charles Gairdner</w:t>
            </w:r>
          </w:p>
        </w:tc>
        <w:tc>
          <w:tcPr>
            <w:tcW w:w="1393" w:type="dxa"/>
            <w:shd w:val="clear" w:color="auto" w:fill="FFFFFF" w:themeFill="background1"/>
          </w:tcPr>
          <w:p w14:paraId="28C2757C" w14:textId="77777777" w:rsidR="004F61BC" w:rsidRPr="00423110" w:rsidRDefault="004F61BC" w:rsidP="006057BF">
            <w:pPr>
              <w:pStyle w:val="TableText"/>
              <w:keepNext/>
              <w:keepLines/>
              <w:ind w:left="162"/>
            </w:pPr>
            <w:r w:rsidRPr="00423110">
              <w:t>WA</w:t>
            </w:r>
          </w:p>
        </w:tc>
        <w:tc>
          <w:tcPr>
            <w:tcW w:w="1634" w:type="dxa"/>
            <w:shd w:val="clear" w:color="auto" w:fill="FFFFFF" w:themeFill="background1"/>
            <w:tcMar>
              <w:top w:w="0" w:type="dxa"/>
              <w:left w:w="108" w:type="dxa"/>
              <w:bottom w:w="0" w:type="dxa"/>
              <w:right w:w="108" w:type="dxa"/>
            </w:tcMar>
          </w:tcPr>
          <w:p w14:paraId="4721E65F" w14:textId="77777777" w:rsidR="004F61BC" w:rsidRPr="00423110" w:rsidRDefault="004F61BC" w:rsidP="006057BF">
            <w:pPr>
              <w:pStyle w:val="TableText"/>
              <w:keepNext/>
              <w:keepLines/>
            </w:pPr>
            <w:r w:rsidRPr="00423110">
              <w:t>3</w:t>
            </w:r>
          </w:p>
        </w:tc>
        <w:tc>
          <w:tcPr>
            <w:tcW w:w="1627" w:type="dxa"/>
            <w:shd w:val="clear" w:color="auto" w:fill="FFFFFF" w:themeFill="background1"/>
          </w:tcPr>
          <w:p w14:paraId="7A8F998F" w14:textId="77777777" w:rsidR="004F61BC" w:rsidRPr="00423110" w:rsidRDefault="004F61BC" w:rsidP="006057BF">
            <w:pPr>
              <w:pStyle w:val="TableText"/>
              <w:keepNext/>
              <w:keepLines/>
              <w:ind w:left="119"/>
            </w:pPr>
            <w:r w:rsidRPr="00423110">
              <w:t>1</w:t>
            </w:r>
          </w:p>
        </w:tc>
        <w:tc>
          <w:tcPr>
            <w:tcW w:w="1985" w:type="dxa"/>
            <w:shd w:val="clear" w:color="auto" w:fill="FFFFFF" w:themeFill="background1"/>
            <w:noWrap/>
            <w:tcMar>
              <w:top w:w="0" w:type="dxa"/>
              <w:left w:w="108" w:type="dxa"/>
              <w:bottom w:w="0" w:type="dxa"/>
              <w:right w:w="108" w:type="dxa"/>
            </w:tcMar>
            <w:vAlign w:val="bottom"/>
          </w:tcPr>
          <w:p w14:paraId="7202F4FD" w14:textId="77777777" w:rsidR="004F61BC" w:rsidRPr="00423110" w:rsidRDefault="004F61BC" w:rsidP="006057BF">
            <w:pPr>
              <w:pStyle w:val="TableText"/>
              <w:keepNext/>
              <w:keepLines/>
            </w:pPr>
            <w:r w:rsidRPr="00423110">
              <w:t>0</w:t>
            </w:r>
          </w:p>
        </w:tc>
      </w:tr>
      <w:tr w:rsidR="004F61BC" w:rsidRPr="002345A2" w14:paraId="4F4668B9" w14:textId="77777777" w:rsidTr="00F61319">
        <w:trPr>
          <w:trHeight w:val="290"/>
        </w:trPr>
        <w:tc>
          <w:tcPr>
            <w:tcW w:w="2357" w:type="dxa"/>
            <w:shd w:val="clear" w:color="auto" w:fill="FFFFFF" w:themeFill="background1"/>
            <w:tcMar>
              <w:top w:w="0" w:type="dxa"/>
              <w:left w:w="108" w:type="dxa"/>
              <w:bottom w:w="0" w:type="dxa"/>
              <w:right w:w="108" w:type="dxa"/>
            </w:tcMar>
          </w:tcPr>
          <w:p w14:paraId="46A863FA" w14:textId="77777777" w:rsidR="004F61BC" w:rsidRPr="00423110" w:rsidRDefault="004F61BC" w:rsidP="006057BF">
            <w:pPr>
              <w:pStyle w:val="TableText"/>
              <w:keepNext/>
              <w:keepLines/>
            </w:pPr>
            <w:r w:rsidRPr="00423110">
              <w:t>Monash Health</w:t>
            </w:r>
          </w:p>
        </w:tc>
        <w:tc>
          <w:tcPr>
            <w:tcW w:w="1393" w:type="dxa"/>
            <w:shd w:val="clear" w:color="auto" w:fill="FFFFFF" w:themeFill="background1"/>
          </w:tcPr>
          <w:p w14:paraId="451040C4" w14:textId="77777777" w:rsidR="004F61BC" w:rsidRPr="00423110" w:rsidRDefault="004F61BC" w:rsidP="006057BF">
            <w:pPr>
              <w:pStyle w:val="TableText"/>
              <w:keepNext/>
              <w:keepLines/>
              <w:ind w:left="162"/>
            </w:pPr>
            <w:r w:rsidRPr="00423110">
              <w:t>VIC</w:t>
            </w:r>
          </w:p>
        </w:tc>
        <w:tc>
          <w:tcPr>
            <w:tcW w:w="1634" w:type="dxa"/>
            <w:shd w:val="clear" w:color="auto" w:fill="FFFFFF" w:themeFill="background1"/>
            <w:tcMar>
              <w:top w:w="0" w:type="dxa"/>
              <w:left w:w="108" w:type="dxa"/>
              <w:bottom w:w="0" w:type="dxa"/>
              <w:right w:w="108" w:type="dxa"/>
            </w:tcMar>
          </w:tcPr>
          <w:p w14:paraId="1B917BF8" w14:textId="77777777" w:rsidR="004F61BC" w:rsidRPr="00423110" w:rsidRDefault="004F61BC" w:rsidP="006057BF">
            <w:pPr>
              <w:pStyle w:val="TableText"/>
              <w:keepNext/>
              <w:keepLines/>
            </w:pPr>
            <w:r w:rsidRPr="00423110">
              <w:t>7</w:t>
            </w:r>
          </w:p>
        </w:tc>
        <w:tc>
          <w:tcPr>
            <w:tcW w:w="1627" w:type="dxa"/>
            <w:shd w:val="clear" w:color="auto" w:fill="FFFFFF" w:themeFill="background1"/>
          </w:tcPr>
          <w:p w14:paraId="374D87A0" w14:textId="77777777" w:rsidR="004F61BC" w:rsidRPr="00423110" w:rsidRDefault="004F61BC" w:rsidP="006057BF">
            <w:pPr>
              <w:pStyle w:val="TableText"/>
              <w:keepNext/>
              <w:keepLines/>
              <w:ind w:left="119"/>
            </w:pPr>
            <w:r w:rsidRPr="00423110">
              <w:t>0</w:t>
            </w:r>
          </w:p>
        </w:tc>
        <w:tc>
          <w:tcPr>
            <w:tcW w:w="1985" w:type="dxa"/>
            <w:shd w:val="clear" w:color="auto" w:fill="FFFFFF" w:themeFill="background1"/>
            <w:noWrap/>
            <w:tcMar>
              <w:top w:w="0" w:type="dxa"/>
              <w:left w:w="108" w:type="dxa"/>
              <w:bottom w:w="0" w:type="dxa"/>
              <w:right w:w="108" w:type="dxa"/>
            </w:tcMar>
            <w:vAlign w:val="bottom"/>
          </w:tcPr>
          <w:p w14:paraId="3458D73F" w14:textId="77777777" w:rsidR="004F61BC" w:rsidRPr="00423110" w:rsidRDefault="004F61BC" w:rsidP="006057BF">
            <w:pPr>
              <w:pStyle w:val="TableText"/>
              <w:keepNext/>
              <w:keepLines/>
            </w:pPr>
            <w:r w:rsidRPr="00423110">
              <w:t>2</w:t>
            </w:r>
          </w:p>
        </w:tc>
      </w:tr>
      <w:tr w:rsidR="004F61BC" w:rsidRPr="002345A2" w14:paraId="693CFD75" w14:textId="77777777" w:rsidTr="00F61319">
        <w:trPr>
          <w:trHeight w:val="290"/>
        </w:trPr>
        <w:tc>
          <w:tcPr>
            <w:tcW w:w="2357" w:type="dxa"/>
            <w:shd w:val="clear" w:color="auto" w:fill="FFFFFF" w:themeFill="background1"/>
            <w:tcMar>
              <w:top w:w="0" w:type="dxa"/>
              <w:left w:w="108" w:type="dxa"/>
              <w:bottom w:w="0" w:type="dxa"/>
              <w:right w:w="108" w:type="dxa"/>
            </w:tcMar>
          </w:tcPr>
          <w:p w14:paraId="5B2C5D11" w14:textId="77777777" w:rsidR="004F61BC" w:rsidRPr="00423110" w:rsidRDefault="004F61BC" w:rsidP="006057BF">
            <w:pPr>
              <w:pStyle w:val="TableText"/>
              <w:keepNext/>
              <w:keepLines/>
            </w:pPr>
            <w:r w:rsidRPr="00423110">
              <w:t>Royal Melbourne Hospital</w:t>
            </w:r>
          </w:p>
        </w:tc>
        <w:tc>
          <w:tcPr>
            <w:tcW w:w="1393" w:type="dxa"/>
            <w:shd w:val="clear" w:color="auto" w:fill="FFFFFF" w:themeFill="background1"/>
          </w:tcPr>
          <w:p w14:paraId="4FFB498A" w14:textId="77777777" w:rsidR="004F61BC" w:rsidRPr="00423110" w:rsidRDefault="004F61BC" w:rsidP="006057BF">
            <w:pPr>
              <w:pStyle w:val="TableText"/>
              <w:keepNext/>
              <w:keepLines/>
              <w:ind w:left="162"/>
            </w:pPr>
            <w:r w:rsidRPr="00423110">
              <w:t>VIC</w:t>
            </w:r>
          </w:p>
        </w:tc>
        <w:tc>
          <w:tcPr>
            <w:tcW w:w="1634" w:type="dxa"/>
            <w:shd w:val="clear" w:color="auto" w:fill="FFFFFF" w:themeFill="background1"/>
            <w:tcMar>
              <w:top w:w="0" w:type="dxa"/>
              <w:left w:w="108" w:type="dxa"/>
              <w:bottom w:w="0" w:type="dxa"/>
              <w:right w:w="108" w:type="dxa"/>
            </w:tcMar>
          </w:tcPr>
          <w:p w14:paraId="76411057" w14:textId="77777777" w:rsidR="004F61BC" w:rsidRPr="00423110" w:rsidRDefault="004F61BC" w:rsidP="006057BF">
            <w:pPr>
              <w:pStyle w:val="TableText"/>
              <w:keepNext/>
              <w:keepLines/>
            </w:pPr>
            <w:r w:rsidRPr="00423110">
              <w:t>1</w:t>
            </w:r>
          </w:p>
        </w:tc>
        <w:tc>
          <w:tcPr>
            <w:tcW w:w="1627" w:type="dxa"/>
            <w:shd w:val="clear" w:color="auto" w:fill="FFFFFF" w:themeFill="background1"/>
          </w:tcPr>
          <w:p w14:paraId="391CD84F" w14:textId="77777777" w:rsidR="004F61BC" w:rsidRPr="00423110" w:rsidRDefault="004F61BC" w:rsidP="006057BF">
            <w:pPr>
              <w:pStyle w:val="TableText"/>
              <w:keepNext/>
              <w:keepLines/>
              <w:ind w:left="119"/>
            </w:pPr>
            <w:r w:rsidRPr="00423110">
              <w:t>0</w:t>
            </w:r>
          </w:p>
        </w:tc>
        <w:tc>
          <w:tcPr>
            <w:tcW w:w="1985" w:type="dxa"/>
            <w:shd w:val="clear" w:color="auto" w:fill="FFFFFF" w:themeFill="background1"/>
            <w:noWrap/>
            <w:tcMar>
              <w:top w:w="0" w:type="dxa"/>
              <w:left w:w="108" w:type="dxa"/>
              <w:bottom w:w="0" w:type="dxa"/>
              <w:right w:w="108" w:type="dxa"/>
            </w:tcMar>
            <w:vAlign w:val="bottom"/>
          </w:tcPr>
          <w:p w14:paraId="22A32E89" w14:textId="77777777" w:rsidR="004F61BC" w:rsidRPr="00423110" w:rsidRDefault="004F61BC" w:rsidP="006057BF">
            <w:pPr>
              <w:pStyle w:val="TableText"/>
              <w:keepNext/>
              <w:keepLines/>
            </w:pPr>
            <w:r w:rsidRPr="00423110">
              <w:t>0</w:t>
            </w:r>
          </w:p>
        </w:tc>
      </w:tr>
      <w:tr w:rsidR="004F61BC" w:rsidRPr="002345A2" w14:paraId="5EBB20A6" w14:textId="77777777" w:rsidTr="00F61319">
        <w:trPr>
          <w:trHeight w:val="290"/>
        </w:trPr>
        <w:tc>
          <w:tcPr>
            <w:tcW w:w="2357" w:type="dxa"/>
            <w:shd w:val="clear" w:color="auto" w:fill="FFFFFF" w:themeFill="background1"/>
            <w:tcMar>
              <w:top w:w="0" w:type="dxa"/>
              <w:left w:w="108" w:type="dxa"/>
              <w:bottom w:w="0" w:type="dxa"/>
              <w:right w:w="108" w:type="dxa"/>
            </w:tcMar>
          </w:tcPr>
          <w:p w14:paraId="63D45A7A" w14:textId="77777777" w:rsidR="004F61BC" w:rsidRPr="00423110" w:rsidRDefault="004F61BC" w:rsidP="006057BF">
            <w:pPr>
              <w:pStyle w:val="TableText"/>
              <w:keepNext/>
              <w:keepLines/>
            </w:pPr>
            <w:r w:rsidRPr="00423110">
              <w:t>Royal Prince Alfred Hospital</w:t>
            </w:r>
          </w:p>
        </w:tc>
        <w:tc>
          <w:tcPr>
            <w:tcW w:w="1393" w:type="dxa"/>
            <w:shd w:val="clear" w:color="auto" w:fill="FFFFFF" w:themeFill="background1"/>
          </w:tcPr>
          <w:p w14:paraId="649FE684" w14:textId="77777777" w:rsidR="004F61BC" w:rsidRPr="00423110" w:rsidRDefault="004F61BC" w:rsidP="006057BF">
            <w:pPr>
              <w:pStyle w:val="TableText"/>
              <w:keepNext/>
              <w:keepLines/>
              <w:ind w:left="162"/>
            </w:pPr>
            <w:r w:rsidRPr="00423110">
              <w:t>NSW</w:t>
            </w:r>
          </w:p>
        </w:tc>
        <w:tc>
          <w:tcPr>
            <w:tcW w:w="1634" w:type="dxa"/>
            <w:shd w:val="clear" w:color="auto" w:fill="FFFFFF" w:themeFill="background1"/>
            <w:tcMar>
              <w:top w:w="0" w:type="dxa"/>
              <w:left w:w="108" w:type="dxa"/>
              <w:bottom w:w="0" w:type="dxa"/>
              <w:right w:w="108" w:type="dxa"/>
            </w:tcMar>
          </w:tcPr>
          <w:p w14:paraId="655B3AE1" w14:textId="77777777" w:rsidR="004F61BC" w:rsidRPr="00423110" w:rsidRDefault="004F61BC" w:rsidP="006057BF">
            <w:pPr>
              <w:pStyle w:val="TableText"/>
              <w:keepNext/>
              <w:keepLines/>
            </w:pPr>
            <w:r w:rsidRPr="00423110">
              <w:t>2</w:t>
            </w:r>
          </w:p>
        </w:tc>
        <w:tc>
          <w:tcPr>
            <w:tcW w:w="1627" w:type="dxa"/>
            <w:shd w:val="clear" w:color="auto" w:fill="FFFFFF" w:themeFill="background1"/>
          </w:tcPr>
          <w:p w14:paraId="77EEBD46" w14:textId="77777777" w:rsidR="004F61BC" w:rsidRPr="00423110" w:rsidRDefault="004F61BC" w:rsidP="006057BF">
            <w:pPr>
              <w:pStyle w:val="TableText"/>
              <w:keepNext/>
              <w:keepLines/>
              <w:ind w:left="119"/>
            </w:pPr>
            <w:r w:rsidRPr="00423110">
              <w:t>0</w:t>
            </w:r>
          </w:p>
        </w:tc>
        <w:tc>
          <w:tcPr>
            <w:tcW w:w="1985" w:type="dxa"/>
            <w:shd w:val="clear" w:color="auto" w:fill="FFFFFF" w:themeFill="background1"/>
            <w:noWrap/>
            <w:tcMar>
              <w:top w:w="0" w:type="dxa"/>
              <w:left w:w="108" w:type="dxa"/>
              <w:bottom w:w="0" w:type="dxa"/>
              <w:right w:w="108" w:type="dxa"/>
            </w:tcMar>
            <w:vAlign w:val="bottom"/>
          </w:tcPr>
          <w:p w14:paraId="1CE02A15" w14:textId="77777777" w:rsidR="004F61BC" w:rsidRPr="00423110" w:rsidRDefault="004F61BC" w:rsidP="006057BF">
            <w:pPr>
              <w:pStyle w:val="TableText"/>
              <w:keepNext/>
              <w:keepLines/>
            </w:pPr>
            <w:r w:rsidRPr="00423110">
              <w:t>0</w:t>
            </w:r>
          </w:p>
        </w:tc>
      </w:tr>
      <w:tr w:rsidR="004F61BC" w:rsidRPr="002345A2" w14:paraId="7BB4DCF6" w14:textId="77777777" w:rsidTr="00F61319">
        <w:trPr>
          <w:trHeight w:val="290"/>
        </w:trPr>
        <w:tc>
          <w:tcPr>
            <w:tcW w:w="2357" w:type="dxa"/>
            <w:shd w:val="clear" w:color="auto" w:fill="FFFFFF" w:themeFill="background1"/>
            <w:tcMar>
              <w:top w:w="0" w:type="dxa"/>
              <w:left w:w="108" w:type="dxa"/>
              <w:bottom w:w="0" w:type="dxa"/>
              <w:right w:w="108" w:type="dxa"/>
            </w:tcMar>
          </w:tcPr>
          <w:p w14:paraId="4BE062E9" w14:textId="77777777" w:rsidR="004F61BC" w:rsidRPr="00423110" w:rsidRDefault="004F61BC" w:rsidP="006057BF">
            <w:pPr>
              <w:pStyle w:val="TableText"/>
              <w:keepNext/>
              <w:keepLines/>
            </w:pPr>
            <w:r w:rsidRPr="00423110">
              <w:t>Royal Adelaide Hospital</w:t>
            </w:r>
          </w:p>
        </w:tc>
        <w:tc>
          <w:tcPr>
            <w:tcW w:w="1393" w:type="dxa"/>
            <w:shd w:val="clear" w:color="auto" w:fill="FFFFFF" w:themeFill="background1"/>
          </w:tcPr>
          <w:p w14:paraId="7A3F5FFB" w14:textId="77777777" w:rsidR="004F61BC" w:rsidRPr="00423110" w:rsidRDefault="004F61BC" w:rsidP="006057BF">
            <w:pPr>
              <w:pStyle w:val="TableText"/>
              <w:keepNext/>
              <w:keepLines/>
              <w:ind w:left="162"/>
            </w:pPr>
            <w:r w:rsidRPr="00423110">
              <w:t>SA</w:t>
            </w:r>
          </w:p>
        </w:tc>
        <w:tc>
          <w:tcPr>
            <w:tcW w:w="1634" w:type="dxa"/>
            <w:shd w:val="clear" w:color="auto" w:fill="FFFFFF" w:themeFill="background1"/>
            <w:tcMar>
              <w:top w:w="0" w:type="dxa"/>
              <w:left w:w="108" w:type="dxa"/>
              <w:bottom w:w="0" w:type="dxa"/>
              <w:right w:w="108" w:type="dxa"/>
            </w:tcMar>
          </w:tcPr>
          <w:p w14:paraId="6C520A21" w14:textId="77777777" w:rsidR="004F61BC" w:rsidRPr="00423110" w:rsidRDefault="004F61BC" w:rsidP="006057BF">
            <w:pPr>
              <w:pStyle w:val="TableText"/>
              <w:keepNext/>
              <w:keepLines/>
            </w:pPr>
            <w:r w:rsidRPr="00423110">
              <w:t>3</w:t>
            </w:r>
          </w:p>
        </w:tc>
        <w:tc>
          <w:tcPr>
            <w:tcW w:w="1627" w:type="dxa"/>
            <w:shd w:val="clear" w:color="auto" w:fill="FFFFFF" w:themeFill="background1"/>
          </w:tcPr>
          <w:p w14:paraId="225B8E33" w14:textId="77777777" w:rsidR="004F61BC" w:rsidRPr="00423110" w:rsidRDefault="004F61BC" w:rsidP="006057BF">
            <w:pPr>
              <w:pStyle w:val="TableText"/>
              <w:keepNext/>
              <w:keepLines/>
              <w:ind w:left="119"/>
            </w:pPr>
            <w:r w:rsidRPr="00423110">
              <w:t>0</w:t>
            </w:r>
          </w:p>
        </w:tc>
        <w:tc>
          <w:tcPr>
            <w:tcW w:w="1985" w:type="dxa"/>
            <w:shd w:val="clear" w:color="auto" w:fill="FFFFFF" w:themeFill="background1"/>
            <w:noWrap/>
            <w:tcMar>
              <w:top w:w="0" w:type="dxa"/>
              <w:left w:w="108" w:type="dxa"/>
              <w:bottom w:w="0" w:type="dxa"/>
              <w:right w:w="108" w:type="dxa"/>
            </w:tcMar>
            <w:vAlign w:val="bottom"/>
          </w:tcPr>
          <w:p w14:paraId="2D6AF7E5" w14:textId="77777777" w:rsidR="004F61BC" w:rsidRPr="00423110" w:rsidRDefault="004F61BC" w:rsidP="006057BF">
            <w:pPr>
              <w:pStyle w:val="TableText"/>
              <w:keepNext/>
              <w:keepLines/>
            </w:pPr>
            <w:r w:rsidRPr="00423110">
              <w:t>0</w:t>
            </w:r>
          </w:p>
        </w:tc>
      </w:tr>
      <w:tr w:rsidR="004F61BC" w:rsidRPr="002345A2" w14:paraId="7760E393" w14:textId="77777777" w:rsidTr="00F61319">
        <w:trPr>
          <w:trHeight w:val="290"/>
        </w:trPr>
        <w:tc>
          <w:tcPr>
            <w:tcW w:w="2357" w:type="dxa"/>
            <w:shd w:val="clear" w:color="auto" w:fill="FFFFFF" w:themeFill="background1"/>
            <w:tcMar>
              <w:top w:w="0" w:type="dxa"/>
              <w:left w:w="108" w:type="dxa"/>
              <w:bottom w:w="0" w:type="dxa"/>
              <w:right w:w="108" w:type="dxa"/>
            </w:tcMar>
          </w:tcPr>
          <w:p w14:paraId="648DC23A" w14:textId="77777777" w:rsidR="004F61BC" w:rsidRPr="00423110" w:rsidRDefault="004F61BC" w:rsidP="006057BF">
            <w:pPr>
              <w:pStyle w:val="TableText"/>
              <w:keepNext/>
              <w:keepLines/>
              <w:rPr>
                <w:b/>
                <w:bCs/>
              </w:rPr>
            </w:pPr>
            <w:r w:rsidRPr="00423110">
              <w:rPr>
                <w:b/>
                <w:bCs/>
              </w:rPr>
              <w:t>Total</w:t>
            </w:r>
          </w:p>
        </w:tc>
        <w:tc>
          <w:tcPr>
            <w:tcW w:w="1393" w:type="dxa"/>
            <w:shd w:val="clear" w:color="auto" w:fill="FFFFFF" w:themeFill="background1"/>
          </w:tcPr>
          <w:p w14:paraId="2D610476" w14:textId="77777777" w:rsidR="004F61BC" w:rsidRPr="00423110" w:rsidRDefault="004F61BC" w:rsidP="006057BF">
            <w:pPr>
              <w:pStyle w:val="TableText"/>
              <w:keepNext/>
              <w:keepLines/>
              <w:ind w:left="162"/>
              <w:rPr>
                <w:b/>
                <w:bCs/>
              </w:rPr>
            </w:pPr>
          </w:p>
        </w:tc>
        <w:tc>
          <w:tcPr>
            <w:tcW w:w="1634" w:type="dxa"/>
            <w:shd w:val="clear" w:color="auto" w:fill="FFFFFF" w:themeFill="background1"/>
            <w:tcMar>
              <w:top w:w="0" w:type="dxa"/>
              <w:left w:w="108" w:type="dxa"/>
              <w:bottom w:w="0" w:type="dxa"/>
              <w:right w:w="108" w:type="dxa"/>
            </w:tcMar>
          </w:tcPr>
          <w:p w14:paraId="7DF4F117" w14:textId="77777777" w:rsidR="004F61BC" w:rsidRPr="00423110" w:rsidRDefault="004F61BC" w:rsidP="006057BF">
            <w:pPr>
              <w:pStyle w:val="TableText"/>
              <w:keepNext/>
              <w:keepLines/>
              <w:rPr>
                <w:b/>
                <w:bCs/>
              </w:rPr>
            </w:pPr>
            <w:r w:rsidRPr="00423110">
              <w:rPr>
                <w:b/>
                <w:bCs/>
              </w:rPr>
              <w:t>28</w:t>
            </w:r>
          </w:p>
        </w:tc>
        <w:tc>
          <w:tcPr>
            <w:tcW w:w="1627" w:type="dxa"/>
            <w:shd w:val="clear" w:color="auto" w:fill="FFFFFF" w:themeFill="background1"/>
          </w:tcPr>
          <w:p w14:paraId="38D1F179" w14:textId="77777777" w:rsidR="004F61BC" w:rsidRPr="00423110" w:rsidRDefault="004F61BC" w:rsidP="006057BF">
            <w:pPr>
              <w:pStyle w:val="TableText"/>
              <w:keepNext/>
              <w:keepLines/>
              <w:ind w:left="119"/>
              <w:rPr>
                <w:b/>
                <w:bCs/>
              </w:rPr>
            </w:pPr>
            <w:r w:rsidRPr="00423110">
              <w:rPr>
                <w:b/>
                <w:bCs/>
              </w:rPr>
              <w:t>5</w:t>
            </w:r>
          </w:p>
        </w:tc>
        <w:tc>
          <w:tcPr>
            <w:tcW w:w="1985" w:type="dxa"/>
            <w:shd w:val="clear" w:color="auto" w:fill="FFFFFF" w:themeFill="background1"/>
            <w:noWrap/>
            <w:tcMar>
              <w:top w:w="0" w:type="dxa"/>
              <w:left w:w="108" w:type="dxa"/>
              <w:bottom w:w="0" w:type="dxa"/>
              <w:right w:w="108" w:type="dxa"/>
            </w:tcMar>
            <w:vAlign w:val="bottom"/>
          </w:tcPr>
          <w:p w14:paraId="69297B02" w14:textId="77777777" w:rsidR="004F61BC" w:rsidRPr="00423110" w:rsidRDefault="004F61BC" w:rsidP="006057BF">
            <w:pPr>
              <w:pStyle w:val="TableText"/>
              <w:keepNext/>
              <w:keepLines/>
              <w:rPr>
                <w:b/>
                <w:bCs/>
              </w:rPr>
            </w:pPr>
            <w:r w:rsidRPr="00423110">
              <w:rPr>
                <w:b/>
                <w:bCs/>
              </w:rPr>
              <w:t>3</w:t>
            </w:r>
          </w:p>
        </w:tc>
      </w:tr>
    </w:tbl>
    <w:p w14:paraId="250BB944" w14:textId="744E2FBA" w:rsidR="005C66AE" w:rsidRPr="00F61319" w:rsidRDefault="00463193" w:rsidP="006057BF">
      <w:pPr>
        <w:pStyle w:val="Instructionaltext"/>
        <w:spacing w:before="240"/>
        <w:rPr>
          <w:rFonts w:ascii="Franklin Gothic Medium" w:hAnsi="Franklin Gothic Medium"/>
          <w:color w:val="auto"/>
          <w:sz w:val="24"/>
          <w:szCs w:val="24"/>
        </w:rPr>
      </w:pPr>
      <w:r w:rsidRPr="00F61319">
        <w:rPr>
          <w:rFonts w:ascii="Franklin Gothic Medium" w:hAnsi="Franklin Gothic Medium"/>
          <w:color w:val="auto"/>
          <w:sz w:val="24"/>
          <w:szCs w:val="24"/>
        </w:rPr>
        <w:t xml:space="preserve">14.2 </w:t>
      </w:r>
      <w:r w:rsidR="00DC3BE9" w:rsidRPr="00F61319">
        <w:rPr>
          <w:rFonts w:ascii="Franklin Gothic Medium" w:hAnsi="Franklin Gothic Medium"/>
          <w:color w:val="auto"/>
          <w:sz w:val="24"/>
          <w:szCs w:val="24"/>
        </w:rPr>
        <w:t>Updated financial impacts</w:t>
      </w:r>
    </w:p>
    <w:p w14:paraId="45F075CE" w14:textId="77106429" w:rsidR="00463193" w:rsidRDefault="00463193" w:rsidP="00463193">
      <w:pPr>
        <w:rPr>
          <w:i/>
          <w:iCs/>
        </w:rPr>
      </w:pPr>
      <w:r w:rsidRPr="0025101C">
        <w:t xml:space="preserve">This section </w:t>
      </w:r>
      <w:r>
        <w:t xml:space="preserve">has been updated to be in line with the </w:t>
      </w:r>
      <w:r w:rsidR="0062302F">
        <w:t>p</w:t>
      </w:r>
      <w:r>
        <w:t xml:space="preserve">opulation proposed from the </w:t>
      </w:r>
      <w:r w:rsidR="0062302F">
        <w:t>s</w:t>
      </w:r>
      <w:r>
        <w:t xml:space="preserve">takeholder meeting and the proposed </w:t>
      </w:r>
      <w:r w:rsidR="0062302F">
        <w:t>p</w:t>
      </w:r>
      <w:r>
        <w:t xml:space="preserve">ay for </w:t>
      </w:r>
      <w:r w:rsidR="0062302F">
        <w:t>p</w:t>
      </w:r>
      <w:r>
        <w:t xml:space="preserve">erformance (PfP) scheme. </w:t>
      </w:r>
    </w:p>
    <w:p w14:paraId="34E42898" w14:textId="61CC6994" w:rsidR="00463193" w:rsidRPr="00EA1B7F" w:rsidRDefault="00463193" w:rsidP="00463193">
      <w:pPr>
        <w:rPr>
          <w:i/>
          <w:iCs/>
        </w:rPr>
      </w:pPr>
      <w:r w:rsidRPr="00EA1B7F">
        <w:t xml:space="preserve">This submission is made via the NHRA Addendum for </w:t>
      </w:r>
      <w:r w:rsidR="003836E0">
        <w:t xml:space="preserve">the </w:t>
      </w:r>
      <w:r w:rsidRPr="00EA1B7F">
        <w:t xml:space="preserve">high cost, low volume, in hospital health technology pathway. Accordingly, if recommended, imlifidase would be funded via a shared cost model between State and Federal Governments. Consequently, this </w:t>
      </w:r>
      <w:r>
        <w:t xml:space="preserve">revised </w:t>
      </w:r>
      <w:r w:rsidRPr="00EA1B7F">
        <w:t>section</w:t>
      </w:r>
      <w:r>
        <w:t xml:space="preserve"> supersedes the ADAR</w:t>
      </w:r>
      <w:r w:rsidR="00594899">
        <w:t xml:space="preserve">’s </w:t>
      </w:r>
      <w:r w:rsidRPr="00EA1B7F">
        <w:t>financial impact analysis present</w:t>
      </w:r>
      <w:r w:rsidR="00594899">
        <w:t xml:space="preserve">ed </w:t>
      </w:r>
      <w:r>
        <w:t>previously. T</w:t>
      </w:r>
      <w:r w:rsidRPr="00EA1B7F">
        <w:t xml:space="preserve">he total </w:t>
      </w:r>
      <w:r>
        <w:t xml:space="preserve">of </w:t>
      </w:r>
      <w:r w:rsidRPr="00EA1B7F">
        <w:t>expected costs into the 6-year forecast funding envelope</w:t>
      </w:r>
      <w:r>
        <w:t xml:space="preserve"> is based on</w:t>
      </w:r>
      <w:r w:rsidRPr="00EA1B7F">
        <w:t>:</w:t>
      </w:r>
    </w:p>
    <w:p w14:paraId="2FF61102" w14:textId="77777777" w:rsidR="00463193" w:rsidRPr="00EA1B7F" w:rsidRDefault="00463193" w:rsidP="00463193">
      <w:pPr>
        <w:pStyle w:val="ListParagraph"/>
        <w:numPr>
          <w:ilvl w:val="0"/>
          <w:numId w:val="44"/>
        </w:numPr>
        <w:rPr>
          <w:i/>
          <w:iCs/>
        </w:rPr>
      </w:pPr>
      <w:r w:rsidRPr="00EA1B7F">
        <w:t>Deriving the expected number of patients expected to be treated with imlifidase using an epidemiological approach,</w:t>
      </w:r>
    </w:p>
    <w:p w14:paraId="0DF73FA3" w14:textId="376EBF81" w:rsidR="00463193" w:rsidRPr="00EA1B7F" w:rsidRDefault="00463193" w:rsidP="00463193">
      <w:pPr>
        <w:pStyle w:val="ListParagraph"/>
        <w:numPr>
          <w:ilvl w:val="0"/>
          <w:numId w:val="44"/>
        </w:numPr>
        <w:rPr>
          <w:i/>
          <w:iCs/>
        </w:rPr>
      </w:pPr>
      <w:r w:rsidRPr="00EA1B7F">
        <w:t>Utilis</w:t>
      </w:r>
      <w:r w:rsidR="00E8249F">
        <w:t>ing</w:t>
      </w:r>
      <w:r w:rsidRPr="00EA1B7F">
        <w:t xml:space="preserve"> the costings from Section 3</w:t>
      </w:r>
      <w:r>
        <w:t xml:space="preserve"> of the ADAR </w:t>
      </w:r>
      <w:r w:rsidRPr="00EA1B7F">
        <w:t>to derive the expected total financial impact including the cost-offsets likely available,</w:t>
      </w:r>
    </w:p>
    <w:p w14:paraId="615115BF" w14:textId="2EB5796D" w:rsidR="00463193" w:rsidRPr="00EA1B7F" w:rsidRDefault="00463193" w:rsidP="00463193">
      <w:pPr>
        <w:pStyle w:val="ListParagraph"/>
        <w:numPr>
          <w:ilvl w:val="0"/>
          <w:numId w:val="44"/>
        </w:numPr>
        <w:rPr>
          <w:i/>
          <w:iCs/>
        </w:rPr>
      </w:pPr>
      <w:r w:rsidRPr="00EA1B7F">
        <w:t>Disaggregat</w:t>
      </w:r>
      <w:r w:rsidR="00E8249F">
        <w:t>ing</w:t>
      </w:r>
      <w:r w:rsidRPr="00EA1B7F">
        <w:t xml:space="preserve"> the total costs into those expected to be borne directly by either State or Federal health budgets</w:t>
      </w:r>
      <w:r>
        <w:t>.</w:t>
      </w:r>
    </w:p>
    <w:p w14:paraId="7EBC2FCD" w14:textId="5D1F3219" w:rsidR="00463193" w:rsidRPr="00934371" w:rsidRDefault="00463193" w:rsidP="00463193">
      <w:pPr>
        <w:rPr>
          <w:i/>
          <w:iCs/>
        </w:rPr>
      </w:pPr>
      <w:r w:rsidRPr="00EA1B7F">
        <w:t xml:space="preserve">Imlifidase is administered in a hospital setting and will not require additional infrastructure within </w:t>
      </w:r>
      <w:r w:rsidR="00AD0C76">
        <w:t xml:space="preserve">a </w:t>
      </w:r>
      <w:r w:rsidRPr="00EA1B7F">
        <w:t>hospital. As imlifidase will be administered during pre-surgery, to pre-consented adults, a few hours before the planned kidney transplant, no additional administration costs, staff costs, costs of monitoring or tests (beyond the Luminex testing – Single Antigen Bead testing to identify the patient’s HLA antibody profile for cross match conversion assessment) are anticipated in the pre</w:t>
      </w:r>
      <w:r w:rsidR="00AD0C76">
        <w:t>-</w:t>
      </w:r>
      <w:r w:rsidRPr="00EA1B7F">
        <w:t>transplant setting.</w:t>
      </w:r>
      <w:r w:rsidRPr="00FB1D19">
        <w:t xml:space="preserve"> In the post-transplant setting</w:t>
      </w:r>
      <w:r>
        <w:rPr>
          <w:i/>
          <w:iCs/>
        </w:rPr>
        <w:t>,</w:t>
      </w:r>
      <w:r w:rsidRPr="00FB1D19">
        <w:t xml:space="preserve"> 9 additional Luminex tests are </w:t>
      </w:r>
      <w:r>
        <w:t xml:space="preserve">included </w:t>
      </w:r>
      <w:r w:rsidRPr="00FB1D19">
        <w:t xml:space="preserve">in the revised </w:t>
      </w:r>
      <w:r w:rsidRPr="00934371">
        <w:t xml:space="preserve">Budget Impact Model to address post-transplant monitoring of return of Donor Specific Antibodies over time. Additionally, it should be noted that the costs of treatment of antibody mediated rejection ($32,025) in 42% of imlifidase enabled transplants is included in the budget impact along with other imlifidase related </w:t>
      </w:r>
      <w:r w:rsidR="00AD0C76" w:rsidRPr="00934371">
        <w:t>a</w:t>
      </w:r>
      <w:r w:rsidRPr="00934371">
        <w:t xml:space="preserve">dverse </w:t>
      </w:r>
      <w:r w:rsidR="00AD0C76" w:rsidRPr="00934371">
        <w:t>e</w:t>
      </w:r>
      <w:r w:rsidRPr="00934371">
        <w:t>vent costs.</w:t>
      </w:r>
    </w:p>
    <w:p w14:paraId="1482CF80" w14:textId="10D1D369" w:rsidR="00463193" w:rsidRPr="00934371" w:rsidRDefault="00463193" w:rsidP="00463193">
      <w:pPr>
        <w:rPr>
          <w:i/>
          <w:iCs/>
        </w:rPr>
      </w:pPr>
      <w:r w:rsidRPr="00934371">
        <w:t xml:space="preserve">Key </w:t>
      </w:r>
      <w:r w:rsidR="00AD0C76" w:rsidRPr="00934371">
        <w:t>a</w:t>
      </w:r>
      <w:r w:rsidRPr="00934371">
        <w:t>ssumptions include</w:t>
      </w:r>
      <w:r w:rsidRPr="00934371">
        <w:rPr>
          <w:i/>
          <w:iCs/>
        </w:rPr>
        <w:t>:</w:t>
      </w:r>
      <w:r w:rsidRPr="00934371">
        <w:t xml:space="preserve"> </w:t>
      </w:r>
    </w:p>
    <w:p w14:paraId="795F1712" w14:textId="3F06E196" w:rsidR="00463193" w:rsidRPr="00934371" w:rsidRDefault="00463193" w:rsidP="00463193">
      <w:pPr>
        <w:pStyle w:val="ListParagraph"/>
        <w:numPr>
          <w:ilvl w:val="0"/>
          <w:numId w:val="45"/>
        </w:numPr>
        <w:rPr>
          <w:i/>
          <w:iCs/>
          <w:sz w:val="18"/>
          <w:szCs w:val="18"/>
        </w:rPr>
      </w:pPr>
      <w:r w:rsidRPr="00934371">
        <w:t>Approx</w:t>
      </w:r>
      <w:r w:rsidR="00AD0C76" w:rsidRPr="00934371">
        <w:t>imately</w:t>
      </w:r>
      <w:r w:rsidRPr="00934371">
        <w:t xml:space="preserve"> 8% of DD wait listed patients have a cPRA ≥99% </w:t>
      </w:r>
      <w:r w:rsidRPr="00934371">
        <w:rPr>
          <w:i/>
          <w:iCs/>
        </w:rPr>
        <w:t>(~</w:t>
      </w:r>
      <w:r w:rsidRPr="00934371">
        <w:t>111 patients</w:t>
      </w:r>
      <w:r w:rsidRPr="00934371">
        <w:rPr>
          <w:i/>
          <w:iCs/>
        </w:rPr>
        <w:t>)</w:t>
      </w:r>
      <w:r w:rsidRPr="00934371">
        <w:t xml:space="preserve"> in 2025 (ANZDATA 2023</w:t>
      </w:r>
      <w:r w:rsidRPr="00934371">
        <w:rPr>
          <w:i/>
          <w:iCs/>
        </w:rPr>
        <w:t>).</w:t>
      </w:r>
    </w:p>
    <w:p w14:paraId="500508DF" w14:textId="77777777" w:rsidR="00463193" w:rsidRPr="006E160A" w:rsidRDefault="00463193" w:rsidP="00463193">
      <w:pPr>
        <w:pStyle w:val="ListParagraph"/>
        <w:numPr>
          <w:ilvl w:val="0"/>
          <w:numId w:val="45"/>
        </w:numPr>
        <w:rPr>
          <w:i/>
          <w:iCs/>
        </w:rPr>
      </w:pPr>
      <w:r w:rsidRPr="00934371">
        <w:t>On average ~29 patients</w:t>
      </w:r>
      <w:r w:rsidRPr="00390FEC">
        <w:t xml:space="preserve"> enter the waitlist annually with a cPRA ≥99% (OrganMatch Data on file</w:t>
      </w:r>
      <w:r w:rsidRPr="006E160A">
        <w:rPr>
          <w:i/>
          <w:iCs/>
        </w:rPr>
        <w:t>).</w:t>
      </w:r>
      <w:r w:rsidRPr="00390FEC">
        <w:t xml:space="preserve"> </w:t>
      </w:r>
    </w:p>
    <w:p w14:paraId="6C322C40" w14:textId="5CA80CF4" w:rsidR="00463193" w:rsidRPr="006E160A" w:rsidRDefault="00463193" w:rsidP="00463193">
      <w:pPr>
        <w:pStyle w:val="ListParagraph"/>
        <w:numPr>
          <w:ilvl w:val="0"/>
          <w:numId w:val="45"/>
        </w:numPr>
        <w:rPr>
          <w:i/>
          <w:iCs/>
        </w:rPr>
      </w:pPr>
      <w:r>
        <w:t>Not all patients theoretically eligible for imlifidase by cPRA status and 2 year wait time would be medically suitable to undergo an imlifidase enabled transplant. For example in 2025</w:t>
      </w:r>
      <w:r w:rsidR="00161ED0">
        <w:t>,</w:t>
      </w:r>
      <w:r>
        <w:t xml:space="preserve"> of </w:t>
      </w:r>
      <w:r>
        <w:lastRenderedPageBreak/>
        <w:t xml:space="preserve">the 140 patients (111 prevalent +29 incident) only 60 </w:t>
      </w:r>
      <w:r w:rsidRPr="006E160A">
        <w:rPr>
          <w:i/>
          <w:iCs/>
        </w:rPr>
        <w:t xml:space="preserve">patients (43%) </w:t>
      </w:r>
      <w:r>
        <w:t>would be candidates for imlifidase that year</w:t>
      </w:r>
      <w:r w:rsidRPr="006E160A">
        <w:rPr>
          <w:i/>
          <w:iCs/>
        </w:rPr>
        <w:t>.</w:t>
      </w:r>
    </w:p>
    <w:p w14:paraId="5BD879E7" w14:textId="2B6932B0" w:rsidR="00463193" w:rsidRPr="008723D8" w:rsidRDefault="00463193" w:rsidP="00463193">
      <w:pPr>
        <w:pStyle w:val="ListParagraph"/>
        <w:numPr>
          <w:ilvl w:val="0"/>
          <w:numId w:val="45"/>
        </w:numPr>
      </w:pPr>
      <w:r w:rsidRPr="008723D8">
        <w:t xml:space="preserve">Market uptake is projected to increase from </w:t>
      </w:r>
      <w:r w:rsidR="004C2AB3" w:rsidRPr="00486136">
        <w:rPr>
          <w:rFonts w:eastAsia="Franklin Gothic Book"/>
          <w:b/>
          <w:bCs/>
          <w:color w:val="000000" w:themeColor="text1"/>
        </w:rPr>
        <w:t>redacted</w:t>
      </w:r>
      <w:r w:rsidR="004C2AB3" w:rsidRPr="008723D8" w:rsidDel="004C2AB3">
        <w:t xml:space="preserve"> </w:t>
      </w:r>
      <w:r w:rsidRPr="008723D8">
        <w:t xml:space="preserve">% of available patients to </w:t>
      </w:r>
      <w:r w:rsidR="004C2AB3" w:rsidRPr="000B1BB5">
        <w:rPr>
          <w:rFonts w:eastAsia="Franklin Gothic Book"/>
          <w:b/>
          <w:bCs/>
          <w:color w:val="000000" w:themeColor="text1"/>
        </w:rPr>
        <w:t>redacted</w:t>
      </w:r>
      <w:r w:rsidR="004C2AB3" w:rsidRPr="000B1BB5" w:rsidDel="004C2AB3">
        <w:t xml:space="preserve"> </w:t>
      </w:r>
      <w:r w:rsidRPr="000B1BB5">
        <w:t>%</w:t>
      </w:r>
      <w:r w:rsidRPr="008723D8">
        <w:t xml:space="preserve"> (of remaining patients) over 6 years. This represents </w:t>
      </w:r>
      <w:r w:rsidR="004C2AB3" w:rsidRPr="00486136">
        <w:rPr>
          <w:rFonts w:eastAsia="Franklin Gothic Book"/>
          <w:b/>
          <w:bCs/>
          <w:color w:val="000000" w:themeColor="text1"/>
        </w:rPr>
        <w:t>redacted</w:t>
      </w:r>
      <w:r w:rsidRPr="008723D8">
        <w:t xml:space="preserve"> patients transplanted in the first year, rising to </w:t>
      </w:r>
      <w:r w:rsidR="004C2AB3" w:rsidRPr="00486136">
        <w:rPr>
          <w:rFonts w:eastAsia="Franklin Gothic Book"/>
          <w:b/>
          <w:bCs/>
          <w:color w:val="000000" w:themeColor="text1"/>
        </w:rPr>
        <w:t>redacted</w:t>
      </w:r>
      <w:r w:rsidRPr="008723D8">
        <w:t xml:space="preserve"> patents in 2029 then slowly declining thereafter as the available prevalent pool of patients begins to be exhausted</w:t>
      </w:r>
      <w:r>
        <w:t>.</w:t>
      </w:r>
    </w:p>
    <w:p w14:paraId="1AC96711" w14:textId="559F8648" w:rsidR="00463193" w:rsidRPr="003722A2" w:rsidRDefault="00463193" w:rsidP="00463193">
      <w:pPr>
        <w:pStyle w:val="ListParagraph"/>
        <w:numPr>
          <w:ilvl w:val="0"/>
          <w:numId w:val="45"/>
        </w:numPr>
      </w:pPr>
      <w:r w:rsidRPr="008723D8">
        <w:t>The net cost to State and Federal governments is expected to peak in 2029 at $</w:t>
      </w:r>
      <w:r w:rsidR="004C2AB3" w:rsidRPr="004C2AB3">
        <w:rPr>
          <w:rFonts w:eastAsia="Franklin Gothic Book"/>
          <w:b/>
          <w:bCs/>
          <w:color w:val="000000" w:themeColor="text1"/>
        </w:rPr>
        <w:t xml:space="preserve"> </w:t>
      </w:r>
      <w:r w:rsidR="004C2AB3" w:rsidRPr="00486136">
        <w:rPr>
          <w:rFonts w:eastAsia="Franklin Gothic Book"/>
          <w:b/>
          <w:bCs/>
          <w:color w:val="000000" w:themeColor="text1"/>
        </w:rPr>
        <w:t>redacted</w:t>
      </w:r>
      <w:r w:rsidRPr="008723D8">
        <w:t xml:space="preserve"> and decline thereafter as LD dialysis savings accumulate and the pool of patients begins to be exhausted. </w:t>
      </w:r>
    </w:p>
    <w:p w14:paraId="70DD02CE" w14:textId="7EF2BEFB" w:rsidR="002319EE" w:rsidRPr="00F61319" w:rsidRDefault="002319EE" w:rsidP="002319EE">
      <w:pPr>
        <w:pStyle w:val="ListParagraph"/>
        <w:numPr>
          <w:ilvl w:val="0"/>
          <w:numId w:val="45"/>
        </w:numPr>
        <w:rPr>
          <w:rFonts w:cstheme="minorHAnsi"/>
        </w:rPr>
      </w:pPr>
      <w:r w:rsidRPr="00F61319">
        <w:rPr>
          <w:rFonts w:cstheme="minorHAnsi"/>
        </w:rPr>
        <w:t>To derive the total number of patients expected to utilise imlifidase</w:t>
      </w:r>
      <w:r w:rsidR="00E22B6D">
        <w:rPr>
          <w:rFonts w:cstheme="minorHAnsi"/>
        </w:rPr>
        <w:t>,</w:t>
      </w:r>
      <w:r w:rsidRPr="00F61319">
        <w:rPr>
          <w:rFonts w:cstheme="minorHAnsi"/>
        </w:rPr>
        <w:t xml:space="preserve"> an epidemiological approach has been taken to identify the relevant population using publicly reported data, overseas experience, local expert input, plus custom data supplied by OrganMatch. The full elaboration of the Budget Impact Model was previously outlined in </w:t>
      </w:r>
      <w:r w:rsidR="005014E4">
        <w:rPr>
          <w:rFonts w:cstheme="minorHAnsi"/>
        </w:rPr>
        <w:t>the previous ADAR</w:t>
      </w:r>
      <w:r w:rsidRPr="00F61319">
        <w:rPr>
          <w:rFonts w:cstheme="minorHAnsi"/>
        </w:rPr>
        <w:t xml:space="preserve">. For brevity of this document the reader is directed to section 4 of </w:t>
      </w:r>
      <w:r w:rsidR="005014E4">
        <w:rPr>
          <w:rFonts w:cstheme="minorHAnsi"/>
        </w:rPr>
        <w:t xml:space="preserve">the previous </w:t>
      </w:r>
      <w:r w:rsidRPr="00F61319">
        <w:rPr>
          <w:rFonts w:cstheme="minorHAnsi"/>
        </w:rPr>
        <w:t xml:space="preserve">ADAR. A revised </w:t>
      </w:r>
      <w:r w:rsidR="005014E4">
        <w:rPr>
          <w:rFonts w:cstheme="minorHAnsi"/>
        </w:rPr>
        <w:t>b</w:t>
      </w:r>
      <w:r w:rsidR="005014E4" w:rsidRPr="005014E4">
        <w:rPr>
          <w:rFonts w:cstheme="minorHAnsi"/>
        </w:rPr>
        <w:t>udget</w:t>
      </w:r>
      <w:r w:rsidRPr="00F61319">
        <w:rPr>
          <w:rFonts w:cstheme="minorHAnsi"/>
        </w:rPr>
        <w:t xml:space="preserve"> </w:t>
      </w:r>
      <w:r w:rsidR="005014E4">
        <w:rPr>
          <w:rFonts w:cstheme="minorHAnsi"/>
        </w:rPr>
        <w:t>i</w:t>
      </w:r>
      <w:r w:rsidRPr="00F61319">
        <w:rPr>
          <w:rFonts w:cstheme="minorHAnsi"/>
        </w:rPr>
        <w:t xml:space="preserve">mpact </w:t>
      </w:r>
      <w:r w:rsidR="005014E4">
        <w:rPr>
          <w:rFonts w:cstheme="minorHAnsi"/>
        </w:rPr>
        <w:t>e</w:t>
      </w:r>
      <w:r w:rsidRPr="00F61319">
        <w:rPr>
          <w:rFonts w:cstheme="minorHAnsi"/>
        </w:rPr>
        <w:t>xcel</w:t>
      </w:r>
      <w:r w:rsidR="005014E4">
        <w:rPr>
          <w:rFonts w:cstheme="minorHAnsi"/>
        </w:rPr>
        <w:t xml:space="preserve"> document</w:t>
      </w:r>
      <w:r w:rsidRPr="00F61319">
        <w:rPr>
          <w:rFonts w:cstheme="minorHAnsi"/>
        </w:rPr>
        <w:t xml:space="preserve"> was submitted together with this </w:t>
      </w:r>
      <w:r w:rsidR="005014E4">
        <w:rPr>
          <w:rFonts w:cstheme="minorHAnsi"/>
        </w:rPr>
        <w:t xml:space="preserve">updated </w:t>
      </w:r>
      <w:r w:rsidRPr="00F61319">
        <w:rPr>
          <w:rFonts w:cstheme="minorHAnsi"/>
        </w:rPr>
        <w:t xml:space="preserve">ADAR. Below are tables and charts lifted directly from the updated </w:t>
      </w:r>
      <w:r w:rsidR="005014E4">
        <w:rPr>
          <w:rFonts w:cstheme="minorHAnsi"/>
        </w:rPr>
        <w:t>b</w:t>
      </w:r>
      <w:r w:rsidRPr="00F61319">
        <w:rPr>
          <w:rFonts w:cstheme="minorHAnsi"/>
        </w:rPr>
        <w:t xml:space="preserve">udget </w:t>
      </w:r>
      <w:r w:rsidR="005014E4">
        <w:rPr>
          <w:rFonts w:cstheme="minorHAnsi"/>
        </w:rPr>
        <w:t>i</w:t>
      </w:r>
      <w:r w:rsidRPr="00F61319">
        <w:rPr>
          <w:rFonts w:cstheme="minorHAnsi"/>
        </w:rPr>
        <w:t xml:space="preserve">mpact </w:t>
      </w:r>
      <w:r w:rsidR="005014E4">
        <w:rPr>
          <w:rFonts w:cstheme="minorHAnsi"/>
        </w:rPr>
        <w:t>m</w:t>
      </w:r>
      <w:r w:rsidRPr="00F61319">
        <w:rPr>
          <w:rFonts w:cstheme="minorHAnsi"/>
        </w:rPr>
        <w:t>odel.</w:t>
      </w:r>
    </w:p>
    <w:p w14:paraId="69C19344" w14:textId="72FECC5B" w:rsidR="002319EE" w:rsidRDefault="002319EE" w:rsidP="002319EE">
      <w:pPr>
        <w:pStyle w:val="Caption"/>
        <w:numPr>
          <w:ilvl w:val="0"/>
          <w:numId w:val="45"/>
        </w:numPr>
      </w:pPr>
      <w:r>
        <w:t xml:space="preserve">Table </w:t>
      </w:r>
      <w:r w:rsidR="009E0604">
        <w:t xml:space="preserve">12 </w:t>
      </w:r>
      <w:r>
        <w:t>Highly Sensitised</w:t>
      </w:r>
      <w:r w:rsidRPr="00EC0A83">
        <w:t xml:space="preserve"> patients </w:t>
      </w:r>
      <w:r>
        <w:t>eligible for</w:t>
      </w:r>
      <w:r w:rsidRPr="00EC0A83">
        <w:t xml:space="preserve"> imlifidase </w:t>
      </w:r>
      <w:r>
        <w:t>and transplanted</w:t>
      </w:r>
    </w:p>
    <w:p w14:paraId="7BF48EE1" w14:textId="1C9854F4" w:rsidR="008F56CA" w:rsidRPr="008F56CA" w:rsidRDefault="008F56CA" w:rsidP="008F56CA">
      <w:pPr>
        <w:rPr>
          <w:b/>
          <w:bCs/>
        </w:rPr>
      </w:pPr>
      <w:r w:rsidRPr="008F56CA">
        <w:rPr>
          <w:b/>
          <w:bCs/>
        </w:rPr>
        <w:t>redacted</w:t>
      </w:r>
    </w:p>
    <w:p w14:paraId="0CF7EF6F" w14:textId="0DD49412" w:rsidR="004C2AB3" w:rsidRDefault="002319EE" w:rsidP="004C2AB3">
      <w:pPr>
        <w:pStyle w:val="Caption"/>
        <w:numPr>
          <w:ilvl w:val="0"/>
          <w:numId w:val="45"/>
        </w:numPr>
        <w:rPr>
          <w:lang w:val="en-US"/>
        </w:rPr>
      </w:pPr>
      <w:r>
        <w:rPr>
          <w:bCs w:val="0"/>
        </w:rPr>
        <w:t xml:space="preserve"> </w:t>
      </w:r>
      <w:r>
        <w:t xml:space="preserve">Figure </w:t>
      </w:r>
      <w:r>
        <w:fldChar w:fldCharType="begin"/>
      </w:r>
      <w:r>
        <w:instrText xml:space="preserve"> SEQ Figure \* ARABIC </w:instrText>
      </w:r>
      <w:r>
        <w:fldChar w:fldCharType="separate"/>
      </w:r>
      <w:r>
        <w:rPr>
          <w:noProof/>
        </w:rPr>
        <w:t>2</w:t>
      </w:r>
      <w:r>
        <w:rPr>
          <w:noProof/>
        </w:rPr>
        <w:fldChar w:fldCharType="end"/>
      </w:r>
      <w:r w:rsidRPr="00DD58E7">
        <w:rPr>
          <w:lang w:val="en-US"/>
        </w:rPr>
        <w:t xml:space="preserve"> </w:t>
      </w:r>
      <w:r>
        <w:rPr>
          <w:lang w:val="en-US"/>
        </w:rPr>
        <w:t>Total projected transplants enabled by imlifidase</w:t>
      </w:r>
    </w:p>
    <w:p w14:paraId="3CB5A354" w14:textId="4FEFCAE0" w:rsidR="004C2AB3" w:rsidRPr="00335591" w:rsidRDefault="004C2AB3" w:rsidP="00F25E7C">
      <w:pPr>
        <w:rPr>
          <w:lang w:val="en-US"/>
        </w:rPr>
      </w:pPr>
      <w:r w:rsidRPr="00F25E7C">
        <w:rPr>
          <w:b/>
          <w:bCs/>
          <w:lang w:val="en-US"/>
        </w:rPr>
        <w:t>redacted</w:t>
      </w:r>
    </w:p>
    <w:p w14:paraId="40D7D74A" w14:textId="2B7BEBD9" w:rsidR="009F036A" w:rsidRPr="00F61319" w:rsidRDefault="009F036A" w:rsidP="009F036A">
      <w:pPr>
        <w:rPr>
          <w:rFonts w:cstheme="minorHAnsi"/>
          <w:i/>
          <w:iCs/>
        </w:rPr>
      </w:pPr>
      <w:r w:rsidRPr="00F61319">
        <w:rPr>
          <w:rFonts w:cstheme="minorHAnsi"/>
        </w:rPr>
        <w:t xml:space="preserve">The forward estimates utilise the same costings presented in the base case Section 3 – </w:t>
      </w:r>
      <w:r w:rsidR="000D4C83">
        <w:rPr>
          <w:rFonts w:cstheme="minorHAnsi"/>
        </w:rPr>
        <w:t>e</w:t>
      </w:r>
      <w:r w:rsidRPr="00F61319">
        <w:rPr>
          <w:rFonts w:cstheme="minorHAnsi"/>
        </w:rPr>
        <w:t xml:space="preserve">conomic </w:t>
      </w:r>
      <w:r w:rsidR="000D4C83">
        <w:rPr>
          <w:rFonts w:cstheme="minorHAnsi"/>
        </w:rPr>
        <w:t>m</w:t>
      </w:r>
      <w:r w:rsidRPr="00F61319">
        <w:rPr>
          <w:rFonts w:cstheme="minorHAnsi"/>
        </w:rPr>
        <w:t xml:space="preserve">odelling in </w:t>
      </w:r>
      <w:r w:rsidR="000D4C83">
        <w:rPr>
          <w:rFonts w:cstheme="minorHAnsi"/>
        </w:rPr>
        <w:t xml:space="preserve">the previous </w:t>
      </w:r>
      <w:r w:rsidRPr="00F61319">
        <w:rPr>
          <w:rFonts w:cstheme="minorHAnsi"/>
        </w:rPr>
        <w:t xml:space="preserve">ADAR. For brevity of this document the reader is directed to that </w:t>
      </w:r>
      <w:r w:rsidR="000D4C83">
        <w:rPr>
          <w:rFonts w:cstheme="minorHAnsi"/>
        </w:rPr>
        <w:t>section</w:t>
      </w:r>
      <w:r w:rsidRPr="00F61319">
        <w:rPr>
          <w:rFonts w:cstheme="minorHAnsi"/>
        </w:rPr>
        <w:t xml:space="preserve"> for detailed information. </w:t>
      </w:r>
    </w:p>
    <w:p w14:paraId="336B1623" w14:textId="49ACF5A3" w:rsidR="009F036A" w:rsidRPr="00F61319" w:rsidRDefault="009F036A" w:rsidP="009F036A">
      <w:pPr>
        <w:rPr>
          <w:rFonts w:cstheme="minorHAnsi"/>
          <w:i/>
          <w:iCs/>
        </w:rPr>
      </w:pPr>
      <w:r w:rsidRPr="00F61319">
        <w:rPr>
          <w:rFonts w:cstheme="minorHAnsi"/>
        </w:rPr>
        <w:t>Cost of a treatment for AMR is calculated as $32,025 and applied to 42% of imlifidase enabled transplants per the incidence of treated AMR in the MSAC proposed population (Aus- UTT-A). Annual cost of dialysis is $113,424. The first-year cost of a transplant is $71,699 with subsequent years at $3,910. Nine</w:t>
      </w:r>
      <w:r w:rsidRPr="00F61319">
        <w:rPr>
          <w:rFonts w:cstheme="minorHAnsi"/>
          <w:i/>
          <w:iCs/>
        </w:rPr>
        <w:t xml:space="preserve"> (</w:t>
      </w:r>
      <w:r w:rsidRPr="00F61319">
        <w:rPr>
          <w:rFonts w:cstheme="minorHAnsi"/>
        </w:rPr>
        <w:t>9</w:t>
      </w:r>
      <w:r w:rsidRPr="00F61319">
        <w:rPr>
          <w:rFonts w:cstheme="minorHAnsi"/>
          <w:i/>
          <w:iCs/>
        </w:rPr>
        <w:t>)</w:t>
      </w:r>
      <w:r w:rsidRPr="00F61319">
        <w:rPr>
          <w:rFonts w:cstheme="minorHAnsi"/>
        </w:rPr>
        <w:t xml:space="preserve"> incremental single antigen bead test ($6,732/ per imlifidase transplant) are incorporated. </w:t>
      </w:r>
    </w:p>
    <w:p w14:paraId="2F0F36ED" w14:textId="4C13A3BF" w:rsidR="009161B3" w:rsidRDefault="009161B3" w:rsidP="009161B3">
      <w:pPr>
        <w:pStyle w:val="Caption"/>
      </w:pPr>
      <w:r>
        <w:t xml:space="preserve">Figure </w:t>
      </w:r>
      <w:r>
        <w:fldChar w:fldCharType="begin"/>
      </w:r>
      <w:r>
        <w:instrText xml:space="preserve"> SEQ Figure \* ARABIC </w:instrText>
      </w:r>
      <w:r>
        <w:fldChar w:fldCharType="separate"/>
      </w:r>
      <w:r>
        <w:rPr>
          <w:noProof/>
        </w:rPr>
        <w:t>3</w:t>
      </w:r>
      <w:r>
        <w:rPr>
          <w:noProof/>
        </w:rPr>
        <w:fldChar w:fldCharType="end"/>
      </w:r>
      <w:r>
        <w:t xml:space="preserve"> Total projected costs associated with </w:t>
      </w:r>
      <w:r w:rsidR="00C53BD4">
        <w:t>I</w:t>
      </w:r>
      <w:r>
        <w:t>m</w:t>
      </w:r>
      <w:r w:rsidR="00D538B0">
        <w:t>l</w:t>
      </w:r>
      <w:r>
        <w:t>ifidase therapy</w:t>
      </w:r>
    </w:p>
    <w:p w14:paraId="7FB891D8" w14:textId="307295C6" w:rsidR="008F56CA" w:rsidRPr="008F56CA" w:rsidRDefault="008F56CA" w:rsidP="008F56CA">
      <w:pPr>
        <w:rPr>
          <w:b/>
          <w:bCs/>
        </w:rPr>
      </w:pPr>
      <w:r w:rsidRPr="008F56CA">
        <w:rPr>
          <w:b/>
          <w:bCs/>
        </w:rPr>
        <w:t>redacted</w:t>
      </w:r>
    </w:p>
    <w:p w14:paraId="1710E073" w14:textId="6DFE82C2" w:rsidR="00734D36" w:rsidRDefault="009161B3" w:rsidP="009161B3">
      <w:pPr>
        <w:rPr>
          <w:rFonts w:asciiTheme="minorHAnsi" w:hAnsiTheme="minorHAnsi" w:cstheme="minorHAnsi"/>
        </w:rPr>
      </w:pPr>
      <w:r w:rsidRPr="00F61319">
        <w:rPr>
          <w:rFonts w:cstheme="minorHAnsi"/>
        </w:rPr>
        <w:t xml:space="preserve">No cost offsets for deceased donor transplant have been considered in the above scenario and only a single patient removed from dialysis per living donor transplant is considered, even though there may be several in a LD paired donation chain. Imlifidase is costed on a per patient level of </w:t>
      </w:r>
      <w:r w:rsidRPr="00024646">
        <w:rPr>
          <w:rFonts w:cstheme="minorHAnsi"/>
        </w:rPr>
        <w:t>$</w:t>
      </w:r>
      <w:r w:rsidR="00C064EF" w:rsidRPr="00024646">
        <w:rPr>
          <w:noProof/>
          <w:lang w:val="en-US"/>
        </w:rPr>
        <w:t xml:space="preserve"> </w:t>
      </w:r>
      <w:r w:rsidR="00C064EF" w:rsidRPr="00024646">
        <w:rPr>
          <w:b/>
          <w:bCs/>
          <w:noProof/>
          <w:lang w:val="en-US"/>
        </w:rPr>
        <w:t>redacted</w:t>
      </w:r>
      <w:r w:rsidR="00C064EF" w:rsidRPr="00024646" w:rsidDel="00C064EF">
        <w:rPr>
          <w:rFonts w:cstheme="minorHAnsi"/>
        </w:rPr>
        <w:t xml:space="preserve"> </w:t>
      </w:r>
      <w:r w:rsidRPr="00024646">
        <w:rPr>
          <w:rFonts w:cstheme="minorHAnsi"/>
        </w:rPr>
        <w:t>throughout</w:t>
      </w:r>
      <w:r w:rsidR="00424349">
        <w:rPr>
          <w:rFonts w:cstheme="minorHAnsi"/>
        </w:rPr>
        <w:t>,</w:t>
      </w:r>
      <w:r w:rsidRPr="00F61319">
        <w:rPr>
          <w:rFonts w:cstheme="minorHAnsi"/>
        </w:rPr>
        <w:t xml:space="preserve"> </w:t>
      </w:r>
      <w:r w:rsidR="00424349">
        <w:rPr>
          <w:rFonts w:cstheme="minorHAnsi"/>
        </w:rPr>
        <w:t xml:space="preserve">this was </w:t>
      </w:r>
      <w:r w:rsidRPr="00F61319">
        <w:rPr>
          <w:rFonts w:cstheme="minorHAnsi"/>
        </w:rPr>
        <w:t>the same price recommendation made at the Stakeholders Meeting.</w:t>
      </w:r>
    </w:p>
    <w:p w14:paraId="6BECEFA7" w14:textId="77777777" w:rsidR="00734D36" w:rsidRDefault="00734D36" w:rsidP="00734D36">
      <w:pPr>
        <w:pStyle w:val="TableHeading0"/>
      </w:pPr>
      <w:bookmarkStart w:id="44" w:name="_Toc190793546"/>
      <w:bookmarkStart w:id="45" w:name="_Toc190793648"/>
      <w:bookmarkStart w:id="46" w:name="_Toc190793750"/>
      <w:bookmarkStart w:id="47" w:name="_Toc190793858"/>
      <w:bookmarkStart w:id="48" w:name="_Toc190794826"/>
      <w:bookmarkStart w:id="49" w:name="_Toc190796164"/>
      <w:bookmarkStart w:id="50" w:name="_Toc190848980"/>
      <w:bookmarkStart w:id="51" w:name="_Toc190855873"/>
      <w:bookmarkStart w:id="52" w:name="_Toc190856955"/>
      <w:bookmarkStart w:id="53" w:name="_Toc190857216"/>
      <w:bookmarkStart w:id="54" w:name="_Toc190860687"/>
      <w:bookmarkStart w:id="55" w:name="_Toc190867531"/>
      <w:bookmarkStart w:id="56" w:name="_Toc190869835"/>
      <w:r w:rsidRPr="00281807">
        <w:rPr>
          <w:rStyle w:val="Heading2Char"/>
          <w:rFonts w:ascii="Arial Narrow" w:eastAsiaTheme="minorHAnsi" w:hAnsi="Arial Narrow" w:cstheme="minorBidi"/>
          <w:color w:val="auto"/>
          <w:sz w:val="20"/>
          <w:szCs w:val="22"/>
        </w:rPr>
        <w:t>Figure</w:t>
      </w:r>
      <w:bookmarkEnd w:id="44"/>
      <w:bookmarkEnd w:id="45"/>
      <w:bookmarkEnd w:id="46"/>
      <w:bookmarkEnd w:id="47"/>
      <w:bookmarkEnd w:id="48"/>
      <w:bookmarkEnd w:id="49"/>
      <w:bookmarkEnd w:id="50"/>
      <w:bookmarkEnd w:id="51"/>
      <w:bookmarkEnd w:id="52"/>
      <w:bookmarkEnd w:id="53"/>
      <w:bookmarkEnd w:id="54"/>
      <w:bookmarkEnd w:id="55"/>
      <w:bookmarkEnd w:id="56"/>
      <w:r w:rsidRPr="00281807">
        <w:t xml:space="preserve"> </w:t>
      </w:r>
      <w:r>
        <w:fldChar w:fldCharType="begin"/>
      </w:r>
      <w:r>
        <w:instrText xml:space="preserve"> SEQ Figure \* ARABIC </w:instrText>
      </w:r>
      <w:r>
        <w:fldChar w:fldCharType="separate"/>
      </w:r>
      <w:r w:rsidRPr="00281807">
        <w:t>4</w:t>
      </w:r>
      <w:r>
        <w:fldChar w:fldCharType="end"/>
      </w:r>
      <w:r w:rsidRPr="00281807">
        <w:t xml:space="preserve">  Summary of total projected costs and imlifidase isolated costs</w:t>
      </w:r>
    </w:p>
    <w:p w14:paraId="5F3DE609" w14:textId="2241DA86" w:rsidR="008F56CA" w:rsidRPr="00281807" w:rsidRDefault="008F56CA" w:rsidP="00734D36">
      <w:pPr>
        <w:pStyle w:val="TableHeading0"/>
        <w:rPr>
          <w:rStyle w:val="Heading2Char"/>
          <w:rFonts w:ascii="Arial Narrow" w:eastAsiaTheme="minorHAnsi" w:hAnsi="Arial Narrow" w:cstheme="minorBidi"/>
          <w:color w:val="auto"/>
          <w:sz w:val="20"/>
          <w:szCs w:val="22"/>
        </w:rPr>
      </w:pPr>
      <w:r>
        <w:t>redacted</w:t>
      </w:r>
    </w:p>
    <w:p w14:paraId="236E4BBD" w14:textId="74157891" w:rsidR="00C55A70" w:rsidRPr="00F61319" w:rsidRDefault="00C55A70" w:rsidP="00C55A70">
      <w:pPr>
        <w:rPr>
          <w:rFonts w:cstheme="minorHAnsi"/>
        </w:rPr>
      </w:pPr>
      <w:r w:rsidRPr="00F61319">
        <w:rPr>
          <w:rFonts w:cstheme="minorHAnsi"/>
        </w:rPr>
        <w:t>For living donors</w:t>
      </w:r>
      <w:r w:rsidRPr="00F61319">
        <w:rPr>
          <w:rFonts w:cstheme="minorHAnsi"/>
          <w:i/>
          <w:iCs/>
        </w:rPr>
        <w:t>,</w:t>
      </w:r>
      <w:r w:rsidRPr="00F61319">
        <w:rPr>
          <w:rFonts w:cstheme="minorHAnsi"/>
        </w:rPr>
        <w:t xml:space="preserve"> one patient comes off dialysis that would otherwise stay on dialysis</w:t>
      </w:r>
      <w:r w:rsidR="008939C2">
        <w:rPr>
          <w:rFonts w:cstheme="minorHAnsi"/>
        </w:rPr>
        <w:t>,</w:t>
      </w:r>
      <w:r w:rsidRPr="00F61319">
        <w:rPr>
          <w:rFonts w:cstheme="minorHAnsi"/>
        </w:rPr>
        <w:t xml:space="preserve"> calculated for at least the lifetime of the budget impact model at $</w:t>
      </w:r>
      <w:r w:rsidR="00C064EF" w:rsidRPr="00C064EF">
        <w:rPr>
          <w:b/>
          <w:bCs/>
          <w:noProof/>
          <w:lang w:val="en-US"/>
        </w:rPr>
        <w:t xml:space="preserve"> </w:t>
      </w:r>
      <w:r w:rsidR="00C064EF" w:rsidRPr="00C3462D">
        <w:rPr>
          <w:b/>
          <w:bCs/>
          <w:noProof/>
          <w:lang w:val="en-US"/>
        </w:rPr>
        <w:t>redacted</w:t>
      </w:r>
      <w:r w:rsidR="00C064EF" w:rsidRPr="00C3462D" w:rsidDel="00C064EF">
        <w:rPr>
          <w:rFonts w:cstheme="minorHAnsi"/>
        </w:rPr>
        <w:t xml:space="preserve"> </w:t>
      </w:r>
      <w:r w:rsidRPr="00C3462D">
        <w:rPr>
          <w:rFonts w:cstheme="minorHAnsi"/>
        </w:rPr>
        <w:t>per year</w:t>
      </w:r>
      <w:r w:rsidRPr="00F61319">
        <w:rPr>
          <w:rFonts w:cstheme="minorHAnsi"/>
        </w:rPr>
        <w:t xml:space="preserve">. In the </w:t>
      </w:r>
      <w:r w:rsidR="008939C2">
        <w:rPr>
          <w:rFonts w:cstheme="minorHAnsi"/>
        </w:rPr>
        <w:t>b</w:t>
      </w:r>
      <w:r w:rsidRPr="00F61319">
        <w:rPr>
          <w:rFonts w:cstheme="minorHAnsi"/>
        </w:rPr>
        <w:t xml:space="preserve">udget </w:t>
      </w:r>
      <w:r w:rsidR="008939C2">
        <w:rPr>
          <w:rFonts w:cstheme="minorHAnsi"/>
        </w:rPr>
        <w:t>i</w:t>
      </w:r>
      <w:r w:rsidRPr="00F61319">
        <w:rPr>
          <w:rFonts w:cstheme="minorHAnsi"/>
        </w:rPr>
        <w:t xml:space="preserve">mpact </w:t>
      </w:r>
      <w:r w:rsidR="008939C2">
        <w:rPr>
          <w:rFonts w:cstheme="minorHAnsi"/>
        </w:rPr>
        <w:t>m</w:t>
      </w:r>
      <w:r w:rsidRPr="00F61319">
        <w:rPr>
          <w:rFonts w:cstheme="minorHAnsi"/>
        </w:rPr>
        <w:t>odel</w:t>
      </w:r>
      <w:r w:rsidRPr="00F61319">
        <w:rPr>
          <w:rFonts w:cstheme="minorHAnsi"/>
          <w:i/>
          <w:iCs/>
        </w:rPr>
        <w:t>,</w:t>
      </w:r>
      <w:r w:rsidRPr="00F61319">
        <w:rPr>
          <w:rFonts w:cstheme="minorHAnsi"/>
        </w:rPr>
        <w:t xml:space="preserve"> no offset is calculated for the patient that comes off dialysis in the deceased donor setting, in light of the displacement issues outlined in prior MSAC discussions. </w:t>
      </w:r>
    </w:p>
    <w:p w14:paraId="1F1BD14D" w14:textId="77777777" w:rsidR="007501ED" w:rsidRDefault="007501ED" w:rsidP="006057BF">
      <w:pPr>
        <w:pStyle w:val="TableHeading0"/>
        <w:keepNext/>
        <w:keepLines/>
      </w:pPr>
      <w:r>
        <w:lastRenderedPageBreak/>
        <w:t xml:space="preserve">Figure </w:t>
      </w:r>
      <w:r>
        <w:fldChar w:fldCharType="begin"/>
      </w:r>
      <w:r>
        <w:instrText xml:space="preserve"> SEQ Figure \* ARABIC </w:instrText>
      </w:r>
      <w:r>
        <w:fldChar w:fldCharType="separate"/>
      </w:r>
      <w:r>
        <w:rPr>
          <w:noProof/>
        </w:rPr>
        <w:t>5</w:t>
      </w:r>
      <w:r>
        <w:rPr>
          <w:noProof/>
        </w:rPr>
        <w:fldChar w:fldCharType="end"/>
      </w:r>
      <w:r>
        <w:t xml:space="preserve"> Net Government costs </w:t>
      </w:r>
    </w:p>
    <w:p w14:paraId="3AB8DFFC" w14:textId="1C810AC3" w:rsidR="00C064EF" w:rsidRPr="00850262" w:rsidRDefault="00C064EF" w:rsidP="006057BF">
      <w:pPr>
        <w:pStyle w:val="TableHeading0"/>
        <w:keepNext/>
        <w:keepLines/>
        <w:rPr>
          <w:rFonts w:eastAsiaTheme="majorEastAsia"/>
        </w:rPr>
      </w:pPr>
      <w:r>
        <w:t>redacted</w:t>
      </w:r>
    </w:p>
    <w:p w14:paraId="15D030BA" w14:textId="53D376CD" w:rsidR="00656DCD" w:rsidRDefault="00656DCD" w:rsidP="00656DCD">
      <w:pPr>
        <w:pStyle w:val="Caption"/>
      </w:pPr>
      <w:bookmarkStart w:id="57" w:name="_Ref190848175"/>
      <w:r>
        <w:t>Table</w:t>
      </w:r>
      <w:r w:rsidR="0012532E">
        <w:t xml:space="preserve"> </w:t>
      </w:r>
      <w:r w:rsidR="009E0604">
        <w:t>1</w:t>
      </w:r>
      <w:r w:rsidR="000F6066">
        <w:t>3</w:t>
      </w:r>
      <w:bookmarkEnd w:id="57"/>
      <w:r>
        <w:t xml:space="preserve"> Net Government costs </w:t>
      </w:r>
    </w:p>
    <w:p w14:paraId="7DE0C316" w14:textId="77777777" w:rsidR="00C064EF" w:rsidRPr="00850262" w:rsidRDefault="00C064EF" w:rsidP="00C064EF">
      <w:pPr>
        <w:pStyle w:val="TableHeading0"/>
        <w:keepNext/>
        <w:keepLines/>
        <w:rPr>
          <w:rFonts w:eastAsiaTheme="majorEastAsia"/>
        </w:rPr>
      </w:pPr>
      <w:r>
        <w:t>redacted</w:t>
      </w:r>
    </w:p>
    <w:p w14:paraId="24F658D7" w14:textId="1FE4EA71" w:rsidR="00656DCD" w:rsidRPr="00D538B0" w:rsidRDefault="00656DCD" w:rsidP="00656DCD">
      <w:r w:rsidRPr="00D538B0">
        <w:t xml:space="preserve">Note that States rather than the Commonwealth accrue the dialysis savings from living donors transplanted with imlifidase. LD dialysis cost off sets are included in the above </w:t>
      </w:r>
      <w:r w:rsidR="00D538B0" w:rsidRPr="00D538B0">
        <w:t>calculation</w:t>
      </w:r>
      <w:r w:rsidRPr="00D538B0">
        <w:t xml:space="preserve"> </w:t>
      </w:r>
    </w:p>
    <w:p w14:paraId="4203E588" w14:textId="0F481FA6" w:rsidR="003F27BD" w:rsidRPr="00A33D34" w:rsidRDefault="003F27BD" w:rsidP="00934371">
      <w:pPr>
        <w:pStyle w:val="TableHeading0"/>
        <w:keepNext/>
        <w:keepLines/>
        <w:rPr>
          <w:rFonts w:ascii="Franklin Gothic Book" w:eastAsiaTheme="majorEastAsia" w:hAnsi="Franklin Gothic Book"/>
          <w:b w:val="0"/>
          <w:bCs/>
          <w:sz w:val="22"/>
        </w:rPr>
      </w:pPr>
      <w:bookmarkStart w:id="58" w:name="_Ref190848156"/>
      <w:r w:rsidRPr="00A33D34">
        <w:rPr>
          <w:rFonts w:ascii="Franklin Gothic Book" w:hAnsi="Franklin Gothic Book"/>
          <w:b w:val="0"/>
          <w:bCs/>
          <w:sz w:val="22"/>
        </w:rPr>
        <w:t xml:space="preserve">Over the 6-year budget impact horizon the incremental costs are captured in </w:t>
      </w:r>
      <w:r w:rsidR="007F6C89" w:rsidRPr="00A33D34">
        <w:rPr>
          <w:rFonts w:ascii="Franklin Gothic Book" w:hAnsi="Franklin Gothic Book"/>
          <w:b w:val="0"/>
          <w:bCs/>
          <w:sz w:val="22"/>
        </w:rPr>
        <w:t>T</w:t>
      </w:r>
      <w:r w:rsidRPr="00A33D34">
        <w:rPr>
          <w:rFonts w:ascii="Franklin Gothic Book" w:hAnsi="Franklin Gothic Book"/>
          <w:b w:val="0"/>
          <w:bCs/>
          <w:sz w:val="22"/>
        </w:rPr>
        <w:t xml:space="preserve">able </w:t>
      </w:r>
      <w:r w:rsidR="0087452F" w:rsidRPr="00A33D34">
        <w:rPr>
          <w:rFonts w:ascii="Franklin Gothic Book" w:hAnsi="Franklin Gothic Book"/>
          <w:b w:val="0"/>
          <w:bCs/>
          <w:sz w:val="22"/>
        </w:rPr>
        <w:t>14</w:t>
      </w:r>
      <w:r w:rsidRPr="00A33D34">
        <w:rPr>
          <w:rFonts w:ascii="Franklin Gothic Book" w:hAnsi="Franklin Gothic Book"/>
          <w:b w:val="0"/>
          <w:bCs/>
          <w:sz w:val="22"/>
        </w:rPr>
        <w:t>. In summary Luminex tests are $</w:t>
      </w:r>
      <w:r w:rsidR="00C064EF" w:rsidRPr="00A33D34">
        <w:rPr>
          <w:rFonts w:ascii="Franklin Gothic Book" w:hAnsi="Franklin Gothic Book"/>
          <w:b w:val="0"/>
          <w:bCs/>
          <w:sz w:val="22"/>
        </w:rPr>
        <w:t xml:space="preserve"> </w:t>
      </w:r>
      <w:r w:rsidR="00C064EF" w:rsidRPr="00A33D34">
        <w:rPr>
          <w:rFonts w:ascii="Franklin Gothic Book" w:hAnsi="Franklin Gothic Book"/>
          <w:sz w:val="22"/>
        </w:rPr>
        <w:t>redacted</w:t>
      </w:r>
      <w:r w:rsidRPr="00A33D34">
        <w:rPr>
          <w:rFonts w:ascii="Franklin Gothic Book" w:hAnsi="Franklin Gothic Book"/>
          <w:b w:val="0"/>
          <w:bCs/>
          <w:sz w:val="22"/>
        </w:rPr>
        <w:t>, 1.3% of the total cost of $</w:t>
      </w:r>
      <w:r w:rsidR="00FB1627" w:rsidRPr="00A33D34">
        <w:rPr>
          <w:rFonts w:ascii="Franklin Gothic Book" w:hAnsi="Franklin Gothic Book"/>
          <w:b w:val="0"/>
          <w:bCs/>
          <w:sz w:val="22"/>
        </w:rPr>
        <w:t xml:space="preserve"> </w:t>
      </w:r>
      <w:r w:rsidR="00FB1627" w:rsidRPr="00A33D34">
        <w:rPr>
          <w:rFonts w:ascii="Franklin Gothic Book" w:hAnsi="Franklin Gothic Book"/>
          <w:sz w:val="22"/>
        </w:rPr>
        <w:t>redacted</w:t>
      </w:r>
      <w:r w:rsidRPr="00A33D34">
        <w:rPr>
          <w:rFonts w:ascii="Franklin Gothic Book" w:hAnsi="Franklin Gothic Book"/>
          <w:b w:val="0"/>
          <w:bCs/>
          <w:sz w:val="22"/>
        </w:rPr>
        <w:t>. Living donor transplants that would not otherwise occur total $</w:t>
      </w:r>
      <w:r w:rsidR="00FB1627" w:rsidRPr="00A33D34">
        <w:rPr>
          <w:rFonts w:ascii="Franklin Gothic Book" w:hAnsi="Franklin Gothic Book"/>
          <w:b w:val="0"/>
          <w:bCs/>
          <w:sz w:val="22"/>
        </w:rPr>
        <w:t xml:space="preserve"> </w:t>
      </w:r>
      <w:r w:rsidR="00FB1627" w:rsidRPr="00A33D34">
        <w:rPr>
          <w:rFonts w:ascii="Franklin Gothic Book" w:hAnsi="Franklin Gothic Book"/>
          <w:sz w:val="22"/>
        </w:rPr>
        <w:t>redacted</w:t>
      </w:r>
      <w:r w:rsidR="00F03DB2" w:rsidRPr="00A33D34">
        <w:rPr>
          <w:rFonts w:ascii="Franklin Gothic Book" w:hAnsi="Franklin Gothic Book"/>
          <w:b w:val="0"/>
          <w:bCs/>
          <w:sz w:val="22"/>
        </w:rPr>
        <w:t>,</w:t>
      </w:r>
      <w:r w:rsidRPr="00A33D34">
        <w:rPr>
          <w:rFonts w:ascii="Franklin Gothic Book" w:hAnsi="Franklin Gothic Book"/>
          <w:b w:val="0"/>
          <w:bCs/>
          <w:sz w:val="22"/>
        </w:rPr>
        <w:t xml:space="preserve"> but importantly this cost is offset by dialysis avoidance which may be in a separate health budget. Imlifidase related AEs (e.g. AMR treatment post-transplant totals $</w:t>
      </w:r>
      <w:r w:rsidR="00FB1627" w:rsidRPr="00A33D34">
        <w:rPr>
          <w:rFonts w:ascii="Franklin Gothic Book" w:hAnsi="Franklin Gothic Book"/>
          <w:b w:val="0"/>
          <w:bCs/>
          <w:sz w:val="22"/>
        </w:rPr>
        <w:t xml:space="preserve"> </w:t>
      </w:r>
      <w:r w:rsidR="00FB1627" w:rsidRPr="00A33D34">
        <w:rPr>
          <w:rFonts w:ascii="Franklin Gothic Book" w:hAnsi="Franklin Gothic Book"/>
          <w:sz w:val="22"/>
        </w:rPr>
        <w:t>redacted</w:t>
      </w:r>
      <w:r w:rsidR="00FB1627" w:rsidRPr="00A33D34" w:rsidDel="00FB1627">
        <w:rPr>
          <w:rFonts w:ascii="Franklin Gothic Book" w:hAnsi="Franklin Gothic Book"/>
          <w:b w:val="0"/>
          <w:bCs/>
          <w:sz w:val="22"/>
        </w:rPr>
        <w:t xml:space="preserve"> </w:t>
      </w:r>
      <w:r w:rsidRPr="00A33D34">
        <w:rPr>
          <w:rFonts w:ascii="Franklin Gothic Book" w:hAnsi="Franklin Gothic Book"/>
          <w:b w:val="0"/>
          <w:bCs/>
          <w:sz w:val="22"/>
        </w:rPr>
        <w:t xml:space="preserve">(2.9% of the total cost) </w:t>
      </w:r>
    </w:p>
    <w:bookmarkEnd w:id="58"/>
    <w:p w14:paraId="2A897CCE" w14:textId="32F843B4" w:rsidR="003F27BD" w:rsidRDefault="003F27BD" w:rsidP="006057BF">
      <w:pPr>
        <w:pStyle w:val="Caption"/>
        <w:keepNext w:val="0"/>
        <w:rPr>
          <w:noProof/>
        </w:rPr>
      </w:pPr>
      <w:r>
        <w:t xml:space="preserve">Table </w:t>
      </w:r>
      <w:r w:rsidR="009E0604">
        <w:t xml:space="preserve"> 1</w:t>
      </w:r>
      <w:r w:rsidR="000F6066">
        <w:t>4</w:t>
      </w:r>
      <w:r>
        <w:t xml:space="preserve"> Incremental cost impact</w:t>
      </w:r>
      <w:r w:rsidRPr="00E1313A">
        <w:rPr>
          <w:noProof/>
        </w:rPr>
        <w:t xml:space="preserve"> </w:t>
      </w:r>
    </w:p>
    <w:p w14:paraId="70974F44" w14:textId="76509F21" w:rsidR="00E2663D" w:rsidRPr="00F25E7C" w:rsidRDefault="00E2663D" w:rsidP="00F25E7C">
      <w:r w:rsidRPr="00F25E7C">
        <w:rPr>
          <w:b/>
          <w:bCs/>
        </w:rPr>
        <w:t>redacted</w:t>
      </w:r>
    </w:p>
    <w:p w14:paraId="7838A9FF" w14:textId="5E281014" w:rsidR="00772829" w:rsidRPr="00CE28E3" w:rsidRDefault="00B27795" w:rsidP="002A18BE">
      <w:pPr>
        <w:pStyle w:val="Heading2"/>
        <w:numPr>
          <w:ilvl w:val="0"/>
          <w:numId w:val="0"/>
        </w:numPr>
      </w:pPr>
      <w:bookmarkStart w:id="59" w:name="_Toc69491427"/>
      <w:r>
        <w:t>1</w:t>
      </w:r>
      <w:r w:rsidR="00CF7A55">
        <w:t>5</w:t>
      </w:r>
      <w:r w:rsidR="00C36633">
        <w:t>.</w:t>
      </w:r>
      <w:r w:rsidR="00C36633">
        <w:tab/>
      </w:r>
      <w:r w:rsidR="00772829" w:rsidRPr="00CE28E3">
        <w:t xml:space="preserve">Other relevant </w:t>
      </w:r>
      <w:bookmarkEnd w:id="59"/>
      <w:r w:rsidR="00FA5766">
        <w:t>information</w:t>
      </w:r>
    </w:p>
    <w:p w14:paraId="149EB734" w14:textId="5B29858B" w:rsidR="008818D4" w:rsidRDefault="008818D4" w:rsidP="00793730">
      <w:r w:rsidRPr="0015745E">
        <w:t xml:space="preserve">The </w:t>
      </w:r>
      <w:r w:rsidR="00FC0389">
        <w:t>assessment group</w:t>
      </w:r>
      <w:r w:rsidR="004D6144">
        <w:t xml:space="preserve"> previously (MSAC 1732)</w:t>
      </w:r>
      <w:r w:rsidR="00FC0389">
        <w:t xml:space="preserve"> </w:t>
      </w:r>
      <w:r w:rsidRPr="0015745E">
        <w:t xml:space="preserve">concurred that equity considerations are pertinent to </w:t>
      </w:r>
      <w:r>
        <w:t>using</w:t>
      </w:r>
      <w:r w:rsidRPr="0015745E">
        <w:t xml:space="preserve"> imlifidase in </w:t>
      </w:r>
      <w:r>
        <w:t xml:space="preserve">HS </w:t>
      </w:r>
      <w:r w:rsidRPr="0015745E">
        <w:t xml:space="preserve">patients. Notably, pregnancy is a significant factor contributing to </w:t>
      </w:r>
      <w:r>
        <w:t>sensitisation</w:t>
      </w:r>
      <w:r w:rsidRPr="0015745E">
        <w:t xml:space="preserve">, putting women, particularly mothers, at a higher risk of being </w:t>
      </w:r>
      <w:r w:rsidR="00A32553">
        <w:t>HS</w:t>
      </w:r>
      <w:r w:rsidRPr="0015745E">
        <w:t xml:space="preserve"> and potentially facing disadvantages in accessing kidney transplantation. </w:t>
      </w:r>
      <w:r w:rsidR="00B4173C">
        <w:t>C</w:t>
      </w:r>
      <w:r>
        <w:t xml:space="preserve">ertain patient groups, such as Aboriginal and Torres Strait Islander patients and other ethnic minorities, are more likely to be </w:t>
      </w:r>
      <w:r w:rsidR="005D745C">
        <w:t>HS</w:t>
      </w:r>
      <w:r>
        <w:t xml:space="preserve"> and remain on </w:t>
      </w:r>
      <w:r w:rsidR="004A2E3F">
        <w:t>waitlist</w:t>
      </w:r>
      <w:r>
        <w:t>s for extended periods, with minimal prospects for transplantation.</w:t>
      </w:r>
      <w:r w:rsidR="00960F71">
        <w:t xml:space="preserve"> </w:t>
      </w:r>
    </w:p>
    <w:p w14:paraId="560C43D8" w14:textId="129A8006" w:rsidR="00930526" w:rsidRDefault="00DC1628" w:rsidP="00930526">
      <w:r>
        <w:t xml:space="preserve">In consideration of the previous submission, </w:t>
      </w:r>
      <w:r w:rsidR="00872C72">
        <w:t>ESC</w:t>
      </w:r>
      <w:r w:rsidR="00422EE3">
        <w:t xml:space="preserve"> </w:t>
      </w:r>
      <w:r w:rsidR="0014347A">
        <w:t>noted an important ethical issue: an</w:t>
      </w:r>
      <w:r w:rsidR="00807EEA">
        <w:t xml:space="preserve"> equity versus utility trade-off</w:t>
      </w:r>
      <w:r w:rsidR="0014347A">
        <w:t xml:space="preserve"> (MSAC 1732 PSD). O</w:t>
      </w:r>
      <w:r w:rsidR="00C92FB0">
        <w:t>n one hand, imlifidase may increase equity in access to transplantation for HS patients</w:t>
      </w:r>
      <w:r w:rsidR="00960F71">
        <w:t xml:space="preserve"> who otherwise may be unlikely to undergo transplantation</w:t>
      </w:r>
      <w:r w:rsidR="0014347A">
        <w:t>. O</w:t>
      </w:r>
      <w:r w:rsidR="00757BBA">
        <w:t xml:space="preserve">n the other hand, because DD kidneys </w:t>
      </w:r>
      <w:r w:rsidR="00674EA3">
        <w:t>are already fully utilised</w:t>
      </w:r>
      <w:r w:rsidR="0090423A">
        <w:t xml:space="preserve"> and imlifidase does not result in a net increase in DD </w:t>
      </w:r>
      <w:r w:rsidR="00174D26">
        <w:t>kidneys</w:t>
      </w:r>
      <w:r w:rsidR="00660BCF">
        <w:t>,</w:t>
      </w:r>
      <w:r w:rsidR="00837381">
        <w:t xml:space="preserve"> more non-HS patients would remain on the DD </w:t>
      </w:r>
      <w:r w:rsidR="004A2E3F">
        <w:t>waitlist</w:t>
      </w:r>
      <w:r w:rsidR="00837381">
        <w:t xml:space="preserve"> </w:t>
      </w:r>
      <w:r w:rsidR="00F34B61">
        <w:t xml:space="preserve">and on dialysis if there is increased access to DD kidney transplantations for HS </w:t>
      </w:r>
      <w:r w:rsidR="00F34B61" w:rsidRPr="00AB01BC">
        <w:t xml:space="preserve">patients. There may also be poorer </w:t>
      </w:r>
      <w:r w:rsidR="004D7D64">
        <w:t>health</w:t>
      </w:r>
      <w:r w:rsidR="00F34B61" w:rsidRPr="00AB01BC">
        <w:t xml:space="preserve"> outcomes associated with kidney transplants </w:t>
      </w:r>
      <w:r w:rsidR="00183E92">
        <w:t>in</w:t>
      </w:r>
      <w:r w:rsidR="00F34B61" w:rsidRPr="00AB01BC">
        <w:t xml:space="preserve"> the HS population</w:t>
      </w:r>
      <w:r w:rsidR="003D7650">
        <w:t xml:space="preserve"> (MSAC 1732 PSD)</w:t>
      </w:r>
      <w:r w:rsidR="00F34B61" w:rsidRPr="00AB01BC">
        <w:t xml:space="preserve">. </w:t>
      </w:r>
      <w:r w:rsidR="0014347A">
        <w:t>Overall,</w:t>
      </w:r>
      <w:r w:rsidR="00F34B61" w:rsidRPr="00AB01BC">
        <w:t xml:space="preserve"> the increased access to DD transplantations for HS patients facilitated by imlifidase may result in a possible decreased overall utility for the population.</w:t>
      </w:r>
      <w:r w:rsidR="00930526">
        <w:br w:type="page"/>
      </w:r>
    </w:p>
    <w:p w14:paraId="3DD40562" w14:textId="77777777" w:rsidR="00CF7A55" w:rsidRDefault="00CF7A55" w:rsidP="00CF7A55">
      <w:pPr>
        <w:pStyle w:val="Heading2"/>
        <w:numPr>
          <w:ilvl w:val="0"/>
          <w:numId w:val="0"/>
        </w:numPr>
      </w:pPr>
      <w:bookmarkStart w:id="60" w:name="_Toc145678765"/>
      <w:bookmarkStart w:id="61" w:name="_Toc150172410"/>
      <w:bookmarkStart w:id="62" w:name="_Toc153462785"/>
      <w:r>
        <w:lastRenderedPageBreak/>
        <w:t>16.</w:t>
      </w:r>
      <w:r>
        <w:tab/>
        <w:t>Key issues from ESC to MSAC</w:t>
      </w:r>
    </w:p>
    <w:bookmarkEnd w:id="60"/>
    <w:bookmarkEnd w:id="61"/>
    <w:bookmarkEnd w:id="62"/>
    <w:p w14:paraId="5C68F9ED" w14:textId="77777777" w:rsidR="00F84BA7" w:rsidRDefault="00F84BA7" w:rsidP="00F84BA7">
      <w:pPr>
        <w:pStyle w:val="BoxName0"/>
      </w:pPr>
      <w:r w:rsidRPr="00C749CB">
        <w:t>Main issues for MSAC consideration</w:t>
      </w:r>
    </w:p>
    <w:p w14:paraId="4248D20A" w14:textId="77777777" w:rsidR="00F84BA7" w:rsidRDefault="00F84BA7" w:rsidP="00F84BA7">
      <w:pPr>
        <w:pStyle w:val="BoxName0"/>
      </w:pPr>
      <w:r>
        <w:t>Clinical issues:</w:t>
      </w:r>
    </w:p>
    <w:p w14:paraId="7EAE9468" w14:textId="77777777" w:rsidR="00F84BA7" w:rsidRPr="00C13B2E" w:rsidRDefault="00F84BA7" w:rsidP="00F84BA7">
      <w:pPr>
        <w:pStyle w:val="BoxBullet"/>
        <w:rPr>
          <w:b/>
          <w:bCs/>
        </w:rPr>
      </w:pPr>
      <w:r>
        <w:t>The issues with the comparator remain. Despite MSAC’s previous advice, the application retains current care (dialysis) as the comparator for both the LD and DD transplant populations. The applicant should identify, collate and evaluate evidence of effectiveness of other desensitisation treatments.</w:t>
      </w:r>
    </w:p>
    <w:p w14:paraId="0A8064A1" w14:textId="77777777" w:rsidR="00F84BA7" w:rsidRPr="00194327" w:rsidRDefault="00F84BA7" w:rsidP="00F84BA7">
      <w:pPr>
        <w:pStyle w:val="BoxBullet"/>
        <w:rPr>
          <w:b/>
          <w:bCs/>
        </w:rPr>
      </w:pPr>
      <w:r>
        <w:t>Uncertainty in the applicability of the evidence to the Australian clinical population remains. Further investigation is required of which patients in the ANZDATA registry with cPRA ≥99% are likely to be able to receive a transplant with imlifidase treatment. The sociodemographic and clinical data for these patients should then be compared to those presented in the trial data.</w:t>
      </w:r>
    </w:p>
    <w:p w14:paraId="7AA117ED" w14:textId="77777777" w:rsidR="00F84BA7" w:rsidRDefault="00F84BA7" w:rsidP="00F84BA7">
      <w:pPr>
        <w:pStyle w:val="BoxHeading"/>
      </w:pPr>
      <w:r>
        <w:t>Economic issues:</w:t>
      </w:r>
    </w:p>
    <w:p w14:paraId="111FDC15" w14:textId="77777777" w:rsidR="00F84BA7" w:rsidRDefault="00F84BA7" w:rsidP="00F84BA7">
      <w:pPr>
        <w:pStyle w:val="BoxBullet"/>
      </w:pPr>
      <w:r>
        <w:t xml:space="preserve">Results of the cost utility analysis are highly sensitive to the treatment of “displaced recipients”, waitlisted non-HS patients who would receive the transplant in the absence of this intervention. </w:t>
      </w:r>
      <w:r w:rsidRPr="008F4C18">
        <w:t>While the applicant correctly argues that opportunity costs accruing outside the target population are not often considered in a cost-utility analysis, there are strong arguments to consider these impacts with this intervention.</w:t>
      </w:r>
      <w:r>
        <w:t xml:space="preserve"> Additionally, some of the benefits in increasing kidney donations are uncertain (and likely overstated).</w:t>
      </w:r>
    </w:p>
    <w:p w14:paraId="0E4AC435" w14:textId="77777777" w:rsidR="00F84BA7" w:rsidRDefault="00F84BA7" w:rsidP="00F84BA7">
      <w:pPr>
        <w:pStyle w:val="BoxBullet"/>
      </w:pPr>
      <w:r>
        <w:t>Equity issues will likely be important to decision-making in this case. Data to demonstrate the equity/efficiency trade-off, however, such as the impact of the intervention on waitlisted non-HS patients and the differential impacts for those receiving LD and DD transplants, implicit in this intervention were</w:t>
      </w:r>
      <w:r w:rsidRPr="00BA52E6">
        <w:t xml:space="preserve"> </w:t>
      </w:r>
      <w:r>
        <w:t>not clearly presented.</w:t>
      </w:r>
    </w:p>
    <w:p w14:paraId="6555F008" w14:textId="77777777" w:rsidR="00F84BA7" w:rsidRDefault="00F84BA7" w:rsidP="00F84BA7">
      <w:pPr>
        <w:pStyle w:val="BoxHeading"/>
      </w:pPr>
      <w:r>
        <w:t>Financial issues:</w:t>
      </w:r>
    </w:p>
    <w:p w14:paraId="194D6AB2" w14:textId="2EDBB90F" w:rsidR="00F84BA7" w:rsidRDefault="00F84BA7" w:rsidP="00CF7A55">
      <w:pPr>
        <w:pStyle w:val="BoxBullet"/>
      </w:pPr>
      <w:r>
        <w:t xml:space="preserve">The financial estimates are very uncertain. Estimated patient numbers were uncertain (year 1 data were based on overseas data rather than Australian data) and incorrect methods were used for calculating the number of ineligible patients. This resulted in an overestimation of HS patients, consequently resulting in an overestimation of the total financial impact (possibly by up to 30%). Additionally, assumptions around uptake were not justified. The </w:t>
      </w:r>
      <w:r w:rsidRPr="00EA09C8">
        <w:t xml:space="preserve">changes to the financials suggested in the commentary </w:t>
      </w:r>
      <w:r>
        <w:t xml:space="preserve">to address these errors </w:t>
      </w:r>
      <w:r w:rsidRPr="00EA09C8">
        <w:t xml:space="preserve">could be made </w:t>
      </w:r>
      <w:r>
        <w:t xml:space="preserve">by the applicant </w:t>
      </w:r>
      <w:r w:rsidRPr="00EA09C8">
        <w:t>prior to MSAC consideration</w:t>
      </w:r>
      <w:r>
        <w:t>.</w:t>
      </w:r>
    </w:p>
    <w:p w14:paraId="4A02FE50" w14:textId="77777777" w:rsidR="00F84BA7" w:rsidRDefault="00F84BA7" w:rsidP="00B104B2">
      <w:pPr>
        <w:spacing w:before="240"/>
        <w:rPr>
          <w:rStyle w:val="Strong"/>
        </w:rPr>
      </w:pPr>
      <w:r w:rsidRPr="00194327">
        <w:rPr>
          <w:rStyle w:val="Strong"/>
        </w:rPr>
        <w:t>ESC discussion</w:t>
      </w:r>
    </w:p>
    <w:p w14:paraId="6FE3201F" w14:textId="77777777" w:rsidR="00F84BA7" w:rsidRPr="002770D4" w:rsidRDefault="00F84BA7" w:rsidP="00F84BA7">
      <w:r>
        <w:t>ESC noted that this was a resubmission from Hansa Biopharma Australia requesting public funding under the National Health Reform Agreement (NHRA) Addendum for highly specialised therapies for the use of imlifidase in the desensitisation therapy of highly sensitised (HS) adult kidney transplant patients with a positive crossmatch against an available diseased donor (DD) or living donor (LD) who are unlikely to be transplanted under current kidney allocation systems. ESC noted that imlifidase received provisional registration on the Australian Register of Therapeutic Goods (ARTG; ID 391413) in July 2023.</w:t>
      </w:r>
    </w:p>
    <w:p w14:paraId="77543607" w14:textId="77777777" w:rsidR="00F84BA7" w:rsidRDefault="00F84BA7" w:rsidP="00F84BA7">
      <w:r>
        <w:t>ESC recalled that MSAC considered the original application (</w:t>
      </w:r>
      <w:hyperlink r:id="rId14" w:history="1">
        <w:r w:rsidRPr="002748DE">
          <w:rPr>
            <w:rStyle w:val="Hyperlink"/>
          </w:rPr>
          <w:t>1732</w:t>
        </w:r>
      </w:hyperlink>
      <w:r>
        <w:t xml:space="preserve">) at its July 2023 meeting. </w:t>
      </w:r>
      <w:r w:rsidRPr="00EB30CC">
        <w:t>MSAC did not support public funding</w:t>
      </w:r>
      <w:r>
        <w:t xml:space="preserve"> at the time</w:t>
      </w:r>
      <w:r w:rsidRPr="00EB30CC">
        <w:t xml:space="preserve">. The key matters of concern included eligibility criteria and </w:t>
      </w:r>
      <w:r>
        <w:t xml:space="preserve">the </w:t>
      </w:r>
      <w:r w:rsidRPr="00EB30CC">
        <w:t>clinical place of therapy (</w:t>
      </w:r>
      <w:r>
        <w:t>with MSAC recommending</w:t>
      </w:r>
      <w:r w:rsidRPr="00EB30CC">
        <w:t xml:space="preserve"> </w:t>
      </w:r>
      <w:r>
        <w:t xml:space="preserve">a </w:t>
      </w:r>
      <w:r w:rsidRPr="00EB30CC">
        <w:t>revised population and comparators), implementation issues relating to the centres offering the proposed technology, commercial terms</w:t>
      </w:r>
      <w:r>
        <w:t>,</w:t>
      </w:r>
      <w:r w:rsidRPr="00EB30CC">
        <w:t xml:space="preserve"> and concerns regarding the economic and financial modelling.</w:t>
      </w:r>
      <w:r>
        <w:t xml:space="preserve"> ESC noted that </w:t>
      </w:r>
      <w:r>
        <w:lastRenderedPageBreak/>
        <w:t>the current application attempted to address MSAC’s key matters of concern from the original application.</w:t>
      </w:r>
    </w:p>
    <w:p w14:paraId="74A9929E" w14:textId="1A854CAD" w:rsidR="00F84BA7" w:rsidRDefault="00F84BA7" w:rsidP="00F84BA7">
      <w:r w:rsidRPr="005623E4">
        <w:rPr>
          <w:rFonts w:cs="Calibri"/>
        </w:rPr>
        <w:t xml:space="preserve">ESC noted and welcomed consultation input from </w:t>
      </w:r>
      <w:r>
        <w:rPr>
          <w:rFonts w:cs="Calibri"/>
        </w:rPr>
        <w:t>two (2)</w:t>
      </w:r>
      <w:r w:rsidRPr="005623E4">
        <w:rPr>
          <w:rFonts w:cs="Calibri"/>
        </w:rPr>
        <w:t xml:space="preserve"> professional organisations, </w:t>
      </w:r>
      <w:r>
        <w:rPr>
          <w:rFonts w:cs="Calibri"/>
        </w:rPr>
        <w:t>two (2)</w:t>
      </w:r>
      <w:r w:rsidRPr="005623E4">
        <w:rPr>
          <w:rFonts w:cs="Calibri"/>
        </w:rPr>
        <w:t xml:space="preserve"> consumer organisations and </w:t>
      </w:r>
      <w:r>
        <w:rPr>
          <w:rFonts w:cs="Calibri"/>
        </w:rPr>
        <w:t>five (5)</w:t>
      </w:r>
      <w:r w:rsidRPr="005623E4">
        <w:rPr>
          <w:rFonts w:cs="Calibri"/>
        </w:rPr>
        <w:t xml:space="preserve"> individuals, </w:t>
      </w:r>
      <w:r>
        <w:rPr>
          <w:rFonts w:cs="Calibri"/>
        </w:rPr>
        <w:t xml:space="preserve">of whom four </w:t>
      </w:r>
      <w:r w:rsidRPr="005623E4">
        <w:rPr>
          <w:rFonts w:cs="Calibri"/>
        </w:rPr>
        <w:t xml:space="preserve">were </w:t>
      </w:r>
      <w:r>
        <w:rPr>
          <w:rFonts w:cs="Calibri"/>
        </w:rPr>
        <w:t xml:space="preserve">specialists and one a </w:t>
      </w:r>
      <w:r w:rsidRPr="005623E4">
        <w:rPr>
          <w:rFonts w:cs="Calibri"/>
        </w:rPr>
        <w:t>consumer</w:t>
      </w:r>
      <w:r>
        <w:rPr>
          <w:rFonts w:cs="Calibri"/>
        </w:rPr>
        <w:t xml:space="preserve">. </w:t>
      </w:r>
      <w:r>
        <w:t xml:space="preserve">ESC noted that public consultation feedback was supportive of this treatment being funded. Feedback noted that many HS patients requiring kidney transplant have limited options, and that living on dialysis impacts family, finances and the ability to participate in many life activities. Consumer feedback stated that disadvantages of imlifidase such as hospitalisation and potential adverse events would be minimal compared to what patients would have to experience if </w:t>
      </w:r>
      <w:r w:rsidRPr="002C0ACD">
        <w:t xml:space="preserve">they could not access a transplant. Other feedback noted that there did not seem to be many people receiving access to other desensitisation options, but ESC was unclear if this meant that patients were not opting for alternative treatments or whether alternative treatments were not being offered to patients. ESC also noted concerns about the proposed financial cap of </w:t>
      </w:r>
      <w:r w:rsidR="00822E67" w:rsidRPr="002C0ACD">
        <w:rPr>
          <w:b/>
          <w:bCs/>
        </w:rPr>
        <w:t>redacted</w:t>
      </w:r>
      <w:r w:rsidRPr="002C0ACD">
        <w:t xml:space="preserve"> patients per year, as there are currently around 100 eligible patients on the donor waitlist. The feedback also noted that there are qualitative differences between transplants in terms of the overall benefits gained by each transplanted individual and that the availability of imlifidase allows for appropriate allocation of organs for trans</w:t>
      </w:r>
      <w:r>
        <w:t>plantation, in selected instances.</w:t>
      </w:r>
    </w:p>
    <w:p w14:paraId="286A9CC7" w14:textId="23C88C46" w:rsidR="00F84BA7" w:rsidRDefault="00F84BA7" w:rsidP="00F84BA7">
      <w:r>
        <w:t xml:space="preserve">ESC noted that consultation feedback was also received from </w:t>
      </w:r>
      <w:r w:rsidR="00590C6C" w:rsidRPr="009E2F9F">
        <w:rPr>
          <w:b/>
          <w:bCs/>
        </w:rPr>
        <w:t xml:space="preserve">redacted </w:t>
      </w:r>
      <w:r>
        <w:t>state health departments</w:t>
      </w:r>
      <w:r w:rsidR="00590C6C">
        <w:t>.</w:t>
      </w:r>
    </w:p>
    <w:p w14:paraId="1D0D4EFE" w14:textId="5FBA27BA" w:rsidR="00F84BA7" w:rsidRDefault="00590C6C" w:rsidP="009E2F9F">
      <w:pPr>
        <w:spacing w:before="0" w:after="240" w:line="240" w:lineRule="auto"/>
      </w:pPr>
      <w:r w:rsidRPr="009E2F9F">
        <w:rPr>
          <w:b/>
          <w:bCs/>
        </w:rPr>
        <w:t xml:space="preserve">Redacted </w:t>
      </w:r>
      <w:r w:rsidR="00F84BA7">
        <w:t>was supportive of public funding of imlifidase, given the high clinical need and the clinical feedback. The feedback noted that this treatment should occur in limited specialised centres to maintain safety, quality and proficiency, and should also undergo monitoring for outcomes and costs given the level of available evidence. It also suggested that this would be best managed through State and Territory data collection and the existing Australian and New Zealand Dialysis and Transplant Registry (ANZDATA).</w:t>
      </w:r>
    </w:p>
    <w:p w14:paraId="7EAC073F" w14:textId="240E3C3D" w:rsidR="003B29E0" w:rsidRDefault="00E15D13" w:rsidP="00A9680D">
      <w:pPr>
        <w:spacing w:before="0" w:after="240" w:line="240" w:lineRule="auto"/>
      </w:pPr>
      <w:r w:rsidRPr="009E2F9F">
        <w:rPr>
          <w:b/>
          <w:bCs/>
        </w:rPr>
        <w:t xml:space="preserve">Redacted </w:t>
      </w:r>
      <w:r w:rsidR="00F84BA7">
        <w:t xml:space="preserve">highlighted the need to consider how this treatment would be positioned within the kidney allocation algorithm. The feedback also noted the possible challenges with implementation due to the heterogeneous patient population and relatively short follow-up, citing the UK National Institute for Health and Care Excellence (NICE). The feedback emphasised the need to develop appropriate guidelines by the Transplantation Society of Australia and New Zealand (TSANZ) before any recommendation is made by MSAC, with the key issues being the uncertainties about the correct comparator, the potential placement in the treatment pathway, generalisability of the evidence for the Australian population outside of the clinical study, and uncertainties about the effectiveness, safety and long-term outcomes. The feedback also noted that </w:t>
      </w:r>
      <w:r w:rsidR="006A6BA8" w:rsidRPr="009E2F9F">
        <w:rPr>
          <w:b/>
          <w:bCs/>
        </w:rPr>
        <w:t>redacted</w:t>
      </w:r>
      <w:r w:rsidR="00F84BA7">
        <w:t xml:space="preserve"> each year would meet the proposed eligibility criteria, and outlined other treatments currently in clinical trials that may be of use to the patient population.</w:t>
      </w:r>
      <w:r w:rsidR="00A9680D">
        <w:t xml:space="preserve"> </w:t>
      </w:r>
      <w:r w:rsidR="003B29E0">
        <w:t xml:space="preserve"> </w:t>
      </w:r>
      <w:r w:rsidR="00F84BA7">
        <w:t xml:space="preserve">Feedback from </w:t>
      </w:r>
      <w:r w:rsidR="00A9680D" w:rsidRPr="009E2F9F">
        <w:rPr>
          <w:b/>
          <w:bCs/>
        </w:rPr>
        <w:t>redacted</w:t>
      </w:r>
      <w:r w:rsidR="00F84BA7">
        <w:t xml:space="preserve"> included </w:t>
      </w:r>
      <w:r w:rsidR="00937920" w:rsidRPr="009E2F9F">
        <w:rPr>
          <w:b/>
          <w:bCs/>
        </w:rPr>
        <w:t>redacted</w:t>
      </w:r>
      <w:r w:rsidR="00937920">
        <w:t xml:space="preserve"> </w:t>
      </w:r>
      <w:r w:rsidR="00F84BA7">
        <w:t>evidence of this intervention being used in</w:t>
      </w:r>
      <w:r w:rsidR="003F41B6">
        <w:t xml:space="preserve"> </w:t>
      </w:r>
      <w:r w:rsidR="003F41B6" w:rsidRPr="009E2F9F">
        <w:rPr>
          <w:b/>
          <w:bCs/>
        </w:rPr>
        <w:t>redacted</w:t>
      </w:r>
      <w:r w:rsidR="00F84BA7">
        <w:t xml:space="preserve">. </w:t>
      </w:r>
      <w:r w:rsidR="008628BA" w:rsidRPr="009E2F9F">
        <w:rPr>
          <w:b/>
          <w:bCs/>
        </w:rPr>
        <w:t>Redacted</w:t>
      </w:r>
      <w:r w:rsidR="008628BA">
        <w:t xml:space="preserve"> </w:t>
      </w:r>
      <w:r w:rsidR="00F84BA7">
        <w:t xml:space="preserve">There were substantial additional resources and costs associated with this patient during and post-treatment, so feedback considered it preferable for the Commonwealth to negotiate a lower price, considering the actual costs associated with the treatment and anticipated delivery costs. </w:t>
      </w:r>
    </w:p>
    <w:p w14:paraId="5D2F62E8" w14:textId="3CEE5024" w:rsidR="00F84BA7" w:rsidRDefault="003B29E0" w:rsidP="009E2F9F">
      <w:pPr>
        <w:spacing w:before="0" w:after="240" w:line="240" w:lineRule="auto"/>
      </w:pPr>
      <w:r w:rsidRPr="009E2F9F">
        <w:rPr>
          <w:b/>
          <w:bCs/>
        </w:rPr>
        <w:t>Redacted</w:t>
      </w:r>
      <w:r w:rsidR="00F84BA7">
        <w:t xml:space="preserve"> supported an outcomes-based payment approach that shares the risk between the sponsor and funding governments. As well as supporting restriction to experienced specialist centres and a post-market review, feedback also suggested revision of the proposed annual financial cap on patients, noting that it may raise equity and access issues. The feedback also suggested establishment of a data collection mechanism before any recommendation is made by MSAC, and that the cost of this should be covered by the sponsor, with the data made available to the Commonwealth, State and Territory Governments. The feedback considered that imlifidase might offer potential to improve equitable allocation of transplant services for cohorts who are at higher risk of sensitisation including women, Aboriginal and Torres Strait Islander people and previously transplanted individuals. The feedback also stated that</w:t>
      </w:r>
      <w:r w:rsidR="00D921BC">
        <w:t xml:space="preserve"> </w:t>
      </w:r>
      <w:r w:rsidR="00D921BC" w:rsidRPr="009E2F9F">
        <w:rPr>
          <w:b/>
          <w:bCs/>
        </w:rPr>
        <w:t>redacted</w:t>
      </w:r>
      <w:r w:rsidR="00F84BA7">
        <w:t xml:space="preserve">. In addition, despite </w:t>
      </w:r>
      <w:r w:rsidR="00F84BA7">
        <w:lastRenderedPageBreak/>
        <w:t xml:space="preserve">imlifidase being available on a compassionate basis by the sponsor at selected health services, usage has been minimal which the feedback indicated might be due to other implementation barriers preventing uptake. </w:t>
      </w:r>
    </w:p>
    <w:p w14:paraId="7DF24B86" w14:textId="77777777" w:rsidR="00F84BA7" w:rsidRDefault="00F84BA7" w:rsidP="00F84BA7">
      <w:r>
        <w:t xml:space="preserve">Regarding patient eligibility, ESC noted that the applicant-developed assessment report (ADAR) for the resubmission followed MSAC’s advice and limited eligibility to patients with calculated panel reactive antibody (cPRA) levels ≥99% who had been on the DD waitlist for &gt;2 years. However, ESC noted that the ADAR proposed a population descriptor for potential recipients of LD transplants that was broader than what was originally recommended by MSAC. The proposed eligible population for LD transplants is </w:t>
      </w:r>
      <w:r w:rsidRPr="0071773D">
        <w:t>cPRA</w:t>
      </w:r>
      <w:r w:rsidRPr="0071773D">
        <w:rPr>
          <w:rFonts w:ascii="Arial" w:hAnsi="Arial" w:cs="Arial"/>
        </w:rPr>
        <w:t> </w:t>
      </w:r>
      <w:r>
        <w:rPr>
          <w:rFonts w:ascii="Arial" w:hAnsi="Arial" w:cs="Arial"/>
        </w:rPr>
        <w:t>≥</w:t>
      </w:r>
      <w:r w:rsidRPr="0071773D">
        <w:t xml:space="preserve">99% + </w:t>
      </w:r>
      <w:r>
        <w:t>d</w:t>
      </w:r>
      <w:r w:rsidRPr="0071773D">
        <w:t xml:space="preserve">esensitisation failed/contraindicated; </w:t>
      </w:r>
      <w:r>
        <w:t>or c</w:t>
      </w:r>
      <w:r w:rsidRPr="0071773D">
        <w:t>linical judgement that plasmapheresis/</w:t>
      </w:r>
      <w:r>
        <w:t>intravenous immunoglobulin (</w:t>
      </w:r>
      <w:r w:rsidRPr="0071773D">
        <w:t>IVIG</w:t>
      </w:r>
      <w:r>
        <w:t>)</w:t>
      </w:r>
      <w:r w:rsidRPr="0071773D">
        <w:t xml:space="preserve">/rituximab-based desensitisation </w:t>
      </w:r>
      <w:r>
        <w:t xml:space="preserve">is </w:t>
      </w:r>
      <w:r w:rsidRPr="0071773D">
        <w:t xml:space="preserve">considered unlikely to provide a sufficient decrease in antibodies to enable transplantation; </w:t>
      </w:r>
      <w:r>
        <w:t>or p</w:t>
      </w:r>
      <w:r w:rsidRPr="0071773D">
        <w:t>lasmapheresis/IVIG/rituximab-based desensiti</w:t>
      </w:r>
      <w:r>
        <w:t>s</w:t>
      </w:r>
      <w:r w:rsidRPr="0071773D">
        <w:t xml:space="preserve">ation </w:t>
      </w:r>
      <w:r>
        <w:t xml:space="preserve">is </w:t>
      </w:r>
      <w:r w:rsidRPr="0071773D">
        <w:t>not logistically compatible with the patient’s circumstance or organisation of the centre</w:t>
      </w:r>
      <w:r>
        <w:t xml:space="preserve">. ESC considered that while this proposed population signals that imlifidase is considered second-line treatment, it leaves the placement of the treatment up to clinicians’ discretion. </w:t>
      </w:r>
    </w:p>
    <w:p w14:paraId="53484D70" w14:textId="1B967D0D" w:rsidR="00F84BA7" w:rsidRDefault="00F84BA7" w:rsidP="00F84BA7">
      <w:r>
        <w:t>ESC recalled that, in its consideration of the original application, MSAC had advised that the applicant consult with the Renal Transplant Advisory Committee (RTAC) of the TSANZ about the clinical place and revised population informed by data from the ANZDATA. ESC noted that RTAC was generally supportive of the revised population but questioned the additional criterion proposed in the ADAR relating to LD transplant recipients not being managed with existing desensitising regimens due to logistical reasons, noting that a substantial proportion of recipients managed with imlifidase will require existing desensitisation regimens to manage rejection. RTAC also advised, in response to the MSAC recommendation in 1732, that imlifidase use be restricted to centres of excellence with relevant experience in the management of HS patients and complex rejection with good access to appropriate support services, and that state transplant advisory committees could define which centres have capability. ESC noted that, based on the applicant’s survey, 10 of the 11 centres claimed to have capability which was more than what MSAC had identified in its previous consideration.</w:t>
      </w:r>
      <w:r w:rsidR="00AB5813">
        <w:t xml:space="preserve"> </w:t>
      </w:r>
      <w:r w:rsidR="00AB5813" w:rsidRPr="00B669C6">
        <w:t xml:space="preserve">States and Territories decide on </w:t>
      </w:r>
      <w:r w:rsidR="00AB5813" w:rsidRPr="00242D14">
        <w:t>when and where the therapy will be provided</w:t>
      </w:r>
      <w:r w:rsidR="00AB5813" w:rsidRPr="00B669C6">
        <w:t>, aligning with the governance processes outlined within the NHRA (Addendum) Appendix B</w:t>
      </w:r>
      <w:r w:rsidR="00AB5813">
        <w:t>.</w:t>
      </w:r>
    </w:p>
    <w:p w14:paraId="17CFA1F9" w14:textId="77777777" w:rsidR="00F84BA7" w:rsidRPr="000A498E" w:rsidRDefault="00F84BA7" w:rsidP="00F84BA7">
      <w:r>
        <w:t>ESC recalled that MSAC had previously advised that i</w:t>
      </w:r>
      <w:r w:rsidRPr="00591EFE">
        <w:t xml:space="preserve">nsufficient attention </w:t>
      </w:r>
      <w:r>
        <w:t>had been paid to</w:t>
      </w:r>
      <w:r w:rsidRPr="00591EFE">
        <w:t xml:space="preserve"> potential alternatives as comparators</w:t>
      </w:r>
      <w:r>
        <w:t>,</w:t>
      </w:r>
      <w:r w:rsidRPr="00591EFE">
        <w:t xml:space="preserve"> including plasma exchange and other desensitisation protocols differentially applied for potential recipients of LD and DD </w:t>
      </w:r>
      <w:r>
        <w:t>transplants. MSAC considered that d</w:t>
      </w:r>
      <w:r w:rsidRPr="00591EFE">
        <w:t xml:space="preserve">esensitisation protocols (IVIG, rituximab, plasma exchange) </w:t>
      </w:r>
      <w:r>
        <w:t>we</w:t>
      </w:r>
      <w:r w:rsidRPr="00591EFE">
        <w:t xml:space="preserve">re a comparator for imlifidase, </w:t>
      </w:r>
      <w:r>
        <w:t>and that there was</w:t>
      </w:r>
      <w:r w:rsidRPr="00591EFE">
        <w:t xml:space="preserve"> likely </w:t>
      </w:r>
      <w:r>
        <w:t xml:space="preserve">a </w:t>
      </w:r>
      <w:r w:rsidRPr="00591EFE">
        <w:t>cost differential</w:t>
      </w:r>
      <w:r>
        <w:t xml:space="preserve"> between these agents and imlifidase. In response, the applicant surveyed adult renal transplant centres, finding that 45% (5/11) of the centres had not attempted available desensitisation in the past year, and of those who had, desensitisation was offered to a minority (&lt;20%) of HS patients. ESC questioned whether this reflected best practice, and if desensitisation should be offered more frequently to patients on the DD transplant waitlist. ESC noted that based on the results of the survey, the applicant retained the comparator as current care (dialysis). ESC noted that independent clinical feedback sought for the commentary suggested that </w:t>
      </w:r>
      <w:r w:rsidRPr="00F016EE">
        <w:t xml:space="preserve">imlifidase would typically be targeted at patients with antibody levels that would contraindicate them for use with existing desensitisation regimens (e.g. plasma exchange). </w:t>
      </w:r>
      <w:r>
        <w:t xml:space="preserve">ESC also noted from the commentary that there was an absence of </w:t>
      </w:r>
      <w:r w:rsidRPr="00B46E27">
        <w:t>clinical practice guidelines or other published evidence</w:t>
      </w:r>
      <w:r>
        <w:t xml:space="preserve"> for the use of desensitisation treatments</w:t>
      </w:r>
      <w:r w:rsidRPr="00B46E27">
        <w:t xml:space="preserve">, </w:t>
      </w:r>
      <w:r>
        <w:t xml:space="preserve">and that this was </w:t>
      </w:r>
      <w:r w:rsidRPr="00B46E27">
        <w:t>predominantly informed by expert clinical opinion</w:t>
      </w:r>
      <w:r>
        <w:t>, which varies across centres and among patients.</w:t>
      </w:r>
      <w:r w:rsidRPr="00B46E27">
        <w:t xml:space="preserve"> </w:t>
      </w:r>
      <w:r>
        <w:t>The commentary also noted u</w:t>
      </w:r>
      <w:r w:rsidRPr="00B46E27">
        <w:t>ncertainty around whether current desensitisation therapies are an appropriate comparator alongside dialysis.</w:t>
      </w:r>
      <w:r>
        <w:t xml:space="preserve"> ESC noted from the commentary of the previous submission (MSAC 1732) that trial</w:t>
      </w:r>
      <w:r w:rsidRPr="00B46E27">
        <w:t xml:space="preserve"> evidence </w:t>
      </w:r>
      <w:r>
        <w:t xml:space="preserve">from study 15-HMedldeS-06 demonstrated significant reduction in post-transplantation donor specific antibody </w:t>
      </w:r>
      <w:r>
        <w:lastRenderedPageBreak/>
        <w:t>(DSA) levels, in certain populations compared to others and this was attributed likely due to the use of</w:t>
      </w:r>
      <w:r w:rsidRPr="00B46E27">
        <w:t xml:space="preserve"> IVIG and rituximab </w:t>
      </w:r>
      <w:r>
        <w:t>before and after transplantation</w:t>
      </w:r>
      <w:r w:rsidRPr="00B46E27">
        <w:t>, suggesting</w:t>
      </w:r>
      <w:r>
        <w:t xml:space="preserve"> that</w:t>
      </w:r>
      <w:r w:rsidRPr="00B46E27">
        <w:t xml:space="preserve"> these desensitisation </w:t>
      </w:r>
      <w:r>
        <w:t>therapies</w:t>
      </w:r>
      <w:r w:rsidRPr="00B46E27">
        <w:t xml:space="preserve"> are potentially effective</w:t>
      </w:r>
      <w:r>
        <w:t>. ESC noted that, in the pre-ESC response, the applicant claimed that it was not able to identify any successful studies of kidney transplant desensitisation for patients with cPRA ≥99% outside of the imlifidase literature. However, ESC considered that the issue of appropriate comparator remains unresolved and a targeted literature search to summarise evidence on the effectiveness of current desensitisation treatments may be useful for MSAC decision-making.</w:t>
      </w:r>
    </w:p>
    <w:p w14:paraId="13859099" w14:textId="77777777" w:rsidR="00F84BA7" w:rsidRPr="000A498E" w:rsidRDefault="00F84BA7" w:rsidP="00F84BA7">
      <w:r>
        <w:t>ESC noted the revised clinical management algorithm included a more targeted population. However, ESC noted from the commentary that the applicant had not addressed previous comments regarding whether there are likely to be changes in resource use, nor provided any indication on how the algorithm was informed (guidelines, studies, experts, etc.).</w:t>
      </w:r>
      <w:r w:rsidRPr="00D57468">
        <w:t xml:space="preserve"> </w:t>
      </w:r>
      <w:r>
        <w:t>ESC noted that the proposed c</w:t>
      </w:r>
      <w:r w:rsidRPr="00D57468">
        <w:t>hange in treatment may present challenges for implementation at treatment centres</w:t>
      </w:r>
      <w:r>
        <w:t xml:space="preserve"> and there was a lack of information in the ADAR on </w:t>
      </w:r>
      <w:r w:rsidRPr="00D57468">
        <w:t xml:space="preserve">whether there may be any logistical </w:t>
      </w:r>
      <w:r>
        <w:t>challenges of</w:t>
      </w:r>
      <w:r w:rsidRPr="00D57468">
        <w:t xml:space="preserve"> including imlifidase in clinical practice or whether there may be any variation in practice across kidney transplant units.</w:t>
      </w:r>
    </w:p>
    <w:p w14:paraId="0608E779" w14:textId="77777777" w:rsidR="00F84BA7" w:rsidRDefault="00F84BA7" w:rsidP="00F84BA7">
      <w:r>
        <w:t>ESC considered that, while the ADAR updated the clinical data consistent with the proposed new population and included some follow-up data as requested by MSAC in its consideration of Application 1732, the new data were very limited. ESC noted that the clinical evidence base did not include any direct</w:t>
      </w:r>
      <w:r w:rsidRPr="004F768F">
        <w:t xml:space="preserve"> comparative studies</w:t>
      </w:r>
      <w:r>
        <w:t>, but instead comprised an indirect comparison between the intervention and</w:t>
      </w:r>
      <w:r w:rsidRPr="004F768F">
        <w:t xml:space="preserve"> comparator. </w:t>
      </w:r>
      <w:r>
        <w:t xml:space="preserve">The evidence base for safety and effectiveness comprised data </w:t>
      </w:r>
      <w:r w:rsidRPr="004F768F">
        <w:t xml:space="preserve">from uncontrolled, single-arm, open-label </w:t>
      </w:r>
      <w:r>
        <w:t>p</w:t>
      </w:r>
      <w:r w:rsidRPr="004F768F">
        <w:t>hase</w:t>
      </w:r>
      <w:r>
        <w:t> </w:t>
      </w:r>
      <w:r w:rsidRPr="004F768F">
        <w:t>I/II studies with no Australian patients</w:t>
      </w:r>
      <w:r>
        <w:t>. ESC agreed with the commentary that the comparative clinical effectiveness data had a high risk of bias due to residual confounding, equivalent to evidence from observational studies typically assessed as low quality.</w:t>
      </w:r>
    </w:p>
    <w:p w14:paraId="1EA4AEAD" w14:textId="77777777" w:rsidR="00F84BA7" w:rsidRDefault="00F84BA7" w:rsidP="00F84BA7">
      <w:r>
        <w:t>The data in the intervention arm i</w:t>
      </w:r>
      <w:r w:rsidRPr="004F768F">
        <w:t>nclude</w:t>
      </w:r>
      <w:r>
        <w:t>d</w:t>
      </w:r>
      <w:r w:rsidRPr="004F768F">
        <w:t xml:space="preserve"> a subset analysis of patients fitting criteria requested by MSAC</w:t>
      </w:r>
      <w:r>
        <w:t xml:space="preserve">, namely </w:t>
      </w:r>
      <w:r w:rsidRPr="001911EB">
        <w:t xml:space="preserve">imlifidase-enabled transplant patients </w:t>
      </w:r>
      <w:r>
        <w:t xml:space="preserve">with a </w:t>
      </w:r>
      <w:r w:rsidRPr="001911EB">
        <w:t>cPRA ≥99% wait listed for ≥2 years</w:t>
      </w:r>
      <w:r>
        <w:t xml:space="preserve">, henceforth known as AUS-UTT-A </w:t>
      </w:r>
      <w:r w:rsidRPr="004F768F">
        <w:t>(</w:t>
      </w:r>
      <w:r w:rsidRPr="00183A68">
        <w:rPr>
          <w:i/>
          <w:iCs/>
        </w:rPr>
        <w:t>n</w:t>
      </w:r>
      <w:r>
        <w:t> </w:t>
      </w:r>
      <w:r w:rsidRPr="004F768F">
        <w:t>=</w:t>
      </w:r>
      <w:r>
        <w:t> </w:t>
      </w:r>
      <w:r w:rsidRPr="004F768F">
        <w:t>24)</w:t>
      </w:r>
      <w:r>
        <w:t>, which</w:t>
      </w:r>
      <w:r w:rsidRPr="004F768F">
        <w:t xml:space="preserve"> </w:t>
      </w:r>
      <w:r>
        <w:t xml:space="preserve">was </w:t>
      </w:r>
      <w:r w:rsidRPr="004F768F">
        <w:t xml:space="preserve">extracted from </w:t>
      </w:r>
      <w:r>
        <w:t>all imlifidase treated patients who underwent a transplant</w:t>
      </w:r>
      <w:r w:rsidRPr="004F768F">
        <w:t xml:space="preserve"> (</w:t>
      </w:r>
      <w:r w:rsidRPr="009A4082">
        <w:rPr>
          <w:i/>
          <w:iCs/>
        </w:rPr>
        <w:t>N</w:t>
      </w:r>
      <w:r>
        <w:t> </w:t>
      </w:r>
      <w:r w:rsidRPr="004F768F">
        <w:t>=</w:t>
      </w:r>
      <w:r>
        <w:t> </w:t>
      </w:r>
      <w:r w:rsidRPr="004F768F">
        <w:t>46).</w:t>
      </w:r>
      <w:r>
        <w:t xml:space="preserve"> ESC noted that while the trial </w:t>
      </w:r>
      <w:r w:rsidRPr="00BD52C5">
        <w:t>populations are defined based on cPRA, wait time and crossmatch positive criteria</w:t>
      </w:r>
      <w:r>
        <w:t>, o</w:t>
      </w:r>
      <w:r w:rsidRPr="00BD52C5">
        <w:t xml:space="preserve">ther factors </w:t>
      </w:r>
      <w:r>
        <w:t xml:space="preserve">such as </w:t>
      </w:r>
      <w:r w:rsidRPr="00BD52C5">
        <w:t>the need to have failed an existing desensitisation regimen</w:t>
      </w:r>
      <w:r>
        <w:t xml:space="preserve"> (as proposed by MSAC in 1732) and additional criteria proposed by the ADAR such as </w:t>
      </w:r>
      <w:r w:rsidRPr="00BD52C5">
        <w:t>contraindications to existing regimens</w:t>
      </w:r>
      <w:r>
        <w:t>,</w:t>
      </w:r>
      <w:r w:rsidRPr="00BD52C5">
        <w:t xml:space="preserve"> and logistical issues</w:t>
      </w:r>
      <w:r>
        <w:t>,</w:t>
      </w:r>
      <w:r w:rsidRPr="00BD52C5">
        <w:t xml:space="preserve"> c</w:t>
      </w:r>
      <w:r>
        <w:t>ould not</w:t>
      </w:r>
      <w:r w:rsidRPr="00BD52C5">
        <w:t xml:space="preserve"> be evaluated due to an absence of data on these factors in the AUS-UTT-A dataset specific to LD and DD </w:t>
      </w:r>
      <w:r>
        <w:t>transplant recipients</w:t>
      </w:r>
      <w:r w:rsidRPr="00BD52C5">
        <w:t>.</w:t>
      </w:r>
      <w:r w:rsidRPr="00AB0BF2">
        <w:t xml:space="preserve"> </w:t>
      </w:r>
      <w:r>
        <w:t>ESC also noted that t</w:t>
      </w:r>
      <w:r w:rsidRPr="00AB0BF2">
        <w:t>he AUS-UTT-A population only include</w:t>
      </w:r>
      <w:r>
        <w:t>d</w:t>
      </w:r>
      <w:r w:rsidRPr="00AB0BF2">
        <w:t xml:space="preserve"> patients with a wait time </w:t>
      </w:r>
      <w:r>
        <w:t>of</w:t>
      </w:r>
      <w:r w:rsidRPr="00AB0BF2">
        <w:t xml:space="preserve"> ≥2 years</w:t>
      </w:r>
      <w:r>
        <w:t xml:space="preserve"> (for both LD and DD transplant recipients)</w:t>
      </w:r>
      <w:r w:rsidRPr="00AB0BF2">
        <w:t>, while the proposed eligibility criteria for patients with an available LD do not restrict eligibility based on wait time.</w:t>
      </w:r>
      <w:r w:rsidRPr="008D1826">
        <w:t xml:space="preserve"> </w:t>
      </w:r>
      <w:r>
        <w:t xml:space="preserve">However, </w:t>
      </w:r>
      <w:r w:rsidRPr="008D1826">
        <w:t xml:space="preserve">the number of LD </w:t>
      </w:r>
      <w:r>
        <w:t>transplant</w:t>
      </w:r>
      <w:r w:rsidRPr="008D1826">
        <w:t xml:space="preserve"> recipients potentially excluded from the AUS-UTT-A population based on waitlist time is small.</w:t>
      </w:r>
      <w:r w:rsidRPr="00E42041">
        <w:t xml:space="preserve"> </w:t>
      </w:r>
      <w:r>
        <w:t xml:space="preserve">ESC noted that it was </w:t>
      </w:r>
      <w:r w:rsidRPr="00E42041">
        <w:t xml:space="preserve">unclear what impact wait time has on cPRA level </w:t>
      </w:r>
      <w:r>
        <w:t xml:space="preserve">though </w:t>
      </w:r>
      <w:r w:rsidRPr="00E42041">
        <w:t xml:space="preserve">general evidence relating to kidney transplantation success rates and wait times suggest a positive correlation between shorter wait times and better outcomes. Therefore, </w:t>
      </w:r>
      <w:r>
        <w:t xml:space="preserve">ESC agreed with the commentary that </w:t>
      </w:r>
      <w:r w:rsidRPr="00E42041">
        <w:t>the evidence from the AUS-UTT-A population may over-represent failure rates compared to the eligible LD population that may comparatively have shorter wait times.</w:t>
      </w:r>
    </w:p>
    <w:p w14:paraId="2ECDF2A6" w14:textId="77777777" w:rsidR="00F84BA7" w:rsidRDefault="00F84BA7" w:rsidP="00F84BA7">
      <w:r>
        <w:t>ESC noted from the ADAR that the c</w:t>
      </w:r>
      <w:r w:rsidRPr="00BC7EDB">
        <w:t xml:space="preserve">omparator outcomes data </w:t>
      </w:r>
      <w:r>
        <w:t xml:space="preserve">could not </w:t>
      </w:r>
      <w:r w:rsidRPr="00BC7EDB">
        <w:t>be sourced from a single source</w:t>
      </w:r>
      <w:r>
        <w:t>,</w:t>
      </w:r>
      <w:r w:rsidRPr="00BC7EDB">
        <w:t xml:space="preserve"> and therefore include</w:t>
      </w:r>
      <w:r>
        <w:t>d</w:t>
      </w:r>
      <w:r w:rsidRPr="00BC7EDB">
        <w:t xml:space="preserve"> data from multiple, relevant, Australian sources</w:t>
      </w:r>
      <w:r>
        <w:t>,</w:t>
      </w:r>
      <w:r w:rsidRPr="00BC7EDB">
        <w:t xml:space="preserve"> including TSANZ data on Australian haemodialysis and transplant waiting list patient outcomes for DD</w:t>
      </w:r>
      <w:r>
        <w:t xml:space="preserve"> transplant recipients,</w:t>
      </w:r>
      <w:r w:rsidRPr="00BC7EDB">
        <w:t xml:space="preserve"> and from </w:t>
      </w:r>
      <w:r>
        <w:t xml:space="preserve">the </w:t>
      </w:r>
      <w:r w:rsidRPr="00BC7EDB">
        <w:t xml:space="preserve">Australian and New Zealand Paired Kidney Exchange (ANZKX) program. </w:t>
      </w:r>
      <w:r>
        <w:t>T</w:t>
      </w:r>
      <w:r w:rsidRPr="00BC7EDB">
        <w:t xml:space="preserve">here </w:t>
      </w:r>
      <w:r>
        <w:t>was</w:t>
      </w:r>
      <w:r w:rsidRPr="00BC7EDB">
        <w:t xml:space="preserve"> very little data</w:t>
      </w:r>
      <w:r>
        <w:t xml:space="preserve"> available</w:t>
      </w:r>
      <w:r w:rsidRPr="00BC7EDB">
        <w:t xml:space="preserve"> specifically for HS patients</w:t>
      </w:r>
      <w:r>
        <w:t>.</w:t>
      </w:r>
    </w:p>
    <w:p w14:paraId="2DE28EF1" w14:textId="77777777" w:rsidR="00F84BA7" w:rsidRDefault="00F84BA7" w:rsidP="00F84BA7">
      <w:r>
        <w:lastRenderedPageBreak/>
        <w:t>ESC recalled that in its consideration of Application 1732 MSAC had questioned the applicability of the clinical trial data to Australian kidney transplant patients given that the trials included populations in the United States, France and Sweden. The commentary noted that the ADAR had attempted to address this by reporting on the results of a survey of 11 transplant centres, 9 of which considered that the trial results were generalisable to the Australian HS renal transplant candidate population and 2 were unsure. ESC noted that the pre-ESC response also argued that i</w:t>
      </w:r>
      <w:r w:rsidRPr="005E7DD6">
        <w:t>mlifidase has a universally reliable mode of action for rapidly cleaving</w:t>
      </w:r>
      <w:r>
        <w:t xml:space="preserve"> immunoglobulin G</w:t>
      </w:r>
      <w:r w:rsidRPr="005E7DD6">
        <w:t xml:space="preserve"> </w:t>
      </w:r>
      <w:r>
        <w:t>(</w:t>
      </w:r>
      <w:r w:rsidRPr="005E7DD6">
        <w:t>IgG</w:t>
      </w:r>
      <w:r>
        <w:t>)</w:t>
      </w:r>
      <w:r w:rsidRPr="005E7DD6">
        <w:t xml:space="preserve"> in humans irrespective of the heterogeneity observed in the trial population</w:t>
      </w:r>
      <w:r>
        <w:t xml:space="preserve"> and t</w:t>
      </w:r>
      <w:r w:rsidRPr="005E7DD6">
        <w:t xml:space="preserve">herefore </w:t>
      </w:r>
      <w:r>
        <w:t xml:space="preserve">it was </w:t>
      </w:r>
      <w:r w:rsidRPr="005E7DD6">
        <w:t>reasonable to believe Australian patients would see the same response as seen in the clinical trials</w:t>
      </w:r>
      <w:r>
        <w:t>. However, ESC considered the generalisability of the data to the Australian population to still be uncertain and proposed that objective measures comparing characteristics of trial populations and Australian clinical populations could be used to determine applicability.</w:t>
      </w:r>
    </w:p>
    <w:p w14:paraId="679275B6" w14:textId="77777777" w:rsidR="00F84BA7" w:rsidRPr="000A498E" w:rsidRDefault="00F84BA7" w:rsidP="00F84BA7">
      <w:r>
        <w:t>For comparative safety, ESC noted from the ADAR that n</w:t>
      </w:r>
      <w:r w:rsidRPr="00D65333">
        <w:t>o safety events (</w:t>
      </w:r>
      <w:r>
        <w:t>adverse events</w:t>
      </w:r>
      <w:r w:rsidRPr="00D65333">
        <w:t xml:space="preserve">, </w:t>
      </w:r>
      <w:r>
        <w:t>serious adverse events or</w:t>
      </w:r>
      <w:r w:rsidRPr="00D65333">
        <w:t xml:space="preserve"> treatment</w:t>
      </w:r>
      <w:r>
        <w:t>-</w:t>
      </w:r>
      <w:r w:rsidRPr="00D65333">
        <w:t xml:space="preserve">related </w:t>
      </w:r>
      <w:r>
        <w:t>adverse event</w:t>
      </w:r>
      <w:r w:rsidRPr="00D65333">
        <w:t xml:space="preserve">s) were reported in the 5-year follow-up 17-HMedIdeS-14 study, which included the AUS-UTT-A population. </w:t>
      </w:r>
      <w:r>
        <w:t>No further comparative safety data were provided in the ADAR, and ESC considered the presented data to be very limited.</w:t>
      </w:r>
    </w:p>
    <w:p w14:paraId="78BAAFDD" w14:textId="77777777" w:rsidR="00F84BA7" w:rsidRDefault="00F84BA7" w:rsidP="00F84BA7">
      <w:r>
        <w:t>Regarding comparative effectiveness, ESC noted that while the applicant had provided evidence for the intended use population, no data has been provided for the transplant population overall (i.e. including both HS and non-HS patients). ESC therefore considered the comparative effectiveness of imlifidase in the total transplant population to be unknown. With respect to the comparative effectiveness of imlifidase in the intended population, ESC noted that of the patients in the evidence base who had a positive crossmatch pre-dose, only one patient (4.2% of the AUS-UTT-A population) had a borderline positive crossmatch post-dose, which was subsequently judged to be clinically insignificant, with the patient proceeding to transplantation. All patients with cPRA ≥99% in the trials received a transplant (because cPRA ≥99% was part of the selection criteria for the AUS-UTT-A population). ESC noted that, from the 46</w:t>
      </w:r>
      <w:r w:rsidRPr="00CE24FE">
        <w:rPr>
          <w:vertAlign w:val="superscript"/>
        </w:rPr>
        <w:t>th</w:t>
      </w:r>
      <w:r>
        <w:t xml:space="preserve"> annual report from the ANZDATA, at the end of 2022, 10.4% of the waitlist had cPRA ≥99%. However, it was unclear what proportion of patients in the ANZDATA with cPRA ≥99% would be able to receive a transplant with imlifidase. Additionally, regarding patient survival, ESC noted that the applicant had not responded to the previous commentary requesting a supporting reference for the claim of a higher survival rate if the trials had been conducted in Australia.</w:t>
      </w:r>
    </w:p>
    <w:p w14:paraId="2CF9AEF1" w14:textId="77777777" w:rsidR="00F84BA7" w:rsidRDefault="00F84BA7" w:rsidP="00F84BA7">
      <w:r>
        <w:t>ESC noted that graft survival was similar to what was presented in the previous ADAR. ESC recalled that in its consideration of Application 1732 MSAC was concerned about the high rate of hyperacute rejection, delayed graft function (DGF), antibody mediated rejection (AMR) and chronic kidney disease (CKD) at stages 3-5. ESC noted that the applicant had not addressed MSAC’s concerns relating to the high rates of DGF, AMR and CKD. ESC noted from the commentary that there was a typographical error in the previous ADAR</w:t>
      </w:r>
      <w:r w:rsidRPr="001C06CE">
        <w:t xml:space="preserve"> </w:t>
      </w:r>
      <w:r>
        <w:t xml:space="preserve">that had resulted in the </w:t>
      </w:r>
      <w:r w:rsidRPr="001C06CE">
        <w:t>number of hyperacute rejections</w:t>
      </w:r>
      <w:r>
        <w:t xml:space="preserve"> being</w:t>
      </w:r>
      <w:r w:rsidRPr="001C06CE">
        <w:t xml:space="preserve"> erroneously </w:t>
      </w:r>
      <w:r>
        <w:t xml:space="preserve">reported </w:t>
      </w:r>
      <w:r w:rsidRPr="001C06CE">
        <w:t xml:space="preserve">to be 15 (33%), </w:t>
      </w:r>
      <w:r>
        <w:t xml:space="preserve">when in fact </w:t>
      </w:r>
      <w:r w:rsidRPr="001C06CE">
        <w:t>only one patient (2%) experienced hyperacute rejection</w:t>
      </w:r>
      <w:r>
        <w:t xml:space="preserve">. The </w:t>
      </w:r>
      <w:r w:rsidDel="007D66EA">
        <w:t xml:space="preserve">hyperacute rejection </w:t>
      </w:r>
      <w:r>
        <w:t>in this patient was deemed to be IgM</w:t>
      </w:r>
      <w:r>
        <w:noBreakHyphen/>
        <w:t xml:space="preserve">mediated rather than IgG-mediated. </w:t>
      </w:r>
      <w:r w:rsidRPr="005F4372">
        <w:t xml:space="preserve">This patient </w:t>
      </w:r>
      <w:r>
        <w:t>wa</w:t>
      </w:r>
      <w:r w:rsidRPr="005F4372">
        <w:t xml:space="preserve">s excluded </w:t>
      </w:r>
      <w:r>
        <w:t>from</w:t>
      </w:r>
      <w:r w:rsidRPr="005F4372">
        <w:t xml:space="preserve"> the</w:t>
      </w:r>
      <w:r>
        <w:t xml:space="preserve"> population relevant to the current application</w:t>
      </w:r>
      <w:r w:rsidRPr="005F4372">
        <w:t xml:space="preserve"> </w:t>
      </w:r>
      <w:r>
        <w:t>(</w:t>
      </w:r>
      <w:r w:rsidRPr="005F4372">
        <w:t>AUS-UTT-A</w:t>
      </w:r>
      <w:r>
        <w:t>)</w:t>
      </w:r>
      <w:r w:rsidRPr="005F4372">
        <w:t xml:space="preserve"> due to their cPRA level.</w:t>
      </w:r>
      <w:r>
        <w:t xml:space="preserve"> ESC noted that the ADAR asserted that i</w:t>
      </w:r>
      <w:r w:rsidRPr="00640C70">
        <w:t>mlifidase aims to avoid hyperacute rejection and is not expected to impact other rejection events</w:t>
      </w:r>
      <w:r>
        <w:t>. Therefore, the ADAR did not consider the rate of these other rejection events to be a</w:t>
      </w:r>
      <w:r w:rsidRPr="00640C70" w:rsidDel="00B04C4D">
        <w:t xml:space="preserve"> </w:t>
      </w:r>
      <w:r w:rsidRPr="00640C70">
        <w:t>primary efficacy outcome</w:t>
      </w:r>
      <w:r>
        <w:t xml:space="preserve">. However, ESC considered this response from the applicant to be unreasonable, recalling that MSAC </w:t>
      </w:r>
      <w:r w:rsidRPr="00E10306">
        <w:t>was concerned about the rate of all rejection events</w:t>
      </w:r>
      <w:r>
        <w:t xml:space="preserve">, not just </w:t>
      </w:r>
      <w:r w:rsidRPr="00E10306">
        <w:t>hyperacute rejection</w:t>
      </w:r>
      <w:r>
        <w:t xml:space="preserve"> since rejection</w:t>
      </w:r>
      <w:r w:rsidRPr="00E10306">
        <w:t xml:space="preserve"> events may limit </w:t>
      </w:r>
      <w:r>
        <w:t>the</w:t>
      </w:r>
      <w:r w:rsidRPr="00E10306">
        <w:t xml:space="preserve"> clinical </w:t>
      </w:r>
      <w:r>
        <w:t>benefit of imlifidase</w:t>
      </w:r>
      <w:r w:rsidRPr="00E10306">
        <w:t>, and will incur substantial costs.</w:t>
      </w:r>
    </w:p>
    <w:p w14:paraId="01B91E8F" w14:textId="77777777" w:rsidR="00F84BA7" w:rsidRDefault="00F84BA7" w:rsidP="00F84BA7">
      <w:r>
        <w:t>ESC noted that new data had been included for health-related quality of life (QoL), with</w:t>
      </w:r>
      <w:r w:rsidRPr="000A5872">
        <w:t xml:space="preserve"> KDQOL-36 mean scores at 5</w:t>
      </w:r>
      <w:r>
        <w:t> </w:t>
      </w:r>
      <w:r w:rsidRPr="000A5872">
        <w:t xml:space="preserve">years </w:t>
      </w:r>
      <w:r>
        <w:t>post-</w:t>
      </w:r>
      <w:r w:rsidRPr="000A5872">
        <w:t xml:space="preserve">transplantation </w:t>
      </w:r>
      <w:r>
        <w:t>being</w:t>
      </w:r>
      <w:r w:rsidRPr="000A5872">
        <w:t xml:space="preserve"> above 70</w:t>
      </w:r>
      <w:r>
        <w:t xml:space="preserve"> (reported over a 0 to 100 range </w:t>
      </w:r>
      <w:r>
        <w:lastRenderedPageBreak/>
        <w:t>with higher scores reflecting better health),</w:t>
      </w:r>
      <w:r w:rsidRPr="000A5872">
        <w:t xml:space="preserve"> with only the parameters </w:t>
      </w:r>
      <w:r>
        <w:t xml:space="preserve">of </w:t>
      </w:r>
      <w:r w:rsidRPr="000A5872">
        <w:t>general health, energy/fatigue and sleep having lower scores (53.0, 61.4 and 67.6</w:t>
      </w:r>
      <w:r>
        <w:t>, respectively</w:t>
      </w:r>
      <w:r w:rsidRPr="000A5872">
        <w:t>)</w:t>
      </w:r>
      <w:r>
        <w:t>.</w:t>
      </w:r>
    </w:p>
    <w:p w14:paraId="35D6009C" w14:textId="77777777" w:rsidR="00F84BA7" w:rsidRPr="000A498E" w:rsidRDefault="00F84BA7" w:rsidP="00F84BA7">
      <w:r>
        <w:t>Overall, ESC considered that there is a clinical need for imlifidase in the proposed patient population. However, ESC considered the clinical claims of superior effectiveness and non-inferior safety were not well supported by the evidence presented. Furthermore, ESC considered the evidence for clinical effectiveness is of very low quality and is associated with high uncertainty.</w:t>
      </w:r>
    </w:p>
    <w:p w14:paraId="6DE21E0A" w14:textId="77777777" w:rsidR="00F84BA7" w:rsidRDefault="00F84BA7" w:rsidP="00F84BA7">
      <w:r>
        <w:t>ESC noted that the economic evaluation was a cost-utility analysis. ESC agreed with the commentary that the naïve treatment comparison that underlay the economic model created inherent uncertainty (with an unclear direction of bias). ESC considered the lifetime time horizon to be appropriate, but uncertain based on the available data due to the extrapolation out into the distant future based on results of no longer than 5 years’ duration. ESC noted that the economic evaluation used a simple model with four health states: dialysis/waitlisted, dialysis/not waitlisted, functioning graft and death. The transition probabilities were based on the clinical trial data that comprised small patient numbers.</w:t>
      </w:r>
    </w:p>
    <w:p w14:paraId="16A74D69" w14:textId="173F895D" w:rsidR="00F84BA7" w:rsidRPr="002C0ACD" w:rsidRDefault="00F84BA7" w:rsidP="00F84BA7">
      <w:r w:rsidRPr="002C0ACD">
        <w:t>ESC noted that the base case incremental cost-effectiveness ratio (ICER) was $</w:t>
      </w:r>
      <w:r w:rsidR="00822E67" w:rsidRPr="002C0ACD">
        <w:rPr>
          <w:b/>
          <w:bCs/>
        </w:rPr>
        <w:t>redacted</w:t>
      </w:r>
      <w:r w:rsidRPr="002C0ACD">
        <w:t>/quality-adjusted life year (QALY), which was more than the ICER from the previous application ($</w:t>
      </w:r>
      <w:r w:rsidR="00822E67" w:rsidRPr="002C0ACD">
        <w:rPr>
          <w:b/>
          <w:bCs/>
        </w:rPr>
        <w:t>redacted</w:t>
      </w:r>
      <w:r w:rsidRPr="002C0ACD">
        <w:t>/QALY).</w:t>
      </w:r>
    </w:p>
    <w:p w14:paraId="2B517EA7" w14:textId="77777777" w:rsidR="00F84BA7" w:rsidRDefault="00F84BA7" w:rsidP="00F84BA7">
      <w:r w:rsidRPr="002C0ACD">
        <w:t>ESC noted that there were three key spillover</w:t>
      </w:r>
      <w:r>
        <w:t>s associated with imlifidase use which were associated with the complexities of evaluating its cost utility in the economic model, whether in the base case or scenario analyses:</w:t>
      </w:r>
    </w:p>
    <w:p w14:paraId="70748769" w14:textId="77777777" w:rsidR="00F84BA7" w:rsidRDefault="00F84BA7" w:rsidP="0033037C">
      <w:pPr>
        <w:pStyle w:val="ListParagraph"/>
        <w:numPr>
          <w:ilvl w:val="0"/>
          <w:numId w:val="33"/>
        </w:numPr>
        <w:spacing w:before="0" w:after="240" w:line="240" w:lineRule="auto"/>
      </w:pPr>
      <w:r>
        <w:t>Another patient on the DD transplant waitlist is displaced by the allocation of a DD transplant to an imlifidase patient due to the scarcity of donor kidneys (negative spillover).</w:t>
      </w:r>
    </w:p>
    <w:p w14:paraId="417BB092" w14:textId="77777777" w:rsidR="00F84BA7" w:rsidRDefault="00F84BA7" w:rsidP="0033037C">
      <w:pPr>
        <w:pStyle w:val="ListParagraph"/>
        <w:numPr>
          <w:ilvl w:val="0"/>
          <w:numId w:val="33"/>
        </w:numPr>
        <w:spacing w:before="0" w:after="240" w:line="240" w:lineRule="auto"/>
      </w:pPr>
      <w:r>
        <w:t>A proportion of HS patients in the ANZKX program receiving an imlifidase-enabled transplant may be transplanted as part of a kidney donation chain (positive spillover).</w:t>
      </w:r>
    </w:p>
    <w:p w14:paraId="41319A65" w14:textId="77777777" w:rsidR="00F84BA7" w:rsidRDefault="00F84BA7" w:rsidP="0033037C">
      <w:pPr>
        <w:pStyle w:val="ListParagraph"/>
        <w:numPr>
          <w:ilvl w:val="0"/>
          <w:numId w:val="33"/>
        </w:numPr>
        <w:spacing w:before="0" w:after="240" w:line="240" w:lineRule="auto"/>
      </w:pPr>
      <w:r>
        <w:t xml:space="preserve">A potential increase in the pool of donor kidneys through more patients receiving an LD transplant due to imlifidase resulting in a reduction in the waitlist for DD transplants insofar as some patients who are on the DD transplant waitlist are also waiting for an appropriate LD transplant (positive spillover). ESC noted that this second positive spillover had not been considered in any of the scenario analyses in the ADAR given the complexity this would add to the model and therefore the uncertainty of the results. </w:t>
      </w:r>
    </w:p>
    <w:p w14:paraId="26FCE7DD" w14:textId="5989B162" w:rsidR="00F84BA7" w:rsidRDefault="00F84BA7" w:rsidP="00F84BA7">
      <w:r>
        <w:t>ESC considered the healthcare system perspective of the economic model to be appropriate, but questioned whether it had been properly reflected in the model. Specifically, given the scarcity of donor kidneys (as discussed above), if treatment with imlifidase facilitates more kidney transplants to those within the target HS population there will be a direct tangible impact on the non-HS DD transplant waitlist as they will continue to incur dialysis costs for a longer period of time. Related to this, ESC recalled that in the previous ADAR, MSAC was concerned that the economic model base case did not take account of this displacement. The commentary considered that this had been addressed in the resubmission ADAR insofar as it had been reported as a scenario analysis, but ESC considered that the cost and health outcomes of the displaced (non-target) population had not been reflected in the base case as was requested by MSAC in the previous ADAR. ESC noted that c</w:t>
      </w:r>
      <w:r w:rsidRPr="00FF381C">
        <w:t xml:space="preserve">ost offsets within the target population realised through reduced time on dialysis </w:t>
      </w:r>
      <w:r>
        <w:t xml:space="preserve">were a significant </w:t>
      </w:r>
      <w:r w:rsidRPr="00FF381C">
        <w:t xml:space="preserve">contributor to </w:t>
      </w:r>
      <w:r>
        <w:t>reducing the net</w:t>
      </w:r>
      <w:r w:rsidRPr="00FF381C">
        <w:t xml:space="preserve"> incremental costs</w:t>
      </w:r>
      <w:r>
        <w:t xml:space="preserve"> of imlifidase</w:t>
      </w:r>
      <w:r w:rsidRPr="00FF381C">
        <w:t xml:space="preserve"> </w:t>
      </w:r>
      <w:r>
        <w:t xml:space="preserve">in the base case as these savings amounted </w:t>
      </w:r>
      <w:r w:rsidRPr="002C0ACD">
        <w:t>to $</w:t>
      </w:r>
      <w:r w:rsidRPr="009E2F9F" w:rsidDel="00822E67">
        <w:t>473,944</w:t>
      </w:r>
      <w:r w:rsidRPr="002C0ACD">
        <w:t xml:space="preserve"> per patient. However, while an HS patient receiving an imlifidase-enabled DD transplant</w:t>
      </w:r>
      <w:r w:rsidRPr="00FF381C">
        <w:t xml:space="preserve"> can stop dialysis, another patient on the waitlist who may otherwise have received the kidney remains on dialysis longer,</w:t>
      </w:r>
      <w:r>
        <w:t xml:space="preserve"> but the increased costs of this other patient was not reflected in the base case</w:t>
      </w:r>
      <w:r w:rsidRPr="00FF381C">
        <w:t xml:space="preserve">. </w:t>
      </w:r>
      <w:r>
        <w:t xml:space="preserve">ESC </w:t>
      </w:r>
      <w:r>
        <w:lastRenderedPageBreak/>
        <w:t xml:space="preserve">noted that </w:t>
      </w:r>
      <w:r w:rsidRPr="00FF381C">
        <w:t>the commentary reiterate</w:t>
      </w:r>
      <w:r>
        <w:t>d</w:t>
      </w:r>
      <w:r w:rsidRPr="00FF381C">
        <w:t xml:space="preserve"> that </w:t>
      </w:r>
      <w:r>
        <w:t xml:space="preserve">dialysis </w:t>
      </w:r>
      <w:r w:rsidRPr="00FF381C">
        <w:t>cost offsets are unlikely to be fully realised when considering a broader Australian healthcare system perspective</w:t>
      </w:r>
      <w:r>
        <w:t xml:space="preserve"> and the ICER remained </w:t>
      </w:r>
      <w:r w:rsidRPr="00A40131">
        <w:t>highly sensitive to treatment of ‘displaced recipients</w:t>
      </w:r>
      <w:r>
        <w:t xml:space="preserve">’.  </w:t>
      </w:r>
    </w:p>
    <w:p w14:paraId="4F57D496" w14:textId="77777777" w:rsidR="00F84BA7" w:rsidRDefault="00F84BA7" w:rsidP="00F84BA7">
      <w:r>
        <w:t>ESC noted that the pre-ESC response stated that it was incorrect to assume that</w:t>
      </w:r>
      <w:r w:rsidRPr="004B7ACA">
        <w:t xml:space="preserve"> a non-</w:t>
      </w:r>
      <w:r>
        <w:t>HS</w:t>
      </w:r>
      <w:r w:rsidRPr="004B7ACA">
        <w:t xml:space="preserve"> patient </w:t>
      </w:r>
      <w:r>
        <w:t xml:space="preserve">who </w:t>
      </w:r>
      <w:r w:rsidRPr="004B7ACA">
        <w:t>was “next in line” would be displaced by an imlifidase patient</w:t>
      </w:r>
      <w:r>
        <w:t xml:space="preserve">. Instead, </w:t>
      </w:r>
      <w:r w:rsidRPr="004B7ACA">
        <w:t xml:space="preserve">imlifidase allows </w:t>
      </w:r>
      <w:r>
        <w:t xml:space="preserve">HS </w:t>
      </w:r>
      <w:r w:rsidRPr="004B7ACA">
        <w:t>patient</w:t>
      </w:r>
      <w:r>
        <w:t>s</w:t>
      </w:r>
      <w:r w:rsidRPr="004B7ACA">
        <w:t xml:space="preserve"> </w:t>
      </w:r>
      <w:r>
        <w:t>who are at the</w:t>
      </w:r>
      <w:r w:rsidRPr="004B7ACA">
        <w:t xml:space="preserve"> top of the waitlist to claim their rightful place. The</w:t>
      </w:r>
      <w:r>
        <w:t xml:space="preserve"> pre-ESC response therefore </w:t>
      </w:r>
      <w:r w:rsidRPr="004B7ACA">
        <w:t>challenge</w:t>
      </w:r>
      <w:r>
        <w:t>d</w:t>
      </w:r>
      <w:r w:rsidRPr="004B7ACA">
        <w:t xml:space="preserve"> </w:t>
      </w:r>
      <w:r>
        <w:t xml:space="preserve">the notion </w:t>
      </w:r>
      <w:r w:rsidRPr="004B7ACA">
        <w:t xml:space="preserve">that the “displaced” patient would be a non-HS </w:t>
      </w:r>
      <w:r>
        <w:t xml:space="preserve">patient </w:t>
      </w:r>
      <w:r w:rsidRPr="004B7ACA">
        <w:t xml:space="preserve">or a patient with more favourable outcomes. Under the Australian allocation system, the “displaced” patient may </w:t>
      </w:r>
      <w:r>
        <w:t>likely</w:t>
      </w:r>
      <w:r w:rsidRPr="004B7ACA">
        <w:t xml:space="preserve"> </w:t>
      </w:r>
      <w:r>
        <w:t xml:space="preserve">also </w:t>
      </w:r>
      <w:r w:rsidRPr="004B7ACA">
        <w:t xml:space="preserve">be </w:t>
      </w:r>
      <w:r>
        <w:t xml:space="preserve">HS </w:t>
      </w:r>
      <w:r w:rsidRPr="004B7ACA">
        <w:t xml:space="preserve">(especially given that these patients are prioritised) </w:t>
      </w:r>
      <w:r>
        <w:t>but likely to be</w:t>
      </w:r>
      <w:r w:rsidRPr="004B7ACA">
        <w:t xml:space="preserve"> older, sicker, or with more comorbidities than the HS imlifidase patient.</w:t>
      </w:r>
      <w:r>
        <w:t xml:space="preserve"> The pre-ESC response also noted that opportunity costs outside the target population are not typically considered in a cost utility analysis. ESC considered that while these were reasonable responses, they still did not address concerns that the benefit to the HS population were potentially to the detriment of other groups (and that therefore imlifidase did not result in superior effectiveness for the transplant population as a whole). </w:t>
      </w:r>
    </w:p>
    <w:p w14:paraId="77836D62" w14:textId="77777777" w:rsidR="00F84BA7" w:rsidRDefault="00F84BA7" w:rsidP="00F84BA7">
      <w:r>
        <w:t xml:space="preserve">Overall ESC considered that even if the applicant’s premise that a cost utility analysis typically did not take into account opportunity costs outside the target population was correct, there was a case for an exception to be made in this application as the current model does not capture the full impacts of the intervention on the health system. ESC noted that previously ESC and MSAC had suggested that the impact on the waitlist could potentially be incorporated in the economic model to improve its relevance for decision-making and noted that such changes had not been made in this resubmission. ESC considered that the argument about the equity vs efficiency trade-off (more HS patients receive DD transplants while non-HS patients remain on the waitlist and dialysis for longer) to be key for MSAC decision-making but noted that data to properly assess this trade-off, such as the impact of the intervention on waitlisted non-HS patients and the differential impacts for those receiving LD and DD transplants, were not clearly presented in the application. ESC discussed that other economic evaluation approaches, specifically cost-benefit analysis, could be another way to incorporate these factors, though noted they have been rarely used to inform MSAC decision making. </w:t>
      </w:r>
    </w:p>
    <w:p w14:paraId="08084237" w14:textId="3070C652" w:rsidR="00F84BA7" w:rsidRDefault="00F84BA7" w:rsidP="00F84BA7">
      <w:r w:rsidRPr="005320BA">
        <w:t>ESC noted that the above concerns also applied to the sensitivity analyses with the additional consideration that these sensitivity analyses also included impacts from positive spillovers (from enabling a kidney transplantation chain). ESC considered that the magnitude of these positive spillovers may have been overestimated. ESC noted that the ICER increased to $</w:t>
      </w:r>
      <w:r w:rsidR="00822E67" w:rsidRPr="005320BA">
        <w:rPr>
          <w:b/>
          <w:bCs/>
        </w:rPr>
        <w:t>redacted</w:t>
      </w:r>
      <w:r w:rsidRPr="005320BA">
        <w:t>/QALY after taking into consideration both the negative displacement effects and the positive spillovers (Table 1</w:t>
      </w:r>
      <w:r w:rsidR="00872152">
        <w:t xml:space="preserve"> ESC</w:t>
      </w:r>
      <w:r w:rsidRPr="005320BA">
        <w:t>).</w:t>
      </w:r>
      <w:r>
        <w:t xml:space="preserve"> </w:t>
      </w:r>
    </w:p>
    <w:p w14:paraId="3FE0E3F7" w14:textId="4D642DB6" w:rsidR="00F84BA7" w:rsidRDefault="00F84BA7" w:rsidP="00F84BA7">
      <w:r>
        <w:t>ESC considered that the economic case for each population was very different (e.g. there are displacement issues for DD transplants that are not present for LD transplants),</w:t>
      </w:r>
      <w:r w:rsidRPr="00B73E06">
        <w:t xml:space="preserve"> recall</w:t>
      </w:r>
      <w:r>
        <w:t>ing</w:t>
      </w:r>
      <w:r w:rsidRPr="00B73E06">
        <w:t xml:space="preserve"> that MSAC</w:t>
      </w:r>
      <w:r>
        <w:t xml:space="preserve"> in Application 1732</w:t>
      </w:r>
      <w:r w:rsidRPr="00B73E06">
        <w:t xml:space="preserve"> had also requested that the economic model be revised considering potential differentiation between patients on the LD and DD transplant waitlists after accounting for different comparators</w:t>
      </w:r>
      <w:r>
        <w:t xml:space="preserve">. ESC noted that this was partially addressed by the commentary’s additional scenario analyses which reported separate ICERs for LD and DD transplant recipients with </w:t>
      </w:r>
      <w:r w:rsidRPr="005320BA">
        <w:t>and without spillovers while retaining the same comparator of ‘dialysis until a transplant becomes available’. ESC noted that assuming 0% LD transplants (i.e. accounting only for ICERs of DD transplant recipients) while including displacement effects increased the ICER to $</w:t>
      </w:r>
      <w:r w:rsidR="00822E67" w:rsidRPr="005320BA">
        <w:rPr>
          <w:b/>
          <w:bCs/>
        </w:rPr>
        <w:t>redacted</w:t>
      </w:r>
      <w:r w:rsidRPr="005320BA">
        <w:t xml:space="preserve">/QALY, while assuming 100% LD transplants (i.e. accounting only for ICERs of LD transplant recipients) and taking positive spillovers into account resulted in imlifidase being dominant. These results are summarised in Table 1 </w:t>
      </w:r>
      <w:r w:rsidR="00872152">
        <w:t xml:space="preserve">ESC </w:t>
      </w:r>
      <w:r w:rsidRPr="005320BA">
        <w:t>below. ESC considered that reporting a different ICER for LD and DD transplant recipients as per the results reproduced below in Table</w:t>
      </w:r>
      <w:r w:rsidR="00872152">
        <w:t> </w:t>
      </w:r>
      <w:r w:rsidRPr="005320BA">
        <w:t>1</w:t>
      </w:r>
      <w:r w:rsidR="00872152">
        <w:t xml:space="preserve"> ESC </w:t>
      </w:r>
      <w:r w:rsidRPr="005320BA">
        <w:t>would help to inform MSAC decision making.</w:t>
      </w:r>
    </w:p>
    <w:p w14:paraId="3196461C" w14:textId="01122761" w:rsidR="00F84BA7" w:rsidRPr="00CE24FE" w:rsidRDefault="00F84BA7" w:rsidP="00F84BA7">
      <w:pPr>
        <w:rPr>
          <w:rFonts w:ascii="Arial Narrow" w:hAnsi="Arial Narrow"/>
          <w:b/>
          <w:bCs/>
          <w:sz w:val="20"/>
          <w:szCs w:val="20"/>
        </w:rPr>
      </w:pPr>
      <w:r w:rsidRPr="00CE24FE">
        <w:rPr>
          <w:rFonts w:ascii="Arial Narrow" w:hAnsi="Arial Narrow"/>
          <w:b/>
          <w:bCs/>
          <w:sz w:val="20"/>
          <w:szCs w:val="20"/>
        </w:rPr>
        <w:lastRenderedPageBreak/>
        <w:t>Table 1</w:t>
      </w:r>
      <w:r w:rsidR="000E2AFA">
        <w:rPr>
          <w:rFonts w:ascii="Arial Narrow" w:hAnsi="Arial Narrow"/>
          <w:b/>
          <w:bCs/>
          <w:sz w:val="20"/>
          <w:szCs w:val="20"/>
        </w:rPr>
        <w:t xml:space="preserve"> ESC</w:t>
      </w:r>
      <w:r w:rsidRPr="00CE24FE">
        <w:rPr>
          <w:rFonts w:ascii="Arial Narrow" w:hAnsi="Arial Narrow"/>
          <w:b/>
          <w:bCs/>
          <w:sz w:val="20"/>
          <w:szCs w:val="20"/>
        </w:rPr>
        <w:t xml:space="preserve">: Scenario analysis results incorporating </w:t>
      </w:r>
      <w:r>
        <w:rPr>
          <w:rFonts w:ascii="Arial Narrow" w:hAnsi="Arial Narrow"/>
          <w:b/>
          <w:bCs/>
          <w:sz w:val="20"/>
          <w:szCs w:val="20"/>
        </w:rPr>
        <w:t>spillovers</w:t>
      </w:r>
      <w:r w:rsidRPr="00CE24FE">
        <w:rPr>
          <w:rFonts w:ascii="Arial Narrow" w:hAnsi="Arial Narrow"/>
          <w:b/>
          <w:bCs/>
          <w:sz w:val="20"/>
          <w:szCs w:val="20"/>
        </w:rPr>
        <w:t xml:space="preserve"> segmented by LD and DD transplant recipients</w:t>
      </w:r>
    </w:p>
    <w:tbl>
      <w:tblPr>
        <w:tblW w:w="9020" w:type="dxa"/>
        <w:tblCellMar>
          <w:left w:w="0" w:type="dxa"/>
          <w:right w:w="0" w:type="dxa"/>
        </w:tblCellMar>
        <w:tblLook w:val="04A0" w:firstRow="1" w:lastRow="0" w:firstColumn="1" w:lastColumn="0" w:noHBand="0" w:noVBand="1"/>
      </w:tblPr>
      <w:tblGrid>
        <w:gridCol w:w="2840"/>
        <w:gridCol w:w="2060"/>
        <w:gridCol w:w="2060"/>
        <w:gridCol w:w="2060"/>
      </w:tblGrid>
      <w:tr w:rsidR="00F84BA7" w:rsidRPr="00040F81" w14:paraId="23C7073A" w14:textId="77777777" w:rsidTr="00154777">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0C6FAB" w14:textId="77777777" w:rsidR="00F84BA7" w:rsidRPr="005320BA" w:rsidRDefault="00F84BA7" w:rsidP="00154777">
            <w:pPr>
              <w:rPr>
                <w:rFonts w:ascii="Arial Narrow" w:hAnsi="Arial Narrow"/>
                <w:sz w:val="20"/>
                <w:szCs w:val="20"/>
              </w:rPr>
            </w:pPr>
            <w:r w:rsidRPr="005320BA">
              <w:rPr>
                <w:rFonts w:ascii="Arial Narrow" w:hAnsi="Arial Narrow"/>
                <w:b/>
                <w:bCs/>
                <w:sz w:val="20"/>
                <w:szCs w:val="20"/>
              </w:rPr>
              <w:t>Scenario</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24E89D" w14:textId="77777777" w:rsidR="00F84BA7" w:rsidRPr="005320BA" w:rsidRDefault="00F84BA7" w:rsidP="00154777">
            <w:pPr>
              <w:rPr>
                <w:rFonts w:ascii="Arial Narrow" w:hAnsi="Arial Narrow"/>
                <w:sz w:val="20"/>
                <w:szCs w:val="20"/>
              </w:rPr>
            </w:pPr>
            <w:r w:rsidRPr="005320BA">
              <w:rPr>
                <w:rFonts w:ascii="Arial Narrow" w:hAnsi="Arial Narrow"/>
                <w:b/>
                <w:bCs/>
                <w:sz w:val="20"/>
                <w:szCs w:val="20"/>
              </w:rPr>
              <w:t>Incremental cost</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FC7B51" w14:textId="77777777" w:rsidR="00F84BA7" w:rsidRPr="005320BA" w:rsidRDefault="00F84BA7" w:rsidP="00154777">
            <w:pPr>
              <w:rPr>
                <w:rFonts w:ascii="Arial Narrow" w:hAnsi="Arial Narrow"/>
                <w:sz w:val="20"/>
                <w:szCs w:val="20"/>
              </w:rPr>
            </w:pPr>
            <w:r w:rsidRPr="005320BA">
              <w:rPr>
                <w:rFonts w:ascii="Arial Narrow" w:hAnsi="Arial Narrow"/>
                <w:b/>
                <w:bCs/>
                <w:sz w:val="20"/>
                <w:szCs w:val="20"/>
              </w:rPr>
              <w:t>Incremental QALYs</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13B9AE" w14:textId="77777777" w:rsidR="00F84BA7" w:rsidRPr="005320BA" w:rsidRDefault="00F84BA7" w:rsidP="00154777">
            <w:pPr>
              <w:rPr>
                <w:rFonts w:ascii="Arial Narrow" w:hAnsi="Arial Narrow"/>
                <w:sz w:val="20"/>
                <w:szCs w:val="20"/>
              </w:rPr>
            </w:pPr>
            <w:r w:rsidRPr="005320BA">
              <w:rPr>
                <w:rFonts w:ascii="Arial Narrow" w:hAnsi="Arial Narrow"/>
                <w:b/>
                <w:bCs/>
                <w:sz w:val="20"/>
                <w:szCs w:val="20"/>
              </w:rPr>
              <w:t>ICER</w:t>
            </w:r>
          </w:p>
        </w:tc>
      </w:tr>
      <w:tr w:rsidR="00F84BA7" w:rsidRPr="00040F81" w14:paraId="638CCD39" w14:textId="77777777" w:rsidTr="00154777">
        <w:tc>
          <w:tcPr>
            <w:tcW w:w="902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6D0CB2" w14:textId="77777777" w:rsidR="00F84BA7" w:rsidRPr="005320BA" w:rsidRDefault="00F84BA7" w:rsidP="00154777">
            <w:pPr>
              <w:rPr>
                <w:rFonts w:ascii="Arial Narrow" w:hAnsi="Arial Narrow"/>
                <w:sz w:val="20"/>
                <w:szCs w:val="20"/>
              </w:rPr>
            </w:pPr>
            <w:r w:rsidRPr="005320BA">
              <w:rPr>
                <w:rFonts w:ascii="Arial Narrow" w:hAnsi="Arial Narrow"/>
                <w:sz w:val="20"/>
                <w:szCs w:val="20"/>
              </w:rPr>
              <w:t>Base case model</w:t>
            </w:r>
          </w:p>
        </w:tc>
      </w:tr>
      <w:tr w:rsidR="00F84BA7" w:rsidRPr="00040F81" w14:paraId="605C2913" w14:textId="77777777" w:rsidTr="00154777">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A9E544" w14:textId="77777777" w:rsidR="00F84BA7" w:rsidRPr="005320BA" w:rsidRDefault="00F84BA7" w:rsidP="00154777">
            <w:pPr>
              <w:rPr>
                <w:rFonts w:ascii="Arial Narrow" w:hAnsi="Arial Narrow"/>
                <w:sz w:val="20"/>
                <w:szCs w:val="20"/>
              </w:rPr>
            </w:pPr>
            <w:r w:rsidRPr="005320BA">
              <w:rPr>
                <w:rFonts w:ascii="Arial Narrow" w:hAnsi="Arial Narrow"/>
                <w:sz w:val="20"/>
                <w:szCs w:val="20"/>
              </w:rPr>
              <w:t>Proportion LD transplants: 24% (base case)</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CD2836" w14:textId="31CB3A33"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8C7688" w14:textId="77777777" w:rsidR="00F84BA7" w:rsidRPr="009E2F9F" w:rsidRDefault="00F84BA7" w:rsidP="00154777">
            <w:pPr>
              <w:rPr>
                <w:rFonts w:ascii="Arial Narrow" w:hAnsi="Arial Narrow"/>
                <w:sz w:val="20"/>
                <w:szCs w:val="20"/>
              </w:rPr>
            </w:pPr>
            <w:r w:rsidRPr="009E2F9F">
              <w:rPr>
                <w:rFonts w:ascii="Arial Narrow" w:hAnsi="Arial Narrow"/>
                <w:sz w:val="20"/>
                <w:szCs w:val="20"/>
              </w:rPr>
              <w:t>2.26</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AC3438" w14:textId="62531276"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r>
      <w:tr w:rsidR="00F84BA7" w:rsidRPr="00040F81" w14:paraId="6B7429E8" w14:textId="77777777" w:rsidTr="00154777">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A0AAD9" w14:textId="77777777" w:rsidR="00F84BA7" w:rsidRPr="005320BA" w:rsidRDefault="00F84BA7" w:rsidP="00154777">
            <w:pPr>
              <w:rPr>
                <w:rFonts w:ascii="Arial Narrow" w:hAnsi="Arial Narrow"/>
                <w:sz w:val="20"/>
                <w:szCs w:val="20"/>
              </w:rPr>
            </w:pPr>
            <w:r w:rsidRPr="005320BA">
              <w:rPr>
                <w:rFonts w:ascii="Arial Narrow" w:hAnsi="Arial Narrow"/>
                <w:sz w:val="20"/>
                <w:szCs w:val="20"/>
              </w:rPr>
              <w:t>Proportion LD transplants: 0%</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C724B8" w14:textId="739EF3AA"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D8712C" w14:textId="77777777" w:rsidR="00F84BA7" w:rsidRPr="009E2F9F" w:rsidRDefault="00F84BA7" w:rsidP="00154777">
            <w:pPr>
              <w:rPr>
                <w:rFonts w:ascii="Arial Narrow" w:hAnsi="Arial Narrow"/>
                <w:sz w:val="20"/>
                <w:szCs w:val="20"/>
              </w:rPr>
            </w:pPr>
            <w:r w:rsidRPr="009E2F9F">
              <w:rPr>
                <w:rFonts w:ascii="Arial Narrow" w:hAnsi="Arial Narrow"/>
                <w:sz w:val="20"/>
                <w:szCs w:val="20"/>
              </w:rPr>
              <w:t>2.26</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A8605" w14:textId="19B4CD61"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r>
      <w:tr w:rsidR="00F84BA7" w:rsidRPr="00040F81" w14:paraId="558839E1" w14:textId="77777777" w:rsidTr="00154777">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789D0B" w14:textId="77777777" w:rsidR="00F84BA7" w:rsidRPr="005320BA" w:rsidRDefault="00F84BA7" w:rsidP="00154777">
            <w:pPr>
              <w:rPr>
                <w:rFonts w:ascii="Arial Narrow" w:hAnsi="Arial Narrow"/>
                <w:sz w:val="20"/>
                <w:szCs w:val="20"/>
              </w:rPr>
            </w:pPr>
            <w:r w:rsidRPr="005320BA">
              <w:rPr>
                <w:rFonts w:ascii="Arial Narrow" w:hAnsi="Arial Narrow"/>
                <w:sz w:val="20"/>
                <w:szCs w:val="20"/>
              </w:rPr>
              <w:t>Proportion LD transplants: 100%</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2DA143" w14:textId="1E064ADA"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906142" w14:textId="77777777" w:rsidR="00F84BA7" w:rsidRPr="009E2F9F" w:rsidRDefault="00F84BA7" w:rsidP="00154777">
            <w:pPr>
              <w:rPr>
                <w:rFonts w:ascii="Arial Narrow" w:hAnsi="Arial Narrow"/>
                <w:sz w:val="20"/>
                <w:szCs w:val="20"/>
              </w:rPr>
            </w:pPr>
            <w:r w:rsidRPr="009E2F9F">
              <w:rPr>
                <w:rFonts w:ascii="Arial Narrow" w:hAnsi="Arial Narrow"/>
                <w:sz w:val="20"/>
                <w:szCs w:val="20"/>
              </w:rPr>
              <w:t>2.26</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EFD341" w14:textId="24DCF003"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r>
      <w:tr w:rsidR="00F84BA7" w:rsidRPr="00040F81" w14:paraId="29ADFEA0" w14:textId="77777777" w:rsidTr="00154777">
        <w:tc>
          <w:tcPr>
            <w:tcW w:w="902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2161B3" w14:textId="77777777" w:rsidR="00F84BA7" w:rsidRPr="005320BA" w:rsidRDefault="00F84BA7" w:rsidP="00154777">
            <w:pPr>
              <w:rPr>
                <w:rFonts w:ascii="Arial Narrow" w:hAnsi="Arial Narrow"/>
                <w:sz w:val="20"/>
                <w:szCs w:val="20"/>
              </w:rPr>
            </w:pPr>
            <w:r w:rsidRPr="005320BA">
              <w:rPr>
                <w:rFonts w:ascii="Arial Narrow" w:hAnsi="Arial Narrow"/>
                <w:sz w:val="20"/>
                <w:szCs w:val="20"/>
              </w:rPr>
              <w:t>Spillover scenario</w:t>
            </w:r>
          </w:p>
        </w:tc>
      </w:tr>
      <w:tr w:rsidR="00F84BA7" w:rsidRPr="00040F81" w14:paraId="54A6E49C" w14:textId="77777777" w:rsidTr="00154777">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0DF780" w14:textId="77777777" w:rsidR="00F84BA7" w:rsidRPr="005320BA" w:rsidRDefault="00F84BA7" w:rsidP="00154777">
            <w:pPr>
              <w:rPr>
                <w:rFonts w:ascii="Arial Narrow" w:hAnsi="Arial Narrow"/>
                <w:sz w:val="20"/>
                <w:szCs w:val="20"/>
              </w:rPr>
            </w:pPr>
            <w:r w:rsidRPr="005320BA">
              <w:rPr>
                <w:rFonts w:ascii="Arial Narrow" w:hAnsi="Arial Narrow"/>
                <w:sz w:val="20"/>
                <w:szCs w:val="20"/>
              </w:rPr>
              <w:t xml:space="preserve">Proportion LD transplants: 24% </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DCA5E5" w14:textId="027D7B9C"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D5051A" w14:textId="77777777" w:rsidR="00F84BA7" w:rsidRPr="009E2F9F" w:rsidRDefault="00F84BA7" w:rsidP="00154777">
            <w:pPr>
              <w:rPr>
                <w:rFonts w:ascii="Arial Narrow" w:hAnsi="Arial Narrow"/>
                <w:sz w:val="20"/>
                <w:szCs w:val="20"/>
              </w:rPr>
            </w:pPr>
            <w:r w:rsidRPr="009E2F9F">
              <w:rPr>
                <w:rFonts w:ascii="Arial Narrow" w:hAnsi="Arial Narrow"/>
                <w:sz w:val="20"/>
                <w:szCs w:val="20"/>
              </w:rPr>
              <w:t>3.54</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319827" w14:textId="2DFEEB8D"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r>
      <w:tr w:rsidR="00F84BA7" w:rsidRPr="00040F81" w14:paraId="02553FAC" w14:textId="77777777" w:rsidTr="00154777">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D29B6" w14:textId="77777777" w:rsidR="00F84BA7" w:rsidRPr="005320BA" w:rsidRDefault="00F84BA7" w:rsidP="00154777">
            <w:pPr>
              <w:rPr>
                <w:rFonts w:ascii="Arial Narrow" w:hAnsi="Arial Narrow"/>
                <w:sz w:val="20"/>
                <w:szCs w:val="20"/>
              </w:rPr>
            </w:pPr>
            <w:r w:rsidRPr="005320BA">
              <w:rPr>
                <w:rFonts w:ascii="Arial Narrow" w:hAnsi="Arial Narrow"/>
                <w:sz w:val="20"/>
                <w:szCs w:val="20"/>
              </w:rPr>
              <w:t>Proportion LD transplants: 0%</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55FA51" w14:textId="25F8D8E0"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70CF0A" w14:textId="77777777" w:rsidR="00F84BA7" w:rsidRPr="009E2F9F" w:rsidRDefault="00F84BA7" w:rsidP="00154777">
            <w:pPr>
              <w:rPr>
                <w:rFonts w:ascii="Arial Narrow" w:hAnsi="Arial Narrow"/>
                <w:sz w:val="20"/>
                <w:szCs w:val="20"/>
              </w:rPr>
            </w:pPr>
            <w:r w:rsidRPr="009E2F9F">
              <w:rPr>
                <w:rFonts w:ascii="Arial Narrow" w:hAnsi="Arial Narrow"/>
                <w:sz w:val="20"/>
                <w:szCs w:val="20"/>
              </w:rPr>
              <w:t>2.26</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C395C3" w14:textId="0D5D35C9"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r>
      <w:tr w:rsidR="00F84BA7" w:rsidRPr="00040F81" w14:paraId="6B7039EC" w14:textId="77777777" w:rsidTr="00154777">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785745" w14:textId="77777777" w:rsidR="00F84BA7" w:rsidRPr="005320BA" w:rsidRDefault="00F84BA7" w:rsidP="00154777">
            <w:pPr>
              <w:rPr>
                <w:rFonts w:ascii="Arial Narrow" w:hAnsi="Arial Narrow"/>
                <w:sz w:val="20"/>
                <w:szCs w:val="20"/>
              </w:rPr>
            </w:pPr>
            <w:r w:rsidRPr="005320BA">
              <w:rPr>
                <w:rFonts w:ascii="Arial Narrow" w:hAnsi="Arial Narrow"/>
                <w:sz w:val="20"/>
                <w:szCs w:val="20"/>
              </w:rPr>
              <w:t>Proportion LD transplants: 100%</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B8A4DE" w14:textId="315CFBF4" w:rsidR="00F84BA7" w:rsidRPr="009E2F9F" w:rsidRDefault="00F84BA7" w:rsidP="00154777">
            <w:pPr>
              <w:rPr>
                <w:rFonts w:ascii="Arial Narrow" w:hAnsi="Arial Narrow"/>
                <w:sz w:val="20"/>
                <w:szCs w:val="20"/>
              </w:rPr>
            </w:pPr>
            <w:r w:rsidRPr="009E2F9F">
              <w:rPr>
                <w:rFonts w:ascii="Arial Narrow" w:hAnsi="Arial Narrow"/>
                <w:sz w:val="20"/>
                <w:szCs w:val="20"/>
              </w:rPr>
              <w:t>-$</w:t>
            </w:r>
            <w:r w:rsidR="00822E67" w:rsidRPr="009E2F9F">
              <w:rPr>
                <w:rFonts w:ascii="Arial Narrow" w:hAnsi="Arial Narrow"/>
                <w:b/>
                <w:sz w:val="20"/>
                <w:szCs w:val="20"/>
              </w:rPr>
              <w:t>redacted</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99CF56" w14:textId="77777777" w:rsidR="00F84BA7" w:rsidRPr="009E2F9F" w:rsidRDefault="00F84BA7" w:rsidP="00154777">
            <w:pPr>
              <w:rPr>
                <w:rFonts w:ascii="Arial Narrow" w:hAnsi="Arial Narrow"/>
                <w:sz w:val="20"/>
                <w:szCs w:val="20"/>
              </w:rPr>
            </w:pPr>
            <w:r w:rsidRPr="009E2F9F">
              <w:rPr>
                <w:rFonts w:ascii="Arial Narrow" w:hAnsi="Arial Narrow"/>
                <w:sz w:val="20"/>
                <w:szCs w:val="20"/>
              </w:rPr>
              <w:t>5.35</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B3E54B" w14:textId="77777777" w:rsidR="00F84BA7" w:rsidRPr="009E2F9F" w:rsidRDefault="00F84BA7" w:rsidP="00154777">
            <w:pPr>
              <w:rPr>
                <w:rFonts w:ascii="Arial Narrow" w:hAnsi="Arial Narrow"/>
                <w:sz w:val="20"/>
                <w:szCs w:val="20"/>
              </w:rPr>
            </w:pPr>
            <w:r w:rsidRPr="009E2F9F">
              <w:rPr>
                <w:rFonts w:ascii="Arial Narrow" w:hAnsi="Arial Narrow"/>
                <w:sz w:val="20"/>
                <w:szCs w:val="20"/>
              </w:rPr>
              <w:t>Imlifidase dominant</w:t>
            </w:r>
          </w:p>
        </w:tc>
      </w:tr>
    </w:tbl>
    <w:p w14:paraId="2A7D7D94" w14:textId="77777777" w:rsidR="00F84BA7" w:rsidRDefault="00F84BA7" w:rsidP="00CF7A55">
      <w:pPr>
        <w:spacing w:before="240"/>
      </w:pPr>
      <w:r>
        <w:t xml:space="preserve">ESC recalled that in the previous ADAR </w:t>
      </w:r>
      <w:r w:rsidRPr="00F27150">
        <w:t xml:space="preserve">MSAC </w:t>
      </w:r>
      <w:r>
        <w:t>considered that</w:t>
      </w:r>
      <w:r w:rsidRPr="00F27150">
        <w:t xml:space="preserve"> the economic model underestimated the probability of transplantation without imlifidase treatment</w:t>
      </w:r>
      <w:r>
        <w:t xml:space="preserve">. The commentary considered that this had been addressed as the ADAR had used </w:t>
      </w:r>
      <w:r w:rsidRPr="009D7E1B">
        <w:t>data from OrganMatch to better estimate the probability of transplantation</w:t>
      </w:r>
      <w:r>
        <w:t xml:space="preserve">. However, ESC noted that the model assumed equal transplantation rates between the LD and DD transplant waitlists although ESC acknowledged that sensitivity analyses suggest that this assumption does not have a major impact on the ICER. </w:t>
      </w:r>
    </w:p>
    <w:p w14:paraId="2B476BD0" w14:textId="77777777" w:rsidR="00F84BA7" w:rsidRDefault="00F84BA7" w:rsidP="00F84BA7">
      <w:r>
        <w:t xml:space="preserve">ESC noted that in the previous </w:t>
      </w:r>
      <w:r w:rsidRPr="00B93295">
        <w:t>ADAR</w:t>
      </w:r>
      <w:r>
        <w:t xml:space="preserve"> MSAC </w:t>
      </w:r>
      <w:r w:rsidRPr="00F30AEA">
        <w:t>advised th</w:t>
      </w:r>
      <w:r>
        <w:t xml:space="preserve">at the </w:t>
      </w:r>
      <w:r w:rsidRPr="00F30AEA">
        <w:t xml:space="preserve">economic model </w:t>
      </w:r>
      <w:r>
        <w:t xml:space="preserve">should be revised to </w:t>
      </w:r>
      <w:r w:rsidRPr="00F30AEA">
        <w:t>includ</w:t>
      </w:r>
      <w:r>
        <w:t>e</w:t>
      </w:r>
      <w:r w:rsidRPr="00F30AEA">
        <w:t xml:space="preserve"> clinical data to fit the new proposed population and using revised comparators</w:t>
      </w:r>
      <w:r>
        <w:t>. As discussed previously this had been partially addressed in the ADAR insofar as d</w:t>
      </w:r>
      <w:r w:rsidRPr="00EE651A">
        <w:t xml:space="preserve">ata from the pooled AUS-UTT-A population </w:t>
      </w:r>
      <w:r>
        <w:t xml:space="preserve">had been used in the economic model which restricts the population to </w:t>
      </w:r>
      <w:r w:rsidRPr="00EE651A">
        <w:t xml:space="preserve">patients who had been receiving dialysis for ≥2 years prior to </w:t>
      </w:r>
      <w:r>
        <w:t xml:space="preserve">both </w:t>
      </w:r>
      <w:r w:rsidRPr="00EE651A">
        <w:t xml:space="preserve">DD or LD </w:t>
      </w:r>
      <w:r>
        <w:t xml:space="preserve">kidney </w:t>
      </w:r>
      <w:r w:rsidRPr="00EE651A">
        <w:t>transplant</w:t>
      </w:r>
      <w:r>
        <w:t xml:space="preserve"> (and is therefore slightly more restrictive than the proposed population for LD kidney recipients) and insofar as the ADAR continues to use the same comparator as the previous ADAR (dialysis until kidney transplant). </w:t>
      </w:r>
    </w:p>
    <w:p w14:paraId="6DFFC441" w14:textId="77777777" w:rsidR="00F84BA7" w:rsidRDefault="00F84BA7" w:rsidP="00F84BA7">
      <w:r>
        <w:t xml:space="preserve">ESC recalled that in the previous ADAR, MSAC noted that the economic model </w:t>
      </w:r>
      <w:r w:rsidRPr="00F10A55">
        <w:t>had incomplete costs for a complex implementation as it did not include the cost of extra immunological tests and increased staffing requirements and delayed or potentially no transplantation outcomes in some cases</w:t>
      </w:r>
      <w:r>
        <w:t>. ESC noted that only relatively minor changes had been made to the model to include more complete costs (c</w:t>
      </w:r>
      <w:r w:rsidRPr="0004243D">
        <w:t>osts for an additional 8 Luminex tests were included</w:t>
      </w:r>
      <w:r>
        <w:t>), and this had a limited impact on the ICER.</w:t>
      </w:r>
    </w:p>
    <w:p w14:paraId="0818EC93" w14:textId="77777777" w:rsidR="00F84BA7" w:rsidRDefault="00F84BA7" w:rsidP="00F84BA7">
      <w:r>
        <w:t>ESC noted that efficacy</w:t>
      </w:r>
      <w:r w:rsidRPr="007617FD">
        <w:t xml:space="preserve"> of imlifidase in the economic evaluation </w:t>
      </w:r>
      <w:r>
        <w:t>wa</w:t>
      </w:r>
      <w:r w:rsidRPr="007617FD">
        <w:t>s based on the pooled safety population of 54</w:t>
      </w:r>
      <w:r>
        <w:t> </w:t>
      </w:r>
      <w:r w:rsidRPr="007617FD">
        <w:t>patients</w:t>
      </w:r>
      <w:r>
        <w:t>, deemed to be</w:t>
      </w:r>
      <w:r w:rsidRPr="007617FD">
        <w:t xml:space="preserve"> 96.3% (i.e. </w:t>
      </w:r>
      <w:r>
        <w:t>two patients</w:t>
      </w:r>
      <w:r w:rsidRPr="007617FD">
        <w:t xml:space="preserve"> did not receive </w:t>
      </w:r>
      <w:r>
        <w:t xml:space="preserve">the </w:t>
      </w:r>
      <w:r w:rsidRPr="007617FD">
        <w:t>full dose</w:t>
      </w:r>
      <w:r>
        <w:t xml:space="preserve"> </w:t>
      </w:r>
      <w:r>
        <w:rPr>
          <w:color w:val="000000" w:themeColor="text1"/>
        </w:rPr>
        <w:t>and were therefore not successfully converted to crossmatch negative</w:t>
      </w:r>
      <w:r w:rsidRPr="007617FD">
        <w:t>)</w:t>
      </w:r>
      <w:r>
        <w:t xml:space="preserve">. </w:t>
      </w:r>
      <w:r w:rsidRPr="007617FD">
        <w:t>Patient survival with a functioning graft and death-censored graft survival w</w:t>
      </w:r>
      <w:r>
        <w:t>as</w:t>
      </w:r>
      <w:r w:rsidRPr="007617FD">
        <w:t xml:space="preserve"> estimated based on</w:t>
      </w:r>
      <w:r>
        <w:t xml:space="preserve"> a</w:t>
      </w:r>
      <w:r w:rsidRPr="007617FD">
        <w:t xml:space="preserve"> parametric survival analysis of clinical trial data</w:t>
      </w:r>
      <w:r>
        <w:t>. The d</w:t>
      </w:r>
      <w:r w:rsidRPr="007617FD">
        <w:t xml:space="preserve">ata </w:t>
      </w:r>
      <w:r>
        <w:t xml:space="preserve">were </w:t>
      </w:r>
      <w:r w:rsidRPr="007617FD">
        <w:t xml:space="preserve">revised in this </w:t>
      </w:r>
      <w:r>
        <w:t>ADAR</w:t>
      </w:r>
      <w:r w:rsidRPr="007617FD">
        <w:t xml:space="preserve"> to use the pooled AUS-UTT-A population</w:t>
      </w:r>
      <w:r>
        <w:t>, which was</w:t>
      </w:r>
      <w:r w:rsidRPr="007617FD">
        <w:t xml:space="preserve"> smaller than </w:t>
      </w:r>
      <w:r>
        <w:t xml:space="preserve">that for the </w:t>
      </w:r>
      <w:r w:rsidRPr="007617FD">
        <w:t xml:space="preserve">previous </w:t>
      </w:r>
      <w:r>
        <w:t xml:space="preserve">application </w:t>
      </w:r>
      <w:r w:rsidRPr="007617FD">
        <w:t>but more applicable</w:t>
      </w:r>
      <w:r>
        <w:t xml:space="preserve">. </w:t>
      </w:r>
      <w:r w:rsidRPr="007617FD">
        <w:t xml:space="preserve">Parametric models were fitted to clinical trial data to extrapolate graft survival and patient </w:t>
      </w:r>
      <w:r w:rsidRPr="007617FD">
        <w:lastRenderedPageBreak/>
        <w:t xml:space="preserve">survival with a functioning graft over the model time horizon. </w:t>
      </w:r>
      <w:r>
        <w:t>ESC noted that the applicant explored</w:t>
      </w:r>
      <w:r w:rsidRPr="007617FD">
        <w:t xml:space="preserve"> various</w:t>
      </w:r>
      <w:r>
        <w:t xml:space="preserve"> models and</w:t>
      </w:r>
      <w:r w:rsidRPr="007617FD">
        <w:t xml:space="preserve"> chose</w:t>
      </w:r>
      <w:r>
        <w:t xml:space="preserve"> an</w:t>
      </w:r>
      <w:r w:rsidRPr="007617FD">
        <w:t xml:space="preserve"> exponential </w:t>
      </w:r>
      <w:r>
        <w:t xml:space="preserve">model </w:t>
      </w:r>
      <w:r w:rsidRPr="007617FD">
        <w:t>(</w:t>
      </w:r>
      <w:r>
        <w:t xml:space="preserve">the </w:t>
      </w:r>
      <w:r w:rsidRPr="007617FD">
        <w:t>most conservative)</w:t>
      </w:r>
      <w:r>
        <w:t>. ESC considered that this i</w:t>
      </w:r>
      <w:r w:rsidRPr="007617FD">
        <w:t xml:space="preserve">mplies a constant rate of failure over time, </w:t>
      </w:r>
      <w:r>
        <w:t xml:space="preserve">which </w:t>
      </w:r>
      <w:r w:rsidRPr="007617FD">
        <w:t>may not be clinically feasible</w:t>
      </w:r>
      <w:r>
        <w:t>. However, this was not found to have a large impact on the economic results.</w:t>
      </w:r>
    </w:p>
    <w:p w14:paraId="3F3879BA" w14:textId="77777777" w:rsidR="00F84BA7" w:rsidRDefault="00F84BA7" w:rsidP="00F84BA7">
      <w:r>
        <w:t>ESC also noted that disutilities associated with treatment-related adverse events were not captured but the current ADAR argued that these would be small and would only add complexity to the model structure without being meaningful.</w:t>
      </w:r>
    </w:p>
    <w:p w14:paraId="74A2A27E" w14:textId="77777777" w:rsidR="00F84BA7" w:rsidRPr="00C2514F" w:rsidRDefault="00F84BA7" w:rsidP="00F84BA7">
      <w:r>
        <w:t xml:space="preserve">For the costs, ESC noted that the applicant used a micro-costing approach (as opposed to the </w:t>
      </w:r>
      <w:r w:rsidRPr="00C2514F">
        <w:t>public Kidney Health Australia inflated cost data). This significantly affects the ICER:</w:t>
      </w:r>
    </w:p>
    <w:p w14:paraId="1E40B862" w14:textId="39A1168C" w:rsidR="00F84BA7" w:rsidRPr="00C2514F" w:rsidRDefault="00F84BA7" w:rsidP="0033037C">
      <w:pPr>
        <w:pStyle w:val="ListParagraph"/>
        <w:numPr>
          <w:ilvl w:val="0"/>
          <w:numId w:val="32"/>
        </w:numPr>
        <w:spacing w:before="0" w:after="240" w:line="240" w:lineRule="auto"/>
      </w:pPr>
      <w:r w:rsidRPr="00C2514F">
        <w:t>Using Kidney Health Australia costs for dialysis increased the ICER to $</w:t>
      </w:r>
      <w:r w:rsidR="006B2153" w:rsidRPr="00C2514F">
        <w:rPr>
          <w:b/>
          <w:bCs/>
        </w:rPr>
        <w:t>redacted</w:t>
      </w:r>
      <w:r w:rsidRPr="00C2514F">
        <w:t>/QALY (+</w:t>
      </w:r>
      <w:r w:rsidRPr="009E2F9F">
        <w:t>105.9</w:t>
      </w:r>
      <w:r w:rsidRPr="00C2514F">
        <w:t>%).</w:t>
      </w:r>
    </w:p>
    <w:p w14:paraId="33EE3DC7" w14:textId="101E0BAC" w:rsidR="00F84BA7" w:rsidRPr="00C2514F" w:rsidRDefault="00F84BA7" w:rsidP="0033037C">
      <w:pPr>
        <w:pStyle w:val="ListParagraph"/>
        <w:numPr>
          <w:ilvl w:val="0"/>
          <w:numId w:val="32"/>
        </w:numPr>
        <w:spacing w:before="0" w:after="240" w:line="240" w:lineRule="auto"/>
      </w:pPr>
      <w:r w:rsidRPr="00C2514F">
        <w:t>Using Kidney Health Australia costs for transplants increased the ICER to $</w:t>
      </w:r>
      <w:r w:rsidR="006B2153" w:rsidRPr="00C2514F">
        <w:rPr>
          <w:b/>
          <w:bCs/>
        </w:rPr>
        <w:t>redacted</w:t>
      </w:r>
      <w:r w:rsidR="006B2153" w:rsidRPr="009E2F9F" w:rsidDel="006B2153">
        <w:t xml:space="preserve"> </w:t>
      </w:r>
      <w:r w:rsidRPr="00C2514F">
        <w:t>/QALY (+</w:t>
      </w:r>
      <w:r w:rsidRPr="009E2F9F">
        <w:t>31.1</w:t>
      </w:r>
      <w:r w:rsidRPr="00C2514F">
        <w:t>%).</w:t>
      </w:r>
    </w:p>
    <w:p w14:paraId="55C4BB48" w14:textId="4580B91C" w:rsidR="00F84BA7" w:rsidRPr="00C2514F" w:rsidRDefault="00F84BA7" w:rsidP="0033037C">
      <w:pPr>
        <w:pStyle w:val="ListParagraph"/>
        <w:numPr>
          <w:ilvl w:val="0"/>
          <w:numId w:val="32"/>
        </w:numPr>
        <w:spacing w:before="0" w:after="240" w:line="240" w:lineRule="auto"/>
      </w:pPr>
      <w:r w:rsidRPr="00C2514F">
        <w:t>Using inflation-adjusted Kidney Health Australia costs for both dialysis and transplant costs increased the ICER to $</w:t>
      </w:r>
      <w:r w:rsidR="006B2153" w:rsidRPr="00C2514F">
        <w:rPr>
          <w:b/>
          <w:bCs/>
        </w:rPr>
        <w:t>redacted</w:t>
      </w:r>
      <w:r w:rsidRPr="00C2514F">
        <w:t>/QALY (+</w:t>
      </w:r>
      <w:r w:rsidRPr="009E2F9F">
        <w:t>137</w:t>
      </w:r>
      <w:r w:rsidRPr="00C2514F">
        <w:t>%).</w:t>
      </w:r>
    </w:p>
    <w:p w14:paraId="775197A3" w14:textId="3A7D59FD" w:rsidR="00F84BA7" w:rsidRPr="00C2514F" w:rsidRDefault="00F84BA7" w:rsidP="00F84BA7">
      <w:r w:rsidRPr="00C2514F">
        <w:t>ESC noted the cost of imlifidase to all governments, which were estimated to be around $</w:t>
      </w:r>
      <w:r w:rsidR="006B2153" w:rsidRPr="00C2514F">
        <w:rPr>
          <w:b/>
          <w:bCs/>
        </w:rPr>
        <w:t>redacted</w:t>
      </w:r>
      <w:r w:rsidRPr="00C2514F">
        <w:t xml:space="preserve"> in year 1, increasing to $</w:t>
      </w:r>
      <w:r w:rsidR="006B2153" w:rsidRPr="00C2514F">
        <w:rPr>
          <w:b/>
          <w:bCs/>
        </w:rPr>
        <w:t>redacted</w:t>
      </w:r>
      <w:r w:rsidRPr="00C2514F">
        <w:t xml:space="preserve"> in year 6. However, ESC agreed with the commentary that there were many uncertainties in the estimates. ESC noted that:</w:t>
      </w:r>
    </w:p>
    <w:p w14:paraId="10334A4B" w14:textId="77777777" w:rsidR="00F84BA7" w:rsidRPr="00C2514F" w:rsidRDefault="00F84BA7" w:rsidP="0033037C">
      <w:pPr>
        <w:pStyle w:val="ListParagraph"/>
        <w:numPr>
          <w:ilvl w:val="0"/>
          <w:numId w:val="34"/>
        </w:numPr>
        <w:spacing w:before="0" w:after="240" w:line="240" w:lineRule="auto"/>
      </w:pPr>
      <w:r w:rsidRPr="00C2514F">
        <w:t>the patient number estimates were inconsistent (year 1 figures were based on indirect overseas data rather than the OrganMatch Australian data)</w:t>
      </w:r>
    </w:p>
    <w:p w14:paraId="1AB5DF50" w14:textId="77777777" w:rsidR="00F84BA7" w:rsidRPr="00C2514F" w:rsidRDefault="00F84BA7" w:rsidP="0033037C">
      <w:pPr>
        <w:pStyle w:val="ListParagraph"/>
        <w:numPr>
          <w:ilvl w:val="0"/>
          <w:numId w:val="34"/>
        </w:numPr>
        <w:spacing w:before="0" w:after="240" w:line="240" w:lineRule="auto"/>
      </w:pPr>
      <w:r w:rsidRPr="00C2514F">
        <w:t>incorrect methods were used for calculating the number of ineligible patients.</w:t>
      </w:r>
    </w:p>
    <w:p w14:paraId="4E44BF27" w14:textId="7E3C1D5B" w:rsidR="00F84BA7" w:rsidRPr="00F63EBD" w:rsidRDefault="00F84BA7" w:rsidP="00F84BA7">
      <w:r w:rsidRPr="00C2514F">
        <w:t>ESC noted that these issues resulted in an overestimation of HS patients over the 6 projected years, consequently resulting in an overestimation of the total financial impact (possibly by up to 30%). Additionally, assumptions around uptake of the intervention (</w:t>
      </w:r>
      <w:r w:rsidR="006B2153" w:rsidRPr="00C2514F">
        <w:rPr>
          <w:b/>
          <w:bCs/>
        </w:rPr>
        <w:t>redacted</w:t>
      </w:r>
      <w:r w:rsidRPr="00C2514F">
        <w:t xml:space="preserve">% in year 1 to </w:t>
      </w:r>
      <w:r w:rsidR="006B2153" w:rsidRPr="00C2514F">
        <w:rPr>
          <w:b/>
          <w:bCs/>
        </w:rPr>
        <w:t>redacted</w:t>
      </w:r>
      <w:r w:rsidRPr="00C2514F">
        <w:t>% in year 6) had not been justified. ESC considered that the changes to the financials suggested in the commentary could be made by the applicant prior to MSAC consideration. ESC also noted that the base case financials assumed that a transplant chain could not be formed in the absence of imlifidase and noted that the commentary considered this assumption unjustified and likely to lead to an overestimate of the dialysis cost offset in the financial scenario analyses around the length of kidney chains. However, the estimated projection acknowledges that there are no net dialysis cost offsets from DD transplantations due to the health budget.</w:t>
      </w:r>
    </w:p>
    <w:p w14:paraId="3E6612C2" w14:textId="0671EB34" w:rsidR="00F84BA7" w:rsidRDefault="00F84BA7" w:rsidP="00F84BA7">
      <w:r w:rsidRPr="00515A9B">
        <w:t xml:space="preserve">Regarding MSAC’s previous concerns regarding the estimated budgetary impact, ESC noted that the ADAR addressed the restriction issue by aligning with PASC’s recommendation and proposing </w:t>
      </w:r>
      <w:r w:rsidR="003174B4" w:rsidRPr="009E2F9F">
        <w:rPr>
          <w:b/>
          <w:bCs/>
        </w:rPr>
        <w:t>redacted</w:t>
      </w:r>
      <w:r w:rsidRPr="00515A9B">
        <w:t xml:space="preserve">. Regarding MSAC’s proposed financial cap after </w:t>
      </w:r>
      <w:r w:rsidR="006B2153" w:rsidRPr="00515A9B">
        <w:rPr>
          <w:b/>
          <w:bCs/>
        </w:rPr>
        <w:t>redacted</w:t>
      </w:r>
      <w:r w:rsidRPr="00515A9B">
        <w:t xml:space="preserve"> patients </w:t>
      </w:r>
      <w:r w:rsidRPr="009E2F9F">
        <w:t>(</w:t>
      </w:r>
      <w:r w:rsidR="006B2153" w:rsidRPr="00515A9B">
        <w:rPr>
          <w:b/>
          <w:bCs/>
        </w:rPr>
        <w:t>redacted</w:t>
      </w:r>
      <w:r w:rsidRPr="009E2F9F">
        <w:t> DD and</w:t>
      </w:r>
      <w:r w:rsidR="006B2153" w:rsidRPr="00515A9B">
        <w:rPr>
          <w:b/>
          <w:bCs/>
        </w:rPr>
        <w:t xml:space="preserve"> redacted</w:t>
      </w:r>
      <w:r w:rsidRPr="009E2F9F">
        <w:t> LD)</w:t>
      </w:r>
      <w:r w:rsidRPr="00515A9B">
        <w:t xml:space="preserve"> per year, the ADAR argued that such</w:t>
      </w:r>
      <w:r>
        <w:t xml:space="preserve"> a restriction would fail to address the backlog bolus of HS patients waiting for a kidney transplant and would be inadequate to address the incident patients joining the waitlist (around 26 per year), so therefore proposed that there should be no financial cap on patient numbers and did not model the financial impacts of the cap. ESC considered these to be valid arguments that should be considered as part of the decision-making process, but they impact utilisation and cost estimates and increase uncertainty.</w:t>
      </w:r>
    </w:p>
    <w:p w14:paraId="6CEA8347" w14:textId="73055FB0" w:rsidR="00F84BA7" w:rsidRDefault="00F84BA7" w:rsidP="00F84BA7">
      <w:r w:rsidRPr="00515A9B">
        <w:t xml:space="preserve">ESC noted that the applicant responded to MSAC’s request to lower the price for treatment by adding a </w:t>
      </w:r>
      <w:r w:rsidR="006B2153" w:rsidRPr="00515A9B">
        <w:rPr>
          <w:b/>
          <w:bCs/>
        </w:rPr>
        <w:t>redacted</w:t>
      </w:r>
      <w:r w:rsidRPr="00515A9B">
        <w:t>% discount to the original proposed price per vial of $</w:t>
      </w:r>
      <w:r w:rsidR="006B2153" w:rsidRPr="00515A9B">
        <w:rPr>
          <w:b/>
          <w:bCs/>
        </w:rPr>
        <w:t>redacted</w:t>
      </w:r>
      <w:r w:rsidRPr="00515A9B">
        <w:t>. ESC noted from the commentary that the amended (i.e. fixed) costing structure shifts costs from the healthcare system to the company.</w:t>
      </w:r>
    </w:p>
    <w:p w14:paraId="7BBB1CB9" w14:textId="77777777" w:rsidR="00F84BA7" w:rsidRDefault="00F84BA7" w:rsidP="00F84BA7">
      <w:r>
        <w:lastRenderedPageBreak/>
        <w:t xml:space="preserve">Regarding MSAC’s advice about considering mechanisms for data monitoring and post-implementation review, ESC noted that the applicant stated they would provide clinical study reports, including for an Australian observational study of renal transplant recipients (from DDs and LDs) following desensitisation with imlifidase. ESC questioned the details of this observational study, and whether the applicant will fund the study design, implementation, data collection and analysis, and writing of the report. </w:t>
      </w:r>
    </w:p>
    <w:p w14:paraId="5449CEA1" w14:textId="77777777" w:rsidR="00F84BA7" w:rsidRPr="00515A9B" w:rsidRDefault="00F84BA7" w:rsidP="00F84BA7">
      <w:r>
        <w:t xml:space="preserve">ESC </w:t>
      </w:r>
      <w:r w:rsidRPr="00515A9B">
        <w:t>suggested that the following information was needed ahead of MSAC’s consideration:</w:t>
      </w:r>
    </w:p>
    <w:p w14:paraId="2E88E635" w14:textId="77777777" w:rsidR="00F84BA7" w:rsidRPr="00515A9B" w:rsidRDefault="00F84BA7" w:rsidP="0033037C">
      <w:pPr>
        <w:pStyle w:val="ListParagraph"/>
        <w:numPr>
          <w:ilvl w:val="0"/>
          <w:numId w:val="30"/>
        </w:numPr>
        <w:spacing w:before="0" w:after="240" w:line="240" w:lineRule="auto"/>
      </w:pPr>
      <w:r w:rsidRPr="00515A9B">
        <w:t xml:space="preserve">The applicant should identify, collate and evaluate any additional evidence of the effectiveness of other desensitisation treatments. </w:t>
      </w:r>
    </w:p>
    <w:p w14:paraId="54F4526C" w14:textId="6C160286" w:rsidR="00F84BA7" w:rsidRPr="00515A9B" w:rsidRDefault="00F84BA7" w:rsidP="0033037C">
      <w:pPr>
        <w:pStyle w:val="ListParagraph"/>
        <w:numPr>
          <w:ilvl w:val="0"/>
          <w:numId w:val="30"/>
        </w:numPr>
        <w:spacing w:before="0" w:after="240" w:line="240" w:lineRule="auto"/>
      </w:pPr>
      <w:r w:rsidRPr="00515A9B">
        <w:t xml:space="preserve">If possible, provide details of estimated numbers of patients in the ANZDATA with cPRA ≥99% (135 in 2022) who would potentially be able to receive a transplant if imlifidase was available to them and provide details on how sociodemographic and clinical data for these patients compare with those in the trials. This would assist in an evaluation of the applicability of the evidence provided in the ADAR to the Australian patient population. Post-ESC, it was agreed that the </w:t>
      </w:r>
      <w:r w:rsidR="00EB447F" w:rsidRPr="00515A9B">
        <w:t>d</w:t>
      </w:r>
      <w:r w:rsidRPr="00515A9B">
        <w:t xml:space="preserve">epartment would consult with relevant stakeholders (ANZDATA and RTAC) to obtain this information. </w:t>
      </w:r>
    </w:p>
    <w:p w14:paraId="3C0AEAE7" w14:textId="7BE40C07" w:rsidR="00F84BA7" w:rsidRPr="00515A9B" w:rsidRDefault="00F84BA7" w:rsidP="0033037C">
      <w:pPr>
        <w:pStyle w:val="ListParagraph"/>
        <w:numPr>
          <w:ilvl w:val="0"/>
          <w:numId w:val="30"/>
        </w:numPr>
        <w:spacing w:before="0" w:after="240" w:line="240" w:lineRule="auto"/>
      </w:pPr>
      <w:r w:rsidRPr="00515A9B">
        <w:t xml:space="preserve">Investigate the costs of health resources used </w:t>
      </w:r>
      <w:r w:rsidR="006B2153" w:rsidRPr="00515A9B">
        <w:rPr>
          <w:b/>
          <w:bCs/>
        </w:rPr>
        <w:t>redacted</w:t>
      </w:r>
      <w:r w:rsidRPr="00515A9B">
        <w:t>.</w:t>
      </w:r>
      <w:r w:rsidR="002933B1">
        <w:t xml:space="preserve"> </w:t>
      </w:r>
      <w:r w:rsidR="002933B1" w:rsidRPr="009E2F9F">
        <w:rPr>
          <w:b/>
          <w:bCs/>
        </w:rPr>
        <w:t>Redacted</w:t>
      </w:r>
      <w:r w:rsidRPr="00515A9B">
        <w:t xml:space="preserve"> ESC also considered that it was worth investigating what the results of the economic model would be if these costs were included in the cost utility model. </w:t>
      </w:r>
    </w:p>
    <w:p w14:paraId="09E26874" w14:textId="77777777" w:rsidR="00F84BA7" w:rsidRPr="00515A9B" w:rsidRDefault="00F84BA7" w:rsidP="0033037C">
      <w:pPr>
        <w:pStyle w:val="ListParagraph"/>
        <w:numPr>
          <w:ilvl w:val="0"/>
          <w:numId w:val="30"/>
        </w:numPr>
        <w:spacing w:before="0" w:after="240" w:line="240" w:lineRule="auto"/>
      </w:pPr>
      <w:r w:rsidRPr="00515A9B">
        <w:t xml:space="preserve">Provide any updated information scheduled to be provided to NICE in 2023, noting use in the UK and Europe is only for recipients of transplants from deceased donors (as suggested by the consultation feedback from Western Australia). This information should be provided by the applicant. </w:t>
      </w:r>
    </w:p>
    <w:p w14:paraId="4DCDD706" w14:textId="77777777" w:rsidR="00F84BA7" w:rsidRPr="00515A9B" w:rsidRDefault="00F84BA7" w:rsidP="0033037C">
      <w:pPr>
        <w:pStyle w:val="ListParagraph"/>
        <w:numPr>
          <w:ilvl w:val="0"/>
          <w:numId w:val="30"/>
        </w:numPr>
        <w:spacing w:before="0" w:after="240" w:line="240" w:lineRule="auto"/>
      </w:pPr>
      <w:r w:rsidRPr="00515A9B">
        <w:t>Provide details on the planned Australian observational study of renal transplant recipients (from DDs or LDs) following desensitisation with imlifidase, including funding and data collection mechanisms. This information should be provided by the applicant.</w:t>
      </w:r>
    </w:p>
    <w:p w14:paraId="6CBED373" w14:textId="77777777" w:rsidR="00F84BA7" w:rsidRDefault="00F84BA7" w:rsidP="00F84BA7">
      <w:r>
        <w:t>ESC also suggested that the department:</w:t>
      </w:r>
    </w:p>
    <w:p w14:paraId="6FC2CD8C" w14:textId="77777777" w:rsidR="00F84BA7" w:rsidRDefault="00F84BA7" w:rsidP="0033037C">
      <w:pPr>
        <w:pStyle w:val="ListParagraph"/>
        <w:numPr>
          <w:ilvl w:val="0"/>
          <w:numId w:val="31"/>
        </w:numPr>
        <w:spacing w:before="0" w:after="240" w:line="240" w:lineRule="auto"/>
      </w:pPr>
      <w:r>
        <w:t>c</w:t>
      </w:r>
      <w:r w:rsidRPr="003A0FCD">
        <w:t>onsult OrganMatch about the potential patient pool according to revised eligibility criteria, if other patients might be disadvantaged</w:t>
      </w:r>
      <w:r>
        <w:t xml:space="preserve"> and whether OrganMatch intends </w:t>
      </w:r>
      <w:r w:rsidRPr="003A0FCD">
        <w:t xml:space="preserve">to undertake modelling studies and simulation testing of the impact of imlifidase on the kidney donation program </w:t>
      </w:r>
      <w:r>
        <w:t>(as suggested by consultation feedback from Western Australia)</w:t>
      </w:r>
      <w:r w:rsidRPr="003A0FCD">
        <w:t>.</w:t>
      </w:r>
    </w:p>
    <w:p w14:paraId="1F546DEB" w14:textId="77777777" w:rsidR="00F84BA7" w:rsidRDefault="00F84BA7" w:rsidP="0033037C">
      <w:pPr>
        <w:pStyle w:val="ListParagraph"/>
        <w:numPr>
          <w:ilvl w:val="0"/>
          <w:numId w:val="31"/>
        </w:numPr>
        <w:spacing w:before="0" w:after="240" w:line="240" w:lineRule="auto"/>
      </w:pPr>
      <w:r>
        <w:t>c</w:t>
      </w:r>
      <w:r w:rsidRPr="006F7614">
        <w:t xml:space="preserve">onsult </w:t>
      </w:r>
      <w:r>
        <w:t xml:space="preserve">the TSANZ </w:t>
      </w:r>
      <w:r w:rsidRPr="006F7614">
        <w:t xml:space="preserve">about plans to develop guidelines equivalent to those of the </w:t>
      </w:r>
      <w:r>
        <w:t>British</w:t>
      </w:r>
      <w:r w:rsidRPr="006F7614">
        <w:t xml:space="preserve"> Transplant</w:t>
      </w:r>
      <w:r>
        <w:t>ation</w:t>
      </w:r>
      <w:r w:rsidRPr="006F7614">
        <w:t xml:space="preserve"> Society</w:t>
      </w:r>
      <w:r>
        <w:t xml:space="preserve"> (as suggested by consultation feedback from Western Australia).</w:t>
      </w:r>
    </w:p>
    <w:p w14:paraId="2039614E" w14:textId="77777777" w:rsidR="00CF7A55" w:rsidRDefault="00CF7A55" w:rsidP="00CF7A55">
      <w:pPr>
        <w:pStyle w:val="Heading2"/>
        <w:numPr>
          <w:ilvl w:val="0"/>
          <w:numId w:val="0"/>
        </w:numPr>
      </w:pPr>
      <w:r>
        <w:t>17.</w:t>
      </w:r>
      <w:r>
        <w:tab/>
        <w:t>Applicant comments on MSAC’s Public Summary Document</w:t>
      </w:r>
    </w:p>
    <w:p w14:paraId="02FF395C" w14:textId="37D6E962" w:rsidR="009A1A3C" w:rsidRPr="00D81CF9" w:rsidRDefault="00727978" w:rsidP="009A1A3C">
      <w:pPr>
        <w:spacing w:after="240"/>
      </w:pPr>
      <w:r w:rsidRPr="00D81CF9">
        <w:t xml:space="preserve">The </w:t>
      </w:r>
      <w:r w:rsidR="00E07A81" w:rsidRPr="00D81CF9">
        <w:t>A</w:t>
      </w:r>
      <w:r w:rsidRPr="00D81CF9">
        <w:t>pplicant is delighted</w:t>
      </w:r>
      <w:r w:rsidR="00A246D7" w:rsidRPr="00D81CF9">
        <w:t>,</w:t>
      </w:r>
      <w:r w:rsidRPr="00D81CF9">
        <w:t xml:space="preserve"> on behalf of the</w:t>
      </w:r>
      <w:r w:rsidR="0010136A" w:rsidRPr="00D81CF9">
        <w:t xml:space="preserve"> relevant</w:t>
      </w:r>
      <w:r w:rsidRPr="00D81CF9">
        <w:t xml:space="preserve"> </w:t>
      </w:r>
      <w:r w:rsidR="00117032" w:rsidRPr="00D81CF9">
        <w:t>highly sensitis</w:t>
      </w:r>
      <w:r w:rsidR="00984EFE" w:rsidRPr="00D81CF9">
        <w:t>ed renal transplant patient</w:t>
      </w:r>
      <w:r w:rsidR="009015C6" w:rsidRPr="00D81CF9">
        <w:t>s</w:t>
      </w:r>
      <w:r w:rsidR="00A246D7" w:rsidRPr="00D81CF9">
        <w:t>,</w:t>
      </w:r>
      <w:r w:rsidR="00984EFE" w:rsidRPr="00D81CF9">
        <w:t xml:space="preserve"> that MSAC supported public funding </w:t>
      </w:r>
      <w:r w:rsidR="00A246D7" w:rsidRPr="00D81CF9">
        <w:t>for imlifidase.</w:t>
      </w:r>
      <w:r w:rsidR="004E2B77" w:rsidRPr="00D81CF9">
        <w:t xml:space="preserve"> We appreciate the attention and diligence </w:t>
      </w:r>
      <w:r w:rsidR="00FD7ACD" w:rsidRPr="00D81CF9">
        <w:t xml:space="preserve">MSAC and </w:t>
      </w:r>
      <w:r w:rsidR="00C41486" w:rsidRPr="00D81CF9">
        <w:t>subcommittees</w:t>
      </w:r>
      <w:r w:rsidR="00FD7ACD" w:rsidRPr="00D81CF9">
        <w:t xml:space="preserve"> have applied to our applications</w:t>
      </w:r>
      <w:r w:rsidR="00FC0851" w:rsidRPr="00D81CF9">
        <w:t>,</w:t>
      </w:r>
      <w:r w:rsidR="00C41486" w:rsidRPr="00D81CF9">
        <w:t xml:space="preserve"> and the support and </w:t>
      </w:r>
      <w:r w:rsidR="00F318EE" w:rsidRPr="00D81CF9">
        <w:t>feedback</w:t>
      </w:r>
      <w:r w:rsidR="00C41486" w:rsidRPr="00D81CF9">
        <w:t xml:space="preserve"> provided by stakeholders at the </w:t>
      </w:r>
      <w:r w:rsidR="00F318EE" w:rsidRPr="00D81CF9">
        <w:t xml:space="preserve">Stakeholder meeting in February 2025. </w:t>
      </w:r>
      <w:r w:rsidR="00A246D7" w:rsidRPr="00D81CF9">
        <w:t xml:space="preserve"> The </w:t>
      </w:r>
      <w:r w:rsidR="00E07A81" w:rsidRPr="00D81CF9">
        <w:t>A</w:t>
      </w:r>
      <w:r w:rsidR="00A246D7" w:rsidRPr="00D81CF9">
        <w:t>pplicant</w:t>
      </w:r>
      <w:r w:rsidR="00F318EE" w:rsidRPr="00D81CF9">
        <w:t xml:space="preserve"> now</w:t>
      </w:r>
      <w:r w:rsidR="00A246D7" w:rsidRPr="00D81CF9">
        <w:t xml:space="preserve"> looks forward to working with the Australian </w:t>
      </w:r>
      <w:r w:rsidR="009015C6" w:rsidRPr="00D81CF9">
        <w:t>Government</w:t>
      </w:r>
      <w:r w:rsidR="00A246D7" w:rsidRPr="00D81CF9">
        <w:t xml:space="preserve"> and States and Territories representations to </w:t>
      </w:r>
      <w:r w:rsidR="009015C6" w:rsidRPr="00D81CF9">
        <w:t>trans</w:t>
      </w:r>
      <w:r w:rsidR="007D570A" w:rsidRPr="00D81CF9">
        <w:t>late the proposed</w:t>
      </w:r>
      <w:r w:rsidR="00E80B31" w:rsidRPr="00D81CF9">
        <w:t xml:space="preserve"> the pay for performance scheme into a Federal Deed of Agreement as expeditiously as possible.  </w:t>
      </w:r>
    </w:p>
    <w:p w14:paraId="1D9D181F" w14:textId="77777777" w:rsidR="00CF7A55" w:rsidRDefault="00CF7A55" w:rsidP="00CF7A55">
      <w:pPr>
        <w:pStyle w:val="Heading2"/>
        <w:numPr>
          <w:ilvl w:val="0"/>
          <w:numId w:val="0"/>
        </w:numPr>
      </w:pPr>
      <w:r>
        <w:t>18.</w:t>
      </w:r>
      <w:r>
        <w:tab/>
        <w:t>Further information on MSAC</w:t>
      </w:r>
    </w:p>
    <w:p w14:paraId="76C41BBC" w14:textId="1E2E35B8" w:rsidR="00F84BA7" w:rsidRPr="00CF7A55" w:rsidRDefault="00CF7A55" w:rsidP="00CF7A55">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15" w:tooltip="Link to the MSAC website" w:history="1">
        <w:r w:rsidRPr="00F309FA">
          <w:rPr>
            <w:rStyle w:val="Hyperlink"/>
            <w:rFonts w:ascii="Franklin Gothic Book" w:hAnsi="Franklin Gothic Book"/>
            <w:iCs/>
            <w:sz w:val="22"/>
          </w:rPr>
          <w:t>visit the MSAC website</w:t>
        </w:r>
      </w:hyperlink>
    </w:p>
    <w:sectPr w:rsidR="00F84BA7" w:rsidRPr="00CF7A55" w:rsidSect="00495D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C2AF2" w14:textId="77777777" w:rsidR="00A44A82" w:rsidRDefault="00A44A82" w:rsidP="00B62DF2">
      <w:pPr>
        <w:spacing w:after="0" w:line="240" w:lineRule="auto"/>
      </w:pPr>
      <w:r>
        <w:separator/>
      </w:r>
    </w:p>
  </w:endnote>
  <w:endnote w:type="continuationSeparator" w:id="0">
    <w:p w14:paraId="1F5E46F0" w14:textId="77777777" w:rsidR="00A44A82" w:rsidRDefault="00A44A82" w:rsidP="00B62DF2">
      <w:pPr>
        <w:spacing w:after="0" w:line="240" w:lineRule="auto"/>
      </w:pPr>
      <w:r>
        <w:continuationSeparator/>
      </w:r>
    </w:p>
  </w:endnote>
  <w:endnote w:type="continuationNotice" w:id="1">
    <w:p w14:paraId="2DA8768E" w14:textId="77777777" w:rsidR="00A44A82" w:rsidRDefault="00A44A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Poster Compressed">
    <w:panose1 w:val="02070706080601050204"/>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D499" w14:textId="0C760177" w:rsidR="005947B5" w:rsidRDefault="00000000" w:rsidP="00B762F8">
    <w:pPr>
      <w:pStyle w:val="Footer"/>
      <w:jc w:val="right"/>
    </w:pPr>
    <w:sdt>
      <w:sdtPr>
        <w:id w:val="-1756204188"/>
        <w:docPartObj>
          <w:docPartGallery w:val="Page Numbers (Bottom of Page)"/>
          <w:docPartUnique/>
        </w:docPartObj>
      </w:sdtPr>
      <w:sdtEndPr>
        <w:rPr>
          <w:noProof/>
        </w:rPr>
      </w:sdtEndPr>
      <w:sdtContent>
        <w:r w:rsidR="005947B5" w:rsidRPr="00B762F8">
          <w:fldChar w:fldCharType="begin"/>
        </w:r>
        <w:r w:rsidR="005947B5" w:rsidRPr="00B762F8">
          <w:instrText xml:space="preserve"> PAGE   \* MERGEFORMAT </w:instrText>
        </w:r>
        <w:r w:rsidR="005947B5" w:rsidRPr="00B762F8">
          <w:fldChar w:fldCharType="separate"/>
        </w:r>
        <w:r w:rsidR="00120BD3" w:rsidRPr="00B762F8">
          <w:rPr>
            <w:noProof/>
          </w:rPr>
          <w:t>22</w:t>
        </w:r>
        <w:r w:rsidR="005947B5" w:rsidRPr="00B762F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175213"/>
      <w:docPartObj>
        <w:docPartGallery w:val="Page Numbers (Bottom of Page)"/>
        <w:docPartUnique/>
      </w:docPartObj>
    </w:sdtPr>
    <w:sdtEndPr>
      <w:rPr>
        <w:noProof/>
      </w:rPr>
    </w:sdtEndPr>
    <w:sdtContent>
      <w:p w14:paraId="6BE9385A" w14:textId="372E7FDD" w:rsidR="005947B5" w:rsidRDefault="005947B5" w:rsidP="00F84BA7">
        <w:pPr>
          <w:pStyle w:val="Footer"/>
          <w:jc w:val="right"/>
        </w:pPr>
        <w:r w:rsidRPr="00B762F8">
          <w:fldChar w:fldCharType="begin"/>
        </w:r>
        <w:r w:rsidRPr="00B762F8">
          <w:instrText xml:space="preserve"> PAGE   \* MERGEFORMAT </w:instrText>
        </w:r>
        <w:r w:rsidRPr="00B762F8">
          <w:fldChar w:fldCharType="separate"/>
        </w:r>
        <w:r w:rsidR="00120BD3" w:rsidRPr="00B762F8">
          <w:rPr>
            <w:noProof/>
          </w:rPr>
          <w:t>21</w:t>
        </w:r>
        <w:r w:rsidRPr="00B762F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07559" w14:textId="77777777" w:rsidR="00A44A82" w:rsidRDefault="00A44A82" w:rsidP="00B62DF2">
      <w:pPr>
        <w:spacing w:after="0" w:line="240" w:lineRule="auto"/>
      </w:pPr>
      <w:r>
        <w:separator/>
      </w:r>
    </w:p>
  </w:footnote>
  <w:footnote w:type="continuationSeparator" w:id="0">
    <w:p w14:paraId="3DB6609D" w14:textId="77777777" w:rsidR="00A44A82" w:rsidRDefault="00A44A82" w:rsidP="00B62DF2">
      <w:pPr>
        <w:spacing w:after="0" w:line="240" w:lineRule="auto"/>
      </w:pPr>
      <w:r>
        <w:continuationSeparator/>
      </w:r>
    </w:p>
  </w:footnote>
  <w:footnote w:type="continuationNotice" w:id="1">
    <w:p w14:paraId="1834F1D9" w14:textId="77777777" w:rsidR="00A44A82" w:rsidRDefault="00A44A82">
      <w:pPr>
        <w:spacing w:before="0" w:after="0" w:line="240" w:lineRule="auto"/>
      </w:pPr>
    </w:p>
  </w:footnote>
  <w:footnote w:id="2">
    <w:p w14:paraId="2E9861E6" w14:textId="3197416F" w:rsidR="00BA1441" w:rsidRPr="00FF3A09" w:rsidRDefault="00BA1441" w:rsidP="00FF3A09">
      <w:pPr>
        <w:pStyle w:val="Tablenotes"/>
      </w:pPr>
      <w:r>
        <w:rPr>
          <w:rStyle w:val="FootnoteReference"/>
        </w:rPr>
        <w:footnoteRef/>
      </w:r>
      <w:r>
        <w:t xml:space="preserve"> Therapeutic Goods Administration 2023, </w:t>
      </w:r>
      <w:r>
        <w:rPr>
          <w:i/>
          <w:iCs/>
        </w:rPr>
        <w:t>Idefirix</w:t>
      </w:r>
      <w:r>
        <w:t xml:space="preserve">, viewed 8 April 2024, </w:t>
      </w:r>
      <w:hyperlink r:id="rId1" w:history="1">
        <w:r w:rsidR="00EF5D2A">
          <w:rPr>
            <w:rStyle w:val="Hyperlink"/>
          </w:rPr>
          <w:t>Idefirix | Therapeutic Goods Administration (TGA)</w:t>
        </w:r>
      </w:hyperlink>
      <w:r>
        <w:t>.</w:t>
      </w:r>
    </w:p>
  </w:footnote>
  <w:footnote w:id="3">
    <w:p w14:paraId="1A42B982" w14:textId="493EE3E4" w:rsidR="00544A45" w:rsidRDefault="00544A45">
      <w:pPr>
        <w:pStyle w:val="FootnoteText"/>
      </w:pPr>
      <w:r>
        <w:rPr>
          <w:rStyle w:val="FootnoteReference"/>
        </w:rPr>
        <w:footnoteRef/>
      </w:r>
      <w:r>
        <w:t xml:space="preserve"> As detailed in the </w:t>
      </w:r>
      <w:r w:rsidR="00973F57">
        <w:t>PSD for the previous application</w:t>
      </w:r>
      <w:r w:rsidR="00B748D9" w:rsidRPr="00B748D9">
        <w:t xml:space="preserve"> </w:t>
      </w:r>
      <w:r w:rsidR="00AE0881">
        <w:t>i</w:t>
      </w:r>
      <w:r w:rsidR="00B748D9" w:rsidRPr="00B748D9">
        <w:t xml:space="preserve">t was agreed </w:t>
      </w:r>
      <w:r w:rsidR="00B748D9">
        <w:t>at a meeting of</w:t>
      </w:r>
      <w:r w:rsidR="00564650">
        <w:t xml:space="preserve"> Joint Chairs of MSAC and PBAC </w:t>
      </w:r>
      <w:r w:rsidR="00B748D9" w:rsidRPr="00B748D9">
        <w:t>which includes a representative of the states and territories (that imlifidase me</w:t>
      </w:r>
      <w:r w:rsidR="00564650">
        <w:t xml:space="preserve">t the criteria for such funding. </w:t>
      </w:r>
    </w:p>
  </w:footnote>
  <w:footnote w:id="4">
    <w:p w14:paraId="496BF396" w14:textId="34802920" w:rsidR="007B3AF2" w:rsidRPr="00527717" w:rsidRDefault="007B3AF2">
      <w:pPr>
        <w:pStyle w:val="FootnoteText"/>
        <w:rPr>
          <w:lang w:val="en-US"/>
        </w:rPr>
      </w:pPr>
      <w:r w:rsidRPr="00527717">
        <w:rPr>
          <w:rFonts w:ascii="Arial Narrow" w:eastAsia="Times New Roman" w:hAnsi="Arial Narrow" w:cs="Arial"/>
          <w:snapToGrid w:val="0"/>
        </w:rPr>
        <w:footnoteRef/>
      </w:r>
      <w:r w:rsidRPr="00527717">
        <w:rPr>
          <w:rFonts w:ascii="Arial Narrow" w:eastAsia="Times New Roman" w:hAnsi="Arial Narrow" w:cs="Arial"/>
          <w:snapToGrid w:val="0"/>
        </w:rPr>
        <w:t xml:space="preserve"> </w:t>
      </w:r>
      <w:r w:rsidR="003B3171" w:rsidRPr="00527717">
        <w:rPr>
          <w:rFonts w:ascii="Arial Narrow" w:eastAsia="Times New Roman" w:hAnsi="Arial Narrow" w:cs="Arial"/>
          <w:snapToGrid w:val="0"/>
        </w:rPr>
        <w:t>Meier-Kriesche, HU, Port, FK, Ojo, AO, Rudich, SM, Hanson, JA, Cibrik, DM, Leichtman, AB &amp; Kaplan, B 2000, 'Effect of waiting time on renal transplant outcome', Kidney Int, vol. 58, no. 3, pp. 1311</w:t>
      </w:r>
      <w:r w:rsidR="009954CB">
        <w:t>–</w:t>
      </w:r>
      <w:r w:rsidR="003B3171" w:rsidRPr="00527717">
        <w:rPr>
          <w:rFonts w:ascii="Arial Narrow" w:eastAsia="Times New Roman" w:hAnsi="Arial Narrow" w:cs="Arial"/>
          <w:snapToGrid w:val="0"/>
        </w:rPr>
        <w:t>7.</w:t>
      </w:r>
    </w:p>
  </w:footnote>
  <w:footnote w:id="5">
    <w:p w14:paraId="3CEE939F" w14:textId="5661D6E6" w:rsidR="00C715C0" w:rsidRPr="00C715C0" w:rsidRDefault="00C715C0" w:rsidP="00C715C0">
      <w:pPr>
        <w:pStyle w:val="Tablenotes0"/>
        <w:rPr>
          <w:lang w:val="en-US"/>
        </w:rPr>
      </w:pPr>
      <w:r>
        <w:rPr>
          <w:rStyle w:val="FootnoteReference"/>
        </w:rPr>
        <w:footnoteRef/>
      </w:r>
      <w:r>
        <w:t xml:space="preserve"> European Medicines Agency 2020, </w:t>
      </w:r>
      <w:r w:rsidR="00FF6FF0">
        <w:t>‘</w:t>
      </w:r>
      <w:r>
        <w:t xml:space="preserve">Imlifidase </w:t>
      </w:r>
      <w:r w:rsidR="00B342A3">
        <w:t>–</w:t>
      </w:r>
      <w:r>
        <w:t xml:space="preserve"> Summary of product characteristics (SmPC) and European public assessment report (EPAR)</w:t>
      </w:r>
      <w:r w:rsidR="00FF6FF0">
        <w:t>’</w:t>
      </w:r>
      <w:r>
        <w:t xml:space="preserve">, </w:t>
      </w:r>
      <w:r w:rsidRPr="00C715C0">
        <w:t xml:space="preserve"> </w:t>
      </w:r>
      <w:hyperlink r:id="rId2" w:history="1">
        <w:r>
          <w:rPr>
            <w:rStyle w:val="Hyperlink"/>
          </w:rPr>
          <w:t>Idefirix, INN-imlifidase (europa.eu)</w:t>
        </w:r>
      </w:hyperlink>
      <w:r w:rsidR="00FF6FF0">
        <w:rPr>
          <w:rStyle w:val="Hyperlink"/>
        </w:rPr>
        <w:t>.</w:t>
      </w:r>
      <w:r>
        <w:t xml:space="preserve"> </w:t>
      </w:r>
    </w:p>
  </w:footnote>
  <w:footnote w:id="6">
    <w:p w14:paraId="5C9720C9" w14:textId="027E219B" w:rsidR="00B55AF1" w:rsidRPr="00B55AF1" w:rsidRDefault="00B55AF1" w:rsidP="00724217">
      <w:pPr>
        <w:pStyle w:val="Tablenotes"/>
        <w:rPr>
          <w:lang w:val="en-US"/>
        </w:rPr>
      </w:pPr>
      <w:r>
        <w:rPr>
          <w:rStyle w:val="FootnoteReference"/>
        </w:rPr>
        <w:footnoteRef/>
      </w:r>
      <w:r>
        <w:t xml:space="preserve"> </w:t>
      </w:r>
      <w:r w:rsidR="00724217">
        <w:t xml:space="preserve">Orandi, BJ, James, NT, Hall, EC, Van Arendonk, KJ, Garonzik-Wang, JM, Gupta, N, Montgomery, RA, Desai, NM &amp; Segev, DL 2015, 'Center-level variation in the development of delayed graft function after deceased donor kidney transplantation', </w:t>
      </w:r>
      <w:r w:rsidR="00724217">
        <w:rPr>
          <w:i/>
          <w:iCs/>
        </w:rPr>
        <w:t>Transplantation</w:t>
      </w:r>
      <w:r w:rsidR="00724217">
        <w:t>, vol. 99, no. 5, pp. 997</w:t>
      </w:r>
      <w:r w:rsidR="004F11A5">
        <w:t>–</w:t>
      </w:r>
      <w:r w:rsidR="00724217">
        <w:t>1002.</w:t>
      </w:r>
    </w:p>
  </w:footnote>
  <w:footnote w:id="7">
    <w:p w14:paraId="067AB71B" w14:textId="6DE2C0F4" w:rsidR="00672CBD" w:rsidRPr="00672CBD" w:rsidRDefault="00672CBD" w:rsidP="00672CBD">
      <w:pPr>
        <w:pStyle w:val="Tablenotes"/>
        <w:rPr>
          <w:lang w:val="en-US"/>
        </w:rPr>
      </w:pPr>
      <w:r>
        <w:rPr>
          <w:rStyle w:val="FootnoteReference"/>
        </w:rPr>
        <w:footnoteRef/>
      </w:r>
      <w:r>
        <w:t xml:space="preserve"> Budhiraja, P, Reddy, KS, Butterfield, RJ, Jadlowiec, CC, Moss, AA, Khamash, HA, Kodali, L, Misra, SS &amp; Heilman, RL 2022, 'Duration of delayed graft function and its impact on graft outcomes in deceased donor kidney transplantation', </w:t>
      </w:r>
      <w:r>
        <w:rPr>
          <w:i/>
          <w:iCs/>
        </w:rPr>
        <w:t>BMC Nephrol</w:t>
      </w:r>
      <w:r>
        <w:t>, vol. 23, no. 1, p. 154.</w:t>
      </w:r>
    </w:p>
  </w:footnote>
  <w:footnote w:id="8">
    <w:p w14:paraId="7D2691E6" w14:textId="7E5DB79B" w:rsidR="00AC52B2" w:rsidRPr="00AC52B2" w:rsidRDefault="00AC52B2" w:rsidP="005B1841">
      <w:pPr>
        <w:pStyle w:val="Tablenotes"/>
      </w:pPr>
      <w:r>
        <w:rPr>
          <w:rStyle w:val="FootnoteReference"/>
        </w:rPr>
        <w:footnoteRef/>
      </w:r>
      <w:r>
        <w:t xml:space="preserve"> Australia &amp; New Zealand Dialysis &amp; Transplant Registry 2024, </w:t>
      </w:r>
      <w:r>
        <w:rPr>
          <w:i/>
          <w:iCs/>
        </w:rPr>
        <w:t>ANZDATA 46th Annual Report 2023 (Data to 2022)</w:t>
      </w:r>
      <w:r>
        <w:t xml:space="preserve">, viewed 9 April 2023, </w:t>
      </w:r>
      <w:hyperlink r:id="rId3" w:history="1">
        <w:r w:rsidR="005B1841">
          <w:rPr>
            <w:rStyle w:val="Hyperlink"/>
          </w:rPr>
          <w:t>ANZDATA 46th Annual Report 2023 (Data to 2022) - ANZDATA</w:t>
        </w:r>
      </w:hyperlink>
      <w:r w:rsidR="00AB6232">
        <w:rPr>
          <w:rStyle w:val="Hyperlink"/>
        </w:rPr>
        <w:t>.</w:t>
      </w:r>
    </w:p>
  </w:footnote>
  <w:footnote w:id="9">
    <w:p w14:paraId="77C53399" w14:textId="56FA4B57" w:rsidR="000B3AE0" w:rsidRPr="00527717" w:rsidRDefault="000B3AE0">
      <w:pPr>
        <w:pStyle w:val="FootnoteText"/>
        <w:rPr>
          <w:lang w:val="en-US"/>
        </w:rPr>
      </w:pPr>
      <w:r w:rsidRPr="00527717">
        <w:rPr>
          <w:rFonts w:ascii="Arial Narrow" w:eastAsia="Times New Roman" w:hAnsi="Arial Narrow" w:cs="Arial"/>
          <w:snapToGrid w:val="0"/>
        </w:rPr>
        <w:footnoteRef/>
      </w:r>
      <w:r w:rsidRPr="00527717">
        <w:rPr>
          <w:rFonts w:ascii="Arial Narrow" w:eastAsia="Times New Roman" w:hAnsi="Arial Narrow" w:cs="Arial"/>
          <w:snapToGrid w:val="0"/>
        </w:rPr>
        <w:t xml:space="preserve"> Therapeutic Goods Administration 2023, 'IDEFIRIX imlifidase 11 mg powder for concentrate for solution for infusion (391413) - Product Information', </w:t>
      </w:r>
      <w:hyperlink r:id="rId4" w:history="1">
        <w:r w:rsidRPr="00527717">
          <w:rPr>
            <w:rStyle w:val="Hyperlink"/>
            <w:rFonts w:ascii="Arial Narrow" w:eastAsia="Times New Roman" w:hAnsi="Arial Narrow" w:cs="Arial"/>
            <w:snapToGrid w:val="0"/>
          </w:rPr>
          <w:t>https://www.tga.gov.au/resources/artg/391413</w:t>
        </w:r>
      </w:hyperlink>
      <w:r w:rsidR="00AB6232">
        <w:rPr>
          <w:rFonts w:ascii="Arial Narrow" w:eastAsia="Times New Roman" w:hAnsi="Arial Narrow" w:cs="Arial"/>
          <w:snapToGrid w:val="0"/>
        </w:rPr>
        <w:t>.</w:t>
      </w:r>
      <w:r>
        <w:rPr>
          <w:rFonts w:ascii="Arial Narrow" w:eastAsia="Times New Roman" w:hAnsi="Arial Narrow" w:cs="Arial"/>
          <w:snapToGrid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3201"/>
    <w:multiLevelType w:val="hybridMultilevel"/>
    <w:tmpl w:val="B3508E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64C9B"/>
    <w:multiLevelType w:val="hybridMultilevel"/>
    <w:tmpl w:val="59F6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477CF"/>
    <w:multiLevelType w:val="hybridMultilevel"/>
    <w:tmpl w:val="0C8EE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429E5"/>
    <w:multiLevelType w:val="hybridMultilevel"/>
    <w:tmpl w:val="0656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E3738B"/>
    <w:multiLevelType w:val="hybridMultilevel"/>
    <w:tmpl w:val="E3EC767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0F5F64FB"/>
    <w:multiLevelType w:val="hybridMultilevel"/>
    <w:tmpl w:val="9ECA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4E326A"/>
    <w:multiLevelType w:val="hybridMultilevel"/>
    <w:tmpl w:val="B4827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50199"/>
    <w:multiLevelType w:val="multilevel"/>
    <w:tmpl w:val="EBF8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670844"/>
    <w:multiLevelType w:val="multilevel"/>
    <w:tmpl w:val="86C6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785BDE"/>
    <w:multiLevelType w:val="hybridMultilevel"/>
    <w:tmpl w:val="C47E94A2"/>
    <w:lvl w:ilvl="0" w:tplc="687CEC32">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290D7A"/>
    <w:multiLevelType w:val="hybridMultilevel"/>
    <w:tmpl w:val="5694E5AA"/>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4" w15:restartNumberingAfterBreak="0">
    <w:nsid w:val="265A0C0C"/>
    <w:multiLevelType w:val="hybridMultilevel"/>
    <w:tmpl w:val="2F540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B21A1B"/>
    <w:multiLevelType w:val="hybridMultilevel"/>
    <w:tmpl w:val="759EA6BE"/>
    <w:lvl w:ilvl="0" w:tplc="400C86F8">
      <w:start w:val="1"/>
      <w:numFmt w:val="decimal"/>
      <w:lvlText w:val="%1."/>
      <w:lvlJc w:val="left"/>
      <w:pPr>
        <w:ind w:left="1020" w:hanging="360"/>
      </w:pPr>
    </w:lvl>
    <w:lvl w:ilvl="1" w:tplc="73842B22">
      <w:start w:val="1"/>
      <w:numFmt w:val="decimal"/>
      <w:lvlText w:val="%2."/>
      <w:lvlJc w:val="left"/>
      <w:pPr>
        <w:ind w:left="1020" w:hanging="360"/>
      </w:pPr>
    </w:lvl>
    <w:lvl w:ilvl="2" w:tplc="27A07DB4">
      <w:start w:val="1"/>
      <w:numFmt w:val="decimal"/>
      <w:lvlText w:val="%3."/>
      <w:lvlJc w:val="left"/>
      <w:pPr>
        <w:ind w:left="1020" w:hanging="360"/>
      </w:pPr>
    </w:lvl>
    <w:lvl w:ilvl="3" w:tplc="CE46EFFC">
      <w:start w:val="1"/>
      <w:numFmt w:val="decimal"/>
      <w:lvlText w:val="%4."/>
      <w:lvlJc w:val="left"/>
      <w:pPr>
        <w:ind w:left="1020" w:hanging="360"/>
      </w:pPr>
    </w:lvl>
    <w:lvl w:ilvl="4" w:tplc="60CE4796">
      <w:start w:val="1"/>
      <w:numFmt w:val="decimal"/>
      <w:lvlText w:val="%5."/>
      <w:lvlJc w:val="left"/>
      <w:pPr>
        <w:ind w:left="1020" w:hanging="360"/>
      </w:pPr>
    </w:lvl>
    <w:lvl w:ilvl="5" w:tplc="D048FBE8">
      <w:start w:val="1"/>
      <w:numFmt w:val="decimal"/>
      <w:lvlText w:val="%6."/>
      <w:lvlJc w:val="left"/>
      <w:pPr>
        <w:ind w:left="1020" w:hanging="360"/>
      </w:pPr>
    </w:lvl>
    <w:lvl w:ilvl="6" w:tplc="782A6DD4">
      <w:start w:val="1"/>
      <w:numFmt w:val="decimal"/>
      <w:lvlText w:val="%7."/>
      <w:lvlJc w:val="left"/>
      <w:pPr>
        <w:ind w:left="1020" w:hanging="360"/>
      </w:pPr>
    </w:lvl>
    <w:lvl w:ilvl="7" w:tplc="EC66BAEC">
      <w:start w:val="1"/>
      <w:numFmt w:val="decimal"/>
      <w:lvlText w:val="%8."/>
      <w:lvlJc w:val="left"/>
      <w:pPr>
        <w:ind w:left="1020" w:hanging="360"/>
      </w:pPr>
    </w:lvl>
    <w:lvl w:ilvl="8" w:tplc="7B7E1444">
      <w:start w:val="1"/>
      <w:numFmt w:val="decimal"/>
      <w:lvlText w:val="%9."/>
      <w:lvlJc w:val="left"/>
      <w:pPr>
        <w:ind w:left="1020" w:hanging="360"/>
      </w:pPr>
    </w:lvl>
  </w:abstractNum>
  <w:abstractNum w:abstractNumId="17" w15:restartNumberingAfterBreak="0">
    <w:nsid w:val="29ED2C47"/>
    <w:multiLevelType w:val="multilevel"/>
    <w:tmpl w:val="9D8C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E2A41FA"/>
    <w:multiLevelType w:val="hybridMultilevel"/>
    <w:tmpl w:val="16D65E4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EC4519B"/>
    <w:multiLevelType w:val="multilevel"/>
    <w:tmpl w:val="1C72C3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25715F"/>
    <w:multiLevelType w:val="hybridMultilevel"/>
    <w:tmpl w:val="3D705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A1A2EC3"/>
    <w:multiLevelType w:val="hybridMultilevel"/>
    <w:tmpl w:val="A438A13A"/>
    <w:lvl w:ilvl="0" w:tplc="6BA2AA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B2CAB"/>
    <w:multiLevelType w:val="hybridMultilevel"/>
    <w:tmpl w:val="7C9041B0"/>
    <w:lvl w:ilvl="0" w:tplc="3E6ACB30">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9A1254"/>
    <w:multiLevelType w:val="hybridMultilevel"/>
    <w:tmpl w:val="A0D0F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A24C8A"/>
    <w:multiLevelType w:val="hybridMultilevel"/>
    <w:tmpl w:val="2CFE6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E54241"/>
    <w:multiLevelType w:val="multilevel"/>
    <w:tmpl w:val="E356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BC3CB7"/>
    <w:multiLevelType w:val="multilevel"/>
    <w:tmpl w:val="DD80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E10280"/>
    <w:multiLevelType w:val="hybridMultilevel"/>
    <w:tmpl w:val="3668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48454CC2"/>
    <w:multiLevelType w:val="hybridMultilevel"/>
    <w:tmpl w:val="06346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AE5DC9"/>
    <w:multiLevelType w:val="hybridMultilevel"/>
    <w:tmpl w:val="3F5653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E526C8"/>
    <w:multiLevelType w:val="hybridMultilevel"/>
    <w:tmpl w:val="05D2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3337F7"/>
    <w:multiLevelType w:val="hybridMultilevel"/>
    <w:tmpl w:val="99A8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C073F"/>
    <w:multiLevelType w:val="hybridMultilevel"/>
    <w:tmpl w:val="4970A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A979E6"/>
    <w:multiLevelType w:val="hybridMultilevel"/>
    <w:tmpl w:val="117AD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512EA7"/>
    <w:multiLevelType w:val="hybridMultilevel"/>
    <w:tmpl w:val="DB3C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975CF9"/>
    <w:multiLevelType w:val="hybridMultilevel"/>
    <w:tmpl w:val="E084A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8566EF"/>
    <w:multiLevelType w:val="hybridMultilevel"/>
    <w:tmpl w:val="5C4A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553C09"/>
    <w:multiLevelType w:val="hybridMultilevel"/>
    <w:tmpl w:val="EF02B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D056AD"/>
    <w:multiLevelType w:val="hybridMultilevel"/>
    <w:tmpl w:val="CAC6B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320C60"/>
    <w:multiLevelType w:val="hybridMultilevel"/>
    <w:tmpl w:val="6D98CC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9B42F4"/>
    <w:multiLevelType w:val="multilevel"/>
    <w:tmpl w:val="B9F0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B35FAA"/>
    <w:multiLevelType w:val="hybridMultilevel"/>
    <w:tmpl w:val="AC7C9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DA256B"/>
    <w:multiLevelType w:val="hybridMultilevel"/>
    <w:tmpl w:val="52E2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14429A"/>
    <w:multiLevelType w:val="hybridMultilevel"/>
    <w:tmpl w:val="A718D8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8DA18E5"/>
    <w:multiLevelType w:val="hybridMultilevel"/>
    <w:tmpl w:val="A17A3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C976EB6"/>
    <w:multiLevelType w:val="hybridMultilevel"/>
    <w:tmpl w:val="2D58F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749109160">
    <w:abstractNumId w:val="23"/>
  </w:num>
  <w:num w:numId="2" w16cid:durableId="1270162788">
    <w:abstractNumId w:val="52"/>
  </w:num>
  <w:num w:numId="3" w16cid:durableId="1754930659">
    <w:abstractNumId w:val="6"/>
  </w:num>
  <w:num w:numId="4" w16cid:durableId="410388863">
    <w:abstractNumId w:val="13"/>
  </w:num>
  <w:num w:numId="5" w16cid:durableId="1821774551">
    <w:abstractNumId w:val="49"/>
  </w:num>
  <w:num w:numId="6" w16cid:durableId="758334604">
    <w:abstractNumId w:val="15"/>
  </w:num>
  <w:num w:numId="7" w16cid:durableId="1414619933">
    <w:abstractNumId w:val="18"/>
  </w:num>
  <w:num w:numId="8" w16cid:durableId="747844684">
    <w:abstractNumId w:val="21"/>
  </w:num>
  <w:num w:numId="9" w16cid:durableId="1180662619">
    <w:abstractNumId w:val="31"/>
  </w:num>
  <w:num w:numId="10" w16cid:durableId="627315842">
    <w:abstractNumId w:val="44"/>
  </w:num>
  <w:num w:numId="11" w16cid:durableId="36667371">
    <w:abstractNumId w:val="3"/>
  </w:num>
  <w:num w:numId="12" w16cid:durableId="2024238075">
    <w:abstractNumId w:val="36"/>
  </w:num>
  <w:num w:numId="13" w16cid:durableId="1325741698">
    <w:abstractNumId w:val="40"/>
  </w:num>
  <w:num w:numId="14" w16cid:durableId="544215397">
    <w:abstractNumId w:val="7"/>
  </w:num>
  <w:num w:numId="15" w16cid:durableId="1852332951">
    <w:abstractNumId w:val="46"/>
  </w:num>
  <w:num w:numId="16" w16cid:durableId="1134952670">
    <w:abstractNumId w:val="51"/>
  </w:num>
  <w:num w:numId="17" w16cid:durableId="733314359">
    <w:abstractNumId w:val="2"/>
  </w:num>
  <w:num w:numId="18" w16cid:durableId="1049692690">
    <w:abstractNumId w:val="47"/>
  </w:num>
  <w:num w:numId="19" w16cid:durableId="1501702908">
    <w:abstractNumId w:val="32"/>
  </w:num>
  <w:num w:numId="20" w16cid:durableId="1412311447">
    <w:abstractNumId w:val="27"/>
  </w:num>
  <w:num w:numId="21" w16cid:durableId="1520776779">
    <w:abstractNumId w:val="14"/>
  </w:num>
  <w:num w:numId="22" w16cid:durableId="1112214319">
    <w:abstractNumId w:val="22"/>
  </w:num>
  <w:num w:numId="23" w16cid:durableId="1238709928">
    <w:abstractNumId w:val="19"/>
  </w:num>
  <w:num w:numId="24" w16cid:durableId="1524631732">
    <w:abstractNumId w:val="5"/>
  </w:num>
  <w:num w:numId="25" w16cid:durableId="137379601">
    <w:abstractNumId w:val="26"/>
  </w:num>
  <w:num w:numId="26" w16cid:durableId="1387294280">
    <w:abstractNumId w:val="0"/>
  </w:num>
  <w:num w:numId="27" w16cid:durableId="892540140">
    <w:abstractNumId w:val="38"/>
  </w:num>
  <w:num w:numId="28" w16cid:durableId="10843563">
    <w:abstractNumId w:val="37"/>
  </w:num>
  <w:num w:numId="29" w16cid:durableId="1962609525">
    <w:abstractNumId w:val="8"/>
  </w:num>
  <w:num w:numId="30" w16cid:durableId="1204750473">
    <w:abstractNumId w:val="1"/>
  </w:num>
  <w:num w:numId="31" w16cid:durableId="772820599">
    <w:abstractNumId w:val="39"/>
  </w:num>
  <w:num w:numId="32" w16cid:durableId="1900628977">
    <w:abstractNumId w:val="35"/>
  </w:num>
  <w:num w:numId="33" w16cid:durableId="547112214">
    <w:abstractNumId w:val="34"/>
  </w:num>
  <w:num w:numId="34" w16cid:durableId="672875126">
    <w:abstractNumId w:val="30"/>
  </w:num>
  <w:num w:numId="35" w16cid:durableId="1090346778">
    <w:abstractNumId w:val="4"/>
  </w:num>
  <w:num w:numId="36" w16cid:durableId="2109419767">
    <w:abstractNumId w:val="24"/>
  </w:num>
  <w:num w:numId="37" w16cid:durableId="389890913">
    <w:abstractNumId w:val="11"/>
  </w:num>
  <w:num w:numId="38" w16cid:durableId="1252542397">
    <w:abstractNumId w:val="43"/>
  </w:num>
  <w:num w:numId="39" w16cid:durableId="1228422593">
    <w:abstractNumId w:val="41"/>
  </w:num>
  <w:num w:numId="40" w16cid:durableId="326566491">
    <w:abstractNumId w:val="50"/>
  </w:num>
  <w:num w:numId="41" w16cid:durableId="1282807879">
    <w:abstractNumId w:val="12"/>
  </w:num>
  <w:num w:numId="42" w16cid:durableId="1000886560">
    <w:abstractNumId w:val="48"/>
  </w:num>
  <w:num w:numId="43" w16cid:durableId="1955624888">
    <w:abstractNumId w:val="25"/>
  </w:num>
  <w:num w:numId="44" w16cid:durableId="1894464868">
    <w:abstractNumId w:val="42"/>
  </w:num>
  <w:num w:numId="45" w16cid:durableId="222184823">
    <w:abstractNumId w:val="20"/>
  </w:num>
  <w:num w:numId="46" w16cid:durableId="1953517548">
    <w:abstractNumId w:val="16"/>
  </w:num>
  <w:num w:numId="47" w16cid:durableId="86385966">
    <w:abstractNumId w:val="17"/>
  </w:num>
  <w:num w:numId="48" w16cid:durableId="377172315">
    <w:abstractNumId w:val="45"/>
  </w:num>
  <w:num w:numId="49" w16cid:durableId="645623591">
    <w:abstractNumId w:val="29"/>
  </w:num>
  <w:num w:numId="50" w16cid:durableId="516163433">
    <w:abstractNumId w:val="28"/>
  </w:num>
  <w:num w:numId="51" w16cid:durableId="1752192583">
    <w:abstractNumId w:val="9"/>
  </w:num>
  <w:num w:numId="52" w16cid:durableId="367949693">
    <w:abstractNumId w:val="10"/>
  </w:num>
  <w:num w:numId="53" w16cid:durableId="2059696624">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0MDK0sLQ0NzIzsTBW0lEKTi0uzszPAykwrQUAEmvZyywAAAA="/>
  </w:docVars>
  <w:rsids>
    <w:rsidRoot w:val="008157F1"/>
    <w:rsid w:val="00000232"/>
    <w:rsid w:val="000002B1"/>
    <w:rsid w:val="00000457"/>
    <w:rsid w:val="000006B1"/>
    <w:rsid w:val="00000768"/>
    <w:rsid w:val="0000106B"/>
    <w:rsid w:val="0000109A"/>
    <w:rsid w:val="000011D0"/>
    <w:rsid w:val="000017C6"/>
    <w:rsid w:val="00001876"/>
    <w:rsid w:val="00001AC8"/>
    <w:rsid w:val="00001AE6"/>
    <w:rsid w:val="00001D55"/>
    <w:rsid w:val="00002772"/>
    <w:rsid w:val="00002A8F"/>
    <w:rsid w:val="00002B55"/>
    <w:rsid w:val="00002D26"/>
    <w:rsid w:val="0000312B"/>
    <w:rsid w:val="00003162"/>
    <w:rsid w:val="00003278"/>
    <w:rsid w:val="00003325"/>
    <w:rsid w:val="000033D4"/>
    <w:rsid w:val="0000344D"/>
    <w:rsid w:val="00003602"/>
    <w:rsid w:val="000038A3"/>
    <w:rsid w:val="0000392A"/>
    <w:rsid w:val="00003C37"/>
    <w:rsid w:val="0000412E"/>
    <w:rsid w:val="00004D69"/>
    <w:rsid w:val="00004F7F"/>
    <w:rsid w:val="0000515B"/>
    <w:rsid w:val="000054A8"/>
    <w:rsid w:val="000054C9"/>
    <w:rsid w:val="00005563"/>
    <w:rsid w:val="0000570A"/>
    <w:rsid w:val="000058FE"/>
    <w:rsid w:val="000060F5"/>
    <w:rsid w:val="0000610F"/>
    <w:rsid w:val="000065F7"/>
    <w:rsid w:val="000066A5"/>
    <w:rsid w:val="000066BB"/>
    <w:rsid w:val="00006844"/>
    <w:rsid w:val="00006B36"/>
    <w:rsid w:val="000071CA"/>
    <w:rsid w:val="000073A3"/>
    <w:rsid w:val="00007856"/>
    <w:rsid w:val="000078D8"/>
    <w:rsid w:val="00007BD8"/>
    <w:rsid w:val="00007C25"/>
    <w:rsid w:val="00007E1F"/>
    <w:rsid w:val="0001062E"/>
    <w:rsid w:val="00010A3A"/>
    <w:rsid w:val="00010C86"/>
    <w:rsid w:val="00010E2C"/>
    <w:rsid w:val="000113CB"/>
    <w:rsid w:val="00011568"/>
    <w:rsid w:val="000118C9"/>
    <w:rsid w:val="000118EB"/>
    <w:rsid w:val="000119CD"/>
    <w:rsid w:val="00011DBA"/>
    <w:rsid w:val="00011FDB"/>
    <w:rsid w:val="00012689"/>
    <w:rsid w:val="00012CC1"/>
    <w:rsid w:val="00012E9F"/>
    <w:rsid w:val="000132D5"/>
    <w:rsid w:val="000134E5"/>
    <w:rsid w:val="00013579"/>
    <w:rsid w:val="00013945"/>
    <w:rsid w:val="000139C8"/>
    <w:rsid w:val="00013A5E"/>
    <w:rsid w:val="00013AF2"/>
    <w:rsid w:val="00013CB9"/>
    <w:rsid w:val="000141EE"/>
    <w:rsid w:val="000144A6"/>
    <w:rsid w:val="00014974"/>
    <w:rsid w:val="00014E8F"/>
    <w:rsid w:val="00014F74"/>
    <w:rsid w:val="00015994"/>
    <w:rsid w:val="00015B3F"/>
    <w:rsid w:val="00015ED5"/>
    <w:rsid w:val="000161E7"/>
    <w:rsid w:val="000165AF"/>
    <w:rsid w:val="0001683F"/>
    <w:rsid w:val="0001700B"/>
    <w:rsid w:val="00017194"/>
    <w:rsid w:val="00017638"/>
    <w:rsid w:val="00017758"/>
    <w:rsid w:val="00017C33"/>
    <w:rsid w:val="0002029A"/>
    <w:rsid w:val="0002032E"/>
    <w:rsid w:val="000204C3"/>
    <w:rsid w:val="00020716"/>
    <w:rsid w:val="000208CA"/>
    <w:rsid w:val="00020D3F"/>
    <w:rsid w:val="00020E67"/>
    <w:rsid w:val="0002100B"/>
    <w:rsid w:val="0002107B"/>
    <w:rsid w:val="0002159E"/>
    <w:rsid w:val="000215BA"/>
    <w:rsid w:val="00021B1C"/>
    <w:rsid w:val="00022316"/>
    <w:rsid w:val="0002270C"/>
    <w:rsid w:val="0002286B"/>
    <w:rsid w:val="000228B8"/>
    <w:rsid w:val="000229C2"/>
    <w:rsid w:val="00022B54"/>
    <w:rsid w:val="00022F6F"/>
    <w:rsid w:val="00023220"/>
    <w:rsid w:val="000236AD"/>
    <w:rsid w:val="0002381B"/>
    <w:rsid w:val="0002399B"/>
    <w:rsid w:val="00023A6E"/>
    <w:rsid w:val="00024480"/>
    <w:rsid w:val="00024646"/>
    <w:rsid w:val="00024A52"/>
    <w:rsid w:val="00024EA5"/>
    <w:rsid w:val="00026255"/>
    <w:rsid w:val="00026703"/>
    <w:rsid w:val="000267B5"/>
    <w:rsid w:val="00026C89"/>
    <w:rsid w:val="00026CE0"/>
    <w:rsid w:val="00026D99"/>
    <w:rsid w:val="00026FAB"/>
    <w:rsid w:val="0002755F"/>
    <w:rsid w:val="000276AA"/>
    <w:rsid w:val="00027B6F"/>
    <w:rsid w:val="00027CC6"/>
    <w:rsid w:val="000303A9"/>
    <w:rsid w:val="000304E9"/>
    <w:rsid w:val="00030524"/>
    <w:rsid w:val="00030837"/>
    <w:rsid w:val="00030994"/>
    <w:rsid w:val="000310C5"/>
    <w:rsid w:val="000311AF"/>
    <w:rsid w:val="00031324"/>
    <w:rsid w:val="00031379"/>
    <w:rsid w:val="00031797"/>
    <w:rsid w:val="00032131"/>
    <w:rsid w:val="00032313"/>
    <w:rsid w:val="00032763"/>
    <w:rsid w:val="00032CB8"/>
    <w:rsid w:val="00032D12"/>
    <w:rsid w:val="0003301E"/>
    <w:rsid w:val="000332BE"/>
    <w:rsid w:val="000332E3"/>
    <w:rsid w:val="000333B0"/>
    <w:rsid w:val="00033B82"/>
    <w:rsid w:val="00033C9A"/>
    <w:rsid w:val="00033E2B"/>
    <w:rsid w:val="0003423A"/>
    <w:rsid w:val="000343A6"/>
    <w:rsid w:val="0003451F"/>
    <w:rsid w:val="00034617"/>
    <w:rsid w:val="0003477F"/>
    <w:rsid w:val="00034E6C"/>
    <w:rsid w:val="000351FF"/>
    <w:rsid w:val="000355B3"/>
    <w:rsid w:val="0003563D"/>
    <w:rsid w:val="00035839"/>
    <w:rsid w:val="00035844"/>
    <w:rsid w:val="00035856"/>
    <w:rsid w:val="000358EA"/>
    <w:rsid w:val="00035E61"/>
    <w:rsid w:val="000360B4"/>
    <w:rsid w:val="000369CA"/>
    <w:rsid w:val="00036AC7"/>
    <w:rsid w:val="00036AD7"/>
    <w:rsid w:val="00036AD8"/>
    <w:rsid w:val="00036DD9"/>
    <w:rsid w:val="00037037"/>
    <w:rsid w:val="00037302"/>
    <w:rsid w:val="000376FC"/>
    <w:rsid w:val="00037E6A"/>
    <w:rsid w:val="0004005D"/>
    <w:rsid w:val="000406D4"/>
    <w:rsid w:val="00040ADF"/>
    <w:rsid w:val="00040F81"/>
    <w:rsid w:val="00040FB4"/>
    <w:rsid w:val="00040FD7"/>
    <w:rsid w:val="00041669"/>
    <w:rsid w:val="0004178C"/>
    <w:rsid w:val="0004180D"/>
    <w:rsid w:val="000419BE"/>
    <w:rsid w:val="00041C42"/>
    <w:rsid w:val="00041EEC"/>
    <w:rsid w:val="00041F5D"/>
    <w:rsid w:val="00042322"/>
    <w:rsid w:val="0004243D"/>
    <w:rsid w:val="00042839"/>
    <w:rsid w:val="00042910"/>
    <w:rsid w:val="00042ACA"/>
    <w:rsid w:val="00042B2A"/>
    <w:rsid w:val="00042BAE"/>
    <w:rsid w:val="00042DB1"/>
    <w:rsid w:val="00042DF2"/>
    <w:rsid w:val="0004338F"/>
    <w:rsid w:val="000434DE"/>
    <w:rsid w:val="00043564"/>
    <w:rsid w:val="0004382A"/>
    <w:rsid w:val="00043CB1"/>
    <w:rsid w:val="000443A6"/>
    <w:rsid w:val="000449D1"/>
    <w:rsid w:val="00044A9F"/>
    <w:rsid w:val="00044B1C"/>
    <w:rsid w:val="00044EEF"/>
    <w:rsid w:val="000450CA"/>
    <w:rsid w:val="000451FB"/>
    <w:rsid w:val="00045B8D"/>
    <w:rsid w:val="00045CC5"/>
    <w:rsid w:val="00045DD9"/>
    <w:rsid w:val="0004647F"/>
    <w:rsid w:val="000466B2"/>
    <w:rsid w:val="000467E8"/>
    <w:rsid w:val="00046B6A"/>
    <w:rsid w:val="00046BB1"/>
    <w:rsid w:val="00046F5B"/>
    <w:rsid w:val="000472D4"/>
    <w:rsid w:val="000477DF"/>
    <w:rsid w:val="0004790A"/>
    <w:rsid w:val="00047AD4"/>
    <w:rsid w:val="00047B56"/>
    <w:rsid w:val="00047FAE"/>
    <w:rsid w:val="000500AF"/>
    <w:rsid w:val="000502CE"/>
    <w:rsid w:val="0005062C"/>
    <w:rsid w:val="0005081D"/>
    <w:rsid w:val="000508F2"/>
    <w:rsid w:val="00051292"/>
    <w:rsid w:val="00051322"/>
    <w:rsid w:val="00051CB6"/>
    <w:rsid w:val="00051E8F"/>
    <w:rsid w:val="00052964"/>
    <w:rsid w:val="00052BCB"/>
    <w:rsid w:val="00052CD9"/>
    <w:rsid w:val="00052DB7"/>
    <w:rsid w:val="00052DD3"/>
    <w:rsid w:val="0005326D"/>
    <w:rsid w:val="00053AA4"/>
    <w:rsid w:val="00053D85"/>
    <w:rsid w:val="00053F6C"/>
    <w:rsid w:val="00054015"/>
    <w:rsid w:val="0005426B"/>
    <w:rsid w:val="000544DD"/>
    <w:rsid w:val="00054ACA"/>
    <w:rsid w:val="00054D13"/>
    <w:rsid w:val="0005507C"/>
    <w:rsid w:val="000551C1"/>
    <w:rsid w:val="00055256"/>
    <w:rsid w:val="00055520"/>
    <w:rsid w:val="0005591C"/>
    <w:rsid w:val="00055D3F"/>
    <w:rsid w:val="00055E12"/>
    <w:rsid w:val="0005607B"/>
    <w:rsid w:val="0005621D"/>
    <w:rsid w:val="000562FD"/>
    <w:rsid w:val="0005630E"/>
    <w:rsid w:val="000565C5"/>
    <w:rsid w:val="00056603"/>
    <w:rsid w:val="00056A40"/>
    <w:rsid w:val="00056F9E"/>
    <w:rsid w:val="00056FC7"/>
    <w:rsid w:val="00057308"/>
    <w:rsid w:val="000575C1"/>
    <w:rsid w:val="00057973"/>
    <w:rsid w:val="00057ED7"/>
    <w:rsid w:val="00057F3E"/>
    <w:rsid w:val="00060072"/>
    <w:rsid w:val="00060D45"/>
    <w:rsid w:val="00060EBA"/>
    <w:rsid w:val="000613D0"/>
    <w:rsid w:val="00061706"/>
    <w:rsid w:val="0006188D"/>
    <w:rsid w:val="00061A45"/>
    <w:rsid w:val="00061C40"/>
    <w:rsid w:val="00061CB0"/>
    <w:rsid w:val="00061F3B"/>
    <w:rsid w:val="0006246C"/>
    <w:rsid w:val="00062BD0"/>
    <w:rsid w:val="00062C6C"/>
    <w:rsid w:val="00062C7B"/>
    <w:rsid w:val="00062ECB"/>
    <w:rsid w:val="0006339C"/>
    <w:rsid w:val="000635AE"/>
    <w:rsid w:val="00063618"/>
    <w:rsid w:val="00063655"/>
    <w:rsid w:val="000636D1"/>
    <w:rsid w:val="00063B3D"/>
    <w:rsid w:val="00063DB7"/>
    <w:rsid w:val="00063DCF"/>
    <w:rsid w:val="00064179"/>
    <w:rsid w:val="000642CC"/>
    <w:rsid w:val="00064318"/>
    <w:rsid w:val="0006462D"/>
    <w:rsid w:val="00064783"/>
    <w:rsid w:val="000647C2"/>
    <w:rsid w:val="00064980"/>
    <w:rsid w:val="00064D31"/>
    <w:rsid w:val="00064DAC"/>
    <w:rsid w:val="000651C1"/>
    <w:rsid w:val="000652B8"/>
    <w:rsid w:val="000653F6"/>
    <w:rsid w:val="000656EA"/>
    <w:rsid w:val="00065B65"/>
    <w:rsid w:val="00065D25"/>
    <w:rsid w:val="00066332"/>
    <w:rsid w:val="00066E8B"/>
    <w:rsid w:val="0006774F"/>
    <w:rsid w:val="00067DF4"/>
    <w:rsid w:val="0007021F"/>
    <w:rsid w:val="00070274"/>
    <w:rsid w:val="000703D3"/>
    <w:rsid w:val="00070562"/>
    <w:rsid w:val="000709A0"/>
    <w:rsid w:val="000709D3"/>
    <w:rsid w:val="000709EC"/>
    <w:rsid w:val="00070CC5"/>
    <w:rsid w:val="00071048"/>
    <w:rsid w:val="00071824"/>
    <w:rsid w:val="00072148"/>
    <w:rsid w:val="0007284E"/>
    <w:rsid w:val="00072A75"/>
    <w:rsid w:val="00072DA9"/>
    <w:rsid w:val="00072EBE"/>
    <w:rsid w:val="00072EC2"/>
    <w:rsid w:val="00073195"/>
    <w:rsid w:val="000732C1"/>
    <w:rsid w:val="00073344"/>
    <w:rsid w:val="00073905"/>
    <w:rsid w:val="0007392D"/>
    <w:rsid w:val="00073EAA"/>
    <w:rsid w:val="00074199"/>
    <w:rsid w:val="000742CB"/>
    <w:rsid w:val="000746DA"/>
    <w:rsid w:val="000746F8"/>
    <w:rsid w:val="000747A5"/>
    <w:rsid w:val="00074B3F"/>
    <w:rsid w:val="00074CF1"/>
    <w:rsid w:val="00074DD5"/>
    <w:rsid w:val="000754B8"/>
    <w:rsid w:val="00075BCC"/>
    <w:rsid w:val="00076264"/>
    <w:rsid w:val="000762E9"/>
    <w:rsid w:val="000768DE"/>
    <w:rsid w:val="00076C9B"/>
    <w:rsid w:val="00076D0B"/>
    <w:rsid w:val="00076D10"/>
    <w:rsid w:val="000770B1"/>
    <w:rsid w:val="000772D7"/>
    <w:rsid w:val="000773E1"/>
    <w:rsid w:val="0007775A"/>
    <w:rsid w:val="0007775C"/>
    <w:rsid w:val="00077911"/>
    <w:rsid w:val="00077939"/>
    <w:rsid w:val="00077967"/>
    <w:rsid w:val="00077B5F"/>
    <w:rsid w:val="00077D5A"/>
    <w:rsid w:val="00077E29"/>
    <w:rsid w:val="00077FBC"/>
    <w:rsid w:val="00080241"/>
    <w:rsid w:val="000802B7"/>
    <w:rsid w:val="000802DF"/>
    <w:rsid w:val="000806CF"/>
    <w:rsid w:val="00080E4A"/>
    <w:rsid w:val="00081271"/>
    <w:rsid w:val="0008147D"/>
    <w:rsid w:val="00081778"/>
    <w:rsid w:val="000817B3"/>
    <w:rsid w:val="000817BA"/>
    <w:rsid w:val="00081E24"/>
    <w:rsid w:val="00082075"/>
    <w:rsid w:val="00082717"/>
    <w:rsid w:val="000827FC"/>
    <w:rsid w:val="00082BF9"/>
    <w:rsid w:val="00082EFD"/>
    <w:rsid w:val="0008321A"/>
    <w:rsid w:val="000832BD"/>
    <w:rsid w:val="0008413A"/>
    <w:rsid w:val="000846DD"/>
    <w:rsid w:val="000848C1"/>
    <w:rsid w:val="00084DB9"/>
    <w:rsid w:val="00084F23"/>
    <w:rsid w:val="000850C8"/>
    <w:rsid w:val="000855C0"/>
    <w:rsid w:val="00085C02"/>
    <w:rsid w:val="00085DAE"/>
    <w:rsid w:val="0008616B"/>
    <w:rsid w:val="0008648A"/>
    <w:rsid w:val="000865D7"/>
    <w:rsid w:val="00086B32"/>
    <w:rsid w:val="000870B6"/>
    <w:rsid w:val="000874FC"/>
    <w:rsid w:val="00087528"/>
    <w:rsid w:val="00087836"/>
    <w:rsid w:val="00087A02"/>
    <w:rsid w:val="00087BF4"/>
    <w:rsid w:val="000901AE"/>
    <w:rsid w:val="00090440"/>
    <w:rsid w:val="000905BD"/>
    <w:rsid w:val="0009060E"/>
    <w:rsid w:val="00090613"/>
    <w:rsid w:val="000908C1"/>
    <w:rsid w:val="00090997"/>
    <w:rsid w:val="00090BD1"/>
    <w:rsid w:val="00090EB1"/>
    <w:rsid w:val="00091061"/>
    <w:rsid w:val="000910A6"/>
    <w:rsid w:val="0009111F"/>
    <w:rsid w:val="00091251"/>
    <w:rsid w:val="00091857"/>
    <w:rsid w:val="00091C59"/>
    <w:rsid w:val="000922F8"/>
    <w:rsid w:val="00092360"/>
    <w:rsid w:val="00092475"/>
    <w:rsid w:val="00092A21"/>
    <w:rsid w:val="00092A6D"/>
    <w:rsid w:val="00092B7B"/>
    <w:rsid w:val="00093007"/>
    <w:rsid w:val="0009338F"/>
    <w:rsid w:val="00093402"/>
    <w:rsid w:val="0009355B"/>
    <w:rsid w:val="0009380C"/>
    <w:rsid w:val="00093D9A"/>
    <w:rsid w:val="00093E2A"/>
    <w:rsid w:val="00094656"/>
    <w:rsid w:val="00094A82"/>
    <w:rsid w:val="00094C57"/>
    <w:rsid w:val="0009579D"/>
    <w:rsid w:val="00095B93"/>
    <w:rsid w:val="00095EA2"/>
    <w:rsid w:val="00096942"/>
    <w:rsid w:val="00096B52"/>
    <w:rsid w:val="00096E35"/>
    <w:rsid w:val="000970DF"/>
    <w:rsid w:val="000970E4"/>
    <w:rsid w:val="00097552"/>
    <w:rsid w:val="00097565"/>
    <w:rsid w:val="00097D06"/>
    <w:rsid w:val="000A0436"/>
    <w:rsid w:val="000A0585"/>
    <w:rsid w:val="000A09ED"/>
    <w:rsid w:val="000A0CC6"/>
    <w:rsid w:val="000A10BF"/>
    <w:rsid w:val="000A1330"/>
    <w:rsid w:val="000A1725"/>
    <w:rsid w:val="000A1AE6"/>
    <w:rsid w:val="000A1E51"/>
    <w:rsid w:val="000A1FA9"/>
    <w:rsid w:val="000A2163"/>
    <w:rsid w:val="000A22C6"/>
    <w:rsid w:val="000A2690"/>
    <w:rsid w:val="000A26B7"/>
    <w:rsid w:val="000A2ACD"/>
    <w:rsid w:val="000A2B65"/>
    <w:rsid w:val="000A2DA8"/>
    <w:rsid w:val="000A3F06"/>
    <w:rsid w:val="000A4026"/>
    <w:rsid w:val="000A4330"/>
    <w:rsid w:val="000A4759"/>
    <w:rsid w:val="000A51D5"/>
    <w:rsid w:val="000A5586"/>
    <w:rsid w:val="000A5747"/>
    <w:rsid w:val="000A5C47"/>
    <w:rsid w:val="000A5C94"/>
    <w:rsid w:val="000A5F50"/>
    <w:rsid w:val="000A60E5"/>
    <w:rsid w:val="000A6157"/>
    <w:rsid w:val="000A61B4"/>
    <w:rsid w:val="000A629E"/>
    <w:rsid w:val="000A6508"/>
    <w:rsid w:val="000A670B"/>
    <w:rsid w:val="000A6748"/>
    <w:rsid w:val="000A6846"/>
    <w:rsid w:val="000A68E2"/>
    <w:rsid w:val="000A6B30"/>
    <w:rsid w:val="000A6C25"/>
    <w:rsid w:val="000A74F2"/>
    <w:rsid w:val="000A7572"/>
    <w:rsid w:val="000A7962"/>
    <w:rsid w:val="000A79A2"/>
    <w:rsid w:val="000A7BCF"/>
    <w:rsid w:val="000A7BDA"/>
    <w:rsid w:val="000B067B"/>
    <w:rsid w:val="000B0762"/>
    <w:rsid w:val="000B0DCA"/>
    <w:rsid w:val="000B1041"/>
    <w:rsid w:val="000B1228"/>
    <w:rsid w:val="000B13EB"/>
    <w:rsid w:val="000B1956"/>
    <w:rsid w:val="000B1BB5"/>
    <w:rsid w:val="000B1DC2"/>
    <w:rsid w:val="000B234E"/>
    <w:rsid w:val="000B23C5"/>
    <w:rsid w:val="000B25F8"/>
    <w:rsid w:val="000B2F17"/>
    <w:rsid w:val="000B3012"/>
    <w:rsid w:val="000B322B"/>
    <w:rsid w:val="000B3330"/>
    <w:rsid w:val="000B349D"/>
    <w:rsid w:val="000B35BB"/>
    <w:rsid w:val="000B3903"/>
    <w:rsid w:val="000B39E4"/>
    <w:rsid w:val="000B3AE0"/>
    <w:rsid w:val="000B3C43"/>
    <w:rsid w:val="000B400D"/>
    <w:rsid w:val="000B4E4F"/>
    <w:rsid w:val="000B52ED"/>
    <w:rsid w:val="000B53EB"/>
    <w:rsid w:val="000B5787"/>
    <w:rsid w:val="000B59AC"/>
    <w:rsid w:val="000B5A18"/>
    <w:rsid w:val="000B5B8F"/>
    <w:rsid w:val="000B5C8A"/>
    <w:rsid w:val="000B5CB3"/>
    <w:rsid w:val="000B5E37"/>
    <w:rsid w:val="000B5F5B"/>
    <w:rsid w:val="000B62BD"/>
    <w:rsid w:val="000B69AF"/>
    <w:rsid w:val="000B69E7"/>
    <w:rsid w:val="000B6B15"/>
    <w:rsid w:val="000B6CF0"/>
    <w:rsid w:val="000B7207"/>
    <w:rsid w:val="000B720C"/>
    <w:rsid w:val="000B74FB"/>
    <w:rsid w:val="000B752C"/>
    <w:rsid w:val="000B7665"/>
    <w:rsid w:val="000B7953"/>
    <w:rsid w:val="000B7B56"/>
    <w:rsid w:val="000C0338"/>
    <w:rsid w:val="000C04F2"/>
    <w:rsid w:val="000C0AA2"/>
    <w:rsid w:val="000C105E"/>
    <w:rsid w:val="000C1A50"/>
    <w:rsid w:val="000C1E97"/>
    <w:rsid w:val="000C2114"/>
    <w:rsid w:val="000C231F"/>
    <w:rsid w:val="000C2393"/>
    <w:rsid w:val="000C24AA"/>
    <w:rsid w:val="000C2C90"/>
    <w:rsid w:val="000C2C9D"/>
    <w:rsid w:val="000C2CEF"/>
    <w:rsid w:val="000C377F"/>
    <w:rsid w:val="000C410A"/>
    <w:rsid w:val="000C430B"/>
    <w:rsid w:val="000C450F"/>
    <w:rsid w:val="000C4562"/>
    <w:rsid w:val="000C45B2"/>
    <w:rsid w:val="000C46C2"/>
    <w:rsid w:val="000C4AF0"/>
    <w:rsid w:val="000C5170"/>
    <w:rsid w:val="000C539A"/>
    <w:rsid w:val="000C54B3"/>
    <w:rsid w:val="000C55DD"/>
    <w:rsid w:val="000C57C8"/>
    <w:rsid w:val="000C595B"/>
    <w:rsid w:val="000C5C9B"/>
    <w:rsid w:val="000C5D1F"/>
    <w:rsid w:val="000C5D3C"/>
    <w:rsid w:val="000C62EE"/>
    <w:rsid w:val="000C6551"/>
    <w:rsid w:val="000C7151"/>
    <w:rsid w:val="000C717E"/>
    <w:rsid w:val="000C7366"/>
    <w:rsid w:val="000C74B3"/>
    <w:rsid w:val="000C7897"/>
    <w:rsid w:val="000C7C46"/>
    <w:rsid w:val="000D0413"/>
    <w:rsid w:val="000D0877"/>
    <w:rsid w:val="000D0949"/>
    <w:rsid w:val="000D09E3"/>
    <w:rsid w:val="000D0A55"/>
    <w:rsid w:val="000D0C5F"/>
    <w:rsid w:val="000D0D2B"/>
    <w:rsid w:val="000D10D2"/>
    <w:rsid w:val="000D10EA"/>
    <w:rsid w:val="000D167A"/>
    <w:rsid w:val="000D1B52"/>
    <w:rsid w:val="000D1BCF"/>
    <w:rsid w:val="000D1E4D"/>
    <w:rsid w:val="000D2437"/>
    <w:rsid w:val="000D2664"/>
    <w:rsid w:val="000D268A"/>
    <w:rsid w:val="000D27E6"/>
    <w:rsid w:val="000D2A19"/>
    <w:rsid w:val="000D2A34"/>
    <w:rsid w:val="000D2E6E"/>
    <w:rsid w:val="000D3570"/>
    <w:rsid w:val="000D3C83"/>
    <w:rsid w:val="000D4000"/>
    <w:rsid w:val="000D4002"/>
    <w:rsid w:val="000D41EC"/>
    <w:rsid w:val="000D4318"/>
    <w:rsid w:val="000D45E9"/>
    <w:rsid w:val="000D4826"/>
    <w:rsid w:val="000D4A07"/>
    <w:rsid w:val="000D4A78"/>
    <w:rsid w:val="000D4C07"/>
    <w:rsid w:val="000D4C1B"/>
    <w:rsid w:val="000D4C83"/>
    <w:rsid w:val="000D507E"/>
    <w:rsid w:val="000D5523"/>
    <w:rsid w:val="000D5699"/>
    <w:rsid w:val="000D5A0D"/>
    <w:rsid w:val="000D5B0B"/>
    <w:rsid w:val="000D64E0"/>
    <w:rsid w:val="000D65EC"/>
    <w:rsid w:val="000D6C44"/>
    <w:rsid w:val="000D7219"/>
    <w:rsid w:val="000D7926"/>
    <w:rsid w:val="000D7E0A"/>
    <w:rsid w:val="000E02FB"/>
    <w:rsid w:val="000E03DC"/>
    <w:rsid w:val="000E0465"/>
    <w:rsid w:val="000E1124"/>
    <w:rsid w:val="000E146D"/>
    <w:rsid w:val="000E1550"/>
    <w:rsid w:val="000E18B6"/>
    <w:rsid w:val="000E1902"/>
    <w:rsid w:val="000E198C"/>
    <w:rsid w:val="000E23FD"/>
    <w:rsid w:val="000E24AF"/>
    <w:rsid w:val="000E25E9"/>
    <w:rsid w:val="000E26D2"/>
    <w:rsid w:val="000E291B"/>
    <w:rsid w:val="000E2AFA"/>
    <w:rsid w:val="000E3140"/>
    <w:rsid w:val="000E3814"/>
    <w:rsid w:val="000E3AAA"/>
    <w:rsid w:val="000E3B8A"/>
    <w:rsid w:val="000E3D05"/>
    <w:rsid w:val="000E4157"/>
    <w:rsid w:val="000E41FA"/>
    <w:rsid w:val="000E42AA"/>
    <w:rsid w:val="000E4909"/>
    <w:rsid w:val="000E4E53"/>
    <w:rsid w:val="000E5259"/>
    <w:rsid w:val="000E550C"/>
    <w:rsid w:val="000E5531"/>
    <w:rsid w:val="000E5680"/>
    <w:rsid w:val="000E5B8F"/>
    <w:rsid w:val="000E5E0D"/>
    <w:rsid w:val="000E5F04"/>
    <w:rsid w:val="000E6070"/>
    <w:rsid w:val="000E6410"/>
    <w:rsid w:val="000E6680"/>
    <w:rsid w:val="000E678B"/>
    <w:rsid w:val="000E67A2"/>
    <w:rsid w:val="000E6B56"/>
    <w:rsid w:val="000E6C30"/>
    <w:rsid w:val="000E6D98"/>
    <w:rsid w:val="000E6E0C"/>
    <w:rsid w:val="000E7AD9"/>
    <w:rsid w:val="000F034B"/>
    <w:rsid w:val="000F039A"/>
    <w:rsid w:val="000F05F3"/>
    <w:rsid w:val="000F0743"/>
    <w:rsid w:val="000F0854"/>
    <w:rsid w:val="000F0DAC"/>
    <w:rsid w:val="000F140B"/>
    <w:rsid w:val="000F1590"/>
    <w:rsid w:val="000F174B"/>
    <w:rsid w:val="000F179A"/>
    <w:rsid w:val="000F1BB5"/>
    <w:rsid w:val="000F1CC9"/>
    <w:rsid w:val="000F1F01"/>
    <w:rsid w:val="000F1F2D"/>
    <w:rsid w:val="000F2DFB"/>
    <w:rsid w:val="000F2E01"/>
    <w:rsid w:val="000F3339"/>
    <w:rsid w:val="000F34B8"/>
    <w:rsid w:val="000F3B47"/>
    <w:rsid w:val="000F3C37"/>
    <w:rsid w:val="000F3C48"/>
    <w:rsid w:val="000F423F"/>
    <w:rsid w:val="000F4514"/>
    <w:rsid w:val="000F4662"/>
    <w:rsid w:val="000F516A"/>
    <w:rsid w:val="000F5296"/>
    <w:rsid w:val="000F5495"/>
    <w:rsid w:val="000F55CA"/>
    <w:rsid w:val="000F56D1"/>
    <w:rsid w:val="000F5919"/>
    <w:rsid w:val="000F5A54"/>
    <w:rsid w:val="000F6066"/>
    <w:rsid w:val="000F67C4"/>
    <w:rsid w:val="000F6942"/>
    <w:rsid w:val="000F6F90"/>
    <w:rsid w:val="000F7581"/>
    <w:rsid w:val="000F7767"/>
    <w:rsid w:val="000F77D5"/>
    <w:rsid w:val="000F7987"/>
    <w:rsid w:val="000F7E5E"/>
    <w:rsid w:val="001000BB"/>
    <w:rsid w:val="00100169"/>
    <w:rsid w:val="0010051C"/>
    <w:rsid w:val="0010136A"/>
    <w:rsid w:val="00101AA9"/>
    <w:rsid w:val="0010258F"/>
    <w:rsid w:val="00102FB5"/>
    <w:rsid w:val="00103274"/>
    <w:rsid w:val="001039C5"/>
    <w:rsid w:val="00103D66"/>
    <w:rsid w:val="00103D81"/>
    <w:rsid w:val="0010404F"/>
    <w:rsid w:val="0010448B"/>
    <w:rsid w:val="0010488D"/>
    <w:rsid w:val="00104DDF"/>
    <w:rsid w:val="00104E4B"/>
    <w:rsid w:val="00105096"/>
    <w:rsid w:val="0010521F"/>
    <w:rsid w:val="00105741"/>
    <w:rsid w:val="00105A2F"/>
    <w:rsid w:val="00105E8D"/>
    <w:rsid w:val="00105F88"/>
    <w:rsid w:val="00106042"/>
    <w:rsid w:val="0010614A"/>
    <w:rsid w:val="0010625A"/>
    <w:rsid w:val="001062EA"/>
    <w:rsid w:val="00106394"/>
    <w:rsid w:val="001065B1"/>
    <w:rsid w:val="00106742"/>
    <w:rsid w:val="00106759"/>
    <w:rsid w:val="0010678E"/>
    <w:rsid w:val="00106C6C"/>
    <w:rsid w:val="00106DB0"/>
    <w:rsid w:val="00106F28"/>
    <w:rsid w:val="00107207"/>
    <w:rsid w:val="00107524"/>
    <w:rsid w:val="00107569"/>
    <w:rsid w:val="001079B7"/>
    <w:rsid w:val="00107DCD"/>
    <w:rsid w:val="00107EF0"/>
    <w:rsid w:val="00110424"/>
    <w:rsid w:val="00110455"/>
    <w:rsid w:val="001105E8"/>
    <w:rsid w:val="00110890"/>
    <w:rsid w:val="00110C12"/>
    <w:rsid w:val="00110CB8"/>
    <w:rsid w:val="00110E6D"/>
    <w:rsid w:val="00111417"/>
    <w:rsid w:val="00111575"/>
    <w:rsid w:val="00111856"/>
    <w:rsid w:val="00111B99"/>
    <w:rsid w:val="00111C97"/>
    <w:rsid w:val="00111CC2"/>
    <w:rsid w:val="00111D92"/>
    <w:rsid w:val="00111E8E"/>
    <w:rsid w:val="00112395"/>
    <w:rsid w:val="001125DF"/>
    <w:rsid w:val="00113488"/>
    <w:rsid w:val="001137AF"/>
    <w:rsid w:val="00113874"/>
    <w:rsid w:val="00113A93"/>
    <w:rsid w:val="00113C5E"/>
    <w:rsid w:val="00113C60"/>
    <w:rsid w:val="00113F20"/>
    <w:rsid w:val="00114034"/>
    <w:rsid w:val="00114C3B"/>
    <w:rsid w:val="00114FFF"/>
    <w:rsid w:val="00115691"/>
    <w:rsid w:val="00115887"/>
    <w:rsid w:val="00115FD6"/>
    <w:rsid w:val="001160FD"/>
    <w:rsid w:val="00116EE9"/>
    <w:rsid w:val="00117032"/>
    <w:rsid w:val="00117039"/>
    <w:rsid w:val="00117331"/>
    <w:rsid w:val="00117372"/>
    <w:rsid w:val="001175F0"/>
    <w:rsid w:val="00117CBA"/>
    <w:rsid w:val="00117F04"/>
    <w:rsid w:val="00120007"/>
    <w:rsid w:val="00120098"/>
    <w:rsid w:val="00120312"/>
    <w:rsid w:val="0012054E"/>
    <w:rsid w:val="001206AE"/>
    <w:rsid w:val="00120BD3"/>
    <w:rsid w:val="00120C8A"/>
    <w:rsid w:val="00120EEB"/>
    <w:rsid w:val="00120FA4"/>
    <w:rsid w:val="00121537"/>
    <w:rsid w:val="00121AF3"/>
    <w:rsid w:val="00121C4F"/>
    <w:rsid w:val="00121CA1"/>
    <w:rsid w:val="00121D00"/>
    <w:rsid w:val="001220B0"/>
    <w:rsid w:val="00122411"/>
    <w:rsid w:val="001228FD"/>
    <w:rsid w:val="00122A9C"/>
    <w:rsid w:val="00122AC1"/>
    <w:rsid w:val="00122AE3"/>
    <w:rsid w:val="00122BF1"/>
    <w:rsid w:val="00122EE1"/>
    <w:rsid w:val="00122F00"/>
    <w:rsid w:val="001234F7"/>
    <w:rsid w:val="00123658"/>
    <w:rsid w:val="001237AF"/>
    <w:rsid w:val="00123CCD"/>
    <w:rsid w:val="001247EB"/>
    <w:rsid w:val="00124F3C"/>
    <w:rsid w:val="0012532E"/>
    <w:rsid w:val="001255BA"/>
    <w:rsid w:val="00125B61"/>
    <w:rsid w:val="00125E18"/>
    <w:rsid w:val="00126122"/>
    <w:rsid w:val="00126C37"/>
    <w:rsid w:val="00126F19"/>
    <w:rsid w:val="001276AA"/>
    <w:rsid w:val="00127C65"/>
    <w:rsid w:val="00127C75"/>
    <w:rsid w:val="00127E39"/>
    <w:rsid w:val="00130252"/>
    <w:rsid w:val="00130395"/>
    <w:rsid w:val="00130421"/>
    <w:rsid w:val="00130994"/>
    <w:rsid w:val="00130C2E"/>
    <w:rsid w:val="00131043"/>
    <w:rsid w:val="00131292"/>
    <w:rsid w:val="00131686"/>
    <w:rsid w:val="00131837"/>
    <w:rsid w:val="00131D45"/>
    <w:rsid w:val="001320F0"/>
    <w:rsid w:val="0013228B"/>
    <w:rsid w:val="001322E1"/>
    <w:rsid w:val="00132544"/>
    <w:rsid w:val="00132815"/>
    <w:rsid w:val="00132970"/>
    <w:rsid w:val="00132A4B"/>
    <w:rsid w:val="00132D1A"/>
    <w:rsid w:val="00132F67"/>
    <w:rsid w:val="001336E0"/>
    <w:rsid w:val="001338A1"/>
    <w:rsid w:val="00133C59"/>
    <w:rsid w:val="00133F34"/>
    <w:rsid w:val="00135051"/>
    <w:rsid w:val="00135273"/>
    <w:rsid w:val="00135287"/>
    <w:rsid w:val="00135401"/>
    <w:rsid w:val="00135451"/>
    <w:rsid w:val="001354AA"/>
    <w:rsid w:val="00135577"/>
    <w:rsid w:val="001355FF"/>
    <w:rsid w:val="00135CA0"/>
    <w:rsid w:val="00135D3C"/>
    <w:rsid w:val="00135D75"/>
    <w:rsid w:val="00135FC9"/>
    <w:rsid w:val="00136021"/>
    <w:rsid w:val="00136209"/>
    <w:rsid w:val="00136536"/>
    <w:rsid w:val="0013691E"/>
    <w:rsid w:val="00136CED"/>
    <w:rsid w:val="00136D4D"/>
    <w:rsid w:val="00136D5C"/>
    <w:rsid w:val="00136FB4"/>
    <w:rsid w:val="001370FF"/>
    <w:rsid w:val="0013731D"/>
    <w:rsid w:val="001378D8"/>
    <w:rsid w:val="00137A8C"/>
    <w:rsid w:val="00137BFE"/>
    <w:rsid w:val="00137CEF"/>
    <w:rsid w:val="00137FAE"/>
    <w:rsid w:val="00137FEB"/>
    <w:rsid w:val="0014058B"/>
    <w:rsid w:val="001406EB"/>
    <w:rsid w:val="00140C2D"/>
    <w:rsid w:val="00140DB8"/>
    <w:rsid w:val="00141197"/>
    <w:rsid w:val="00141750"/>
    <w:rsid w:val="00141998"/>
    <w:rsid w:val="00141AC3"/>
    <w:rsid w:val="00141E08"/>
    <w:rsid w:val="00141EBB"/>
    <w:rsid w:val="00142019"/>
    <w:rsid w:val="00142413"/>
    <w:rsid w:val="00142483"/>
    <w:rsid w:val="001428B0"/>
    <w:rsid w:val="00142960"/>
    <w:rsid w:val="00142F15"/>
    <w:rsid w:val="00142F65"/>
    <w:rsid w:val="00143113"/>
    <w:rsid w:val="00143478"/>
    <w:rsid w:val="0014347A"/>
    <w:rsid w:val="001436E1"/>
    <w:rsid w:val="00143F2F"/>
    <w:rsid w:val="00143FD1"/>
    <w:rsid w:val="00144336"/>
    <w:rsid w:val="0014435A"/>
    <w:rsid w:val="0014435F"/>
    <w:rsid w:val="00144675"/>
    <w:rsid w:val="00144A8E"/>
    <w:rsid w:val="00144AF6"/>
    <w:rsid w:val="00144B7D"/>
    <w:rsid w:val="00144ED1"/>
    <w:rsid w:val="001450FB"/>
    <w:rsid w:val="001451EB"/>
    <w:rsid w:val="0014521C"/>
    <w:rsid w:val="001457E9"/>
    <w:rsid w:val="001464B8"/>
    <w:rsid w:val="00146562"/>
    <w:rsid w:val="00146624"/>
    <w:rsid w:val="0014669C"/>
    <w:rsid w:val="00146852"/>
    <w:rsid w:val="00146A27"/>
    <w:rsid w:val="00146C8A"/>
    <w:rsid w:val="00146CC6"/>
    <w:rsid w:val="00147C09"/>
    <w:rsid w:val="00147D22"/>
    <w:rsid w:val="00150375"/>
    <w:rsid w:val="00150376"/>
    <w:rsid w:val="00150441"/>
    <w:rsid w:val="001506EB"/>
    <w:rsid w:val="00150A5F"/>
    <w:rsid w:val="00150C1D"/>
    <w:rsid w:val="00151712"/>
    <w:rsid w:val="00151CA2"/>
    <w:rsid w:val="00151DBD"/>
    <w:rsid w:val="001525B0"/>
    <w:rsid w:val="00152B94"/>
    <w:rsid w:val="00152E66"/>
    <w:rsid w:val="001531D6"/>
    <w:rsid w:val="00153272"/>
    <w:rsid w:val="0015397C"/>
    <w:rsid w:val="00153FA2"/>
    <w:rsid w:val="00154088"/>
    <w:rsid w:val="00154262"/>
    <w:rsid w:val="00154777"/>
    <w:rsid w:val="00155006"/>
    <w:rsid w:val="001552CE"/>
    <w:rsid w:val="00155434"/>
    <w:rsid w:val="00155796"/>
    <w:rsid w:val="00155890"/>
    <w:rsid w:val="00155B28"/>
    <w:rsid w:val="00155B90"/>
    <w:rsid w:val="00155BDA"/>
    <w:rsid w:val="00156848"/>
    <w:rsid w:val="00156BFC"/>
    <w:rsid w:val="00156FA7"/>
    <w:rsid w:val="00157AF4"/>
    <w:rsid w:val="00157B5D"/>
    <w:rsid w:val="00157EA1"/>
    <w:rsid w:val="001600DC"/>
    <w:rsid w:val="0016023A"/>
    <w:rsid w:val="00160331"/>
    <w:rsid w:val="0016040B"/>
    <w:rsid w:val="00161155"/>
    <w:rsid w:val="00161200"/>
    <w:rsid w:val="00161327"/>
    <w:rsid w:val="001614A5"/>
    <w:rsid w:val="00161CE7"/>
    <w:rsid w:val="00161ED0"/>
    <w:rsid w:val="00161F81"/>
    <w:rsid w:val="001622A5"/>
    <w:rsid w:val="00162552"/>
    <w:rsid w:val="00162DAD"/>
    <w:rsid w:val="00162DBF"/>
    <w:rsid w:val="00163520"/>
    <w:rsid w:val="00163614"/>
    <w:rsid w:val="001644F8"/>
    <w:rsid w:val="00164912"/>
    <w:rsid w:val="001649E4"/>
    <w:rsid w:val="00164CD3"/>
    <w:rsid w:val="00164CF8"/>
    <w:rsid w:val="00164D2F"/>
    <w:rsid w:val="00164DCC"/>
    <w:rsid w:val="00164E23"/>
    <w:rsid w:val="00165269"/>
    <w:rsid w:val="001653AE"/>
    <w:rsid w:val="001661E8"/>
    <w:rsid w:val="00166CC0"/>
    <w:rsid w:val="00166FC8"/>
    <w:rsid w:val="0016728E"/>
    <w:rsid w:val="00167349"/>
    <w:rsid w:val="00167419"/>
    <w:rsid w:val="001674FB"/>
    <w:rsid w:val="00167629"/>
    <w:rsid w:val="00167711"/>
    <w:rsid w:val="001678E5"/>
    <w:rsid w:val="00167F05"/>
    <w:rsid w:val="00170383"/>
    <w:rsid w:val="001703EB"/>
    <w:rsid w:val="0017051F"/>
    <w:rsid w:val="00170D5B"/>
    <w:rsid w:val="0017139A"/>
    <w:rsid w:val="001719B9"/>
    <w:rsid w:val="00171BC8"/>
    <w:rsid w:val="00171D87"/>
    <w:rsid w:val="00171E96"/>
    <w:rsid w:val="00171F97"/>
    <w:rsid w:val="0017254B"/>
    <w:rsid w:val="00172A6A"/>
    <w:rsid w:val="00172ADC"/>
    <w:rsid w:val="00172B8F"/>
    <w:rsid w:val="001734F5"/>
    <w:rsid w:val="0017361C"/>
    <w:rsid w:val="001736F8"/>
    <w:rsid w:val="001739C9"/>
    <w:rsid w:val="00173A5F"/>
    <w:rsid w:val="00173D85"/>
    <w:rsid w:val="0017438F"/>
    <w:rsid w:val="0017442B"/>
    <w:rsid w:val="00174554"/>
    <w:rsid w:val="00174D26"/>
    <w:rsid w:val="00174F90"/>
    <w:rsid w:val="00174FD4"/>
    <w:rsid w:val="00175199"/>
    <w:rsid w:val="00175599"/>
    <w:rsid w:val="00175914"/>
    <w:rsid w:val="00175DA7"/>
    <w:rsid w:val="00175E34"/>
    <w:rsid w:val="00175FDA"/>
    <w:rsid w:val="001766B4"/>
    <w:rsid w:val="00176792"/>
    <w:rsid w:val="001768BB"/>
    <w:rsid w:val="00176F04"/>
    <w:rsid w:val="00176F58"/>
    <w:rsid w:val="00177670"/>
    <w:rsid w:val="0018021C"/>
    <w:rsid w:val="001802D9"/>
    <w:rsid w:val="00180324"/>
    <w:rsid w:val="00180745"/>
    <w:rsid w:val="00180A65"/>
    <w:rsid w:val="00180B83"/>
    <w:rsid w:val="00180C13"/>
    <w:rsid w:val="00180D30"/>
    <w:rsid w:val="00181330"/>
    <w:rsid w:val="00181362"/>
    <w:rsid w:val="00181423"/>
    <w:rsid w:val="001822A0"/>
    <w:rsid w:val="00182586"/>
    <w:rsid w:val="001828B6"/>
    <w:rsid w:val="001828DD"/>
    <w:rsid w:val="00182A06"/>
    <w:rsid w:val="00182B08"/>
    <w:rsid w:val="00182D34"/>
    <w:rsid w:val="00182EE8"/>
    <w:rsid w:val="001832DF"/>
    <w:rsid w:val="0018347F"/>
    <w:rsid w:val="00183C29"/>
    <w:rsid w:val="00183C7F"/>
    <w:rsid w:val="00183E92"/>
    <w:rsid w:val="00183F34"/>
    <w:rsid w:val="001844F7"/>
    <w:rsid w:val="00184B90"/>
    <w:rsid w:val="00184BAE"/>
    <w:rsid w:val="00184C83"/>
    <w:rsid w:val="00184CB2"/>
    <w:rsid w:val="00184CF8"/>
    <w:rsid w:val="00184EB3"/>
    <w:rsid w:val="0018515A"/>
    <w:rsid w:val="001854C2"/>
    <w:rsid w:val="0018595A"/>
    <w:rsid w:val="00185A06"/>
    <w:rsid w:val="00185AA4"/>
    <w:rsid w:val="00185AE4"/>
    <w:rsid w:val="00185EF0"/>
    <w:rsid w:val="00186093"/>
    <w:rsid w:val="0018643B"/>
    <w:rsid w:val="0018644B"/>
    <w:rsid w:val="001868AB"/>
    <w:rsid w:val="00186B24"/>
    <w:rsid w:val="00186FD9"/>
    <w:rsid w:val="001870DC"/>
    <w:rsid w:val="00187612"/>
    <w:rsid w:val="0018787B"/>
    <w:rsid w:val="00187887"/>
    <w:rsid w:val="00187F6A"/>
    <w:rsid w:val="00187F9D"/>
    <w:rsid w:val="001900E9"/>
    <w:rsid w:val="00190300"/>
    <w:rsid w:val="00190A81"/>
    <w:rsid w:val="00190B2B"/>
    <w:rsid w:val="00190B63"/>
    <w:rsid w:val="00190B86"/>
    <w:rsid w:val="001911BD"/>
    <w:rsid w:val="001911EB"/>
    <w:rsid w:val="00191239"/>
    <w:rsid w:val="00191775"/>
    <w:rsid w:val="001919E1"/>
    <w:rsid w:val="00191A22"/>
    <w:rsid w:val="00191A9E"/>
    <w:rsid w:val="00191AF7"/>
    <w:rsid w:val="00191FBA"/>
    <w:rsid w:val="00192459"/>
    <w:rsid w:val="0019251D"/>
    <w:rsid w:val="00192868"/>
    <w:rsid w:val="00192923"/>
    <w:rsid w:val="00192B07"/>
    <w:rsid w:val="00192C9E"/>
    <w:rsid w:val="00192DC1"/>
    <w:rsid w:val="001932C4"/>
    <w:rsid w:val="0019362A"/>
    <w:rsid w:val="00193793"/>
    <w:rsid w:val="00194249"/>
    <w:rsid w:val="001944FB"/>
    <w:rsid w:val="00194618"/>
    <w:rsid w:val="001946A3"/>
    <w:rsid w:val="0019474E"/>
    <w:rsid w:val="00194A9E"/>
    <w:rsid w:val="00194C39"/>
    <w:rsid w:val="00195728"/>
    <w:rsid w:val="00195FF8"/>
    <w:rsid w:val="00196761"/>
    <w:rsid w:val="0019702C"/>
    <w:rsid w:val="001970C0"/>
    <w:rsid w:val="00197208"/>
    <w:rsid w:val="00197416"/>
    <w:rsid w:val="001974C7"/>
    <w:rsid w:val="00197EDC"/>
    <w:rsid w:val="001A0A09"/>
    <w:rsid w:val="001A0E44"/>
    <w:rsid w:val="001A1A90"/>
    <w:rsid w:val="001A1CB7"/>
    <w:rsid w:val="001A258F"/>
    <w:rsid w:val="001A25D2"/>
    <w:rsid w:val="001A27BE"/>
    <w:rsid w:val="001A2872"/>
    <w:rsid w:val="001A2886"/>
    <w:rsid w:val="001A30BC"/>
    <w:rsid w:val="001A3297"/>
    <w:rsid w:val="001A3415"/>
    <w:rsid w:val="001A39EC"/>
    <w:rsid w:val="001A3A49"/>
    <w:rsid w:val="001A420B"/>
    <w:rsid w:val="001A45AA"/>
    <w:rsid w:val="001A4897"/>
    <w:rsid w:val="001A4B97"/>
    <w:rsid w:val="001A4F7D"/>
    <w:rsid w:val="001A57FC"/>
    <w:rsid w:val="001A58FA"/>
    <w:rsid w:val="001A5920"/>
    <w:rsid w:val="001A5B96"/>
    <w:rsid w:val="001A5F69"/>
    <w:rsid w:val="001A60BA"/>
    <w:rsid w:val="001A6A91"/>
    <w:rsid w:val="001A6D8B"/>
    <w:rsid w:val="001A6FA2"/>
    <w:rsid w:val="001A6FED"/>
    <w:rsid w:val="001A74BD"/>
    <w:rsid w:val="001A75B7"/>
    <w:rsid w:val="001A75D4"/>
    <w:rsid w:val="001A777A"/>
    <w:rsid w:val="001A7B42"/>
    <w:rsid w:val="001A7BEF"/>
    <w:rsid w:val="001A7D8F"/>
    <w:rsid w:val="001B0FEC"/>
    <w:rsid w:val="001B1026"/>
    <w:rsid w:val="001B11E7"/>
    <w:rsid w:val="001B13B4"/>
    <w:rsid w:val="001B1505"/>
    <w:rsid w:val="001B1584"/>
    <w:rsid w:val="001B19D0"/>
    <w:rsid w:val="001B2126"/>
    <w:rsid w:val="001B22DE"/>
    <w:rsid w:val="001B27AE"/>
    <w:rsid w:val="001B27CA"/>
    <w:rsid w:val="001B2807"/>
    <w:rsid w:val="001B2844"/>
    <w:rsid w:val="001B2983"/>
    <w:rsid w:val="001B2A97"/>
    <w:rsid w:val="001B2C2F"/>
    <w:rsid w:val="001B2CD4"/>
    <w:rsid w:val="001B2D2E"/>
    <w:rsid w:val="001B395E"/>
    <w:rsid w:val="001B3BD9"/>
    <w:rsid w:val="001B3BDF"/>
    <w:rsid w:val="001B404E"/>
    <w:rsid w:val="001B4264"/>
    <w:rsid w:val="001B483F"/>
    <w:rsid w:val="001B4A7A"/>
    <w:rsid w:val="001B4C1B"/>
    <w:rsid w:val="001B4E20"/>
    <w:rsid w:val="001B5831"/>
    <w:rsid w:val="001B58E0"/>
    <w:rsid w:val="001B594F"/>
    <w:rsid w:val="001B5BD9"/>
    <w:rsid w:val="001B610D"/>
    <w:rsid w:val="001B63DF"/>
    <w:rsid w:val="001B6D5D"/>
    <w:rsid w:val="001B7329"/>
    <w:rsid w:val="001B76DF"/>
    <w:rsid w:val="001B76E9"/>
    <w:rsid w:val="001B7EE7"/>
    <w:rsid w:val="001B7F5E"/>
    <w:rsid w:val="001C02E4"/>
    <w:rsid w:val="001C053A"/>
    <w:rsid w:val="001C05B6"/>
    <w:rsid w:val="001C06CE"/>
    <w:rsid w:val="001C07E4"/>
    <w:rsid w:val="001C08FA"/>
    <w:rsid w:val="001C097B"/>
    <w:rsid w:val="001C0D42"/>
    <w:rsid w:val="001C11AA"/>
    <w:rsid w:val="001C13E8"/>
    <w:rsid w:val="001C152A"/>
    <w:rsid w:val="001C174A"/>
    <w:rsid w:val="001C1755"/>
    <w:rsid w:val="001C17D5"/>
    <w:rsid w:val="001C1B87"/>
    <w:rsid w:val="001C1CDF"/>
    <w:rsid w:val="001C1D05"/>
    <w:rsid w:val="001C1F6C"/>
    <w:rsid w:val="001C2815"/>
    <w:rsid w:val="001C2A48"/>
    <w:rsid w:val="001C2B03"/>
    <w:rsid w:val="001C2D24"/>
    <w:rsid w:val="001C2EFF"/>
    <w:rsid w:val="001C33FA"/>
    <w:rsid w:val="001C37E2"/>
    <w:rsid w:val="001C3AAD"/>
    <w:rsid w:val="001C3B4F"/>
    <w:rsid w:val="001C3D9F"/>
    <w:rsid w:val="001C40F9"/>
    <w:rsid w:val="001C4570"/>
    <w:rsid w:val="001C49D6"/>
    <w:rsid w:val="001C4D3A"/>
    <w:rsid w:val="001C514D"/>
    <w:rsid w:val="001C5514"/>
    <w:rsid w:val="001C610C"/>
    <w:rsid w:val="001C6481"/>
    <w:rsid w:val="001C6664"/>
    <w:rsid w:val="001C667E"/>
    <w:rsid w:val="001C69E3"/>
    <w:rsid w:val="001C6A0B"/>
    <w:rsid w:val="001C6ADB"/>
    <w:rsid w:val="001C6C18"/>
    <w:rsid w:val="001C6D74"/>
    <w:rsid w:val="001C6DFD"/>
    <w:rsid w:val="001C7810"/>
    <w:rsid w:val="001C7FC4"/>
    <w:rsid w:val="001D0572"/>
    <w:rsid w:val="001D058E"/>
    <w:rsid w:val="001D0962"/>
    <w:rsid w:val="001D0EBB"/>
    <w:rsid w:val="001D10AF"/>
    <w:rsid w:val="001D16A4"/>
    <w:rsid w:val="001D17C6"/>
    <w:rsid w:val="001D1ABC"/>
    <w:rsid w:val="001D21A2"/>
    <w:rsid w:val="001D2726"/>
    <w:rsid w:val="001D27DA"/>
    <w:rsid w:val="001D32C0"/>
    <w:rsid w:val="001D3382"/>
    <w:rsid w:val="001D358E"/>
    <w:rsid w:val="001D36BB"/>
    <w:rsid w:val="001D36DB"/>
    <w:rsid w:val="001D3807"/>
    <w:rsid w:val="001D3A64"/>
    <w:rsid w:val="001D3E7E"/>
    <w:rsid w:val="001D3F42"/>
    <w:rsid w:val="001D4157"/>
    <w:rsid w:val="001D48A7"/>
    <w:rsid w:val="001D4A98"/>
    <w:rsid w:val="001D4EF7"/>
    <w:rsid w:val="001D4FE7"/>
    <w:rsid w:val="001D5059"/>
    <w:rsid w:val="001D50AF"/>
    <w:rsid w:val="001D512D"/>
    <w:rsid w:val="001D5793"/>
    <w:rsid w:val="001D7282"/>
    <w:rsid w:val="001D74A7"/>
    <w:rsid w:val="001D7945"/>
    <w:rsid w:val="001D7B24"/>
    <w:rsid w:val="001E0211"/>
    <w:rsid w:val="001E04D0"/>
    <w:rsid w:val="001E0690"/>
    <w:rsid w:val="001E06BC"/>
    <w:rsid w:val="001E0B96"/>
    <w:rsid w:val="001E0FA0"/>
    <w:rsid w:val="001E10E2"/>
    <w:rsid w:val="001E1302"/>
    <w:rsid w:val="001E15F2"/>
    <w:rsid w:val="001E1CF5"/>
    <w:rsid w:val="001E1D3D"/>
    <w:rsid w:val="001E220C"/>
    <w:rsid w:val="001E22F7"/>
    <w:rsid w:val="001E2697"/>
    <w:rsid w:val="001E2D1A"/>
    <w:rsid w:val="001E2D95"/>
    <w:rsid w:val="001E2F5B"/>
    <w:rsid w:val="001E2FE1"/>
    <w:rsid w:val="001E3054"/>
    <w:rsid w:val="001E3188"/>
    <w:rsid w:val="001E3194"/>
    <w:rsid w:val="001E32F0"/>
    <w:rsid w:val="001E3D7B"/>
    <w:rsid w:val="001E3DB1"/>
    <w:rsid w:val="001E3ED9"/>
    <w:rsid w:val="001E3F20"/>
    <w:rsid w:val="001E407D"/>
    <w:rsid w:val="001E465F"/>
    <w:rsid w:val="001E5682"/>
    <w:rsid w:val="001E59FE"/>
    <w:rsid w:val="001E5C5C"/>
    <w:rsid w:val="001E5CDB"/>
    <w:rsid w:val="001E5DB1"/>
    <w:rsid w:val="001E6D3B"/>
    <w:rsid w:val="001E7212"/>
    <w:rsid w:val="001E7260"/>
    <w:rsid w:val="001E7799"/>
    <w:rsid w:val="001E77FA"/>
    <w:rsid w:val="001E7829"/>
    <w:rsid w:val="001E7A2D"/>
    <w:rsid w:val="001F03F9"/>
    <w:rsid w:val="001F09CC"/>
    <w:rsid w:val="001F09EC"/>
    <w:rsid w:val="001F0A31"/>
    <w:rsid w:val="001F0E90"/>
    <w:rsid w:val="001F1379"/>
    <w:rsid w:val="001F137D"/>
    <w:rsid w:val="001F152E"/>
    <w:rsid w:val="001F1552"/>
    <w:rsid w:val="001F1621"/>
    <w:rsid w:val="001F1DE5"/>
    <w:rsid w:val="001F230D"/>
    <w:rsid w:val="001F24B0"/>
    <w:rsid w:val="001F2605"/>
    <w:rsid w:val="001F27A2"/>
    <w:rsid w:val="001F2868"/>
    <w:rsid w:val="001F2902"/>
    <w:rsid w:val="001F2C64"/>
    <w:rsid w:val="001F30E1"/>
    <w:rsid w:val="001F31DB"/>
    <w:rsid w:val="001F3766"/>
    <w:rsid w:val="001F387B"/>
    <w:rsid w:val="001F3B1A"/>
    <w:rsid w:val="001F3D62"/>
    <w:rsid w:val="001F3F36"/>
    <w:rsid w:val="001F43E3"/>
    <w:rsid w:val="001F498A"/>
    <w:rsid w:val="001F534E"/>
    <w:rsid w:val="001F53BA"/>
    <w:rsid w:val="001F5497"/>
    <w:rsid w:val="001F5B80"/>
    <w:rsid w:val="001F6058"/>
    <w:rsid w:val="001F658C"/>
    <w:rsid w:val="001F675C"/>
    <w:rsid w:val="001F6A01"/>
    <w:rsid w:val="001F6B17"/>
    <w:rsid w:val="001F6D92"/>
    <w:rsid w:val="001F6DA8"/>
    <w:rsid w:val="001F6F35"/>
    <w:rsid w:val="001F6F44"/>
    <w:rsid w:val="001F713C"/>
    <w:rsid w:val="001F743D"/>
    <w:rsid w:val="001F7512"/>
    <w:rsid w:val="001F7563"/>
    <w:rsid w:val="001F77EA"/>
    <w:rsid w:val="0020008A"/>
    <w:rsid w:val="0020026C"/>
    <w:rsid w:val="002005F8"/>
    <w:rsid w:val="002007E1"/>
    <w:rsid w:val="00200AF6"/>
    <w:rsid w:val="0020117A"/>
    <w:rsid w:val="002013B9"/>
    <w:rsid w:val="00201909"/>
    <w:rsid w:val="002019F2"/>
    <w:rsid w:val="00201DE4"/>
    <w:rsid w:val="00201F90"/>
    <w:rsid w:val="00202104"/>
    <w:rsid w:val="00202113"/>
    <w:rsid w:val="0020227D"/>
    <w:rsid w:val="00202464"/>
    <w:rsid w:val="00202540"/>
    <w:rsid w:val="0020259A"/>
    <w:rsid w:val="002025B0"/>
    <w:rsid w:val="0020289D"/>
    <w:rsid w:val="00202B2B"/>
    <w:rsid w:val="00202C29"/>
    <w:rsid w:val="00202DFD"/>
    <w:rsid w:val="002030B3"/>
    <w:rsid w:val="00203353"/>
    <w:rsid w:val="00203621"/>
    <w:rsid w:val="002042A4"/>
    <w:rsid w:val="0020430D"/>
    <w:rsid w:val="00204734"/>
    <w:rsid w:val="00204A18"/>
    <w:rsid w:val="0020560D"/>
    <w:rsid w:val="002058F0"/>
    <w:rsid w:val="00205E11"/>
    <w:rsid w:val="00205F7D"/>
    <w:rsid w:val="00206628"/>
    <w:rsid w:val="00206787"/>
    <w:rsid w:val="002067CE"/>
    <w:rsid w:val="002070A0"/>
    <w:rsid w:val="00207A43"/>
    <w:rsid w:val="00207F59"/>
    <w:rsid w:val="002103E3"/>
    <w:rsid w:val="00210771"/>
    <w:rsid w:val="00210A23"/>
    <w:rsid w:val="00211DC3"/>
    <w:rsid w:val="00211E14"/>
    <w:rsid w:val="00212969"/>
    <w:rsid w:val="00212E15"/>
    <w:rsid w:val="00212EF8"/>
    <w:rsid w:val="002130D1"/>
    <w:rsid w:val="00214498"/>
    <w:rsid w:val="00214A4D"/>
    <w:rsid w:val="00214AC1"/>
    <w:rsid w:val="00214CA5"/>
    <w:rsid w:val="002150E1"/>
    <w:rsid w:val="002152D7"/>
    <w:rsid w:val="00215460"/>
    <w:rsid w:val="002155B6"/>
    <w:rsid w:val="0021573B"/>
    <w:rsid w:val="002157E4"/>
    <w:rsid w:val="0021592A"/>
    <w:rsid w:val="002159A4"/>
    <w:rsid w:val="00215AFB"/>
    <w:rsid w:val="00215DEA"/>
    <w:rsid w:val="002165D8"/>
    <w:rsid w:val="00216780"/>
    <w:rsid w:val="002169D3"/>
    <w:rsid w:val="00216E1D"/>
    <w:rsid w:val="00216FAC"/>
    <w:rsid w:val="0021733A"/>
    <w:rsid w:val="0021778F"/>
    <w:rsid w:val="0021783B"/>
    <w:rsid w:val="00217943"/>
    <w:rsid w:val="00217999"/>
    <w:rsid w:val="00217D23"/>
    <w:rsid w:val="002200D8"/>
    <w:rsid w:val="0022021A"/>
    <w:rsid w:val="00220657"/>
    <w:rsid w:val="002208CA"/>
    <w:rsid w:val="00220960"/>
    <w:rsid w:val="00220BA4"/>
    <w:rsid w:val="00220F21"/>
    <w:rsid w:val="0022106D"/>
    <w:rsid w:val="00221385"/>
    <w:rsid w:val="002213D5"/>
    <w:rsid w:val="002215BE"/>
    <w:rsid w:val="00221AFE"/>
    <w:rsid w:val="00221CA4"/>
    <w:rsid w:val="00221E8F"/>
    <w:rsid w:val="00221F72"/>
    <w:rsid w:val="00222309"/>
    <w:rsid w:val="0022240B"/>
    <w:rsid w:val="002225E3"/>
    <w:rsid w:val="002225FB"/>
    <w:rsid w:val="00222B06"/>
    <w:rsid w:val="00222CD0"/>
    <w:rsid w:val="00222DD4"/>
    <w:rsid w:val="0022348A"/>
    <w:rsid w:val="002235C6"/>
    <w:rsid w:val="00223664"/>
    <w:rsid w:val="002238A3"/>
    <w:rsid w:val="00223A56"/>
    <w:rsid w:val="00223B00"/>
    <w:rsid w:val="00223C57"/>
    <w:rsid w:val="00224173"/>
    <w:rsid w:val="00224907"/>
    <w:rsid w:val="00224EFB"/>
    <w:rsid w:val="00225028"/>
    <w:rsid w:val="0022537E"/>
    <w:rsid w:val="00225587"/>
    <w:rsid w:val="00225833"/>
    <w:rsid w:val="00225A80"/>
    <w:rsid w:val="00225AD3"/>
    <w:rsid w:val="00225B15"/>
    <w:rsid w:val="00225CFD"/>
    <w:rsid w:val="00226095"/>
    <w:rsid w:val="00226196"/>
    <w:rsid w:val="00226507"/>
    <w:rsid w:val="00226FFC"/>
    <w:rsid w:val="00227499"/>
    <w:rsid w:val="002275AD"/>
    <w:rsid w:val="00227881"/>
    <w:rsid w:val="00227939"/>
    <w:rsid w:val="00227B89"/>
    <w:rsid w:val="00227F43"/>
    <w:rsid w:val="002301A9"/>
    <w:rsid w:val="00230A11"/>
    <w:rsid w:val="00230BDF"/>
    <w:rsid w:val="002313ED"/>
    <w:rsid w:val="00231652"/>
    <w:rsid w:val="002316BF"/>
    <w:rsid w:val="002319EE"/>
    <w:rsid w:val="00232305"/>
    <w:rsid w:val="0023243B"/>
    <w:rsid w:val="002327C1"/>
    <w:rsid w:val="00232E08"/>
    <w:rsid w:val="00232F71"/>
    <w:rsid w:val="002338A7"/>
    <w:rsid w:val="00233904"/>
    <w:rsid w:val="00233929"/>
    <w:rsid w:val="00233C02"/>
    <w:rsid w:val="00234246"/>
    <w:rsid w:val="0023424C"/>
    <w:rsid w:val="00234640"/>
    <w:rsid w:val="00234EAD"/>
    <w:rsid w:val="0023512C"/>
    <w:rsid w:val="00235F17"/>
    <w:rsid w:val="002363A4"/>
    <w:rsid w:val="00236728"/>
    <w:rsid w:val="00236BAA"/>
    <w:rsid w:val="00236C2C"/>
    <w:rsid w:val="0023705D"/>
    <w:rsid w:val="0023727D"/>
    <w:rsid w:val="00237A83"/>
    <w:rsid w:val="00237E25"/>
    <w:rsid w:val="00237EA2"/>
    <w:rsid w:val="00240106"/>
    <w:rsid w:val="00240250"/>
    <w:rsid w:val="00240535"/>
    <w:rsid w:val="002406F8"/>
    <w:rsid w:val="00240E29"/>
    <w:rsid w:val="0024109D"/>
    <w:rsid w:val="002411C7"/>
    <w:rsid w:val="00241548"/>
    <w:rsid w:val="002418B0"/>
    <w:rsid w:val="002423CD"/>
    <w:rsid w:val="002427B4"/>
    <w:rsid w:val="00242A46"/>
    <w:rsid w:val="00242BBB"/>
    <w:rsid w:val="00242F4E"/>
    <w:rsid w:val="0024328D"/>
    <w:rsid w:val="00243367"/>
    <w:rsid w:val="002433AE"/>
    <w:rsid w:val="00243CEC"/>
    <w:rsid w:val="00243E6F"/>
    <w:rsid w:val="00243F2D"/>
    <w:rsid w:val="0024428E"/>
    <w:rsid w:val="00245230"/>
    <w:rsid w:val="002452A0"/>
    <w:rsid w:val="00245314"/>
    <w:rsid w:val="002456C5"/>
    <w:rsid w:val="002463A6"/>
    <w:rsid w:val="00246ADB"/>
    <w:rsid w:val="00246EBF"/>
    <w:rsid w:val="00246F51"/>
    <w:rsid w:val="002473F6"/>
    <w:rsid w:val="002503B3"/>
    <w:rsid w:val="002503C1"/>
    <w:rsid w:val="002508AE"/>
    <w:rsid w:val="00250C5D"/>
    <w:rsid w:val="00250DE0"/>
    <w:rsid w:val="00251174"/>
    <w:rsid w:val="002512B7"/>
    <w:rsid w:val="0025144E"/>
    <w:rsid w:val="002517A5"/>
    <w:rsid w:val="0025191A"/>
    <w:rsid w:val="00251D60"/>
    <w:rsid w:val="00251E38"/>
    <w:rsid w:val="00251F6C"/>
    <w:rsid w:val="00251FB6"/>
    <w:rsid w:val="0025222B"/>
    <w:rsid w:val="00252292"/>
    <w:rsid w:val="0025249C"/>
    <w:rsid w:val="002526C4"/>
    <w:rsid w:val="002527E8"/>
    <w:rsid w:val="00252C80"/>
    <w:rsid w:val="00252E47"/>
    <w:rsid w:val="00253057"/>
    <w:rsid w:val="0025383F"/>
    <w:rsid w:val="002539ED"/>
    <w:rsid w:val="00253F31"/>
    <w:rsid w:val="00254139"/>
    <w:rsid w:val="0025440D"/>
    <w:rsid w:val="0025450E"/>
    <w:rsid w:val="0025458D"/>
    <w:rsid w:val="00254AA7"/>
    <w:rsid w:val="00254B22"/>
    <w:rsid w:val="00254B9C"/>
    <w:rsid w:val="00255152"/>
    <w:rsid w:val="0025554E"/>
    <w:rsid w:val="00255912"/>
    <w:rsid w:val="00255A92"/>
    <w:rsid w:val="00255B54"/>
    <w:rsid w:val="00256154"/>
    <w:rsid w:val="00256646"/>
    <w:rsid w:val="002568D0"/>
    <w:rsid w:val="00256A9C"/>
    <w:rsid w:val="00256D6C"/>
    <w:rsid w:val="00256F55"/>
    <w:rsid w:val="0025717A"/>
    <w:rsid w:val="002573A0"/>
    <w:rsid w:val="00257747"/>
    <w:rsid w:val="00257A64"/>
    <w:rsid w:val="002604AE"/>
    <w:rsid w:val="0026077D"/>
    <w:rsid w:val="00260919"/>
    <w:rsid w:val="00260922"/>
    <w:rsid w:val="00260A93"/>
    <w:rsid w:val="00260B70"/>
    <w:rsid w:val="00260B7B"/>
    <w:rsid w:val="00260C49"/>
    <w:rsid w:val="00260C74"/>
    <w:rsid w:val="00260D78"/>
    <w:rsid w:val="00260DDA"/>
    <w:rsid w:val="002610BF"/>
    <w:rsid w:val="00261822"/>
    <w:rsid w:val="00261C18"/>
    <w:rsid w:val="00261F82"/>
    <w:rsid w:val="00261FA3"/>
    <w:rsid w:val="00262241"/>
    <w:rsid w:val="00262BEE"/>
    <w:rsid w:val="00263402"/>
    <w:rsid w:val="00263490"/>
    <w:rsid w:val="002638F4"/>
    <w:rsid w:val="0026394D"/>
    <w:rsid w:val="00263A76"/>
    <w:rsid w:val="00263B99"/>
    <w:rsid w:val="0026431E"/>
    <w:rsid w:val="002644A0"/>
    <w:rsid w:val="00264810"/>
    <w:rsid w:val="00264A36"/>
    <w:rsid w:val="00264EE0"/>
    <w:rsid w:val="00265142"/>
    <w:rsid w:val="00265586"/>
    <w:rsid w:val="0026574C"/>
    <w:rsid w:val="0026684D"/>
    <w:rsid w:val="00266DAB"/>
    <w:rsid w:val="00266F69"/>
    <w:rsid w:val="002672B6"/>
    <w:rsid w:val="00267578"/>
    <w:rsid w:val="00267867"/>
    <w:rsid w:val="00267AE3"/>
    <w:rsid w:val="00267BDE"/>
    <w:rsid w:val="00267D58"/>
    <w:rsid w:val="002706DA"/>
    <w:rsid w:val="002709A4"/>
    <w:rsid w:val="00270B4A"/>
    <w:rsid w:val="00270D13"/>
    <w:rsid w:val="00271030"/>
    <w:rsid w:val="00271109"/>
    <w:rsid w:val="002711C8"/>
    <w:rsid w:val="0027160C"/>
    <w:rsid w:val="00271DE3"/>
    <w:rsid w:val="00271E19"/>
    <w:rsid w:val="002724CA"/>
    <w:rsid w:val="002726F8"/>
    <w:rsid w:val="00272B4B"/>
    <w:rsid w:val="00272E71"/>
    <w:rsid w:val="00273394"/>
    <w:rsid w:val="0027353D"/>
    <w:rsid w:val="0027360A"/>
    <w:rsid w:val="00273C90"/>
    <w:rsid w:val="002743C4"/>
    <w:rsid w:val="00274557"/>
    <w:rsid w:val="002745C4"/>
    <w:rsid w:val="00274691"/>
    <w:rsid w:val="00274862"/>
    <w:rsid w:val="00274959"/>
    <w:rsid w:val="00274B3E"/>
    <w:rsid w:val="002750C1"/>
    <w:rsid w:val="002751B2"/>
    <w:rsid w:val="002751D1"/>
    <w:rsid w:val="00275209"/>
    <w:rsid w:val="0027531C"/>
    <w:rsid w:val="00275399"/>
    <w:rsid w:val="002755C0"/>
    <w:rsid w:val="002755D6"/>
    <w:rsid w:val="00275C59"/>
    <w:rsid w:val="00275F2E"/>
    <w:rsid w:val="00275F7B"/>
    <w:rsid w:val="00275F81"/>
    <w:rsid w:val="0027623B"/>
    <w:rsid w:val="00276243"/>
    <w:rsid w:val="00276386"/>
    <w:rsid w:val="00276936"/>
    <w:rsid w:val="002769A6"/>
    <w:rsid w:val="00276A2C"/>
    <w:rsid w:val="00276D1B"/>
    <w:rsid w:val="00276D61"/>
    <w:rsid w:val="00276EC2"/>
    <w:rsid w:val="0028028C"/>
    <w:rsid w:val="002803A2"/>
    <w:rsid w:val="002804CA"/>
    <w:rsid w:val="0028078B"/>
    <w:rsid w:val="00280868"/>
    <w:rsid w:val="00280CEC"/>
    <w:rsid w:val="0028122F"/>
    <w:rsid w:val="002812B0"/>
    <w:rsid w:val="0028138F"/>
    <w:rsid w:val="00281E62"/>
    <w:rsid w:val="0028223C"/>
    <w:rsid w:val="002822BE"/>
    <w:rsid w:val="0028249E"/>
    <w:rsid w:val="00282C64"/>
    <w:rsid w:val="00282CA1"/>
    <w:rsid w:val="002832BC"/>
    <w:rsid w:val="00283688"/>
    <w:rsid w:val="00283731"/>
    <w:rsid w:val="00283A49"/>
    <w:rsid w:val="00283ED3"/>
    <w:rsid w:val="00283F82"/>
    <w:rsid w:val="00284340"/>
    <w:rsid w:val="002844A7"/>
    <w:rsid w:val="00284666"/>
    <w:rsid w:val="00284BE7"/>
    <w:rsid w:val="002850B6"/>
    <w:rsid w:val="00285A0B"/>
    <w:rsid w:val="0028634B"/>
    <w:rsid w:val="002863E6"/>
    <w:rsid w:val="002865B3"/>
    <w:rsid w:val="00286921"/>
    <w:rsid w:val="00286AA4"/>
    <w:rsid w:val="00286DC7"/>
    <w:rsid w:val="00286F0F"/>
    <w:rsid w:val="00286F99"/>
    <w:rsid w:val="00286FC7"/>
    <w:rsid w:val="00287530"/>
    <w:rsid w:val="00287AFA"/>
    <w:rsid w:val="00287E78"/>
    <w:rsid w:val="00287E9B"/>
    <w:rsid w:val="00287EDE"/>
    <w:rsid w:val="00290654"/>
    <w:rsid w:val="00290676"/>
    <w:rsid w:val="00290777"/>
    <w:rsid w:val="00290849"/>
    <w:rsid w:val="002913FE"/>
    <w:rsid w:val="00291462"/>
    <w:rsid w:val="00291572"/>
    <w:rsid w:val="0029182E"/>
    <w:rsid w:val="00291990"/>
    <w:rsid w:val="00291BB8"/>
    <w:rsid w:val="00291C4E"/>
    <w:rsid w:val="00291C9E"/>
    <w:rsid w:val="00292236"/>
    <w:rsid w:val="0029233C"/>
    <w:rsid w:val="00292744"/>
    <w:rsid w:val="00292FA8"/>
    <w:rsid w:val="00292FCB"/>
    <w:rsid w:val="00293043"/>
    <w:rsid w:val="00293301"/>
    <w:rsid w:val="0029337E"/>
    <w:rsid w:val="002933B1"/>
    <w:rsid w:val="002935DA"/>
    <w:rsid w:val="002936A7"/>
    <w:rsid w:val="0029379C"/>
    <w:rsid w:val="00293855"/>
    <w:rsid w:val="00293B03"/>
    <w:rsid w:val="00294437"/>
    <w:rsid w:val="00294E6A"/>
    <w:rsid w:val="00294FCA"/>
    <w:rsid w:val="00295196"/>
    <w:rsid w:val="00295A83"/>
    <w:rsid w:val="00295B0F"/>
    <w:rsid w:val="00296425"/>
    <w:rsid w:val="00296562"/>
    <w:rsid w:val="00296A79"/>
    <w:rsid w:val="00296BC9"/>
    <w:rsid w:val="00296D64"/>
    <w:rsid w:val="00296E59"/>
    <w:rsid w:val="002970DB"/>
    <w:rsid w:val="00297737"/>
    <w:rsid w:val="00297815"/>
    <w:rsid w:val="00297C53"/>
    <w:rsid w:val="002A045B"/>
    <w:rsid w:val="002A04B4"/>
    <w:rsid w:val="002A0ED3"/>
    <w:rsid w:val="002A1014"/>
    <w:rsid w:val="002A12A3"/>
    <w:rsid w:val="002A145B"/>
    <w:rsid w:val="002A18BE"/>
    <w:rsid w:val="002A1C0C"/>
    <w:rsid w:val="002A2D19"/>
    <w:rsid w:val="002A2FBE"/>
    <w:rsid w:val="002A3562"/>
    <w:rsid w:val="002A36F6"/>
    <w:rsid w:val="002A38F9"/>
    <w:rsid w:val="002A3A91"/>
    <w:rsid w:val="002A4084"/>
    <w:rsid w:val="002A43E9"/>
    <w:rsid w:val="002A46F7"/>
    <w:rsid w:val="002A4856"/>
    <w:rsid w:val="002A4AD6"/>
    <w:rsid w:val="002A4CD3"/>
    <w:rsid w:val="002A4FE3"/>
    <w:rsid w:val="002A519B"/>
    <w:rsid w:val="002A54DF"/>
    <w:rsid w:val="002A5DBD"/>
    <w:rsid w:val="002A5DE1"/>
    <w:rsid w:val="002A5E1C"/>
    <w:rsid w:val="002A5EB8"/>
    <w:rsid w:val="002A7196"/>
    <w:rsid w:val="002A76AE"/>
    <w:rsid w:val="002A79E1"/>
    <w:rsid w:val="002A7A6F"/>
    <w:rsid w:val="002A7EA6"/>
    <w:rsid w:val="002B003A"/>
    <w:rsid w:val="002B00CE"/>
    <w:rsid w:val="002B04B6"/>
    <w:rsid w:val="002B04B7"/>
    <w:rsid w:val="002B050C"/>
    <w:rsid w:val="002B069F"/>
    <w:rsid w:val="002B07A1"/>
    <w:rsid w:val="002B09F9"/>
    <w:rsid w:val="002B0AAC"/>
    <w:rsid w:val="002B0B08"/>
    <w:rsid w:val="002B0E63"/>
    <w:rsid w:val="002B11F5"/>
    <w:rsid w:val="002B1384"/>
    <w:rsid w:val="002B1D6F"/>
    <w:rsid w:val="002B2830"/>
    <w:rsid w:val="002B2AD1"/>
    <w:rsid w:val="002B2B22"/>
    <w:rsid w:val="002B3060"/>
    <w:rsid w:val="002B3117"/>
    <w:rsid w:val="002B3245"/>
    <w:rsid w:val="002B3326"/>
    <w:rsid w:val="002B3681"/>
    <w:rsid w:val="002B37C6"/>
    <w:rsid w:val="002B395A"/>
    <w:rsid w:val="002B3E44"/>
    <w:rsid w:val="002B4492"/>
    <w:rsid w:val="002B4957"/>
    <w:rsid w:val="002B5158"/>
    <w:rsid w:val="002B53B1"/>
    <w:rsid w:val="002B53D3"/>
    <w:rsid w:val="002B5541"/>
    <w:rsid w:val="002B5C5E"/>
    <w:rsid w:val="002B5F20"/>
    <w:rsid w:val="002B5F44"/>
    <w:rsid w:val="002B666C"/>
    <w:rsid w:val="002B667C"/>
    <w:rsid w:val="002B6A3C"/>
    <w:rsid w:val="002B6C20"/>
    <w:rsid w:val="002B6E7C"/>
    <w:rsid w:val="002B6F02"/>
    <w:rsid w:val="002B707C"/>
    <w:rsid w:val="002B73CD"/>
    <w:rsid w:val="002B775E"/>
    <w:rsid w:val="002B797C"/>
    <w:rsid w:val="002C06CE"/>
    <w:rsid w:val="002C0ACD"/>
    <w:rsid w:val="002C0CA4"/>
    <w:rsid w:val="002C119B"/>
    <w:rsid w:val="002C11CA"/>
    <w:rsid w:val="002C14F2"/>
    <w:rsid w:val="002C16F2"/>
    <w:rsid w:val="002C1C2F"/>
    <w:rsid w:val="002C1F35"/>
    <w:rsid w:val="002C2ADB"/>
    <w:rsid w:val="002C2C70"/>
    <w:rsid w:val="002C3527"/>
    <w:rsid w:val="002C35BA"/>
    <w:rsid w:val="002C374C"/>
    <w:rsid w:val="002C3838"/>
    <w:rsid w:val="002C3E78"/>
    <w:rsid w:val="002C3FF8"/>
    <w:rsid w:val="002C45E8"/>
    <w:rsid w:val="002C47F9"/>
    <w:rsid w:val="002C4CC2"/>
    <w:rsid w:val="002C4D9A"/>
    <w:rsid w:val="002C4F9D"/>
    <w:rsid w:val="002C4FF3"/>
    <w:rsid w:val="002C539E"/>
    <w:rsid w:val="002C5512"/>
    <w:rsid w:val="002C5626"/>
    <w:rsid w:val="002C5937"/>
    <w:rsid w:val="002C5D2B"/>
    <w:rsid w:val="002C5DEF"/>
    <w:rsid w:val="002C61EE"/>
    <w:rsid w:val="002C6447"/>
    <w:rsid w:val="002C64C4"/>
    <w:rsid w:val="002C663F"/>
    <w:rsid w:val="002C6652"/>
    <w:rsid w:val="002C6780"/>
    <w:rsid w:val="002C67DA"/>
    <w:rsid w:val="002C6A4D"/>
    <w:rsid w:val="002C70CE"/>
    <w:rsid w:val="002C731B"/>
    <w:rsid w:val="002C768B"/>
    <w:rsid w:val="002C7D05"/>
    <w:rsid w:val="002C7F64"/>
    <w:rsid w:val="002D0355"/>
    <w:rsid w:val="002D0464"/>
    <w:rsid w:val="002D090A"/>
    <w:rsid w:val="002D0934"/>
    <w:rsid w:val="002D1123"/>
    <w:rsid w:val="002D1687"/>
    <w:rsid w:val="002D1BE7"/>
    <w:rsid w:val="002D1D12"/>
    <w:rsid w:val="002D1DD3"/>
    <w:rsid w:val="002D2670"/>
    <w:rsid w:val="002D267D"/>
    <w:rsid w:val="002D28AB"/>
    <w:rsid w:val="002D296D"/>
    <w:rsid w:val="002D2BD6"/>
    <w:rsid w:val="002D2C80"/>
    <w:rsid w:val="002D396D"/>
    <w:rsid w:val="002D3B1B"/>
    <w:rsid w:val="002D3CEB"/>
    <w:rsid w:val="002D4349"/>
    <w:rsid w:val="002D4450"/>
    <w:rsid w:val="002D44D2"/>
    <w:rsid w:val="002D453A"/>
    <w:rsid w:val="002D4D4D"/>
    <w:rsid w:val="002D506F"/>
    <w:rsid w:val="002D5097"/>
    <w:rsid w:val="002D51BD"/>
    <w:rsid w:val="002D55E4"/>
    <w:rsid w:val="002D579E"/>
    <w:rsid w:val="002D5C25"/>
    <w:rsid w:val="002D5EF2"/>
    <w:rsid w:val="002D6092"/>
    <w:rsid w:val="002D62CE"/>
    <w:rsid w:val="002D639B"/>
    <w:rsid w:val="002D6465"/>
    <w:rsid w:val="002D690D"/>
    <w:rsid w:val="002D6D17"/>
    <w:rsid w:val="002E0592"/>
    <w:rsid w:val="002E0645"/>
    <w:rsid w:val="002E0776"/>
    <w:rsid w:val="002E165F"/>
    <w:rsid w:val="002E1AC3"/>
    <w:rsid w:val="002E2048"/>
    <w:rsid w:val="002E213B"/>
    <w:rsid w:val="002E251B"/>
    <w:rsid w:val="002E2AE0"/>
    <w:rsid w:val="002E2FC7"/>
    <w:rsid w:val="002E31D2"/>
    <w:rsid w:val="002E32BA"/>
    <w:rsid w:val="002E3598"/>
    <w:rsid w:val="002E3774"/>
    <w:rsid w:val="002E40AF"/>
    <w:rsid w:val="002E415F"/>
    <w:rsid w:val="002E4A4B"/>
    <w:rsid w:val="002E4AD1"/>
    <w:rsid w:val="002E4D87"/>
    <w:rsid w:val="002E4D9E"/>
    <w:rsid w:val="002E5089"/>
    <w:rsid w:val="002E5710"/>
    <w:rsid w:val="002E579E"/>
    <w:rsid w:val="002E5B69"/>
    <w:rsid w:val="002E632C"/>
    <w:rsid w:val="002E63BE"/>
    <w:rsid w:val="002E65AC"/>
    <w:rsid w:val="002E7032"/>
    <w:rsid w:val="002E7521"/>
    <w:rsid w:val="002E7564"/>
    <w:rsid w:val="002E761D"/>
    <w:rsid w:val="002E7775"/>
    <w:rsid w:val="002E7AD2"/>
    <w:rsid w:val="002E7ADD"/>
    <w:rsid w:val="002E7D4C"/>
    <w:rsid w:val="002E7F57"/>
    <w:rsid w:val="002F006F"/>
    <w:rsid w:val="002F007A"/>
    <w:rsid w:val="002F0209"/>
    <w:rsid w:val="002F0449"/>
    <w:rsid w:val="002F04D1"/>
    <w:rsid w:val="002F0671"/>
    <w:rsid w:val="002F0778"/>
    <w:rsid w:val="002F077F"/>
    <w:rsid w:val="002F081D"/>
    <w:rsid w:val="002F084F"/>
    <w:rsid w:val="002F1399"/>
    <w:rsid w:val="002F14EB"/>
    <w:rsid w:val="002F183B"/>
    <w:rsid w:val="002F1893"/>
    <w:rsid w:val="002F18BC"/>
    <w:rsid w:val="002F1DA9"/>
    <w:rsid w:val="002F1FD2"/>
    <w:rsid w:val="002F22E3"/>
    <w:rsid w:val="002F236D"/>
    <w:rsid w:val="002F311F"/>
    <w:rsid w:val="002F316F"/>
    <w:rsid w:val="002F32FB"/>
    <w:rsid w:val="002F3348"/>
    <w:rsid w:val="002F348A"/>
    <w:rsid w:val="002F3CFA"/>
    <w:rsid w:val="002F40CD"/>
    <w:rsid w:val="002F417B"/>
    <w:rsid w:val="002F4310"/>
    <w:rsid w:val="002F4699"/>
    <w:rsid w:val="002F4E44"/>
    <w:rsid w:val="002F4E54"/>
    <w:rsid w:val="002F5611"/>
    <w:rsid w:val="002F592A"/>
    <w:rsid w:val="002F5E01"/>
    <w:rsid w:val="002F5F5E"/>
    <w:rsid w:val="002F5F85"/>
    <w:rsid w:val="002F6016"/>
    <w:rsid w:val="002F6058"/>
    <w:rsid w:val="002F67FE"/>
    <w:rsid w:val="002F693F"/>
    <w:rsid w:val="002F6BED"/>
    <w:rsid w:val="002F6CD2"/>
    <w:rsid w:val="002F6E06"/>
    <w:rsid w:val="002F6E24"/>
    <w:rsid w:val="002F6E92"/>
    <w:rsid w:val="002F7115"/>
    <w:rsid w:val="002F713F"/>
    <w:rsid w:val="002F7A26"/>
    <w:rsid w:val="002F7C36"/>
    <w:rsid w:val="003008CC"/>
    <w:rsid w:val="0030093B"/>
    <w:rsid w:val="00300997"/>
    <w:rsid w:val="00300EFF"/>
    <w:rsid w:val="00300F86"/>
    <w:rsid w:val="00301032"/>
    <w:rsid w:val="00301700"/>
    <w:rsid w:val="00301763"/>
    <w:rsid w:val="00301A2F"/>
    <w:rsid w:val="00301BAF"/>
    <w:rsid w:val="00301C24"/>
    <w:rsid w:val="00301C33"/>
    <w:rsid w:val="00301CD4"/>
    <w:rsid w:val="00302153"/>
    <w:rsid w:val="00302252"/>
    <w:rsid w:val="00302844"/>
    <w:rsid w:val="00302BC4"/>
    <w:rsid w:val="00302D06"/>
    <w:rsid w:val="00302DE0"/>
    <w:rsid w:val="00303939"/>
    <w:rsid w:val="00303C60"/>
    <w:rsid w:val="003040E6"/>
    <w:rsid w:val="00304393"/>
    <w:rsid w:val="00304467"/>
    <w:rsid w:val="003049BE"/>
    <w:rsid w:val="00304A01"/>
    <w:rsid w:val="00304A21"/>
    <w:rsid w:val="00304C05"/>
    <w:rsid w:val="00304DF4"/>
    <w:rsid w:val="00304FA9"/>
    <w:rsid w:val="00304FB8"/>
    <w:rsid w:val="00304FCF"/>
    <w:rsid w:val="00305135"/>
    <w:rsid w:val="00305327"/>
    <w:rsid w:val="00305A47"/>
    <w:rsid w:val="00305DD7"/>
    <w:rsid w:val="00306106"/>
    <w:rsid w:val="00306A17"/>
    <w:rsid w:val="00306C3C"/>
    <w:rsid w:val="00306D39"/>
    <w:rsid w:val="00306E55"/>
    <w:rsid w:val="00307299"/>
    <w:rsid w:val="00307515"/>
    <w:rsid w:val="003077E4"/>
    <w:rsid w:val="00307B4E"/>
    <w:rsid w:val="00307C59"/>
    <w:rsid w:val="0031044F"/>
    <w:rsid w:val="00310B23"/>
    <w:rsid w:val="00310B9B"/>
    <w:rsid w:val="00310C3F"/>
    <w:rsid w:val="00310E8B"/>
    <w:rsid w:val="00311283"/>
    <w:rsid w:val="00311473"/>
    <w:rsid w:val="00311F05"/>
    <w:rsid w:val="003121E2"/>
    <w:rsid w:val="00312903"/>
    <w:rsid w:val="00312DE8"/>
    <w:rsid w:val="00313065"/>
    <w:rsid w:val="003131A8"/>
    <w:rsid w:val="00313226"/>
    <w:rsid w:val="00313F04"/>
    <w:rsid w:val="00313F1F"/>
    <w:rsid w:val="0031404E"/>
    <w:rsid w:val="00314072"/>
    <w:rsid w:val="003140D2"/>
    <w:rsid w:val="003141CB"/>
    <w:rsid w:val="00314B03"/>
    <w:rsid w:val="00315855"/>
    <w:rsid w:val="00315861"/>
    <w:rsid w:val="003158DF"/>
    <w:rsid w:val="00315F89"/>
    <w:rsid w:val="0031629D"/>
    <w:rsid w:val="00316642"/>
    <w:rsid w:val="00316B04"/>
    <w:rsid w:val="00316BC3"/>
    <w:rsid w:val="0031740E"/>
    <w:rsid w:val="003174B4"/>
    <w:rsid w:val="003175E3"/>
    <w:rsid w:val="00317714"/>
    <w:rsid w:val="00317735"/>
    <w:rsid w:val="003178BE"/>
    <w:rsid w:val="00317F4A"/>
    <w:rsid w:val="0032013D"/>
    <w:rsid w:val="00320A17"/>
    <w:rsid w:val="00321195"/>
    <w:rsid w:val="00321266"/>
    <w:rsid w:val="00321657"/>
    <w:rsid w:val="003217D8"/>
    <w:rsid w:val="003218F4"/>
    <w:rsid w:val="00321D8A"/>
    <w:rsid w:val="00321F2F"/>
    <w:rsid w:val="003221AA"/>
    <w:rsid w:val="00322365"/>
    <w:rsid w:val="00322439"/>
    <w:rsid w:val="00322DA9"/>
    <w:rsid w:val="00322EEE"/>
    <w:rsid w:val="00323031"/>
    <w:rsid w:val="00323164"/>
    <w:rsid w:val="0032325C"/>
    <w:rsid w:val="00323426"/>
    <w:rsid w:val="003234F1"/>
    <w:rsid w:val="003236C8"/>
    <w:rsid w:val="00323946"/>
    <w:rsid w:val="00323A0B"/>
    <w:rsid w:val="00323AF6"/>
    <w:rsid w:val="00323B73"/>
    <w:rsid w:val="00323D6F"/>
    <w:rsid w:val="003242E3"/>
    <w:rsid w:val="00324557"/>
    <w:rsid w:val="0032492C"/>
    <w:rsid w:val="00324A71"/>
    <w:rsid w:val="003250CA"/>
    <w:rsid w:val="003251C2"/>
    <w:rsid w:val="00325CA3"/>
    <w:rsid w:val="00325FA0"/>
    <w:rsid w:val="0032610D"/>
    <w:rsid w:val="00326162"/>
    <w:rsid w:val="0032675F"/>
    <w:rsid w:val="003268C0"/>
    <w:rsid w:val="003269C8"/>
    <w:rsid w:val="003269F1"/>
    <w:rsid w:val="00326CA7"/>
    <w:rsid w:val="00326DB9"/>
    <w:rsid w:val="00326F1C"/>
    <w:rsid w:val="00326FA4"/>
    <w:rsid w:val="00327162"/>
    <w:rsid w:val="00327A10"/>
    <w:rsid w:val="0033037C"/>
    <w:rsid w:val="00330A0A"/>
    <w:rsid w:val="003312DC"/>
    <w:rsid w:val="00331504"/>
    <w:rsid w:val="00331552"/>
    <w:rsid w:val="00331959"/>
    <w:rsid w:val="00331C61"/>
    <w:rsid w:val="00331E67"/>
    <w:rsid w:val="00331ECC"/>
    <w:rsid w:val="003327DD"/>
    <w:rsid w:val="003328A9"/>
    <w:rsid w:val="00332AC5"/>
    <w:rsid w:val="00332B8F"/>
    <w:rsid w:val="00332E3C"/>
    <w:rsid w:val="00333116"/>
    <w:rsid w:val="00333430"/>
    <w:rsid w:val="00333599"/>
    <w:rsid w:val="003338D7"/>
    <w:rsid w:val="0033392D"/>
    <w:rsid w:val="003345FE"/>
    <w:rsid w:val="00334722"/>
    <w:rsid w:val="003348CD"/>
    <w:rsid w:val="003348E4"/>
    <w:rsid w:val="003349C4"/>
    <w:rsid w:val="00334B33"/>
    <w:rsid w:val="00334DC4"/>
    <w:rsid w:val="00334F03"/>
    <w:rsid w:val="003350FC"/>
    <w:rsid w:val="003351A4"/>
    <w:rsid w:val="00335591"/>
    <w:rsid w:val="00336127"/>
    <w:rsid w:val="0033655D"/>
    <w:rsid w:val="00336A5C"/>
    <w:rsid w:val="00336C4B"/>
    <w:rsid w:val="00336CAE"/>
    <w:rsid w:val="00337138"/>
    <w:rsid w:val="003371B5"/>
    <w:rsid w:val="003371C1"/>
    <w:rsid w:val="0033730F"/>
    <w:rsid w:val="003377D3"/>
    <w:rsid w:val="00337A01"/>
    <w:rsid w:val="00337BAF"/>
    <w:rsid w:val="00337F28"/>
    <w:rsid w:val="003402EF"/>
    <w:rsid w:val="00340341"/>
    <w:rsid w:val="003403C8"/>
    <w:rsid w:val="0034078E"/>
    <w:rsid w:val="003407D5"/>
    <w:rsid w:val="003417CB"/>
    <w:rsid w:val="00341917"/>
    <w:rsid w:val="00341B7D"/>
    <w:rsid w:val="00341F1F"/>
    <w:rsid w:val="00342067"/>
    <w:rsid w:val="00342329"/>
    <w:rsid w:val="00342846"/>
    <w:rsid w:val="00342A09"/>
    <w:rsid w:val="00342E43"/>
    <w:rsid w:val="00343216"/>
    <w:rsid w:val="003435A9"/>
    <w:rsid w:val="00343C48"/>
    <w:rsid w:val="00343F11"/>
    <w:rsid w:val="00344074"/>
    <w:rsid w:val="003440D5"/>
    <w:rsid w:val="003442A3"/>
    <w:rsid w:val="00344423"/>
    <w:rsid w:val="00344649"/>
    <w:rsid w:val="00344B53"/>
    <w:rsid w:val="00344C3A"/>
    <w:rsid w:val="00345496"/>
    <w:rsid w:val="00345BCF"/>
    <w:rsid w:val="00345F06"/>
    <w:rsid w:val="003460AF"/>
    <w:rsid w:val="003464A4"/>
    <w:rsid w:val="003466F9"/>
    <w:rsid w:val="00346A1A"/>
    <w:rsid w:val="00346C07"/>
    <w:rsid w:val="003470C6"/>
    <w:rsid w:val="003471CD"/>
    <w:rsid w:val="003472B7"/>
    <w:rsid w:val="0034730D"/>
    <w:rsid w:val="0034756C"/>
    <w:rsid w:val="003476E3"/>
    <w:rsid w:val="00347781"/>
    <w:rsid w:val="00347B2B"/>
    <w:rsid w:val="00350092"/>
    <w:rsid w:val="00350108"/>
    <w:rsid w:val="00350515"/>
    <w:rsid w:val="003505E9"/>
    <w:rsid w:val="00350AA3"/>
    <w:rsid w:val="00350B7C"/>
    <w:rsid w:val="00351401"/>
    <w:rsid w:val="00351629"/>
    <w:rsid w:val="00351836"/>
    <w:rsid w:val="00351898"/>
    <w:rsid w:val="003519AD"/>
    <w:rsid w:val="00351ADF"/>
    <w:rsid w:val="00351B0F"/>
    <w:rsid w:val="00351B88"/>
    <w:rsid w:val="00351DB7"/>
    <w:rsid w:val="00351E0E"/>
    <w:rsid w:val="00351EA6"/>
    <w:rsid w:val="00351F94"/>
    <w:rsid w:val="00352243"/>
    <w:rsid w:val="00352349"/>
    <w:rsid w:val="003525DC"/>
    <w:rsid w:val="00352BBF"/>
    <w:rsid w:val="00353176"/>
    <w:rsid w:val="00353A8D"/>
    <w:rsid w:val="00353CAC"/>
    <w:rsid w:val="00353F82"/>
    <w:rsid w:val="00354246"/>
    <w:rsid w:val="0035439E"/>
    <w:rsid w:val="00354D01"/>
    <w:rsid w:val="00354D98"/>
    <w:rsid w:val="00354EB4"/>
    <w:rsid w:val="003553CB"/>
    <w:rsid w:val="00355616"/>
    <w:rsid w:val="00355840"/>
    <w:rsid w:val="00355ACF"/>
    <w:rsid w:val="00355D91"/>
    <w:rsid w:val="00356569"/>
    <w:rsid w:val="0035665F"/>
    <w:rsid w:val="003566E4"/>
    <w:rsid w:val="00356A66"/>
    <w:rsid w:val="00356D29"/>
    <w:rsid w:val="003571C2"/>
    <w:rsid w:val="00357577"/>
    <w:rsid w:val="003576E2"/>
    <w:rsid w:val="003602A7"/>
    <w:rsid w:val="003607DC"/>
    <w:rsid w:val="00360E61"/>
    <w:rsid w:val="003615BE"/>
    <w:rsid w:val="00361C58"/>
    <w:rsid w:val="003622D4"/>
    <w:rsid w:val="00362F41"/>
    <w:rsid w:val="00363578"/>
    <w:rsid w:val="003636F8"/>
    <w:rsid w:val="00363AE0"/>
    <w:rsid w:val="00363DA3"/>
    <w:rsid w:val="00363FA8"/>
    <w:rsid w:val="003640A7"/>
    <w:rsid w:val="003652B4"/>
    <w:rsid w:val="00365447"/>
    <w:rsid w:val="00365629"/>
    <w:rsid w:val="0036568A"/>
    <w:rsid w:val="00365E19"/>
    <w:rsid w:val="00365E1F"/>
    <w:rsid w:val="00365F83"/>
    <w:rsid w:val="00365FB1"/>
    <w:rsid w:val="003661C5"/>
    <w:rsid w:val="003663F3"/>
    <w:rsid w:val="00366AF0"/>
    <w:rsid w:val="003671BC"/>
    <w:rsid w:val="00367615"/>
    <w:rsid w:val="0036794E"/>
    <w:rsid w:val="0036795D"/>
    <w:rsid w:val="00367A9C"/>
    <w:rsid w:val="00367F64"/>
    <w:rsid w:val="00370589"/>
    <w:rsid w:val="003706DA"/>
    <w:rsid w:val="00370841"/>
    <w:rsid w:val="00370978"/>
    <w:rsid w:val="00370E16"/>
    <w:rsid w:val="003711BF"/>
    <w:rsid w:val="0037123E"/>
    <w:rsid w:val="00371310"/>
    <w:rsid w:val="00371A24"/>
    <w:rsid w:val="00371C2E"/>
    <w:rsid w:val="00371C6C"/>
    <w:rsid w:val="00371D65"/>
    <w:rsid w:val="00371F41"/>
    <w:rsid w:val="003723E0"/>
    <w:rsid w:val="00372835"/>
    <w:rsid w:val="00373BB8"/>
    <w:rsid w:val="00373C6F"/>
    <w:rsid w:val="00373C82"/>
    <w:rsid w:val="00373E82"/>
    <w:rsid w:val="00373FBD"/>
    <w:rsid w:val="00374953"/>
    <w:rsid w:val="00374963"/>
    <w:rsid w:val="00374A09"/>
    <w:rsid w:val="00375745"/>
    <w:rsid w:val="00375841"/>
    <w:rsid w:val="00375A7B"/>
    <w:rsid w:val="00375E71"/>
    <w:rsid w:val="00375F73"/>
    <w:rsid w:val="003763B3"/>
    <w:rsid w:val="00376964"/>
    <w:rsid w:val="00376C95"/>
    <w:rsid w:val="00376D6B"/>
    <w:rsid w:val="00376E0B"/>
    <w:rsid w:val="0037716C"/>
    <w:rsid w:val="003771F2"/>
    <w:rsid w:val="0037798D"/>
    <w:rsid w:val="00377A09"/>
    <w:rsid w:val="00377CAF"/>
    <w:rsid w:val="00377DF5"/>
    <w:rsid w:val="00377DFB"/>
    <w:rsid w:val="003801B8"/>
    <w:rsid w:val="0038087B"/>
    <w:rsid w:val="003809F2"/>
    <w:rsid w:val="003811F6"/>
    <w:rsid w:val="0038134A"/>
    <w:rsid w:val="0038146C"/>
    <w:rsid w:val="0038198F"/>
    <w:rsid w:val="0038199B"/>
    <w:rsid w:val="00381A0F"/>
    <w:rsid w:val="00381C33"/>
    <w:rsid w:val="00381E35"/>
    <w:rsid w:val="00381EE0"/>
    <w:rsid w:val="00382149"/>
    <w:rsid w:val="003821F2"/>
    <w:rsid w:val="003823D2"/>
    <w:rsid w:val="00382609"/>
    <w:rsid w:val="00382750"/>
    <w:rsid w:val="00382FEC"/>
    <w:rsid w:val="00382FEF"/>
    <w:rsid w:val="003832C3"/>
    <w:rsid w:val="003836E0"/>
    <w:rsid w:val="00383C40"/>
    <w:rsid w:val="00383E49"/>
    <w:rsid w:val="00383F04"/>
    <w:rsid w:val="0038435B"/>
    <w:rsid w:val="00384CF0"/>
    <w:rsid w:val="00385051"/>
    <w:rsid w:val="00385111"/>
    <w:rsid w:val="003852A7"/>
    <w:rsid w:val="0038531C"/>
    <w:rsid w:val="0038548A"/>
    <w:rsid w:val="003858C5"/>
    <w:rsid w:val="003859BB"/>
    <w:rsid w:val="00385B7D"/>
    <w:rsid w:val="0038608B"/>
    <w:rsid w:val="00386124"/>
    <w:rsid w:val="0038638E"/>
    <w:rsid w:val="003864D5"/>
    <w:rsid w:val="00387252"/>
    <w:rsid w:val="0038735A"/>
    <w:rsid w:val="0038793F"/>
    <w:rsid w:val="00387C36"/>
    <w:rsid w:val="00390034"/>
    <w:rsid w:val="00390567"/>
    <w:rsid w:val="003906F4"/>
    <w:rsid w:val="00390891"/>
    <w:rsid w:val="003908F1"/>
    <w:rsid w:val="003913E5"/>
    <w:rsid w:val="00391546"/>
    <w:rsid w:val="00392016"/>
    <w:rsid w:val="00392032"/>
    <w:rsid w:val="003923CF"/>
    <w:rsid w:val="0039241F"/>
    <w:rsid w:val="00392698"/>
    <w:rsid w:val="00392AFA"/>
    <w:rsid w:val="00392B2E"/>
    <w:rsid w:val="00392EFA"/>
    <w:rsid w:val="00392F7F"/>
    <w:rsid w:val="00392FBC"/>
    <w:rsid w:val="003930AC"/>
    <w:rsid w:val="00393607"/>
    <w:rsid w:val="00393797"/>
    <w:rsid w:val="00393C7B"/>
    <w:rsid w:val="00393D62"/>
    <w:rsid w:val="00394083"/>
    <w:rsid w:val="0039476B"/>
    <w:rsid w:val="003949E4"/>
    <w:rsid w:val="00394BF5"/>
    <w:rsid w:val="00394F40"/>
    <w:rsid w:val="00395ED1"/>
    <w:rsid w:val="00396066"/>
    <w:rsid w:val="003962E1"/>
    <w:rsid w:val="00396411"/>
    <w:rsid w:val="0039651F"/>
    <w:rsid w:val="003966F6"/>
    <w:rsid w:val="0039677D"/>
    <w:rsid w:val="0039687D"/>
    <w:rsid w:val="00396AE0"/>
    <w:rsid w:val="00396B71"/>
    <w:rsid w:val="00396E7E"/>
    <w:rsid w:val="00396EB5"/>
    <w:rsid w:val="003971F5"/>
    <w:rsid w:val="0039723D"/>
    <w:rsid w:val="00397B00"/>
    <w:rsid w:val="003A0263"/>
    <w:rsid w:val="003A0660"/>
    <w:rsid w:val="003A0D52"/>
    <w:rsid w:val="003A10B3"/>
    <w:rsid w:val="003A10E5"/>
    <w:rsid w:val="003A1513"/>
    <w:rsid w:val="003A16CC"/>
    <w:rsid w:val="003A1A50"/>
    <w:rsid w:val="003A1D55"/>
    <w:rsid w:val="003A23A8"/>
    <w:rsid w:val="003A24CC"/>
    <w:rsid w:val="003A2557"/>
    <w:rsid w:val="003A2A77"/>
    <w:rsid w:val="003A2BB2"/>
    <w:rsid w:val="003A2ED1"/>
    <w:rsid w:val="003A350A"/>
    <w:rsid w:val="003A35B6"/>
    <w:rsid w:val="003A39D5"/>
    <w:rsid w:val="003A3CB7"/>
    <w:rsid w:val="003A3E6A"/>
    <w:rsid w:val="003A425B"/>
    <w:rsid w:val="003A4691"/>
    <w:rsid w:val="003A48BA"/>
    <w:rsid w:val="003A4C47"/>
    <w:rsid w:val="003A4F3D"/>
    <w:rsid w:val="003A51C9"/>
    <w:rsid w:val="003A5BB6"/>
    <w:rsid w:val="003A5E90"/>
    <w:rsid w:val="003A5EE5"/>
    <w:rsid w:val="003A6396"/>
    <w:rsid w:val="003A6724"/>
    <w:rsid w:val="003A6DB7"/>
    <w:rsid w:val="003A6E1A"/>
    <w:rsid w:val="003A6F22"/>
    <w:rsid w:val="003A7065"/>
    <w:rsid w:val="003A70CD"/>
    <w:rsid w:val="003A7299"/>
    <w:rsid w:val="003A7D81"/>
    <w:rsid w:val="003A7E49"/>
    <w:rsid w:val="003B0097"/>
    <w:rsid w:val="003B0780"/>
    <w:rsid w:val="003B0856"/>
    <w:rsid w:val="003B0A91"/>
    <w:rsid w:val="003B0BA1"/>
    <w:rsid w:val="003B0C91"/>
    <w:rsid w:val="003B0E80"/>
    <w:rsid w:val="003B115C"/>
    <w:rsid w:val="003B197E"/>
    <w:rsid w:val="003B1EC3"/>
    <w:rsid w:val="003B2432"/>
    <w:rsid w:val="003B29E0"/>
    <w:rsid w:val="003B2D42"/>
    <w:rsid w:val="003B2DB3"/>
    <w:rsid w:val="003B3170"/>
    <w:rsid w:val="003B3171"/>
    <w:rsid w:val="003B321E"/>
    <w:rsid w:val="003B3694"/>
    <w:rsid w:val="003B39B3"/>
    <w:rsid w:val="003B3D01"/>
    <w:rsid w:val="003B4544"/>
    <w:rsid w:val="003B4599"/>
    <w:rsid w:val="003B499A"/>
    <w:rsid w:val="003B501A"/>
    <w:rsid w:val="003B5083"/>
    <w:rsid w:val="003B5565"/>
    <w:rsid w:val="003B56EF"/>
    <w:rsid w:val="003B59A1"/>
    <w:rsid w:val="003B5E8F"/>
    <w:rsid w:val="003B61B7"/>
    <w:rsid w:val="003B6441"/>
    <w:rsid w:val="003B6639"/>
    <w:rsid w:val="003B680E"/>
    <w:rsid w:val="003B77AE"/>
    <w:rsid w:val="003B7A04"/>
    <w:rsid w:val="003B7A8F"/>
    <w:rsid w:val="003B7D7F"/>
    <w:rsid w:val="003B7E96"/>
    <w:rsid w:val="003C0768"/>
    <w:rsid w:val="003C1015"/>
    <w:rsid w:val="003C14B5"/>
    <w:rsid w:val="003C14BB"/>
    <w:rsid w:val="003C15AF"/>
    <w:rsid w:val="003C1766"/>
    <w:rsid w:val="003C1825"/>
    <w:rsid w:val="003C1AE2"/>
    <w:rsid w:val="003C1CBC"/>
    <w:rsid w:val="003C1F6E"/>
    <w:rsid w:val="003C2402"/>
    <w:rsid w:val="003C273C"/>
    <w:rsid w:val="003C27EB"/>
    <w:rsid w:val="003C2800"/>
    <w:rsid w:val="003C2CFC"/>
    <w:rsid w:val="003C31B8"/>
    <w:rsid w:val="003C37B3"/>
    <w:rsid w:val="003C3A5D"/>
    <w:rsid w:val="003C3AFB"/>
    <w:rsid w:val="003C42A0"/>
    <w:rsid w:val="003C47AD"/>
    <w:rsid w:val="003C4886"/>
    <w:rsid w:val="003C4899"/>
    <w:rsid w:val="003C4D13"/>
    <w:rsid w:val="003C4E7C"/>
    <w:rsid w:val="003C4F8F"/>
    <w:rsid w:val="003C53FB"/>
    <w:rsid w:val="003C5644"/>
    <w:rsid w:val="003C56D9"/>
    <w:rsid w:val="003C5A20"/>
    <w:rsid w:val="003C66AC"/>
    <w:rsid w:val="003C68B6"/>
    <w:rsid w:val="003C6B59"/>
    <w:rsid w:val="003C6D58"/>
    <w:rsid w:val="003C72A8"/>
    <w:rsid w:val="003C76EE"/>
    <w:rsid w:val="003C7BAF"/>
    <w:rsid w:val="003C7D49"/>
    <w:rsid w:val="003D038A"/>
    <w:rsid w:val="003D043C"/>
    <w:rsid w:val="003D056A"/>
    <w:rsid w:val="003D061E"/>
    <w:rsid w:val="003D073A"/>
    <w:rsid w:val="003D07F1"/>
    <w:rsid w:val="003D0942"/>
    <w:rsid w:val="003D0996"/>
    <w:rsid w:val="003D0A82"/>
    <w:rsid w:val="003D0CB8"/>
    <w:rsid w:val="003D0F51"/>
    <w:rsid w:val="003D1061"/>
    <w:rsid w:val="003D1976"/>
    <w:rsid w:val="003D24DB"/>
    <w:rsid w:val="003D26D8"/>
    <w:rsid w:val="003D28BC"/>
    <w:rsid w:val="003D299E"/>
    <w:rsid w:val="003D2B09"/>
    <w:rsid w:val="003D2C10"/>
    <w:rsid w:val="003D2C8E"/>
    <w:rsid w:val="003D2CC8"/>
    <w:rsid w:val="003D2CD7"/>
    <w:rsid w:val="003D36EE"/>
    <w:rsid w:val="003D3BBF"/>
    <w:rsid w:val="003D3BDF"/>
    <w:rsid w:val="003D3E72"/>
    <w:rsid w:val="003D44F8"/>
    <w:rsid w:val="003D47EB"/>
    <w:rsid w:val="003D4CBE"/>
    <w:rsid w:val="003D4CE9"/>
    <w:rsid w:val="003D4F21"/>
    <w:rsid w:val="003D5180"/>
    <w:rsid w:val="003D55E1"/>
    <w:rsid w:val="003D641A"/>
    <w:rsid w:val="003D64FE"/>
    <w:rsid w:val="003D6752"/>
    <w:rsid w:val="003D6C61"/>
    <w:rsid w:val="003D6EA9"/>
    <w:rsid w:val="003D71EB"/>
    <w:rsid w:val="003D7650"/>
    <w:rsid w:val="003D7852"/>
    <w:rsid w:val="003D7D38"/>
    <w:rsid w:val="003E024B"/>
    <w:rsid w:val="003E0542"/>
    <w:rsid w:val="003E0BC8"/>
    <w:rsid w:val="003E1893"/>
    <w:rsid w:val="003E19C8"/>
    <w:rsid w:val="003E1D51"/>
    <w:rsid w:val="003E22CB"/>
    <w:rsid w:val="003E2343"/>
    <w:rsid w:val="003E287B"/>
    <w:rsid w:val="003E2A62"/>
    <w:rsid w:val="003E2F12"/>
    <w:rsid w:val="003E339B"/>
    <w:rsid w:val="003E350A"/>
    <w:rsid w:val="003E354E"/>
    <w:rsid w:val="003E38A6"/>
    <w:rsid w:val="003E393D"/>
    <w:rsid w:val="003E3B06"/>
    <w:rsid w:val="003E3B5B"/>
    <w:rsid w:val="003E406B"/>
    <w:rsid w:val="003E409C"/>
    <w:rsid w:val="003E4A11"/>
    <w:rsid w:val="003E4F96"/>
    <w:rsid w:val="003E5169"/>
    <w:rsid w:val="003E5281"/>
    <w:rsid w:val="003E528C"/>
    <w:rsid w:val="003E55DF"/>
    <w:rsid w:val="003E5CCA"/>
    <w:rsid w:val="003E655E"/>
    <w:rsid w:val="003E6808"/>
    <w:rsid w:val="003E7043"/>
    <w:rsid w:val="003E70A5"/>
    <w:rsid w:val="003E7773"/>
    <w:rsid w:val="003E7C93"/>
    <w:rsid w:val="003E7EAE"/>
    <w:rsid w:val="003E7EDD"/>
    <w:rsid w:val="003F0375"/>
    <w:rsid w:val="003F03EC"/>
    <w:rsid w:val="003F04F0"/>
    <w:rsid w:val="003F07AB"/>
    <w:rsid w:val="003F08ED"/>
    <w:rsid w:val="003F0AF1"/>
    <w:rsid w:val="003F0D53"/>
    <w:rsid w:val="003F0D89"/>
    <w:rsid w:val="003F115E"/>
    <w:rsid w:val="003F14C2"/>
    <w:rsid w:val="003F1843"/>
    <w:rsid w:val="003F199B"/>
    <w:rsid w:val="003F1BDA"/>
    <w:rsid w:val="003F1E44"/>
    <w:rsid w:val="003F2210"/>
    <w:rsid w:val="003F27BD"/>
    <w:rsid w:val="003F3DAE"/>
    <w:rsid w:val="003F4142"/>
    <w:rsid w:val="003F41B6"/>
    <w:rsid w:val="003F41EB"/>
    <w:rsid w:val="003F421B"/>
    <w:rsid w:val="003F455F"/>
    <w:rsid w:val="003F48D6"/>
    <w:rsid w:val="003F4E0B"/>
    <w:rsid w:val="003F535C"/>
    <w:rsid w:val="003F5409"/>
    <w:rsid w:val="003F5A08"/>
    <w:rsid w:val="003F5ECA"/>
    <w:rsid w:val="003F605C"/>
    <w:rsid w:val="003F607A"/>
    <w:rsid w:val="003F6124"/>
    <w:rsid w:val="003F698E"/>
    <w:rsid w:val="003F69D2"/>
    <w:rsid w:val="003F6BB2"/>
    <w:rsid w:val="003F6BEF"/>
    <w:rsid w:val="003F6F1A"/>
    <w:rsid w:val="003F703A"/>
    <w:rsid w:val="003F7196"/>
    <w:rsid w:val="003F7222"/>
    <w:rsid w:val="003F7461"/>
    <w:rsid w:val="003F77BD"/>
    <w:rsid w:val="003F7994"/>
    <w:rsid w:val="003F7C68"/>
    <w:rsid w:val="003F7C71"/>
    <w:rsid w:val="004002E0"/>
    <w:rsid w:val="00400441"/>
    <w:rsid w:val="004006B6"/>
    <w:rsid w:val="00400806"/>
    <w:rsid w:val="004008AF"/>
    <w:rsid w:val="00400975"/>
    <w:rsid w:val="00400B5F"/>
    <w:rsid w:val="00400EFA"/>
    <w:rsid w:val="00401079"/>
    <w:rsid w:val="00401087"/>
    <w:rsid w:val="004010FF"/>
    <w:rsid w:val="00401DBF"/>
    <w:rsid w:val="00401E66"/>
    <w:rsid w:val="00402616"/>
    <w:rsid w:val="00402639"/>
    <w:rsid w:val="00402761"/>
    <w:rsid w:val="004028E6"/>
    <w:rsid w:val="00402A61"/>
    <w:rsid w:val="004033D9"/>
    <w:rsid w:val="004033F5"/>
    <w:rsid w:val="00403F0A"/>
    <w:rsid w:val="00403F43"/>
    <w:rsid w:val="0040401C"/>
    <w:rsid w:val="004041DD"/>
    <w:rsid w:val="00404A94"/>
    <w:rsid w:val="0040507B"/>
    <w:rsid w:val="0040551F"/>
    <w:rsid w:val="004059E9"/>
    <w:rsid w:val="00405B28"/>
    <w:rsid w:val="00405CF3"/>
    <w:rsid w:val="00405D2C"/>
    <w:rsid w:val="00405DD5"/>
    <w:rsid w:val="00405DF6"/>
    <w:rsid w:val="00406032"/>
    <w:rsid w:val="004064BD"/>
    <w:rsid w:val="0040683A"/>
    <w:rsid w:val="00406A26"/>
    <w:rsid w:val="00406CA3"/>
    <w:rsid w:val="00406D05"/>
    <w:rsid w:val="00407423"/>
    <w:rsid w:val="0040771F"/>
    <w:rsid w:val="00407C92"/>
    <w:rsid w:val="0041002A"/>
    <w:rsid w:val="0041040B"/>
    <w:rsid w:val="004105A9"/>
    <w:rsid w:val="00410E0D"/>
    <w:rsid w:val="004110A3"/>
    <w:rsid w:val="004111F7"/>
    <w:rsid w:val="004112FB"/>
    <w:rsid w:val="0041200A"/>
    <w:rsid w:val="0041217D"/>
    <w:rsid w:val="0041246E"/>
    <w:rsid w:val="004125C6"/>
    <w:rsid w:val="004125DE"/>
    <w:rsid w:val="0041275F"/>
    <w:rsid w:val="00413272"/>
    <w:rsid w:val="004136B6"/>
    <w:rsid w:val="00413804"/>
    <w:rsid w:val="00413884"/>
    <w:rsid w:val="00413E60"/>
    <w:rsid w:val="0041409C"/>
    <w:rsid w:val="00414416"/>
    <w:rsid w:val="0041490F"/>
    <w:rsid w:val="00414937"/>
    <w:rsid w:val="00414941"/>
    <w:rsid w:val="00414D9C"/>
    <w:rsid w:val="00414DF8"/>
    <w:rsid w:val="00415281"/>
    <w:rsid w:val="00415611"/>
    <w:rsid w:val="00415636"/>
    <w:rsid w:val="00415AEF"/>
    <w:rsid w:val="00415B86"/>
    <w:rsid w:val="00416223"/>
    <w:rsid w:val="00416224"/>
    <w:rsid w:val="00416279"/>
    <w:rsid w:val="0041647A"/>
    <w:rsid w:val="00416715"/>
    <w:rsid w:val="00416FE8"/>
    <w:rsid w:val="0041745A"/>
    <w:rsid w:val="004174A7"/>
    <w:rsid w:val="0041753A"/>
    <w:rsid w:val="00417ACC"/>
    <w:rsid w:val="00420135"/>
    <w:rsid w:val="00420428"/>
    <w:rsid w:val="004204FD"/>
    <w:rsid w:val="00420B6D"/>
    <w:rsid w:val="00420BE5"/>
    <w:rsid w:val="00420CFA"/>
    <w:rsid w:val="00421A89"/>
    <w:rsid w:val="00421BDA"/>
    <w:rsid w:val="00421EBC"/>
    <w:rsid w:val="00422127"/>
    <w:rsid w:val="00422C28"/>
    <w:rsid w:val="00422E07"/>
    <w:rsid w:val="00422EE3"/>
    <w:rsid w:val="00422F6A"/>
    <w:rsid w:val="0042304B"/>
    <w:rsid w:val="00423110"/>
    <w:rsid w:val="0042348A"/>
    <w:rsid w:val="0042375B"/>
    <w:rsid w:val="00423C95"/>
    <w:rsid w:val="00424084"/>
    <w:rsid w:val="00424349"/>
    <w:rsid w:val="0042485F"/>
    <w:rsid w:val="00424EF5"/>
    <w:rsid w:val="004253D9"/>
    <w:rsid w:val="0042581F"/>
    <w:rsid w:val="00425A51"/>
    <w:rsid w:val="00425A83"/>
    <w:rsid w:val="0042646F"/>
    <w:rsid w:val="00426729"/>
    <w:rsid w:val="004268B3"/>
    <w:rsid w:val="00426BA3"/>
    <w:rsid w:val="00426D67"/>
    <w:rsid w:val="00426F36"/>
    <w:rsid w:val="004273AD"/>
    <w:rsid w:val="004274F2"/>
    <w:rsid w:val="00427953"/>
    <w:rsid w:val="00430576"/>
    <w:rsid w:val="004305AE"/>
    <w:rsid w:val="00430A05"/>
    <w:rsid w:val="00430B17"/>
    <w:rsid w:val="00430B28"/>
    <w:rsid w:val="00430DF8"/>
    <w:rsid w:val="004310E2"/>
    <w:rsid w:val="00431491"/>
    <w:rsid w:val="0043166F"/>
    <w:rsid w:val="00431800"/>
    <w:rsid w:val="00431A80"/>
    <w:rsid w:val="00432117"/>
    <w:rsid w:val="00432535"/>
    <w:rsid w:val="004327FF"/>
    <w:rsid w:val="00432A2B"/>
    <w:rsid w:val="00432B3C"/>
    <w:rsid w:val="00432EB7"/>
    <w:rsid w:val="004333CC"/>
    <w:rsid w:val="00433541"/>
    <w:rsid w:val="004338A5"/>
    <w:rsid w:val="00433E9E"/>
    <w:rsid w:val="0043416E"/>
    <w:rsid w:val="00434C94"/>
    <w:rsid w:val="004351C6"/>
    <w:rsid w:val="00435800"/>
    <w:rsid w:val="00435BE9"/>
    <w:rsid w:val="00435EC6"/>
    <w:rsid w:val="00436009"/>
    <w:rsid w:val="0043603D"/>
    <w:rsid w:val="00436094"/>
    <w:rsid w:val="00436514"/>
    <w:rsid w:val="004366D0"/>
    <w:rsid w:val="00436711"/>
    <w:rsid w:val="00436872"/>
    <w:rsid w:val="00436A36"/>
    <w:rsid w:val="00436B43"/>
    <w:rsid w:val="00436C6C"/>
    <w:rsid w:val="00436CA9"/>
    <w:rsid w:val="0043739A"/>
    <w:rsid w:val="0043795F"/>
    <w:rsid w:val="00437A32"/>
    <w:rsid w:val="00437FB3"/>
    <w:rsid w:val="0044001F"/>
    <w:rsid w:val="00440054"/>
    <w:rsid w:val="004403CD"/>
    <w:rsid w:val="0044054C"/>
    <w:rsid w:val="00440A88"/>
    <w:rsid w:val="00440C71"/>
    <w:rsid w:val="00441BBB"/>
    <w:rsid w:val="00441BDD"/>
    <w:rsid w:val="00441C7B"/>
    <w:rsid w:val="00442314"/>
    <w:rsid w:val="004423F7"/>
    <w:rsid w:val="00442522"/>
    <w:rsid w:val="00442A49"/>
    <w:rsid w:val="00442FCA"/>
    <w:rsid w:val="00443241"/>
    <w:rsid w:val="00443987"/>
    <w:rsid w:val="00444017"/>
    <w:rsid w:val="00444036"/>
    <w:rsid w:val="004442A5"/>
    <w:rsid w:val="004444AE"/>
    <w:rsid w:val="004445A3"/>
    <w:rsid w:val="004447F0"/>
    <w:rsid w:val="00444884"/>
    <w:rsid w:val="00444891"/>
    <w:rsid w:val="00444A6A"/>
    <w:rsid w:val="00444AE9"/>
    <w:rsid w:val="00444BE0"/>
    <w:rsid w:val="00444E4D"/>
    <w:rsid w:val="0044500B"/>
    <w:rsid w:val="0044538D"/>
    <w:rsid w:val="004454EA"/>
    <w:rsid w:val="0044550E"/>
    <w:rsid w:val="00445746"/>
    <w:rsid w:val="004459D2"/>
    <w:rsid w:val="00445D9D"/>
    <w:rsid w:val="00445E67"/>
    <w:rsid w:val="00446013"/>
    <w:rsid w:val="0044690B"/>
    <w:rsid w:val="00446BBE"/>
    <w:rsid w:val="0044782C"/>
    <w:rsid w:val="00447840"/>
    <w:rsid w:val="004478FE"/>
    <w:rsid w:val="004479A3"/>
    <w:rsid w:val="00447BD2"/>
    <w:rsid w:val="00447CD8"/>
    <w:rsid w:val="00447D98"/>
    <w:rsid w:val="00447F07"/>
    <w:rsid w:val="00447FE5"/>
    <w:rsid w:val="0045011E"/>
    <w:rsid w:val="004502B2"/>
    <w:rsid w:val="0045093D"/>
    <w:rsid w:val="00450C4C"/>
    <w:rsid w:val="00450F99"/>
    <w:rsid w:val="0045143A"/>
    <w:rsid w:val="00451645"/>
    <w:rsid w:val="00451A7C"/>
    <w:rsid w:val="00451F60"/>
    <w:rsid w:val="004527D9"/>
    <w:rsid w:val="004529A4"/>
    <w:rsid w:val="004529DE"/>
    <w:rsid w:val="00452A75"/>
    <w:rsid w:val="00453625"/>
    <w:rsid w:val="00453AF7"/>
    <w:rsid w:val="00453CCC"/>
    <w:rsid w:val="00453F8E"/>
    <w:rsid w:val="004540DF"/>
    <w:rsid w:val="00454216"/>
    <w:rsid w:val="004543D4"/>
    <w:rsid w:val="004546B4"/>
    <w:rsid w:val="00454A35"/>
    <w:rsid w:val="00454C8A"/>
    <w:rsid w:val="00454F24"/>
    <w:rsid w:val="00454F8E"/>
    <w:rsid w:val="00455413"/>
    <w:rsid w:val="004555B9"/>
    <w:rsid w:val="00455AA4"/>
    <w:rsid w:val="00455D3E"/>
    <w:rsid w:val="004561CC"/>
    <w:rsid w:val="004564DA"/>
    <w:rsid w:val="004566A3"/>
    <w:rsid w:val="0045674C"/>
    <w:rsid w:val="00456856"/>
    <w:rsid w:val="00456A8A"/>
    <w:rsid w:val="00456FD3"/>
    <w:rsid w:val="00457283"/>
    <w:rsid w:val="004574FF"/>
    <w:rsid w:val="00457551"/>
    <w:rsid w:val="0046002A"/>
    <w:rsid w:val="004602E0"/>
    <w:rsid w:val="004603F1"/>
    <w:rsid w:val="00460C9C"/>
    <w:rsid w:val="00461247"/>
    <w:rsid w:val="0046142F"/>
    <w:rsid w:val="00461598"/>
    <w:rsid w:val="0046164D"/>
    <w:rsid w:val="004617C7"/>
    <w:rsid w:val="00461D3B"/>
    <w:rsid w:val="00461D73"/>
    <w:rsid w:val="00461E69"/>
    <w:rsid w:val="004620EB"/>
    <w:rsid w:val="004625E3"/>
    <w:rsid w:val="004626B5"/>
    <w:rsid w:val="00462778"/>
    <w:rsid w:val="00462956"/>
    <w:rsid w:val="00462A78"/>
    <w:rsid w:val="00462C52"/>
    <w:rsid w:val="00463193"/>
    <w:rsid w:val="0046340B"/>
    <w:rsid w:val="00463834"/>
    <w:rsid w:val="00463BF8"/>
    <w:rsid w:val="00463C5A"/>
    <w:rsid w:val="004642B0"/>
    <w:rsid w:val="00464B5B"/>
    <w:rsid w:val="00464C75"/>
    <w:rsid w:val="00464D9A"/>
    <w:rsid w:val="00464F6C"/>
    <w:rsid w:val="00465244"/>
    <w:rsid w:val="0046575A"/>
    <w:rsid w:val="00466300"/>
    <w:rsid w:val="0046661D"/>
    <w:rsid w:val="00466658"/>
    <w:rsid w:val="00466A4C"/>
    <w:rsid w:val="00466F7B"/>
    <w:rsid w:val="00467116"/>
    <w:rsid w:val="00467215"/>
    <w:rsid w:val="00467392"/>
    <w:rsid w:val="0046779C"/>
    <w:rsid w:val="00467DBE"/>
    <w:rsid w:val="0047000A"/>
    <w:rsid w:val="0047013A"/>
    <w:rsid w:val="00470226"/>
    <w:rsid w:val="00470639"/>
    <w:rsid w:val="00470AAF"/>
    <w:rsid w:val="00470D49"/>
    <w:rsid w:val="00470DB3"/>
    <w:rsid w:val="00471369"/>
    <w:rsid w:val="00471431"/>
    <w:rsid w:val="004714BF"/>
    <w:rsid w:val="00471742"/>
    <w:rsid w:val="00471915"/>
    <w:rsid w:val="00471CF8"/>
    <w:rsid w:val="00471D0D"/>
    <w:rsid w:val="00471D34"/>
    <w:rsid w:val="00472054"/>
    <w:rsid w:val="00472DCB"/>
    <w:rsid w:val="00473028"/>
    <w:rsid w:val="00473561"/>
    <w:rsid w:val="0047364A"/>
    <w:rsid w:val="00473829"/>
    <w:rsid w:val="00473C98"/>
    <w:rsid w:val="00473CB5"/>
    <w:rsid w:val="00473DA0"/>
    <w:rsid w:val="004741BD"/>
    <w:rsid w:val="004748A4"/>
    <w:rsid w:val="00474E01"/>
    <w:rsid w:val="00474E4A"/>
    <w:rsid w:val="00475026"/>
    <w:rsid w:val="0047515C"/>
    <w:rsid w:val="00475A95"/>
    <w:rsid w:val="00475BA1"/>
    <w:rsid w:val="00475C95"/>
    <w:rsid w:val="00475D45"/>
    <w:rsid w:val="0047601C"/>
    <w:rsid w:val="004760C1"/>
    <w:rsid w:val="004761F5"/>
    <w:rsid w:val="00476244"/>
    <w:rsid w:val="004763B7"/>
    <w:rsid w:val="0047664C"/>
    <w:rsid w:val="004768AA"/>
    <w:rsid w:val="004768E0"/>
    <w:rsid w:val="00476CC8"/>
    <w:rsid w:val="004771A1"/>
    <w:rsid w:val="00477400"/>
    <w:rsid w:val="00477551"/>
    <w:rsid w:val="004777E8"/>
    <w:rsid w:val="00480A3B"/>
    <w:rsid w:val="00480CF1"/>
    <w:rsid w:val="00481297"/>
    <w:rsid w:val="0048179B"/>
    <w:rsid w:val="00482035"/>
    <w:rsid w:val="00482083"/>
    <w:rsid w:val="004821CA"/>
    <w:rsid w:val="0048231B"/>
    <w:rsid w:val="00482323"/>
    <w:rsid w:val="00482724"/>
    <w:rsid w:val="00482782"/>
    <w:rsid w:val="00482804"/>
    <w:rsid w:val="00482B47"/>
    <w:rsid w:val="00482D06"/>
    <w:rsid w:val="00482EEC"/>
    <w:rsid w:val="00483104"/>
    <w:rsid w:val="0048323E"/>
    <w:rsid w:val="004832D6"/>
    <w:rsid w:val="00483341"/>
    <w:rsid w:val="00484193"/>
    <w:rsid w:val="00484399"/>
    <w:rsid w:val="004844A8"/>
    <w:rsid w:val="004844AF"/>
    <w:rsid w:val="00484DC5"/>
    <w:rsid w:val="00484F42"/>
    <w:rsid w:val="00484F6D"/>
    <w:rsid w:val="00484F8C"/>
    <w:rsid w:val="00485211"/>
    <w:rsid w:val="00485675"/>
    <w:rsid w:val="00485836"/>
    <w:rsid w:val="00485ED7"/>
    <w:rsid w:val="00485FC8"/>
    <w:rsid w:val="00486430"/>
    <w:rsid w:val="004865A1"/>
    <w:rsid w:val="00486618"/>
    <w:rsid w:val="00486A03"/>
    <w:rsid w:val="00486B0B"/>
    <w:rsid w:val="00486BE5"/>
    <w:rsid w:val="00486D6E"/>
    <w:rsid w:val="00486EBA"/>
    <w:rsid w:val="004874B7"/>
    <w:rsid w:val="00487C85"/>
    <w:rsid w:val="004900E8"/>
    <w:rsid w:val="00490104"/>
    <w:rsid w:val="00490158"/>
    <w:rsid w:val="004902C4"/>
    <w:rsid w:val="0049039A"/>
    <w:rsid w:val="00490480"/>
    <w:rsid w:val="0049094C"/>
    <w:rsid w:val="004909D8"/>
    <w:rsid w:val="00490C4D"/>
    <w:rsid w:val="00490DC4"/>
    <w:rsid w:val="00490F70"/>
    <w:rsid w:val="004910AB"/>
    <w:rsid w:val="00491908"/>
    <w:rsid w:val="00491BC0"/>
    <w:rsid w:val="0049219D"/>
    <w:rsid w:val="004925F1"/>
    <w:rsid w:val="0049283A"/>
    <w:rsid w:val="0049298B"/>
    <w:rsid w:val="00492E85"/>
    <w:rsid w:val="00492F1C"/>
    <w:rsid w:val="0049311D"/>
    <w:rsid w:val="004934A6"/>
    <w:rsid w:val="00493866"/>
    <w:rsid w:val="004939C1"/>
    <w:rsid w:val="004949DA"/>
    <w:rsid w:val="00494A2E"/>
    <w:rsid w:val="00494B12"/>
    <w:rsid w:val="00494E29"/>
    <w:rsid w:val="00494E4D"/>
    <w:rsid w:val="00494F64"/>
    <w:rsid w:val="00494F6D"/>
    <w:rsid w:val="00495155"/>
    <w:rsid w:val="0049520E"/>
    <w:rsid w:val="004955CD"/>
    <w:rsid w:val="00495904"/>
    <w:rsid w:val="00495ABF"/>
    <w:rsid w:val="00495BBB"/>
    <w:rsid w:val="00495BE0"/>
    <w:rsid w:val="00495D29"/>
    <w:rsid w:val="00495DF8"/>
    <w:rsid w:val="00496024"/>
    <w:rsid w:val="00496027"/>
    <w:rsid w:val="0049612F"/>
    <w:rsid w:val="00496568"/>
    <w:rsid w:val="00496608"/>
    <w:rsid w:val="0049676D"/>
    <w:rsid w:val="0049697C"/>
    <w:rsid w:val="00496AD3"/>
    <w:rsid w:val="00496C5E"/>
    <w:rsid w:val="004970E5"/>
    <w:rsid w:val="00497969"/>
    <w:rsid w:val="00497B9F"/>
    <w:rsid w:val="004A07D7"/>
    <w:rsid w:val="004A0C31"/>
    <w:rsid w:val="004A0D67"/>
    <w:rsid w:val="004A0EC2"/>
    <w:rsid w:val="004A2084"/>
    <w:rsid w:val="004A2260"/>
    <w:rsid w:val="004A23FB"/>
    <w:rsid w:val="004A2E3F"/>
    <w:rsid w:val="004A356D"/>
    <w:rsid w:val="004A35AF"/>
    <w:rsid w:val="004A3745"/>
    <w:rsid w:val="004A3E21"/>
    <w:rsid w:val="004A41DD"/>
    <w:rsid w:val="004A43F9"/>
    <w:rsid w:val="004A4430"/>
    <w:rsid w:val="004A477D"/>
    <w:rsid w:val="004A49D3"/>
    <w:rsid w:val="004A49DB"/>
    <w:rsid w:val="004A4D29"/>
    <w:rsid w:val="004A4EE8"/>
    <w:rsid w:val="004A4FDF"/>
    <w:rsid w:val="004A5489"/>
    <w:rsid w:val="004A590E"/>
    <w:rsid w:val="004A5E73"/>
    <w:rsid w:val="004A65FF"/>
    <w:rsid w:val="004A707F"/>
    <w:rsid w:val="004A70CE"/>
    <w:rsid w:val="004A73B7"/>
    <w:rsid w:val="004A74F8"/>
    <w:rsid w:val="004A7697"/>
    <w:rsid w:val="004A76B4"/>
    <w:rsid w:val="004A7882"/>
    <w:rsid w:val="004A7A52"/>
    <w:rsid w:val="004A7B5A"/>
    <w:rsid w:val="004B0169"/>
    <w:rsid w:val="004B0502"/>
    <w:rsid w:val="004B093F"/>
    <w:rsid w:val="004B0BAF"/>
    <w:rsid w:val="004B0F8D"/>
    <w:rsid w:val="004B0FD2"/>
    <w:rsid w:val="004B1071"/>
    <w:rsid w:val="004B138F"/>
    <w:rsid w:val="004B1684"/>
    <w:rsid w:val="004B19FE"/>
    <w:rsid w:val="004B1EA6"/>
    <w:rsid w:val="004B254D"/>
    <w:rsid w:val="004B26F0"/>
    <w:rsid w:val="004B2839"/>
    <w:rsid w:val="004B291A"/>
    <w:rsid w:val="004B29FD"/>
    <w:rsid w:val="004B2A4D"/>
    <w:rsid w:val="004B2F45"/>
    <w:rsid w:val="004B2FF6"/>
    <w:rsid w:val="004B30E1"/>
    <w:rsid w:val="004B3102"/>
    <w:rsid w:val="004B33C2"/>
    <w:rsid w:val="004B3562"/>
    <w:rsid w:val="004B364A"/>
    <w:rsid w:val="004B3712"/>
    <w:rsid w:val="004B3931"/>
    <w:rsid w:val="004B3DA4"/>
    <w:rsid w:val="004B3E0F"/>
    <w:rsid w:val="004B4136"/>
    <w:rsid w:val="004B4214"/>
    <w:rsid w:val="004B4543"/>
    <w:rsid w:val="004B4B9F"/>
    <w:rsid w:val="004B4E5F"/>
    <w:rsid w:val="004B4F60"/>
    <w:rsid w:val="004B5273"/>
    <w:rsid w:val="004B5A9F"/>
    <w:rsid w:val="004B689D"/>
    <w:rsid w:val="004B6953"/>
    <w:rsid w:val="004B6BBA"/>
    <w:rsid w:val="004B712B"/>
    <w:rsid w:val="004B719C"/>
    <w:rsid w:val="004B7276"/>
    <w:rsid w:val="004B75F8"/>
    <w:rsid w:val="004B7611"/>
    <w:rsid w:val="004B7762"/>
    <w:rsid w:val="004B784F"/>
    <w:rsid w:val="004B790F"/>
    <w:rsid w:val="004B79F5"/>
    <w:rsid w:val="004B7BD7"/>
    <w:rsid w:val="004B7C16"/>
    <w:rsid w:val="004B7C87"/>
    <w:rsid w:val="004B7CCA"/>
    <w:rsid w:val="004B7DB0"/>
    <w:rsid w:val="004B7E3A"/>
    <w:rsid w:val="004B7E98"/>
    <w:rsid w:val="004C00C3"/>
    <w:rsid w:val="004C0410"/>
    <w:rsid w:val="004C0709"/>
    <w:rsid w:val="004C07D5"/>
    <w:rsid w:val="004C088B"/>
    <w:rsid w:val="004C0A2F"/>
    <w:rsid w:val="004C0E97"/>
    <w:rsid w:val="004C104D"/>
    <w:rsid w:val="004C1194"/>
    <w:rsid w:val="004C1499"/>
    <w:rsid w:val="004C178D"/>
    <w:rsid w:val="004C1CE7"/>
    <w:rsid w:val="004C220F"/>
    <w:rsid w:val="004C2330"/>
    <w:rsid w:val="004C2A2C"/>
    <w:rsid w:val="004C2AB3"/>
    <w:rsid w:val="004C2B2C"/>
    <w:rsid w:val="004C32B5"/>
    <w:rsid w:val="004C3376"/>
    <w:rsid w:val="004C33C2"/>
    <w:rsid w:val="004C3F23"/>
    <w:rsid w:val="004C4674"/>
    <w:rsid w:val="004C47C1"/>
    <w:rsid w:val="004C4801"/>
    <w:rsid w:val="004C48C8"/>
    <w:rsid w:val="004C4D10"/>
    <w:rsid w:val="004C4F8C"/>
    <w:rsid w:val="004C5136"/>
    <w:rsid w:val="004C525A"/>
    <w:rsid w:val="004C5900"/>
    <w:rsid w:val="004C598D"/>
    <w:rsid w:val="004C64D3"/>
    <w:rsid w:val="004C6735"/>
    <w:rsid w:val="004C6913"/>
    <w:rsid w:val="004C6B0B"/>
    <w:rsid w:val="004C6BB6"/>
    <w:rsid w:val="004C6BBF"/>
    <w:rsid w:val="004C7115"/>
    <w:rsid w:val="004C722B"/>
    <w:rsid w:val="004C72CA"/>
    <w:rsid w:val="004C7518"/>
    <w:rsid w:val="004C792A"/>
    <w:rsid w:val="004C7BE1"/>
    <w:rsid w:val="004C7D33"/>
    <w:rsid w:val="004C7D4A"/>
    <w:rsid w:val="004C7F91"/>
    <w:rsid w:val="004D0A8D"/>
    <w:rsid w:val="004D1048"/>
    <w:rsid w:val="004D117E"/>
    <w:rsid w:val="004D19DD"/>
    <w:rsid w:val="004D19EA"/>
    <w:rsid w:val="004D1C89"/>
    <w:rsid w:val="004D25B3"/>
    <w:rsid w:val="004D295E"/>
    <w:rsid w:val="004D375A"/>
    <w:rsid w:val="004D3897"/>
    <w:rsid w:val="004D3CE1"/>
    <w:rsid w:val="004D4242"/>
    <w:rsid w:val="004D440D"/>
    <w:rsid w:val="004D4425"/>
    <w:rsid w:val="004D44DD"/>
    <w:rsid w:val="004D468B"/>
    <w:rsid w:val="004D4BDE"/>
    <w:rsid w:val="004D5137"/>
    <w:rsid w:val="004D5D87"/>
    <w:rsid w:val="004D6144"/>
    <w:rsid w:val="004D64D1"/>
    <w:rsid w:val="004D65CB"/>
    <w:rsid w:val="004D727F"/>
    <w:rsid w:val="004D7467"/>
    <w:rsid w:val="004D7608"/>
    <w:rsid w:val="004D7944"/>
    <w:rsid w:val="004D7D64"/>
    <w:rsid w:val="004E0389"/>
    <w:rsid w:val="004E068E"/>
    <w:rsid w:val="004E0916"/>
    <w:rsid w:val="004E0D99"/>
    <w:rsid w:val="004E13BE"/>
    <w:rsid w:val="004E18B3"/>
    <w:rsid w:val="004E1D04"/>
    <w:rsid w:val="004E1D95"/>
    <w:rsid w:val="004E1DAB"/>
    <w:rsid w:val="004E229A"/>
    <w:rsid w:val="004E24FC"/>
    <w:rsid w:val="004E271C"/>
    <w:rsid w:val="004E2A77"/>
    <w:rsid w:val="004E2AEC"/>
    <w:rsid w:val="004E2B77"/>
    <w:rsid w:val="004E2BD6"/>
    <w:rsid w:val="004E3081"/>
    <w:rsid w:val="004E3834"/>
    <w:rsid w:val="004E3A97"/>
    <w:rsid w:val="004E3AA4"/>
    <w:rsid w:val="004E3C20"/>
    <w:rsid w:val="004E4091"/>
    <w:rsid w:val="004E409A"/>
    <w:rsid w:val="004E486B"/>
    <w:rsid w:val="004E4DDA"/>
    <w:rsid w:val="004E4FCF"/>
    <w:rsid w:val="004E5862"/>
    <w:rsid w:val="004E67E5"/>
    <w:rsid w:val="004E6CD4"/>
    <w:rsid w:val="004E71CF"/>
    <w:rsid w:val="004E7500"/>
    <w:rsid w:val="004E7B4F"/>
    <w:rsid w:val="004E7BDD"/>
    <w:rsid w:val="004E7C24"/>
    <w:rsid w:val="004E7F9D"/>
    <w:rsid w:val="004F049C"/>
    <w:rsid w:val="004F071A"/>
    <w:rsid w:val="004F07CC"/>
    <w:rsid w:val="004F0B88"/>
    <w:rsid w:val="004F113B"/>
    <w:rsid w:val="004F11A5"/>
    <w:rsid w:val="004F1756"/>
    <w:rsid w:val="004F19BD"/>
    <w:rsid w:val="004F1CA2"/>
    <w:rsid w:val="004F1F87"/>
    <w:rsid w:val="004F2087"/>
    <w:rsid w:val="004F22CB"/>
    <w:rsid w:val="004F2362"/>
    <w:rsid w:val="004F2463"/>
    <w:rsid w:val="004F28C2"/>
    <w:rsid w:val="004F29B3"/>
    <w:rsid w:val="004F29C4"/>
    <w:rsid w:val="004F3428"/>
    <w:rsid w:val="004F3514"/>
    <w:rsid w:val="004F3572"/>
    <w:rsid w:val="004F3891"/>
    <w:rsid w:val="004F3A6D"/>
    <w:rsid w:val="004F3F72"/>
    <w:rsid w:val="004F423D"/>
    <w:rsid w:val="004F42D1"/>
    <w:rsid w:val="004F43E8"/>
    <w:rsid w:val="004F455A"/>
    <w:rsid w:val="004F4C6C"/>
    <w:rsid w:val="004F5154"/>
    <w:rsid w:val="004F5328"/>
    <w:rsid w:val="004F5471"/>
    <w:rsid w:val="004F58FC"/>
    <w:rsid w:val="004F5B99"/>
    <w:rsid w:val="004F61BC"/>
    <w:rsid w:val="004F66C0"/>
    <w:rsid w:val="004F68CA"/>
    <w:rsid w:val="004F6AD3"/>
    <w:rsid w:val="004F6B4B"/>
    <w:rsid w:val="004F73D1"/>
    <w:rsid w:val="004F744F"/>
    <w:rsid w:val="004F7AF8"/>
    <w:rsid w:val="005001D9"/>
    <w:rsid w:val="005008E3"/>
    <w:rsid w:val="00500992"/>
    <w:rsid w:val="00500A32"/>
    <w:rsid w:val="00500B73"/>
    <w:rsid w:val="00500C07"/>
    <w:rsid w:val="00500E67"/>
    <w:rsid w:val="00500FB0"/>
    <w:rsid w:val="00501386"/>
    <w:rsid w:val="005014E4"/>
    <w:rsid w:val="00501B1D"/>
    <w:rsid w:val="00501BD9"/>
    <w:rsid w:val="00501C25"/>
    <w:rsid w:val="00502189"/>
    <w:rsid w:val="00502430"/>
    <w:rsid w:val="00502797"/>
    <w:rsid w:val="005027A6"/>
    <w:rsid w:val="00502821"/>
    <w:rsid w:val="005028BF"/>
    <w:rsid w:val="00502DAE"/>
    <w:rsid w:val="00502EB7"/>
    <w:rsid w:val="00502FFB"/>
    <w:rsid w:val="00503037"/>
    <w:rsid w:val="0050355B"/>
    <w:rsid w:val="005035C9"/>
    <w:rsid w:val="005038A0"/>
    <w:rsid w:val="0050396B"/>
    <w:rsid w:val="00503A4C"/>
    <w:rsid w:val="00503ADC"/>
    <w:rsid w:val="00504663"/>
    <w:rsid w:val="00504A82"/>
    <w:rsid w:val="00504A9D"/>
    <w:rsid w:val="00504B1F"/>
    <w:rsid w:val="00504CAA"/>
    <w:rsid w:val="00504FD0"/>
    <w:rsid w:val="00505436"/>
    <w:rsid w:val="0050595A"/>
    <w:rsid w:val="00505966"/>
    <w:rsid w:val="00505E19"/>
    <w:rsid w:val="00505EAD"/>
    <w:rsid w:val="00505EEC"/>
    <w:rsid w:val="00506093"/>
    <w:rsid w:val="00506483"/>
    <w:rsid w:val="005066DF"/>
    <w:rsid w:val="00506799"/>
    <w:rsid w:val="00506C9A"/>
    <w:rsid w:val="0050729E"/>
    <w:rsid w:val="00507DD8"/>
    <w:rsid w:val="00507FD8"/>
    <w:rsid w:val="00507FE2"/>
    <w:rsid w:val="005103C5"/>
    <w:rsid w:val="005107D4"/>
    <w:rsid w:val="00510C6C"/>
    <w:rsid w:val="00510C9D"/>
    <w:rsid w:val="00511C2C"/>
    <w:rsid w:val="00511DFA"/>
    <w:rsid w:val="00511E14"/>
    <w:rsid w:val="005120C4"/>
    <w:rsid w:val="0051244D"/>
    <w:rsid w:val="005126EA"/>
    <w:rsid w:val="00512E31"/>
    <w:rsid w:val="005131D3"/>
    <w:rsid w:val="0051352C"/>
    <w:rsid w:val="00513539"/>
    <w:rsid w:val="005138F5"/>
    <w:rsid w:val="00513BF1"/>
    <w:rsid w:val="005141B7"/>
    <w:rsid w:val="005142B2"/>
    <w:rsid w:val="00514676"/>
    <w:rsid w:val="00514E53"/>
    <w:rsid w:val="00514FC2"/>
    <w:rsid w:val="0051533E"/>
    <w:rsid w:val="005154B8"/>
    <w:rsid w:val="005154E6"/>
    <w:rsid w:val="005157E7"/>
    <w:rsid w:val="00515A9B"/>
    <w:rsid w:val="00515AC3"/>
    <w:rsid w:val="00515BFA"/>
    <w:rsid w:val="00515F5C"/>
    <w:rsid w:val="005160A0"/>
    <w:rsid w:val="00516828"/>
    <w:rsid w:val="00516C3F"/>
    <w:rsid w:val="00516FB8"/>
    <w:rsid w:val="00517509"/>
    <w:rsid w:val="005175E6"/>
    <w:rsid w:val="0051760E"/>
    <w:rsid w:val="00517A86"/>
    <w:rsid w:val="00517DDC"/>
    <w:rsid w:val="00517FF2"/>
    <w:rsid w:val="0052072D"/>
    <w:rsid w:val="00520CF0"/>
    <w:rsid w:val="00520FCA"/>
    <w:rsid w:val="00521004"/>
    <w:rsid w:val="005210CD"/>
    <w:rsid w:val="00521453"/>
    <w:rsid w:val="005214B7"/>
    <w:rsid w:val="0052160B"/>
    <w:rsid w:val="00521A55"/>
    <w:rsid w:val="00521DE4"/>
    <w:rsid w:val="005226EA"/>
    <w:rsid w:val="00522995"/>
    <w:rsid w:val="00522C47"/>
    <w:rsid w:val="00522E2E"/>
    <w:rsid w:val="00522E3B"/>
    <w:rsid w:val="00522FEA"/>
    <w:rsid w:val="0052313C"/>
    <w:rsid w:val="00523190"/>
    <w:rsid w:val="0052349D"/>
    <w:rsid w:val="00523528"/>
    <w:rsid w:val="005235B0"/>
    <w:rsid w:val="00523C28"/>
    <w:rsid w:val="00524248"/>
    <w:rsid w:val="0052426F"/>
    <w:rsid w:val="005243AE"/>
    <w:rsid w:val="0052448B"/>
    <w:rsid w:val="00524631"/>
    <w:rsid w:val="00524723"/>
    <w:rsid w:val="00524A93"/>
    <w:rsid w:val="00524B41"/>
    <w:rsid w:val="00524BE8"/>
    <w:rsid w:val="00525155"/>
    <w:rsid w:val="005253C8"/>
    <w:rsid w:val="0052575D"/>
    <w:rsid w:val="00525A78"/>
    <w:rsid w:val="00525A7F"/>
    <w:rsid w:val="00526320"/>
    <w:rsid w:val="0052651A"/>
    <w:rsid w:val="005265F9"/>
    <w:rsid w:val="0052684F"/>
    <w:rsid w:val="00526C92"/>
    <w:rsid w:val="005271E4"/>
    <w:rsid w:val="005275FC"/>
    <w:rsid w:val="0052762A"/>
    <w:rsid w:val="0052768C"/>
    <w:rsid w:val="00527717"/>
    <w:rsid w:val="005277BD"/>
    <w:rsid w:val="005277E3"/>
    <w:rsid w:val="005278AC"/>
    <w:rsid w:val="00527FC5"/>
    <w:rsid w:val="005302CE"/>
    <w:rsid w:val="005306CC"/>
    <w:rsid w:val="00530781"/>
    <w:rsid w:val="00530896"/>
    <w:rsid w:val="005310AF"/>
    <w:rsid w:val="00531364"/>
    <w:rsid w:val="0053137F"/>
    <w:rsid w:val="00531D09"/>
    <w:rsid w:val="005320BA"/>
    <w:rsid w:val="00532238"/>
    <w:rsid w:val="00533136"/>
    <w:rsid w:val="0053321F"/>
    <w:rsid w:val="0053347D"/>
    <w:rsid w:val="00533F1E"/>
    <w:rsid w:val="005342C3"/>
    <w:rsid w:val="00534623"/>
    <w:rsid w:val="00534858"/>
    <w:rsid w:val="00534931"/>
    <w:rsid w:val="00534D54"/>
    <w:rsid w:val="0053548C"/>
    <w:rsid w:val="00535551"/>
    <w:rsid w:val="00535839"/>
    <w:rsid w:val="00535944"/>
    <w:rsid w:val="005359A2"/>
    <w:rsid w:val="005359B8"/>
    <w:rsid w:val="00536087"/>
    <w:rsid w:val="0053627E"/>
    <w:rsid w:val="005362F5"/>
    <w:rsid w:val="00536889"/>
    <w:rsid w:val="00536EDC"/>
    <w:rsid w:val="0053725B"/>
    <w:rsid w:val="0053753C"/>
    <w:rsid w:val="00537DD0"/>
    <w:rsid w:val="00537E81"/>
    <w:rsid w:val="005407B1"/>
    <w:rsid w:val="005407E5"/>
    <w:rsid w:val="00540B8A"/>
    <w:rsid w:val="00540C57"/>
    <w:rsid w:val="00540E01"/>
    <w:rsid w:val="00540E50"/>
    <w:rsid w:val="00540EB4"/>
    <w:rsid w:val="00541106"/>
    <w:rsid w:val="0054127E"/>
    <w:rsid w:val="00541710"/>
    <w:rsid w:val="00541B58"/>
    <w:rsid w:val="00541B65"/>
    <w:rsid w:val="00541CBB"/>
    <w:rsid w:val="00541DFC"/>
    <w:rsid w:val="0054215B"/>
    <w:rsid w:val="005428CF"/>
    <w:rsid w:val="005429F8"/>
    <w:rsid w:val="005438A2"/>
    <w:rsid w:val="00543944"/>
    <w:rsid w:val="00543A5F"/>
    <w:rsid w:val="00544331"/>
    <w:rsid w:val="005443F2"/>
    <w:rsid w:val="00544863"/>
    <w:rsid w:val="00544A45"/>
    <w:rsid w:val="00544EA2"/>
    <w:rsid w:val="00544F02"/>
    <w:rsid w:val="00545158"/>
    <w:rsid w:val="005451FC"/>
    <w:rsid w:val="00545390"/>
    <w:rsid w:val="00546109"/>
    <w:rsid w:val="00546141"/>
    <w:rsid w:val="005465C2"/>
    <w:rsid w:val="0054668D"/>
    <w:rsid w:val="00546F2D"/>
    <w:rsid w:val="00547795"/>
    <w:rsid w:val="00547978"/>
    <w:rsid w:val="0055040E"/>
    <w:rsid w:val="005504EB"/>
    <w:rsid w:val="00550539"/>
    <w:rsid w:val="005508A0"/>
    <w:rsid w:val="00550912"/>
    <w:rsid w:val="00550B8A"/>
    <w:rsid w:val="00550FBE"/>
    <w:rsid w:val="005510F5"/>
    <w:rsid w:val="00551315"/>
    <w:rsid w:val="00551774"/>
    <w:rsid w:val="00551EB2"/>
    <w:rsid w:val="00551EBC"/>
    <w:rsid w:val="0055219A"/>
    <w:rsid w:val="00552322"/>
    <w:rsid w:val="005526A3"/>
    <w:rsid w:val="00552CDE"/>
    <w:rsid w:val="00552F94"/>
    <w:rsid w:val="005531BD"/>
    <w:rsid w:val="00553655"/>
    <w:rsid w:val="00553A0F"/>
    <w:rsid w:val="00553A1D"/>
    <w:rsid w:val="00553E8A"/>
    <w:rsid w:val="005540D6"/>
    <w:rsid w:val="00554484"/>
    <w:rsid w:val="00555198"/>
    <w:rsid w:val="00555911"/>
    <w:rsid w:val="00555B29"/>
    <w:rsid w:val="00555BC2"/>
    <w:rsid w:val="00555CA7"/>
    <w:rsid w:val="0055642E"/>
    <w:rsid w:val="0055651D"/>
    <w:rsid w:val="005567B2"/>
    <w:rsid w:val="005567B5"/>
    <w:rsid w:val="005567D5"/>
    <w:rsid w:val="00556964"/>
    <w:rsid w:val="00556C5C"/>
    <w:rsid w:val="00556EF3"/>
    <w:rsid w:val="00556F15"/>
    <w:rsid w:val="00557189"/>
    <w:rsid w:val="005573D8"/>
    <w:rsid w:val="00557870"/>
    <w:rsid w:val="00560171"/>
    <w:rsid w:val="00560272"/>
    <w:rsid w:val="00560277"/>
    <w:rsid w:val="0056037F"/>
    <w:rsid w:val="005604C0"/>
    <w:rsid w:val="00560788"/>
    <w:rsid w:val="00560938"/>
    <w:rsid w:val="00560AF1"/>
    <w:rsid w:val="00560CBF"/>
    <w:rsid w:val="00560DB7"/>
    <w:rsid w:val="00561562"/>
    <w:rsid w:val="00561A36"/>
    <w:rsid w:val="00561DC7"/>
    <w:rsid w:val="00562280"/>
    <w:rsid w:val="00562488"/>
    <w:rsid w:val="00562AFE"/>
    <w:rsid w:val="00562C42"/>
    <w:rsid w:val="0056359E"/>
    <w:rsid w:val="00563844"/>
    <w:rsid w:val="00563863"/>
    <w:rsid w:val="00563942"/>
    <w:rsid w:val="00563DB7"/>
    <w:rsid w:val="00563DE6"/>
    <w:rsid w:val="005641AC"/>
    <w:rsid w:val="00564650"/>
    <w:rsid w:val="0056480C"/>
    <w:rsid w:val="00564D1D"/>
    <w:rsid w:val="00564E48"/>
    <w:rsid w:val="005651E8"/>
    <w:rsid w:val="0056528D"/>
    <w:rsid w:val="00565898"/>
    <w:rsid w:val="00565FE6"/>
    <w:rsid w:val="00566093"/>
    <w:rsid w:val="0056628B"/>
    <w:rsid w:val="00566298"/>
    <w:rsid w:val="0056629D"/>
    <w:rsid w:val="00566799"/>
    <w:rsid w:val="00566A99"/>
    <w:rsid w:val="00566AED"/>
    <w:rsid w:val="00566B3F"/>
    <w:rsid w:val="00566F1B"/>
    <w:rsid w:val="0056712D"/>
    <w:rsid w:val="0056742A"/>
    <w:rsid w:val="00567779"/>
    <w:rsid w:val="00567A15"/>
    <w:rsid w:val="00567B14"/>
    <w:rsid w:val="00567EC5"/>
    <w:rsid w:val="005706CF"/>
    <w:rsid w:val="00570862"/>
    <w:rsid w:val="0057091E"/>
    <w:rsid w:val="00570C40"/>
    <w:rsid w:val="005711C3"/>
    <w:rsid w:val="0057149E"/>
    <w:rsid w:val="0057174A"/>
    <w:rsid w:val="00571A51"/>
    <w:rsid w:val="0057200E"/>
    <w:rsid w:val="005723D6"/>
    <w:rsid w:val="005724F6"/>
    <w:rsid w:val="00572A2E"/>
    <w:rsid w:val="005734C3"/>
    <w:rsid w:val="005735E4"/>
    <w:rsid w:val="00573935"/>
    <w:rsid w:val="00573C64"/>
    <w:rsid w:val="00574034"/>
    <w:rsid w:val="0057413F"/>
    <w:rsid w:val="0057417F"/>
    <w:rsid w:val="00574277"/>
    <w:rsid w:val="005746C4"/>
    <w:rsid w:val="00574791"/>
    <w:rsid w:val="00574A6E"/>
    <w:rsid w:val="00574A9B"/>
    <w:rsid w:val="00574BA4"/>
    <w:rsid w:val="00574BD7"/>
    <w:rsid w:val="00574C3D"/>
    <w:rsid w:val="00574CA1"/>
    <w:rsid w:val="00574EA7"/>
    <w:rsid w:val="005754BB"/>
    <w:rsid w:val="00575AB8"/>
    <w:rsid w:val="00575E36"/>
    <w:rsid w:val="00575FA2"/>
    <w:rsid w:val="0057695F"/>
    <w:rsid w:val="005769B7"/>
    <w:rsid w:val="00576FA1"/>
    <w:rsid w:val="00577145"/>
    <w:rsid w:val="005771CA"/>
    <w:rsid w:val="005771DB"/>
    <w:rsid w:val="00577369"/>
    <w:rsid w:val="005773BE"/>
    <w:rsid w:val="00577601"/>
    <w:rsid w:val="00577880"/>
    <w:rsid w:val="00577BAD"/>
    <w:rsid w:val="0058003D"/>
    <w:rsid w:val="00580093"/>
    <w:rsid w:val="00580275"/>
    <w:rsid w:val="00580A50"/>
    <w:rsid w:val="00580CCB"/>
    <w:rsid w:val="00580E91"/>
    <w:rsid w:val="00580FE6"/>
    <w:rsid w:val="0058147D"/>
    <w:rsid w:val="0058160B"/>
    <w:rsid w:val="00581936"/>
    <w:rsid w:val="00581A0C"/>
    <w:rsid w:val="00581DB5"/>
    <w:rsid w:val="0058235F"/>
    <w:rsid w:val="00582365"/>
    <w:rsid w:val="005823AD"/>
    <w:rsid w:val="00583064"/>
    <w:rsid w:val="00583360"/>
    <w:rsid w:val="00583B0E"/>
    <w:rsid w:val="00583B52"/>
    <w:rsid w:val="00583E33"/>
    <w:rsid w:val="00583F8B"/>
    <w:rsid w:val="005841F3"/>
    <w:rsid w:val="00584631"/>
    <w:rsid w:val="005848D5"/>
    <w:rsid w:val="00584EDE"/>
    <w:rsid w:val="005857CE"/>
    <w:rsid w:val="00585C1B"/>
    <w:rsid w:val="005869F5"/>
    <w:rsid w:val="00586C63"/>
    <w:rsid w:val="00586E10"/>
    <w:rsid w:val="00587639"/>
    <w:rsid w:val="00587D53"/>
    <w:rsid w:val="00590C6C"/>
    <w:rsid w:val="0059110C"/>
    <w:rsid w:val="005911F1"/>
    <w:rsid w:val="005917BB"/>
    <w:rsid w:val="005919E3"/>
    <w:rsid w:val="00591B67"/>
    <w:rsid w:val="00592638"/>
    <w:rsid w:val="005926EF"/>
    <w:rsid w:val="00593138"/>
    <w:rsid w:val="00593263"/>
    <w:rsid w:val="00593323"/>
    <w:rsid w:val="00593A33"/>
    <w:rsid w:val="00593C17"/>
    <w:rsid w:val="00593CCD"/>
    <w:rsid w:val="00594237"/>
    <w:rsid w:val="00594321"/>
    <w:rsid w:val="00594420"/>
    <w:rsid w:val="00594762"/>
    <w:rsid w:val="00594788"/>
    <w:rsid w:val="005947B5"/>
    <w:rsid w:val="005947F4"/>
    <w:rsid w:val="00594899"/>
    <w:rsid w:val="0059495A"/>
    <w:rsid w:val="00594A2C"/>
    <w:rsid w:val="00594A89"/>
    <w:rsid w:val="00594D01"/>
    <w:rsid w:val="00594E96"/>
    <w:rsid w:val="00594EB1"/>
    <w:rsid w:val="00594FB5"/>
    <w:rsid w:val="00595245"/>
    <w:rsid w:val="00595366"/>
    <w:rsid w:val="005955DC"/>
    <w:rsid w:val="005957D3"/>
    <w:rsid w:val="00595848"/>
    <w:rsid w:val="005959ED"/>
    <w:rsid w:val="00595CF2"/>
    <w:rsid w:val="00595D05"/>
    <w:rsid w:val="00595DF5"/>
    <w:rsid w:val="005960BB"/>
    <w:rsid w:val="0059672E"/>
    <w:rsid w:val="005967C4"/>
    <w:rsid w:val="00596F9F"/>
    <w:rsid w:val="00597329"/>
    <w:rsid w:val="00597372"/>
    <w:rsid w:val="00597407"/>
    <w:rsid w:val="00597669"/>
    <w:rsid w:val="0059786E"/>
    <w:rsid w:val="005A03A1"/>
    <w:rsid w:val="005A0496"/>
    <w:rsid w:val="005A0502"/>
    <w:rsid w:val="005A071F"/>
    <w:rsid w:val="005A1366"/>
    <w:rsid w:val="005A1494"/>
    <w:rsid w:val="005A1545"/>
    <w:rsid w:val="005A1820"/>
    <w:rsid w:val="005A1C9F"/>
    <w:rsid w:val="005A28BB"/>
    <w:rsid w:val="005A29AB"/>
    <w:rsid w:val="005A2A03"/>
    <w:rsid w:val="005A2CAE"/>
    <w:rsid w:val="005A2CC5"/>
    <w:rsid w:val="005A3006"/>
    <w:rsid w:val="005A3972"/>
    <w:rsid w:val="005A3BE4"/>
    <w:rsid w:val="005A3D18"/>
    <w:rsid w:val="005A3DBD"/>
    <w:rsid w:val="005A3F6C"/>
    <w:rsid w:val="005A4047"/>
    <w:rsid w:val="005A4363"/>
    <w:rsid w:val="005A4384"/>
    <w:rsid w:val="005A455D"/>
    <w:rsid w:val="005A4906"/>
    <w:rsid w:val="005A51A5"/>
    <w:rsid w:val="005A5798"/>
    <w:rsid w:val="005A5B16"/>
    <w:rsid w:val="005A6455"/>
    <w:rsid w:val="005A7012"/>
    <w:rsid w:val="005A73DB"/>
    <w:rsid w:val="005A79ED"/>
    <w:rsid w:val="005A7A5E"/>
    <w:rsid w:val="005A7A8B"/>
    <w:rsid w:val="005B0092"/>
    <w:rsid w:val="005B022B"/>
    <w:rsid w:val="005B031E"/>
    <w:rsid w:val="005B0B6E"/>
    <w:rsid w:val="005B13CC"/>
    <w:rsid w:val="005B1841"/>
    <w:rsid w:val="005B19DE"/>
    <w:rsid w:val="005B1AEB"/>
    <w:rsid w:val="005B1C07"/>
    <w:rsid w:val="005B1D7E"/>
    <w:rsid w:val="005B1FED"/>
    <w:rsid w:val="005B26D8"/>
    <w:rsid w:val="005B29DE"/>
    <w:rsid w:val="005B3432"/>
    <w:rsid w:val="005B35BD"/>
    <w:rsid w:val="005B39EE"/>
    <w:rsid w:val="005B3BD6"/>
    <w:rsid w:val="005B3D6C"/>
    <w:rsid w:val="005B41F5"/>
    <w:rsid w:val="005B4490"/>
    <w:rsid w:val="005B4782"/>
    <w:rsid w:val="005B4833"/>
    <w:rsid w:val="005B4DD1"/>
    <w:rsid w:val="005B4DEF"/>
    <w:rsid w:val="005B52C9"/>
    <w:rsid w:val="005B59A4"/>
    <w:rsid w:val="005B5CBF"/>
    <w:rsid w:val="005B5E82"/>
    <w:rsid w:val="005B5F4D"/>
    <w:rsid w:val="005B65F9"/>
    <w:rsid w:val="005B68A1"/>
    <w:rsid w:val="005B6EDB"/>
    <w:rsid w:val="005B7055"/>
    <w:rsid w:val="005B79F2"/>
    <w:rsid w:val="005B7C07"/>
    <w:rsid w:val="005B7D6C"/>
    <w:rsid w:val="005B7FA6"/>
    <w:rsid w:val="005C0113"/>
    <w:rsid w:val="005C0AA0"/>
    <w:rsid w:val="005C0BC4"/>
    <w:rsid w:val="005C0C9A"/>
    <w:rsid w:val="005C0F14"/>
    <w:rsid w:val="005C1003"/>
    <w:rsid w:val="005C1A9F"/>
    <w:rsid w:val="005C20A2"/>
    <w:rsid w:val="005C21F9"/>
    <w:rsid w:val="005C22AD"/>
    <w:rsid w:val="005C22C0"/>
    <w:rsid w:val="005C2577"/>
    <w:rsid w:val="005C2888"/>
    <w:rsid w:val="005C2996"/>
    <w:rsid w:val="005C31EC"/>
    <w:rsid w:val="005C3401"/>
    <w:rsid w:val="005C3552"/>
    <w:rsid w:val="005C3E80"/>
    <w:rsid w:val="005C44F1"/>
    <w:rsid w:val="005C49EC"/>
    <w:rsid w:val="005C4A59"/>
    <w:rsid w:val="005C4E0B"/>
    <w:rsid w:val="005C4E3A"/>
    <w:rsid w:val="005C513F"/>
    <w:rsid w:val="005C597C"/>
    <w:rsid w:val="005C5B77"/>
    <w:rsid w:val="005C5B79"/>
    <w:rsid w:val="005C5EB6"/>
    <w:rsid w:val="005C608D"/>
    <w:rsid w:val="005C66AE"/>
    <w:rsid w:val="005C6A1B"/>
    <w:rsid w:val="005C6BD0"/>
    <w:rsid w:val="005C6D42"/>
    <w:rsid w:val="005C7215"/>
    <w:rsid w:val="005C7347"/>
    <w:rsid w:val="005C73C4"/>
    <w:rsid w:val="005C757D"/>
    <w:rsid w:val="005C79F1"/>
    <w:rsid w:val="005C7C2A"/>
    <w:rsid w:val="005D00EA"/>
    <w:rsid w:val="005D023B"/>
    <w:rsid w:val="005D02C4"/>
    <w:rsid w:val="005D0A69"/>
    <w:rsid w:val="005D1024"/>
    <w:rsid w:val="005D119C"/>
    <w:rsid w:val="005D160C"/>
    <w:rsid w:val="005D20A3"/>
    <w:rsid w:val="005D2159"/>
    <w:rsid w:val="005D2237"/>
    <w:rsid w:val="005D22FA"/>
    <w:rsid w:val="005D2304"/>
    <w:rsid w:val="005D2449"/>
    <w:rsid w:val="005D2608"/>
    <w:rsid w:val="005D26F5"/>
    <w:rsid w:val="005D293D"/>
    <w:rsid w:val="005D3172"/>
    <w:rsid w:val="005D3493"/>
    <w:rsid w:val="005D3603"/>
    <w:rsid w:val="005D39F1"/>
    <w:rsid w:val="005D3A04"/>
    <w:rsid w:val="005D3BFD"/>
    <w:rsid w:val="005D41A4"/>
    <w:rsid w:val="005D47F9"/>
    <w:rsid w:val="005D48FE"/>
    <w:rsid w:val="005D5034"/>
    <w:rsid w:val="005D6103"/>
    <w:rsid w:val="005D618B"/>
    <w:rsid w:val="005D640B"/>
    <w:rsid w:val="005D6BAF"/>
    <w:rsid w:val="005D6BC6"/>
    <w:rsid w:val="005D70D4"/>
    <w:rsid w:val="005D7205"/>
    <w:rsid w:val="005D729B"/>
    <w:rsid w:val="005D745C"/>
    <w:rsid w:val="005D7471"/>
    <w:rsid w:val="005D749D"/>
    <w:rsid w:val="005D7A56"/>
    <w:rsid w:val="005D7CE8"/>
    <w:rsid w:val="005D7D1C"/>
    <w:rsid w:val="005E03D0"/>
    <w:rsid w:val="005E0A62"/>
    <w:rsid w:val="005E0BFC"/>
    <w:rsid w:val="005E0D3C"/>
    <w:rsid w:val="005E0F71"/>
    <w:rsid w:val="005E1163"/>
    <w:rsid w:val="005E1360"/>
    <w:rsid w:val="005E1A29"/>
    <w:rsid w:val="005E1ECD"/>
    <w:rsid w:val="005E1F82"/>
    <w:rsid w:val="005E2095"/>
    <w:rsid w:val="005E221B"/>
    <w:rsid w:val="005E23A7"/>
    <w:rsid w:val="005E242F"/>
    <w:rsid w:val="005E2702"/>
    <w:rsid w:val="005E2789"/>
    <w:rsid w:val="005E3370"/>
    <w:rsid w:val="005E3613"/>
    <w:rsid w:val="005E3925"/>
    <w:rsid w:val="005E3D38"/>
    <w:rsid w:val="005E4439"/>
    <w:rsid w:val="005E4846"/>
    <w:rsid w:val="005E5204"/>
    <w:rsid w:val="005E52C6"/>
    <w:rsid w:val="005E5874"/>
    <w:rsid w:val="005E5D5C"/>
    <w:rsid w:val="005E5F0A"/>
    <w:rsid w:val="005E5F60"/>
    <w:rsid w:val="005E5FC9"/>
    <w:rsid w:val="005E6408"/>
    <w:rsid w:val="005E64AA"/>
    <w:rsid w:val="005E6873"/>
    <w:rsid w:val="005E6D8A"/>
    <w:rsid w:val="005E75D5"/>
    <w:rsid w:val="005E75DD"/>
    <w:rsid w:val="005E7C01"/>
    <w:rsid w:val="005E7DD6"/>
    <w:rsid w:val="005F0154"/>
    <w:rsid w:val="005F034D"/>
    <w:rsid w:val="005F070A"/>
    <w:rsid w:val="005F08FF"/>
    <w:rsid w:val="005F0989"/>
    <w:rsid w:val="005F0A95"/>
    <w:rsid w:val="005F0F8E"/>
    <w:rsid w:val="005F1555"/>
    <w:rsid w:val="005F1AAD"/>
    <w:rsid w:val="005F1C20"/>
    <w:rsid w:val="005F1CF9"/>
    <w:rsid w:val="005F1FD1"/>
    <w:rsid w:val="005F2978"/>
    <w:rsid w:val="005F2F5D"/>
    <w:rsid w:val="005F31D8"/>
    <w:rsid w:val="005F329E"/>
    <w:rsid w:val="005F3310"/>
    <w:rsid w:val="005F3316"/>
    <w:rsid w:val="005F34B4"/>
    <w:rsid w:val="005F376B"/>
    <w:rsid w:val="005F39E5"/>
    <w:rsid w:val="005F4372"/>
    <w:rsid w:val="005F4721"/>
    <w:rsid w:val="005F49D5"/>
    <w:rsid w:val="005F4F18"/>
    <w:rsid w:val="005F53DD"/>
    <w:rsid w:val="005F5801"/>
    <w:rsid w:val="005F5D11"/>
    <w:rsid w:val="005F5ED5"/>
    <w:rsid w:val="005F69E9"/>
    <w:rsid w:val="005F6D0C"/>
    <w:rsid w:val="005F700E"/>
    <w:rsid w:val="005F720A"/>
    <w:rsid w:val="005F763D"/>
    <w:rsid w:val="005F7AF1"/>
    <w:rsid w:val="005F7FEF"/>
    <w:rsid w:val="0060019F"/>
    <w:rsid w:val="00600330"/>
    <w:rsid w:val="006003E2"/>
    <w:rsid w:val="00600508"/>
    <w:rsid w:val="00600886"/>
    <w:rsid w:val="00600B2E"/>
    <w:rsid w:val="00600B78"/>
    <w:rsid w:val="00600E85"/>
    <w:rsid w:val="006016CB"/>
    <w:rsid w:val="0060186E"/>
    <w:rsid w:val="00601C28"/>
    <w:rsid w:val="00601DD1"/>
    <w:rsid w:val="00602139"/>
    <w:rsid w:val="0060275A"/>
    <w:rsid w:val="00602F43"/>
    <w:rsid w:val="00603977"/>
    <w:rsid w:val="00603B08"/>
    <w:rsid w:val="00603F3F"/>
    <w:rsid w:val="00604467"/>
    <w:rsid w:val="006045ED"/>
    <w:rsid w:val="00604CA4"/>
    <w:rsid w:val="00604D7F"/>
    <w:rsid w:val="00604DDF"/>
    <w:rsid w:val="006054F2"/>
    <w:rsid w:val="00605776"/>
    <w:rsid w:val="006057BF"/>
    <w:rsid w:val="00605904"/>
    <w:rsid w:val="006059F1"/>
    <w:rsid w:val="006059FD"/>
    <w:rsid w:val="00605DD6"/>
    <w:rsid w:val="00606019"/>
    <w:rsid w:val="00606034"/>
    <w:rsid w:val="006061AF"/>
    <w:rsid w:val="006061D6"/>
    <w:rsid w:val="00606896"/>
    <w:rsid w:val="00606941"/>
    <w:rsid w:val="00606F09"/>
    <w:rsid w:val="00607588"/>
    <w:rsid w:val="00607A96"/>
    <w:rsid w:val="00607B72"/>
    <w:rsid w:val="00607CA1"/>
    <w:rsid w:val="00607D7B"/>
    <w:rsid w:val="00610162"/>
    <w:rsid w:val="006108CE"/>
    <w:rsid w:val="006108F7"/>
    <w:rsid w:val="00610AB5"/>
    <w:rsid w:val="00610ABA"/>
    <w:rsid w:val="00610BB1"/>
    <w:rsid w:val="00611012"/>
    <w:rsid w:val="006113E0"/>
    <w:rsid w:val="00611827"/>
    <w:rsid w:val="00611944"/>
    <w:rsid w:val="0061200C"/>
    <w:rsid w:val="006121B0"/>
    <w:rsid w:val="006123CC"/>
    <w:rsid w:val="00612608"/>
    <w:rsid w:val="00612ED4"/>
    <w:rsid w:val="00613037"/>
    <w:rsid w:val="006135AB"/>
    <w:rsid w:val="006138A1"/>
    <w:rsid w:val="006138E4"/>
    <w:rsid w:val="00613DFE"/>
    <w:rsid w:val="00613EEF"/>
    <w:rsid w:val="0061438A"/>
    <w:rsid w:val="00614408"/>
    <w:rsid w:val="00614436"/>
    <w:rsid w:val="006144F6"/>
    <w:rsid w:val="006146BB"/>
    <w:rsid w:val="0061473B"/>
    <w:rsid w:val="00614BA1"/>
    <w:rsid w:val="00614DA5"/>
    <w:rsid w:val="00614E3A"/>
    <w:rsid w:val="006151E5"/>
    <w:rsid w:val="00615496"/>
    <w:rsid w:val="00615799"/>
    <w:rsid w:val="006158E5"/>
    <w:rsid w:val="00615B1D"/>
    <w:rsid w:val="006162D9"/>
    <w:rsid w:val="00616407"/>
    <w:rsid w:val="00616529"/>
    <w:rsid w:val="00616A49"/>
    <w:rsid w:val="00616C9C"/>
    <w:rsid w:val="00616D5D"/>
    <w:rsid w:val="00616FAD"/>
    <w:rsid w:val="0061787B"/>
    <w:rsid w:val="00617BA6"/>
    <w:rsid w:val="0062002E"/>
    <w:rsid w:val="006203D0"/>
    <w:rsid w:val="006204F3"/>
    <w:rsid w:val="00620882"/>
    <w:rsid w:val="00620A3F"/>
    <w:rsid w:val="00620B2A"/>
    <w:rsid w:val="00620C7A"/>
    <w:rsid w:val="00620E5A"/>
    <w:rsid w:val="00621025"/>
    <w:rsid w:val="00621500"/>
    <w:rsid w:val="00621816"/>
    <w:rsid w:val="00621BCA"/>
    <w:rsid w:val="00621BF0"/>
    <w:rsid w:val="00621D06"/>
    <w:rsid w:val="00621E21"/>
    <w:rsid w:val="0062251C"/>
    <w:rsid w:val="00622541"/>
    <w:rsid w:val="00622715"/>
    <w:rsid w:val="0062272A"/>
    <w:rsid w:val="006227E9"/>
    <w:rsid w:val="0062302F"/>
    <w:rsid w:val="0062351A"/>
    <w:rsid w:val="00623562"/>
    <w:rsid w:val="00623A49"/>
    <w:rsid w:val="00623CAC"/>
    <w:rsid w:val="00623CAE"/>
    <w:rsid w:val="00624135"/>
    <w:rsid w:val="00624299"/>
    <w:rsid w:val="00624389"/>
    <w:rsid w:val="00624609"/>
    <w:rsid w:val="00624631"/>
    <w:rsid w:val="00624CBA"/>
    <w:rsid w:val="00625069"/>
    <w:rsid w:val="006250E9"/>
    <w:rsid w:val="00625328"/>
    <w:rsid w:val="006258DF"/>
    <w:rsid w:val="00625BB8"/>
    <w:rsid w:val="00625D1D"/>
    <w:rsid w:val="00625DD0"/>
    <w:rsid w:val="006262B6"/>
    <w:rsid w:val="0062640C"/>
    <w:rsid w:val="00626517"/>
    <w:rsid w:val="00626BC1"/>
    <w:rsid w:val="006273B2"/>
    <w:rsid w:val="00627405"/>
    <w:rsid w:val="00627671"/>
    <w:rsid w:val="00627C5E"/>
    <w:rsid w:val="00627DD2"/>
    <w:rsid w:val="0063007F"/>
    <w:rsid w:val="00630C24"/>
    <w:rsid w:val="00631310"/>
    <w:rsid w:val="00631AD6"/>
    <w:rsid w:val="00632A17"/>
    <w:rsid w:val="00632BFD"/>
    <w:rsid w:val="0063325E"/>
    <w:rsid w:val="006333C3"/>
    <w:rsid w:val="006335E1"/>
    <w:rsid w:val="00633B2F"/>
    <w:rsid w:val="00634743"/>
    <w:rsid w:val="006347B7"/>
    <w:rsid w:val="00634CCF"/>
    <w:rsid w:val="0063519C"/>
    <w:rsid w:val="0063546B"/>
    <w:rsid w:val="00635DEE"/>
    <w:rsid w:val="006361BE"/>
    <w:rsid w:val="006364A6"/>
    <w:rsid w:val="0063651C"/>
    <w:rsid w:val="00636AF4"/>
    <w:rsid w:val="006373A9"/>
    <w:rsid w:val="006373D0"/>
    <w:rsid w:val="0063741C"/>
    <w:rsid w:val="0063748E"/>
    <w:rsid w:val="00637D93"/>
    <w:rsid w:val="00640462"/>
    <w:rsid w:val="0064055A"/>
    <w:rsid w:val="006405ED"/>
    <w:rsid w:val="00640917"/>
    <w:rsid w:val="00640C31"/>
    <w:rsid w:val="00640DEE"/>
    <w:rsid w:val="00640F34"/>
    <w:rsid w:val="00641D1D"/>
    <w:rsid w:val="00642003"/>
    <w:rsid w:val="006420D0"/>
    <w:rsid w:val="0064229F"/>
    <w:rsid w:val="0064274B"/>
    <w:rsid w:val="00642C7E"/>
    <w:rsid w:val="00642CE1"/>
    <w:rsid w:val="00643226"/>
    <w:rsid w:val="0064354D"/>
    <w:rsid w:val="00643C4A"/>
    <w:rsid w:val="00643F55"/>
    <w:rsid w:val="00644806"/>
    <w:rsid w:val="00644A64"/>
    <w:rsid w:val="0064507E"/>
    <w:rsid w:val="0064597A"/>
    <w:rsid w:val="006459EF"/>
    <w:rsid w:val="00645D96"/>
    <w:rsid w:val="006461EB"/>
    <w:rsid w:val="006465F0"/>
    <w:rsid w:val="006465F3"/>
    <w:rsid w:val="0064695B"/>
    <w:rsid w:val="00646B1F"/>
    <w:rsid w:val="00646F1A"/>
    <w:rsid w:val="006478AE"/>
    <w:rsid w:val="00647FB2"/>
    <w:rsid w:val="00650179"/>
    <w:rsid w:val="00650CB5"/>
    <w:rsid w:val="00650E33"/>
    <w:rsid w:val="00650EA2"/>
    <w:rsid w:val="006513A2"/>
    <w:rsid w:val="0065143B"/>
    <w:rsid w:val="00651468"/>
    <w:rsid w:val="0065149F"/>
    <w:rsid w:val="00651A2C"/>
    <w:rsid w:val="00651ABD"/>
    <w:rsid w:val="00651C42"/>
    <w:rsid w:val="00651C5A"/>
    <w:rsid w:val="00651D6C"/>
    <w:rsid w:val="00651DF0"/>
    <w:rsid w:val="00651F79"/>
    <w:rsid w:val="00651FF7"/>
    <w:rsid w:val="0065217F"/>
    <w:rsid w:val="006526A4"/>
    <w:rsid w:val="00652B7C"/>
    <w:rsid w:val="00652CB3"/>
    <w:rsid w:val="006530B8"/>
    <w:rsid w:val="006534BF"/>
    <w:rsid w:val="006536D9"/>
    <w:rsid w:val="006537D7"/>
    <w:rsid w:val="006539D4"/>
    <w:rsid w:val="00653C13"/>
    <w:rsid w:val="00653D68"/>
    <w:rsid w:val="00653FF6"/>
    <w:rsid w:val="0065444A"/>
    <w:rsid w:val="00654550"/>
    <w:rsid w:val="00654D3B"/>
    <w:rsid w:val="00654E42"/>
    <w:rsid w:val="00654F68"/>
    <w:rsid w:val="0065571E"/>
    <w:rsid w:val="00655ADD"/>
    <w:rsid w:val="00655CF9"/>
    <w:rsid w:val="00655D45"/>
    <w:rsid w:val="0065614C"/>
    <w:rsid w:val="006564B9"/>
    <w:rsid w:val="00656519"/>
    <w:rsid w:val="00656A56"/>
    <w:rsid w:val="00656DCD"/>
    <w:rsid w:val="00656E0B"/>
    <w:rsid w:val="0065714C"/>
    <w:rsid w:val="0065719A"/>
    <w:rsid w:val="006574F2"/>
    <w:rsid w:val="00657546"/>
    <w:rsid w:val="00657793"/>
    <w:rsid w:val="00657919"/>
    <w:rsid w:val="00657B37"/>
    <w:rsid w:val="00660653"/>
    <w:rsid w:val="00660A74"/>
    <w:rsid w:val="00660BCF"/>
    <w:rsid w:val="00660EC6"/>
    <w:rsid w:val="00660F87"/>
    <w:rsid w:val="00660FD5"/>
    <w:rsid w:val="00661A63"/>
    <w:rsid w:val="00661DFD"/>
    <w:rsid w:val="00662197"/>
    <w:rsid w:val="0066240A"/>
    <w:rsid w:val="006626FB"/>
    <w:rsid w:val="00662A62"/>
    <w:rsid w:val="00662E5F"/>
    <w:rsid w:val="0066303C"/>
    <w:rsid w:val="006632C5"/>
    <w:rsid w:val="0066358A"/>
    <w:rsid w:val="0066392A"/>
    <w:rsid w:val="00664022"/>
    <w:rsid w:val="006640A0"/>
    <w:rsid w:val="00664302"/>
    <w:rsid w:val="0066439B"/>
    <w:rsid w:val="00664434"/>
    <w:rsid w:val="006645AD"/>
    <w:rsid w:val="006646DD"/>
    <w:rsid w:val="00664B4C"/>
    <w:rsid w:val="00664E7C"/>
    <w:rsid w:val="00664F4C"/>
    <w:rsid w:val="00664FA9"/>
    <w:rsid w:val="00664FF0"/>
    <w:rsid w:val="00665032"/>
    <w:rsid w:val="0066517E"/>
    <w:rsid w:val="006651DD"/>
    <w:rsid w:val="00665394"/>
    <w:rsid w:val="0066561F"/>
    <w:rsid w:val="00665660"/>
    <w:rsid w:val="0066598C"/>
    <w:rsid w:val="00665DE6"/>
    <w:rsid w:val="00665DEC"/>
    <w:rsid w:val="00665F5E"/>
    <w:rsid w:val="00666038"/>
    <w:rsid w:val="00666770"/>
    <w:rsid w:val="00666A45"/>
    <w:rsid w:val="00666A58"/>
    <w:rsid w:val="00666ADF"/>
    <w:rsid w:val="00666D78"/>
    <w:rsid w:val="006675B3"/>
    <w:rsid w:val="00667700"/>
    <w:rsid w:val="0066795C"/>
    <w:rsid w:val="006679A2"/>
    <w:rsid w:val="00667A0E"/>
    <w:rsid w:val="00667A9E"/>
    <w:rsid w:val="00670501"/>
    <w:rsid w:val="00670650"/>
    <w:rsid w:val="006707DF"/>
    <w:rsid w:val="00670B04"/>
    <w:rsid w:val="00671291"/>
    <w:rsid w:val="006712A4"/>
    <w:rsid w:val="006712C0"/>
    <w:rsid w:val="006712EE"/>
    <w:rsid w:val="006719E4"/>
    <w:rsid w:val="00671CA4"/>
    <w:rsid w:val="00672378"/>
    <w:rsid w:val="006723E1"/>
    <w:rsid w:val="00672A7A"/>
    <w:rsid w:val="00672CBD"/>
    <w:rsid w:val="00672E5A"/>
    <w:rsid w:val="00673571"/>
    <w:rsid w:val="0067360D"/>
    <w:rsid w:val="006744AC"/>
    <w:rsid w:val="0067452E"/>
    <w:rsid w:val="0067499A"/>
    <w:rsid w:val="00674AD6"/>
    <w:rsid w:val="00674C7D"/>
    <w:rsid w:val="00674EA3"/>
    <w:rsid w:val="006754F3"/>
    <w:rsid w:val="00675699"/>
    <w:rsid w:val="00675783"/>
    <w:rsid w:val="00675A27"/>
    <w:rsid w:val="00675CFF"/>
    <w:rsid w:val="00675FBD"/>
    <w:rsid w:val="00676767"/>
    <w:rsid w:val="00676847"/>
    <w:rsid w:val="00676DA5"/>
    <w:rsid w:val="00676E44"/>
    <w:rsid w:val="00677009"/>
    <w:rsid w:val="0067716E"/>
    <w:rsid w:val="00677409"/>
    <w:rsid w:val="00677519"/>
    <w:rsid w:val="00677671"/>
    <w:rsid w:val="006777C1"/>
    <w:rsid w:val="00680350"/>
    <w:rsid w:val="00680988"/>
    <w:rsid w:val="00680990"/>
    <w:rsid w:val="00680A1F"/>
    <w:rsid w:val="00680B40"/>
    <w:rsid w:val="00680C24"/>
    <w:rsid w:val="006812A4"/>
    <w:rsid w:val="006814BA"/>
    <w:rsid w:val="0068193E"/>
    <w:rsid w:val="006819A3"/>
    <w:rsid w:val="00681BBE"/>
    <w:rsid w:val="00681EC9"/>
    <w:rsid w:val="006822FA"/>
    <w:rsid w:val="0068265A"/>
    <w:rsid w:val="006826C2"/>
    <w:rsid w:val="006826F9"/>
    <w:rsid w:val="0068288C"/>
    <w:rsid w:val="00682F18"/>
    <w:rsid w:val="00682F30"/>
    <w:rsid w:val="00683309"/>
    <w:rsid w:val="00683744"/>
    <w:rsid w:val="006838FC"/>
    <w:rsid w:val="00683EF3"/>
    <w:rsid w:val="00683F36"/>
    <w:rsid w:val="00684246"/>
    <w:rsid w:val="0068470E"/>
    <w:rsid w:val="0068499E"/>
    <w:rsid w:val="00684DBB"/>
    <w:rsid w:val="00685070"/>
    <w:rsid w:val="006850E2"/>
    <w:rsid w:val="006852B8"/>
    <w:rsid w:val="0068546E"/>
    <w:rsid w:val="0068550F"/>
    <w:rsid w:val="00685589"/>
    <w:rsid w:val="00685637"/>
    <w:rsid w:val="00685B29"/>
    <w:rsid w:val="00685F4E"/>
    <w:rsid w:val="0068682C"/>
    <w:rsid w:val="00687109"/>
    <w:rsid w:val="006872CE"/>
    <w:rsid w:val="006876F8"/>
    <w:rsid w:val="00687852"/>
    <w:rsid w:val="006879FD"/>
    <w:rsid w:val="00687E65"/>
    <w:rsid w:val="006900CC"/>
    <w:rsid w:val="006902F1"/>
    <w:rsid w:val="0069156C"/>
    <w:rsid w:val="00691761"/>
    <w:rsid w:val="0069195C"/>
    <w:rsid w:val="00691A36"/>
    <w:rsid w:val="00691B52"/>
    <w:rsid w:val="00691B80"/>
    <w:rsid w:val="0069204B"/>
    <w:rsid w:val="0069225E"/>
    <w:rsid w:val="00693749"/>
    <w:rsid w:val="006938AA"/>
    <w:rsid w:val="00693972"/>
    <w:rsid w:val="006939CF"/>
    <w:rsid w:val="00693B32"/>
    <w:rsid w:val="006942A5"/>
    <w:rsid w:val="006945FA"/>
    <w:rsid w:val="0069474B"/>
    <w:rsid w:val="0069475D"/>
    <w:rsid w:val="00694D47"/>
    <w:rsid w:val="00695059"/>
    <w:rsid w:val="006951F9"/>
    <w:rsid w:val="00695308"/>
    <w:rsid w:val="00695553"/>
    <w:rsid w:val="006956A9"/>
    <w:rsid w:val="00697502"/>
    <w:rsid w:val="0069789C"/>
    <w:rsid w:val="0069793F"/>
    <w:rsid w:val="00697966"/>
    <w:rsid w:val="00697D25"/>
    <w:rsid w:val="006A0BA5"/>
    <w:rsid w:val="006A0BE8"/>
    <w:rsid w:val="006A1289"/>
    <w:rsid w:val="006A1306"/>
    <w:rsid w:val="006A1411"/>
    <w:rsid w:val="006A1553"/>
    <w:rsid w:val="006A1669"/>
    <w:rsid w:val="006A16AB"/>
    <w:rsid w:val="006A1DB3"/>
    <w:rsid w:val="006A2873"/>
    <w:rsid w:val="006A2F55"/>
    <w:rsid w:val="006A3115"/>
    <w:rsid w:val="006A33D5"/>
    <w:rsid w:val="006A33DF"/>
    <w:rsid w:val="006A37EE"/>
    <w:rsid w:val="006A3A2B"/>
    <w:rsid w:val="006A3E04"/>
    <w:rsid w:val="006A42AF"/>
    <w:rsid w:val="006A4358"/>
    <w:rsid w:val="006A47F1"/>
    <w:rsid w:val="006A4A9D"/>
    <w:rsid w:val="006A5170"/>
    <w:rsid w:val="006A55A9"/>
    <w:rsid w:val="006A5637"/>
    <w:rsid w:val="006A57CA"/>
    <w:rsid w:val="006A5AB1"/>
    <w:rsid w:val="006A5DAE"/>
    <w:rsid w:val="006A6156"/>
    <w:rsid w:val="006A62D5"/>
    <w:rsid w:val="006A66E9"/>
    <w:rsid w:val="006A6839"/>
    <w:rsid w:val="006A685E"/>
    <w:rsid w:val="006A6BA8"/>
    <w:rsid w:val="006A6BF1"/>
    <w:rsid w:val="006A727B"/>
    <w:rsid w:val="006A7708"/>
    <w:rsid w:val="006A7B46"/>
    <w:rsid w:val="006A7D74"/>
    <w:rsid w:val="006B010D"/>
    <w:rsid w:val="006B0535"/>
    <w:rsid w:val="006B07F0"/>
    <w:rsid w:val="006B0B50"/>
    <w:rsid w:val="006B0BED"/>
    <w:rsid w:val="006B0CF1"/>
    <w:rsid w:val="006B0E9B"/>
    <w:rsid w:val="006B101A"/>
    <w:rsid w:val="006B1712"/>
    <w:rsid w:val="006B1855"/>
    <w:rsid w:val="006B1E18"/>
    <w:rsid w:val="006B20CC"/>
    <w:rsid w:val="006B2153"/>
    <w:rsid w:val="006B2167"/>
    <w:rsid w:val="006B2545"/>
    <w:rsid w:val="006B3032"/>
    <w:rsid w:val="006B305E"/>
    <w:rsid w:val="006B312C"/>
    <w:rsid w:val="006B335A"/>
    <w:rsid w:val="006B470A"/>
    <w:rsid w:val="006B47A4"/>
    <w:rsid w:val="006B47FE"/>
    <w:rsid w:val="006B4897"/>
    <w:rsid w:val="006B4A14"/>
    <w:rsid w:val="006B4B4A"/>
    <w:rsid w:val="006B4D73"/>
    <w:rsid w:val="006B503F"/>
    <w:rsid w:val="006B50C9"/>
    <w:rsid w:val="006B5985"/>
    <w:rsid w:val="006B5C72"/>
    <w:rsid w:val="006B62B4"/>
    <w:rsid w:val="006B668D"/>
    <w:rsid w:val="006B66F8"/>
    <w:rsid w:val="006B690F"/>
    <w:rsid w:val="006B6DB1"/>
    <w:rsid w:val="006B72F3"/>
    <w:rsid w:val="006B75C6"/>
    <w:rsid w:val="006B7B5C"/>
    <w:rsid w:val="006B7DF4"/>
    <w:rsid w:val="006B7FBB"/>
    <w:rsid w:val="006C0381"/>
    <w:rsid w:val="006C0B36"/>
    <w:rsid w:val="006C0C77"/>
    <w:rsid w:val="006C0FA2"/>
    <w:rsid w:val="006C183C"/>
    <w:rsid w:val="006C1BCB"/>
    <w:rsid w:val="006C1C6A"/>
    <w:rsid w:val="006C2110"/>
    <w:rsid w:val="006C25C6"/>
    <w:rsid w:val="006C267D"/>
    <w:rsid w:val="006C2729"/>
    <w:rsid w:val="006C2F4B"/>
    <w:rsid w:val="006C3129"/>
    <w:rsid w:val="006C3355"/>
    <w:rsid w:val="006C354C"/>
    <w:rsid w:val="006C3AD0"/>
    <w:rsid w:val="006C3B76"/>
    <w:rsid w:val="006C3C32"/>
    <w:rsid w:val="006C3EDA"/>
    <w:rsid w:val="006C4138"/>
    <w:rsid w:val="006C4305"/>
    <w:rsid w:val="006C4572"/>
    <w:rsid w:val="006C480B"/>
    <w:rsid w:val="006C48A5"/>
    <w:rsid w:val="006C4E3D"/>
    <w:rsid w:val="006C51A0"/>
    <w:rsid w:val="006C57A5"/>
    <w:rsid w:val="006C582D"/>
    <w:rsid w:val="006C5A53"/>
    <w:rsid w:val="006C5E97"/>
    <w:rsid w:val="006C610C"/>
    <w:rsid w:val="006C6794"/>
    <w:rsid w:val="006C6F76"/>
    <w:rsid w:val="006C707B"/>
    <w:rsid w:val="006C7087"/>
    <w:rsid w:val="006C7B03"/>
    <w:rsid w:val="006C7C8C"/>
    <w:rsid w:val="006D001E"/>
    <w:rsid w:val="006D023A"/>
    <w:rsid w:val="006D0A8F"/>
    <w:rsid w:val="006D0EC2"/>
    <w:rsid w:val="006D1797"/>
    <w:rsid w:val="006D1EB9"/>
    <w:rsid w:val="006D2278"/>
    <w:rsid w:val="006D238D"/>
    <w:rsid w:val="006D2578"/>
    <w:rsid w:val="006D28CE"/>
    <w:rsid w:val="006D2CA9"/>
    <w:rsid w:val="006D30F6"/>
    <w:rsid w:val="006D3177"/>
    <w:rsid w:val="006D3457"/>
    <w:rsid w:val="006D3790"/>
    <w:rsid w:val="006D3A6D"/>
    <w:rsid w:val="006D43B8"/>
    <w:rsid w:val="006D442A"/>
    <w:rsid w:val="006D4633"/>
    <w:rsid w:val="006D46CA"/>
    <w:rsid w:val="006D4BE3"/>
    <w:rsid w:val="006D4C72"/>
    <w:rsid w:val="006D4E3D"/>
    <w:rsid w:val="006D4E4C"/>
    <w:rsid w:val="006D505F"/>
    <w:rsid w:val="006D5379"/>
    <w:rsid w:val="006D5585"/>
    <w:rsid w:val="006D56E6"/>
    <w:rsid w:val="006D5A41"/>
    <w:rsid w:val="006D5F76"/>
    <w:rsid w:val="006D62F5"/>
    <w:rsid w:val="006D6BD7"/>
    <w:rsid w:val="006D6D96"/>
    <w:rsid w:val="006D7211"/>
    <w:rsid w:val="006D75C8"/>
    <w:rsid w:val="006D769B"/>
    <w:rsid w:val="006D7A3D"/>
    <w:rsid w:val="006D7AB1"/>
    <w:rsid w:val="006D7CBB"/>
    <w:rsid w:val="006E0133"/>
    <w:rsid w:val="006E0294"/>
    <w:rsid w:val="006E0414"/>
    <w:rsid w:val="006E0478"/>
    <w:rsid w:val="006E0498"/>
    <w:rsid w:val="006E051B"/>
    <w:rsid w:val="006E05E2"/>
    <w:rsid w:val="006E0D62"/>
    <w:rsid w:val="006E0F99"/>
    <w:rsid w:val="006E246C"/>
    <w:rsid w:val="006E2663"/>
    <w:rsid w:val="006E283B"/>
    <w:rsid w:val="006E2AE7"/>
    <w:rsid w:val="006E2C68"/>
    <w:rsid w:val="006E2CF5"/>
    <w:rsid w:val="006E2D8C"/>
    <w:rsid w:val="006E2EDD"/>
    <w:rsid w:val="006E3222"/>
    <w:rsid w:val="006E334C"/>
    <w:rsid w:val="006E34F5"/>
    <w:rsid w:val="006E36DD"/>
    <w:rsid w:val="006E3AD8"/>
    <w:rsid w:val="006E3F2A"/>
    <w:rsid w:val="006E41E4"/>
    <w:rsid w:val="006E461D"/>
    <w:rsid w:val="006E46E7"/>
    <w:rsid w:val="006E49CC"/>
    <w:rsid w:val="006E4C5A"/>
    <w:rsid w:val="006E4C7B"/>
    <w:rsid w:val="006E4CA6"/>
    <w:rsid w:val="006E5627"/>
    <w:rsid w:val="006E59CC"/>
    <w:rsid w:val="006E5AAC"/>
    <w:rsid w:val="006E5BE1"/>
    <w:rsid w:val="006E61E3"/>
    <w:rsid w:val="006E6373"/>
    <w:rsid w:val="006E648D"/>
    <w:rsid w:val="006E6558"/>
    <w:rsid w:val="006E65C7"/>
    <w:rsid w:val="006E6894"/>
    <w:rsid w:val="006E68BC"/>
    <w:rsid w:val="006E6C4D"/>
    <w:rsid w:val="006E7088"/>
    <w:rsid w:val="006E7496"/>
    <w:rsid w:val="006E7571"/>
    <w:rsid w:val="006E75F2"/>
    <w:rsid w:val="006E7ED5"/>
    <w:rsid w:val="006F048F"/>
    <w:rsid w:val="006F0A0F"/>
    <w:rsid w:val="006F0C81"/>
    <w:rsid w:val="006F0D46"/>
    <w:rsid w:val="006F0E06"/>
    <w:rsid w:val="006F0F29"/>
    <w:rsid w:val="006F116A"/>
    <w:rsid w:val="006F136C"/>
    <w:rsid w:val="006F1512"/>
    <w:rsid w:val="006F1676"/>
    <w:rsid w:val="006F17B7"/>
    <w:rsid w:val="006F18D8"/>
    <w:rsid w:val="006F1FD3"/>
    <w:rsid w:val="006F23DD"/>
    <w:rsid w:val="006F24EF"/>
    <w:rsid w:val="006F25AF"/>
    <w:rsid w:val="006F2792"/>
    <w:rsid w:val="006F2930"/>
    <w:rsid w:val="006F3390"/>
    <w:rsid w:val="006F382F"/>
    <w:rsid w:val="006F3DF8"/>
    <w:rsid w:val="006F3E71"/>
    <w:rsid w:val="006F499B"/>
    <w:rsid w:val="006F4B96"/>
    <w:rsid w:val="006F4D71"/>
    <w:rsid w:val="006F5158"/>
    <w:rsid w:val="006F55E9"/>
    <w:rsid w:val="006F63C4"/>
    <w:rsid w:val="006F6526"/>
    <w:rsid w:val="006F666A"/>
    <w:rsid w:val="006F669F"/>
    <w:rsid w:val="006F6A23"/>
    <w:rsid w:val="006F6A61"/>
    <w:rsid w:val="006F6A67"/>
    <w:rsid w:val="006F6BD5"/>
    <w:rsid w:val="006F6C78"/>
    <w:rsid w:val="006F78CE"/>
    <w:rsid w:val="006F7956"/>
    <w:rsid w:val="006F7AFA"/>
    <w:rsid w:val="0070044A"/>
    <w:rsid w:val="007006A7"/>
    <w:rsid w:val="00700950"/>
    <w:rsid w:val="00700BF9"/>
    <w:rsid w:val="00700F40"/>
    <w:rsid w:val="00701010"/>
    <w:rsid w:val="007010AE"/>
    <w:rsid w:val="00701136"/>
    <w:rsid w:val="007011BA"/>
    <w:rsid w:val="00701256"/>
    <w:rsid w:val="00702229"/>
    <w:rsid w:val="007025D1"/>
    <w:rsid w:val="0070276F"/>
    <w:rsid w:val="00702F5C"/>
    <w:rsid w:val="00702FFC"/>
    <w:rsid w:val="007030C3"/>
    <w:rsid w:val="0070315C"/>
    <w:rsid w:val="0070319A"/>
    <w:rsid w:val="007036DC"/>
    <w:rsid w:val="0070396D"/>
    <w:rsid w:val="00703A4E"/>
    <w:rsid w:val="00703CB4"/>
    <w:rsid w:val="00703E5A"/>
    <w:rsid w:val="00703EE6"/>
    <w:rsid w:val="007041EA"/>
    <w:rsid w:val="0070433B"/>
    <w:rsid w:val="00704467"/>
    <w:rsid w:val="007048E2"/>
    <w:rsid w:val="007049F7"/>
    <w:rsid w:val="00704D8E"/>
    <w:rsid w:val="007055CB"/>
    <w:rsid w:val="00705799"/>
    <w:rsid w:val="00706381"/>
    <w:rsid w:val="00706C7A"/>
    <w:rsid w:val="00706E00"/>
    <w:rsid w:val="00706E61"/>
    <w:rsid w:val="00706FD3"/>
    <w:rsid w:val="007070B6"/>
    <w:rsid w:val="007071FD"/>
    <w:rsid w:val="007073AD"/>
    <w:rsid w:val="0070764C"/>
    <w:rsid w:val="007076AA"/>
    <w:rsid w:val="0070781B"/>
    <w:rsid w:val="007078B4"/>
    <w:rsid w:val="00707A45"/>
    <w:rsid w:val="00707C18"/>
    <w:rsid w:val="00707C37"/>
    <w:rsid w:val="00707DF1"/>
    <w:rsid w:val="0071003E"/>
    <w:rsid w:val="007103A9"/>
    <w:rsid w:val="00710878"/>
    <w:rsid w:val="007108A2"/>
    <w:rsid w:val="00710D7C"/>
    <w:rsid w:val="00710E0B"/>
    <w:rsid w:val="007110CD"/>
    <w:rsid w:val="007112DF"/>
    <w:rsid w:val="007115DE"/>
    <w:rsid w:val="00711615"/>
    <w:rsid w:val="00712224"/>
    <w:rsid w:val="007122E6"/>
    <w:rsid w:val="0071254D"/>
    <w:rsid w:val="007127AB"/>
    <w:rsid w:val="00713494"/>
    <w:rsid w:val="007136D9"/>
    <w:rsid w:val="007137C6"/>
    <w:rsid w:val="0071396A"/>
    <w:rsid w:val="0071404B"/>
    <w:rsid w:val="007140E3"/>
    <w:rsid w:val="00714242"/>
    <w:rsid w:val="00714963"/>
    <w:rsid w:val="00714BAD"/>
    <w:rsid w:val="007152AD"/>
    <w:rsid w:val="00715368"/>
    <w:rsid w:val="00715761"/>
    <w:rsid w:val="00715784"/>
    <w:rsid w:val="007157E4"/>
    <w:rsid w:val="00715BE8"/>
    <w:rsid w:val="00715CB1"/>
    <w:rsid w:val="00715EFA"/>
    <w:rsid w:val="00716AD2"/>
    <w:rsid w:val="00716BA1"/>
    <w:rsid w:val="00716CC9"/>
    <w:rsid w:val="00716E6D"/>
    <w:rsid w:val="00716E72"/>
    <w:rsid w:val="0071700E"/>
    <w:rsid w:val="007170CD"/>
    <w:rsid w:val="007174BF"/>
    <w:rsid w:val="00717627"/>
    <w:rsid w:val="007176D2"/>
    <w:rsid w:val="00717A9A"/>
    <w:rsid w:val="007203CA"/>
    <w:rsid w:val="007205A0"/>
    <w:rsid w:val="00720800"/>
    <w:rsid w:val="00720A92"/>
    <w:rsid w:val="00721B6F"/>
    <w:rsid w:val="00721C07"/>
    <w:rsid w:val="007221BF"/>
    <w:rsid w:val="0072265E"/>
    <w:rsid w:val="007226F5"/>
    <w:rsid w:val="0072297C"/>
    <w:rsid w:val="00722E32"/>
    <w:rsid w:val="00722EC7"/>
    <w:rsid w:val="00722F99"/>
    <w:rsid w:val="00723553"/>
    <w:rsid w:val="0072370B"/>
    <w:rsid w:val="00723741"/>
    <w:rsid w:val="00723816"/>
    <w:rsid w:val="007238C0"/>
    <w:rsid w:val="00723B2C"/>
    <w:rsid w:val="00723E27"/>
    <w:rsid w:val="00723EA1"/>
    <w:rsid w:val="0072419C"/>
    <w:rsid w:val="00724217"/>
    <w:rsid w:val="00724440"/>
    <w:rsid w:val="0072449F"/>
    <w:rsid w:val="007248DA"/>
    <w:rsid w:val="0072493B"/>
    <w:rsid w:val="00724D6F"/>
    <w:rsid w:val="00724E37"/>
    <w:rsid w:val="00724ED0"/>
    <w:rsid w:val="00724F92"/>
    <w:rsid w:val="00725310"/>
    <w:rsid w:val="007253D6"/>
    <w:rsid w:val="0072578A"/>
    <w:rsid w:val="0072597A"/>
    <w:rsid w:val="00725ADF"/>
    <w:rsid w:val="00725B31"/>
    <w:rsid w:val="00726379"/>
    <w:rsid w:val="00726382"/>
    <w:rsid w:val="00726532"/>
    <w:rsid w:val="007269BE"/>
    <w:rsid w:val="00726A42"/>
    <w:rsid w:val="00726C3F"/>
    <w:rsid w:val="00726F69"/>
    <w:rsid w:val="00726F91"/>
    <w:rsid w:val="0072726E"/>
    <w:rsid w:val="0072729F"/>
    <w:rsid w:val="0072790E"/>
    <w:rsid w:val="00727978"/>
    <w:rsid w:val="00727D12"/>
    <w:rsid w:val="00727ED5"/>
    <w:rsid w:val="0073020A"/>
    <w:rsid w:val="00730522"/>
    <w:rsid w:val="0073055A"/>
    <w:rsid w:val="00730595"/>
    <w:rsid w:val="007305EB"/>
    <w:rsid w:val="007306AE"/>
    <w:rsid w:val="00730702"/>
    <w:rsid w:val="00730C03"/>
    <w:rsid w:val="00730C67"/>
    <w:rsid w:val="007319D0"/>
    <w:rsid w:val="00731BBD"/>
    <w:rsid w:val="0073249E"/>
    <w:rsid w:val="0073264E"/>
    <w:rsid w:val="00732662"/>
    <w:rsid w:val="0073277F"/>
    <w:rsid w:val="0073308F"/>
    <w:rsid w:val="007334B6"/>
    <w:rsid w:val="0073355E"/>
    <w:rsid w:val="00733914"/>
    <w:rsid w:val="00734115"/>
    <w:rsid w:val="007341BF"/>
    <w:rsid w:val="00734A5F"/>
    <w:rsid w:val="00734D36"/>
    <w:rsid w:val="00734F0A"/>
    <w:rsid w:val="00734FD1"/>
    <w:rsid w:val="00734FD3"/>
    <w:rsid w:val="00735191"/>
    <w:rsid w:val="00735529"/>
    <w:rsid w:val="00735900"/>
    <w:rsid w:val="00735DB8"/>
    <w:rsid w:val="00735E9E"/>
    <w:rsid w:val="00736368"/>
    <w:rsid w:val="00736453"/>
    <w:rsid w:val="00736B53"/>
    <w:rsid w:val="00736E52"/>
    <w:rsid w:val="00736EE9"/>
    <w:rsid w:val="0073775F"/>
    <w:rsid w:val="0073792C"/>
    <w:rsid w:val="00737959"/>
    <w:rsid w:val="00737AAB"/>
    <w:rsid w:val="0074032D"/>
    <w:rsid w:val="007403EC"/>
    <w:rsid w:val="00740993"/>
    <w:rsid w:val="007410F8"/>
    <w:rsid w:val="007413DE"/>
    <w:rsid w:val="00741596"/>
    <w:rsid w:val="0074162C"/>
    <w:rsid w:val="00741713"/>
    <w:rsid w:val="007418E8"/>
    <w:rsid w:val="00741A91"/>
    <w:rsid w:val="00741B21"/>
    <w:rsid w:val="00741E01"/>
    <w:rsid w:val="00741EFE"/>
    <w:rsid w:val="00742436"/>
    <w:rsid w:val="0074257A"/>
    <w:rsid w:val="007428B4"/>
    <w:rsid w:val="00742C40"/>
    <w:rsid w:val="00742C8A"/>
    <w:rsid w:val="00742DEA"/>
    <w:rsid w:val="00743245"/>
    <w:rsid w:val="007435E5"/>
    <w:rsid w:val="00743A4E"/>
    <w:rsid w:val="00743DBA"/>
    <w:rsid w:val="0074435C"/>
    <w:rsid w:val="0074475B"/>
    <w:rsid w:val="00744BC1"/>
    <w:rsid w:val="00745559"/>
    <w:rsid w:val="00745615"/>
    <w:rsid w:val="00745EDA"/>
    <w:rsid w:val="00746143"/>
    <w:rsid w:val="0074646B"/>
    <w:rsid w:val="00746689"/>
    <w:rsid w:val="00746869"/>
    <w:rsid w:val="0074706E"/>
    <w:rsid w:val="00747434"/>
    <w:rsid w:val="007476A3"/>
    <w:rsid w:val="0074788B"/>
    <w:rsid w:val="007479C4"/>
    <w:rsid w:val="007501ED"/>
    <w:rsid w:val="00750266"/>
    <w:rsid w:val="007503AA"/>
    <w:rsid w:val="00750478"/>
    <w:rsid w:val="00750A1A"/>
    <w:rsid w:val="00750C0B"/>
    <w:rsid w:val="00750D79"/>
    <w:rsid w:val="0075137C"/>
    <w:rsid w:val="007515F6"/>
    <w:rsid w:val="007516DB"/>
    <w:rsid w:val="00752A8D"/>
    <w:rsid w:val="00752B98"/>
    <w:rsid w:val="00754003"/>
    <w:rsid w:val="0075418A"/>
    <w:rsid w:val="007542B3"/>
    <w:rsid w:val="00754381"/>
    <w:rsid w:val="00754491"/>
    <w:rsid w:val="00754A05"/>
    <w:rsid w:val="007550CD"/>
    <w:rsid w:val="0075548A"/>
    <w:rsid w:val="007555C2"/>
    <w:rsid w:val="00755757"/>
    <w:rsid w:val="00756C1B"/>
    <w:rsid w:val="00756CF7"/>
    <w:rsid w:val="007570A1"/>
    <w:rsid w:val="00757251"/>
    <w:rsid w:val="0075760C"/>
    <w:rsid w:val="0075799D"/>
    <w:rsid w:val="00757BBA"/>
    <w:rsid w:val="00757CC5"/>
    <w:rsid w:val="00760088"/>
    <w:rsid w:val="00760621"/>
    <w:rsid w:val="00760CA6"/>
    <w:rsid w:val="00760DEF"/>
    <w:rsid w:val="00760FB6"/>
    <w:rsid w:val="0076105C"/>
    <w:rsid w:val="007612D7"/>
    <w:rsid w:val="0076133A"/>
    <w:rsid w:val="00761636"/>
    <w:rsid w:val="007616FC"/>
    <w:rsid w:val="00761E77"/>
    <w:rsid w:val="007621C8"/>
    <w:rsid w:val="0076260D"/>
    <w:rsid w:val="00762612"/>
    <w:rsid w:val="00762BCF"/>
    <w:rsid w:val="00762CB1"/>
    <w:rsid w:val="00762EA8"/>
    <w:rsid w:val="0076329D"/>
    <w:rsid w:val="00763313"/>
    <w:rsid w:val="00763782"/>
    <w:rsid w:val="007637C3"/>
    <w:rsid w:val="00763A3A"/>
    <w:rsid w:val="00763B77"/>
    <w:rsid w:val="00763C84"/>
    <w:rsid w:val="00763D03"/>
    <w:rsid w:val="007642B1"/>
    <w:rsid w:val="00764309"/>
    <w:rsid w:val="00764887"/>
    <w:rsid w:val="00764AC5"/>
    <w:rsid w:val="00764D02"/>
    <w:rsid w:val="00764DF7"/>
    <w:rsid w:val="00764F15"/>
    <w:rsid w:val="007650B3"/>
    <w:rsid w:val="00765A7F"/>
    <w:rsid w:val="00765B8D"/>
    <w:rsid w:val="00765D88"/>
    <w:rsid w:val="00765ECA"/>
    <w:rsid w:val="00765FA8"/>
    <w:rsid w:val="00766293"/>
    <w:rsid w:val="00766886"/>
    <w:rsid w:val="007669EC"/>
    <w:rsid w:val="0076702C"/>
    <w:rsid w:val="00767B75"/>
    <w:rsid w:val="00767C2C"/>
    <w:rsid w:val="00767F6C"/>
    <w:rsid w:val="00770D00"/>
    <w:rsid w:val="00771066"/>
    <w:rsid w:val="00771346"/>
    <w:rsid w:val="007715B8"/>
    <w:rsid w:val="00771D77"/>
    <w:rsid w:val="00771EAC"/>
    <w:rsid w:val="00771EB8"/>
    <w:rsid w:val="0077224A"/>
    <w:rsid w:val="007724C8"/>
    <w:rsid w:val="007726BC"/>
    <w:rsid w:val="007727C6"/>
    <w:rsid w:val="00772829"/>
    <w:rsid w:val="00772844"/>
    <w:rsid w:val="00772B20"/>
    <w:rsid w:val="00772E2F"/>
    <w:rsid w:val="00772E8B"/>
    <w:rsid w:val="00772F99"/>
    <w:rsid w:val="007737C4"/>
    <w:rsid w:val="00773801"/>
    <w:rsid w:val="007744CE"/>
    <w:rsid w:val="007750FD"/>
    <w:rsid w:val="007759F4"/>
    <w:rsid w:val="00776140"/>
    <w:rsid w:val="007763A0"/>
    <w:rsid w:val="00776406"/>
    <w:rsid w:val="0077648A"/>
    <w:rsid w:val="00776561"/>
    <w:rsid w:val="00776997"/>
    <w:rsid w:val="00776AF7"/>
    <w:rsid w:val="00776B48"/>
    <w:rsid w:val="0077749B"/>
    <w:rsid w:val="007776EA"/>
    <w:rsid w:val="00777848"/>
    <w:rsid w:val="00777893"/>
    <w:rsid w:val="00780004"/>
    <w:rsid w:val="00780181"/>
    <w:rsid w:val="00780706"/>
    <w:rsid w:val="00780EC2"/>
    <w:rsid w:val="00781130"/>
    <w:rsid w:val="0078161D"/>
    <w:rsid w:val="00781C86"/>
    <w:rsid w:val="00782033"/>
    <w:rsid w:val="00782120"/>
    <w:rsid w:val="007823D7"/>
    <w:rsid w:val="00782ABD"/>
    <w:rsid w:val="00782CB1"/>
    <w:rsid w:val="00782DA4"/>
    <w:rsid w:val="00783127"/>
    <w:rsid w:val="0078316F"/>
    <w:rsid w:val="00783617"/>
    <w:rsid w:val="00783629"/>
    <w:rsid w:val="00783679"/>
    <w:rsid w:val="0078379A"/>
    <w:rsid w:val="00783804"/>
    <w:rsid w:val="00783B13"/>
    <w:rsid w:val="00784341"/>
    <w:rsid w:val="0078483A"/>
    <w:rsid w:val="007850D2"/>
    <w:rsid w:val="007852E9"/>
    <w:rsid w:val="00785738"/>
    <w:rsid w:val="00785C6F"/>
    <w:rsid w:val="00785FEE"/>
    <w:rsid w:val="00786228"/>
    <w:rsid w:val="00786AB8"/>
    <w:rsid w:val="00787160"/>
    <w:rsid w:val="00787384"/>
    <w:rsid w:val="00787575"/>
    <w:rsid w:val="00787987"/>
    <w:rsid w:val="00787ABB"/>
    <w:rsid w:val="00787CC3"/>
    <w:rsid w:val="00787F1E"/>
    <w:rsid w:val="00787F9E"/>
    <w:rsid w:val="00787FE7"/>
    <w:rsid w:val="007900F8"/>
    <w:rsid w:val="00790180"/>
    <w:rsid w:val="00790B15"/>
    <w:rsid w:val="00790C27"/>
    <w:rsid w:val="00790F24"/>
    <w:rsid w:val="00790F49"/>
    <w:rsid w:val="00790FA5"/>
    <w:rsid w:val="00791398"/>
    <w:rsid w:val="00791C20"/>
    <w:rsid w:val="00791E72"/>
    <w:rsid w:val="007921F3"/>
    <w:rsid w:val="007922DD"/>
    <w:rsid w:val="007922DE"/>
    <w:rsid w:val="00792311"/>
    <w:rsid w:val="007927FB"/>
    <w:rsid w:val="00792FAB"/>
    <w:rsid w:val="00793100"/>
    <w:rsid w:val="007931CB"/>
    <w:rsid w:val="00793730"/>
    <w:rsid w:val="007937AF"/>
    <w:rsid w:val="0079403E"/>
    <w:rsid w:val="007940A3"/>
    <w:rsid w:val="00794540"/>
    <w:rsid w:val="00794600"/>
    <w:rsid w:val="007946E1"/>
    <w:rsid w:val="007949E1"/>
    <w:rsid w:val="00794A81"/>
    <w:rsid w:val="00794BE4"/>
    <w:rsid w:val="00794D95"/>
    <w:rsid w:val="00794E15"/>
    <w:rsid w:val="007951D4"/>
    <w:rsid w:val="00795741"/>
    <w:rsid w:val="0079576A"/>
    <w:rsid w:val="00795A75"/>
    <w:rsid w:val="00795F52"/>
    <w:rsid w:val="0079618F"/>
    <w:rsid w:val="0079633B"/>
    <w:rsid w:val="007963AC"/>
    <w:rsid w:val="00796A3E"/>
    <w:rsid w:val="00796B2E"/>
    <w:rsid w:val="00796F12"/>
    <w:rsid w:val="00796F98"/>
    <w:rsid w:val="00797448"/>
    <w:rsid w:val="00797A32"/>
    <w:rsid w:val="00797C46"/>
    <w:rsid w:val="00797E9C"/>
    <w:rsid w:val="007A029B"/>
    <w:rsid w:val="007A04E1"/>
    <w:rsid w:val="007A05D3"/>
    <w:rsid w:val="007A0E46"/>
    <w:rsid w:val="007A124D"/>
    <w:rsid w:val="007A164A"/>
    <w:rsid w:val="007A195E"/>
    <w:rsid w:val="007A19F6"/>
    <w:rsid w:val="007A1F7D"/>
    <w:rsid w:val="007A1FF1"/>
    <w:rsid w:val="007A27ED"/>
    <w:rsid w:val="007A2AAA"/>
    <w:rsid w:val="007A2B65"/>
    <w:rsid w:val="007A35AE"/>
    <w:rsid w:val="007A37C6"/>
    <w:rsid w:val="007A394A"/>
    <w:rsid w:val="007A3A30"/>
    <w:rsid w:val="007A3AB9"/>
    <w:rsid w:val="007A3D18"/>
    <w:rsid w:val="007A4BF0"/>
    <w:rsid w:val="007A5128"/>
    <w:rsid w:val="007A5196"/>
    <w:rsid w:val="007A51B9"/>
    <w:rsid w:val="007A5617"/>
    <w:rsid w:val="007A5641"/>
    <w:rsid w:val="007A5765"/>
    <w:rsid w:val="007A68D6"/>
    <w:rsid w:val="007A6D80"/>
    <w:rsid w:val="007A6F17"/>
    <w:rsid w:val="007A7033"/>
    <w:rsid w:val="007A793F"/>
    <w:rsid w:val="007A7B5B"/>
    <w:rsid w:val="007A7F44"/>
    <w:rsid w:val="007A7F5E"/>
    <w:rsid w:val="007B0245"/>
    <w:rsid w:val="007B0250"/>
    <w:rsid w:val="007B0290"/>
    <w:rsid w:val="007B03BF"/>
    <w:rsid w:val="007B0448"/>
    <w:rsid w:val="007B04D2"/>
    <w:rsid w:val="007B083F"/>
    <w:rsid w:val="007B0880"/>
    <w:rsid w:val="007B0A2A"/>
    <w:rsid w:val="007B0BCB"/>
    <w:rsid w:val="007B0D01"/>
    <w:rsid w:val="007B0DFB"/>
    <w:rsid w:val="007B104A"/>
    <w:rsid w:val="007B10A3"/>
    <w:rsid w:val="007B14E4"/>
    <w:rsid w:val="007B1708"/>
    <w:rsid w:val="007B1AB3"/>
    <w:rsid w:val="007B1B69"/>
    <w:rsid w:val="007B2085"/>
    <w:rsid w:val="007B21B4"/>
    <w:rsid w:val="007B21F4"/>
    <w:rsid w:val="007B25AD"/>
    <w:rsid w:val="007B25F0"/>
    <w:rsid w:val="007B29BA"/>
    <w:rsid w:val="007B2BC7"/>
    <w:rsid w:val="007B2E0F"/>
    <w:rsid w:val="007B2FB2"/>
    <w:rsid w:val="007B2FDC"/>
    <w:rsid w:val="007B38A0"/>
    <w:rsid w:val="007B38B7"/>
    <w:rsid w:val="007B38F4"/>
    <w:rsid w:val="007B3AB0"/>
    <w:rsid w:val="007B3AF2"/>
    <w:rsid w:val="007B3BB2"/>
    <w:rsid w:val="007B4526"/>
    <w:rsid w:val="007B45B0"/>
    <w:rsid w:val="007B472E"/>
    <w:rsid w:val="007B478D"/>
    <w:rsid w:val="007B4C44"/>
    <w:rsid w:val="007B4E3E"/>
    <w:rsid w:val="007B4F7B"/>
    <w:rsid w:val="007B51DB"/>
    <w:rsid w:val="007B56C3"/>
    <w:rsid w:val="007B583D"/>
    <w:rsid w:val="007B598A"/>
    <w:rsid w:val="007B5DDD"/>
    <w:rsid w:val="007B600A"/>
    <w:rsid w:val="007B60C4"/>
    <w:rsid w:val="007B65CF"/>
    <w:rsid w:val="007B6684"/>
    <w:rsid w:val="007B6B21"/>
    <w:rsid w:val="007B6E10"/>
    <w:rsid w:val="007B6FBA"/>
    <w:rsid w:val="007B7024"/>
    <w:rsid w:val="007B7621"/>
    <w:rsid w:val="007B7870"/>
    <w:rsid w:val="007B7A58"/>
    <w:rsid w:val="007B7DD9"/>
    <w:rsid w:val="007C0390"/>
    <w:rsid w:val="007C0766"/>
    <w:rsid w:val="007C0891"/>
    <w:rsid w:val="007C0ABB"/>
    <w:rsid w:val="007C0C3A"/>
    <w:rsid w:val="007C0FE6"/>
    <w:rsid w:val="007C10F2"/>
    <w:rsid w:val="007C14A2"/>
    <w:rsid w:val="007C21AF"/>
    <w:rsid w:val="007C2A0E"/>
    <w:rsid w:val="007C2E39"/>
    <w:rsid w:val="007C2E53"/>
    <w:rsid w:val="007C2E8F"/>
    <w:rsid w:val="007C300E"/>
    <w:rsid w:val="007C328D"/>
    <w:rsid w:val="007C3354"/>
    <w:rsid w:val="007C336F"/>
    <w:rsid w:val="007C34C6"/>
    <w:rsid w:val="007C3D61"/>
    <w:rsid w:val="007C41B1"/>
    <w:rsid w:val="007C46F6"/>
    <w:rsid w:val="007C50B6"/>
    <w:rsid w:val="007C5A2D"/>
    <w:rsid w:val="007C5FD2"/>
    <w:rsid w:val="007C628A"/>
    <w:rsid w:val="007C6480"/>
    <w:rsid w:val="007C65A2"/>
    <w:rsid w:val="007C6747"/>
    <w:rsid w:val="007C6FF6"/>
    <w:rsid w:val="007C708B"/>
    <w:rsid w:val="007C787B"/>
    <w:rsid w:val="007D0088"/>
    <w:rsid w:val="007D0199"/>
    <w:rsid w:val="007D0345"/>
    <w:rsid w:val="007D0421"/>
    <w:rsid w:val="007D0731"/>
    <w:rsid w:val="007D0DE6"/>
    <w:rsid w:val="007D0ED2"/>
    <w:rsid w:val="007D0F8B"/>
    <w:rsid w:val="007D102F"/>
    <w:rsid w:val="007D12BE"/>
    <w:rsid w:val="007D132B"/>
    <w:rsid w:val="007D19C0"/>
    <w:rsid w:val="007D1D90"/>
    <w:rsid w:val="007D2232"/>
    <w:rsid w:val="007D29B0"/>
    <w:rsid w:val="007D2C07"/>
    <w:rsid w:val="007D2C32"/>
    <w:rsid w:val="007D2FAF"/>
    <w:rsid w:val="007D30B7"/>
    <w:rsid w:val="007D33AA"/>
    <w:rsid w:val="007D348E"/>
    <w:rsid w:val="007D35CC"/>
    <w:rsid w:val="007D3A66"/>
    <w:rsid w:val="007D3B53"/>
    <w:rsid w:val="007D406B"/>
    <w:rsid w:val="007D437C"/>
    <w:rsid w:val="007D4AF1"/>
    <w:rsid w:val="007D4CC1"/>
    <w:rsid w:val="007D4E57"/>
    <w:rsid w:val="007D4FC1"/>
    <w:rsid w:val="007D570A"/>
    <w:rsid w:val="007D582E"/>
    <w:rsid w:val="007D5DEB"/>
    <w:rsid w:val="007D6290"/>
    <w:rsid w:val="007D62F1"/>
    <w:rsid w:val="007D66EA"/>
    <w:rsid w:val="007D6D91"/>
    <w:rsid w:val="007D6F03"/>
    <w:rsid w:val="007D725E"/>
    <w:rsid w:val="007D7289"/>
    <w:rsid w:val="007D779D"/>
    <w:rsid w:val="007D788C"/>
    <w:rsid w:val="007D7993"/>
    <w:rsid w:val="007D7B27"/>
    <w:rsid w:val="007D7DF8"/>
    <w:rsid w:val="007E0121"/>
    <w:rsid w:val="007E0546"/>
    <w:rsid w:val="007E0798"/>
    <w:rsid w:val="007E0EB4"/>
    <w:rsid w:val="007E0EB8"/>
    <w:rsid w:val="007E15AD"/>
    <w:rsid w:val="007E186A"/>
    <w:rsid w:val="007E1D11"/>
    <w:rsid w:val="007E25ED"/>
    <w:rsid w:val="007E2700"/>
    <w:rsid w:val="007E2AC8"/>
    <w:rsid w:val="007E2BC0"/>
    <w:rsid w:val="007E2C33"/>
    <w:rsid w:val="007E370F"/>
    <w:rsid w:val="007E3721"/>
    <w:rsid w:val="007E3869"/>
    <w:rsid w:val="007E3917"/>
    <w:rsid w:val="007E3934"/>
    <w:rsid w:val="007E3AE6"/>
    <w:rsid w:val="007E3B45"/>
    <w:rsid w:val="007E3E23"/>
    <w:rsid w:val="007E4012"/>
    <w:rsid w:val="007E4123"/>
    <w:rsid w:val="007E4204"/>
    <w:rsid w:val="007E4628"/>
    <w:rsid w:val="007E4788"/>
    <w:rsid w:val="007E488A"/>
    <w:rsid w:val="007E543B"/>
    <w:rsid w:val="007E5909"/>
    <w:rsid w:val="007E5966"/>
    <w:rsid w:val="007E5A05"/>
    <w:rsid w:val="007E66C0"/>
    <w:rsid w:val="007E6A78"/>
    <w:rsid w:val="007E6BC7"/>
    <w:rsid w:val="007E6F4B"/>
    <w:rsid w:val="007E766B"/>
    <w:rsid w:val="007E7C21"/>
    <w:rsid w:val="007E7E14"/>
    <w:rsid w:val="007F01CD"/>
    <w:rsid w:val="007F0AA5"/>
    <w:rsid w:val="007F0C13"/>
    <w:rsid w:val="007F0F23"/>
    <w:rsid w:val="007F1477"/>
    <w:rsid w:val="007F1593"/>
    <w:rsid w:val="007F1782"/>
    <w:rsid w:val="007F17C2"/>
    <w:rsid w:val="007F20A5"/>
    <w:rsid w:val="007F2152"/>
    <w:rsid w:val="007F2192"/>
    <w:rsid w:val="007F2244"/>
    <w:rsid w:val="007F36A2"/>
    <w:rsid w:val="007F37A8"/>
    <w:rsid w:val="007F3AD0"/>
    <w:rsid w:val="007F3BA1"/>
    <w:rsid w:val="007F4544"/>
    <w:rsid w:val="007F4B8C"/>
    <w:rsid w:val="007F4E62"/>
    <w:rsid w:val="007F5169"/>
    <w:rsid w:val="007F525F"/>
    <w:rsid w:val="007F52E1"/>
    <w:rsid w:val="007F54DB"/>
    <w:rsid w:val="007F5800"/>
    <w:rsid w:val="007F5833"/>
    <w:rsid w:val="007F583A"/>
    <w:rsid w:val="007F5A7E"/>
    <w:rsid w:val="007F61FC"/>
    <w:rsid w:val="007F649D"/>
    <w:rsid w:val="007F67E9"/>
    <w:rsid w:val="007F6C89"/>
    <w:rsid w:val="007F6F4D"/>
    <w:rsid w:val="007F7969"/>
    <w:rsid w:val="007F7C7B"/>
    <w:rsid w:val="007F7DE8"/>
    <w:rsid w:val="00800FFE"/>
    <w:rsid w:val="008013ED"/>
    <w:rsid w:val="0080151A"/>
    <w:rsid w:val="00801C17"/>
    <w:rsid w:val="00802282"/>
    <w:rsid w:val="00802410"/>
    <w:rsid w:val="00802554"/>
    <w:rsid w:val="008025CA"/>
    <w:rsid w:val="00802A3F"/>
    <w:rsid w:val="00803224"/>
    <w:rsid w:val="00803328"/>
    <w:rsid w:val="008036E4"/>
    <w:rsid w:val="008038D7"/>
    <w:rsid w:val="00804027"/>
    <w:rsid w:val="008040A2"/>
    <w:rsid w:val="008043B2"/>
    <w:rsid w:val="00804632"/>
    <w:rsid w:val="00804A22"/>
    <w:rsid w:val="00804C75"/>
    <w:rsid w:val="008054CF"/>
    <w:rsid w:val="008054D9"/>
    <w:rsid w:val="0080597F"/>
    <w:rsid w:val="00805B95"/>
    <w:rsid w:val="00805E1A"/>
    <w:rsid w:val="00806688"/>
    <w:rsid w:val="0080668F"/>
    <w:rsid w:val="008067F8"/>
    <w:rsid w:val="008068C9"/>
    <w:rsid w:val="00806922"/>
    <w:rsid w:val="0080695D"/>
    <w:rsid w:val="00806CF8"/>
    <w:rsid w:val="00806F6E"/>
    <w:rsid w:val="00807A3E"/>
    <w:rsid w:val="00807CB9"/>
    <w:rsid w:val="00807EEA"/>
    <w:rsid w:val="00810173"/>
    <w:rsid w:val="008101DE"/>
    <w:rsid w:val="00810338"/>
    <w:rsid w:val="00810368"/>
    <w:rsid w:val="0081086A"/>
    <w:rsid w:val="008108A8"/>
    <w:rsid w:val="00810910"/>
    <w:rsid w:val="00810A7C"/>
    <w:rsid w:val="0081123E"/>
    <w:rsid w:val="0081133C"/>
    <w:rsid w:val="008114EF"/>
    <w:rsid w:val="00811677"/>
    <w:rsid w:val="008116C6"/>
    <w:rsid w:val="00811791"/>
    <w:rsid w:val="00812170"/>
    <w:rsid w:val="008121AF"/>
    <w:rsid w:val="00812282"/>
    <w:rsid w:val="0081249E"/>
    <w:rsid w:val="008126DA"/>
    <w:rsid w:val="00812A9E"/>
    <w:rsid w:val="00813317"/>
    <w:rsid w:val="00814100"/>
    <w:rsid w:val="008147A0"/>
    <w:rsid w:val="008148E4"/>
    <w:rsid w:val="00814D17"/>
    <w:rsid w:val="00815043"/>
    <w:rsid w:val="00815213"/>
    <w:rsid w:val="00815741"/>
    <w:rsid w:val="008157F1"/>
    <w:rsid w:val="00815B02"/>
    <w:rsid w:val="00815BB5"/>
    <w:rsid w:val="00815F78"/>
    <w:rsid w:val="00815F9A"/>
    <w:rsid w:val="00816225"/>
    <w:rsid w:val="008164C7"/>
    <w:rsid w:val="0081662A"/>
    <w:rsid w:val="00816BE2"/>
    <w:rsid w:val="00816C9B"/>
    <w:rsid w:val="00816E21"/>
    <w:rsid w:val="00816EC2"/>
    <w:rsid w:val="00817185"/>
    <w:rsid w:val="008175A3"/>
    <w:rsid w:val="00817754"/>
    <w:rsid w:val="00817792"/>
    <w:rsid w:val="008177E5"/>
    <w:rsid w:val="008204D5"/>
    <w:rsid w:val="00820565"/>
    <w:rsid w:val="008209BF"/>
    <w:rsid w:val="00820BA5"/>
    <w:rsid w:val="00821241"/>
    <w:rsid w:val="00821740"/>
    <w:rsid w:val="00821B75"/>
    <w:rsid w:val="00821D37"/>
    <w:rsid w:val="00821D6C"/>
    <w:rsid w:val="008221C9"/>
    <w:rsid w:val="0082228A"/>
    <w:rsid w:val="00822646"/>
    <w:rsid w:val="0082274B"/>
    <w:rsid w:val="00822A73"/>
    <w:rsid w:val="00822E67"/>
    <w:rsid w:val="008231D9"/>
    <w:rsid w:val="0082344D"/>
    <w:rsid w:val="008236E1"/>
    <w:rsid w:val="0082377F"/>
    <w:rsid w:val="00823C17"/>
    <w:rsid w:val="00823C6D"/>
    <w:rsid w:val="00823D3E"/>
    <w:rsid w:val="00823D70"/>
    <w:rsid w:val="00824276"/>
    <w:rsid w:val="008243BD"/>
    <w:rsid w:val="008243E6"/>
    <w:rsid w:val="00824458"/>
    <w:rsid w:val="008248D9"/>
    <w:rsid w:val="008249F7"/>
    <w:rsid w:val="00824B74"/>
    <w:rsid w:val="00824E4F"/>
    <w:rsid w:val="008250F4"/>
    <w:rsid w:val="00825151"/>
    <w:rsid w:val="00825377"/>
    <w:rsid w:val="008255E6"/>
    <w:rsid w:val="00825651"/>
    <w:rsid w:val="00825AF5"/>
    <w:rsid w:val="00825E18"/>
    <w:rsid w:val="00825E55"/>
    <w:rsid w:val="0082623F"/>
    <w:rsid w:val="008262B3"/>
    <w:rsid w:val="00826632"/>
    <w:rsid w:val="008269D9"/>
    <w:rsid w:val="00826C5A"/>
    <w:rsid w:val="00827011"/>
    <w:rsid w:val="00827027"/>
    <w:rsid w:val="0082703D"/>
    <w:rsid w:val="008272B8"/>
    <w:rsid w:val="00827486"/>
    <w:rsid w:val="00827AAE"/>
    <w:rsid w:val="00827CBB"/>
    <w:rsid w:val="00827FDB"/>
    <w:rsid w:val="008306F4"/>
    <w:rsid w:val="00830FC7"/>
    <w:rsid w:val="00830FE7"/>
    <w:rsid w:val="00831565"/>
    <w:rsid w:val="008316EB"/>
    <w:rsid w:val="00831770"/>
    <w:rsid w:val="008318A0"/>
    <w:rsid w:val="008319F1"/>
    <w:rsid w:val="00831F14"/>
    <w:rsid w:val="00831F2C"/>
    <w:rsid w:val="00832324"/>
    <w:rsid w:val="008324BE"/>
    <w:rsid w:val="00833167"/>
    <w:rsid w:val="008338EC"/>
    <w:rsid w:val="00833BD0"/>
    <w:rsid w:val="00833C20"/>
    <w:rsid w:val="008342B1"/>
    <w:rsid w:val="00834306"/>
    <w:rsid w:val="00834771"/>
    <w:rsid w:val="00834905"/>
    <w:rsid w:val="00835577"/>
    <w:rsid w:val="008355C8"/>
    <w:rsid w:val="00835A83"/>
    <w:rsid w:val="00835B80"/>
    <w:rsid w:val="00835EC9"/>
    <w:rsid w:val="008364B3"/>
    <w:rsid w:val="00836766"/>
    <w:rsid w:val="00836823"/>
    <w:rsid w:val="00837381"/>
    <w:rsid w:val="00837475"/>
    <w:rsid w:val="0083770B"/>
    <w:rsid w:val="0083787D"/>
    <w:rsid w:val="00837AB9"/>
    <w:rsid w:val="008407D2"/>
    <w:rsid w:val="00841388"/>
    <w:rsid w:val="00841841"/>
    <w:rsid w:val="00841ABC"/>
    <w:rsid w:val="00841EFB"/>
    <w:rsid w:val="00841F44"/>
    <w:rsid w:val="00842172"/>
    <w:rsid w:val="00842336"/>
    <w:rsid w:val="00842C82"/>
    <w:rsid w:val="008436D7"/>
    <w:rsid w:val="008438C4"/>
    <w:rsid w:val="00843EFA"/>
    <w:rsid w:val="008440FE"/>
    <w:rsid w:val="0084508F"/>
    <w:rsid w:val="008454E0"/>
    <w:rsid w:val="00845603"/>
    <w:rsid w:val="00845B38"/>
    <w:rsid w:val="00846119"/>
    <w:rsid w:val="00846637"/>
    <w:rsid w:val="008466DC"/>
    <w:rsid w:val="008467D2"/>
    <w:rsid w:val="00846FC0"/>
    <w:rsid w:val="008473B5"/>
    <w:rsid w:val="008474E3"/>
    <w:rsid w:val="00847635"/>
    <w:rsid w:val="00850280"/>
    <w:rsid w:val="00850313"/>
    <w:rsid w:val="0085049B"/>
    <w:rsid w:val="0085071A"/>
    <w:rsid w:val="008507F9"/>
    <w:rsid w:val="00851053"/>
    <w:rsid w:val="008514BD"/>
    <w:rsid w:val="008518F0"/>
    <w:rsid w:val="00851A51"/>
    <w:rsid w:val="00851FFD"/>
    <w:rsid w:val="008523D5"/>
    <w:rsid w:val="008524B8"/>
    <w:rsid w:val="0085257A"/>
    <w:rsid w:val="008527ED"/>
    <w:rsid w:val="00852C16"/>
    <w:rsid w:val="008531A1"/>
    <w:rsid w:val="008537F7"/>
    <w:rsid w:val="00853844"/>
    <w:rsid w:val="00853AEB"/>
    <w:rsid w:val="00853CF7"/>
    <w:rsid w:val="00853F36"/>
    <w:rsid w:val="008540FF"/>
    <w:rsid w:val="00854151"/>
    <w:rsid w:val="0085422B"/>
    <w:rsid w:val="008543E1"/>
    <w:rsid w:val="00854505"/>
    <w:rsid w:val="008546BE"/>
    <w:rsid w:val="00854B29"/>
    <w:rsid w:val="0085518C"/>
    <w:rsid w:val="008552AE"/>
    <w:rsid w:val="008552F8"/>
    <w:rsid w:val="008554FF"/>
    <w:rsid w:val="00855BE1"/>
    <w:rsid w:val="00856041"/>
    <w:rsid w:val="00856074"/>
    <w:rsid w:val="0085666A"/>
    <w:rsid w:val="00856676"/>
    <w:rsid w:val="008569A2"/>
    <w:rsid w:val="00856A25"/>
    <w:rsid w:val="00856A70"/>
    <w:rsid w:val="00856BE8"/>
    <w:rsid w:val="00856D83"/>
    <w:rsid w:val="00857017"/>
    <w:rsid w:val="0085711F"/>
    <w:rsid w:val="00857584"/>
    <w:rsid w:val="00857949"/>
    <w:rsid w:val="00860154"/>
    <w:rsid w:val="008601C2"/>
    <w:rsid w:val="00860275"/>
    <w:rsid w:val="008609E2"/>
    <w:rsid w:val="00861805"/>
    <w:rsid w:val="008618E7"/>
    <w:rsid w:val="00861D19"/>
    <w:rsid w:val="0086220A"/>
    <w:rsid w:val="00862427"/>
    <w:rsid w:val="008628BA"/>
    <w:rsid w:val="00862A56"/>
    <w:rsid w:val="00862EB4"/>
    <w:rsid w:val="00862F71"/>
    <w:rsid w:val="00862FBB"/>
    <w:rsid w:val="00863983"/>
    <w:rsid w:val="00863AB9"/>
    <w:rsid w:val="00863C49"/>
    <w:rsid w:val="00863FD0"/>
    <w:rsid w:val="00864642"/>
    <w:rsid w:val="008648BD"/>
    <w:rsid w:val="00864A95"/>
    <w:rsid w:val="00864CD5"/>
    <w:rsid w:val="00864E5A"/>
    <w:rsid w:val="00864F98"/>
    <w:rsid w:val="00865194"/>
    <w:rsid w:val="00865255"/>
    <w:rsid w:val="00865628"/>
    <w:rsid w:val="00865B4C"/>
    <w:rsid w:val="00865C75"/>
    <w:rsid w:val="00866789"/>
    <w:rsid w:val="008669E6"/>
    <w:rsid w:val="00866B56"/>
    <w:rsid w:val="008677D0"/>
    <w:rsid w:val="00870065"/>
    <w:rsid w:val="00870318"/>
    <w:rsid w:val="00870395"/>
    <w:rsid w:val="008719C2"/>
    <w:rsid w:val="00871CB3"/>
    <w:rsid w:val="00871D11"/>
    <w:rsid w:val="00871FDD"/>
    <w:rsid w:val="00872152"/>
    <w:rsid w:val="00872370"/>
    <w:rsid w:val="00872464"/>
    <w:rsid w:val="0087277A"/>
    <w:rsid w:val="008727CB"/>
    <w:rsid w:val="00872A47"/>
    <w:rsid w:val="00872C72"/>
    <w:rsid w:val="008736E2"/>
    <w:rsid w:val="00873ADA"/>
    <w:rsid w:val="00873F0E"/>
    <w:rsid w:val="008743FE"/>
    <w:rsid w:val="008744E5"/>
    <w:rsid w:val="0087452F"/>
    <w:rsid w:val="00874565"/>
    <w:rsid w:val="0087467E"/>
    <w:rsid w:val="008747B7"/>
    <w:rsid w:val="008748E3"/>
    <w:rsid w:val="00874A76"/>
    <w:rsid w:val="008750AB"/>
    <w:rsid w:val="0087545F"/>
    <w:rsid w:val="008759EC"/>
    <w:rsid w:val="00875F06"/>
    <w:rsid w:val="008764F0"/>
    <w:rsid w:val="008764FC"/>
    <w:rsid w:val="00876869"/>
    <w:rsid w:val="00876B71"/>
    <w:rsid w:val="00876C3A"/>
    <w:rsid w:val="00876C3D"/>
    <w:rsid w:val="00876C70"/>
    <w:rsid w:val="00877247"/>
    <w:rsid w:val="008801AE"/>
    <w:rsid w:val="0088024B"/>
    <w:rsid w:val="008805EA"/>
    <w:rsid w:val="00880AA3"/>
    <w:rsid w:val="008811EE"/>
    <w:rsid w:val="00881371"/>
    <w:rsid w:val="008818D4"/>
    <w:rsid w:val="00881C64"/>
    <w:rsid w:val="00881D52"/>
    <w:rsid w:val="00881D7B"/>
    <w:rsid w:val="008822AD"/>
    <w:rsid w:val="008825D7"/>
    <w:rsid w:val="00882689"/>
    <w:rsid w:val="00882F6A"/>
    <w:rsid w:val="00883F12"/>
    <w:rsid w:val="0088421C"/>
    <w:rsid w:val="0088445B"/>
    <w:rsid w:val="00884A0E"/>
    <w:rsid w:val="00884A90"/>
    <w:rsid w:val="00884ADB"/>
    <w:rsid w:val="00885006"/>
    <w:rsid w:val="008856EA"/>
    <w:rsid w:val="0088583F"/>
    <w:rsid w:val="00885873"/>
    <w:rsid w:val="00885B33"/>
    <w:rsid w:val="00885C4A"/>
    <w:rsid w:val="00885DB7"/>
    <w:rsid w:val="00886035"/>
    <w:rsid w:val="008862BA"/>
    <w:rsid w:val="008864F9"/>
    <w:rsid w:val="0088674A"/>
    <w:rsid w:val="00886902"/>
    <w:rsid w:val="00886C5A"/>
    <w:rsid w:val="00887133"/>
    <w:rsid w:val="00887483"/>
    <w:rsid w:val="00887786"/>
    <w:rsid w:val="00887801"/>
    <w:rsid w:val="00887F99"/>
    <w:rsid w:val="00890055"/>
    <w:rsid w:val="0089014E"/>
    <w:rsid w:val="008901DA"/>
    <w:rsid w:val="00890CA8"/>
    <w:rsid w:val="0089117B"/>
    <w:rsid w:val="008911F7"/>
    <w:rsid w:val="00891301"/>
    <w:rsid w:val="00891AF6"/>
    <w:rsid w:val="00891B6F"/>
    <w:rsid w:val="00891BC3"/>
    <w:rsid w:val="00891E2C"/>
    <w:rsid w:val="00891FF8"/>
    <w:rsid w:val="0089254F"/>
    <w:rsid w:val="00892880"/>
    <w:rsid w:val="00892A28"/>
    <w:rsid w:val="00892B34"/>
    <w:rsid w:val="00892D5E"/>
    <w:rsid w:val="00892E11"/>
    <w:rsid w:val="00892E69"/>
    <w:rsid w:val="00892EB9"/>
    <w:rsid w:val="00892FB2"/>
    <w:rsid w:val="00893390"/>
    <w:rsid w:val="00893520"/>
    <w:rsid w:val="008937C8"/>
    <w:rsid w:val="00893893"/>
    <w:rsid w:val="008939C2"/>
    <w:rsid w:val="00893DF5"/>
    <w:rsid w:val="00893FE3"/>
    <w:rsid w:val="008945F1"/>
    <w:rsid w:val="00894AFC"/>
    <w:rsid w:val="00894B9F"/>
    <w:rsid w:val="00894CA7"/>
    <w:rsid w:val="00894E5C"/>
    <w:rsid w:val="00895182"/>
    <w:rsid w:val="008959E7"/>
    <w:rsid w:val="00895A63"/>
    <w:rsid w:val="00895A8D"/>
    <w:rsid w:val="00895DF6"/>
    <w:rsid w:val="00895ECF"/>
    <w:rsid w:val="00895EFE"/>
    <w:rsid w:val="0089644A"/>
    <w:rsid w:val="00896615"/>
    <w:rsid w:val="00896656"/>
    <w:rsid w:val="008967C4"/>
    <w:rsid w:val="00896CEF"/>
    <w:rsid w:val="00896FC5"/>
    <w:rsid w:val="008976C2"/>
    <w:rsid w:val="00897989"/>
    <w:rsid w:val="00897A48"/>
    <w:rsid w:val="00897CAF"/>
    <w:rsid w:val="00897D59"/>
    <w:rsid w:val="008A04A3"/>
    <w:rsid w:val="008A06F3"/>
    <w:rsid w:val="008A0D2A"/>
    <w:rsid w:val="008A1024"/>
    <w:rsid w:val="008A1693"/>
    <w:rsid w:val="008A17B6"/>
    <w:rsid w:val="008A1B33"/>
    <w:rsid w:val="008A1BFB"/>
    <w:rsid w:val="008A2091"/>
    <w:rsid w:val="008A254F"/>
    <w:rsid w:val="008A2630"/>
    <w:rsid w:val="008A3310"/>
    <w:rsid w:val="008A33BC"/>
    <w:rsid w:val="008A35BA"/>
    <w:rsid w:val="008A3768"/>
    <w:rsid w:val="008A381C"/>
    <w:rsid w:val="008A39B1"/>
    <w:rsid w:val="008A3C9B"/>
    <w:rsid w:val="008A3E1C"/>
    <w:rsid w:val="008A3F22"/>
    <w:rsid w:val="008A3F49"/>
    <w:rsid w:val="008A3F63"/>
    <w:rsid w:val="008A455A"/>
    <w:rsid w:val="008A4709"/>
    <w:rsid w:val="008A4DDE"/>
    <w:rsid w:val="008A511E"/>
    <w:rsid w:val="008A5233"/>
    <w:rsid w:val="008A53B0"/>
    <w:rsid w:val="008A5666"/>
    <w:rsid w:val="008A5833"/>
    <w:rsid w:val="008A5D6F"/>
    <w:rsid w:val="008A6279"/>
    <w:rsid w:val="008A644D"/>
    <w:rsid w:val="008A6618"/>
    <w:rsid w:val="008A6652"/>
    <w:rsid w:val="008A6728"/>
    <w:rsid w:val="008A6CF7"/>
    <w:rsid w:val="008A7687"/>
    <w:rsid w:val="008A7C67"/>
    <w:rsid w:val="008B0633"/>
    <w:rsid w:val="008B066D"/>
    <w:rsid w:val="008B06F9"/>
    <w:rsid w:val="008B0819"/>
    <w:rsid w:val="008B0E0F"/>
    <w:rsid w:val="008B0FD1"/>
    <w:rsid w:val="008B13FF"/>
    <w:rsid w:val="008B1513"/>
    <w:rsid w:val="008B1598"/>
    <w:rsid w:val="008B1D56"/>
    <w:rsid w:val="008B2387"/>
    <w:rsid w:val="008B2BC0"/>
    <w:rsid w:val="008B2C76"/>
    <w:rsid w:val="008B2E14"/>
    <w:rsid w:val="008B3005"/>
    <w:rsid w:val="008B33ED"/>
    <w:rsid w:val="008B3A3D"/>
    <w:rsid w:val="008B3A88"/>
    <w:rsid w:val="008B3B20"/>
    <w:rsid w:val="008B3B67"/>
    <w:rsid w:val="008B3BF3"/>
    <w:rsid w:val="008B3DCF"/>
    <w:rsid w:val="008B3E02"/>
    <w:rsid w:val="008B4120"/>
    <w:rsid w:val="008B42E3"/>
    <w:rsid w:val="008B4748"/>
    <w:rsid w:val="008B485D"/>
    <w:rsid w:val="008B4985"/>
    <w:rsid w:val="008B4BFC"/>
    <w:rsid w:val="008B4DE7"/>
    <w:rsid w:val="008B4DF1"/>
    <w:rsid w:val="008B51B4"/>
    <w:rsid w:val="008B5717"/>
    <w:rsid w:val="008B577B"/>
    <w:rsid w:val="008B58D7"/>
    <w:rsid w:val="008B5B67"/>
    <w:rsid w:val="008B5C98"/>
    <w:rsid w:val="008B5D7A"/>
    <w:rsid w:val="008B6611"/>
    <w:rsid w:val="008B66E3"/>
    <w:rsid w:val="008B71F8"/>
    <w:rsid w:val="008B7241"/>
    <w:rsid w:val="008B7848"/>
    <w:rsid w:val="008B7D2C"/>
    <w:rsid w:val="008B7F39"/>
    <w:rsid w:val="008B7FDA"/>
    <w:rsid w:val="008C018F"/>
    <w:rsid w:val="008C0491"/>
    <w:rsid w:val="008C0872"/>
    <w:rsid w:val="008C0B76"/>
    <w:rsid w:val="008C0BBB"/>
    <w:rsid w:val="008C12F7"/>
    <w:rsid w:val="008C168F"/>
    <w:rsid w:val="008C196A"/>
    <w:rsid w:val="008C1CC8"/>
    <w:rsid w:val="008C1D4A"/>
    <w:rsid w:val="008C1E05"/>
    <w:rsid w:val="008C208B"/>
    <w:rsid w:val="008C22FD"/>
    <w:rsid w:val="008C2398"/>
    <w:rsid w:val="008C270D"/>
    <w:rsid w:val="008C277B"/>
    <w:rsid w:val="008C2941"/>
    <w:rsid w:val="008C29E0"/>
    <w:rsid w:val="008C2A40"/>
    <w:rsid w:val="008C311B"/>
    <w:rsid w:val="008C3165"/>
    <w:rsid w:val="008C32A5"/>
    <w:rsid w:val="008C34BB"/>
    <w:rsid w:val="008C3A6D"/>
    <w:rsid w:val="008C3FA2"/>
    <w:rsid w:val="008C45E2"/>
    <w:rsid w:val="008C463D"/>
    <w:rsid w:val="008C4B82"/>
    <w:rsid w:val="008C4C58"/>
    <w:rsid w:val="008C4DB2"/>
    <w:rsid w:val="008C5590"/>
    <w:rsid w:val="008C562D"/>
    <w:rsid w:val="008C5BFD"/>
    <w:rsid w:val="008C5EC1"/>
    <w:rsid w:val="008C6069"/>
    <w:rsid w:val="008C62E1"/>
    <w:rsid w:val="008C6C9D"/>
    <w:rsid w:val="008C6FAF"/>
    <w:rsid w:val="008C7037"/>
    <w:rsid w:val="008C7203"/>
    <w:rsid w:val="008C77DF"/>
    <w:rsid w:val="008C7948"/>
    <w:rsid w:val="008C7C17"/>
    <w:rsid w:val="008D06E6"/>
    <w:rsid w:val="008D0713"/>
    <w:rsid w:val="008D10F6"/>
    <w:rsid w:val="008D1826"/>
    <w:rsid w:val="008D1885"/>
    <w:rsid w:val="008D1A2E"/>
    <w:rsid w:val="008D1EC9"/>
    <w:rsid w:val="008D1F68"/>
    <w:rsid w:val="008D26E6"/>
    <w:rsid w:val="008D2C38"/>
    <w:rsid w:val="008D2D3D"/>
    <w:rsid w:val="008D2E1B"/>
    <w:rsid w:val="008D2FC0"/>
    <w:rsid w:val="008D3283"/>
    <w:rsid w:val="008D3726"/>
    <w:rsid w:val="008D3879"/>
    <w:rsid w:val="008D4795"/>
    <w:rsid w:val="008D4823"/>
    <w:rsid w:val="008D4842"/>
    <w:rsid w:val="008D4CB0"/>
    <w:rsid w:val="008D4D4D"/>
    <w:rsid w:val="008D4DF5"/>
    <w:rsid w:val="008D5048"/>
    <w:rsid w:val="008D518C"/>
    <w:rsid w:val="008D6285"/>
    <w:rsid w:val="008D6397"/>
    <w:rsid w:val="008D6505"/>
    <w:rsid w:val="008D669E"/>
    <w:rsid w:val="008D6FA9"/>
    <w:rsid w:val="008D7036"/>
    <w:rsid w:val="008D71B9"/>
    <w:rsid w:val="008D7346"/>
    <w:rsid w:val="008D737C"/>
    <w:rsid w:val="008D73C9"/>
    <w:rsid w:val="008D7496"/>
    <w:rsid w:val="008D74C2"/>
    <w:rsid w:val="008D775A"/>
    <w:rsid w:val="008D78D5"/>
    <w:rsid w:val="008D7938"/>
    <w:rsid w:val="008D7E4B"/>
    <w:rsid w:val="008D7F8A"/>
    <w:rsid w:val="008E013C"/>
    <w:rsid w:val="008E02EF"/>
    <w:rsid w:val="008E053C"/>
    <w:rsid w:val="008E07A2"/>
    <w:rsid w:val="008E0861"/>
    <w:rsid w:val="008E0944"/>
    <w:rsid w:val="008E0B74"/>
    <w:rsid w:val="008E0C97"/>
    <w:rsid w:val="008E11E9"/>
    <w:rsid w:val="008E1275"/>
    <w:rsid w:val="008E135A"/>
    <w:rsid w:val="008E15BA"/>
    <w:rsid w:val="008E16BE"/>
    <w:rsid w:val="008E16BF"/>
    <w:rsid w:val="008E1C29"/>
    <w:rsid w:val="008E1C47"/>
    <w:rsid w:val="008E1E30"/>
    <w:rsid w:val="008E2204"/>
    <w:rsid w:val="008E26F2"/>
    <w:rsid w:val="008E2782"/>
    <w:rsid w:val="008E2819"/>
    <w:rsid w:val="008E285C"/>
    <w:rsid w:val="008E3049"/>
    <w:rsid w:val="008E3132"/>
    <w:rsid w:val="008E354E"/>
    <w:rsid w:val="008E35A3"/>
    <w:rsid w:val="008E3846"/>
    <w:rsid w:val="008E3917"/>
    <w:rsid w:val="008E3C96"/>
    <w:rsid w:val="008E3DCE"/>
    <w:rsid w:val="008E40D5"/>
    <w:rsid w:val="008E4A46"/>
    <w:rsid w:val="008E4DCD"/>
    <w:rsid w:val="008E4DDA"/>
    <w:rsid w:val="008E5C3C"/>
    <w:rsid w:val="008E5DF9"/>
    <w:rsid w:val="008E630B"/>
    <w:rsid w:val="008E6F5D"/>
    <w:rsid w:val="008E71C7"/>
    <w:rsid w:val="008E7274"/>
    <w:rsid w:val="008E77F5"/>
    <w:rsid w:val="008E7A1C"/>
    <w:rsid w:val="008E7A91"/>
    <w:rsid w:val="008E7C5C"/>
    <w:rsid w:val="008E7E7A"/>
    <w:rsid w:val="008F0096"/>
    <w:rsid w:val="008F03AB"/>
    <w:rsid w:val="008F0562"/>
    <w:rsid w:val="008F05EF"/>
    <w:rsid w:val="008F06A3"/>
    <w:rsid w:val="008F0BEA"/>
    <w:rsid w:val="008F0FBA"/>
    <w:rsid w:val="008F1106"/>
    <w:rsid w:val="008F11C9"/>
    <w:rsid w:val="008F11E4"/>
    <w:rsid w:val="008F1592"/>
    <w:rsid w:val="008F175F"/>
    <w:rsid w:val="008F1DBE"/>
    <w:rsid w:val="008F260B"/>
    <w:rsid w:val="008F2734"/>
    <w:rsid w:val="008F2D56"/>
    <w:rsid w:val="008F32AE"/>
    <w:rsid w:val="008F3BAD"/>
    <w:rsid w:val="008F3E1D"/>
    <w:rsid w:val="008F3F7A"/>
    <w:rsid w:val="008F44DB"/>
    <w:rsid w:val="008F4816"/>
    <w:rsid w:val="008F4A5A"/>
    <w:rsid w:val="008F4AFB"/>
    <w:rsid w:val="008F4C18"/>
    <w:rsid w:val="008F533B"/>
    <w:rsid w:val="008F544A"/>
    <w:rsid w:val="008F5483"/>
    <w:rsid w:val="008F54C3"/>
    <w:rsid w:val="008F54CD"/>
    <w:rsid w:val="008F5531"/>
    <w:rsid w:val="008F56CA"/>
    <w:rsid w:val="008F5778"/>
    <w:rsid w:val="008F589D"/>
    <w:rsid w:val="008F5D91"/>
    <w:rsid w:val="008F61B9"/>
    <w:rsid w:val="008F6371"/>
    <w:rsid w:val="008F66B9"/>
    <w:rsid w:val="008F6976"/>
    <w:rsid w:val="008F69C9"/>
    <w:rsid w:val="008F6AB1"/>
    <w:rsid w:val="008F6D09"/>
    <w:rsid w:val="008F6DF0"/>
    <w:rsid w:val="008F70DD"/>
    <w:rsid w:val="008F751B"/>
    <w:rsid w:val="008F7538"/>
    <w:rsid w:val="008F78E1"/>
    <w:rsid w:val="008F7B18"/>
    <w:rsid w:val="0090070D"/>
    <w:rsid w:val="0090089D"/>
    <w:rsid w:val="0090092C"/>
    <w:rsid w:val="00900DE2"/>
    <w:rsid w:val="009015C6"/>
    <w:rsid w:val="0090168C"/>
    <w:rsid w:val="009016DA"/>
    <w:rsid w:val="00901742"/>
    <w:rsid w:val="00901A19"/>
    <w:rsid w:val="00901B05"/>
    <w:rsid w:val="00901CEC"/>
    <w:rsid w:val="00901D33"/>
    <w:rsid w:val="00902300"/>
    <w:rsid w:val="0090269F"/>
    <w:rsid w:val="00902C38"/>
    <w:rsid w:val="00902FBD"/>
    <w:rsid w:val="009031DB"/>
    <w:rsid w:val="009033A0"/>
    <w:rsid w:val="00903818"/>
    <w:rsid w:val="00903EFA"/>
    <w:rsid w:val="00903F1D"/>
    <w:rsid w:val="00903F5B"/>
    <w:rsid w:val="00903FE0"/>
    <w:rsid w:val="00904099"/>
    <w:rsid w:val="009041AC"/>
    <w:rsid w:val="0090423A"/>
    <w:rsid w:val="00904403"/>
    <w:rsid w:val="00904588"/>
    <w:rsid w:val="009049D9"/>
    <w:rsid w:val="009050C3"/>
    <w:rsid w:val="00905FF5"/>
    <w:rsid w:val="00906152"/>
    <w:rsid w:val="00906248"/>
    <w:rsid w:val="009063E8"/>
    <w:rsid w:val="00906539"/>
    <w:rsid w:val="00906779"/>
    <w:rsid w:val="009067DA"/>
    <w:rsid w:val="0090681C"/>
    <w:rsid w:val="00906821"/>
    <w:rsid w:val="00906B22"/>
    <w:rsid w:val="00906B7B"/>
    <w:rsid w:val="00906E65"/>
    <w:rsid w:val="00907058"/>
    <w:rsid w:val="009070FA"/>
    <w:rsid w:val="00907A68"/>
    <w:rsid w:val="00910361"/>
    <w:rsid w:val="009112E0"/>
    <w:rsid w:val="00911384"/>
    <w:rsid w:val="0091181B"/>
    <w:rsid w:val="00911CAE"/>
    <w:rsid w:val="00912449"/>
    <w:rsid w:val="00912712"/>
    <w:rsid w:val="00912796"/>
    <w:rsid w:val="00912CC1"/>
    <w:rsid w:val="00912DB5"/>
    <w:rsid w:val="0091305C"/>
    <w:rsid w:val="00913933"/>
    <w:rsid w:val="009139FB"/>
    <w:rsid w:val="00913AC5"/>
    <w:rsid w:val="00913D90"/>
    <w:rsid w:val="00913EA3"/>
    <w:rsid w:val="0091410B"/>
    <w:rsid w:val="00914134"/>
    <w:rsid w:val="009144CB"/>
    <w:rsid w:val="009144D5"/>
    <w:rsid w:val="00914583"/>
    <w:rsid w:val="00914810"/>
    <w:rsid w:val="00914CDD"/>
    <w:rsid w:val="00915247"/>
    <w:rsid w:val="009154C3"/>
    <w:rsid w:val="00915618"/>
    <w:rsid w:val="00915D29"/>
    <w:rsid w:val="00915E0E"/>
    <w:rsid w:val="00915E91"/>
    <w:rsid w:val="00915F98"/>
    <w:rsid w:val="00915FA3"/>
    <w:rsid w:val="00915FF6"/>
    <w:rsid w:val="0091619C"/>
    <w:rsid w:val="009161B3"/>
    <w:rsid w:val="009162C1"/>
    <w:rsid w:val="00916AE2"/>
    <w:rsid w:val="00917042"/>
    <w:rsid w:val="00917478"/>
    <w:rsid w:val="009177BE"/>
    <w:rsid w:val="00917A60"/>
    <w:rsid w:val="00917E1E"/>
    <w:rsid w:val="00917EAB"/>
    <w:rsid w:val="0092025C"/>
    <w:rsid w:val="0092038D"/>
    <w:rsid w:val="0092059F"/>
    <w:rsid w:val="0092067B"/>
    <w:rsid w:val="00920926"/>
    <w:rsid w:val="00920A3F"/>
    <w:rsid w:val="00920D5F"/>
    <w:rsid w:val="00920DD5"/>
    <w:rsid w:val="00920E2D"/>
    <w:rsid w:val="009214BE"/>
    <w:rsid w:val="009215C1"/>
    <w:rsid w:val="009216DF"/>
    <w:rsid w:val="009217F8"/>
    <w:rsid w:val="00921960"/>
    <w:rsid w:val="00922F2F"/>
    <w:rsid w:val="0092387C"/>
    <w:rsid w:val="00923A5E"/>
    <w:rsid w:val="00923B53"/>
    <w:rsid w:val="00923D6C"/>
    <w:rsid w:val="00923F9B"/>
    <w:rsid w:val="00924424"/>
    <w:rsid w:val="00924599"/>
    <w:rsid w:val="009246E2"/>
    <w:rsid w:val="0092470E"/>
    <w:rsid w:val="00924A6B"/>
    <w:rsid w:val="00924DE3"/>
    <w:rsid w:val="00925015"/>
    <w:rsid w:val="00925066"/>
    <w:rsid w:val="00925187"/>
    <w:rsid w:val="00925478"/>
    <w:rsid w:val="0092564A"/>
    <w:rsid w:val="009256D6"/>
    <w:rsid w:val="00925B23"/>
    <w:rsid w:val="00925CFD"/>
    <w:rsid w:val="00925FE1"/>
    <w:rsid w:val="0092611D"/>
    <w:rsid w:val="00926306"/>
    <w:rsid w:val="00926753"/>
    <w:rsid w:val="00926A27"/>
    <w:rsid w:val="00926B42"/>
    <w:rsid w:val="00926C74"/>
    <w:rsid w:val="00926F9F"/>
    <w:rsid w:val="0092709C"/>
    <w:rsid w:val="0092717F"/>
    <w:rsid w:val="0092718E"/>
    <w:rsid w:val="00927485"/>
    <w:rsid w:val="00927744"/>
    <w:rsid w:val="00927B05"/>
    <w:rsid w:val="00927D19"/>
    <w:rsid w:val="00930079"/>
    <w:rsid w:val="00930526"/>
    <w:rsid w:val="00930B52"/>
    <w:rsid w:val="00930F4E"/>
    <w:rsid w:val="009313EB"/>
    <w:rsid w:val="0093199F"/>
    <w:rsid w:val="00931EAC"/>
    <w:rsid w:val="009322DD"/>
    <w:rsid w:val="009326A2"/>
    <w:rsid w:val="0093278F"/>
    <w:rsid w:val="00932907"/>
    <w:rsid w:val="00932AF6"/>
    <w:rsid w:val="00932D29"/>
    <w:rsid w:val="009335EF"/>
    <w:rsid w:val="009337B0"/>
    <w:rsid w:val="00933D89"/>
    <w:rsid w:val="00934050"/>
    <w:rsid w:val="0093408C"/>
    <w:rsid w:val="00934371"/>
    <w:rsid w:val="009343C1"/>
    <w:rsid w:val="0093449E"/>
    <w:rsid w:val="00934948"/>
    <w:rsid w:val="00934C1D"/>
    <w:rsid w:val="00934C8B"/>
    <w:rsid w:val="0093509E"/>
    <w:rsid w:val="00935969"/>
    <w:rsid w:val="00935A16"/>
    <w:rsid w:val="00935C7E"/>
    <w:rsid w:val="00935DA1"/>
    <w:rsid w:val="00935EE8"/>
    <w:rsid w:val="00936062"/>
    <w:rsid w:val="009360EE"/>
    <w:rsid w:val="009362A7"/>
    <w:rsid w:val="0093734D"/>
    <w:rsid w:val="00937374"/>
    <w:rsid w:val="009373C5"/>
    <w:rsid w:val="00937412"/>
    <w:rsid w:val="00937518"/>
    <w:rsid w:val="00937920"/>
    <w:rsid w:val="009379AF"/>
    <w:rsid w:val="00937CBE"/>
    <w:rsid w:val="00940296"/>
    <w:rsid w:val="009402EC"/>
    <w:rsid w:val="009404F5"/>
    <w:rsid w:val="00940B43"/>
    <w:rsid w:val="009410C9"/>
    <w:rsid w:val="009415C3"/>
    <w:rsid w:val="00942297"/>
    <w:rsid w:val="00942421"/>
    <w:rsid w:val="0094265E"/>
    <w:rsid w:val="00942B90"/>
    <w:rsid w:val="00942D26"/>
    <w:rsid w:val="00942FFA"/>
    <w:rsid w:val="00943D2E"/>
    <w:rsid w:val="00944087"/>
    <w:rsid w:val="009442BD"/>
    <w:rsid w:val="0094444C"/>
    <w:rsid w:val="00944509"/>
    <w:rsid w:val="00944876"/>
    <w:rsid w:val="009449EA"/>
    <w:rsid w:val="00944E74"/>
    <w:rsid w:val="0094511E"/>
    <w:rsid w:val="0094545F"/>
    <w:rsid w:val="00945476"/>
    <w:rsid w:val="0094594E"/>
    <w:rsid w:val="00945AAA"/>
    <w:rsid w:val="00945E06"/>
    <w:rsid w:val="00946016"/>
    <w:rsid w:val="00946B53"/>
    <w:rsid w:val="009470A1"/>
    <w:rsid w:val="009474A1"/>
    <w:rsid w:val="00947833"/>
    <w:rsid w:val="00947AB3"/>
    <w:rsid w:val="00947AD4"/>
    <w:rsid w:val="0095012E"/>
    <w:rsid w:val="0095044F"/>
    <w:rsid w:val="009506BA"/>
    <w:rsid w:val="009511FA"/>
    <w:rsid w:val="0095183E"/>
    <w:rsid w:val="00951934"/>
    <w:rsid w:val="0095194B"/>
    <w:rsid w:val="00951A02"/>
    <w:rsid w:val="00951D97"/>
    <w:rsid w:val="0095201C"/>
    <w:rsid w:val="0095207B"/>
    <w:rsid w:val="009528DA"/>
    <w:rsid w:val="00952A02"/>
    <w:rsid w:val="00952B97"/>
    <w:rsid w:val="00952C84"/>
    <w:rsid w:val="00952E1C"/>
    <w:rsid w:val="00953BB9"/>
    <w:rsid w:val="00953C27"/>
    <w:rsid w:val="00953FAA"/>
    <w:rsid w:val="00953FF3"/>
    <w:rsid w:val="009545D8"/>
    <w:rsid w:val="009548B4"/>
    <w:rsid w:val="00954C8C"/>
    <w:rsid w:val="009555B1"/>
    <w:rsid w:val="009555FD"/>
    <w:rsid w:val="00955791"/>
    <w:rsid w:val="009557B0"/>
    <w:rsid w:val="00955FBC"/>
    <w:rsid w:val="00956464"/>
    <w:rsid w:val="009565E2"/>
    <w:rsid w:val="00956965"/>
    <w:rsid w:val="00956ACE"/>
    <w:rsid w:val="00956E71"/>
    <w:rsid w:val="00956E9E"/>
    <w:rsid w:val="00956EA6"/>
    <w:rsid w:val="00956FC6"/>
    <w:rsid w:val="009571D6"/>
    <w:rsid w:val="009572A0"/>
    <w:rsid w:val="00957518"/>
    <w:rsid w:val="009577EC"/>
    <w:rsid w:val="00957D24"/>
    <w:rsid w:val="009600F4"/>
    <w:rsid w:val="009607C2"/>
    <w:rsid w:val="00960DA3"/>
    <w:rsid w:val="00960DCF"/>
    <w:rsid w:val="00960F71"/>
    <w:rsid w:val="00961B53"/>
    <w:rsid w:val="00961CE1"/>
    <w:rsid w:val="00961DFE"/>
    <w:rsid w:val="00961E98"/>
    <w:rsid w:val="009624CA"/>
    <w:rsid w:val="009625FA"/>
    <w:rsid w:val="00962634"/>
    <w:rsid w:val="009629B2"/>
    <w:rsid w:val="00962A0F"/>
    <w:rsid w:val="00962B44"/>
    <w:rsid w:val="0096306C"/>
    <w:rsid w:val="00963264"/>
    <w:rsid w:val="009632CF"/>
    <w:rsid w:val="009636F8"/>
    <w:rsid w:val="00963725"/>
    <w:rsid w:val="00963887"/>
    <w:rsid w:val="0096389D"/>
    <w:rsid w:val="00963A74"/>
    <w:rsid w:val="00963AA8"/>
    <w:rsid w:val="00963E7F"/>
    <w:rsid w:val="00965918"/>
    <w:rsid w:val="00965D7F"/>
    <w:rsid w:val="0096601A"/>
    <w:rsid w:val="0096642A"/>
    <w:rsid w:val="009669F0"/>
    <w:rsid w:val="00966B06"/>
    <w:rsid w:val="00966DC2"/>
    <w:rsid w:val="00966ED7"/>
    <w:rsid w:val="00967014"/>
    <w:rsid w:val="00967437"/>
    <w:rsid w:val="009676C0"/>
    <w:rsid w:val="009676C5"/>
    <w:rsid w:val="0096795C"/>
    <w:rsid w:val="00967994"/>
    <w:rsid w:val="00967F0C"/>
    <w:rsid w:val="00970284"/>
    <w:rsid w:val="009709AB"/>
    <w:rsid w:val="00970C7B"/>
    <w:rsid w:val="00970F1B"/>
    <w:rsid w:val="009712A4"/>
    <w:rsid w:val="00971548"/>
    <w:rsid w:val="009715B8"/>
    <w:rsid w:val="00971807"/>
    <w:rsid w:val="00971E40"/>
    <w:rsid w:val="00972096"/>
    <w:rsid w:val="0097275A"/>
    <w:rsid w:val="00972C6A"/>
    <w:rsid w:val="00972CDC"/>
    <w:rsid w:val="00972D4A"/>
    <w:rsid w:val="00972F04"/>
    <w:rsid w:val="00973066"/>
    <w:rsid w:val="0097378E"/>
    <w:rsid w:val="0097381C"/>
    <w:rsid w:val="00973824"/>
    <w:rsid w:val="009738EA"/>
    <w:rsid w:val="00973B57"/>
    <w:rsid w:val="00973F57"/>
    <w:rsid w:val="00973FA9"/>
    <w:rsid w:val="00974176"/>
    <w:rsid w:val="0097459B"/>
    <w:rsid w:val="0097464A"/>
    <w:rsid w:val="00974D34"/>
    <w:rsid w:val="00974E8D"/>
    <w:rsid w:val="00974FAC"/>
    <w:rsid w:val="00975114"/>
    <w:rsid w:val="0097550D"/>
    <w:rsid w:val="00975633"/>
    <w:rsid w:val="00975C3F"/>
    <w:rsid w:val="00975E2F"/>
    <w:rsid w:val="00975EDF"/>
    <w:rsid w:val="00976A48"/>
    <w:rsid w:val="00976CA0"/>
    <w:rsid w:val="00976D9B"/>
    <w:rsid w:val="00977782"/>
    <w:rsid w:val="00977AF5"/>
    <w:rsid w:val="00977BDC"/>
    <w:rsid w:val="00977CF3"/>
    <w:rsid w:val="009803A9"/>
    <w:rsid w:val="009803CB"/>
    <w:rsid w:val="009803D4"/>
    <w:rsid w:val="0098068F"/>
    <w:rsid w:val="009807A2"/>
    <w:rsid w:val="00980A98"/>
    <w:rsid w:val="00980D22"/>
    <w:rsid w:val="009815CA"/>
    <w:rsid w:val="009815EA"/>
    <w:rsid w:val="0098199C"/>
    <w:rsid w:val="009819CC"/>
    <w:rsid w:val="00981A4C"/>
    <w:rsid w:val="00981D11"/>
    <w:rsid w:val="00981D2C"/>
    <w:rsid w:val="00981E7A"/>
    <w:rsid w:val="00981EEC"/>
    <w:rsid w:val="00981F69"/>
    <w:rsid w:val="00982082"/>
    <w:rsid w:val="00982409"/>
    <w:rsid w:val="0098244E"/>
    <w:rsid w:val="009826B0"/>
    <w:rsid w:val="009826F9"/>
    <w:rsid w:val="00982866"/>
    <w:rsid w:val="00983280"/>
    <w:rsid w:val="00983500"/>
    <w:rsid w:val="0098358E"/>
    <w:rsid w:val="00983AA6"/>
    <w:rsid w:val="00983B4D"/>
    <w:rsid w:val="00983CCD"/>
    <w:rsid w:val="009840C5"/>
    <w:rsid w:val="00984137"/>
    <w:rsid w:val="009842AA"/>
    <w:rsid w:val="00984308"/>
    <w:rsid w:val="009843AA"/>
    <w:rsid w:val="00984862"/>
    <w:rsid w:val="00984A28"/>
    <w:rsid w:val="00984AFE"/>
    <w:rsid w:val="00984EFE"/>
    <w:rsid w:val="009851FA"/>
    <w:rsid w:val="00985CAC"/>
    <w:rsid w:val="00985E68"/>
    <w:rsid w:val="009866A8"/>
    <w:rsid w:val="009866ED"/>
    <w:rsid w:val="00986F9A"/>
    <w:rsid w:val="00986FA3"/>
    <w:rsid w:val="00986FAD"/>
    <w:rsid w:val="009873F3"/>
    <w:rsid w:val="009874AB"/>
    <w:rsid w:val="0098753B"/>
    <w:rsid w:val="0098772F"/>
    <w:rsid w:val="00987947"/>
    <w:rsid w:val="00987BB4"/>
    <w:rsid w:val="00987DE0"/>
    <w:rsid w:val="009907C5"/>
    <w:rsid w:val="00990B5C"/>
    <w:rsid w:val="00990BD2"/>
    <w:rsid w:val="00991402"/>
    <w:rsid w:val="00991AD9"/>
    <w:rsid w:val="00991B2F"/>
    <w:rsid w:val="00991F50"/>
    <w:rsid w:val="009921EA"/>
    <w:rsid w:val="009922CE"/>
    <w:rsid w:val="00992554"/>
    <w:rsid w:val="00992C1C"/>
    <w:rsid w:val="00992C9B"/>
    <w:rsid w:val="00992CBF"/>
    <w:rsid w:val="00992CEB"/>
    <w:rsid w:val="00992FC1"/>
    <w:rsid w:val="00993082"/>
    <w:rsid w:val="009930B8"/>
    <w:rsid w:val="009932AD"/>
    <w:rsid w:val="00993E8C"/>
    <w:rsid w:val="00994503"/>
    <w:rsid w:val="0099467B"/>
    <w:rsid w:val="00994B96"/>
    <w:rsid w:val="009952C3"/>
    <w:rsid w:val="00995356"/>
    <w:rsid w:val="009954CB"/>
    <w:rsid w:val="009957CF"/>
    <w:rsid w:val="0099582E"/>
    <w:rsid w:val="009958B9"/>
    <w:rsid w:val="00995C7A"/>
    <w:rsid w:val="00995E98"/>
    <w:rsid w:val="00996464"/>
    <w:rsid w:val="009968DF"/>
    <w:rsid w:val="00996B76"/>
    <w:rsid w:val="00996D83"/>
    <w:rsid w:val="00996E72"/>
    <w:rsid w:val="00996F15"/>
    <w:rsid w:val="00997053"/>
    <w:rsid w:val="009973D2"/>
    <w:rsid w:val="009974D3"/>
    <w:rsid w:val="009974F5"/>
    <w:rsid w:val="009977F6"/>
    <w:rsid w:val="00997847"/>
    <w:rsid w:val="00997BA8"/>
    <w:rsid w:val="00997CF2"/>
    <w:rsid w:val="009A0296"/>
    <w:rsid w:val="009A06F4"/>
    <w:rsid w:val="009A0A8B"/>
    <w:rsid w:val="009A1311"/>
    <w:rsid w:val="009A161D"/>
    <w:rsid w:val="009A1684"/>
    <w:rsid w:val="009A1A3C"/>
    <w:rsid w:val="009A1E6B"/>
    <w:rsid w:val="009A1F18"/>
    <w:rsid w:val="009A2505"/>
    <w:rsid w:val="009A26E2"/>
    <w:rsid w:val="009A2E6E"/>
    <w:rsid w:val="009A3111"/>
    <w:rsid w:val="009A3139"/>
    <w:rsid w:val="009A3778"/>
    <w:rsid w:val="009A3E2E"/>
    <w:rsid w:val="009A4310"/>
    <w:rsid w:val="009A4C78"/>
    <w:rsid w:val="009A4D51"/>
    <w:rsid w:val="009A51A4"/>
    <w:rsid w:val="009A5FC7"/>
    <w:rsid w:val="009A6861"/>
    <w:rsid w:val="009A6864"/>
    <w:rsid w:val="009A6B3A"/>
    <w:rsid w:val="009A6DCE"/>
    <w:rsid w:val="009A7093"/>
    <w:rsid w:val="009A70FA"/>
    <w:rsid w:val="009A719A"/>
    <w:rsid w:val="009A71B3"/>
    <w:rsid w:val="009A7289"/>
    <w:rsid w:val="009A7450"/>
    <w:rsid w:val="009A7505"/>
    <w:rsid w:val="009A75CE"/>
    <w:rsid w:val="009A794C"/>
    <w:rsid w:val="009A7E06"/>
    <w:rsid w:val="009A7F34"/>
    <w:rsid w:val="009B0736"/>
    <w:rsid w:val="009B0DF6"/>
    <w:rsid w:val="009B0FB1"/>
    <w:rsid w:val="009B1122"/>
    <w:rsid w:val="009B1C4F"/>
    <w:rsid w:val="009B1ED3"/>
    <w:rsid w:val="009B2245"/>
    <w:rsid w:val="009B242D"/>
    <w:rsid w:val="009B258E"/>
    <w:rsid w:val="009B28F0"/>
    <w:rsid w:val="009B2A0B"/>
    <w:rsid w:val="009B2AAC"/>
    <w:rsid w:val="009B3070"/>
    <w:rsid w:val="009B3075"/>
    <w:rsid w:val="009B309E"/>
    <w:rsid w:val="009B30A8"/>
    <w:rsid w:val="009B349B"/>
    <w:rsid w:val="009B380E"/>
    <w:rsid w:val="009B39C1"/>
    <w:rsid w:val="009B3A56"/>
    <w:rsid w:val="009B3D7B"/>
    <w:rsid w:val="009B3DCA"/>
    <w:rsid w:val="009B3F97"/>
    <w:rsid w:val="009B4123"/>
    <w:rsid w:val="009B44EF"/>
    <w:rsid w:val="009B4860"/>
    <w:rsid w:val="009B4CE5"/>
    <w:rsid w:val="009B51E9"/>
    <w:rsid w:val="009B591E"/>
    <w:rsid w:val="009B5997"/>
    <w:rsid w:val="009B5E92"/>
    <w:rsid w:val="009B67AD"/>
    <w:rsid w:val="009B68B8"/>
    <w:rsid w:val="009B696D"/>
    <w:rsid w:val="009B6B23"/>
    <w:rsid w:val="009B6B64"/>
    <w:rsid w:val="009B6E22"/>
    <w:rsid w:val="009B6E5D"/>
    <w:rsid w:val="009B7081"/>
    <w:rsid w:val="009B7288"/>
    <w:rsid w:val="009B76C8"/>
    <w:rsid w:val="009B7ABD"/>
    <w:rsid w:val="009B7C33"/>
    <w:rsid w:val="009C0AF1"/>
    <w:rsid w:val="009C0B40"/>
    <w:rsid w:val="009C0D53"/>
    <w:rsid w:val="009C0E0B"/>
    <w:rsid w:val="009C11EE"/>
    <w:rsid w:val="009C183F"/>
    <w:rsid w:val="009C1B16"/>
    <w:rsid w:val="009C1B3A"/>
    <w:rsid w:val="009C1D27"/>
    <w:rsid w:val="009C20A1"/>
    <w:rsid w:val="009C22B3"/>
    <w:rsid w:val="009C22D6"/>
    <w:rsid w:val="009C2429"/>
    <w:rsid w:val="009C24B0"/>
    <w:rsid w:val="009C24EB"/>
    <w:rsid w:val="009C2656"/>
    <w:rsid w:val="009C2A73"/>
    <w:rsid w:val="009C2C04"/>
    <w:rsid w:val="009C31D9"/>
    <w:rsid w:val="009C3225"/>
    <w:rsid w:val="009C3796"/>
    <w:rsid w:val="009C3BD9"/>
    <w:rsid w:val="009C3CC8"/>
    <w:rsid w:val="009C3DDC"/>
    <w:rsid w:val="009C403B"/>
    <w:rsid w:val="009C416D"/>
    <w:rsid w:val="009C4296"/>
    <w:rsid w:val="009C4801"/>
    <w:rsid w:val="009C4879"/>
    <w:rsid w:val="009C4D11"/>
    <w:rsid w:val="009C4F3A"/>
    <w:rsid w:val="009C53C8"/>
    <w:rsid w:val="009C543A"/>
    <w:rsid w:val="009C57C4"/>
    <w:rsid w:val="009C5856"/>
    <w:rsid w:val="009C5B82"/>
    <w:rsid w:val="009C5BE4"/>
    <w:rsid w:val="009C5DB0"/>
    <w:rsid w:val="009C61E5"/>
    <w:rsid w:val="009C64FF"/>
    <w:rsid w:val="009C6685"/>
    <w:rsid w:val="009C68B6"/>
    <w:rsid w:val="009C6950"/>
    <w:rsid w:val="009C6B04"/>
    <w:rsid w:val="009C6BEC"/>
    <w:rsid w:val="009C6FE2"/>
    <w:rsid w:val="009C707F"/>
    <w:rsid w:val="009C72FF"/>
    <w:rsid w:val="009C74CF"/>
    <w:rsid w:val="009C756D"/>
    <w:rsid w:val="009C756E"/>
    <w:rsid w:val="009C78BB"/>
    <w:rsid w:val="009C7A39"/>
    <w:rsid w:val="009C7EE5"/>
    <w:rsid w:val="009D0285"/>
    <w:rsid w:val="009D0591"/>
    <w:rsid w:val="009D0936"/>
    <w:rsid w:val="009D0E37"/>
    <w:rsid w:val="009D1006"/>
    <w:rsid w:val="009D1979"/>
    <w:rsid w:val="009D1A67"/>
    <w:rsid w:val="009D2130"/>
    <w:rsid w:val="009D21BE"/>
    <w:rsid w:val="009D26B2"/>
    <w:rsid w:val="009D29B2"/>
    <w:rsid w:val="009D330C"/>
    <w:rsid w:val="009D35DA"/>
    <w:rsid w:val="009D380A"/>
    <w:rsid w:val="009D3824"/>
    <w:rsid w:val="009D38CD"/>
    <w:rsid w:val="009D3B0F"/>
    <w:rsid w:val="009D3C3D"/>
    <w:rsid w:val="009D3E92"/>
    <w:rsid w:val="009D3F96"/>
    <w:rsid w:val="009D45E4"/>
    <w:rsid w:val="009D471F"/>
    <w:rsid w:val="009D4C82"/>
    <w:rsid w:val="009D4CCF"/>
    <w:rsid w:val="009D505A"/>
    <w:rsid w:val="009D5288"/>
    <w:rsid w:val="009D5557"/>
    <w:rsid w:val="009D6335"/>
    <w:rsid w:val="009D6AB8"/>
    <w:rsid w:val="009D6AD2"/>
    <w:rsid w:val="009D728F"/>
    <w:rsid w:val="009D767B"/>
    <w:rsid w:val="009D7E1B"/>
    <w:rsid w:val="009E009E"/>
    <w:rsid w:val="009E036C"/>
    <w:rsid w:val="009E0550"/>
    <w:rsid w:val="009E0604"/>
    <w:rsid w:val="009E06C4"/>
    <w:rsid w:val="009E0747"/>
    <w:rsid w:val="009E0804"/>
    <w:rsid w:val="009E0C7D"/>
    <w:rsid w:val="009E0D21"/>
    <w:rsid w:val="009E11A0"/>
    <w:rsid w:val="009E194A"/>
    <w:rsid w:val="009E1965"/>
    <w:rsid w:val="009E1BFC"/>
    <w:rsid w:val="009E1DA3"/>
    <w:rsid w:val="009E1F08"/>
    <w:rsid w:val="009E22AD"/>
    <w:rsid w:val="009E26E9"/>
    <w:rsid w:val="009E28ED"/>
    <w:rsid w:val="009E29A1"/>
    <w:rsid w:val="009E2AD3"/>
    <w:rsid w:val="009E2C11"/>
    <w:rsid w:val="009E2C37"/>
    <w:rsid w:val="009E2F9F"/>
    <w:rsid w:val="009E314E"/>
    <w:rsid w:val="009E3A08"/>
    <w:rsid w:val="009E3B0E"/>
    <w:rsid w:val="009E3E91"/>
    <w:rsid w:val="009E40FD"/>
    <w:rsid w:val="009E43CF"/>
    <w:rsid w:val="009E4453"/>
    <w:rsid w:val="009E469F"/>
    <w:rsid w:val="009E47E5"/>
    <w:rsid w:val="009E48BE"/>
    <w:rsid w:val="009E4B85"/>
    <w:rsid w:val="009E50B4"/>
    <w:rsid w:val="009E50F3"/>
    <w:rsid w:val="009E514A"/>
    <w:rsid w:val="009E565B"/>
    <w:rsid w:val="009E56A1"/>
    <w:rsid w:val="009E6289"/>
    <w:rsid w:val="009E6455"/>
    <w:rsid w:val="009E6606"/>
    <w:rsid w:val="009E7244"/>
    <w:rsid w:val="009E78EF"/>
    <w:rsid w:val="009E7C76"/>
    <w:rsid w:val="009F0139"/>
    <w:rsid w:val="009F0272"/>
    <w:rsid w:val="009F036A"/>
    <w:rsid w:val="009F0955"/>
    <w:rsid w:val="009F0AD2"/>
    <w:rsid w:val="009F0FA3"/>
    <w:rsid w:val="009F104A"/>
    <w:rsid w:val="009F12A5"/>
    <w:rsid w:val="009F146F"/>
    <w:rsid w:val="009F17FA"/>
    <w:rsid w:val="009F1885"/>
    <w:rsid w:val="009F1924"/>
    <w:rsid w:val="009F222A"/>
    <w:rsid w:val="009F2423"/>
    <w:rsid w:val="009F264E"/>
    <w:rsid w:val="009F26A1"/>
    <w:rsid w:val="009F26D8"/>
    <w:rsid w:val="009F2882"/>
    <w:rsid w:val="009F2960"/>
    <w:rsid w:val="009F2977"/>
    <w:rsid w:val="009F2A42"/>
    <w:rsid w:val="009F2CC3"/>
    <w:rsid w:val="009F2F75"/>
    <w:rsid w:val="009F3100"/>
    <w:rsid w:val="009F3253"/>
    <w:rsid w:val="009F32DF"/>
    <w:rsid w:val="009F36E0"/>
    <w:rsid w:val="009F3B12"/>
    <w:rsid w:val="009F3C75"/>
    <w:rsid w:val="009F3CE3"/>
    <w:rsid w:val="009F3D43"/>
    <w:rsid w:val="009F41DA"/>
    <w:rsid w:val="009F43E1"/>
    <w:rsid w:val="009F440F"/>
    <w:rsid w:val="009F4646"/>
    <w:rsid w:val="009F47F3"/>
    <w:rsid w:val="009F4BC2"/>
    <w:rsid w:val="009F4D3F"/>
    <w:rsid w:val="009F56E1"/>
    <w:rsid w:val="009F571C"/>
    <w:rsid w:val="009F6068"/>
    <w:rsid w:val="009F6106"/>
    <w:rsid w:val="009F6473"/>
    <w:rsid w:val="009F6A41"/>
    <w:rsid w:val="009F725B"/>
    <w:rsid w:val="009F72B0"/>
    <w:rsid w:val="009F7340"/>
    <w:rsid w:val="009F73A7"/>
    <w:rsid w:val="009F7665"/>
    <w:rsid w:val="009F7CF6"/>
    <w:rsid w:val="009F7D92"/>
    <w:rsid w:val="00A0016D"/>
    <w:rsid w:val="00A0037E"/>
    <w:rsid w:val="00A00406"/>
    <w:rsid w:val="00A00901"/>
    <w:rsid w:val="00A00A2E"/>
    <w:rsid w:val="00A00F37"/>
    <w:rsid w:val="00A01303"/>
    <w:rsid w:val="00A01B69"/>
    <w:rsid w:val="00A01EF4"/>
    <w:rsid w:val="00A0206D"/>
    <w:rsid w:val="00A02486"/>
    <w:rsid w:val="00A0272F"/>
    <w:rsid w:val="00A0273E"/>
    <w:rsid w:val="00A02C4F"/>
    <w:rsid w:val="00A02EB3"/>
    <w:rsid w:val="00A033C7"/>
    <w:rsid w:val="00A03713"/>
    <w:rsid w:val="00A037D0"/>
    <w:rsid w:val="00A03E2D"/>
    <w:rsid w:val="00A04887"/>
    <w:rsid w:val="00A04A09"/>
    <w:rsid w:val="00A04C37"/>
    <w:rsid w:val="00A0560A"/>
    <w:rsid w:val="00A05821"/>
    <w:rsid w:val="00A05CDC"/>
    <w:rsid w:val="00A05D1D"/>
    <w:rsid w:val="00A05EA2"/>
    <w:rsid w:val="00A05EC8"/>
    <w:rsid w:val="00A06011"/>
    <w:rsid w:val="00A060FB"/>
    <w:rsid w:val="00A064A6"/>
    <w:rsid w:val="00A06914"/>
    <w:rsid w:val="00A06D68"/>
    <w:rsid w:val="00A06DF8"/>
    <w:rsid w:val="00A06EB2"/>
    <w:rsid w:val="00A06F65"/>
    <w:rsid w:val="00A07351"/>
    <w:rsid w:val="00A073CA"/>
    <w:rsid w:val="00A07528"/>
    <w:rsid w:val="00A076CC"/>
    <w:rsid w:val="00A07C27"/>
    <w:rsid w:val="00A07EF7"/>
    <w:rsid w:val="00A1031C"/>
    <w:rsid w:val="00A104CA"/>
    <w:rsid w:val="00A10CE4"/>
    <w:rsid w:val="00A10DF1"/>
    <w:rsid w:val="00A10FCE"/>
    <w:rsid w:val="00A11033"/>
    <w:rsid w:val="00A111F9"/>
    <w:rsid w:val="00A11568"/>
    <w:rsid w:val="00A1165C"/>
    <w:rsid w:val="00A119FA"/>
    <w:rsid w:val="00A11D26"/>
    <w:rsid w:val="00A1203E"/>
    <w:rsid w:val="00A12285"/>
    <w:rsid w:val="00A122A3"/>
    <w:rsid w:val="00A12472"/>
    <w:rsid w:val="00A125D6"/>
    <w:rsid w:val="00A12A41"/>
    <w:rsid w:val="00A12C5E"/>
    <w:rsid w:val="00A12F55"/>
    <w:rsid w:val="00A12FB9"/>
    <w:rsid w:val="00A13037"/>
    <w:rsid w:val="00A134C3"/>
    <w:rsid w:val="00A13EC8"/>
    <w:rsid w:val="00A13F06"/>
    <w:rsid w:val="00A1409E"/>
    <w:rsid w:val="00A1461F"/>
    <w:rsid w:val="00A14896"/>
    <w:rsid w:val="00A14D8D"/>
    <w:rsid w:val="00A14E53"/>
    <w:rsid w:val="00A14F51"/>
    <w:rsid w:val="00A14FE0"/>
    <w:rsid w:val="00A15276"/>
    <w:rsid w:val="00A152D5"/>
    <w:rsid w:val="00A1552E"/>
    <w:rsid w:val="00A15580"/>
    <w:rsid w:val="00A15837"/>
    <w:rsid w:val="00A15973"/>
    <w:rsid w:val="00A15B22"/>
    <w:rsid w:val="00A16449"/>
    <w:rsid w:val="00A16946"/>
    <w:rsid w:val="00A1695C"/>
    <w:rsid w:val="00A169F3"/>
    <w:rsid w:val="00A16F1F"/>
    <w:rsid w:val="00A1702C"/>
    <w:rsid w:val="00A171FD"/>
    <w:rsid w:val="00A17349"/>
    <w:rsid w:val="00A17541"/>
    <w:rsid w:val="00A206F5"/>
    <w:rsid w:val="00A208E9"/>
    <w:rsid w:val="00A20930"/>
    <w:rsid w:val="00A21060"/>
    <w:rsid w:val="00A211AD"/>
    <w:rsid w:val="00A21479"/>
    <w:rsid w:val="00A2151B"/>
    <w:rsid w:val="00A21559"/>
    <w:rsid w:val="00A2182D"/>
    <w:rsid w:val="00A21B94"/>
    <w:rsid w:val="00A21D1F"/>
    <w:rsid w:val="00A22070"/>
    <w:rsid w:val="00A22254"/>
    <w:rsid w:val="00A22C2E"/>
    <w:rsid w:val="00A22DA7"/>
    <w:rsid w:val="00A22EDF"/>
    <w:rsid w:val="00A22EFC"/>
    <w:rsid w:val="00A23126"/>
    <w:rsid w:val="00A232A3"/>
    <w:rsid w:val="00A2352F"/>
    <w:rsid w:val="00A23820"/>
    <w:rsid w:val="00A23A10"/>
    <w:rsid w:val="00A23CFB"/>
    <w:rsid w:val="00A246D7"/>
    <w:rsid w:val="00A24742"/>
    <w:rsid w:val="00A24E7A"/>
    <w:rsid w:val="00A25FCF"/>
    <w:rsid w:val="00A26389"/>
    <w:rsid w:val="00A277A4"/>
    <w:rsid w:val="00A279B8"/>
    <w:rsid w:val="00A27D10"/>
    <w:rsid w:val="00A27F0B"/>
    <w:rsid w:val="00A303B8"/>
    <w:rsid w:val="00A309AA"/>
    <w:rsid w:val="00A30F30"/>
    <w:rsid w:val="00A30FE5"/>
    <w:rsid w:val="00A321CC"/>
    <w:rsid w:val="00A32303"/>
    <w:rsid w:val="00A323E1"/>
    <w:rsid w:val="00A323F5"/>
    <w:rsid w:val="00A32553"/>
    <w:rsid w:val="00A32562"/>
    <w:rsid w:val="00A326FF"/>
    <w:rsid w:val="00A32F4D"/>
    <w:rsid w:val="00A331E3"/>
    <w:rsid w:val="00A33206"/>
    <w:rsid w:val="00A338FC"/>
    <w:rsid w:val="00A33AD8"/>
    <w:rsid w:val="00A33BE1"/>
    <w:rsid w:val="00A33C3D"/>
    <w:rsid w:val="00A33D34"/>
    <w:rsid w:val="00A33F1A"/>
    <w:rsid w:val="00A34333"/>
    <w:rsid w:val="00A34735"/>
    <w:rsid w:val="00A348E2"/>
    <w:rsid w:val="00A34C1F"/>
    <w:rsid w:val="00A34E92"/>
    <w:rsid w:val="00A3524E"/>
    <w:rsid w:val="00A3532F"/>
    <w:rsid w:val="00A35429"/>
    <w:rsid w:val="00A35D00"/>
    <w:rsid w:val="00A361C3"/>
    <w:rsid w:val="00A362A8"/>
    <w:rsid w:val="00A362EC"/>
    <w:rsid w:val="00A364B9"/>
    <w:rsid w:val="00A36A7A"/>
    <w:rsid w:val="00A36D7E"/>
    <w:rsid w:val="00A36F55"/>
    <w:rsid w:val="00A37080"/>
    <w:rsid w:val="00A3770D"/>
    <w:rsid w:val="00A37763"/>
    <w:rsid w:val="00A37C57"/>
    <w:rsid w:val="00A37D3E"/>
    <w:rsid w:val="00A37F9C"/>
    <w:rsid w:val="00A40131"/>
    <w:rsid w:val="00A40888"/>
    <w:rsid w:val="00A40E7D"/>
    <w:rsid w:val="00A41199"/>
    <w:rsid w:val="00A411FA"/>
    <w:rsid w:val="00A413F9"/>
    <w:rsid w:val="00A4168D"/>
    <w:rsid w:val="00A4180B"/>
    <w:rsid w:val="00A41D1E"/>
    <w:rsid w:val="00A41E3E"/>
    <w:rsid w:val="00A43755"/>
    <w:rsid w:val="00A43981"/>
    <w:rsid w:val="00A44010"/>
    <w:rsid w:val="00A449F9"/>
    <w:rsid w:val="00A44A82"/>
    <w:rsid w:val="00A44AD0"/>
    <w:rsid w:val="00A44BC0"/>
    <w:rsid w:val="00A44D31"/>
    <w:rsid w:val="00A44EC1"/>
    <w:rsid w:val="00A453E1"/>
    <w:rsid w:val="00A453E4"/>
    <w:rsid w:val="00A454A5"/>
    <w:rsid w:val="00A454A8"/>
    <w:rsid w:val="00A454B3"/>
    <w:rsid w:val="00A4575B"/>
    <w:rsid w:val="00A458EE"/>
    <w:rsid w:val="00A4593A"/>
    <w:rsid w:val="00A45C59"/>
    <w:rsid w:val="00A45DEE"/>
    <w:rsid w:val="00A45E52"/>
    <w:rsid w:val="00A4664A"/>
    <w:rsid w:val="00A46652"/>
    <w:rsid w:val="00A467F2"/>
    <w:rsid w:val="00A46BF6"/>
    <w:rsid w:val="00A46D15"/>
    <w:rsid w:val="00A46F68"/>
    <w:rsid w:val="00A46F6C"/>
    <w:rsid w:val="00A47127"/>
    <w:rsid w:val="00A4713D"/>
    <w:rsid w:val="00A472A5"/>
    <w:rsid w:val="00A47361"/>
    <w:rsid w:val="00A4749C"/>
    <w:rsid w:val="00A47A09"/>
    <w:rsid w:val="00A47A0D"/>
    <w:rsid w:val="00A47CCC"/>
    <w:rsid w:val="00A500AA"/>
    <w:rsid w:val="00A5016B"/>
    <w:rsid w:val="00A50291"/>
    <w:rsid w:val="00A50572"/>
    <w:rsid w:val="00A50EA8"/>
    <w:rsid w:val="00A5176B"/>
    <w:rsid w:val="00A5182B"/>
    <w:rsid w:val="00A52251"/>
    <w:rsid w:val="00A52565"/>
    <w:rsid w:val="00A52A92"/>
    <w:rsid w:val="00A52C0F"/>
    <w:rsid w:val="00A52C5C"/>
    <w:rsid w:val="00A5323B"/>
    <w:rsid w:val="00A53305"/>
    <w:rsid w:val="00A54142"/>
    <w:rsid w:val="00A5458D"/>
    <w:rsid w:val="00A545E7"/>
    <w:rsid w:val="00A547B1"/>
    <w:rsid w:val="00A54DE1"/>
    <w:rsid w:val="00A54F95"/>
    <w:rsid w:val="00A54FB4"/>
    <w:rsid w:val="00A5540E"/>
    <w:rsid w:val="00A556A0"/>
    <w:rsid w:val="00A559A2"/>
    <w:rsid w:val="00A55DEA"/>
    <w:rsid w:val="00A55F7A"/>
    <w:rsid w:val="00A560F9"/>
    <w:rsid w:val="00A56C63"/>
    <w:rsid w:val="00A56D16"/>
    <w:rsid w:val="00A56DE0"/>
    <w:rsid w:val="00A570B5"/>
    <w:rsid w:val="00A57129"/>
    <w:rsid w:val="00A5718D"/>
    <w:rsid w:val="00A5722C"/>
    <w:rsid w:val="00A57536"/>
    <w:rsid w:val="00A576C0"/>
    <w:rsid w:val="00A57EFB"/>
    <w:rsid w:val="00A6019E"/>
    <w:rsid w:val="00A60C3D"/>
    <w:rsid w:val="00A61214"/>
    <w:rsid w:val="00A613CB"/>
    <w:rsid w:val="00A614E6"/>
    <w:rsid w:val="00A61565"/>
    <w:rsid w:val="00A61ACE"/>
    <w:rsid w:val="00A61E1E"/>
    <w:rsid w:val="00A623C8"/>
    <w:rsid w:val="00A62DC6"/>
    <w:rsid w:val="00A633C0"/>
    <w:rsid w:val="00A63440"/>
    <w:rsid w:val="00A63475"/>
    <w:rsid w:val="00A6358A"/>
    <w:rsid w:val="00A636F9"/>
    <w:rsid w:val="00A63C18"/>
    <w:rsid w:val="00A63D55"/>
    <w:rsid w:val="00A63D77"/>
    <w:rsid w:val="00A641E9"/>
    <w:rsid w:val="00A64B2F"/>
    <w:rsid w:val="00A64D2B"/>
    <w:rsid w:val="00A655CC"/>
    <w:rsid w:val="00A658D5"/>
    <w:rsid w:val="00A659DF"/>
    <w:rsid w:val="00A6604E"/>
    <w:rsid w:val="00A662DC"/>
    <w:rsid w:val="00A669D4"/>
    <w:rsid w:val="00A66D02"/>
    <w:rsid w:val="00A67061"/>
    <w:rsid w:val="00A6741B"/>
    <w:rsid w:val="00A67813"/>
    <w:rsid w:val="00A67AF4"/>
    <w:rsid w:val="00A707C1"/>
    <w:rsid w:val="00A70B0C"/>
    <w:rsid w:val="00A71696"/>
    <w:rsid w:val="00A7187A"/>
    <w:rsid w:val="00A72755"/>
    <w:rsid w:val="00A72A9F"/>
    <w:rsid w:val="00A72DC6"/>
    <w:rsid w:val="00A7307F"/>
    <w:rsid w:val="00A733AD"/>
    <w:rsid w:val="00A73468"/>
    <w:rsid w:val="00A73813"/>
    <w:rsid w:val="00A73B1E"/>
    <w:rsid w:val="00A73C55"/>
    <w:rsid w:val="00A73DC6"/>
    <w:rsid w:val="00A73EBB"/>
    <w:rsid w:val="00A73FA0"/>
    <w:rsid w:val="00A74226"/>
    <w:rsid w:val="00A743DC"/>
    <w:rsid w:val="00A744BF"/>
    <w:rsid w:val="00A74676"/>
    <w:rsid w:val="00A746B0"/>
    <w:rsid w:val="00A748FC"/>
    <w:rsid w:val="00A74DF4"/>
    <w:rsid w:val="00A75465"/>
    <w:rsid w:val="00A757B0"/>
    <w:rsid w:val="00A75C5E"/>
    <w:rsid w:val="00A7635F"/>
    <w:rsid w:val="00A76979"/>
    <w:rsid w:val="00A7706C"/>
    <w:rsid w:val="00A77168"/>
    <w:rsid w:val="00A771ED"/>
    <w:rsid w:val="00A772D8"/>
    <w:rsid w:val="00A77496"/>
    <w:rsid w:val="00A776A4"/>
    <w:rsid w:val="00A778D8"/>
    <w:rsid w:val="00A7794A"/>
    <w:rsid w:val="00A779D5"/>
    <w:rsid w:val="00A77B36"/>
    <w:rsid w:val="00A80145"/>
    <w:rsid w:val="00A8029C"/>
    <w:rsid w:val="00A80311"/>
    <w:rsid w:val="00A8049D"/>
    <w:rsid w:val="00A805B3"/>
    <w:rsid w:val="00A80D1D"/>
    <w:rsid w:val="00A811A7"/>
    <w:rsid w:val="00A817DF"/>
    <w:rsid w:val="00A818B6"/>
    <w:rsid w:val="00A81C34"/>
    <w:rsid w:val="00A81CBE"/>
    <w:rsid w:val="00A81E92"/>
    <w:rsid w:val="00A820D7"/>
    <w:rsid w:val="00A822C2"/>
    <w:rsid w:val="00A8248D"/>
    <w:rsid w:val="00A82878"/>
    <w:rsid w:val="00A82990"/>
    <w:rsid w:val="00A82CFA"/>
    <w:rsid w:val="00A82D7A"/>
    <w:rsid w:val="00A82EC8"/>
    <w:rsid w:val="00A82F1E"/>
    <w:rsid w:val="00A83265"/>
    <w:rsid w:val="00A8334F"/>
    <w:rsid w:val="00A83571"/>
    <w:rsid w:val="00A835B3"/>
    <w:rsid w:val="00A83877"/>
    <w:rsid w:val="00A839EE"/>
    <w:rsid w:val="00A84227"/>
    <w:rsid w:val="00A843AA"/>
    <w:rsid w:val="00A84927"/>
    <w:rsid w:val="00A84D85"/>
    <w:rsid w:val="00A84ED8"/>
    <w:rsid w:val="00A851B4"/>
    <w:rsid w:val="00A85958"/>
    <w:rsid w:val="00A862CE"/>
    <w:rsid w:val="00A8670E"/>
    <w:rsid w:val="00A86966"/>
    <w:rsid w:val="00A87173"/>
    <w:rsid w:val="00A872BC"/>
    <w:rsid w:val="00A875B2"/>
    <w:rsid w:val="00A878FA"/>
    <w:rsid w:val="00A87D62"/>
    <w:rsid w:val="00A90003"/>
    <w:rsid w:val="00A900B7"/>
    <w:rsid w:val="00A90401"/>
    <w:rsid w:val="00A90A2C"/>
    <w:rsid w:val="00A90A6C"/>
    <w:rsid w:val="00A90B94"/>
    <w:rsid w:val="00A90EEF"/>
    <w:rsid w:val="00A91283"/>
    <w:rsid w:val="00A912C3"/>
    <w:rsid w:val="00A914C3"/>
    <w:rsid w:val="00A91609"/>
    <w:rsid w:val="00A919F1"/>
    <w:rsid w:val="00A91BCB"/>
    <w:rsid w:val="00A921E3"/>
    <w:rsid w:val="00A923AB"/>
    <w:rsid w:val="00A92646"/>
    <w:rsid w:val="00A92A2C"/>
    <w:rsid w:val="00A93111"/>
    <w:rsid w:val="00A93588"/>
    <w:rsid w:val="00A93614"/>
    <w:rsid w:val="00A938ED"/>
    <w:rsid w:val="00A93FD7"/>
    <w:rsid w:val="00A94561"/>
    <w:rsid w:val="00A946D6"/>
    <w:rsid w:val="00A94A76"/>
    <w:rsid w:val="00A94D20"/>
    <w:rsid w:val="00A94E64"/>
    <w:rsid w:val="00A95840"/>
    <w:rsid w:val="00A966F4"/>
    <w:rsid w:val="00A96768"/>
    <w:rsid w:val="00A9680D"/>
    <w:rsid w:val="00A96D2A"/>
    <w:rsid w:val="00A971AA"/>
    <w:rsid w:val="00A97341"/>
    <w:rsid w:val="00A9752B"/>
    <w:rsid w:val="00A97651"/>
    <w:rsid w:val="00A97D09"/>
    <w:rsid w:val="00A97D11"/>
    <w:rsid w:val="00AA0137"/>
    <w:rsid w:val="00AA02BC"/>
    <w:rsid w:val="00AA0533"/>
    <w:rsid w:val="00AA0AB3"/>
    <w:rsid w:val="00AA0ADC"/>
    <w:rsid w:val="00AA0B2A"/>
    <w:rsid w:val="00AA0EB2"/>
    <w:rsid w:val="00AA0EBB"/>
    <w:rsid w:val="00AA13A6"/>
    <w:rsid w:val="00AA165D"/>
    <w:rsid w:val="00AA172C"/>
    <w:rsid w:val="00AA1A90"/>
    <w:rsid w:val="00AA210B"/>
    <w:rsid w:val="00AA2461"/>
    <w:rsid w:val="00AA265E"/>
    <w:rsid w:val="00AA2789"/>
    <w:rsid w:val="00AA2865"/>
    <w:rsid w:val="00AA3349"/>
    <w:rsid w:val="00AA33A1"/>
    <w:rsid w:val="00AA35F9"/>
    <w:rsid w:val="00AA3798"/>
    <w:rsid w:val="00AA3A9B"/>
    <w:rsid w:val="00AA3BF1"/>
    <w:rsid w:val="00AA3E98"/>
    <w:rsid w:val="00AA3EE4"/>
    <w:rsid w:val="00AA405D"/>
    <w:rsid w:val="00AA41FF"/>
    <w:rsid w:val="00AA42EF"/>
    <w:rsid w:val="00AA4502"/>
    <w:rsid w:val="00AA4649"/>
    <w:rsid w:val="00AA47BF"/>
    <w:rsid w:val="00AA49B9"/>
    <w:rsid w:val="00AA4B67"/>
    <w:rsid w:val="00AA5372"/>
    <w:rsid w:val="00AA5410"/>
    <w:rsid w:val="00AA5690"/>
    <w:rsid w:val="00AA56F1"/>
    <w:rsid w:val="00AA5709"/>
    <w:rsid w:val="00AA5A6E"/>
    <w:rsid w:val="00AA5B2D"/>
    <w:rsid w:val="00AA5ED0"/>
    <w:rsid w:val="00AA6025"/>
    <w:rsid w:val="00AA639E"/>
    <w:rsid w:val="00AA6705"/>
    <w:rsid w:val="00AA6A34"/>
    <w:rsid w:val="00AA71DD"/>
    <w:rsid w:val="00AA795C"/>
    <w:rsid w:val="00AA797B"/>
    <w:rsid w:val="00AA7CE3"/>
    <w:rsid w:val="00AA7EFC"/>
    <w:rsid w:val="00AB001A"/>
    <w:rsid w:val="00AB01BC"/>
    <w:rsid w:val="00AB0370"/>
    <w:rsid w:val="00AB0384"/>
    <w:rsid w:val="00AB0885"/>
    <w:rsid w:val="00AB09D8"/>
    <w:rsid w:val="00AB0BF2"/>
    <w:rsid w:val="00AB1195"/>
    <w:rsid w:val="00AB1FA3"/>
    <w:rsid w:val="00AB1FFB"/>
    <w:rsid w:val="00AB2008"/>
    <w:rsid w:val="00AB21C6"/>
    <w:rsid w:val="00AB2841"/>
    <w:rsid w:val="00AB29A6"/>
    <w:rsid w:val="00AB2D13"/>
    <w:rsid w:val="00AB2DB3"/>
    <w:rsid w:val="00AB3182"/>
    <w:rsid w:val="00AB31A2"/>
    <w:rsid w:val="00AB33FF"/>
    <w:rsid w:val="00AB3671"/>
    <w:rsid w:val="00AB3B94"/>
    <w:rsid w:val="00AB44BF"/>
    <w:rsid w:val="00AB4C00"/>
    <w:rsid w:val="00AB531B"/>
    <w:rsid w:val="00AB57BB"/>
    <w:rsid w:val="00AB5813"/>
    <w:rsid w:val="00AB5C18"/>
    <w:rsid w:val="00AB6161"/>
    <w:rsid w:val="00AB6232"/>
    <w:rsid w:val="00AB62C0"/>
    <w:rsid w:val="00AB64D0"/>
    <w:rsid w:val="00AB6516"/>
    <w:rsid w:val="00AB66B2"/>
    <w:rsid w:val="00AB6781"/>
    <w:rsid w:val="00AB6EBD"/>
    <w:rsid w:val="00AB7869"/>
    <w:rsid w:val="00AB7E87"/>
    <w:rsid w:val="00AB7E94"/>
    <w:rsid w:val="00AC0D86"/>
    <w:rsid w:val="00AC10BC"/>
    <w:rsid w:val="00AC10EB"/>
    <w:rsid w:val="00AC11E9"/>
    <w:rsid w:val="00AC1340"/>
    <w:rsid w:val="00AC1760"/>
    <w:rsid w:val="00AC19CB"/>
    <w:rsid w:val="00AC1DD8"/>
    <w:rsid w:val="00AC1E31"/>
    <w:rsid w:val="00AC1F7D"/>
    <w:rsid w:val="00AC224F"/>
    <w:rsid w:val="00AC2714"/>
    <w:rsid w:val="00AC2943"/>
    <w:rsid w:val="00AC2AE4"/>
    <w:rsid w:val="00AC2C1B"/>
    <w:rsid w:val="00AC30C3"/>
    <w:rsid w:val="00AC33A6"/>
    <w:rsid w:val="00AC3507"/>
    <w:rsid w:val="00AC3661"/>
    <w:rsid w:val="00AC3714"/>
    <w:rsid w:val="00AC37C6"/>
    <w:rsid w:val="00AC42D3"/>
    <w:rsid w:val="00AC4358"/>
    <w:rsid w:val="00AC45AB"/>
    <w:rsid w:val="00AC4AF0"/>
    <w:rsid w:val="00AC4DF2"/>
    <w:rsid w:val="00AC519D"/>
    <w:rsid w:val="00AC52B2"/>
    <w:rsid w:val="00AC53EA"/>
    <w:rsid w:val="00AC57A6"/>
    <w:rsid w:val="00AC5D45"/>
    <w:rsid w:val="00AC5E39"/>
    <w:rsid w:val="00AC60A0"/>
    <w:rsid w:val="00AC62F2"/>
    <w:rsid w:val="00AC635A"/>
    <w:rsid w:val="00AC66AC"/>
    <w:rsid w:val="00AC68A8"/>
    <w:rsid w:val="00AC6A81"/>
    <w:rsid w:val="00AC6F46"/>
    <w:rsid w:val="00AC6F7D"/>
    <w:rsid w:val="00AC720A"/>
    <w:rsid w:val="00AC78F7"/>
    <w:rsid w:val="00AC78FE"/>
    <w:rsid w:val="00AD0309"/>
    <w:rsid w:val="00AD05D0"/>
    <w:rsid w:val="00AD0C76"/>
    <w:rsid w:val="00AD0D7C"/>
    <w:rsid w:val="00AD17AA"/>
    <w:rsid w:val="00AD1B73"/>
    <w:rsid w:val="00AD1E6F"/>
    <w:rsid w:val="00AD1EF9"/>
    <w:rsid w:val="00AD2029"/>
    <w:rsid w:val="00AD20DF"/>
    <w:rsid w:val="00AD2C6B"/>
    <w:rsid w:val="00AD3032"/>
    <w:rsid w:val="00AD3814"/>
    <w:rsid w:val="00AD3D9D"/>
    <w:rsid w:val="00AD4032"/>
    <w:rsid w:val="00AD43AE"/>
    <w:rsid w:val="00AD4A9E"/>
    <w:rsid w:val="00AD50A4"/>
    <w:rsid w:val="00AD5408"/>
    <w:rsid w:val="00AD5677"/>
    <w:rsid w:val="00AD585C"/>
    <w:rsid w:val="00AD59F2"/>
    <w:rsid w:val="00AD5E15"/>
    <w:rsid w:val="00AD5F40"/>
    <w:rsid w:val="00AD60EA"/>
    <w:rsid w:val="00AD6284"/>
    <w:rsid w:val="00AD62D8"/>
    <w:rsid w:val="00AD6327"/>
    <w:rsid w:val="00AD6501"/>
    <w:rsid w:val="00AD67D4"/>
    <w:rsid w:val="00AD6D9F"/>
    <w:rsid w:val="00AD73DF"/>
    <w:rsid w:val="00AD778C"/>
    <w:rsid w:val="00AD7E4D"/>
    <w:rsid w:val="00AD7E98"/>
    <w:rsid w:val="00AE005F"/>
    <w:rsid w:val="00AE0301"/>
    <w:rsid w:val="00AE06B5"/>
    <w:rsid w:val="00AE0790"/>
    <w:rsid w:val="00AE07BA"/>
    <w:rsid w:val="00AE0881"/>
    <w:rsid w:val="00AE095E"/>
    <w:rsid w:val="00AE0D54"/>
    <w:rsid w:val="00AE0E1C"/>
    <w:rsid w:val="00AE118C"/>
    <w:rsid w:val="00AE1365"/>
    <w:rsid w:val="00AE1457"/>
    <w:rsid w:val="00AE14FA"/>
    <w:rsid w:val="00AE160A"/>
    <w:rsid w:val="00AE1646"/>
    <w:rsid w:val="00AE1AEB"/>
    <w:rsid w:val="00AE1C3D"/>
    <w:rsid w:val="00AE1E33"/>
    <w:rsid w:val="00AE2162"/>
    <w:rsid w:val="00AE234B"/>
    <w:rsid w:val="00AE2C19"/>
    <w:rsid w:val="00AE30FC"/>
    <w:rsid w:val="00AE3504"/>
    <w:rsid w:val="00AE42BC"/>
    <w:rsid w:val="00AE4331"/>
    <w:rsid w:val="00AE46E5"/>
    <w:rsid w:val="00AE4709"/>
    <w:rsid w:val="00AE4DEB"/>
    <w:rsid w:val="00AE52C3"/>
    <w:rsid w:val="00AE5452"/>
    <w:rsid w:val="00AE555D"/>
    <w:rsid w:val="00AE5D14"/>
    <w:rsid w:val="00AE60F7"/>
    <w:rsid w:val="00AE614D"/>
    <w:rsid w:val="00AE6441"/>
    <w:rsid w:val="00AE64BE"/>
    <w:rsid w:val="00AE65EC"/>
    <w:rsid w:val="00AE65EE"/>
    <w:rsid w:val="00AE7087"/>
    <w:rsid w:val="00AE7314"/>
    <w:rsid w:val="00AE73A9"/>
    <w:rsid w:val="00AE77E4"/>
    <w:rsid w:val="00AE7849"/>
    <w:rsid w:val="00AE7977"/>
    <w:rsid w:val="00AF07CD"/>
    <w:rsid w:val="00AF0E05"/>
    <w:rsid w:val="00AF14EE"/>
    <w:rsid w:val="00AF16FA"/>
    <w:rsid w:val="00AF1D8C"/>
    <w:rsid w:val="00AF1E74"/>
    <w:rsid w:val="00AF1F10"/>
    <w:rsid w:val="00AF20BF"/>
    <w:rsid w:val="00AF2290"/>
    <w:rsid w:val="00AF2A06"/>
    <w:rsid w:val="00AF2B94"/>
    <w:rsid w:val="00AF3D39"/>
    <w:rsid w:val="00AF438B"/>
    <w:rsid w:val="00AF473A"/>
    <w:rsid w:val="00AF497B"/>
    <w:rsid w:val="00AF5F99"/>
    <w:rsid w:val="00AF61D9"/>
    <w:rsid w:val="00AF6770"/>
    <w:rsid w:val="00AF69E8"/>
    <w:rsid w:val="00AF6A4C"/>
    <w:rsid w:val="00AF776F"/>
    <w:rsid w:val="00AF7FBF"/>
    <w:rsid w:val="00B002A2"/>
    <w:rsid w:val="00B00361"/>
    <w:rsid w:val="00B004BA"/>
    <w:rsid w:val="00B00661"/>
    <w:rsid w:val="00B00E62"/>
    <w:rsid w:val="00B00EE8"/>
    <w:rsid w:val="00B01269"/>
    <w:rsid w:val="00B01456"/>
    <w:rsid w:val="00B01479"/>
    <w:rsid w:val="00B01568"/>
    <w:rsid w:val="00B016C4"/>
    <w:rsid w:val="00B017BF"/>
    <w:rsid w:val="00B019A6"/>
    <w:rsid w:val="00B01F03"/>
    <w:rsid w:val="00B02183"/>
    <w:rsid w:val="00B02402"/>
    <w:rsid w:val="00B0276D"/>
    <w:rsid w:val="00B02ABF"/>
    <w:rsid w:val="00B02B66"/>
    <w:rsid w:val="00B02CE7"/>
    <w:rsid w:val="00B031D5"/>
    <w:rsid w:val="00B039F8"/>
    <w:rsid w:val="00B03AF3"/>
    <w:rsid w:val="00B03C0E"/>
    <w:rsid w:val="00B03F7E"/>
    <w:rsid w:val="00B03FF5"/>
    <w:rsid w:val="00B041B8"/>
    <w:rsid w:val="00B043AC"/>
    <w:rsid w:val="00B044D6"/>
    <w:rsid w:val="00B0464E"/>
    <w:rsid w:val="00B047C2"/>
    <w:rsid w:val="00B04C4D"/>
    <w:rsid w:val="00B04CB1"/>
    <w:rsid w:val="00B04F0E"/>
    <w:rsid w:val="00B04F36"/>
    <w:rsid w:val="00B05445"/>
    <w:rsid w:val="00B05635"/>
    <w:rsid w:val="00B060F3"/>
    <w:rsid w:val="00B06513"/>
    <w:rsid w:val="00B066F1"/>
    <w:rsid w:val="00B06B2D"/>
    <w:rsid w:val="00B07431"/>
    <w:rsid w:val="00B07620"/>
    <w:rsid w:val="00B077C9"/>
    <w:rsid w:val="00B07AAA"/>
    <w:rsid w:val="00B07BEE"/>
    <w:rsid w:val="00B102F4"/>
    <w:rsid w:val="00B104B2"/>
    <w:rsid w:val="00B10541"/>
    <w:rsid w:val="00B10D45"/>
    <w:rsid w:val="00B10F86"/>
    <w:rsid w:val="00B11538"/>
    <w:rsid w:val="00B115C4"/>
    <w:rsid w:val="00B1162F"/>
    <w:rsid w:val="00B116EE"/>
    <w:rsid w:val="00B1188D"/>
    <w:rsid w:val="00B1239E"/>
    <w:rsid w:val="00B128B0"/>
    <w:rsid w:val="00B1314F"/>
    <w:rsid w:val="00B1358A"/>
    <w:rsid w:val="00B1361C"/>
    <w:rsid w:val="00B137CD"/>
    <w:rsid w:val="00B138BD"/>
    <w:rsid w:val="00B13B4F"/>
    <w:rsid w:val="00B13E6D"/>
    <w:rsid w:val="00B14A1A"/>
    <w:rsid w:val="00B14A4C"/>
    <w:rsid w:val="00B14A5F"/>
    <w:rsid w:val="00B14BA8"/>
    <w:rsid w:val="00B15001"/>
    <w:rsid w:val="00B151CF"/>
    <w:rsid w:val="00B15538"/>
    <w:rsid w:val="00B15FBC"/>
    <w:rsid w:val="00B161D6"/>
    <w:rsid w:val="00B16290"/>
    <w:rsid w:val="00B16345"/>
    <w:rsid w:val="00B1635B"/>
    <w:rsid w:val="00B164C5"/>
    <w:rsid w:val="00B16A9F"/>
    <w:rsid w:val="00B173B1"/>
    <w:rsid w:val="00B2015E"/>
    <w:rsid w:val="00B20445"/>
    <w:rsid w:val="00B20777"/>
    <w:rsid w:val="00B20DEB"/>
    <w:rsid w:val="00B20E1B"/>
    <w:rsid w:val="00B210BC"/>
    <w:rsid w:val="00B217AE"/>
    <w:rsid w:val="00B21CE6"/>
    <w:rsid w:val="00B22973"/>
    <w:rsid w:val="00B22BAF"/>
    <w:rsid w:val="00B231CA"/>
    <w:rsid w:val="00B233F7"/>
    <w:rsid w:val="00B2361D"/>
    <w:rsid w:val="00B23716"/>
    <w:rsid w:val="00B237DA"/>
    <w:rsid w:val="00B23BCE"/>
    <w:rsid w:val="00B240D1"/>
    <w:rsid w:val="00B2458F"/>
    <w:rsid w:val="00B24695"/>
    <w:rsid w:val="00B2477E"/>
    <w:rsid w:val="00B247AD"/>
    <w:rsid w:val="00B249C0"/>
    <w:rsid w:val="00B24F1C"/>
    <w:rsid w:val="00B253B9"/>
    <w:rsid w:val="00B258E0"/>
    <w:rsid w:val="00B25A21"/>
    <w:rsid w:val="00B25BBD"/>
    <w:rsid w:val="00B25D05"/>
    <w:rsid w:val="00B26622"/>
    <w:rsid w:val="00B2665E"/>
    <w:rsid w:val="00B26669"/>
    <w:rsid w:val="00B26690"/>
    <w:rsid w:val="00B270F2"/>
    <w:rsid w:val="00B276B4"/>
    <w:rsid w:val="00B27795"/>
    <w:rsid w:val="00B27E01"/>
    <w:rsid w:val="00B300AB"/>
    <w:rsid w:val="00B3027C"/>
    <w:rsid w:val="00B303F6"/>
    <w:rsid w:val="00B304A1"/>
    <w:rsid w:val="00B304ED"/>
    <w:rsid w:val="00B307B7"/>
    <w:rsid w:val="00B30A0C"/>
    <w:rsid w:val="00B30AC8"/>
    <w:rsid w:val="00B3147F"/>
    <w:rsid w:val="00B3150A"/>
    <w:rsid w:val="00B31A53"/>
    <w:rsid w:val="00B31AEF"/>
    <w:rsid w:val="00B326CB"/>
    <w:rsid w:val="00B329AC"/>
    <w:rsid w:val="00B32EB6"/>
    <w:rsid w:val="00B330C2"/>
    <w:rsid w:val="00B33197"/>
    <w:rsid w:val="00B331B6"/>
    <w:rsid w:val="00B33E3F"/>
    <w:rsid w:val="00B33F31"/>
    <w:rsid w:val="00B34258"/>
    <w:rsid w:val="00B34295"/>
    <w:rsid w:val="00B342A3"/>
    <w:rsid w:val="00B34778"/>
    <w:rsid w:val="00B3484B"/>
    <w:rsid w:val="00B34C0F"/>
    <w:rsid w:val="00B34D68"/>
    <w:rsid w:val="00B35393"/>
    <w:rsid w:val="00B3540D"/>
    <w:rsid w:val="00B35E86"/>
    <w:rsid w:val="00B36028"/>
    <w:rsid w:val="00B361F1"/>
    <w:rsid w:val="00B36630"/>
    <w:rsid w:val="00B36BC7"/>
    <w:rsid w:val="00B379AD"/>
    <w:rsid w:val="00B37B14"/>
    <w:rsid w:val="00B37FE2"/>
    <w:rsid w:val="00B40064"/>
    <w:rsid w:val="00B40773"/>
    <w:rsid w:val="00B413EA"/>
    <w:rsid w:val="00B4173C"/>
    <w:rsid w:val="00B4177B"/>
    <w:rsid w:val="00B420D4"/>
    <w:rsid w:val="00B4245B"/>
    <w:rsid w:val="00B428B4"/>
    <w:rsid w:val="00B42CCC"/>
    <w:rsid w:val="00B42D56"/>
    <w:rsid w:val="00B42E01"/>
    <w:rsid w:val="00B42E6D"/>
    <w:rsid w:val="00B434FF"/>
    <w:rsid w:val="00B4350A"/>
    <w:rsid w:val="00B4367E"/>
    <w:rsid w:val="00B43764"/>
    <w:rsid w:val="00B43B0A"/>
    <w:rsid w:val="00B43C63"/>
    <w:rsid w:val="00B43D2B"/>
    <w:rsid w:val="00B44167"/>
    <w:rsid w:val="00B4428B"/>
    <w:rsid w:val="00B44552"/>
    <w:rsid w:val="00B446FD"/>
    <w:rsid w:val="00B453F8"/>
    <w:rsid w:val="00B454D9"/>
    <w:rsid w:val="00B45526"/>
    <w:rsid w:val="00B45B06"/>
    <w:rsid w:val="00B45B78"/>
    <w:rsid w:val="00B46100"/>
    <w:rsid w:val="00B4611A"/>
    <w:rsid w:val="00B470A2"/>
    <w:rsid w:val="00B473D6"/>
    <w:rsid w:val="00B47473"/>
    <w:rsid w:val="00B47CD0"/>
    <w:rsid w:val="00B50525"/>
    <w:rsid w:val="00B508BE"/>
    <w:rsid w:val="00B50A44"/>
    <w:rsid w:val="00B50E7A"/>
    <w:rsid w:val="00B51086"/>
    <w:rsid w:val="00B51580"/>
    <w:rsid w:val="00B51952"/>
    <w:rsid w:val="00B51BED"/>
    <w:rsid w:val="00B52363"/>
    <w:rsid w:val="00B5257F"/>
    <w:rsid w:val="00B5262E"/>
    <w:rsid w:val="00B52668"/>
    <w:rsid w:val="00B526E2"/>
    <w:rsid w:val="00B527B9"/>
    <w:rsid w:val="00B529E1"/>
    <w:rsid w:val="00B52EB3"/>
    <w:rsid w:val="00B53200"/>
    <w:rsid w:val="00B53A68"/>
    <w:rsid w:val="00B53AD6"/>
    <w:rsid w:val="00B53C9E"/>
    <w:rsid w:val="00B53CCB"/>
    <w:rsid w:val="00B540E9"/>
    <w:rsid w:val="00B54254"/>
    <w:rsid w:val="00B54463"/>
    <w:rsid w:val="00B548AE"/>
    <w:rsid w:val="00B549EA"/>
    <w:rsid w:val="00B54D93"/>
    <w:rsid w:val="00B54E19"/>
    <w:rsid w:val="00B55524"/>
    <w:rsid w:val="00B55AA8"/>
    <w:rsid w:val="00B55AF1"/>
    <w:rsid w:val="00B55B09"/>
    <w:rsid w:val="00B55C3A"/>
    <w:rsid w:val="00B5625C"/>
    <w:rsid w:val="00B56344"/>
    <w:rsid w:val="00B5637D"/>
    <w:rsid w:val="00B564BB"/>
    <w:rsid w:val="00B565AC"/>
    <w:rsid w:val="00B565D5"/>
    <w:rsid w:val="00B567DE"/>
    <w:rsid w:val="00B56C1E"/>
    <w:rsid w:val="00B56DA6"/>
    <w:rsid w:val="00B575BF"/>
    <w:rsid w:val="00B5788C"/>
    <w:rsid w:val="00B57C13"/>
    <w:rsid w:val="00B603A1"/>
    <w:rsid w:val="00B6065D"/>
    <w:rsid w:val="00B606BB"/>
    <w:rsid w:val="00B60902"/>
    <w:rsid w:val="00B611AD"/>
    <w:rsid w:val="00B612EA"/>
    <w:rsid w:val="00B6139A"/>
    <w:rsid w:val="00B616EC"/>
    <w:rsid w:val="00B619E5"/>
    <w:rsid w:val="00B61AD4"/>
    <w:rsid w:val="00B61B4C"/>
    <w:rsid w:val="00B61C66"/>
    <w:rsid w:val="00B61CBB"/>
    <w:rsid w:val="00B622A3"/>
    <w:rsid w:val="00B62408"/>
    <w:rsid w:val="00B62604"/>
    <w:rsid w:val="00B62A76"/>
    <w:rsid w:val="00B62DF2"/>
    <w:rsid w:val="00B62E3D"/>
    <w:rsid w:val="00B63347"/>
    <w:rsid w:val="00B63A7B"/>
    <w:rsid w:val="00B63FB4"/>
    <w:rsid w:val="00B6405F"/>
    <w:rsid w:val="00B644BF"/>
    <w:rsid w:val="00B64E73"/>
    <w:rsid w:val="00B6550D"/>
    <w:rsid w:val="00B657D0"/>
    <w:rsid w:val="00B65AC8"/>
    <w:rsid w:val="00B65E58"/>
    <w:rsid w:val="00B66475"/>
    <w:rsid w:val="00B66620"/>
    <w:rsid w:val="00B6686A"/>
    <w:rsid w:val="00B66A87"/>
    <w:rsid w:val="00B66AA9"/>
    <w:rsid w:val="00B66B99"/>
    <w:rsid w:val="00B675FF"/>
    <w:rsid w:val="00B67DBC"/>
    <w:rsid w:val="00B70123"/>
    <w:rsid w:val="00B70233"/>
    <w:rsid w:val="00B702B4"/>
    <w:rsid w:val="00B709A4"/>
    <w:rsid w:val="00B70A8D"/>
    <w:rsid w:val="00B71150"/>
    <w:rsid w:val="00B712D0"/>
    <w:rsid w:val="00B7138D"/>
    <w:rsid w:val="00B71783"/>
    <w:rsid w:val="00B71B46"/>
    <w:rsid w:val="00B71CB8"/>
    <w:rsid w:val="00B722F6"/>
    <w:rsid w:val="00B72B10"/>
    <w:rsid w:val="00B72D02"/>
    <w:rsid w:val="00B72E46"/>
    <w:rsid w:val="00B73CDB"/>
    <w:rsid w:val="00B73D31"/>
    <w:rsid w:val="00B73E06"/>
    <w:rsid w:val="00B73E52"/>
    <w:rsid w:val="00B74620"/>
    <w:rsid w:val="00B748D9"/>
    <w:rsid w:val="00B74BAA"/>
    <w:rsid w:val="00B74C3D"/>
    <w:rsid w:val="00B7517A"/>
    <w:rsid w:val="00B751CB"/>
    <w:rsid w:val="00B757E5"/>
    <w:rsid w:val="00B75D21"/>
    <w:rsid w:val="00B75D66"/>
    <w:rsid w:val="00B75F91"/>
    <w:rsid w:val="00B762F8"/>
    <w:rsid w:val="00B764F1"/>
    <w:rsid w:val="00B76523"/>
    <w:rsid w:val="00B7668C"/>
    <w:rsid w:val="00B76C50"/>
    <w:rsid w:val="00B76D35"/>
    <w:rsid w:val="00B76F5B"/>
    <w:rsid w:val="00B77544"/>
    <w:rsid w:val="00B779DB"/>
    <w:rsid w:val="00B77EA3"/>
    <w:rsid w:val="00B77FAC"/>
    <w:rsid w:val="00B800D2"/>
    <w:rsid w:val="00B8056A"/>
    <w:rsid w:val="00B80CEF"/>
    <w:rsid w:val="00B80E65"/>
    <w:rsid w:val="00B80EF1"/>
    <w:rsid w:val="00B81373"/>
    <w:rsid w:val="00B814A6"/>
    <w:rsid w:val="00B81755"/>
    <w:rsid w:val="00B819FC"/>
    <w:rsid w:val="00B81F38"/>
    <w:rsid w:val="00B82128"/>
    <w:rsid w:val="00B823D0"/>
    <w:rsid w:val="00B832BB"/>
    <w:rsid w:val="00B83336"/>
    <w:rsid w:val="00B83766"/>
    <w:rsid w:val="00B83AF0"/>
    <w:rsid w:val="00B83B62"/>
    <w:rsid w:val="00B83B6D"/>
    <w:rsid w:val="00B83DC9"/>
    <w:rsid w:val="00B83DE6"/>
    <w:rsid w:val="00B845F1"/>
    <w:rsid w:val="00B8468B"/>
    <w:rsid w:val="00B84878"/>
    <w:rsid w:val="00B84BD9"/>
    <w:rsid w:val="00B84BED"/>
    <w:rsid w:val="00B85055"/>
    <w:rsid w:val="00B8535F"/>
    <w:rsid w:val="00B854EA"/>
    <w:rsid w:val="00B85BA8"/>
    <w:rsid w:val="00B85DBF"/>
    <w:rsid w:val="00B85E5A"/>
    <w:rsid w:val="00B864A3"/>
    <w:rsid w:val="00B8732F"/>
    <w:rsid w:val="00B873F4"/>
    <w:rsid w:val="00B87501"/>
    <w:rsid w:val="00B878CD"/>
    <w:rsid w:val="00B879FC"/>
    <w:rsid w:val="00B87D02"/>
    <w:rsid w:val="00B90276"/>
    <w:rsid w:val="00B90CBC"/>
    <w:rsid w:val="00B90CC4"/>
    <w:rsid w:val="00B90CFB"/>
    <w:rsid w:val="00B9109B"/>
    <w:rsid w:val="00B914BB"/>
    <w:rsid w:val="00B915E0"/>
    <w:rsid w:val="00B91C13"/>
    <w:rsid w:val="00B91CB1"/>
    <w:rsid w:val="00B91EB0"/>
    <w:rsid w:val="00B91F1A"/>
    <w:rsid w:val="00B92221"/>
    <w:rsid w:val="00B923D5"/>
    <w:rsid w:val="00B9249B"/>
    <w:rsid w:val="00B92702"/>
    <w:rsid w:val="00B93295"/>
    <w:rsid w:val="00B933A7"/>
    <w:rsid w:val="00B9377D"/>
    <w:rsid w:val="00B93889"/>
    <w:rsid w:val="00B938F1"/>
    <w:rsid w:val="00B93BC8"/>
    <w:rsid w:val="00B94063"/>
    <w:rsid w:val="00B9408B"/>
    <w:rsid w:val="00B9480D"/>
    <w:rsid w:val="00B950A8"/>
    <w:rsid w:val="00B9520C"/>
    <w:rsid w:val="00B9532C"/>
    <w:rsid w:val="00B9536C"/>
    <w:rsid w:val="00B95440"/>
    <w:rsid w:val="00B95708"/>
    <w:rsid w:val="00B959F4"/>
    <w:rsid w:val="00B95CB3"/>
    <w:rsid w:val="00B960E4"/>
    <w:rsid w:val="00B961CE"/>
    <w:rsid w:val="00B9644E"/>
    <w:rsid w:val="00B9670E"/>
    <w:rsid w:val="00B97203"/>
    <w:rsid w:val="00B978AE"/>
    <w:rsid w:val="00B97D11"/>
    <w:rsid w:val="00B97DCB"/>
    <w:rsid w:val="00B97EE7"/>
    <w:rsid w:val="00BA0191"/>
    <w:rsid w:val="00BA024D"/>
    <w:rsid w:val="00BA0298"/>
    <w:rsid w:val="00BA04A6"/>
    <w:rsid w:val="00BA09C5"/>
    <w:rsid w:val="00BA0DEF"/>
    <w:rsid w:val="00BA1164"/>
    <w:rsid w:val="00BA1372"/>
    <w:rsid w:val="00BA142B"/>
    <w:rsid w:val="00BA1441"/>
    <w:rsid w:val="00BA1570"/>
    <w:rsid w:val="00BA15A4"/>
    <w:rsid w:val="00BA19F9"/>
    <w:rsid w:val="00BA1C61"/>
    <w:rsid w:val="00BA1FFB"/>
    <w:rsid w:val="00BA227D"/>
    <w:rsid w:val="00BA22F3"/>
    <w:rsid w:val="00BA243E"/>
    <w:rsid w:val="00BA2761"/>
    <w:rsid w:val="00BA2A4D"/>
    <w:rsid w:val="00BA2B3F"/>
    <w:rsid w:val="00BA2FC3"/>
    <w:rsid w:val="00BA339A"/>
    <w:rsid w:val="00BA416A"/>
    <w:rsid w:val="00BA433E"/>
    <w:rsid w:val="00BA44D4"/>
    <w:rsid w:val="00BA471B"/>
    <w:rsid w:val="00BA48B4"/>
    <w:rsid w:val="00BA49C3"/>
    <w:rsid w:val="00BA4A55"/>
    <w:rsid w:val="00BA4B46"/>
    <w:rsid w:val="00BA4E45"/>
    <w:rsid w:val="00BA4E67"/>
    <w:rsid w:val="00BA50A7"/>
    <w:rsid w:val="00BA52E6"/>
    <w:rsid w:val="00BA530A"/>
    <w:rsid w:val="00BA5984"/>
    <w:rsid w:val="00BA59FB"/>
    <w:rsid w:val="00BA5CC4"/>
    <w:rsid w:val="00BA5E9A"/>
    <w:rsid w:val="00BA641E"/>
    <w:rsid w:val="00BA651D"/>
    <w:rsid w:val="00BA67DA"/>
    <w:rsid w:val="00BA6808"/>
    <w:rsid w:val="00BA6C27"/>
    <w:rsid w:val="00BA6E38"/>
    <w:rsid w:val="00BA71B3"/>
    <w:rsid w:val="00BA7309"/>
    <w:rsid w:val="00BA7A0B"/>
    <w:rsid w:val="00BA7AB4"/>
    <w:rsid w:val="00BB02B7"/>
    <w:rsid w:val="00BB039F"/>
    <w:rsid w:val="00BB14A3"/>
    <w:rsid w:val="00BB16F9"/>
    <w:rsid w:val="00BB1958"/>
    <w:rsid w:val="00BB1B6D"/>
    <w:rsid w:val="00BB20C7"/>
    <w:rsid w:val="00BB2204"/>
    <w:rsid w:val="00BB2493"/>
    <w:rsid w:val="00BB2598"/>
    <w:rsid w:val="00BB2643"/>
    <w:rsid w:val="00BB26C5"/>
    <w:rsid w:val="00BB2756"/>
    <w:rsid w:val="00BB2B20"/>
    <w:rsid w:val="00BB2CA6"/>
    <w:rsid w:val="00BB2D45"/>
    <w:rsid w:val="00BB2F2C"/>
    <w:rsid w:val="00BB3785"/>
    <w:rsid w:val="00BB394A"/>
    <w:rsid w:val="00BB3B03"/>
    <w:rsid w:val="00BB3C1F"/>
    <w:rsid w:val="00BB3EAE"/>
    <w:rsid w:val="00BB3F45"/>
    <w:rsid w:val="00BB4472"/>
    <w:rsid w:val="00BB51C2"/>
    <w:rsid w:val="00BB5BC2"/>
    <w:rsid w:val="00BB5D52"/>
    <w:rsid w:val="00BB5FD7"/>
    <w:rsid w:val="00BB60AE"/>
    <w:rsid w:val="00BB622D"/>
    <w:rsid w:val="00BB645D"/>
    <w:rsid w:val="00BB6584"/>
    <w:rsid w:val="00BB65BE"/>
    <w:rsid w:val="00BB6942"/>
    <w:rsid w:val="00BB6B55"/>
    <w:rsid w:val="00BB7742"/>
    <w:rsid w:val="00BB78E4"/>
    <w:rsid w:val="00BC0023"/>
    <w:rsid w:val="00BC0093"/>
    <w:rsid w:val="00BC02F9"/>
    <w:rsid w:val="00BC06C3"/>
    <w:rsid w:val="00BC0EBB"/>
    <w:rsid w:val="00BC1363"/>
    <w:rsid w:val="00BC139F"/>
    <w:rsid w:val="00BC15DE"/>
    <w:rsid w:val="00BC17C8"/>
    <w:rsid w:val="00BC1C5D"/>
    <w:rsid w:val="00BC1D67"/>
    <w:rsid w:val="00BC231C"/>
    <w:rsid w:val="00BC284B"/>
    <w:rsid w:val="00BC2ACF"/>
    <w:rsid w:val="00BC3321"/>
    <w:rsid w:val="00BC34F6"/>
    <w:rsid w:val="00BC369C"/>
    <w:rsid w:val="00BC41D5"/>
    <w:rsid w:val="00BC4833"/>
    <w:rsid w:val="00BC493C"/>
    <w:rsid w:val="00BC4972"/>
    <w:rsid w:val="00BC522D"/>
    <w:rsid w:val="00BC52C1"/>
    <w:rsid w:val="00BC542C"/>
    <w:rsid w:val="00BC5C93"/>
    <w:rsid w:val="00BC5D4A"/>
    <w:rsid w:val="00BC608C"/>
    <w:rsid w:val="00BC65BC"/>
    <w:rsid w:val="00BC6844"/>
    <w:rsid w:val="00BC6897"/>
    <w:rsid w:val="00BC6DC2"/>
    <w:rsid w:val="00BC706F"/>
    <w:rsid w:val="00BC73E4"/>
    <w:rsid w:val="00BC765D"/>
    <w:rsid w:val="00BD00AA"/>
    <w:rsid w:val="00BD028C"/>
    <w:rsid w:val="00BD094F"/>
    <w:rsid w:val="00BD0CA2"/>
    <w:rsid w:val="00BD0EEF"/>
    <w:rsid w:val="00BD0FFA"/>
    <w:rsid w:val="00BD1093"/>
    <w:rsid w:val="00BD12B3"/>
    <w:rsid w:val="00BD17AE"/>
    <w:rsid w:val="00BD17FB"/>
    <w:rsid w:val="00BD192E"/>
    <w:rsid w:val="00BD198B"/>
    <w:rsid w:val="00BD1A89"/>
    <w:rsid w:val="00BD1B8D"/>
    <w:rsid w:val="00BD1BDD"/>
    <w:rsid w:val="00BD1D12"/>
    <w:rsid w:val="00BD2163"/>
    <w:rsid w:val="00BD25E3"/>
    <w:rsid w:val="00BD2AA1"/>
    <w:rsid w:val="00BD2B3B"/>
    <w:rsid w:val="00BD2DDD"/>
    <w:rsid w:val="00BD2DFE"/>
    <w:rsid w:val="00BD3002"/>
    <w:rsid w:val="00BD3103"/>
    <w:rsid w:val="00BD3226"/>
    <w:rsid w:val="00BD33D4"/>
    <w:rsid w:val="00BD36D8"/>
    <w:rsid w:val="00BD396E"/>
    <w:rsid w:val="00BD3B28"/>
    <w:rsid w:val="00BD3BB7"/>
    <w:rsid w:val="00BD40B1"/>
    <w:rsid w:val="00BD466C"/>
    <w:rsid w:val="00BD48B7"/>
    <w:rsid w:val="00BD4A77"/>
    <w:rsid w:val="00BD4CE8"/>
    <w:rsid w:val="00BD4DB0"/>
    <w:rsid w:val="00BD52C5"/>
    <w:rsid w:val="00BD566D"/>
    <w:rsid w:val="00BD5764"/>
    <w:rsid w:val="00BD6EF1"/>
    <w:rsid w:val="00BD6F8B"/>
    <w:rsid w:val="00BD729A"/>
    <w:rsid w:val="00BD75FD"/>
    <w:rsid w:val="00BD76A9"/>
    <w:rsid w:val="00BD7868"/>
    <w:rsid w:val="00BD7B4F"/>
    <w:rsid w:val="00BD7B73"/>
    <w:rsid w:val="00BD7B89"/>
    <w:rsid w:val="00BD7D1E"/>
    <w:rsid w:val="00BE0280"/>
    <w:rsid w:val="00BE02B0"/>
    <w:rsid w:val="00BE03C4"/>
    <w:rsid w:val="00BE072C"/>
    <w:rsid w:val="00BE07C5"/>
    <w:rsid w:val="00BE13A9"/>
    <w:rsid w:val="00BE16C9"/>
    <w:rsid w:val="00BE1816"/>
    <w:rsid w:val="00BE2153"/>
    <w:rsid w:val="00BE21B3"/>
    <w:rsid w:val="00BE254E"/>
    <w:rsid w:val="00BE2946"/>
    <w:rsid w:val="00BE2A92"/>
    <w:rsid w:val="00BE2D71"/>
    <w:rsid w:val="00BE3AE3"/>
    <w:rsid w:val="00BE3FC5"/>
    <w:rsid w:val="00BE47BF"/>
    <w:rsid w:val="00BE48C7"/>
    <w:rsid w:val="00BE4F5C"/>
    <w:rsid w:val="00BE50EF"/>
    <w:rsid w:val="00BE5374"/>
    <w:rsid w:val="00BE552B"/>
    <w:rsid w:val="00BE5AEE"/>
    <w:rsid w:val="00BE5F11"/>
    <w:rsid w:val="00BE6269"/>
    <w:rsid w:val="00BE627A"/>
    <w:rsid w:val="00BE63D6"/>
    <w:rsid w:val="00BE6827"/>
    <w:rsid w:val="00BE69F5"/>
    <w:rsid w:val="00BE6CE8"/>
    <w:rsid w:val="00BE70E2"/>
    <w:rsid w:val="00BE75CC"/>
    <w:rsid w:val="00BE77C7"/>
    <w:rsid w:val="00BE7E1F"/>
    <w:rsid w:val="00BF0131"/>
    <w:rsid w:val="00BF0317"/>
    <w:rsid w:val="00BF0563"/>
    <w:rsid w:val="00BF08E3"/>
    <w:rsid w:val="00BF0BFD"/>
    <w:rsid w:val="00BF1421"/>
    <w:rsid w:val="00BF14F3"/>
    <w:rsid w:val="00BF15BC"/>
    <w:rsid w:val="00BF181C"/>
    <w:rsid w:val="00BF18BD"/>
    <w:rsid w:val="00BF197E"/>
    <w:rsid w:val="00BF1A67"/>
    <w:rsid w:val="00BF1D53"/>
    <w:rsid w:val="00BF1FF8"/>
    <w:rsid w:val="00BF2AC7"/>
    <w:rsid w:val="00BF2C54"/>
    <w:rsid w:val="00BF2ECB"/>
    <w:rsid w:val="00BF38F2"/>
    <w:rsid w:val="00BF3B7A"/>
    <w:rsid w:val="00BF419A"/>
    <w:rsid w:val="00BF4379"/>
    <w:rsid w:val="00BF4A26"/>
    <w:rsid w:val="00BF4B0C"/>
    <w:rsid w:val="00BF4D75"/>
    <w:rsid w:val="00BF5048"/>
    <w:rsid w:val="00BF5245"/>
    <w:rsid w:val="00BF568C"/>
    <w:rsid w:val="00BF5A54"/>
    <w:rsid w:val="00BF5AF8"/>
    <w:rsid w:val="00BF5C7D"/>
    <w:rsid w:val="00BF5DD0"/>
    <w:rsid w:val="00BF65B6"/>
    <w:rsid w:val="00BF6EF3"/>
    <w:rsid w:val="00BF718F"/>
    <w:rsid w:val="00BF747C"/>
    <w:rsid w:val="00BF753F"/>
    <w:rsid w:val="00BF762C"/>
    <w:rsid w:val="00BF77FB"/>
    <w:rsid w:val="00BF799F"/>
    <w:rsid w:val="00BF7C54"/>
    <w:rsid w:val="00C00342"/>
    <w:rsid w:val="00C006B0"/>
    <w:rsid w:val="00C00F44"/>
    <w:rsid w:val="00C0141D"/>
    <w:rsid w:val="00C01D5F"/>
    <w:rsid w:val="00C01F04"/>
    <w:rsid w:val="00C026AB"/>
    <w:rsid w:val="00C027E1"/>
    <w:rsid w:val="00C02CEE"/>
    <w:rsid w:val="00C0345A"/>
    <w:rsid w:val="00C03511"/>
    <w:rsid w:val="00C03803"/>
    <w:rsid w:val="00C03E4E"/>
    <w:rsid w:val="00C04C3A"/>
    <w:rsid w:val="00C05029"/>
    <w:rsid w:val="00C0561A"/>
    <w:rsid w:val="00C05700"/>
    <w:rsid w:val="00C0588B"/>
    <w:rsid w:val="00C05931"/>
    <w:rsid w:val="00C0594B"/>
    <w:rsid w:val="00C05AE9"/>
    <w:rsid w:val="00C05F52"/>
    <w:rsid w:val="00C061D7"/>
    <w:rsid w:val="00C06485"/>
    <w:rsid w:val="00C064A0"/>
    <w:rsid w:val="00C064EF"/>
    <w:rsid w:val="00C06617"/>
    <w:rsid w:val="00C0661F"/>
    <w:rsid w:val="00C0665C"/>
    <w:rsid w:val="00C06AF4"/>
    <w:rsid w:val="00C06C7E"/>
    <w:rsid w:val="00C06F32"/>
    <w:rsid w:val="00C072D0"/>
    <w:rsid w:val="00C074CD"/>
    <w:rsid w:val="00C07631"/>
    <w:rsid w:val="00C07640"/>
    <w:rsid w:val="00C077F1"/>
    <w:rsid w:val="00C07E30"/>
    <w:rsid w:val="00C10305"/>
    <w:rsid w:val="00C1040D"/>
    <w:rsid w:val="00C1044C"/>
    <w:rsid w:val="00C107C3"/>
    <w:rsid w:val="00C1086F"/>
    <w:rsid w:val="00C10B67"/>
    <w:rsid w:val="00C10FC8"/>
    <w:rsid w:val="00C110A2"/>
    <w:rsid w:val="00C11258"/>
    <w:rsid w:val="00C11658"/>
    <w:rsid w:val="00C117E8"/>
    <w:rsid w:val="00C11827"/>
    <w:rsid w:val="00C11CE6"/>
    <w:rsid w:val="00C12014"/>
    <w:rsid w:val="00C12E06"/>
    <w:rsid w:val="00C13098"/>
    <w:rsid w:val="00C13520"/>
    <w:rsid w:val="00C1380D"/>
    <w:rsid w:val="00C13EC1"/>
    <w:rsid w:val="00C144A0"/>
    <w:rsid w:val="00C145EA"/>
    <w:rsid w:val="00C149EC"/>
    <w:rsid w:val="00C14CF2"/>
    <w:rsid w:val="00C14EB7"/>
    <w:rsid w:val="00C14F9B"/>
    <w:rsid w:val="00C14FAB"/>
    <w:rsid w:val="00C1506C"/>
    <w:rsid w:val="00C15F42"/>
    <w:rsid w:val="00C1610B"/>
    <w:rsid w:val="00C1611D"/>
    <w:rsid w:val="00C1625E"/>
    <w:rsid w:val="00C16485"/>
    <w:rsid w:val="00C16658"/>
    <w:rsid w:val="00C16B90"/>
    <w:rsid w:val="00C16C9A"/>
    <w:rsid w:val="00C1720C"/>
    <w:rsid w:val="00C1737B"/>
    <w:rsid w:val="00C175E4"/>
    <w:rsid w:val="00C17BE2"/>
    <w:rsid w:val="00C17D18"/>
    <w:rsid w:val="00C17FF1"/>
    <w:rsid w:val="00C207FD"/>
    <w:rsid w:val="00C20913"/>
    <w:rsid w:val="00C20BF7"/>
    <w:rsid w:val="00C20D4C"/>
    <w:rsid w:val="00C21180"/>
    <w:rsid w:val="00C21A07"/>
    <w:rsid w:val="00C21D21"/>
    <w:rsid w:val="00C21D6E"/>
    <w:rsid w:val="00C220DA"/>
    <w:rsid w:val="00C232E0"/>
    <w:rsid w:val="00C237A7"/>
    <w:rsid w:val="00C238E1"/>
    <w:rsid w:val="00C23990"/>
    <w:rsid w:val="00C24237"/>
    <w:rsid w:val="00C243FD"/>
    <w:rsid w:val="00C2466E"/>
    <w:rsid w:val="00C24B5E"/>
    <w:rsid w:val="00C2514F"/>
    <w:rsid w:val="00C252AC"/>
    <w:rsid w:val="00C2534F"/>
    <w:rsid w:val="00C25570"/>
    <w:rsid w:val="00C2572F"/>
    <w:rsid w:val="00C258C3"/>
    <w:rsid w:val="00C25CCA"/>
    <w:rsid w:val="00C25F1F"/>
    <w:rsid w:val="00C2667F"/>
    <w:rsid w:val="00C27583"/>
    <w:rsid w:val="00C2781D"/>
    <w:rsid w:val="00C2798D"/>
    <w:rsid w:val="00C30058"/>
    <w:rsid w:val="00C30146"/>
    <w:rsid w:val="00C3019E"/>
    <w:rsid w:val="00C3037D"/>
    <w:rsid w:val="00C305A8"/>
    <w:rsid w:val="00C307AF"/>
    <w:rsid w:val="00C30B2D"/>
    <w:rsid w:val="00C3148E"/>
    <w:rsid w:val="00C317A2"/>
    <w:rsid w:val="00C32561"/>
    <w:rsid w:val="00C328E5"/>
    <w:rsid w:val="00C32A83"/>
    <w:rsid w:val="00C32E95"/>
    <w:rsid w:val="00C3312E"/>
    <w:rsid w:val="00C332E5"/>
    <w:rsid w:val="00C33982"/>
    <w:rsid w:val="00C33991"/>
    <w:rsid w:val="00C33A44"/>
    <w:rsid w:val="00C343C5"/>
    <w:rsid w:val="00C343FC"/>
    <w:rsid w:val="00C3459C"/>
    <w:rsid w:val="00C3462D"/>
    <w:rsid w:val="00C34822"/>
    <w:rsid w:val="00C349BC"/>
    <w:rsid w:val="00C34BD0"/>
    <w:rsid w:val="00C35063"/>
    <w:rsid w:val="00C352A2"/>
    <w:rsid w:val="00C35BB6"/>
    <w:rsid w:val="00C35DC8"/>
    <w:rsid w:val="00C36502"/>
    <w:rsid w:val="00C3651F"/>
    <w:rsid w:val="00C36633"/>
    <w:rsid w:val="00C36792"/>
    <w:rsid w:val="00C36E9D"/>
    <w:rsid w:val="00C37683"/>
    <w:rsid w:val="00C37711"/>
    <w:rsid w:val="00C378BA"/>
    <w:rsid w:val="00C378CC"/>
    <w:rsid w:val="00C37C86"/>
    <w:rsid w:val="00C4054C"/>
    <w:rsid w:val="00C4073A"/>
    <w:rsid w:val="00C412B1"/>
    <w:rsid w:val="00C41486"/>
    <w:rsid w:val="00C414B2"/>
    <w:rsid w:val="00C41536"/>
    <w:rsid w:val="00C41EC5"/>
    <w:rsid w:val="00C421FB"/>
    <w:rsid w:val="00C430F6"/>
    <w:rsid w:val="00C4387C"/>
    <w:rsid w:val="00C43AC5"/>
    <w:rsid w:val="00C43B3D"/>
    <w:rsid w:val="00C43BB6"/>
    <w:rsid w:val="00C4436C"/>
    <w:rsid w:val="00C44C40"/>
    <w:rsid w:val="00C4523D"/>
    <w:rsid w:val="00C45837"/>
    <w:rsid w:val="00C45D25"/>
    <w:rsid w:val="00C45E5B"/>
    <w:rsid w:val="00C45ED9"/>
    <w:rsid w:val="00C461B2"/>
    <w:rsid w:val="00C46396"/>
    <w:rsid w:val="00C4683D"/>
    <w:rsid w:val="00C469E0"/>
    <w:rsid w:val="00C46BDD"/>
    <w:rsid w:val="00C46C83"/>
    <w:rsid w:val="00C4769A"/>
    <w:rsid w:val="00C47C8E"/>
    <w:rsid w:val="00C47D3E"/>
    <w:rsid w:val="00C47DCC"/>
    <w:rsid w:val="00C47DF4"/>
    <w:rsid w:val="00C47ED4"/>
    <w:rsid w:val="00C508EE"/>
    <w:rsid w:val="00C50981"/>
    <w:rsid w:val="00C51617"/>
    <w:rsid w:val="00C5180D"/>
    <w:rsid w:val="00C518DB"/>
    <w:rsid w:val="00C51C70"/>
    <w:rsid w:val="00C51E2C"/>
    <w:rsid w:val="00C51E66"/>
    <w:rsid w:val="00C524EE"/>
    <w:rsid w:val="00C5254D"/>
    <w:rsid w:val="00C52B72"/>
    <w:rsid w:val="00C52FC2"/>
    <w:rsid w:val="00C52FD1"/>
    <w:rsid w:val="00C53427"/>
    <w:rsid w:val="00C5352C"/>
    <w:rsid w:val="00C5359B"/>
    <w:rsid w:val="00C53957"/>
    <w:rsid w:val="00C53A20"/>
    <w:rsid w:val="00C53AF7"/>
    <w:rsid w:val="00C53BD4"/>
    <w:rsid w:val="00C53DAD"/>
    <w:rsid w:val="00C5462F"/>
    <w:rsid w:val="00C54A8D"/>
    <w:rsid w:val="00C554B5"/>
    <w:rsid w:val="00C55834"/>
    <w:rsid w:val="00C55A70"/>
    <w:rsid w:val="00C55ABE"/>
    <w:rsid w:val="00C55E70"/>
    <w:rsid w:val="00C560A7"/>
    <w:rsid w:val="00C56781"/>
    <w:rsid w:val="00C56905"/>
    <w:rsid w:val="00C56C20"/>
    <w:rsid w:val="00C56C83"/>
    <w:rsid w:val="00C56EF2"/>
    <w:rsid w:val="00C56FF9"/>
    <w:rsid w:val="00C570A6"/>
    <w:rsid w:val="00C5798C"/>
    <w:rsid w:val="00C579F3"/>
    <w:rsid w:val="00C57BD5"/>
    <w:rsid w:val="00C57BEC"/>
    <w:rsid w:val="00C57D91"/>
    <w:rsid w:val="00C600B3"/>
    <w:rsid w:val="00C6065D"/>
    <w:rsid w:val="00C60C73"/>
    <w:rsid w:val="00C60CFE"/>
    <w:rsid w:val="00C60DE1"/>
    <w:rsid w:val="00C61023"/>
    <w:rsid w:val="00C610C0"/>
    <w:rsid w:val="00C61464"/>
    <w:rsid w:val="00C61872"/>
    <w:rsid w:val="00C61D4F"/>
    <w:rsid w:val="00C61E70"/>
    <w:rsid w:val="00C62164"/>
    <w:rsid w:val="00C62590"/>
    <w:rsid w:val="00C62A48"/>
    <w:rsid w:val="00C62FFE"/>
    <w:rsid w:val="00C63282"/>
    <w:rsid w:val="00C6337E"/>
    <w:rsid w:val="00C63D3E"/>
    <w:rsid w:val="00C6418E"/>
    <w:rsid w:val="00C641A2"/>
    <w:rsid w:val="00C64468"/>
    <w:rsid w:val="00C644E6"/>
    <w:rsid w:val="00C645C5"/>
    <w:rsid w:val="00C645F4"/>
    <w:rsid w:val="00C64713"/>
    <w:rsid w:val="00C65201"/>
    <w:rsid w:val="00C653C0"/>
    <w:rsid w:val="00C65799"/>
    <w:rsid w:val="00C65FE6"/>
    <w:rsid w:val="00C66383"/>
    <w:rsid w:val="00C66962"/>
    <w:rsid w:val="00C6739C"/>
    <w:rsid w:val="00C673F9"/>
    <w:rsid w:val="00C673FB"/>
    <w:rsid w:val="00C675F2"/>
    <w:rsid w:val="00C676AD"/>
    <w:rsid w:val="00C6779B"/>
    <w:rsid w:val="00C67953"/>
    <w:rsid w:val="00C679FD"/>
    <w:rsid w:val="00C67E8E"/>
    <w:rsid w:val="00C67EB2"/>
    <w:rsid w:val="00C7044D"/>
    <w:rsid w:val="00C7061A"/>
    <w:rsid w:val="00C707F0"/>
    <w:rsid w:val="00C715C0"/>
    <w:rsid w:val="00C718EF"/>
    <w:rsid w:val="00C718F0"/>
    <w:rsid w:val="00C72177"/>
    <w:rsid w:val="00C72372"/>
    <w:rsid w:val="00C723BB"/>
    <w:rsid w:val="00C727B3"/>
    <w:rsid w:val="00C7294D"/>
    <w:rsid w:val="00C73B04"/>
    <w:rsid w:val="00C741A6"/>
    <w:rsid w:val="00C74B8C"/>
    <w:rsid w:val="00C74D89"/>
    <w:rsid w:val="00C75938"/>
    <w:rsid w:val="00C759AA"/>
    <w:rsid w:val="00C75BF1"/>
    <w:rsid w:val="00C761C5"/>
    <w:rsid w:val="00C7630C"/>
    <w:rsid w:val="00C76379"/>
    <w:rsid w:val="00C763BC"/>
    <w:rsid w:val="00C76570"/>
    <w:rsid w:val="00C76AE0"/>
    <w:rsid w:val="00C76B9B"/>
    <w:rsid w:val="00C76DCA"/>
    <w:rsid w:val="00C76FE2"/>
    <w:rsid w:val="00C771DB"/>
    <w:rsid w:val="00C774ED"/>
    <w:rsid w:val="00C77815"/>
    <w:rsid w:val="00C77C95"/>
    <w:rsid w:val="00C802FB"/>
    <w:rsid w:val="00C8046D"/>
    <w:rsid w:val="00C804F6"/>
    <w:rsid w:val="00C808CE"/>
    <w:rsid w:val="00C81445"/>
    <w:rsid w:val="00C81868"/>
    <w:rsid w:val="00C8192B"/>
    <w:rsid w:val="00C819DD"/>
    <w:rsid w:val="00C81A8E"/>
    <w:rsid w:val="00C81B3A"/>
    <w:rsid w:val="00C81C16"/>
    <w:rsid w:val="00C81CD1"/>
    <w:rsid w:val="00C81E33"/>
    <w:rsid w:val="00C8268F"/>
    <w:rsid w:val="00C8284F"/>
    <w:rsid w:val="00C82867"/>
    <w:rsid w:val="00C82BC1"/>
    <w:rsid w:val="00C82F0B"/>
    <w:rsid w:val="00C83020"/>
    <w:rsid w:val="00C83141"/>
    <w:rsid w:val="00C83535"/>
    <w:rsid w:val="00C83CD8"/>
    <w:rsid w:val="00C83D84"/>
    <w:rsid w:val="00C8447C"/>
    <w:rsid w:val="00C8454D"/>
    <w:rsid w:val="00C849A1"/>
    <w:rsid w:val="00C85278"/>
    <w:rsid w:val="00C85C23"/>
    <w:rsid w:val="00C85F9A"/>
    <w:rsid w:val="00C865EF"/>
    <w:rsid w:val="00C8679F"/>
    <w:rsid w:val="00C867A5"/>
    <w:rsid w:val="00C8684B"/>
    <w:rsid w:val="00C86B84"/>
    <w:rsid w:val="00C86D49"/>
    <w:rsid w:val="00C86F51"/>
    <w:rsid w:val="00C870DA"/>
    <w:rsid w:val="00C87334"/>
    <w:rsid w:val="00C87436"/>
    <w:rsid w:val="00C874EC"/>
    <w:rsid w:val="00C8798D"/>
    <w:rsid w:val="00C87B35"/>
    <w:rsid w:val="00C87BB7"/>
    <w:rsid w:val="00C90024"/>
    <w:rsid w:val="00C901ED"/>
    <w:rsid w:val="00C902F9"/>
    <w:rsid w:val="00C906CF"/>
    <w:rsid w:val="00C9086A"/>
    <w:rsid w:val="00C90C06"/>
    <w:rsid w:val="00C90C34"/>
    <w:rsid w:val="00C90E0E"/>
    <w:rsid w:val="00C90ECD"/>
    <w:rsid w:val="00C9141C"/>
    <w:rsid w:val="00C91517"/>
    <w:rsid w:val="00C91651"/>
    <w:rsid w:val="00C91787"/>
    <w:rsid w:val="00C917A4"/>
    <w:rsid w:val="00C91A1B"/>
    <w:rsid w:val="00C91BAC"/>
    <w:rsid w:val="00C91E72"/>
    <w:rsid w:val="00C91F17"/>
    <w:rsid w:val="00C922A2"/>
    <w:rsid w:val="00C9232C"/>
    <w:rsid w:val="00C923B6"/>
    <w:rsid w:val="00C92B59"/>
    <w:rsid w:val="00C92FB0"/>
    <w:rsid w:val="00C943A5"/>
    <w:rsid w:val="00C9447B"/>
    <w:rsid w:val="00C94735"/>
    <w:rsid w:val="00C94C97"/>
    <w:rsid w:val="00C952F1"/>
    <w:rsid w:val="00C95FA5"/>
    <w:rsid w:val="00C962B4"/>
    <w:rsid w:val="00C965D9"/>
    <w:rsid w:val="00C96753"/>
    <w:rsid w:val="00C96792"/>
    <w:rsid w:val="00C96836"/>
    <w:rsid w:val="00C9683A"/>
    <w:rsid w:val="00C96A2A"/>
    <w:rsid w:val="00C96C73"/>
    <w:rsid w:val="00C975B1"/>
    <w:rsid w:val="00C97A48"/>
    <w:rsid w:val="00C97BCE"/>
    <w:rsid w:val="00C97BCF"/>
    <w:rsid w:val="00C97C56"/>
    <w:rsid w:val="00C97CEE"/>
    <w:rsid w:val="00CA0377"/>
    <w:rsid w:val="00CA0962"/>
    <w:rsid w:val="00CA097C"/>
    <w:rsid w:val="00CA0D0C"/>
    <w:rsid w:val="00CA13DA"/>
    <w:rsid w:val="00CA1850"/>
    <w:rsid w:val="00CA1E80"/>
    <w:rsid w:val="00CA2013"/>
    <w:rsid w:val="00CA20B8"/>
    <w:rsid w:val="00CA26EA"/>
    <w:rsid w:val="00CA2728"/>
    <w:rsid w:val="00CA2FA5"/>
    <w:rsid w:val="00CA2FB2"/>
    <w:rsid w:val="00CA3421"/>
    <w:rsid w:val="00CA3D3A"/>
    <w:rsid w:val="00CA3ECF"/>
    <w:rsid w:val="00CA42D6"/>
    <w:rsid w:val="00CA4596"/>
    <w:rsid w:val="00CA459A"/>
    <w:rsid w:val="00CA4681"/>
    <w:rsid w:val="00CA492E"/>
    <w:rsid w:val="00CA4B1D"/>
    <w:rsid w:val="00CA4B97"/>
    <w:rsid w:val="00CA4C2A"/>
    <w:rsid w:val="00CA4DF8"/>
    <w:rsid w:val="00CA4FAF"/>
    <w:rsid w:val="00CA513F"/>
    <w:rsid w:val="00CA528A"/>
    <w:rsid w:val="00CA52F7"/>
    <w:rsid w:val="00CA5736"/>
    <w:rsid w:val="00CA5824"/>
    <w:rsid w:val="00CA5B15"/>
    <w:rsid w:val="00CA6669"/>
    <w:rsid w:val="00CA6C4B"/>
    <w:rsid w:val="00CA7141"/>
    <w:rsid w:val="00CA71E5"/>
    <w:rsid w:val="00CA78AE"/>
    <w:rsid w:val="00CA7A56"/>
    <w:rsid w:val="00CA7C1C"/>
    <w:rsid w:val="00CA7DB0"/>
    <w:rsid w:val="00CA7E95"/>
    <w:rsid w:val="00CB03B3"/>
    <w:rsid w:val="00CB03DC"/>
    <w:rsid w:val="00CB06CD"/>
    <w:rsid w:val="00CB0775"/>
    <w:rsid w:val="00CB07D2"/>
    <w:rsid w:val="00CB0A0D"/>
    <w:rsid w:val="00CB15E9"/>
    <w:rsid w:val="00CB16B7"/>
    <w:rsid w:val="00CB1744"/>
    <w:rsid w:val="00CB175F"/>
    <w:rsid w:val="00CB1D27"/>
    <w:rsid w:val="00CB1D8E"/>
    <w:rsid w:val="00CB1F28"/>
    <w:rsid w:val="00CB25F1"/>
    <w:rsid w:val="00CB2628"/>
    <w:rsid w:val="00CB2ACC"/>
    <w:rsid w:val="00CB2BD5"/>
    <w:rsid w:val="00CB2FD8"/>
    <w:rsid w:val="00CB3296"/>
    <w:rsid w:val="00CB3746"/>
    <w:rsid w:val="00CB39B3"/>
    <w:rsid w:val="00CB3ECA"/>
    <w:rsid w:val="00CB4119"/>
    <w:rsid w:val="00CB441D"/>
    <w:rsid w:val="00CB4A06"/>
    <w:rsid w:val="00CB4EC7"/>
    <w:rsid w:val="00CB5141"/>
    <w:rsid w:val="00CB51EF"/>
    <w:rsid w:val="00CB57DD"/>
    <w:rsid w:val="00CB5A5F"/>
    <w:rsid w:val="00CB5C55"/>
    <w:rsid w:val="00CB5F26"/>
    <w:rsid w:val="00CB61D1"/>
    <w:rsid w:val="00CB6462"/>
    <w:rsid w:val="00CB6643"/>
    <w:rsid w:val="00CB68FB"/>
    <w:rsid w:val="00CB729A"/>
    <w:rsid w:val="00CB777E"/>
    <w:rsid w:val="00CB7A8A"/>
    <w:rsid w:val="00CB7A9B"/>
    <w:rsid w:val="00CB7C93"/>
    <w:rsid w:val="00CB7D9C"/>
    <w:rsid w:val="00CC0241"/>
    <w:rsid w:val="00CC038D"/>
    <w:rsid w:val="00CC0390"/>
    <w:rsid w:val="00CC0445"/>
    <w:rsid w:val="00CC0844"/>
    <w:rsid w:val="00CC0AEC"/>
    <w:rsid w:val="00CC12BA"/>
    <w:rsid w:val="00CC1404"/>
    <w:rsid w:val="00CC1A37"/>
    <w:rsid w:val="00CC1D1A"/>
    <w:rsid w:val="00CC2467"/>
    <w:rsid w:val="00CC264B"/>
    <w:rsid w:val="00CC2EF9"/>
    <w:rsid w:val="00CC3186"/>
    <w:rsid w:val="00CC3B8C"/>
    <w:rsid w:val="00CC3E5A"/>
    <w:rsid w:val="00CC429D"/>
    <w:rsid w:val="00CC4693"/>
    <w:rsid w:val="00CC4A69"/>
    <w:rsid w:val="00CC5083"/>
    <w:rsid w:val="00CC516A"/>
    <w:rsid w:val="00CC5196"/>
    <w:rsid w:val="00CC521B"/>
    <w:rsid w:val="00CC52BB"/>
    <w:rsid w:val="00CC5519"/>
    <w:rsid w:val="00CC567A"/>
    <w:rsid w:val="00CC5796"/>
    <w:rsid w:val="00CC5956"/>
    <w:rsid w:val="00CC6260"/>
    <w:rsid w:val="00CC6734"/>
    <w:rsid w:val="00CC6909"/>
    <w:rsid w:val="00CC6B28"/>
    <w:rsid w:val="00CC7181"/>
    <w:rsid w:val="00CC755E"/>
    <w:rsid w:val="00CC77C7"/>
    <w:rsid w:val="00CC7989"/>
    <w:rsid w:val="00CC7A37"/>
    <w:rsid w:val="00CC7D09"/>
    <w:rsid w:val="00CD060C"/>
    <w:rsid w:val="00CD06DD"/>
    <w:rsid w:val="00CD0AEA"/>
    <w:rsid w:val="00CD10E7"/>
    <w:rsid w:val="00CD1404"/>
    <w:rsid w:val="00CD1AA9"/>
    <w:rsid w:val="00CD2BBF"/>
    <w:rsid w:val="00CD2F62"/>
    <w:rsid w:val="00CD3D4F"/>
    <w:rsid w:val="00CD3E30"/>
    <w:rsid w:val="00CD3E49"/>
    <w:rsid w:val="00CD3F73"/>
    <w:rsid w:val="00CD44A3"/>
    <w:rsid w:val="00CD4754"/>
    <w:rsid w:val="00CD4B1B"/>
    <w:rsid w:val="00CD50A2"/>
    <w:rsid w:val="00CD5284"/>
    <w:rsid w:val="00CD5F45"/>
    <w:rsid w:val="00CD5F5A"/>
    <w:rsid w:val="00CD5FC1"/>
    <w:rsid w:val="00CD5FD2"/>
    <w:rsid w:val="00CD608D"/>
    <w:rsid w:val="00CD62EB"/>
    <w:rsid w:val="00CD6728"/>
    <w:rsid w:val="00CD6A26"/>
    <w:rsid w:val="00CD6A63"/>
    <w:rsid w:val="00CD6EEC"/>
    <w:rsid w:val="00CD70EA"/>
    <w:rsid w:val="00CD711C"/>
    <w:rsid w:val="00CD730C"/>
    <w:rsid w:val="00CD7356"/>
    <w:rsid w:val="00CD7EFC"/>
    <w:rsid w:val="00CE01DA"/>
    <w:rsid w:val="00CE0577"/>
    <w:rsid w:val="00CE0882"/>
    <w:rsid w:val="00CE09D8"/>
    <w:rsid w:val="00CE0C46"/>
    <w:rsid w:val="00CE105E"/>
    <w:rsid w:val="00CE1281"/>
    <w:rsid w:val="00CE1376"/>
    <w:rsid w:val="00CE1531"/>
    <w:rsid w:val="00CE186D"/>
    <w:rsid w:val="00CE1ECB"/>
    <w:rsid w:val="00CE21CD"/>
    <w:rsid w:val="00CE24FE"/>
    <w:rsid w:val="00CE2506"/>
    <w:rsid w:val="00CE28E3"/>
    <w:rsid w:val="00CE3033"/>
    <w:rsid w:val="00CE30B2"/>
    <w:rsid w:val="00CE3266"/>
    <w:rsid w:val="00CE3679"/>
    <w:rsid w:val="00CE37FC"/>
    <w:rsid w:val="00CE3F03"/>
    <w:rsid w:val="00CE411D"/>
    <w:rsid w:val="00CE4224"/>
    <w:rsid w:val="00CE4420"/>
    <w:rsid w:val="00CE4D72"/>
    <w:rsid w:val="00CE51A0"/>
    <w:rsid w:val="00CE52A3"/>
    <w:rsid w:val="00CE5B68"/>
    <w:rsid w:val="00CE5B6D"/>
    <w:rsid w:val="00CE5EA2"/>
    <w:rsid w:val="00CE60AA"/>
    <w:rsid w:val="00CE6266"/>
    <w:rsid w:val="00CE632B"/>
    <w:rsid w:val="00CE63F4"/>
    <w:rsid w:val="00CE6598"/>
    <w:rsid w:val="00CE71C9"/>
    <w:rsid w:val="00CE76D4"/>
    <w:rsid w:val="00CE7BDF"/>
    <w:rsid w:val="00CF0103"/>
    <w:rsid w:val="00CF03F0"/>
    <w:rsid w:val="00CF0590"/>
    <w:rsid w:val="00CF0911"/>
    <w:rsid w:val="00CF09BD"/>
    <w:rsid w:val="00CF0A9E"/>
    <w:rsid w:val="00CF0BEA"/>
    <w:rsid w:val="00CF0F9D"/>
    <w:rsid w:val="00CF10BD"/>
    <w:rsid w:val="00CF131C"/>
    <w:rsid w:val="00CF1325"/>
    <w:rsid w:val="00CF1467"/>
    <w:rsid w:val="00CF189F"/>
    <w:rsid w:val="00CF1A2D"/>
    <w:rsid w:val="00CF1C17"/>
    <w:rsid w:val="00CF257C"/>
    <w:rsid w:val="00CF26EF"/>
    <w:rsid w:val="00CF2913"/>
    <w:rsid w:val="00CF323E"/>
    <w:rsid w:val="00CF326B"/>
    <w:rsid w:val="00CF3533"/>
    <w:rsid w:val="00CF3965"/>
    <w:rsid w:val="00CF3B0D"/>
    <w:rsid w:val="00CF3DEF"/>
    <w:rsid w:val="00CF4155"/>
    <w:rsid w:val="00CF42A6"/>
    <w:rsid w:val="00CF439F"/>
    <w:rsid w:val="00CF4495"/>
    <w:rsid w:val="00CF4AC4"/>
    <w:rsid w:val="00CF4BB9"/>
    <w:rsid w:val="00CF4E44"/>
    <w:rsid w:val="00CF4EFC"/>
    <w:rsid w:val="00CF5AB0"/>
    <w:rsid w:val="00CF612B"/>
    <w:rsid w:val="00CF638F"/>
    <w:rsid w:val="00CF6411"/>
    <w:rsid w:val="00CF6841"/>
    <w:rsid w:val="00CF6FA2"/>
    <w:rsid w:val="00CF6FFA"/>
    <w:rsid w:val="00CF7120"/>
    <w:rsid w:val="00CF723C"/>
    <w:rsid w:val="00CF724C"/>
    <w:rsid w:val="00CF74F7"/>
    <w:rsid w:val="00CF772D"/>
    <w:rsid w:val="00CF7763"/>
    <w:rsid w:val="00CF779D"/>
    <w:rsid w:val="00CF78DC"/>
    <w:rsid w:val="00CF7A1E"/>
    <w:rsid w:val="00CF7A55"/>
    <w:rsid w:val="00D000F2"/>
    <w:rsid w:val="00D001B4"/>
    <w:rsid w:val="00D0023E"/>
    <w:rsid w:val="00D003B7"/>
    <w:rsid w:val="00D0053E"/>
    <w:rsid w:val="00D00675"/>
    <w:rsid w:val="00D00850"/>
    <w:rsid w:val="00D0092E"/>
    <w:rsid w:val="00D00AA3"/>
    <w:rsid w:val="00D00E36"/>
    <w:rsid w:val="00D012D0"/>
    <w:rsid w:val="00D012D9"/>
    <w:rsid w:val="00D017EB"/>
    <w:rsid w:val="00D01C46"/>
    <w:rsid w:val="00D0230D"/>
    <w:rsid w:val="00D0281B"/>
    <w:rsid w:val="00D02BFF"/>
    <w:rsid w:val="00D02F4F"/>
    <w:rsid w:val="00D032AF"/>
    <w:rsid w:val="00D038BF"/>
    <w:rsid w:val="00D03E6F"/>
    <w:rsid w:val="00D045E7"/>
    <w:rsid w:val="00D04A18"/>
    <w:rsid w:val="00D04C84"/>
    <w:rsid w:val="00D04CB3"/>
    <w:rsid w:val="00D04E61"/>
    <w:rsid w:val="00D04ED3"/>
    <w:rsid w:val="00D05074"/>
    <w:rsid w:val="00D052A3"/>
    <w:rsid w:val="00D05660"/>
    <w:rsid w:val="00D0582F"/>
    <w:rsid w:val="00D0591F"/>
    <w:rsid w:val="00D0601C"/>
    <w:rsid w:val="00D061EF"/>
    <w:rsid w:val="00D063C5"/>
    <w:rsid w:val="00D063CB"/>
    <w:rsid w:val="00D066DC"/>
    <w:rsid w:val="00D069EF"/>
    <w:rsid w:val="00D06B67"/>
    <w:rsid w:val="00D06CBA"/>
    <w:rsid w:val="00D06EAA"/>
    <w:rsid w:val="00D06FBB"/>
    <w:rsid w:val="00D070ED"/>
    <w:rsid w:val="00D0784D"/>
    <w:rsid w:val="00D07885"/>
    <w:rsid w:val="00D07909"/>
    <w:rsid w:val="00D10137"/>
    <w:rsid w:val="00D1042F"/>
    <w:rsid w:val="00D104DE"/>
    <w:rsid w:val="00D10DB1"/>
    <w:rsid w:val="00D1110B"/>
    <w:rsid w:val="00D1131D"/>
    <w:rsid w:val="00D117A5"/>
    <w:rsid w:val="00D1187B"/>
    <w:rsid w:val="00D1193A"/>
    <w:rsid w:val="00D11AF8"/>
    <w:rsid w:val="00D11FA2"/>
    <w:rsid w:val="00D12019"/>
    <w:rsid w:val="00D12CA8"/>
    <w:rsid w:val="00D12D3A"/>
    <w:rsid w:val="00D13C00"/>
    <w:rsid w:val="00D13E51"/>
    <w:rsid w:val="00D13ED0"/>
    <w:rsid w:val="00D1409F"/>
    <w:rsid w:val="00D1416E"/>
    <w:rsid w:val="00D14702"/>
    <w:rsid w:val="00D14799"/>
    <w:rsid w:val="00D1494A"/>
    <w:rsid w:val="00D14CD2"/>
    <w:rsid w:val="00D14E15"/>
    <w:rsid w:val="00D14E59"/>
    <w:rsid w:val="00D14FFD"/>
    <w:rsid w:val="00D153A3"/>
    <w:rsid w:val="00D15EB0"/>
    <w:rsid w:val="00D16068"/>
    <w:rsid w:val="00D160BB"/>
    <w:rsid w:val="00D16343"/>
    <w:rsid w:val="00D16729"/>
    <w:rsid w:val="00D16B73"/>
    <w:rsid w:val="00D16E1B"/>
    <w:rsid w:val="00D17023"/>
    <w:rsid w:val="00D17074"/>
    <w:rsid w:val="00D1737B"/>
    <w:rsid w:val="00D17A89"/>
    <w:rsid w:val="00D20031"/>
    <w:rsid w:val="00D2007F"/>
    <w:rsid w:val="00D20129"/>
    <w:rsid w:val="00D203E6"/>
    <w:rsid w:val="00D20548"/>
    <w:rsid w:val="00D20C47"/>
    <w:rsid w:val="00D21277"/>
    <w:rsid w:val="00D215A7"/>
    <w:rsid w:val="00D21A1E"/>
    <w:rsid w:val="00D21DA6"/>
    <w:rsid w:val="00D21F2C"/>
    <w:rsid w:val="00D22101"/>
    <w:rsid w:val="00D226AC"/>
    <w:rsid w:val="00D22CCC"/>
    <w:rsid w:val="00D231D9"/>
    <w:rsid w:val="00D232FF"/>
    <w:rsid w:val="00D23584"/>
    <w:rsid w:val="00D236D7"/>
    <w:rsid w:val="00D237B2"/>
    <w:rsid w:val="00D2395B"/>
    <w:rsid w:val="00D23EDA"/>
    <w:rsid w:val="00D23FA4"/>
    <w:rsid w:val="00D2423E"/>
    <w:rsid w:val="00D244DE"/>
    <w:rsid w:val="00D250C2"/>
    <w:rsid w:val="00D2526F"/>
    <w:rsid w:val="00D25460"/>
    <w:rsid w:val="00D25B4A"/>
    <w:rsid w:val="00D25D98"/>
    <w:rsid w:val="00D25EB4"/>
    <w:rsid w:val="00D2601E"/>
    <w:rsid w:val="00D267E2"/>
    <w:rsid w:val="00D26AE0"/>
    <w:rsid w:val="00D26D01"/>
    <w:rsid w:val="00D277EE"/>
    <w:rsid w:val="00D3019E"/>
    <w:rsid w:val="00D30375"/>
    <w:rsid w:val="00D305D9"/>
    <w:rsid w:val="00D3068C"/>
    <w:rsid w:val="00D313B3"/>
    <w:rsid w:val="00D3146D"/>
    <w:rsid w:val="00D32058"/>
    <w:rsid w:val="00D32334"/>
    <w:rsid w:val="00D3236D"/>
    <w:rsid w:val="00D323C8"/>
    <w:rsid w:val="00D32416"/>
    <w:rsid w:val="00D325A1"/>
    <w:rsid w:val="00D3292B"/>
    <w:rsid w:val="00D329CD"/>
    <w:rsid w:val="00D32B0B"/>
    <w:rsid w:val="00D32DAD"/>
    <w:rsid w:val="00D32DE6"/>
    <w:rsid w:val="00D32FF9"/>
    <w:rsid w:val="00D330EB"/>
    <w:rsid w:val="00D3347C"/>
    <w:rsid w:val="00D3394A"/>
    <w:rsid w:val="00D33F02"/>
    <w:rsid w:val="00D340DE"/>
    <w:rsid w:val="00D3424C"/>
    <w:rsid w:val="00D34716"/>
    <w:rsid w:val="00D347C8"/>
    <w:rsid w:val="00D34957"/>
    <w:rsid w:val="00D3507A"/>
    <w:rsid w:val="00D352AE"/>
    <w:rsid w:val="00D353AB"/>
    <w:rsid w:val="00D35836"/>
    <w:rsid w:val="00D358E7"/>
    <w:rsid w:val="00D358F7"/>
    <w:rsid w:val="00D35B6C"/>
    <w:rsid w:val="00D35C0B"/>
    <w:rsid w:val="00D36192"/>
    <w:rsid w:val="00D36376"/>
    <w:rsid w:val="00D36583"/>
    <w:rsid w:val="00D36E67"/>
    <w:rsid w:val="00D36F88"/>
    <w:rsid w:val="00D370AE"/>
    <w:rsid w:val="00D377AE"/>
    <w:rsid w:val="00D37CDE"/>
    <w:rsid w:val="00D37EF5"/>
    <w:rsid w:val="00D4020D"/>
    <w:rsid w:val="00D402E2"/>
    <w:rsid w:val="00D4043D"/>
    <w:rsid w:val="00D40474"/>
    <w:rsid w:val="00D4050A"/>
    <w:rsid w:val="00D40988"/>
    <w:rsid w:val="00D40BA8"/>
    <w:rsid w:val="00D40C21"/>
    <w:rsid w:val="00D40F1A"/>
    <w:rsid w:val="00D41233"/>
    <w:rsid w:val="00D4199F"/>
    <w:rsid w:val="00D419C9"/>
    <w:rsid w:val="00D42201"/>
    <w:rsid w:val="00D428B9"/>
    <w:rsid w:val="00D42934"/>
    <w:rsid w:val="00D42976"/>
    <w:rsid w:val="00D4317C"/>
    <w:rsid w:val="00D43246"/>
    <w:rsid w:val="00D432B1"/>
    <w:rsid w:val="00D43334"/>
    <w:rsid w:val="00D433A1"/>
    <w:rsid w:val="00D43954"/>
    <w:rsid w:val="00D44050"/>
    <w:rsid w:val="00D44466"/>
    <w:rsid w:val="00D44E4B"/>
    <w:rsid w:val="00D44E8C"/>
    <w:rsid w:val="00D454B4"/>
    <w:rsid w:val="00D456C0"/>
    <w:rsid w:val="00D45750"/>
    <w:rsid w:val="00D457EA"/>
    <w:rsid w:val="00D45996"/>
    <w:rsid w:val="00D45B23"/>
    <w:rsid w:val="00D45B73"/>
    <w:rsid w:val="00D45C42"/>
    <w:rsid w:val="00D45CB1"/>
    <w:rsid w:val="00D46368"/>
    <w:rsid w:val="00D4670B"/>
    <w:rsid w:val="00D4692D"/>
    <w:rsid w:val="00D46945"/>
    <w:rsid w:val="00D47207"/>
    <w:rsid w:val="00D47270"/>
    <w:rsid w:val="00D474E4"/>
    <w:rsid w:val="00D4750A"/>
    <w:rsid w:val="00D477FF"/>
    <w:rsid w:val="00D47BE0"/>
    <w:rsid w:val="00D5030A"/>
    <w:rsid w:val="00D5096A"/>
    <w:rsid w:val="00D50ADA"/>
    <w:rsid w:val="00D50B25"/>
    <w:rsid w:val="00D511DE"/>
    <w:rsid w:val="00D5186F"/>
    <w:rsid w:val="00D51F9F"/>
    <w:rsid w:val="00D521D3"/>
    <w:rsid w:val="00D52345"/>
    <w:rsid w:val="00D52890"/>
    <w:rsid w:val="00D52A00"/>
    <w:rsid w:val="00D52BBD"/>
    <w:rsid w:val="00D52E54"/>
    <w:rsid w:val="00D52FF5"/>
    <w:rsid w:val="00D530E0"/>
    <w:rsid w:val="00D5326B"/>
    <w:rsid w:val="00D537F7"/>
    <w:rsid w:val="00D538B0"/>
    <w:rsid w:val="00D539A6"/>
    <w:rsid w:val="00D53C31"/>
    <w:rsid w:val="00D54B8F"/>
    <w:rsid w:val="00D55314"/>
    <w:rsid w:val="00D55415"/>
    <w:rsid w:val="00D55955"/>
    <w:rsid w:val="00D55A8D"/>
    <w:rsid w:val="00D565EB"/>
    <w:rsid w:val="00D56875"/>
    <w:rsid w:val="00D56A23"/>
    <w:rsid w:val="00D56A63"/>
    <w:rsid w:val="00D56BD4"/>
    <w:rsid w:val="00D56D18"/>
    <w:rsid w:val="00D56DFA"/>
    <w:rsid w:val="00D57468"/>
    <w:rsid w:val="00D57B74"/>
    <w:rsid w:val="00D57BEF"/>
    <w:rsid w:val="00D57CE8"/>
    <w:rsid w:val="00D57EEC"/>
    <w:rsid w:val="00D60650"/>
    <w:rsid w:val="00D607D5"/>
    <w:rsid w:val="00D60D1C"/>
    <w:rsid w:val="00D60E22"/>
    <w:rsid w:val="00D61134"/>
    <w:rsid w:val="00D61296"/>
    <w:rsid w:val="00D61302"/>
    <w:rsid w:val="00D6140A"/>
    <w:rsid w:val="00D6196E"/>
    <w:rsid w:val="00D61EAA"/>
    <w:rsid w:val="00D624C1"/>
    <w:rsid w:val="00D62842"/>
    <w:rsid w:val="00D62865"/>
    <w:rsid w:val="00D629BC"/>
    <w:rsid w:val="00D62A5D"/>
    <w:rsid w:val="00D62D12"/>
    <w:rsid w:val="00D62D1C"/>
    <w:rsid w:val="00D62E21"/>
    <w:rsid w:val="00D62F4D"/>
    <w:rsid w:val="00D6308D"/>
    <w:rsid w:val="00D63270"/>
    <w:rsid w:val="00D632D5"/>
    <w:rsid w:val="00D635C6"/>
    <w:rsid w:val="00D636CD"/>
    <w:rsid w:val="00D63A80"/>
    <w:rsid w:val="00D63C91"/>
    <w:rsid w:val="00D63FAC"/>
    <w:rsid w:val="00D642A0"/>
    <w:rsid w:val="00D64505"/>
    <w:rsid w:val="00D6464A"/>
    <w:rsid w:val="00D64906"/>
    <w:rsid w:val="00D64999"/>
    <w:rsid w:val="00D64F59"/>
    <w:rsid w:val="00D64F62"/>
    <w:rsid w:val="00D64FD5"/>
    <w:rsid w:val="00D65045"/>
    <w:rsid w:val="00D652D9"/>
    <w:rsid w:val="00D653D3"/>
    <w:rsid w:val="00D65C47"/>
    <w:rsid w:val="00D66C06"/>
    <w:rsid w:val="00D66D24"/>
    <w:rsid w:val="00D67091"/>
    <w:rsid w:val="00D67210"/>
    <w:rsid w:val="00D67538"/>
    <w:rsid w:val="00D67714"/>
    <w:rsid w:val="00D6778F"/>
    <w:rsid w:val="00D67BDF"/>
    <w:rsid w:val="00D701D9"/>
    <w:rsid w:val="00D70A9F"/>
    <w:rsid w:val="00D70DDA"/>
    <w:rsid w:val="00D7186F"/>
    <w:rsid w:val="00D721AC"/>
    <w:rsid w:val="00D72696"/>
    <w:rsid w:val="00D72785"/>
    <w:rsid w:val="00D727A3"/>
    <w:rsid w:val="00D7322E"/>
    <w:rsid w:val="00D73507"/>
    <w:rsid w:val="00D73700"/>
    <w:rsid w:val="00D73843"/>
    <w:rsid w:val="00D73AD9"/>
    <w:rsid w:val="00D73AEF"/>
    <w:rsid w:val="00D73F1D"/>
    <w:rsid w:val="00D74555"/>
    <w:rsid w:val="00D745B0"/>
    <w:rsid w:val="00D746A4"/>
    <w:rsid w:val="00D74783"/>
    <w:rsid w:val="00D749EC"/>
    <w:rsid w:val="00D74B41"/>
    <w:rsid w:val="00D74BD0"/>
    <w:rsid w:val="00D7519A"/>
    <w:rsid w:val="00D75C72"/>
    <w:rsid w:val="00D75E6B"/>
    <w:rsid w:val="00D76079"/>
    <w:rsid w:val="00D76984"/>
    <w:rsid w:val="00D770EB"/>
    <w:rsid w:val="00D771D2"/>
    <w:rsid w:val="00D77248"/>
    <w:rsid w:val="00D777E5"/>
    <w:rsid w:val="00D77B20"/>
    <w:rsid w:val="00D80508"/>
    <w:rsid w:val="00D8066D"/>
    <w:rsid w:val="00D806EC"/>
    <w:rsid w:val="00D80817"/>
    <w:rsid w:val="00D8091D"/>
    <w:rsid w:val="00D80C29"/>
    <w:rsid w:val="00D81067"/>
    <w:rsid w:val="00D81AAF"/>
    <w:rsid w:val="00D81CF9"/>
    <w:rsid w:val="00D81E46"/>
    <w:rsid w:val="00D81EC4"/>
    <w:rsid w:val="00D82289"/>
    <w:rsid w:val="00D822C7"/>
    <w:rsid w:val="00D8307A"/>
    <w:rsid w:val="00D83133"/>
    <w:rsid w:val="00D8316D"/>
    <w:rsid w:val="00D831BE"/>
    <w:rsid w:val="00D83B51"/>
    <w:rsid w:val="00D83B78"/>
    <w:rsid w:val="00D83CFC"/>
    <w:rsid w:val="00D83EB6"/>
    <w:rsid w:val="00D83EF0"/>
    <w:rsid w:val="00D8449A"/>
    <w:rsid w:val="00D84EC1"/>
    <w:rsid w:val="00D84ECA"/>
    <w:rsid w:val="00D8525E"/>
    <w:rsid w:val="00D859C3"/>
    <w:rsid w:val="00D85BD5"/>
    <w:rsid w:val="00D85C4B"/>
    <w:rsid w:val="00D85C7F"/>
    <w:rsid w:val="00D860F8"/>
    <w:rsid w:val="00D86233"/>
    <w:rsid w:val="00D86406"/>
    <w:rsid w:val="00D8676C"/>
    <w:rsid w:val="00D869D2"/>
    <w:rsid w:val="00D86C08"/>
    <w:rsid w:val="00D87076"/>
    <w:rsid w:val="00D871F2"/>
    <w:rsid w:val="00D877DE"/>
    <w:rsid w:val="00D878E1"/>
    <w:rsid w:val="00D87A6C"/>
    <w:rsid w:val="00D9041B"/>
    <w:rsid w:val="00D905A0"/>
    <w:rsid w:val="00D908EC"/>
    <w:rsid w:val="00D908FD"/>
    <w:rsid w:val="00D90AD8"/>
    <w:rsid w:val="00D90ADA"/>
    <w:rsid w:val="00D90DBB"/>
    <w:rsid w:val="00D9141D"/>
    <w:rsid w:val="00D917C6"/>
    <w:rsid w:val="00D91B1C"/>
    <w:rsid w:val="00D91D08"/>
    <w:rsid w:val="00D92093"/>
    <w:rsid w:val="00D92106"/>
    <w:rsid w:val="00D921BC"/>
    <w:rsid w:val="00D9274A"/>
    <w:rsid w:val="00D931F6"/>
    <w:rsid w:val="00D9323C"/>
    <w:rsid w:val="00D9340B"/>
    <w:rsid w:val="00D93529"/>
    <w:rsid w:val="00D935E2"/>
    <w:rsid w:val="00D9368D"/>
    <w:rsid w:val="00D939B1"/>
    <w:rsid w:val="00D93A17"/>
    <w:rsid w:val="00D93DA0"/>
    <w:rsid w:val="00D9469E"/>
    <w:rsid w:val="00D946C9"/>
    <w:rsid w:val="00D94794"/>
    <w:rsid w:val="00D947EA"/>
    <w:rsid w:val="00D94925"/>
    <w:rsid w:val="00D94944"/>
    <w:rsid w:val="00D949AF"/>
    <w:rsid w:val="00D94CF3"/>
    <w:rsid w:val="00D94DB7"/>
    <w:rsid w:val="00D94E6C"/>
    <w:rsid w:val="00D95CF6"/>
    <w:rsid w:val="00D9603E"/>
    <w:rsid w:val="00D9670F"/>
    <w:rsid w:val="00D967A8"/>
    <w:rsid w:val="00D968E2"/>
    <w:rsid w:val="00D96D27"/>
    <w:rsid w:val="00D96F1F"/>
    <w:rsid w:val="00D973AF"/>
    <w:rsid w:val="00D976A2"/>
    <w:rsid w:val="00D97E43"/>
    <w:rsid w:val="00D97EFF"/>
    <w:rsid w:val="00D97FAC"/>
    <w:rsid w:val="00DA058E"/>
    <w:rsid w:val="00DA0AEC"/>
    <w:rsid w:val="00DA0E37"/>
    <w:rsid w:val="00DA0E49"/>
    <w:rsid w:val="00DA118D"/>
    <w:rsid w:val="00DA16E6"/>
    <w:rsid w:val="00DA17E6"/>
    <w:rsid w:val="00DA1846"/>
    <w:rsid w:val="00DA1CEC"/>
    <w:rsid w:val="00DA1F56"/>
    <w:rsid w:val="00DA2410"/>
    <w:rsid w:val="00DA3064"/>
    <w:rsid w:val="00DA3370"/>
    <w:rsid w:val="00DA353A"/>
    <w:rsid w:val="00DA3B4F"/>
    <w:rsid w:val="00DA43AB"/>
    <w:rsid w:val="00DA444E"/>
    <w:rsid w:val="00DA4797"/>
    <w:rsid w:val="00DA4876"/>
    <w:rsid w:val="00DA512C"/>
    <w:rsid w:val="00DA52C7"/>
    <w:rsid w:val="00DA59E4"/>
    <w:rsid w:val="00DA6765"/>
    <w:rsid w:val="00DA68C5"/>
    <w:rsid w:val="00DA70A1"/>
    <w:rsid w:val="00DA76B2"/>
    <w:rsid w:val="00DA7BEC"/>
    <w:rsid w:val="00DA7CD1"/>
    <w:rsid w:val="00DA7E39"/>
    <w:rsid w:val="00DB003C"/>
    <w:rsid w:val="00DB052F"/>
    <w:rsid w:val="00DB0FC6"/>
    <w:rsid w:val="00DB1205"/>
    <w:rsid w:val="00DB12D5"/>
    <w:rsid w:val="00DB16C7"/>
    <w:rsid w:val="00DB16D3"/>
    <w:rsid w:val="00DB1943"/>
    <w:rsid w:val="00DB1E91"/>
    <w:rsid w:val="00DB1FB3"/>
    <w:rsid w:val="00DB23D4"/>
    <w:rsid w:val="00DB2434"/>
    <w:rsid w:val="00DB26C3"/>
    <w:rsid w:val="00DB26C5"/>
    <w:rsid w:val="00DB34D9"/>
    <w:rsid w:val="00DB440F"/>
    <w:rsid w:val="00DB4410"/>
    <w:rsid w:val="00DB4599"/>
    <w:rsid w:val="00DB45B4"/>
    <w:rsid w:val="00DB4809"/>
    <w:rsid w:val="00DB49D5"/>
    <w:rsid w:val="00DB4A7B"/>
    <w:rsid w:val="00DB4BFA"/>
    <w:rsid w:val="00DB4C02"/>
    <w:rsid w:val="00DB4D08"/>
    <w:rsid w:val="00DB5117"/>
    <w:rsid w:val="00DB53CA"/>
    <w:rsid w:val="00DB5FA9"/>
    <w:rsid w:val="00DB6031"/>
    <w:rsid w:val="00DB60E1"/>
    <w:rsid w:val="00DB664A"/>
    <w:rsid w:val="00DB6B0F"/>
    <w:rsid w:val="00DB6D33"/>
    <w:rsid w:val="00DB6DBA"/>
    <w:rsid w:val="00DB6DE0"/>
    <w:rsid w:val="00DB6F19"/>
    <w:rsid w:val="00DB7383"/>
    <w:rsid w:val="00DB7463"/>
    <w:rsid w:val="00DB7779"/>
    <w:rsid w:val="00DB79AF"/>
    <w:rsid w:val="00DB7B77"/>
    <w:rsid w:val="00DB7C1C"/>
    <w:rsid w:val="00DB7DB3"/>
    <w:rsid w:val="00DC00F1"/>
    <w:rsid w:val="00DC017F"/>
    <w:rsid w:val="00DC034E"/>
    <w:rsid w:val="00DC099F"/>
    <w:rsid w:val="00DC0D8C"/>
    <w:rsid w:val="00DC103A"/>
    <w:rsid w:val="00DC110B"/>
    <w:rsid w:val="00DC11C2"/>
    <w:rsid w:val="00DC1324"/>
    <w:rsid w:val="00DC13AA"/>
    <w:rsid w:val="00DC13D4"/>
    <w:rsid w:val="00DC14AF"/>
    <w:rsid w:val="00DC1543"/>
    <w:rsid w:val="00DC1628"/>
    <w:rsid w:val="00DC1720"/>
    <w:rsid w:val="00DC1FEE"/>
    <w:rsid w:val="00DC2108"/>
    <w:rsid w:val="00DC2201"/>
    <w:rsid w:val="00DC3633"/>
    <w:rsid w:val="00DC393F"/>
    <w:rsid w:val="00DC3BE9"/>
    <w:rsid w:val="00DC3DC9"/>
    <w:rsid w:val="00DC4108"/>
    <w:rsid w:val="00DC487C"/>
    <w:rsid w:val="00DC4963"/>
    <w:rsid w:val="00DC4EC7"/>
    <w:rsid w:val="00DC4EEA"/>
    <w:rsid w:val="00DC4F64"/>
    <w:rsid w:val="00DC4FA7"/>
    <w:rsid w:val="00DC50C5"/>
    <w:rsid w:val="00DC54F3"/>
    <w:rsid w:val="00DC56F7"/>
    <w:rsid w:val="00DC592D"/>
    <w:rsid w:val="00DC5BF8"/>
    <w:rsid w:val="00DC5EB4"/>
    <w:rsid w:val="00DC5F5D"/>
    <w:rsid w:val="00DC62B1"/>
    <w:rsid w:val="00DC62BA"/>
    <w:rsid w:val="00DC6381"/>
    <w:rsid w:val="00DC63C9"/>
    <w:rsid w:val="00DC64A7"/>
    <w:rsid w:val="00DC704D"/>
    <w:rsid w:val="00DC7809"/>
    <w:rsid w:val="00DC7DFD"/>
    <w:rsid w:val="00DC7EB1"/>
    <w:rsid w:val="00DD01C7"/>
    <w:rsid w:val="00DD07C4"/>
    <w:rsid w:val="00DD0953"/>
    <w:rsid w:val="00DD0DBE"/>
    <w:rsid w:val="00DD0DF8"/>
    <w:rsid w:val="00DD1065"/>
    <w:rsid w:val="00DD10A8"/>
    <w:rsid w:val="00DD1236"/>
    <w:rsid w:val="00DD127C"/>
    <w:rsid w:val="00DD1350"/>
    <w:rsid w:val="00DD15A9"/>
    <w:rsid w:val="00DD160F"/>
    <w:rsid w:val="00DD1692"/>
    <w:rsid w:val="00DD17BF"/>
    <w:rsid w:val="00DD1925"/>
    <w:rsid w:val="00DD1A95"/>
    <w:rsid w:val="00DD1AC6"/>
    <w:rsid w:val="00DD1E1E"/>
    <w:rsid w:val="00DD1E97"/>
    <w:rsid w:val="00DD2308"/>
    <w:rsid w:val="00DD288B"/>
    <w:rsid w:val="00DD29ED"/>
    <w:rsid w:val="00DD2C81"/>
    <w:rsid w:val="00DD33B7"/>
    <w:rsid w:val="00DD3468"/>
    <w:rsid w:val="00DD3976"/>
    <w:rsid w:val="00DD3A3A"/>
    <w:rsid w:val="00DD3D28"/>
    <w:rsid w:val="00DD4469"/>
    <w:rsid w:val="00DD47CE"/>
    <w:rsid w:val="00DD4C08"/>
    <w:rsid w:val="00DD4F0A"/>
    <w:rsid w:val="00DD5825"/>
    <w:rsid w:val="00DD5C13"/>
    <w:rsid w:val="00DD5D1E"/>
    <w:rsid w:val="00DD5EE7"/>
    <w:rsid w:val="00DD6027"/>
    <w:rsid w:val="00DD6032"/>
    <w:rsid w:val="00DD6160"/>
    <w:rsid w:val="00DD6518"/>
    <w:rsid w:val="00DD6C5E"/>
    <w:rsid w:val="00DD6DAD"/>
    <w:rsid w:val="00DD6E37"/>
    <w:rsid w:val="00DD6F86"/>
    <w:rsid w:val="00DD7498"/>
    <w:rsid w:val="00DD75F0"/>
    <w:rsid w:val="00DD761C"/>
    <w:rsid w:val="00DD785E"/>
    <w:rsid w:val="00DD7C3C"/>
    <w:rsid w:val="00DE03A1"/>
    <w:rsid w:val="00DE046D"/>
    <w:rsid w:val="00DE04D6"/>
    <w:rsid w:val="00DE06C4"/>
    <w:rsid w:val="00DE09D6"/>
    <w:rsid w:val="00DE0AC4"/>
    <w:rsid w:val="00DE0FA3"/>
    <w:rsid w:val="00DE0FDD"/>
    <w:rsid w:val="00DE156D"/>
    <w:rsid w:val="00DE1A50"/>
    <w:rsid w:val="00DE1F0E"/>
    <w:rsid w:val="00DE212F"/>
    <w:rsid w:val="00DE2458"/>
    <w:rsid w:val="00DE2496"/>
    <w:rsid w:val="00DE3252"/>
    <w:rsid w:val="00DE3936"/>
    <w:rsid w:val="00DE3D20"/>
    <w:rsid w:val="00DE3D90"/>
    <w:rsid w:val="00DE3F35"/>
    <w:rsid w:val="00DE4419"/>
    <w:rsid w:val="00DE45F4"/>
    <w:rsid w:val="00DE4745"/>
    <w:rsid w:val="00DE4E3A"/>
    <w:rsid w:val="00DE4F19"/>
    <w:rsid w:val="00DE52F2"/>
    <w:rsid w:val="00DE5AA0"/>
    <w:rsid w:val="00DE5C7F"/>
    <w:rsid w:val="00DE5CA0"/>
    <w:rsid w:val="00DE6163"/>
    <w:rsid w:val="00DE61D4"/>
    <w:rsid w:val="00DE6300"/>
    <w:rsid w:val="00DE656F"/>
    <w:rsid w:val="00DE65C3"/>
    <w:rsid w:val="00DE65C7"/>
    <w:rsid w:val="00DE674C"/>
    <w:rsid w:val="00DE6B34"/>
    <w:rsid w:val="00DE6D7F"/>
    <w:rsid w:val="00DE6E50"/>
    <w:rsid w:val="00DE7007"/>
    <w:rsid w:val="00DE7054"/>
    <w:rsid w:val="00DE7099"/>
    <w:rsid w:val="00DE724B"/>
    <w:rsid w:val="00DE7332"/>
    <w:rsid w:val="00DE7366"/>
    <w:rsid w:val="00DE7915"/>
    <w:rsid w:val="00DE7A3F"/>
    <w:rsid w:val="00DE7DAB"/>
    <w:rsid w:val="00DF006C"/>
    <w:rsid w:val="00DF0412"/>
    <w:rsid w:val="00DF07D0"/>
    <w:rsid w:val="00DF0A79"/>
    <w:rsid w:val="00DF0FAA"/>
    <w:rsid w:val="00DF11AB"/>
    <w:rsid w:val="00DF125D"/>
    <w:rsid w:val="00DF1494"/>
    <w:rsid w:val="00DF1A3D"/>
    <w:rsid w:val="00DF2363"/>
    <w:rsid w:val="00DF241B"/>
    <w:rsid w:val="00DF341B"/>
    <w:rsid w:val="00DF36DB"/>
    <w:rsid w:val="00DF37AD"/>
    <w:rsid w:val="00DF3847"/>
    <w:rsid w:val="00DF3883"/>
    <w:rsid w:val="00DF39E9"/>
    <w:rsid w:val="00DF431B"/>
    <w:rsid w:val="00DF474B"/>
    <w:rsid w:val="00DF4F50"/>
    <w:rsid w:val="00DF56BC"/>
    <w:rsid w:val="00DF5B74"/>
    <w:rsid w:val="00DF5EDA"/>
    <w:rsid w:val="00DF5EF8"/>
    <w:rsid w:val="00DF5FAF"/>
    <w:rsid w:val="00DF6429"/>
    <w:rsid w:val="00DF645B"/>
    <w:rsid w:val="00DF64FE"/>
    <w:rsid w:val="00DF660A"/>
    <w:rsid w:val="00DF674B"/>
    <w:rsid w:val="00DF6A68"/>
    <w:rsid w:val="00DF6A79"/>
    <w:rsid w:val="00DF6BFC"/>
    <w:rsid w:val="00DF7112"/>
    <w:rsid w:val="00DF719F"/>
    <w:rsid w:val="00DF73FE"/>
    <w:rsid w:val="00DF74D9"/>
    <w:rsid w:val="00DF7DFE"/>
    <w:rsid w:val="00DF7F8F"/>
    <w:rsid w:val="00E00865"/>
    <w:rsid w:val="00E00B2F"/>
    <w:rsid w:val="00E00E5E"/>
    <w:rsid w:val="00E013CF"/>
    <w:rsid w:val="00E01568"/>
    <w:rsid w:val="00E018C7"/>
    <w:rsid w:val="00E01998"/>
    <w:rsid w:val="00E01B0F"/>
    <w:rsid w:val="00E01BBB"/>
    <w:rsid w:val="00E01EA2"/>
    <w:rsid w:val="00E02068"/>
    <w:rsid w:val="00E025D9"/>
    <w:rsid w:val="00E026F4"/>
    <w:rsid w:val="00E02EF3"/>
    <w:rsid w:val="00E02FD2"/>
    <w:rsid w:val="00E032BE"/>
    <w:rsid w:val="00E03553"/>
    <w:rsid w:val="00E0360B"/>
    <w:rsid w:val="00E03610"/>
    <w:rsid w:val="00E0369C"/>
    <w:rsid w:val="00E03A96"/>
    <w:rsid w:val="00E03C4E"/>
    <w:rsid w:val="00E03CD7"/>
    <w:rsid w:val="00E03DF0"/>
    <w:rsid w:val="00E04E0F"/>
    <w:rsid w:val="00E04EC9"/>
    <w:rsid w:val="00E05327"/>
    <w:rsid w:val="00E05384"/>
    <w:rsid w:val="00E05523"/>
    <w:rsid w:val="00E05682"/>
    <w:rsid w:val="00E056F2"/>
    <w:rsid w:val="00E05D56"/>
    <w:rsid w:val="00E05F24"/>
    <w:rsid w:val="00E05F25"/>
    <w:rsid w:val="00E068B0"/>
    <w:rsid w:val="00E0692F"/>
    <w:rsid w:val="00E06F65"/>
    <w:rsid w:val="00E076EF"/>
    <w:rsid w:val="00E079A3"/>
    <w:rsid w:val="00E079B8"/>
    <w:rsid w:val="00E07A81"/>
    <w:rsid w:val="00E07CC6"/>
    <w:rsid w:val="00E10145"/>
    <w:rsid w:val="00E1014F"/>
    <w:rsid w:val="00E10328"/>
    <w:rsid w:val="00E105A9"/>
    <w:rsid w:val="00E10BAC"/>
    <w:rsid w:val="00E1161C"/>
    <w:rsid w:val="00E11714"/>
    <w:rsid w:val="00E11997"/>
    <w:rsid w:val="00E11D8C"/>
    <w:rsid w:val="00E11F70"/>
    <w:rsid w:val="00E12170"/>
    <w:rsid w:val="00E125E5"/>
    <w:rsid w:val="00E12638"/>
    <w:rsid w:val="00E12E3D"/>
    <w:rsid w:val="00E1362D"/>
    <w:rsid w:val="00E14146"/>
    <w:rsid w:val="00E1429C"/>
    <w:rsid w:val="00E143F2"/>
    <w:rsid w:val="00E14434"/>
    <w:rsid w:val="00E14560"/>
    <w:rsid w:val="00E146D8"/>
    <w:rsid w:val="00E14BC5"/>
    <w:rsid w:val="00E14DF7"/>
    <w:rsid w:val="00E14F05"/>
    <w:rsid w:val="00E15056"/>
    <w:rsid w:val="00E1566E"/>
    <w:rsid w:val="00E157DC"/>
    <w:rsid w:val="00E1592E"/>
    <w:rsid w:val="00E15D13"/>
    <w:rsid w:val="00E15DB1"/>
    <w:rsid w:val="00E16241"/>
    <w:rsid w:val="00E165F4"/>
    <w:rsid w:val="00E166EF"/>
    <w:rsid w:val="00E16747"/>
    <w:rsid w:val="00E169F5"/>
    <w:rsid w:val="00E16CB0"/>
    <w:rsid w:val="00E16FC2"/>
    <w:rsid w:val="00E1720A"/>
    <w:rsid w:val="00E173BB"/>
    <w:rsid w:val="00E17552"/>
    <w:rsid w:val="00E177DF"/>
    <w:rsid w:val="00E178B4"/>
    <w:rsid w:val="00E17A01"/>
    <w:rsid w:val="00E20371"/>
    <w:rsid w:val="00E2079C"/>
    <w:rsid w:val="00E20975"/>
    <w:rsid w:val="00E20F4B"/>
    <w:rsid w:val="00E211F0"/>
    <w:rsid w:val="00E217C6"/>
    <w:rsid w:val="00E217E2"/>
    <w:rsid w:val="00E218A0"/>
    <w:rsid w:val="00E218B4"/>
    <w:rsid w:val="00E21A67"/>
    <w:rsid w:val="00E21B03"/>
    <w:rsid w:val="00E21B6D"/>
    <w:rsid w:val="00E22445"/>
    <w:rsid w:val="00E225DD"/>
    <w:rsid w:val="00E22B6D"/>
    <w:rsid w:val="00E22F08"/>
    <w:rsid w:val="00E22F48"/>
    <w:rsid w:val="00E233BD"/>
    <w:rsid w:val="00E23B8A"/>
    <w:rsid w:val="00E23BF9"/>
    <w:rsid w:val="00E23DFC"/>
    <w:rsid w:val="00E24218"/>
    <w:rsid w:val="00E24330"/>
    <w:rsid w:val="00E25231"/>
    <w:rsid w:val="00E252A1"/>
    <w:rsid w:val="00E2545D"/>
    <w:rsid w:val="00E25562"/>
    <w:rsid w:val="00E259D5"/>
    <w:rsid w:val="00E25AAE"/>
    <w:rsid w:val="00E26053"/>
    <w:rsid w:val="00E260A3"/>
    <w:rsid w:val="00E2663D"/>
    <w:rsid w:val="00E26D15"/>
    <w:rsid w:val="00E26EA3"/>
    <w:rsid w:val="00E277D9"/>
    <w:rsid w:val="00E27B36"/>
    <w:rsid w:val="00E27DDB"/>
    <w:rsid w:val="00E305F7"/>
    <w:rsid w:val="00E30722"/>
    <w:rsid w:val="00E3080A"/>
    <w:rsid w:val="00E30A66"/>
    <w:rsid w:val="00E312DB"/>
    <w:rsid w:val="00E31702"/>
    <w:rsid w:val="00E31B75"/>
    <w:rsid w:val="00E3202D"/>
    <w:rsid w:val="00E3242E"/>
    <w:rsid w:val="00E330C9"/>
    <w:rsid w:val="00E331E1"/>
    <w:rsid w:val="00E331F5"/>
    <w:rsid w:val="00E3330E"/>
    <w:rsid w:val="00E3338F"/>
    <w:rsid w:val="00E333E2"/>
    <w:rsid w:val="00E3351F"/>
    <w:rsid w:val="00E33992"/>
    <w:rsid w:val="00E33CB0"/>
    <w:rsid w:val="00E33DF1"/>
    <w:rsid w:val="00E33E73"/>
    <w:rsid w:val="00E340A9"/>
    <w:rsid w:val="00E34442"/>
    <w:rsid w:val="00E349B8"/>
    <w:rsid w:val="00E34A38"/>
    <w:rsid w:val="00E34C66"/>
    <w:rsid w:val="00E35460"/>
    <w:rsid w:val="00E360A3"/>
    <w:rsid w:val="00E3658A"/>
    <w:rsid w:val="00E36970"/>
    <w:rsid w:val="00E369AB"/>
    <w:rsid w:val="00E36B17"/>
    <w:rsid w:val="00E36C3C"/>
    <w:rsid w:val="00E36F69"/>
    <w:rsid w:val="00E37537"/>
    <w:rsid w:val="00E3780B"/>
    <w:rsid w:val="00E4045F"/>
    <w:rsid w:val="00E40A2D"/>
    <w:rsid w:val="00E40CE2"/>
    <w:rsid w:val="00E40DAE"/>
    <w:rsid w:val="00E40F62"/>
    <w:rsid w:val="00E419B3"/>
    <w:rsid w:val="00E41BC8"/>
    <w:rsid w:val="00E42041"/>
    <w:rsid w:val="00E42062"/>
    <w:rsid w:val="00E4239E"/>
    <w:rsid w:val="00E42454"/>
    <w:rsid w:val="00E426C8"/>
    <w:rsid w:val="00E4282D"/>
    <w:rsid w:val="00E42AD4"/>
    <w:rsid w:val="00E43249"/>
    <w:rsid w:val="00E435B4"/>
    <w:rsid w:val="00E436A2"/>
    <w:rsid w:val="00E438D8"/>
    <w:rsid w:val="00E43B6F"/>
    <w:rsid w:val="00E43C76"/>
    <w:rsid w:val="00E43EAB"/>
    <w:rsid w:val="00E440F7"/>
    <w:rsid w:val="00E44685"/>
    <w:rsid w:val="00E44A5A"/>
    <w:rsid w:val="00E4560D"/>
    <w:rsid w:val="00E458D8"/>
    <w:rsid w:val="00E45AD9"/>
    <w:rsid w:val="00E45D56"/>
    <w:rsid w:val="00E46598"/>
    <w:rsid w:val="00E47772"/>
    <w:rsid w:val="00E47CA7"/>
    <w:rsid w:val="00E5032A"/>
    <w:rsid w:val="00E505CE"/>
    <w:rsid w:val="00E51005"/>
    <w:rsid w:val="00E518A7"/>
    <w:rsid w:val="00E51916"/>
    <w:rsid w:val="00E5193A"/>
    <w:rsid w:val="00E51D1A"/>
    <w:rsid w:val="00E524FF"/>
    <w:rsid w:val="00E52703"/>
    <w:rsid w:val="00E529F5"/>
    <w:rsid w:val="00E52C32"/>
    <w:rsid w:val="00E52DB1"/>
    <w:rsid w:val="00E532F3"/>
    <w:rsid w:val="00E5356B"/>
    <w:rsid w:val="00E53E00"/>
    <w:rsid w:val="00E54221"/>
    <w:rsid w:val="00E5466B"/>
    <w:rsid w:val="00E54880"/>
    <w:rsid w:val="00E54B2B"/>
    <w:rsid w:val="00E54D1F"/>
    <w:rsid w:val="00E55421"/>
    <w:rsid w:val="00E5569A"/>
    <w:rsid w:val="00E55BEB"/>
    <w:rsid w:val="00E55C4F"/>
    <w:rsid w:val="00E55D09"/>
    <w:rsid w:val="00E55DCF"/>
    <w:rsid w:val="00E55F21"/>
    <w:rsid w:val="00E5650A"/>
    <w:rsid w:val="00E569DC"/>
    <w:rsid w:val="00E56C38"/>
    <w:rsid w:val="00E57135"/>
    <w:rsid w:val="00E57160"/>
    <w:rsid w:val="00E574EC"/>
    <w:rsid w:val="00E57858"/>
    <w:rsid w:val="00E57CD3"/>
    <w:rsid w:val="00E57F9C"/>
    <w:rsid w:val="00E603AC"/>
    <w:rsid w:val="00E6064C"/>
    <w:rsid w:val="00E60EA1"/>
    <w:rsid w:val="00E615F9"/>
    <w:rsid w:val="00E6193C"/>
    <w:rsid w:val="00E61CA8"/>
    <w:rsid w:val="00E621AE"/>
    <w:rsid w:val="00E626CE"/>
    <w:rsid w:val="00E62BC2"/>
    <w:rsid w:val="00E62C03"/>
    <w:rsid w:val="00E62CAA"/>
    <w:rsid w:val="00E62E24"/>
    <w:rsid w:val="00E63030"/>
    <w:rsid w:val="00E63045"/>
    <w:rsid w:val="00E63B28"/>
    <w:rsid w:val="00E63DAA"/>
    <w:rsid w:val="00E63E8D"/>
    <w:rsid w:val="00E641F1"/>
    <w:rsid w:val="00E646F2"/>
    <w:rsid w:val="00E64987"/>
    <w:rsid w:val="00E651B8"/>
    <w:rsid w:val="00E659D6"/>
    <w:rsid w:val="00E66006"/>
    <w:rsid w:val="00E66084"/>
    <w:rsid w:val="00E660B0"/>
    <w:rsid w:val="00E66331"/>
    <w:rsid w:val="00E6653D"/>
    <w:rsid w:val="00E6657F"/>
    <w:rsid w:val="00E6712B"/>
    <w:rsid w:val="00E67579"/>
    <w:rsid w:val="00E675A6"/>
    <w:rsid w:val="00E67648"/>
    <w:rsid w:val="00E67C59"/>
    <w:rsid w:val="00E67EF3"/>
    <w:rsid w:val="00E71057"/>
    <w:rsid w:val="00E71166"/>
    <w:rsid w:val="00E712CF"/>
    <w:rsid w:val="00E7160D"/>
    <w:rsid w:val="00E716DB"/>
    <w:rsid w:val="00E717CB"/>
    <w:rsid w:val="00E718D2"/>
    <w:rsid w:val="00E7221D"/>
    <w:rsid w:val="00E7292D"/>
    <w:rsid w:val="00E72FB3"/>
    <w:rsid w:val="00E733F4"/>
    <w:rsid w:val="00E734A0"/>
    <w:rsid w:val="00E73E53"/>
    <w:rsid w:val="00E7415D"/>
    <w:rsid w:val="00E741BD"/>
    <w:rsid w:val="00E7449B"/>
    <w:rsid w:val="00E74747"/>
    <w:rsid w:val="00E74ADD"/>
    <w:rsid w:val="00E74C2E"/>
    <w:rsid w:val="00E74CDD"/>
    <w:rsid w:val="00E74D9E"/>
    <w:rsid w:val="00E74FE7"/>
    <w:rsid w:val="00E757D7"/>
    <w:rsid w:val="00E757E1"/>
    <w:rsid w:val="00E76084"/>
    <w:rsid w:val="00E7615F"/>
    <w:rsid w:val="00E76414"/>
    <w:rsid w:val="00E769AB"/>
    <w:rsid w:val="00E76AE0"/>
    <w:rsid w:val="00E76B7E"/>
    <w:rsid w:val="00E76B9F"/>
    <w:rsid w:val="00E76E7C"/>
    <w:rsid w:val="00E7711C"/>
    <w:rsid w:val="00E77146"/>
    <w:rsid w:val="00E77A01"/>
    <w:rsid w:val="00E77B5C"/>
    <w:rsid w:val="00E803D3"/>
    <w:rsid w:val="00E806B0"/>
    <w:rsid w:val="00E807AA"/>
    <w:rsid w:val="00E80897"/>
    <w:rsid w:val="00E80ACF"/>
    <w:rsid w:val="00E80B31"/>
    <w:rsid w:val="00E80CAA"/>
    <w:rsid w:val="00E80D3F"/>
    <w:rsid w:val="00E81A5C"/>
    <w:rsid w:val="00E81A87"/>
    <w:rsid w:val="00E8249F"/>
    <w:rsid w:val="00E82595"/>
    <w:rsid w:val="00E826FC"/>
    <w:rsid w:val="00E82705"/>
    <w:rsid w:val="00E8270D"/>
    <w:rsid w:val="00E82ABB"/>
    <w:rsid w:val="00E82ADC"/>
    <w:rsid w:val="00E82B7F"/>
    <w:rsid w:val="00E82C35"/>
    <w:rsid w:val="00E82D75"/>
    <w:rsid w:val="00E82FFA"/>
    <w:rsid w:val="00E83188"/>
    <w:rsid w:val="00E832F9"/>
    <w:rsid w:val="00E833CD"/>
    <w:rsid w:val="00E8377D"/>
    <w:rsid w:val="00E83948"/>
    <w:rsid w:val="00E83CF9"/>
    <w:rsid w:val="00E83D4E"/>
    <w:rsid w:val="00E83E10"/>
    <w:rsid w:val="00E8433F"/>
    <w:rsid w:val="00E84397"/>
    <w:rsid w:val="00E84D6C"/>
    <w:rsid w:val="00E84F8B"/>
    <w:rsid w:val="00E85044"/>
    <w:rsid w:val="00E85046"/>
    <w:rsid w:val="00E85077"/>
    <w:rsid w:val="00E85664"/>
    <w:rsid w:val="00E856F4"/>
    <w:rsid w:val="00E85B2E"/>
    <w:rsid w:val="00E85C39"/>
    <w:rsid w:val="00E85CE8"/>
    <w:rsid w:val="00E85D3D"/>
    <w:rsid w:val="00E85E4D"/>
    <w:rsid w:val="00E85EBD"/>
    <w:rsid w:val="00E864FE"/>
    <w:rsid w:val="00E867A4"/>
    <w:rsid w:val="00E86C12"/>
    <w:rsid w:val="00E86D6F"/>
    <w:rsid w:val="00E86EB2"/>
    <w:rsid w:val="00E87E47"/>
    <w:rsid w:val="00E87F07"/>
    <w:rsid w:val="00E87FB9"/>
    <w:rsid w:val="00E9028B"/>
    <w:rsid w:val="00E9037C"/>
    <w:rsid w:val="00E90862"/>
    <w:rsid w:val="00E90F3F"/>
    <w:rsid w:val="00E91385"/>
    <w:rsid w:val="00E918DD"/>
    <w:rsid w:val="00E91AFE"/>
    <w:rsid w:val="00E91E4F"/>
    <w:rsid w:val="00E92974"/>
    <w:rsid w:val="00E92B35"/>
    <w:rsid w:val="00E92D15"/>
    <w:rsid w:val="00E92F98"/>
    <w:rsid w:val="00E9321D"/>
    <w:rsid w:val="00E9331D"/>
    <w:rsid w:val="00E93AC6"/>
    <w:rsid w:val="00E93D03"/>
    <w:rsid w:val="00E94055"/>
    <w:rsid w:val="00E941A5"/>
    <w:rsid w:val="00E94F14"/>
    <w:rsid w:val="00E951B7"/>
    <w:rsid w:val="00E95319"/>
    <w:rsid w:val="00E95322"/>
    <w:rsid w:val="00E9548D"/>
    <w:rsid w:val="00E95490"/>
    <w:rsid w:val="00E955E6"/>
    <w:rsid w:val="00E9560F"/>
    <w:rsid w:val="00E95DD1"/>
    <w:rsid w:val="00E95EBC"/>
    <w:rsid w:val="00E96606"/>
    <w:rsid w:val="00E967EE"/>
    <w:rsid w:val="00E968C1"/>
    <w:rsid w:val="00E96A19"/>
    <w:rsid w:val="00E96C0B"/>
    <w:rsid w:val="00E96DAF"/>
    <w:rsid w:val="00E96EDB"/>
    <w:rsid w:val="00E97175"/>
    <w:rsid w:val="00E971F6"/>
    <w:rsid w:val="00E97564"/>
    <w:rsid w:val="00E97602"/>
    <w:rsid w:val="00E976B2"/>
    <w:rsid w:val="00E976BE"/>
    <w:rsid w:val="00E97991"/>
    <w:rsid w:val="00E97D6C"/>
    <w:rsid w:val="00E97DEE"/>
    <w:rsid w:val="00E97FFB"/>
    <w:rsid w:val="00EA014C"/>
    <w:rsid w:val="00EA09C8"/>
    <w:rsid w:val="00EA0E54"/>
    <w:rsid w:val="00EA0F9D"/>
    <w:rsid w:val="00EA1650"/>
    <w:rsid w:val="00EA169C"/>
    <w:rsid w:val="00EA1769"/>
    <w:rsid w:val="00EA1AD0"/>
    <w:rsid w:val="00EA1E80"/>
    <w:rsid w:val="00EA1FCF"/>
    <w:rsid w:val="00EA22BD"/>
    <w:rsid w:val="00EA27C3"/>
    <w:rsid w:val="00EA28C5"/>
    <w:rsid w:val="00EA2E5A"/>
    <w:rsid w:val="00EA2EF5"/>
    <w:rsid w:val="00EA2FD2"/>
    <w:rsid w:val="00EA358D"/>
    <w:rsid w:val="00EA3633"/>
    <w:rsid w:val="00EA3671"/>
    <w:rsid w:val="00EA397E"/>
    <w:rsid w:val="00EA39EF"/>
    <w:rsid w:val="00EA3DD3"/>
    <w:rsid w:val="00EA3FBC"/>
    <w:rsid w:val="00EA43CE"/>
    <w:rsid w:val="00EA4448"/>
    <w:rsid w:val="00EA497A"/>
    <w:rsid w:val="00EA4DBA"/>
    <w:rsid w:val="00EA4E06"/>
    <w:rsid w:val="00EA50B7"/>
    <w:rsid w:val="00EA5560"/>
    <w:rsid w:val="00EA5E98"/>
    <w:rsid w:val="00EA6380"/>
    <w:rsid w:val="00EA6AA0"/>
    <w:rsid w:val="00EA6F80"/>
    <w:rsid w:val="00EA723B"/>
    <w:rsid w:val="00EA73B3"/>
    <w:rsid w:val="00EA7496"/>
    <w:rsid w:val="00EA76F7"/>
    <w:rsid w:val="00EA79F1"/>
    <w:rsid w:val="00EB0BE8"/>
    <w:rsid w:val="00EB0DEA"/>
    <w:rsid w:val="00EB15FF"/>
    <w:rsid w:val="00EB19AD"/>
    <w:rsid w:val="00EB1E63"/>
    <w:rsid w:val="00EB1F63"/>
    <w:rsid w:val="00EB23C6"/>
    <w:rsid w:val="00EB27BC"/>
    <w:rsid w:val="00EB296B"/>
    <w:rsid w:val="00EB2AEE"/>
    <w:rsid w:val="00EB2C09"/>
    <w:rsid w:val="00EB2CBB"/>
    <w:rsid w:val="00EB360A"/>
    <w:rsid w:val="00EB3AA5"/>
    <w:rsid w:val="00EB3AB0"/>
    <w:rsid w:val="00EB3D70"/>
    <w:rsid w:val="00EB3FE6"/>
    <w:rsid w:val="00EB447F"/>
    <w:rsid w:val="00EB4B29"/>
    <w:rsid w:val="00EB4CD2"/>
    <w:rsid w:val="00EB4EE9"/>
    <w:rsid w:val="00EB4F12"/>
    <w:rsid w:val="00EB4F64"/>
    <w:rsid w:val="00EB4FD4"/>
    <w:rsid w:val="00EB51A0"/>
    <w:rsid w:val="00EB53A6"/>
    <w:rsid w:val="00EB5424"/>
    <w:rsid w:val="00EB54FC"/>
    <w:rsid w:val="00EB5601"/>
    <w:rsid w:val="00EB5BE7"/>
    <w:rsid w:val="00EB626F"/>
    <w:rsid w:val="00EB6511"/>
    <w:rsid w:val="00EB679F"/>
    <w:rsid w:val="00EB6A0B"/>
    <w:rsid w:val="00EB6A32"/>
    <w:rsid w:val="00EB7005"/>
    <w:rsid w:val="00EB7786"/>
    <w:rsid w:val="00EB7B29"/>
    <w:rsid w:val="00EB7B8B"/>
    <w:rsid w:val="00EC044A"/>
    <w:rsid w:val="00EC05B3"/>
    <w:rsid w:val="00EC06C3"/>
    <w:rsid w:val="00EC132A"/>
    <w:rsid w:val="00EC18E6"/>
    <w:rsid w:val="00EC1DF6"/>
    <w:rsid w:val="00EC2088"/>
    <w:rsid w:val="00EC27CB"/>
    <w:rsid w:val="00EC2BD3"/>
    <w:rsid w:val="00EC2F4D"/>
    <w:rsid w:val="00EC33A0"/>
    <w:rsid w:val="00EC3CB9"/>
    <w:rsid w:val="00EC3CF1"/>
    <w:rsid w:val="00EC3F8B"/>
    <w:rsid w:val="00EC429C"/>
    <w:rsid w:val="00EC457C"/>
    <w:rsid w:val="00EC467D"/>
    <w:rsid w:val="00EC4836"/>
    <w:rsid w:val="00EC48D5"/>
    <w:rsid w:val="00EC4EC8"/>
    <w:rsid w:val="00EC4F91"/>
    <w:rsid w:val="00EC5088"/>
    <w:rsid w:val="00EC6020"/>
    <w:rsid w:val="00EC60D7"/>
    <w:rsid w:val="00EC64F7"/>
    <w:rsid w:val="00EC6665"/>
    <w:rsid w:val="00EC6825"/>
    <w:rsid w:val="00EC6F67"/>
    <w:rsid w:val="00EC708F"/>
    <w:rsid w:val="00EC72C4"/>
    <w:rsid w:val="00EC748D"/>
    <w:rsid w:val="00EC74C5"/>
    <w:rsid w:val="00EC7BE6"/>
    <w:rsid w:val="00EC7E8B"/>
    <w:rsid w:val="00ED01CA"/>
    <w:rsid w:val="00ED029D"/>
    <w:rsid w:val="00ED0F3F"/>
    <w:rsid w:val="00ED113F"/>
    <w:rsid w:val="00ED1162"/>
    <w:rsid w:val="00ED1378"/>
    <w:rsid w:val="00ED164F"/>
    <w:rsid w:val="00ED1A67"/>
    <w:rsid w:val="00ED1F86"/>
    <w:rsid w:val="00ED1F92"/>
    <w:rsid w:val="00ED290F"/>
    <w:rsid w:val="00ED293D"/>
    <w:rsid w:val="00ED2D06"/>
    <w:rsid w:val="00ED2F71"/>
    <w:rsid w:val="00ED3697"/>
    <w:rsid w:val="00ED36B9"/>
    <w:rsid w:val="00ED422D"/>
    <w:rsid w:val="00ED4628"/>
    <w:rsid w:val="00ED4E2C"/>
    <w:rsid w:val="00ED4F3A"/>
    <w:rsid w:val="00ED51F8"/>
    <w:rsid w:val="00ED523D"/>
    <w:rsid w:val="00ED5725"/>
    <w:rsid w:val="00ED5BFC"/>
    <w:rsid w:val="00ED5CA6"/>
    <w:rsid w:val="00ED5E38"/>
    <w:rsid w:val="00ED5E7E"/>
    <w:rsid w:val="00ED5F0D"/>
    <w:rsid w:val="00ED6AA8"/>
    <w:rsid w:val="00ED6C79"/>
    <w:rsid w:val="00ED6F80"/>
    <w:rsid w:val="00ED75F8"/>
    <w:rsid w:val="00ED7642"/>
    <w:rsid w:val="00ED79C1"/>
    <w:rsid w:val="00ED7A50"/>
    <w:rsid w:val="00ED7C82"/>
    <w:rsid w:val="00ED7CDD"/>
    <w:rsid w:val="00ED7DC5"/>
    <w:rsid w:val="00EE0075"/>
    <w:rsid w:val="00EE0F97"/>
    <w:rsid w:val="00EE135E"/>
    <w:rsid w:val="00EE15F4"/>
    <w:rsid w:val="00EE16F5"/>
    <w:rsid w:val="00EE1750"/>
    <w:rsid w:val="00EE188D"/>
    <w:rsid w:val="00EE18A1"/>
    <w:rsid w:val="00EE1972"/>
    <w:rsid w:val="00EE1A6F"/>
    <w:rsid w:val="00EE1BB3"/>
    <w:rsid w:val="00EE2499"/>
    <w:rsid w:val="00EE259C"/>
    <w:rsid w:val="00EE26E6"/>
    <w:rsid w:val="00EE2877"/>
    <w:rsid w:val="00EE2B58"/>
    <w:rsid w:val="00EE2BAC"/>
    <w:rsid w:val="00EE2E3C"/>
    <w:rsid w:val="00EE36FF"/>
    <w:rsid w:val="00EE3905"/>
    <w:rsid w:val="00EE3955"/>
    <w:rsid w:val="00EE3B9D"/>
    <w:rsid w:val="00EE4490"/>
    <w:rsid w:val="00EE4EEF"/>
    <w:rsid w:val="00EE4F2C"/>
    <w:rsid w:val="00EE5096"/>
    <w:rsid w:val="00EE52A3"/>
    <w:rsid w:val="00EE55C7"/>
    <w:rsid w:val="00EE5946"/>
    <w:rsid w:val="00EE5DD8"/>
    <w:rsid w:val="00EE651A"/>
    <w:rsid w:val="00EE6832"/>
    <w:rsid w:val="00EE6ABF"/>
    <w:rsid w:val="00EE6DC3"/>
    <w:rsid w:val="00EE74F3"/>
    <w:rsid w:val="00EE75AA"/>
    <w:rsid w:val="00EE7A5B"/>
    <w:rsid w:val="00EE7B5B"/>
    <w:rsid w:val="00EE7FE1"/>
    <w:rsid w:val="00EF0433"/>
    <w:rsid w:val="00EF0CF2"/>
    <w:rsid w:val="00EF0EB3"/>
    <w:rsid w:val="00EF1349"/>
    <w:rsid w:val="00EF1728"/>
    <w:rsid w:val="00EF1755"/>
    <w:rsid w:val="00EF18E3"/>
    <w:rsid w:val="00EF1F5D"/>
    <w:rsid w:val="00EF1F7D"/>
    <w:rsid w:val="00EF2946"/>
    <w:rsid w:val="00EF38DE"/>
    <w:rsid w:val="00EF3955"/>
    <w:rsid w:val="00EF3D58"/>
    <w:rsid w:val="00EF3DD2"/>
    <w:rsid w:val="00EF3EC7"/>
    <w:rsid w:val="00EF3F48"/>
    <w:rsid w:val="00EF44B6"/>
    <w:rsid w:val="00EF4538"/>
    <w:rsid w:val="00EF4774"/>
    <w:rsid w:val="00EF4798"/>
    <w:rsid w:val="00EF4C46"/>
    <w:rsid w:val="00EF4D7C"/>
    <w:rsid w:val="00EF4F37"/>
    <w:rsid w:val="00EF5995"/>
    <w:rsid w:val="00EF5A0C"/>
    <w:rsid w:val="00EF5AEE"/>
    <w:rsid w:val="00EF5B25"/>
    <w:rsid w:val="00EF5D2A"/>
    <w:rsid w:val="00EF6FA4"/>
    <w:rsid w:val="00EF7063"/>
    <w:rsid w:val="00EF7084"/>
    <w:rsid w:val="00EF7406"/>
    <w:rsid w:val="00EF77B7"/>
    <w:rsid w:val="00EF7823"/>
    <w:rsid w:val="00EF79E3"/>
    <w:rsid w:val="00EF7E88"/>
    <w:rsid w:val="00F002C5"/>
    <w:rsid w:val="00F00947"/>
    <w:rsid w:val="00F0094F"/>
    <w:rsid w:val="00F00E61"/>
    <w:rsid w:val="00F011CD"/>
    <w:rsid w:val="00F011F6"/>
    <w:rsid w:val="00F018D5"/>
    <w:rsid w:val="00F01A3D"/>
    <w:rsid w:val="00F01BBD"/>
    <w:rsid w:val="00F01C68"/>
    <w:rsid w:val="00F0235D"/>
    <w:rsid w:val="00F02465"/>
    <w:rsid w:val="00F02526"/>
    <w:rsid w:val="00F02577"/>
    <w:rsid w:val="00F0296E"/>
    <w:rsid w:val="00F032D7"/>
    <w:rsid w:val="00F032E2"/>
    <w:rsid w:val="00F03B39"/>
    <w:rsid w:val="00F03DB2"/>
    <w:rsid w:val="00F04052"/>
    <w:rsid w:val="00F0409D"/>
    <w:rsid w:val="00F0439B"/>
    <w:rsid w:val="00F04451"/>
    <w:rsid w:val="00F0457D"/>
    <w:rsid w:val="00F04FBE"/>
    <w:rsid w:val="00F04FED"/>
    <w:rsid w:val="00F05105"/>
    <w:rsid w:val="00F05346"/>
    <w:rsid w:val="00F05469"/>
    <w:rsid w:val="00F0566B"/>
    <w:rsid w:val="00F05849"/>
    <w:rsid w:val="00F059D4"/>
    <w:rsid w:val="00F06324"/>
    <w:rsid w:val="00F06673"/>
    <w:rsid w:val="00F067DA"/>
    <w:rsid w:val="00F06961"/>
    <w:rsid w:val="00F06D22"/>
    <w:rsid w:val="00F07A27"/>
    <w:rsid w:val="00F07BFF"/>
    <w:rsid w:val="00F07F70"/>
    <w:rsid w:val="00F1066F"/>
    <w:rsid w:val="00F10A55"/>
    <w:rsid w:val="00F11249"/>
    <w:rsid w:val="00F11760"/>
    <w:rsid w:val="00F117CF"/>
    <w:rsid w:val="00F11867"/>
    <w:rsid w:val="00F118C6"/>
    <w:rsid w:val="00F11957"/>
    <w:rsid w:val="00F11EDB"/>
    <w:rsid w:val="00F12783"/>
    <w:rsid w:val="00F127A1"/>
    <w:rsid w:val="00F1280C"/>
    <w:rsid w:val="00F129D6"/>
    <w:rsid w:val="00F12D80"/>
    <w:rsid w:val="00F12EB1"/>
    <w:rsid w:val="00F12F37"/>
    <w:rsid w:val="00F12FB6"/>
    <w:rsid w:val="00F12FEF"/>
    <w:rsid w:val="00F1328B"/>
    <w:rsid w:val="00F139CB"/>
    <w:rsid w:val="00F13E77"/>
    <w:rsid w:val="00F13FCF"/>
    <w:rsid w:val="00F1415F"/>
    <w:rsid w:val="00F14201"/>
    <w:rsid w:val="00F142A0"/>
    <w:rsid w:val="00F1495D"/>
    <w:rsid w:val="00F14D05"/>
    <w:rsid w:val="00F14EA5"/>
    <w:rsid w:val="00F14EC6"/>
    <w:rsid w:val="00F1508C"/>
    <w:rsid w:val="00F15212"/>
    <w:rsid w:val="00F15282"/>
    <w:rsid w:val="00F1578E"/>
    <w:rsid w:val="00F1583F"/>
    <w:rsid w:val="00F1592C"/>
    <w:rsid w:val="00F15B24"/>
    <w:rsid w:val="00F15B99"/>
    <w:rsid w:val="00F15C9A"/>
    <w:rsid w:val="00F15DFC"/>
    <w:rsid w:val="00F15EC4"/>
    <w:rsid w:val="00F1642C"/>
    <w:rsid w:val="00F16B8B"/>
    <w:rsid w:val="00F1744E"/>
    <w:rsid w:val="00F17ADF"/>
    <w:rsid w:val="00F17C5C"/>
    <w:rsid w:val="00F17CBE"/>
    <w:rsid w:val="00F17D8E"/>
    <w:rsid w:val="00F17F3A"/>
    <w:rsid w:val="00F20763"/>
    <w:rsid w:val="00F20938"/>
    <w:rsid w:val="00F20B3C"/>
    <w:rsid w:val="00F20B75"/>
    <w:rsid w:val="00F21052"/>
    <w:rsid w:val="00F21134"/>
    <w:rsid w:val="00F21288"/>
    <w:rsid w:val="00F21C89"/>
    <w:rsid w:val="00F22208"/>
    <w:rsid w:val="00F22382"/>
    <w:rsid w:val="00F223D9"/>
    <w:rsid w:val="00F227C8"/>
    <w:rsid w:val="00F228EB"/>
    <w:rsid w:val="00F22BE9"/>
    <w:rsid w:val="00F22E3B"/>
    <w:rsid w:val="00F22F02"/>
    <w:rsid w:val="00F230BF"/>
    <w:rsid w:val="00F2375D"/>
    <w:rsid w:val="00F23CB7"/>
    <w:rsid w:val="00F23CBB"/>
    <w:rsid w:val="00F240C3"/>
    <w:rsid w:val="00F2415F"/>
    <w:rsid w:val="00F245A6"/>
    <w:rsid w:val="00F24622"/>
    <w:rsid w:val="00F24A7C"/>
    <w:rsid w:val="00F25180"/>
    <w:rsid w:val="00F25566"/>
    <w:rsid w:val="00F257B5"/>
    <w:rsid w:val="00F25876"/>
    <w:rsid w:val="00F2596E"/>
    <w:rsid w:val="00F2598D"/>
    <w:rsid w:val="00F25B55"/>
    <w:rsid w:val="00F25C41"/>
    <w:rsid w:val="00F25E7C"/>
    <w:rsid w:val="00F26D25"/>
    <w:rsid w:val="00F26FC0"/>
    <w:rsid w:val="00F27017"/>
    <w:rsid w:val="00F27150"/>
    <w:rsid w:val="00F2720E"/>
    <w:rsid w:val="00F274E1"/>
    <w:rsid w:val="00F2766D"/>
    <w:rsid w:val="00F276E1"/>
    <w:rsid w:val="00F2776D"/>
    <w:rsid w:val="00F2781C"/>
    <w:rsid w:val="00F27AA6"/>
    <w:rsid w:val="00F27C4D"/>
    <w:rsid w:val="00F30006"/>
    <w:rsid w:val="00F30227"/>
    <w:rsid w:val="00F30932"/>
    <w:rsid w:val="00F309E4"/>
    <w:rsid w:val="00F30AEA"/>
    <w:rsid w:val="00F30D61"/>
    <w:rsid w:val="00F31172"/>
    <w:rsid w:val="00F3172F"/>
    <w:rsid w:val="00F318EE"/>
    <w:rsid w:val="00F3197C"/>
    <w:rsid w:val="00F31A70"/>
    <w:rsid w:val="00F31A94"/>
    <w:rsid w:val="00F31B60"/>
    <w:rsid w:val="00F31BDF"/>
    <w:rsid w:val="00F31BF0"/>
    <w:rsid w:val="00F31CBF"/>
    <w:rsid w:val="00F32B44"/>
    <w:rsid w:val="00F330FB"/>
    <w:rsid w:val="00F33202"/>
    <w:rsid w:val="00F3350A"/>
    <w:rsid w:val="00F340C1"/>
    <w:rsid w:val="00F341ED"/>
    <w:rsid w:val="00F346E6"/>
    <w:rsid w:val="00F349BD"/>
    <w:rsid w:val="00F34B61"/>
    <w:rsid w:val="00F3511A"/>
    <w:rsid w:val="00F35381"/>
    <w:rsid w:val="00F358B2"/>
    <w:rsid w:val="00F35D8F"/>
    <w:rsid w:val="00F35F9C"/>
    <w:rsid w:val="00F372C7"/>
    <w:rsid w:val="00F372ED"/>
    <w:rsid w:val="00F374A4"/>
    <w:rsid w:val="00F37904"/>
    <w:rsid w:val="00F37AB6"/>
    <w:rsid w:val="00F40009"/>
    <w:rsid w:val="00F4015C"/>
    <w:rsid w:val="00F40864"/>
    <w:rsid w:val="00F4099E"/>
    <w:rsid w:val="00F40E01"/>
    <w:rsid w:val="00F40FA2"/>
    <w:rsid w:val="00F41344"/>
    <w:rsid w:val="00F41963"/>
    <w:rsid w:val="00F41C6A"/>
    <w:rsid w:val="00F41C86"/>
    <w:rsid w:val="00F41DDF"/>
    <w:rsid w:val="00F4233F"/>
    <w:rsid w:val="00F423C2"/>
    <w:rsid w:val="00F42496"/>
    <w:rsid w:val="00F427D4"/>
    <w:rsid w:val="00F42DC5"/>
    <w:rsid w:val="00F430B7"/>
    <w:rsid w:val="00F43307"/>
    <w:rsid w:val="00F43DB2"/>
    <w:rsid w:val="00F43FAA"/>
    <w:rsid w:val="00F44895"/>
    <w:rsid w:val="00F4569F"/>
    <w:rsid w:val="00F4574D"/>
    <w:rsid w:val="00F45C0E"/>
    <w:rsid w:val="00F45C39"/>
    <w:rsid w:val="00F46778"/>
    <w:rsid w:val="00F46B35"/>
    <w:rsid w:val="00F477E0"/>
    <w:rsid w:val="00F4787E"/>
    <w:rsid w:val="00F47AE9"/>
    <w:rsid w:val="00F47D71"/>
    <w:rsid w:val="00F47DC2"/>
    <w:rsid w:val="00F47E73"/>
    <w:rsid w:val="00F50007"/>
    <w:rsid w:val="00F50037"/>
    <w:rsid w:val="00F500F3"/>
    <w:rsid w:val="00F50585"/>
    <w:rsid w:val="00F505B7"/>
    <w:rsid w:val="00F505BD"/>
    <w:rsid w:val="00F507F2"/>
    <w:rsid w:val="00F508A8"/>
    <w:rsid w:val="00F50DBF"/>
    <w:rsid w:val="00F50DCC"/>
    <w:rsid w:val="00F51003"/>
    <w:rsid w:val="00F51062"/>
    <w:rsid w:val="00F51510"/>
    <w:rsid w:val="00F516E3"/>
    <w:rsid w:val="00F51A10"/>
    <w:rsid w:val="00F51D06"/>
    <w:rsid w:val="00F51FFC"/>
    <w:rsid w:val="00F52050"/>
    <w:rsid w:val="00F5224A"/>
    <w:rsid w:val="00F52731"/>
    <w:rsid w:val="00F527EA"/>
    <w:rsid w:val="00F529A4"/>
    <w:rsid w:val="00F52EB6"/>
    <w:rsid w:val="00F5302D"/>
    <w:rsid w:val="00F531B3"/>
    <w:rsid w:val="00F534A9"/>
    <w:rsid w:val="00F53741"/>
    <w:rsid w:val="00F538AE"/>
    <w:rsid w:val="00F538E9"/>
    <w:rsid w:val="00F53CC6"/>
    <w:rsid w:val="00F54190"/>
    <w:rsid w:val="00F54514"/>
    <w:rsid w:val="00F545D1"/>
    <w:rsid w:val="00F54721"/>
    <w:rsid w:val="00F54832"/>
    <w:rsid w:val="00F548A6"/>
    <w:rsid w:val="00F54A84"/>
    <w:rsid w:val="00F552B2"/>
    <w:rsid w:val="00F554FE"/>
    <w:rsid w:val="00F55627"/>
    <w:rsid w:val="00F5572E"/>
    <w:rsid w:val="00F55A79"/>
    <w:rsid w:val="00F55A9D"/>
    <w:rsid w:val="00F55DB2"/>
    <w:rsid w:val="00F56200"/>
    <w:rsid w:val="00F565E2"/>
    <w:rsid w:val="00F567D6"/>
    <w:rsid w:val="00F57062"/>
    <w:rsid w:val="00F57279"/>
    <w:rsid w:val="00F57852"/>
    <w:rsid w:val="00F57885"/>
    <w:rsid w:val="00F57A24"/>
    <w:rsid w:val="00F57D10"/>
    <w:rsid w:val="00F57D54"/>
    <w:rsid w:val="00F57D94"/>
    <w:rsid w:val="00F600CE"/>
    <w:rsid w:val="00F60654"/>
    <w:rsid w:val="00F608B6"/>
    <w:rsid w:val="00F60A3A"/>
    <w:rsid w:val="00F60A96"/>
    <w:rsid w:val="00F60F4F"/>
    <w:rsid w:val="00F61084"/>
    <w:rsid w:val="00F61268"/>
    <w:rsid w:val="00F61319"/>
    <w:rsid w:val="00F6134F"/>
    <w:rsid w:val="00F613DA"/>
    <w:rsid w:val="00F61539"/>
    <w:rsid w:val="00F6188D"/>
    <w:rsid w:val="00F61DAE"/>
    <w:rsid w:val="00F628FE"/>
    <w:rsid w:val="00F62D38"/>
    <w:rsid w:val="00F631A2"/>
    <w:rsid w:val="00F63336"/>
    <w:rsid w:val="00F63731"/>
    <w:rsid w:val="00F6373B"/>
    <w:rsid w:val="00F6386F"/>
    <w:rsid w:val="00F64154"/>
    <w:rsid w:val="00F64459"/>
    <w:rsid w:val="00F649C5"/>
    <w:rsid w:val="00F64B81"/>
    <w:rsid w:val="00F64F1F"/>
    <w:rsid w:val="00F6563E"/>
    <w:rsid w:val="00F65726"/>
    <w:rsid w:val="00F65822"/>
    <w:rsid w:val="00F6598B"/>
    <w:rsid w:val="00F65A5E"/>
    <w:rsid w:val="00F65A99"/>
    <w:rsid w:val="00F65AE0"/>
    <w:rsid w:val="00F66144"/>
    <w:rsid w:val="00F6635D"/>
    <w:rsid w:val="00F665E4"/>
    <w:rsid w:val="00F66AFD"/>
    <w:rsid w:val="00F6713F"/>
    <w:rsid w:val="00F67149"/>
    <w:rsid w:val="00F672CC"/>
    <w:rsid w:val="00F67472"/>
    <w:rsid w:val="00F67689"/>
    <w:rsid w:val="00F677DE"/>
    <w:rsid w:val="00F67D28"/>
    <w:rsid w:val="00F7051B"/>
    <w:rsid w:val="00F70545"/>
    <w:rsid w:val="00F705DD"/>
    <w:rsid w:val="00F70648"/>
    <w:rsid w:val="00F70711"/>
    <w:rsid w:val="00F7117F"/>
    <w:rsid w:val="00F7123E"/>
    <w:rsid w:val="00F714F1"/>
    <w:rsid w:val="00F71AD7"/>
    <w:rsid w:val="00F720B2"/>
    <w:rsid w:val="00F7289D"/>
    <w:rsid w:val="00F728C9"/>
    <w:rsid w:val="00F72BA4"/>
    <w:rsid w:val="00F72BB6"/>
    <w:rsid w:val="00F73336"/>
    <w:rsid w:val="00F7419D"/>
    <w:rsid w:val="00F741A9"/>
    <w:rsid w:val="00F74207"/>
    <w:rsid w:val="00F745E3"/>
    <w:rsid w:val="00F74831"/>
    <w:rsid w:val="00F74887"/>
    <w:rsid w:val="00F74B22"/>
    <w:rsid w:val="00F74B51"/>
    <w:rsid w:val="00F75418"/>
    <w:rsid w:val="00F75B1A"/>
    <w:rsid w:val="00F75C26"/>
    <w:rsid w:val="00F75E0A"/>
    <w:rsid w:val="00F76104"/>
    <w:rsid w:val="00F762FB"/>
    <w:rsid w:val="00F768D7"/>
    <w:rsid w:val="00F76A25"/>
    <w:rsid w:val="00F77094"/>
    <w:rsid w:val="00F77294"/>
    <w:rsid w:val="00F77428"/>
    <w:rsid w:val="00F774E0"/>
    <w:rsid w:val="00F77619"/>
    <w:rsid w:val="00F77ACF"/>
    <w:rsid w:val="00F77ED6"/>
    <w:rsid w:val="00F77FF2"/>
    <w:rsid w:val="00F806F4"/>
    <w:rsid w:val="00F80A55"/>
    <w:rsid w:val="00F80AF2"/>
    <w:rsid w:val="00F80B31"/>
    <w:rsid w:val="00F80B82"/>
    <w:rsid w:val="00F80EF9"/>
    <w:rsid w:val="00F81041"/>
    <w:rsid w:val="00F811E7"/>
    <w:rsid w:val="00F812FC"/>
    <w:rsid w:val="00F81362"/>
    <w:rsid w:val="00F81F79"/>
    <w:rsid w:val="00F81F8F"/>
    <w:rsid w:val="00F8201C"/>
    <w:rsid w:val="00F823C6"/>
    <w:rsid w:val="00F8249B"/>
    <w:rsid w:val="00F83147"/>
    <w:rsid w:val="00F834E9"/>
    <w:rsid w:val="00F83846"/>
    <w:rsid w:val="00F83EFD"/>
    <w:rsid w:val="00F84058"/>
    <w:rsid w:val="00F84379"/>
    <w:rsid w:val="00F847EE"/>
    <w:rsid w:val="00F84B04"/>
    <w:rsid w:val="00F84BA7"/>
    <w:rsid w:val="00F84D1A"/>
    <w:rsid w:val="00F84FA4"/>
    <w:rsid w:val="00F852C6"/>
    <w:rsid w:val="00F854EB"/>
    <w:rsid w:val="00F854EE"/>
    <w:rsid w:val="00F857AC"/>
    <w:rsid w:val="00F8612F"/>
    <w:rsid w:val="00F86195"/>
    <w:rsid w:val="00F865B2"/>
    <w:rsid w:val="00F866AA"/>
    <w:rsid w:val="00F866AE"/>
    <w:rsid w:val="00F86E18"/>
    <w:rsid w:val="00F86E43"/>
    <w:rsid w:val="00F872E2"/>
    <w:rsid w:val="00F87A01"/>
    <w:rsid w:val="00F90F35"/>
    <w:rsid w:val="00F91269"/>
    <w:rsid w:val="00F91353"/>
    <w:rsid w:val="00F91E46"/>
    <w:rsid w:val="00F9258E"/>
    <w:rsid w:val="00F925D7"/>
    <w:rsid w:val="00F92AA4"/>
    <w:rsid w:val="00F92CEA"/>
    <w:rsid w:val="00F92ECD"/>
    <w:rsid w:val="00F92EF6"/>
    <w:rsid w:val="00F930F2"/>
    <w:rsid w:val="00F93405"/>
    <w:rsid w:val="00F9346A"/>
    <w:rsid w:val="00F9370A"/>
    <w:rsid w:val="00F939FF"/>
    <w:rsid w:val="00F93E73"/>
    <w:rsid w:val="00F93F9C"/>
    <w:rsid w:val="00F947F0"/>
    <w:rsid w:val="00F94F46"/>
    <w:rsid w:val="00F9510B"/>
    <w:rsid w:val="00F9554A"/>
    <w:rsid w:val="00F9637E"/>
    <w:rsid w:val="00F9684A"/>
    <w:rsid w:val="00F97206"/>
    <w:rsid w:val="00F9722A"/>
    <w:rsid w:val="00F97FF1"/>
    <w:rsid w:val="00FA00D5"/>
    <w:rsid w:val="00FA0628"/>
    <w:rsid w:val="00FA06C7"/>
    <w:rsid w:val="00FA07DE"/>
    <w:rsid w:val="00FA0825"/>
    <w:rsid w:val="00FA08AD"/>
    <w:rsid w:val="00FA0B70"/>
    <w:rsid w:val="00FA0E9D"/>
    <w:rsid w:val="00FA0EA8"/>
    <w:rsid w:val="00FA17E7"/>
    <w:rsid w:val="00FA19CA"/>
    <w:rsid w:val="00FA1E69"/>
    <w:rsid w:val="00FA1F5C"/>
    <w:rsid w:val="00FA2605"/>
    <w:rsid w:val="00FA2C6C"/>
    <w:rsid w:val="00FA2F27"/>
    <w:rsid w:val="00FA31D0"/>
    <w:rsid w:val="00FA334E"/>
    <w:rsid w:val="00FA3978"/>
    <w:rsid w:val="00FA3BF6"/>
    <w:rsid w:val="00FA3CE2"/>
    <w:rsid w:val="00FA3DC3"/>
    <w:rsid w:val="00FA4150"/>
    <w:rsid w:val="00FA448B"/>
    <w:rsid w:val="00FA4902"/>
    <w:rsid w:val="00FA5151"/>
    <w:rsid w:val="00FA525C"/>
    <w:rsid w:val="00FA54E7"/>
    <w:rsid w:val="00FA5766"/>
    <w:rsid w:val="00FA5847"/>
    <w:rsid w:val="00FA5A79"/>
    <w:rsid w:val="00FA5E1B"/>
    <w:rsid w:val="00FA5E7A"/>
    <w:rsid w:val="00FA5FC4"/>
    <w:rsid w:val="00FA623D"/>
    <w:rsid w:val="00FA66B8"/>
    <w:rsid w:val="00FA66D0"/>
    <w:rsid w:val="00FA69FA"/>
    <w:rsid w:val="00FA6EC1"/>
    <w:rsid w:val="00FA6EE0"/>
    <w:rsid w:val="00FA7D7D"/>
    <w:rsid w:val="00FB0557"/>
    <w:rsid w:val="00FB07AA"/>
    <w:rsid w:val="00FB155C"/>
    <w:rsid w:val="00FB158B"/>
    <w:rsid w:val="00FB1627"/>
    <w:rsid w:val="00FB17B0"/>
    <w:rsid w:val="00FB1B5D"/>
    <w:rsid w:val="00FB1CF0"/>
    <w:rsid w:val="00FB1D79"/>
    <w:rsid w:val="00FB2100"/>
    <w:rsid w:val="00FB2249"/>
    <w:rsid w:val="00FB2D64"/>
    <w:rsid w:val="00FB31B1"/>
    <w:rsid w:val="00FB3332"/>
    <w:rsid w:val="00FB3A1A"/>
    <w:rsid w:val="00FB3A41"/>
    <w:rsid w:val="00FB3F21"/>
    <w:rsid w:val="00FB3F65"/>
    <w:rsid w:val="00FB3FB1"/>
    <w:rsid w:val="00FB4045"/>
    <w:rsid w:val="00FB46C4"/>
    <w:rsid w:val="00FB4A53"/>
    <w:rsid w:val="00FB52FF"/>
    <w:rsid w:val="00FB537B"/>
    <w:rsid w:val="00FB54D8"/>
    <w:rsid w:val="00FB56D2"/>
    <w:rsid w:val="00FB620D"/>
    <w:rsid w:val="00FB64A5"/>
    <w:rsid w:val="00FB6DD4"/>
    <w:rsid w:val="00FB6F25"/>
    <w:rsid w:val="00FB6F67"/>
    <w:rsid w:val="00FB7557"/>
    <w:rsid w:val="00FB7725"/>
    <w:rsid w:val="00FB78D3"/>
    <w:rsid w:val="00FC035E"/>
    <w:rsid w:val="00FC0389"/>
    <w:rsid w:val="00FC067C"/>
    <w:rsid w:val="00FC0851"/>
    <w:rsid w:val="00FC09E9"/>
    <w:rsid w:val="00FC0AD7"/>
    <w:rsid w:val="00FC0E23"/>
    <w:rsid w:val="00FC0F12"/>
    <w:rsid w:val="00FC10D3"/>
    <w:rsid w:val="00FC10DE"/>
    <w:rsid w:val="00FC151B"/>
    <w:rsid w:val="00FC1A9F"/>
    <w:rsid w:val="00FC1CCF"/>
    <w:rsid w:val="00FC27F4"/>
    <w:rsid w:val="00FC2A0C"/>
    <w:rsid w:val="00FC2D5F"/>
    <w:rsid w:val="00FC3476"/>
    <w:rsid w:val="00FC38A5"/>
    <w:rsid w:val="00FC38D6"/>
    <w:rsid w:val="00FC394E"/>
    <w:rsid w:val="00FC3C29"/>
    <w:rsid w:val="00FC3C40"/>
    <w:rsid w:val="00FC415A"/>
    <w:rsid w:val="00FC440A"/>
    <w:rsid w:val="00FC4EA5"/>
    <w:rsid w:val="00FC4F21"/>
    <w:rsid w:val="00FC5603"/>
    <w:rsid w:val="00FC5612"/>
    <w:rsid w:val="00FC56D8"/>
    <w:rsid w:val="00FC595C"/>
    <w:rsid w:val="00FC5B00"/>
    <w:rsid w:val="00FC5D6D"/>
    <w:rsid w:val="00FC5DAD"/>
    <w:rsid w:val="00FC6828"/>
    <w:rsid w:val="00FC6AD7"/>
    <w:rsid w:val="00FC6D01"/>
    <w:rsid w:val="00FC6D7A"/>
    <w:rsid w:val="00FC7030"/>
    <w:rsid w:val="00FC7113"/>
    <w:rsid w:val="00FC719A"/>
    <w:rsid w:val="00FC73B4"/>
    <w:rsid w:val="00FC7645"/>
    <w:rsid w:val="00FC7C90"/>
    <w:rsid w:val="00FD0182"/>
    <w:rsid w:val="00FD04A7"/>
    <w:rsid w:val="00FD0B28"/>
    <w:rsid w:val="00FD0CAE"/>
    <w:rsid w:val="00FD0EBA"/>
    <w:rsid w:val="00FD0F68"/>
    <w:rsid w:val="00FD1480"/>
    <w:rsid w:val="00FD17BA"/>
    <w:rsid w:val="00FD242D"/>
    <w:rsid w:val="00FD25D7"/>
    <w:rsid w:val="00FD2C9D"/>
    <w:rsid w:val="00FD2F74"/>
    <w:rsid w:val="00FD349E"/>
    <w:rsid w:val="00FD36D8"/>
    <w:rsid w:val="00FD37C7"/>
    <w:rsid w:val="00FD3904"/>
    <w:rsid w:val="00FD3B22"/>
    <w:rsid w:val="00FD3B94"/>
    <w:rsid w:val="00FD3D3A"/>
    <w:rsid w:val="00FD40DD"/>
    <w:rsid w:val="00FD43B3"/>
    <w:rsid w:val="00FD477C"/>
    <w:rsid w:val="00FD4876"/>
    <w:rsid w:val="00FD4983"/>
    <w:rsid w:val="00FD4D54"/>
    <w:rsid w:val="00FD4EB5"/>
    <w:rsid w:val="00FD52E4"/>
    <w:rsid w:val="00FD5B1C"/>
    <w:rsid w:val="00FD5E91"/>
    <w:rsid w:val="00FD6107"/>
    <w:rsid w:val="00FD6295"/>
    <w:rsid w:val="00FD6902"/>
    <w:rsid w:val="00FD7590"/>
    <w:rsid w:val="00FD7844"/>
    <w:rsid w:val="00FD7874"/>
    <w:rsid w:val="00FD7ACD"/>
    <w:rsid w:val="00FD7F4F"/>
    <w:rsid w:val="00FE0338"/>
    <w:rsid w:val="00FE1118"/>
    <w:rsid w:val="00FE1547"/>
    <w:rsid w:val="00FE1BBA"/>
    <w:rsid w:val="00FE1BCF"/>
    <w:rsid w:val="00FE1BE2"/>
    <w:rsid w:val="00FE1C5A"/>
    <w:rsid w:val="00FE1ED4"/>
    <w:rsid w:val="00FE1F53"/>
    <w:rsid w:val="00FE2D27"/>
    <w:rsid w:val="00FE319D"/>
    <w:rsid w:val="00FE3604"/>
    <w:rsid w:val="00FE40E5"/>
    <w:rsid w:val="00FE429D"/>
    <w:rsid w:val="00FE433A"/>
    <w:rsid w:val="00FE43ED"/>
    <w:rsid w:val="00FE44AE"/>
    <w:rsid w:val="00FE46A2"/>
    <w:rsid w:val="00FE4739"/>
    <w:rsid w:val="00FE4DB2"/>
    <w:rsid w:val="00FE4FA0"/>
    <w:rsid w:val="00FE50E3"/>
    <w:rsid w:val="00FE5164"/>
    <w:rsid w:val="00FE5525"/>
    <w:rsid w:val="00FE56A7"/>
    <w:rsid w:val="00FE594D"/>
    <w:rsid w:val="00FE5F4D"/>
    <w:rsid w:val="00FE5F6B"/>
    <w:rsid w:val="00FE600E"/>
    <w:rsid w:val="00FE60A2"/>
    <w:rsid w:val="00FE62F3"/>
    <w:rsid w:val="00FE6527"/>
    <w:rsid w:val="00FE681D"/>
    <w:rsid w:val="00FE6D0D"/>
    <w:rsid w:val="00FE706A"/>
    <w:rsid w:val="00FE71F9"/>
    <w:rsid w:val="00FE74DF"/>
    <w:rsid w:val="00FE7519"/>
    <w:rsid w:val="00FF045B"/>
    <w:rsid w:val="00FF071F"/>
    <w:rsid w:val="00FF0DBD"/>
    <w:rsid w:val="00FF2100"/>
    <w:rsid w:val="00FF2355"/>
    <w:rsid w:val="00FF237F"/>
    <w:rsid w:val="00FF2503"/>
    <w:rsid w:val="00FF2565"/>
    <w:rsid w:val="00FF2580"/>
    <w:rsid w:val="00FF3172"/>
    <w:rsid w:val="00FF3475"/>
    <w:rsid w:val="00FF34ED"/>
    <w:rsid w:val="00FF362D"/>
    <w:rsid w:val="00FF381C"/>
    <w:rsid w:val="00FF3A07"/>
    <w:rsid w:val="00FF3A09"/>
    <w:rsid w:val="00FF3A51"/>
    <w:rsid w:val="00FF3E52"/>
    <w:rsid w:val="00FF3FEA"/>
    <w:rsid w:val="00FF425A"/>
    <w:rsid w:val="00FF46E9"/>
    <w:rsid w:val="00FF4C68"/>
    <w:rsid w:val="00FF509A"/>
    <w:rsid w:val="00FF50A5"/>
    <w:rsid w:val="00FF5465"/>
    <w:rsid w:val="00FF56EC"/>
    <w:rsid w:val="00FF604C"/>
    <w:rsid w:val="00FF60DC"/>
    <w:rsid w:val="00FF64E7"/>
    <w:rsid w:val="00FF69D5"/>
    <w:rsid w:val="00FF6B70"/>
    <w:rsid w:val="00FF6D0E"/>
    <w:rsid w:val="00FF6FF0"/>
    <w:rsid w:val="00FF70CC"/>
    <w:rsid w:val="00FF73EB"/>
    <w:rsid w:val="00FF75C6"/>
    <w:rsid w:val="00FF783F"/>
    <w:rsid w:val="00FF786C"/>
    <w:rsid w:val="00FF7C90"/>
    <w:rsid w:val="01BE9B83"/>
    <w:rsid w:val="01C103BB"/>
    <w:rsid w:val="045A7D0C"/>
    <w:rsid w:val="049A1893"/>
    <w:rsid w:val="05E7FBDA"/>
    <w:rsid w:val="06877D0B"/>
    <w:rsid w:val="07259907"/>
    <w:rsid w:val="072BC821"/>
    <w:rsid w:val="07FCACA8"/>
    <w:rsid w:val="09F2E19F"/>
    <w:rsid w:val="0A40D11A"/>
    <w:rsid w:val="0C39BA51"/>
    <w:rsid w:val="0C5D24C9"/>
    <w:rsid w:val="0D5DD4E7"/>
    <w:rsid w:val="0EEFC82A"/>
    <w:rsid w:val="0EF57439"/>
    <w:rsid w:val="0F1D0999"/>
    <w:rsid w:val="0F4FA1BC"/>
    <w:rsid w:val="0F584B21"/>
    <w:rsid w:val="0F5D0F3C"/>
    <w:rsid w:val="0F89DFD1"/>
    <w:rsid w:val="0FD0CF2A"/>
    <w:rsid w:val="0FDE5FE6"/>
    <w:rsid w:val="10EBE212"/>
    <w:rsid w:val="115BCCB7"/>
    <w:rsid w:val="116A7265"/>
    <w:rsid w:val="11785F24"/>
    <w:rsid w:val="11D7C94C"/>
    <w:rsid w:val="1232CCD5"/>
    <w:rsid w:val="1259F6D9"/>
    <w:rsid w:val="125A7A7F"/>
    <w:rsid w:val="12821CF7"/>
    <w:rsid w:val="1283DFD0"/>
    <w:rsid w:val="1306337A"/>
    <w:rsid w:val="1361A2FF"/>
    <w:rsid w:val="1468C460"/>
    <w:rsid w:val="155D615D"/>
    <w:rsid w:val="15894AEA"/>
    <w:rsid w:val="15E512C6"/>
    <w:rsid w:val="1709CA22"/>
    <w:rsid w:val="1783294B"/>
    <w:rsid w:val="1812EC5A"/>
    <w:rsid w:val="182B1DC7"/>
    <w:rsid w:val="18517919"/>
    <w:rsid w:val="1A6D37E3"/>
    <w:rsid w:val="1B533BA8"/>
    <w:rsid w:val="1B61B9C6"/>
    <w:rsid w:val="1BA55F49"/>
    <w:rsid w:val="1BDBB82A"/>
    <w:rsid w:val="1BF0E116"/>
    <w:rsid w:val="1C25CE42"/>
    <w:rsid w:val="1C7FF5FE"/>
    <w:rsid w:val="1CE39BC2"/>
    <w:rsid w:val="1D30B43C"/>
    <w:rsid w:val="1D87AE96"/>
    <w:rsid w:val="20311CAE"/>
    <w:rsid w:val="2054A74A"/>
    <w:rsid w:val="207A441E"/>
    <w:rsid w:val="20B2B218"/>
    <w:rsid w:val="20CB9E68"/>
    <w:rsid w:val="20EC78CB"/>
    <w:rsid w:val="2269B083"/>
    <w:rsid w:val="22AF2793"/>
    <w:rsid w:val="2355E20F"/>
    <w:rsid w:val="236B029D"/>
    <w:rsid w:val="23B2DD2D"/>
    <w:rsid w:val="23FC4350"/>
    <w:rsid w:val="2431474C"/>
    <w:rsid w:val="2450E591"/>
    <w:rsid w:val="24F23DE2"/>
    <w:rsid w:val="252127D4"/>
    <w:rsid w:val="25F220EA"/>
    <w:rsid w:val="2691A3F4"/>
    <w:rsid w:val="26E19B7C"/>
    <w:rsid w:val="27A6ADB5"/>
    <w:rsid w:val="27D0803B"/>
    <w:rsid w:val="281AD9E7"/>
    <w:rsid w:val="283BE06C"/>
    <w:rsid w:val="28941937"/>
    <w:rsid w:val="28F6647A"/>
    <w:rsid w:val="290BBB42"/>
    <w:rsid w:val="2A167C17"/>
    <w:rsid w:val="2AD22D78"/>
    <w:rsid w:val="2B73E6F8"/>
    <w:rsid w:val="2BD5B969"/>
    <w:rsid w:val="2C0FAFF1"/>
    <w:rsid w:val="2C34D49F"/>
    <w:rsid w:val="2C398CF2"/>
    <w:rsid w:val="2C929CB7"/>
    <w:rsid w:val="2D9EF153"/>
    <w:rsid w:val="2DD7F9E5"/>
    <w:rsid w:val="2E02DD6D"/>
    <w:rsid w:val="2E55295F"/>
    <w:rsid w:val="2E638BA3"/>
    <w:rsid w:val="2F152AC1"/>
    <w:rsid w:val="2FCC3C25"/>
    <w:rsid w:val="3183170C"/>
    <w:rsid w:val="32C35E1F"/>
    <w:rsid w:val="33964A5F"/>
    <w:rsid w:val="34259BD7"/>
    <w:rsid w:val="345D33F8"/>
    <w:rsid w:val="35525D7F"/>
    <w:rsid w:val="3597FCDA"/>
    <w:rsid w:val="35E9A725"/>
    <w:rsid w:val="361653CA"/>
    <w:rsid w:val="373B97BE"/>
    <w:rsid w:val="399AF3C9"/>
    <w:rsid w:val="39B99E7F"/>
    <w:rsid w:val="39D408EB"/>
    <w:rsid w:val="3A1E872A"/>
    <w:rsid w:val="3A44231D"/>
    <w:rsid w:val="3AA94054"/>
    <w:rsid w:val="3B7B93EE"/>
    <w:rsid w:val="3B88BDB2"/>
    <w:rsid w:val="3BE9956C"/>
    <w:rsid w:val="3BEBC033"/>
    <w:rsid w:val="3CD450B9"/>
    <w:rsid w:val="3FDFE0B2"/>
    <w:rsid w:val="40331AD2"/>
    <w:rsid w:val="4084E71E"/>
    <w:rsid w:val="40942317"/>
    <w:rsid w:val="40B53B5B"/>
    <w:rsid w:val="4216DFE8"/>
    <w:rsid w:val="432874C0"/>
    <w:rsid w:val="434D3B8A"/>
    <w:rsid w:val="4355F266"/>
    <w:rsid w:val="443D8325"/>
    <w:rsid w:val="44692DD6"/>
    <w:rsid w:val="44848FEC"/>
    <w:rsid w:val="452314B6"/>
    <w:rsid w:val="4567B7E4"/>
    <w:rsid w:val="474EF7C9"/>
    <w:rsid w:val="47B7C16C"/>
    <w:rsid w:val="47F7C6E2"/>
    <w:rsid w:val="49342470"/>
    <w:rsid w:val="4A5A9E21"/>
    <w:rsid w:val="4A7BBB5B"/>
    <w:rsid w:val="4C7212C1"/>
    <w:rsid w:val="4C811256"/>
    <w:rsid w:val="4CA1BF43"/>
    <w:rsid w:val="4CE56B2A"/>
    <w:rsid w:val="4D89DB8D"/>
    <w:rsid w:val="4EC15955"/>
    <w:rsid w:val="4FD7CC77"/>
    <w:rsid w:val="507BBE7B"/>
    <w:rsid w:val="51D302A4"/>
    <w:rsid w:val="525E4E48"/>
    <w:rsid w:val="55AE3136"/>
    <w:rsid w:val="56094289"/>
    <w:rsid w:val="578907A9"/>
    <w:rsid w:val="589EF8FD"/>
    <w:rsid w:val="59173BE2"/>
    <w:rsid w:val="5A5D1D29"/>
    <w:rsid w:val="5AC5E5B0"/>
    <w:rsid w:val="5AD75C04"/>
    <w:rsid w:val="5B1D8EBC"/>
    <w:rsid w:val="5BA54617"/>
    <w:rsid w:val="5C10A7CE"/>
    <w:rsid w:val="5C81C437"/>
    <w:rsid w:val="5CBD97B6"/>
    <w:rsid w:val="5D17BEDC"/>
    <w:rsid w:val="5D3F724F"/>
    <w:rsid w:val="5D42A1DF"/>
    <w:rsid w:val="5D9A7086"/>
    <w:rsid w:val="5F755BF5"/>
    <w:rsid w:val="5FA8F710"/>
    <w:rsid w:val="60EB2593"/>
    <w:rsid w:val="612D67EF"/>
    <w:rsid w:val="612F9645"/>
    <w:rsid w:val="613DE8CB"/>
    <w:rsid w:val="62309B32"/>
    <w:rsid w:val="62C63006"/>
    <w:rsid w:val="62C8592E"/>
    <w:rsid w:val="64013C6D"/>
    <w:rsid w:val="642511BB"/>
    <w:rsid w:val="64B43759"/>
    <w:rsid w:val="64F9E3C0"/>
    <w:rsid w:val="659CB946"/>
    <w:rsid w:val="664B988A"/>
    <w:rsid w:val="66C42178"/>
    <w:rsid w:val="678A9C79"/>
    <w:rsid w:val="67A1D199"/>
    <w:rsid w:val="682C5FFA"/>
    <w:rsid w:val="6921E714"/>
    <w:rsid w:val="6A67C5C0"/>
    <w:rsid w:val="6B099D5F"/>
    <w:rsid w:val="6B393F3C"/>
    <w:rsid w:val="6B48211E"/>
    <w:rsid w:val="6B52C7AD"/>
    <w:rsid w:val="6C0AEB2C"/>
    <w:rsid w:val="6C25423C"/>
    <w:rsid w:val="6C317D1E"/>
    <w:rsid w:val="6C488D05"/>
    <w:rsid w:val="6C59B8FB"/>
    <w:rsid w:val="6C80BE78"/>
    <w:rsid w:val="6D399359"/>
    <w:rsid w:val="6D5BA36A"/>
    <w:rsid w:val="6E8C6BA5"/>
    <w:rsid w:val="6EDA836B"/>
    <w:rsid w:val="6F445A10"/>
    <w:rsid w:val="700CB320"/>
    <w:rsid w:val="70201E85"/>
    <w:rsid w:val="71D3271F"/>
    <w:rsid w:val="7303505D"/>
    <w:rsid w:val="7379D6B7"/>
    <w:rsid w:val="73883AD9"/>
    <w:rsid w:val="7439FC1D"/>
    <w:rsid w:val="74CDFA0F"/>
    <w:rsid w:val="7676BF56"/>
    <w:rsid w:val="774BC5DD"/>
    <w:rsid w:val="77C82180"/>
    <w:rsid w:val="787FFAAB"/>
    <w:rsid w:val="7923438D"/>
    <w:rsid w:val="79A67EB6"/>
    <w:rsid w:val="7A09A2B8"/>
    <w:rsid w:val="7A9A68F4"/>
    <w:rsid w:val="7AA10A67"/>
    <w:rsid w:val="7C13698A"/>
    <w:rsid w:val="7C62F921"/>
    <w:rsid w:val="7C8C97F8"/>
    <w:rsid w:val="7F56A199"/>
    <w:rsid w:val="7F6A203B"/>
    <w:rsid w:val="7FAF0CFC"/>
    <w:rsid w:val="7FDA88F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FC06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aliases w:val="Comment Text Char Char,Comment Text Char Char Char Char,Comment Text Char Char1,Comment Text Char1 Char Char"/>
    <w:basedOn w:val="Normal"/>
    <w:link w:val="CommentTextChar"/>
    <w:uiPriority w:val="99"/>
    <w:unhideWhenUsed/>
    <w:qFormat/>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aliases w:val="Comment Text Char Char Char,Comment Text Char Char Char Char Char,Comment Text Char Char1 Char,Comment Text Char1 Char Char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 Antiqua" w:hAnsi="Book Antiqua"/>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CMA Table Template,Conclusion box,Table Grid nm,PBAC table,HTAtableplain,MSD Table Grid,Dossier table,Summary Table,PHE Table Grid,Lash Style Table,Section 3- footnot"/>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Questions,List Paragraph1,Heading K,Figure_name,Numbered Indented Text,Bullet- First level,List NUmber,Listenabsatz1,lp1,List Paragraph11,Style 2,TOC style,List Paragraph2,List Paragraph Char Char,Number_1,SGLText List Paragraph,new"/>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link w:val="TableHeadingChar0"/>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Questions Char,List Paragraph1 Char,Heading K Char,Figure_name Char,Numbered Indented Text Char,Bullet- First level Char,List NUmber Char,Listenabsatz1 Char,lp1 Char,List Paragraph11 Char,Style 2 Char,TOC style Char,Number_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odoni MT Poster Compressed" w:hAnsi="Bodoni MT Poster Compressed"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odoni MT Poster Compressed" w:hAnsi="Bodoni MT Poster Compressed"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odoni MT Poster Compressed" w:hAnsi="Bodoni MT Poster Compressed"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Default">
    <w:name w:val="Default"/>
    <w:rsid w:val="00AE0301"/>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ormaltextrun">
    <w:name w:val="normaltextrun"/>
    <w:basedOn w:val="DefaultParagraphFont"/>
    <w:rsid w:val="00EA50B7"/>
  </w:style>
  <w:style w:type="character" w:styleId="UnresolvedMention">
    <w:name w:val="Unresolved Mention"/>
    <w:basedOn w:val="DefaultParagraphFont"/>
    <w:uiPriority w:val="99"/>
    <w:semiHidden/>
    <w:unhideWhenUsed/>
    <w:rsid w:val="00EA4448"/>
    <w:rPr>
      <w:color w:val="605E5C"/>
      <w:shd w:val="clear" w:color="auto" w:fill="E1DFDD"/>
    </w:rPr>
  </w:style>
  <w:style w:type="paragraph" w:customStyle="1" w:styleId="Notes-TableFigure">
    <w:name w:val="Notes - Table/Figure"/>
    <w:basedOn w:val="Normal"/>
    <w:link w:val="Notes-TableFigureChar"/>
    <w:qFormat/>
    <w:rsid w:val="003D36EE"/>
    <w:pPr>
      <w:spacing w:after="360" w:line="240" w:lineRule="auto"/>
      <w:contextualSpacing/>
    </w:pPr>
    <w:rPr>
      <w:rFonts w:ascii="Arial Narrow" w:hAnsi="Arial Narrow"/>
      <w:sz w:val="18"/>
      <w:lang w:val="en-US"/>
    </w:rPr>
  </w:style>
  <w:style w:type="character" w:customStyle="1" w:styleId="Notes-TableFigureChar">
    <w:name w:val="Notes - Table/Figure Char"/>
    <w:basedOn w:val="DefaultParagraphFont"/>
    <w:link w:val="Notes-TableFigure"/>
    <w:rsid w:val="003D36EE"/>
    <w:rPr>
      <w:rFonts w:ascii="Arial Narrow" w:hAnsi="Arial Narrow"/>
      <w:sz w:val="18"/>
      <w:lang w:val="en-US"/>
    </w:rPr>
  </w:style>
  <w:style w:type="character" w:customStyle="1" w:styleId="TableHeadingChar0">
    <w:name w:val="Table Heading Char"/>
    <w:basedOn w:val="DefaultParagraphFont"/>
    <w:link w:val="TableHeading0"/>
    <w:rsid w:val="003D36EE"/>
    <w:rPr>
      <w:rFonts w:ascii="Arial Narrow" w:hAnsi="Arial Narrow"/>
      <w:b/>
      <w:sz w:val="20"/>
    </w:rPr>
  </w:style>
  <w:style w:type="table" w:styleId="TableGridLight">
    <w:name w:val="Grid Table Light"/>
    <w:basedOn w:val="TableNormal"/>
    <w:uiPriority w:val="40"/>
    <w:rsid w:val="003D36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3nonumbers">
    <w:name w:val="Heading 3 no numbers"/>
    <w:basedOn w:val="Heading3"/>
    <w:next w:val="Normal"/>
    <w:link w:val="Heading3nonumbersChar"/>
    <w:qFormat/>
    <w:rsid w:val="00761636"/>
    <w:pPr>
      <w:tabs>
        <w:tab w:val="clear" w:pos="851"/>
      </w:tabs>
    </w:pPr>
    <w:rPr>
      <w:color w:val="000000" w:themeColor="text1"/>
      <w:lang w:val="en-US"/>
    </w:rPr>
  </w:style>
  <w:style w:type="character" w:customStyle="1" w:styleId="Heading3nonumbersChar">
    <w:name w:val="Heading 3 no numbers Char"/>
    <w:basedOn w:val="Heading3Char"/>
    <w:link w:val="Heading3nonumbers"/>
    <w:rsid w:val="00761636"/>
    <w:rPr>
      <w:rFonts w:ascii="Franklin Gothic Medium" w:eastAsiaTheme="majorEastAsia" w:hAnsi="Franklin Gothic Medium" w:cstheme="majorBidi"/>
      <w:color w:val="000000" w:themeColor="text1"/>
      <w:sz w:val="24"/>
      <w:szCs w:val="24"/>
      <w:lang w:val="en-US"/>
    </w:rPr>
  </w:style>
  <w:style w:type="character" w:styleId="Mention">
    <w:name w:val="Mention"/>
    <w:basedOn w:val="DefaultParagraphFont"/>
    <w:uiPriority w:val="99"/>
    <w:unhideWhenUsed/>
    <w:rsid w:val="00853F36"/>
    <w:rPr>
      <w:color w:val="2B579A"/>
      <w:shd w:val="clear" w:color="auto" w:fill="E1DFDD"/>
    </w:rPr>
  </w:style>
  <w:style w:type="character" w:customStyle="1" w:styleId="cf01">
    <w:name w:val="cf01"/>
    <w:basedOn w:val="DefaultParagraphFont"/>
    <w:rsid w:val="002E40AF"/>
    <w:rPr>
      <w:rFonts w:ascii="Segoe UI" w:hAnsi="Segoe UI" w:cs="Segoe UI" w:hint="default"/>
      <w:sz w:val="18"/>
      <w:szCs w:val="18"/>
    </w:rPr>
  </w:style>
  <w:style w:type="character" w:customStyle="1" w:styleId="Heading5Char">
    <w:name w:val="Heading 5 Char"/>
    <w:basedOn w:val="DefaultParagraphFont"/>
    <w:link w:val="Heading5"/>
    <w:uiPriority w:val="9"/>
    <w:rsid w:val="00FC067C"/>
    <w:rPr>
      <w:rFonts w:asciiTheme="majorHAnsi" w:eastAsiaTheme="majorEastAsia" w:hAnsiTheme="majorHAnsi" w:cstheme="majorBidi"/>
      <w:color w:val="2E74B5" w:themeColor="accent1" w:themeShade="BF"/>
    </w:rPr>
  </w:style>
  <w:style w:type="character" w:customStyle="1" w:styleId="comments">
    <w:name w:val="* comments"/>
    <w:uiPriority w:val="1"/>
    <w:qFormat/>
    <w:rsid w:val="00FC067C"/>
    <w:rPr>
      <w:rFonts w:ascii="Helvetica" w:hAnsi="Helvetica"/>
      <w:i/>
      <w:iCs/>
      <w:color w:val="00B050"/>
      <w:sz w:val="22"/>
    </w:rPr>
  </w:style>
  <w:style w:type="paragraph" w:customStyle="1" w:styleId="TableDash">
    <w:name w:val="TableDash"/>
    <w:basedOn w:val="TableText1"/>
    <w:rsid w:val="00BD2DFE"/>
    <w:pPr>
      <w:numPr>
        <w:numId w:val="28"/>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oxName0">
    <w:name w:val="BoxName"/>
    <w:basedOn w:val="Normal"/>
    <w:rsid w:val="00BD2DFE"/>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BD2DFE"/>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BD2DFE"/>
    <w:pPr>
      <w:numPr>
        <w:numId w:val="29"/>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styleId="BodyText">
    <w:name w:val="Body Text"/>
    <w:basedOn w:val="Normal"/>
    <w:link w:val="BodyTextChar"/>
    <w:rsid w:val="00CF7A55"/>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CF7A55"/>
    <w:rPr>
      <w:rFonts w:ascii="Book Antiqua" w:eastAsia="Times New Roman" w:hAnsi="Book Antiqua" w:cs="Times New Roman"/>
      <w:sz w:val="24"/>
      <w:szCs w:val="20"/>
    </w:rPr>
  </w:style>
  <w:style w:type="paragraph" w:customStyle="1" w:styleId="paragraph">
    <w:name w:val="paragraph"/>
    <w:basedOn w:val="Normal"/>
    <w:rsid w:val="00AE5D1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E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98109621">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31083056">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49280581">
      <w:bodyDiv w:val="1"/>
      <w:marLeft w:val="0"/>
      <w:marRight w:val="0"/>
      <w:marTop w:val="0"/>
      <w:marBottom w:val="0"/>
      <w:divBdr>
        <w:top w:val="none" w:sz="0" w:space="0" w:color="auto"/>
        <w:left w:val="none" w:sz="0" w:space="0" w:color="auto"/>
        <w:bottom w:val="none" w:sz="0" w:space="0" w:color="auto"/>
        <w:right w:val="none" w:sz="0" w:space="0" w:color="auto"/>
      </w:divBdr>
      <w:divsChild>
        <w:div w:id="489753127">
          <w:marLeft w:val="0"/>
          <w:marRight w:val="0"/>
          <w:marTop w:val="0"/>
          <w:marBottom w:val="0"/>
          <w:divBdr>
            <w:top w:val="none" w:sz="0" w:space="0" w:color="auto"/>
            <w:left w:val="none" w:sz="0" w:space="0" w:color="auto"/>
            <w:bottom w:val="none" w:sz="0" w:space="0" w:color="auto"/>
            <w:right w:val="none" w:sz="0" w:space="0" w:color="auto"/>
          </w:divBdr>
        </w:div>
        <w:div w:id="873812304">
          <w:marLeft w:val="0"/>
          <w:marRight w:val="0"/>
          <w:marTop w:val="0"/>
          <w:marBottom w:val="0"/>
          <w:divBdr>
            <w:top w:val="none" w:sz="0" w:space="0" w:color="auto"/>
            <w:left w:val="none" w:sz="0" w:space="0" w:color="auto"/>
            <w:bottom w:val="none" w:sz="0" w:space="0" w:color="auto"/>
            <w:right w:val="none" w:sz="0" w:space="0" w:color="auto"/>
          </w:divBdr>
        </w:div>
        <w:div w:id="887685569">
          <w:marLeft w:val="0"/>
          <w:marRight w:val="0"/>
          <w:marTop w:val="0"/>
          <w:marBottom w:val="0"/>
          <w:divBdr>
            <w:top w:val="none" w:sz="0" w:space="0" w:color="auto"/>
            <w:left w:val="none" w:sz="0" w:space="0" w:color="auto"/>
            <w:bottom w:val="none" w:sz="0" w:space="0" w:color="auto"/>
            <w:right w:val="none" w:sz="0" w:space="0" w:color="auto"/>
          </w:divBdr>
        </w:div>
        <w:div w:id="1059134167">
          <w:marLeft w:val="0"/>
          <w:marRight w:val="0"/>
          <w:marTop w:val="0"/>
          <w:marBottom w:val="0"/>
          <w:divBdr>
            <w:top w:val="none" w:sz="0" w:space="0" w:color="auto"/>
            <w:left w:val="none" w:sz="0" w:space="0" w:color="auto"/>
            <w:bottom w:val="none" w:sz="0" w:space="0" w:color="auto"/>
            <w:right w:val="none" w:sz="0" w:space="0" w:color="auto"/>
          </w:divBdr>
        </w:div>
        <w:div w:id="1412895753">
          <w:marLeft w:val="0"/>
          <w:marRight w:val="0"/>
          <w:marTop w:val="0"/>
          <w:marBottom w:val="0"/>
          <w:divBdr>
            <w:top w:val="none" w:sz="0" w:space="0" w:color="auto"/>
            <w:left w:val="none" w:sz="0" w:space="0" w:color="auto"/>
            <w:bottom w:val="none" w:sz="0" w:space="0" w:color="auto"/>
            <w:right w:val="none" w:sz="0" w:space="0" w:color="auto"/>
          </w:divBdr>
        </w:div>
        <w:div w:id="1834447568">
          <w:marLeft w:val="0"/>
          <w:marRight w:val="0"/>
          <w:marTop w:val="0"/>
          <w:marBottom w:val="0"/>
          <w:divBdr>
            <w:top w:val="none" w:sz="0" w:space="0" w:color="auto"/>
            <w:left w:val="none" w:sz="0" w:space="0" w:color="auto"/>
            <w:bottom w:val="none" w:sz="0" w:space="0" w:color="auto"/>
            <w:right w:val="none" w:sz="0" w:space="0" w:color="auto"/>
          </w:divBdr>
        </w:div>
        <w:div w:id="2094930419">
          <w:marLeft w:val="0"/>
          <w:marRight w:val="0"/>
          <w:marTop w:val="0"/>
          <w:marBottom w:val="0"/>
          <w:divBdr>
            <w:top w:val="none" w:sz="0" w:space="0" w:color="auto"/>
            <w:left w:val="none" w:sz="0" w:space="0" w:color="auto"/>
            <w:bottom w:val="none" w:sz="0" w:space="0" w:color="auto"/>
            <w:right w:val="none" w:sz="0" w:space="0" w:color="auto"/>
          </w:divBdr>
        </w:div>
      </w:divsChild>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92987390">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625211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0478390">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69539996">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43269750">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01127910">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189923">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5994325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33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image" Target="media/image1.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sac.gov.au/internet/msac/publishing.nsf/Content/Home-1" TargetMode="External"/><Relationship Id="rId10" Type="http://schemas.openxmlformats.org/officeDocument/2006/relationships/hyperlink" Target="http://www.msac.gov.au/internet/msac/publishing.nsf/Content/1732-public"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msac.gov.au/internet/msac/publishing.nsf/Content/1732-public" TargetMode="External"/><Relationship Id="rId14" Type="http://schemas.openxmlformats.org/officeDocument/2006/relationships/hyperlink" Target="http://www.msac.gov.au/internet/msac/publishing.nsf/Content/1732-publi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nzdata.org.au/report/anzdata-46th-annual-report-2023-data-to-2022/" TargetMode="External"/><Relationship Id="rId2" Type="http://schemas.openxmlformats.org/officeDocument/2006/relationships/hyperlink" Target="https://www.ema.europa.eu/en/documents/product-information/idefirix-epar-product-information_en.pdf" TargetMode="External"/><Relationship Id="rId1" Type="http://schemas.openxmlformats.org/officeDocument/2006/relationships/hyperlink" Target="https://www.tga.gov.au/resources/auspmd/idefirix" TargetMode="External"/><Relationship Id="rId4" Type="http://schemas.openxmlformats.org/officeDocument/2006/relationships/hyperlink" Target="https://www.tga.gov.au/resources/artg/391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b67814db4cbf52fde07137e7d49b245e">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dea1ae2ed431f796c5177aed60a9a2d6"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customXml/itemProps2.xml><?xml version="1.0" encoding="utf-8"?>
<ds:datastoreItem xmlns:ds="http://schemas.openxmlformats.org/officeDocument/2006/customXml" ds:itemID="{7E74A433-64C4-4BA3-BB6C-E3ADF7F86E3F}"/>
</file>

<file path=customXml/itemProps3.xml><?xml version="1.0" encoding="utf-8"?>
<ds:datastoreItem xmlns:ds="http://schemas.openxmlformats.org/officeDocument/2006/customXml" ds:itemID="{C0A0C2FE-546E-4FFC-902C-C7473C7A15F7}"/>
</file>

<file path=customXml/itemProps4.xml><?xml version="1.0" encoding="utf-8"?>
<ds:datastoreItem xmlns:ds="http://schemas.openxmlformats.org/officeDocument/2006/customXml" ds:itemID="{46C8CAFE-D6B0-4118-B791-D27494401027}"/>
</file>

<file path=docProps/app.xml><?xml version="1.0" encoding="utf-8"?>
<Properties xmlns="http://schemas.openxmlformats.org/officeDocument/2006/extended-properties" xmlns:vt="http://schemas.openxmlformats.org/officeDocument/2006/docPropsVTypes">
  <Template>Normal.dotm</Template>
  <TotalTime>0</TotalTime>
  <Pages>51</Pages>
  <Words>25772</Words>
  <Characters>146907</Characters>
  <Application>Microsoft Office Word</Application>
  <DocSecurity>2</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2025-06-10T23:01:00Z</dcterms:created>
  <dcterms:modified xsi:type="dcterms:W3CDTF">2025-06-10T23:01:00Z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ies>
</file>