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26A66" w14:textId="3C773C02" w:rsidR="00904A1D" w:rsidRDefault="00A3526F" w:rsidP="00235880">
      <w:pPr>
        <w:spacing w:line="240" w:lineRule="auto"/>
        <w:jc w:val="center"/>
      </w:pPr>
      <w:r w:rsidRPr="00F268B7">
        <w:rPr>
          <w:rFonts w:ascii="Arial" w:eastAsiaTheme="majorEastAsia" w:hAnsi="Arial" w:cs="Arial"/>
          <w:b/>
          <w:bCs/>
          <w:color w:val="000080"/>
          <w:sz w:val="36"/>
          <w:szCs w:val="36"/>
        </w:rPr>
        <w:t>Medical Services Advisory Committee (MSAC)</w:t>
      </w:r>
    </w:p>
    <w:p w14:paraId="5671DAA2" w14:textId="77777777" w:rsidR="00F67AE1" w:rsidRDefault="00F67AE1" w:rsidP="00235880">
      <w:pPr>
        <w:widowControl w:val="0"/>
        <w:spacing w:line="240" w:lineRule="auto"/>
        <w:jc w:val="center"/>
        <w:rPr>
          <w:rFonts w:eastAsia="Times New Roman"/>
          <w:b/>
          <w:bCs/>
          <w:snapToGrid w:val="0"/>
          <w:sz w:val="28"/>
          <w:szCs w:val="28"/>
          <w:lang w:val="en-US"/>
        </w:rPr>
      </w:pPr>
    </w:p>
    <w:p w14:paraId="49E91011" w14:textId="13E86B87" w:rsidR="00904A1D" w:rsidRPr="0028500F" w:rsidRDefault="00904A1D" w:rsidP="00235880">
      <w:pPr>
        <w:widowControl w:val="0"/>
        <w:spacing w:line="240" w:lineRule="auto"/>
        <w:jc w:val="center"/>
        <w:rPr>
          <w:rFonts w:eastAsia="Times New Roman"/>
          <w:b/>
          <w:bCs/>
          <w:snapToGrid w:val="0"/>
          <w:sz w:val="28"/>
          <w:szCs w:val="28"/>
          <w:lang w:val="en-US"/>
        </w:rPr>
      </w:pPr>
      <w:r w:rsidRPr="0028500F">
        <w:rPr>
          <w:rFonts w:eastAsia="Times New Roman"/>
          <w:b/>
          <w:bCs/>
          <w:snapToGrid w:val="0"/>
          <w:sz w:val="28"/>
          <w:szCs w:val="28"/>
          <w:lang w:val="en-US"/>
        </w:rPr>
        <w:t xml:space="preserve">STAKEHOLDER MEETING </w:t>
      </w:r>
      <w:r w:rsidR="00F50286" w:rsidRPr="0028500F">
        <w:rPr>
          <w:rFonts w:eastAsia="Times New Roman"/>
          <w:b/>
          <w:bCs/>
          <w:snapToGrid w:val="0"/>
          <w:sz w:val="28"/>
          <w:szCs w:val="28"/>
          <w:lang w:val="en-US"/>
        </w:rPr>
        <w:t xml:space="preserve">OUTCOME </w:t>
      </w:r>
      <w:r w:rsidR="4C387875" w:rsidRPr="0028500F">
        <w:rPr>
          <w:rFonts w:eastAsia="Times New Roman"/>
          <w:b/>
          <w:bCs/>
          <w:snapToGrid w:val="0"/>
          <w:sz w:val="28"/>
          <w:szCs w:val="28"/>
          <w:lang w:val="en-US"/>
        </w:rPr>
        <w:t>STATEMENT</w:t>
      </w:r>
    </w:p>
    <w:p w14:paraId="6EC2355F" w14:textId="77777777" w:rsidR="0099564D" w:rsidRDefault="0099564D" w:rsidP="00235880">
      <w:pPr>
        <w:widowControl w:val="0"/>
        <w:spacing w:line="240" w:lineRule="auto"/>
        <w:jc w:val="center"/>
        <w:rPr>
          <w:rFonts w:eastAsia="Times New Roman"/>
          <w:b/>
          <w:bCs/>
          <w:snapToGrid w:val="0"/>
          <w:sz w:val="28"/>
          <w:szCs w:val="28"/>
          <w:lang w:val="en-US"/>
        </w:rPr>
      </w:pPr>
      <w:bookmarkStart w:id="0" w:name="_Hlk117693040"/>
      <w:bookmarkStart w:id="1" w:name="_Hlk189483269"/>
      <w:r w:rsidRPr="0099564D">
        <w:rPr>
          <w:rFonts w:eastAsia="Times New Roman"/>
          <w:b/>
          <w:bCs/>
          <w:snapToGrid w:val="0"/>
          <w:sz w:val="28"/>
          <w:szCs w:val="28"/>
          <w:lang w:val="en-US"/>
        </w:rPr>
        <w:t xml:space="preserve">Imlifidase as a </w:t>
      </w:r>
      <w:proofErr w:type="spellStart"/>
      <w:r w:rsidRPr="0099564D">
        <w:rPr>
          <w:rFonts w:eastAsia="Times New Roman"/>
          <w:b/>
          <w:bCs/>
          <w:snapToGrid w:val="0"/>
          <w:sz w:val="28"/>
          <w:szCs w:val="28"/>
          <w:lang w:val="en-US"/>
        </w:rPr>
        <w:t>desensitisation</w:t>
      </w:r>
      <w:proofErr w:type="spellEnd"/>
      <w:r w:rsidRPr="0099564D">
        <w:rPr>
          <w:rFonts w:eastAsia="Times New Roman"/>
          <w:b/>
          <w:bCs/>
          <w:snapToGrid w:val="0"/>
          <w:sz w:val="28"/>
          <w:szCs w:val="28"/>
          <w:lang w:val="en-US"/>
        </w:rPr>
        <w:t xml:space="preserve"> treatment to enable kidney transplant in highly </w:t>
      </w:r>
      <w:proofErr w:type="spellStart"/>
      <w:r w:rsidRPr="0099564D">
        <w:rPr>
          <w:rFonts w:eastAsia="Times New Roman"/>
          <w:b/>
          <w:bCs/>
          <w:snapToGrid w:val="0"/>
          <w:sz w:val="28"/>
          <w:szCs w:val="28"/>
          <w:lang w:val="en-US"/>
        </w:rPr>
        <w:t>sensitised</w:t>
      </w:r>
      <w:proofErr w:type="spellEnd"/>
      <w:r w:rsidRPr="0099564D">
        <w:rPr>
          <w:rFonts w:eastAsia="Times New Roman"/>
          <w:b/>
          <w:bCs/>
          <w:snapToGrid w:val="0"/>
          <w:sz w:val="28"/>
          <w:szCs w:val="28"/>
          <w:lang w:val="en-US"/>
        </w:rPr>
        <w:t xml:space="preserve"> adult transplant candidates</w:t>
      </w:r>
      <w:r w:rsidRPr="0099564D" w:rsidDel="0099564D">
        <w:rPr>
          <w:rFonts w:eastAsia="Times New Roman"/>
          <w:b/>
          <w:bCs/>
          <w:snapToGrid w:val="0"/>
          <w:sz w:val="28"/>
          <w:szCs w:val="28"/>
          <w:lang w:val="en-US"/>
        </w:rPr>
        <w:t xml:space="preserve"> </w:t>
      </w:r>
      <w:bookmarkEnd w:id="0"/>
    </w:p>
    <w:bookmarkEnd w:id="1"/>
    <w:p w14:paraId="584F60F2" w14:textId="7FE0DEE2" w:rsidR="00904A1D" w:rsidRPr="0028500F" w:rsidRDefault="00366381" w:rsidP="00235880">
      <w:pPr>
        <w:widowControl w:val="0"/>
        <w:spacing w:line="240" w:lineRule="auto"/>
        <w:jc w:val="center"/>
        <w:rPr>
          <w:rFonts w:eastAsia="Times New Roman"/>
          <w:b/>
          <w:bCs/>
          <w:snapToGrid w:val="0"/>
          <w:sz w:val="28"/>
          <w:szCs w:val="28"/>
          <w:lang w:val="en-US"/>
        </w:rPr>
      </w:pPr>
      <w:r>
        <w:rPr>
          <w:rFonts w:eastAsia="Times New Roman"/>
          <w:b/>
          <w:bCs/>
          <w:snapToGrid w:val="0"/>
          <w:sz w:val="28"/>
          <w:szCs w:val="28"/>
          <w:lang w:val="en-US"/>
        </w:rPr>
        <w:t>Tuesday</w:t>
      </w:r>
      <w:r w:rsidR="00904A1D" w:rsidRPr="0028500F">
        <w:rPr>
          <w:rFonts w:eastAsia="Times New Roman"/>
          <w:b/>
          <w:bCs/>
          <w:snapToGrid w:val="0"/>
          <w:sz w:val="28"/>
          <w:szCs w:val="28"/>
          <w:lang w:val="en-US"/>
        </w:rPr>
        <w:t xml:space="preserve">, </w:t>
      </w:r>
      <w:r w:rsidR="00366B93">
        <w:rPr>
          <w:rFonts w:eastAsia="Times New Roman"/>
          <w:b/>
          <w:bCs/>
          <w:snapToGrid w:val="0"/>
          <w:sz w:val="28"/>
          <w:szCs w:val="28"/>
          <w:lang w:val="en-US"/>
        </w:rPr>
        <w:t>4 February</w:t>
      </w:r>
      <w:r w:rsidR="00904A1D" w:rsidRPr="0028500F">
        <w:rPr>
          <w:rFonts w:eastAsia="Times New Roman"/>
          <w:b/>
          <w:bCs/>
          <w:snapToGrid w:val="0"/>
          <w:sz w:val="28"/>
          <w:szCs w:val="28"/>
          <w:lang w:val="en-US"/>
        </w:rPr>
        <w:t xml:space="preserve"> 2</w:t>
      </w:r>
      <w:r w:rsidR="00013740" w:rsidRPr="0028500F">
        <w:rPr>
          <w:rFonts w:eastAsia="Times New Roman"/>
          <w:b/>
          <w:bCs/>
          <w:snapToGrid w:val="0"/>
          <w:sz w:val="28"/>
          <w:szCs w:val="28"/>
          <w:lang w:val="en-US"/>
        </w:rPr>
        <w:t>02</w:t>
      </w:r>
      <w:r w:rsidR="00366B93">
        <w:rPr>
          <w:rFonts w:eastAsia="Times New Roman"/>
          <w:b/>
          <w:bCs/>
          <w:snapToGrid w:val="0"/>
          <w:sz w:val="28"/>
          <w:szCs w:val="28"/>
          <w:lang w:val="en-US"/>
        </w:rPr>
        <w:t>5</w:t>
      </w:r>
    </w:p>
    <w:p w14:paraId="5775FBCB" w14:textId="559EE1E7" w:rsidR="00904A1D" w:rsidRPr="00DC2522" w:rsidRDefault="00DC2522" w:rsidP="00235880">
      <w:pPr>
        <w:pStyle w:val="Heading2"/>
        <w:keepNext w:val="0"/>
        <w:numPr>
          <w:ilvl w:val="0"/>
          <w:numId w:val="16"/>
        </w:numPr>
      </w:pPr>
      <w:r>
        <w:t>Introduction</w:t>
      </w:r>
    </w:p>
    <w:p w14:paraId="1D51ED20" w14:textId="4387EE28" w:rsidR="007B5BBB" w:rsidRPr="0041588E" w:rsidRDefault="007B5BBB" w:rsidP="00235880">
      <w:pPr>
        <w:pStyle w:val="Heading3"/>
        <w:keepNext w:val="0"/>
      </w:pPr>
      <w:r w:rsidRPr="0041588E">
        <w:t>Attendees</w:t>
      </w:r>
    </w:p>
    <w:p w14:paraId="6F1BB7E5" w14:textId="1794FB4D" w:rsidR="007235CE" w:rsidRDefault="00904A1D" w:rsidP="00235880">
      <w:pPr>
        <w:widowControl w:val="0"/>
        <w:spacing w:after="240" w:line="240" w:lineRule="auto"/>
        <w:rPr>
          <w:rFonts w:eastAsia="Times New Roman"/>
          <w:bCs/>
          <w:snapToGrid w:val="0"/>
          <w:lang w:val="en-US"/>
        </w:rPr>
      </w:pPr>
      <w:r>
        <w:rPr>
          <w:rFonts w:eastAsia="Times New Roman"/>
          <w:bCs/>
          <w:snapToGrid w:val="0"/>
          <w:lang w:val="en-US"/>
        </w:rPr>
        <w:t xml:space="preserve">Meeting attendees included </w:t>
      </w:r>
      <w:r w:rsidR="00A71A74">
        <w:rPr>
          <w:rFonts w:eastAsia="Times New Roman"/>
          <w:bCs/>
          <w:snapToGrid w:val="0"/>
          <w:lang w:val="en-US"/>
        </w:rPr>
        <w:t xml:space="preserve">the Chair and </w:t>
      </w:r>
      <w:r>
        <w:rPr>
          <w:rFonts w:eastAsia="Times New Roman"/>
          <w:bCs/>
          <w:snapToGrid w:val="0"/>
          <w:lang w:val="en-US"/>
        </w:rPr>
        <w:t xml:space="preserve">members of the Medical Services Advisory Committee (MSAC); representatives of </w:t>
      </w:r>
      <w:r w:rsidR="004A3BDB">
        <w:rPr>
          <w:rFonts w:eastAsia="Times New Roman"/>
          <w:bCs/>
          <w:snapToGrid w:val="0"/>
          <w:lang w:val="en-US"/>
        </w:rPr>
        <w:t xml:space="preserve">Australian </w:t>
      </w:r>
      <w:r w:rsidR="00CD1CA3">
        <w:rPr>
          <w:rFonts w:eastAsia="Times New Roman"/>
          <w:bCs/>
          <w:snapToGrid w:val="0"/>
          <w:lang w:val="en-US"/>
        </w:rPr>
        <w:t xml:space="preserve">Redcross </w:t>
      </w:r>
      <w:r w:rsidR="00D82183">
        <w:rPr>
          <w:rFonts w:eastAsia="Times New Roman"/>
          <w:bCs/>
          <w:snapToGrid w:val="0"/>
          <w:lang w:val="en-US"/>
        </w:rPr>
        <w:t>Lifeblood</w:t>
      </w:r>
      <w:r w:rsidR="00170BD1">
        <w:rPr>
          <w:rFonts w:eastAsia="Times New Roman"/>
          <w:bCs/>
          <w:snapToGrid w:val="0"/>
          <w:lang w:val="en-US"/>
        </w:rPr>
        <w:t xml:space="preserve">, </w:t>
      </w:r>
      <w:r w:rsidR="00881FCC">
        <w:rPr>
          <w:rFonts w:eastAsia="Times New Roman"/>
          <w:bCs/>
          <w:snapToGrid w:val="0"/>
          <w:lang w:val="en-US"/>
        </w:rPr>
        <w:t xml:space="preserve">the </w:t>
      </w:r>
      <w:r w:rsidR="00F33137">
        <w:rPr>
          <w:rFonts w:eastAsia="Times New Roman"/>
          <w:bCs/>
          <w:snapToGrid w:val="0"/>
          <w:lang w:val="en-US"/>
        </w:rPr>
        <w:t>Australia</w:t>
      </w:r>
      <w:r w:rsidR="00850353">
        <w:rPr>
          <w:rFonts w:eastAsia="Times New Roman"/>
          <w:bCs/>
          <w:snapToGrid w:val="0"/>
          <w:lang w:val="en-US"/>
        </w:rPr>
        <w:t xml:space="preserve"> and New Zealand</w:t>
      </w:r>
      <w:r w:rsidR="00D34240">
        <w:rPr>
          <w:rFonts w:eastAsia="Times New Roman"/>
          <w:bCs/>
          <w:snapToGrid w:val="0"/>
          <w:lang w:val="en-US"/>
        </w:rPr>
        <w:t xml:space="preserve"> Dialysis and Transplant Registry (ANZDATA</w:t>
      </w:r>
      <w:r w:rsidR="00E7271E">
        <w:rPr>
          <w:rFonts w:eastAsia="Times New Roman"/>
          <w:bCs/>
          <w:snapToGrid w:val="0"/>
          <w:lang w:val="en-US"/>
        </w:rPr>
        <w:t>)</w:t>
      </w:r>
      <w:r w:rsidR="00D34240">
        <w:rPr>
          <w:rFonts w:eastAsia="Times New Roman"/>
          <w:bCs/>
          <w:snapToGrid w:val="0"/>
          <w:lang w:val="en-US"/>
        </w:rPr>
        <w:t xml:space="preserve">, </w:t>
      </w:r>
      <w:r w:rsidR="00881FCC">
        <w:rPr>
          <w:rFonts w:eastAsia="Times New Roman"/>
          <w:bCs/>
          <w:snapToGrid w:val="0"/>
          <w:lang w:val="en-US"/>
        </w:rPr>
        <w:t xml:space="preserve">the </w:t>
      </w:r>
      <w:r w:rsidR="00BD6135">
        <w:rPr>
          <w:rFonts w:eastAsia="Times New Roman"/>
          <w:bCs/>
          <w:snapToGrid w:val="0"/>
          <w:lang w:val="en-US"/>
        </w:rPr>
        <w:t xml:space="preserve">Australian and </w:t>
      </w:r>
      <w:r w:rsidR="002D7B1E">
        <w:rPr>
          <w:rFonts w:eastAsia="Times New Roman"/>
          <w:bCs/>
          <w:snapToGrid w:val="0"/>
          <w:lang w:val="en-US"/>
        </w:rPr>
        <w:t>New</w:t>
      </w:r>
      <w:r w:rsidR="00BD6135">
        <w:rPr>
          <w:rFonts w:eastAsia="Times New Roman"/>
          <w:bCs/>
          <w:snapToGrid w:val="0"/>
          <w:lang w:val="en-US"/>
        </w:rPr>
        <w:t xml:space="preserve"> Zealand Paired Kidney Exchange</w:t>
      </w:r>
      <w:r w:rsidR="00DA0C8C">
        <w:rPr>
          <w:rFonts w:eastAsia="Times New Roman"/>
          <w:bCs/>
          <w:snapToGrid w:val="0"/>
          <w:lang w:val="en-US"/>
        </w:rPr>
        <w:t xml:space="preserve"> Clinical</w:t>
      </w:r>
      <w:r w:rsidR="005C47C4">
        <w:rPr>
          <w:rFonts w:eastAsia="Times New Roman"/>
          <w:bCs/>
          <w:snapToGrid w:val="0"/>
          <w:lang w:val="en-US"/>
        </w:rPr>
        <w:t xml:space="preserve"> Oversight Subcommittee, </w:t>
      </w:r>
      <w:r w:rsidR="00881FCC">
        <w:rPr>
          <w:rFonts w:eastAsia="Times New Roman"/>
          <w:bCs/>
          <w:snapToGrid w:val="0"/>
          <w:lang w:val="en-US"/>
        </w:rPr>
        <w:t xml:space="preserve">the </w:t>
      </w:r>
      <w:r w:rsidR="00363EDD">
        <w:rPr>
          <w:rFonts w:eastAsia="Times New Roman"/>
          <w:bCs/>
          <w:snapToGrid w:val="0"/>
          <w:lang w:val="en-US"/>
        </w:rPr>
        <w:t>R</w:t>
      </w:r>
      <w:r w:rsidR="005618FE">
        <w:rPr>
          <w:rFonts w:eastAsia="Times New Roman"/>
          <w:bCs/>
          <w:snapToGrid w:val="0"/>
          <w:lang w:val="en-US"/>
        </w:rPr>
        <w:t>e</w:t>
      </w:r>
      <w:r w:rsidR="00363EDD">
        <w:rPr>
          <w:rFonts w:eastAsia="Times New Roman"/>
          <w:bCs/>
          <w:snapToGrid w:val="0"/>
          <w:lang w:val="en-US"/>
        </w:rPr>
        <w:t>nal Transplant Ad</w:t>
      </w:r>
      <w:r w:rsidR="00680EC3">
        <w:rPr>
          <w:rFonts w:eastAsia="Times New Roman"/>
          <w:bCs/>
          <w:snapToGrid w:val="0"/>
          <w:lang w:val="en-US"/>
        </w:rPr>
        <w:t>visory Committee</w:t>
      </w:r>
      <w:r w:rsidR="00881FCC">
        <w:rPr>
          <w:rFonts w:eastAsia="Times New Roman"/>
          <w:bCs/>
          <w:snapToGrid w:val="0"/>
          <w:lang w:val="en-US"/>
        </w:rPr>
        <w:t xml:space="preserve"> (RTAC)</w:t>
      </w:r>
      <w:r w:rsidR="00B9753D">
        <w:rPr>
          <w:rFonts w:eastAsia="Times New Roman"/>
          <w:bCs/>
          <w:snapToGrid w:val="0"/>
          <w:lang w:val="en-US"/>
        </w:rPr>
        <w:t xml:space="preserve"> of the </w:t>
      </w:r>
      <w:r w:rsidR="00376CA4">
        <w:rPr>
          <w:rFonts w:eastAsia="Times New Roman"/>
          <w:bCs/>
          <w:snapToGrid w:val="0"/>
          <w:lang w:val="en-US"/>
        </w:rPr>
        <w:t>Transplantation Society of Australia and New Zealand</w:t>
      </w:r>
      <w:r w:rsidR="000B5C41">
        <w:rPr>
          <w:rFonts w:eastAsia="Times New Roman"/>
          <w:bCs/>
          <w:snapToGrid w:val="0"/>
          <w:lang w:val="en-US"/>
        </w:rPr>
        <w:t xml:space="preserve"> (TSANZ</w:t>
      </w:r>
      <w:r w:rsidR="004274CA">
        <w:rPr>
          <w:rFonts w:eastAsia="Times New Roman"/>
          <w:bCs/>
          <w:snapToGrid w:val="0"/>
          <w:lang w:val="en-US"/>
        </w:rPr>
        <w:t>)</w:t>
      </w:r>
      <w:r w:rsidR="005618FE">
        <w:rPr>
          <w:rFonts w:eastAsia="Times New Roman"/>
          <w:bCs/>
          <w:snapToGrid w:val="0"/>
          <w:lang w:val="en-US"/>
        </w:rPr>
        <w:t>,</w:t>
      </w:r>
      <w:r w:rsidR="008438E2">
        <w:rPr>
          <w:rFonts w:eastAsia="Times New Roman"/>
          <w:bCs/>
          <w:snapToGrid w:val="0"/>
          <w:lang w:val="en-US"/>
        </w:rPr>
        <w:t xml:space="preserve"> </w:t>
      </w:r>
      <w:r w:rsidR="009920B9">
        <w:rPr>
          <w:rFonts w:eastAsia="Times New Roman"/>
          <w:bCs/>
          <w:snapToGrid w:val="0"/>
          <w:lang w:val="en-US"/>
        </w:rPr>
        <w:t>Hansa Biopharma (Applicant)</w:t>
      </w:r>
      <w:r w:rsidRPr="007B11EE">
        <w:rPr>
          <w:rFonts w:eastAsia="Times New Roman"/>
          <w:bCs/>
          <w:snapToGrid w:val="0"/>
          <w:lang w:val="en-US"/>
        </w:rPr>
        <w:t>;</w:t>
      </w:r>
      <w:r w:rsidR="00C821F8">
        <w:rPr>
          <w:rFonts w:eastAsia="Times New Roman"/>
          <w:bCs/>
          <w:snapToGrid w:val="0"/>
          <w:lang w:val="en-US"/>
        </w:rPr>
        <w:t xml:space="preserve"> a consumer representative from</w:t>
      </w:r>
      <w:r w:rsidR="007E6927">
        <w:rPr>
          <w:rFonts w:eastAsia="Times New Roman"/>
          <w:bCs/>
          <w:snapToGrid w:val="0"/>
          <w:lang w:val="en-US"/>
        </w:rPr>
        <w:t xml:space="preserve"> the Consumer </w:t>
      </w:r>
      <w:r w:rsidR="00D92127">
        <w:rPr>
          <w:rFonts w:eastAsia="Times New Roman"/>
          <w:bCs/>
          <w:snapToGrid w:val="0"/>
          <w:lang w:val="en-US"/>
        </w:rPr>
        <w:t>Co</w:t>
      </w:r>
      <w:r w:rsidR="00325FD9">
        <w:rPr>
          <w:rFonts w:eastAsia="Times New Roman"/>
          <w:bCs/>
          <w:snapToGrid w:val="0"/>
          <w:lang w:val="en-US"/>
        </w:rPr>
        <w:t>nsultative Forum (CCF)</w:t>
      </w:r>
      <w:r w:rsidR="004274CA">
        <w:rPr>
          <w:rFonts w:eastAsia="Times New Roman"/>
          <w:bCs/>
          <w:snapToGrid w:val="0"/>
          <w:lang w:val="en-US"/>
        </w:rPr>
        <w:t xml:space="preserve"> also</w:t>
      </w:r>
      <w:r w:rsidR="00376CA4">
        <w:rPr>
          <w:rFonts w:eastAsia="Times New Roman"/>
          <w:bCs/>
          <w:snapToGrid w:val="0"/>
          <w:lang w:val="en-US"/>
        </w:rPr>
        <w:t xml:space="preserve"> on </w:t>
      </w:r>
      <w:r w:rsidR="000B5C41">
        <w:rPr>
          <w:rFonts w:eastAsia="Times New Roman"/>
          <w:bCs/>
          <w:snapToGrid w:val="0"/>
          <w:lang w:val="en-US"/>
        </w:rPr>
        <w:t>behalf of the TSANZ</w:t>
      </w:r>
      <w:r w:rsidR="00B84E3F">
        <w:rPr>
          <w:rFonts w:eastAsia="Times New Roman"/>
          <w:bCs/>
          <w:snapToGrid w:val="0"/>
          <w:lang w:val="en-US"/>
        </w:rPr>
        <w:t>;</w:t>
      </w:r>
      <w:r w:rsidRPr="007B11EE">
        <w:rPr>
          <w:rFonts w:eastAsia="Times New Roman"/>
          <w:bCs/>
          <w:snapToGrid w:val="0"/>
          <w:lang w:val="en-US"/>
        </w:rPr>
        <w:t xml:space="preserve"> representatives</w:t>
      </w:r>
      <w:r w:rsidR="004A40E4">
        <w:rPr>
          <w:rFonts w:eastAsia="Times New Roman"/>
          <w:bCs/>
          <w:snapToGrid w:val="0"/>
          <w:lang w:val="en-US"/>
        </w:rPr>
        <w:t xml:space="preserve"> from </w:t>
      </w:r>
      <w:r w:rsidR="00F074CE">
        <w:rPr>
          <w:rFonts w:eastAsia="Times New Roman"/>
          <w:bCs/>
          <w:snapToGrid w:val="0"/>
          <w:lang w:val="en-US"/>
        </w:rPr>
        <w:t xml:space="preserve">the </w:t>
      </w:r>
      <w:r w:rsidR="00A239A8">
        <w:t>N</w:t>
      </w:r>
      <w:r w:rsidR="00655A76">
        <w:t>orthern Territory (NT)</w:t>
      </w:r>
      <w:r w:rsidR="00F074CE">
        <w:t xml:space="preserve">, </w:t>
      </w:r>
      <w:r w:rsidR="00CC62E2">
        <w:t>New South Wales</w:t>
      </w:r>
      <w:r w:rsidR="00A207BF">
        <w:t xml:space="preserve"> (NSW)</w:t>
      </w:r>
      <w:r w:rsidR="00234559">
        <w:t>, Victoria</w:t>
      </w:r>
      <w:r w:rsidR="00F074CE">
        <w:t xml:space="preserve">, </w:t>
      </w:r>
      <w:r w:rsidR="002862AE">
        <w:t xml:space="preserve">Queensland, Western Australia </w:t>
      </w:r>
      <w:r w:rsidR="00B60FC0">
        <w:t>(WA), South Australia (SA)</w:t>
      </w:r>
      <w:r w:rsidR="00555266">
        <w:t>, Tasmania, and Austr</w:t>
      </w:r>
      <w:r w:rsidR="008B56EF">
        <w:t>alian Capital Territory (ACT)</w:t>
      </w:r>
      <w:r w:rsidR="00F074CE">
        <w:t xml:space="preserve"> (including clinician representative</w:t>
      </w:r>
      <w:r w:rsidR="00545A78">
        <w:t>s</w:t>
      </w:r>
      <w:r w:rsidR="00F074CE">
        <w:t xml:space="preserve"> and representatives from the health departments of these jurisdictions)</w:t>
      </w:r>
      <w:r>
        <w:rPr>
          <w:rFonts w:eastAsia="Times New Roman"/>
          <w:bCs/>
          <w:snapToGrid w:val="0"/>
          <w:lang w:val="en-US"/>
        </w:rPr>
        <w:t xml:space="preserve">; and representatives from the </w:t>
      </w:r>
      <w:r w:rsidR="00392CFF">
        <w:rPr>
          <w:rFonts w:eastAsia="Times New Roman"/>
          <w:bCs/>
          <w:snapToGrid w:val="0"/>
          <w:lang w:val="en-US"/>
        </w:rPr>
        <w:t xml:space="preserve">Australian Government </w:t>
      </w:r>
      <w:r w:rsidR="00DC2522">
        <w:rPr>
          <w:rFonts w:eastAsia="Times New Roman"/>
          <w:bCs/>
          <w:snapToGrid w:val="0"/>
          <w:lang w:val="en-US"/>
        </w:rPr>
        <w:t>Department of Health</w:t>
      </w:r>
      <w:r w:rsidR="00357DF5">
        <w:rPr>
          <w:rFonts w:eastAsia="Times New Roman"/>
          <w:bCs/>
          <w:snapToGrid w:val="0"/>
          <w:lang w:val="en-US"/>
        </w:rPr>
        <w:t xml:space="preserve"> and Aged Care</w:t>
      </w:r>
      <w:r w:rsidR="00DC2522">
        <w:rPr>
          <w:rFonts w:eastAsia="Times New Roman"/>
          <w:bCs/>
          <w:snapToGrid w:val="0"/>
          <w:lang w:val="en-US"/>
        </w:rPr>
        <w:t>.</w:t>
      </w:r>
      <w:r w:rsidR="0064006F">
        <w:rPr>
          <w:rFonts w:eastAsia="Times New Roman"/>
          <w:bCs/>
          <w:snapToGrid w:val="0"/>
          <w:lang w:val="en-US"/>
        </w:rPr>
        <w:t xml:space="preserve"> </w:t>
      </w:r>
      <w:proofErr w:type="spellStart"/>
      <w:r w:rsidR="0064006F">
        <w:rPr>
          <w:rFonts w:eastAsia="Times New Roman"/>
          <w:bCs/>
          <w:snapToGrid w:val="0"/>
          <w:lang w:val="en-US"/>
        </w:rPr>
        <w:t>OrganMatch</w:t>
      </w:r>
      <w:proofErr w:type="spellEnd"/>
      <w:r w:rsidR="0064006F">
        <w:rPr>
          <w:rFonts w:eastAsia="Times New Roman"/>
          <w:bCs/>
          <w:snapToGrid w:val="0"/>
          <w:lang w:val="en-US"/>
        </w:rPr>
        <w:t xml:space="preserve"> </w:t>
      </w:r>
      <w:r w:rsidR="008F4DC7">
        <w:rPr>
          <w:rFonts w:eastAsia="Times New Roman"/>
          <w:bCs/>
          <w:snapToGrid w:val="0"/>
          <w:lang w:val="en-US"/>
        </w:rPr>
        <w:t>provide</w:t>
      </w:r>
      <w:r w:rsidR="00A12AE1">
        <w:rPr>
          <w:rFonts w:eastAsia="Times New Roman"/>
          <w:bCs/>
          <w:snapToGrid w:val="0"/>
          <w:lang w:val="en-US"/>
        </w:rPr>
        <w:t>d</w:t>
      </w:r>
      <w:r w:rsidR="008F4DC7">
        <w:rPr>
          <w:rFonts w:eastAsia="Times New Roman"/>
          <w:bCs/>
          <w:snapToGrid w:val="0"/>
          <w:lang w:val="en-US"/>
        </w:rPr>
        <w:t xml:space="preserve"> </w:t>
      </w:r>
      <w:r w:rsidR="004274CA">
        <w:rPr>
          <w:rFonts w:eastAsia="Times New Roman"/>
          <w:bCs/>
          <w:snapToGrid w:val="0"/>
          <w:lang w:val="en-US"/>
        </w:rPr>
        <w:t xml:space="preserve">a </w:t>
      </w:r>
      <w:r w:rsidR="008F4DC7">
        <w:rPr>
          <w:rFonts w:eastAsia="Times New Roman"/>
          <w:bCs/>
          <w:snapToGrid w:val="0"/>
          <w:lang w:val="en-US"/>
        </w:rPr>
        <w:t xml:space="preserve">written response ahead of the meeting. </w:t>
      </w:r>
    </w:p>
    <w:p w14:paraId="4C51871B" w14:textId="713A5511" w:rsidR="007B5BBB" w:rsidRDefault="000E7A51" w:rsidP="00235880">
      <w:pPr>
        <w:widowControl w:val="0"/>
        <w:spacing w:after="240" w:line="240" w:lineRule="auto"/>
      </w:pPr>
      <w:r w:rsidRPr="008B26EC">
        <w:t>The Chair</w:t>
      </w:r>
      <w:r w:rsidR="0028500F">
        <w:t xml:space="preserve"> opened the meeting at </w:t>
      </w:r>
      <w:r w:rsidR="00C16CD3">
        <w:t>10a</w:t>
      </w:r>
      <w:r w:rsidR="0028500F" w:rsidRPr="00C16CD3">
        <w:t>m</w:t>
      </w:r>
      <w:r w:rsidR="007C74A5">
        <w:t xml:space="preserve">. The Chair </w:t>
      </w:r>
      <w:r w:rsidR="001557FC">
        <w:t>advised</w:t>
      </w:r>
      <w:r w:rsidR="001557FC" w:rsidRPr="008B26EC">
        <w:t xml:space="preserve"> </w:t>
      </w:r>
      <w:r w:rsidRPr="008B26EC">
        <w:t xml:space="preserve">that the </w:t>
      </w:r>
      <w:r w:rsidR="0028500F">
        <w:t>s</w:t>
      </w:r>
      <w:r w:rsidRPr="008B26EC">
        <w:t xml:space="preserve">takeholder meeting was not an MSAC decision making </w:t>
      </w:r>
      <w:r w:rsidR="003D1BB4" w:rsidRPr="008B26EC">
        <w:t>forum but</w:t>
      </w:r>
      <w:r w:rsidR="00CA3A47">
        <w:t xml:space="preserve"> w</w:t>
      </w:r>
      <w:r w:rsidR="00CA3A47" w:rsidRPr="00CA3A47">
        <w:t>ould inform MSAC’s future deliberations and advice to the Minister for Health</w:t>
      </w:r>
      <w:r w:rsidR="00CA3A47">
        <w:t xml:space="preserve"> and Aged Care</w:t>
      </w:r>
      <w:r w:rsidR="00CA3A47" w:rsidRPr="00CA3A47">
        <w:t xml:space="preserve"> by providing a better understanding of issues raised during its </w:t>
      </w:r>
      <w:r w:rsidR="0092338B">
        <w:t>August</w:t>
      </w:r>
      <w:r w:rsidR="00CA3A47" w:rsidRPr="00CA3A47">
        <w:t xml:space="preserve"> 202</w:t>
      </w:r>
      <w:r w:rsidR="00842DB2">
        <w:t>4</w:t>
      </w:r>
      <w:r w:rsidR="00CA3A47" w:rsidRPr="00CA3A47">
        <w:t xml:space="preserve"> consideration of </w:t>
      </w:r>
      <w:r w:rsidR="00CA3A47" w:rsidRPr="004549F0">
        <w:rPr>
          <w:i/>
          <w:iCs/>
        </w:rPr>
        <w:t>Application 1</w:t>
      </w:r>
      <w:r w:rsidR="00842DB2" w:rsidRPr="004549F0">
        <w:rPr>
          <w:i/>
          <w:iCs/>
        </w:rPr>
        <w:t>732.1</w:t>
      </w:r>
      <w:r w:rsidR="00CA3A47" w:rsidRPr="004549F0">
        <w:rPr>
          <w:i/>
          <w:iCs/>
        </w:rPr>
        <w:t xml:space="preserve"> -</w:t>
      </w:r>
      <w:r w:rsidR="00842DB2" w:rsidRPr="004549F0">
        <w:rPr>
          <w:i/>
          <w:iCs/>
        </w:rPr>
        <w:t xml:space="preserve"> Imlifidase as a desensitisation treatment to enable kidney transplant in highly sensitised adult transplant candidates</w:t>
      </w:r>
      <w:r w:rsidR="008E6398">
        <w:t xml:space="preserve"> with the expectation that </w:t>
      </w:r>
      <w:r w:rsidR="00304892">
        <w:t xml:space="preserve">the </w:t>
      </w:r>
      <w:r w:rsidR="005D26BF">
        <w:t>outcomes of this</w:t>
      </w:r>
      <w:r w:rsidR="002D2B8C">
        <w:t xml:space="preserve"> meeting would</w:t>
      </w:r>
      <w:r w:rsidR="005D26BF">
        <w:t xml:space="preserve"> inform a resubmission</w:t>
      </w:r>
      <w:r w:rsidR="0054701A">
        <w:t xml:space="preserve"> by the applicant</w:t>
      </w:r>
      <w:r w:rsidR="00BC3179">
        <w:t xml:space="preserve">. </w:t>
      </w:r>
      <w:r w:rsidR="00C406CC" w:rsidRPr="00C406CC">
        <w:t>The MSAC Chair advised that the committee intend to reconsider an updated proposal expeditiously, preferably at the April 2025 meeting</w:t>
      </w:r>
      <w:r w:rsidR="00494466">
        <w:t>.</w:t>
      </w:r>
    </w:p>
    <w:p w14:paraId="514A2B76" w14:textId="77777777" w:rsidR="007C74A5" w:rsidRDefault="007B5BBB" w:rsidP="00235880">
      <w:pPr>
        <w:widowControl w:val="0"/>
        <w:spacing w:after="240" w:line="240" w:lineRule="auto"/>
        <w:rPr>
          <w:rFonts w:eastAsia="Times New Roman"/>
          <w:bCs/>
          <w:snapToGrid w:val="0"/>
          <w:lang w:val="en-US"/>
        </w:rPr>
      </w:pPr>
      <w:r>
        <w:rPr>
          <w:rFonts w:eastAsia="Times New Roman"/>
          <w:bCs/>
          <w:snapToGrid w:val="0"/>
          <w:lang w:val="en-US"/>
        </w:rPr>
        <w:t xml:space="preserve">The Chair reminded participants that this was a confidential </w:t>
      </w:r>
      <w:r w:rsidR="0028500F">
        <w:rPr>
          <w:rFonts w:eastAsia="Times New Roman"/>
          <w:bCs/>
          <w:snapToGrid w:val="0"/>
          <w:lang w:val="en-US"/>
        </w:rPr>
        <w:t>discussion,</w:t>
      </w:r>
      <w:r w:rsidR="0041588E">
        <w:rPr>
          <w:rFonts w:eastAsia="Times New Roman"/>
          <w:bCs/>
          <w:snapToGrid w:val="0"/>
          <w:lang w:val="en-US"/>
        </w:rPr>
        <w:t xml:space="preserve"> and a</w:t>
      </w:r>
      <w:r>
        <w:rPr>
          <w:rFonts w:eastAsia="Times New Roman"/>
          <w:bCs/>
          <w:snapToGrid w:val="0"/>
          <w:lang w:val="en-US"/>
        </w:rPr>
        <w:t xml:space="preserve">n Outcome Statement would </w:t>
      </w:r>
      <w:r w:rsidR="00A83E82">
        <w:rPr>
          <w:rFonts w:eastAsia="Times New Roman"/>
          <w:bCs/>
          <w:snapToGrid w:val="0"/>
          <w:lang w:val="en-US"/>
        </w:rPr>
        <w:t xml:space="preserve">be </w:t>
      </w:r>
      <w:r w:rsidR="00DC2522">
        <w:rPr>
          <w:rFonts w:eastAsia="Times New Roman"/>
          <w:bCs/>
          <w:snapToGrid w:val="0"/>
          <w:lang w:val="en-US"/>
        </w:rPr>
        <w:t>published on the MSAC website.</w:t>
      </w:r>
      <w:r w:rsidR="0057244F">
        <w:rPr>
          <w:rFonts w:eastAsia="Times New Roman"/>
          <w:bCs/>
          <w:snapToGrid w:val="0"/>
          <w:lang w:val="en-US"/>
        </w:rPr>
        <w:t xml:space="preserve"> </w:t>
      </w:r>
    </w:p>
    <w:p w14:paraId="7A293C9D" w14:textId="194D9B43" w:rsidR="00904A1D" w:rsidRPr="00DC2522" w:rsidRDefault="007C74A5" w:rsidP="00235880">
      <w:pPr>
        <w:widowControl w:val="0"/>
        <w:spacing w:after="240" w:line="240" w:lineRule="auto"/>
        <w:rPr>
          <w:rFonts w:eastAsia="Times New Roman"/>
          <w:bCs/>
          <w:snapToGrid w:val="0"/>
          <w:lang w:val="en-US"/>
        </w:rPr>
      </w:pPr>
      <w:r w:rsidRPr="00291AEE">
        <w:rPr>
          <w:rFonts w:eastAsia="Times New Roman"/>
          <w:bCs/>
          <w:snapToGrid w:val="0"/>
          <w:lang w:val="en-US"/>
        </w:rPr>
        <w:t>The Chair provided an overview of MSAC’s role and membership.</w:t>
      </w:r>
    </w:p>
    <w:p w14:paraId="2FF79E3C" w14:textId="5EDC80DE" w:rsidR="007B5BBB" w:rsidRPr="00310289" w:rsidRDefault="007B5BBB" w:rsidP="00235880">
      <w:pPr>
        <w:pStyle w:val="Heading3"/>
        <w:keepNext w:val="0"/>
      </w:pPr>
      <w:r w:rsidRPr="0028500F">
        <w:t>Purpose</w:t>
      </w:r>
    </w:p>
    <w:p w14:paraId="33074EBA" w14:textId="71291502" w:rsidR="007A63C1" w:rsidRDefault="00C3305A" w:rsidP="00235880">
      <w:pPr>
        <w:widowControl w:val="0"/>
        <w:spacing w:after="240" w:line="240" w:lineRule="auto"/>
        <w:rPr>
          <w:rFonts w:eastAsia="Times New Roman"/>
          <w:bCs/>
          <w:snapToGrid w:val="0"/>
          <w:lang w:val="en-US"/>
        </w:rPr>
      </w:pPr>
      <w:r>
        <w:rPr>
          <w:rFonts w:eastAsia="Times New Roman"/>
          <w:bCs/>
          <w:snapToGrid w:val="0"/>
          <w:lang w:val="en-US"/>
        </w:rPr>
        <w:t>The key objective</w:t>
      </w:r>
      <w:r w:rsidR="00BB4331">
        <w:rPr>
          <w:rFonts w:eastAsia="Times New Roman"/>
          <w:bCs/>
          <w:snapToGrid w:val="0"/>
          <w:lang w:val="en-US"/>
        </w:rPr>
        <w:t>s</w:t>
      </w:r>
      <w:r>
        <w:rPr>
          <w:rFonts w:eastAsia="Times New Roman"/>
          <w:bCs/>
          <w:snapToGrid w:val="0"/>
          <w:lang w:val="en-US"/>
        </w:rPr>
        <w:t xml:space="preserve"> of the meeting w</w:t>
      </w:r>
      <w:r w:rsidR="00BB4331">
        <w:rPr>
          <w:rFonts w:eastAsia="Times New Roman"/>
          <w:bCs/>
          <w:snapToGrid w:val="0"/>
          <w:lang w:val="en-US"/>
        </w:rPr>
        <w:t>ere</w:t>
      </w:r>
      <w:r>
        <w:rPr>
          <w:rFonts w:eastAsia="Times New Roman"/>
          <w:bCs/>
          <w:snapToGrid w:val="0"/>
          <w:lang w:val="en-US"/>
        </w:rPr>
        <w:t xml:space="preserve"> to </w:t>
      </w:r>
      <w:r w:rsidR="007B5BBB">
        <w:rPr>
          <w:rFonts w:eastAsia="Times New Roman"/>
          <w:bCs/>
          <w:snapToGrid w:val="0"/>
          <w:lang w:val="en-US"/>
        </w:rPr>
        <w:t>all</w:t>
      </w:r>
      <w:r w:rsidR="00310289">
        <w:rPr>
          <w:rFonts w:eastAsia="Times New Roman"/>
          <w:bCs/>
          <w:snapToGrid w:val="0"/>
          <w:lang w:val="en-US"/>
        </w:rPr>
        <w:t>ow</w:t>
      </w:r>
      <w:r w:rsidR="007B5BBB">
        <w:rPr>
          <w:rFonts w:eastAsia="Times New Roman"/>
          <w:bCs/>
          <w:snapToGrid w:val="0"/>
          <w:lang w:val="en-US"/>
        </w:rPr>
        <w:t xml:space="preserve"> MSAC to </w:t>
      </w:r>
      <w:r>
        <w:rPr>
          <w:rFonts w:eastAsia="Times New Roman"/>
          <w:bCs/>
          <w:snapToGrid w:val="0"/>
          <w:lang w:val="en-US"/>
        </w:rPr>
        <w:t>seek input from</w:t>
      </w:r>
      <w:r w:rsidR="002C28F6">
        <w:rPr>
          <w:rFonts w:eastAsia="Times New Roman"/>
          <w:bCs/>
          <w:snapToGrid w:val="0"/>
          <w:lang w:val="en-US"/>
        </w:rPr>
        <w:t xml:space="preserve"> </w:t>
      </w:r>
      <w:r>
        <w:rPr>
          <w:rFonts w:eastAsia="Times New Roman"/>
          <w:bCs/>
          <w:snapToGrid w:val="0"/>
          <w:lang w:val="en-US"/>
        </w:rPr>
        <w:t>stakeholders on:</w:t>
      </w:r>
    </w:p>
    <w:p w14:paraId="2EBB22FB" w14:textId="2AFE3DA8" w:rsidR="00CA3A47" w:rsidRDefault="00BD163C" w:rsidP="00235880">
      <w:pPr>
        <w:pStyle w:val="ListParagraph"/>
        <w:widowControl w:val="0"/>
        <w:numPr>
          <w:ilvl w:val="0"/>
          <w:numId w:val="2"/>
        </w:numPr>
        <w:spacing w:after="240" w:line="240" w:lineRule="auto"/>
        <w:rPr>
          <w:rFonts w:eastAsia="Times New Roman"/>
          <w:bCs/>
          <w:snapToGrid w:val="0"/>
          <w:lang w:val="en-US"/>
        </w:rPr>
      </w:pPr>
      <w:r>
        <w:rPr>
          <w:rFonts w:eastAsia="Times New Roman"/>
          <w:bCs/>
          <w:snapToGrid w:val="0"/>
          <w:lang w:val="en-US"/>
        </w:rPr>
        <w:t>Eligibility criteria for imlifidase</w:t>
      </w:r>
    </w:p>
    <w:p w14:paraId="2ADDBB11" w14:textId="64DC95A0" w:rsidR="00BD163C" w:rsidRDefault="005B32C9" w:rsidP="00235880">
      <w:pPr>
        <w:pStyle w:val="ListParagraph"/>
        <w:widowControl w:val="0"/>
        <w:numPr>
          <w:ilvl w:val="0"/>
          <w:numId w:val="2"/>
        </w:numPr>
        <w:spacing w:after="240" w:line="240" w:lineRule="auto"/>
        <w:rPr>
          <w:rFonts w:eastAsia="Times New Roman"/>
          <w:bCs/>
          <w:snapToGrid w:val="0"/>
          <w:lang w:val="en-US"/>
        </w:rPr>
      </w:pPr>
      <w:r>
        <w:rPr>
          <w:rFonts w:eastAsia="Times New Roman"/>
          <w:bCs/>
          <w:snapToGrid w:val="0"/>
          <w:lang w:val="en-US"/>
        </w:rPr>
        <w:t>Availability of crossmatch conversion testing</w:t>
      </w:r>
    </w:p>
    <w:p w14:paraId="264A0B91" w14:textId="1AA6B99B" w:rsidR="005B32C9" w:rsidRDefault="00C16CD3" w:rsidP="00235880">
      <w:pPr>
        <w:pStyle w:val="ListParagraph"/>
        <w:widowControl w:val="0"/>
        <w:numPr>
          <w:ilvl w:val="0"/>
          <w:numId w:val="2"/>
        </w:numPr>
        <w:spacing w:after="240" w:line="240" w:lineRule="auto"/>
        <w:rPr>
          <w:rFonts w:eastAsia="Times New Roman"/>
          <w:bCs/>
          <w:snapToGrid w:val="0"/>
          <w:lang w:val="en-US"/>
        </w:rPr>
      </w:pPr>
      <w:r>
        <w:rPr>
          <w:rFonts w:eastAsia="Times New Roman"/>
          <w:bCs/>
          <w:snapToGrid w:val="0"/>
          <w:lang w:val="en-US"/>
        </w:rPr>
        <w:t xml:space="preserve">Transplant </w:t>
      </w:r>
      <w:proofErr w:type="spellStart"/>
      <w:r w:rsidR="005B32C9">
        <w:rPr>
          <w:rFonts w:eastAsia="Times New Roman"/>
          <w:bCs/>
          <w:snapToGrid w:val="0"/>
          <w:lang w:val="en-US"/>
        </w:rPr>
        <w:t>C</w:t>
      </w:r>
      <w:r w:rsidR="00F55FA5">
        <w:rPr>
          <w:rFonts w:eastAsia="Times New Roman"/>
          <w:bCs/>
          <w:snapToGrid w:val="0"/>
          <w:lang w:val="en-US"/>
        </w:rPr>
        <w:t>e</w:t>
      </w:r>
      <w:r w:rsidR="005B32C9">
        <w:rPr>
          <w:rFonts w:eastAsia="Times New Roman"/>
          <w:bCs/>
          <w:snapToGrid w:val="0"/>
          <w:lang w:val="en-US"/>
        </w:rPr>
        <w:t>ntres</w:t>
      </w:r>
      <w:proofErr w:type="spellEnd"/>
    </w:p>
    <w:p w14:paraId="5C7C5021" w14:textId="3D30DA1F" w:rsidR="005B32C9" w:rsidRDefault="005B32C9" w:rsidP="00235880">
      <w:pPr>
        <w:pStyle w:val="ListParagraph"/>
        <w:widowControl w:val="0"/>
        <w:numPr>
          <w:ilvl w:val="0"/>
          <w:numId w:val="2"/>
        </w:numPr>
        <w:spacing w:after="240" w:line="240" w:lineRule="auto"/>
        <w:rPr>
          <w:rFonts w:eastAsia="Times New Roman"/>
          <w:bCs/>
          <w:snapToGrid w:val="0"/>
          <w:lang w:val="en-US"/>
        </w:rPr>
      </w:pPr>
      <w:r>
        <w:rPr>
          <w:rFonts w:eastAsia="Times New Roman"/>
          <w:bCs/>
          <w:snapToGrid w:val="0"/>
          <w:lang w:val="en-US"/>
        </w:rPr>
        <w:t>Funding arrangements</w:t>
      </w:r>
    </w:p>
    <w:p w14:paraId="1AF79858" w14:textId="0528CC80" w:rsidR="00760B45" w:rsidRDefault="00760B45" w:rsidP="00235880">
      <w:pPr>
        <w:pStyle w:val="ListParagraph"/>
        <w:widowControl w:val="0"/>
        <w:numPr>
          <w:ilvl w:val="0"/>
          <w:numId w:val="2"/>
        </w:numPr>
        <w:spacing w:after="240" w:line="240" w:lineRule="auto"/>
        <w:rPr>
          <w:rFonts w:eastAsia="Times New Roman"/>
          <w:bCs/>
          <w:snapToGrid w:val="0"/>
          <w:lang w:val="en-US"/>
        </w:rPr>
      </w:pPr>
      <w:r>
        <w:rPr>
          <w:rFonts w:eastAsia="Times New Roman"/>
          <w:bCs/>
          <w:snapToGrid w:val="0"/>
          <w:lang w:val="en-US"/>
        </w:rPr>
        <w:t>Data Collection</w:t>
      </w:r>
    </w:p>
    <w:p w14:paraId="0FBD3DE9" w14:textId="51197146" w:rsidR="00760B45" w:rsidRPr="00CA3A47" w:rsidRDefault="00760B45" w:rsidP="00235880">
      <w:pPr>
        <w:pStyle w:val="ListParagraph"/>
        <w:widowControl w:val="0"/>
        <w:numPr>
          <w:ilvl w:val="0"/>
          <w:numId w:val="2"/>
        </w:numPr>
        <w:spacing w:after="240" w:line="240" w:lineRule="auto"/>
        <w:rPr>
          <w:rFonts w:eastAsia="Times New Roman"/>
          <w:bCs/>
          <w:snapToGrid w:val="0"/>
          <w:lang w:val="en-US"/>
        </w:rPr>
      </w:pPr>
      <w:r>
        <w:rPr>
          <w:rFonts w:eastAsia="Times New Roman"/>
          <w:bCs/>
          <w:snapToGrid w:val="0"/>
          <w:lang w:val="en-US"/>
        </w:rPr>
        <w:t>Guidelines (clinical and ethical)</w:t>
      </w:r>
    </w:p>
    <w:p w14:paraId="70F3920B" w14:textId="77777777" w:rsidR="00DA607D" w:rsidRPr="0041588E" w:rsidRDefault="00DA607D" w:rsidP="00235880">
      <w:pPr>
        <w:pStyle w:val="Heading3"/>
        <w:keepLines/>
      </w:pPr>
      <w:r w:rsidRPr="0041588E">
        <w:lastRenderedPageBreak/>
        <w:t>Conflicts of interest</w:t>
      </w:r>
    </w:p>
    <w:p w14:paraId="34FE350A" w14:textId="58E07DDD" w:rsidR="0028500F" w:rsidRDefault="0028500F" w:rsidP="00235880">
      <w:pPr>
        <w:keepNext/>
        <w:keepLines/>
        <w:spacing w:line="240" w:lineRule="auto"/>
        <w:rPr>
          <w:b/>
        </w:rPr>
      </w:pPr>
      <w:r w:rsidRPr="0028500F">
        <w:t>The Chair noted that conflicts of interest had been declared and recorded, but in the context of this meeting conflicts did not need to be managed by exclusion from discussions.</w:t>
      </w:r>
    </w:p>
    <w:p w14:paraId="19F8B942" w14:textId="1CD5111D" w:rsidR="00BB3214" w:rsidRPr="00DC2522" w:rsidRDefault="0028500F" w:rsidP="00235880">
      <w:pPr>
        <w:pStyle w:val="Heading2"/>
        <w:keepNext w:val="0"/>
        <w:numPr>
          <w:ilvl w:val="0"/>
          <w:numId w:val="0"/>
        </w:numPr>
      </w:pPr>
      <w:r>
        <w:t xml:space="preserve">2. </w:t>
      </w:r>
      <w:r w:rsidR="008A52FA" w:rsidRPr="0028500F">
        <w:t>Background</w:t>
      </w:r>
    </w:p>
    <w:p w14:paraId="408CC629" w14:textId="5666AF62" w:rsidR="00554199" w:rsidRPr="006B19B5" w:rsidRDefault="003F3D29" w:rsidP="00235880">
      <w:pPr>
        <w:widowControl w:val="0"/>
        <w:spacing w:after="240" w:line="240" w:lineRule="auto"/>
        <w:rPr>
          <w:rFonts w:eastAsia="Times New Roman"/>
          <w:bCs/>
          <w:snapToGrid w:val="0"/>
        </w:rPr>
      </w:pPr>
      <w:r>
        <w:rPr>
          <w:rFonts w:eastAsia="Times New Roman"/>
          <w:bCs/>
          <w:snapToGrid w:val="0"/>
        </w:rPr>
        <w:t xml:space="preserve">At its August 2024 meeting </w:t>
      </w:r>
      <w:r w:rsidR="00C12326">
        <w:rPr>
          <w:rFonts w:eastAsia="Times New Roman"/>
          <w:bCs/>
          <w:snapToGrid w:val="0"/>
        </w:rPr>
        <w:t>MSAC considered</w:t>
      </w:r>
      <w:r w:rsidR="00925258">
        <w:rPr>
          <w:rFonts w:eastAsia="Times New Roman"/>
          <w:bCs/>
          <w:snapToGrid w:val="0"/>
        </w:rPr>
        <w:t xml:space="preserve"> a</w:t>
      </w:r>
      <w:r w:rsidR="00F35023">
        <w:rPr>
          <w:rFonts w:eastAsia="Times New Roman"/>
          <w:bCs/>
          <w:snapToGrid w:val="0"/>
        </w:rPr>
        <w:t xml:space="preserve"> resubmission</w:t>
      </w:r>
      <w:r w:rsidR="007A52C0" w:rsidRPr="007A52C0">
        <w:rPr>
          <w:rFonts w:eastAsia="Times New Roman"/>
          <w:bCs/>
          <w:snapToGrid w:val="0"/>
        </w:rPr>
        <w:t xml:space="preserve"> requesting public funding for imlifidase (Idefirix®) </w:t>
      </w:r>
      <w:r w:rsidR="0018410F">
        <w:rPr>
          <w:rFonts w:eastAsia="Times New Roman"/>
          <w:bCs/>
          <w:snapToGrid w:val="0"/>
        </w:rPr>
        <w:t xml:space="preserve">as a </w:t>
      </w:r>
      <w:r w:rsidR="0018410F" w:rsidRPr="007A52C0">
        <w:rPr>
          <w:rFonts w:eastAsia="Times New Roman"/>
          <w:bCs/>
          <w:snapToGrid w:val="0"/>
        </w:rPr>
        <w:t>Highly Specialised Therap</w:t>
      </w:r>
      <w:r w:rsidR="0018410F">
        <w:rPr>
          <w:rFonts w:eastAsia="Times New Roman"/>
          <w:bCs/>
          <w:snapToGrid w:val="0"/>
        </w:rPr>
        <w:t>y</w:t>
      </w:r>
      <w:r w:rsidR="0018410F" w:rsidRPr="007A52C0">
        <w:rPr>
          <w:rFonts w:eastAsia="Times New Roman"/>
          <w:bCs/>
          <w:snapToGrid w:val="0"/>
        </w:rPr>
        <w:t xml:space="preserve"> </w:t>
      </w:r>
      <w:r w:rsidR="0018410F">
        <w:rPr>
          <w:rFonts w:eastAsia="Times New Roman"/>
          <w:bCs/>
          <w:snapToGrid w:val="0"/>
        </w:rPr>
        <w:t>under</w:t>
      </w:r>
      <w:r w:rsidR="007A52C0" w:rsidRPr="007A52C0">
        <w:rPr>
          <w:rFonts w:eastAsia="Times New Roman"/>
          <w:bCs/>
          <w:snapToGrid w:val="0"/>
        </w:rPr>
        <w:t xml:space="preserve"> the National Health</w:t>
      </w:r>
      <w:r w:rsidR="007A52C0">
        <w:rPr>
          <w:rFonts w:eastAsia="Times New Roman"/>
          <w:bCs/>
          <w:snapToGrid w:val="0"/>
        </w:rPr>
        <w:t xml:space="preserve"> </w:t>
      </w:r>
      <w:r w:rsidR="007A52C0" w:rsidRPr="007A52C0">
        <w:rPr>
          <w:rFonts w:eastAsia="Times New Roman"/>
          <w:bCs/>
          <w:snapToGrid w:val="0"/>
        </w:rPr>
        <w:t>Reform Agreement (NHRA).</w:t>
      </w:r>
      <w:r w:rsidR="007A52C0">
        <w:rPr>
          <w:rFonts w:eastAsia="Times New Roman"/>
          <w:bCs/>
          <w:snapToGrid w:val="0"/>
        </w:rPr>
        <w:t xml:space="preserve"> </w:t>
      </w:r>
      <w:r w:rsidR="007A52C0" w:rsidRPr="007A52C0">
        <w:rPr>
          <w:rFonts w:eastAsia="Times New Roman"/>
          <w:bCs/>
          <w:snapToGrid w:val="0"/>
        </w:rPr>
        <w:t>Funding is sought for use of imlifidase in the desensitisation</w:t>
      </w:r>
      <w:r w:rsidR="007A52C0">
        <w:rPr>
          <w:rFonts w:eastAsia="Times New Roman"/>
          <w:bCs/>
          <w:snapToGrid w:val="0"/>
        </w:rPr>
        <w:t xml:space="preserve"> </w:t>
      </w:r>
      <w:r w:rsidR="007A52C0" w:rsidRPr="007A52C0">
        <w:rPr>
          <w:rFonts w:eastAsia="Times New Roman"/>
          <w:bCs/>
          <w:snapToGrid w:val="0"/>
        </w:rPr>
        <w:t>treatment of highly sensitised (HS)</w:t>
      </w:r>
      <w:r w:rsidR="007A52C0">
        <w:rPr>
          <w:rFonts w:eastAsia="Times New Roman"/>
          <w:bCs/>
          <w:snapToGrid w:val="0"/>
        </w:rPr>
        <w:t xml:space="preserve"> </w:t>
      </w:r>
      <w:r w:rsidR="007A52C0" w:rsidRPr="007A52C0">
        <w:rPr>
          <w:rFonts w:eastAsia="Times New Roman"/>
          <w:bCs/>
          <w:snapToGrid w:val="0"/>
        </w:rPr>
        <w:t>adult kidney transplant patients with a positive crossmatch against an available deceased donor</w:t>
      </w:r>
      <w:r w:rsidR="007A52C0">
        <w:rPr>
          <w:rFonts w:eastAsia="Times New Roman"/>
          <w:bCs/>
          <w:snapToGrid w:val="0"/>
        </w:rPr>
        <w:t xml:space="preserve"> </w:t>
      </w:r>
      <w:r w:rsidR="007A52C0" w:rsidRPr="007A52C0">
        <w:rPr>
          <w:rFonts w:eastAsia="Times New Roman"/>
          <w:bCs/>
          <w:snapToGrid w:val="0"/>
        </w:rPr>
        <w:t>(DD) or living donor (LD), who are unlikely</w:t>
      </w:r>
      <w:r w:rsidR="007A52C0">
        <w:rPr>
          <w:rFonts w:eastAsia="Times New Roman"/>
          <w:bCs/>
          <w:snapToGrid w:val="0"/>
        </w:rPr>
        <w:t xml:space="preserve"> </w:t>
      </w:r>
      <w:r w:rsidR="007A52C0" w:rsidRPr="007A52C0">
        <w:rPr>
          <w:rFonts w:eastAsia="Times New Roman"/>
          <w:bCs/>
          <w:snapToGrid w:val="0"/>
        </w:rPr>
        <w:t>to be transplanted under current kidney allocation</w:t>
      </w:r>
      <w:r w:rsidR="007A52C0">
        <w:rPr>
          <w:rFonts w:eastAsia="Times New Roman"/>
          <w:bCs/>
          <w:snapToGrid w:val="0"/>
        </w:rPr>
        <w:t xml:space="preserve"> </w:t>
      </w:r>
      <w:r w:rsidR="007A52C0" w:rsidRPr="007A52C0">
        <w:rPr>
          <w:rFonts w:eastAsia="Times New Roman"/>
          <w:bCs/>
          <w:snapToGrid w:val="0"/>
        </w:rPr>
        <w:t>systems.</w:t>
      </w:r>
      <w:r>
        <w:rPr>
          <w:rFonts w:eastAsia="Times New Roman"/>
          <w:bCs/>
          <w:snapToGrid w:val="0"/>
        </w:rPr>
        <w:t xml:space="preserve"> </w:t>
      </w:r>
      <w:r w:rsidR="00554199" w:rsidRPr="00554199">
        <w:rPr>
          <w:rFonts w:eastAsia="Times New Roman"/>
          <w:bCs/>
          <w:snapToGrid w:val="0"/>
        </w:rPr>
        <w:t>After</w:t>
      </w:r>
      <w:r w:rsidR="00554199">
        <w:rPr>
          <w:rFonts w:eastAsia="Times New Roman"/>
          <w:bCs/>
          <w:snapToGrid w:val="0"/>
        </w:rPr>
        <w:t xml:space="preserve"> </w:t>
      </w:r>
      <w:r w:rsidR="00554199" w:rsidRPr="00554199">
        <w:rPr>
          <w:rFonts w:eastAsia="Times New Roman"/>
          <w:bCs/>
          <w:snapToGrid w:val="0"/>
        </w:rPr>
        <w:t>considering the strength of the available evidence in relation to comparative safety, clinical</w:t>
      </w:r>
      <w:r w:rsidR="00554199">
        <w:rPr>
          <w:rFonts w:eastAsia="Times New Roman"/>
          <w:bCs/>
          <w:snapToGrid w:val="0"/>
        </w:rPr>
        <w:t xml:space="preserve"> </w:t>
      </w:r>
      <w:r w:rsidR="00554199" w:rsidRPr="006B19B5">
        <w:rPr>
          <w:rFonts w:eastAsia="Times New Roman"/>
          <w:bCs/>
          <w:snapToGrid w:val="0"/>
        </w:rPr>
        <w:t>effectiveness, cost-effectiveness and total cost, MSAC deferred its decision on public funding</w:t>
      </w:r>
      <w:r w:rsidR="00F074CE" w:rsidRPr="006B19B5">
        <w:rPr>
          <w:rFonts w:eastAsia="Times New Roman"/>
          <w:bCs/>
          <w:snapToGrid w:val="0"/>
        </w:rPr>
        <w:t xml:space="preserve"> </w:t>
      </w:r>
      <w:r w:rsidR="00F074CE" w:rsidRPr="004549F0">
        <w:t>(</w:t>
      </w:r>
      <w:hyperlink r:id="rId8" w:history="1">
        <w:r w:rsidR="00F074CE" w:rsidRPr="004549F0">
          <w:rPr>
            <w:rStyle w:val="Hyperlink"/>
          </w:rPr>
          <w:t>Public Summary Document (PSD) for MSAC Application 1732.1</w:t>
        </w:r>
      </w:hyperlink>
      <w:r w:rsidR="00F074CE" w:rsidRPr="004549F0">
        <w:rPr>
          <w:rStyle w:val="Hyperlink"/>
        </w:rPr>
        <w:t>)</w:t>
      </w:r>
      <w:r w:rsidR="00554199" w:rsidRPr="006B19B5">
        <w:rPr>
          <w:rFonts w:eastAsia="Times New Roman"/>
          <w:bCs/>
          <w:snapToGrid w:val="0"/>
        </w:rPr>
        <w:t>.</w:t>
      </w:r>
    </w:p>
    <w:p w14:paraId="0CB5286C" w14:textId="5C87C69A" w:rsidR="00D851FF" w:rsidRDefault="00D851FF" w:rsidP="00235880">
      <w:pPr>
        <w:widowControl w:val="0"/>
        <w:spacing w:after="240" w:line="240" w:lineRule="auto"/>
        <w:rPr>
          <w:rFonts w:eastAsia="Times New Roman"/>
          <w:bCs/>
          <w:snapToGrid w:val="0"/>
        </w:rPr>
      </w:pPr>
      <w:r w:rsidRPr="00D851FF">
        <w:rPr>
          <w:rFonts w:eastAsia="Times New Roman"/>
          <w:bCs/>
          <w:snapToGrid w:val="0"/>
        </w:rPr>
        <w:t>MSAC considered there is a high unmet clinical need for imlifidase. MSAC considered that while imlifidase was likely to have superior effectiveness and safety compared with dialysis and most of the clinical issues identified by MSAC in the previous application have been resolved, some concerns remained, in particular the long-term effectiveness and safety outcomes of imlifidase for delayed graft function, antibody mediated rejection, and chronic kidney disease.</w:t>
      </w:r>
      <w:r w:rsidR="002B1169" w:rsidRPr="002B1169">
        <w:t xml:space="preserve"> </w:t>
      </w:r>
    </w:p>
    <w:p w14:paraId="01027F1F" w14:textId="55F0A9F6" w:rsidR="008A1F14" w:rsidRPr="008A1F14" w:rsidRDefault="008A1F14" w:rsidP="00235880">
      <w:pPr>
        <w:widowControl w:val="0"/>
        <w:spacing w:after="240" w:line="240" w:lineRule="auto"/>
        <w:rPr>
          <w:rFonts w:eastAsia="Times New Roman"/>
          <w:bCs/>
          <w:snapToGrid w:val="0"/>
        </w:rPr>
      </w:pPr>
      <w:r w:rsidRPr="008A1F14">
        <w:rPr>
          <w:rFonts w:eastAsia="Times New Roman"/>
          <w:bCs/>
          <w:snapToGrid w:val="0"/>
        </w:rPr>
        <w:t xml:space="preserve">MSAC recommended engagement with relevant stakeholders to work through the </w:t>
      </w:r>
      <w:r w:rsidR="005E61AE">
        <w:rPr>
          <w:rFonts w:eastAsia="Times New Roman"/>
          <w:bCs/>
          <w:snapToGrid w:val="0"/>
        </w:rPr>
        <w:t>remaining</w:t>
      </w:r>
      <w:r w:rsidR="00B12527">
        <w:rPr>
          <w:rFonts w:eastAsia="Times New Roman"/>
          <w:bCs/>
          <w:snapToGrid w:val="0"/>
        </w:rPr>
        <w:t xml:space="preserve"> </w:t>
      </w:r>
      <w:r w:rsidRPr="008A1F14">
        <w:rPr>
          <w:rFonts w:eastAsia="Times New Roman"/>
          <w:bCs/>
          <w:snapToGrid w:val="0"/>
        </w:rPr>
        <w:t>implementation issues including:</w:t>
      </w:r>
    </w:p>
    <w:p w14:paraId="482347A0" w14:textId="77777777" w:rsidR="00621895" w:rsidRDefault="008A1F14" w:rsidP="00235880">
      <w:pPr>
        <w:pStyle w:val="ListParagraph"/>
        <w:widowControl w:val="0"/>
        <w:numPr>
          <w:ilvl w:val="0"/>
          <w:numId w:val="42"/>
        </w:numPr>
        <w:spacing w:after="240" w:line="240" w:lineRule="auto"/>
        <w:rPr>
          <w:rFonts w:eastAsia="Times New Roman"/>
          <w:bCs/>
          <w:snapToGrid w:val="0"/>
        </w:rPr>
      </w:pPr>
      <w:r w:rsidRPr="00621895">
        <w:rPr>
          <w:rFonts w:eastAsia="Times New Roman"/>
          <w:bCs/>
          <w:snapToGrid w:val="0"/>
        </w:rPr>
        <w:t>refining the proposed eligibility criteria including the current proposed criteria for LD</w:t>
      </w:r>
      <w:r w:rsidR="00621895" w:rsidRPr="00621895">
        <w:rPr>
          <w:rFonts w:eastAsia="Times New Roman"/>
          <w:bCs/>
          <w:snapToGrid w:val="0"/>
        </w:rPr>
        <w:t xml:space="preserve"> </w:t>
      </w:r>
      <w:r w:rsidRPr="00621895">
        <w:rPr>
          <w:rFonts w:eastAsia="Times New Roman"/>
          <w:bCs/>
          <w:snapToGrid w:val="0"/>
        </w:rPr>
        <w:t>transplant recipients which refers to logistical incompatibility with other desensitisation</w:t>
      </w:r>
      <w:r w:rsidR="00621895">
        <w:rPr>
          <w:rFonts w:eastAsia="Times New Roman"/>
          <w:bCs/>
          <w:snapToGrid w:val="0"/>
        </w:rPr>
        <w:t xml:space="preserve"> </w:t>
      </w:r>
      <w:r w:rsidRPr="00621895">
        <w:rPr>
          <w:rFonts w:eastAsia="Times New Roman"/>
          <w:bCs/>
          <w:snapToGrid w:val="0"/>
        </w:rPr>
        <w:t>regimes, and with reference to the established ethical principles that guide allocation of</w:t>
      </w:r>
      <w:r w:rsidR="00621895">
        <w:rPr>
          <w:rFonts w:eastAsia="Times New Roman"/>
          <w:bCs/>
          <w:snapToGrid w:val="0"/>
        </w:rPr>
        <w:t xml:space="preserve"> </w:t>
      </w:r>
      <w:r w:rsidRPr="00621895">
        <w:rPr>
          <w:rFonts w:eastAsia="Times New Roman"/>
          <w:bCs/>
          <w:snapToGrid w:val="0"/>
        </w:rPr>
        <w:t>transplants in Australia</w:t>
      </w:r>
    </w:p>
    <w:p w14:paraId="000413C6" w14:textId="77777777" w:rsidR="00621895" w:rsidRDefault="008A1F14" w:rsidP="00235880">
      <w:pPr>
        <w:pStyle w:val="ListParagraph"/>
        <w:widowControl w:val="0"/>
        <w:numPr>
          <w:ilvl w:val="0"/>
          <w:numId w:val="42"/>
        </w:numPr>
        <w:spacing w:after="240" w:line="240" w:lineRule="auto"/>
        <w:rPr>
          <w:rFonts w:eastAsia="Times New Roman"/>
          <w:bCs/>
          <w:snapToGrid w:val="0"/>
        </w:rPr>
      </w:pPr>
      <w:r w:rsidRPr="00621895">
        <w:rPr>
          <w:rFonts w:eastAsia="Times New Roman"/>
          <w:bCs/>
          <w:snapToGrid w:val="0"/>
        </w:rPr>
        <w:t>development of national guidelines for imlifidase use</w:t>
      </w:r>
    </w:p>
    <w:p w14:paraId="45CDD06B" w14:textId="77777777" w:rsidR="00621895" w:rsidRDefault="008A1F14" w:rsidP="00235880">
      <w:pPr>
        <w:pStyle w:val="ListParagraph"/>
        <w:widowControl w:val="0"/>
        <w:numPr>
          <w:ilvl w:val="0"/>
          <w:numId w:val="42"/>
        </w:numPr>
        <w:spacing w:after="240" w:line="240" w:lineRule="auto"/>
        <w:rPr>
          <w:rFonts w:eastAsia="Times New Roman"/>
          <w:bCs/>
          <w:snapToGrid w:val="0"/>
        </w:rPr>
      </w:pPr>
      <w:r w:rsidRPr="00621895">
        <w:rPr>
          <w:rFonts w:eastAsia="Times New Roman"/>
          <w:bCs/>
          <w:snapToGrid w:val="0"/>
        </w:rPr>
        <w:t>addressing accessibility to single antigen bead testing for kidney transplantation centres</w:t>
      </w:r>
      <w:r w:rsidR="00621895">
        <w:rPr>
          <w:rFonts w:eastAsia="Times New Roman"/>
          <w:bCs/>
          <w:snapToGrid w:val="0"/>
        </w:rPr>
        <w:t xml:space="preserve"> </w:t>
      </w:r>
      <w:r w:rsidRPr="00621895">
        <w:rPr>
          <w:rFonts w:eastAsia="Times New Roman"/>
          <w:bCs/>
          <w:snapToGrid w:val="0"/>
        </w:rPr>
        <w:t>where imlifidase would be used</w:t>
      </w:r>
    </w:p>
    <w:p w14:paraId="66E6D3ED" w14:textId="77777777" w:rsidR="00621895" w:rsidRDefault="008A1F14" w:rsidP="00235880">
      <w:pPr>
        <w:pStyle w:val="ListParagraph"/>
        <w:widowControl w:val="0"/>
        <w:numPr>
          <w:ilvl w:val="0"/>
          <w:numId w:val="42"/>
        </w:numPr>
        <w:spacing w:after="240" w:line="240" w:lineRule="auto"/>
        <w:rPr>
          <w:rFonts w:eastAsia="Times New Roman"/>
          <w:bCs/>
          <w:snapToGrid w:val="0"/>
        </w:rPr>
      </w:pPr>
      <w:r w:rsidRPr="00621895">
        <w:rPr>
          <w:rFonts w:eastAsia="Times New Roman"/>
          <w:bCs/>
          <w:snapToGrid w:val="0"/>
        </w:rPr>
        <w:t>designing an appropriate pay for performance (</w:t>
      </w:r>
      <w:proofErr w:type="spellStart"/>
      <w:r w:rsidRPr="00621895">
        <w:rPr>
          <w:rFonts w:eastAsia="Times New Roman"/>
          <w:bCs/>
          <w:snapToGrid w:val="0"/>
        </w:rPr>
        <w:t>PfP</w:t>
      </w:r>
      <w:proofErr w:type="spellEnd"/>
      <w:r w:rsidRPr="00621895">
        <w:rPr>
          <w:rFonts w:eastAsia="Times New Roman"/>
          <w:bCs/>
          <w:snapToGrid w:val="0"/>
        </w:rPr>
        <w:t>) scheme with a two tiered patient</w:t>
      </w:r>
      <w:r w:rsidR="00621895">
        <w:rPr>
          <w:rFonts w:eastAsia="Times New Roman"/>
          <w:bCs/>
          <w:snapToGrid w:val="0"/>
        </w:rPr>
        <w:t xml:space="preserve"> </w:t>
      </w:r>
      <w:r w:rsidRPr="00621895">
        <w:rPr>
          <w:rFonts w:eastAsia="Times New Roman"/>
          <w:bCs/>
          <w:snapToGrid w:val="0"/>
        </w:rPr>
        <w:t>financial cap to manage the remaining clinical, economic and financial uncertainties</w:t>
      </w:r>
      <w:r w:rsidR="00621895">
        <w:rPr>
          <w:rFonts w:eastAsia="Times New Roman"/>
          <w:bCs/>
          <w:snapToGrid w:val="0"/>
        </w:rPr>
        <w:t xml:space="preserve"> </w:t>
      </w:r>
      <w:r w:rsidRPr="00621895">
        <w:rPr>
          <w:rFonts w:eastAsia="Times New Roman"/>
          <w:bCs/>
          <w:snapToGrid w:val="0"/>
        </w:rPr>
        <w:t>identified.</w:t>
      </w:r>
      <w:r w:rsidR="00621895">
        <w:rPr>
          <w:rFonts w:eastAsia="Times New Roman"/>
          <w:bCs/>
          <w:snapToGrid w:val="0"/>
        </w:rPr>
        <w:t xml:space="preserve"> </w:t>
      </w:r>
    </w:p>
    <w:p w14:paraId="71A80B14" w14:textId="0ABE6F79" w:rsidR="007A52C0" w:rsidRPr="00621895" w:rsidRDefault="008A1F14" w:rsidP="00235880">
      <w:pPr>
        <w:pStyle w:val="ListParagraph"/>
        <w:widowControl w:val="0"/>
        <w:numPr>
          <w:ilvl w:val="0"/>
          <w:numId w:val="42"/>
        </w:numPr>
        <w:spacing w:after="240" w:line="240" w:lineRule="auto"/>
        <w:rPr>
          <w:rFonts w:eastAsia="Times New Roman"/>
          <w:bCs/>
          <w:snapToGrid w:val="0"/>
        </w:rPr>
      </w:pPr>
      <w:r w:rsidRPr="00621895">
        <w:rPr>
          <w:rFonts w:eastAsia="Times New Roman"/>
          <w:bCs/>
          <w:snapToGrid w:val="0"/>
        </w:rPr>
        <w:t>collection of data for post-implementation review for MSAC consideration (and potential</w:t>
      </w:r>
      <w:r w:rsidR="00621895">
        <w:rPr>
          <w:rFonts w:eastAsia="Times New Roman"/>
          <w:bCs/>
          <w:snapToGrid w:val="0"/>
        </w:rPr>
        <w:t xml:space="preserve"> </w:t>
      </w:r>
      <w:r w:rsidRPr="00621895">
        <w:rPr>
          <w:rFonts w:eastAsia="Times New Roman"/>
          <w:bCs/>
          <w:snapToGrid w:val="0"/>
        </w:rPr>
        <w:t xml:space="preserve">sharing of data between </w:t>
      </w:r>
      <w:r w:rsidR="00F02CE0">
        <w:rPr>
          <w:rFonts w:eastAsia="Times New Roman"/>
          <w:bCs/>
          <w:snapToGrid w:val="0"/>
        </w:rPr>
        <w:t xml:space="preserve">the </w:t>
      </w:r>
      <w:r w:rsidRPr="00621895">
        <w:rPr>
          <w:rFonts w:eastAsia="Times New Roman"/>
          <w:bCs/>
          <w:snapToGrid w:val="0"/>
        </w:rPr>
        <w:t>T</w:t>
      </w:r>
      <w:r w:rsidR="00F61918">
        <w:rPr>
          <w:rFonts w:eastAsia="Times New Roman"/>
          <w:bCs/>
          <w:snapToGrid w:val="0"/>
        </w:rPr>
        <w:t xml:space="preserve">herapeutic </w:t>
      </w:r>
      <w:r w:rsidRPr="00621895">
        <w:rPr>
          <w:rFonts w:eastAsia="Times New Roman"/>
          <w:bCs/>
          <w:snapToGrid w:val="0"/>
        </w:rPr>
        <w:t>G</w:t>
      </w:r>
      <w:r w:rsidR="00F61918">
        <w:rPr>
          <w:rFonts w:eastAsia="Times New Roman"/>
          <w:bCs/>
          <w:snapToGrid w:val="0"/>
        </w:rPr>
        <w:t>ood</w:t>
      </w:r>
      <w:r w:rsidR="00F02CE0">
        <w:rPr>
          <w:rFonts w:eastAsia="Times New Roman"/>
          <w:bCs/>
          <w:snapToGrid w:val="0"/>
        </w:rPr>
        <w:t>s</w:t>
      </w:r>
      <w:r w:rsidR="00F61918">
        <w:rPr>
          <w:rFonts w:eastAsia="Times New Roman"/>
          <w:bCs/>
          <w:snapToGrid w:val="0"/>
        </w:rPr>
        <w:t xml:space="preserve"> </w:t>
      </w:r>
      <w:r w:rsidRPr="00621895">
        <w:rPr>
          <w:rFonts w:eastAsia="Times New Roman"/>
          <w:bCs/>
          <w:snapToGrid w:val="0"/>
        </w:rPr>
        <w:t>A</w:t>
      </w:r>
      <w:r w:rsidR="009B2186">
        <w:rPr>
          <w:rFonts w:eastAsia="Times New Roman"/>
          <w:bCs/>
          <w:snapToGrid w:val="0"/>
        </w:rPr>
        <w:t>dministration</w:t>
      </w:r>
      <w:r w:rsidR="00F61918">
        <w:rPr>
          <w:rFonts w:eastAsia="Times New Roman"/>
          <w:bCs/>
          <w:snapToGrid w:val="0"/>
        </w:rPr>
        <w:t xml:space="preserve"> (TGA)</w:t>
      </w:r>
      <w:r w:rsidRPr="00621895">
        <w:rPr>
          <w:rFonts w:eastAsia="Times New Roman"/>
          <w:bCs/>
          <w:snapToGrid w:val="0"/>
        </w:rPr>
        <w:t xml:space="preserve"> and MSAC and the timing of the TGA re</w:t>
      </w:r>
      <w:r w:rsidR="002E3526">
        <w:rPr>
          <w:rFonts w:eastAsia="Times New Roman"/>
          <w:bCs/>
          <w:snapToGrid w:val="0"/>
        </w:rPr>
        <w:noBreakHyphen/>
      </w:r>
      <w:r w:rsidRPr="00621895">
        <w:rPr>
          <w:rFonts w:eastAsia="Times New Roman"/>
          <w:bCs/>
          <w:snapToGrid w:val="0"/>
        </w:rPr>
        <w:t>consideration of the</w:t>
      </w:r>
      <w:r w:rsidR="00621895">
        <w:rPr>
          <w:rFonts w:eastAsia="Times New Roman"/>
          <w:bCs/>
          <w:snapToGrid w:val="0"/>
        </w:rPr>
        <w:t xml:space="preserve"> </w:t>
      </w:r>
      <w:r w:rsidRPr="00621895">
        <w:rPr>
          <w:rFonts w:eastAsia="Times New Roman"/>
          <w:bCs/>
          <w:snapToGrid w:val="0"/>
        </w:rPr>
        <w:t>provisional registration for imlifidase with respect to MSAC review and potential</w:t>
      </w:r>
      <w:r w:rsidR="00621895">
        <w:rPr>
          <w:rFonts w:eastAsia="Times New Roman"/>
          <w:bCs/>
          <w:snapToGrid w:val="0"/>
        </w:rPr>
        <w:t xml:space="preserve"> </w:t>
      </w:r>
      <w:r w:rsidRPr="00621895">
        <w:rPr>
          <w:rFonts w:eastAsia="Times New Roman"/>
          <w:bCs/>
          <w:snapToGrid w:val="0"/>
        </w:rPr>
        <w:t xml:space="preserve">implications for </w:t>
      </w:r>
      <w:proofErr w:type="spellStart"/>
      <w:r w:rsidRPr="00621895">
        <w:rPr>
          <w:rFonts w:eastAsia="Times New Roman"/>
          <w:bCs/>
          <w:snapToGrid w:val="0"/>
        </w:rPr>
        <w:t>PfP</w:t>
      </w:r>
      <w:proofErr w:type="spellEnd"/>
      <w:r w:rsidRPr="00621895">
        <w:rPr>
          <w:rFonts w:eastAsia="Times New Roman"/>
          <w:bCs/>
          <w:snapToGrid w:val="0"/>
        </w:rPr>
        <w:t xml:space="preserve"> payment scheduling.</w:t>
      </w:r>
    </w:p>
    <w:p w14:paraId="457E4D7E" w14:textId="1800296C" w:rsidR="008F6FA1" w:rsidRPr="00DC2522" w:rsidRDefault="008F6FA1" w:rsidP="00235880">
      <w:pPr>
        <w:pStyle w:val="Heading2"/>
        <w:keepNext w:val="0"/>
      </w:pPr>
      <w:r w:rsidRPr="0028500F">
        <w:t>Summary</w:t>
      </w:r>
      <w:r w:rsidRPr="008F6FA1">
        <w:t xml:space="preserve"> of discussion </w:t>
      </w:r>
      <w:r w:rsidR="007B5BBB">
        <w:t>and outcomes</w:t>
      </w:r>
    </w:p>
    <w:p w14:paraId="11457D21" w14:textId="0BADA678" w:rsidR="002301E1" w:rsidRPr="002301E1" w:rsidRDefault="002301E1" w:rsidP="00235880">
      <w:pPr>
        <w:spacing w:line="240" w:lineRule="auto"/>
        <w:rPr>
          <w:b/>
          <w:bCs/>
          <w:lang w:val="en-US"/>
        </w:rPr>
      </w:pPr>
      <w:r w:rsidRPr="002301E1">
        <w:rPr>
          <w:b/>
          <w:bCs/>
          <w:lang w:val="en-US"/>
        </w:rPr>
        <w:t>Eligibility Criteria</w:t>
      </w:r>
    </w:p>
    <w:p w14:paraId="19FBF874" w14:textId="511AC0E3" w:rsidR="004B6EC8" w:rsidRPr="004549F0" w:rsidRDefault="004B6EC8" w:rsidP="00235880">
      <w:pPr>
        <w:spacing w:line="240" w:lineRule="auto"/>
        <w:rPr>
          <w:i/>
          <w:iCs/>
          <w:lang w:val="en-US"/>
        </w:rPr>
      </w:pPr>
      <w:r>
        <w:rPr>
          <w:i/>
          <w:iCs/>
          <w:lang w:val="en-US"/>
        </w:rPr>
        <w:t xml:space="preserve">Waiting </w:t>
      </w:r>
      <w:r w:rsidR="00B9254F">
        <w:rPr>
          <w:i/>
          <w:iCs/>
          <w:lang w:val="en-US"/>
        </w:rPr>
        <w:t>period</w:t>
      </w:r>
      <w:r w:rsidR="00B93748">
        <w:rPr>
          <w:i/>
          <w:iCs/>
          <w:lang w:val="en-US"/>
        </w:rPr>
        <w:t xml:space="preserve"> for DD transplant recipients</w:t>
      </w:r>
    </w:p>
    <w:p w14:paraId="09B079A3" w14:textId="6B56514E" w:rsidR="00C25E05" w:rsidRDefault="00935517" w:rsidP="00235880">
      <w:pPr>
        <w:spacing w:line="240" w:lineRule="auto"/>
        <w:rPr>
          <w:lang w:val="en-US"/>
        </w:rPr>
      </w:pPr>
      <w:r>
        <w:rPr>
          <w:lang w:val="en-US"/>
        </w:rPr>
        <w:t>The Chair</w:t>
      </w:r>
      <w:r w:rsidR="00243D4F">
        <w:rPr>
          <w:lang w:val="en-US"/>
        </w:rPr>
        <w:t xml:space="preserve"> summarized the eligibility criteria for LD and DD transplant recipients and</w:t>
      </w:r>
      <w:r>
        <w:rPr>
          <w:lang w:val="en-US"/>
        </w:rPr>
        <w:t xml:space="preserve"> noted that </w:t>
      </w:r>
      <w:r w:rsidR="006F0FF2">
        <w:rPr>
          <w:lang w:val="en-US"/>
        </w:rPr>
        <w:t>there w</w:t>
      </w:r>
      <w:r w:rsidR="00864D25">
        <w:rPr>
          <w:lang w:val="en-US"/>
        </w:rPr>
        <w:t xml:space="preserve">as a </w:t>
      </w:r>
      <w:r w:rsidR="00202BA3">
        <w:rPr>
          <w:lang w:val="en-US"/>
        </w:rPr>
        <w:t xml:space="preserve">proposed </w:t>
      </w:r>
      <w:r w:rsidR="00864D25">
        <w:rPr>
          <w:lang w:val="en-US"/>
        </w:rPr>
        <w:t xml:space="preserve">wait time restriction of 2 years for the eligibility criteria for </w:t>
      </w:r>
      <w:r w:rsidR="00243D4F">
        <w:rPr>
          <w:lang w:val="en-US"/>
        </w:rPr>
        <w:t>DD transplant recipients which did not apply to LD transplant recipients</w:t>
      </w:r>
      <w:r w:rsidR="000D608E">
        <w:rPr>
          <w:lang w:val="en-US"/>
        </w:rPr>
        <w:t xml:space="preserve"> (as expected given the nature of the donation process in these two scenarios)</w:t>
      </w:r>
      <w:r w:rsidR="00243D4F">
        <w:rPr>
          <w:lang w:val="en-US"/>
        </w:rPr>
        <w:t xml:space="preserve">. </w:t>
      </w:r>
      <w:r w:rsidR="00606ADC">
        <w:rPr>
          <w:lang w:val="en-US"/>
        </w:rPr>
        <w:t>The Chair</w:t>
      </w:r>
      <w:r w:rsidR="002301E1" w:rsidRPr="002301E1">
        <w:rPr>
          <w:lang w:val="en-US"/>
        </w:rPr>
        <w:t xml:space="preserve"> </w:t>
      </w:r>
      <w:r w:rsidR="00A00C9B">
        <w:rPr>
          <w:lang w:val="en-US"/>
        </w:rPr>
        <w:t xml:space="preserve">clarified </w:t>
      </w:r>
      <w:r w:rsidR="002301E1" w:rsidRPr="002301E1">
        <w:rPr>
          <w:lang w:val="en-US"/>
        </w:rPr>
        <w:t>that restrictions were based on data</w:t>
      </w:r>
      <w:r w:rsidR="0042340B">
        <w:rPr>
          <w:lang w:val="en-US"/>
        </w:rPr>
        <w:t>,</w:t>
      </w:r>
      <w:r w:rsidR="002301E1" w:rsidRPr="002301E1">
        <w:rPr>
          <w:lang w:val="en-US"/>
        </w:rPr>
        <w:t xml:space="preserve"> provided by ANZDATA</w:t>
      </w:r>
      <w:r w:rsidR="00A00C9B">
        <w:rPr>
          <w:lang w:val="en-US"/>
        </w:rPr>
        <w:t xml:space="preserve"> and therefore the </w:t>
      </w:r>
      <w:proofErr w:type="gramStart"/>
      <w:r w:rsidR="00A00C9B">
        <w:rPr>
          <w:lang w:val="en-US"/>
        </w:rPr>
        <w:t>2 year</w:t>
      </w:r>
      <w:proofErr w:type="gramEnd"/>
      <w:r w:rsidR="00A00C9B">
        <w:rPr>
          <w:lang w:val="en-US"/>
        </w:rPr>
        <w:t xml:space="preserve"> </w:t>
      </w:r>
      <w:r w:rsidR="00424284">
        <w:rPr>
          <w:lang w:val="en-US"/>
        </w:rPr>
        <w:t xml:space="preserve">waiting time applied </w:t>
      </w:r>
      <w:r w:rsidR="002301E1" w:rsidRPr="002301E1">
        <w:rPr>
          <w:lang w:val="en-US"/>
        </w:rPr>
        <w:t xml:space="preserve">from </w:t>
      </w:r>
      <w:r w:rsidR="0042340B">
        <w:rPr>
          <w:lang w:val="en-US"/>
        </w:rPr>
        <w:t xml:space="preserve">the </w:t>
      </w:r>
      <w:r w:rsidR="002301E1" w:rsidRPr="002301E1">
        <w:rPr>
          <w:lang w:val="en-US"/>
        </w:rPr>
        <w:t xml:space="preserve">time of first listing on the </w:t>
      </w:r>
      <w:r w:rsidR="000D608E">
        <w:rPr>
          <w:lang w:val="en-US"/>
        </w:rPr>
        <w:t xml:space="preserve">active </w:t>
      </w:r>
      <w:r w:rsidR="002301E1" w:rsidRPr="002301E1">
        <w:rPr>
          <w:lang w:val="en-US"/>
        </w:rPr>
        <w:t xml:space="preserve">kidney </w:t>
      </w:r>
      <w:r w:rsidR="000D608E">
        <w:rPr>
          <w:lang w:val="en-US"/>
        </w:rPr>
        <w:t xml:space="preserve">transplant </w:t>
      </w:r>
      <w:r w:rsidR="002301E1" w:rsidRPr="002301E1">
        <w:rPr>
          <w:lang w:val="en-US"/>
        </w:rPr>
        <w:t xml:space="preserve">list. It was noted that </w:t>
      </w:r>
      <w:r w:rsidR="00F05B57">
        <w:rPr>
          <w:lang w:val="en-US"/>
        </w:rPr>
        <w:t xml:space="preserve">some </w:t>
      </w:r>
      <w:r w:rsidR="002301E1" w:rsidRPr="002301E1">
        <w:rPr>
          <w:lang w:val="en-US"/>
        </w:rPr>
        <w:lastRenderedPageBreak/>
        <w:t xml:space="preserve">patients may face extended time (often years) on dialysis before being </w:t>
      </w:r>
      <w:r w:rsidR="000D608E">
        <w:rPr>
          <w:lang w:val="en-US"/>
        </w:rPr>
        <w:t>activated</w:t>
      </w:r>
      <w:r w:rsidR="000D608E" w:rsidRPr="002301E1">
        <w:rPr>
          <w:lang w:val="en-US"/>
        </w:rPr>
        <w:t xml:space="preserve"> </w:t>
      </w:r>
      <w:r w:rsidR="002301E1" w:rsidRPr="002301E1">
        <w:rPr>
          <w:lang w:val="en-US"/>
        </w:rPr>
        <w:t xml:space="preserve">on the kidney </w:t>
      </w:r>
      <w:r w:rsidR="000D608E">
        <w:rPr>
          <w:lang w:val="en-US"/>
        </w:rPr>
        <w:t>transplant</w:t>
      </w:r>
      <w:r w:rsidR="000D608E" w:rsidRPr="002301E1">
        <w:rPr>
          <w:lang w:val="en-US"/>
        </w:rPr>
        <w:t xml:space="preserve"> </w:t>
      </w:r>
      <w:r w:rsidR="002301E1" w:rsidRPr="002301E1">
        <w:rPr>
          <w:lang w:val="en-US"/>
        </w:rPr>
        <w:t>list</w:t>
      </w:r>
      <w:r w:rsidR="00AB08E5">
        <w:rPr>
          <w:lang w:val="en-US"/>
        </w:rPr>
        <w:t xml:space="preserve"> and therefore these patients </w:t>
      </w:r>
      <w:r w:rsidR="007B1235">
        <w:rPr>
          <w:lang w:val="en-US"/>
        </w:rPr>
        <w:t xml:space="preserve">may </w:t>
      </w:r>
      <w:r w:rsidR="00AB08E5">
        <w:rPr>
          <w:lang w:val="en-US"/>
        </w:rPr>
        <w:t>effectively face a wait time of more than 2</w:t>
      </w:r>
      <w:r w:rsidR="009F3679">
        <w:rPr>
          <w:lang w:val="en-US"/>
        </w:rPr>
        <w:t> </w:t>
      </w:r>
      <w:r w:rsidR="00AB08E5">
        <w:rPr>
          <w:lang w:val="en-US"/>
        </w:rPr>
        <w:t xml:space="preserve">years (including the time they were inactive on the wait list but </w:t>
      </w:r>
      <w:r w:rsidR="00174D8F">
        <w:rPr>
          <w:lang w:val="en-US"/>
        </w:rPr>
        <w:t>on dial</w:t>
      </w:r>
      <w:r w:rsidR="00431C82">
        <w:rPr>
          <w:lang w:val="en-US"/>
        </w:rPr>
        <w:t xml:space="preserve">ysis) before they </w:t>
      </w:r>
      <w:r w:rsidR="00A807E1">
        <w:rPr>
          <w:lang w:val="en-US"/>
        </w:rPr>
        <w:t>qualify to</w:t>
      </w:r>
      <w:r w:rsidR="0042605C">
        <w:rPr>
          <w:lang w:val="en-US"/>
        </w:rPr>
        <w:t xml:space="preserve"> </w:t>
      </w:r>
      <w:r w:rsidR="006A6A50">
        <w:rPr>
          <w:lang w:val="en-US"/>
        </w:rPr>
        <w:t xml:space="preserve">use imlifidase and </w:t>
      </w:r>
      <w:r w:rsidR="001564FC">
        <w:rPr>
          <w:lang w:val="en-US"/>
        </w:rPr>
        <w:t>receive a transplant.</w:t>
      </w:r>
      <w:r w:rsidR="000B2E1F">
        <w:rPr>
          <w:lang w:val="en-US"/>
        </w:rPr>
        <w:t xml:space="preserve"> Sta</w:t>
      </w:r>
      <w:r w:rsidR="0061628C">
        <w:rPr>
          <w:lang w:val="en-US"/>
        </w:rPr>
        <w:t xml:space="preserve">keholders </w:t>
      </w:r>
      <w:r w:rsidR="00C615E2">
        <w:rPr>
          <w:lang w:val="en-US"/>
        </w:rPr>
        <w:t xml:space="preserve">noted </w:t>
      </w:r>
      <w:r w:rsidR="0099241B">
        <w:rPr>
          <w:lang w:val="en-US"/>
        </w:rPr>
        <w:t xml:space="preserve">that </w:t>
      </w:r>
      <w:r w:rsidR="003A26A1">
        <w:rPr>
          <w:lang w:val="en-US"/>
        </w:rPr>
        <w:t xml:space="preserve">other clinical guidance in the renal transplant </w:t>
      </w:r>
      <w:r w:rsidR="000D608E">
        <w:rPr>
          <w:lang w:val="en-US"/>
        </w:rPr>
        <w:t xml:space="preserve">area </w:t>
      </w:r>
      <w:r w:rsidR="003A26A1">
        <w:rPr>
          <w:lang w:val="en-US"/>
        </w:rPr>
        <w:t>was based on time from dialysis rather than time on the waitlist.</w:t>
      </w:r>
      <w:r w:rsidR="002301E1" w:rsidRPr="002301E1">
        <w:rPr>
          <w:lang w:val="en-US"/>
        </w:rPr>
        <w:t xml:space="preserve"> However, there was broad consensus that time from being first active on the </w:t>
      </w:r>
      <w:r w:rsidR="003F7F91">
        <w:rPr>
          <w:lang w:val="en-US"/>
        </w:rPr>
        <w:t xml:space="preserve">deceased donor </w:t>
      </w:r>
      <w:r w:rsidR="002301E1" w:rsidRPr="002301E1">
        <w:rPr>
          <w:lang w:val="en-US"/>
        </w:rPr>
        <w:t>waitlist was an appropriate measure</w:t>
      </w:r>
      <w:r w:rsidR="001564FC">
        <w:rPr>
          <w:lang w:val="en-US"/>
        </w:rPr>
        <w:t xml:space="preserve"> for eligibility criteria</w:t>
      </w:r>
      <w:r w:rsidR="002301E1" w:rsidRPr="002301E1">
        <w:rPr>
          <w:lang w:val="en-US"/>
        </w:rPr>
        <w:t xml:space="preserve">. </w:t>
      </w:r>
    </w:p>
    <w:p w14:paraId="7B8C559A" w14:textId="5F31B96E" w:rsidR="002301E1" w:rsidRDefault="002301E1" w:rsidP="00235880">
      <w:pPr>
        <w:spacing w:line="240" w:lineRule="auto"/>
        <w:rPr>
          <w:lang w:val="en-US"/>
        </w:rPr>
      </w:pPr>
      <w:r w:rsidRPr="002301E1">
        <w:rPr>
          <w:lang w:val="en-US"/>
        </w:rPr>
        <w:t>Stakeholders</w:t>
      </w:r>
      <w:r w:rsidR="00C25E05">
        <w:rPr>
          <w:lang w:val="en-US"/>
        </w:rPr>
        <w:t xml:space="preserve"> also</w:t>
      </w:r>
      <w:r w:rsidRPr="002301E1">
        <w:rPr>
          <w:lang w:val="en-US"/>
        </w:rPr>
        <w:t xml:space="preserve"> discussed </w:t>
      </w:r>
      <w:r w:rsidR="00C25E05">
        <w:rPr>
          <w:lang w:val="en-US"/>
        </w:rPr>
        <w:t xml:space="preserve">whether a </w:t>
      </w:r>
      <w:r w:rsidR="00F84F5E">
        <w:rPr>
          <w:lang w:val="en-US"/>
        </w:rPr>
        <w:t>uniform</w:t>
      </w:r>
      <w:r w:rsidRPr="002301E1">
        <w:rPr>
          <w:lang w:val="en-US"/>
        </w:rPr>
        <w:t xml:space="preserve"> 2 </w:t>
      </w:r>
      <w:r w:rsidR="001564FC" w:rsidRPr="002301E1">
        <w:rPr>
          <w:lang w:val="en-US"/>
        </w:rPr>
        <w:t>years</w:t>
      </w:r>
      <w:r w:rsidRPr="002301E1">
        <w:rPr>
          <w:lang w:val="en-US"/>
        </w:rPr>
        <w:t xml:space="preserve"> wait restriction for</w:t>
      </w:r>
      <w:r w:rsidR="00862F26">
        <w:rPr>
          <w:lang w:val="en-US"/>
        </w:rPr>
        <w:t xml:space="preserve"> all </w:t>
      </w:r>
      <w:r w:rsidRPr="002301E1">
        <w:rPr>
          <w:lang w:val="en-US"/>
        </w:rPr>
        <w:t xml:space="preserve">patients with a </w:t>
      </w:r>
      <w:r w:rsidR="00741C4D">
        <w:rPr>
          <w:lang w:val="en-US"/>
        </w:rPr>
        <w:t xml:space="preserve">calculated Panel </w:t>
      </w:r>
      <w:r w:rsidR="00793999">
        <w:rPr>
          <w:lang w:val="en-US"/>
        </w:rPr>
        <w:t>Reactive</w:t>
      </w:r>
      <w:r w:rsidR="00741C4D">
        <w:rPr>
          <w:lang w:val="en-US"/>
        </w:rPr>
        <w:t xml:space="preserve"> Antibody (</w:t>
      </w:r>
      <w:proofErr w:type="spellStart"/>
      <w:r w:rsidRPr="002301E1">
        <w:rPr>
          <w:lang w:val="en-US"/>
        </w:rPr>
        <w:t>cPRA</w:t>
      </w:r>
      <w:proofErr w:type="spellEnd"/>
      <w:r w:rsidR="00741C4D">
        <w:rPr>
          <w:lang w:val="en-US"/>
        </w:rPr>
        <w:t>)</w:t>
      </w:r>
      <w:r w:rsidR="003A6BAF">
        <w:rPr>
          <w:lang w:val="en-US"/>
        </w:rPr>
        <w:t xml:space="preserve"> of greater than or equal to 99% including those with a </w:t>
      </w:r>
      <w:proofErr w:type="spellStart"/>
      <w:r w:rsidR="003A6BAF">
        <w:rPr>
          <w:lang w:val="en-US"/>
        </w:rPr>
        <w:t>cPRA</w:t>
      </w:r>
      <w:proofErr w:type="spellEnd"/>
      <w:r w:rsidR="003A6BAF">
        <w:rPr>
          <w:lang w:val="en-US"/>
        </w:rPr>
        <w:t xml:space="preserve"> of </w:t>
      </w:r>
      <w:r w:rsidR="00C25E05">
        <w:rPr>
          <w:lang w:val="en-US"/>
        </w:rPr>
        <w:t>close to 100</w:t>
      </w:r>
      <w:r w:rsidR="005E056B">
        <w:rPr>
          <w:lang w:val="en-US"/>
        </w:rPr>
        <w:t xml:space="preserve">% </w:t>
      </w:r>
      <w:r w:rsidR="00C25E05">
        <w:rPr>
          <w:lang w:val="en-US"/>
        </w:rPr>
        <w:t xml:space="preserve">was appropriate </w:t>
      </w:r>
      <w:r w:rsidR="003A6BAF">
        <w:rPr>
          <w:lang w:val="en-US"/>
        </w:rPr>
        <w:t xml:space="preserve">given that </w:t>
      </w:r>
      <w:r w:rsidR="00DD1BBA">
        <w:rPr>
          <w:lang w:val="en-US"/>
        </w:rPr>
        <w:t xml:space="preserve">patients </w:t>
      </w:r>
      <w:r w:rsidR="000A6B93">
        <w:rPr>
          <w:lang w:val="en-US"/>
        </w:rPr>
        <w:t xml:space="preserve">with a </w:t>
      </w:r>
      <w:proofErr w:type="spellStart"/>
      <w:r w:rsidR="000A6B93">
        <w:rPr>
          <w:lang w:val="en-US"/>
        </w:rPr>
        <w:t>cPRA</w:t>
      </w:r>
      <w:proofErr w:type="spellEnd"/>
      <w:r w:rsidR="000A6B93">
        <w:rPr>
          <w:lang w:val="en-US"/>
        </w:rPr>
        <w:t xml:space="preserve"> close to 100% </w:t>
      </w:r>
      <w:r w:rsidR="005E056B">
        <w:rPr>
          <w:lang w:val="en-US"/>
        </w:rPr>
        <w:t xml:space="preserve">have </w:t>
      </w:r>
      <w:r w:rsidR="000A6B93">
        <w:rPr>
          <w:lang w:val="en-US"/>
        </w:rPr>
        <w:t>consistently less opportunities to access a kidney transplant</w:t>
      </w:r>
      <w:r w:rsidR="005E056B">
        <w:rPr>
          <w:lang w:val="en-US"/>
        </w:rPr>
        <w:t xml:space="preserve"> regardless of wait time</w:t>
      </w:r>
      <w:r w:rsidRPr="002301E1">
        <w:rPr>
          <w:lang w:val="en-US"/>
        </w:rPr>
        <w:t>.</w:t>
      </w:r>
      <w:r w:rsidR="0096023F">
        <w:rPr>
          <w:lang w:val="en-US"/>
        </w:rPr>
        <w:t xml:space="preserve"> Stakeholders discussed whether it was necessary </w:t>
      </w:r>
      <w:r w:rsidR="007C7D92">
        <w:rPr>
          <w:lang w:val="en-US"/>
        </w:rPr>
        <w:t>to require such patients to wait 2 years for a transplant</w:t>
      </w:r>
      <w:r w:rsidR="008E1A06">
        <w:rPr>
          <w:lang w:val="en-US"/>
        </w:rPr>
        <w:t>.</w:t>
      </w:r>
      <w:r w:rsidR="007C7D92">
        <w:rPr>
          <w:lang w:val="en-US"/>
        </w:rPr>
        <w:t xml:space="preserve"> </w:t>
      </w:r>
      <w:r w:rsidR="00663AED">
        <w:rPr>
          <w:lang w:val="en-US"/>
        </w:rPr>
        <w:t xml:space="preserve">It was concluded that while </w:t>
      </w:r>
      <w:r w:rsidR="00663AED" w:rsidRPr="00663AED">
        <w:rPr>
          <w:lang w:val="en-US"/>
        </w:rPr>
        <w:t xml:space="preserve">there may be merit in having no </w:t>
      </w:r>
      <w:r w:rsidR="00D92DBF">
        <w:rPr>
          <w:lang w:val="en-US"/>
        </w:rPr>
        <w:t xml:space="preserve">or a shorter </w:t>
      </w:r>
      <w:r w:rsidR="00663AED" w:rsidRPr="00663AED">
        <w:rPr>
          <w:lang w:val="en-US"/>
        </w:rPr>
        <w:t xml:space="preserve">waiting time for people </w:t>
      </w:r>
      <w:r w:rsidR="00C11E1F">
        <w:rPr>
          <w:lang w:val="en-US"/>
        </w:rPr>
        <w:t xml:space="preserve">with a </w:t>
      </w:r>
      <w:proofErr w:type="spellStart"/>
      <w:r w:rsidR="00B25EBD">
        <w:rPr>
          <w:lang w:val="en-US"/>
        </w:rPr>
        <w:t>c</w:t>
      </w:r>
      <w:r w:rsidR="00C11E1F">
        <w:rPr>
          <w:lang w:val="en-US"/>
        </w:rPr>
        <w:t>PRA</w:t>
      </w:r>
      <w:proofErr w:type="spellEnd"/>
      <w:r w:rsidR="00C11E1F">
        <w:rPr>
          <w:lang w:val="en-US"/>
        </w:rPr>
        <w:t xml:space="preserve"> of close</w:t>
      </w:r>
      <w:r w:rsidR="00D1712B">
        <w:rPr>
          <w:lang w:val="en-US"/>
        </w:rPr>
        <w:t xml:space="preserve"> to </w:t>
      </w:r>
      <w:r w:rsidR="00663AED" w:rsidRPr="00663AED">
        <w:rPr>
          <w:lang w:val="en-US"/>
        </w:rPr>
        <w:t>100</w:t>
      </w:r>
      <w:r w:rsidR="00C11E1F">
        <w:rPr>
          <w:lang w:val="en-US"/>
        </w:rPr>
        <w:t>% there were also counter-arguments to</w:t>
      </w:r>
      <w:r w:rsidR="005A7E45">
        <w:rPr>
          <w:lang w:val="en-US"/>
        </w:rPr>
        <w:t xml:space="preserve"> this, particularly that this might introduce </w:t>
      </w:r>
      <w:r w:rsidR="00DA517A">
        <w:rPr>
          <w:lang w:val="en-US"/>
        </w:rPr>
        <w:t xml:space="preserve">additional complexity to the waiting time criteria for DD transplant recipients and that the </w:t>
      </w:r>
      <w:r w:rsidR="00CC20E0">
        <w:rPr>
          <w:lang w:val="en-US"/>
        </w:rPr>
        <w:t xml:space="preserve">same waiting time </w:t>
      </w:r>
      <w:r w:rsidR="00DA517A">
        <w:rPr>
          <w:lang w:val="en-US"/>
        </w:rPr>
        <w:t xml:space="preserve">should be </w:t>
      </w:r>
      <w:r w:rsidR="00CC20E0">
        <w:rPr>
          <w:lang w:val="en-US"/>
        </w:rPr>
        <w:t xml:space="preserve">applicable to all patients with </w:t>
      </w:r>
      <w:proofErr w:type="spellStart"/>
      <w:r w:rsidR="00CC20E0">
        <w:rPr>
          <w:lang w:val="en-US"/>
        </w:rPr>
        <w:t>cPRA</w:t>
      </w:r>
      <w:proofErr w:type="spellEnd"/>
      <w:r w:rsidR="00CC20E0" w:rsidRPr="002301E1">
        <w:rPr>
          <w:lang w:val="en-US"/>
        </w:rPr>
        <w:t>≥</w:t>
      </w:r>
      <w:r w:rsidR="00CC20E0">
        <w:rPr>
          <w:lang w:val="en-US"/>
        </w:rPr>
        <w:t xml:space="preserve"> 99%</w:t>
      </w:r>
      <w:r w:rsidR="00175BBE">
        <w:rPr>
          <w:lang w:val="en-US"/>
        </w:rPr>
        <w:t xml:space="preserve">. </w:t>
      </w:r>
    </w:p>
    <w:p w14:paraId="269E090F" w14:textId="703D3D55" w:rsidR="00F21836" w:rsidRPr="00320010" w:rsidRDefault="00F21836" w:rsidP="00235880">
      <w:pPr>
        <w:spacing w:line="240" w:lineRule="auto"/>
        <w:rPr>
          <w:i/>
          <w:iCs/>
          <w:lang w:val="en-US"/>
        </w:rPr>
      </w:pPr>
      <w:proofErr w:type="spellStart"/>
      <w:r w:rsidRPr="00320010">
        <w:rPr>
          <w:i/>
          <w:iCs/>
          <w:lang w:val="en-US"/>
        </w:rPr>
        <w:t>Desensitisation</w:t>
      </w:r>
      <w:proofErr w:type="spellEnd"/>
      <w:r w:rsidRPr="00320010">
        <w:rPr>
          <w:i/>
          <w:iCs/>
          <w:lang w:val="en-US"/>
        </w:rPr>
        <w:t xml:space="preserve"> treatments unlikely to be successful</w:t>
      </w:r>
    </w:p>
    <w:p w14:paraId="4745A8BF" w14:textId="7ABB717F" w:rsidR="007C015B" w:rsidRPr="002301E1" w:rsidRDefault="009C7F48" w:rsidP="00235880">
      <w:pPr>
        <w:spacing w:line="240" w:lineRule="auto"/>
      </w:pPr>
      <w:r w:rsidRPr="6FC1EBE4">
        <w:t>There was consensus that while the first t</w:t>
      </w:r>
      <w:r w:rsidR="00235E58" w:rsidRPr="6FC1EBE4">
        <w:t>wo</w:t>
      </w:r>
      <w:r w:rsidR="00A512AE" w:rsidRPr="6FC1EBE4">
        <w:t xml:space="preserve"> clauses</w:t>
      </w:r>
      <w:r w:rsidRPr="6FC1EBE4">
        <w:t xml:space="preserve"> of the eligibility criteria for LD transplant recipients were appropriate, the</w:t>
      </w:r>
      <w:r w:rsidR="00A70149" w:rsidRPr="6FC1EBE4">
        <w:t xml:space="preserve"> final </w:t>
      </w:r>
      <w:r w:rsidRPr="6FC1EBE4">
        <w:t>t</w:t>
      </w:r>
      <w:r w:rsidR="00DB59D6" w:rsidRPr="6FC1EBE4">
        <w:t>hree</w:t>
      </w:r>
      <w:r w:rsidRPr="6FC1EBE4">
        <w:t xml:space="preserve"> clauses of the eligibility criteria</w:t>
      </w:r>
      <w:r w:rsidR="00827144" w:rsidRPr="6FC1EBE4">
        <w:t xml:space="preserve"> should be </w:t>
      </w:r>
      <w:r w:rsidR="00A70149" w:rsidRPr="6FC1EBE4">
        <w:t>amended to</w:t>
      </w:r>
      <w:r w:rsidR="00164AE8" w:rsidRPr="6FC1EBE4">
        <w:t xml:space="preserve"> </w:t>
      </w:r>
      <w:r w:rsidR="00A70149" w:rsidRPr="6FC1EBE4">
        <w:t xml:space="preserve">‘For whom </w:t>
      </w:r>
      <w:r w:rsidR="00B67D2E">
        <w:t xml:space="preserve">alternate </w:t>
      </w:r>
      <w:r w:rsidR="00A70149" w:rsidRPr="6FC1EBE4">
        <w:t xml:space="preserve">desensitisation regimens for organ transplantation have failed or are contraindicated </w:t>
      </w:r>
      <w:r w:rsidR="00BD5BEF" w:rsidRPr="6FC1EBE4">
        <w:rPr>
          <w:b/>
          <w:bCs/>
        </w:rPr>
        <w:t>or are</w:t>
      </w:r>
      <w:r w:rsidR="00A70149" w:rsidRPr="6FC1EBE4">
        <w:t xml:space="preserve"> </w:t>
      </w:r>
      <w:r w:rsidR="00A70149" w:rsidRPr="6FC1EBE4">
        <w:rPr>
          <w:b/>
          <w:bCs/>
        </w:rPr>
        <w:t>unlikely to be successful</w:t>
      </w:r>
      <w:r w:rsidR="002B5FE3" w:rsidRPr="6FC1EBE4">
        <w:t>.</w:t>
      </w:r>
      <w:r w:rsidR="00A70149" w:rsidRPr="6FC1EBE4">
        <w:t>’</w:t>
      </w:r>
      <w:r w:rsidR="002B5FE3" w:rsidRPr="6FC1EBE4">
        <w:t xml:space="preserve"> This was because </w:t>
      </w:r>
      <w:r w:rsidR="009B4A2C" w:rsidRPr="6FC1EBE4">
        <w:t>stakeholders considered that desensitisation is an evolving practice across Australia so that it was unnecessary to specify the types of desensitisation treatments</w:t>
      </w:r>
      <w:r w:rsidR="005065BB" w:rsidRPr="6FC1EBE4">
        <w:t xml:space="preserve"> that were unlikely to be successful</w:t>
      </w:r>
      <w:r w:rsidR="009B4A2C" w:rsidRPr="6FC1EBE4">
        <w:t xml:space="preserve">. </w:t>
      </w:r>
      <w:r w:rsidR="007C015B" w:rsidRPr="6FC1EBE4">
        <w:t xml:space="preserve"> </w:t>
      </w:r>
    </w:p>
    <w:p w14:paraId="7774E095" w14:textId="3344C59E" w:rsidR="00F41DD7" w:rsidRPr="004549F0" w:rsidRDefault="00F41DD7" w:rsidP="00235880">
      <w:pPr>
        <w:spacing w:line="240" w:lineRule="auto"/>
        <w:rPr>
          <w:i/>
          <w:iCs/>
          <w:lang w:val="en-US"/>
        </w:rPr>
      </w:pPr>
      <w:r w:rsidRPr="45698FF3">
        <w:rPr>
          <w:i/>
          <w:iCs/>
          <w:lang w:val="en-US"/>
        </w:rPr>
        <w:t xml:space="preserve">Eligible patients </w:t>
      </w:r>
    </w:p>
    <w:p w14:paraId="315FD945" w14:textId="796FEB13" w:rsidR="00D209D1" w:rsidRDefault="00524C98" w:rsidP="00235880">
      <w:pPr>
        <w:spacing w:line="240" w:lineRule="auto"/>
        <w:rPr>
          <w:lang w:val="en-US"/>
        </w:rPr>
      </w:pPr>
      <w:r>
        <w:rPr>
          <w:lang w:val="en-US"/>
        </w:rPr>
        <w:t xml:space="preserve">The Chair noted that </w:t>
      </w:r>
      <w:r w:rsidR="00E91EED">
        <w:rPr>
          <w:lang w:val="en-US"/>
        </w:rPr>
        <w:t xml:space="preserve">the projected number of eligible </w:t>
      </w:r>
      <w:r w:rsidR="003A4A41">
        <w:rPr>
          <w:lang w:val="en-US"/>
        </w:rPr>
        <w:t xml:space="preserve">patients would have implications for </w:t>
      </w:r>
      <w:r w:rsidR="004C1326">
        <w:rPr>
          <w:lang w:val="en-US"/>
        </w:rPr>
        <w:t xml:space="preserve">the financial costs of funding imlifidase </w:t>
      </w:r>
      <w:r w:rsidR="000D608E">
        <w:rPr>
          <w:lang w:val="en-US"/>
        </w:rPr>
        <w:t xml:space="preserve">and cost effectiveness </w:t>
      </w:r>
      <w:r w:rsidR="004C1326">
        <w:rPr>
          <w:lang w:val="en-US"/>
        </w:rPr>
        <w:t xml:space="preserve">and therefore it was important to </w:t>
      </w:r>
      <w:r w:rsidR="00B95785">
        <w:rPr>
          <w:lang w:val="en-US"/>
        </w:rPr>
        <w:t>obtain</w:t>
      </w:r>
      <w:r w:rsidR="004C1326">
        <w:rPr>
          <w:lang w:val="en-US"/>
        </w:rPr>
        <w:t xml:space="preserve"> </w:t>
      </w:r>
      <w:r w:rsidR="004A7F43">
        <w:rPr>
          <w:lang w:val="en-US"/>
        </w:rPr>
        <w:t xml:space="preserve">a robust understanding of </w:t>
      </w:r>
      <w:r w:rsidR="00F41DD7">
        <w:rPr>
          <w:lang w:val="en-US"/>
        </w:rPr>
        <w:t xml:space="preserve">likely </w:t>
      </w:r>
      <w:r w:rsidR="00585BF2">
        <w:rPr>
          <w:lang w:val="en-US"/>
        </w:rPr>
        <w:t>patient numbers</w:t>
      </w:r>
      <w:r w:rsidR="00037A84">
        <w:t xml:space="preserve">. </w:t>
      </w:r>
      <w:r w:rsidR="00A31BCF">
        <w:t xml:space="preserve">The Chair </w:t>
      </w:r>
      <w:r w:rsidR="00037A84">
        <w:t>clarified</w:t>
      </w:r>
      <w:r w:rsidR="008C645A" w:rsidRPr="008C645A">
        <w:rPr>
          <w:lang w:val="en-US"/>
        </w:rPr>
        <w:t xml:space="preserve"> that imlifidase will not increase the number of kidney transplantations, </w:t>
      </w:r>
      <w:r w:rsidR="008C645A">
        <w:rPr>
          <w:lang w:val="en-US"/>
        </w:rPr>
        <w:t xml:space="preserve">but </w:t>
      </w:r>
      <w:r w:rsidR="00A31BCF">
        <w:rPr>
          <w:lang w:val="en-US"/>
        </w:rPr>
        <w:t xml:space="preserve">instead was aimed at improving equity in transplantation outcomes </w:t>
      </w:r>
      <w:r w:rsidR="00D209D1">
        <w:rPr>
          <w:lang w:val="en-US"/>
        </w:rPr>
        <w:t xml:space="preserve">by increasing kidney transplantation opportunities for the </w:t>
      </w:r>
      <w:r w:rsidR="007447E7">
        <w:rPr>
          <w:lang w:val="en-US"/>
        </w:rPr>
        <w:t xml:space="preserve">highly </w:t>
      </w:r>
      <w:proofErr w:type="spellStart"/>
      <w:r w:rsidR="007447E7">
        <w:rPr>
          <w:lang w:val="en-US"/>
        </w:rPr>
        <w:t>sensitised</w:t>
      </w:r>
      <w:proofErr w:type="spellEnd"/>
      <w:r w:rsidR="00037A84">
        <w:rPr>
          <w:lang w:val="en-US"/>
        </w:rPr>
        <w:t xml:space="preserve"> patients meeting the eligibility criteria</w:t>
      </w:r>
      <w:r w:rsidR="001D5316">
        <w:rPr>
          <w:lang w:val="en-US"/>
        </w:rPr>
        <w:t xml:space="preserve"> for imlifidase</w:t>
      </w:r>
      <w:r w:rsidR="007447E7">
        <w:rPr>
          <w:lang w:val="en-US"/>
        </w:rPr>
        <w:t>.</w:t>
      </w:r>
      <w:r w:rsidR="008C645A">
        <w:rPr>
          <w:lang w:val="en-US"/>
        </w:rPr>
        <w:t xml:space="preserve"> </w:t>
      </w:r>
      <w:r w:rsidR="00585BF2">
        <w:rPr>
          <w:lang w:val="en-US"/>
        </w:rPr>
        <w:t xml:space="preserve"> </w:t>
      </w:r>
    </w:p>
    <w:p w14:paraId="2DD8FEC9" w14:textId="47CF742D" w:rsidR="00CF1637" w:rsidRDefault="002301E1" w:rsidP="00235880">
      <w:pPr>
        <w:spacing w:line="240" w:lineRule="auto"/>
        <w:rPr>
          <w:lang w:val="en-US"/>
        </w:rPr>
      </w:pPr>
      <w:r w:rsidRPr="002301E1">
        <w:rPr>
          <w:lang w:val="en-US"/>
        </w:rPr>
        <w:t xml:space="preserve">States and Territories provided an estimate of the </w:t>
      </w:r>
      <w:r w:rsidR="00B95785">
        <w:rPr>
          <w:lang w:val="en-US"/>
        </w:rPr>
        <w:t xml:space="preserve">number </w:t>
      </w:r>
      <w:r w:rsidRPr="002301E1">
        <w:rPr>
          <w:lang w:val="en-US"/>
        </w:rPr>
        <w:t>of patients within their jurisdiction wh</w:t>
      </w:r>
      <w:r w:rsidR="00B95785">
        <w:rPr>
          <w:lang w:val="en-US"/>
        </w:rPr>
        <w:t>o</w:t>
      </w:r>
      <w:r w:rsidRPr="002301E1">
        <w:rPr>
          <w:lang w:val="en-US"/>
        </w:rPr>
        <w:t xml:space="preserve"> may be eligible for imlifidase treatment</w:t>
      </w:r>
      <w:r w:rsidR="00801503">
        <w:rPr>
          <w:lang w:val="en-US"/>
        </w:rPr>
        <w:t xml:space="preserve"> based on the number </w:t>
      </w:r>
      <w:r w:rsidR="00941848">
        <w:rPr>
          <w:lang w:val="en-US"/>
        </w:rPr>
        <w:t>of patients on their waiting l</w:t>
      </w:r>
      <w:r w:rsidR="00C02E1F">
        <w:rPr>
          <w:lang w:val="en-US"/>
        </w:rPr>
        <w:t xml:space="preserve">ists who met the </w:t>
      </w:r>
      <w:proofErr w:type="spellStart"/>
      <w:r w:rsidR="00C02E1F">
        <w:rPr>
          <w:lang w:val="en-US"/>
        </w:rPr>
        <w:t>cPRA</w:t>
      </w:r>
      <w:proofErr w:type="spellEnd"/>
      <w:r w:rsidR="00C02E1F">
        <w:rPr>
          <w:lang w:val="en-US"/>
        </w:rPr>
        <w:t xml:space="preserve"> requirements</w:t>
      </w:r>
      <w:r w:rsidR="000B3751">
        <w:rPr>
          <w:lang w:val="en-US"/>
        </w:rPr>
        <w:t xml:space="preserve"> and an</w:t>
      </w:r>
      <w:r w:rsidR="000E25C2">
        <w:rPr>
          <w:lang w:val="en-US"/>
        </w:rPr>
        <w:t xml:space="preserve"> </w:t>
      </w:r>
      <w:r w:rsidR="00DA25EF">
        <w:rPr>
          <w:lang w:val="en-US"/>
        </w:rPr>
        <w:t>AN</w:t>
      </w:r>
      <w:r w:rsidR="000E25C2">
        <w:rPr>
          <w:lang w:val="en-US"/>
        </w:rPr>
        <w:t>ZDATA</w:t>
      </w:r>
      <w:r w:rsidR="00143876">
        <w:rPr>
          <w:lang w:val="en-US"/>
        </w:rPr>
        <w:t xml:space="preserve"> registry</w:t>
      </w:r>
      <w:r w:rsidR="000E25C2">
        <w:rPr>
          <w:lang w:val="en-US"/>
        </w:rPr>
        <w:t xml:space="preserve"> </w:t>
      </w:r>
      <w:r w:rsidR="00143876">
        <w:rPr>
          <w:lang w:val="en-US"/>
        </w:rPr>
        <w:t xml:space="preserve">representative </w:t>
      </w:r>
      <w:r w:rsidR="000E25C2">
        <w:rPr>
          <w:lang w:val="en-US"/>
        </w:rPr>
        <w:t xml:space="preserve">reminded the stakeholder </w:t>
      </w:r>
      <w:r w:rsidR="00143876">
        <w:rPr>
          <w:lang w:val="en-US"/>
        </w:rPr>
        <w:t xml:space="preserve">that in </w:t>
      </w:r>
      <w:r w:rsidR="00DA25EF">
        <w:rPr>
          <w:lang w:val="en-US"/>
        </w:rPr>
        <w:t>202</w:t>
      </w:r>
      <w:r w:rsidR="00A41180">
        <w:rPr>
          <w:lang w:val="en-US"/>
        </w:rPr>
        <w:t>2</w:t>
      </w:r>
      <w:r w:rsidR="006B63BD">
        <w:rPr>
          <w:lang w:val="en-US"/>
        </w:rPr>
        <w:t>, there were</w:t>
      </w:r>
      <w:r w:rsidR="00DA25EF">
        <w:rPr>
          <w:lang w:val="en-US"/>
        </w:rPr>
        <w:t xml:space="preserve"> </w:t>
      </w:r>
      <w:r w:rsidR="00143876">
        <w:rPr>
          <w:lang w:val="en-US"/>
        </w:rPr>
        <w:t>13</w:t>
      </w:r>
      <w:r w:rsidR="006D7318">
        <w:rPr>
          <w:lang w:val="en-US"/>
        </w:rPr>
        <w:t xml:space="preserve">5 patients </w:t>
      </w:r>
      <w:r w:rsidR="0086303C">
        <w:rPr>
          <w:lang w:val="en-US"/>
        </w:rPr>
        <w:t>nationally</w:t>
      </w:r>
      <w:r w:rsidR="006D7318">
        <w:rPr>
          <w:lang w:val="en-US"/>
        </w:rPr>
        <w:t xml:space="preserve"> on the active waitlist </w:t>
      </w:r>
      <w:r w:rsidR="00DA25EF">
        <w:rPr>
          <w:lang w:val="en-US"/>
        </w:rPr>
        <w:t xml:space="preserve">with a </w:t>
      </w:r>
      <w:proofErr w:type="spellStart"/>
      <w:r w:rsidR="00DA25EF">
        <w:rPr>
          <w:lang w:val="en-US"/>
        </w:rPr>
        <w:t>cPRA</w:t>
      </w:r>
      <w:proofErr w:type="spellEnd"/>
      <w:r w:rsidR="00DA25EF">
        <w:rPr>
          <w:lang w:val="en-US"/>
        </w:rPr>
        <w:t xml:space="preserve"> </w:t>
      </w:r>
      <w:r w:rsidR="00E3052A">
        <w:rPr>
          <w:lang w:val="en-US"/>
        </w:rPr>
        <w:t>≥</w:t>
      </w:r>
      <w:r w:rsidR="00DA25EF">
        <w:rPr>
          <w:lang w:val="en-US"/>
        </w:rPr>
        <w:t xml:space="preserve"> 99%</w:t>
      </w:r>
      <w:r w:rsidR="006D7318">
        <w:rPr>
          <w:lang w:val="en-US"/>
        </w:rPr>
        <w:t xml:space="preserve">. </w:t>
      </w:r>
      <w:r w:rsidR="00B84C77">
        <w:rPr>
          <w:lang w:val="en-US"/>
        </w:rPr>
        <w:t xml:space="preserve">It was noted </w:t>
      </w:r>
      <w:r w:rsidR="00447B5A">
        <w:rPr>
          <w:lang w:val="en-US"/>
        </w:rPr>
        <w:t>that the number</w:t>
      </w:r>
      <w:r w:rsidR="00B84C77">
        <w:rPr>
          <w:lang w:val="en-US"/>
        </w:rPr>
        <w:t xml:space="preserve"> of patients</w:t>
      </w:r>
      <w:r w:rsidR="00447B5A">
        <w:rPr>
          <w:lang w:val="en-US"/>
        </w:rPr>
        <w:t xml:space="preserve"> who </w:t>
      </w:r>
      <w:r w:rsidR="007615FE">
        <w:rPr>
          <w:lang w:val="en-US"/>
        </w:rPr>
        <w:t xml:space="preserve">ultimately qualified for imlifidase-facilitated transplantation would be smaller than the number of patients who </w:t>
      </w:r>
      <w:r w:rsidR="001A5541">
        <w:rPr>
          <w:lang w:val="en-US"/>
        </w:rPr>
        <w:t>might be considered eligible</w:t>
      </w:r>
      <w:r w:rsidR="00B84C77">
        <w:rPr>
          <w:lang w:val="en-US"/>
        </w:rPr>
        <w:t xml:space="preserve"> </w:t>
      </w:r>
      <w:r w:rsidR="00134997">
        <w:rPr>
          <w:lang w:val="en-US"/>
        </w:rPr>
        <w:t xml:space="preserve">based on </w:t>
      </w:r>
      <w:proofErr w:type="spellStart"/>
      <w:r w:rsidR="00134997">
        <w:rPr>
          <w:lang w:val="en-US"/>
        </w:rPr>
        <w:t>cPRA</w:t>
      </w:r>
      <w:proofErr w:type="spellEnd"/>
      <w:r w:rsidR="00134997">
        <w:rPr>
          <w:lang w:val="en-US"/>
        </w:rPr>
        <w:t xml:space="preserve"> and waiting time. </w:t>
      </w:r>
      <w:r w:rsidR="00E1300A">
        <w:rPr>
          <w:lang w:val="en-US"/>
        </w:rPr>
        <w:t xml:space="preserve">Stakeholders advised that </w:t>
      </w:r>
      <w:r w:rsidR="00630BF3">
        <w:rPr>
          <w:lang w:val="en-US"/>
        </w:rPr>
        <w:t>some</w:t>
      </w:r>
      <w:r w:rsidR="00E1300A">
        <w:rPr>
          <w:lang w:val="en-US"/>
        </w:rPr>
        <w:t xml:space="preserve"> </w:t>
      </w:r>
      <w:r w:rsidR="00124C97">
        <w:rPr>
          <w:lang w:val="en-US"/>
        </w:rPr>
        <w:t>patients would not be suitable for an imli</w:t>
      </w:r>
      <w:r w:rsidR="008613BF">
        <w:rPr>
          <w:lang w:val="en-US"/>
        </w:rPr>
        <w:t>fi</w:t>
      </w:r>
      <w:r w:rsidR="00124C97">
        <w:rPr>
          <w:lang w:val="en-US"/>
        </w:rPr>
        <w:t>dase-</w:t>
      </w:r>
      <w:r w:rsidR="00714599">
        <w:rPr>
          <w:lang w:val="en-US"/>
        </w:rPr>
        <w:t xml:space="preserve">enabled transplant </w:t>
      </w:r>
      <w:r w:rsidR="000D608E">
        <w:rPr>
          <w:lang w:val="en-US"/>
        </w:rPr>
        <w:t>because of comorbidities</w:t>
      </w:r>
      <w:r w:rsidR="00713FBE">
        <w:rPr>
          <w:lang w:val="en-US"/>
        </w:rPr>
        <w:t xml:space="preserve">. </w:t>
      </w:r>
    </w:p>
    <w:p w14:paraId="0D83E3DD" w14:textId="39E7DAA1" w:rsidR="008543F5" w:rsidRDefault="00713FBE" w:rsidP="00235880">
      <w:pPr>
        <w:spacing w:line="240" w:lineRule="auto"/>
        <w:rPr>
          <w:lang w:val="en-US"/>
        </w:rPr>
      </w:pPr>
      <w:r>
        <w:rPr>
          <w:lang w:val="en-US"/>
        </w:rPr>
        <w:t xml:space="preserve">Stakeholders distinguished between the prevalent pool of </w:t>
      </w:r>
      <w:r w:rsidR="009D0A23">
        <w:rPr>
          <w:lang w:val="en-US"/>
        </w:rPr>
        <w:t xml:space="preserve">existing </w:t>
      </w:r>
      <w:r w:rsidR="000A0A4A">
        <w:rPr>
          <w:lang w:val="en-US"/>
        </w:rPr>
        <w:t xml:space="preserve">patients on the waiting list versus the incident </w:t>
      </w:r>
      <w:r w:rsidR="000D608E">
        <w:rPr>
          <w:lang w:val="en-US"/>
        </w:rPr>
        <w:t xml:space="preserve">number </w:t>
      </w:r>
      <w:r w:rsidR="000A0A4A">
        <w:rPr>
          <w:lang w:val="en-US"/>
        </w:rPr>
        <w:t>of new patients every year</w:t>
      </w:r>
      <w:r w:rsidR="00025110">
        <w:rPr>
          <w:lang w:val="en-US"/>
        </w:rPr>
        <w:t xml:space="preserve">. It was </w:t>
      </w:r>
      <w:r w:rsidR="000A0A4A">
        <w:rPr>
          <w:lang w:val="en-US"/>
        </w:rPr>
        <w:t xml:space="preserve">considered that within the prevalent pool, up to 50% of patients may be </w:t>
      </w:r>
      <w:r w:rsidR="00061193">
        <w:rPr>
          <w:lang w:val="en-US"/>
        </w:rPr>
        <w:t xml:space="preserve">unsuitable for an </w:t>
      </w:r>
      <w:r w:rsidR="00061193" w:rsidRPr="5CC8B2C0">
        <w:rPr>
          <w:lang w:val="en-US"/>
        </w:rPr>
        <w:t>imlifidase</w:t>
      </w:r>
      <w:r w:rsidR="0083437B">
        <w:rPr>
          <w:lang w:val="en-US"/>
        </w:rPr>
        <w:t>-</w:t>
      </w:r>
      <w:r w:rsidR="00061193" w:rsidRPr="5CC8B2C0">
        <w:rPr>
          <w:lang w:val="en-US"/>
        </w:rPr>
        <w:t>enabled</w:t>
      </w:r>
      <w:r w:rsidR="00061193">
        <w:rPr>
          <w:lang w:val="en-US"/>
        </w:rPr>
        <w:t xml:space="preserve"> </w:t>
      </w:r>
      <w:r w:rsidR="00025110">
        <w:rPr>
          <w:lang w:val="en-US"/>
        </w:rPr>
        <w:t>transplantation</w:t>
      </w:r>
      <w:r w:rsidR="00895AAB">
        <w:rPr>
          <w:lang w:val="en-US"/>
        </w:rPr>
        <w:t xml:space="preserve">, thus </w:t>
      </w:r>
      <w:r w:rsidR="002564D7">
        <w:rPr>
          <w:lang w:val="en-US"/>
        </w:rPr>
        <w:t xml:space="preserve">approximately </w:t>
      </w:r>
      <w:r w:rsidR="00B919B5">
        <w:rPr>
          <w:lang w:val="en-US"/>
        </w:rPr>
        <w:t xml:space="preserve">50% of 135 patients may make up </w:t>
      </w:r>
      <w:r w:rsidR="00716B3F">
        <w:rPr>
          <w:lang w:val="en-US"/>
        </w:rPr>
        <w:t>a prevalent</w:t>
      </w:r>
      <w:r w:rsidR="00B919B5">
        <w:rPr>
          <w:lang w:val="en-US"/>
        </w:rPr>
        <w:t xml:space="preserve"> </w:t>
      </w:r>
      <w:r w:rsidR="00297CDE">
        <w:rPr>
          <w:lang w:val="en-US"/>
        </w:rPr>
        <w:t>‘</w:t>
      </w:r>
      <w:r w:rsidR="00B919B5">
        <w:rPr>
          <w:lang w:val="en-US"/>
        </w:rPr>
        <w:t>bolus</w:t>
      </w:r>
      <w:r w:rsidR="00297CDE">
        <w:rPr>
          <w:lang w:val="en-US"/>
        </w:rPr>
        <w:t>’</w:t>
      </w:r>
      <w:r w:rsidR="008543F5">
        <w:rPr>
          <w:lang w:val="en-US"/>
        </w:rPr>
        <w:t xml:space="preserve"> of </w:t>
      </w:r>
      <w:r w:rsidR="00297CDE">
        <w:rPr>
          <w:lang w:val="en-US"/>
        </w:rPr>
        <w:t xml:space="preserve">imlifidase eligible waitlisted </w:t>
      </w:r>
      <w:r w:rsidR="008543F5">
        <w:rPr>
          <w:lang w:val="en-US"/>
        </w:rPr>
        <w:t>patients</w:t>
      </w:r>
      <w:r w:rsidR="00FE3635">
        <w:rPr>
          <w:lang w:val="en-US"/>
        </w:rPr>
        <w:t xml:space="preserve"> </w:t>
      </w:r>
    </w:p>
    <w:p w14:paraId="5A269857" w14:textId="12BB092A" w:rsidR="002301E1" w:rsidRPr="002301E1" w:rsidRDefault="0077046E" w:rsidP="00235880">
      <w:pPr>
        <w:spacing w:line="240" w:lineRule="auto"/>
        <w:rPr>
          <w:lang w:val="en-US"/>
        </w:rPr>
      </w:pPr>
      <w:r>
        <w:rPr>
          <w:lang w:val="en-US"/>
        </w:rPr>
        <w:t>W</w:t>
      </w:r>
      <w:r w:rsidR="00025110">
        <w:rPr>
          <w:lang w:val="en-US"/>
        </w:rPr>
        <w:t>ithin the incide</w:t>
      </w:r>
      <w:r w:rsidR="000D608E">
        <w:rPr>
          <w:lang w:val="en-US"/>
        </w:rPr>
        <w:t>nt</w:t>
      </w:r>
      <w:r w:rsidR="00025110">
        <w:rPr>
          <w:lang w:val="en-US"/>
        </w:rPr>
        <w:t xml:space="preserve"> population</w:t>
      </w:r>
      <w:r w:rsidR="00742B46">
        <w:rPr>
          <w:lang w:val="en-US"/>
        </w:rPr>
        <w:t xml:space="preserve">, </w:t>
      </w:r>
      <w:r w:rsidR="005E6484">
        <w:rPr>
          <w:lang w:val="en-US"/>
        </w:rPr>
        <w:t xml:space="preserve">which the applicant </w:t>
      </w:r>
      <w:r w:rsidR="00742B46">
        <w:rPr>
          <w:lang w:val="en-US"/>
        </w:rPr>
        <w:t xml:space="preserve">advised to be on average 29 patients per year according to </w:t>
      </w:r>
      <w:proofErr w:type="spellStart"/>
      <w:r w:rsidR="00742B46">
        <w:rPr>
          <w:lang w:val="en-US"/>
        </w:rPr>
        <w:t>OrganMatch</w:t>
      </w:r>
      <w:proofErr w:type="spellEnd"/>
      <w:r w:rsidR="00742B46">
        <w:rPr>
          <w:lang w:val="en-US"/>
        </w:rPr>
        <w:t xml:space="preserve"> data</w:t>
      </w:r>
      <w:r w:rsidR="005E6484">
        <w:rPr>
          <w:lang w:val="en-US"/>
        </w:rPr>
        <w:t>,</w:t>
      </w:r>
      <w:r w:rsidR="00742B46">
        <w:rPr>
          <w:lang w:val="en-US"/>
        </w:rPr>
        <w:t xml:space="preserve"> </w:t>
      </w:r>
      <w:r w:rsidR="00C71923">
        <w:rPr>
          <w:lang w:val="en-US"/>
        </w:rPr>
        <w:t>s</w:t>
      </w:r>
      <w:r>
        <w:rPr>
          <w:lang w:val="en-US"/>
        </w:rPr>
        <w:t>takeholders</w:t>
      </w:r>
      <w:r w:rsidR="00986691">
        <w:rPr>
          <w:lang w:val="en-US"/>
        </w:rPr>
        <w:t xml:space="preserve"> </w:t>
      </w:r>
      <w:r>
        <w:rPr>
          <w:lang w:val="en-US"/>
        </w:rPr>
        <w:t>noted that</w:t>
      </w:r>
      <w:r w:rsidR="00025110">
        <w:rPr>
          <w:lang w:val="en-US"/>
        </w:rPr>
        <w:t xml:space="preserve"> </w:t>
      </w:r>
      <w:r w:rsidR="00BC4A5A">
        <w:rPr>
          <w:lang w:val="en-US"/>
        </w:rPr>
        <w:t>a higher percentage</w:t>
      </w:r>
      <w:r w:rsidR="00BD2B18">
        <w:rPr>
          <w:lang w:val="en-US"/>
        </w:rPr>
        <w:t xml:space="preserve"> of this </w:t>
      </w:r>
      <w:r w:rsidR="00BD2B18">
        <w:rPr>
          <w:lang w:val="en-US"/>
        </w:rPr>
        <w:lastRenderedPageBreak/>
        <w:t>population</w:t>
      </w:r>
      <w:r w:rsidR="00E1030F">
        <w:rPr>
          <w:lang w:val="en-US"/>
        </w:rPr>
        <w:t xml:space="preserve"> may be suitable for imlifidase-facilitated transplantation</w:t>
      </w:r>
      <w:r w:rsidR="000D608E">
        <w:rPr>
          <w:lang w:val="en-US"/>
        </w:rPr>
        <w:t xml:space="preserve"> over time as the time on waiting lists decreased</w:t>
      </w:r>
      <w:r w:rsidR="00F932B4">
        <w:rPr>
          <w:lang w:val="en-US"/>
        </w:rPr>
        <w:t xml:space="preserve">, </w:t>
      </w:r>
      <w:r w:rsidR="00A56ACD">
        <w:rPr>
          <w:lang w:val="en-US"/>
        </w:rPr>
        <w:t>meaning that the uptake</w:t>
      </w:r>
      <w:r w:rsidR="001423BB">
        <w:rPr>
          <w:lang w:val="en-US"/>
        </w:rPr>
        <w:t xml:space="preserve"> rate</w:t>
      </w:r>
      <w:r w:rsidR="00A56ACD">
        <w:rPr>
          <w:lang w:val="en-US"/>
        </w:rPr>
        <w:t xml:space="preserve"> of imlifidase may </w:t>
      </w:r>
      <w:r w:rsidR="002B3ABA">
        <w:rPr>
          <w:lang w:val="en-US"/>
        </w:rPr>
        <w:t xml:space="preserve">increase </w:t>
      </w:r>
      <w:r w:rsidR="008D6752">
        <w:rPr>
          <w:lang w:val="en-US"/>
        </w:rPr>
        <w:t xml:space="preserve">in </w:t>
      </w:r>
      <w:r w:rsidR="00082380">
        <w:rPr>
          <w:lang w:val="en-US"/>
        </w:rPr>
        <w:t>future</w:t>
      </w:r>
      <w:r w:rsidR="002B3ABA">
        <w:rPr>
          <w:lang w:val="en-US"/>
        </w:rPr>
        <w:t xml:space="preserve"> </w:t>
      </w:r>
      <w:r w:rsidR="008D6752">
        <w:rPr>
          <w:lang w:val="en-US"/>
        </w:rPr>
        <w:t xml:space="preserve"> years </w:t>
      </w:r>
      <w:r w:rsidR="00A56ACD">
        <w:rPr>
          <w:lang w:val="en-US"/>
        </w:rPr>
        <w:t>once the prevalent population had been ‘cleared’</w:t>
      </w:r>
      <w:r w:rsidR="00E1030F">
        <w:rPr>
          <w:lang w:val="en-US"/>
        </w:rPr>
        <w:t xml:space="preserve">. This difference was because </w:t>
      </w:r>
      <w:r w:rsidR="0050621E">
        <w:rPr>
          <w:lang w:val="en-US"/>
        </w:rPr>
        <w:t xml:space="preserve">the prevalent population had a higher share of patients who had already been on waiting lists </w:t>
      </w:r>
      <w:r w:rsidR="00722908">
        <w:rPr>
          <w:lang w:val="en-US"/>
        </w:rPr>
        <w:t xml:space="preserve">for longer </w:t>
      </w:r>
      <w:r w:rsidR="00A909BB">
        <w:rPr>
          <w:lang w:val="en-US"/>
        </w:rPr>
        <w:t xml:space="preserve">(including years when they were inactive on the waiting list) </w:t>
      </w:r>
      <w:r w:rsidR="0050621E">
        <w:rPr>
          <w:lang w:val="en-US"/>
        </w:rPr>
        <w:t xml:space="preserve">and had developed </w:t>
      </w:r>
      <w:r w:rsidR="00755012">
        <w:rPr>
          <w:lang w:val="en-US"/>
        </w:rPr>
        <w:t xml:space="preserve">dialysis-related and other comorbidities which </w:t>
      </w:r>
      <w:r w:rsidR="00FE3635">
        <w:rPr>
          <w:lang w:val="en-US"/>
        </w:rPr>
        <w:t>make them unsuitable for an imlifidase-enabled</w:t>
      </w:r>
      <w:r w:rsidR="00755012">
        <w:rPr>
          <w:lang w:val="en-US"/>
        </w:rPr>
        <w:t xml:space="preserve"> transplantation. There was broad </w:t>
      </w:r>
      <w:r w:rsidR="001C4CD3">
        <w:rPr>
          <w:lang w:val="en-US"/>
        </w:rPr>
        <w:t xml:space="preserve">consensus that </w:t>
      </w:r>
      <w:r w:rsidR="00F8742D">
        <w:rPr>
          <w:lang w:val="en-US"/>
        </w:rPr>
        <w:t xml:space="preserve">after taking account of the servicing of this prevalent population, </w:t>
      </w:r>
      <w:r w:rsidR="0098037A">
        <w:rPr>
          <w:lang w:val="en-US"/>
        </w:rPr>
        <w:t xml:space="preserve">a reasonable estimate of </w:t>
      </w:r>
      <w:r w:rsidR="001F77DA">
        <w:rPr>
          <w:lang w:val="en-US"/>
        </w:rPr>
        <w:t xml:space="preserve">uptake could be based on a </w:t>
      </w:r>
      <w:r w:rsidR="002301E1" w:rsidRPr="002301E1">
        <w:rPr>
          <w:lang w:val="en-US"/>
        </w:rPr>
        <w:t xml:space="preserve">consistent </w:t>
      </w:r>
      <w:r w:rsidR="009871CE">
        <w:rPr>
          <w:lang w:val="en-US"/>
        </w:rPr>
        <w:t>incidence</w:t>
      </w:r>
      <w:r w:rsidR="009871CE" w:rsidRPr="002301E1">
        <w:rPr>
          <w:lang w:val="en-US"/>
        </w:rPr>
        <w:t xml:space="preserve"> </w:t>
      </w:r>
      <w:r w:rsidR="00D77F1B">
        <w:rPr>
          <w:lang w:val="en-US"/>
        </w:rPr>
        <w:t xml:space="preserve">or ‘steady state’ </w:t>
      </w:r>
      <w:r w:rsidR="002301E1" w:rsidRPr="002301E1">
        <w:rPr>
          <w:lang w:val="en-US"/>
        </w:rPr>
        <w:t>of about 10-15 patients per</w:t>
      </w:r>
      <w:r w:rsidR="00A515A4">
        <w:rPr>
          <w:lang w:val="en-US"/>
        </w:rPr>
        <w:t xml:space="preserve"> year</w:t>
      </w:r>
      <w:r w:rsidR="000D608E">
        <w:rPr>
          <w:lang w:val="en-US"/>
        </w:rPr>
        <w:t xml:space="preserve"> across the LRD and DD groups</w:t>
      </w:r>
      <w:r w:rsidR="00DA62DA">
        <w:rPr>
          <w:lang w:val="en-US"/>
        </w:rPr>
        <w:t xml:space="preserve"> </w:t>
      </w:r>
      <w:r w:rsidR="00F07E4B">
        <w:rPr>
          <w:lang w:val="en-US"/>
        </w:rPr>
        <w:t>eligible for an</w:t>
      </w:r>
      <w:r w:rsidR="00DA62DA">
        <w:rPr>
          <w:lang w:val="en-US"/>
        </w:rPr>
        <w:t xml:space="preserve"> imlifidase facilitated transplantation</w:t>
      </w:r>
      <w:r w:rsidR="00A515A4">
        <w:rPr>
          <w:lang w:val="en-US"/>
        </w:rPr>
        <w:t xml:space="preserve">. </w:t>
      </w:r>
    </w:p>
    <w:p w14:paraId="15AF2111" w14:textId="7DFBA334" w:rsidR="002301E1" w:rsidRPr="002301E1" w:rsidRDefault="002301E1" w:rsidP="00235880">
      <w:pPr>
        <w:spacing w:line="240" w:lineRule="auto"/>
        <w:rPr>
          <w:b/>
          <w:bCs/>
          <w:lang w:val="en-US"/>
        </w:rPr>
      </w:pPr>
      <w:r w:rsidRPr="002301E1">
        <w:rPr>
          <w:b/>
          <w:bCs/>
          <w:lang w:val="en-US"/>
        </w:rPr>
        <w:t>Cross Match</w:t>
      </w:r>
      <w:r w:rsidR="00103CE0">
        <w:rPr>
          <w:b/>
          <w:bCs/>
          <w:lang w:val="en-US"/>
        </w:rPr>
        <w:t xml:space="preserve"> testing</w:t>
      </w:r>
    </w:p>
    <w:p w14:paraId="1A49C86E" w14:textId="10DF4E67" w:rsidR="00FC1A4A" w:rsidRDefault="002301E1" w:rsidP="00235880">
      <w:pPr>
        <w:spacing w:line="240" w:lineRule="auto"/>
        <w:rPr>
          <w:lang w:val="en-US"/>
        </w:rPr>
      </w:pPr>
      <w:r w:rsidRPr="002301E1">
        <w:rPr>
          <w:lang w:val="en-US"/>
        </w:rPr>
        <w:t xml:space="preserve">Stakeholders agreed that </w:t>
      </w:r>
      <w:r w:rsidR="00B61795">
        <w:rPr>
          <w:lang w:val="en-US"/>
        </w:rPr>
        <w:t xml:space="preserve">testing </w:t>
      </w:r>
      <w:r w:rsidR="004A3A8A">
        <w:rPr>
          <w:lang w:val="en-US"/>
        </w:rPr>
        <w:t>a sample taken</w:t>
      </w:r>
      <w:r w:rsidR="004A3A8A" w:rsidRPr="002301E1">
        <w:rPr>
          <w:lang w:val="en-US"/>
        </w:rPr>
        <w:t xml:space="preserve"> 2 hours after imlifidase administration </w:t>
      </w:r>
      <w:r w:rsidR="00B61795">
        <w:rPr>
          <w:lang w:val="en-US"/>
        </w:rPr>
        <w:t xml:space="preserve">for </w:t>
      </w:r>
      <w:r w:rsidR="00554D9D">
        <w:rPr>
          <w:lang w:val="en-US"/>
        </w:rPr>
        <w:t xml:space="preserve">donor specific antibodies </w:t>
      </w:r>
      <w:r w:rsidR="00E50438">
        <w:rPr>
          <w:lang w:val="en-US"/>
        </w:rPr>
        <w:t xml:space="preserve">generally </w:t>
      </w:r>
      <w:r w:rsidR="0000097A">
        <w:rPr>
          <w:lang w:val="en-US"/>
        </w:rPr>
        <w:t>sufficient</w:t>
      </w:r>
      <w:r w:rsidR="00CC2CDD">
        <w:rPr>
          <w:lang w:val="en-US"/>
        </w:rPr>
        <w:t>ly</w:t>
      </w:r>
      <w:r w:rsidR="0000097A">
        <w:rPr>
          <w:lang w:val="en-US"/>
        </w:rPr>
        <w:t xml:space="preserve"> </w:t>
      </w:r>
      <w:r w:rsidR="004C21A0">
        <w:rPr>
          <w:lang w:val="en-US"/>
        </w:rPr>
        <w:t>confirm</w:t>
      </w:r>
      <w:r w:rsidR="00F21098">
        <w:rPr>
          <w:lang w:val="en-US"/>
        </w:rPr>
        <w:t>s</w:t>
      </w:r>
      <w:r w:rsidR="004C21A0">
        <w:rPr>
          <w:lang w:val="en-US"/>
        </w:rPr>
        <w:t xml:space="preserve"> </w:t>
      </w:r>
      <w:r w:rsidR="00834C39">
        <w:rPr>
          <w:lang w:val="en-US"/>
        </w:rPr>
        <w:t>cross</w:t>
      </w:r>
      <w:r w:rsidR="002B1377">
        <w:rPr>
          <w:lang w:val="en-US"/>
        </w:rPr>
        <w:t>match conversion from positive to negative</w:t>
      </w:r>
      <w:r w:rsidRPr="002301E1">
        <w:rPr>
          <w:lang w:val="en-US"/>
        </w:rPr>
        <w:t xml:space="preserve">. </w:t>
      </w:r>
      <w:r w:rsidR="005A7E45">
        <w:rPr>
          <w:lang w:val="en-US"/>
        </w:rPr>
        <w:t>The applicant noted that there w</w:t>
      </w:r>
      <w:r w:rsidR="000D608E">
        <w:rPr>
          <w:lang w:val="en-US"/>
        </w:rPr>
        <w:t>ere</w:t>
      </w:r>
      <w:r w:rsidR="005A7E45">
        <w:rPr>
          <w:lang w:val="en-US"/>
        </w:rPr>
        <w:t xml:space="preserve"> data indicating</w:t>
      </w:r>
      <w:r w:rsidR="00F21098">
        <w:rPr>
          <w:lang w:val="en-US"/>
        </w:rPr>
        <w:t xml:space="preserve"> w</w:t>
      </w:r>
      <w:r w:rsidR="00AD3376">
        <w:rPr>
          <w:lang w:val="en-US"/>
        </w:rPr>
        <w:t>ith the administration of imlifidase</w:t>
      </w:r>
      <w:r w:rsidR="00456416">
        <w:rPr>
          <w:lang w:val="en-US"/>
        </w:rPr>
        <w:t xml:space="preserve"> a </w:t>
      </w:r>
      <w:r w:rsidR="00456416" w:rsidRPr="00456416">
        <w:rPr>
          <w:lang w:val="en-US"/>
        </w:rPr>
        <w:t>crossmatch test is likely to become</w:t>
      </w:r>
      <w:r w:rsidR="00456416">
        <w:rPr>
          <w:lang w:val="en-US"/>
        </w:rPr>
        <w:t xml:space="preserve"> </w:t>
      </w:r>
      <w:r w:rsidR="00456416" w:rsidRPr="00456416">
        <w:rPr>
          <w:lang w:val="en-US"/>
        </w:rPr>
        <w:t>negative in 96% of the patients</w:t>
      </w:r>
      <w:r w:rsidR="00456416">
        <w:rPr>
          <w:lang w:val="en-US"/>
        </w:rPr>
        <w:t xml:space="preserve"> after 2 hour</w:t>
      </w:r>
      <w:r w:rsidR="00FC1A4A">
        <w:rPr>
          <w:lang w:val="en-US"/>
        </w:rPr>
        <w:t>s</w:t>
      </w:r>
      <w:r w:rsidR="00456416" w:rsidRPr="00456416">
        <w:rPr>
          <w:lang w:val="en-US"/>
        </w:rPr>
        <w:t>, and after 6 hours at least 99.5% of the patients are likely to</w:t>
      </w:r>
      <w:r w:rsidR="00FC1A4A">
        <w:rPr>
          <w:lang w:val="en-US"/>
        </w:rPr>
        <w:t xml:space="preserve"> </w:t>
      </w:r>
      <w:r w:rsidR="00456416" w:rsidRPr="00456416">
        <w:rPr>
          <w:lang w:val="en-US"/>
        </w:rPr>
        <w:t>become crossmatch test negative</w:t>
      </w:r>
      <w:r w:rsidR="005A7E45">
        <w:rPr>
          <w:lang w:val="en-US"/>
        </w:rPr>
        <w:t xml:space="preserve">. </w:t>
      </w:r>
    </w:p>
    <w:p w14:paraId="7E5B5408" w14:textId="0F81320C" w:rsidR="002301E1" w:rsidRPr="002301E1" w:rsidRDefault="00AD3376" w:rsidP="00235880">
      <w:pPr>
        <w:spacing w:line="240" w:lineRule="auto"/>
        <w:rPr>
          <w:lang w:val="en-US"/>
        </w:rPr>
      </w:pPr>
      <w:r>
        <w:rPr>
          <w:lang w:val="en-US"/>
        </w:rPr>
        <w:t>The S</w:t>
      </w:r>
      <w:r w:rsidR="002301E1" w:rsidRPr="002301E1">
        <w:rPr>
          <w:lang w:val="en-US"/>
        </w:rPr>
        <w:t xml:space="preserve">tates and Territories discussed the resources required to complete timely testing. </w:t>
      </w:r>
      <w:r w:rsidR="00EF4ACA">
        <w:rPr>
          <w:lang w:val="en-US"/>
        </w:rPr>
        <w:t xml:space="preserve">Stakeholders </w:t>
      </w:r>
      <w:r w:rsidR="005467C6">
        <w:rPr>
          <w:lang w:val="en-US"/>
        </w:rPr>
        <w:t xml:space="preserve">noted that the </w:t>
      </w:r>
      <w:r w:rsidR="002301E1" w:rsidRPr="002301E1">
        <w:rPr>
          <w:lang w:val="en-US"/>
        </w:rPr>
        <w:t>resources required</w:t>
      </w:r>
      <w:r w:rsidR="00EF4ACA">
        <w:rPr>
          <w:lang w:val="en-US"/>
        </w:rPr>
        <w:t xml:space="preserve"> to perform </w:t>
      </w:r>
      <w:r w:rsidR="00433E0C">
        <w:rPr>
          <w:lang w:val="en-US"/>
        </w:rPr>
        <w:t>imlifidase transplants</w:t>
      </w:r>
      <w:r w:rsidR="002301E1" w:rsidRPr="002301E1">
        <w:rPr>
          <w:lang w:val="en-US"/>
        </w:rPr>
        <w:t xml:space="preserve"> includ</w:t>
      </w:r>
      <w:r w:rsidR="005467C6">
        <w:rPr>
          <w:lang w:val="en-US"/>
        </w:rPr>
        <w:t>ed</w:t>
      </w:r>
      <w:r w:rsidR="002301E1" w:rsidRPr="002301E1">
        <w:rPr>
          <w:lang w:val="en-US"/>
        </w:rPr>
        <w:t xml:space="preserve"> staff to complete patient work ups and screenings</w:t>
      </w:r>
      <w:r w:rsidR="00657040">
        <w:rPr>
          <w:lang w:val="en-US"/>
        </w:rPr>
        <w:t xml:space="preserve"> prior to administration of imlifidase</w:t>
      </w:r>
      <w:r w:rsidR="002301E1" w:rsidRPr="002301E1">
        <w:rPr>
          <w:lang w:val="en-US"/>
        </w:rPr>
        <w:t>, as well as scientists to test and process results</w:t>
      </w:r>
      <w:r w:rsidR="00657040">
        <w:rPr>
          <w:lang w:val="en-US"/>
        </w:rPr>
        <w:t xml:space="preserve"> following administration of imlifidase</w:t>
      </w:r>
      <w:r w:rsidR="002301E1" w:rsidRPr="002301E1">
        <w:rPr>
          <w:lang w:val="en-US"/>
        </w:rPr>
        <w:t xml:space="preserve">. It was noted that </w:t>
      </w:r>
      <w:r w:rsidR="00B67B77">
        <w:rPr>
          <w:lang w:val="en-US"/>
        </w:rPr>
        <w:t xml:space="preserve">there may be additional </w:t>
      </w:r>
      <w:r w:rsidR="002301E1" w:rsidRPr="002301E1">
        <w:rPr>
          <w:lang w:val="en-US"/>
        </w:rPr>
        <w:t>logistic</w:t>
      </w:r>
      <w:r w:rsidR="00B67B77">
        <w:rPr>
          <w:lang w:val="en-US"/>
        </w:rPr>
        <w:t>al</w:t>
      </w:r>
      <w:r w:rsidR="002301E1" w:rsidRPr="002301E1">
        <w:rPr>
          <w:lang w:val="en-US"/>
        </w:rPr>
        <w:t xml:space="preserve"> issues</w:t>
      </w:r>
      <w:r w:rsidR="00B67B77">
        <w:rPr>
          <w:lang w:val="en-US"/>
        </w:rPr>
        <w:t xml:space="preserve"> associated with patients located outside major metro</w:t>
      </w:r>
      <w:r w:rsidR="00EA28FB">
        <w:rPr>
          <w:lang w:val="en-US"/>
        </w:rPr>
        <w:t xml:space="preserve">politan </w:t>
      </w:r>
      <w:proofErr w:type="spellStart"/>
      <w:r w:rsidR="00EA28FB">
        <w:rPr>
          <w:lang w:val="en-US"/>
        </w:rPr>
        <w:t>centres</w:t>
      </w:r>
      <w:proofErr w:type="spellEnd"/>
      <w:r w:rsidR="00EA28FB">
        <w:rPr>
          <w:lang w:val="en-US"/>
        </w:rPr>
        <w:t xml:space="preserve"> which</w:t>
      </w:r>
      <w:r w:rsidR="002301E1" w:rsidRPr="002301E1">
        <w:rPr>
          <w:lang w:val="en-US"/>
        </w:rPr>
        <w:t xml:space="preserve"> may present extensive resourc</w:t>
      </w:r>
      <w:r w:rsidR="00AE3883">
        <w:rPr>
          <w:lang w:val="en-US"/>
        </w:rPr>
        <w:t>ing challenges</w:t>
      </w:r>
      <w:r w:rsidR="002301E1" w:rsidRPr="002301E1">
        <w:rPr>
          <w:lang w:val="en-US"/>
        </w:rPr>
        <w:t xml:space="preserve"> </w:t>
      </w:r>
      <w:r w:rsidR="00EA28FB">
        <w:rPr>
          <w:lang w:val="en-US"/>
        </w:rPr>
        <w:t xml:space="preserve">such as </w:t>
      </w:r>
      <w:r w:rsidR="002301E1" w:rsidRPr="002301E1">
        <w:rPr>
          <w:lang w:val="en-US"/>
        </w:rPr>
        <w:t xml:space="preserve">rural patient transport. </w:t>
      </w:r>
      <w:r w:rsidR="00FC1A4A">
        <w:rPr>
          <w:lang w:val="en-US"/>
        </w:rPr>
        <w:t>Stakeholder</w:t>
      </w:r>
      <w:r>
        <w:rPr>
          <w:lang w:val="en-US"/>
        </w:rPr>
        <w:t>s</w:t>
      </w:r>
      <w:r w:rsidR="00FC1A4A">
        <w:rPr>
          <w:lang w:val="en-US"/>
        </w:rPr>
        <w:t xml:space="preserve"> noted that a</w:t>
      </w:r>
      <w:r w:rsidR="00FC1A4A" w:rsidRPr="00FC1A4A">
        <w:rPr>
          <w:lang w:val="en-US"/>
        </w:rPr>
        <w:t xml:space="preserve">lthough </w:t>
      </w:r>
      <w:r w:rsidR="00AB7870">
        <w:rPr>
          <w:lang w:val="en-US"/>
        </w:rPr>
        <w:t xml:space="preserve">Australian Redcross </w:t>
      </w:r>
      <w:r w:rsidR="00771D24">
        <w:rPr>
          <w:lang w:val="en-US"/>
        </w:rPr>
        <w:t>L</w:t>
      </w:r>
      <w:r w:rsidR="00771D24" w:rsidRPr="00FC1A4A">
        <w:rPr>
          <w:lang w:val="en-US"/>
        </w:rPr>
        <w:t xml:space="preserve">ifeblood </w:t>
      </w:r>
      <w:proofErr w:type="spellStart"/>
      <w:r w:rsidR="00AB7870">
        <w:rPr>
          <w:lang w:val="en-US"/>
        </w:rPr>
        <w:t>immunogentics</w:t>
      </w:r>
      <w:proofErr w:type="spellEnd"/>
      <w:r w:rsidR="00AB7870" w:rsidRPr="00FC1A4A">
        <w:rPr>
          <w:lang w:val="en-US"/>
        </w:rPr>
        <w:t xml:space="preserve"> </w:t>
      </w:r>
      <w:r w:rsidR="00FC1A4A" w:rsidRPr="00FC1A4A">
        <w:rPr>
          <w:lang w:val="en-US"/>
        </w:rPr>
        <w:t xml:space="preserve">labs are </w:t>
      </w:r>
      <w:r w:rsidR="00FC1A4A">
        <w:rPr>
          <w:lang w:val="en-US"/>
        </w:rPr>
        <w:t xml:space="preserve">currently </w:t>
      </w:r>
      <w:r w:rsidR="00FC1A4A" w:rsidRPr="00FC1A4A">
        <w:rPr>
          <w:lang w:val="en-US"/>
        </w:rPr>
        <w:t>only</w:t>
      </w:r>
      <w:r w:rsidR="00FC1A4A">
        <w:rPr>
          <w:lang w:val="en-US"/>
        </w:rPr>
        <w:t xml:space="preserve"> located</w:t>
      </w:r>
      <w:r w:rsidR="00FC1A4A" w:rsidRPr="00FC1A4A">
        <w:rPr>
          <w:lang w:val="en-US"/>
        </w:rPr>
        <w:t xml:space="preserve"> in </w:t>
      </w:r>
      <w:r w:rsidR="00FC1A4A">
        <w:rPr>
          <w:lang w:val="en-US"/>
        </w:rPr>
        <w:t>S</w:t>
      </w:r>
      <w:r w:rsidR="00FC1A4A" w:rsidRPr="00FC1A4A">
        <w:rPr>
          <w:lang w:val="en-US"/>
        </w:rPr>
        <w:t>yd</w:t>
      </w:r>
      <w:r w:rsidR="00FC1A4A">
        <w:rPr>
          <w:lang w:val="en-US"/>
        </w:rPr>
        <w:t>ney,</w:t>
      </w:r>
      <w:r w:rsidR="00FC1A4A" w:rsidRPr="00FC1A4A">
        <w:rPr>
          <w:lang w:val="en-US"/>
        </w:rPr>
        <w:t xml:space="preserve"> </w:t>
      </w:r>
      <w:r w:rsidR="00FC1A4A">
        <w:rPr>
          <w:lang w:val="en-US"/>
        </w:rPr>
        <w:t>M</w:t>
      </w:r>
      <w:r w:rsidR="00FC1A4A" w:rsidRPr="00FC1A4A">
        <w:rPr>
          <w:lang w:val="en-US"/>
        </w:rPr>
        <w:t>elb</w:t>
      </w:r>
      <w:r w:rsidR="00FC1A4A">
        <w:rPr>
          <w:lang w:val="en-US"/>
        </w:rPr>
        <w:t>ourne</w:t>
      </w:r>
      <w:r w:rsidR="00FC1A4A" w:rsidRPr="00FC1A4A">
        <w:rPr>
          <w:lang w:val="en-US"/>
        </w:rPr>
        <w:t xml:space="preserve"> and Adelaide</w:t>
      </w:r>
      <w:r w:rsidR="00FD77CA">
        <w:rPr>
          <w:lang w:val="en-US"/>
        </w:rPr>
        <w:t xml:space="preserve">, </w:t>
      </w:r>
      <w:r w:rsidR="00AB7870">
        <w:rPr>
          <w:lang w:val="en-US"/>
        </w:rPr>
        <w:t>however Single Antigen Bead</w:t>
      </w:r>
      <w:r w:rsidR="00FD77CA">
        <w:rPr>
          <w:lang w:val="en-US"/>
        </w:rPr>
        <w:t xml:space="preserve"> </w:t>
      </w:r>
      <w:r w:rsidR="00AB7870">
        <w:rPr>
          <w:lang w:val="en-US"/>
        </w:rPr>
        <w:t xml:space="preserve">HLA </w:t>
      </w:r>
      <w:r w:rsidR="00FC1A4A" w:rsidRPr="00FC1A4A">
        <w:rPr>
          <w:lang w:val="en-US"/>
        </w:rPr>
        <w:t xml:space="preserve">testing </w:t>
      </w:r>
      <w:r w:rsidR="000D608E">
        <w:rPr>
          <w:lang w:val="en-US"/>
        </w:rPr>
        <w:t>is available across all jurisdictions, although kidney transplantation did not occur in the NT or Tasmania</w:t>
      </w:r>
      <w:r w:rsidR="00FD77CA">
        <w:rPr>
          <w:lang w:val="en-US"/>
        </w:rPr>
        <w:t xml:space="preserve">. It was therefore </w:t>
      </w:r>
      <w:r w:rsidR="00AE3883">
        <w:rPr>
          <w:lang w:val="en-US"/>
        </w:rPr>
        <w:t>agreed</w:t>
      </w:r>
      <w:r w:rsidR="002301E1" w:rsidRPr="002301E1">
        <w:rPr>
          <w:lang w:val="en-US"/>
        </w:rPr>
        <w:t xml:space="preserve"> that testing could occur at all tissue typing laboratories and </w:t>
      </w:r>
      <w:r w:rsidR="00EC058D">
        <w:rPr>
          <w:lang w:val="en-US"/>
        </w:rPr>
        <w:t xml:space="preserve">should </w:t>
      </w:r>
      <w:r w:rsidR="002301E1" w:rsidRPr="002301E1">
        <w:rPr>
          <w:lang w:val="en-US"/>
        </w:rPr>
        <w:t xml:space="preserve">not just </w:t>
      </w:r>
      <w:r w:rsidR="00EC058D">
        <w:rPr>
          <w:lang w:val="en-US"/>
        </w:rPr>
        <w:t xml:space="preserve">be </w:t>
      </w:r>
      <w:r w:rsidR="002301E1" w:rsidRPr="002301E1">
        <w:rPr>
          <w:lang w:val="en-US"/>
        </w:rPr>
        <w:t xml:space="preserve">restricted to </w:t>
      </w:r>
      <w:r w:rsidR="00AB7870">
        <w:rPr>
          <w:lang w:val="en-US"/>
        </w:rPr>
        <w:t xml:space="preserve">Australian Redcross </w:t>
      </w:r>
      <w:proofErr w:type="spellStart"/>
      <w:r w:rsidR="002301E1" w:rsidRPr="002301E1">
        <w:rPr>
          <w:lang w:val="en-US"/>
        </w:rPr>
        <w:t>LifeBlood</w:t>
      </w:r>
      <w:proofErr w:type="spellEnd"/>
      <w:r w:rsidR="002301E1" w:rsidRPr="002301E1">
        <w:rPr>
          <w:lang w:val="en-US"/>
        </w:rPr>
        <w:t xml:space="preserve"> laboratories. </w:t>
      </w:r>
    </w:p>
    <w:p w14:paraId="5811AFAD" w14:textId="08A02704" w:rsidR="002301E1" w:rsidRPr="002301E1" w:rsidRDefault="00C16CD3" w:rsidP="00235880">
      <w:pPr>
        <w:spacing w:line="240" w:lineRule="auto"/>
        <w:rPr>
          <w:b/>
          <w:bCs/>
          <w:lang w:val="en-US"/>
        </w:rPr>
      </w:pPr>
      <w:r>
        <w:rPr>
          <w:b/>
          <w:bCs/>
          <w:lang w:val="en-US"/>
        </w:rPr>
        <w:t xml:space="preserve">Transplant </w:t>
      </w:r>
      <w:proofErr w:type="spellStart"/>
      <w:r w:rsidR="00D0417E" w:rsidRPr="002301E1">
        <w:rPr>
          <w:b/>
          <w:bCs/>
          <w:lang w:val="en-US"/>
        </w:rPr>
        <w:t>Centr</w:t>
      </w:r>
      <w:r w:rsidR="00D519C9">
        <w:rPr>
          <w:b/>
          <w:bCs/>
          <w:lang w:val="en-US"/>
        </w:rPr>
        <w:t>e</w:t>
      </w:r>
      <w:r w:rsidR="00D0417E" w:rsidRPr="002301E1">
        <w:rPr>
          <w:b/>
          <w:bCs/>
          <w:lang w:val="en-US"/>
        </w:rPr>
        <w:t>s</w:t>
      </w:r>
      <w:proofErr w:type="spellEnd"/>
      <w:r w:rsidR="002301E1" w:rsidRPr="002301E1">
        <w:rPr>
          <w:b/>
          <w:bCs/>
          <w:lang w:val="en-US"/>
        </w:rPr>
        <w:t xml:space="preserve"> </w:t>
      </w:r>
    </w:p>
    <w:p w14:paraId="7FEA18C5" w14:textId="7DC36EE8" w:rsidR="002301E1" w:rsidRPr="002301E1" w:rsidRDefault="002301E1" w:rsidP="00235880">
      <w:pPr>
        <w:spacing w:line="240" w:lineRule="auto"/>
        <w:rPr>
          <w:lang w:val="en-US"/>
        </w:rPr>
      </w:pPr>
      <w:r w:rsidRPr="002301E1">
        <w:rPr>
          <w:lang w:val="en-US"/>
        </w:rPr>
        <w:t xml:space="preserve">Stakeholders noted that </w:t>
      </w:r>
      <w:r w:rsidR="00D0417E" w:rsidRPr="002301E1">
        <w:rPr>
          <w:lang w:val="en-US"/>
        </w:rPr>
        <w:t>imlifidase</w:t>
      </w:r>
      <w:r w:rsidRPr="002301E1">
        <w:rPr>
          <w:lang w:val="en-US"/>
        </w:rPr>
        <w:t xml:space="preserve"> is a highly </w:t>
      </w:r>
      <w:proofErr w:type="spellStart"/>
      <w:r w:rsidRPr="002301E1">
        <w:rPr>
          <w:lang w:val="en-US"/>
        </w:rPr>
        <w:t>specialised</w:t>
      </w:r>
      <w:proofErr w:type="spellEnd"/>
      <w:r w:rsidRPr="002301E1">
        <w:rPr>
          <w:lang w:val="en-US"/>
        </w:rPr>
        <w:t xml:space="preserve"> </w:t>
      </w:r>
      <w:r w:rsidR="00AF2094">
        <w:rPr>
          <w:lang w:val="en-US"/>
        </w:rPr>
        <w:t>therapy</w:t>
      </w:r>
      <w:r w:rsidR="007F0687" w:rsidRPr="002301E1">
        <w:rPr>
          <w:lang w:val="en-US"/>
        </w:rPr>
        <w:t xml:space="preserve"> </w:t>
      </w:r>
      <w:r w:rsidRPr="002301E1">
        <w:rPr>
          <w:lang w:val="en-US"/>
        </w:rPr>
        <w:t xml:space="preserve">which requires significant coordination and expertise to perform. As such, it may be appropriate to designate specific </w:t>
      </w:r>
      <w:proofErr w:type="spellStart"/>
      <w:r w:rsidR="00D0417E" w:rsidRPr="002301E1">
        <w:rPr>
          <w:lang w:val="en-US"/>
        </w:rPr>
        <w:t>centr</w:t>
      </w:r>
      <w:r w:rsidR="00B21B95">
        <w:rPr>
          <w:lang w:val="en-US"/>
        </w:rPr>
        <w:t>e</w:t>
      </w:r>
      <w:r w:rsidR="00D0417E" w:rsidRPr="002301E1">
        <w:rPr>
          <w:lang w:val="en-US"/>
        </w:rPr>
        <w:t>s</w:t>
      </w:r>
      <w:proofErr w:type="spellEnd"/>
      <w:r w:rsidRPr="002301E1">
        <w:rPr>
          <w:lang w:val="en-US"/>
        </w:rPr>
        <w:t xml:space="preserve"> which can perform </w:t>
      </w:r>
      <w:r w:rsidR="00731FB5">
        <w:rPr>
          <w:lang w:val="en-US"/>
        </w:rPr>
        <w:t>kidney transplants with imlifidase</w:t>
      </w:r>
      <w:r w:rsidRPr="002301E1">
        <w:rPr>
          <w:lang w:val="en-US"/>
        </w:rPr>
        <w:t>. Broad consensus among State and Territories w</w:t>
      </w:r>
      <w:r w:rsidR="008A509A">
        <w:rPr>
          <w:lang w:val="en-US"/>
        </w:rPr>
        <w:t>as</w:t>
      </w:r>
      <w:r w:rsidRPr="002301E1">
        <w:rPr>
          <w:lang w:val="en-US"/>
        </w:rPr>
        <w:t xml:space="preserve"> that the jurisdictions should decide </w:t>
      </w:r>
      <w:r w:rsidR="003B3A81">
        <w:rPr>
          <w:lang w:val="en-US"/>
        </w:rPr>
        <w:t xml:space="preserve">which </w:t>
      </w:r>
      <w:r w:rsidR="00D0417E" w:rsidRPr="002301E1">
        <w:rPr>
          <w:lang w:val="en-US"/>
        </w:rPr>
        <w:t>center</w:t>
      </w:r>
      <w:r w:rsidRPr="002301E1">
        <w:rPr>
          <w:lang w:val="en-US"/>
        </w:rPr>
        <w:t xml:space="preserve"> may be best placed to </w:t>
      </w:r>
      <w:r w:rsidR="00AF2094">
        <w:rPr>
          <w:lang w:val="en-US"/>
        </w:rPr>
        <w:t>provide</w:t>
      </w:r>
      <w:r w:rsidR="00AF2094" w:rsidRPr="002301E1">
        <w:rPr>
          <w:lang w:val="en-US"/>
        </w:rPr>
        <w:t xml:space="preserve"> </w:t>
      </w:r>
      <w:r w:rsidRPr="002301E1">
        <w:rPr>
          <w:lang w:val="en-US"/>
        </w:rPr>
        <w:t>this treatment</w:t>
      </w:r>
      <w:r w:rsidR="00A954D2">
        <w:rPr>
          <w:lang w:val="en-US"/>
        </w:rPr>
        <w:t xml:space="preserve"> and the number of </w:t>
      </w:r>
      <w:proofErr w:type="spellStart"/>
      <w:r w:rsidR="00A954D2">
        <w:rPr>
          <w:lang w:val="en-US"/>
        </w:rPr>
        <w:t>centres</w:t>
      </w:r>
      <w:proofErr w:type="spellEnd"/>
      <w:r w:rsidR="00A954D2">
        <w:rPr>
          <w:lang w:val="en-US"/>
        </w:rPr>
        <w:t xml:space="preserve"> in each jurisdiction</w:t>
      </w:r>
      <w:r w:rsidRPr="002301E1">
        <w:rPr>
          <w:lang w:val="en-US"/>
        </w:rPr>
        <w:t>.</w:t>
      </w:r>
      <w:r w:rsidR="005945C6" w:rsidRPr="005945C6">
        <w:t xml:space="preserve"> </w:t>
      </w:r>
      <w:r w:rsidR="005945C6">
        <w:rPr>
          <w:lang w:val="en-US"/>
        </w:rPr>
        <w:t>It was noted that MS</w:t>
      </w:r>
      <w:r w:rsidR="005945C6" w:rsidRPr="005945C6">
        <w:rPr>
          <w:lang w:val="en-US"/>
        </w:rPr>
        <w:t>AC consider</w:t>
      </w:r>
      <w:r w:rsidR="005945C6">
        <w:rPr>
          <w:lang w:val="en-US"/>
        </w:rPr>
        <w:t xml:space="preserve">ed </w:t>
      </w:r>
      <w:r w:rsidR="005945C6" w:rsidRPr="005945C6">
        <w:rPr>
          <w:lang w:val="en-US"/>
        </w:rPr>
        <w:t xml:space="preserve">equity </w:t>
      </w:r>
      <w:r w:rsidR="005945C6">
        <w:rPr>
          <w:lang w:val="en-US"/>
        </w:rPr>
        <w:t>was</w:t>
      </w:r>
      <w:r w:rsidR="005945C6" w:rsidRPr="005945C6">
        <w:rPr>
          <w:lang w:val="en-US"/>
        </w:rPr>
        <w:t xml:space="preserve"> important </w:t>
      </w:r>
      <w:r w:rsidR="00FC19F4">
        <w:rPr>
          <w:lang w:val="en-US"/>
        </w:rPr>
        <w:t>and</w:t>
      </w:r>
      <w:r w:rsidR="005945C6" w:rsidRPr="005945C6">
        <w:rPr>
          <w:lang w:val="en-US"/>
        </w:rPr>
        <w:t xml:space="preserve"> that ideally all eligible patients should be able to receive </w:t>
      </w:r>
      <w:r w:rsidR="00FC19F4">
        <w:rPr>
          <w:lang w:val="en-US"/>
        </w:rPr>
        <w:t>imlifidase</w:t>
      </w:r>
      <w:r w:rsidR="005945C6" w:rsidRPr="005945C6">
        <w:rPr>
          <w:lang w:val="en-US"/>
        </w:rPr>
        <w:t xml:space="preserve"> irrespective of location.</w:t>
      </w:r>
    </w:p>
    <w:p w14:paraId="70F701BB" w14:textId="795675B1" w:rsidR="002301E1" w:rsidRPr="002301E1" w:rsidRDefault="002301E1" w:rsidP="00235880">
      <w:pPr>
        <w:spacing w:line="240" w:lineRule="auto"/>
        <w:rPr>
          <w:b/>
          <w:bCs/>
          <w:lang w:val="en-US"/>
        </w:rPr>
      </w:pPr>
      <w:r w:rsidRPr="002301E1">
        <w:rPr>
          <w:b/>
          <w:bCs/>
          <w:lang w:val="en-US"/>
        </w:rPr>
        <w:t xml:space="preserve">Funding </w:t>
      </w:r>
      <w:r>
        <w:rPr>
          <w:b/>
          <w:bCs/>
          <w:lang w:val="en-US"/>
        </w:rPr>
        <w:t>A</w:t>
      </w:r>
      <w:r w:rsidRPr="002301E1">
        <w:rPr>
          <w:b/>
          <w:bCs/>
          <w:lang w:val="en-US"/>
        </w:rPr>
        <w:t>rrangements</w:t>
      </w:r>
    </w:p>
    <w:p w14:paraId="0300D98F" w14:textId="6A7519A5" w:rsidR="00876182" w:rsidRDefault="002301E1" w:rsidP="00235880">
      <w:pPr>
        <w:spacing w:line="240" w:lineRule="auto"/>
        <w:rPr>
          <w:lang w:val="en-US"/>
        </w:rPr>
      </w:pPr>
      <w:r w:rsidRPr="002301E1">
        <w:rPr>
          <w:lang w:val="en-US"/>
        </w:rPr>
        <w:t xml:space="preserve">Imlifidase is a highly </w:t>
      </w:r>
      <w:proofErr w:type="spellStart"/>
      <w:r w:rsidRPr="002301E1">
        <w:rPr>
          <w:lang w:val="en-US"/>
        </w:rPr>
        <w:t>specialised</w:t>
      </w:r>
      <w:proofErr w:type="spellEnd"/>
      <w:r w:rsidRPr="002301E1">
        <w:rPr>
          <w:lang w:val="en-US"/>
        </w:rPr>
        <w:t xml:space="preserve">, </w:t>
      </w:r>
      <w:proofErr w:type="gramStart"/>
      <w:r w:rsidRPr="002301E1">
        <w:rPr>
          <w:lang w:val="en-US"/>
        </w:rPr>
        <w:t>high cost</w:t>
      </w:r>
      <w:proofErr w:type="gramEnd"/>
      <w:r w:rsidRPr="002301E1">
        <w:rPr>
          <w:lang w:val="en-US"/>
        </w:rPr>
        <w:t xml:space="preserve"> therapy. </w:t>
      </w:r>
      <w:r w:rsidR="00EC58A3">
        <w:rPr>
          <w:lang w:val="en-US"/>
        </w:rPr>
        <w:t>The MSAC Chair</w:t>
      </w:r>
      <w:r w:rsidRPr="002301E1">
        <w:rPr>
          <w:lang w:val="en-US"/>
        </w:rPr>
        <w:t xml:space="preserve"> discussed the need to mitigate key risks associated with imlifidase including imlifidase use not leading to a transplant and poorer long</w:t>
      </w:r>
      <w:r w:rsidR="00AD3376">
        <w:rPr>
          <w:lang w:val="en-US"/>
        </w:rPr>
        <w:t>-</w:t>
      </w:r>
      <w:r w:rsidRPr="002301E1">
        <w:rPr>
          <w:lang w:val="en-US"/>
        </w:rPr>
        <w:t>term outcomes</w:t>
      </w:r>
      <w:r w:rsidR="00A41DB7">
        <w:rPr>
          <w:lang w:val="en-US"/>
        </w:rPr>
        <w:t xml:space="preserve"> associated with patients</w:t>
      </w:r>
      <w:r w:rsidR="000D608E">
        <w:rPr>
          <w:lang w:val="en-US"/>
        </w:rPr>
        <w:t xml:space="preserve"> than was evident in the trials</w:t>
      </w:r>
      <w:r w:rsidR="00757213">
        <w:rPr>
          <w:lang w:val="en-US"/>
        </w:rPr>
        <w:t>,</w:t>
      </w:r>
      <w:r w:rsidR="00876182">
        <w:rPr>
          <w:lang w:val="en-US"/>
        </w:rPr>
        <w:t xml:space="preserve"> hence a pay for performance (PFP) arrangement was discussed involving payments for s</w:t>
      </w:r>
      <w:r w:rsidRPr="002301E1">
        <w:rPr>
          <w:lang w:val="en-US"/>
        </w:rPr>
        <w:t xml:space="preserve">pecific measurable outcomes to assess imlifidase effectiveness. </w:t>
      </w:r>
    </w:p>
    <w:p w14:paraId="2818136E" w14:textId="167DCDDC" w:rsidR="00AF2094" w:rsidRDefault="00876182" w:rsidP="00235880">
      <w:pPr>
        <w:spacing w:line="240" w:lineRule="auto"/>
        <w:rPr>
          <w:lang w:val="en-US"/>
        </w:rPr>
      </w:pPr>
      <w:r>
        <w:rPr>
          <w:lang w:val="en-US"/>
        </w:rPr>
        <w:t>T</w:t>
      </w:r>
      <w:r w:rsidR="002301E1" w:rsidRPr="002301E1">
        <w:rPr>
          <w:lang w:val="en-US"/>
        </w:rPr>
        <w:t xml:space="preserve">here was a consensus that </w:t>
      </w:r>
      <w:r w:rsidR="000D608E">
        <w:rPr>
          <w:lang w:val="en-US"/>
        </w:rPr>
        <w:t xml:space="preserve">proceeding to </w:t>
      </w:r>
      <w:r>
        <w:rPr>
          <w:lang w:val="en-US"/>
        </w:rPr>
        <w:t>t</w:t>
      </w:r>
      <w:r w:rsidR="009A3BC4">
        <w:rPr>
          <w:lang w:val="en-US"/>
        </w:rPr>
        <w:t>ransplant</w:t>
      </w:r>
      <w:r>
        <w:rPr>
          <w:lang w:val="en-US"/>
        </w:rPr>
        <w:t>ation</w:t>
      </w:r>
      <w:r w:rsidR="009A3BC4">
        <w:rPr>
          <w:lang w:val="en-US"/>
        </w:rPr>
        <w:t xml:space="preserve"> </w:t>
      </w:r>
      <w:r w:rsidR="00A14406">
        <w:rPr>
          <w:lang w:val="en-US"/>
        </w:rPr>
        <w:t>should be considered a key outcome for first payment</w:t>
      </w:r>
      <w:r w:rsidR="002301E1" w:rsidRPr="002301E1">
        <w:rPr>
          <w:lang w:val="en-US"/>
        </w:rPr>
        <w:t xml:space="preserve">. </w:t>
      </w:r>
    </w:p>
    <w:p w14:paraId="5B733414" w14:textId="57B6B965" w:rsidR="002301E1" w:rsidRPr="002301E1" w:rsidRDefault="009A3BC4" w:rsidP="00235880">
      <w:pPr>
        <w:spacing w:line="240" w:lineRule="auto"/>
        <w:rPr>
          <w:lang w:val="en-US"/>
        </w:rPr>
      </w:pPr>
      <w:r>
        <w:rPr>
          <w:lang w:val="en-US"/>
        </w:rPr>
        <w:t>While it was important to have a</w:t>
      </w:r>
      <w:r w:rsidR="00324E6E">
        <w:rPr>
          <w:lang w:val="en-US"/>
        </w:rPr>
        <w:t xml:space="preserve"> second payment conditional on </w:t>
      </w:r>
      <w:r w:rsidR="006C5B15">
        <w:rPr>
          <w:lang w:val="en-US"/>
        </w:rPr>
        <w:t>longer term outcomes</w:t>
      </w:r>
      <w:r w:rsidR="00B10BC2">
        <w:rPr>
          <w:lang w:val="en-US"/>
        </w:rPr>
        <w:t>, such as</w:t>
      </w:r>
      <w:r w:rsidR="00CD3E69">
        <w:rPr>
          <w:lang w:val="en-US"/>
        </w:rPr>
        <w:t xml:space="preserve"> a metric </w:t>
      </w:r>
      <w:r w:rsidR="00415532">
        <w:rPr>
          <w:lang w:val="en-US"/>
        </w:rPr>
        <w:t xml:space="preserve">based on </w:t>
      </w:r>
      <w:r w:rsidR="00A61E0B">
        <w:rPr>
          <w:lang w:val="en-US"/>
        </w:rPr>
        <w:t xml:space="preserve">longer term </w:t>
      </w:r>
      <w:r w:rsidR="00415532">
        <w:rPr>
          <w:lang w:val="en-US"/>
        </w:rPr>
        <w:t>post-transplant graft outcome</w:t>
      </w:r>
      <w:r w:rsidR="00CD3E69">
        <w:rPr>
          <w:lang w:val="en-US"/>
        </w:rPr>
        <w:t>s</w:t>
      </w:r>
      <w:r w:rsidR="00F0207B">
        <w:rPr>
          <w:lang w:val="en-US"/>
        </w:rPr>
        <w:t>,</w:t>
      </w:r>
      <w:r w:rsidR="00415532">
        <w:rPr>
          <w:lang w:val="en-US"/>
        </w:rPr>
        <w:t xml:space="preserve"> it was noted that </w:t>
      </w:r>
      <w:r w:rsidR="009D6580">
        <w:rPr>
          <w:lang w:val="en-US"/>
        </w:rPr>
        <w:t>p</w:t>
      </w:r>
      <w:r w:rsidR="002301E1" w:rsidRPr="002301E1">
        <w:rPr>
          <w:lang w:val="en-US"/>
        </w:rPr>
        <w:t>ost-</w:t>
      </w:r>
      <w:r w:rsidR="002301E1" w:rsidRPr="002301E1">
        <w:rPr>
          <w:lang w:val="en-US"/>
        </w:rPr>
        <w:lastRenderedPageBreak/>
        <w:t>transplant graft failure</w:t>
      </w:r>
      <w:r w:rsidR="009D6580">
        <w:rPr>
          <w:lang w:val="en-US"/>
        </w:rPr>
        <w:t xml:space="preserve"> could be </w:t>
      </w:r>
      <w:r w:rsidR="009D6580" w:rsidRPr="002301E1">
        <w:rPr>
          <w:lang w:val="en-US"/>
        </w:rPr>
        <w:t xml:space="preserve">due to factors unrelated to imlifidase </w:t>
      </w:r>
      <w:r w:rsidR="00D56BA7">
        <w:rPr>
          <w:lang w:val="en-US"/>
        </w:rPr>
        <w:t>effectiveness</w:t>
      </w:r>
      <w:r w:rsidR="002301E1" w:rsidRPr="002301E1">
        <w:rPr>
          <w:lang w:val="en-US"/>
        </w:rPr>
        <w:t xml:space="preserve">. </w:t>
      </w:r>
      <w:r w:rsidR="00946AFC">
        <w:rPr>
          <w:lang w:val="en-US"/>
        </w:rPr>
        <w:t>Stakeholders</w:t>
      </w:r>
      <w:r w:rsidR="009D6580">
        <w:rPr>
          <w:lang w:val="en-US"/>
        </w:rPr>
        <w:t xml:space="preserve"> discuss</w:t>
      </w:r>
      <w:r w:rsidR="00946AFC">
        <w:rPr>
          <w:lang w:val="en-US"/>
        </w:rPr>
        <w:t>ed</w:t>
      </w:r>
      <w:r w:rsidR="009D6580">
        <w:rPr>
          <w:lang w:val="en-US"/>
        </w:rPr>
        <w:t xml:space="preserve"> whether the </w:t>
      </w:r>
      <w:r w:rsidR="00202AD6">
        <w:rPr>
          <w:lang w:val="en-US"/>
        </w:rPr>
        <w:t xml:space="preserve">post-transplant graft outcome measure should be </w:t>
      </w:r>
      <w:r w:rsidR="00793148">
        <w:rPr>
          <w:lang w:val="en-US"/>
        </w:rPr>
        <w:t>one year after transplant or a shorter period such as 3 months</w:t>
      </w:r>
      <w:r w:rsidR="00876182">
        <w:rPr>
          <w:lang w:val="en-US"/>
        </w:rPr>
        <w:t xml:space="preserve">. </w:t>
      </w:r>
      <w:r w:rsidR="002301E1" w:rsidRPr="002301E1">
        <w:rPr>
          <w:lang w:val="en-US"/>
        </w:rPr>
        <w:t>However</w:t>
      </w:r>
      <w:r w:rsidR="004E0881">
        <w:rPr>
          <w:lang w:val="en-US"/>
        </w:rPr>
        <w:t>,</w:t>
      </w:r>
      <w:r w:rsidR="00876182">
        <w:rPr>
          <w:lang w:val="en-US"/>
        </w:rPr>
        <w:t xml:space="preserve"> the consensus was that</w:t>
      </w:r>
      <w:r w:rsidR="00CD3E69">
        <w:rPr>
          <w:lang w:val="en-US"/>
        </w:rPr>
        <w:t xml:space="preserve"> a metric based on</w:t>
      </w:r>
      <w:r w:rsidR="002301E1" w:rsidRPr="002301E1">
        <w:rPr>
          <w:lang w:val="en-US"/>
        </w:rPr>
        <w:t xml:space="preserve"> post-transplant graft outcome </w:t>
      </w:r>
      <w:r w:rsidR="00CD3E69">
        <w:rPr>
          <w:lang w:val="en-US"/>
        </w:rPr>
        <w:t xml:space="preserve">was appropriate as this aligned with </w:t>
      </w:r>
      <w:r w:rsidR="002301E1" w:rsidRPr="002301E1">
        <w:rPr>
          <w:lang w:val="en-US"/>
        </w:rPr>
        <w:t>the clinical evidence</w:t>
      </w:r>
      <w:r w:rsidR="00CD3E69">
        <w:rPr>
          <w:lang w:val="en-US"/>
        </w:rPr>
        <w:t xml:space="preserve"> </w:t>
      </w:r>
      <w:r w:rsidR="00B72B4D">
        <w:rPr>
          <w:lang w:val="en-US"/>
        </w:rPr>
        <w:t xml:space="preserve">relied on in the TGA </w:t>
      </w:r>
      <w:r w:rsidR="00D730A8">
        <w:rPr>
          <w:lang w:val="en-US"/>
        </w:rPr>
        <w:t>provisional approval</w:t>
      </w:r>
      <w:r w:rsidR="002301E1" w:rsidRPr="002301E1">
        <w:rPr>
          <w:lang w:val="en-US"/>
        </w:rPr>
        <w:t xml:space="preserve"> for imlifidase. It was also noted that patient re</w:t>
      </w:r>
      <w:r w:rsidR="00873165">
        <w:rPr>
          <w:lang w:val="en-US"/>
        </w:rPr>
        <w:t>ported</w:t>
      </w:r>
      <w:r w:rsidR="002301E1" w:rsidRPr="002301E1">
        <w:rPr>
          <w:lang w:val="en-US"/>
        </w:rPr>
        <w:t xml:space="preserve"> outcome</w:t>
      </w:r>
      <w:r w:rsidR="00F012EA">
        <w:rPr>
          <w:lang w:val="en-US"/>
        </w:rPr>
        <w:t xml:space="preserve"> measures (PROMs)</w:t>
      </w:r>
      <w:r w:rsidR="002301E1" w:rsidRPr="002301E1">
        <w:rPr>
          <w:lang w:val="en-US"/>
        </w:rPr>
        <w:t xml:space="preserve"> may also</w:t>
      </w:r>
      <w:r w:rsidR="00F362E9">
        <w:rPr>
          <w:lang w:val="en-US"/>
        </w:rPr>
        <w:t xml:space="preserve"> </w:t>
      </w:r>
      <w:r w:rsidR="00A64CDC">
        <w:rPr>
          <w:lang w:val="en-US"/>
        </w:rPr>
        <w:t xml:space="preserve">be a metric of </w:t>
      </w:r>
      <w:r w:rsidR="002301E1" w:rsidRPr="002301E1">
        <w:rPr>
          <w:lang w:val="en-US"/>
        </w:rPr>
        <w:t xml:space="preserve">successful treatment. </w:t>
      </w:r>
      <w:r w:rsidR="003D369F">
        <w:rPr>
          <w:lang w:val="en-US"/>
        </w:rPr>
        <w:t xml:space="preserve">Stakeholders agreed that the PFP should be based </w:t>
      </w:r>
      <w:r w:rsidR="00A61E0B">
        <w:rPr>
          <w:lang w:val="en-US"/>
        </w:rPr>
        <w:t xml:space="preserve">on </w:t>
      </w:r>
      <w:r w:rsidR="002301E1" w:rsidRPr="002301E1">
        <w:rPr>
          <w:lang w:val="en-US"/>
        </w:rPr>
        <w:t xml:space="preserve">a single price, potentially paid over multiple time points noted. Stakeholders agreed that time points for payment in a PFP arrangement should </w:t>
      </w:r>
      <w:r w:rsidR="00F11A2A">
        <w:rPr>
          <w:lang w:val="en-US"/>
        </w:rPr>
        <w:t xml:space="preserve">be </w:t>
      </w:r>
      <w:r w:rsidR="002301E1" w:rsidRPr="002301E1">
        <w:rPr>
          <w:lang w:val="en-US"/>
        </w:rPr>
        <w:t>related to the key outcomes.</w:t>
      </w:r>
      <w:r w:rsidR="00AC013C" w:rsidRPr="00AC013C">
        <w:t xml:space="preserve"> </w:t>
      </w:r>
    </w:p>
    <w:p w14:paraId="754FF365" w14:textId="6CCD2089" w:rsidR="002301E1" w:rsidRPr="002301E1" w:rsidRDefault="002301E1" w:rsidP="00235880">
      <w:pPr>
        <w:spacing w:line="240" w:lineRule="auto"/>
        <w:rPr>
          <w:b/>
          <w:bCs/>
          <w:lang w:val="en-US"/>
        </w:rPr>
      </w:pPr>
      <w:r w:rsidRPr="002301E1">
        <w:rPr>
          <w:b/>
          <w:bCs/>
          <w:lang w:val="en-US"/>
        </w:rPr>
        <w:t>Data Collection</w:t>
      </w:r>
    </w:p>
    <w:p w14:paraId="0E16A52B" w14:textId="23FB19BF" w:rsidR="002301E1" w:rsidRPr="002301E1" w:rsidRDefault="002301E1" w:rsidP="00235880">
      <w:pPr>
        <w:spacing w:line="240" w:lineRule="auto"/>
        <w:rPr>
          <w:lang w:val="en-US"/>
        </w:rPr>
      </w:pPr>
      <w:r w:rsidRPr="002301E1">
        <w:rPr>
          <w:lang w:val="en-US"/>
        </w:rPr>
        <w:t xml:space="preserve">The Chair noted that a review of </w:t>
      </w:r>
      <w:r w:rsidR="007F339B">
        <w:rPr>
          <w:lang w:val="en-US"/>
        </w:rPr>
        <w:t>matters related to the p</w:t>
      </w:r>
      <w:r w:rsidR="003E52B9">
        <w:rPr>
          <w:lang w:val="en-US"/>
        </w:rPr>
        <w:t xml:space="preserve">ublic funding of </w:t>
      </w:r>
      <w:r w:rsidRPr="002301E1">
        <w:rPr>
          <w:lang w:val="en-US"/>
        </w:rPr>
        <w:t xml:space="preserve">successful MSAC applications is often </w:t>
      </w:r>
      <w:r w:rsidR="00FB3022">
        <w:rPr>
          <w:lang w:val="en-US"/>
        </w:rPr>
        <w:t xml:space="preserve">undertaken to ensure that </w:t>
      </w:r>
      <w:r w:rsidR="005572F1">
        <w:rPr>
          <w:lang w:val="en-US"/>
        </w:rPr>
        <w:t xml:space="preserve">the uncertainties identified when MSAC supported public funding </w:t>
      </w:r>
      <w:r w:rsidR="008F3431">
        <w:rPr>
          <w:lang w:val="en-US"/>
        </w:rPr>
        <w:t xml:space="preserve">had been adequately </w:t>
      </w:r>
      <w:r w:rsidR="00EF26F0">
        <w:rPr>
          <w:lang w:val="en-US"/>
        </w:rPr>
        <w:t>resolved</w:t>
      </w:r>
      <w:r w:rsidRPr="002301E1">
        <w:rPr>
          <w:lang w:val="en-US"/>
        </w:rPr>
        <w:t xml:space="preserve">. It was noted that robust </w:t>
      </w:r>
      <w:r w:rsidR="004967C7">
        <w:rPr>
          <w:lang w:val="en-US"/>
        </w:rPr>
        <w:t>and accurate</w:t>
      </w:r>
      <w:r w:rsidRPr="002301E1">
        <w:rPr>
          <w:lang w:val="en-US"/>
        </w:rPr>
        <w:t xml:space="preserve"> data is </w:t>
      </w:r>
      <w:r w:rsidR="004967C7">
        <w:rPr>
          <w:lang w:val="en-US"/>
        </w:rPr>
        <w:t>essential</w:t>
      </w:r>
      <w:r w:rsidR="004967C7" w:rsidRPr="002301E1">
        <w:rPr>
          <w:lang w:val="en-US"/>
        </w:rPr>
        <w:t xml:space="preserve"> </w:t>
      </w:r>
      <w:r w:rsidRPr="002301E1">
        <w:rPr>
          <w:lang w:val="en-US"/>
        </w:rPr>
        <w:t xml:space="preserve">in </w:t>
      </w:r>
      <w:r w:rsidR="004967C7">
        <w:rPr>
          <w:lang w:val="en-US"/>
        </w:rPr>
        <w:t>such</w:t>
      </w:r>
      <w:r w:rsidRPr="002301E1">
        <w:rPr>
          <w:lang w:val="en-US"/>
        </w:rPr>
        <w:t xml:space="preserve"> reviews and collection of </w:t>
      </w:r>
      <w:proofErr w:type="gramStart"/>
      <w:r w:rsidR="004967C7">
        <w:rPr>
          <w:lang w:val="en-US"/>
        </w:rPr>
        <w:t>pre</w:t>
      </w:r>
      <w:proofErr w:type="gramEnd"/>
      <w:r w:rsidR="004967C7">
        <w:rPr>
          <w:lang w:val="en-US"/>
        </w:rPr>
        <w:t xml:space="preserve"> and post-</w:t>
      </w:r>
      <w:r w:rsidRPr="002301E1">
        <w:rPr>
          <w:lang w:val="en-US"/>
        </w:rPr>
        <w:t xml:space="preserve">transplant data would need to be undertaken to perform a review on imlifidase, if </w:t>
      </w:r>
      <w:r w:rsidR="00C4553B">
        <w:rPr>
          <w:lang w:val="en-US"/>
        </w:rPr>
        <w:t>the application is</w:t>
      </w:r>
      <w:r w:rsidRPr="002301E1">
        <w:rPr>
          <w:lang w:val="en-US"/>
        </w:rPr>
        <w:t xml:space="preserve"> </w:t>
      </w:r>
      <w:r w:rsidR="00377DF6">
        <w:rPr>
          <w:lang w:val="en-US"/>
        </w:rPr>
        <w:t>recommended</w:t>
      </w:r>
      <w:r w:rsidRPr="002301E1">
        <w:rPr>
          <w:lang w:val="en-US"/>
        </w:rPr>
        <w:t xml:space="preserve">. The Chair also noted that PFP </w:t>
      </w:r>
      <w:r w:rsidR="000D0216">
        <w:rPr>
          <w:lang w:val="en-US"/>
        </w:rPr>
        <w:t xml:space="preserve">arrangements rely on the reporting of </w:t>
      </w:r>
      <w:r w:rsidRPr="002301E1">
        <w:rPr>
          <w:lang w:val="en-US"/>
        </w:rPr>
        <w:t>outcomes</w:t>
      </w:r>
      <w:r w:rsidR="00807975">
        <w:rPr>
          <w:lang w:val="en-US"/>
        </w:rPr>
        <w:t>, and as such relevant data</w:t>
      </w:r>
      <w:r w:rsidRPr="002301E1">
        <w:rPr>
          <w:lang w:val="en-US"/>
        </w:rPr>
        <w:t xml:space="preserve"> would need to be recorded </w:t>
      </w:r>
      <w:r w:rsidR="00325A53">
        <w:rPr>
          <w:lang w:val="en-US"/>
        </w:rPr>
        <w:t>for use in the</w:t>
      </w:r>
      <w:r w:rsidRPr="002301E1">
        <w:rPr>
          <w:lang w:val="en-US"/>
        </w:rPr>
        <w:t xml:space="preserve"> payment process.</w:t>
      </w:r>
    </w:p>
    <w:p w14:paraId="2DADD124" w14:textId="6145013C" w:rsidR="002301E1" w:rsidRPr="002301E1" w:rsidRDefault="002301E1" w:rsidP="00235880">
      <w:pPr>
        <w:spacing w:line="240" w:lineRule="auto"/>
        <w:rPr>
          <w:lang w:val="en-US"/>
        </w:rPr>
      </w:pPr>
      <w:r w:rsidRPr="002301E1">
        <w:rPr>
          <w:lang w:val="en-US"/>
        </w:rPr>
        <w:t>It was noted by stakeholders that ANZDATA currently collect</w:t>
      </w:r>
      <w:r w:rsidR="000D608E">
        <w:rPr>
          <w:lang w:val="en-US"/>
        </w:rPr>
        <w:t xml:space="preserve">s </w:t>
      </w:r>
      <w:proofErr w:type="gramStart"/>
      <w:r w:rsidR="00DA5172">
        <w:rPr>
          <w:lang w:val="en-US"/>
        </w:rPr>
        <w:t xml:space="preserve">a </w:t>
      </w:r>
      <w:r w:rsidRPr="002301E1">
        <w:rPr>
          <w:lang w:val="en-US"/>
        </w:rPr>
        <w:t xml:space="preserve">majority </w:t>
      </w:r>
      <w:r w:rsidR="00DA5172">
        <w:rPr>
          <w:lang w:val="en-US"/>
        </w:rPr>
        <w:t>of</w:t>
      </w:r>
      <w:proofErr w:type="gramEnd"/>
      <w:r w:rsidR="00DA5172">
        <w:rPr>
          <w:lang w:val="en-US"/>
        </w:rPr>
        <w:t xml:space="preserve"> </w:t>
      </w:r>
      <w:r w:rsidRPr="002301E1">
        <w:rPr>
          <w:lang w:val="en-US"/>
        </w:rPr>
        <w:t xml:space="preserve">the transplant data </w:t>
      </w:r>
      <w:r w:rsidR="005D0F76">
        <w:rPr>
          <w:lang w:val="en-US"/>
        </w:rPr>
        <w:t>that would be required</w:t>
      </w:r>
      <w:r w:rsidRPr="002301E1">
        <w:rPr>
          <w:lang w:val="en-US"/>
        </w:rPr>
        <w:t xml:space="preserve">. ANZDATA advised </w:t>
      </w:r>
      <w:r w:rsidR="002766C0">
        <w:rPr>
          <w:lang w:val="en-US"/>
        </w:rPr>
        <w:t>that to collect an</w:t>
      </w:r>
      <w:r w:rsidR="001F26F1">
        <w:rPr>
          <w:lang w:val="en-US"/>
        </w:rPr>
        <w:t>y</w:t>
      </w:r>
      <w:r w:rsidR="002766C0">
        <w:rPr>
          <w:lang w:val="en-US"/>
        </w:rPr>
        <w:t xml:space="preserve"> additional data relating to antibody reduction following administration of imlifi</w:t>
      </w:r>
      <w:r w:rsidR="009E5DC8">
        <w:rPr>
          <w:lang w:val="en-US"/>
        </w:rPr>
        <w:t xml:space="preserve">dase (as per the discussion of funding arrangements) </w:t>
      </w:r>
      <w:r w:rsidR="001F26F1">
        <w:rPr>
          <w:lang w:val="en-US"/>
        </w:rPr>
        <w:t>it</w:t>
      </w:r>
      <w:r w:rsidR="009E5DC8">
        <w:rPr>
          <w:lang w:val="en-US"/>
        </w:rPr>
        <w:t xml:space="preserve"> would need to</w:t>
      </w:r>
      <w:r w:rsidR="005945C6">
        <w:rPr>
          <w:lang w:val="en-US"/>
        </w:rPr>
        <w:t xml:space="preserve"> undertake further work with </w:t>
      </w:r>
      <w:proofErr w:type="spellStart"/>
      <w:r w:rsidR="005945C6">
        <w:rPr>
          <w:lang w:val="en-US"/>
        </w:rPr>
        <w:t>OrganMatch</w:t>
      </w:r>
      <w:proofErr w:type="spellEnd"/>
      <w:r w:rsidR="005945C6">
        <w:rPr>
          <w:lang w:val="en-US"/>
        </w:rPr>
        <w:t xml:space="preserve"> and the working group that had been convened by RTAC on </w:t>
      </w:r>
      <w:proofErr w:type="spellStart"/>
      <w:r w:rsidR="005945C6">
        <w:rPr>
          <w:lang w:val="en-US"/>
        </w:rPr>
        <w:t>desensitisation</w:t>
      </w:r>
      <w:proofErr w:type="spellEnd"/>
      <w:r w:rsidR="005945C6">
        <w:rPr>
          <w:lang w:val="en-US"/>
        </w:rPr>
        <w:t xml:space="preserve"> protocols</w:t>
      </w:r>
      <w:r w:rsidR="005945C6" w:rsidRPr="002301E1">
        <w:rPr>
          <w:lang w:val="en-US"/>
        </w:rPr>
        <w:t xml:space="preserve"> for imlifidase use</w:t>
      </w:r>
      <w:r w:rsidRPr="002301E1">
        <w:rPr>
          <w:lang w:val="en-US"/>
        </w:rPr>
        <w:t xml:space="preserve">. </w:t>
      </w:r>
      <w:r w:rsidR="005945C6">
        <w:rPr>
          <w:lang w:val="en-US"/>
        </w:rPr>
        <w:t xml:space="preserve">ANZDATA further noted that </w:t>
      </w:r>
      <w:r w:rsidR="00C85BD3">
        <w:rPr>
          <w:lang w:val="en-US"/>
        </w:rPr>
        <w:t>al</w:t>
      </w:r>
      <w:r w:rsidRPr="002301E1">
        <w:rPr>
          <w:lang w:val="en-US"/>
        </w:rPr>
        <w:t>though patient numbers would be low, there would still be resource considerations</w:t>
      </w:r>
      <w:r w:rsidR="002F2B2E">
        <w:rPr>
          <w:lang w:val="en-US"/>
        </w:rPr>
        <w:t xml:space="preserve"> associated with </w:t>
      </w:r>
      <w:r w:rsidR="00C85BD3">
        <w:rPr>
          <w:lang w:val="en-US"/>
        </w:rPr>
        <w:t>capturing</w:t>
      </w:r>
      <w:r w:rsidR="005945C6">
        <w:rPr>
          <w:lang w:val="en-US"/>
        </w:rPr>
        <w:t xml:space="preserve"> this additional </w:t>
      </w:r>
      <w:r w:rsidRPr="002301E1">
        <w:rPr>
          <w:lang w:val="en-US"/>
        </w:rPr>
        <w:t>data.</w:t>
      </w:r>
      <w:r w:rsidR="008F3431" w:rsidRPr="008F3431">
        <w:t xml:space="preserve"> </w:t>
      </w:r>
      <w:r w:rsidR="008F3431" w:rsidRPr="008F3431">
        <w:rPr>
          <w:lang w:val="en-US"/>
        </w:rPr>
        <w:t>ANZDAT</w:t>
      </w:r>
      <w:r w:rsidR="008F3431">
        <w:rPr>
          <w:lang w:val="en-US"/>
        </w:rPr>
        <w:t xml:space="preserve">A also advised that they were working on </w:t>
      </w:r>
      <w:r w:rsidR="008F3431" w:rsidRPr="008F3431">
        <w:rPr>
          <w:lang w:val="en-US"/>
        </w:rPr>
        <w:t xml:space="preserve">implementing PROM data capture </w:t>
      </w:r>
      <w:r w:rsidR="008F3431">
        <w:rPr>
          <w:lang w:val="en-US"/>
        </w:rPr>
        <w:t>in the coming year</w:t>
      </w:r>
      <w:r w:rsidR="004F2BE2">
        <w:rPr>
          <w:lang w:val="en-US"/>
        </w:rPr>
        <w:t>.</w:t>
      </w:r>
      <w:r w:rsidRPr="002301E1">
        <w:rPr>
          <w:lang w:val="en-US"/>
        </w:rPr>
        <w:t xml:space="preserve"> </w:t>
      </w:r>
      <w:r w:rsidR="00FE3A96" w:rsidRPr="002301E1">
        <w:rPr>
          <w:lang w:val="en-US"/>
        </w:rPr>
        <w:t>The applicant</w:t>
      </w:r>
      <w:r w:rsidR="002F2B2E">
        <w:rPr>
          <w:lang w:val="en-US"/>
        </w:rPr>
        <w:t xml:space="preserve"> </w:t>
      </w:r>
      <w:r w:rsidR="00FE3A96" w:rsidRPr="002301E1">
        <w:rPr>
          <w:lang w:val="en-US"/>
        </w:rPr>
        <w:t>noted they collect their own data</w:t>
      </w:r>
      <w:r w:rsidR="00ED070C">
        <w:rPr>
          <w:lang w:val="en-US"/>
        </w:rPr>
        <w:t>, in a non</w:t>
      </w:r>
      <w:r w:rsidR="00812352">
        <w:rPr>
          <w:lang w:val="en-US"/>
        </w:rPr>
        <w:t>-</w:t>
      </w:r>
      <w:r w:rsidR="00ED070C">
        <w:rPr>
          <w:lang w:val="en-US"/>
        </w:rPr>
        <w:t>Australian context,</w:t>
      </w:r>
      <w:r w:rsidR="00FE3A96" w:rsidRPr="002301E1">
        <w:rPr>
          <w:lang w:val="en-US"/>
        </w:rPr>
        <w:t xml:space="preserve"> on imlifidase usage</w:t>
      </w:r>
      <w:r w:rsidR="00FE3A96">
        <w:rPr>
          <w:lang w:val="en-US"/>
        </w:rPr>
        <w:t>, related to the patients</w:t>
      </w:r>
      <w:r w:rsidR="00934285">
        <w:rPr>
          <w:lang w:val="en-US"/>
        </w:rPr>
        <w:t>’</w:t>
      </w:r>
      <w:r w:rsidR="00FE3A96">
        <w:rPr>
          <w:lang w:val="en-US"/>
        </w:rPr>
        <w:t xml:space="preserve"> quality of life outcomes</w:t>
      </w:r>
      <w:r w:rsidR="00FE3A96" w:rsidRPr="002301E1">
        <w:rPr>
          <w:lang w:val="en-US"/>
        </w:rPr>
        <w:t>.</w:t>
      </w:r>
      <w:r w:rsidR="00F14139">
        <w:rPr>
          <w:lang w:val="en-US"/>
        </w:rPr>
        <w:t xml:space="preserve"> </w:t>
      </w:r>
      <w:r w:rsidR="00102F48">
        <w:rPr>
          <w:lang w:val="en-US"/>
        </w:rPr>
        <w:t>It was noted by stakeholders</w:t>
      </w:r>
      <w:r w:rsidR="00F14139">
        <w:rPr>
          <w:lang w:val="en-US"/>
        </w:rPr>
        <w:t xml:space="preserve"> that it was </w:t>
      </w:r>
      <w:r w:rsidR="002F2B2E">
        <w:rPr>
          <w:lang w:val="en-US"/>
        </w:rPr>
        <w:t xml:space="preserve">also </w:t>
      </w:r>
      <w:r w:rsidR="00F14139">
        <w:rPr>
          <w:lang w:val="en-US"/>
        </w:rPr>
        <w:t>important for patients to be involved in collection</w:t>
      </w:r>
      <w:r w:rsidR="00102F48">
        <w:rPr>
          <w:lang w:val="en-US"/>
        </w:rPr>
        <w:t xml:space="preserve"> of their </w:t>
      </w:r>
      <w:r w:rsidR="002C4515">
        <w:rPr>
          <w:lang w:val="en-US"/>
        </w:rPr>
        <w:t xml:space="preserve">outcomes </w:t>
      </w:r>
      <w:r w:rsidR="00102F48">
        <w:rPr>
          <w:lang w:val="en-US"/>
        </w:rPr>
        <w:t>dat</w:t>
      </w:r>
      <w:r w:rsidR="002C4515">
        <w:rPr>
          <w:lang w:val="en-US"/>
        </w:rPr>
        <w:t>a</w:t>
      </w:r>
      <w:r w:rsidR="00726AA7">
        <w:rPr>
          <w:lang w:val="en-US"/>
        </w:rPr>
        <w:t>.</w:t>
      </w:r>
    </w:p>
    <w:p w14:paraId="5011AE1C" w14:textId="011174A9" w:rsidR="002301E1" w:rsidRPr="002301E1" w:rsidRDefault="002301E1" w:rsidP="00235880">
      <w:pPr>
        <w:spacing w:line="240" w:lineRule="auto"/>
        <w:rPr>
          <w:lang w:val="en-US"/>
        </w:rPr>
      </w:pPr>
      <w:r w:rsidRPr="002301E1">
        <w:rPr>
          <w:lang w:val="en-US"/>
        </w:rPr>
        <w:t xml:space="preserve">Stakeholders agreed ANZDATA would be the most appropriate </w:t>
      </w:r>
      <w:r w:rsidR="4A301268" w:rsidRPr="1BE306EB">
        <w:rPr>
          <w:lang w:val="en-US"/>
        </w:rPr>
        <w:t xml:space="preserve">registry for </w:t>
      </w:r>
      <w:r w:rsidRPr="002301E1">
        <w:rPr>
          <w:lang w:val="en-US"/>
        </w:rPr>
        <w:t xml:space="preserve">data collection for imlifidase patients. </w:t>
      </w:r>
      <w:r w:rsidR="00FE3A96">
        <w:rPr>
          <w:lang w:val="en-US"/>
        </w:rPr>
        <w:t xml:space="preserve">The Chair noted that </w:t>
      </w:r>
      <w:r w:rsidR="00CB6A89">
        <w:rPr>
          <w:lang w:val="en-US"/>
        </w:rPr>
        <w:t xml:space="preserve">data collection is vital to the PFP </w:t>
      </w:r>
      <w:r w:rsidR="42B52956" w:rsidRPr="1BE306EB">
        <w:rPr>
          <w:lang w:val="en-US"/>
        </w:rPr>
        <w:t xml:space="preserve">and any reviews of imlifidase in Australian practice. </w:t>
      </w:r>
      <w:r w:rsidR="1EED7970" w:rsidRPr="1BE306EB">
        <w:rPr>
          <w:lang w:val="en-US"/>
        </w:rPr>
        <w:t xml:space="preserve"> </w:t>
      </w:r>
    </w:p>
    <w:p w14:paraId="36BFCEDB" w14:textId="216CAFA8" w:rsidR="002301E1" w:rsidRPr="002301E1" w:rsidRDefault="002301E1" w:rsidP="00235880">
      <w:pPr>
        <w:spacing w:line="240" w:lineRule="auto"/>
        <w:rPr>
          <w:b/>
          <w:bCs/>
          <w:lang w:val="en-US"/>
        </w:rPr>
      </w:pPr>
      <w:r w:rsidRPr="002301E1">
        <w:rPr>
          <w:b/>
          <w:bCs/>
          <w:lang w:val="en-US"/>
        </w:rPr>
        <w:t>Guidelines</w:t>
      </w:r>
    </w:p>
    <w:p w14:paraId="5D0B1386" w14:textId="3C45009D" w:rsidR="001163F4" w:rsidRDefault="002301E1" w:rsidP="00235880">
      <w:pPr>
        <w:spacing w:line="240" w:lineRule="auto"/>
        <w:rPr>
          <w:lang w:val="en-US"/>
        </w:rPr>
      </w:pPr>
      <w:r w:rsidRPr="002301E1">
        <w:rPr>
          <w:lang w:val="en-US"/>
        </w:rPr>
        <w:t xml:space="preserve">There was broad consensus on the need to ensure that the transplant community is encouraged to use imlifidase in a careful manner. The stakeholders noted that currently there is a lack of </w:t>
      </w:r>
      <w:r w:rsidR="00887410">
        <w:rPr>
          <w:lang w:val="en-US"/>
        </w:rPr>
        <w:t xml:space="preserve">Australian </w:t>
      </w:r>
      <w:r w:rsidRPr="002301E1">
        <w:rPr>
          <w:lang w:val="en-US"/>
        </w:rPr>
        <w:t xml:space="preserve">guidelines and </w:t>
      </w:r>
      <w:r w:rsidR="00553B6F" w:rsidRPr="002301E1">
        <w:rPr>
          <w:lang w:val="en-US"/>
        </w:rPr>
        <w:t>protocols,</w:t>
      </w:r>
      <w:r w:rsidRPr="002301E1">
        <w:rPr>
          <w:lang w:val="en-US"/>
        </w:rPr>
        <w:t xml:space="preserve"> and treatment is heavily guided by clinician judgement. RTAC advised that a committee </w:t>
      </w:r>
      <w:r w:rsidR="0006519D">
        <w:rPr>
          <w:lang w:val="en-US"/>
        </w:rPr>
        <w:t>has</w:t>
      </w:r>
      <w:r w:rsidRPr="002301E1">
        <w:rPr>
          <w:lang w:val="en-US"/>
        </w:rPr>
        <w:t xml:space="preserve"> be</w:t>
      </w:r>
      <w:r w:rsidR="00481CF7">
        <w:rPr>
          <w:lang w:val="en-US"/>
        </w:rPr>
        <w:t>en</w:t>
      </w:r>
      <w:r w:rsidRPr="002301E1">
        <w:rPr>
          <w:lang w:val="en-US"/>
        </w:rPr>
        <w:t xml:space="preserve"> established to create </w:t>
      </w:r>
      <w:r w:rsidR="00481CF7">
        <w:rPr>
          <w:lang w:val="en-US"/>
        </w:rPr>
        <w:t xml:space="preserve">clinical </w:t>
      </w:r>
      <w:r w:rsidRPr="002301E1">
        <w:rPr>
          <w:lang w:val="en-US"/>
        </w:rPr>
        <w:t>guidelines</w:t>
      </w:r>
      <w:r w:rsidR="00DD44BB">
        <w:rPr>
          <w:lang w:val="en-US"/>
        </w:rPr>
        <w:t xml:space="preserve"> to guide </w:t>
      </w:r>
      <w:proofErr w:type="spellStart"/>
      <w:r w:rsidR="00DD44BB">
        <w:rPr>
          <w:lang w:val="en-US"/>
        </w:rPr>
        <w:t>desensiti</w:t>
      </w:r>
      <w:r w:rsidR="00934285">
        <w:rPr>
          <w:lang w:val="en-US"/>
        </w:rPr>
        <w:t>s</w:t>
      </w:r>
      <w:r w:rsidR="00DD44BB">
        <w:rPr>
          <w:lang w:val="en-US"/>
        </w:rPr>
        <w:t>ation</w:t>
      </w:r>
      <w:proofErr w:type="spellEnd"/>
      <w:r w:rsidR="00DD44BB">
        <w:rPr>
          <w:lang w:val="en-US"/>
        </w:rPr>
        <w:t xml:space="preserve"> protocols</w:t>
      </w:r>
      <w:r w:rsidRPr="002301E1">
        <w:rPr>
          <w:lang w:val="en-US"/>
        </w:rPr>
        <w:t xml:space="preserve"> for </w:t>
      </w:r>
      <w:r w:rsidR="00FF0145" w:rsidRPr="002301E1">
        <w:rPr>
          <w:lang w:val="en-US"/>
        </w:rPr>
        <w:t>imlifidase</w:t>
      </w:r>
      <w:r w:rsidRPr="002301E1">
        <w:rPr>
          <w:lang w:val="en-US"/>
        </w:rPr>
        <w:t xml:space="preserve"> use in Australia. It was noted that the UK and French Guidelines provide a comprehensive approach to </w:t>
      </w:r>
      <w:r w:rsidR="00FF0145" w:rsidRPr="002301E1">
        <w:rPr>
          <w:lang w:val="en-US"/>
        </w:rPr>
        <w:t>imlifidase</w:t>
      </w:r>
      <w:r w:rsidRPr="002301E1">
        <w:rPr>
          <w:lang w:val="en-US"/>
        </w:rPr>
        <w:t xml:space="preserve"> use and </w:t>
      </w:r>
      <w:r w:rsidR="00680304">
        <w:rPr>
          <w:lang w:val="en-US"/>
        </w:rPr>
        <w:t xml:space="preserve">could be adapted </w:t>
      </w:r>
      <w:r w:rsidR="00FC1883">
        <w:rPr>
          <w:lang w:val="en-US"/>
        </w:rPr>
        <w:t>to develop</w:t>
      </w:r>
      <w:r w:rsidRPr="002301E1">
        <w:rPr>
          <w:lang w:val="en-US"/>
        </w:rPr>
        <w:t xml:space="preserve"> Australian guidelines. Stakeholders</w:t>
      </w:r>
      <w:r w:rsidR="00C65EEC">
        <w:rPr>
          <w:lang w:val="en-US"/>
        </w:rPr>
        <w:t xml:space="preserve"> considered that the use of </w:t>
      </w:r>
      <w:r w:rsidR="00C65EEC" w:rsidRPr="002301E1">
        <w:rPr>
          <w:lang w:val="en-US"/>
        </w:rPr>
        <w:t>imlifidase c</w:t>
      </w:r>
      <w:r w:rsidR="00C65EEC">
        <w:rPr>
          <w:lang w:val="en-US"/>
        </w:rPr>
        <w:t xml:space="preserve">ould be accommodated within </w:t>
      </w:r>
      <w:r w:rsidR="00CF1218">
        <w:rPr>
          <w:lang w:val="en-US"/>
        </w:rPr>
        <w:t xml:space="preserve">the </w:t>
      </w:r>
      <w:r w:rsidR="00C65EEC">
        <w:rPr>
          <w:lang w:val="en-US"/>
        </w:rPr>
        <w:t>current</w:t>
      </w:r>
      <w:r w:rsidR="00CF1218">
        <w:rPr>
          <w:lang w:val="en-US"/>
        </w:rPr>
        <w:t xml:space="preserve"> kidney allocation algorithm and therefore </w:t>
      </w:r>
      <w:r w:rsidRPr="002301E1">
        <w:rPr>
          <w:lang w:val="en-US"/>
        </w:rPr>
        <w:t xml:space="preserve">ethical guidelines </w:t>
      </w:r>
      <w:r w:rsidR="00565075">
        <w:rPr>
          <w:lang w:val="en-US"/>
        </w:rPr>
        <w:t>for imlifi</w:t>
      </w:r>
      <w:r w:rsidR="00483CCF">
        <w:rPr>
          <w:lang w:val="en-US"/>
        </w:rPr>
        <w:t>dase use would</w:t>
      </w:r>
      <w:r w:rsidRPr="002301E1">
        <w:rPr>
          <w:lang w:val="en-US"/>
        </w:rPr>
        <w:t xml:space="preserve"> not be necessary.</w:t>
      </w:r>
    </w:p>
    <w:p w14:paraId="1BE5D3D9" w14:textId="2C2C02BB" w:rsidR="00AD4E6A" w:rsidRDefault="00D02874" w:rsidP="00235880">
      <w:pPr>
        <w:pStyle w:val="Heading2"/>
        <w:keepNext w:val="0"/>
      </w:pPr>
      <w:r>
        <w:t>Meeting close</w:t>
      </w:r>
    </w:p>
    <w:p w14:paraId="10F207BD" w14:textId="50B3A131" w:rsidR="00D02874" w:rsidRPr="00713438" w:rsidRDefault="00D02874" w:rsidP="00235880">
      <w:pPr>
        <w:spacing w:line="240" w:lineRule="auto"/>
        <w:rPr>
          <w:lang w:val="en-US"/>
        </w:rPr>
      </w:pPr>
      <w:r>
        <w:rPr>
          <w:lang w:val="en-US"/>
        </w:rPr>
        <w:t>The Chair thanked the participants for their valuable insights</w:t>
      </w:r>
      <w:r w:rsidR="006F7D31">
        <w:rPr>
          <w:lang w:val="en-US"/>
        </w:rPr>
        <w:t xml:space="preserve"> and</w:t>
      </w:r>
      <w:r>
        <w:rPr>
          <w:lang w:val="en-US"/>
        </w:rPr>
        <w:t xml:space="preserve"> closed </w:t>
      </w:r>
      <w:r w:rsidR="006F7D31">
        <w:rPr>
          <w:lang w:val="en-US"/>
        </w:rPr>
        <w:t xml:space="preserve">the meeting </w:t>
      </w:r>
      <w:r>
        <w:rPr>
          <w:lang w:val="en-US"/>
        </w:rPr>
        <w:t xml:space="preserve">at </w:t>
      </w:r>
      <w:r w:rsidR="00565B53">
        <w:rPr>
          <w:lang w:val="en-US"/>
        </w:rPr>
        <w:t>1</w:t>
      </w:r>
      <w:r>
        <w:rPr>
          <w:lang w:val="en-US"/>
        </w:rPr>
        <w:t>2.00pm.</w:t>
      </w:r>
    </w:p>
    <w:sectPr w:rsidR="00D02874" w:rsidRPr="00713438" w:rsidSect="007A63C1">
      <w:headerReference w:type="even" r:id="rId9"/>
      <w:headerReference w:type="default" r:id="rId10"/>
      <w:footerReference w:type="even" r:id="rId11"/>
      <w:footerReference w:type="default" r:id="rId12"/>
      <w:headerReference w:type="first" r:id="rId13"/>
      <w:footerReference w:type="first" r:id="rId14"/>
      <w:pgSz w:w="11906" w:h="16838"/>
      <w:pgMar w:top="1191" w:right="1440" w:bottom="1191" w:left="144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EFA02" w14:textId="77777777" w:rsidR="00473BDF" w:rsidRDefault="00473BDF" w:rsidP="0041588E">
      <w:pPr>
        <w:spacing w:after="0" w:line="240" w:lineRule="auto"/>
      </w:pPr>
      <w:r>
        <w:separator/>
      </w:r>
    </w:p>
  </w:endnote>
  <w:endnote w:type="continuationSeparator" w:id="0">
    <w:p w14:paraId="77718963" w14:textId="77777777" w:rsidR="00473BDF" w:rsidRDefault="00473BDF" w:rsidP="0041588E">
      <w:pPr>
        <w:spacing w:after="0" w:line="240" w:lineRule="auto"/>
      </w:pPr>
      <w:r>
        <w:continuationSeparator/>
      </w:r>
    </w:p>
  </w:endnote>
  <w:endnote w:type="continuationNotice" w:id="1">
    <w:p w14:paraId="684326AC" w14:textId="77777777" w:rsidR="00473BDF" w:rsidRDefault="00473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5A0D" w14:textId="77777777" w:rsidR="00BE20E7" w:rsidRDefault="00BE2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436663"/>
      <w:docPartObj>
        <w:docPartGallery w:val="Page Numbers (Bottom of Page)"/>
        <w:docPartUnique/>
      </w:docPartObj>
    </w:sdtPr>
    <w:sdtEndPr>
      <w:rPr>
        <w:noProof/>
      </w:rPr>
    </w:sdtEndPr>
    <w:sdtContent>
      <w:p w14:paraId="6575CA5A" w14:textId="120354AB" w:rsidR="003C1FF3" w:rsidRDefault="003C1FF3" w:rsidP="00BE20E7">
        <w:pPr>
          <w:pStyle w:val="Footer"/>
          <w:jc w:val="right"/>
        </w:pPr>
        <w:r>
          <w:fldChar w:fldCharType="begin"/>
        </w:r>
        <w:r>
          <w:instrText xml:space="preserve"> PAGE   \* MERGEFORMAT </w:instrText>
        </w:r>
        <w:r>
          <w:fldChar w:fldCharType="separate"/>
        </w:r>
        <w:r w:rsidR="00034C53">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79D9" w14:textId="77777777" w:rsidR="00BE20E7" w:rsidRDefault="00BE2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2A4FE" w14:textId="77777777" w:rsidR="00473BDF" w:rsidRDefault="00473BDF" w:rsidP="0041588E">
      <w:pPr>
        <w:spacing w:after="0" w:line="240" w:lineRule="auto"/>
      </w:pPr>
      <w:r>
        <w:separator/>
      </w:r>
    </w:p>
  </w:footnote>
  <w:footnote w:type="continuationSeparator" w:id="0">
    <w:p w14:paraId="5225BB46" w14:textId="77777777" w:rsidR="00473BDF" w:rsidRDefault="00473BDF" w:rsidP="0041588E">
      <w:pPr>
        <w:spacing w:after="0" w:line="240" w:lineRule="auto"/>
      </w:pPr>
      <w:r>
        <w:continuationSeparator/>
      </w:r>
    </w:p>
  </w:footnote>
  <w:footnote w:type="continuationNotice" w:id="1">
    <w:p w14:paraId="47C906A5" w14:textId="77777777" w:rsidR="00473BDF" w:rsidRDefault="00473B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F6204" w14:textId="77777777" w:rsidR="00BE20E7" w:rsidRDefault="00BE2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7EE34" w14:textId="77777777" w:rsidR="00BE20E7" w:rsidRDefault="00BE2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A1775" w14:textId="77777777" w:rsidR="00BE20E7" w:rsidRDefault="00BE2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58E0"/>
    <w:multiLevelType w:val="hybridMultilevel"/>
    <w:tmpl w:val="108C2532"/>
    <w:lvl w:ilvl="0" w:tplc="68D083F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5B6D14"/>
    <w:multiLevelType w:val="multilevel"/>
    <w:tmpl w:val="CE52A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206E71"/>
    <w:multiLevelType w:val="hybridMultilevel"/>
    <w:tmpl w:val="40A2D3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D55F89"/>
    <w:multiLevelType w:val="hybridMultilevel"/>
    <w:tmpl w:val="EBE0A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1565B"/>
    <w:multiLevelType w:val="hybridMultilevel"/>
    <w:tmpl w:val="53A2F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236383"/>
    <w:multiLevelType w:val="hybridMultilevel"/>
    <w:tmpl w:val="B610F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26570D"/>
    <w:multiLevelType w:val="multilevel"/>
    <w:tmpl w:val="9352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DE61C1"/>
    <w:multiLevelType w:val="hybridMultilevel"/>
    <w:tmpl w:val="05588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C97F7C"/>
    <w:multiLevelType w:val="hybridMultilevel"/>
    <w:tmpl w:val="FA7CFE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4A0BA1"/>
    <w:multiLevelType w:val="hybridMultilevel"/>
    <w:tmpl w:val="A4AA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65162D"/>
    <w:multiLevelType w:val="hybridMultilevel"/>
    <w:tmpl w:val="EF32DC9E"/>
    <w:lvl w:ilvl="0" w:tplc="0C09000F">
      <w:start w:val="1"/>
      <w:numFmt w:val="decimal"/>
      <w:lvlText w:val="%1."/>
      <w:lvlJc w:val="left"/>
      <w:pPr>
        <w:ind w:left="720" w:hanging="360"/>
      </w:pPr>
      <w:rPr>
        <w:rFonts w:hint="default"/>
      </w:rPr>
    </w:lvl>
    <w:lvl w:ilvl="1" w:tplc="0D78F5CE" w:tentative="1">
      <w:start w:val="1"/>
      <w:numFmt w:val="bullet"/>
      <w:lvlText w:val="o"/>
      <w:lvlJc w:val="left"/>
      <w:pPr>
        <w:ind w:left="1440" w:hanging="360"/>
      </w:pPr>
      <w:rPr>
        <w:rFonts w:ascii="Courier New" w:hAnsi="Courier New" w:cs="Courier New" w:hint="default"/>
      </w:rPr>
    </w:lvl>
    <w:lvl w:ilvl="2" w:tplc="8152931E" w:tentative="1">
      <w:start w:val="1"/>
      <w:numFmt w:val="bullet"/>
      <w:lvlText w:val=""/>
      <w:lvlJc w:val="left"/>
      <w:pPr>
        <w:ind w:left="2160" w:hanging="360"/>
      </w:pPr>
      <w:rPr>
        <w:rFonts w:ascii="Wingdings" w:hAnsi="Wingdings" w:hint="default"/>
      </w:rPr>
    </w:lvl>
    <w:lvl w:ilvl="3" w:tplc="4914046C" w:tentative="1">
      <w:start w:val="1"/>
      <w:numFmt w:val="bullet"/>
      <w:lvlText w:val=""/>
      <w:lvlJc w:val="left"/>
      <w:pPr>
        <w:ind w:left="2880" w:hanging="360"/>
      </w:pPr>
      <w:rPr>
        <w:rFonts w:ascii="Symbol" w:hAnsi="Symbol" w:hint="default"/>
      </w:rPr>
    </w:lvl>
    <w:lvl w:ilvl="4" w:tplc="DF648372" w:tentative="1">
      <w:start w:val="1"/>
      <w:numFmt w:val="bullet"/>
      <w:lvlText w:val="o"/>
      <w:lvlJc w:val="left"/>
      <w:pPr>
        <w:ind w:left="3600" w:hanging="360"/>
      </w:pPr>
      <w:rPr>
        <w:rFonts w:ascii="Courier New" w:hAnsi="Courier New" w:cs="Courier New" w:hint="default"/>
      </w:rPr>
    </w:lvl>
    <w:lvl w:ilvl="5" w:tplc="35DCBEB2" w:tentative="1">
      <w:start w:val="1"/>
      <w:numFmt w:val="bullet"/>
      <w:lvlText w:val=""/>
      <w:lvlJc w:val="left"/>
      <w:pPr>
        <w:ind w:left="4320" w:hanging="360"/>
      </w:pPr>
      <w:rPr>
        <w:rFonts w:ascii="Wingdings" w:hAnsi="Wingdings" w:hint="default"/>
      </w:rPr>
    </w:lvl>
    <w:lvl w:ilvl="6" w:tplc="412EF514" w:tentative="1">
      <w:start w:val="1"/>
      <w:numFmt w:val="bullet"/>
      <w:lvlText w:val=""/>
      <w:lvlJc w:val="left"/>
      <w:pPr>
        <w:ind w:left="5040" w:hanging="360"/>
      </w:pPr>
      <w:rPr>
        <w:rFonts w:ascii="Symbol" w:hAnsi="Symbol" w:hint="default"/>
      </w:rPr>
    </w:lvl>
    <w:lvl w:ilvl="7" w:tplc="8E40B07E" w:tentative="1">
      <w:start w:val="1"/>
      <w:numFmt w:val="bullet"/>
      <w:lvlText w:val="o"/>
      <w:lvlJc w:val="left"/>
      <w:pPr>
        <w:ind w:left="5760" w:hanging="360"/>
      </w:pPr>
      <w:rPr>
        <w:rFonts w:ascii="Courier New" w:hAnsi="Courier New" w:cs="Courier New" w:hint="default"/>
      </w:rPr>
    </w:lvl>
    <w:lvl w:ilvl="8" w:tplc="4D6A5092" w:tentative="1">
      <w:start w:val="1"/>
      <w:numFmt w:val="bullet"/>
      <w:lvlText w:val=""/>
      <w:lvlJc w:val="left"/>
      <w:pPr>
        <w:ind w:left="6480" w:hanging="360"/>
      </w:pPr>
      <w:rPr>
        <w:rFonts w:ascii="Wingdings" w:hAnsi="Wingdings" w:hint="default"/>
      </w:rPr>
    </w:lvl>
  </w:abstractNum>
  <w:abstractNum w:abstractNumId="11" w15:restartNumberingAfterBreak="0">
    <w:nsid w:val="278C5503"/>
    <w:multiLevelType w:val="multilevel"/>
    <w:tmpl w:val="5D3A12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8017B2F"/>
    <w:multiLevelType w:val="multilevel"/>
    <w:tmpl w:val="03BA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AD2538"/>
    <w:multiLevelType w:val="hybridMultilevel"/>
    <w:tmpl w:val="FA261D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DB12675"/>
    <w:multiLevelType w:val="multilevel"/>
    <w:tmpl w:val="31D87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F104A7"/>
    <w:multiLevelType w:val="multilevel"/>
    <w:tmpl w:val="CE52A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A61792"/>
    <w:multiLevelType w:val="multilevel"/>
    <w:tmpl w:val="CFF216D4"/>
    <w:lvl w:ilvl="0">
      <w:start w:val="1"/>
      <w:numFmt w:val="decimal"/>
      <w:pStyle w:val="Heading4"/>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0610E8C"/>
    <w:multiLevelType w:val="hybridMultilevel"/>
    <w:tmpl w:val="7EEA4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61273C"/>
    <w:multiLevelType w:val="hybridMultilevel"/>
    <w:tmpl w:val="A7142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F90DA4"/>
    <w:multiLevelType w:val="hybridMultilevel"/>
    <w:tmpl w:val="218091E0"/>
    <w:lvl w:ilvl="0" w:tplc="F65A8732">
      <w:start w:val="1"/>
      <w:numFmt w:val="bullet"/>
      <w:lvlText w:val=""/>
      <w:lvlJc w:val="left"/>
      <w:pPr>
        <w:ind w:left="720" w:hanging="360"/>
      </w:pPr>
      <w:rPr>
        <w:rFonts w:ascii="Symbol" w:hAnsi="Symbol" w:hint="default"/>
      </w:rPr>
    </w:lvl>
    <w:lvl w:ilvl="1" w:tplc="0D78F5CE" w:tentative="1">
      <w:start w:val="1"/>
      <w:numFmt w:val="bullet"/>
      <w:lvlText w:val="o"/>
      <w:lvlJc w:val="left"/>
      <w:pPr>
        <w:ind w:left="1440" w:hanging="360"/>
      </w:pPr>
      <w:rPr>
        <w:rFonts w:ascii="Courier New" w:hAnsi="Courier New" w:cs="Courier New" w:hint="default"/>
      </w:rPr>
    </w:lvl>
    <w:lvl w:ilvl="2" w:tplc="8152931E" w:tentative="1">
      <w:start w:val="1"/>
      <w:numFmt w:val="bullet"/>
      <w:lvlText w:val=""/>
      <w:lvlJc w:val="left"/>
      <w:pPr>
        <w:ind w:left="2160" w:hanging="360"/>
      </w:pPr>
      <w:rPr>
        <w:rFonts w:ascii="Wingdings" w:hAnsi="Wingdings" w:hint="default"/>
      </w:rPr>
    </w:lvl>
    <w:lvl w:ilvl="3" w:tplc="4914046C" w:tentative="1">
      <w:start w:val="1"/>
      <w:numFmt w:val="bullet"/>
      <w:lvlText w:val=""/>
      <w:lvlJc w:val="left"/>
      <w:pPr>
        <w:ind w:left="2880" w:hanging="360"/>
      </w:pPr>
      <w:rPr>
        <w:rFonts w:ascii="Symbol" w:hAnsi="Symbol" w:hint="default"/>
      </w:rPr>
    </w:lvl>
    <w:lvl w:ilvl="4" w:tplc="DF648372" w:tentative="1">
      <w:start w:val="1"/>
      <w:numFmt w:val="bullet"/>
      <w:lvlText w:val="o"/>
      <w:lvlJc w:val="left"/>
      <w:pPr>
        <w:ind w:left="3600" w:hanging="360"/>
      </w:pPr>
      <w:rPr>
        <w:rFonts w:ascii="Courier New" w:hAnsi="Courier New" w:cs="Courier New" w:hint="default"/>
      </w:rPr>
    </w:lvl>
    <w:lvl w:ilvl="5" w:tplc="35DCBEB2" w:tentative="1">
      <w:start w:val="1"/>
      <w:numFmt w:val="bullet"/>
      <w:lvlText w:val=""/>
      <w:lvlJc w:val="left"/>
      <w:pPr>
        <w:ind w:left="4320" w:hanging="360"/>
      </w:pPr>
      <w:rPr>
        <w:rFonts w:ascii="Wingdings" w:hAnsi="Wingdings" w:hint="default"/>
      </w:rPr>
    </w:lvl>
    <w:lvl w:ilvl="6" w:tplc="412EF514" w:tentative="1">
      <w:start w:val="1"/>
      <w:numFmt w:val="bullet"/>
      <w:lvlText w:val=""/>
      <w:lvlJc w:val="left"/>
      <w:pPr>
        <w:ind w:left="5040" w:hanging="360"/>
      </w:pPr>
      <w:rPr>
        <w:rFonts w:ascii="Symbol" w:hAnsi="Symbol" w:hint="default"/>
      </w:rPr>
    </w:lvl>
    <w:lvl w:ilvl="7" w:tplc="8E40B07E" w:tentative="1">
      <w:start w:val="1"/>
      <w:numFmt w:val="bullet"/>
      <w:lvlText w:val="o"/>
      <w:lvlJc w:val="left"/>
      <w:pPr>
        <w:ind w:left="5760" w:hanging="360"/>
      </w:pPr>
      <w:rPr>
        <w:rFonts w:ascii="Courier New" w:hAnsi="Courier New" w:cs="Courier New" w:hint="default"/>
      </w:rPr>
    </w:lvl>
    <w:lvl w:ilvl="8" w:tplc="4D6A5092" w:tentative="1">
      <w:start w:val="1"/>
      <w:numFmt w:val="bullet"/>
      <w:lvlText w:val=""/>
      <w:lvlJc w:val="left"/>
      <w:pPr>
        <w:ind w:left="6480" w:hanging="360"/>
      </w:pPr>
      <w:rPr>
        <w:rFonts w:ascii="Wingdings" w:hAnsi="Wingdings" w:hint="default"/>
      </w:rPr>
    </w:lvl>
  </w:abstractNum>
  <w:abstractNum w:abstractNumId="20" w15:restartNumberingAfterBreak="0">
    <w:nsid w:val="4B4C6B60"/>
    <w:multiLevelType w:val="hybridMultilevel"/>
    <w:tmpl w:val="69881D8A"/>
    <w:lvl w:ilvl="0" w:tplc="1E1A11B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06F6E86"/>
    <w:multiLevelType w:val="multilevel"/>
    <w:tmpl w:val="A862389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49D4BDB"/>
    <w:multiLevelType w:val="multilevel"/>
    <w:tmpl w:val="CE52A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AA42C3"/>
    <w:multiLevelType w:val="multilevel"/>
    <w:tmpl w:val="CE52A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B64876"/>
    <w:multiLevelType w:val="multilevel"/>
    <w:tmpl w:val="1E34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414D31"/>
    <w:multiLevelType w:val="hybridMultilevel"/>
    <w:tmpl w:val="2DDEF0F8"/>
    <w:lvl w:ilvl="0" w:tplc="06AEB884">
      <w:start w:val="3"/>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97B1503"/>
    <w:multiLevelType w:val="multilevel"/>
    <w:tmpl w:val="B722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86214F"/>
    <w:multiLevelType w:val="hybridMultilevel"/>
    <w:tmpl w:val="0CB6F51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01720AF"/>
    <w:multiLevelType w:val="multilevel"/>
    <w:tmpl w:val="149C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815621"/>
    <w:multiLevelType w:val="multilevel"/>
    <w:tmpl w:val="A862389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94B2DD7"/>
    <w:multiLevelType w:val="multilevel"/>
    <w:tmpl w:val="CE52A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F51E7A"/>
    <w:multiLevelType w:val="hybridMultilevel"/>
    <w:tmpl w:val="C7BAE1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974A03"/>
    <w:multiLevelType w:val="hybridMultilevel"/>
    <w:tmpl w:val="1DEC5274"/>
    <w:lvl w:ilvl="0" w:tplc="B310228E">
      <w:start w:val="1"/>
      <w:numFmt w:val="bullet"/>
      <w:lvlText w:val=""/>
      <w:lvlJc w:val="left"/>
      <w:pPr>
        <w:tabs>
          <w:tab w:val="num" w:pos="720"/>
        </w:tabs>
        <w:ind w:left="720" w:hanging="360"/>
      </w:pPr>
      <w:rPr>
        <w:rFonts w:ascii="Wingdings 3" w:hAnsi="Wingdings 3" w:hint="default"/>
      </w:rPr>
    </w:lvl>
    <w:lvl w:ilvl="1" w:tplc="1696FC2E">
      <w:start w:val="174"/>
      <w:numFmt w:val="bullet"/>
      <w:lvlText w:val=""/>
      <w:lvlJc w:val="left"/>
      <w:pPr>
        <w:tabs>
          <w:tab w:val="num" w:pos="1440"/>
        </w:tabs>
        <w:ind w:left="1440" w:hanging="360"/>
      </w:pPr>
      <w:rPr>
        <w:rFonts w:ascii="Wingdings 3" w:hAnsi="Wingdings 3" w:hint="default"/>
      </w:rPr>
    </w:lvl>
    <w:lvl w:ilvl="2" w:tplc="FD6E1BEE" w:tentative="1">
      <w:start w:val="1"/>
      <w:numFmt w:val="bullet"/>
      <w:lvlText w:val=""/>
      <w:lvlJc w:val="left"/>
      <w:pPr>
        <w:tabs>
          <w:tab w:val="num" w:pos="2160"/>
        </w:tabs>
        <w:ind w:left="2160" w:hanging="360"/>
      </w:pPr>
      <w:rPr>
        <w:rFonts w:ascii="Wingdings 3" w:hAnsi="Wingdings 3" w:hint="default"/>
      </w:rPr>
    </w:lvl>
    <w:lvl w:ilvl="3" w:tplc="DDE67F0E" w:tentative="1">
      <w:start w:val="1"/>
      <w:numFmt w:val="bullet"/>
      <w:lvlText w:val=""/>
      <w:lvlJc w:val="left"/>
      <w:pPr>
        <w:tabs>
          <w:tab w:val="num" w:pos="2880"/>
        </w:tabs>
        <w:ind w:left="2880" w:hanging="360"/>
      </w:pPr>
      <w:rPr>
        <w:rFonts w:ascii="Wingdings 3" w:hAnsi="Wingdings 3" w:hint="default"/>
      </w:rPr>
    </w:lvl>
    <w:lvl w:ilvl="4" w:tplc="A54CD28C" w:tentative="1">
      <w:start w:val="1"/>
      <w:numFmt w:val="bullet"/>
      <w:lvlText w:val=""/>
      <w:lvlJc w:val="left"/>
      <w:pPr>
        <w:tabs>
          <w:tab w:val="num" w:pos="3600"/>
        </w:tabs>
        <w:ind w:left="3600" w:hanging="360"/>
      </w:pPr>
      <w:rPr>
        <w:rFonts w:ascii="Wingdings 3" w:hAnsi="Wingdings 3" w:hint="default"/>
      </w:rPr>
    </w:lvl>
    <w:lvl w:ilvl="5" w:tplc="CA6401AE" w:tentative="1">
      <w:start w:val="1"/>
      <w:numFmt w:val="bullet"/>
      <w:lvlText w:val=""/>
      <w:lvlJc w:val="left"/>
      <w:pPr>
        <w:tabs>
          <w:tab w:val="num" w:pos="4320"/>
        </w:tabs>
        <w:ind w:left="4320" w:hanging="360"/>
      </w:pPr>
      <w:rPr>
        <w:rFonts w:ascii="Wingdings 3" w:hAnsi="Wingdings 3" w:hint="default"/>
      </w:rPr>
    </w:lvl>
    <w:lvl w:ilvl="6" w:tplc="B67C26F2" w:tentative="1">
      <w:start w:val="1"/>
      <w:numFmt w:val="bullet"/>
      <w:lvlText w:val=""/>
      <w:lvlJc w:val="left"/>
      <w:pPr>
        <w:tabs>
          <w:tab w:val="num" w:pos="5040"/>
        </w:tabs>
        <w:ind w:left="5040" w:hanging="360"/>
      </w:pPr>
      <w:rPr>
        <w:rFonts w:ascii="Wingdings 3" w:hAnsi="Wingdings 3" w:hint="default"/>
      </w:rPr>
    </w:lvl>
    <w:lvl w:ilvl="7" w:tplc="67A6CA22" w:tentative="1">
      <w:start w:val="1"/>
      <w:numFmt w:val="bullet"/>
      <w:lvlText w:val=""/>
      <w:lvlJc w:val="left"/>
      <w:pPr>
        <w:tabs>
          <w:tab w:val="num" w:pos="5760"/>
        </w:tabs>
        <w:ind w:left="5760" w:hanging="360"/>
      </w:pPr>
      <w:rPr>
        <w:rFonts w:ascii="Wingdings 3" w:hAnsi="Wingdings 3" w:hint="default"/>
      </w:rPr>
    </w:lvl>
    <w:lvl w:ilvl="8" w:tplc="00C25CFA"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6D8B4E54"/>
    <w:multiLevelType w:val="hybridMultilevel"/>
    <w:tmpl w:val="9CFA8D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27D7088"/>
    <w:multiLevelType w:val="hybridMultilevel"/>
    <w:tmpl w:val="6AB8B392"/>
    <w:lvl w:ilvl="0" w:tplc="A8D0E61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3EC7471"/>
    <w:multiLevelType w:val="hybridMultilevel"/>
    <w:tmpl w:val="40A2D3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5AA5B5D"/>
    <w:multiLevelType w:val="multilevel"/>
    <w:tmpl w:val="A2AA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EE7E31"/>
    <w:multiLevelType w:val="hybridMultilevel"/>
    <w:tmpl w:val="FC5A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9A37C1"/>
    <w:multiLevelType w:val="multilevel"/>
    <w:tmpl w:val="604A6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BA1218"/>
    <w:multiLevelType w:val="hybridMultilevel"/>
    <w:tmpl w:val="A6F46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D34B4D"/>
    <w:multiLevelType w:val="multilevel"/>
    <w:tmpl w:val="2428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5E3DE4"/>
    <w:multiLevelType w:val="hybridMultilevel"/>
    <w:tmpl w:val="4F32829A"/>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5016180">
    <w:abstractNumId w:val="0"/>
  </w:num>
  <w:num w:numId="2" w16cid:durableId="70978283">
    <w:abstractNumId w:val="7"/>
  </w:num>
  <w:num w:numId="3" w16cid:durableId="1264261990">
    <w:abstractNumId w:val="32"/>
  </w:num>
  <w:num w:numId="4" w16cid:durableId="513039591">
    <w:abstractNumId w:val="37"/>
  </w:num>
  <w:num w:numId="5" w16cid:durableId="1944919047">
    <w:abstractNumId w:val="3"/>
  </w:num>
  <w:num w:numId="6" w16cid:durableId="1664965905">
    <w:abstractNumId w:val="27"/>
  </w:num>
  <w:num w:numId="7" w16cid:durableId="915211682">
    <w:abstractNumId w:val="17"/>
  </w:num>
  <w:num w:numId="8" w16cid:durableId="1453405323">
    <w:abstractNumId w:val="4"/>
  </w:num>
  <w:num w:numId="9" w16cid:durableId="985083364">
    <w:abstractNumId w:val="33"/>
  </w:num>
  <w:num w:numId="10" w16cid:durableId="93793536">
    <w:abstractNumId w:val="35"/>
  </w:num>
  <w:num w:numId="11" w16cid:durableId="738984301">
    <w:abstractNumId w:val="19"/>
  </w:num>
  <w:num w:numId="12" w16cid:durableId="928387412">
    <w:abstractNumId w:val="31"/>
  </w:num>
  <w:num w:numId="13" w16cid:durableId="625426879">
    <w:abstractNumId w:val="10"/>
  </w:num>
  <w:num w:numId="14" w16cid:durableId="903639949">
    <w:abstractNumId w:val="41"/>
  </w:num>
  <w:num w:numId="15" w16cid:durableId="437067611">
    <w:abstractNumId w:val="34"/>
  </w:num>
  <w:num w:numId="16" w16cid:durableId="1158303412">
    <w:abstractNumId w:val="20"/>
  </w:num>
  <w:num w:numId="17" w16cid:durableId="1935360138">
    <w:abstractNumId w:val="25"/>
  </w:num>
  <w:num w:numId="18" w16cid:durableId="842479722">
    <w:abstractNumId w:val="36"/>
  </w:num>
  <w:num w:numId="19" w16cid:durableId="244725765">
    <w:abstractNumId w:val="24"/>
  </w:num>
  <w:num w:numId="20" w16cid:durableId="1779833961">
    <w:abstractNumId w:val="18"/>
  </w:num>
  <w:num w:numId="21" w16cid:durableId="705329753">
    <w:abstractNumId w:val="26"/>
  </w:num>
  <w:num w:numId="22" w16cid:durableId="1742367337">
    <w:abstractNumId w:val="22"/>
  </w:num>
  <w:num w:numId="23" w16cid:durableId="1828545014">
    <w:abstractNumId w:val="21"/>
  </w:num>
  <w:num w:numId="24" w16cid:durableId="121000537">
    <w:abstractNumId w:val="2"/>
  </w:num>
  <w:num w:numId="25" w16cid:durableId="253176372">
    <w:abstractNumId w:val="30"/>
  </w:num>
  <w:num w:numId="26" w16cid:durableId="1434205523">
    <w:abstractNumId w:val="23"/>
  </w:num>
  <w:num w:numId="27" w16cid:durableId="1926839168">
    <w:abstractNumId w:val="16"/>
  </w:num>
  <w:num w:numId="28" w16cid:durableId="318728906">
    <w:abstractNumId w:val="15"/>
  </w:num>
  <w:num w:numId="29" w16cid:durableId="172260779">
    <w:abstractNumId w:val="11"/>
  </w:num>
  <w:num w:numId="30" w16cid:durableId="193538382">
    <w:abstractNumId w:val="14"/>
  </w:num>
  <w:num w:numId="31" w16cid:durableId="1286278685">
    <w:abstractNumId w:val="1"/>
  </w:num>
  <w:num w:numId="32" w16cid:durableId="932979342">
    <w:abstractNumId w:val="29"/>
  </w:num>
  <w:num w:numId="33" w16cid:durableId="1282615012">
    <w:abstractNumId w:val="38"/>
  </w:num>
  <w:num w:numId="34" w16cid:durableId="1326207410">
    <w:abstractNumId w:val="8"/>
  </w:num>
  <w:num w:numId="35" w16cid:durableId="267856727">
    <w:abstractNumId w:val="13"/>
  </w:num>
  <w:num w:numId="36" w16cid:durableId="362100351">
    <w:abstractNumId w:val="12"/>
  </w:num>
  <w:num w:numId="37" w16cid:durableId="290675797">
    <w:abstractNumId w:val="40"/>
  </w:num>
  <w:num w:numId="38" w16cid:durableId="1117602621">
    <w:abstractNumId w:val="28"/>
  </w:num>
  <w:num w:numId="39" w16cid:durableId="1010717589">
    <w:abstractNumId w:val="5"/>
  </w:num>
  <w:num w:numId="40" w16cid:durableId="1051150923">
    <w:abstractNumId w:val="39"/>
  </w:num>
  <w:num w:numId="41" w16cid:durableId="1935506448">
    <w:abstractNumId w:val="6"/>
  </w:num>
  <w:num w:numId="42" w16cid:durableId="1885559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1D"/>
    <w:rsid w:val="0000073B"/>
    <w:rsid w:val="0000097A"/>
    <w:rsid w:val="000032D4"/>
    <w:rsid w:val="00010F50"/>
    <w:rsid w:val="00012121"/>
    <w:rsid w:val="00013740"/>
    <w:rsid w:val="000149E4"/>
    <w:rsid w:val="00015DEA"/>
    <w:rsid w:val="0002330F"/>
    <w:rsid w:val="00025110"/>
    <w:rsid w:val="0002729F"/>
    <w:rsid w:val="00034C53"/>
    <w:rsid w:val="000366EA"/>
    <w:rsid w:val="00036B43"/>
    <w:rsid w:val="00037A84"/>
    <w:rsid w:val="00042725"/>
    <w:rsid w:val="0004290B"/>
    <w:rsid w:val="00044B71"/>
    <w:rsid w:val="00045FE1"/>
    <w:rsid w:val="00047EDF"/>
    <w:rsid w:val="00053C24"/>
    <w:rsid w:val="000542EF"/>
    <w:rsid w:val="000603CB"/>
    <w:rsid w:val="00061193"/>
    <w:rsid w:val="0006519D"/>
    <w:rsid w:val="00067C7D"/>
    <w:rsid w:val="00073CBA"/>
    <w:rsid w:val="00082380"/>
    <w:rsid w:val="00082ADE"/>
    <w:rsid w:val="00087FDC"/>
    <w:rsid w:val="0009000E"/>
    <w:rsid w:val="0009392D"/>
    <w:rsid w:val="000958DF"/>
    <w:rsid w:val="00096534"/>
    <w:rsid w:val="00097D3C"/>
    <w:rsid w:val="000A0A4A"/>
    <w:rsid w:val="000A20FB"/>
    <w:rsid w:val="000A26FF"/>
    <w:rsid w:val="000A46FF"/>
    <w:rsid w:val="000A6B93"/>
    <w:rsid w:val="000B1715"/>
    <w:rsid w:val="000B21A1"/>
    <w:rsid w:val="000B2E1F"/>
    <w:rsid w:val="000B30FE"/>
    <w:rsid w:val="000B3751"/>
    <w:rsid w:val="000B4212"/>
    <w:rsid w:val="000B565B"/>
    <w:rsid w:val="000B5C41"/>
    <w:rsid w:val="000B7431"/>
    <w:rsid w:val="000C1A48"/>
    <w:rsid w:val="000C332C"/>
    <w:rsid w:val="000C7CCA"/>
    <w:rsid w:val="000D0216"/>
    <w:rsid w:val="000D5133"/>
    <w:rsid w:val="000D608E"/>
    <w:rsid w:val="000E077F"/>
    <w:rsid w:val="000E0A96"/>
    <w:rsid w:val="000E25C2"/>
    <w:rsid w:val="000E328D"/>
    <w:rsid w:val="000E7A51"/>
    <w:rsid w:val="000F0D69"/>
    <w:rsid w:val="001004B3"/>
    <w:rsid w:val="00102F48"/>
    <w:rsid w:val="00103CE0"/>
    <w:rsid w:val="00103F71"/>
    <w:rsid w:val="00105B9C"/>
    <w:rsid w:val="00106097"/>
    <w:rsid w:val="00113753"/>
    <w:rsid w:val="001150A3"/>
    <w:rsid w:val="001163F4"/>
    <w:rsid w:val="00117D47"/>
    <w:rsid w:val="00124C97"/>
    <w:rsid w:val="00124ED9"/>
    <w:rsid w:val="00124FA2"/>
    <w:rsid w:val="00126BB4"/>
    <w:rsid w:val="00134997"/>
    <w:rsid w:val="00136B12"/>
    <w:rsid w:val="00137708"/>
    <w:rsid w:val="00141D89"/>
    <w:rsid w:val="00141DE5"/>
    <w:rsid w:val="001423BB"/>
    <w:rsid w:val="00143627"/>
    <w:rsid w:val="00143876"/>
    <w:rsid w:val="001466BC"/>
    <w:rsid w:val="001557FC"/>
    <w:rsid w:val="001564FC"/>
    <w:rsid w:val="0016119C"/>
    <w:rsid w:val="0016144E"/>
    <w:rsid w:val="0016149E"/>
    <w:rsid w:val="00164AE8"/>
    <w:rsid w:val="0016684E"/>
    <w:rsid w:val="001701D6"/>
    <w:rsid w:val="00170677"/>
    <w:rsid w:val="00170970"/>
    <w:rsid w:val="00170BD1"/>
    <w:rsid w:val="00174D8F"/>
    <w:rsid w:val="00175BBE"/>
    <w:rsid w:val="0017656D"/>
    <w:rsid w:val="00180D0F"/>
    <w:rsid w:val="0018104A"/>
    <w:rsid w:val="001811A5"/>
    <w:rsid w:val="00182D3A"/>
    <w:rsid w:val="001831CF"/>
    <w:rsid w:val="0018410F"/>
    <w:rsid w:val="00187010"/>
    <w:rsid w:val="00190F45"/>
    <w:rsid w:val="00194205"/>
    <w:rsid w:val="001964E2"/>
    <w:rsid w:val="001A0DD1"/>
    <w:rsid w:val="001A5541"/>
    <w:rsid w:val="001A7009"/>
    <w:rsid w:val="001B0B42"/>
    <w:rsid w:val="001B2EFF"/>
    <w:rsid w:val="001B7BAA"/>
    <w:rsid w:val="001C168C"/>
    <w:rsid w:val="001C1E2A"/>
    <w:rsid w:val="001C3BEF"/>
    <w:rsid w:val="001C4CD3"/>
    <w:rsid w:val="001C54B4"/>
    <w:rsid w:val="001C5790"/>
    <w:rsid w:val="001C65EE"/>
    <w:rsid w:val="001D07C7"/>
    <w:rsid w:val="001D47FC"/>
    <w:rsid w:val="001D5316"/>
    <w:rsid w:val="001D6C2D"/>
    <w:rsid w:val="001E1711"/>
    <w:rsid w:val="001E765F"/>
    <w:rsid w:val="001F26F1"/>
    <w:rsid w:val="001F42EE"/>
    <w:rsid w:val="001F4A66"/>
    <w:rsid w:val="001F77DA"/>
    <w:rsid w:val="00202AD6"/>
    <w:rsid w:val="00202BA3"/>
    <w:rsid w:val="00206E57"/>
    <w:rsid w:val="00212E9A"/>
    <w:rsid w:val="00215449"/>
    <w:rsid w:val="002204C5"/>
    <w:rsid w:val="0022106B"/>
    <w:rsid w:val="00221A9B"/>
    <w:rsid w:val="002222C9"/>
    <w:rsid w:val="002301E1"/>
    <w:rsid w:val="00231514"/>
    <w:rsid w:val="00233305"/>
    <w:rsid w:val="00234559"/>
    <w:rsid w:val="00235880"/>
    <w:rsid w:val="00235E58"/>
    <w:rsid w:val="00236AA3"/>
    <w:rsid w:val="00241F0F"/>
    <w:rsid w:val="00243D4F"/>
    <w:rsid w:val="002523A0"/>
    <w:rsid w:val="00252AB5"/>
    <w:rsid w:val="00254058"/>
    <w:rsid w:val="002545A7"/>
    <w:rsid w:val="00255BCC"/>
    <w:rsid w:val="002564D7"/>
    <w:rsid w:val="00257ED5"/>
    <w:rsid w:val="00257F13"/>
    <w:rsid w:val="00261222"/>
    <w:rsid w:val="00264932"/>
    <w:rsid w:val="00267F2C"/>
    <w:rsid w:val="0027032D"/>
    <w:rsid w:val="0027380E"/>
    <w:rsid w:val="002766C0"/>
    <w:rsid w:val="00276AC6"/>
    <w:rsid w:val="00280050"/>
    <w:rsid w:val="002815D5"/>
    <w:rsid w:val="002822EF"/>
    <w:rsid w:val="0028500F"/>
    <w:rsid w:val="002862AE"/>
    <w:rsid w:val="00286413"/>
    <w:rsid w:val="0028798B"/>
    <w:rsid w:val="00290DBC"/>
    <w:rsid w:val="00291AEE"/>
    <w:rsid w:val="00291F6D"/>
    <w:rsid w:val="0029751F"/>
    <w:rsid w:val="00297CDE"/>
    <w:rsid w:val="002B06F5"/>
    <w:rsid w:val="002B1169"/>
    <w:rsid w:val="002B1377"/>
    <w:rsid w:val="002B1686"/>
    <w:rsid w:val="002B186B"/>
    <w:rsid w:val="002B3ABA"/>
    <w:rsid w:val="002B46CC"/>
    <w:rsid w:val="002B4915"/>
    <w:rsid w:val="002B5FE3"/>
    <w:rsid w:val="002C25AA"/>
    <w:rsid w:val="002C28F6"/>
    <w:rsid w:val="002C3936"/>
    <w:rsid w:val="002C4515"/>
    <w:rsid w:val="002C7510"/>
    <w:rsid w:val="002D2B8C"/>
    <w:rsid w:val="002D3998"/>
    <w:rsid w:val="002D762E"/>
    <w:rsid w:val="002D7B1E"/>
    <w:rsid w:val="002E3526"/>
    <w:rsid w:val="002E69F7"/>
    <w:rsid w:val="002E6DC2"/>
    <w:rsid w:val="002E7659"/>
    <w:rsid w:val="002F0C14"/>
    <w:rsid w:val="002F1863"/>
    <w:rsid w:val="002F2B2E"/>
    <w:rsid w:val="002F5935"/>
    <w:rsid w:val="002F7204"/>
    <w:rsid w:val="002F7214"/>
    <w:rsid w:val="002F7E49"/>
    <w:rsid w:val="00301B03"/>
    <w:rsid w:val="00304892"/>
    <w:rsid w:val="00306E75"/>
    <w:rsid w:val="00306EF6"/>
    <w:rsid w:val="00310289"/>
    <w:rsid w:val="003128CD"/>
    <w:rsid w:val="0031562F"/>
    <w:rsid w:val="00316B6A"/>
    <w:rsid w:val="00317371"/>
    <w:rsid w:val="00320010"/>
    <w:rsid w:val="003226BC"/>
    <w:rsid w:val="0032409E"/>
    <w:rsid w:val="00324852"/>
    <w:rsid w:val="00324E6E"/>
    <w:rsid w:val="00325A53"/>
    <w:rsid w:val="00325FD9"/>
    <w:rsid w:val="0033313E"/>
    <w:rsid w:val="00334CCC"/>
    <w:rsid w:val="0033511D"/>
    <w:rsid w:val="00335BE1"/>
    <w:rsid w:val="003366E2"/>
    <w:rsid w:val="00336983"/>
    <w:rsid w:val="00337FBE"/>
    <w:rsid w:val="00342609"/>
    <w:rsid w:val="003441E8"/>
    <w:rsid w:val="00345538"/>
    <w:rsid w:val="00345F81"/>
    <w:rsid w:val="00351D90"/>
    <w:rsid w:val="003527B8"/>
    <w:rsid w:val="00352EC6"/>
    <w:rsid w:val="003568B3"/>
    <w:rsid w:val="003575D9"/>
    <w:rsid w:val="00357DF5"/>
    <w:rsid w:val="00363EDD"/>
    <w:rsid w:val="00366381"/>
    <w:rsid w:val="00366B93"/>
    <w:rsid w:val="003707BB"/>
    <w:rsid w:val="00371B70"/>
    <w:rsid w:val="00374BFE"/>
    <w:rsid w:val="0037524B"/>
    <w:rsid w:val="00376CA4"/>
    <w:rsid w:val="00376D56"/>
    <w:rsid w:val="00377DF6"/>
    <w:rsid w:val="00385341"/>
    <w:rsid w:val="00391588"/>
    <w:rsid w:val="00392CFF"/>
    <w:rsid w:val="00394B16"/>
    <w:rsid w:val="00394B52"/>
    <w:rsid w:val="003966A1"/>
    <w:rsid w:val="003A26A1"/>
    <w:rsid w:val="003A4316"/>
    <w:rsid w:val="003A4A41"/>
    <w:rsid w:val="003A53DE"/>
    <w:rsid w:val="003A6BAF"/>
    <w:rsid w:val="003B3A81"/>
    <w:rsid w:val="003B3C10"/>
    <w:rsid w:val="003C1FF3"/>
    <w:rsid w:val="003C20C2"/>
    <w:rsid w:val="003C37DB"/>
    <w:rsid w:val="003D0065"/>
    <w:rsid w:val="003D1BB4"/>
    <w:rsid w:val="003D369F"/>
    <w:rsid w:val="003D41BD"/>
    <w:rsid w:val="003D4A37"/>
    <w:rsid w:val="003D7117"/>
    <w:rsid w:val="003D7AA3"/>
    <w:rsid w:val="003E19DF"/>
    <w:rsid w:val="003E45C7"/>
    <w:rsid w:val="003E52B9"/>
    <w:rsid w:val="003F0573"/>
    <w:rsid w:val="003F1473"/>
    <w:rsid w:val="003F3D29"/>
    <w:rsid w:val="003F7F91"/>
    <w:rsid w:val="0040081C"/>
    <w:rsid w:val="004047BF"/>
    <w:rsid w:val="004049EF"/>
    <w:rsid w:val="00405308"/>
    <w:rsid w:val="00413F4D"/>
    <w:rsid w:val="00415532"/>
    <w:rsid w:val="0041588E"/>
    <w:rsid w:val="00416355"/>
    <w:rsid w:val="00416A5B"/>
    <w:rsid w:val="004202F7"/>
    <w:rsid w:val="0042340B"/>
    <w:rsid w:val="004238CF"/>
    <w:rsid w:val="00424284"/>
    <w:rsid w:val="0042529F"/>
    <w:rsid w:val="0042605C"/>
    <w:rsid w:val="004274CA"/>
    <w:rsid w:val="00431817"/>
    <w:rsid w:val="0043198C"/>
    <w:rsid w:val="00431C82"/>
    <w:rsid w:val="00433E0C"/>
    <w:rsid w:val="004349D8"/>
    <w:rsid w:val="00437838"/>
    <w:rsid w:val="004409A7"/>
    <w:rsid w:val="00445347"/>
    <w:rsid w:val="00445863"/>
    <w:rsid w:val="00445BCA"/>
    <w:rsid w:val="00447111"/>
    <w:rsid w:val="00447B5A"/>
    <w:rsid w:val="00450F63"/>
    <w:rsid w:val="00451887"/>
    <w:rsid w:val="00452968"/>
    <w:rsid w:val="004549F0"/>
    <w:rsid w:val="00456416"/>
    <w:rsid w:val="00467814"/>
    <w:rsid w:val="00473BDF"/>
    <w:rsid w:val="00474A19"/>
    <w:rsid w:val="00475982"/>
    <w:rsid w:val="0047641F"/>
    <w:rsid w:val="004764FB"/>
    <w:rsid w:val="00477385"/>
    <w:rsid w:val="00481871"/>
    <w:rsid w:val="00481CF7"/>
    <w:rsid w:val="00483CCF"/>
    <w:rsid w:val="004867E2"/>
    <w:rsid w:val="004922BC"/>
    <w:rsid w:val="00494466"/>
    <w:rsid w:val="004964E2"/>
    <w:rsid w:val="004967C7"/>
    <w:rsid w:val="004A0FC8"/>
    <w:rsid w:val="004A2664"/>
    <w:rsid w:val="004A2B79"/>
    <w:rsid w:val="004A3A8A"/>
    <w:rsid w:val="004A3BDB"/>
    <w:rsid w:val="004A40E4"/>
    <w:rsid w:val="004A4D4D"/>
    <w:rsid w:val="004A5545"/>
    <w:rsid w:val="004A57C2"/>
    <w:rsid w:val="004A599A"/>
    <w:rsid w:val="004A5E7E"/>
    <w:rsid w:val="004A7B5D"/>
    <w:rsid w:val="004A7F43"/>
    <w:rsid w:val="004B2807"/>
    <w:rsid w:val="004B28C7"/>
    <w:rsid w:val="004B3830"/>
    <w:rsid w:val="004B469B"/>
    <w:rsid w:val="004B4AE8"/>
    <w:rsid w:val="004B6EC8"/>
    <w:rsid w:val="004C0226"/>
    <w:rsid w:val="004C1326"/>
    <w:rsid w:val="004C21A0"/>
    <w:rsid w:val="004C7A57"/>
    <w:rsid w:val="004D17F6"/>
    <w:rsid w:val="004D1CE0"/>
    <w:rsid w:val="004E0881"/>
    <w:rsid w:val="004E0ED2"/>
    <w:rsid w:val="004E54F3"/>
    <w:rsid w:val="004F0837"/>
    <w:rsid w:val="004F2BE2"/>
    <w:rsid w:val="004F5174"/>
    <w:rsid w:val="00500768"/>
    <w:rsid w:val="00500D44"/>
    <w:rsid w:val="00501DB4"/>
    <w:rsid w:val="0050214E"/>
    <w:rsid w:val="0050408F"/>
    <w:rsid w:val="00504541"/>
    <w:rsid w:val="0050621E"/>
    <w:rsid w:val="005065BB"/>
    <w:rsid w:val="00506E28"/>
    <w:rsid w:val="005110AD"/>
    <w:rsid w:val="00512446"/>
    <w:rsid w:val="005176E5"/>
    <w:rsid w:val="00517F49"/>
    <w:rsid w:val="00524C98"/>
    <w:rsid w:val="00530E32"/>
    <w:rsid w:val="005429BF"/>
    <w:rsid w:val="00542BF9"/>
    <w:rsid w:val="00543507"/>
    <w:rsid w:val="00545A78"/>
    <w:rsid w:val="005467C6"/>
    <w:rsid w:val="0054701A"/>
    <w:rsid w:val="00553B6F"/>
    <w:rsid w:val="00554199"/>
    <w:rsid w:val="00554D9D"/>
    <w:rsid w:val="00555266"/>
    <w:rsid w:val="0055579A"/>
    <w:rsid w:val="005572F1"/>
    <w:rsid w:val="005618FE"/>
    <w:rsid w:val="00562C8D"/>
    <w:rsid w:val="00565075"/>
    <w:rsid w:val="00565B53"/>
    <w:rsid w:val="0057244F"/>
    <w:rsid w:val="00572FE6"/>
    <w:rsid w:val="0057568D"/>
    <w:rsid w:val="00582178"/>
    <w:rsid w:val="00584CA5"/>
    <w:rsid w:val="0058540E"/>
    <w:rsid w:val="00585BF2"/>
    <w:rsid w:val="00585E5D"/>
    <w:rsid w:val="00586ADF"/>
    <w:rsid w:val="005901BA"/>
    <w:rsid w:val="00594442"/>
    <w:rsid w:val="005945C6"/>
    <w:rsid w:val="005960F1"/>
    <w:rsid w:val="00596AFF"/>
    <w:rsid w:val="005A0262"/>
    <w:rsid w:val="005A49E2"/>
    <w:rsid w:val="005A6881"/>
    <w:rsid w:val="005A7E45"/>
    <w:rsid w:val="005B03DF"/>
    <w:rsid w:val="005B32C9"/>
    <w:rsid w:val="005B3D09"/>
    <w:rsid w:val="005C0D00"/>
    <w:rsid w:val="005C0D08"/>
    <w:rsid w:val="005C132A"/>
    <w:rsid w:val="005C2065"/>
    <w:rsid w:val="005C47C4"/>
    <w:rsid w:val="005C47E3"/>
    <w:rsid w:val="005C676A"/>
    <w:rsid w:val="005D0F76"/>
    <w:rsid w:val="005D26BF"/>
    <w:rsid w:val="005E056B"/>
    <w:rsid w:val="005E4F47"/>
    <w:rsid w:val="005E61AE"/>
    <w:rsid w:val="005E6484"/>
    <w:rsid w:val="005E6D2C"/>
    <w:rsid w:val="005E7671"/>
    <w:rsid w:val="005F164C"/>
    <w:rsid w:val="005F697F"/>
    <w:rsid w:val="006034FE"/>
    <w:rsid w:val="00606ADC"/>
    <w:rsid w:val="0061018B"/>
    <w:rsid w:val="00612BCC"/>
    <w:rsid w:val="00614C47"/>
    <w:rsid w:val="006153DB"/>
    <w:rsid w:val="0061628C"/>
    <w:rsid w:val="00616DA2"/>
    <w:rsid w:val="00621895"/>
    <w:rsid w:val="00623239"/>
    <w:rsid w:val="00630BF3"/>
    <w:rsid w:val="006317E4"/>
    <w:rsid w:val="00633785"/>
    <w:rsid w:val="00633A98"/>
    <w:rsid w:val="00634675"/>
    <w:rsid w:val="0063725A"/>
    <w:rsid w:val="00637577"/>
    <w:rsid w:val="00637F21"/>
    <w:rsid w:val="0064006F"/>
    <w:rsid w:val="006414ED"/>
    <w:rsid w:val="00641631"/>
    <w:rsid w:val="00641FC2"/>
    <w:rsid w:val="00647FF4"/>
    <w:rsid w:val="006538DD"/>
    <w:rsid w:val="00653CD4"/>
    <w:rsid w:val="00655A76"/>
    <w:rsid w:val="00657040"/>
    <w:rsid w:val="00663AED"/>
    <w:rsid w:val="00665160"/>
    <w:rsid w:val="006659FA"/>
    <w:rsid w:val="006662AB"/>
    <w:rsid w:val="00671015"/>
    <w:rsid w:val="00672D21"/>
    <w:rsid w:val="00680304"/>
    <w:rsid w:val="00680EC3"/>
    <w:rsid w:val="00682B69"/>
    <w:rsid w:val="00683402"/>
    <w:rsid w:val="006837F6"/>
    <w:rsid w:val="00684F6B"/>
    <w:rsid w:val="00685F76"/>
    <w:rsid w:val="00686358"/>
    <w:rsid w:val="00687DAB"/>
    <w:rsid w:val="00693929"/>
    <w:rsid w:val="00697655"/>
    <w:rsid w:val="006A0B75"/>
    <w:rsid w:val="006A40B8"/>
    <w:rsid w:val="006A4C1B"/>
    <w:rsid w:val="006A6A50"/>
    <w:rsid w:val="006A7B4F"/>
    <w:rsid w:val="006B0A2D"/>
    <w:rsid w:val="006B19B5"/>
    <w:rsid w:val="006B20BE"/>
    <w:rsid w:val="006B29FE"/>
    <w:rsid w:val="006B2C82"/>
    <w:rsid w:val="006B63BD"/>
    <w:rsid w:val="006C1AB5"/>
    <w:rsid w:val="006C2D1D"/>
    <w:rsid w:val="006C2F11"/>
    <w:rsid w:val="006C464C"/>
    <w:rsid w:val="006C4C0F"/>
    <w:rsid w:val="006C5B15"/>
    <w:rsid w:val="006C5C11"/>
    <w:rsid w:val="006C64DB"/>
    <w:rsid w:val="006D431F"/>
    <w:rsid w:val="006D7318"/>
    <w:rsid w:val="006D7484"/>
    <w:rsid w:val="006D7910"/>
    <w:rsid w:val="006E3F23"/>
    <w:rsid w:val="006E4888"/>
    <w:rsid w:val="006E7EB2"/>
    <w:rsid w:val="006F0FF2"/>
    <w:rsid w:val="006F1ADF"/>
    <w:rsid w:val="006F2D46"/>
    <w:rsid w:val="006F4F95"/>
    <w:rsid w:val="006F5733"/>
    <w:rsid w:val="006F6A92"/>
    <w:rsid w:val="006F7AB2"/>
    <w:rsid w:val="006F7D31"/>
    <w:rsid w:val="00704C34"/>
    <w:rsid w:val="007055C1"/>
    <w:rsid w:val="00707AB1"/>
    <w:rsid w:val="0071140A"/>
    <w:rsid w:val="00713438"/>
    <w:rsid w:val="00713FBE"/>
    <w:rsid w:val="00714599"/>
    <w:rsid w:val="00716B3F"/>
    <w:rsid w:val="00722908"/>
    <w:rsid w:val="007235CE"/>
    <w:rsid w:val="00726AA7"/>
    <w:rsid w:val="00730D86"/>
    <w:rsid w:val="00731FB5"/>
    <w:rsid w:val="00736B61"/>
    <w:rsid w:val="00741C4D"/>
    <w:rsid w:val="00742B46"/>
    <w:rsid w:val="007447E7"/>
    <w:rsid w:val="00744C0F"/>
    <w:rsid w:val="0074620C"/>
    <w:rsid w:val="007511D3"/>
    <w:rsid w:val="007535BA"/>
    <w:rsid w:val="00754157"/>
    <w:rsid w:val="00754BEF"/>
    <w:rsid w:val="00755012"/>
    <w:rsid w:val="00755717"/>
    <w:rsid w:val="00757213"/>
    <w:rsid w:val="00760B45"/>
    <w:rsid w:val="007615FE"/>
    <w:rsid w:val="00764DC2"/>
    <w:rsid w:val="00764DD8"/>
    <w:rsid w:val="00765070"/>
    <w:rsid w:val="00765C15"/>
    <w:rsid w:val="00766AA3"/>
    <w:rsid w:val="00767F11"/>
    <w:rsid w:val="0077046E"/>
    <w:rsid w:val="007717E5"/>
    <w:rsid w:val="00771D24"/>
    <w:rsid w:val="00775AF7"/>
    <w:rsid w:val="0078005C"/>
    <w:rsid w:val="00780C26"/>
    <w:rsid w:val="00787AB3"/>
    <w:rsid w:val="00793148"/>
    <w:rsid w:val="0079375C"/>
    <w:rsid w:val="00793999"/>
    <w:rsid w:val="00795B83"/>
    <w:rsid w:val="007A1E6A"/>
    <w:rsid w:val="007A3758"/>
    <w:rsid w:val="007A4B82"/>
    <w:rsid w:val="007A52C0"/>
    <w:rsid w:val="007A63C1"/>
    <w:rsid w:val="007B11EE"/>
    <w:rsid w:val="007B1235"/>
    <w:rsid w:val="007B16F8"/>
    <w:rsid w:val="007B3E36"/>
    <w:rsid w:val="007B5BBB"/>
    <w:rsid w:val="007C015B"/>
    <w:rsid w:val="007C1E18"/>
    <w:rsid w:val="007C3C58"/>
    <w:rsid w:val="007C409A"/>
    <w:rsid w:val="007C74A5"/>
    <w:rsid w:val="007C7909"/>
    <w:rsid w:val="007C7D92"/>
    <w:rsid w:val="007E6927"/>
    <w:rsid w:val="007F0687"/>
    <w:rsid w:val="007F10EC"/>
    <w:rsid w:val="007F339B"/>
    <w:rsid w:val="00801503"/>
    <w:rsid w:val="00802BAC"/>
    <w:rsid w:val="008071C6"/>
    <w:rsid w:val="00807975"/>
    <w:rsid w:val="00811462"/>
    <w:rsid w:val="00812352"/>
    <w:rsid w:val="0082039E"/>
    <w:rsid w:val="00821C98"/>
    <w:rsid w:val="0082273A"/>
    <w:rsid w:val="00827144"/>
    <w:rsid w:val="008301A2"/>
    <w:rsid w:val="00831918"/>
    <w:rsid w:val="008320D8"/>
    <w:rsid w:val="00832323"/>
    <w:rsid w:val="0083437B"/>
    <w:rsid w:val="00834C39"/>
    <w:rsid w:val="00835871"/>
    <w:rsid w:val="0084263F"/>
    <w:rsid w:val="00842DB2"/>
    <w:rsid w:val="008438E2"/>
    <w:rsid w:val="00844630"/>
    <w:rsid w:val="00846991"/>
    <w:rsid w:val="00850353"/>
    <w:rsid w:val="0085188D"/>
    <w:rsid w:val="00853E2B"/>
    <w:rsid w:val="008543F5"/>
    <w:rsid w:val="00855905"/>
    <w:rsid w:val="00855A0B"/>
    <w:rsid w:val="00857F76"/>
    <w:rsid w:val="008610D3"/>
    <w:rsid w:val="008613BF"/>
    <w:rsid w:val="00862B19"/>
    <w:rsid w:val="00862F26"/>
    <w:rsid w:val="0086303C"/>
    <w:rsid w:val="00864381"/>
    <w:rsid w:val="00864D25"/>
    <w:rsid w:val="008666B8"/>
    <w:rsid w:val="00866781"/>
    <w:rsid w:val="00872FDE"/>
    <w:rsid w:val="00873165"/>
    <w:rsid w:val="00876182"/>
    <w:rsid w:val="00881FCC"/>
    <w:rsid w:val="00883744"/>
    <w:rsid w:val="0088724D"/>
    <w:rsid w:val="00887410"/>
    <w:rsid w:val="00891C86"/>
    <w:rsid w:val="008940EC"/>
    <w:rsid w:val="00895AAB"/>
    <w:rsid w:val="008A03BD"/>
    <w:rsid w:val="008A0ECA"/>
    <w:rsid w:val="008A1F14"/>
    <w:rsid w:val="008A3705"/>
    <w:rsid w:val="008A509A"/>
    <w:rsid w:val="008A52FA"/>
    <w:rsid w:val="008A7912"/>
    <w:rsid w:val="008B06F8"/>
    <w:rsid w:val="008B1ACF"/>
    <w:rsid w:val="008B4F08"/>
    <w:rsid w:val="008B56EF"/>
    <w:rsid w:val="008C18A3"/>
    <w:rsid w:val="008C24F0"/>
    <w:rsid w:val="008C2F6C"/>
    <w:rsid w:val="008C532B"/>
    <w:rsid w:val="008C645A"/>
    <w:rsid w:val="008D20C5"/>
    <w:rsid w:val="008D275B"/>
    <w:rsid w:val="008D4037"/>
    <w:rsid w:val="008D6752"/>
    <w:rsid w:val="008E1A06"/>
    <w:rsid w:val="008E1EEB"/>
    <w:rsid w:val="008E6398"/>
    <w:rsid w:val="008E7E74"/>
    <w:rsid w:val="008E7F57"/>
    <w:rsid w:val="008F2368"/>
    <w:rsid w:val="008F3431"/>
    <w:rsid w:val="008F4DC7"/>
    <w:rsid w:val="008F6FA1"/>
    <w:rsid w:val="008F7E12"/>
    <w:rsid w:val="0090026B"/>
    <w:rsid w:val="00900F4F"/>
    <w:rsid w:val="009013D2"/>
    <w:rsid w:val="0090299E"/>
    <w:rsid w:val="0090489F"/>
    <w:rsid w:val="00904A1D"/>
    <w:rsid w:val="0090786A"/>
    <w:rsid w:val="0091012E"/>
    <w:rsid w:val="00910998"/>
    <w:rsid w:val="00911A3B"/>
    <w:rsid w:val="009141E9"/>
    <w:rsid w:val="00920253"/>
    <w:rsid w:val="00920D70"/>
    <w:rsid w:val="0092277F"/>
    <w:rsid w:val="00922C3A"/>
    <w:rsid w:val="0092338B"/>
    <w:rsid w:val="00925258"/>
    <w:rsid w:val="00925BA7"/>
    <w:rsid w:val="00934141"/>
    <w:rsid w:val="00934285"/>
    <w:rsid w:val="009346CA"/>
    <w:rsid w:val="00935517"/>
    <w:rsid w:val="009356D4"/>
    <w:rsid w:val="0093589B"/>
    <w:rsid w:val="00936CA1"/>
    <w:rsid w:val="0094024B"/>
    <w:rsid w:val="00940C85"/>
    <w:rsid w:val="00941848"/>
    <w:rsid w:val="00942D13"/>
    <w:rsid w:val="00944198"/>
    <w:rsid w:val="00946AFC"/>
    <w:rsid w:val="00956F65"/>
    <w:rsid w:val="0096023F"/>
    <w:rsid w:val="00965F2E"/>
    <w:rsid w:val="009661C5"/>
    <w:rsid w:val="0097076B"/>
    <w:rsid w:val="00971AD9"/>
    <w:rsid w:val="00972861"/>
    <w:rsid w:val="0097407B"/>
    <w:rsid w:val="00976007"/>
    <w:rsid w:val="00980283"/>
    <w:rsid w:val="0098037A"/>
    <w:rsid w:val="00982D31"/>
    <w:rsid w:val="00982E13"/>
    <w:rsid w:val="009840F8"/>
    <w:rsid w:val="00986691"/>
    <w:rsid w:val="009871CE"/>
    <w:rsid w:val="009874FA"/>
    <w:rsid w:val="00991BC0"/>
    <w:rsid w:val="009920B9"/>
    <w:rsid w:val="0099241B"/>
    <w:rsid w:val="0099564D"/>
    <w:rsid w:val="00997226"/>
    <w:rsid w:val="009A2476"/>
    <w:rsid w:val="009A3BC4"/>
    <w:rsid w:val="009A5BCB"/>
    <w:rsid w:val="009A7C39"/>
    <w:rsid w:val="009B00C0"/>
    <w:rsid w:val="009B2186"/>
    <w:rsid w:val="009B4A2C"/>
    <w:rsid w:val="009B4ACB"/>
    <w:rsid w:val="009B682D"/>
    <w:rsid w:val="009B7A40"/>
    <w:rsid w:val="009C1781"/>
    <w:rsid w:val="009C7F48"/>
    <w:rsid w:val="009D03D1"/>
    <w:rsid w:val="009D0A23"/>
    <w:rsid w:val="009D6540"/>
    <w:rsid w:val="009D6580"/>
    <w:rsid w:val="009D79CC"/>
    <w:rsid w:val="009E2103"/>
    <w:rsid w:val="009E5DC8"/>
    <w:rsid w:val="009E6B37"/>
    <w:rsid w:val="009E7EA9"/>
    <w:rsid w:val="009F3679"/>
    <w:rsid w:val="00A00378"/>
    <w:rsid w:val="00A00C9B"/>
    <w:rsid w:val="00A0369E"/>
    <w:rsid w:val="00A0480F"/>
    <w:rsid w:val="00A1204B"/>
    <w:rsid w:val="00A12AE1"/>
    <w:rsid w:val="00A14151"/>
    <w:rsid w:val="00A14406"/>
    <w:rsid w:val="00A155B0"/>
    <w:rsid w:val="00A20264"/>
    <w:rsid w:val="00A207BF"/>
    <w:rsid w:val="00A20F98"/>
    <w:rsid w:val="00A2237C"/>
    <w:rsid w:val="00A239A8"/>
    <w:rsid w:val="00A24ED1"/>
    <w:rsid w:val="00A30A6B"/>
    <w:rsid w:val="00A31544"/>
    <w:rsid w:val="00A31BCF"/>
    <w:rsid w:val="00A33DE1"/>
    <w:rsid w:val="00A3526F"/>
    <w:rsid w:val="00A37FDC"/>
    <w:rsid w:val="00A401A4"/>
    <w:rsid w:val="00A41180"/>
    <w:rsid w:val="00A41DB7"/>
    <w:rsid w:val="00A47FCA"/>
    <w:rsid w:val="00A501BF"/>
    <w:rsid w:val="00A512AE"/>
    <w:rsid w:val="00A515A4"/>
    <w:rsid w:val="00A52A2C"/>
    <w:rsid w:val="00A5550F"/>
    <w:rsid w:val="00A56ACD"/>
    <w:rsid w:val="00A56B1F"/>
    <w:rsid w:val="00A61117"/>
    <w:rsid w:val="00A61553"/>
    <w:rsid w:val="00A61E0B"/>
    <w:rsid w:val="00A63001"/>
    <w:rsid w:val="00A64B62"/>
    <w:rsid w:val="00A64CDC"/>
    <w:rsid w:val="00A70149"/>
    <w:rsid w:val="00A70696"/>
    <w:rsid w:val="00A71A74"/>
    <w:rsid w:val="00A71FF6"/>
    <w:rsid w:val="00A7463B"/>
    <w:rsid w:val="00A76F82"/>
    <w:rsid w:val="00A775C1"/>
    <w:rsid w:val="00A807E1"/>
    <w:rsid w:val="00A83E82"/>
    <w:rsid w:val="00A8426A"/>
    <w:rsid w:val="00A87009"/>
    <w:rsid w:val="00A87E33"/>
    <w:rsid w:val="00A909BB"/>
    <w:rsid w:val="00A917BF"/>
    <w:rsid w:val="00A91FEB"/>
    <w:rsid w:val="00A954D2"/>
    <w:rsid w:val="00A9785A"/>
    <w:rsid w:val="00AA29A2"/>
    <w:rsid w:val="00AA44C0"/>
    <w:rsid w:val="00AA5B08"/>
    <w:rsid w:val="00AA5E6F"/>
    <w:rsid w:val="00AA7F4B"/>
    <w:rsid w:val="00AB08E5"/>
    <w:rsid w:val="00AB5362"/>
    <w:rsid w:val="00AB6DDC"/>
    <w:rsid w:val="00AB7870"/>
    <w:rsid w:val="00AC013C"/>
    <w:rsid w:val="00AC14F0"/>
    <w:rsid w:val="00AC285B"/>
    <w:rsid w:val="00AC3945"/>
    <w:rsid w:val="00AC4D27"/>
    <w:rsid w:val="00AC4E55"/>
    <w:rsid w:val="00AC50E5"/>
    <w:rsid w:val="00AC5C4C"/>
    <w:rsid w:val="00AC610E"/>
    <w:rsid w:val="00AC693F"/>
    <w:rsid w:val="00AD0356"/>
    <w:rsid w:val="00AD1B9B"/>
    <w:rsid w:val="00AD3376"/>
    <w:rsid w:val="00AD3D3D"/>
    <w:rsid w:val="00AD4E6A"/>
    <w:rsid w:val="00AD6BDC"/>
    <w:rsid w:val="00AE0025"/>
    <w:rsid w:val="00AE124E"/>
    <w:rsid w:val="00AE2237"/>
    <w:rsid w:val="00AE3883"/>
    <w:rsid w:val="00AE3CCE"/>
    <w:rsid w:val="00AE5A32"/>
    <w:rsid w:val="00AF2094"/>
    <w:rsid w:val="00AF6D8A"/>
    <w:rsid w:val="00B02F12"/>
    <w:rsid w:val="00B07761"/>
    <w:rsid w:val="00B10BC2"/>
    <w:rsid w:val="00B11AC7"/>
    <w:rsid w:val="00B12527"/>
    <w:rsid w:val="00B14460"/>
    <w:rsid w:val="00B20750"/>
    <w:rsid w:val="00B21B95"/>
    <w:rsid w:val="00B25EBD"/>
    <w:rsid w:val="00B3183D"/>
    <w:rsid w:val="00B344BE"/>
    <w:rsid w:val="00B4018F"/>
    <w:rsid w:val="00B41016"/>
    <w:rsid w:val="00B43E2E"/>
    <w:rsid w:val="00B449B0"/>
    <w:rsid w:val="00B449E5"/>
    <w:rsid w:val="00B44C4E"/>
    <w:rsid w:val="00B44F4C"/>
    <w:rsid w:val="00B523B8"/>
    <w:rsid w:val="00B52DF6"/>
    <w:rsid w:val="00B56D49"/>
    <w:rsid w:val="00B577AD"/>
    <w:rsid w:val="00B60FC0"/>
    <w:rsid w:val="00B615CF"/>
    <w:rsid w:val="00B61795"/>
    <w:rsid w:val="00B67B77"/>
    <w:rsid w:val="00B67D2E"/>
    <w:rsid w:val="00B70324"/>
    <w:rsid w:val="00B708C5"/>
    <w:rsid w:val="00B71ED4"/>
    <w:rsid w:val="00B72B4D"/>
    <w:rsid w:val="00B764E2"/>
    <w:rsid w:val="00B77B9C"/>
    <w:rsid w:val="00B82642"/>
    <w:rsid w:val="00B84C77"/>
    <w:rsid w:val="00B84E3F"/>
    <w:rsid w:val="00B8592B"/>
    <w:rsid w:val="00B85D25"/>
    <w:rsid w:val="00B86CED"/>
    <w:rsid w:val="00B919B5"/>
    <w:rsid w:val="00B9254F"/>
    <w:rsid w:val="00B93748"/>
    <w:rsid w:val="00B94065"/>
    <w:rsid w:val="00B95785"/>
    <w:rsid w:val="00B9753D"/>
    <w:rsid w:val="00BA0D24"/>
    <w:rsid w:val="00BA56E6"/>
    <w:rsid w:val="00BA64CD"/>
    <w:rsid w:val="00BA7E4F"/>
    <w:rsid w:val="00BB3214"/>
    <w:rsid w:val="00BB4331"/>
    <w:rsid w:val="00BB756F"/>
    <w:rsid w:val="00BC3179"/>
    <w:rsid w:val="00BC4A5A"/>
    <w:rsid w:val="00BC5604"/>
    <w:rsid w:val="00BC6575"/>
    <w:rsid w:val="00BD0030"/>
    <w:rsid w:val="00BD163C"/>
    <w:rsid w:val="00BD22A3"/>
    <w:rsid w:val="00BD2B18"/>
    <w:rsid w:val="00BD2DEB"/>
    <w:rsid w:val="00BD38BF"/>
    <w:rsid w:val="00BD402F"/>
    <w:rsid w:val="00BD5BEF"/>
    <w:rsid w:val="00BD6135"/>
    <w:rsid w:val="00BE20E7"/>
    <w:rsid w:val="00BE3F80"/>
    <w:rsid w:val="00BE558E"/>
    <w:rsid w:val="00BE5DB0"/>
    <w:rsid w:val="00BE5F1A"/>
    <w:rsid w:val="00BF03B2"/>
    <w:rsid w:val="00BF6299"/>
    <w:rsid w:val="00BF7644"/>
    <w:rsid w:val="00C021FD"/>
    <w:rsid w:val="00C02E1F"/>
    <w:rsid w:val="00C034E2"/>
    <w:rsid w:val="00C1016C"/>
    <w:rsid w:val="00C11E1F"/>
    <w:rsid w:val="00C12326"/>
    <w:rsid w:val="00C12E24"/>
    <w:rsid w:val="00C16CD3"/>
    <w:rsid w:val="00C17137"/>
    <w:rsid w:val="00C229F0"/>
    <w:rsid w:val="00C24583"/>
    <w:rsid w:val="00C249FF"/>
    <w:rsid w:val="00C25E05"/>
    <w:rsid w:val="00C3305A"/>
    <w:rsid w:val="00C36412"/>
    <w:rsid w:val="00C406CC"/>
    <w:rsid w:val="00C4243D"/>
    <w:rsid w:val="00C44167"/>
    <w:rsid w:val="00C44A98"/>
    <w:rsid w:val="00C44ED7"/>
    <w:rsid w:val="00C4553B"/>
    <w:rsid w:val="00C46C36"/>
    <w:rsid w:val="00C50D1D"/>
    <w:rsid w:val="00C538DF"/>
    <w:rsid w:val="00C55736"/>
    <w:rsid w:val="00C615E2"/>
    <w:rsid w:val="00C627C0"/>
    <w:rsid w:val="00C65EEC"/>
    <w:rsid w:val="00C7044E"/>
    <w:rsid w:val="00C7178F"/>
    <w:rsid w:val="00C71923"/>
    <w:rsid w:val="00C73A81"/>
    <w:rsid w:val="00C74065"/>
    <w:rsid w:val="00C7613D"/>
    <w:rsid w:val="00C80D24"/>
    <w:rsid w:val="00C821F8"/>
    <w:rsid w:val="00C8223B"/>
    <w:rsid w:val="00C85BD3"/>
    <w:rsid w:val="00C85F4E"/>
    <w:rsid w:val="00C87EFB"/>
    <w:rsid w:val="00C91335"/>
    <w:rsid w:val="00C9240A"/>
    <w:rsid w:val="00C924C5"/>
    <w:rsid w:val="00C93F9E"/>
    <w:rsid w:val="00C94FDB"/>
    <w:rsid w:val="00CA14B9"/>
    <w:rsid w:val="00CA16E4"/>
    <w:rsid w:val="00CA3A47"/>
    <w:rsid w:val="00CA456A"/>
    <w:rsid w:val="00CA5CBD"/>
    <w:rsid w:val="00CA7F6B"/>
    <w:rsid w:val="00CB48C5"/>
    <w:rsid w:val="00CB581A"/>
    <w:rsid w:val="00CB6A89"/>
    <w:rsid w:val="00CC08F9"/>
    <w:rsid w:val="00CC20E0"/>
    <w:rsid w:val="00CC2CDD"/>
    <w:rsid w:val="00CC451E"/>
    <w:rsid w:val="00CC62E2"/>
    <w:rsid w:val="00CC6FCA"/>
    <w:rsid w:val="00CD08A3"/>
    <w:rsid w:val="00CD125A"/>
    <w:rsid w:val="00CD1C5D"/>
    <w:rsid w:val="00CD1CA3"/>
    <w:rsid w:val="00CD1F80"/>
    <w:rsid w:val="00CD2096"/>
    <w:rsid w:val="00CD3E69"/>
    <w:rsid w:val="00CD4D65"/>
    <w:rsid w:val="00CD52DC"/>
    <w:rsid w:val="00CD5CEB"/>
    <w:rsid w:val="00CD786D"/>
    <w:rsid w:val="00CE0F6D"/>
    <w:rsid w:val="00CE1BB7"/>
    <w:rsid w:val="00CE2C7C"/>
    <w:rsid w:val="00CE4479"/>
    <w:rsid w:val="00CE4715"/>
    <w:rsid w:val="00CE4EF8"/>
    <w:rsid w:val="00CF1218"/>
    <w:rsid w:val="00CF1637"/>
    <w:rsid w:val="00CF4611"/>
    <w:rsid w:val="00CF5BD5"/>
    <w:rsid w:val="00CF654E"/>
    <w:rsid w:val="00CF7531"/>
    <w:rsid w:val="00D01C9C"/>
    <w:rsid w:val="00D02874"/>
    <w:rsid w:val="00D03E2A"/>
    <w:rsid w:val="00D0417E"/>
    <w:rsid w:val="00D06FEF"/>
    <w:rsid w:val="00D10947"/>
    <w:rsid w:val="00D1567C"/>
    <w:rsid w:val="00D1712B"/>
    <w:rsid w:val="00D209D1"/>
    <w:rsid w:val="00D213A9"/>
    <w:rsid w:val="00D251B2"/>
    <w:rsid w:val="00D258E8"/>
    <w:rsid w:val="00D2742B"/>
    <w:rsid w:val="00D27875"/>
    <w:rsid w:val="00D311E7"/>
    <w:rsid w:val="00D34240"/>
    <w:rsid w:val="00D370F6"/>
    <w:rsid w:val="00D4652E"/>
    <w:rsid w:val="00D50906"/>
    <w:rsid w:val="00D514A3"/>
    <w:rsid w:val="00D51735"/>
    <w:rsid w:val="00D519C9"/>
    <w:rsid w:val="00D56BA7"/>
    <w:rsid w:val="00D61136"/>
    <w:rsid w:val="00D616BB"/>
    <w:rsid w:val="00D62EDE"/>
    <w:rsid w:val="00D63DC8"/>
    <w:rsid w:val="00D64107"/>
    <w:rsid w:val="00D64F0E"/>
    <w:rsid w:val="00D65348"/>
    <w:rsid w:val="00D7095C"/>
    <w:rsid w:val="00D7231A"/>
    <w:rsid w:val="00D730A8"/>
    <w:rsid w:val="00D730C0"/>
    <w:rsid w:val="00D77F1B"/>
    <w:rsid w:val="00D816FE"/>
    <w:rsid w:val="00D81A91"/>
    <w:rsid w:val="00D82183"/>
    <w:rsid w:val="00D851FF"/>
    <w:rsid w:val="00D92127"/>
    <w:rsid w:val="00D92DBF"/>
    <w:rsid w:val="00D94FF3"/>
    <w:rsid w:val="00D95178"/>
    <w:rsid w:val="00DA0C8C"/>
    <w:rsid w:val="00DA25EF"/>
    <w:rsid w:val="00DA5172"/>
    <w:rsid w:val="00DA517A"/>
    <w:rsid w:val="00DA5D18"/>
    <w:rsid w:val="00DA607D"/>
    <w:rsid w:val="00DA62DA"/>
    <w:rsid w:val="00DB4F44"/>
    <w:rsid w:val="00DB59D6"/>
    <w:rsid w:val="00DC2522"/>
    <w:rsid w:val="00DC4A36"/>
    <w:rsid w:val="00DC6B1D"/>
    <w:rsid w:val="00DD1BBA"/>
    <w:rsid w:val="00DD2221"/>
    <w:rsid w:val="00DD3A8D"/>
    <w:rsid w:val="00DD44BB"/>
    <w:rsid w:val="00DD65CC"/>
    <w:rsid w:val="00DD767E"/>
    <w:rsid w:val="00DD7CE1"/>
    <w:rsid w:val="00DE0E1B"/>
    <w:rsid w:val="00DE15E4"/>
    <w:rsid w:val="00DE3165"/>
    <w:rsid w:val="00DE367B"/>
    <w:rsid w:val="00DE7B30"/>
    <w:rsid w:val="00DF3F25"/>
    <w:rsid w:val="00DF4A37"/>
    <w:rsid w:val="00DF63C5"/>
    <w:rsid w:val="00DF6BFB"/>
    <w:rsid w:val="00E00AD9"/>
    <w:rsid w:val="00E00B8A"/>
    <w:rsid w:val="00E02179"/>
    <w:rsid w:val="00E024A3"/>
    <w:rsid w:val="00E0622F"/>
    <w:rsid w:val="00E06CBD"/>
    <w:rsid w:val="00E1030F"/>
    <w:rsid w:val="00E104F1"/>
    <w:rsid w:val="00E1300A"/>
    <w:rsid w:val="00E139C0"/>
    <w:rsid w:val="00E139F9"/>
    <w:rsid w:val="00E1520A"/>
    <w:rsid w:val="00E17002"/>
    <w:rsid w:val="00E24C91"/>
    <w:rsid w:val="00E2754A"/>
    <w:rsid w:val="00E27606"/>
    <w:rsid w:val="00E2B45F"/>
    <w:rsid w:val="00E3052A"/>
    <w:rsid w:val="00E31334"/>
    <w:rsid w:val="00E4152C"/>
    <w:rsid w:val="00E44A9B"/>
    <w:rsid w:val="00E45D3B"/>
    <w:rsid w:val="00E50438"/>
    <w:rsid w:val="00E50C95"/>
    <w:rsid w:val="00E51347"/>
    <w:rsid w:val="00E53214"/>
    <w:rsid w:val="00E54130"/>
    <w:rsid w:val="00E54DE4"/>
    <w:rsid w:val="00E565D1"/>
    <w:rsid w:val="00E571A3"/>
    <w:rsid w:val="00E615DD"/>
    <w:rsid w:val="00E63E06"/>
    <w:rsid w:val="00E647EB"/>
    <w:rsid w:val="00E7271E"/>
    <w:rsid w:val="00E76CFE"/>
    <w:rsid w:val="00E76E7E"/>
    <w:rsid w:val="00E85942"/>
    <w:rsid w:val="00E91EED"/>
    <w:rsid w:val="00E92D43"/>
    <w:rsid w:val="00EA1AE7"/>
    <w:rsid w:val="00EA1BC6"/>
    <w:rsid w:val="00EA2711"/>
    <w:rsid w:val="00EA28FB"/>
    <w:rsid w:val="00EA3E2B"/>
    <w:rsid w:val="00EA578A"/>
    <w:rsid w:val="00EA57FC"/>
    <w:rsid w:val="00EB06F0"/>
    <w:rsid w:val="00EB0DC3"/>
    <w:rsid w:val="00EB6121"/>
    <w:rsid w:val="00EB78EF"/>
    <w:rsid w:val="00EB79C2"/>
    <w:rsid w:val="00EC009E"/>
    <w:rsid w:val="00EC058D"/>
    <w:rsid w:val="00EC1CC4"/>
    <w:rsid w:val="00EC1F3E"/>
    <w:rsid w:val="00EC58A3"/>
    <w:rsid w:val="00EC6F3F"/>
    <w:rsid w:val="00ED070C"/>
    <w:rsid w:val="00ED29F0"/>
    <w:rsid w:val="00ED371A"/>
    <w:rsid w:val="00ED5002"/>
    <w:rsid w:val="00EE213F"/>
    <w:rsid w:val="00EE3E55"/>
    <w:rsid w:val="00EF26F0"/>
    <w:rsid w:val="00EF32A3"/>
    <w:rsid w:val="00EF4ACA"/>
    <w:rsid w:val="00F009F2"/>
    <w:rsid w:val="00F012EA"/>
    <w:rsid w:val="00F01B7A"/>
    <w:rsid w:val="00F01E9F"/>
    <w:rsid w:val="00F0207B"/>
    <w:rsid w:val="00F02CE0"/>
    <w:rsid w:val="00F03CF5"/>
    <w:rsid w:val="00F05B57"/>
    <w:rsid w:val="00F074CE"/>
    <w:rsid w:val="00F07E4B"/>
    <w:rsid w:val="00F11A2A"/>
    <w:rsid w:val="00F11B4E"/>
    <w:rsid w:val="00F11FE1"/>
    <w:rsid w:val="00F14139"/>
    <w:rsid w:val="00F14278"/>
    <w:rsid w:val="00F14D6C"/>
    <w:rsid w:val="00F21098"/>
    <w:rsid w:val="00F21836"/>
    <w:rsid w:val="00F27116"/>
    <w:rsid w:val="00F27896"/>
    <w:rsid w:val="00F3027E"/>
    <w:rsid w:val="00F33137"/>
    <w:rsid w:val="00F35023"/>
    <w:rsid w:val="00F3539D"/>
    <w:rsid w:val="00F36237"/>
    <w:rsid w:val="00F362E9"/>
    <w:rsid w:val="00F3733D"/>
    <w:rsid w:val="00F40340"/>
    <w:rsid w:val="00F4089B"/>
    <w:rsid w:val="00F41DD7"/>
    <w:rsid w:val="00F41E25"/>
    <w:rsid w:val="00F42099"/>
    <w:rsid w:val="00F50286"/>
    <w:rsid w:val="00F557A2"/>
    <w:rsid w:val="00F55C60"/>
    <w:rsid w:val="00F55FA5"/>
    <w:rsid w:val="00F56FFB"/>
    <w:rsid w:val="00F61918"/>
    <w:rsid w:val="00F61ECA"/>
    <w:rsid w:val="00F65089"/>
    <w:rsid w:val="00F67367"/>
    <w:rsid w:val="00F67AE1"/>
    <w:rsid w:val="00F703E6"/>
    <w:rsid w:val="00F84F5E"/>
    <w:rsid w:val="00F85393"/>
    <w:rsid w:val="00F855C2"/>
    <w:rsid w:val="00F8742D"/>
    <w:rsid w:val="00F912CA"/>
    <w:rsid w:val="00F92103"/>
    <w:rsid w:val="00F932B4"/>
    <w:rsid w:val="00F9402E"/>
    <w:rsid w:val="00F94250"/>
    <w:rsid w:val="00F97C71"/>
    <w:rsid w:val="00FA0F7B"/>
    <w:rsid w:val="00FA1668"/>
    <w:rsid w:val="00FA271B"/>
    <w:rsid w:val="00FA3332"/>
    <w:rsid w:val="00FA42B2"/>
    <w:rsid w:val="00FA4794"/>
    <w:rsid w:val="00FA6134"/>
    <w:rsid w:val="00FA6816"/>
    <w:rsid w:val="00FB06F8"/>
    <w:rsid w:val="00FB0C92"/>
    <w:rsid w:val="00FB0F6F"/>
    <w:rsid w:val="00FB23E4"/>
    <w:rsid w:val="00FB2B7D"/>
    <w:rsid w:val="00FB3022"/>
    <w:rsid w:val="00FB32C4"/>
    <w:rsid w:val="00FB397E"/>
    <w:rsid w:val="00FB46BC"/>
    <w:rsid w:val="00FB4842"/>
    <w:rsid w:val="00FB4C3E"/>
    <w:rsid w:val="00FB5834"/>
    <w:rsid w:val="00FC0661"/>
    <w:rsid w:val="00FC0930"/>
    <w:rsid w:val="00FC0968"/>
    <w:rsid w:val="00FC1883"/>
    <w:rsid w:val="00FC19F4"/>
    <w:rsid w:val="00FC1A4A"/>
    <w:rsid w:val="00FD0504"/>
    <w:rsid w:val="00FD1562"/>
    <w:rsid w:val="00FD3DDA"/>
    <w:rsid w:val="00FD3F1C"/>
    <w:rsid w:val="00FD666E"/>
    <w:rsid w:val="00FD7638"/>
    <w:rsid w:val="00FD77CA"/>
    <w:rsid w:val="00FE1EF3"/>
    <w:rsid w:val="00FE3635"/>
    <w:rsid w:val="00FE3A96"/>
    <w:rsid w:val="00FE556B"/>
    <w:rsid w:val="00FF0145"/>
    <w:rsid w:val="00FF28C0"/>
    <w:rsid w:val="00FF3C37"/>
    <w:rsid w:val="00FF54AA"/>
    <w:rsid w:val="0100193E"/>
    <w:rsid w:val="021585D6"/>
    <w:rsid w:val="030E3063"/>
    <w:rsid w:val="035E161E"/>
    <w:rsid w:val="054B201C"/>
    <w:rsid w:val="0756D4E2"/>
    <w:rsid w:val="077ABFF0"/>
    <w:rsid w:val="07851492"/>
    <w:rsid w:val="094FD048"/>
    <w:rsid w:val="099E1242"/>
    <w:rsid w:val="0AD8BB0D"/>
    <w:rsid w:val="0B068A48"/>
    <w:rsid w:val="0B1B5A24"/>
    <w:rsid w:val="0BBD1FEC"/>
    <w:rsid w:val="0C1EB3BC"/>
    <w:rsid w:val="0C3B9931"/>
    <w:rsid w:val="0C6350F5"/>
    <w:rsid w:val="0DD4B62F"/>
    <w:rsid w:val="0E8E710A"/>
    <w:rsid w:val="0ED477D2"/>
    <w:rsid w:val="0EFBF893"/>
    <w:rsid w:val="103F0DF3"/>
    <w:rsid w:val="10D3F27F"/>
    <w:rsid w:val="10EDE005"/>
    <w:rsid w:val="13EBB9A8"/>
    <w:rsid w:val="150D8DB2"/>
    <w:rsid w:val="15D856E5"/>
    <w:rsid w:val="16890AA2"/>
    <w:rsid w:val="1A7F1BDC"/>
    <w:rsid w:val="1AABB98D"/>
    <w:rsid w:val="1B03E869"/>
    <w:rsid w:val="1B1432D4"/>
    <w:rsid w:val="1BE306EB"/>
    <w:rsid w:val="1C01078A"/>
    <w:rsid w:val="1C87147F"/>
    <w:rsid w:val="1CF4D5E2"/>
    <w:rsid w:val="1E6F4102"/>
    <w:rsid w:val="1EC3605E"/>
    <w:rsid w:val="1EED7970"/>
    <w:rsid w:val="1F0B0903"/>
    <w:rsid w:val="1F20A9D2"/>
    <w:rsid w:val="1FA8536B"/>
    <w:rsid w:val="20F2BD1F"/>
    <w:rsid w:val="2115807D"/>
    <w:rsid w:val="21203E30"/>
    <w:rsid w:val="22340B3C"/>
    <w:rsid w:val="2452EF04"/>
    <w:rsid w:val="24C057CD"/>
    <w:rsid w:val="27117B97"/>
    <w:rsid w:val="27795F07"/>
    <w:rsid w:val="27FA5A53"/>
    <w:rsid w:val="284B2A1F"/>
    <w:rsid w:val="2A36B7A2"/>
    <w:rsid w:val="2AF54CF6"/>
    <w:rsid w:val="2B440DDE"/>
    <w:rsid w:val="2B5AD63D"/>
    <w:rsid w:val="2B6343AA"/>
    <w:rsid w:val="2D3261C6"/>
    <w:rsid w:val="2D4DFB62"/>
    <w:rsid w:val="2EA1C754"/>
    <w:rsid w:val="2EB00555"/>
    <w:rsid w:val="2F8A14D3"/>
    <w:rsid w:val="2FED5762"/>
    <w:rsid w:val="30456E6D"/>
    <w:rsid w:val="308CDCF7"/>
    <w:rsid w:val="309FEC18"/>
    <w:rsid w:val="30E72CC1"/>
    <w:rsid w:val="32526CAD"/>
    <w:rsid w:val="32976AE6"/>
    <w:rsid w:val="32DFE6FE"/>
    <w:rsid w:val="356E2612"/>
    <w:rsid w:val="368F8EC7"/>
    <w:rsid w:val="3809D2D9"/>
    <w:rsid w:val="38DEE800"/>
    <w:rsid w:val="3C9AF2FA"/>
    <w:rsid w:val="3F3DDD89"/>
    <w:rsid w:val="40090CF2"/>
    <w:rsid w:val="40B956FD"/>
    <w:rsid w:val="418E94F2"/>
    <w:rsid w:val="41919941"/>
    <w:rsid w:val="41E4A43C"/>
    <w:rsid w:val="41FD68A2"/>
    <w:rsid w:val="42B52956"/>
    <w:rsid w:val="42C83F29"/>
    <w:rsid w:val="43B7DF89"/>
    <w:rsid w:val="45698FF3"/>
    <w:rsid w:val="461ADD7D"/>
    <w:rsid w:val="4749B907"/>
    <w:rsid w:val="47CA0ED8"/>
    <w:rsid w:val="486D4B3E"/>
    <w:rsid w:val="49EEAD80"/>
    <w:rsid w:val="4A301268"/>
    <w:rsid w:val="4AD8B26D"/>
    <w:rsid w:val="4B11959D"/>
    <w:rsid w:val="4B404EDB"/>
    <w:rsid w:val="4B55547E"/>
    <w:rsid w:val="4C387875"/>
    <w:rsid w:val="4D41AE81"/>
    <w:rsid w:val="4D82D653"/>
    <w:rsid w:val="4D9E27EF"/>
    <w:rsid w:val="4E15C87D"/>
    <w:rsid w:val="4E52C41E"/>
    <w:rsid w:val="4EF25274"/>
    <w:rsid w:val="4F525835"/>
    <w:rsid w:val="4FAC4446"/>
    <w:rsid w:val="50A5E4F8"/>
    <w:rsid w:val="50DB6CFC"/>
    <w:rsid w:val="5150CE8B"/>
    <w:rsid w:val="51E621E3"/>
    <w:rsid w:val="534AA9B3"/>
    <w:rsid w:val="564FB307"/>
    <w:rsid w:val="5677714C"/>
    <w:rsid w:val="56F7DA1C"/>
    <w:rsid w:val="58EC5B79"/>
    <w:rsid w:val="5A813A9A"/>
    <w:rsid w:val="5B4D9984"/>
    <w:rsid w:val="5CA14EA8"/>
    <w:rsid w:val="5CBCE518"/>
    <w:rsid w:val="5CC8B2C0"/>
    <w:rsid w:val="5D1EB098"/>
    <w:rsid w:val="5DE93440"/>
    <w:rsid w:val="5EC26B78"/>
    <w:rsid w:val="5FB09BC4"/>
    <w:rsid w:val="61778D4A"/>
    <w:rsid w:val="629D5EBD"/>
    <w:rsid w:val="6332C288"/>
    <w:rsid w:val="633AE43F"/>
    <w:rsid w:val="636C391D"/>
    <w:rsid w:val="63E379C5"/>
    <w:rsid w:val="64C3C8C0"/>
    <w:rsid w:val="650DCD1D"/>
    <w:rsid w:val="65329C43"/>
    <w:rsid w:val="65849C6A"/>
    <w:rsid w:val="661ED14E"/>
    <w:rsid w:val="68AC71C8"/>
    <w:rsid w:val="690441FF"/>
    <w:rsid w:val="692C7D76"/>
    <w:rsid w:val="69F03AAB"/>
    <w:rsid w:val="6A3236B1"/>
    <w:rsid w:val="6A78A480"/>
    <w:rsid w:val="6BF9DF52"/>
    <w:rsid w:val="6FC1EBE4"/>
    <w:rsid w:val="7045EE2C"/>
    <w:rsid w:val="7072B893"/>
    <w:rsid w:val="70F26FB0"/>
    <w:rsid w:val="720BA134"/>
    <w:rsid w:val="72879F33"/>
    <w:rsid w:val="72C95C4F"/>
    <w:rsid w:val="73DA5BC8"/>
    <w:rsid w:val="73F36B25"/>
    <w:rsid w:val="7603AECD"/>
    <w:rsid w:val="77FBE542"/>
    <w:rsid w:val="785015D0"/>
    <w:rsid w:val="797D4C04"/>
    <w:rsid w:val="79F22DD9"/>
    <w:rsid w:val="7AACF28D"/>
    <w:rsid w:val="7B0CF6BD"/>
    <w:rsid w:val="7B159556"/>
    <w:rsid w:val="7CACD28B"/>
    <w:rsid w:val="7CB18257"/>
    <w:rsid w:val="7D24FA11"/>
    <w:rsid w:val="7E5F4031"/>
    <w:rsid w:val="7F1589F7"/>
    <w:rsid w:val="7F61C55B"/>
    <w:rsid w:val="7FF45F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08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0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7D31"/>
    <w:pPr>
      <w:keepNext/>
      <w:widowControl w:val="0"/>
      <w:numPr>
        <w:numId w:val="17"/>
      </w:numPr>
      <w:spacing w:after="120" w:line="240" w:lineRule="auto"/>
      <w:ind w:left="357" w:hanging="357"/>
      <w:outlineLvl w:val="1"/>
    </w:pPr>
    <w:rPr>
      <w:rFonts w:eastAsia="Times New Roman"/>
      <w:b/>
      <w:bCs/>
      <w:snapToGrid w:val="0"/>
      <w:sz w:val="32"/>
      <w:szCs w:val="32"/>
      <w:lang w:val="en-US"/>
    </w:rPr>
  </w:style>
  <w:style w:type="paragraph" w:styleId="Heading3">
    <w:name w:val="heading 3"/>
    <w:basedOn w:val="Normal"/>
    <w:next w:val="Normal"/>
    <w:link w:val="Heading3Char"/>
    <w:uiPriority w:val="9"/>
    <w:unhideWhenUsed/>
    <w:qFormat/>
    <w:rsid w:val="0028500F"/>
    <w:pPr>
      <w:keepNext/>
      <w:widowControl w:val="0"/>
      <w:spacing w:after="0" w:line="240" w:lineRule="auto"/>
      <w:outlineLvl w:val="2"/>
    </w:pPr>
    <w:rPr>
      <w:rFonts w:eastAsia="Times New Roman"/>
      <w:b/>
      <w:bCs/>
      <w:iCs/>
      <w:snapToGrid w:val="0"/>
      <w:lang w:val="en-US"/>
    </w:rPr>
  </w:style>
  <w:style w:type="paragraph" w:styleId="Heading4">
    <w:name w:val="heading 4"/>
    <w:basedOn w:val="ListParagraph"/>
    <w:next w:val="Normal"/>
    <w:link w:val="Heading4Char"/>
    <w:uiPriority w:val="9"/>
    <w:unhideWhenUsed/>
    <w:qFormat/>
    <w:rsid w:val="004B28C7"/>
    <w:pPr>
      <w:numPr>
        <w:numId w:val="27"/>
      </w:numPr>
      <w:spacing w:after="0" w:line="240" w:lineRule="auto"/>
      <w:ind w:left="357" w:hanging="357"/>
      <w:outlineLvl w:val="3"/>
    </w:pPr>
    <w:rPr>
      <w:i/>
    </w:rPr>
  </w:style>
  <w:style w:type="paragraph" w:styleId="Heading5">
    <w:name w:val="heading 5"/>
    <w:basedOn w:val="Normal"/>
    <w:next w:val="Normal"/>
    <w:link w:val="Heading5Char"/>
    <w:uiPriority w:val="9"/>
    <w:unhideWhenUsed/>
    <w:qFormat/>
    <w:rsid w:val="008D403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Bullet Point,Bullet point,Bullet- First level,Bulletr List Paragraph,Content descriptions,Figure_name,FooterText,L,List NUmber,List Paragraph1,List Paragraph11,List Paragraph2,Listenabsatz1,Numbered Indented Text"/>
    <w:basedOn w:val="Normal"/>
    <w:link w:val="ListParagraphChar"/>
    <w:uiPriority w:val="34"/>
    <w:qFormat/>
    <w:rsid w:val="00904A1D"/>
    <w:pPr>
      <w:ind w:left="720"/>
      <w:contextualSpacing/>
    </w:pPr>
  </w:style>
  <w:style w:type="paragraph" w:styleId="NormalWeb">
    <w:name w:val="Normal (Web)"/>
    <w:basedOn w:val="Normal"/>
    <w:uiPriority w:val="99"/>
    <w:semiHidden/>
    <w:unhideWhenUsed/>
    <w:rsid w:val="00997226"/>
    <w:pPr>
      <w:spacing w:before="100" w:beforeAutospacing="1" w:after="100" w:afterAutospacing="1" w:line="240" w:lineRule="auto"/>
    </w:pPr>
    <w:rPr>
      <w:rFonts w:eastAsia="Times New Roman"/>
      <w:lang w:eastAsia="en-AU"/>
    </w:rPr>
  </w:style>
  <w:style w:type="paragraph" w:styleId="BalloonText">
    <w:name w:val="Balloon Text"/>
    <w:basedOn w:val="Normal"/>
    <w:link w:val="BalloonTextChar"/>
    <w:uiPriority w:val="99"/>
    <w:semiHidden/>
    <w:unhideWhenUsed/>
    <w:rsid w:val="00C9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F9E"/>
    <w:rPr>
      <w:rFonts w:ascii="Segoe UI" w:hAnsi="Segoe UI" w:cs="Segoe UI"/>
      <w:sz w:val="18"/>
      <w:szCs w:val="18"/>
    </w:rPr>
  </w:style>
  <w:style w:type="character" w:styleId="CommentReference">
    <w:name w:val="annotation reference"/>
    <w:basedOn w:val="DefaultParagraphFont"/>
    <w:uiPriority w:val="99"/>
    <w:semiHidden/>
    <w:unhideWhenUsed/>
    <w:rsid w:val="00C93F9E"/>
    <w:rPr>
      <w:sz w:val="16"/>
      <w:szCs w:val="16"/>
    </w:rPr>
  </w:style>
  <w:style w:type="paragraph" w:styleId="CommentText">
    <w:name w:val="annotation text"/>
    <w:basedOn w:val="Normal"/>
    <w:link w:val="CommentTextChar"/>
    <w:uiPriority w:val="99"/>
    <w:unhideWhenUsed/>
    <w:rsid w:val="00C93F9E"/>
    <w:pPr>
      <w:spacing w:line="240" w:lineRule="auto"/>
    </w:pPr>
    <w:rPr>
      <w:sz w:val="20"/>
      <w:szCs w:val="20"/>
    </w:rPr>
  </w:style>
  <w:style w:type="character" w:customStyle="1" w:styleId="CommentTextChar">
    <w:name w:val="Comment Text Char"/>
    <w:basedOn w:val="DefaultParagraphFont"/>
    <w:link w:val="CommentText"/>
    <w:uiPriority w:val="99"/>
    <w:rsid w:val="00C93F9E"/>
    <w:rPr>
      <w:sz w:val="20"/>
      <w:szCs w:val="20"/>
    </w:rPr>
  </w:style>
  <w:style w:type="paragraph" w:styleId="CommentSubject">
    <w:name w:val="annotation subject"/>
    <w:basedOn w:val="CommentText"/>
    <w:next w:val="CommentText"/>
    <w:link w:val="CommentSubjectChar"/>
    <w:uiPriority w:val="99"/>
    <w:semiHidden/>
    <w:unhideWhenUsed/>
    <w:rsid w:val="00C93F9E"/>
    <w:rPr>
      <w:b/>
      <w:bCs/>
    </w:rPr>
  </w:style>
  <w:style w:type="character" w:customStyle="1" w:styleId="CommentSubjectChar">
    <w:name w:val="Comment Subject Char"/>
    <w:basedOn w:val="CommentTextChar"/>
    <w:link w:val="CommentSubject"/>
    <w:uiPriority w:val="99"/>
    <w:semiHidden/>
    <w:rsid w:val="00C93F9E"/>
    <w:rPr>
      <w:b/>
      <w:bCs/>
      <w:sz w:val="20"/>
      <w:szCs w:val="20"/>
    </w:rPr>
  </w:style>
  <w:style w:type="paragraph" w:styleId="Header">
    <w:name w:val="header"/>
    <w:basedOn w:val="Normal"/>
    <w:link w:val="HeaderChar"/>
    <w:uiPriority w:val="99"/>
    <w:unhideWhenUsed/>
    <w:rsid w:val="00415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88E"/>
  </w:style>
  <w:style w:type="paragraph" w:styleId="Footer">
    <w:name w:val="footer"/>
    <w:basedOn w:val="Normal"/>
    <w:link w:val="FooterChar"/>
    <w:uiPriority w:val="99"/>
    <w:unhideWhenUsed/>
    <w:rsid w:val="00415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88E"/>
  </w:style>
  <w:style w:type="character" w:customStyle="1" w:styleId="ListParagraphChar">
    <w:name w:val="List Paragraph Char"/>
    <w:aliases w:val="BulletPoints Char,Bullet Point Char,Bullet point Char,Bullet- First level Char,Bulletr List Paragraph Char,Content descriptions Char,Figure_name Char,FooterText Char,L Char,List NUmber Char,List Paragraph1 Char,List Paragraph11 Char"/>
    <w:basedOn w:val="DefaultParagraphFont"/>
    <w:link w:val="ListParagraph"/>
    <w:uiPriority w:val="34"/>
    <w:rsid w:val="00BB3214"/>
  </w:style>
  <w:style w:type="character" w:customStyle="1" w:styleId="Heading2Char">
    <w:name w:val="Heading 2 Char"/>
    <w:basedOn w:val="DefaultParagraphFont"/>
    <w:link w:val="Heading2"/>
    <w:uiPriority w:val="9"/>
    <w:rsid w:val="006F7D31"/>
    <w:rPr>
      <w:rFonts w:eastAsia="Times New Roman"/>
      <w:b/>
      <w:bCs/>
      <w:snapToGrid w:val="0"/>
      <w:sz w:val="32"/>
      <w:szCs w:val="32"/>
      <w:lang w:val="en-US"/>
    </w:rPr>
  </w:style>
  <w:style w:type="character" w:customStyle="1" w:styleId="Heading3Char">
    <w:name w:val="Heading 3 Char"/>
    <w:basedOn w:val="DefaultParagraphFont"/>
    <w:link w:val="Heading3"/>
    <w:uiPriority w:val="9"/>
    <w:rsid w:val="0028500F"/>
    <w:rPr>
      <w:rFonts w:eastAsia="Times New Roman"/>
      <w:b/>
      <w:bCs/>
      <w:iCs/>
      <w:snapToGrid w:val="0"/>
      <w:lang w:val="en-US"/>
    </w:rPr>
  </w:style>
  <w:style w:type="paragraph" w:styleId="FootnoteText">
    <w:name w:val="footnote text"/>
    <w:basedOn w:val="Normal"/>
    <w:link w:val="FootnoteTextChar"/>
    <w:uiPriority w:val="99"/>
    <w:semiHidden/>
    <w:unhideWhenUsed/>
    <w:rsid w:val="00C44A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A98"/>
    <w:rPr>
      <w:sz w:val="20"/>
      <w:szCs w:val="20"/>
    </w:rPr>
  </w:style>
  <w:style w:type="character" w:styleId="FootnoteReference">
    <w:name w:val="footnote reference"/>
    <w:basedOn w:val="DefaultParagraphFont"/>
    <w:uiPriority w:val="99"/>
    <w:semiHidden/>
    <w:unhideWhenUsed/>
    <w:rsid w:val="00C44A98"/>
    <w:rPr>
      <w:vertAlign w:val="superscript"/>
    </w:rPr>
  </w:style>
  <w:style w:type="character" w:customStyle="1" w:styleId="Heading1Char">
    <w:name w:val="Heading 1 Char"/>
    <w:basedOn w:val="DefaultParagraphFont"/>
    <w:link w:val="Heading1"/>
    <w:uiPriority w:val="9"/>
    <w:rsid w:val="0028500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D4037"/>
    <w:rPr>
      <w:color w:val="0000FF"/>
      <w:u w:val="single"/>
    </w:rPr>
  </w:style>
  <w:style w:type="character" w:customStyle="1" w:styleId="Heading4Char">
    <w:name w:val="Heading 4 Char"/>
    <w:basedOn w:val="DefaultParagraphFont"/>
    <w:link w:val="Heading4"/>
    <w:uiPriority w:val="9"/>
    <w:rsid w:val="004B28C7"/>
    <w:rPr>
      <w:i/>
    </w:rPr>
  </w:style>
  <w:style w:type="character" w:customStyle="1" w:styleId="Heading5Char">
    <w:name w:val="Heading 5 Char"/>
    <w:basedOn w:val="DefaultParagraphFont"/>
    <w:link w:val="Heading5"/>
    <w:uiPriority w:val="9"/>
    <w:rsid w:val="008D4037"/>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1E1711"/>
    <w:rPr>
      <w:color w:val="605E5C"/>
      <w:shd w:val="clear" w:color="auto" w:fill="E1DFDD"/>
    </w:rPr>
  </w:style>
  <w:style w:type="paragraph" w:styleId="Revision">
    <w:name w:val="Revision"/>
    <w:hidden/>
    <w:uiPriority w:val="99"/>
    <w:semiHidden/>
    <w:rsid w:val="00DF4A37"/>
    <w:pPr>
      <w:spacing w:after="0" w:line="240" w:lineRule="auto"/>
    </w:pPr>
  </w:style>
  <w:style w:type="character" w:styleId="Mention">
    <w:name w:val="Mention"/>
    <w:basedOn w:val="DefaultParagraphFont"/>
    <w:uiPriority w:val="99"/>
    <w:unhideWhenUsed/>
    <w:rsid w:val="007229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6007">
      <w:bodyDiv w:val="1"/>
      <w:marLeft w:val="0"/>
      <w:marRight w:val="0"/>
      <w:marTop w:val="0"/>
      <w:marBottom w:val="0"/>
      <w:divBdr>
        <w:top w:val="none" w:sz="0" w:space="0" w:color="auto"/>
        <w:left w:val="none" w:sz="0" w:space="0" w:color="auto"/>
        <w:bottom w:val="none" w:sz="0" w:space="0" w:color="auto"/>
        <w:right w:val="none" w:sz="0" w:space="0" w:color="auto"/>
      </w:divBdr>
    </w:div>
    <w:div w:id="135881429">
      <w:bodyDiv w:val="1"/>
      <w:marLeft w:val="0"/>
      <w:marRight w:val="0"/>
      <w:marTop w:val="0"/>
      <w:marBottom w:val="0"/>
      <w:divBdr>
        <w:top w:val="none" w:sz="0" w:space="0" w:color="auto"/>
        <w:left w:val="none" w:sz="0" w:space="0" w:color="auto"/>
        <w:bottom w:val="none" w:sz="0" w:space="0" w:color="auto"/>
        <w:right w:val="none" w:sz="0" w:space="0" w:color="auto"/>
      </w:divBdr>
    </w:div>
    <w:div w:id="145561185">
      <w:bodyDiv w:val="1"/>
      <w:marLeft w:val="0"/>
      <w:marRight w:val="0"/>
      <w:marTop w:val="0"/>
      <w:marBottom w:val="0"/>
      <w:divBdr>
        <w:top w:val="none" w:sz="0" w:space="0" w:color="auto"/>
        <w:left w:val="none" w:sz="0" w:space="0" w:color="auto"/>
        <w:bottom w:val="none" w:sz="0" w:space="0" w:color="auto"/>
        <w:right w:val="none" w:sz="0" w:space="0" w:color="auto"/>
      </w:divBdr>
    </w:div>
    <w:div w:id="256255682">
      <w:bodyDiv w:val="1"/>
      <w:marLeft w:val="0"/>
      <w:marRight w:val="0"/>
      <w:marTop w:val="0"/>
      <w:marBottom w:val="0"/>
      <w:divBdr>
        <w:top w:val="none" w:sz="0" w:space="0" w:color="auto"/>
        <w:left w:val="none" w:sz="0" w:space="0" w:color="auto"/>
        <w:bottom w:val="none" w:sz="0" w:space="0" w:color="auto"/>
        <w:right w:val="none" w:sz="0" w:space="0" w:color="auto"/>
      </w:divBdr>
    </w:div>
    <w:div w:id="414476887">
      <w:bodyDiv w:val="1"/>
      <w:marLeft w:val="0"/>
      <w:marRight w:val="0"/>
      <w:marTop w:val="0"/>
      <w:marBottom w:val="0"/>
      <w:divBdr>
        <w:top w:val="none" w:sz="0" w:space="0" w:color="auto"/>
        <w:left w:val="none" w:sz="0" w:space="0" w:color="auto"/>
        <w:bottom w:val="none" w:sz="0" w:space="0" w:color="auto"/>
        <w:right w:val="none" w:sz="0" w:space="0" w:color="auto"/>
      </w:divBdr>
    </w:div>
    <w:div w:id="446779621">
      <w:bodyDiv w:val="1"/>
      <w:marLeft w:val="0"/>
      <w:marRight w:val="0"/>
      <w:marTop w:val="0"/>
      <w:marBottom w:val="0"/>
      <w:divBdr>
        <w:top w:val="none" w:sz="0" w:space="0" w:color="auto"/>
        <w:left w:val="none" w:sz="0" w:space="0" w:color="auto"/>
        <w:bottom w:val="none" w:sz="0" w:space="0" w:color="auto"/>
        <w:right w:val="none" w:sz="0" w:space="0" w:color="auto"/>
      </w:divBdr>
    </w:div>
    <w:div w:id="644895294">
      <w:bodyDiv w:val="1"/>
      <w:marLeft w:val="0"/>
      <w:marRight w:val="0"/>
      <w:marTop w:val="0"/>
      <w:marBottom w:val="0"/>
      <w:divBdr>
        <w:top w:val="none" w:sz="0" w:space="0" w:color="auto"/>
        <w:left w:val="none" w:sz="0" w:space="0" w:color="auto"/>
        <w:bottom w:val="none" w:sz="0" w:space="0" w:color="auto"/>
        <w:right w:val="none" w:sz="0" w:space="0" w:color="auto"/>
      </w:divBdr>
    </w:div>
    <w:div w:id="663508706">
      <w:bodyDiv w:val="1"/>
      <w:marLeft w:val="0"/>
      <w:marRight w:val="0"/>
      <w:marTop w:val="0"/>
      <w:marBottom w:val="0"/>
      <w:divBdr>
        <w:top w:val="none" w:sz="0" w:space="0" w:color="auto"/>
        <w:left w:val="none" w:sz="0" w:space="0" w:color="auto"/>
        <w:bottom w:val="none" w:sz="0" w:space="0" w:color="auto"/>
        <w:right w:val="none" w:sz="0" w:space="0" w:color="auto"/>
      </w:divBdr>
    </w:div>
    <w:div w:id="791627733">
      <w:bodyDiv w:val="1"/>
      <w:marLeft w:val="0"/>
      <w:marRight w:val="0"/>
      <w:marTop w:val="0"/>
      <w:marBottom w:val="0"/>
      <w:divBdr>
        <w:top w:val="none" w:sz="0" w:space="0" w:color="auto"/>
        <w:left w:val="none" w:sz="0" w:space="0" w:color="auto"/>
        <w:bottom w:val="none" w:sz="0" w:space="0" w:color="auto"/>
        <w:right w:val="none" w:sz="0" w:space="0" w:color="auto"/>
      </w:divBdr>
    </w:div>
    <w:div w:id="924146346">
      <w:bodyDiv w:val="1"/>
      <w:marLeft w:val="0"/>
      <w:marRight w:val="0"/>
      <w:marTop w:val="0"/>
      <w:marBottom w:val="0"/>
      <w:divBdr>
        <w:top w:val="none" w:sz="0" w:space="0" w:color="auto"/>
        <w:left w:val="none" w:sz="0" w:space="0" w:color="auto"/>
        <w:bottom w:val="none" w:sz="0" w:space="0" w:color="auto"/>
        <w:right w:val="none" w:sz="0" w:space="0" w:color="auto"/>
      </w:divBdr>
    </w:div>
    <w:div w:id="1029529003">
      <w:bodyDiv w:val="1"/>
      <w:marLeft w:val="0"/>
      <w:marRight w:val="0"/>
      <w:marTop w:val="0"/>
      <w:marBottom w:val="0"/>
      <w:divBdr>
        <w:top w:val="none" w:sz="0" w:space="0" w:color="auto"/>
        <w:left w:val="none" w:sz="0" w:space="0" w:color="auto"/>
        <w:bottom w:val="none" w:sz="0" w:space="0" w:color="auto"/>
        <w:right w:val="none" w:sz="0" w:space="0" w:color="auto"/>
      </w:divBdr>
    </w:div>
    <w:div w:id="1186480767">
      <w:bodyDiv w:val="1"/>
      <w:marLeft w:val="0"/>
      <w:marRight w:val="0"/>
      <w:marTop w:val="0"/>
      <w:marBottom w:val="0"/>
      <w:divBdr>
        <w:top w:val="none" w:sz="0" w:space="0" w:color="auto"/>
        <w:left w:val="none" w:sz="0" w:space="0" w:color="auto"/>
        <w:bottom w:val="none" w:sz="0" w:space="0" w:color="auto"/>
        <w:right w:val="none" w:sz="0" w:space="0" w:color="auto"/>
      </w:divBdr>
    </w:div>
    <w:div w:id="1240092760">
      <w:bodyDiv w:val="1"/>
      <w:marLeft w:val="0"/>
      <w:marRight w:val="0"/>
      <w:marTop w:val="0"/>
      <w:marBottom w:val="0"/>
      <w:divBdr>
        <w:top w:val="none" w:sz="0" w:space="0" w:color="auto"/>
        <w:left w:val="none" w:sz="0" w:space="0" w:color="auto"/>
        <w:bottom w:val="none" w:sz="0" w:space="0" w:color="auto"/>
        <w:right w:val="none" w:sz="0" w:space="0" w:color="auto"/>
      </w:divBdr>
    </w:div>
    <w:div w:id="1263300364">
      <w:bodyDiv w:val="1"/>
      <w:marLeft w:val="0"/>
      <w:marRight w:val="0"/>
      <w:marTop w:val="0"/>
      <w:marBottom w:val="0"/>
      <w:divBdr>
        <w:top w:val="none" w:sz="0" w:space="0" w:color="auto"/>
        <w:left w:val="none" w:sz="0" w:space="0" w:color="auto"/>
        <w:bottom w:val="none" w:sz="0" w:space="0" w:color="auto"/>
        <w:right w:val="none" w:sz="0" w:space="0" w:color="auto"/>
      </w:divBdr>
    </w:div>
    <w:div w:id="1322149848">
      <w:bodyDiv w:val="1"/>
      <w:marLeft w:val="0"/>
      <w:marRight w:val="0"/>
      <w:marTop w:val="0"/>
      <w:marBottom w:val="0"/>
      <w:divBdr>
        <w:top w:val="none" w:sz="0" w:space="0" w:color="auto"/>
        <w:left w:val="none" w:sz="0" w:space="0" w:color="auto"/>
        <w:bottom w:val="none" w:sz="0" w:space="0" w:color="auto"/>
        <w:right w:val="none" w:sz="0" w:space="0" w:color="auto"/>
      </w:divBdr>
    </w:div>
    <w:div w:id="1329988128">
      <w:bodyDiv w:val="1"/>
      <w:marLeft w:val="0"/>
      <w:marRight w:val="0"/>
      <w:marTop w:val="0"/>
      <w:marBottom w:val="0"/>
      <w:divBdr>
        <w:top w:val="none" w:sz="0" w:space="0" w:color="auto"/>
        <w:left w:val="none" w:sz="0" w:space="0" w:color="auto"/>
        <w:bottom w:val="none" w:sz="0" w:space="0" w:color="auto"/>
        <w:right w:val="none" w:sz="0" w:space="0" w:color="auto"/>
      </w:divBdr>
    </w:div>
    <w:div w:id="1545293723">
      <w:bodyDiv w:val="1"/>
      <w:marLeft w:val="0"/>
      <w:marRight w:val="0"/>
      <w:marTop w:val="0"/>
      <w:marBottom w:val="0"/>
      <w:divBdr>
        <w:top w:val="none" w:sz="0" w:space="0" w:color="auto"/>
        <w:left w:val="none" w:sz="0" w:space="0" w:color="auto"/>
        <w:bottom w:val="none" w:sz="0" w:space="0" w:color="auto"/>
        <w:right w:val="none" w:sz="0" w:space="0" w:color="auto"/>
      </w:divBdr>
      <w:divsChild>
        <w:div w:id="851644925">
          <w:marLeft w:val="1166"/>
          <w:marRight w:val="0"/>
          <w:marTop w:val="200"/>
          <w:marBottom w:val="0"/>
          <w:divBdr>
            <w:top w:val="none" w:sz="0" w:space="0" w:color="auto"/>
            <w:left w:val="none" w:sz="0" w:space="0" w:color="auto"/>
            <w:bottom w:val="none" w:sz="0" w:space="0" w:color="auto"/>
            <w:right w:val="none" w:sz="0" w:space="0" w:color="auto"/>
          </w:divBdr>
        </w:div>
        <w:div w:id="1125465019">
          <w:marLeft w:val="547"/>
          <w:marRight w:val="0"/>
          <w:marTop w:val="200"/>
          <w:marBottom w:val="0"/>
          <w:divBdr>
            <w:top w:val="none" w:sz="0" w:space="0" w:color="auto"/>
            <w:left w:val="none" w:sz="0" w:space="0" w:color="auto"/>
            <w:bottom w:val="none" w:sz="0" w:space="0" w:color="auto"/>
            <w:right w:val="none" w:sz="0" w:space="0" w:color="auto"/>
          </w:divBdr>
        </w:div>
        <w:div w:id="1578979549">
          <w:marLeft w:val="1166"/>
          <w:marRight w:val="0"/>
          <w:marTop w:val="200"/>
          <w:marBottom w:val="0"/>
          <w:divBdr>
            <w:top w:val="none" w:sz="0" w:space="0" w:color="auto"/>
            <w:left w:val="none" w:sz="0" w:space="0" w:color="auto"/>
            <w:bottom w:val="none" w:sz="0" w:space="0" w:color="auto"/>
            <w:right w:val="none" w:sz="0" w:space="0" w:color="auto"/>
          </w:divBdr>
        </w:div>
        <w:div w:id="1818840348">
          <w:marLeft w:val="1166"/>
          <w:marRight w:val="0"/>
          <w:marTop w:val="200"/>
          <w:marBottom w:val="0"/>
          <w:divBdr>
            <w:top w:val="none" w:sz="0" w:space="0" w:color="auto"/>
            <w:left w:val="none" w:sz="0" w:space="0" w:color="auto"/>
            <w:bottom w:val="none" w:sz="0" w:space="0" w:color="auto"/>
            <w:right w:val="none" w:sz="0" w:space="0" w:color="auto"/>
          </w:divBdr>
        </w:div>
      </w:divsChild>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97578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sac/publishing.nsf/Content/3A5BEFB60D35C015CA258AC4001AB132/$File/1732.1%20Final%20PSD%20-%20Aug2024%20%20redacted.pdf"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b67814db4cbf52fde07137e7d49b245e">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dea1ae2ed431f796c5177aed60a9a2d6"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Props1.xml><?xml version="1.0" encoding="utf-8"?>
<ds:datastoreItem xmlns:ds="http://schemas.openxmlformats.org/officeDocument/2006/customXml" ds:itemID="{7C63FAC2-4914-4224-A28A-D67403EBF274}">
  <ds:schemaRefs>
    <ds:schemaRef ds:uri="http://schemas.openxmlformats.org/officeDocument/2006/bibliography"/>
  </ds:schemaRefs>
</ds:datastoreItem>
</file>

<file path=customXml/itemProps2.xml><?xml version="1.0" encoding="utf-8"?>
<ds:datastoreItem xmlns:ds="http://schemas.openxmlformats.org/officeDocument/2006/customXml" ds:itemID="{83C52A63-C420-4407-97AD-B74B2B14209B}"/>
</file>

<file path=customXml/itemProps3.xml><?xml version="1.0" encoding="utf-8"?>
<ds:datastoreItem xmlns:ds="http://schemas.openxmlformats.org/officeDocument/2006/customXml" ds:itemID="{54E7165B-4445-4938-9E08-5630717F54A0}"/>
</file>

<file path=customXml/itemProps4.xml><?xml version="1.0" encoding="utf-8"?>
<ds:datastoreItem xmlns:ds="http://schemas.openxmlformats.org/officeDocument/2006/customXml" ds:itemID="{A5783C59-AD14-46D6-86E4-4323116257E1}"/>
</file>

<file path=docProps/app.xml><?xml version="1.0" encoding="utf-8"?>
<Properties xmlns="http://schemas.openxmlformats.org/officeDocument/2006/extended-properties" xmlns:vt="http://schemas.openxmlformats.org/officeDocument/2006/docPropsVTypes">
  <Template>Normal.dotm</Template>
  <TotalTime>0</TotalTime>
  <Pages>5</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16953</CharactersWithSpaces>
  <SharedDoc>false</SharedDoc>
  <HLinks>
    <vt:vector size="78" baseType="variant">
      <vt:variant>
        <vt:i4>7602237</vt:i4>
      </vt:variant>
      <vt:variant>
        <vt:i4>0</vt:i4>
      </vt:variant>
      <vt:variant>
        <vt:i4>0</vt:i4>
      </vt:variant>
      <vt:variant>
        <vt:i4>5</vt:i4>
      </vt:variant>
      <vt:variant>
        <vt:lpwstr>https://www1.health.gov.au/internet/msac/publishing.nsf/Content/3A5BEFB60D35C015CA258AC4001AB132/$File/1732.1 Final PSD - Aug2024  redacted.pdf</vt:lpwstr>
      </vt:variant>
      <vt:variant>
        <vt:lpwstr/>
      </vt:variant>
      <vt:variant>
        <vt:i4>2752611</vt:i4>
      </vt:variant>
      <vt:variant>
        <vt:i4>33</vt:i4>
      </vt:variant>
      <vt:variant>
        <vt:i4>0</vt:i4>
      </vt:variant>
      <vt:variant>
        <vt:i4>5</vt:i4>
      </vt:variant>
      <vt:variant>
        <vt:lpwstr>https://healthgov.sharepoint.com/:w:/r/sites/MSACPAT/MSAC folders/MSAC Stakeholder meetings/1732.1 Stakeholder meeting/Stakeholder responses to questions/1732.1 Stakeholder Meeting - Questions nw.docx?d=wf38a1bdb8b584ff0aad09aafde1bb1ff&amp;csf=1&amp;web=1&amp;e=tuw7Ah</vt:lpwstr>
      </vt:variant>
      <vt:variant>
        <vt:lpwstr/>
      </vt:variant>
      <vt:variant>
        <vt:i4>2686980</vt:i4>
      </vt:variant>
      <vt:variant>
        <vt:i4>30</vt:i4>
      </vt:variant>
      <vt:variant>
        <vt:i4>0</vt:i4>
      </vt:variant>
      <vt:variant>
        <vt:i4>5</vt:i4>
      </vt:variant>
      <vt:variant>
        <vt:lpwstr>mailto:Dinusha.Vithanachchi@health.gov.au</vt:lpwstr>
      </vt:variant>
      <vt:variant>
        <vt:lpwstr/>
      </vt:variant>
      <vt:variant>
        <vt:i4>2686980</vt:i4>
      </vt:variant>
      <vt:variant>
        <vt:i4>27</vt:i4>
      </vt:variant>
      <vt:variant>
        <vt:i4>0</vt:i4>
      </vt:variant>
      <vt:variant>
        <vt:i4>5</vt:i4>
      </vt:variant>
      <vt:variant>
        <vt:lpwstr>mailto:Dinusha.Vithanachchi@health.gov.au</vt:lpwstr>
      </vt:variant>
      <vt:variant>
        <vt:lpwstr/>
      </vt:variant>
      <vt:variant>
        <vt:i4>2686980</vt:i4>
      </vt:variant>
      <vt:variant>
        <vt:i4>24</vt:i4>
      </vt:variant>
      <vt:variant>
        <vt:i4>0</vt:i4>
      </vt:variant>
      <vt:variant>
        <vt:i4>5</vt:i4>
      </vt:variant>
      <vt:variant>
        <vt:lpwstr>mailto:Dinusha.Vithanachchi@health.gov.au</vt:lpwstr>
      </vt:variant>
      <vt:variant>
        <vt:lpwstr/>
      </vt:variant>
      <vt:variant>
        <vt:i4>8061013</vt:i4>
      </vt:variant>
      <vt:variant>
        <vt:i4>21</vt:i4>
      </vt:variant>
      <vt:variant>
        <vt:i4>0</vt:i4>
      </vt:variant>
      <vt:variant>
        <vt:i4>5</vt:i4>
      </vt:variant>
      <vt:variant>
        <vt:lpwstr>mailto:Thomas.WHITE@Health.gov.au</vt:lpwstr>
      </vt:variant>
      <vt:variant>
        <vt:lpwstr/>
      </vt:variant>
      <vt:variant>
        <vt:i4>2686980</vt:i4>
      </vt:variant>
      <vt:variant>
        <vt:i4>18</vt:i4>
      </vt:variant>
      <vt:variant>
        <vt:i4>0</vt:i4>
      </vt:variant>
      <vt:variant>
        <vt:i4>5</vt:i4>
      </vt:variant>
      <vt:variant>
        <vt:lpwstr>mailto:Dinusha.Vithanachchi@health.gov.au</vt:lpwstr>
      </vt:variant>
      <vt:variant>
        <vt:lpwstr/>
      </vt:variant>
      <vt:variant>
        <vt:i4>2686980</vt:i4>
      </vt:variant>
      <vt:variant>
        <vt:i4>15</vt:i4>
      </vt:variant>
      <vt:variant>
        <vt:i4>0</vt:i4>
      </vt:variant>
      <vt:variant>
        <vt:i4>5</vt:i4>
      </vt:variant>
      <vt:variant>
        <vt:lpwstr>mailto:Dinusha.Vithanachchi@health.gov.au</vt:lpwstr>
      </vt:variant>
      <vt:variant>
        <vt:lpwstr/>
      </vt:variant>
      <vt:variant>
        <vt:i4>8061013</vt:i4>
      </vt:variant>
      <vt:variant>
        <vt:i4>12</vt:i4>
      </vt:variant>
      <vt:variant>
        <vt:i4>0</vt:i4>
      </vt:variant>
      <vt:variant>
        <vt:i4>5</vt:i4>
      </vt:variant>
      <vt:variant>
        <vt:lpwstr>mailto:Thomas.WHITE@Health.gov.au</vt:lpwstr>
      </vt:variant>
      <vt:variant>
        <vt:lpwstr/>
      </vt:variant>
      <vt:variant>
        <vt:i4>720972</vt:i4>
      </vt:variant>
      <vt:variant>
        <vt:i4>9</vt:i4>
      </vt:variant>
      <vt:variant>
        <vt:i4>0</vt:i4>
      </vt:variant>
      <vt:variant>
        <vt:i4>5</vt:i4>
      </vt:variant>
      <vt:variant>
        <vt:lpwstr>https://www.anzdata.org.au/wp-content/uploads/2024/12/06_waiting_list_2023_ar_2024_chapter_F_20241224.pdf</vt:lpwstr>
      </vt:variant>
      <vt:variant>
        <vt:lpwstr/>
      </vt:variant>
      <vt:variant>
        <vt:i4>2752537</vt:i4>
      </vt:variant>
      <vt:variant>
        <vt:i4>6</vt:i4>
      </vt:variant>
      <vt:variant>
        <vt:i4>0</vt:i4>
      </vt:variant>
      <vt:variant>
        <vt:i4>5</vt:i4>
      </vt:variant>
      <vt:variant>
        <vt:lpwstr>https://www.anzdata.org.au/wp-content/uploads/2023/09/ANZDATA_AR-2022-23_Chapter-6_F2.pdf</vt:lpwstr>
      </vt:variant>
      <vt:variant>
        <vt:lpwstr/>
      </vt:variant>
      <vt:variant>
        <vt:i4>5767289</vt:i4>
      </vt:variant>
      <vt:variant>
        <vt:i4>3</vt:i4>
      </vt:variant>
      <vt:variant>
        <vt:i4>0</vt:i4>
      </vt:variant>
      <vt:variant>
        <vt:i4>5</vt:i4>
      </vt:variant>
      <vt:variant>
        <vt:lpwstr>mailto:Jason.SOON@Health.gov.au</vt:lpwstr>
      </vt:variant>
      <vt:variant>
        <vt:lpwstr/>
      </vt:variant>
      <vt:variant>
        <vt:i4>8061013</vt:i4>
      </vt:variant>
      <vt:variant>
        <vt:i4>0</vt:i4>
      </vt:variant>
      <vt:variant>
        <vt:i4>0</vt:i4>
      </vt:variant>
      <vt:variant>
        <vt:i4>5</vt:i4>
      </vt:variant>
      <vt:variant>
        <vt:lpwstr>mailto:Thomas.WHITE@Health.gov.au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2025-06-10T22:36:00Z</dcterms:created>
  <dcterms:modified xsi:type="dcterms:W3CDTF">2025-06-10T22:36:00Z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0x0101005E4A37BE997BE34FBB7D5057D341D123</vt:lpwstr>
  </property>
</Properties>
</file>