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BCEDF" w14:textId="77777777" w:rsidR="005B521F" w:rsidRPr="006473F6" w:rsidRDefault="005B521F" w:rsidP="005B521F">
      <w:pPr>
        <w:keepNext/>
        <w:keepLines/>
        <w:spacing w:before="0" w:after="360"/>
        <w:ind w:left="788"/>
        <w:jc w:val="center"/>
        <w:outlineLvl w:val="0"/>
        <w:rPr>
          <w:i/>
          <w:iCs/>
        </w:rPr>
      </w:pPr>
      <w:r w:rsidRPr="00F268B7">
        <w:rPr>
          <w:rFonts w:ascii="Arial" w:eastAsiaTheme="majorEastAsia" w:hAnsi="Arial" w:cs="Arial"/>
          <w:b/>
          <w:bCs/>
          <w:color w:val="000080"/>
          <w:sz w:val="36"/>
          <w:szCs w:val="36"/>
        </w:rPr>
        <w:t>Medical Services Advisory Committee (MSAC)</w:t>
      </w:r>
      <w:r w:rsidRPr="00F268B7">
        <w:rPr>
          <w:rFonts w:ascii="Arial" w:eastAsiaTheme="majorEastAsia" w:hAnsi="Arial" w:cs="Arial"/>
          <w:b/>
          <w:bCs/>
          <w:color w:val="000080"/>
          <w:sz w:val="36"/>
          <w:szCs w:val="36"/>
        </w:rPr>
        <w:br/>
      </w:r>
      <w:r w:rsidRPr="00F76D74">
        <w:rPr>
          <w:rFonts w:ascii="Arial" w:hAnsi="Arial" w:cs="Arial"/>
          <w:b/>
          <w:bCs/>
          <w:color w:val="000080"/>
          <w:sz w:val="36"/>
          <w:szCs w:val="36"/>
        </w:rPr>
        <w:t>Public Summary Document</w:t>
      </w:r>
    </w:p>
    <w:p w14:paraId="7A128FDE" w14:textId="2E8030C5" w:rsidR="00772829" w:rsidRPr="009539C3" w:rsidRDefault="00772829" w:rsidP="00772829">
      <w:pPr>
        <w:pStyle w:val="Subtitle"/>
      </w:pPr>
      <w:r w:rsidRPr="60969D91">
        <w:t xml:space="preserve">Application No. </w:t>
      </w:r>
      <w:r w:rsidR="003A1AD2" w:rsidRPr="60969D91">
        <w:t xml:space="preserve">1762 – </w:t>
      </w:r>
      <w:r w:rsidR="00630955" w:rsidRPr="60969D91">
        <w:t xml:space="preserve">Amendment to HER-2 MBS item to allow for trastuzumab </w:t>
      </w:r>
      <w:proofErr w:type="spellStart"/>
      <w:r w:rsidR="00630955" w:rsidRPr="60969D91">
        <w:t>deruxtecan</w:t>
      </w:r>
      <w:proofErr w:type="spellEnd"/>
      <w:r w:rsidR="00630955" w:rsidRPr="60969D91">
        <w:t xml:space="preserve"> for the treatment of patients with metastatic gastric or gastroesophageal junction adenocarcinoma </w:t>
      </w:r>
    </w:p>
    <w:p w14:paraId="35263561" w14:textId="287D8B97" w:rsidR="00772829" w:rsidRPr="009539C3" w:rsidRDefault="00772829" w:rsidP="60969D91">
      <w:pPr>
        <w:tabs>
          <w:tab w:val="left" w:pos="3686"/>
        </w:tabs>
        <w:spacing w:after="240"/>
        <w:rPr>
          <w:rFonts w:ascii="Arial" w:hAnsi="Arial" w:cs="Arial"/>
          <w:b/>
          <w:bCs/>
        </w:rPr>
      </w:pPr>
      <w:r w:rsidRPr="60969D91">
        <w:rPr>
          <w:rFonts w:ascii="Arial" w:hAnsi="Arial" w:cs="Arial"/>
          <w:b/>
          <w:bCs/>
        </w:rPr>
        <w:t>Applicant:</w:t>
      </w:r>
      <w:r>
        <w:tab/>
      </w:r>
      <w:bookmarkStart w:id="0" w:name="_Hlk190113830"/>
      <w:r w:rsidR="00D52CBE" w:rsidRPr="60969D91">
        <w:rPr>
          <w:rFonts w:ascii="Arial" w:hAnsi="Arial" w:cs="Arial"/>
          <w:b/>
          <w:bCs/>
        </w:rPr>
        <w:t>AstraZeneca</w:t>
      </w:r>
      <w:bookmarkEnd w:id="0"/>
      <w:r w:rsidR="00FB2CEE" w:rsidRPr="60969D91">
        <w:rPr>
          <w:rFonts w:ascii="Arial" w:hAnsi="Arial" w:cs="Arial"/>
          <w:b/>
          <w:bCs/>
        </w:rPr>
        <w:t xml:space="preserve"> Pty Ltd</w:t>
      </w:r>
    </w:p>
    <w:p w14:paraId="15DA9C4A" w14:textId="400E0962" w:rsidR="009A3778" w:rsidRDefault="00772829" w:rsidP="60969D91">
      <w:pPr>
        <w:tabs>
          <w:tab w:val="left" w:pos="3686"/>
        </w:tabs>
        <w:spacing w:after="360"/>
        <w:rPr>
          <w:rFonts w:ascii="Arial" w:hAnsi="Arial" w:cs="Arial"/>
          <w:b/>
          <w:bCs/>
        </w:rPr>
      </w:pPr>
      <w:r w:rsidRPr="60969D91">
        <w:rPr>
          <w:rFonts w:ascii="Arial" w:hAnsi="Arial" w:cs="Arial"/>
          <w:b/>
          <w:bCs/>
        </w:rPr>
        <w:t>Date of MSAC consideration:</w:t>
      </w:r>
      <w:r>
        <w:tab/>
      </w:r>
      <w:r w:rsidR="00D52CBE" w:rsidRPr="60969D91">
        <w:rPr>
          <w:rFonts w:ascii="Arial" w:hAnsi="Arial" w:cs="Arial"/>
          <w:b/>
          <w:bCs/>
        </w:rPr>
        <w:t>3-4 April 2025</w:t>
      </w:r>
    </w:p>
    <w:p w14:paraId="18DDBCF4" w14:textId="34AE6EED" w:rsidR="005B521F" w:rsidRPr="00333EDF" w:rsidRDefault="005B521F" w:rsidP="005B521F">
      <w:pPr>
        <w:spacing w:after="240"/>
        <w:rPr>
          <w:color w:val="0000FF"/>
          <w:u w:val="single"/>
        </w:rPr>
      </w:pPr>
      <w:r w:rsidRPr="00333EDF">
        <w:t xml:space="preserve">Context for decision: MSAC makes its advice in accordance with its Terms of Reference, </w:t>
      </w:r>
      <w:hyperlink r:id="rId11" w:tooltip="Link to Medical Services Advisory Committee website" w:history="1">
        <w:r w:rsidRPr="000D2098">
          <w:rPr>
            <w:rStyle w:val="Hyperlink"/>
            <w:color w:val="007BB8"/>
          </w:rPr>
          <w:t>visit the MSAC website</w:t>
        </w:r>
      </w:hyperlink>
    </w:p>
    <w:p w14:paraId="7EAA7262" w14:textId="11F80728" w:rsidR="00772829" w:rsidRPr="009539C3" w:rsidRDefault="00772829" w:rsidP="005B521F">
      <w:pPr>
        <w:pStyle w:val="Heading2"/>
        <w:numPr>
          <w:ilvl w:val="0"/>
          <w:numId w:val="12"/>
        </w:numPr>
        <w:ind w:hanging="720"/>
      </w:pPr>
      <w:bookmarkStart w:id="1" w:name="_Toc69491415"/>
      <w:r w:rsidRPr="009539C3">
        <w:t xml:space="preserve">Purpose </w:t>
      </w:r>
      <w:r w:rsidRPr="009539C3">
        <w:rPr>
          <w:szCs w:val="32"/>
        </w:rPr>
        <w:t>of</w:t>
      </w:r>
      <w:r w:rsidRPr="009539C3">
        <w:t xml:space="preserve"> application</w:t>
      </w:r>
      <w:bookmarkEnd w:id="1"/>
    </w:p>
    <w:p w14:paraId="2B03B099" w14:textId="54407FE0" w:rsidR="00772829" w:rsidRPr="009539C3" w:rsidRDefault="002158F1" w:rsidP="009B2245">
      <w:pPr>
        <w:spacing w:after="120"/>
      </w:pPr>
      <w:bookmarkStart w:id="2" w:name="_Hlk69734469"/>
      <w:r w:rsidRPr="60969D91">
        <w:t>A streamlined</w:t>
      </w:r>
      <w:r w:rsidR="00772829" w:rsidRPr="60969D91">
        <w:t xml:space="preserve"> codependent application requested:</w:t>
      </w:r>
    </w:p>
    <w:p w14:paraId="22459681" w14:textId="63492921" w:rsidR="002158F1" w:rsidRPr="009539C3" w:rsidRDefault="002158F1" w:rsidP="005B521F">
      <w:pPr>
        <w:pStyle w:val="ListParagraph"/>
        <w:numPr>
          <w:ilvl w:val="0"/>
          <w:numId w:val="7"/>
        </w:numPr>
        <w:spacing w:after="240" w:line="240" w:lineRule="auto"/>
      </w:pPr>
      <w:r w:rsidRPr="60969D91">
        <w:t>A</w:t>
      </w:r>
      <w:r w:rsidR="00CE4902" w:rsidRPr="60969D91">
        <w:t xml:space="preserve"> minor</w:t>
      </w:r>
      <w:r w:rsidR="00E516FA" w:rsidRPr="60969D91">
        <w:t xml:space="preserve"> amendment to a</w:t>
      </w:r>
      <w:r w:rsidRPr="60969D91">
        <w:t xml:space="preserve"> </w:t>
      </w:r>
      <w:r w:rsidR="00D52CBE" w:rsidRPr="60969D91">
        <w:t>Medicare Benefits Schedule (</w:t>
      </w:r>
      <w:r w:rsidRPr="60969D91">
        <w:t>MBS</w:t>
      </w:r>
      <w:r w:rsidR="00D52CBE" w:rsidRPr="60969D91">
        <w:t>)</w:t>
      </w:r>
      <w:r w:rsidRPr="60969D91">
        <w:t xml:space="preserve"> item for </w:t>
      </w:r>
      <w:r w:rsidR="00D52CBE" w:rsidRPr="60969D91">
        <w:t>human epidermal growth factor receptor 2 (</w:t>
      </w:r>
      <w:r w:rsidRPr="005B465F">
        <w:rPr>
          <w:i/>
          <w:iCs/>
        </w:rPr>
        <w:t>HER2</w:t>
      </w:r>
      <w:r w:rsidR="00D52CBE" w:rsidRPr="60969D91">
        <w:t>)</w:t>
      </w:r>
      <w:r w:rsidRPr="60969D91">
        <w:t xml:space="preserve"> testing to determine </w:t>
      </w:r>
      <w:r w:rsidR="008A4232" w:rsidRPr="60969D91">
        <w:t xml:space="preserve">eligibility for access to </w:t>
      </w:r>
      <w:r w:rsidR="00D52CBE" w:rsidRPr="60969D91">
        <w:t>Pharmaceutical Benefits Schedule (</w:t>
      </w:r>
      <w:r w:rsidR="008A4232" w:rsidRPr="60969D91">
        <w:t>PBS</w:t>
      </w:r>
      <w:r w:rsidR="00D52CBE" w:rsidRPr="60969D91">
        <w:t>)</w:t>
      </w:r>
      <w:r w:rsidR="008A4232" w:rsidRPr="60969D91">
        <w:t>-subsidised trastuzumab-</w:t>
      </w:r>
      <w:proofErr w:type="spellStart"/>
      <w:r w:rsidR="008A4232" w:rsidRPr="60969D91">
        <w:t>deruxtecan</w:t>
      </w:r>
      <w:proofErr w:type="spellEnd"/>
      <w:r w:rsidR="008A4232" w:rsidRPr="60969D91">
        <w:t xml:space="preserve"> </w:t>
      </w:r>
      <w:r w:rsidR="009F46D1" w:rsidRPr="60969D91">
        <w:t>(T-</w:t>
      </w:r>
      <w:proofErr w:type="spellStart"/>
      <w:r w:rsidR="009F46D1" w:rsidRPr="60969D91">
        <w:t>DXd</w:t>
      </w:r>
      <w:proofErr w:type="spellEnd"/>
      <w:r w:rsidR="00F54583" w:rsidRPr="60969D91">
        <w:t xml:space="preserve">, </w:t>
      </w:r>
      <w:proofErr w:type="spellStart"/>
      <w:r w:rsidR="00F54583" w:rsidRPr="60969D91">
        <w:t>Enhertu</w:t>
      </w:r>
      <w:proofErr w:type="spellEnd"/>
      <w:r w:rsidR="003F2EAF" w:rsidRPr="00A25DB5">
        <w:rPr>
          <w:vertAlign w:val="superscript"/>
        </w:rPr>
        <w:t>®</w:t>
      </w:r>
      <w:r w:rsidR="009F46D1" w:rsidRPr="60969D91">
        <w:t xml:space="preserve">) </w:t>
      </w:r>
      <w:r w:rsidR="008A4232" w:rsidRPr="60969D91">
        <w:t xml:space="preserve">in patients with stage IV/metastatic HER2 positive gastric/gastroesophageal junction </w:t>
      </w:r>
      <w:r w:rsidR="0098297D" w:rsidRPr="60969D91">
        <w:t xml:space="preserve">adenocarcinoma </w:t>
      </w:r>
      <w:r w:rsidR="00677C70" w:rsidRPr="60969D91">
        <w:t>(G/GOJ)</w:t>
      </w:r>
    </w:p>
    <w:p w14:paraId="4C580CE8" w14:textId="14D5B271" w:rsidR="00DA6243" w:rsidRPr="009539C3" w:rsidRDefault="00A20DD2" w:rsidP="005B521F">
      <w:pPr>
        <w:pStyle w:val="ListParagraph"/>
        <w:numPr>
          <w:ilvl w:val="0"/>
          <w:numId w:val="7"/>
        </w:numPr>
        <w:spacing w:after="240" w:line="240" w:lineRule="auto"/>
      </w:pPr>
      <w:r w:rsidRPr="60969D91">
        <w:t xml:space="preserve">A PBS </w:t>
      </w:r>
      <w:r w:rsidR="00DA6243" w:rsidRPr="60969D91">
        <w:t>listing</w:t>
      </w:r>
      <w:r w:rsidRPr="60969D91">
        <w:t xml:space="preserve"> for </w:t>
      </w:r>
      <w:r w:rsidR="00DA6243" w:rsidRPr="60969D91">
        <w:t>trastuzumab-</w:t>
      </w:r>
      <w:proofErr w:type="spellStart"/>
      <w:r w:rsidR="00DA6243" w:rsidRPr="60969D91">
        <w:t>deruxtecan</w:t>
      </w:r>
      <w:proofErr w:type="spellEnd"/>
      <w:r w:rsidR="00DA6243" w:rsidRPr="60969D91">
        <w:t xml:space="preserve"> </w:t>
      </w:r>
      <w:r w:rsidR="00C63A72" w:rsidRPr="60969D91">
        <w:t>(T-</w:t>
      </w:r>
      <w:proofErr w:type="spellStart"/>
      <w:r w:rsidR="00C63A72" w:rsidRPr="60969D91">
        <w:t>DXd</w:t>
      </w:r>
      <w:proofErr w:type="spellEnd"/>
      <w:r w:rsidR="00C63A72" w:rsidRPr="60969D91">
        <w:t xml:space="preserve">, </w:t>
      </w:r>
      <w:proofErr w:type="spellStart"/>
      <w:r w:rsidR="00C63A72" w:rsidRPr="60969D91">
        <w:t>Enhertu</w:t>
      </w:r>
      <w:proofErr w:type="spellEnd"/>
      <w:r w:rsidR="00C63A72" w:rsidRPr="60969D91">
        <w:rPr>
          <w:vertAlign w:val="superscript"/>
        </w:rPr>
        <w:t>®</w:t>
      </w:r>
      <w:r w:rsidR="00C63A72" w:rsidRPr="60969D91">
        <w:t xml:space="preserve">) </w:t>
      </w:r>
      <w:r w:rsidR="00DA6243" w:rsidRPr="60969D91">
        <w:t xml:space="preserve">in patients with stage IV/metastatic HER2 positive gastric/gastroesophageal junction </w:t>
      </w:r>
      <w:r w:rsidR="0098297D" w:rsidRPr="60969D91">
        <w:t>adenocarcinoma</w:t>
      </w:r>
      <w:r w:rsidR="00DA6243" w:rsidRPr="60969D91">
        <w:t xml:space="preserve"> </w:t>
      </w:r>
      <w:r w:rsidR="00170410" w:rsidRPr="60969D91">
        <w:t xml:space="preserve">at second line </w:t>
      </w:r>
      <w:r w:rsidR="00776C03" w:rsidRPr="60969D91">
        <w:t xml:space="preserve">(2L) </w:t>
      </w:r>
      <w:r w:rsidR="00170410" w:rsidRPr="60969D91">
        <w:t>or later.</w:t>
      </w:r>
    </w:p>
    <w:p w14:paraId="18939706" w14:textId="77777777" w:rsidR="005B521F" w:rsidRDefault="00DA6243" w:rsidP="00DA6243">
      <w:pPr>
        <w:spacing w:after="240" w:line="240" w:lineRule="auto"/>
        <w:rPr>
          <w:i/>
          <w:szCs w:val="24"/>
        </w:rPr>
      </w:pPr>
      <w:r w:rsidRPr="009539C3">
        <w:rPr>
          <w:i/>
          <w:szCs w:val="24"/>
        </w:rPr>
        <w:t xml:space="preserve">The Executive Summary refers </w:t>
      </w:r>
      <w:r w:rsidR="00E7796D" w:rsidRPr="009539C3">
        <w:rPr>
          <w:i/>
          <w:szCs w:val="24"/>
        </w:rPr>
        <w:t>to the ‘</w:t>
      </w:r>
      <w:r w:rsidR="00B8712E" w:rsidRPr="009539C3">
        <w:rPr>
          <w:i/>
          <w:szCs w:val="24"/>
        </w:rPr>
        <w:t>Streamlined MSAC</w:t>
      </w:r>
      <w:r w:rsidR="00E7796D" w:rsidRPr="009539C3">
        <w:rPr>
          <w:i/>
          <w:szCs w:val="24"/>
        </w:rPr>
        <w:t xml:space="preserve"> submission’ where relevant information was sourced from the submission to the </w:t>
      </w:r>
      <w:r w:rsidR="00B8712E" w:rsidRPr="009539C3">
        <w:rPr>
          <w:i/>
          <w:szCs w:val="24"/>
        </w:rPr>
        <w:t>Medical Services</w:t>
      </w:r>
      <w:r w:rsidR="00E7796D" w:rsidRPr="009539C3">
        <w:rPr>
          <w:i/>
          <w:szCs w:val="24"/>
        </w:rPr>
        <w:t xml:space="preserve"> Advisory Committee (</w:t>
      </w:r>
      <w:r w:rsidR="00B8712E" w:rsidRPr="009539C3">
        <w:rPr>
          <w:i/>
          <w:szCs w:val="24"/>
        </w:rPr>
        <w:t>MS</w:t>
      </w:r>
      <w:r w:rsidR="00E7796D" w:rsidRPr="009539C3">
        <w:rPr>
          <w:i/>
          <w:szCs w:val="24"/>
        </w:rPr>
        <w:t>AC).</w:t>
      </w:r>
    </w:p>
    <w:p w14:paraId="71157A46" w14:textId="77777777" w:rsidR="005B521F" w:rsidRPr="00D155C0" w:rsidRDefault="005B521F" w:rsidP="00506B70">
      <w:pPr>
        <w:pStyle w:val="Heading2"/>
        <w:keepNext w:val="0"/>
        <w:keepLines w:val="0"/>
        <w:numPr>
          <w:ilvl w:val="0"/>
          <w:numId w:val="12"/>
        </w:numPr>
        <w:ind w:hanging="720"/>
      </w:pPr>
      <w:bookmarkStart w:id="3" w:name="_Hlk193982496"/>
      <w:r w:rsidRPr="00D155C0">
        <w:t>MSAC’s advice to the Minister</w:t>
      </w:r>
    </w:p>
    <w:p w14:paraId="16C632A8" w14:textId="415E3FA3" w:rsidR="005B521F" w:rsidRPr="00506B70" w:rsidRDefault="005B521F" w:rsidP="00506B70">
      <w:pPr>
        <w:pStyle w:val="TableFooter"/>
        <w:rPr>
          <w:rFonts w:ascii="Franklin Gothic Book" w:eastAsia="Franklin Gothic Book" w:hAnsi="Franklin Gothic Book"/>
          <w:sz w:val="22"/>
          <w:szCs w:val="22"/>
        </w:rPr>
      </w:pPr>
      <w:r w:rsidRPr="00333EDF">
        <w:rPr>
          <w:rFonts w:ascii="Franklin Gothic Book" w:hAnsi="Franklin Gothic Book"/>
          <w:sz w:val="22"/>
          <w:szCs w:val="22"/>
        </w:rPr>
        <w:t xml:space="preserve">After considering the strength of the available evidence in relation to comparative safety, clinical effectiveness, cost-effectiveness and total cost, </w:t>
      </w:r>
      <w:r w:rsidRPr="00333EDF">
        <w:rPr>
          <w:rFonts w:ascii="Franklin Gothic Book" w:eastAsia="Franklin Gothic Book" w:hAnsi="Franklin Gothic Book"/>
          <w:sz w:val="22"/>
          <w:szCs w:val="22"/>
        </w:rPr>
        <w:t>MSAC</w:t>
      </w:r>
      <w:r w:rsidR="00F60F00">
        <w:rPr>
          <w:rFonts w:ascii="Franklin Gothic Book" w:eastAsia="Franklin Gothic Book" w:hAnsi="Franklin Gothic Book"/>
          <w:sz w:val="22"/>
          <w:szCs w:val="22"/>
        </w:rPr>
        <w:t xml:space="preserve"> </w:t>
      </w:r>
      <w:r w:rsidR="00DD0B90" w:rsidRPr="3861A045">
        <w:rPr>
          <w:rFonts w:ascii="Franklin Gothic Book" w:hAnsi="Franklin Gothic Book" w:cstheme="minorBidi"/>
          <w:sz w:val="22"/>
          <w:szCs w:val="22"/>
        </w:rPr>
        <w:t xml:space="preserve">supported amendment of the existing </w:t>
      </w:r>
      <w:r w:rsidR="00DD0B90" w:rsidRPr="3861A045">
        <w:rPr>
          <w:rFonts w:ascii="Franklin Gothic Book" w:hAnsi="Franklin Gothic Book"/>
          <w:sz w:val="22"/>
          <w:szCs w:val="22"/>
        </w:rPr>
        <w:t>Medicare Benefits Schedule (MBS) item</w:t>
      </w:r>
      <w:r w:rsidR="00DD0B90" w:rsidRPr="3861A045">
        <w:rPr>
          <w:rFonts w:ascii="Franklin Gothic Book" w:hAnsi="Franklin Gothic Book" w:cstheme="minorBidi"/>
          <w:sz w:val="22"/>
          <w:szCs w:val="22"/>
        </w:rPr>
        <w:t xml:space="preserve"> 73342 for human epidermal growth factor receptor 2 (</w:t>
      </w:r>
      <w:r w:rsidR="00DD0B90" w:rsidRPr="005B465F">
        <w:rPr>
          <w:rFonts w:ascii="Franklin Gothic Book" w:hAnsi="Franklin Gothic Book" w:cstheme="minorBidi"/>
          <w:i/>
          <w:iCs/>
          <w:sz w:val="22"/>
          <w:szCs w:val="22"/>
        </w:rPr>
        <w:t>HER2</w:t>
      </w:r>
      <w:r w:rsidR="00DD0B90" w:rsidRPr="3861A045">
        <w:rPr>
          <w:rFonts w:ascii="Franklin Gothic Book" w:hAnsi="Franklin Gothic Book" w:cstheme="minorBidi"/>
          <w:sz w:val="22"/>
          <w:szCs w:val="22"/>
        </w:rPr>
        <w:t xml:space="preserve">) </w:t>
      </w:r>
      <w:r w:rsidR="00DD0B90" w:rsidRPr="001B4D3E">
        <w:rPr>
          <w:rFonts w:ascii="Franklin Gothic Book" w:hAnsi="Franklin Gothic Book" w:cstheme="minorBidi"/>
          <w:sz w:val="22"/>
          <w:szCs w:val="22"/>
        </w:rPr>
        <w:t>in situ</w:t>
      </w:r>
      <w:r w:rsidR="00DD0B90" w:rsidRPr="3861A045">
        <w:rPr>
          <w:rFonts w:ascii="Franklin Gothic Book" w:hAnsi="Franklin Gothic Book" w:cstheme="minorBidi"/>
          <w:sz w:val="22"/>
          <w:szCs w:val="22"/>
        </w:rPr>
        <w:t xml:space="preserve"> hybridisation (ISH) testing to determine eligibility for access to </w:t>
      </w:r>
      <w:r w:rsidR="00DD0B90" w:rsidRPr="3861A045">
        <w:rPr>
          <w:rFonts w:ascii="Franklin Gothic Book" w:eastAsia="Arial" w:hAnsi="Franklin Gothic Book" w:cs="Calibri"/>
          <w:sz w:val="22"/>
          <w:szCs w:val="22"/>
        </w:rPr>
        <w:t>Pharmaceutical Benefits Scheme (</w:t>
      </w:r>
      <w:r w:rsidR="00DD0B90" w:rsidRPr="3861A045">
        <w:rPr>
          <w:rFonts w:ascii="Franklin Gothic Book" w:hAnsi="Franklin Gothic Book" w:cstheme="minorBidi"/>
          <w:sz w:val="22"/>
          <w:szCs w:val="22"/>
        </w:rPr>
        <w:t>PBS)-subsidised trastuzumab-</w:t>
      </w:r>
      <w:proofErr w:type="spellStart"/>
      <w:r w:rsidR="00DD0B90" w:rsidRPr="3861A045">
        <w:rPr>
          <w:rFonts w:ascii="Franklin Gothic Book" w:hAnsi="Franklin Gothic Book" w:cstheme="minorBidi"/>
          <w:sz w:val="22"/>
          <w:szCs w:val="22"/>
        </w:rPr>
        <w:t>deruxtecan</w:t>
      </w:r>
      <w:proofErr w:type="spellEnd"/>
      <w:r w:rsidR="00DD0B90" w:rsidRPr="3861A045">
        <w:rPr>
          <w:rFonts w:ascii="Franklin Gothic Book" w:hAnsi="Franklin Gothic Book" w:cstheme="minorBidi"/>
          <w:sz w:val="22"/>
          <w:szCs w:val="22"/>
        </w:rPr>
        <w:t xml:space="preserve"> (T-</w:t>
      </w:r>
      <w:proofErr w:type="spellStart"/>
      <w:r w:rsidR="00DD0B90" w:rsidRPr="3861A045">
        <w:rPr>
          <w:rFonts w:ascii="Franklin Gothic Book" w:hAnsi="Franklin Gothic Book" w:cstheme="minorBidi"/>
          <w:sz w:val="22"/>
          <w:szCs w:val="22"/>
        </w:rPr>
        <w:t>DXd</w:t>
      </w:r>
      <w:proofErr w:type="spellEnd"/>
      <w:r w:rsidR="00DD0B90" w:rsidRPr="3861A045">
        <w:rPr>
          <w:rFonts w:ascii="Franklin Gothic Book" w:hAnsi="Franklin Gothic Book" w:cstheme="minorBidi"/>
          <w:sz w:val="22"/>
          <w:szCs w:val="22"/>
        </w:rPr>
        <w:t xml:space="preserve">, </w:t>
      </w:r>
      <w:proofErr w:type="spellStart"/>
      <w:r w:rsidR="00DD0B90" w:rsidRPr="3861A045">
        <w:rPr>
          <w:rFonts w:ascii="Franklin Gothic Book" w:hAnsi="Franklin Gothic Book" w:cstheme="minorBidi"/>
          <w:sz w:val="22"/>
          <w:szCs w:val="22"/>
        </w:rPr>
        <w:t>Enhertu</w:t>
      </w:r>
      <w:proofErr w:type="spellEnd"/>
      <w:r w:rsidR="00DD0B90" w:rsidRPr="3861A045">
        <w:rPr>
          <w:rFonts w:ascii="Franklin Gothic Book" w:hAnsi="Franklin Gothic Book" w:cstheme="minorBidi"/>
          <w:sz w:val="22"/>
          <w:szCs w:val="22"/>
          <w:vertAlign w:val="superscript"/>
        </w:rPr>
        <w:t>®</w:t>
      </w:r>
      <w:r w:rsidR="00DD0B90" w:rsidRPr="3861A045">
        <w:rPr>
          <w:rFonts w:ascii="Franklin Gothic Book" w:hAnsi="Franklin Gothic Book" w:cstheme="minorBidi"/>
          <w:sz w:val="22"/>
          <w:szCs w:val="22"/>
        </w:rPr>
        <w:t>) in patients with stage IV/metastatic HER2 positive gastric/gastroesophageal junction (G/GOJ) adenocarcinoma, if Pharmaceutical Benefits Advisory Committee (PBAC) recommend PBS-listing of T-</w:t>
      </w:r>
      <w:proofErr w:type="spellStart"/>
      <w:r w:rsidR="00DD0B90" w:rsidRPr="3861A045">
        <w:rPr>
          <w:rFonts w:ascii="Franklin Gothic Book" w:hAnsi="Franklin Gothic Book" w:cstheme="minorBidi"/>
          <w:sz w:val="22"/>
          <w:szCs w:val="22"/>
        </w:rPr>
        <w:t>DXd</w:t>
      </w:r>
      <w:proofErr w:type="spellEnd"/>
      <w:r w:rsidR="00DD0B90" w:rsidRPr="3861A045">
        <w:rPr>
          <w:rFonts w:ascii="Franklin Gothic Book" w:hAnsi="Franklin Gothic Book" w:cstheme="minorBidi"/>
          <w:sz w:val="22"/>
          <w:szCs w:val="22"/>
        </w:rPr>
        <w:t>. MSAC noted that the PBAC is scheduled to consider T-</w:t>
      </w:r>
      <w:proofErr w:type="spellStart"/>
      <w:r w:rsidR="00DD0B90" w:rsidRPr="3861A045">
        <w:rPr>
          <w:rFonts w:ascii="Franklin Gothic Book" w:hAnsi="Franklin Gothic Book" w:cstheme="minorBidi"/>
          <w:sz w:val="22"/>
          <w:szCs w:val="22"/>
        </w:rPr>
        <w:t>Dxd</w:t>
      </w:r>
      <w:proofErr w:type="spellEnd"/>
      <w:r w:rsidR="00DD0B90" w:rsidRPr="3861A045">
        <w:rPr>
          <w:rFonts w:ascii="Franklin Gothic Book" w:hAnsi="Franklin Gothic Book" w:cstheme="minorBidi"/>
          <w:sz w:val="22"/>
          <w:szCs w:val="22"/>
        </w:rPr>
        <w:t xml:space="preserve"> </w:t>
      </w:r>
      <w:r w:rsidR="00DD0B90" w:rsidRPr="3861A045">
        <w:rPr>
          <w:rFonts w:ascii="Franklin Gothic Book" w:eastAsia="Arial" w:hAnsi="Franklin Gothic Book" w:cs="Calibri"/>
          <w:sz w:val="22"/>
          <w:szCs w:val="22"/>
        </w:rPr>
        <w:t>at its May 2025 meeting.</w:t>
      </w:r>
      <w:r w:rsidR="00DD0B90" w:rsidRPr="3861A045">
        <w:rPr>
          <w:rFonts w:ascii="Franklin Gothic Book" w:hAnsi="Franklin Gothic Book" w:cstheme="minorBidi"/>
          <w:sz w:val="22"/>
          <w:szCs w:val="22"/>
        </w:rPr>
        <w:t xml:space="preserve"> MSAC considered this test would identify patients more likely to benefit from treatment with T-</w:t>
      </w:r>
      <w:proofErr w:type="spellStart"/>
      <w:r w:rsidR="00DD0B90" w:rsidRPr="3861A045">
        <w:rPr>
          <w:rFonts w:ascii="Franklin Gothic Book" w:hAnsi="Franklin Gothic Book" w:cstheme="minorBidi"/>
          <w:sz w:val="22"/>
          <w:szCs w:val="22"/>
        </w:rPr>
        <w:t>Dxd</w:t>
      </w:r>
      <w:proofErr w:type="spellEnd"/>
      <w:r w:rsidR="00DD0B90" w:rsidRPr="3861A045">
        <w:rPr>
          <w:rFonts w:ascii="Franklin Gothic Book" w:hAnsi="Franklin Gothic Book" w:cstheme="minorBidi"/>
          <w:sz w:val="22"/>
          <w:szCs w:val="22"/>
        </w:rPr>
        <w:t>. MSAC supported the amendment of the MBS item from “</w:t>
      </w:r>
      <w:r w:rsidR="5D53B99E" w:rsidRPr="64D7D92C">
        <w:rPr>
          <w:rFonts w:ascii="Franklin Gothic Book" w:hAnsi="Franklin Gothic Book" w:cstheme="minorBidi"/>
          <w:sz w:val="22"/>
          <w:szCs w:val="22"/>
        </w:rPr>
        <w:t>access to trastuzumab under the Pharmaceutical Benefits Scheme</w:t>
      </w:r>
      <w:r w:rsidR="00DD0B90" w:rsidRPr="3861A045">
        <w:rPr>
          <w:rFonts w:ascii="Franklin Gothic Book" w:hAnsi="Franklin Gothic Book" w:cstheme="minorBidi"/>
          <w:sz w:val="22"/>
          <w:szCs w:val="22"/>
        </w:rPr>
        <w:t xml:space="preserve">" to “eligibility for a relevant treatment under the </w:t>
      </w:r>
      <w:r w:rsidR="00DD0B90" w:rsidRPr="3861A045">
        <w:rPr>
          <w:rFonts w:ascii="Franklin Gothic Book" w:eastAsia="Arial" w:hAnsi="Franklin Gothic Book" w:cs="Calibri"/>
          <w:sz w:val="22"/>
          <w:szCs w:val="22"/>
        </w:rPr>
        <w:t>Pharmaceutical Benefits Scheme</w:t>
      </w:r>
      <w:r w:rsidR="00DD0B90" w:rsidRPr="3861A045">
        <w:rPr>
          <w:rFonts w:ascii="Franklin Gothic Book" w:hAnsi="Franklin Gothic Book" w:cstheme="minorBidi"/>
          <w:sz w:val="22"/>
          <w:szCs w:val="22"/>
        </w:rPr>
        <w:t xml:space="preserve">” to future-proof the item. </w:t>
      </w:r>
      <w:r w:rsidR="00DD0B90">
        <w:rPr>
          <w:rFonts w:ascii="Franklin Gothic Book" w:hAnsi="Franklin Gothic Book" w:cstheme="minorBidi"/>
          <w:sz w:val="22"/>
          <w:szCs w:val="22"/>
        </w:rPr>
        <w:t xml:space="preserve">MSAC supported retaining the current MBS fee of $315.40. </w:t>
      </w:r>
      <w:r w:rsidR="00DD0B90" w:rsidRPr="3861A045">
        <w:rPr>
          <w:rFonts w:ascii="Franklin Gothic Book" w:hAnsi="Franklin Gothic Book" w:cstheme="minorBidi"/>
          <w:sz w:val="22"/>
          <w:szCs w:val="22"/>
        </w:rPr>
        <w:t xml:space="preserve">MSAC advised that the financial implications to the MBS </w:t>
      </w:r>
      <w:proofErr w:type="gramStart"/>
      <w:r w:rsidR="00DD0B90" w:rsidRPr="3861A045">
        <w:rPr>
          <w:rFonts w:ascii="Franklin Gothic Book" w:hAnsi="Franklin Gothic Book" w:cstheme="minorBidi"/>
          <w:sz w:val="22"/>
          <w:szCs w:val="22"/>
        </w:rPr>
        <w:t>as a result of</w:t>
      </w:r>
      <w:proofErr w:type="gramEnd"/>
      <w:r w:rsidR="00DD0B90" w:rsidRPr="3861A045">
        <w:rPr>
          <w:rFonts w:ascii="Franklin Gothic Book" w:hAnsi="Franklin Gothic Book" w:cstheme="minorBidi"/>
          <w:sz w:val="22"/>
          <w:szCs w:val="22"/>
        </w:rPr>
        <w:t xml:space="preserve"> amending MBS item 73342 were likely low and reasonable.</w:t>
      </w:r>
    </w:p>
    <w:p w14:paraId="511F53F5" w14:textId="36BF3993" w:rsidR="00833ED6" w:rsidRDefault="00833ED6" w:rsidP="00833ED6">
      <w:pPr>
        <w:pStyle w:val="Caption"/>
      </w:pPr>
      <w:bookmarkStart w:id="4" w:name="_Ref195552253"/>
      <w:r>
        <w:lastRenderedPageBreak/>
        <w:t xml:space="preserve">Table </w:t>
      </w:r>
      <w:r w:rsidR="00823BA6">
        <w:fldChar w:fldCharType="begin"/>
      </w:r>
      <w:r w:rsidR="00823BA6">
        <w:instrText xml:space="preserve"> SEQ Table \* ARABIC </w:instrText>
      </w:r>
      <w:r w:rsidR="00823BA6">
        <w:fldChar w:fldCharType="separate"/>
      </w:r>
      <w:r w:rsidR="002A5558">
        <w:rPr>
          <w:noProof/>
        </w:rPr>
        <w:t>1</w:t>
      </w:r>
      <w:r w:rsidR="00823BA6">
        <w:rPr>
          <w:noProof/>
        </w:rPr>
        <w:fldChar w:fldCharType="end"/>
      </w:r>
      <w:bookmarkEnd w:id="4"/>
      <w:r>
        <w:t xml:space="preserve"> </w:t>
      </w:r>
      <w:r w:rsidRPr="00833ED6">
        <w:t xml:space="preserve">MSAC’s supported </w:t>
      </w:r>
      <w:r w:rsidR="00AA0065">
        <w:t xml:space="preserve">amendment </w:t>
      </w:r>
      <w:r w:rsidR="006C0D6A">
        <w:t xml:space="preserve">of </w:t>
      </w:r>
      <w:r w:rsidRPr="00833ED6">
        <w:t>MBS item</w:t>
      </w:r>
      <w:r w:rsidR="006C0D6A">
        <w:t xml:space="preserve"> 73342</w:t>
      </w:r>
    </w:p>
    <w:tbl>
      <w:tblPr>
        <w:tblStyle w:val="TableGrid2"/>
        <w:tblW w:w="8926" w:type="dxa"/>
        <w:tblLook w:val="04A0" w:firstRow="1" w:lastRow="0" w:firstColumn="1" w:lastColumn="0" w:noHBand="0" w:noVBand="1"/>
      </w:tblPr>
      <w:tblGrid>
        <w:gridCol w:w="8926"/>
      </w:tblGrid>
      <w:tr w:rsidR="00A53267" w:rsidRPr="00407AA9" w:rsidDel="001420AC" w14:paraId="4507B51F" w14:textId="77777777" w:rsidTr="00DD0B90">
        <w:trPr>
          <w:trHeight w:val="350"/>
        </w:trPr>
        <w:tc>
          <w:tcPr>
            <w:tcW w:w="8926" w:type="dxa"/>
            <w:vAlign w:val="center"/>
          </w:tcPr>
          <w:p w14:paraId="5407D1F8" w14:textId="77777777" w:rsidR="00A53267" w:rsidRDefault="00A53267" w:rsidP="00F035BC">
            <w:pPr>
              <w:pStyle w:val="TableText"/>
              <w:keepNext/>
              <w:keepLines/>
              <w:ind w:left="22"/>
              <w:jc w:val="right"/>
              <w:rPr>
                <w:bCs/>
              </w:rPr>
            </w:pPr>
            <w:r w:rsidRPr="00A53267" w:rsidDel="001420AC">
              <w:rPr>
                <w:bCs/>
              </w:rPr>
              <w:t xml:space="preserve">Category </w:t>
            </w:r>
            <w:r w:rsidRPr="00A53267">
              <w:rPr>
                <w:bCs/>
              </w:rPr>
              <w:t>6 - Pathology Services</w:t>
            </w:r>
          </w:p>
          <w:p w14:paraId="60A56B06" w14:textId="33EAF97B" w:rsidR="001A507C" w:rsidRPr="00A53267" w:rsidDel="001420AC" w:rsidRDefault="001A507C" w:rsidP="00F035BC">
            <w:pPr>
              <w:pStyle w:val="TableText"/>
              <w:keepNext/>
              <w:keepLines/>
              <w:ind w:left="22"/>
              <w:jc w:val="right"/>
              <w:rPr>
                <w:bCs/>
              </w:rPr>
            </w:pPr>
            <w:r w:rsidRPr="00A53267" w:rsidDel="001420AC">
              <w:rPr>
                <w:bCs/>
              </w:rPr>
              <w:t xml:space="preserve">Group </w:t>
            </w:r>
            <w:r w:rsidRPr="00A53267">
              <w:rPr>
                <w:bCs/>
              </w:rPr>
              <w:t>P7</w:t>
            </w:r>
            <w:r w:rsidR="00EE3550">
              <w:rPr>
                <w:bCs/>
              </w:rPr>
              <w:t>-</w:t>
            </w:r>
            <w:r w:rsidRPr="00A53267">
              <w:rPr>
                <w:bCs/>
              </w:rPr>
              <w:t xml:space="preserve"> Genetics</w:t>
            </w:r>
          </w:p>
        </w:tc>
      </w:tr>
      <w:tr w:rsidR="00A53267" w:rsidRPr="00407AA9" w:rsidDel="001420AC" w14:paraId="0B0052B6" w14:textId="77777777" w:rsidTr="00DD0B90">
        <w:trPr>
          <w:trHeight w:val="239"/>
        </w:trPr>
        <w:tc>
          <w:tcPr>
            <w:tcW w:w="8926" w:type="dxa"/>
            <w:vAlign w:val="center"/>
          </w:tcPr>
          <w:p w14:paraId="3D9EAA84" w14:textId="77777777" w:rsidR="00A53267" w:rsidRPr="00A53267" w:rsidDel="001420AC" w:rsidRDefault="00A53267" w:rsidP="00A53267">
            <w:pPr>
              <w:keepNext/>
              <w:keepLines/>
              <w:spacing w:after="120"/>
              <w:ind w:left="22"/>
              <w:rPr>
                <w:rFonts w:ascii="Arial Narrow" w:hAnsi="Arial Narrow"/>
              </w:rPr>
            </w:pPr>
            <w:r w:rsidRPr="00A53267" w:rsidDel="001420AC">
              <w:rPr>
                <w:rFonts w:ascii="Arial Narrow" w:hAnsi="Arial Narrow"/>
              </w:rPr>
              <w:t xml:space="preserve">MBS item </w:t>
            </w:r>
            <w:r w:rsidRPr="00A53267">
              <w:rPr>
                <w:rFonts w:ascii="Arial Narrow" w:hAnsi="Arial Narrow"/>
              </w:rPr>
              <w:t>73342</w:t>
            </w:r>
          </w:p>
        </w:tc>
      </w:tr>
      <w:tr w:rsidR="00A53267" w:rsidRPr="00407AA9" w14:paraId="0DED93DB" w14:textId="77777777" w:rsidTr="00F035BC">
        <w:trPr>
          <w:trHeight w:val="1462"/>
        </w:trPr>
        <w:tc>
          <w:tcPr>
            <w:tcW w:w="8926" w:type="dxa"/>
          </w:tcPr>
          <w:p w14:paraId="2671D1E8" w14:textId="77777777" w:rsidR="00A53267" w:rsidRPr="00A53267" w:rsidRDefault="00A53267" w:rsidP="00A53267">
            <w:pPr>
              <w:pStyle w:val="PBACTabletext"/>
              <w:spacing w:line="276" w:lineRule="auto"/>
              <w:ind w:left="22"/>
              <w:rPr>
                <w:rFonts w:ascii="Arial Narrow" w:eastAsiaTheme="minorEastAsia" w:hAnsi="Arial Narrow" w:cstheme="minorBidi"/>
                <w:sz w:val="20"/>
                <w:szCs w:val="20"/>
                <w:lang w:val="en-US" w:eastAsia="en-US"/>
              </w:rPr>
            </w:pPr>
            <w:r w:rsidRPr="00A53267">
              <w:rPr>
                <w:rFonts w:ascii="Arial Narrow" w:eastAsiaTheme="minorEastAsia" w:hAnsi="Arial Narrow" w:cstheme="minorBidi"/>
                <w:sz w:val="20"/>
                <w:szCs w:val="20"/>
                <w:lang w:val="en-US" w:eastAsia="en-US"/>
              </w:rPr>
              <w:t xml:space="preserve">An </w:t>
            </w:r>
            <w:proofErr w:type="gramStart"/>
            <w:r w:rsidRPr="00A53267">
              <w:rPr>
                <w:rFonts w:ascii="Arial Narrow" w:eastAsiaTheme="minorEastAsia" w:hAnsi="Arial Narrow" w:cstheme="minorBidi"/>
                <w:sz w:val="20"/>
                <w:szCs w:val="20"/>
                <w:lang w:val="en-US" w:eastAsia="en-US"/>
              </w:rPr>
              <w:t>in situ</w:t>
            </w:r>
            <w:proofErr w:type="gramEnd"/>
            <w:r w:rsidRPr="00A53267">
              <w:rPr>
                <w:rFonts w:ascii="Arial Narrow" w:eastAsiaTheme="minorEastAsia" w:hAnsi="Arial Narrow" w:cstheme="minorBidi"/>
                <w:sz w:val="20"/>
                <w:szCs w:val="20"/>
                <w:lang w:val="en-US" w:eastAsia="en-US"/>
              </w:rPr>
              <w:t xml:space="preserve"> </w:t>
            </w:r>
            <w:proofErr w:type="spellStart"/>
            <w:r w:rsidRPr="00A53267">
              <w:rPr>
                <w:rFonts w:ascii="Arial Narrow" w:eastAsiaTheme="minorEastAsia" w:hAnsi="Arial Narrow" w:cstheme="minorBidi"/>
                <w:sz w:val="20"/>
                <w:szCs w:val="20"/>
                <w:lang w:val="en-US" w:eastAsia="en-US"/>
              </w:rPr>
              <w:t>hybridisation</w:t>
            </w:r>
            <w:proofErr w:type="spellEnd"/>
            <w:r w:rsidRPr="00A53267">
              <w:rPr>
                <w:rFonts w:ascii="Arial Narrow" w:eastAsiaTheme="minorEastAsia" w:hAnsi="Arial Narrow" w:cstheme="minorBidi"/>
                <w:sz w:val="20"/>
                <w:szCs w:val="20"/>
                <w:lang w:val="en-US" w:eastAsia="en-US"/>
              </w:rPr>
              <w:t xml:space="preserve"> (ISH) test to determine </w:t>
            </w:r>
            <w:r w:rsidRPr="00792213">
              <w:rPr>
                <w:rFonts w:ascii="Arial Narrow" w:eastAsiaTheme="minorEastAsia" w:hAnsi="Arial Narrow" w:cstheme="minorBidi"/>
                <w:iCs/>
                <w:sz w:val="20"/>
                <w:szCs w:val="20"/>
                <w:lang w:val="en-US" w:eastAsia="en-US"/>
              </w:rPr>
              <w:t>human epidermal growth factor receptor 2</w:t>
            </w:r>
            <w:r w:rsidRPr="001B2434">
              <w:rPr>
                <w:rFonts w:ascii="Arial Narrow" w:eastAsiaTheme="minorEastAsia" w:hAnsi="Arial Narrow" w:cstheme="minorBidi"/>
                <w:iCs/>
                <w:sz w:val="20"/>
                <w:szCs w:val="20"/>
                <w:lang w:val="en-US" w:eastAsia="en-US"/>
              </w:rPr>
              <w:t xml:space="preserve"> </w:t>
            </w:r>
            <w:r w:rsidRPr="00A53267">
              <w:rPr>
                <w:rFonts w:ascii="Arial Narrow" w:eastAsiaTheme="minorEastAsia" w:hAnsi="Arial Narrow" w:cstheme="minorBidi"/>
                <w:sz w:val="20"/>
                <w:szCs w:val="20"/>
                <w:lang w:val="en-US" w:eastAsia="en-US"/>
              </w:rPr>
              <w:t>(</w:t>
            </w:r>
            <w:r w:rsidRPr="00A53267">
              <w:rPr>
                <w:rFonts w:ascii="Arial Narrow" w:eastAsiaTheme="minorEastAsia" w:hAnsi="Arial Narrow" w:cstheme="minorBidi"/>
                <w:i/>
                <w:sz w:val="20"/>
                <w:szCs w:val="20"/>
                <w:lang w:val="en-US" w:eastAsia="en-US"/>
              </w:rPr>
              <w:t>HER2</w:t>
            </w:r>
            <w:r w:rsidRPr="00D76C77">
              <w:rPr>
                <w:rFonts w:ascii="Arial Narrow" w:eastAsiaTheme="minorEastAsia" w:hAnsi="Arial Narrow" w:cstheme="minorBidi"/>
                <w:i/>
                <w:iCs/>
                <w:sz w:val="20"/>
                <w:szCs w:val="20"/>
                <w:lang w:val="en-US" w:eastAsia="en-US"/>
              </w:rPr>
              <w:t xml:space="preserve">) </w:t>
            </w:r>
            <w:r w:rsidRPr="00A53267">
              <w:rPr>
                <w:rFonts w:ascii="Arial Narrow" w:eastAsiaTheme="minorEastAsia" w:hAnsi="Arial Narrow" w:cstheme="minorBidi"/>
                <w:sz w:val="20"/>
                <w:szCs w:val="20"/>
                <w:lang w:val="en-US" w:eastAsia="en-US"/>
              </w:rPr>
              <w:t xml:space="preserve">gene amplification status of </w:t>
            </w:r>
            <w:proofErr w:type="spellStart"/>
            <w:r w:rsidRPr="00A53267">
              <w:rPr>
                <w:rFonts w:ascii="Arial Narrow" w:eastAsiaTheme="minorEastAsia" w:hAnsi="Arial Narrow" w:cstheme="minorBidi"/>
                <w:sz w:val="20"/>
                <w:szCs w:val="20"/>
                <w:lang w:val="en-US" w:eastAsia="en-US"/>
              </w:rPr>
              <w:t>tumour</w:t>
            </w:r>
            <w:proofErr w:type="spellEnd"/>
            <w:r w:rsidRPr="00A53267">
              <w:rPr>
                <w:rFonts w:ascii="Arial Narrow" w:eastAsiaTheme="minorEastAsia" w:hAnsi="Arial Narrow" w:cstheme="minorBidi"/>
                <w:sz w:val="20"/>
                <w:szCs w:val="20"/>
                <w:lang w:val="en-US" w:eastAsia="en-US"/>
              </w:rPr>
              <w:t xml:space="preserve"> tissue from a patient with metastatic adenocarcinoma of the stomach or gastro-</w:t>
            </w:r>
            <w:proofErr w:type="spellStart"/>
            <w:r w:rsidRPr="00A53267">
              <w:rPr>
                <w:rFonts w:ascii="Arial Narrow" w:eastAsiaTheme="minorEastAsia" w:hAnsi="Arial Narrow" w:cstheme="minorBidi"/>
                <w:sz w:val="20"/>
                <w:szCs w:val="20"/>
                <w:lang w:val="en-US" w:eastAsia="en-US"/>
              </w:rPr>
              <w:t>oesophageal</w:t>
            </w:r>
            <w:proofErr w:type="spellEnd"/>
            <w:r w:rsidRPr="00A53267">
              <w:rPr>
                <w:rFonts w:ascii="Arial Narrow" w:eastAsiaTheme="minorEastAsia" w:hAnsi="Arial Narrow" w:cstheme="minorBidi"/>
                <w:sz w:val="20"/>
                <w:szCs w:val="20"/>
                <w:lang w:val="en-US" w:eastAsia="en-US"/>
              </w:rPr>
              <w:t xml:space="preserve"> junction and documented evidence of HER2 overexpression by immunohistochemical (IHC) examination giving a staining intensity score of 2+ or 3+ on the same </w:t>
            </w:r>
            <w:proofErr w:type="spellStart"/>
            <w:r w:rsidRPr="00A53267">
              <w:rPr>
                <w:rFonts w:ascii="Arial Narrow" w:eastAsiaTheme="minorEastAsia" w:hAnsi="Arial Narrow" w:cstheme="minorBidi"/>
                <w:sz w:val="20"/>
                <w:szCs w:val="20"/>
                <w:lang w:val="en-US" w:eastAsia="en-US"/>
              </w:rPr>
              <w:t>tumour</w:t>
            </w:r>
            <w:proofErr w:type="spellEnd"/>
            <w:r w:rsidRPr="00A53267">
              <w:rPr>
                <w:rFonts w:ascii="Arial Narrow" w:eastAsiaTheme="minorEastAsia" w:hAnsi="Arial Narrow" w:cstheme="minorBidi"/>
                <w:sz w:val="20"/>
                <w:szCs w:val="20"/>
                <w:lang w:val="en-US" w:eastAsia="en-US"/>
              </w:rPr>
              <w:t xml:space="preserve"> tissue sample, if the test is:</w:t>
            </w:r>
          </w:p>
          <w:p w14:paraId="778E7730" w14:textId="77777777" w:rsidR="00A53267" w:rsidRPr="00A53267" w:rsidRDefault="00A53267" w:rsidP="00A53267">
            <w:pPr>
              <w:pStyle w:val="PBACTabletext"/>
              <w:spacing w:line="276" w:lineRule="auto"/>
              <w:ind w:left="447"/>
              <w:rPr>
                <w:rFonts w:ascii="Arial Narrow" w:eastAsiaTheme="minorHAnsi" w:hAnsi="Arial Narrow" w:cstheme="minorBidi"/>
                <w:bCs/>
                <w:sz w:val="20"/>
                <w:szCs w:val="20"/>
                <w:lang w:eastAsia="en-US"/>
              </w:rPr>
            </w:pPr>
          </w:p>
          <w:p w14:paraId="2F7F5856" w14:textId="77777777" w:rsidR="00A53267" w:rsidRPr="00A53267" w:rsidRDefault="00A53267" w:rsidP="00A53267">
            <w:pPr>
              <w:pStyle w:val="PBACTabletext"/>
              <w:widowControl w:val="0"/>
              <w:numPr>
                <w:ilvl w:val="0"/>
                <w:numId w:val="13"/>
              </w:numPr>
              <w:spacing w:line="276" w:lineRule="auto"/>
              <w:ind w:left="447"/>
              <w:rPr>
                <w:rFonts w:ascii="Arial Narrow" w:eastAsiaTheme="minorHAnsi" w:hAnsi="Arial Narrow" w:cstheme="minorBidi"/>
                <w:bCs/>
                <w:sz w:val="20"/>
                <w:szCs w:val="20"/>
                <w:lang w:eastAsia="en-US"/>
              </w:rPr>
            </w:pPr>
            <w:r w:rsidRPr="00A53267">
              <w:rPr>
                <w:rFonts w:ascii="Arial Narrow" w:eastAsiaTheme="minorHAnsi" w:hAnsi="Arial Narrow" w:cstheme="minorBidi"/>
                <w:bCs/>
                <w:sz w:val="20"/>
                <w:szCs w:val="20"/>
                <w:lang w:eastAsia="en-US"/>
              </w:rPr>
              <w:t xml:space="preserve">requested by, or on the advice of, a specialist or consultant physician who manages the treatment of the patient, </w:t>
            </w:r>
            <w:r w:rsidRPr="00A53267">
              <w:rPr>
                <w:rFonts w:ascii="Arial Narrow" w:eastAsiaTheme="minorHAnsi" w:hAnsi="Arial Narrow" w:cstheme="minorBidi"/>
                <w:sz w:val="20"/>
                <w:szCs w:val="20"/>
                <w:lang w:eastAsia="en-US"/>
              </w:rPr>
              <w:t>and</w:t>
            </w:r>
          </w:p>
          <w:p w14:paraId="5A969C36" w14:textId="77777777" w:rsidR="00AE77C8" w:rsidRDefault="00A53267" w:rsidP="00AE77C8">
            <w:pPr>
              <w:pStyle w:val="PBACTabletext"/>
              <w:widowControl w:val="0"/>
              <w:numPr>
                <w:ilvl w:val="0"/>
                <w:numId w:val="13"/>
              </w:numPr>
              <w:spacing w:after="120" w:line="276" w:lineRule="auto"/>
              <w:ind w:left="442" w:hanging="357"/>
              <w:rPr>
                <w:rFonts w:ascii="Arial Narrow" w:eastAsiaTheme="minorEastAsia" w:hAnsi="Arial Narrow" w:cstheme="minorBidi"/>
                <w:sz w:val="20"/>
                <w:szCs w:val="20"/>
                <w:lang w:val="en-US" w:eastAsia="en-US"/>
              </w:rPr>
            </w:pPr>
            <w:r w:rsidRPr="00A53267">
              <w:rPr>
                <w:rFonts w:ascii="Arial Narrow" w:eastAsiaTheme="minorEastAsia" w:hAnsi="Arial Narrow" w:cstheme="minorBidi"/>
                <w:sz w:val="20"/>
                <w:szCs w:val="20"/>
                <w:lang w:val="en-US" w:eastAsia="en-US"/>
              </w:rPr>
              <w:t>to determine</w:t>
            </w:r>
            <w:r w:rsidRPr="00A53267" w:rsidDel="00407AA9">
              <w:rPr>
                <w:rFonts w:ascii="Arial Narrow" w:eastAsiaTheme="minorEastAsia" w:hAnsi="Arial Narrow" w:cstheme="minorBidi"/>
                <w:sz w:val="20"/>
                <w:szCs w:val="20"/>
                <w:lang w:val="en-US" w:eastAsia="en-US"/>
              </w:rPr>
              <w:t xml:space="preserve"> </w:t>
            </w:r>
            <w:r w:rsidRPr="00A53267">
              <w:rPr>
                <w:rFonts w:ascii="Arial Narrow" w:eastAsiaTheme="minorEastAsia" w:hAnsi="Arial Narrow" w:cstheme="minorBidi"/>
                <w:sz w:val="20"/>
                <w:szCs w:val="20"/>
                <w:lang w:val="en-US" w:eastAsia="en-US"/>
              </w:rPr>
              <w:t>eligibility for a relevant treatment under the Pharmaceutical Benefits Scheme</w:t>
            </w:r>
            <w:r w:rsidR="00C612A6">
              <w:rPr>
                <w:rFonts w:ascii="Arial Narrow" w:eastAsiaTheme="minorEastAsia" w:hAnsi="Arial Narrow" w:cstheme="minorBidi"/>
                <w:sz w:val="20"/>
                <w:szCs w:val="20"/>
                <w:lang w:val="en-US" w:eastAsia="en-US"/>
              </w:rPr>
              <w:t xml:space="preserve"> (PBS)</w:t>
            </w:r>
            <w:r w:rsidRPr="00A53267">
              <w:rPr>
                <w:rFonts w:ascii="Arial Narrow" w:eastAsiaTheme="minorEastAsia" w:hAnsi="Arial Narrow" w:cstheme="minorBidi"/>
                <w:sz w:val="20"/>
                <w:szCs w:val="20"/>
                <w:lang w:val="en-US" w:eastAsia="en-US"/>
              </w:rPr>
              <w:t>.</w:t>
            </w:r>
          </w:p>
          <w:p w14:paraId="39E7D545" w14:textId="737CD99D" w:rsidR="00AE77C8" w:rsidRPr="00AE77C8" w:rsidRDefault="7C6F15A4" w:rsidP="00F035BC">
            <w:pPr>
              <w:pStyle w:val="PBACTabletext"/>
              <w:widowControl w:val="0"/>
              <w:spacing w:after="120" w:line="276" w:lineRule="auto"/>
              <w:ind w:left="0"/>
              <w:rPr>
                <w:rFonts w:ascii="Arial Narrow" w:eastAsiaTheme="minorEastAsia" w:hAnsi="Arial Narrow" w:cstheme="minorBidi"/>
                <w:sz w:val="20"/>
                <w:szCs w:val="20"/>
                <w:lang w:val="en-US" w:eastAsia="en-US"/>
              </w:rPr>
            </w:pPr>
            <w:r w:rsidRPr="64D7D92C">
              <w:rPr>
                <w:rFonts w:ascii="Arial Narrow" w:eastAsiaTheme="minorEastAsia" w:hAnsi="Arial Narrow" w:cstheme="minorBidi"/>
                <w:sz w:val="20"/>
                <w:szCs w:val="20"/>
                <w:lang w:eastAsia="en-US"/>
              </w:rPr>
              <w:t>(See para </w:t>
            </w:r>
            <w:r w:rsidR="6964C63E" w:rsidRPr="64D7D92C">
              <w:rPr>
                <w:rFonts w:ascii="Arial Narrow" w:eastAsiaTheme="minorEastAsia" w:hAnsi="Arial Narrow" w:cstheme="minorBidi"/>
                <w:sz w:val="20"/>
                <w:szCs w:val="20"/>
                <w:lang w:eastAsia="en-US"/>
              </w:rPr>
              <w:t xml:space="preserve"> </w:t>
            </w:r>
            <w:hyperlink r:id="rId12">
              <w:r w:rsidRPr="64D7D92C">
                <w:rPr>
                  <w:rStyle w:val="Hyperlink"/>
                  <w:rFonts w:ascii="Arial Narrow" w:eastAsiaTheme="minorEastAsia" w:hAnsi="Arial Narrow" w:cstheme="minorBidi"/>
                  <w:sz w:val="20"/>
                  <w:szCs w:val="20"/>
                  <w:lang w:eastAsia="en-US"/>
                </w:rPr>
                <w:t>PN.1.2</w:t>
              </w:r>
            </w:hyperlink>
            <w:r w:rsidRPr="64D7D92C">
              <w:rPr>
                <w:rFonts w:ascii="Arial Narrow" w:eastAsiaTheme="minorEastAsia" w:hAnsi="Arial Narrow" w:cstheme="minorBidi"/>
                <w:sz w:val="20"/>
                <w:szCs w:val="20"/>
                <w:lang w:eastAsia="en-US"/>
              </w:rPr>
              <w:t> of explanatory notes to this Category)</w:t>
            </w:r>
          </w:p>
        </w:tc>
      </w:tr>
      <w:tr w:rsidR="00A53267" w:rsidRPr="00407AA9" w14:paraId="2DC67A7B" w14:textId="77777777" w:rsidTr="00DD0B90">
        <w:trPr>
          <w:trHeight w:val="223"/>
        </w:trPr>
        <w:tc>
          <w:tcPr>
            <w:tcW w:w="8926" w:type="dxa"/>
            <w:vAlign w:val="center"/>
          </w:tcPr>
          <w:p w14:paraId="41532530" w14:textId="3FF5DB7B" w:rsidR="00A53267" w:rsidRPr="00A53267" w:rsidRDefault="00A53267" w:rsidP="00A53267">
            <w:pPr>
              <w:pStyle w:val="TableText"/>
              <w:keepNext/>
              <w:keepLines/>
              <w:ind w:left="22"/>
            </w:pPr>
            <w:r w:rsidRPr="00A53267">
              <w:rPr>
                <w:rFonts w:eastAsia="MS Gothic" w:cstheme="minorHAnsi"/>
                <w:lang w:bidi="en-US"/>
              </w:rPr>
              <w:t>Fee: $315.40 Benefit: 75% = $236.55   85% = $268.10</w:t>
            </w:r>
          </w:p>
        </w:tc>
      </w:tr>
    </w:tbl>
    <w:p w14:paraId="25D7BE1F" w14:textId="77777777" w:rsidR="00A53267" w:rsidRDefault="00A53267" w:rsidP="005B521F">
      <w:pPr>
        <w:pStyle w:val="TableFooter"/>
        <w:rPr>
          <w:rFonts w:ascii="Franklin Gothic Book" w:hAnsi="Franklin Gothic Book"/>
          <w:sz w:val="22"/>
          <w:szCs w:val="22"/>
        </w:rPr>
      </w:pPr>
    </w:p>
    <w:tbl>
      <w:tblPr>
        <w:tblStyle w:val="Section3-footnot1"/>
        <w:tblW w:w="0" w:type="auto"/>
        <w:tblLook w:val="04A0" w:firstRow="1" w:lastRow="0" w:firstColumn="1" w:lastColumn="0" w:noHBand="0" w:noVBand="1"/>
        <w:tblDescription w:val="Consumer summary of MSAC consideration"/>
      </w:tblPr>
      <w:tblGrid>
        <w:gridCol w:w="9016"/>
      </w:tblGrid>
      <w:tr w:rsidR="005B521F" w:rsidRPr="00F91D6E" w14:paraId="1D2DA66C" w14:textId="77777777" w:rsidTr="00DD0B90">
        <w:trPr>
          <w:tblHeader/>
        </w:trPr>
        <w:tc>
          <w:tcPr>
            <w:tcW w:w="9016" w:type="dxa"/>
          </w:tcPr>
          <w:p w14:paraId="4C9221F6" w14:textId="77777777" w:rsidR="005B521F" w:rsidRPr="00F91D6E" w:rsidRDefault="005B521F">
            <w:pPr>
              <w:keepNext/>
              <w:keepLines/>
              <w:spacing w:line="259" w:lineRule="auto"/>
              <w:rPr>
                <w:rFonts w:eastAsia="Calibri"/>
                <w:b/>
                <w:bCs/>
              </w:rPr>
            </w:pPr>
            <w:r w:rsidRPr="00F91D6E">
              <w:rPr>
                <w:b/>
                <w:bCs/>
              </w:rPr>
              <w:t>Consumer summary</w:t>
            </w:r>
          </w:p>
        </w:tc>
      </w:tr>
      <w:tr w:rsidR="005B521F" w:rsidRPr="00F91D6E" w14:paraId="2BADD4F2" w14:textId="77777777">
        <w:tc>
          <w:tcPr>
            <w:tcW w:w="9016" w:type="dxa"/>
          </w:tcPr>
          <w:p w14:paraId="79F87886" w14:textId="65F17139" w:rsidR="002E675B" w:rsidRDefault="002E675B" w:rsidP="002E675B">
            <w:r w:rsidRPr="00AF46D8">
              <w:t xml:space="preserve">This application from </w:t>
            </w:r>
            <w:r>
              <w:t>AstraZeneca Pty Ltd</w:t>
            </w:r>
            <w:r w:rsidRPr="00AF46D8">
              <w:t xml:space="preserve"> </w:t>
            </w:r>
            <w:r>
              <w:t xml:space="preserve">requested </w:t>
            </w:r>
            <w:r w:rsidR="008E10A5">
              <w:t>changes to</w:t>
            </w:r>
            <w:r>
              <w:t xml:space="preserve"> </w:t>
            </w:r>
            <w:r w:rsidR="008E10A5">
              <w:t>existing</w:t>
            </w:r>
            <w:r w:rsidRPr="00AF46D8">
              <w:t xml:space="preserve"> Medicare Benefits Schedule </w:t>
            </w:r>
            <w:r>
              <w:t xml:space="preserve">(MBS) </w:t>
            </w:r>
            <w:r w:rsidR="00A71121">
              <w:t xml:space="preserve">listing for testing of </w:t>
            </w:r>
            <w:r w:rsidR="00A71121" w:rsidRPr="00BD1FA0">
              <w:t>human epidermal growth factor receptor 2</w:t>
            </w:r>
            <w:r w:rsidR="00A71121" w:rsidRPr="00F035BC">
              <w:rPr>
                <w:i/>
                <w:iCs/>
              </w:rPr>
              <w:t xml:space="preserve"> (HER2)</w:t>
            </w:r>
            <w:r w:rsidR="00A71121">
              <w:t xml:space="preserve"> gene </w:t>
            </w:r>
            <w:r w:rsidR="00C94681">
              <w:t xml:space="preserve">status </w:t>
            </w:r>
            <w:r>
              <w:t xml:space="preserve">for people with a certain type of stomach or oesophagus cancer called gastric or gastro-oesophageal adenocarcinoma to </w:t>
            </w:r>
            <w:r w:rsidR="005C587B">
              <w:t>be eligi</w:t>
            </w:r>
            <w:r w:rsidR="00644B0D">
              <w:t>ble for</w:t>
            </w:r>
            <w:r w:rsidR="005C587B">
              <w:t xml:space="preserve"> </w:t>
            </w:r>
            <w:r w:rsidR="00E33EB0">
              <w:t>access to a</w:t>
            </w:r>
            <w:r>
              <w:t xml:space="preserve"> </w:t>
            </w:r>
            <w:r w:rsidR="00833663">
              <w:t xml:space="preserve">medicine </w:t>
            </w:r>
            <w:r>
              <w:t xml:space="preserve">called </w:t>
            </w:r>
            <w:r>
              <w:rPr>
                <w:szCs w:val="24"/>
              </w:rPr>
              <w:t>trastuzumab-</w:t>
            </w:r>
            <w:proofErr w:type="spellStart"/>
            <w:r>
              <w:rPr>
                <w:szCs w:val="24"/>
              </w:rPr>
              <w:t>deruxtecan</w:t>
            </w:r>
            <w:proofErr w:type="spellEnd"/>
            <w:r w:rsidR="00C94681">
              <w:rPr>
                <w:szCs w:val="24"/>
              </w:rPr>
              <w:t>,</w:t>
            </w:r>
            <w:r w:rsidR="00E33EB0">
              <w:rPr>
                <w:szCs w:val="24"/>
              </w:rPr>
              <w:t xml:space="preserve"> if listed on the</w:t>
            </w:r>
            <w:r w:rsidR="00554CEF">
              <w:rPr>
                <w:szCs w:val="24"/>
              </w:rPr>
              <w:t xml:space="preserve"> </w:t>
            </w:r>
            <w:r w:rsidR="00554CEF" w:rsidRPr="00554CEF">
              <w:rPr>
                <w:szCs w:val="24"/>
              </w:rPr>
              <w:t>Pharmaceutical Benefits Scheme (PBS).</w:t>
            </w:r>
            <w:r>
              <w:t xml:space="preserve"> </w:t>
            </w:r>
            <w:r w:rsidR="0030213A" w:rsidRPr="0030213A">
              <w:t xml:space="preserve">At the time that this application was made, </w:t>
            </w:r>
            <w:r w:rsidR="0030213A">
              <w:rPr>
                <w:szCs w:val="24"/>
              </w:rPr>
              <w:t>trastuzumab-</w:t>
            </w:r>
            <w:proofErr w:type="spellStart"/>
            <w:r w:rsidR="0030213A">
              <w:rPr>
                <w:szCs w:val="24"/>
              </w:rPr>
              <w:t>deruxtecan</w:t>
            </w:r>
            <w:proofErr w:type="spellEnd"/>
            <w:r w:rsidR="0030213A" w:rsidRPr="0030213A">
              <w:t xml:space="preserve"> was not listed on the PBS, so a codependent application that </w:t>
            </w:r>
            <w:r w:rsidR="003248B0">
              <w:t>requested</w:t>
            </w:r>
            <w:r w:rsidR="0030213A" w:rsidRPr="0030213A">
              <w:t xml:space="preserve"> public funding of both the test and the medicine was required.</w:t>
            </w:r>
            <w:r w:rsidR="0030213A">
              <w:t xml:space="preserve"> </w:t>
            </w:r>
          </w:p>
          <w:p w14:paraId="4C349D12" w14:textId="29E80F5A" w:rsidR="002E675B" w:rsidRDefault="002E675B" w:rsidP="002E675B">
            <w:r>
              <w:t xml:space="preserve">Many cancers are </w:t>
            </w:r>
            <w:r w:rsidRPr="00F37A35">
              <w:rPr>
                <w:i/>
                <w:iCs/>
              </w:rPr>
              <w:t>HER2</w:t>
            </w:r>
            <w:r>
              <w:t xml:space="preserve">-positive, which means that the cancer cells </w:t>
            </w:r>
            <w:r w:rsidR="00414D01">
              <w:t xml:space="preserve">have </w:t>
            </w:r>
            <w:r>
              <w:t xml:space="preserve">too many copies of </w:t>
            </w:r>
            <w:r w:rsidR="007A7C3F">
              <w:t xml:space="preserve">the </w:t>
            </w:r>
            <w:r>
              <w:t xml:space="preserve">gene called </w:t>
            </w:r>
            <w:r w:rsidRPr="00F37A35">
              <w:rPr>
                <w:i/>
                <w:iCs/>
              </w:rPr>
              <w:t>HER2</w:t>
            </w:r>
            <w:r>
              <w:t>. Currently, the MBS item</w:t>
            </w:r>
            <w:r w:rsidR="001F7927">
              <w:t xml:space="preserve"> 73342</w:t>
            </w:r>
            <w:r>
              <w:t xml:space="preserve"> allows </w:t>
            </w:r>
            <w:r w:rsidRPr="00AA1238">
              <w:rPr>
                <w:i/>
              </w:rPr>
              <w:t>HER2</w:t>
            </w:r>
            <w:r>
              <w:t xml:space="preserve"> testing for people who have gastric or gastro-oesophageal adenocarcinoma. If they are found to be </w:t>
            </w:r>
            <w:r w:rsidRPr="00AA1238">
              <w:rPr>
                <w:i/>
              </w:rPr>
              <w:t>HER2</w:t>
            </w:r>
            <w:r>
              <w:t xml:space="preserve">-positive, they are eligible for treatment with a </w:t>
            </w:r>
            <w:r w:rsidRPr="00CD2D93">
              <w:t>medicine called trastuzumab. AstraZeneca has developed a new medicine</w:t>
            </w:r>
            <w:r>
              <w:t>,</w:t>
            </w:r>
            <w:r w:rsidRPr="00CD2D93">
              <w:t xml:space="preserve"> </w:t>
            </w:r>
            <w:r>
              <w:t>trastuzumab-</w:t>
            </w:r>
            <w:proofErr w:type="spellStart"/>
            <w:r>
              <w:t>deruxtecan</w:t>
            </w:r>
            <w:proofErr w:type="spellEnd"/>
            <w:r>
              <w:t xml:space="preserve"> (</w:t>
            </w:r>
            <w:r w:rsidRPr="006F5B44">
              <w:t xml:space="preserve">sold under the brand name </w:t>
            </w:r>
            <w:proofErr w:type="spellStart"/>
            <w:r w:rsidRPr="006F5B44">
              <w:t>Enhertu</w:t>
            </w:r>
            <w:proofErr w:type="spellEnd"/>
            <w:r>
              <w:t>®</w:t>
            </w:r>
            <w:r w:rsidRPr="006F5B44">
              <w:t>)</w:t>
            </w:r>
            <w:r>
              <w:t xml:space="preserve">, </w:t>
            </w:r>
            <w:r w:rsidRPr="00CD2D93" w:rsidDel="00D25B0D">
              <w:t xml:space="preserve">that </w:t>
            </w:r>
            <w:r w:rsidRPr="00CD2D93">
              <w:t>cont</w:t>
            </w:r>
            <w:r>
              <w:t xml:space="preserve">ains trastuzumab and another </w:t>
            </w:r>
            <w:r w:rsidRPr="005A1A1E">
              <w:t xml:space="preserve">compound. The application requested that the test’s description on the MBS be expanded so </w:t>
            </w:r>
            <w:r>
              <w:t xml:space="preserve">that </w:t>
            </w:r>
            <w:r w:rsidRPr="005A1A1E">
              <w:t xml:space="preserve">people who </w:t>
            </w:r>
            <w:r>
              <w:t xml:space="preserve">are </w:t>
            </w:r>
            <w:r w:rsidRPr="00AA1238">
              <w:rPr>
                <w:i/>
              </w:rPr>
              <w:t>HER2</w:t>
            </w:r>
            <w:r>
              <w:t>-positive and have responded well to trastuzumab</w:t>
            </w:r>
            <w:r w:rsidDel="00D25B0D">
              <w:t xml:space="preserve"> </w:t>
            </w:r>
            <w:r>
              <w:t>can access this new medicine.</w:t>
            </w:r>
          </w:p>
          <w:p w14:paraId="197AA710" w14:textId="10269F5F" w:rsidR="002E675B" w:rsidRDefault="002E675B" w:rsidP="002E675B">
            <w:r>
              <w:t xml:space="preserve">People in the earlier stages of gastric and gastro-oesophageal adenocarcinoma often have few or no symptoms. This means that by the time they seek medical attention, the cancer is already at an advanced stage (stage IV) and is metastatic (has spread to other parts of their body). About 15%–20% of people with this type of cancer are </w:t>
            </w:r>
            <w:r w:rsidRPr="00757FD9">
              <w:rPr>
                <w:i/>
              </w:rPr>
              <w:t>HER2</w:t>
            </w:r>
            <w:r>
              <w:t>-positive</w:t>
            </w:r>
            <w:r w:rsidR="00FC058A">
              <w:t xml:space="preserve"> </w:t>
            </w:r>
            <w:r w:rsidR="006F0233">
              <w:t xml:space="preserve">and tend to have a </w:t>
            </w:r>
            <w:r w:rsidR="00F26DEC">
              <w:t>poor</w:t>
            </w:r>
            <w:r w:rsidR="006F0233">
              <w:t xml:space="preserve"> outlook or prognosis</w:t>
            </w:r>
            <w:r w:rsidR="00331780">
              <w:t xml:space="preserve"> because</w:t>
            </w:r>
            <w:r>
              <w:t xml:space="preserve"> </w:t>
            </w:r>
            <w:r w:rsidRPr="009923C2">
              <w:rPr>
                <w:i/>
              </w:rPr>
              <w:t>HER2</w:t>
            </w:r>
            <w:r>
              <w:t xml:space="preserve">-positive cancers grow and spread faster than </w:t>
            </w:r>
            <w:r w:rsidRPr="009923C2">
              <w:rPr>
                <w:i/>
              </w:rPr>
              <w:t>HER2</w:t>
            </w:r>
            <w:r>
              <w:t xml:space="preserve">-negative ones. However, the </w:t>
            </w:r>
            <w:r w:rsidRPr="009923C2">
              <w:rPr>
                <w:i/>
              </w:rPr>
              <w:t>HER2</w:t>
            </w:r>
            <w:r w:rsidR="00983FA9">
              <w:t>-positive cancers</w:t>
            </w:r>
            <w:r w:rsidR="00E54ACC">
              <w:t xml:space="preserve"> </w:t>
            </w:r>
            <w:r>
              <w:t xml:space="preserve">can be specifically targeted by certain medicines, meaning </w:t>
            </w:r>
            <w:r w:rsidR="00F035BC">
              <w:t>these types of cancers</w:t>
            </w:r>
            <w:r>
              <w:t xml:space="preserve"> can be more </w:t>
            </w:r>
            <w:r w:rsidR="00DD0B90">
              <w:t xml:space="preserve">responsive </w:t>
            </w:r>
            <w:r>
              <w:t>to therapy despite being more aggressive.</w:t>
            </w:r>
          </w:p>
          <w:p w14:paraId="1167DD64" w14:textId="015EC0FE" w:rsidR="002E675B" w:rsidRDefault="002E675B" w:rsidP="002E675B">
            <w:r>
              <w:t xml:space="preserve">The </w:t>
            </w:r>
            <w:r w:rsidRPr="009923C2">
              <w:rPr>
                <w:i/>
              </w:rPr>
              <w:t>HER2</w:t>
            </w:r>
            <w:r>
              <w:t xml:space="preserve"> </w:t>
            </w:r>
            <w:r w:rsidR="55182B5A">
              <w:t>can be examined using</w:t>
            </w:r>
            <w:r w:rsidR="00F2533D">
              <w:t xml:space="preserve"> a type of genetic test</w:t>
            </w:r>
            <w:r w:rsidR="00FD6C55">
              <w:t xml:space="preserve"> called </w:t>
            </w:r>
            <w:r w:rsidR="00FD6C55" w:rsidRPr="007876BC">
              <w:t>in situ</w:t>
            </w:r>
            <w:r w:rsidR="00FD6C55">
              <w:t xml:space="preserve"> hybridisation (ISH) test.</w:t>
            </w:r>
            <w:r>
              <w:t xml:space="preserve"> </w:t>
            </w:r>
            <w:r w:rsidR="003A5F4C">
              <w:t xml:space="preserve">The ISH test </w:t>
            </w:r>
            <w:r>
              <w:t xml:space="preserve">uses a single strand of DNA or RNA to </w:t>
            </w:r>
            <w:r w:rsidR="00997DE9">
              <w:t xml:space="preserve">look for </w:t>
            </w:r>
            <w:r w:rsidR="00516568">
              <w:t xml:space="preserve">extra copies of the </w:t>
            </w:r>
            <w:r w:rsidR="00516568" w:rsidRPr="00F035BC">
              <w:rPr>
                <w:i/>
                <w:iCs/>
              </w:rPr>
              <w:t>HER2</w:t>
            </w:r>
            <w:r w:rsidR="00516568">
              <w:t xml:space="preserve"> gene </w:t>
            </w:r>
            <w:r>
              <w:t xml:space="preserve">in a cell. This test is </w:t>
            </w:r>
            <w:r w:rsidR="00036418">
              <w:t xml:space="preserve">done </w:t>
            </w:r>
            <w:r>
              <w:t xml:space="preserve">on tissue </w:t>
            </w:r>
            <w:r w:rsidR="000466B5">
              <w:t>taken</w:t>
            </w:r>
            <w:r>
              <w:t xml:space="preserve"> from a tumour biopsy. </w:t>
            </w:r>
            <w:r w:rsidR="000466B5">
              <w:t>Before this test is done</w:t>
            </w:r>
            <w:r>
              <w:t xml:space="preserve">, the biopsied tissue is tested using a </w:t>
            </w:r>
            <w:r w:rsidR="0096505B">
              <w:t xml:space="preserve">simpler and </w:t>
            </w:r>
            <w:r>
              <w:t xml:space="preserve">less precise method called immunohistochemistry. If the result of the immunohistochemistry test comes back positive or </w:t>
            </w:r>
            <w:r w:rsidR="00414D01">
              <w:t>equivocal</w:t>
            </w:r>
            <w:r w:rsidR="00DD0B90">
              <w:t xml:space="preserve">(unclear) </w:t>
            </w:r>
            <w:r>
              <w:t xml:space="preserve">the tissue is tested using </w:t>
            </w:r>
            <w:r w:rsidRPr="007876BC">
              <w:t>in situ</w:t>
            </w:r>
            <w:r>
              <w:t xml:space="preserve"> hybridisation. The </w:t>
            </w:r>
            <w:proofErr w:type="gramStart"/>
            <w:r w:rsidRPr="007876BC">
              <w:t>in situ</w:t>
            </w:r>
            <w:proofErr w:type="gramEnd"/>
            <w:r>
              <w:t xml:space="preserve"> hybridisation test is well-established in Australian clinical practice and there are no performance concerns of note.</w:t>
            </w:r>
          </w:p>
          <w:p w14:paraId="58A5113B" w14:textId="42AD8851" w:rsidR="002E675B" w:rsidRDefault="002E675B" w:rsidP="002E675B">
            <w:r>
              <w:lastRenderedPageBreak/>
              <w:t xml:space="preserve">Currently, patients who receive a positive </w:t>
            </w:r>
            <w:r w:rsidRPr="002142FE">
              <w:rPr>
                <w:i/>
              </w:rPr>
              <w:t>HER2</w:t>
            </w:r>
            <w:r>
              <w:t xml:space="preserve"> result on the </w:t>
            </w:r>
            <w:proofErr w:type="gramStart"/>
            <w:r w:rsidRPr="007876BC">
              <w:t>in situ</w:t>
            </w:r>
            <w:proofErr w:type="gramEnd"/>
            <w:r>
              <w:t xml:space="preserve"> hybridisation test are eligible for </w:t>
            </w:r>
            <w:r w:rsidR="00472854">
              <w:t xml:space="preserve">the </w:t>
            </w:r>
            <w:r w:rsidR="006C3198">
              <w:t xml:space="preserve">PBS-subsidised drug </w:t>
            </w:r>
            <w:r>
              <w:t>trastuzumab</w:t>
            </w:r>
            <w:r w:rsidR="00F87E2F">
              <w:t xml:space="preserve">. </w:t>
            </w:r>
            <w:r>
              <w:t>The</w:t>
            </w:r>
            <w:r w:rsidR="00D937E5">
              <w:t xml:space="preserve"> proposed</w:t>
            </w:r>
            <w:r>
              <w:t xml:space="preserve"> new medicine, t</w:t>
            </w:r>
            <w:r w:rsidRPr="00B94E8E">
              <w:t>rast</w:t>
            </w:r>
            <w:r w:rsidRPr="00B30535">
              <w:t>uzumab-</w:t>
            </w:r>
            <w:proofErr w:type="spellStart"/>
            <w:r w:rsidRPr="00B30535">
              <w:t>deruxtecan</w:t>
            </w:r>
            <w:proofErr w:type="spellEnd"/>
            <w:r>
              <w:t xml:space="preserve">, is </w:t>
            </w:r>
            <w:r w:rsidRPr="00B30535">
              <w:t>a combination of trastuzumab and a chemical that kills cancer cells</w:t>
            </w:r>
            <w:r>
              <w:t xml:space="preserve">. The trastuzumab binds to a </w:t>
            </w:r>
            <w:r w:rsidRPr="00765EAD">
              <w:rPr>
                <w:i/>
              </w:rPr>
              <w:t>HER2</w:t>
            </w:r>
            <w:r>
              <w:t xml:space="preserve"> receptor</w:t>
            </w:r>
            <w:r w:rsidR="0054417F">
              <w:t xml:space="preserve"> </w:t>
            </w:r>
            <w:r w:rsidR="001D535B">
              <w:t xml:space="preserve">on cancer cell surface </w:t>
            </w:r>
            <w:r w:rsidR="0054417F">
              <w:t>and acts like a key</w:t>
            </w:r>
            <w:r>
              <w:t xml:space="preserve">, </w:t>
            </w:r>
            <w:r w:rsidR="00893ACD">
              <w:t xml:space="preserve">unlocking the cancer cell </w:t>
            </w:r>
            <w:r w:rsidR="00D04899">
              <w:t>so that</w:t>
            </w:r>
            <w:r>
              <w:t xml:space="preserve"> the drug can directly enter and kill it without damaging nearby healthy </w:t>
            </w:r>
            <w:r w:rsidR="00D04899">
              <w:t>cells</w:t>
            </w:r>
            <w:r>
              <w:t>. This combination of antibody and drug is known as an ‘antibody–drug conjugate’.</w:t>
            </w:r>
          </w:p>
          <w:p w14:paraId="7B563EB8" w14:textId="5D815DF4" w:rsidR="005B521F" w:rsidRDefault="002E675B" w:rsidP="002E675B">
            <w:r>
              <w:t>MSAC noted</w:t>
            </w:r>
            <w:r w:rsidDel="004C49A6">
              <w:t xml:space="preserve"> </w:t>
            </w:r>
            <w:r>
              <w:t xml:space="preserve">that a person’s </w:t>
            </w:r>
            <w:r w:rsidRPr="0088176C">
              <w:rPr>
                <w:i/>
              </w:rPr>
              <w:t>HER2</w:t>
            </w:r>
            <w:r>
              <w:t xml:space="preserve"> status can </w:t>
            </w:r>
            <w:r w:rsidR="00971BFE">
              <w:t xml:space="preserve">sometimes </w:t>
            </w:r>
            <w:r>
              <w:t xml:space="preserve">change over time (either from positive to negative with successful treatment or from negative to positive as the cancer </w:t>
            </w:r>
            <w:r w:rsidR="00D22BA8">
              <w:t>grows</w:t>
            </w:r>
            <w:r>
              <w:t xml:space="preserve">). Around </w:t>
            </w:r>
            <w:r w:rsidR="007B6A30" w:rsidRPr="00755956">
              <w:rPr>
                <w:b/>
                <w:bCs/>
              </w:rPr>
              <w:t>redacted</w:t>
            </w:r>
            <w:r>
              <w:t xml:space="preserve">% of people may need a second biopsy to </w:t>
            </w:r>
            <w:r w:rsidR="003D3ECD">
              <w:t>check if their</w:t>
            </w:r>
            <w:r>
              <w:t xml:space="preserve"> </w:t>
            </w:r>
            <w:r w:rsidRPr="00D502B7">
              <w:rPr>
                <w:i/>
                <w:iCs/>
              </w:rPr>
              <w:t>HER2</w:t>
            </w:r>
            <w:r>
              <w:t xml:space="preserve"> status</w:t>
            </w:r>
            <w:r w:rsidR="003D3ECD">
              <w:t xml:space="preserve"> has changed</w:t>
            </w:r>
            <w:r w:rsidR="002D18F4">
              <w:t>.</w:t>
            </w:r>
            <w:r>
              <w:t xml:space="preserve"> MSAC queried whether this would mean that more people should be retested. However, this status change was not backed by </w:t>
            </w:r>
            <w:r w:rsidR="00362BA9">
              <w:t>strong</w:t>
            </w:r>
            <w:r>
              <w:t xml:space="preserve"> evidence, and given the risks and challenges associated with taking a new biopsy, MSAC considered that retesting is not usually th</w:t>
            </w:r>
            <w:r w:rsidRPr="006F0CD1">
              <w:t>e best choice in clinical practice</w:t>
            </w:r>
            <w:r>
              <w:t>. I</w:t>
            </w:r>
            <w:r w:rsidRPr="006F0CD1">
              <w:t xml:space="preserve">n cases where retesting is clinically necessary, </w:t>
            </w:r>
            <w:r>
              <w:t xml:space="preserve">MSAC considered that </w:t>
            </w:r>
            <w:r w:rsidRPr="006F0CD1">
              <w:t xml:space="preserve">patients should not be left with out-of-pocket costs. </w:t>
            </w:r>
            <w:r w:rsidR="0020452C">
              <w:t>Therefore, MSAC supported</w:t>
            </w:r>
            <w:r w:rsidR="00735310">
              <w:t xml:space="preserve"> to replace the term ‘trastuzumab</w:t>
            </w:r>
            <w:r w:rsidR="00A7682D">
              <w:t xml:space="preserve"> </w:t>
            </w:r>
            <w:r w:rsidR="00234E6D">
              <w:t>under the PBS</w:t>
            </w:r>
            <w:r w:rsidR="00735310">
              <w:t>’ with ‘a relevant treatment under the PBS’ in the MBS item 73342</w:t>
            </w:r>
            <w:r w:rsidR="00DE7AB3">
              <w:t xml:space="preserve"> to allow people to access the new medicine </w:t>
            </w:r>
            <w:r w:rsidR="00AC10D8">
              <w:t xml:space="preserve">if </w:t>
            </w:r>
            <w:r w:rsidR="00535277">
              <w:t xml:space="preserve">PBAC recommends </w:t>
            </w:r>
            <w:r w:rsidR="00A51E5F">
              <w:t>it</w:t>
            </w:r>
            <w:r w:rsidR="00AC10D8">
              <w:t>.</w:t>
            </w:r>
            <w:r w:rsidR="0020452C">
              <w:t xml:space="preserve"> </w:t>
            </w:r>
            <w:r w:rsidRPr="006F0CD1">
              <w:t xml:space="preserve">MSAC considered that given </w:t>
            </w:r>
            <w:r w:rsidR="00E1390F">
              <w:t>only</w:t>
            </w:r>
            <w:r w:rsidR="111A7A13">
              <w:t xml:space="preserve"> </w:t>
            </w:r>
            <w:r w:rsidR="4D9418B2">
              <w:t>a</w:t>
            </w:r>
            <w:r w:rsidR="00E1390F">
              <w:t xml:space="preserve"> small</w:t>
            </w:r>
            <w:r w:rsidRPr="006F0CD1">
              <w:t xml:space="preserve"> number of people would be </w:t>
            </w:r>
            <w:r w:rsidR="00F035BC" w:rsidRPr="006F0CD1">
              <w:t>retested,</w:t>
            </w:r>
            <w:r w:rsidRPr="006F0CD1">
              <w:t xml:space="preserve"> and the test</w:t>
            </w:r>
            <w:r w:rsidR="009A1E37">
              <w:t xml:space="preserve"> is not expensive</w:t>
            </w:r>
            <w:r w:rsidRPr="006F0CD1">
              <w:t xml:space="preserve">, the </w:t>
            </w:r>
            <w:r w:rsidR="009A1E37">
              <w:t>cost to</w:t>
            </w:r>
            <w:r>
              <w:t xml:space="preserve"> the MBS</w:t>
            </w:r>
            <w:r w:rsidRPr="006F0CD1">
              <w:t xml:space="preserve"> would be low.</w:t>
            </w:r>
            <w:r>
              <w:t xml:space="preserve"> </w:t>
            </w:r>
          </w:p>
          <w:p w14:paraId="36B10F9B" w14:textId="77777777" w:rsidR="005B521F" w:rsidRPr="00F91D6E" w:rsidRDefault="005B521F" w:rsidP="002E675B">
            <w:pPr>
              <w:keepNext/>
              <w:keepLines/>
              <w:spacing w:before="240" w:line="259" w:lineRule="auto"/>
              <w:rPr>
                <w:b/>
                <w:bCs/>
              </w:rPr>
            </w:pPr>
            <w:r w:rsidRPr="00F91D6E">
              <w:rPr>
                <w:b/>
                <w:bCs/>
              </w:rPr>
              <w:t xml:space="preserve">MSAC’s advice to the </w:t>
            </w:r>
            <w:proofErr w:type="gramStart"/>
            <w:r w:rsidRPr="00F91D6E">
              <w:rPr>
                <w:b/>
                <w:bCs/>
              </w:rPr>
              <w:t>Commonwealth Minister</w:t>
            </w:r>
            <w:proofErr w:type="gramEnd"/>
            <w:r w:rsidRPr="00F91D6E">
              <w:rPr>
                <w:b/>
                <w:bCs/>
              </w:rPr>
              <w:t xml:space="preserve"> for Health and Aged Care</w:t>
            </w:r>
          </w:p>
          <w:p w14:paraId="41B08367" w14:textId="0AAFEE01" w:rsidR="005B521F" w:rsidRPr="00F91D6E" w:rsidRDefault="000B0326" w:rsidP="000B0326">
            <w:pPr>
              <w:spacing w:after="120" w:line="259" w:lineRule="auto"/>
            </w:pPr>
            <w:r w:rsidRPr="00AF46D8">
              <w:t>MSAC sup</w:t>
            </w:r>
            <w:r w:rsidRPr="00D90DFA">
              <w:t>ported</w:t>
            </w:r>
            <w:r>
              <w:t xml:space="preserve"> an</w:t>
            </w:r>
            <w:r w:rsidRPr="00D90DFA">
              <w:t xml:space="preserve"> </w:t>
            </w:r>
            <w:r w:rsidRPr="00D90DFA">
              <w:rPr>
                <w:szCs w:val="24"/>
              </w:rPr>
              <w:t>amend</w:t>
            </w:r>
            <w:r>
              <w:rPr>
                <w:szCs w:val="24"/>
              </w:rPr>
              <w:t>ment</w:t>
            </w:r>
            <w:r w:rsidRPr="00D90DFA">
              <w:rPr>
                <w:szCs w:val="24"/>
              </w:rPr>
              <w:t xml:space="preserve"> </w:t>
            </w:r>
            <w:r>
              <w:rPr>
                <w:szCs w:val="24"/>
              </w:rPr>
              <w:t xml:space="preserve">to </w:t>
            </w:r>
            <w:r>
              <w:t xml:space="preserve">MBS item </w:t>
            </w:r>
            <w:r w:rsidRPr="000E16C2">
              <w:t>73342</w:t>
            </w:r>
            <w:r w:rsidRPr="00D90DFA">
              <w:rPr>
                <w:szCs w:val="24"/>
              </w:rPr>
              <w:t xml:space="preserve"> </w:t>
            </w:r>
            <w:r>
              <w:rPr>
                <w:szCs w:val="24"/>
              </w:rPr>
              <w:t>that would replace</w:t>
            </w:r>
            <w:r w:rsidRPr="00D90DFA">
              <w:rPr>
                <w:szCs w:val="24"/>
              </w:rPr>
              <w:t xml:space="preserve"> the term ‘trastuzumab</w:t>
            </w:r>
            <w:r w:rsidR="004177FF">
              <w:rPr>
                <w:szCs w:val="24"/>
              </w:rPr>
              <w:t xml:space="preserve"> under the PBS</w:t>
            </w:r>
            <w:r w:rsidRPr="00D90DFA">
              <w:rPr>
                <w:szCs w:val="24"/>
              </w:rPr>
              <w:t>’ with ‘a relevant treatment under the PBS’</w:t>
            </w:r>
            <w:r w:rsidR="008B5E09">
              <w:rPr>
                <w:szCs w:val="24"/>
              </w:rPr>
              <w:t xml:space="preserve"> if PBAC recommends PBS listing of </w:t>
            </w:r>
            <w:r w:rsidR="00292E87">
              <w:rPr>
                <w:szCs w:val="24"/>
              </w:rPr>
              <w:t>trastuzumab-</w:t>
            </w:r>
            <w:proofErr w:type="spellStart"/>
            <w:r w:rsidR="00292E87">
              <w:rPr>
                <w:szCs w:val="24"/>
              </w:rPr>
              <w:t>deruxtecan</w:t>
            </w:r>
            <w:proofErr w:type="spellEnd"/>
            <w:r w:rsidR="00292E87">
              <w:rPr>
                <w:szCs w:val="24"/>
              </w:rPr>
              <w:t>. This will allow</w:t>
            </w:r>
            <w:r>
              <w:rPr>
                <w:szCs w:val="24"/>
              </w:rPr>
              <w:t xml:space="preserve"> </w:t>
            </w:r>
            <w:r w:rsidR="005A41F3">
              <w:rPr>
                <w:szCs w:val="24"/>
              </w:rPr>
              <w:t xml:space="preserve">the </w:t>
            </w:r>
            <w:r>
              <w:rPr>
                <w:szCs w:val="24"/>
              </w:rPr>
              <w:t xml:space="preserve">test to be used as evidence of eligibility for </w:t>
            </w:r>
            <w:r w:rsidR="00564C32">
              <w:rPr>
                <w:szCs w:val="24"/>
              </w:rPr>
              <w:t>treatment with</w:t>
            </w:r>
            <w:r>
              <w:rPr>
                <w:szCs w:val="24"/>
              </w:rPr>
              <w:t xml:space="preserve"> trastuzumab-</w:t>
            </w:r>
            <w:proofErr w:type="spellStart"/>
            <w:r>
              <w:rPr>
                <w:szCs w:val="24"/>
              </w:rPr>
              <w:t>deruxtecan</w:t>
            </w:r>
            <w:proofErr w:type="spellEnd"/>
            <w:r>
              <w:rPr>
                <w:szCs w:val="24"/>
              </w:rPr>
              <w:t xml:space="preserve">. MSAC considered that testing was effective and safe. </w:t>
            </w:r>
          </w:p>
        </w:tc>
      </w:tr>
    </w:tbl>
    <w:p w14:paraId="46CF092D" w14:textId="77777777" w:rsidR="005B521F" w:rsidRPr="00D155C0" w:rsidRDefault="005B521F" w:rsidP="005B521F">
      <w:pPr>
        <w:pStyle w:val="Heading2"/>
        <w:numPr>
          <w:ilvl w:val="0"/>
          <w:numId w:val="12"/>
        </w:numPr>
        <w:ind w:hanging="720"/>
      </w:pPr>
      <w:r w:rsidRPr="003A793E">
        <w:lastRenderedPageBreak/>
        <w:t>Summary of consideration and rationale for MSAC’s advice</w:t>
      </w:r>
    </w:p>
    <w:bookmarkEnd w:id="3"/>
    <w:p w14:paraId="418F8C82" w14:textId="47B343E7" w:rsidR="006667A5" w:rsidRPr="006667A5" w:rsidRDefault="006667A5" w:rsidP="006667A5">
      <w:pPr>
        <w:spacing w:before="0" w:line="240" w:lineRule="auto"/>
      </w:pPr>
      <w:r w:rsidRPr="006667A5">
        <w:t>MSAC noted that this application from AstraZeneca Pty Ltd</w:t>
      </w:r>
      <w:r w:rsidR="00DD6991">
        <w:t>.</w:t>
      </w:r>
      <w:r w:rsidRPr="006667A5">
        <w:t xml:space="preserve"> was a streamlined codependent submission requesting a minor amendment to Medicare Benefits Schedule (MBS) item 73342, an in situ hybridisation (ISH) test for human epidermal growth factor receptor 2 (</w:t>
      </w:r>
      <w:r w:rsidRPr="006667A5">
        <w:rPr>
          <w:i/>
        </w:rPr>
        <w:t>HER2</w:t>
      </w:r>
      <w:r w:rsidRPr="006667A5">
        <w:t>) gene amplification status to determine eligibility for Pharmaceutical Benefits Schedule (PBS)-subsidised trastuzumab-</w:t>
      </w:r>
      <w:proofErr w:type="spellStart"/>
      <w:r w:rsidRPr="006667A5">
        <w:t>deruxtecan</w:t>
      </w:r>
      <w:proofErr w:type="spellEnd"/>
      <w:r w:rsidRPr="006667A5">
        <w:t xml:space="preserve"> (T-</w:t>
      </w:r>
      <w:proofErr w:type="spellStart"/>
      <w:r w:rsidRPr="006667A5">
        <w:t>DXd</w:t>
      </w:r>
      <w:proofErr w:type="spellEnd"/>
      <w:r w:rsidRPr="006667A5">
        <w:t xml:space="preserve">, </w:t>
      </w:r>
      <w:proofErr w:type="spellStart"/>
      <w:r w:rsidRPr="006667A5">
        <w:t>Enhertu</w:t>
      </w:r>
      <w:proofErr w:type="spellEnd"/>
      <w:r w:rsidRPr="006667A5">
        <w:rPr>
          <w:vertAlign w:val="superscript"/>
        </w:rPr>
        <w:t>®</w:t>
      </w:r>
      <w:r w:rsidRPr="006667A5">
        <w:t xml:space="preserve">) in patients with stage IV/metastatic </w:t>
      </w:r>
      <w:r w:rsidRPr="006667A5">
        <w:rPr>
          <w:i/>
        </w:rPr>
        <w:t>HER2</w:t>
      </w:r>
      <w:r w:rsidRPr="006667A5">
        <w:t xml:space="preserve">-positive gastric or gastro-oesophageal junction (G/GOJ) adenocarcinoma. </w:t>
      </w:r>
    </w:p>
    <w:p w14:paraId="3B0E1E42" w14:textId="22855987" w:rsidR="006667A5" w:rsidRPr="006667A5" w:rsidRDefault="006667A5" w:rsidP="006667A5">
      <w:pPr>
        <w:spacing w:line="240" w:lineRule="auto"/>
      </w:pPr>
      <w:r w:rsidRPr="006667A5">
        <w:rPr>
          <w:lang w:val="en-US"/>
        </w:rPr>
        <w:t xml:space="preserve">MSAC noted that the Pharmaceutical Benefits Advisory Committee (PBAC) </w:t>
      </w:r>
      <w:r w:rsidR="00350B7A">
        <w:rPr>
          <w:lang w:val="en-US"/>
        </w:rPr>
        <w:t>will</w:t>
      </w:r>
      <w:r w:rsidR="00350B7A" w:rsidRPr="006667A5">
        <w:rPr>
          <w:lang w:val="en-US"/>
        </w:rPr>
        <w:t xml:space="preserve"> </w:t>
      </w:r>
      <w:r w:rsidRPr="006667A5">
        <w:rPr>
          <w:lang w:val="en-US"/>
        </w:rPr>
        <w:t xml:space="preserve">consider the codependent application </w:t>
      </w:r>
      <w:r w:rsidR="00350B7A">
        <w:rPr>
          <w:lang w:val="en-US"/>
        </w:rPr>
        <w:t>request</w:t>
      </w:r>
      <w:r w:rsidR="000B29BE">
        <w:rPr>
          <w:lang w:val="en-US"/>
        </w:rPr>
        <w:t>ing</w:t>
      </w:r>
      <w:r w:rsidR="00651CF6">
        <w:rPr>
          <w:lang w:val="en-US"/>
        </w:rPr>
        <w:t xml:space="preserve"> </w:t>
      </w:r>
      <w:r w:rsidR="00B5470A" w:rsidRPr="00B5470A">
        <w:rPr>
          <w:lang w:val="en-US"/>
        </w:rPr>
        <w:t>PBS listing for T-</w:t>
      </w:r>
      <w:proofErr w:type="spellStart"/>
      <w:r w:rsidR="00B5470A" w:rsidRPr="00B5470A">
        <w:rPr>
          <w:lang w:val="en-US"/>
        </w:rPr>
        <w:t>DXd</w:t>
      </w:r>
      <w:proofErr w:type="spellEnd"/>
      <w:r w:rsidR="00B5470A">
        <w:rPr>
          <w:lang w:val="en-US"/>
        </w:rPr>
        <w:t xml:space="preserve"> </w:t>
      </w:r>
      <w:r w:rsidR="00B5470A" w:rsidRPr="00B5470A">
        <w:rPr>
          <w:lang w:val="en-US"/>
        </w:rPr>
        <w:t>in patients with stage IV/metastatic HER2 positive gastric/gastroesophageal junction adenocarcinoma at second line (2L) or later</w:t>
      </w:r>
      <w:r w:rsidR="000B29BE">
        <w:rPr>
          <w:lang w:val="en-US"/>
        </w:rPr>
        <w:t xml:space="preserve"> </w:t>
      </w:r>
      <w:r w:rsidRPr="006667A5">
        <w:rPr>
          <w:lang w:val="en-US"/>
        </w:rPr>
        <w:t xml:space="preserve">at its May 2025 meeting. </w:t>
      </w:r>
    </w:p>
    <w:p w14:paraId="7FD7CDA9" w14:textId="4BCE9252" w:rsidR="006667A5" w:rsidRPr="006667A5" w:rsidRDefault="006667A5" w:rsidP="006667A5">
      <w:pPr>
        <w:spacing w:line="240" w:lineRule="auto"/>
      </w:pPr>
      <w:r w:rsidRPr="006667A5">
        <w:t>MS</w:t>
      </w:r>
      <w:r w:rsidR="002C5BC1">
        <w:t>A</w:t>
      </w:r>
      <w:r w:rsidRPr="006667A5">
        <w:t>C noted that this application</w:t>
      </w:r>
      <w:r w:rsidR="002D575C">
        <w:t>,</w:t>
      </w:r>
      <w:r w:rsidR="00300C53">
        <w:t xml:space="preserve"> </w:t>
      </w:r>
      <w:r w:rsidRPr="006667A5">
        <w:t>streamlined</w:t>
      </w:r>
      <w:r w:rsidR="00056149">
        <w:t xml:space="preserve"> </w:t>
      </w:r>
      <w:r w:rsidR="00B254B4">
        <w:t xml:space="preserve">submission, </w:t>
      </w:r>
      <w:r w:rsidRPr="006667A5">
        <w:t xml:space="preserve">focused on the financial implications of </w:t>
      </w:r>
      <w:r w:rsidRPr="006667A5">
        <w:rPr>
          <w:i/>
        </w:rPr>
        <w:t>HER2</w:t>
      </w:r>
      <w:r w:rsidRPr="006667A5">
        <w:t xml:space="preserve"> retesting, as the retesting may involve additional costs to the MBS. </w:t>
      </w:r>
    </w:p>
    <w:p w14:paraId="14F9D60A" w14:textId="658CCDE5" w:rsidR="006667A5" w:rsidRPr="006667A5" w:rsidRDefault="006667A5" w:rsidP="006667A5">
      <w:pPr>
        <w:spacing w:before="0" w:line="240" w:lineRule="auto"/>
      </w:pPr>
      <w:r w:rsidRPr="006667A5">
        <w:t>MSAC noted that G/GOJ adenocarcinoma tends to present late and has a poor prognosis, with few treatment options</w:t>
      </w:r>
      <w:r w:rsidR="002D575C">
        <w:t xml:space="preserve"> available</w:t>
      </w:r>
      <w:r w:rsidRPr="006667A5">
        <w:t xml:space="preserve"> on progression. Approximately 15%–20% of </w:t>
      </w:r>
      <w:r w:rsidR="00141F68">
        <w:t xml:space="preserve">patients with </w:t>
      </w:r>
      <w:r w:rsidRPr="006667A5">
        <w:t xml:space="preserve">G/GOJ cancers </w:t>
      </w:r>
      <w:r w:rsidR="00A4746E">
        <w:t xml:space="preserve">will have tumours that </w:t>
      </w:r>
      <w:r w:rsidRPr="006667A5">
        <w:t xml:space="preserve">are </w:t>
      </w:r>
      <w:r w:rsidRPr="006667A5">
        <w:rPr>
          <w:i/>
          <w:iCs/>
        </w:rPr>
        <w:t>HER2</w:t>
      </w:r>
      <w:r w:rsidRPr="006667A5">
        <w:t>-positive. T-</w:t>
      </w:r>
      <w:proofErr w:type="spellStart"/>
      <w:r w:rsidRPr="006667A5">
        <w:t>DXd</w:t>
      </w:r>
      <w:proofErr w:type="spellEnd"/>
      <w:r w:rsidRPr="006667A5">
        <w:t xml:space="preserve"> is an antibody–drug conjugate that binds to HER2 receptors.</w:t>
      </w:r>
    </w:p>
    <w:p w14:paraId="644E95EC" w14:textId="77777777" w:rsidR="0028434A" w:rsidRDefault="006667A5" w:rsidP="006667A5">
      <w:pPr>
        <w:pStyle w:val="Bullet"/>
        <w:numPr>
          <w:ilvl w:val="0"/>
          <w:numId w:val="0"/>
        </w:numPr>
        <w:spacing w:after="160"/>
        <w:rPr>
          <w:rFonts w:ascii="Franklin Gothic Book" w:hAnsi="Franklin Gothic Book"/>
        </w:rPr>
      </w:pPr>
      <w:r w:rsidRPr="006667A5">
        <w:rPr>
          <w:rFonts w:ascii="Franklin Gothic Book" w:hAnsi="Franklin Gothic Book"/>
        </w:rPr>
        <w:t>MSAC noted that the population</w:t>
      </w:r>
      <w:r w:rsidRPr="006667A5" w:rsidDel="002401D5">
        <w:rPr>
          <w:rFonts w:ascii="Franklin Gothic Book" w:hAnsi="Franklin Gothic Book"/>
        </w:rPr>
        <w:t xml:space="preserve"> </w:t>
      </w:r>
      <w:r w:rsidRPr="006667A5">
        <w:rPr>
          <w:rFonts w:ascii="Franklin Gothic Book" w:hAnsi="Franklin Gothic Book"/>
        </w:rPr>
        <w:t xml:space="preserve">is patients who have </w:t>
      </w:r>
      <w:r w:rsidRPr="006667A5">
        <w:rPr>
          <w:rFonts w:ascii="Franklin Gothic Book" w:hAnsi="Franklin Gothic Book"/>
          <w:i/>
        </w:rPr>
        <w:t>HER2</w:t>
      </w:r>
      <w:r w:rsidRPr="006667A5">
        <w:rPr>
          <w:rFonts w:ascii="Franklin Gothic Book" w:hAnsi="Franklin Gothic Book"/>
        </w:rPr>
        <w:t xml:space="preserve">-positive metastatic G/GOJ adenocarcinoma and have received a </w:t>
      </w:r>
      <w:proofErr w:type="gramStart"/>
      <w:r w:rsidRPr="006667A5">
        <w:rPr>
          <w:rFonts w:ascii="Franklin Gothic Book" w:hAnsi="Franklin Gothic Book"/>
        </w:rPr>
        <w:t>first-line</w:t>
      </w:r>
      <w:proofErr w:type="gramEnd"/>
      <w:r w:rsidRPr="006667A5">
        <w:rPr>
          <w:rFonts w:ascii="Franklin Gothic Book" w:hAnsi="Franklin Gothic Book"/>
        </w:rPr>
        <w:t xml:space="preserve"> (1L) regimen containing trastuzumab. In Australia, </w:t>
      </w:r>
      <w:r w:rsidRPr="006667A5">
        <w:rPr>
          <w:rFonts w:ascii="Franklin Gothic Book" w:hAnsi="Franklin Gothic Book"/>
          <w:i/>
        </w:rPr>
        <w:t>HER2</w:t>
      </w:r>
      <w:r w:rsidRPr="006667A5">
        <w:rPr>
          <w:rFonts w:ascii="Franklin Gothic Book" w:hAnsi="Franklin Gothic Book"/>
        </w:rPr>
        <w:t xml:space="preserve"> testing is routine clinical practice for patients with metastatic G/GOJ adenocarcinoma to determine their eligibility for PBS-funded trastuzumab as a 1L treatment. </w:t>
      </w:r>
    </w:p>
    <w:p w14:paraId="23D52419" w14:textId="6C92EEAD" w:rsidR="006667A5" w:rsidRPr="006667A5" w:rsidRDefault="003C4ADF" w:rsidP="006667A5">
      <w:pPr>
        <w:pStyle w:val="Bullet"/>
        <w:numPr>
          <w:ilvl w:val="0"/>
          <w:numId w:val="0"/>
        </w:numPr>
        <w:spacing w:after="160"/>
        <w:rPr>
          <w:rFonts w:ascii="Franklin Gothic Book" w:hAnsi="Franklin Gothic Book"/>
        </w:rPr>
      </w:pPr>
      <w:r>
        <w:rPr>
          <w:rFonts w:ascii="Franklin Gothic Book" w:hAnsi="Franklin Gothic Book"/>
        </w:rPr>
        <w:lastRenderedPageBreak/>
        <w:t xml:space="preserve">MSAC noted </w:t>
      </w:r>
      <w:r w:rsidR="006667A5" w:rsidRPr="006667A5">
        <w:rPr>
          <w:rFonts w:ascii="Franklin Gothic Book" w:hAnsi="Franklin Gothic Book"/>
        </w:rPr>
        <w:t xml:space="preserve">ISH </w:t>
      </w:r>
      <w:r w:rsidR="006667A5" w:rsidRPr="006667A5">
        <w:rPr>
          <w:rFonts w:ascii="Franklin Gothic Book" w:hAnsi="Franklin Gothic Book"/>
          <w:i/>
        </w:rPr>
        <w:t>HER2</w:t>
      </w:r>
      <w:r w:rsidR="006667A5" w:rsidRPr="006667A5">
        <w:rPr>
          <w:rFonts w:ascii="Franklin Gothic Book" w:hAnsi="Franklin Gothic Book"/>
        </w:rPr>
        <w:t xml:space="preserve"> testing for access to trastuzumab in metastatic G/GOJ cancer </w:t>
      </w:r>
      <w:r w:rsidR="00735C40">
        <w:rPr>
          <w:rFonts w:ascii="Franklin Gothic Book" w:hAnsi="Franklin Gothic Book"/>
        </w:rPr>
        <w:t>is</w:t>
      </w:r>
      <w:r w:rsidR="00735C40" w:rsidRPr="006667A5">
        <w:rPr>
          <w:rFonts w:ascii="Franklin Gothic Book" w:hAnsi="Franklin Gothic Book"/>
        </w:rPr>
        <w:t xml:space="preserve"> </w:t>
      </w:r>
      <w:r w:rsidR="006667A5" w:rsidRPr="006667A5">
        <w:rPr>
          <w:rFonts w:ascii="Franklin Gothic Book" w:hAnsi="Franklin Gothic Book"/>
        </w:rPr>
        <w:t xml:space="preserve">currently funded on the MBS </w:t>
      </w:r>
      <w:r w:rsidR="00444561">
        <w:rPr>
          <w:rFonts w:ascii="Franklin Gothic Book" w:hAnsi="Franklin Gothic Book"/>
        </w:rPr>
        <w:t xml:space="preserve">using item </w:t>
      </w:r>
      <w:r w:rsidR="004B0C35" w:rsidRPr="00F035BC">
        <w:rPr>
          <w:rFonts w:ascii="Franklin Gothic Book" w:hAnsi="Franklin Gothic Book"/>
        </w:rPr>
        <w:t>73342</w:t>
      </w:r>
      <w:r w:rsidR="004B0C35">
        <w:rPr>
          <w:rStyle w:val="FootnoteReference"/>
          <w:rFonts w:ascii="Franklin Gothic Book" w:hAnsi="Franklin Gothic Book"/>
        </w:rPr>
        <w:footnoteReference w:id="2"/>
      </w:r>
      <w:r w:rsidR="006667A5" w:rsidRPr="006667A5">
        <w:rPr>
          <w:rFonts w:ascii="Franklin Gothic Book" w:hAnsi="Franklin Gothic Book"/>
        </w:rPr>
        <w:t>. The descriptor for item 73342 specifically states that ISH testing should be done to determine ‘access to trastuzumab’. The applicant sought to expand the descriptor for MBS item 73342 such that it applies not just to trastuzumab but to other trastuzumab-containing agents, including T-</w:t>
      </w:r>
      <w:proofErr w:type="spellStart"/>
      <w:r w:rsidR="006667A5" w:rsidRPr="006667A5">
        <w:rPr>
          <w:rFonts w:ascii="Franklin Gothic Book" w:hAnsi="Franklin Gothic Book"/>
        </w:rPr>
        <w:t>DXd</w:t>
      </w:r>
      <w:proofErr w:type="spellEnd"/>
      <w:r w:rsidR="006667A5" w:rsidRPr="006667A5">
        <w:rPr>
          <w:rFonts w:ascii="Franklin Gothic Book" w:hAnsi="Franklin Gothic Book"/>
        </w:rPr>
        <w:t xml:space="preserve">. The </w:t>
      </w:r>
      <w:r w:rsidR="000C468D">
        <w:rPr>
          <w:rFonts w:ascii="Franklin Gothic Book" w:hAnsi="Franklin Gothic Book"/>
        </w:rPr>
        <w:t>d</w:t>
      </w:r>
      <w:r w:rsidR="000C468D" w:rsidRPr="006667A5">
        <w:rPr>
          <w:rFonts w:ascii="Franklin Gothic Book" w:hAnsi="Franklin Gothic Book"/>
        </w:rPr>
        <w:t>epartment</w:t>
      </w:r>
      <w:r w:rsidR="000C468D" w:rsidRPr="006667A5" w:rsidDel="007E35D5">
        <w:rPr>
          <w:rFonts w:ascii="Franklin Gothic Book" w:hAnsi="Franklin Gothic Book"/>
        </w:rPr>
        <w:t xml:space="preserve"> </w:t>
      </w:r>
      <w:r w:rsidR="006667A5" w:rsidRPr="006667A5">
        <w:rPr>
          <w:rFonts w:ascii="Franklin Gothic Book" w:hAnsi="Franklin Gothic Book"/>
        </w:rPr>
        <w:t xml:space="preserve">recommended that </w:t>
      </w:r>
      <w:r w:rsidR="006667A5" w:rsidRPr="006667A5" w:rsidDel="007E35D5">
        <w:rPr>
          <w:rFonts w:ascii="Franklin Gothic Book" w:hAnsi="Franklin Gothic Book"/>
        </w:rPr>
        <w:t xml:space="preserve">the </w:t>
      </w:r>
      <w:r w:rsidR="006667A5" w:rsidRPr="006667A5">
        <w:rPr>
          <w:rFonts w:ascii="Franklin Gothic Book" w:hAnsi="Franklin Gothic Book"/>
        </w:rPr>
        <w:t xml:space="preserve">descriptor be broadened by replacing the drug name with </w:t>
      </w:r>
      <w:r w:rsidR="2E319C93" w:rsidRPr="40B5E3E1">
        <w:rPr>
          <w:rFonts w:ascii="Franklin Gothic Book" w:hAnsi="Franklin Gothic Book"/>
        </w:rPr>
        <w:t>‘</w:t>
      </w:r>
      <w:r w:rsidR="00D00AC3" w:rsidRPr="00D00AC3">
        <w:rPr>
          <w:rFonts w:ascii="Franklin Gothic Book" w:hAnsi="Franklin Gothic Book"/>
        </w:rPr>
        <w:t xml:space="preserve">relevant treatment under the </w:t>
      </w:r>
      <w:r w:rsidR="006667A5" w:rsidRPr="64D7D92C">
        <w:rPr>
          <w:rFonts w:ascii="Franklin Gothic Book" w:hAnsi="Franklin Gothic Book"/>
        </w:rPr>
        <w:t>P</w:t>
      </w:r>
      <w:r w:rsidR="5F1326F0" w:rsidRPr="64D7D92C">
        <w:rPr>
          <w:rFonts w:ascii="Franklin Gothic Book" w:hAnsi="Franklin Gothic Book"/>
        </w:rPr>
        <w:t xml:space="preserve">harmaceutical </w:t>
      </w:r>
      <w:r w:rsidR="006667A5" w:rsidRPr="64D7D92C">
        <w:rPr>
          <w:rFonts w:ascii="Franklin Gothic Book" w:hAnsi="Franklin Gothic Book"/>
        </w:rPr>
        <w:t>B</w:t>
      </w:r>
      <w:r w:rsidR="1D6B9828" w:rsidRPr="64D7D92C">
        <w:rPr>
          <w:rFonts w:ascii="Franklin Gothic Book" w:hAnsi="Franklin Gothic Book"/>
        </w:rPr>
        <w:t xml:space="preserve">enefits </w:t>
      </w:r>
      <w:r w:rsidR="006667A5" w:rsidRPr="64D7D92C">
        <w:rPr>
          <w:rFonts w:ascii="Franklin Gothic Book" w:hAnsi="Franklin Gothic Book"/>
        </w:rPr>
        <w:t>S</w:t>
      </w:r>
      <w:r w:rsidR="7267ACBB" w:rsidRPr="64D7D92C">
        <w:rPr>
          <w:rFonts w:ascii="Franklin Gothic Book" w:hAnsi="Franklin Gothic Book"/>
        </w:rPr>
        <w:t>cheme</w:t>
      </w:r>
      <w:r w:rsidR="6182CE9E" w:rsidRPr="64D7D92C">
        <w:rPr>
          <w:rFonts w:ascii="Franklin Gothic Book" w:hAnsi="Franklin Gothic Book"/>
        </w:rPr>
        <w:t>’</w:t>
      </w:r>
      <w:r w:rsidR="006667A5" w:rsidRPr="006667A5">
        <w:rPr>
          <w:rFonts w:ascii="Franklin Gothic Book" w:hAnsi="Franklin Gothic Book"/>
        </w:rPr>
        <w:t xml:space="preserve">. MSAC agreed that the descriptor should be amended as proposed by the </w:t>
      </w:r>
      <w:r w:rsidR="000C468D">
        <w:rPr>
          <w:rFonts w:ascii="Franklin Gothic Book" w:hAnsi="Franklin Gothic Book"/>
        </w:rPr>
        <w:t>d</w:t>
      </w:r>
      <w:r w:rsidR="006667A5" w:rsidRPr="006667A5">
        <w:rPr>
          <w:rFonts w:ascii="Franklin Gothic Book" w:hAnsi="Franklin Gothic Book"/>
        </w:rPr>
        <w:t>epartment, acknowledging that the change would futureproof the descriptor and align its wording with the standard terminology used for new MBS items for services that allow access to therapy</w:t>
      </w:r>
      <w:r w:rsidR="00841792">
        <w:rPr>
          <w:rFonts w:ascii="Franklin Gothic Book" w:hAnsi="Franklin Gothic Book"/>
        </w:rPr>
        <w:t xml:space="preserve"> on the PBS</w:t>
      </w:r>
      <w:r w:rsidR="006667A5" w:rsidRPr="006667A5">
        <w:rPr>
          <w:rFonts w:ascii="Franklin Gothic Book" w:hAnsi="Franklin Gothic Book"/>
        </w:rPr>
        <w:t xml:space="preserve">. </w:t>
      </w:r>
    </w:p>
    <w:p w14:paraId="0B15C661" w14:textId="330881B6" w:rsidR="00476C0D" w:rsidRPr="006667A5" w:rsidRDefault="00476C0D" w:rsidP="00476C0D">
      <w:pPr>
        <w:spacing w:line="240" w:lineRule="auto"/>
      </w:pPr>
      <w:r w:rsidRPr="006667A5">
        <w:t xml:space="preserve">MSAC noted that </w:t>
      </w:r>
      <w:r w:rsidRPr="006667A5">
        <w:rPr>
          <w:i/>
        </w:rPr>
        <w:t>HER2</w:t>
      </w:r>
      <w:r w:rsidRPr="006667A5">
        <w:t xml:space="preserve"> status is determined using immunohistochemical (IHC) and ISH testing on a FFPE sample. Because gastric cancer is more heterogeneous than other cancers, such as breast cancer, it is recommended that</w:t>
      </w:r>
      <w:r w:rsidRPr="006667A5" w:rsidDel="002401D5">
        <w:t xml:space="preserve"> </w:t>
      </w:r>
      <w:r w:rsidRPr="006667A5">
        <w:t>at least 6 biopsy samples be tested to reduce the likelihood of false negatives.</w:t>
      </w:r>
      <w:r w:rsidR="00ED4ADE">
        <w:t xml:space="preserve"> However, MSAC noted </w:t>
      </w:r>
      <w:r w:rsidR="00D5648F" w:rsidRPr="00184BC9">
        <w:rPr>
          <w:i/>
          <w:iCs/>
        </w:rPr>
        <w:t>HER2</w:t>
      </w:r>
      <w:r w:rsidR="00D5648F">
        <w:t xml:space="preserve"> t</w:t>
      </w:r>
      <w:r w:rsidR="00D5648F" w:rsidRPr="00D5648F">
        <w:t>est</w:t>
      </w:r>
      <w:r w:rsidR="00D5648F">
        <w:t>ing</w:t>
      </w:r>
      <w:r w:rsidR="00D5648F" w:rsidRPr="00D5648F">
        <w:t xml:space="preserve"> is very well established</w:t>
      </w:r>
      <w:r w:rsidR="00D5648F">
        <w:t xml:space="preserve"> </w:t>
      </w:r>
      <w:r w:rsidR="007E5644">
        <w:t xml:space="preserve">in Australia </w:t>
      </w:r>
      <w:r w:rsidR="00D5648F">
        <w:t xml:space="preserve">and there are </w:t>
      </w:r>
      <w:r w:rsidR="00D5648F" w:rsidRPr="00D5648F">
        <w:t xml:space="preserve">no significant performance concerns in </w:t>
      </w:r>
      <w:r w:rsidR="007E5644">
        <w:t>real world practice.</w:t>
      </w:r>
    </w:p>
    <w:p w14:paraId="0C984C3C" w14:textId="0494FF8B" w:rsidR="00CB0B38" w:rsidRDefault="000B5210" w:rsidP="006667A5">
      <w:pPr>
        <w:spacing w:line="240" w:lineRule="auto"/>
      </w:pPr>
      <w:r>
        <w:t>MSAC supported retaining the current MBS fee of $315.40.</w:t>
      </w:r>
      <w:r w:rsidR="00F035BC">
        <w:t xml:space="preserve"> </w:t>
      </w:r>
    </w:p>
    <w:p w14:paraId="3FAC374E" w14:textId="3932BA03" w:rsidR="006667A5" w:rsidRPr="006667A5" w:rsidRDefault="006667A5" w:rsidP="006667A5">
      <w:pPr>
        <w:spacing w:line="240" w:lineRule="auto"/>
      </w:pPr>
      <w:r w:rsidRPr="006667A5">
        <w:t xml:space="preserve">MSAC noted that because </w:t>
      </w:r>
      <w:r w:rsidRPr="006667A5">
        <w:rPr>
          <w:i/>
        </w:rPr>
        <w:t>HER2</w:t>
      </w:r>
      <w:r w:rsidRPr="006667A5">
        <w:t xml:space="preserve"> status may change from positive to negative following 1L therapy, or from negative to positive with cancer progression, retesting after</w:t>
      </w:r>
      <w:r w:rsidRPr="006667A5" w:rsidDel="00F36D36">
        <w:t xml:space="preserve"> </w:t>
      </w:r>
      <w:r w:rsidRPr="006667A5">
        <w:t xml:space="preserve">1L treatment could be appropriate. The applicant’s proposed amendment to item 73342 would enable this retesting of </w:t>
      </w:r>
      <w:r w:rsidRPr="006667A5">
        <w:rPr>
          <w:i/>
        </w:rPr>
        <w:t>HER2</w:t>
      </w:r>
      <w:r w:rsidRPr="006667A5">
        <w:t xml:space="preserve"> status using a </w:t>
      </w:r>
      <w:r w:rsidR="00B437E0">
        <w:t xml:space="preserve">second </w:t>
      </w:r>
      <w:r w:rsidRPr="006667A5">
        <w:t xml:space="preserve">biopsy taken after progression on 1L treatment with trastuzumab. It would also </w:t>
      </w:r>
      <w:r w:rsidR="000164D7">
        <w:t>allow</w:t>
      </w:r>
      <w:r w:rsidR="000164D7" w:rsidRPr="006667A5">
        <w:t xml:space="preserve"> </w:t>
      </w:r>
      <w:r w:rsidRPr="006667A5">
        <w:t xml:space="preserve">an initial biopsy to be used to determine eligibility for 1L treatment with trastuzumab and </w:t>
      </w:r>
      <w:r w:rsidR="00E94BB8">
        <w:t>subsequently use th</w:t>
      </w:r>
      <w:r w:rsidR="00E45652">
        <w:t>is</w:t>
      </w:r>
      <w:r w:rsidR="00735B7D">
        <w:t xml:space="preserve"> initial </w:t>
      </w:r>
      <w:r w:rsidR="00735B7D" w:rsidRPr="002B18B3">
        <w:rPr>
          <w:i/>
          <w:iCs/>
        </w:rPr>
        <w:t>HER2</w:t>
      </w:r>
      <w:r w:rsidR="00735B7D">
        <w:t xml:space="preserve"> test</w:t>
      </w:r>
      <w:r w:rsidR="000164D7">
        <w:t xml:space="preserve"> result </w:t>
      </w:r>
      <w:r w:rsidR="00FE4585">
        <w:t xml:space="preserve">to support eligibility </w:t>
      </w:r>
      <w:r w:rsidR="00962C18">
        <w:t xml:space="preserve">for </w:t>
      </w:r>
      <w:r w:rsidRPr="006667A5">
        <w:t>2L+ treatment with T-</w:t>
      </w:r>
      <w:proofErr w:type="spellStart"/>
      <w:r w:rsidRPr="006667A5">
        <w:t>DXd</w:t>
      </w:r>
      <w:proofErr w:type="spellEnd"/>
      <w:r w:rsidR="00962C18">
        <w:t>. MSAC noted this would</w:t>
      </w:r>
      <w:r w:rsidRPr="006667A5">
        <w:t xml:space="preserve"> avert the need for a patient to undergo a second biopsy if it is not clinically necessary. </w:t>
      </w:r>
    </w:p>
    <w:p w14:paraId="428E298E" w14:textId="77777777" w:rsidR="006667A5" w:rsidRPr="006667A5" w:rsidRDefault="006667A5" w:rsidP="006667A5">
      <w:pPr>
        <w:spacing w:before="0" w:line="240" w:lineRule="auto"/>
      </w:pPr>
      <w:r w:rsidRPr="006667A5">
        <w:t xml:space="preserve">MSAC noted the existing clinical management algorithm for newly diagnosed patients with metastatic G/GOJ. </w:t>
      </w:r>
      <w:r w:rsidRPr="006667A5" w:rsidDel="00776FB5">
        <w:rPr>
          <w:i/>
        </w:rPr>
        <w:t>HER2</w:t>
      </w:r>
      <w:r w:rsidRPr="006667A5" w:rsidDel="00776FB5">
        <w:t xml:space="preserve"> status</w:t>
      </w:r>
      <w:r w:rsidRPr="006667A5">
        <w:t xml:space="preserve"> is first assessed using IHC, which yields a score of 0 to 3+. In Australia, patients who receive a score of 2+ (equivocal) or 3+ (positive) are eligible for MBS-funded ISH testing, and a patient is only considered </w:t>
      </w:r>
      <w:r w:rsidRPr="006667A5">
        <w:rPr>
          <w:i/>
        </w:rPr>
        <w:t>HER2</w:t>
      </w:r>
      <w:r w:rsidRPr="006667A5">
        <w:t xml:space="preserve">-positive (and eligible for access to trastuzumab) following a positive ISH result. MSAC noted that this definition is more stringent than the American Society of Clinical Oncology/College of American Pathologists (ASCO/CAP) guidelines, which consider an IHC score of 3+ to be </w:t>
      </w:r>
      <w:r w:rsidRPr="006667A5">
        <w:rPr>
          <w:i/>
        </w:rPr>
        <w:t>HER2</w:t>
      </w:r>
      <w:r w:rsidRPr="006667A5">
        <w:t>-positive. However, MSAC considered that the vast majority of 3+ IHC results result in positive ISH results, so the difference is likely to be minimal in practice.</w:t>
      </w:r>
    </w:p>
    <w:p w14:paraId="62DD096C" w14:textId="6A16E8AB" w:rsidR="006667A5" w:rsidRPr="006667A5" w:rsidRDefault="006667A5" w:rsidP="006667A5">
      <w:pPr>
        <w:pStyle w:val="Bullet"/>
        <w:numPr>
          <w:ilvl w:val="0"/>
          <w:numId w:val="0"/>
        </w:numPr>
        <w:spacing w:after="160"/>
        <w:rPr>
          <w:rFonts w:ascii="Franklin Gothic Book" w:hAnsi="Franklin Gothic Book"/>
        </w:rPr>
      </w:pPr>
      <w:r w:rsidRPr="006667A5">
        <w:rPr>
          <w:rFonts w:ascii="Franklin Gothic Book" w:hAnsi="Franklin Gothic Book"/>
        </w:rPr>
        <w:t xml:space="preserve">MSAC noted the proposed clinical management algorithm, which adds </w:t>
      </w:r>
      <w:r w:rsidR="005E770D">
        <w:rPr>
          <w:rFonts w:ascii="Franklin Gothic Book" w:hAnsi="Franklin Gothic Book"/>
        </w:rPr>
        <w:t xml:space="preserve">repeat testing on </w:t>
      </w:r>
      <w:r w:rsidR="001A3531">
        <w:rPr>
          <w:rFonts w:ascii="Franklin Gothic Book" w:hAnsi="Franklin Gothic Book"/>
        </w:rPr>
        <w:t>a new biopsy</w:t>
      </w:r>
      <w:r w:rsidRPr="006667A5">
        <w:rPr>
          <w:rFonts w:ascii="Franklin Gothic Book" w:hAnsi="Franklin Gothic Book"/>
        </w:rPr>
        <w:t xml:space="preserve"> (if appropriate) following 1L treatment. Patients who are still </w:t>
      </w:r>
      <w:r w:rsidRPr="006667A5">
        <w:rPr>
          <w:rFonts w:ascii="Franklin Gothic Book" w:hAnsi="Franklin Gothic Book"/>
          <w:i/>
        </w:rPr>
        <w:t>HER2</w:t>
      </w:r>
      <w:r w:rsidRPr="006667A5">
        <w:rPr>
          <w:rFonts w:ascii="Franklin Gothic Book" w:hAnsi="Franklin Gothic Book"/>
        </w:rPr>
        <w:t>-positive would receive T-</w:t>
      </w:r>
      <w:proofErr w:type="spellStart"/>
      <w:r w:rsidRPr="006667A5">
        <w:rPr>
          <w:rFonts w:ascii="Franklin Gothic Book" w:hAnsi="Franklin Gothic Book"/>
        </w:rPr>
        <w:t>DXd</w:t>
      </w:r>
      <w:proofErr w:type="spellEnd"/>
      <w:r w:rsidRPr="006667A5">
        <w:rPr>
          <w:rFonts w:ascii="Franklin Gothic Book" w:hAnsi="Franklin Gothic Book"/>
        </w:rPr>
        <w:t xml:space="preserve">, while those whose </w:t>
      </w:r>
      <w:r w:rsidRPr="006667A5">
        <w:rPr>
          <w:rFonts w:ascii="Franklin Gothic Book" w:hAnsi="Franklin Gothic Book"/>
          <w:i/>
        </w:rPr>
        <w:t>HER2</w:t>
      </w:r>
      <w:r w:rsidRPr="006667A5">
        <w:rPr>
          <w:rFonts w:ascii="Franklin Gothic Book" w:hAnsi="Franklin Gothic Book"/>
        </w:rPr>
        <w:t xml:space="preserve"> status has changed to negative would receive standard 2L treatments for </w:t>
      </w:r>
      <w:r w:rsidRPr="006667A5">
        <w:rPr>
          <w:rFonts w:ascii="Franklin Gothic Book" w:hAnsi="Franklin Gothic Book"/>
          <w:i/>
        </w:rPr>
        <w:t>HER2</w:t>
      </w:r>
      <w:r w:rsidRPr="006667A5">
        <w:rPr>
          <w:rFonts w:ascii="Franklin Gothic Book" w:hAnsi="Franklin Gothic Book"/>
        </w:rPr>
        <w:t>-negative patients.</w:t>
      </w:r>
    </w:p>
    <w:p w14:paraId="54BF5018" w14:textId="7094714B" w:rsidR="006667A5" w:rsidRPr="006667A5" w:rsidRDefault="006667A5" w:rsidP="006667A5">
      <w:pPr>
        <w:pStyle w:val="ListParagraph"/>
        <w:ind w:left="0"/>
        <w:contextualSpacing w:val="0"/>
      </w:pPr>
      <w:r w:rsidRPr="006667A5">
        <w:t>MSAC noted that</w:t>
      </w:r>
      <w:r w:rsidRPr="006667A5" w:rsidDel="00247EA9">
        <w:t xml:space="preserve"> safety </w:t>
      </w:r>
      <w:r w:rsidRPr="006667A5">
        <w:t xml:space="preserve">concerns are due to </w:t>
      </w:r>
      <w:proofErr w:type="spellStart"/>
      <w:r w:rsidRPr="006667A5">
        <w:t>rebiopsy</w:t>
      </w:r>
      <w:proofErr w:type="spellEnd"/>
      <w:r w:rsidRPr="006667A5">
        <w:t xml:space="preserve"> rather than the test itself. MSAC noted that the risk of a false positive result would result in adverse events from T-</w:t>
      </w:r>
      <w:proofErr w:type="spellStart"/>
      <w:r w:rsidRPr="006667A5">
        <w:t>DXd</w:t>
      </w:r>
      <w:proofErr w:type="spellEnd"/>
      <w:r w:rsidRPr="006667A5">
        <w:t xml:space="preserve"> treatment, but that false positives are unlikely due to the high </w:t>
      </w:r>
      <w:r w:rsidR="00414D01">
        <w:t xml:space="preserve">specificity </w:t>
      </w:r>
      <w:r w:rsidRPr="006667A5">
        <w:t xml:space="preserve">of the </w:t>
      </w:r>
      <w:r w:rsidRPr="006667A5">
        <w:rPr>
          <w:i/>
        </w:rPr>
        <w:t>HER2</w:t>
      </w:r>
      <w:r w:rsidRPr="006667A5">
        <w:t> test. MSAC also noted that most T-</w:t>
      </w:r>
      <w:proofErr w:type="spellStart"/>
      <w:r w:rsidRPr="006667A5">
        <w:t>DXd</w:t>
      </w:r>
      <w:proofErr w:type="spellEnd"/>
      <w:r w:rsidRPr="006667A5">
        <w:t xml:space="preserve">-eligible patients are unlikely to undergo </w:t>
      </w:r>
      <w:proofErr w:type="spellStart"/>
      <w:r w:rsidRPr="006667A5">
        <w:t>rebiopsy</w:t>
      </w:r>
      <w:proofErr w:type="spellEnd"/>
      <w:r w:rsidRPr="006667A5">
        <w:t xml:space="preserve"> and retesting due to potential harms </w:t>
      </w:r>
      <w:r w:rsidR="00DD05D3">
        <w:t xml:space="preserve">from </w:t>
      </w:r>
      <w:proofErr w:type="spellStart"/>
      <w:r w:rsidR="00DD05D3">
        <w:t>rebiopsy</w:t>
      </w:r>
      <w:proofErr w:type="spellEnd"/>
      <w:r w:rsidR="00DD05D3">
        <w:t xml:space="preserve"> </w:t>
      </w:r>
      <w:r w:rsidRPr="006667A5">
        <w:t xml:space="preserve">and treatment delays. MSAC noted the applicant’s pre-MSAC response, which clarified that the </w:t>
      </w:r>
      <w:r w:rsidR="00467DF9" w:rsidRPr="00184BC9">
        <w:rPr>
          <w:b/>
          <w:bCs/>
        </w:rPr>
        <w:t>redac</w:t>
      </w:r>
      <w:r w:rsidR="005C6232" w:rsidRPr="00184BC9">
        <w:rPr>
          <w:b/>
          <w:bCs/>
        </w:rPr>
        <w:t>t</w:t>
      </w:r>
      <w:r w:rsidR="00467DF9" w:rsidRPr="00184BC9">
        <w:rPr>
          <w:b/>
          <w:bCs/>
        </w:rPr>
        <w:t>ed</w:t>
      </w:r>
      <w:r w:rsidRPr="006667A5">
        <w:t xml:space="preserve">% </w:t>
      </w:r>
      <w:r w:rsidR="00215B7E">
        <w:t xml:space="preserve">estimate for retesting </w:t>
      </w:r>
      <w:r w:rsidRPr="006667A5">
        <w:t xml:space="preserve">was </w:t>
      </w:r>
      <w:r w:rsidR="00215B7E">
        <w:t xml:space="preserve">based on clinical expert </w:t>
      </w:r>
      <w:r w:rsidR="00516676">
        <w:t>opinion</w:t>
      </w:r>
      <w:r w:rsidR="00215B7E">
        <w:t>.</w:t>
      </w:r>
      <w:r w:rsidRPr="006667A5">
        <w:t xml:space="preserve"> </w:t>
      </w:r>
    </w:p>
    <w:p w14:paraId="5D470BD7" w14:textId="63232447" w:rsidR="006667A5" w:rsidRPr="006667A5" w:rsidRDefault="006667A5" w:rsidP="006667A5">
      <w:pPr>
        <w:pStyle w:val="ListParagraph"/>
        <w:spacing w:after="240"/>
        <w:ind w:left="0"/>
        <w:contextualSpacing w:val="0"/>
      </w:pPr>
      <w:r w:rsidRPr="006667A5">
        <w:t>MSAC noted that the MSAC Executive</w:t>
      </w:r>
      <w:r w:rsidR="00215B7E">
        <w:t xml:space="preserve"> at its August 2023 meeting</w:t>
      </w:r>
      <w:r w:rsidRPr="006667A5">
        <w:t xml:space="preserve"> had sought further information on the number of patients who would likely experience </w:t>
      </w:r>
      <w:r w:rsidRPr="006667A5">
        <w:rPr>
          <w:i/>
          <w:iCs/>
        </w:rPr>
        <w:t>HER2</w:t>
      </w:r>
      <w:r w:rsidRPr="006667A5">
        <w:t xml:space="preserve"> downregulation following 1L therapy with trastuzumab, given that </w:t>
      </w:r>
      <w:r w:rsidR="001F46C2">
        <w:t xml:space="preserve">the commentary </w:t>
      </w:r>
      <w:r w:rsidR="00516676">
        <w:t xml:space="preserve">identified </w:t>
      </w:r>
      <w:r w:rsidRPr="006667A5">
        <w:t xml:space="preserve">around 30% of patients may lose </w:t>
      </w:r>
      <w:r w:rsidRPr="006667A5">
        <w:rPr>
          <w:i/>
          <w:iCs/>
        </w:rPr>
        <w:t>HER2</w:t>
      </w:r>
      <w:r w:rsidRPr="006667A5">
        <w:t xml:space="preserve"> positivity. MSAC noted the applicant’s pre-MSAC response, which stated that the </w:t>
      </w:r>
      <w:r w:rsidRPr="006667A5">
        <w:lastRenderedPageBreak/>
        <w:t xml:space="preserve">mechanism of </w:t>
      </w:r>
      <w:r w:rsidRPr="006667A5">
        <w:rPr>
          <w:i/>
          <w:iCs/>
        </w:rPr>
        <w:t>HER2</w:t>
      </w:r>
      <w:r w:rsidRPr="006667A5">
        <w:t xml:space="preserve"> downregulation </w:t>
      </w:r>
      <w:r w:rsidR="00953F12">
        <w:t>wa</w:t>
      </w:r>
      <w:r w:rsidR="00953F12" w:rsidRPr="006667A5">
        <w:t xml:space="preserve">s </w:t>
      </w:r>
      <w:r w:rsidRPr="006667A5">
        <w:t xml:space="preserve">unclear and that the 30% </w:t>
      </w:r>
      <w:r w:rsidR="00953F12">
        <w:t>estimate</w:t>
      </w:r>
      <w:r w:rsidR="00953F12" w:rsidRPr="006667A5">
        <w:t xml:space="preserve"> </w:t>
      </w:r>
      <w:r w:rsidRPr="006667A5">
        <w:t xml:space="preserve">may be uncertain </w:t>
      </w:r>
      <w:r w:rsidR="00D479F8">
        <w:t xml:space="preserve">and </w:t>
      </w:r>
      <w:r w:rsidR="002365B2">
        <w:t>n</w:t>
      </w:r>
      <w:r w:rsidR="00D479F8">
        <w:t xml:space="preserve">ot realised </w:t>
      </w:r>
      <w:r w:rsidRPr="006667A5">
        <w:t>in clinical practice.</w:t>
      </w:r>
    </w:p>
    <w:p w14:paraId="099E0F73" w14:textId="76D23EAC" w:rsidR="006667A5" w:rsidRPr="006667A5" w:rsidRDefault="006667A5" w:rsidP="006667A5">
      <w:pPr>
        <w:pStyle w:val="Bullet"/>
        <w:numPr>
          <w:ilvl w:val="0"/>
          <w:numId w:val="0"/>
        </w:numPr>
        <w:spacing w:after="240"/>
        <w:rPr>
          <w:rFonts w:ascii="Franklin Gothic Book" w:hAnsi="Franklin Gothic Book"/>
        </w:rPr>
      </w:pPr>
      <w:r w:rsidRPr="006667A5">
        <w:rPr>
          <w:rFonts w:ascii="Franklin Gothic Book" w:hAnsi="Franklin Gothic Book"/>
        </w:rPr>
        <w:t xml:space="preserve">MSAC noted that the </w:t>
      </w:r>
      <w:proofErr w:type="spellStart"/>
      <w:r w:rsidRPr="006667A5">
        <w:rPr>
          <w:rFonts w:ascii="Franklin Gothic Book" w:hAnsi="Franklin Gothic Book"/>
        </w:rPr>
        <w:t>clinicial</w:t>
      </w:r>
      <w:proofErr w:type="spellEnd"/>
      <w:r w:rsidRPr="006667A5">
        <w:rPr>
          <w:rFonts w:ascii="Franklin Gothic Book" w:hAnsi="Franklin Gothic Book"/>
        </w:rPr>
        <w:t xml:space="preserve"> evidence </w:t>
      </w:r>
      <w:r w:rsidR="000E1027">
        <w:rPr>
          <w:rFonts w:ascii="Franklin Gothic Book" w:hAnsi="Franklin Gothic Book"/>
        </w:rPr>
        <w:t xml:space="preserve">presented </w:t>
      </w:r>
      <w:r w:rsidRPr="006667A5">
        <w:rPr>
          <w:rFonts w:ascii="Franklin Gothic Book" w:hAnsi="Franklin Gothic Book"/>
        </w:rPr>
        <w:t xml:space="preserve">was derived from 2 </w:t>
      </w:r>
      <w:r w:rsidR="002365B2">
        <w:rPr>
          <w:rFonts w:ascii="Franklin Gothic Book" w:hAnsi="Franklin Gothic Book"/>
        </w:rPr>
        <w:t>pivotal trials</w:t>
      </w:r>
      <w:r w:rsidR="002365B2" w:rsidRPr="006667A5">
        <w:rPr>
          <w:rFonts w:ascii="Franklin Gothic Book" w:hAnsi="Franklin Gothic Book"/>
        </w:rPr>
        <w:t xml:space="preserve"> </w:t>
      </w:r>
      <w:r w:rsidRPr="006667A5">
        <w:rPr>
          <w:rFonts w:ascii="Franklin Gothic Book" w:hAnsi="Franklin Gothic Book"/>
        </w:rPr>
        <w:t>showing key efficacy results for T-</w:t>
      </w:r>
      <w:proofErr w:type="spellStart"/>
      <w:r w:rsidRPr="006667A5">
        <w:rPr>
          <w:rFonts w:ascii="Franklin Gothic Book" w:hAnsi="Franklin Gothic Book"/>
        </w:rPr>
        <w:t>DXd</w:t>
      </w:r>
      <w:proofErr w:type="spellEnd"/>
      <w:r w:rsidRPr="006667A5">
        <w:rPr>
          <w:rFonts w:ascii="Franklin Gothic Book" w:hAnsi="Franklin Gothic Book"/>
        </w:rPr>
        <w:t xml:space="preserve"> therapy: Destiny-Gastric 01 (DG-01; Shitara et al., 2020</w:t>
      </w:r>
      <w:r w:rsidR="00064731">
        <w:rPr>
          <w:rStyle w:val="FootnoteReference"/>
          <w:rFonts w:ascii="Franklin Gothic Book" w:hAnsi="Franklin Gothic Book"/>
        </w:rPr>
        <w:footnoteReference w:id="3"/>
      </w:r>
      <w:r w:rsidRPr="006667A5">
        <w:rPr>
          <w:rFonts w:ascii="Franklin Gothic Book" w:hAnsi="Franklin Gothic Book"/>
        </w:rPr>
        <w:t xml:space="preserve">) and Destiny-Gastric 02 (DG-02; Van </w:t>
      </w:r>
      <w:proofErr w:type="spellStart"/>
      <w:r w:rsidRPr="006667A5">
        <w:rPr>
          <w:rFonts w:ascii="Franklin Gothic Book" w:hAnsi="Franklin Gothic Book"/>
        </w:rPr>
        <w:t>Cutse</w:t>
      </w:r>
      <w:r w:rsidR="002A70A3">
        <w:rPr>
          <w:rFonts w:ascii="Franklin Gothic Book" w:hAnsi="Franklin Gothic Book"/>
        </w:rPr>
        <w:t>m</w:t>
      </w:r>
      <w:proofErr w:type="spellEnd"/>
      <w:r w:rsidRPr="006667A5">
        <w:rPr>
          <w:rFonts w:ascii="Franklin Gothic Book" w:hAnsi="Franklin Gothic Book"/>
        </w:rPr>
        <w:t xml:space="preserve"> et al., 2023</w:t>
      </w:r>
      <w:r w:rsidR="002A70A3">
        <w:rPr>
          <w:rStyle w:val="FootnoteReference"/>
          <w:rFonts w:ascii="Franklin Gothic Book" w:hAnsi="Franklin Gothic Book"/>
        </w:rPr>
        <w:footnoteReference w:id="4"/>
      </w:r>
      <w:r w:rsidRPr="006667A5">
        <w:rPr>
          <w:rFonts w:ascii="Franklin Gothic Book" w:hAnsi="Franklin Gothic Book"/>
        </w:rPr>
        <w:t>). DG-01 (</w:t>
      </w:r>
      <w:r w:rsidRPr="006667A5">
        <w:rPr>
          <w:rFonts w:ascii="Franklin Gothic Book" w:hAnsi="Franklin Gothic Book"/>
          <w:i/>
        </w:rPr>
        <w:t>N</w:t>
      </w:r>
      <w:r w:rsidRPr="006667A5">
        <w:rPr>
          <w:rFonts w:ascii="Franklin Gothic Book" w:hAnsi="Franklin Gothic Book"/>
        </w:rPr>
        <w:t xml:space="preserve"> = 125) was a </w:t>
      </w:r>
      <w:r w:rsidR="00C47673">
        <w:rPr>
          <w:rFonts w:ascii="Franklin Gothic Book" w:hAnsi="Franklin Gothic Book"/>
        </w:rPr>
        <w:t xml:space="preserve">third line (3L) </w:t>
      </w:r>
      <w:r w:rsidRPr="006667A5">
        <w:rPr>
          <w:rFonts w:ascii="Franklin Gothic Book" w:hAnsi="Franklin Gothic Book"/>
        </w:rPr>
        <w:t xml:space="preserve">phase II </w:t>
      </w:r>
      <w:r w:rsidR="00552DF8">
        <w:rPr>
          <w:rFonts w:ascii="Franklin Gothic Book" w:hAnsi="Franklin Gothic Book"/>
        </w:rPr>
        <w:t>r</w:t>
      </w:r>
      <w:r w:rsidR="00552DF8" w:rsidRPr="00552DF8">
        <w:rPr>
          <w:rFonts w:ascii="Franklin Gothic Book" w:hAnsi="Franklin Gothic Book"/>
        </w:rPr>
        <w:t xml:space="preserve">andomized </w:t>
      </w:r>
      <w:r w:rsidR="00552DF8">
        <w:rPr>
          <w:rFonts w:ascii="Franklin Gothic Book" w:hAnsi="Franklin Gothic Book"/>
        </w:rPr>
        <w:t>c</w:t>
      </w:r>
      <w:r w:rsidR="00552DF8" w:rsidRPr="00552DF8">
        <w:rPr>
          <w:rFonts w:ascii="Franklin Gothic Book" w:hAnsi="Franklin Gothic Book"/>
        </w:rPr>
        <w:t xml:space="preserve">ontrolled </w:t>
      </w:r>
      <w:r w:rsidR="00552DF8">
        <w:rPr>
          <w:rFonts w:ascii="Franklin Gothic Book" w:hAnsi="Franklin Gothic Book"/>
        </w:rPr>
        <w:t>t</w:t>
      </w:r>
      <w:r w:rsidR="00552DF8" w:rsidRPr="00552DF8">
        <w:rPr>
          <w:rFonts w:ascii="Franklin Gothic Book" w:hAnsi="Franklin Gothic Book"/>
        </w:rPr>
        <w:t xml:space="preserve">rial </w:t>
      </w:r>
      <w:r w:rsidR="00552DF8">
        <w:rPr>
          <w:rFonts w:ascii="Franklin Gothic Book" w:hAnsi="Franklin Gothic Book"/>
        </w:rPr>
        <w:t>(</w:t>
      </w:r>
      <w:r w:rsidRPr="006667A5">
        <w:rPr>
          <w:rFonts w:ascii="Franklin Gothic Book" w:hAnsi="Franklin Gothic Book"/>
        </w:rPr>
        <w:t>RCT</w:t>
      </w:r>
      <w:r w:rsidR="00552DF8">
        <w:rPr>
          <w:rFonts w:ascii="Franklin Gothic Book" w:hAnsi="Franklin Gothic Book"/>
        </w:rPr>
        <w:t>)</w:t>
      </w:r>
      <w:r w:rsidRPr="006667A5">
        <w:rPr>
          <w:rFonts w:ascii="Franklin Gothic Book" w:hAnsi="Franklin Gothic Book"/>
        </w:rPr>
        <w:t xml:space="preserve"> involving a </w:t>
      </w:r>
      <w:r w:rsidRPr="006667A5">
        <w:rPr>
          <w:rFonts w:ascii="Franklin Gothic Book" w:hAnsi="Franklin Gothic Book"/>
          <w:i/>
        </w:rPr>
        <w:t>HER2</w:t>
      </w:r>
      <w:r w:rsidRPr="006667A5">
        <w:rPr>
          <w:rFonts w:ascii="Franklin Gothic Book" w:hAnsi="Franklin Gothic Book"/>
        </w:rPr>
        <w:t xml:space="preserve"> test done on archival tissue in a</w:t>
      </w:r>
      <w:r w:rsidR="002E187F">
        <w:rPr>
          <w:rFonts w:ascii="Franklin Gothic Book" w:hAnsi="Franklin Gothic Book"/>
        </w:rPr>
        <w:t xml:space="preserve"> South</w:t>
      </w:r>
      <w:r w:rsidR="00CD07BC">
        <w:rPr>
          <w:rFonts w:ascii="Franklin Gothic Book" w:hAnsi="Franklin Gothic Book"/>
        </w:rPr>
        <w:t>-</w:t>
      </w:r>
      <w:r w:rsidRPr="006667A5">
        <w:rPr>
          <w:rFonts w:ascii="Franklin Gothic Book" w:hAnsi="Franklin Gothic Book"/>
        </w:rPr>
        <w:t xml:space="preserve">East Asian population. DG-01 </w:t>
      </w:r>
      <w:r w:rsidR="00C47673">
        <w:rPr>
          <w:rFonts w:ascii="Franklin Gothic Book" w:hAnsi="Franklin Gothic Book"/>
        </w:rPr>
        <w:t>demonstrated</w:t>
      </w:r>
      <w:r w:rsidRPr="006667A5">
        <w:rPr>
          <w:rFonts w:ascii="Franklin Gothic Book" w:hAnsi="Franklin Gothic Book"/>
        </w:rPr>
        <w:t xml:space="preserve"> that T-</w:t>
      </w:r>
      <w:proofErr w:type="spellStart"/>
      <w:r w:rsidRPr="006667A5">
        <w:rPr>
          <w:rFonts w:ascii="Franklin Gothic Book" w:hAnsi="Franklin Gothic Book"/>
        </w:rPr>
        <w:t>DXd</w:t>
      </w:r>
      <w:proofErr w:type="spellEnd"/>
      <w:r w:rsidRPr="006667A5">
        <w:rPr>
          <w:rFonts w:ascii="Franklin Gothic Book" w:hAnsi="Franklin Gothic Book"/>
        </w:rPr>
        <w:t xml:space="preserve"> treatment </w:t>
      </w:r>
      <w:r w:rsidR="001A7496" w:rsidRPr="001A7496">
        <w:rPr>
          <w:rFonts w:ascii="Franklin Gothic Book" w:hAnsi="Franklin Gothic Book"/>
        </w:rPr>
        <w:t>significant</w:t>
      </w:r>
      <w:r w:rsidR="0051130B">
        <w:rPr>
          <w:rFonts w:ascii="Franklin Gothic Book" w:hAnsi="Franklin Gothic Book"/>
        </w:rPr>
        <w:t>ly</w:t>
      </w:r>
      <w:r w:rsidR="001A7496" w:rsidRPr="001A7496">
        <w:rPr>
          <w:rFonts w:ascii="Franklin Gothic Book" w:hAnsi="Franklin Gothic Book"/>
        </w:rPr>
        <w:t xml:space="preserve"> improve</w:t>
      </w:r>
      <w:r w:rsidR="0051130B">
        <w:rPr>
          <w:rFonts w:ascii="Franklin Gothic Book" w:hAnsi="Franklin Gothic Book"/>
        </w:rPr>
        <w:t>d (</w:t>
      </w:r>
      <w:r w:rsidR="0051130B" w:rsidRPr="001A7496">
        <w:rPr>
          <w:rFonts w:ascii="Franklin Gothic Book" w:hAnsi="Franklin Gothic Book"/>
        </w:rPr>
        <w:t>statistically</w:t>
      </w:r>
      <w:r w:rsidR="0051130B">
        <w:rPr>
          <w:rFonts w:ascii="Franklin Gothic Book" w:hAnsi="Franklin Gothic Book"/>
        </w:rPr>
        <w:t>)</w:t>
      </w:r>
      <w:r w:rsidR="001A7496" w:rsidRPr="001A7496">
        <w:rPr>
          <w:rFonts w:ascii="Franklin Gothic Book" w:hAnsi="Franklin Gothic Book"/>
        </w:rPr>
        <w:t xml:space="preserve"> </w:t>
      </w:r>
      <w:r w:rsidR="0051130B">
        <w:rPr>
          <w:rFonts w:ascii="Franklin Gothic Book" w:hAnsi="Franklin Gothic Book"/>
        </w:rPr>
        <w:t>overall survival</w:t>
      </w:r>
      <w:r w:rsidR="001A7496" w:rsidRPr="001A7496">
        <w:rPr>
          <w:rFonts w:ascii="Franklin Gothic Book" w:hAnsi="Franklin Gothic Book"/>
        </w:rPr>
        <w:t xml:space="preserve"> (Hazard ratio: 0.60, 95% CI: 0.42, 0.86, p = 0.01) and </w:t>
      </w:r>
      <w:r w:rsidR="00697E8A">
        <w:rPr>
          <w:rFonts w:ascii="Franklin Gothic Book" w:hAnsi="Franklin Gothic Book"/>
        </w:rPr>
        <w:t xml:space="preserve">progression free survival </w:t>
      </w:r>
      <w:r w:rsidR="001A7496" w:rsidRPr="001A7496">
        <w:rPr>
          <w:rFonts w:ascii="Franklin Gothic Book" w:hAnsi="Franklin Gothic Book"/>
        </w:rPr>
        <w:t>(Hazard ratio: 0.47, 95% CI: 0.31, 0.71, p = 0.0003)</w:t>
      </w:r>
      <w:r w:rsidR="00697E8A">
        <w:rPr>
          <w:rFonts w:ascii="Franklin Gothic Book" w:hAnsi="Franklin Gothic Book"/>
        </w:rPr>
        <w:t xml:space="preserve"> </w:t>
      </w:r>
      <w:r w:rsidRPr="006667A5">
        <w:rPr>
          <w:rFonts w:ascii="Franklin Gothic Book" w:hAnsi="Franklin Gothic Book"/>
        </w:rPr>
        <w:t xml:space="preserve">compared to the chemotherapy standard of care. </w:t>
      </w:r>
      <w:r w:rsidR="00CD07BC">
        <w:rPr>
          <w:rFonts w:ascii="Franklin Gothic Book" w:hAnsi="Franklin Gothic Book"/>
        </w:rPr>
        <w:t xml:space="preserve">MSAC noted </w:t>
      </w:r>
      <w:r w:rsidRPr="006667A5">
        <w:rPr>
          <w:rFonts w:ascii="Franklin Gothic Book" w:hAnsi="Franklin Gothic Book"/>
        </w:rPr>
        <w:t>DG-02 (</w:t>
      </w:r>
      <w:r w:rsidRPr="006667A5">
        <w:rPr>
          <w:rFonts w:ascii="Franklin Gothic Book" w:hAnsi="Franklin Gothic Book"/>
          <w:i/>
        </w:rPr>
        <w:t>N</w:t>
      </w:r>
      <w:r w:rsidRPr="006667A5">
        <w:rPr>
          <w:rFonts w:ascii="Franklin Gothic Book" w:hAnsi="Franklin Gothic Book"/>
        </w:rPr>
        <w:t xml:space="preserve"> = 79) was a single-arm </w:t>
      </w:r>
      <w:r w:rsidR="00C47673">
        <w:rPr>
          <w:rFonts w:ascii="Franklin Gothic Book" w:hAnsi="Franklin Gothic Book"/>
        </w:rPr>
        <w:t>second-line (</w:t>
      </w:r>
      <w:r w:rsidRPr="006667A5">
        <w:rPr>
          <w:rFonts w:ascii="Franklin Gothic Book" w:hAnsi="Franklin Gothic Book"/>
        </w:rPr>
        <w:t>2L</w:t>
      </w:r>
      <w:r w:rsidR="00C47673">
        <w:rPr>
          <w:rFonts w:ascii="Franklin Gothic Book" w:hAnsi="Franklin Gothic Book"/>
        </w:rPr>
        <w:t>)</w:t>
      </w:r>
      <w:r w:rsidRPr="006667A5">
        <w:rPr>
          <w:rFonts w:ascii="Franklin Gothic Book" w:hAnsi="Franklin Gothic Book"/>
        </w:rPr>
        <w:t xml:space="preserve"> phase II study involving</w:t>
      </w:r>
      <w:r w:rsidR="002B1963">
        <w:rPr>
          <w:rFonts w:ascii="Franklin Gothic Book" w:hAnsi="Franklin Gothic Book"/>
        </w:rPr>
        <w:t xml:space="preserve"> </w:t>
      </w:r>
      <w:r w:rsidRPr="006667A5">
        <w:rPr>
          <w:rFonts w:ascii="Franklin Gothic Book" w:hAnsi="Franklin Gothic Book"/>
          <w:i/>
        </w:rPr>
        <w:t>HER2</w:t>
      </w:r>
      <w:r w:rsidRPr="006667A5">
        <w:rPr>
          <w:rFonts w:ascii="Franklin Gothic Book" w:hAnsi="Franklin Gothic Book"/>
        </w:rPr>
        <w:t xml:space="preserve"> retest</w:t>
      </w:r>
      <w:r w:rsidR="002E187F">
        <w:rPr>
          <w:rFonts w:ascii="Franklin Gothic Book" w:hAnsi="Franklin Gothic Book"/>
        </w:rPr>
        <w:t>ing</w:t>
      </w:r>
      <w:r w:rsidRPr="006667A5">
        <w:rPr>
          <w:rFonts w:ascii="Franklin Gothic Book" w:hAnsi="Franklin Gothic Book"/>
        </w:rPr>
        <w:t xml:space="preserve"> on newly biopsied tissue in a predominantly European population. DG-02 </w:t>
      </w:r>
      <w:r w:rsidR="00246380">
        <w:rPr>
          <w:rFonts w:ascii="Franklin Gothic Book" w:hAnsi="Franklin Gothic Book"/>
        </w:rPr>
        <w:t>reported</w:t>
      </w:r>
      <w:r w:rsidR="00246380" w:rsidRPr="006667A5">
        <w:rPr>
          <w:rFonts w:ascii="Franklin Gothic Book" w:hAnsi="Franklin Gothic Book"/>
        </w:rPr>
        <w:t xml:space="preserve"> </w:t>
      </w:r>
      <w:r w:rsidRPr="006667A5">
        <w:rPr>
          <w:rFonts w:ascii="Franklin Gothic Book" w:hAnsi="Franklin Gothic Book"/>
        </w:rPr>
        <w:t xml:space="preserve">similar results for </w:t>
      </w:r>
      <w:r w:rsidR="002E187F">
        <w:rPr>
          <w:rFonts w:ascii="Franklin Gothic Book" w:hAnsi="Franklin Gothic Book"/>
        </w:rPr>
        <w:t>overall survival</w:t>
      </w:r>
      <w:r w:rsidR="002E187F" w:rsidRPr="006667A5">
        <w:rPr>
          <w:rFonts w:ascii="Franklin Gothic Book" w:hAnsi="Franklin Gothic Book"/>
        </w:rPr>
        <w:t xml:space="preserve"> </w:t>
      </w:r>
      <w:r w:rsidRPr="006667A5">
        <w:rPr>
          <w:rFonts w:ascii="Franklin Gothic Book" w:hAnsi="Franklin Gothic Book"/>
        </w:rPr>
        <w:t xml:space="preserve">and </w:t>
      </w:r>
      <w:r w:rsidR="002E187F">
        <w:rPr>
          <w:rFonts w:ascii="Franklin Gothic Book" w:hAnsi="Franklin Gothic Book"/>
        </w:rPr>
        <w:t>progression free survival</w:t>
      </w:r>
      <w:r w:rsidR="00AA26BB">
        <w:rPr>
          <w:rFonts w:ascii="Franklin Gothic Book" w:hAnsi="Franklin Gothic Book"/>
        </w:rPr>
        <w:t xml:space="preserve"> </w:t>
      </w:r>
      <w:r w:rsidRPr="006667A5">
        <w:rPr>
          <w:rFonts w:ascii="Franklin Gothic Book" w:hAnsi="Franklin Gothic Book"/>
        </w:rPr>
        <w:t>suggesting that T-</w:t>
      </w:r>
      <w:proofErr w:type="spellStart"/>
      <w:r w:rsidRPr="006667A5">
        <w:rPr>
          <w:rFonts w:ascii="Franklin Gothic Book" w:hAnsi="Franklin Gothic Book"/>
        </w:rPr>
        <w:t>DXd</w:t>
      </w:r>
      <w:proofErr w:type="spellEnd"/>
      <w:r w:rsidRPr="006667A5">
        <w:rPr>
          <w:rFonts w:ascii="Franklin Gothic Book" w:hAnsi="Franklin Gothic Book"/>
        </w:rPr>
        <w:t xml:space="preserve"> therapy would also be effective in 2L </w:t>
      </w:r>
      <w:r w:rsidR="009C7414">
        <w:rPr>
          <w:rFonts w:ascii="Franklin Gothic Book" w:hAnsi="Franklin Gothic Book"/>
        </w:rPr>
        <w:t xml:space="preserve">patients in the </w:t>
      </w:r>
      <w:r w:rsidRPr="006667A5">
        <w:rPr>
          <w:rFonts w:ascii="Franklin Gothic Book" w:hAnsi="Franklin Gothic Book"/>
        </w:rPr>
        <w:t>Australian</w:t>
      </w:r>
      <w:r w:rsidR="009C7414">
        <w:rPr>
          <w:rFonts w:ascii="Franklin Gothic Book" w:hAnsi="Franklin Gothic Book"/>
        </w:rPr>
        <w:t xml:space="preserve"> setting. </w:t>
      </w:r>
      <w:r w:rsidR="002D0054">
        <w:rPr>
          <w:rFonts w:ascii="Franklin Gothic Book" w:hAnsi="Franklin Gothic Book"/>
        </w:rPr>
        <w:t xml:space="preserve">MSAC </w:t>
      </w:r>
      <w:r w:rsidR="008A5DF3">
        <w:rPr>
          <w:rFonts w:ascii="Franklin Gothic Book" w:hAnsi="Franklin Gothic Book"/>
        </w:rPr>
        <w:t xml:space="preserve">considered that it is biologically plausible that </w:t>
      </w:r>
      <w:r w:rsidR="00B641B7">
        <w:rPr>
          <w:rFonts w:ascii="Franklin Gothic Book" w:hAnsi="Franklin Gothic Book"/>
        </w:rPr>
        <w:t xml:space="preserve">people </w:t>
      </w:r>
      <w:r w:rsidR="008A5E91">
        <w:rPr>
          <w:rFonts w:ascii="Franklin Gothic Book" w:hAnsi="Franklin Gothic Book"/>
        </w:rPr>
        <w:t>confirmed</w:t>
      </w:r>
      <w:r w:rsidR="002222AD">
        <w:rPr>
          <w:rFonts w:ascii="Franklin Gothic Book" w:hAnsi="Franklin Gothic Book"/>
        </w:rPr>
        <w:t xml:space="preserve"> </w:t>
      </w:r>
      <w:r w:rsidR="002222AD" w:rsidRPr="002B18B3">
        <w:rPr>
          <w:rFonts w:ascii="Franklin Gothic Book" w:hAnsi="Franklin Gothic Book"/>
          <w:i/>
          <w:iCs/>
        </w:rPr>
        <w:t>HER2</w:t>
      </w:r>
      <w:r w:rsidR="002222AD">
        <w:rPr>
          <w:rFonts w:ascii="Franklin Gothic Book" w:hAnsi="Franklin Gothic Book"/>
        </w:rPr>
        <w:t xml:space="preserve"> positivity </w:t>
      </w:r>
      <w:r w:rsidR="00155AEF">
        <w:rPr>
          <w:rFonts w:ascii="Franklin Gothic Book" w:hAnsi="Franklin Gothic Book"/>
        </w:rPr>
        <w:t xml:space="preserve">on a recent biopsy </w:t>
      </w:r>
      <w:r w:rsidR="008A5E91">
        <w:rPr>
          <w:rFonts w:ascii="Franklin Gothic Book" w:hAnsi="Franklin Gothic Book"/>
        </w:rPr>
        <w:t>would have better outcomes with T-</w:t>
      </w:r>
      <w:proofErr w:type="spellStart"/>
      <w:r w:rsidR="008A5E91">
        <w:rPr>
          <w:rFonts w:ascii="Franklin Gothic Book" w:hAnsi="Franklin Gothic Book"/>
        </w:rPr>
        <w:t>D</w:t>
      </w:r>
      <w:r w:rsidR="008644D4">
        <w:rPr>
          <w:rFonts w:ascii="Franklin Gothic Book" w:hAnsi="Franklin Gothic Book"/>
        </w:rPr>
        <w:t>Xd</w:t>
      </w:r>
      <w:proofErr w:type="spellEnd"/>
      <w:r w:rsidR="008644D4">
        <w:rPr>
          <w:rFonts w:ascii="Franklin Gothic Book" w:hAnsi="Franklin Gothic Book"/>
        </w:rPr>
        <w:t xml:space="preserve">. However, the </w:t>
      </w:r>
      <w:r w:rsidR="002D0054">
        <w:rPr>
          <w:rFonts w:ascii="Franklin Gothic Book" w:hAnsi="Franklin Gothic Book"/>
        </w:rPr>
        <w:t xml:space="preserve">naïve comparison of </w:t>
      </w:r>
      <w:r w:rsidR="008644D4">
        <w:rPr>
          <w:rFonts w:ascii="Franklin Gothic Book" w:hAnsi="Franklin Gothic Book"/>
        </w:rPr>
        <w:t xml:space="preserve">results from </w:t>
      </w:r>
      <w:r w:rsidR="008A5DF3" w:rsidRPr="006667A5">
        <w:rPr>
          <w:rFonts w:ascii="Franklin Gothic Book" w:hAnsi="Franklin Gothic Book"/>
        </w:rPr>
        <w:t>DG-0</w:t>
      </w:r>
      <w:r w:rsidR="008644D4">
        <w:rPr>
          <w:rFonts w:ascii="Franklin Gothic Book" w:hAnsi="Franklin Gothic Book"/>
        </w:rPr>
        <w:t>1</w:t>
      </w:r>
      <w:r w:rsidR="008A5DF3" w:rsidRPr="006667A5">
        <w:rPr>
          <w:rFonts w:ascii="Franklin Gothic Book" w:hAnsi="Franklin Gothic Book"/>
        </w:rPr>
        <w:t xml:space="preserve"> </w:t>
      </w:r>
      <w:r w:rsidR="008A5DF3">
        <w:rPr>
          <w:rFonts w:ascii="Franklin Gothic Book" w:hAnsi="Franklin Gothic Book"/>
        </w:rPr>
        <w:t xml:space="preserve">and DG-02 </w:t>
      </w:r>
      <w:r w:rsidR="00031CC0">
        <w:rPr>
          <w:rFonts w:ascii="Franklin Gothic Book" w:hAnsi="Franklin Gothic Book"/>
        </w:rPr>
        <w:t>report</w:t>
      </w:r>
      <w:r w:rsidR="0028402A">
        <w:rPr>
          <w:rFonts w:ascii="Franklin Gothic Book" w:hAnsi="Franklin Gothic Book"/>
        </w:rPr>
        <w:t>ed</w:t>
      </w:r>
      <w:r w:rsidR="00031CC0">
        <w:rPr>
          <w:rFonts w:ascii="Franklin Gothic Book" w:hAnsi="Franklin Gothic Book"/>
        </w:rPr>
        <w:t xml:space="preserve"> similar outcomes. </w:t>
      </w:r>
    </w:p>
    <w:p w14:paraId="30039150" w14:textId="0CC687B6" w:rsidR="002A6B5F" w:rsidRDefault="006667A5" w:rsidP="006667A5">
      <w:pPr>
        <w:pStyle w:val="Bullet"/>
        <w:numPr>
          <w:ilvl w:val="0"/>
          <w:numId w:val="0"/>
        </w:numPr>
        <w:spacing w:after="160"/>
        <w:rPr>
          <w:rFonts w:ascii="Franklin Gothic Book" w:hAnsi="Franklin Gothic Book"/>
        </w:rPr>
      </w:pPr>
      <w:r w:rsidRPr="006667A5">
        <w:rPr>
          <w:rFonts w:ascii="Franklin Gothic Book" w:hAnsi="Franklin Gothic Book"/>
        </w:rPr>
        <w:t>MSAC considered</w:t>
      </w:r>
      <w:r w:rsidRPr="006667A5" w:rsidDel="00DD30A0">
        <w:rPr>
          <w:rFonts w:ascii="Franklin Gothic Book" w:hAnsi="Franklin Gothic Book"/>
        </w:rPr>
        <w:t xml:space="preserve"> that </w:t>
      </w:r>
      <w:r w:rsidRPr="006667A5">
        <w:rPr>
          <w:rFonts w:ascii="Franklin Gothic Book" w:hAnsi="Franklin Gothic Book"/>
        </w:rPr>
        <w:t>retesting should not be required to determine eligibility for T-</w:t>
      </w:r>
      <w:proofErr w:type="spellStart"/>
      <w:r w:rsidRPr="006667A5">
        <w:rPr>
          <w:rFonts w:ascii="Franklin Gothic Book" w:hAnsi="Franklin Gothic Book"/>
        </w:rPr>
        <w:t>DXd</w:t>
      </w:r>
      <w:proofErr w:type="spellEnd"/>
      <w:r w:rsidRPr="006667A5">
        <w:rPr>
          <w:rFonts w:ascii="Franklin Gothic Book" w:hAnsi="Franklin Gothic Book"/>
        </w:rPr>
        <w:t xml:space="preserve"> therapy because of the lack of evidence for increased effectiveness, coupled with the difficulties, delays and safety concerns associated with </w:t>
      </w:r>
      <w:proofErr w:type="spellStart"/>
      <w:r w:rsidRPr="006667A5">
        <w:rPr>
          <w:rFonts w:ascii="Franklin Gothic Book" w:hAnsi="Franklin Gothic Book"/>
        </w:rPr>
        <w:t>rebiopsy</w:t>
      </w:r>
      <w:proofErr w:type="spellEnd"/>
      <w:r w:rsidRPr="006667A5">
        <w:rPr>
          <w:rFonts w:ascii="Franklin Gothic Book" w:hAnsi="Franklin Gothic Book"/>
        </w:rPr>
        <w:t xml:space="preserve">. MSAC considered it appropriate to retest patients if it is clinically </w:t>
      </w:r>
      <w:proofErr w:type="gramStart"/>
      <w:r w:rsidRPr="006667A5">
        <w:rPr>
          <w:rFonts w:ascii="Franklin Gothic Book" w:hAnsi="Franklin Gothic Book"/>
        </w:rPr>
        <w:t>necessary, but</w:t>
      </w:r>
      <w:proofErr w:type="gramEnd"/>
      <w:r w:rsidRPr="006667A5">
        <w:rPr>
          <w:rFonts w:ascii="Franklin Gothic Book" w:hAnsi="Franklin Gothic Book"/>
        </w:rPr>
        <w:t xml:space="preserve"> considered that retesting should not be required to gain access to the therapy, to minimise out-of-pocket costs for patients while also not subjecting them to an unnecessary additional biopsy. MSAC also noted emerging evidence of potential benefits of T-</w:t>
      </w:r>
      <w:proofErr w:type="spellStart"/>
      <w:r w:rsidRPr="006667A5">
        <w:rPr>
          <w:rFonts w:ascii="Franklin Gothic Book" w:hAnsi="Franklin Gothic Book"/>
        </w:rPr>
        <w:t>DXd</w:t>
      </w:r>
      <w:proofErr w:type="spellEnd"/>
      <w:r w:rsidRPr="006667A5">
        <w:rPr>
          <w:rFonts w:ascii="Franklin Gothic Book" w:hAnsi="Franklin Gothic Book"/>
        </w:rPr>
        <w:t xml:space="preserve"> even for patients who do not test </w:t>
      </w:r>
      <w:r w:rsidRPr="006667A5">
        <w:rPr>
          <w:rFonts w:ascii="Franklin Gothic Book" w:hAnsi="Franklin Gothic Book"/>
          <w:i/>
        </w:rPr>
        <w:t>HER2</w:t>
      </w:r>
      <w:r w:rsidRPr="006667A5">
        <w:rPr>
          <w:rFonts w:ascii="Franklin Gothic Book" w:hAnsi="Franklin Gothic Book"/>
        </w:rPr>
        <w:t>-positive (‘</w:t>
      </w:r>
      <w:r w:rsidRPr="006667A5">
        <w:rPr>
          <w:rFonts w:ascii="Franklin Gothic Book" w:hAnsi="Franklin Gothic Book"/>
          <w:i/>
        </w:rPr>
        <w:t>HER2</w:t>
      </w:r>
      <w:r w:rsidRPr="006667A5">
        <w:rPr>
          <w:rFonts w:ascii="Franklin Gothic Book" w:hAnsi="Franklin Gothic Book"/>
        </w:rPr>
        <w:t xml:space="preserve">-low’), suggesting that the therapy may be effective even if </w:t>
      </w:r>
      <w:r w:rsidRPr="006667A5">
        <w:rPr>
          <w:rFonts w:ascii="Franklin Gothic Book" w:hAnsi="Franklin Gothic Book"/>
          <w:i/>
        </w:rPr>
        <w:t>HER2</w:t>
      </w:r>
      <w:r w:rsidRPr="006667A5">
        <w:rPr>
          <w:rFonts w:ascii="Franklin Gothic Book" w:hAnsi="Franklin Gothic Book"/>
        </w:rPr>
        <w:t xml:space="preserve"> downregulation has already been achieved. </w:t>
      </w:r>
      <w:r w:rsidR="002A6B5F">
        <w:rPr>
          <w:rFonts w:ascii="Franklin Gothic Book" w:hAnsi="Franklin Gothic Book"/>
        </w:rPr>
        <w:t xml:space="preserve">Further MSAC noted out of session, that </w:t>
      </w:r>
      <w:r w:rsidR="003D7ABB">
        <w:rPr>
          <w:rFonts w:ascii="Franklin Gothic Book" w:hAnsi="Franklin Gothic Book"/>
        </w:rPr>
        <w:t xml:space="preserve">HER2 </w:t>
      </w:r>
      <w:r w:rsidR="002A6B5F">
        <w:rPr>
          <w:rFonts w:ascii="Franklin Gothic Book" w:hAnsi="Franklin Gothic Book"/>
        </w:rPr>
        <w:t xml:space="preserve">testing </w:t>
      </w:r>
      <w:r w:rsidR="002A6B5F" w:rsidRPr="001B3FD8">
        <w:rPr>
          <w:rFonts w:ascii="Franklin Gothic Book" w:hAnsi="Franklin Gothic Book"/>
        </w:rPr>
        <w:t xml:space="preserve">at the time of </w:t>
      </w:r>
      <w:r w:rsidR="003D7ABB">
        <w:rPr>
          <w:rFonts w:ascii="Franklin Gothic Book" w:hAnsi="Franklin Gothic Book"/>
        </w:rPr>
        <w:t xml:space="preserve">initial </w:t>
      </w:r>
      <w:r w:rsidR="002A6B5F" w:rsidRPr="001B3FD8">
        <w:rPr>
          <w:rFonts w:ascii="Franklin Gothic Book" w:hAnsi="Franklin Gothic Book"/>
        </w:rPr>
        <w:t xml:space="preserve">diagnosis rather than waiting for metastatic disease </w:t>
      </w:r>
      <w:r w:rsidR="003D7ABB">
        <w:rPr>
          <w:rFonts w:ascii="Franklin Gothic Book" w:hAnsi="Franklin Gothic Book"/>
        </w:rPr>
        <w:t xml:space="preserve">stage </w:t>
      </w:r>
      <w:r w:rsidR="002A6B5F">
        <w:rPr>
          <w:rFonts w:ascii="Franklin Gothic Book" w:hAnsi="Franklin Gothic Book"/>
        </w:rPr>
        <w:t>avoid</w:t>
      </w:r>
      <w:r w:rsidR="003D7ABB">
        <w:rPr>
          <w:rFonts w:ascii="Franklin Gothic Book" w:hAnsi="Franklin Gothic Book"/>
        </w:rPr>
        <w:t>s treatment</w:t>
      </w:r>
      <w:r w:rsidR="002A6B5F">
        <w:rPr>
          <w:rFonts w:ascii="Franklin Gothic Book" w:hAnsi="Franklin Gothic Book"/>
        </w:rPr>
        <w:t xml:space="preserve"> </w:t>
      </w:r>
      <w:r w:rsidR="002A6B5F" w:rsidRPr="001B3FD8">
        <w:rPr>
          <w:rFonts w:ascii="Franklin Gothic Book" w:hAnsi="Franklin Gothic Book"/>
        </w:rPr>
        <w:t>delays</w:t>
      </w:r>
      <w:r w:rsidR="003D7ABB">
        <w:rPr>
          <w:rFonts w:ascii="Franklin Gothic Book" w:hAnsi="Franklin Gothic Book"/>
        </w:rPr>
        <w:t>.</w:t>
      </w:r>
    </w:p>
    <w:p w14:paraId="0FC3682D" w14:textId="4866EF9F" w:rsidR="006667A5" w:rsidRPr="006667A5" w:rsidRDefault="00BB4318" w:rsidP="006667A5">
      <w:pPr>
        <w:pStyle w:val="Bullet"/>
        <w:numPr>
          <w:ilvl w:val="0"/>
          <w:numId w:val="0"/>
        </w:numPr>
        <w:spacing w:after="160"/>
        <w:rPr>
          <w:rFonts w:ascii="Franklin Gothic Book" w:hAnsi="Franklin Gothic Book"/>
        </w:rPr>
      </w:pPr>
      <w:r>
        <w:rPr>
          <w:rFonts w:ascii="Franklin Gothic Book" w:hAnsi="Franklin Gothic Book"/>
        </w:rPr>
        <w:t>Overall MSAC noted</w:t>
      </w:r>
      <w:r w:rsidR="00010A3D">
        <w:rPr>
          <w:rFonts w:ascii="Franklin Gothic Book" w:hAnsi="Franklin Gothic Book"/>
        </w:rPr>
        <w:t xml:space="preserve"> retesting in theory </w:t>
      </w:r>
      <w:r w:rsidR="000B52BE">
        <w:rPr>
          <w:rFonts w:ascii="Franklin Gothic Book" w:hAnsi="Franklin Gothic Book"/>
        </w:rPr>
        <w:t xml:space="preserve">would </w:t>
      </w:r>
      <w:r w:rsidR="00010A3D" w:rsidRPr="00010A3D">
        <w:rPr>
          <w:rFonts w:ascii="Franklin Gothic Book" w:hAnsi="Franklin Gothic Book"/>
        </w:rPr>
        <w:t>have superior effectiveness (although potentially inferior safety) to no testing.</w:t>
      </w:r>
    </w:p>
    <w:p w14:paraId="56803F11" w14:textId="518A9900" w:rsidR="006667A5" w:rsidRPr="006667A5" w:rsidRDefault="006667A5" w:rsidP="006667A5">
      <w:pPr>
        <w:pStyle w:val="ListParagraph"/>
        <w:ind w:left="0"/>
      </w:pPr>
      <w:r w:rsidRPr="006667A5">
        <w:t xml:space="preserve">MSAC noted that no economic evaluation was </w:t>
      </w:r>
      <w:r w:rsidR="006E78A5">
        <w:t>performed</w:t>
      </w:r>
      <w:r w:rsidRPr="006667A5">
        <w:t>.</w:t>
      </w:r>
    </w:p>
    <w:p w14:paraId="11005C46" w14:textId="31219D9F" w:rsidR="006667A5" w:rsidRPr="006667A5" w:rsidRDefault="006667A5" w:rsidP="006667A5">
      <w:pPr>
        <w:pStyle w:val="Bullet"/>
        <w:numPr>
          <w:ilvl w:val="0"/>
          <w:numId w:val="0"/>
        </w:numPr>
        <w:spacing w:after="160"/>
        <w:rPr>
          <w:rFonts w:ascii="Franklin Gothic Book" w:hAnsi="Franklin Gothic Book"/>
        </w:rPr>
      </w:pPr>
      <w:r w:rsidRPr="006667A5">
        <w:rPr>
          <w:rFonts w:ascii="Franklin Gothic Book" w:hAnsi="Franklin Gothic Book"/>
        </w:rPr>
        <w:t xml:space="preserve">MSAC noted that the number of patients </w:t>
      </w:r>
      <w:r w:rsidR="00414D01">
        <w:rPr>
          <w:rFonts w:ascii="Franklin Gothic Book" w:hAnsi="Franklin Gothic Book"/>
        </w:rPr>
        <w:t xml:space="preserve">with gastric/ oesophageal adenocarcinoma </w:t>
      </w:r>
      <w:r w:rsidRPr="006667A5">
        <w:rPr>
          <w:rFonts w:ascii="Franklin Gothic Book" w:hAnsi="Franklin Gothic Book"/>
        </w:rPr>
        <w:t xml:space="preserve">currently being treated with trastuzumab is less than 200 per </w:t>
      </w:r>
      <w:proofErr w:type="gramStart"/>
      <w:r w:rsidRPr="006667A5">
        <w:rPr>
          <w:rFonts w:ascii="Franklin Gothic Book" w:hAnsi="Franklin Gothic Book"/>
        </w:rPr>
        <w:t>year, and</w:t>
      </w:r>
      <w:proofErr w:type="gramEnd"/>
      <w:r w:rsidRPr="006667A5">
        <w:rPr>
          <w:rFonts w:ascii="Franklin Gothic Book" w:hAnsi="Franklin Gothic Book"/>
        </w:rPr>
        <w:t xml:space="preserve"> therefore considered th</w:t>
      </w:r>
      <w:r w:rsidR="005B35D7">
        <w:rPr>
          <w:rFonts w:ascii="Franklin Gothic Book" w:hAnsi="Franklin Gothic Book"/>
        </w:rPr>
        <w:t xml:space="preserve">at testing </w:t>
      </w:r>
      <w:r w:rsidR="003B3EE9">
        <w:rPr>
          <w:rFonts w:ascii="Franklin Gothic Book" w:hAnsi="Franklin Gothic Book"/>
        </w:rPr>
        <w:t xml:space="preserve">on patients progressing on trastuzumab would be low and hence the </w:t>
      </w:r>
      <w:r w:rsidRPr="006667A5">
        <w:rPr>
          <w:rFonts w:ascii="Franklin Gothic Book" w:hAnsi="Franklin Gothic Book"/>
        </w:rPr>
        <w:t xml:space="preserve">overall financial impact on the MBS to be low. MSAC noted the </w:t>
      </w:r>
      <w:r w:rsidR="009E0995">
        <w:rPr>
          <w:rFonts w:ascii="Franklin Gothic Book" w:hAnsi="Franklin Gothic Book"/>
        </w:rPr>
        <w:t>d</w:t>
      </w:r>
      <w:r w:rsidRPr="006667A5">
        <w:rPr>
          <w:rFonts w:ascii="Franklin Gothic Book" w:hAnsi="Franklin Gothic Book"/>
        </w:rPr>
        <w:t>epartment’s adjustments to the estimated financial cost to the MBS, which was approximately $</w:t>
      </w:r>
      <w:r w:rsidR="00F3170A" w:rsidRPr="00184BC9">
        <w:rPr>
          <w:rFonts w:ascii="Franklin Gothic Book" w:hAnsi="Franklin Gothic Book"/>
          <w:b/>
          <w:bCs/>
        </w:rPr>
        <w:t>redacted</w:t>
      </w:r>
      <w:r w:rsidRPr="006667A5">
        <w:rPr>
          <w:rFonts w:ascii="Franklin Gothic Book" w:hAnsi="Franklin Gothic Book"/>
        </w:rPr>
        <w:t xml:space="preserve"> in </w:t>
      </w:r>
      <w:r w:rsidR="00390DE3">
        <w:rPr>
          <w:rFonts w:ascii="Franklin Gothic Book" w:hAnsi="Franklin Gothic Book"/>
        </w:rPr>
        <w:t>Y</w:t>
      </w:r>
      <w:r w:rsidRPr="006667A5">
        <w:rPr>
          <w:rFonts w:ascii="Franklin Gothic Book" w:hAnsi="Franklin Gothic Book"/>
        </w:rPr>
        <w:t>ear 1, decreasing slightly to $</w:t>
      </w:r>
      <w:r w:rsidR="00F3170A" w:rsidRPr="00184BC9">
        <w:rPr>
          <w:rFonts w:ascii="Franklin Gothic Book" w:hAnsi="Franklin Gothic Book"/>
          <w:b/>
          <w:bCs/>
        </w:rPr>
        <w:t>redacted</w:t>
      </w:r>
      <w:r w:rsidRPr="006667A5">
        <w:rPr>
          <w:rFonts w:ascii="Franklin Gothic Book" w:hAnsi="Franklin Gothic Book"/>
        </w:rPr>
        <w:t xml:space="preserve"> in </w:t>
      </w:r>
      <w:r w:rsidR="00390DE3">
        <w:rPr>
          <w:rFonts w:ascii="Franklin Gothic Book" w:hAnsi="Franklin Gothic Book"/>
        </w:rPr>
        <w:t>Y</w:t>
      </w:r>
      <w:r w:rsidRPr="006667A5">
        <w:rPr>
          <w:rFonts w:ascii="Franklin Gothic Book" w:hAnsi="Franklin Gothic Book"/>
        </w:rPr>
        <w:t>ear 2 and then increasing again to approximately $</w:t>
      </w:r>
      <w:r w:rsidR="00F3170A" w:rsidRPr="00184BC9">
        <w:rPr>
          <w:rFonts w:ascii="Franklin Gothic Book" w:hAnsi="Franklin Gothic Book"/>
          <w:b/>
          <w:bCs/>
        </w:rPr>
        <w:t>redacted</w:t>
      </w:r>
      <w:r w:rsidRPr="006667A5">
        <w:rPr>
          <w:rFonts w:ascii="Franklin Gothic Book" w:hAnsi="Franklin Gothic Book"/>
        </w:rPr>
        <w:t xml:space="preserve"> in </w:t>
      </w:r>
      <w:r w:rsidR="00390DE3">
        <w:rPr>
          <w:rFonts w:ascii="Franklin Gothic Book" w:hAnsi="Franklin Gothic Book"/>
        </w:rPr>
        <w:t>Y</w:t>
      </w:r>
      <w:r w:rsidRPr="006667A5">
        <w:rPr>
          <w:rFonts w:ascii="Franklin Gothic Book" w:hAnsi="Franklin Gothic Book"/>
        </w:rPr>
        <w:t xml:space="preserve">ears 3 to 6. This adjustment </w:t>
      </w:r>
      <w:r w:rsidR="00390DE3" w:rsidRPr="006667A5">
        <w:rPr>
          <w:rFonts w:ascii="Franklin Gothic Book" w:hAnsi="Franklin Gothic Book"/>
        </w:rPr>
        <w:t>include</w:t>
      </w:r>
      <w:r w:rsidR="00390DE3">
        <w:rPr>
          <w:rFonts w:ascii="Franklin Gothic Book" w:hAnsi="Franklin Gothic Book"/>
        </w:rPr>
        <w:t>d</w:t>
      </w:r>
      <w:r w:rsidR="00390DE3" w:rsidRPr="006667A5">
        <w:rPr>
          <w:rFonts w:ascii="Franklin Gothic Book" w:hAnsi="Franklin Gothic Book"/>
        </w:rPr>
        <w:t xml:space="preserve"> </w:t>
      </w:r>
      <w:r w:rsidRPr="006667A5">
        <w:rPr>
          <w:rFonts w:ascii="Franklin Gothic Book" w:hAnsi="Franklin Gothic Book"/>
        </w:rPr>
        <w:t xml:space="preserve">an updated estimate of utilisation </w:t>
      </w:r>
      <w:r w:rsidR="002720A9">
        <w:rPr>
          <w:rFonts w:ascii="Franklin Gothic Book" w:hAnsi="Franklin Gothic Book"/>
        </w:rPr>
        <w:t>in the commentary</w:t>
      </w:r>
      <w:r w:rsidR="00390DE3" w:rsidRPr="006667A5">
        <w:rPr>
          <w:rFonts w:ascii="Franklin Gothic Book" w:hAnsi="Franklin Gothic Book"/>
        </w:rPr>
        <w:t xml:space="preserve"> </w:t>
      </w:r>
      <w:r w:rsidRPr="006667A5">
        <w:rPr>
          <w:rFonts w:ascii="Franklin Gothic Book" w:hAnsi="Franklin Gothic Book"/>
        </w:rPr>
        <w:t xml:space="preserve">from </w:t>
      </w:r>
      <w:r w:rsidR="00F3170A" w:rsidRPr="00184BC9">
        <w:rPr>
          <w:rFonts w:ascii="Franklin Gothic Book" w:hAnsi="Franklin Gothic Book"/>
          <w:b/>
          <w:bCs/>
        </w:rPr>
        <w:t>redacted</w:t>
      </w:r>
      <w:r w:rsidRPr="006667A5">
        <w:rPr>
          <w:rFonts w:ascii="Franklin Gothic Book" w:hAnsi="Franklin Gothic Book"/>
        </w:rPr>
        <w:t xml:space="preserve"> to </w:t>
      </w:r>
      <w:proofErr w:type="gramStart"/>
      <w:r w:rsidR="00F3170A" w:rsidRPr="00184BC9">
        <w:rPr>
          <w:rFonts w:ascii="Franklin Gothic Book" w:hAnsi="Franklin Gothic Book"/>
          <w:b/>
          <w:bCs/>
        </w:rPr>
        <w:t>redacted</w:t>
      </w:r>
      <w:proofErr w:type="gramEnd"/>
      <w:r w:rsidRPr="006667A5">
        <w:rPr>
          <w:rFonts w:ascii="Franklin Gothic Book" w:hAnsi="Franklin Gothic Book"/>
        </w:rPr>
        <w:t xml:space="preserve"> each year, an increase of approximately 6% compared to the original submission, based on an analysis of initial prescriptions. MSAC also noted the updated financial costs provided by the </w:t>
      </w:r>
      <w:r w:rsidR="002720A9">
        <w:rPr>
          <w:rFonts w:ascii="Franklin Gothic Book" w:hAnsi="Franklin Gothic Book"/>
        </w:rPr>
        <w:t>d</w:t>
      </w:r>
      <w:r w:rsidR="002720A9" w:rsidRPr="006667A5">
        <w:rPr>
          <w:rFonts w:ascii="Franklin Gothic Book" w:hAnsi="Franklin Gothic Book"/>
        </w:rPr>
        <w:t xml:space="preserve">epartment </w:t>
      </w:r>
      <w:r w:rsidRPr="006667A5">
        <w:rPr>
          <w:rFonts w:ascii="Franklin Gothic Book" w:hAnsi="Franklin Gothic Book"/>
        </w:rPr>
        <w:t xml:space="preserve">updated the costs based on the estimated 30% of patients who </w:t>
      </w:r>
      <w:r w:rsidR="00C96E50">
        <w:rPr>
          <w:rFonts w:ascii="Franklin Gothic Book" w:hAnsi="Franklin Gothic Book"/>
        </w:rPr>
        <w:t xml:space="preserve">may </w:t>
      </w:r>
      <w:r w:rsidRPr="006667A5">
        <w:rPr>
          <w:rFonts w:ascii="Franklin Gothic Book" w:hAnsi="Franklin Gothic Book"/>
        </w:rPr>
        <w:t xml:space="preserve">lose </w:t>
      </w:r>
      <w:r w:rsidRPr="006667A5">
        <w:rPr>
          <w:rFonts w:ascii="Franklin Gothic Book" w:hAnsi="Franklin Gothic Book"/>
          <w:i/>
        </w:rPr>
        <w:t>HER2</w:t>
      </w:r>
      <w:r w:rsidRPr="006667A5">
        <w:rPr>
          <w:rFonts w:ascii="Franklin Gothic Book" w:hAnsi="Franklin Gothic Book"/>
        </w:rPr>
        <w:t xml:space="preserve"> positivity and therefore receive an </w:t>
      </w:r>
      <w:r w:rsidRPr="006667A5">
        <w:rPr>
          <w:rFonts w:ascii="Franklin Gothic Book" w:hAnsi="Franklin Gothic Book"/>
          <w:i/>
        </w:rPr>
        <w:t>HER2</w:t>
      </w:r>
      <w:r w:rsidRPr="006667A5">
        <w:rPr>
          <w:rFonts w:ascii="Franklin Gothic Book" w:hAnsi="Franklin Gothic Book"/>
        </w:rPr>
        <w:t>-negative result on the</w:t>
      </w:r>
      <w:r w:rsidR="001B3D2C">
        <w:rPr>
          <w:rFonts w:ascii="Franklin Gothic Book" w:hAnsi="Franklin Gothic Book"/>
        </w:rPr>
        <w:t xml:space="preserve"> HER2</w:t>
      </w:r>
      <w:r w:rsidRPr="006667A5">
        <w:rPr>
          <w:rFonts w:ascii="Franklin Gothic Book" w:hAnsi="Franklin Gothic Book"/>
        </w:rPr>
        <w:t xml:space="preserve"> IHC </w:t>
      </w:r>
      <w:r w:rsidR="001B3D2C">
        <w:rPr>
          <w:rFonts w:ascii="Franklin Gothic Book" w:hAnsi="Franklin Gothic Book"/>
        </w:rPr>
        <w:t xml:space="preserve">test </w:t>
      </w:r>
      <w:r w:rsidRPr="006667A5">
        <w:rPr>
          <w:rFonts w:ascii="Franklin Gothic Book" w:hAnsi="Franklin Gothic Book"/>
        </w:rPr>
        <w:t xml:space="preserve">following </w:t>
      </w:r>
      <w:proofErr w:type="spellStart"/>
      <w:r w:rsidRPr="006667A5">
        <w:rPr>
          <w:rFonts w:ascii="Franklin Gothic Book" w:hAnsi="Franklin Gothic Book"/>
        </w:rPr>
        <w:t>rebiopsy</w:t>
      </w:r>
      <w:proofErr w:type="spellEnd"/>
      <w:r w:rsidRPr="006667A5">
        <w:rPr>
          <w:rFonts w:ascii="Franklin Gothic Book" w:hAnsi="Franklin Gothic Book"/>
        </w:rPr>
        <w:t xml:space="preserve">. </w:t>
      </w:r>
    </w:p>
    <w:p w14:paraId="55E0AEE3" w14:textId="0F3FEC83" w:rsidR="006667A5" w:rsidRPr="006667A5" w:rsidRDefault="006667A5" w:rsidP="006667A5">
      <w:r w:rsidRPr="006667A5">
        <w:t xml:space="preserve">Given the poor prognosis for this cancer </w:t>
      </w:r>
      <w:r w:rsidR="00061950">
        <w:t xml:space="preserve">and </w:t>
      </w:r>
      <w:r w:rsidRPr="006667A5">
        <w:t>improved outcomes for patients who receive the new therapy compared to standard treatment</w:t>
      </w:r>
      <w:r w:rsidR="005F2399">
        <w:t>,</w:t>
      </w:r>
      <w:r w:rsidR="00061950">
        <w:t xml:space="preserve"> </w:t>
      </w:r>
      <w:r w:rsidRPr="006667A5">
        <w:t>MSAC supported</w:t>
      </w:r>
      <w:r w:rsidRPr="006667A5">
        <w:rPr>
          <w:rFonts w:eastAsia="Times New Roman" w:cs="Times New Roman"/>
          <w:szCs w:val="20"/>
          <w:lang w:eastAsia="en-AU"/>
        </w:rPr>
        <w:t xml:space="preserve"> amending MBS item number 73342 </w:t>
      </w:r>
      <w:r w:rsidRPr="006667A5">
        <w:t xml:space="preserve">by </w:t>
      </w:r>
      <w:r w:rsidRPr="006667A5">
        <w:rPr>
          <w:rFonts w:eastAsia="Times New Roman" w:cs="Times New Roman"/>
          <w:szCs w:val="20"/>
          <w:lang w:eastAsia="en-AU"/>
        </w:rPr>
        <w:t xml:space="preserve">replacing the term </w:t>
      </w:r>
      <w:r w:rsidRPr="006667A5">
        <w:t>‘</w:t>
      </w:r>
      <w:r w:rsidRPr="006667A5">
        <w:rPr>
          <w:rFonts w:eastAsia="Times New Roman" w:cs="Times New Roman"/>
          <w:szCs w:val="20"/>
          <w:lang w:eastAsia="en-AU"/>
        </w:rPr>
        <w:t>trastuzumab</w:t>
      </w:r>
      <w:r w:rsidRPr="006667A5">
        <w:t>’</w:t>
      </w:r>
      <w:r w:rsidRPr="006667A5">
        <w:rPr>
          <w:rFonts w:eastAsia="Times New Roman" w:cs="Times New Roman"/>
          <w:szCs w:val="20"/>
          <w:lang w:eastAsia="en-AU"/>
        </w:rPr>
        <w:t xml:space="preserve"> with </w:t>
      </w:r>
      <w:r w:rsidRPr="006667A5">
        <w:t>‘</w:t>
      </w:r>
      <w:r w:rsidRPr="006667A5">
        <w:rPr>
          <w:rFonts w:eastAsia="Times New Roman" w:cs="Times New Roman"/>
          <w:szCs w:val="20"/>
          <w:lang w:eastAsia="en-AU"/>
        </w:rPr>
        <w:t xml:space="preserve">eligibility for a relevant treatment under the </w:t>
      </w:r>
      <w:r w:rsidRPr="006667A5">
        <w:rPr>
          <w:rFonts w:eastAsia="Times New Roman" w:cs="Times New Roman"/>
          <w:szCs w:val="20"/>
          <w:lang w:eastAsia="en-AU"/>
        </w:rPr>
        <w:lastRenderedPageBreak/>
        <w:t>PBS</w:t>
      </w:r>
      <w:r w:rsidRPr="006667A5">
        <w:t>’,</w:t>
      </w:r>
      <w:r w:rsidR="00061950">
        <w:t xml:space="preserve"> if PBAC recommend</w:t>
      </w:r>
      <w:r w:rsidR="00854CB2">
        <w:t>s</w:t>
      </w:r>
      <w:r w:rsidR="00061950">
        <w:t xml:space="preserve"> PBS listing of T-</w:t>
      </w:r>
      <w:proofErr w:type="spellStart"/>
      <w:r w:rsidR="00675CAF">
        <w:t>DXd</w:t>
      </w:r>
      <w:proofErr w:type="spellEnd"/>
      <w:r w:rsidR="00675CAF">
        <w:t>. MSAC also supported</w:t>
      </w:r>
      <w:r w:rsidRPr="006667A5">
        <w:t xml:space="preserve"> several other minor changes to improve consistency and readability</w:t>
      </w:r>
      <w:r w:rsidR="00EC21FD">
        <w:t xml:space="preserve"> (</w:t>
      </w:r>
      <w:r w:rsidR="00EC21FD">
        <w:fldChar w:fldCharType="begin"/>
      </w:r>
      <w:r w:rsidR="00EC21FD">
        <w:instrText xml:space="preserve"> REF _Ref195552253 \h </w:instrText>
      </w:r>
      <w:r w:rsidR="00EC21FD">
        <w:fldChar w:fldCharType="separate"/>
      </w:r>
      <w:r w:rsidR="00823BA6">
        <w:t xml:space="preserve">Table </w:t>
      </w:r>
      <w:r w:rsidR="00823BA6">
        <w:rPr>
          <w:noProof/>
        </w:rPr>
        <w:t>1</w:t>
      </w:r>
      <w:r w:rsidR="00EC21FD">
        <w:fldChar w:fldCharType="end"/>
      </w:r>
      <w:r w:rsidR="4645CE53">
        <w:t>)</w:t>
      </w:r>
      <w:r>
        <w:t>.</w:t>
      </w:r>
    </w:p>
    <w:p w14:paraId="6710B69D" w14:textId="371C01EC" w:rsidR="00772829" w:rsidRPr="009539C3" w:rsidRDefault="00772829" w:rsidP="005B521F">
      <w:pPr>
        <w:pStyle w:val="Heading2"/>
        <w:numPr>
          <w:ilvl w:val="0"/>
          <w:numId w:val="12"/>
        </w:numPr>
        <w:ind w:hanging="720"/>
      </w:pPr>
      <w:bookmarkStart w:id="5" w:name="_Toc69491416"/>
      <w:bookmarkEnd w:id="2"/>
      <w:r w:rsidRPr="009539C3">
        <w:t>Background</w:t>
      </w:r>
      <w:bookmarkEnd w:id="5"/>
    </w:p>
    <w:p w14:paraId="247F8907" w14:textId="67F80527" w:rsidR="001114D9" w:rsidRPr="009539C3" w:rsidRDefault="00CC55C7" w:rsidP="00CC55C7">
      <w:bookmarkStart w:id="6" w:name="_Hlk69734494"/>
      <w:r w:rsidRPr="60969D91">
        <w:t xml:space="preserve">MSAC </w:t>
      </w:r>
      <w:r w:rsidR="00D52CBE" w:rsidRPr="60969D91">
        <w:t xml:space="preserve">has </w:t>
      </w:r>
      <w:r w:rsidRPr="60969D91">
        <w:t>previously considered</w:t>
      </w:r>
      <w:r w:rsidRPr="60969D91">
        <w:rPr>
          <w:i/>
          <w:iCs/>
        </w:rPr>
        <w:t xml:space="preserve"> HER2</w:t>
      </w:r>
      <w:r w:rsidRPr="60969D91">
        <w:t xml:space="preserve"> </w:t>
      </w:r>
      <w:r w:rsidR="00D52CBE" w:rsidRPr="00A25DB5">
        <w:rPr>
          <w:i/>
          <w:iCs/>
        </w:rPr>
        <w:t>in situ</w:t>
      </w:r>
      <w:r w:rsidR="00D52CBE" w:rsidRPr="60969D91">
        <w:t xml:space="preserve"> hybridisation (</w:t>
      </w:r>
      <w:r w:rsidRPr="60969D91">
        <w:t>ISH</w:t>
      </w:r>
      <w:r w:rsidR="00D52CBE" w:rsidRPr="60969D91">
        <w:t>)</w:t>
      </w:r>
      <w:r w:rsidRPr="60969D91">
        <w:t xml:space="preserve"> testing </w:t>
      </w:r>
      <w:r w:rsidR="00D52CBE" w:rsidRPr="60969D91">
        <w:t xml:space="preserve">for determining </w:t>
      </w:r>
      <w:r w:rsidRPr="60969D91">
        <w:t xml:space="preserve">eligibility for trastuzumab for the treatment of </w:t>
      </w:r>
      <w:r w:rsidR="006E7481" w:rsidRPr="60969D91">
        <w:t xml:space="preserve">metastatic </w:t>
      </w:r>
      <w:r w:rsidRPr="60969D91">
        <w:t>HER2</w:t>
      </w:r>
      <w:r w:rsidR="006E7481" w:rsidRPr="60969D91">
        <w:t>-positive</w:t>
      </w:r>
      <w:r w:rsidRPr="60969D91">
        <w:t xml:space="preserve"> </w:t>
      </w:r>
      <w:r w:rsidR="00D27782" w:rsidRPr="60969D91">
        <w:t>G/</w:t>
      </w:r>
      <w:r w:rsidR="00677C70" w:rsidRPr="60969D91">
        <w:t>GOJ</w:t>
      </w:r>
      <w:r w:rsidR="00D27782" w:rsidRPr="60969D91">
        <w:t xml:space="preserve"> </w:t>
      </w:r>
      <w:r w:rsidR="004F4949" w:rsidRPr="60969D91">
        <w:t xml:space="preserve">adenocarcinoma </w:t>
      </w:r>
      <w:r w:rsidR="006E7481" w:rsidRPr="60969D91">
        <w:t>at the first line</w:t>
      </w:r>
      <w:r w:rsidR="001114D9" w:rsidRPr="60969D91">
        <w:t xml:space="preserve"> (</w:t>
      </w:r>
      <w:r w:rsidR="004E5744" w:rsidRPr="60969D91">
        <w:t xml:space="preserve">MSAC </w:t>
      </w:r>
      <w:r w:rsidR="001114D9" w:rsidRPr="60969D91">
        <w:t>Application 1163.1</w:t>
      </w:r>
      <w:r w:rsidR="00C6678D">
        <w:rPr>
          <w:rStyle w:val="FootnoteReference"/>
        </w:rPr>
        <w:footnoteReference w:id="5"/>
      </w:r>
      <w:r w:rsidR="001114D9" w:rsidRPr="60969D91">
        <w:t>)</w:t>
      </w:r>
      <w:r w:rsidR="00EA7C41" w:rsidRPr="60969D91">
        <w:t xml:space="preserve"> as well as similar amendments to ISH testing in breast cancer (MBS item 73332)</w:t>
      </w:r>
      <w:r w:rsidRPr="60969D91">
        <w:t>.</w:t>
      </w:r>
      <w:r w:rsidR="006E7481" w:rsidRPr="60969D91">
        <w:t xml:space="preserve"> The </w:t>
      </w:r>
      <w:r w:rsidR="001201AB" w:rsidRPr="60969D91">
        <w:t xml:space="preserve">application </w:t>
      </w:r>
      <w:r w:rsidR="001114D9" w:rsidRPr="60969D91">
        <w:t xml:space="preserve">was </w:t>
      </w:r>
      <w:r w:rsidR="001201AB" w:rsidRPr="60969D91">
        <w:t xml:space="preserve">supported </w:t>
      </w:r>
      <w:r w:rsidR="001114D9" w:rsidRPr="60969D91">
        <w:t xml:space="preserve">by the MSAC at </w:t>
      </w:r>
      <w:r w:rsidR="001201AB" w:rsidRPr="60969D91">
        <w:t xml:space="preserve">its </w:t>
      </w:r>
      <w:r w:rsidR="001114D9" w:rsidRPr="60969D91">
        <w:t>July 2015 meeting.</w:t>
      </w:r>
    </w:p>
    <w:p w14:paraId="2C9DA1EF" w14:textId="20D19ADB" w:rsidR="00553682" w:rsidRPr="009539C3" w:rsidRDefault="00CE4902" w:rsidP="00CC55C7">
      <w:r w:rsidRPr="60969D91">
        <w:t xml:space="preserve">The </w:t>
      </w:r>
      <w:r w:rsidR="00AE7FD0" w:rsidRPr="60969D91">
        <w:t xml:space="preserve">applicant </w:t>
      </w:r>
      <w:r w:rsidR="00FE66B6" w:rsidRPr="60969D91">
        <w:t xml:space="preserve">requested a minor amendment to an existing MBS item. </w:t>
      </w:r>
      <w:r w:rsidR="001E3D1B" w:rsidRPr="60969D91">
        <w:t xml:space="preserve">Following an application from AstraZeneca Pty Ltd to the department, </w:t>
      </w:r>
      <w:r w:rsidR="001627A3" w:rsidRPr="60969D91">
        <w:t>MSAC Executive advice was sought on the appropriate pathway for the application.</w:t>
      </w:r>
      <w:r w:rsidR="001E3D1B" w:rsidRPr="60969D91">
        <w:t xml:space="preserve"> </w:t>
      </w:r>
      <w:r w:rsidR="00114868" w:rsidRPr="60969D91">
        <w:t xml:space="preserve">The MSAC Executive </w:t>
      </w:r>
      <w:r w:rsidR="0007116C" w:rsidRPr="60969D91">
        <w:t xml:space="preserve">at its August 2023 meeting advised that a streamlined codependent pathway was appropriate for this application. </w:t>
      </w:r>
      <w:r w:rsidR="003C6928" w:rsidRPr="60969D91">
        <w:t xml:space="preserve"> The MSAC Executive further </w:t>
      </w:r>
      <w:r w:rsidR="00CC123A" w:rsidRPr="60969D91">
        <w:t>considered</w:t>
      </w:r>
      <w:r w:rsidR="003C6928" w:rsidRPr="60969D91">
        <w:t xml:space="preserve"> that </w:t>
      </w:r>
      <w:r w:rsidR="00EE1DA2" w:rsidRPr="60969D91">
        <w:t>the proposed amendment from this application may potentially increase utilisation and costs of HER2 testing (both immunohistochemistry and ISH) and associated biopsy procedures (MBS item 30473) as some patients may need to undergo re-biopsy and re-testing based on clinical discretion.</w:t>
      </w:r>
      <w:r w:rsidR="003732A7" w:rsidRPr="60969D91">
        <w:t xml:space="preserve"> The MSAC Executive further noted that </w:t>
      </w:r>
      <w:r w:rsidR="003732A7" w:rsidRPr="007B6A30">
        <w:rPr>
          <w:rFonts w:cs="Arial"/>
          <w:i/>
          <w:iCs/>
        </w:rPr>
        <w:t>HER2</w:t>
      </w:r>
      <w:r w:rsidR="003732A7" w:rsidRPr="60969D91">
        <w:rPr>
          <w:rFonts w:cs="Arial"/>
        </w:rPr>
        <w:t xml:space="preserve"> downregulation following trastuzumab treatment is possible.</w:t>
      </w:r>
      <w:r w:rsidR="00553682" w:rsidRPr="60969D91">
        <w:t xml:space="preserve"> Key matters of concern</w:t>
      </w:r>
      <w:r w:rsidR="00C52EA3" w:rsidRPr="60969D91">
        <w:t xml:space="preserve"> raised by the MSAC</w:t>
      </w:r>
      <w:r w:rsidR="000B07E1" w:rsidRPr="60969D91">
        <w:t xml:space="preserve"> Executive</w:t>
      </w:r>
      <w:r w:rsidR="00C52EA3" w:rsidRPr="60969D91">
        <w:t xml:space="preserve"> and how the minor submission </w:t>
      </w:r>
      <w:r w:rsidR="00D52CBE" w:rsidRPr="60969D91">
        <w:t xml:space="preserve">addressed </w:t>
      </w:r>
      <w:r w:rsidR="00C52EA3" w:rsidRPr="60969D91">
        <w:t>these are presented in</w:t>
      </w:r>
      <w:r w:rsidR="00036A4C">
        <w:t xml:space="preserve"> </w:t>
      </w:r>
      <w:r w:rsidR="00036A4C">
        <w:fldChar w:fldCharType="begin"/>
      </w:r>
      <w:r w:rsidR="00036A4C">
        <w:instrText xml:space="preserve"> REF _Ref196404013 \h </w:instrText>
      </w:r>
      <w:r w:rsidR="00036A4C">
        <w:fldChar w:fldCharType="separate"/>
      </w:r>
      <w:r w:rsidR="00036A4C">
        <w:t xml:space="preserve">Table </w:t>
      </w:r>
      <w:r w:rsidR="00036A4C">
        <w:rPr>
          <w:noProof/>
        </w:rPr>
        <w:t>2</w:t>
      </w:r>
      <w:r w:rsidR="00036A4C">
        <w:fldChar w:fldCharType="end"/>
      </w:r>
      <w:r w:rsidR="00C52EA3" w:rsidRPr="60969D91">
        <w:t>.</w:t>
      </w:r>
    </w:p>
    <w:p w14:paraId="6EC12EDF" w14:textId="28102F72" w:rsidR="0068682C" w:rsidRPr="009539C3" w:rsidRDefault="002A5558" w:rsidP="002A5558">
      <w:pPr>
        <w:pStyle w:val="Caption"/>
      </w:pPr>
      <w:bookmarkStart w:id="7" w:name="_Ref196404013"/>
      <w:bookmarkStart w:id="8" w:name="_Ref69480768"/>
      <w:bookmarkStart w:id="9" w:name="_Hlk69734557"/>
      <w:bookmarkEnd w:id="6"/>
      <w:r>
        <w:t xml:space="preserve">Table </w:t>
      </w:r>
      <w:r>
        <w:fldChar w:fldCharType="begin"/>
      </w:r>
      <w:r>
        <w:instrText xml:space="preserve"> SEQ Table \* ARABIC </w:instrText>
      </w:r>
      <w:r>
        <w:fldChar w:fldCharType="separate"/>
      </w:r>
      <w:r w:rsidR="007B45D6">
        <w:rPr>
          <w:noProof/>
        </w:rPr>
        <w:t>2</w:t>
      </w:r>
      <w:r>
        <w:fldChar w:fldCharType="end"/>
      </w:r>
      <w:bookmarkEnd w:id="7"/>
      <w:r w:rsidR="0068682C">
        <w:tab/>
      </w:r>
      <w:bookmarkEnd w:id="8"/>
      <w:r w:rsidR="0068682C" w:rsidRPr="009539C3">
        <w:t xml:space="preserve">Summary of key matters of </w:t>
      </w:r>
      <w:r w:rsidR="00553682" w:rsidRPr="009539C3">
        <w:t xml:space="preserve">MSAC </w:t>
      </w:r>
      <w:r w:rsidR="0068682C" w:rsidRPr="009539C3">
        <w:t>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544"/>
        <w:gridCol w:w="3634"/>
      </w:tblGrid>
      <w:tr w:rsidR="00F57885" w:rsidRPr="009539C3" w14:paraId="2BDCC27B" w14:textId="77777777" w:rsidTr="00DD0B90">
        <w:trPr>
          <w:cantSplit/>
          <w:tblHeader/>
        </w:trPr>
        <w:tc>
          <w:tcPr>
            <w:tcW w:w="1019" w:type="pct"/>
            <w:shd w:val="clear" w:color="auto" w:fill="auto"/>
          </w:tcPr>
          <w:p w14:paraId="58F6A808" w14:textId="77777777" w:rsidR="00F57885" w:rsidRPr="009539C3" w:rsidRDefault="00F57885" w:rsidP="00824458">
            <w:pPr>
              <w:pStyle w:val="In-tableHeading"/>
              <w:rPr>
                <w:lang w:val="en-AU"/>
              </w:rPr>
            </w:pPr>
            <w:bookmarkStart w:id="10" w:name="ColumnTitle_Table1"/>
            <w:bookmarkStart w:id="11" w:name="_Hlk68275590"/>
            <w:bookmarkEnd w:id="10"/>
            <w:r w:rsidRPr="009539C3">
              <w:rPr>
                <w:lang w:val="en-AU"/>
              </w:rPr>
              <w:t>Component</w:t>
            </w:r>
          </w:p>
        </w:tc>
        <w:tc>
          <w:tcPr>
            <w:tcW w:w="1965" w:type="pct"/>
            <w:shd w:val="clear" w:color="auto" w:fill="auto"/>
          </w:tcPr>
          <w:p w14:paraId="09992FB9" w14:textId="77777777" w:rsidR="00F57885" w:rsidRPr="009539C3" w:rsidRDefault="00F57885" w:rsidP="00824458">
            <w:pPr>
              <w:pStyle w:val="In-tableHeading"/>
              <w:rPr>
                <w:lang w:val="en-AU"/>
              </w:rPr>
            </w:pPr>
            <w:r w:rsidRPr="009539C3">
              <w:rPr>
                <w:lang w:val="en-AU"/>
              </w:rPr>
              <w:t>Matter of concern</w:t>
            </w:r>
          </w:p>
        </w:tc>
        <w:tc>
          <w:tcPr>
            <w:tcW w:w="2015" w:type="pct"/>
            <w:shd w:val="clear" w:color="auto" w:fill="auto"/>
          </w:tcPr>
          <w:p w14:paraId="54C88680" w14:textId="77357DFF" w:rsidR="00F57885" w:rsidRPr="009539C3" w:rsidRDefault="00F57885" w:rsidP="00824458">
            <w:pPr>
              <w:pStyle w:val="In-tableHeading"/>
              <w:rPr>
                <w:lang w:val="en-AU"/>
              </w:rPr>
            </w:pPr>
            <w:r w:rsidRPr="009539C3">
              <w:rPr>
                <w:lang w:val="en-AU"/>
              </w:rPr>
              <w:t xml:space="preserve">How the current assessment report </w:t>
            </w:r>
            <w:r w:rsidR="00D52CBE" w:rsidRPr="009539C3">
              <w:rPr>
                <w:lang w:val="en-AU"/>
              </w:rPr>
              <w:t xml:space="preserve">addressed </w:t>
            </w:r>
            <w:r w:rsidRPr="009539C3">
              <w:rPr>
                <w:lang w:val="en-AU"/>
              </w:rPr>
              <w:t>it</w:t>
            </w:r>
          </w:p>
        </w:tc>
      </w:tr>
      <w:tr w:rsidR="00571531" w:rsidRPr="009539C3" w14:paraId="4921B454" w14:textId="77777777" w:rsidTr="00DD0B90">
        <w:trPr>
          <w:cantSplit/>
        </w:trPr>
        <w:tc>
          <w:tcPr>
            <w:tcW w:w="1019" w:type="pct"/>
          </w:tcPr>
          <w:p w14:paraId="4DCBC2EE" w14:textId="78DC198A" w:rsidR="00571531" w:rsidRPr="009539C3" w:rsidRDefault="00571531" w:rsidP="00824458">
            <w:pPr>
              <w:pStyle w:val="TableText"/>
            </w:pPr>
            <w:r w:rsidRPr="009539C3">
              <w:t xml:space="preserve">Utilisation of </w:t>
            </w:r>
            <w:r w:rsidRPr="007B6A30">
              <w:rPr>
                <w:i/>
                <w:iCs/>
              </w:rPr>
              <w:t>HER2</w:t>
            </w:r>
            <w:r w:rsidRPr="009539C3">
              <w:t xml:space="preserve"> re-testing</w:t>
            </w:r>
          </w:p>
        </w:tc>
        <w:tc>
          <w:tcPr>
            <w:tcW w:w="1965" w:type="pct"/>
          </w:tcPr>
          <w:p w14:paraId="1D02159B" w14:textId="7CCA7CB9" w:rsidR="00571531" w:rsidRPr="009539C3" w:rsidRDefault="008C739A" w:rsidP="60969D91">
            <w:pPr>
              <w:pStyle w:val="TableText"/>
              <w:rPr>
                <w:rFonts w:eastAsia="Times New Roman" w:cs="Arial"/>
                <w:snapToGrid w:val="0"/>
              </w:rPr>
            </w:pPr>
            <w:r w:rsidRPr="60969D91">
              <w:rPr>
                <w:rFonts w:eastAsia="Times New Roman" w:cs="Arial"/>
                <w:snapToGrid w:val="0"/>
              </w:rPr>
              <w:t xml:space="preserve">The </w:t>
            </w:r>
            <w:r w:rsidR="00571531" w:rsidRPr="60969D91">
              <w:rPr>
                <w:rFonts w:eastAsia="Times New Roman" w:cs="Arial"/>
                <w:snapToGrid w:val="0"/>
              </w:rPr>
              <w:t xml:space="preserve">MSAC noted that </w:t>
            </w:r>
            <w:proofErr w:type="gramStart"/>
            <w:r w:rsidR="0043654C" w:rsidRPr="60969D91">
              <w:rPr>
                <w:rFonts w:eastAsia="Times New Roman" w:cs="Arial"/>
                <w:snapToGrid w:val="0"/>
              </w:rPr>
              <w:t>the majority of</w:t>
            </w:r>
            <w:proofErr w:type="gramEnd"/>
            <w:r w:rsidR="0043654C" w:rsidRPr="60969D91">
              <w:rPr>
                <w:rFonts w:eastAsia="Times New Roman" w:cs="Arial"/>
                <w:snapToGrid w:val="0"/>
              </w:rPr>
              <w:t xml:space="preserve"> T-</w:t>
            </w:r>
            <w:proofErr w:type="spellStart"/>
            <w:r w:rsidR="0043654C" w:rsidRPr="60969D91">
              <w:rPr>
                <w:rFonts w:eastAsia="Times New Roman" w:cs="Arial"/>
                <w:snapToGrid w:val="0"/>
              </w:rPr>
              <w:t>DXd</w:t>
            </w:r>
            <w:proofErr w:type="spellEnd"/>
            <w:r w:rsidR="0043654C" w:rsidRPr="60969D91">
              <w:rPr>
                <w:rFonts w:eastAsia="Times New Roman" w:cs="Arial"/>
                <w:snapToGrid w:val="0"/>
              </w:rPr>
              <w:t xml:space="preserve"> eligible patients are not likely to undergo retesting due to potential harms and delay of treatment. However further information was requested </w:t>
            </w:r>
            <w:proofErr w:type="gramStart"/>
            <w:r w:rsidR="008F7559" w:rsidRPr="60969D91">
              <w:rPr>
                <w:rFonts w:eastAsia="Times New Roman" w:cs="Arial"/>
                <w:snapToGrid w:val="0"/>
              </w:rPr>
              <w:t>with regard to</w:t>
            </w:r>
            <w:proofErr w:type="gramEnd"/>
            <w:r w:rsidR="008F7559" w:rsidRPr="60969D91">
              <w:rPr>
                <w:rFonts w:eastAsia="Times New Roman" w:cs="Arial"/>
                <w:snapToGrid w:val="0"/>
              </w:rPr>
              <w:t xml:space="preserve"> the proportion of patients who would undergo retesting.</w:t>
            </w:r>
          </w:p>
        </w:tc>
        <w:tc>
          <w:tcPr>
            <w:tcW w:w="2015" w:type="pct"/>
          </w:tcPr>
          <w:p w14:paraId="5AA44440" w14:textId="15345202" w:rsidR="00571531" w:rsidRPr="007B6A30" w:rsidRDefault="00E3622B" w:rsidP="00824458">
            <w:pPr>
              <w:pStyle w:val="TableText"/>
              <w:rPr>
                <w:rFonts w:eastAsia="Times New Roman" w:cs="Arial"/>
                <w:snapToGrid w:val="0"/>
                <w:szCs w:val="20"/>
              </w:rPr>
            </w:pPr>
            <w:r w:rsidRPr="007B6A30">
              <w:rPr>
                <w:rFonts w:eastAsia="Times New Roman" w:cs="Arial"/>
                <w:snapToGrid w:val="0"/>
                <w:szCs w:val="20"/>
              </w:rPr>
              <w:t>The commentary considered that the submission had n</w:t>
            </w:r>
            <w:r w:rsidR="00571531" w:rsidRPr="007B6A30">
              <w:rPr>
                <w:rFonts w:eastAsia="Times New Roman" w:cs="Arial"/>
                <w:snapToGrid w:val="0"/>
                <w:szCs w:val="20"/>
              </w:rPr>
              <w:t xml:space="preserve">ot </w:t>
            </w:r>
            <w:r w:rsidR="00A04CCC" w:rsidRPr="007B6A30">
              <w:rPr>
                <w:rFonts w:eastAsia="Times New Roman" w:cs="Arial"/>
                <w:snapToGrid w:val="0"/>
                <w:szCs w:val="20"/>
              </w:rPr>
              <w:t xml:space="preserve">adequately </w:t>
            </w:r>
            <w:r w:rsidR="00571531" w:rsidRPr="007B6A30">
              <w:rPr>
                <w:rFonts w:eastAsia="Times New Roman" w:cs="Arial"/>
                <w:snapToGrid w:val="0"/>
                <w:szCs w:val="20"/>
              </w:rPr>
              <w:t>addressed</w:t>
            </w:r>
            <w:r w:rsidR="006B3595" w:rsidRPr="007B6A30">
              <w:rPr>
                <w:rFonts w:eastAsia="Times New Roman" w:cs="Arial"/>
                <w:snapToGrid w:val="0"/>
                <w:szCs w:val="20"/>
              </w:rPr>
              <w:t xml:space="preserve"> it</w:t>
            </w:r>
            <w:r w:rsidR="00571531" w:rsidRPr="007B6A30">
              <w:rPr>
                <w:rFonts w:eastAsia="Times New Roman" w:cs="Arial"/>
                <w:snapToGrid w:val="0"/>
                <w:szCs w:val="20"/>
              </w:rPr>
              <w:t xml:space="preserve">. </w:t>
            </w:r>
          </w:p>
          <w:p w14:paraId="7403996C" w14:textId="431D076D" w:rsidR="00B2792D" w:rsidRPr="009539C3" w:rsidRDefault="00571531" w:rsidP="60969D91">
            <w:pPr>
              <w:pStyle w:val="TableText"/>
              <w:rPr>
                <w:rFonts w:eastAsia="Times New Roman" w:cs="Arial"/>
                <w:i/>
                <w:iCs/>
                <w:snapToGrid w:val="0"/>
              </w:rPr>
            </w:pPr>
            <w:r w:rsidRPr="007B6A30">
              <w:rPr>
                <w:rFonts w:eastAsia="Times New Roman" w:cs="Arial"/>
                <w:snapToGrid w:val="0"/>
              </w:rPr>
              <w:t xml:space="preserve">The submission </w:t>
            </w:r>
            <w:r w:rsidR="00BD4852" w:rsidRPr="007B6A30">
              <w:rPr>
                <w:rFonts w:eastAsia="Times New Roman" w:cs="Arial"/>
                <w:snapToGrid w:val="0"/>
              </w:rPr>
              <w:t xml:space="preserve">estimated </w:t>
            </w:r>
            <w:r w:rsidRPr="007B6A30">
              <w:rPr>
                <w:rFonts w:eastAsia="Times New Roman" w:cs="Arial"/>
                <w:snapToGrid w:val="0"/>
              </w:rPr>
              <w:t xml:space="preserve">approximately 10% of </w:t>
            </w:r>
            <w:r w:rsidR="00794122" w:rsidRPr="007B6A30">
              <w:rPr>
                <w:rFonts w:eastAsia="Times New Roman" w:cs="Arial"/>
                <w:snapToGrid w:val="0"/>
              </w:rPr>
              <w:t>T-</w:t>
            </w:r>
            <w:proofErr w:type="spellStart"/>
            <w:r w:rsidR="00794122" w:rsidRPr="007B6A30">
              <w:rPr>
                <w:rFonts w:eastAsia="Times New Roman" w:cs="Arial"/>
                <w:snapToGrid w:val="0"/>
              </w:rPr>
              <w:t>DXd</w:t>
            </w:r>
            <w:proofErr w:type="spellEnd"/>
            <w:r w:rsidRPr="007B6A30">
              <w:rPr>
                <w:rFonts w:eastAsia="Times New Roman" w:cs="Arial"/>
                <w:snapToGrid w:val="0"/>
              </w:rPr>
              <w:t xml:space="preserve"> eligible patients </w:t>
            </w:r>
            <w:r w:rsidR="00BD4852" w:rsidRPr="007B6A30">
              <w:rPr>
                <w:rFonts w:eastAsia="Times New Roman" w:cs="Arial"/>
                <w:snapToGrid w:val="0"/>
              </w:rPr>
              <w:t xml:space="preserve">would </w:t>
            </w:r>
            <w:r w:rsidRPr="007B6A30">
              <w:rPr>
                <w:rFonts w:eastAsia="Times New Roman" w:cs="Arial"/>
                <w:snapToGrid w:val="0"/>
              </w:rPr>
              <w:t xml:space="preserve">be </w:t>
            </w:r>
            <w:r w:rsidR="00DC6975" w:rsidRPr="007B6A30">
              <w:rPr>
                <w:rFonts w:eastAsia="Times New Roman" w:cs="Arial"/>
                <w:snapToGrid w:val="0"/>
              </w:rPr>
              <w:t>re-</w:t>
            </w:r>
            <w:r w:rsidRPr="007B6A30">
              <w:rPr>
                <w:rFonts w:eastAsia="Times New Roman" w:cs="Arial"/>
                <w:snapToGrid w:val="0"/>
              </w:rPr>
              <w:t xml:space="preserve">tested, </w:t>
            </w:r>
            <w:r w:rsidR="00F96FFD" w:rsidRPr="007B6A30">
              <w:rPr>
                <w:rFonts w:eastAsia="Times New Roman" w:cs="Arial"/>
                <w:snapToGrid w:val="0"/>
              </w:rPr>
              <w:t>based on clinical opinion. However, the</w:t>
            </w:r>
            <w:r w:rsidR="00E3622B" w:rsidRPr="007B6A30">
              <w:rPr>
                <w:rFonts w:eastAsia="Times New Roman" w:cs="Arial"/>
                <w:snapToGrid w:val="0"/>
              </w:rPr>
              <w:t xml:space="preserve"> commentary noted</w:t>
            </w:r>
            <w:r w:rsidR="00F96FFD" w:rsidRPr="007B6A30">
              <w:rPr>
                <w:rFonts w:eastAsia="Times New Roman" w:cs="Arial"/>
                <w:snapToGrid w:val="0"/>
              </w:rPr>
              <w:t xml:space="preserve"> </w:t>
            </w:r>
            <w:r w:rsidR="00E3622B" w:rsidRPr="007B6A30">
              <w:rPr>
                <w:rFonts w:eastAsia="Times New Roman" w:cs="Arial"/>
                <w:snapToGrid w:val="0"/>
              </w:rPr>
              <w:t xml:space="preserve">that the </w:t>
            </w:r>
            <w:r w:rsidR="00F96FFD" w:rsidRPr="007B6A30">
              <w:rPr>
                <w:rFonts w:eastAsia="Times New Roman" w:cs="Arial"/>
                <w:snapToGrid w:val="0"/>
              </w:rPr>
              <w:t xml:space="preserve">submission </w:t>
            </w:r>
            <w:r w:rsidR="00BD4852" w:rsidRPr="007B6A30">
              <w:rPr>
                <w:rFonts w:eastAsia="Times New Roman" w:cs="Arial"/>
                <w:snapToGrid w:val="0"/>
              </w:rPr>
              <w:t xml:space="preserve">did </w:t>
            </w:r>
            <w:r w:rsidR="00F96FFD" w:rsidRPr="007B6A30">
              <w:rPr>
                <w:rFonts w:eastAsia="Times New Roman" w:cs="Arial"/>
                <w:snapToGrid w:val="0"/>
              </w:rPr>
              <w:t>not describe which</w:t>
            </w:r>
            <w:r w:rsidR="00A75AA1" w:rsidRPr="007B6A30">
              <w:rPr>
                <w:rFonts w:eastAsia="Times New Roman" w:cs="Arial"/>
                <w:snapToGrid w:val="0"/>
              </w:rPr>
              <w:t xml:space="preserve"> patients are more likely to be </w:t>
            </w:r>
            <w:r w:rsidR="002B3846" w:rsidRPr="007B6A30">
              <w:rPr>
                <w:rFonts w:eastAsia="Times New Roman" w:cs="Arial"/>
                <w:snapToGrid w:val="0"/>
              </w:rPr>
              <w:t>re</w:t>
            </w:r>
            <w:r w:rsidR="00391BC6" w:rsidRPr="007B6A30">
              <w:rPr>
                <w:rFonts w:eastAsia="Times New Roman" w:cs="Arial"/>
                <w:snapToGrid w:val="0"/>
              </w:rPr>
              <w:t>-</w:t>
            </w:r>
            <w:r w:rsidR="00A75AA1" w:rsidRPr="007B6A30">
              <w:rPr>
                <w:rFonts w:eastAsia="Times New Roman" w:cs="Arial"/>
                <w:snapToGrid w:val="0"/>
              </w:rPr>
              <w:t>tested.</w:t>
            </w:r>
          </w:p>
        </w:tc>
      </w:tr>
      <w:tr w:rsidR="00DD0698" w:rsidRPr="009539C3" w14:paraId="3B56138C" w14:textId="77777777" w:rsidTr="00DD0B90">
        <w:trPr>
          <w:cantSplit/>
        </w:trPr>
        <w:tc>
          <w:tcPr>
            <w:tcW w:w="1019" w:type="pct"/>
          </w:tcPr>
          <w:p w14:paraId="4F2E71F9" w14:textId="3F1347BA" w:rsidR="00DD0698" w:rsidRPr="009539C3" w:rsidRDefault="00DD0698" w:rsidP="00DD0698">
            <w:pPr>
              <w:pStyle w:val="TableText"/>
            </w:pPr>
            <w:r w:rsidRPr="009539C3">
              <w:t>Prevalence of HER2 downregulation</w:t>
            </w:r>
          </w:p>
        </w:tc>
        <w:tc>
          <w:tcPr>
            <w:tcW w:w="1965" w:type="pct"/>
          </w:tcPr>
          <w:p w14:paraId="43D7374C" w14:textId="628CE109" w:rsidR="00DD0698" w:rsidRPr="009539C3" w:rsidRDefault="00DD0698" w:rsidP="60969D91">
            <w:pPr>
              <w:pStyle w:val="TableText"/>
              <w:rPr>
                <w:rFonts w:eastAsia="Times New Roman" w:cs="Arial"/>
                <w:snapToGrid w:val="0"/>
              </w:rPr>
            </w:pPr>
            <w:r w:rsidRPr="60969D91">
              <w:rPr>
                <w:rFonts w:cs="Arial"/>
                <w:snapToGrid w:val="0"/>
              </w:rPr>
              <w:t xml:space="preserve">The MSAC Executive considered that </w:t>
            </w:r>
            <w:r w:rsidRPr="007B6A30">
              <w:rPr>
                <w:rFonts w:cs="Arial"/>
                <w:i/>
                <w:iCs/>
                <w:snapToGrid w:val="0"/>
              </w:rPr>
              <w:t>HER2</w:t>
            </w:r>
            <w:r w:rsidRPr="60969D91">
              <w:rPr>
                <w:rFonts w:cs="Arial"/>
                <w:snapToGrid w:val="0"/>
              </w:rPr>
              <w:t xml:space="preserve"> downregulation following trastuzumab treatment is possible. Therefore, absence of re-testing in patients whose </w:t>
            </w:r>
            <w:r w:rsidRPr="007B6A30">
              <w:rPr>
                <w:rFonts w:cs="Arial"/>
                <w:i/>
                <w:iCs/>
                <w:snapToGrid w:val="0"/>
              </w:rPr>
              <w:t>HER2</w:t>
            </w:r>
            <w:r w:rsidRPr="60969D91">
              <w:rPr>
                <w:rFonts w:cs="Arial"/>
                <w:snapToGrid w:val="0"/>
              </w:rPr>
              <w:t xml:space="preserve"> status changed from positive to negative following trastuzumab treatment may le</w:t>
            </w:r>
            <w:r w:rsidR="00BD4852" w:rsidRPr="60969D91">
              <w:rPr>
                <w:rFonts w:cs="Arial"/>
                <w:snapToGrid w:val="0"/>
              </w:rPr>
              <w:t>a</w:t>
            </w:r>
            <w:r w:rsidRPr="60969D91">
              <w:rPr>
                <w:rFonts w:cs="Arial"/>
                <w:snapToGrid w:val="0"/>
              </w:rPr>
              <w:t>d to over-use of T-</w:t>
            </w:r>
            <w:proofErr w:type="spellStart"/>
            <w:r w:rsidRPr="60969D91">
              <w:rPr>
                <w:rFonts w:cs="Arial"/>
                <w:snapToGrid w:val="0"/>
              </w:rPr>
              <w:t>DXd</w:t>
            </w:r>
            <w:proofErr w:type="spellEnd"/>
            <w:r w:rsidR="00804723" w:rsidRPr="60969D91">
              <w:rPr>
                <w:rFonts w:cs="Arial"/>
                <w:snapToGrid w:val="0"/>
              </w:rPr>
              <w:t>.</w:t>
            </w:r>
          </w:p>
        </w:tc>
        <w:tc>
          <w:tcPr>
            <w:tcW w:w="2015" w:type="pct"/>
          </w:tcPr>
          <w:p w14:paraId="6E0B6398" w14:textId="133AD5BF" w:rsidR="00DD0698" w:rsidRPr="007B6A30" w:rsidRDefault="00E3622B" w:rsidP="00DD0698">
            <w:pPr>
              <w:pStyle w:val="TableText"/>
              <w:rPr>
                <w:rFonts w:eastAsia="Times New Roman" w:cs="Arial"/>
                <w:snapToGrid w:val="0"/>
                <w:szCs w:val="20"/>
              </w:rPr>
            </w:pPr>
            <w:r w:rsidRPr="007B6A30">
              <w:rPr>
                <w:rFonts w:eastAsia="Times New Roman" w:cs="Arial"/>
                <w:snapToGrid w:val="0"/>
                <w:szCs w:val="20"/>
              </w:rPr>
              <w:t>The commentary considered that the submission had n</w:t>
            </w:r>
            <w:r w:rsidR="00B75B87" w:rsidRPr="007B6A30">
              <w:rPr>
                <w:rFonts w:eastAsia="Times New Roman" w:cs="Arial"/>
                <w:snapToGrid w:val="0"/>
                <w:szCs w:val="20"/>
              </w:rPr>
              <w:t>ot addressed</w:t>
            </w:r>
            <w:r w:rsidR="006B3595" w:rsidRPr="007B6A30">
              <w:rPr>
                <w:rFonts w:eastAsia="Times New Roman" w:cs="Arial"/>
                <w:snapToGrid w:val="0"/>
                <w:szCs w:val="20"/>
              </w:rPr>
              <w:t xml:space="preserve"> it</w:t>
            </w:r>
            <w:r w:rsidR="00BD4852" w:rsidRPr="007B6A30">
              <w:rPr>
                <w:rFonts w:eastAsia="Times New Roman" w:cs="Arial"/>
                <w:snapToGrid w:val="0"/>
                <w:szCs w:val="20"/>
              </w:rPr>
              <w:t>.</w:t>
            </w:r>
          </w:p>
          <w:p w14:paraId="1B12D8B8" w14:textId="26E4B010" w:rsidR="00B75B87" w:rsidRPr="007B6A30" w:rsidRDefault="00481D80" w:rsidP="60969D91">
            <w:pPr>
              <w:pStyle w:val="TableText"/>
              <w:rPr>
                <w:rFonts w:eastAsia="Times New Roman" w:cs="Arial"/>
                <w:snapToGrid w:val="0"/>
              </w:rPr>
            </w:pPr>
            <w:r w:rsidRPr="007B6A30">
              <w:rPr>
                <w:rFonts w:eastAsia="Times New Roman" w:cs="Arial"/>
                <w:snapToGrid w:val="0"/>
              </w:rPr>
              <w:t xml:space="preserve">The commentary identified that approximately 30% of patients are likely </w:t>
            </w:r>
            <w:r w:rsidR="00BA5E38" w:rsidRPr="007B6A30">
              <w:rPr>
                <w:rFonts w:eastAsia="Times New Roman" w:cs="Arial"/>
                <w:snapToGrid w:val="0"/>
              </w:rPr>
              <w:t xml:space="preserve">to lose </w:t>
            </w:r>
            <w:r w:rsidR="00BA5E38" w:rsidRPr="00D12406">
              <w:rPr>
                <w:rFonts w:eastAsia="Times New Roman" w:cs="Arial"/>
                <w:i/>
                <w:iCs/>
                <w:snapToGrid w:val="0"/>
              </w:rPr>
              <w:t>HER2</w:t>
            </w:r>
            <w:r w:rsidR="00BA5E38" w:rsidRPr="007B6A30">
              <w:rPr>
                <w:rFonts w:eastAsia="Times New Roman" w:cs="Arial"/>
                <w:snapToGrid w:val="0"/>
              </w:rPr>
              <w:t xml:space="preserve"> positivity</w:t>
            </w:r>
            <w:r w:rsidRPr="007B6A30">
              <w:rPr>
                <w:rFonts w:eastAsia="Times New Roman" w:cs="Arial"/>
                <w:snapToGrid w:val="0"/>
              </w:rPr>
              <w:t>.</w:t>
            </w:r>
            <w:r w:rsidR="00E9256A" w:rsidRPr="007B6A30">
              <w:rPr>
                <w:rFonts w:eastAsia="Times New Roman" w:cs="Arial"/>
                <w:snapToGrid w:val="0"/>
              </w:rPr>
              <w:t xml:space="preserve"> </w:t>
            </w:r>
          </w:p>
          <w:p w14:paraId="32713048" w14:textId="5326AAA5" w:rsidR="00EE3F95" w:rsidRPr="009539C3" w:rsidRDefault="00455CD5" w:rsidP="00DD0698">
            <w:pPr>
              <w:pStyle w:val="TableText"/>
              <w:rPr>
                <w:rFonts w:eastAsia="Times New Roman" w:cs="Arial"/>
                <w:i/>
                <w:iCs/>
                <w:snapToGrid w:val="0"/>
                <w:szCs w:val="20"/>
              </w:rPr>
            </w:pPr>
            <w:r w:rsidRPr="007B6A30">
              <w:t>However,</w:t>
            </w:r>
            <w:r w:rsidR="00EE3F95" w:rsidRPr="007B6A30">
              <w:t xml:space="preserve"> </w:t>
            </w:r>
            <w:r w:rsidR="006B3595" w:rsidRPr="007B6A30">
              <w:t xml:space="preserve">the commentary considered that the </w:t>
            </w:r>
            <w:r w:rsidR="00BD4852" w:rsidRPr="007B6A30">
              <w:t xml:space="preserve">selection of patients by </w:t>
            </w:r>
            <w:r w:rsidR="00EE3F95" w:rsidRPr="00B7325E">
              <w:rPr>
                <w:i/>
                <w:iCs/>
              </w:rPr>
              <w:t>HER2</w:t>
            </w:r>
            <w:r w:rsidR="00EE3F95" w:rsidRPr="007B6A30">
              <w:t xml:space="preserve"> re-testing </w:t>
            </w:r>
            <w:r w:rsidR="006B3595" w:rsidRPr="007B6A30">
              <w:t xml:space="preserve">did </w:t>
            </w:r>
            <w:r w:rsidR="00EE3F95" w:rsidRPr="007B6A30">
              <w:t xml:space="preserve">not appear to confer benefit in terms of PFS and OS. </w:t>
            </w:r>
          </w:p>
        </w:tc>
      </w:tr>
    </w:tbl>
    <w:p w14:paraId="3EA0F47E" w14:textId="3BD4855D" w:rsidR="00F57885" w:rsidRPr="009539C3" w:rsidRDefault="00C2476C" w:rsidP="60969D91">
      <w:pPr>
        <w:pStyle w:val="TableFigureFooter"/>
        <w:spacing w:after="600"/>
      </w:pPr>
      <w:bookmarkStart w:id="12" w:name="_Hlk68275617"/>
      <w:bookmarkEnd w:id="11"/>
      <w:r w:rsidRPr="007B6A30">
        <w:rPr>
          <w:i/>
          <w:iCs/>
        </w:rPr>
        <w:t>HER2</w:t>
      </w:r>
      <w:r w:rsidRPr="60969D91">
        <w:t xml:space="preserve"> =</w:t>
      </w:r>
      <w:r w:rsidR="00072D1E" w:rsidRPr="60969D91">
        <w:t xml:space="preserve"> human epidermal growth factor receptor 2;</w:t>
      </w:r>
      <w:r w:rsidRPr="60969D91">
        <w:t xml:space="preserve"> </w:t>
      </w:r>
      <w:r w:rsidR="00F57885" w:rsidRPr="60969D91">
        <w:t>MSAC = Medical Services Advisory Committee;</w:t>
      </w:r>
      <w:r w:rsidR="000E5268" w:rsidRPr="60969D91">
        <w:t xml:space="preserve"> OS = overall survival; PFS = progression-free survival;</w:t>
      </w:r>
      <w:r w:rsidR="00DC4F64" w:rsidRPr="60969D91">
        <w:t xml:space="preserve"> </w:t>
      </w:r>
      <w:r w:rsidR="001F2187" w:rsidRPr="60969D91">
        <w:t>T</w:t>
      </w:r>
      <w:r w:rsidR="00DD5822" w:rsidRPr="60969D91">
        <w:t>-</w:t>
      </w:r>
      <w:proofErr w:type="spellStart"/>
      <w:r w:rsidR="001F2187" w:rsidRPr="60969D91">
        <w:t>DXd</w:t>
      </w:r>
      <w:proofErr w:type="spellEnd"/>
      <w:r w:rsidR="001F2187" w:rsidRPr="60969D91">
        <w:t xml:space="preserve"> = trastuzumab </w:t>
      </w:r>
      <w:proofErr w:type="spellStart"/>
      <w:r w:rsidR="001F2187" w:rsidRPr="60969D91">
        <w:t>deruxtecan</w:t>
      </w:r>
      <w:proofErr w:type="spellEnd"/>
    </w:p>
    <w:p w14:paraId="6F52500A" w14:textId="3CBE559C" w:rsidR="00772829" w:rsidRPr="009539C3" w:rsidRDefault="00772829" w:rsidP="005B521F">
      <w:pPr>
        <w:pStyle w:val="Heading2"/>
        <w:numPr>
          <w:ilvl w:val="0"/>
          <w:numId w:val="12"/>
        </w:numPr>
        <w:ind w:hanging="720"/>
      </w:pPr>
      <w:bookmarkStart w:id="13" w:name="_Toc69491417"/>
      <w:bookmarkEnd w:id="9"/>
      <w:bookmarkEnd w:id="12"/>
      <w:r w:rsidRPr="009539C3">
        <w:lastRenderedPageBreak/>
        <w:t>Prerequisites to implementation of any funding advice</w:t>
      </w:r>
      <w:bookmarkEnd w:id="13"/>
    </w:p>
    <w:p w14:paraId="67F9ED9C" w14:textId="33992DE7" w:rsidR="00CB4966" w:rsidRPr="009539C3" w:rsidRDefault="00CB4966" w:rsidP="00CB4966">
      <w:r w:rsidRPr="60969D91">
        <w:t xml:space="preserve">At the time of the submission lodgement, </w:t>
      </w:r>
      <w:r w:rsidR="00794122" w:rsidRPr="60969D91">
        <w:t>T-</w:t>
      </w:r>
      <w:proofErr w:type="spellStart"/>
      <w:r w:rsidR="00794122" w:rsidRPr="60969D91">
        <w:t>DXd</w:t>
      </w:r>
      <w:proofErr w:type="spellEnd"/>
      <w:r w:rsidRPr="60969D91">
        <w:t xml:space="preserve"> was undergoing review by the </w:t>
      </w:r>
      <w:r w:rsidR="00BD4852" w:rsidRPr="60969D91">
        <w:t>Therapeutic Goods Administration (</w:t>
      </w:r>
      <w:r w:rsidRPr="60969D91">
        <w:t>TGA</w:t>
      </w:r>
      <w:r w:rsidR="00BD4852" w:rsidRPr="60969D91">
        <w:t>)</w:t>
      </w:r>
      <w:r w:rsidRPr="60969D91">
        <w:t xml:space="preserve"> for HER2 G/</w:t>
      </w:r>
      <w:r w:rsidR="00677C70" w:rsidRPr="60969D91">
        <w:t>GOJ</w:t>
      </w:r>
      <w:r w:rsidRPr="60969D91">
        <w:t xml:space="preserve"> cancer.</w:t>
      </w:r>
      <w:r w:rsidR="00754A2C" w:rsidRPr="60969D91">
        <w:t xml:space="preserve"> </w:t>
      </w:r>
      <w:r w:rsidR="002F6FE4" w:rsidRPr="60969D91">
        <w:t>Since then, T-</w:t>
      </w:r>
      <w:proofErr w:type="spellStart"/>
      <w:r w:rsidR="002F6FE4" w:rsidRPr="60969D91">
        <w:t>DXd</w:t>
      </w:r>
      <w:proofErr w:type="spellEnd"/>
      <w:r w:rsidR="002F6FE4" w:rsidRPr="60969D91">
        <w:t xml:space="preserve"> has received provisional approval by the TGA</w:t>
      </w:r>
      <w:r w:rsidR="002C143A" w:rsidRPr="60969D91">
        <w:t xml:space="preserve"> (</w:t>
      </w:r>
      <w:r w:rsidR="004032DE" w:rsidRPr="60969D91">
        <w:t xml:space="preserve">TGA </w:t>
      </w:r>
      <w:r w:rsidR="002C143A" w:rsidRPr="60969D91">
        <w:t>Delegate’s overview, September 2024)</w:t>
      </w:r>
      <w:r w:rsidR="002F6FE4" w:rsidRPr="60969D91">
        <w:t>.</w:t>
      </w:r>
    </w:p>
    <w:p w14:paraId="44C3B242" w14:textId="0382B954" w:rsidR="00772829" w:rsidRPr="009539C3" w:rsidRDefault="00772829" w:rsidP="005B521F">
      <w:pPr>
        <w:pStyle w:val="Heading2"/>
        <w:numPr>
          <w:ilvl w:val="0"/>
          <w:numId w:val="12"/>
        </w:numPr>
        <w:ind w:hanging="720"/>
      </w:pPr>
      <w:bookmarkStart w:id="14" w:name="_Toc69491418"/>
      <w:r w:rsidRPr="009539C3">
        <w:t>Proposal for public funding</w:t>
      </w:r>
      <w:bookmarkEnd w:id="14"/>
    </w:p>
    <w:p w14:paraId="460A2F4D" w14:textId="6D3B1C42" w:rsidR="00C63AE0" w:rsidRPr="009539C3" w:rsidRDefault="00857FFC" w:rsidP="00003B71">
      <w:r w:rsidRPr="60969D91">
        <w:t xml:space="preserve">There are two existing MBS items to establish </w:t>
      </w:r>
      <w:r w:rsidRPr="00184BC9">
        <w:rPr>
          <w:i/>
          <w:iCs/>
        </w:rPr>
        <w:t>HER2</w:t>
      </w:r>
      <w:r w:rsidRPr="60969D91">
        <w:t xml:space="preserve"> status in metastatic G/</w:t>
      </w:r>
      <w:r w:rsidR="00677C70" w:rsidRPr="60969D91">
        <w:t>GOJ</w:t>
      </w:r>
      <w:r w:rsidRPr="60969D91">
        <w:t xml:space="preserve"> cancer patients: </w:t>
      </w:r>
      <w:r w:rsidR="00E65104" w:rsidRPr="60969D91">
        <w:t>i</w:t>
      </w:r>
      <w:r w:rsidRPr="60969D91">
        <w:t>tem 728</w:t>
      </w:r>
      <w:r w:rsidR="00BB730F" w:rsidRPr="60969D91">
        <w:t>4</w:t>
      </w:r>
      <w:r w:rsidRPr="60969D91">
        <w:t>8 for</w:t>
      </w:r>
      <w:r w:rsidR="003E1FBF" w:rsidRPr="60969D91">
        <w:t xml:space="preserve"> immunohistochemical</w:t>
      </w:r>
      <w:r w:rsidRPr="60969D91">
        <w:t xml:space="preserve"> </w:t>
      </w:r>
      <w:r w:rsidR="003E1FBF" w:rsidRPr="60969D91">
        <w:t>(</w:t>
      </w:r>
      <w:r w:rsidRPr="60969D91">
        <w:t>IHC</w:t>
      </w:r>
      <w:r w:rsidR="003E1FBF" w:rsidRPr="60969D91">
        <w:t>)</w:t>
      </w:r>
      <w:r w:rsidRPr="60969D91">
        <w:t xml:space="preserve"> testing, and 73342 </w:t>
      </w:r>
      <w:r w:rsidR="00E65104" w:rsidRPr="60969D91">
        <w:t>for ISH.</w:t>
      </w:r>
      <w:r w:rsidR="00916D25" w:rsidRPr="60969D91">
        <w:t xml:space="preserve"> </w:t>
      </w:r>
      <w:r w:rsidR="001E748C" w:rsidRPr="60969D91">
        <w:t xml:space="preserve">Both items require biopsy </w:t>
      </w:r>
      <w:proofErr w:type="gramStart"/>
      <w:r w:rsidR="001E748C" w:rsidRPr="60969D91">
        <w:t>in order to</w:t>
      </w:r>
      <w:proofErr w:type="gramEnd"/>
      <w:r w:rsidR="001E748C" w:rsidRPr="60969D91">
        <w:t xml:space="preserve"> obtain the tumour tissue.</w:t>
      </w:r>
    </w:p>
    <w:p w14:paraId="7840436B" w14:textId="77777777" w:rsidR="00AC07AF" w:rsidRPr="009539C3" w:rsidRDefault="00AC07AF" w:rsidP="00AC07AF">
      <w:r w:rsidRPr="009539C3">
        <w:t xml:space="preserve">There was no proposed change to the current MBS item for IHC testing (MBS item code 72848) because the description does not relate to a specific drug. </w:t>
      </w:r>
    </w:p>
    <w:p w14:paraId="76602C13" w14:textId="463FC769" w:rsidR="00003B71" w:rsidRPr="009539C3" w:rsidRDefault="00E03312" w:rsidP="00003B71">
      <w:pPr>
        <w:rPr>
          <w:rFonts w:eastAsia="Franklin Gothic Book" w:cs="Franklin Gothic Book"/>
        </w:rPr>
      </w:pPr>
      <w:r w:rsidRPr="60969D91">
        <w:t xml:space="preserve">The </w:t>
      </w:r>
      <w:r w:rsidR="00BF5152" w:rsidRPr="60969D91">
        <w:t xml:space="preserve">application </w:t>
      </w:r>
      <w:r w:rsidRPr="60969D91">
        <w:t>proposed a</w:t>
      </w:r>
      <w:r w:rsidR="00AC07AF" w:rsidRPr="60969D91">
        <w:t xml:space="preserve"> minor</w:t>
      </w:r>
      <w:r w:rsidRPr="60969D91">
        <w:t xml:space="preserve"> amendment to MBS </w:t>
      </w:r>
      <w:r w:rsidR="00E65104" w:rsidRPr="60969D91">
        <w:t>i</w:t>
      </w:r>
      <w:r w:rsidRPr="60969D91">
        <w:t>tem 73342 (</w:t>
      </w:r>
      <w:r>
        <w:fldChar w:fldCharType="begin"/>
      </w:r>
      <w:r>
        <w:instrText xml:space="preserve"> REF _Ref187405663 \h  \* MERGEFORMAT </w:instrText>
      </w:r>
      <w:r>
        <w:fldChar w:fldCharType="separate"/>
      </w:r>
      <w:r w:rsidR="007B45D6" w:rsidRPr="009539C3">
        <w:t>Table </w:t>
      </w:r>
      <w:r w:rsidR="007B45D6">
        <w:t>3</w:t>
      </w:r>
      <w:r>
        <w:fldChar w:fldCharType="end"/>
      </w:r>
      <w:r w:rsidRPr="60969D91">
        <w:t>)</w:t>
      </w:r>
      <w:r w:rsidR="00003B71" w:rsidRPr="60969D91">
        <w:t xml:space="preserve">. The application proposed that the MBS item number 73342 be amended to replace the term “trastuzumab” with “trastuzumab-containing agent” so that the same MBS item may be used for trastuzumab alone, or an antibody-drug conjugate containing trastuzumab, such as trastuzumab </w:t>
      </w:r>
      <w:proofErr w:type="spellStart"/>
      <w:r w:rsidR="00003B71" w:rsidRPr="60969D91">
        <w:t>deruxtecan</w:t>
      </w:r>
      <w:proofErr w:type="spellEnd"/>
      <w:r w:rsidR="00B045BA" w:rsidRPr="60969D91">
        <w:t xml:space="preserve"> (</w:t>
      </w:r>
      <w:r w:rsidR="00794122" w:rsidRPr="60969D91">
        <w:t>T-</w:t>
      </w:r>
      <w:proofErr w:type="spellStart"/>
      <w:r w:rsidR="00794122" w:rsidRPr="60969D91">
        <w:t>DXd</w:t>
      </w:r>
      <w:proofErr w:type="spellEnd"/>
      <w:r w:rsidR="00B045BA" w:rsidRPr="60969D91">
        <w:t>)</w:t>
      </w:r>
      <w:r w:rsidR="00003B71" w:rsidRPr="60969D91">
        <w:t>.</w:t>
      </w:r>
      <w:r w:rsidR="009442F4">
        <w:t xml:space="preserve"> The </w:t>
      </w:r>
      <w:r w:rsidR="004E6496">
        <w:t>d</w:t>
      </w:r>
      <w:r w:rsidR="009442F4">
        <w:t xml:space="preserve">epartment </w:t>
      </w:r>
      <w:r w:rsidR="00EC106C">
        <w:t xml:space="preserve">proposed broadening </w:t>
      </w:r>
      <w:r w:rsidR="009B6346">
        <w:t>these terms</w:t>
      </w:r>
      <w:r w:rsidR="00B4328C">
        <w:t xml:space="preserve"> further</w:t>
      </w:r>
      <w:r w:rsidR="009B6346">
        <w:t xml:space="preserve"> </w:t>
      </w:r>
      <w:r w:rsidR="00B4328C" w:rsidRPr="00B4328C">
        <w:t xml:space="preserve">by replacing 'access to trastuzumab' with </w:t>
      </w:r>
      <w:r w:rsidR="009B6346">
        <w:t>“</w:t>
      </w:r>
      <w:r w:rsidR="004E6496">
        <w:t xml:space="preserve">eligibility for </w:t>
      </w:r>
      <w:r w:rsidR="009B6346">
        <w:t>a relevant treatment under the Pharmaceutical Benefits Scheme”.</w:t>
      </w:r>
      <w:r w:rsidR="2B9B8064">
        <w:t xml:space="preserve"> </w:t>
      </w:r>
      <w:r w:rsidR="692447E6">
        <w:t xml:space="preserve"> Additional edits</w:t>
      </w:r>
      <w:r w:rsidR="692447E6" w:rsidRPr="13873A1D">
        <w:rPr>
          <w:rFonts w:eastAsia="Franklin Gothic Book" w:cs="Franklin Gothic Book"/>
        </w:rPr>
        <w:t xml:space="preserve"> </w:t>
      </w:r>
      <w:r w:rsidR="2B9B8064" w:rsidRPr="13873A1D">
        <w:rPr>
          <w:rFonts w:eastAsia="Franklin Gothic Book" w:cs="Franklin Gothic Book"/>
        </w:rPr>
        <w:t xml:space="preserve">have been proposed by the </w:t>
      </w:r>
      <w:r w:rsidR="0055326A">
        <w:rPr>
          <w:rFonts w:eastAsia="Franklin Gothic Book" w:cs="Franklin Gothic Book"/>
        </w:rPr>
        <w:t>d</w:t>
      </w:r>
      <w:r w:rsidR="2B9B8064" w:rsidRPr="13873A1D">
        <w:rPr>
          <w:rFonts w:eastAsia="Franklin Gothic Book" w:cs="Franklin Gothic Book"/>
        </w:rPr>
        <w:t>epartment to improve readability and are reflective of recent MSAC and legislative drafting preferences</w:t>
      </w:r>
      <w:r w:rsidR="66E33501" w:rsidRPr="13873A1D">
        <w:rPr>
          <w:rFonts w:eastAsia="Franklin Gothic Book" w:cs="Franklin Gothic Book"/>
        </w:rPr>
        <w:t>.</w:t>
      </w:r>
    </w:p>
    <w:p w14:paraId="65AAC04C" w14:textId="31E1BE67" w:rsidR="00DB69AE" w:rsidRPr="009539C3" w:rsidRDefault="00DB69AE" w:rsidP="00DB69AE">
      <w:pPr>
        <w:pStyle w:val="Caption"/>
        <w:rPr>
          <w:rFonts w:cs="Arial"/>
        </w:rPr>
      </w:pPr>
      <w:bookmarkStart w:id="15" w:name="_Ref187405663"/>
      <w:r w:rsidRPr="009539C3">
        <w:t>Table </w:t>
      </w:r>
      <w:r>
        <w:fldChar w:fldCharType="begin"/>
      </w:r>
      <w:r>
        <w:instrText xml:space="preserve"> SEQ Table \* ARABIC </w:instrText>
      </w:r>
      <w:r>
        <w:fldChar w:fldCharType="separate"/>
      </w:r>
      <w:r w:rsidR="007B45D6">
        <w:rPr>
          <w:noProof/>
        </w:rPr>
        <w:t>3</w:t>
      </w:r>
      <w:r>
        <w:fldChar w:fldCharType="end"/>
      </w:r>
      <w:bookmarkEnd w:id="15"/>
      <w:r w:rsidRPr="009539C3">
        <w:rPr>
          <w:rFonts w:cs="Arial"/>
        </w:rPr>
        <w:tab/>
        <w:t>Proposed amendments to MBS item 73342</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016"/>
      </w:tblGrid>
      <w:tr w:rsidR="00185892" w:rsidRPr="009539C3" w14:paraId="2F3271CB" w14:textId="77777777" w:rsidTr="64D7D92C">
        <w:trPr>
          <w:trHeight w:val="351"/>
          <w:tblHeader/>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A00025" w14:textId="4BCE5491" w:rsidR="00185892" w:rsidRPr="009539C3" w:rsidRDefault="00185892" w:rsidP="00A25DB5">
            <w:pPr>
              <w:pStyle w:val="TableText"/>
              <w:tabs>
                <w:tab w:val="left" w:pos="7560"/>
              </w:tabs>
              <w:rPr>
                <w:sz w:val="24"/>
              </w:rPr>
            </w:pPr>
            <w:r w:rsidRPr="009539C3">
              <w:rPr>
                <w:b/>
              </w:rPr>
              <w:t>Category 6 – PATHOLOGY SERVICES</w:t>
            </w:r>
            <w:r w:rsidR="00283D77">
              <w:rPr>
                <w:b/>
              </w:rPr>
              <w:t xml:space="preserve">                                                                                              </w:t>
            </w:r>
            <w:r w:rsidR="00283D77" w:rsidRPr="00133786">
              <w:rPr>
                <w:szCs w:val="20"/>
                <w:u w:val="single"/>
                <w:lang w:eastAsia="ja-JP"/>
              </w:rPr>
              <w:t>Group P7 – Genetics</w:t>
            </w:r>
          </w:p>
        </w:tc>
      </w:tr>
      <w:tr w:rsidR="00185892" w:rsidRPr="009539C3" w14:paraId="6B0A550A" w14:textId="77777777" w:rsidTr="002B10F2">
        <w:trPr>
          <w:trHeight w:val="3165"/>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356E57" w14:textId="06E0EFFB" w:rsidR="006533C3" w:rsidRDefault="006533C3" w:rsidP="00A25DB5">
            <w:pPr>
              <w:tabs>
                <w:tab w:val="right" w:pos="8800"/>
              </w:tabs>
              <w:spacing w:after="120" w:line="240" w:lineRule="auto"/>
              <w:rPr>
                <w:rFonts w:ascii="Arial Narrow" w:hAnsi="Arial Narrow"/>
                <w:sz w:val="20"/>
                <w:szCs w:val="20"/>
                <w:lang w:eastAsia="ja-JP"/>
              </w:rPr>
            </w:pPr>
            <w:r>
              <w:rPr>
                <w:rFonts w:ascii="Arial Narrow" w:hAnsi="Arial Narrow"/>
                <w:sz w:val="20"/>
                <w:szCs w:val="20"/>
                <w:lang w:eastAsia="ja-JP"/>
              </w:rPr>
              <w:t>MBS Item 73342</w:t>
            </w:r>
            <w:r>
              <w:rPr>
                <w:rFonts w:ascii="Arial Narrow" w:hAnsi="Arial Narrow"/>
                <w:sz w:val="20"/>
                <w:szCs w:val="20"/>
                <w:lang w:eastAsia="ja-JP"/>
              </w:rPr>
              <w:tab/>
            </w:r>
          </w:p>
          <w:p w14:paraId="59AB0F70" w14:textId="48D27504" w:rsidR="00185892" w:rsidRPr="009539C3" w:rsidRDefault="00B75B43" w:rsidP="7DEECC84">
            <w:pPr>
              <w:spacing w:after="120" w:line="240" w:lineRule="auto"/>
              <w:rPr>
                <w:rFonts w:ascii="Arial Narrow" w:eastAsia="Arial Narrow" w:hAnsi="Arial Narrow" w:cs="Arial Narrow"/>
                <w:sz w:val="20"/>
                <w:szCs w:val="20"/>
              </w:rPr>
            </w:pPr>
            <w:r w:rsidRPr="26F667BA">
              <w:rPr>
                <w:rFonts w:ascii="Arial Narrow" w:hAnsi="Arial Narrow"/>
                <w:sz w:val="20"/>
                <w:szCs w:val="20"/>
                <w:lang w:eastAsia="ja-JP"/>
              </w:rPr>
              <w:t xml:space="preserve">An in situ hybridisation (ISH) test </w:t>
            </w:r>
            <w:r w:rsidR="6E71A844" w:rsidRPr="00133786">
              <w:rPr>
                <w:rFonts w:ascii="Arial Narrow" w:eastAsia="Arial Narrow" w:hAnsi="Arial Narrow" w:cs="Arial Narrow"/>
                <w:sz w:val="20"/>
                <w:szCs w:val="20"/>
                <w:u w:val="single"/>
                <w:lang w:val="en-US"/>
              </w:rPr>
              <w:t>to determine human epidermal growth factor receptor 2 (HER2) gene amplification status</w:t>
            </w:r>
            <w:r w:rsidR="6E71A844" w:rsidRPr="00133786">
              <w:rPr>
                <w:rFonts w:ascii="Arial Narrow" w:eastAsia="Arial Narrow" w:hAnsi="Arial Narrow" w:cs="Arial Narrow"/>
                <w:sz w:val="20"/>
                <w:szCs w:val="20"/>
                <w:lang w:val="en-US"/>
              </w:rPr>
              <w:t xml:space="preserve"> </w:t>
            </w:r>
            <w:r w:rsidRPr="26F667BA">
              <w:rPr>
                <w:rFonts w:ascii="Arial Narrow" w:hAnsi="Arial Narrow"/>
                <w:sz w:val="20"/>
                <w:szCs w:val="20"/>
                <w:lang w:eastAsia="ja-JP"/>
              </w:rPr>
              <w:t>of tumour tissue from a patient with metastatic adenocarcinoma of the stomach or gastro-oesophageal junction</w:t>
            </w:r>
            <w:r w:rsidR="780765D5" w:rsidRPr="7DEECC84">
              <w:rPr>
                <w:rFonts w:ascii="Arial Narrow" w:eastAsia="Arial Narrow" w:hAnsi="Arial Narrow" w:cs="Arial Narrow"/>
                <w:sz w:val="20"/>
                <w:szCs w:val="20"/>
                <w:lang w:val="en-US"/>
              </w:rPr>
              <w:t xml:space="preserve"> </w:t>
            </w:r>
            <w:r w:rsidR="780765D5" w:rsidRPr="00133786">
              <w:rPr>
                <w:rFonts w:ascii="Arial Narrow" w:eastAsia="Arial Narrow" w:hAnsi="Arial Narrow" w:cs="Arial Narrow"/>
                <w:sz w:val="20"/>
                <w:szCs w:val="20"/>
                <w:u w:val="single"/>
                <w:lang w:val="en-US"/>
              </w:rPr>
              <w:t>and</w:t>
            </w:r>
            <w:r w:rsidRPr="00133786">
              <w:rPr>
                <w:rFonts w:ascii="Arial Narrow" w:hAnsi="Arial Narrow"/>
                <w:strike/>
                <w:sz w:val="20"/>
                <w:szCs w:val="20"/>
                <w:lang w:eastAsia="ja-JP"/>
              </w:rPr>
              <w:t>, with</w:t>
            </w:r>
            <w:r w:rsidRPr="26F667BA">
              <w:rPr>
                <w:rFonts w:ascii="Arial Narrow" w:hAnsi="Arial Narrow"/>
                <w:sz w:val="20"/>
                <w:szCs w:val="20"/>
                <w:lang w:eastAsia="ja-JP"/>
              </w:rPr>
              <w:t xml:space="preserve"> documented evidence of </w:t>
            </w:r>
            <w:r w:rsidRPr="00133786">
              <w:rPr>
                <w:rFonts w:ascii="Arial Narrow" w:hAnsi="Arial Narrow"/>
                <w:strike/>
                <w:sz w:val="20"/>
                <w:szCs w:val="20"/>
                <w:lang w:eastAsia="ja-JP"/>
              </w:rPr>
              <w:t>human epidermal growth factor receptor 2 (</w:t>
            </w:r>
            <w:r w:rsidRPr="26F667BA">
              <w:rPr>
                <w:rFonts w:ascii="Arial Narrow" w:hAnsi="Arial Narrow"/>
                <w:sz w:val="20"/>
                <w:szCs w:val="20"/>
                <w:lang w:eastAsia="ja-JP"/>
              </w:rPr>
              <w:t>HER2</w:t>
            </w:r>
            <w:r w:rsidRPr="00133786">
              <w:rPr>
                <w:rFonts w:ascii="Arial Narrow" w:hAnsi="Arial Narrow"/>
                <w:strike/>
                <w:sz w:val="20"/>
                <w:szCs w:val="20"/>
                <w:lang w:eastAsia="ja-JP"/>
              </w:rPr>
              <w:t>)</w:t>
            </w:r>
            <w:r w:rsidRPr="26F667BA">
              <w:rPr>
                <w:rFonts w:ascii="Arial Narrow" w:hAnsi="Arial Narrow"/>
                <w:sz w:val="20"/>
                <w:szCs w:val="20"/>
                <w:lang w:eastAsia="ja-JP"/>
              </w:rPr>
              <w:t xml:space="preserve"> overexpression by immunohistochemical (IHC) examination giving a staining intensity score of 2+ or 3+ on the same tumour tissue sample, </w:t>
            </w:r>
            <w:r w:rsidR="281B0E03" w:rsidRPr="00133786">
              <w:rPr>
                <w:rFonts w:ascii="Arial Narrow" w:hAnsi="Arial Narrow"/>
                <w:sz w:val="20"/>
                <w:szCs w:val="20"/>
                <w:u w:val="single"/>
                <w:lang w:eastAsia="ja-JP"/>
              </w:rPr>
              <w:t>if the test is:</w:t>
            </w:r>
          </w:p>
          <w:p w14:paraId="3FA168E6" w14:textId="7E632C93" w:rsidR="00185892" w:rsidRPr="009539C3" w:rsidRDefault="2ACCAA62" w:rsidP="7DEECC84">
            <w:pPr>
              <w:spacing w:after="120" w:line="240" w:lineRule="auto"/>
              <w:rPr>
                <w:rFonts w:ascii="Arial Narrow" w:eastAsia="Arial Narrow" w:hAnsi="Arial Narrow" w:cs="Arial Narrow"/>
                <w:sz w:val="20"/>
                <w:szCs w:val="20"/>
              </w:rPr>
            </w:pPr>
            <w:r w:rsidRPr="00133786">
              <w:rPr>
                <w:rFonts w:ascii="Arial Narrow" w:hAnsi="Arial Narrow"/>
                <w:sz w:val="20"/>
                <w:szCs w:val="20"/>
                <w:u w:val="single"/>
                <w:lang w:eastAsia="ja-JP"/>
              </w:rPr>
              <w:t>a)</w:t>
            </w:r>
            <w:r w:rsidRPr="00790F2B">
              <w:rPr>
                <w:rFonts w:ascii="Arial Narrow" w:hAnsi="Arial Narrow"/>
                <w:sz w:val="20"/>
                <w:szCs w:val="20"/>
                <w:lang w:eastAsia="ja-JP"/>
              </w:rPr>
              <w:t xml:space="preserve"> </w:t>
            </w:r>
            <w:r w:rsidR="00B75B43" w:rsidRPr="26F667BA">
              <w:rPr>
                <w:rFonts w:ascii="Arial Narrow" w:hAnsi="Arial Narrow"/>
                <w:sz w:val="20"/>
                <w:szCs w:val="20"/>
                <w:lang w:eastAsia="ja-JP"/>
              </w:rPr>
              <w:t>requested by, or on the advice of, a specialist or consultant physician who manages the treatment of the patient</w:t>
            </w:r>
            <w:r w:rsidR="25213363" w:rsidRPr="7DEECC84">
              <w:rPr>
                <w:rFonts w:ascii="Arial Narrow" w:hAnsi="Arial Narrow"/>
                <w:sz w:val="20"/>
                <w:szCs w:val="20"/>
                <w:lang w:eastAsia="ja-JP"/>
              </w:rPr>
              <w:t>, and</w:t>
            </w:r>
          </w:p>
          <w:p w14:paraId="33416752" w14:textId="75DE470F" w:rsidR="00185892" w:rsidRPr="009539C3" w:rsidRDefault="25213363" w:rsidP="64D7D92C">
            <w:pPr>
              <w:spacing w:after="120" w:line="240" w:lineRule="auto"/>
              <w:rPr>
                <w:rFonts w:ascii="Arial Narrow" w:eastAsia="Arial Narrow" w:hAnsi="Arial Narrow" w:cs="Arial Narrow"/>
                <w:sz w:val="20"/>
                <w:szCs w:val="20"/>
              </w:rPr>
            </w:pPr>
            <w:r w:rsidRPr="00133786">
              <w:rPr>
                <w:rFonts w:ascii="Arial Narrow" w:hAnsi="Arial Narrow"/>
                <w:sz w:val="20"/>
                <w:szCs w:val="20"/>
                <w:u w:val="single"/>
                <w:lang w:eastAsia="ja-JP"/>
              </w:rPr>
              <w:t>b)</w:t>
            </w:r>
            <w:r w:rsidR="00B75B43" w:rsidRPr="00790F2B">
              <w:rPr>
                <w:rFonts w:ascii="Arial Narrow" w:hAnsi="Arial Narrow"/>
                <w:sz w:val="20"/>
                <w:szCs w:val="20"/>
                <w:lang w:eastAsia="ja-JP"/>
              </w:rPr>
              <w:t xml:space="preserve"> </w:t>
            </w:r>
            <w:r w:rsidR="00B75B43" w:rsidRPr="26F667BA">
              <w:rPr>
                <w:rFonts w:ascii="Arial Narrow" w:hAnsi="Arial Narrow"/>
                <w:sz w:val="20"/>
                <w:szCs w:val="20"/>
                <w:lang w:eastAsia="ja-JP"/>
              </w:rPr>
              <w:t xml:space="preserve">to determine </w:t>
            </w:r>
            <w:r w:rsidR="00B75B43" w:rsidRPr="00133786">
              <w:rPr>
                <w:rFonts w:ascii="Arial Narrow" w:hAnsi="Arial Narrow"/>
                <w:strike/>
                <w:sz w:val="20"/>
                <w:szCs w:val="20"/>
                <w:lang w:eastAsia="ja-JP"/>
              </w:rPr>
              <w:t>if the requirements relating to HER2 gene amplification for access to</w:t>
            </w:r>
            <w:r w:rsidR="00B75B43" w:rsidRPr="008E0A23">
              <w:rPr>
                <w:rFonts w:ascii="Arial Narrow" w:hAnsi="Arial Narrow"/>
                <w:sz w:val="20"/>
                <w:szCs w:val="20"/>
                <w:lang w:eastAsia="ja-JP"/>
              </w:rPr>
              <w:t xml:space="preserve"> </w:t>
            </w:r>
            <w:r w:rsidR="3BA6218F" w:rsidRPr="00133786">
              <w:rPr>
                <w:rFonts w:ascii="Arial Narrow" w:hAnsi="Arial Narrow"/>
                <w:sz w:val="20"/>
                <w:szCs w:val="20"/>
                <w:u w:val="single"/>
                <w:lang w:eastAsia="ja-JP"/>
              </w:rPr>
              <w:t>eligibility for</w:t>
            </w:r>
            <w:r w:rsidR="0E2CCE1C" w:rsidRPr="1467EEFE">
              <w:rPr>
                <w:rFonts w:ascii="Arial Narrow" w:eastAsia="Arial Narrow" w:hAnsi="Arial Narrow" w:cs="Arial Narrow"/>
                <w:sz w:val="20"/>
                <w:szCs w:val="20"/>
              </w:rPr>
              <w:t xml:space="preserve"> </w:t>
            </w:r>
            <w:r w:rsidR="10D09D24" w:rsidRPr="00081940">
              <w:rPr>
                <w:rFonts w:ascii="Arial Narrow" w:hAnsi="Arial Narrow"/>
                <w:color w:val="ED0000"/>
                <w:sz w:val="20"/>
                <w:szCs w:val="20"/>
                <w:u w:val="single"/>
                <w:lang w:eastAsia="ja-JP"/>
              </w:rPr>
              <w:t>a</w:t>
            </w:r>
            <w:r w:rsidR="10D09D24" w:rsidRPr="26F667BA">
              <w:rPr>
                <w:rFonts w:ascii="Arial Narrow" w:hAnsi="Arial Narrow"/>
                <w:sz w:val="20"/>
                <w:szCs w:val="20"/>
                <w:lang w:eastAsia="ja-JP"/>
              </w:rPr>
              <w:t xml:space="preserve"> </w:t>
            </w:r>
            <w:r w:rsidR="00FE3392" w:rsidRPr="00133786">
              <w:rPr>
                <w:rFonts w:ascii="Arial Narrow" w:hAnsi="Arial Narrow"/>
                <w:strike/>
                <w:sz w:val="20"/>
                <w:szCs w:val="20"/>
                <w:lang w:eastAsia="ja-JP"/>
              </w:rPr>
              <w:t>trastuzumab</w:t>
            </w:r>
            <w:r w:rsidR="00FE3392" w:rsidRPr="00FE3392">
              <w:rPr>
                <w:rFonts w:ascii="Arial Narrow" w:hAnsi="Arial Narrow"/>
                <w:sz w:val="20"/>
                <w:szCs w:val="20"/>
                <w:lang w:eastAsia="ja-JP"/>
              </w:rPr>
              <w:t>-</w:t>
            </w:r>
            <w:r w:rsidR="00FE3392">
              <w:rPr>
                <w:rFonts w:ascii="Arial Narrow" w:hAnsi="Arial Narrow"/>
                <w:sz w:val="20"/>
                <w:szCs w:val="20"/>
                <w:lang w:eastAsia="ja-JP"/>
              </w:rPr>
              <w:t xml:space="preserve"> </w:t>
            </w:r>
            <w:r w:rsidR="00F91015" w:rsidRPr="00081940">
              <w:rPr>
                <w:rFonts w:ascii="Arial Narrow" w:hAnsi="Arial Narrow"/>
                <w:strike/>
                <w:color w:val="ED0000"/>
                <w:sz w:val="20"/>
                <w:szCs w:val="20"/>
                <w:lang w:eastAsia="ja-JP"/>
              </w:rPr>
              <w:t>containing agent</w:t>
            </w:r>
            <w:r w:rsidR="00F91015" w:rsidRPr="00081940">
              <w:rPr>
                <w:rFonts w:ascii="Arial Narrow" w:hAnsi="Arial Narrow"/>
                <w:color w:val="ED0000"/>
                <w:sz w:val="20"/>
                <w:szCs w:val="20"/>
                <w:lang w:eastAsia="ja-JP"/>
              </w:rPr>
              <w:t xml:space="preserve"> </w:t>
            </w:r>
            <w:r w:rsidR="10D09D24" w:rsidRPr="00133786">
              <w:rPr>
                <w:rFonts w:ascii="Arial Narrow" w:hAnsi="Arial Narrow"/>
                <w:sz w:val="20"/>
                <w:szCs w:val="20"/>
                <w:u w:val="single"/>
                <w:lang w:eastAsia="ja-JP"/>
              </w:rPr>
              <w:t>relevant treatment</w:t>
            </w:r>
            <w:r w:rsidR="4EE9A88A" w:rsidRPr="26F667BA">
              <w:rPr>
                <w:rFonts w:ascii="Arial Narrow" w:eastAsia="Arial Narrow" w:hAnsi="Arial Narrow" w:cs="Arial Narrow"/>
                <w:sz w:val="20"/>
                <w:szCs w:val="20"/>
              </w:rPr>
              <w:t xml:space="preserve"> under the Pharmaceutical Benefits Scheme (PBS)</w:t>
            </w:r>
            <w:r w:rsidR="769E44E9" w:rsidRPr="26F667BA">
              <w:rPr>
                <w:rFonts w:ascii="Arial Narrow" w:eastAsia="Arial Narrow" w:hAnsi="Arial Narrow" w:cs="Arial Narrow"/>
                <w:sz w:val="20"/>
                <w:szCs w:val="20"/>
              </w:rPr>
              <w:t xml:space="preserve"> </w:t>
            </w:r>
            <w:r w:rsidR="00B75B43" w:rsidRPr="00133786">
              <w:rPr>
                <w:rFonts w:ascii="Arial Narrow" w:eastAsia="Arial Narrow" w:hAnsi="Arial Narrow" w:cs="Arial Narrow"/>
                <w:strike/>
                <w:sz w:val="20"/>
                <w:szCs w:val="20"/>
              </w:rPr>
              <w:t>are</w:t>
            </w:r>
            <w:r w:rsidR="00A933F0">
              <w:rPr>
                <w:rFonts w:ascii="Arial Narrow" w:eastAsia="Arial Narrow" w:hAnsi="Arial Narrow" w:cs="Arial Narrow"/>
                <w:strike/>
                <w:sz w:val="20"/>
                <w:szCs w:val="20"/>
              </w:rPr>
              <w:t xml:space="preserve"> </w:t>
            </w:r>
            <w:r w:rsidR="009E3A41" w:rsidRPr="00133786">
              <w:rPr>
                <w:rFonts w:ascii="Arial Narrow" w:eastAsia="Arial Narrow" w:hAnsi="Arial Narrow" w:cs="Arial Narrow"/>
                <w:strike/>
                <w:sz w:val="20"/>
                <w:szCs w:val="20"/>
              </w:rPr>
              <w:t>fulfilled</w:t>
            </w:r>
            <w:r w:rsidR="00B75B43" w:rsidRPr="26F667BA">
              <w:rPr>
                <w:rFonts w:ascii="Arial Narrow" w:eastAsia="Arial Narrow" w:hAnsi="Arial Narrow" w:cs="Arial Narrow"/>
                <w:sz w:val="20"/>
                <w:szCs w:val="20"/>
              </w:rPr>
              <w:t>.</w:t>
            </w:r>
          </w:p>
          <w:p w14:paraId="4F25751A" w14:textId="3CE97A4F" w:rsidR="00185892" w:rsidRPr="009539C3" w:rsidRDefault="63084B90">
            <w:pPr>
              <w:spacing w:after="120" w:line="240" w:lineRule="auto"/>
              <w:rPr>
                <w:rFonts w:ascii="Arial Narrow" w:eastAsia="Arial Narrow" w:hAnsi="Arial Narrow" w:cs="Arial Narrow"/>
                <w:sz w:val="20"/>
                <w:szCs w:val="20"/>
              </w:rPr>
            </w:pPr>
            <w:r w:rsidRPr="64D7D92C">
              <w:rPr>
                <w:rFonts w:ascii="Helvetica" w:eastAsia="Helvetica" w:hAnsi="Helvetica" w:cs="Helvetica"/>
                <w:color w:val="222222"/>
                <w:sz w:val="19"/>
                <w:szCs w:val="19"/>
              </w:rPr>
              <w:t xml:space="preserve">(See para </w:t>
            </w:r>
            <w:hyperlink r:id="rId13" w:history="1">
              <w:r w:rsidRPr="64D7D92C">
                <w:rPr>
                  <w:rStyle w:val="Hyperlink"/>
                  <w:rFonts w:ascii="Helvetica" w:eastAsia="Helvetica" w:hAnsi="Helvetica" w:cs="Helvetica"/>
                  <w:color w:val="000000" w:themeColor="text1"/>
                  <w:sz w:val="19"/>
                  <w:szCs w:val="19"/>
                </w:rPr>
                <w:t>PN.1.2</w:t>
              </w:r>
            </w:hyperlink>
            <w:r w:rsidRPr="64D7D92C">
              <w:rPr>
                <w:rFonts w:ascii="Helvetica" w:eastAsia="Helvetica" w:hAnsi="Helvetica" w:cs="Helvetica"/>
                <w:color w:val="222222"/>
                <w:sz w:val="19"/>
                <w:szCs w:val="19"/>
              </w:rPr>
              <w:t xml:space="preserve"> of explanatory notes to this Category)</w:t>
            </w:r>
          </w:p>
        </w:tc>
      </w:tr>
      <w:tr w:rsidR="00185892" w:rsidRPr="009539C3" w14:paraId="27FE7EFB" w14:textId="77777777" w:rsidTr="64D7D92C">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6D3E5F" w14:textId="72EE2318" w:rsidR="00185892" w:rsidRPr="009539C3" w:rsidRDefault="00CD609E" w:rsidP="00185892">
            <w:pPr>
              <w:pStyle w:val="TableText"/>
              <w:rPr>
                <w:szCs w:val="20"/>
              </w:rPr>
            </w:pPr>
            <w:r w:rsidRPr="009539C3">
              <w:rPr>
                <w:szCs w:val="20"/>
              </w:rPr>
              <w:t>Fee: $315.40 Benefit: 75% = $236.55 85% = $268.10</w:t>
            </w:r>
          </w:p>
        </w:tc>
      </w:tr>
    </w:tbl>
    <w:p w14:paraId="6A4874AC" w14:textId="0BC79484" w:rsidR="005E65BE" w:rsidRPr="009539C3" w:rsidRDefault="005E65BE" w:rsidP="005E65BE">
      <w:pPr>
        <w:pStyle w:val="Tablenotes0"/>
      </w:pPr>
      <w:r w:rsidRPr="009539C3">
        <w:t xml:space="preserve">Source: Table </w:t>
      </w:r>
      <w:r w:rsidR="006726E1" w:rsidRPr="009539C3">
        <w:t>5</w:t>
      </w:r>
      <w:r w:rsidRPr="009539C3">
        <w:t xml:space="preserve"> of the Streamlined MSAC submission Nov 2024</w:t>
      </w:r>
    </w:p>
    <w:p w14:paraId="7C7D1565" w14:textId="0EF12033" w:rsidR="00DB69AE" w:rsidRDefault="00801C95" w:rsidP="005E65BE">
      <w:pPr>
        <w:pStyle w:val="Tablenotes0"/>
      </w:pPr>
      <w:r w:rsidRPr="009539C3">
        <w:t>Abbreviations: HER2</w:t>
      </w:r>
      <w:r w:rsidR="0089020E" w:rsidRPr="009539C3">
        <w:t>=</w:t>
      </w:r>
      <w:r w:rsidRPr="009539C3">
        <w:t xml:space="preserve"> human epidermal growth factor receptor 2; ISH</w:t>
      </w:r>
      <w:r w:rsidR="0089020E" w:rsidRPr="009539C3">
        <w:t>=</w:t>
      </w:r>
      <w:r w:rsidRPr="009539C3">
        <w:t xml:space="preserve"> </w:t>
      </w:r>
      <w:r w:rsidRPr="00BC23EE">
        <w:t>in situ</w:t>
      </w:r>
      <w:r w:rsidRPr="009539C3">
        <w:t xml:space="preserve"> hybridization</w:t>
      </w:r>
      <w:r w:rsidR="0089020E" w:rsidRPr="009539C3">
        <w:t>;</w:t>
      </w:r>
      <w:r w:rsidRPr="009539C3">
        <w:t xml:space="preserve"> IHC</w:t>
      </w:r>
      <w:r w:rsidR="0089020E" w:rsidRPr="009539C3">
        <w:t>=</w:t>
      </w:r>
      <w:r w:rsidRPr="009539C3">
        <w:t xml:space="preserve"> immunohistochemical</w:t>
      </w:r>
    </w:p>
    <w:p w14:paraId="2A04AC40" w14:textId="490C7B18" w:rsidR="00986484" w:rsidRPr="009539C3" w:rsidRDefault="00DC14F1" w:rsidP="005E65BE">
      <w:pPr>
        <w:pStyle w:val="Tablenotes0"/>
      </w:pPr>
      <w:r>
        <w:t>Red font indicates applicant pro</w:t>
      </w:r>
      <w:r w:rsidR="00986484">
        <w:t>posed changes, strikethrough</w:t>
      </w:r>
      <w:r w:rsidR="00747EF4">
        <w:t xml:space="preserve"> </w:t>
      </w:r>
      <w:r w:rsidR="00CC3D9F">
        <w:t xml:space="preserve">indicates </w:t>
      </w:r>
      <w:r w:rsidR="00F73649">
        <w:t>deletion,</w:t>
      </w:r>
      <w:r w:rsidR="00CC3D9F">
        <w:t xml:space="preserve"> </w:t>
      </w:r>
      <w:r w:rsidR="00747EF4">
        <w:t>and underline</w:t>
      </w:r>
      <w:r w:rsidR="00986484">
        <w:t xml:space="preserve"> </w:t>
      </w:r>
      <w:r w:rsidR="00C77D65">
        <w:t>indicate</w:t>
      </w:r>
      <w:r w:rsidR="00CC3D9F">
        <w:t>s</w:t>
      </w:r>
      <w:r w:rsidR="00747EF4">
        <w:t xml:space="preserve"> </w:t>
      </w:r>
      <w:r w:rsidR="00CC3D9F">
        <w:t>additions</w:t>
      </w:r>
      <w:r w:rsidR="00C77D65">
        <w:t xml:space="preserve"> </w:t>
      </w:r>
      <w:r w:rsidR="008F7CA6">
        <w:t xml:space="preserve">proposed </w:t>
      </w:r>
      <w:r w:rsidR="00D528D2">
        <w:t>by department</w:t>
      </w:r>
    </w:p>
    <w:p w14:paraId="72AF6E7A" w14:textId="758979B4" w:rsidR="006F6730" w:rsidRPr="009539C3" w:rsidRDefault="006F6730" w:rsidP="00EA4441">
      <w:r w:rsidRPr="60969D91">
        <w:t>HER2 testing</w:t>
      </w:r>
      <w:r w:rsidR="00E4171B" w:rsidRPr="60969D91">
        <w:t xml:space="preserve"> (IHC and ISH)</w:t>
      </w:r>
      <w:r w:rsidRPr="60969D91">
        <w:t xml:space="preserve"> is well-established in laboratories across Australia. The ISH test does not </w:t>
      </w:r>
      <w:r w:rsidR="00D73BB9" w:rsidRPr="60969D91">
        <w:t xml:space="preserve">require a specific trademark component. </w:t>
      </w:r>
    </w:p>
    <w:p w14:paraId="34E0B08F" w14:textId="5FDC174D" w:rsidR="00772829" w:rsidRPr="009539C3" w:rsidRDefault="00772829" w:rsidP="005B521F">
      <w:pPr>
        <w:pStyle w:val="Heading2"/>
        <w:numPr>
          <w:ilvl w:val="0"/>
          <w:numId w:val="12"/>
        </w:numPr>
        <w:ind w:hanging="720"/>
      </w:pPr>
      <w:bookmarkStart w:id="16" w:name="_Toc69491419"/>
      <w:r w:rsidRPr="009539C3">
        <w:lastRenderedPageBreak/>
        <w:t>Population</w:t>
      </w:r>
      <w:bookmarkEnd w:id="16"/>
      <w:r w:rsidRPr="009539C3">
        <w:t xml:space="preserve"> </w:t>
      </w:r>
    </w:p>
    <w:p w14:paraId="04C8F76C" w14:textId="14929EF5" w:rsidR="005E09B0" w:rsidRPr="009539C3" w:rsidRDefault="00AB1847" w:rsidP="00071E6B">
      <w:r w:rsidRPr="60969D91">
        <w:t xml:space="preserve">The population intended for ISH </w:t>
      </w:r>
      <w:r w:rsidR="00926DB0" w:rsidRPr="00184BC9">
        <w:rPr>
          <w:i/>
          <w:iCs/>
        </w:rPr>
        <w:t>HER2</w:t>
      </w:r>
      <w:r w:rsidR="00926DB0" w:rsidRPr="60969D91">
        <w:t xml:space="preserve"> </w:t>
      </w:r>
      <w:r w:rsidRPr="60969D91">
        <w:t xml:space="preserve">testing are patients who </w:t>
      </w:r>
      <w:r w:rsidR="003E1FBF" w:rsidRPr="60969D91">
        <w:t xml:space="preserve">had </w:t>
      </w:r>
      <w:r w:rsidRPr="60969D91">
        <w:t>HER2 positive</w:t>
      </w:r>
      <w:r w:rsidR="003549CD" w:rsidRPr="60969D91">
        <w:t xml:space="preserve"> metastatic</w:t>
      </w:r>
      <w:r w:rsidRPr="60969D91">
        <w:t xml:space="preserve"> G/</w:t>
      </w:r>
      <w:r w:rsidR="00677C70" w:rsidRPr="60969D91">
        <w:t>GOJ</w:t>
      </w:r>
      <w:r w:rsidRPr="60969D91">
        <w:t xml:space="preserve"> adenocarcinoma who received </w:t>
      </w:r>
      <w:r w:rsidR="00CD01CB" w:rsidRPr="60969D91">
        <w:t xml:space="preserve">a </w:t>
      </w:r>
      <w:proofErr w:type="gramStart"/>
      <w:r w:rsidR="003E1FBF" w:rsidRPr="60969D91">
        <w:t>first-line</w:t>
      </w:r>
      <w:proofErr w:type="gramEnd"/>
      <w:r w:rsidR="00776C03" w:rsidRPr="60969D91">
        <w:t xml:space="preserve"> (1L)</w:t>
      </w:r>
      <w:r w:rsidR="00CD01CB" w:rsidRPr="60969D91">
        <w:t xml:space="preserve"> regimen containing</w:t>
      </w:r>
      <w:r w:rsidR="003E1FBF" w:rsidRPr="60969D91">
        <w:t xml:space="preserve"> </w:t>
      </w:r>
      <w:r w:rsidRPr="60969D91">
        <w:t>trastuzumab</w:t>
      </w:r>
      <w:r w:rsidR="003E2443" w:rsidRPr="60969D91">
        <w:t>.</w:t>
      </w:r>
      <w:r w:rsidR="00176662" w:rsidRPr="60969D91">
        <w:t xml:space="preserve"> </w:t>
      </w:r>
      <w:r w:rsidR="00071E6B" w:rsidRPr="60969D91">
        <w:t xml:space="preserve">The current testing algorithm for </w:t>
      </w:r>
      <w:r w:rsidR="00071E6B" w:rsidRPr="00184BC9">
        <w:rPr>
          <w:i/>
          <w:iCs/>
        </w:rPr>
        <w:t>HER2</w:t>
      </w:r>
      <w:r w:rsidR="00071E6B" w:rsidRPr="60969D91">
        <w:t xml:space="preserve"> status of G/</w:t>
      </w:r>
      <w:r w:rsidR="00677C70" w:rsidRPr="60969D91">
        <w:t>GOJ</w:t>
      </w:r>
      <w:r w:rsidR="00071E6B" w:rsidRPr="60969D91">
        <w:t xml:space="preserve"> </w:t>
      </w:r>
      <w:r w:rsidR="001A0FED" w:rsidRPr="60969D91">
        <w:t>adeno</w:t>
      </w:r>
      <w:r w:rsidR="00071E6B" w:rsidRPr="60969D91">
        <w:t xml:space="preserve">carcinoma is described in </w:t>
      </w:r>
      <w:r>
        <w:fldChar w:fldCharType="begin"/>
      </w:r>
      <w:r>
        <w:instrText xml:space="preserve"> REF _Ref189043547 \h </w:instrText>
      </w:r>
      <w:r>
        <w:fldChar w:fldCharType="separate"/>
      </w:r>
      <w:r w:rsidR="00823BA6" w:rsidRPr="009539C3">
        <w:t xml:space="preserve">Figure </w:t>
      </w:r>
      <w:r w:rsidR="00823BA6">
        <w:rPr>
          <w:noProof/>
        </w:rPr>
        <w:t>1</w:t>
      </w:r>
      <w:r>
        <w:fldChar w:fldCharType="end"/>
      </w:r>
      <w:r w:rsidR="00071E6B" w:rsidRPr="60969D91">
        <w:t xml:space="preserve">. </w:t>
      </w:r>
    </w:p>
    <w:p w14:paraId="59AD5E7B" w14:textId="42BD880B" w:rsidR="00071E6B" w:rsidRPr="009539C3" w:rsidRDefault="00071E6B" w:rsidP="00071E6B">
      <w:r w:rsidRPr="60969D91">
        <w:t xml:space="preserve">HER2 status is first assessed using </w:t>
      </w:r>
      <w:r w:rsidR="003E1FBF" w:rsidRPr="60969D91">
        <w:t xml:space="preserve">IHC </w:t>
      </w:r>
      <w:r w:rsidR="00F102B4" w:rsidRPr="60969D91">
        <w:t>which results in a score of 0 to +3.</w:t>
      </w:r>
      <w:r w:rsidR="00C26FA0" w:rsidRPr="60969D91">
        <w:t xml:space="preserve"> </w:t>
      </w:r>
      <w:r w:rsidR="00166D6D" w:rsidRPr="60969D91">
        <w:t xml:space="preserve">Patients who receive a score of +2 (equivocal) or +3 </w:t>
      </w:r>
      <w:r w:rsidR="00EA2F64" w:rsidRPr="60969D91">
        <w:t xml:space="preserve">(positive) </w:t>
      </w:r>
      <w:r w:rsidR="00C347F0" w:rsidRPr="60969D91">
        <w:t>undergo further ISH testing.</w:t>
      </w:r>
      <w:r w:rsidR="00F4171B" w:rsidRPr="60969D91">
        <w:t xml:space="preserve"> A sample is determined ISH-positive</w:t>
      </w:r>
      <w:r w:rsidR="00C22CFA" w:rsidRPr="60969D91">
        <w:t xml:space="preserve"> if </w:t>
      </w:r>
      <w:r w:rsidR="00425694" w:rsidRPr="60969D91">
        <w:t xml:space="preserve">the </w:t>
      </w:r>
      <w:r w:rsidR="00425694" w:rsidRPr="00184BC9">
        <w:rPr>
          <w:i/>
          <w:iCs/>
        </w:rPr>
        <w:t>HER2</w:t>
      </w:r>
      <w:r w:rsidR="00425694" w:rsidRPr="60969D91">
        <w:t xml:space="preserve"> copy number is 6 or mor</w:t>
      </w:r>
      <w:r w:rsidR="00051ABA" w:rsidRPr="60969D91">
        <w:t>e</w:t>
      </w:r>
      <w:r w:rsidR="00425694" w:rsidRPr="60969D91">
        <w:t xml:space="preserve">, and if the </w:t>
      </w:r>
      <w:r w:rsidR="00425694" w:rsidRPr="00184BC9">
        <w:rPr>
          <w:i/>
          <w:iCs/>
        </w:rPr>
        <w:t>HER2</w:t>
      </w:r>
      <w:r w:rsidR="00425694" w:rsidRPr="60969D91">
        <w:t xml:space="preserve"> to </w:t>
      </w:r>
      <w:r w:rsidR="005E09B0" w:rsidRPr="60969D91">
        <w:t>c</w:t>
      </w:r>
      <w:r w:rsidR="00425694" w:rsidRPr="60969D91">
        <w:t>hromosome 17 centromere ratio is greater than 2.</w:t>
      </w:r>
      <w:r w:rsidR="00F4171B" w:rsidRPr="60969D91">
        <w:t xml:space="preserve"> </w:t>
      </w:r>
    </w:p>
    <w:p w14:paraId="6B0E6887" w14:textId="4BB05DDC" w:rsidR="00071E6B" w:rsidRPr="009539C3" w:rsidRDefault="00071E6B" w:rsidP="00071E6B">
      <w:pPr>
        <w:pStyle w:val="Caption"/>
      </w:pPr>
      <w:bookmarkStart w:id="17" w:name="_Ref189043547"/>
      <w:bookmarkStart w:id="18" w:name="_Ref189043498"/>
      <w:r w:rsidRPr="009539C3">
        <w:t xml:space="preserve">Figure </w:t>
      </w:r>
      <w:r w:rsidR="00823BA6">
        <w:fldChar w:fldCharType="begin"/>
      </w:r>
      <w:r w:rsidR="00823BA6">
        <w:instrText xml:space="preserve"> SEQ Figure \* ARABIC </w:instrText>
      </w:r>
      <w:r w:rsidR="00823BA6">
        <w:fldChar w:fldCharType="separate"/>
      </w:r>
      <w:r w:rsidR="00823BA6">
        <w:rPr>
          <w:noProof/>
        </w:rPr>
        <w:t>1</w:t>
      </w:r>
      <w:r w:rsidR="00823BA6">
        <w:rPr>
          <w:noProof/>
        </w:rPr>
        <w:fldChar w:fldCharType="end"/>
      </w:r>
      <w:bookmarkEnd w:id="17"/>
      <w:r w:rsidRPr="009539C3">
        <w:t xml:space="preserve"> HER2 testing in Australia</w:t>
      </w:r>
      <w:bookmarkEnd w:id="18"/>
    </w:p>
    <w:p w14:paraId="22CCE6B3" w14:textId="77777777" w:rsidR="00071E6B" w:rsidRPr="009539C3" w:rsidRDefault="00071E6B" w:rsidP="00071E6B">
      <w:pPr>
        <w:jc w:val="center"/>
      </w:pPr>
      <w:r w:rsidRPr="009539C3">
        <w:rPr>
          <w:noProof/>
          <w:lang w:eastAsia="en-AU"/>
        </w:rPr>
        <w:drawing>
          <wp:inline distT="0" distB="0" distL="0" distR="0" wp14:anchorId="246C55B7" wp14:editId="53BFB551">
            <wp:extent cx="3395207" cy="3463247"/>
            <wp:effectExtent l="0" t="0" r="0" b="4445"/>
            <wp:docPr id="108361249" name="Picture 1" descr="A diagram of HER2 testing of G/GOJ in Australia. Tissue samples first undergo IHC. If they score 0 or +1, then they test negative. If they test +2 or +3, they undergo further ISH (subject to assessment). Samples are considered positive if they have at least 6 copies of the HER2 gene and have a ratio of HER2 to chromosome 17 higher than 2. Else, they are considered neg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61249" name="Picture 1" descr="A diagram of HER2 testing of G/GOJ in Australia. Tissue samples first undergo IHC. If they score 0 or +1, then they test negative. If they test +2 or +3, they undergo further ISH (subject to assessment). Samples are considered positive if they have at least 6 copies of the HER2 gene and have a ratio of HER2 to chromosome 17 higher than 2. Else, they are considered negativ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9629" cy="3467758"/>
                    </a:xfrm>
                    <a:prstGeom prst="rect">
                      <a:avLst/>
                    </a:prstGeom>
                    <a:noFill/>
                    <a:ln>
                      <a:noFill/>
                    </a:ln>
                  </pic:spPr>
                </pic:pic>
              </a:graphicData>
            </a:graphic>
          </wp:inline>
        </w:drawing>
      </w:r>
    </w:p>
    <w:p w14:paraId="29BB2AFC" w14:textId="77777777" w:rsidR="00071E6B" w:rsidRPr="009539C3" w:rsidRDefault="00071E6B" w:rsidP="00071E6B">
      <w:pPr>
        <w:pStyle w:val="Tablenotes0"/>
      </w:pPr>
      <w:r w:rsidRPr="009539C3">
        <w:t>Source: Figure 1 of the Streamlined MSAC submission Nov 2024</w:t>
      </w:r>
    </w:p>
    <w:p w14:paraId="0C6CC3BE" w14:textId="77777777" w:rsidR="00071E6B" w:rsidRPr="009539C3" w:rsidRDefault="00071E6B" w:rsidP="00071E6B">
      <w:pPr>
        <w:pStyle w:val="Tablenotes0"/>
      </w:pPr>
      <w:r w:rsidRPr="009539C3">
        <w:t xml:space="preserve">Abbreviations: CEP17 = Chromosome 17; HER2 = human epidermal growth factor receptor 2; IHC = immunohistochemistry; ISH = </w:t>
      </w:r>
      <w:r w:rsidRPr="00A25DB5">
        <w:rPr>
          <w:i/>
          <w:iCs/>
        </w:rPr>
        <w:t>in situ</w:t>
      </w:r>
      <w:r w:rsidRPr="009539C3">
        <w:t xml:space="preserve"> hybridisation</w:t>
      </w:r>
    </w:p>
    <w:p w14:paraId="439DFA5C" w14:textId="76F34064" w:rsidR="00071E6B" w:rsidRPr="009539C3" w:rsidRDefault="00D53D6B" w:rsidP="60969D91">
      <w:pPr>
        <w:rPr>
          <w:i/>
          <w:iCs/>
        </w:rPr>
      </w:pPr>
      <w:r>
        <w:t xml:space="preserve">The submission </w:t>
      </w:r>
      <w:r w:rsidR="00D65862">
        <w:t>presented a</w:t>
      </w:r>
      <w:r w:rsidR="00071E6B" w:rsidRPr="60969D91">
        <w:t xml:space="preserve">ccording to expert opinion, roughly </w:t>
      </w:r>
      <w:r w:rsidR="00F41270" w:rsidRPr="007B6A30">
        <w:rPr>
          <w:b/>
          <w:bCs/>
        </w:rPr>
        <w:t>redacted</w:t>
      </w:r>
      <w:r w:rsidR="00071E6B" w:rsidRPr="60969D91">
        <w:t xml:space="preserve">% of the eligible population is expected to be re-tested for </w:t>
      </w:r>
      <w:r w:rsidR="00071E6B" w:rsidRPr="00184BC9">
        <w:rPr>
          <w:i/>
          <w:iCs/>
        </w:rPr>
        <w:t>HER2</w:t>
      </w:r>
      <w:r w:rsidR="00071E6B" w:rsidRPr="60969D91">
        <w:t xml:space="preserve"> status by </w:t>
      </w:r>
      <w:proofErr w:type="spellStart"/>
      <w:r w:rsidR="00071E6B" w:rsidRPr="60969D91">
        <w:t>rebiopsy</w:t>
      </w:r>
      <w:proofErr w:type="spellEnd"/>
      <w:r w:rsidR="00071E6B" w:rsidRPr="60969D91">
        <w:t xml:space="preserve">. </w:t>
      </w:r>
      <w:r w:rsidR="00071E6B" w:rsidRPr="007244BA">
        <w:t xml:space="preserve">The </w:t>
      </w:r>
      <w:r w:rsidR="006D35A0" w:rsidRPr="007244BA">
        <w:t xml:space="preserve">commentary noted </w:t>
      </w:r>
      <w:r w:rsidR="00071E6B" w:rsidRPr="007244BA">
        <w:t xml:space="preserve">submission </w:t>
      </w:r>
      <w:r w:rsidRPr="007244BA">
        <w:t>d</w:t>
      </w:r>
      <w:r>
        <w:t>id</w:t>
      </w:r>
      <w:r w:rsidRPr="007244BA">
        <w:t xml:space="preserve"> </w:t>
      </w:r>
      <w:r w:rsidR="00071E6B" w:rsidRPr="007244BA">
        <w:t xml:space="preserve">not detail how clinicians will determine a patient’s suitability for re-testing and whether the patients chosen for retesting are </w:t>
      </w:r>
      <w:r w:rsidR="009539C3" w:rsidRPr="007244BA">
        <w:t>more likely</w:t>
      </w:r>
      <w:r w:rsidR="00071E6B" w:rsidRPr="007244BA">
        <w:t xml:space="preserve"> to have </w:t>
      </w:r>
      <w:r w:rsidR="00714042" w:rsidRPr="007244BA">
        <w:t xml:space="preserve">lost </w:t>
      </w:r>
      <w:r w:rsidR="00714042" w:rsidRPr="00184BC9">
        <w:rPr>
          <w:i/>
          <w:iCs/>
        </w:rPr>
        <w:t>HER2</w:t>
      </w:r>
      <w:r w:rsidR="00714042" w:rsidRPr="007244BA">
        <w:t xml:space="preserve"> </w:t>
      </w:r>
      <w:r w:rsidR="00260FF3" w:rsidRPr="007244BA">
        <w:t>positive status</w:t>
      </w:r>
      <w:r w:rsidR="003E1FBF" w:rsidRPr="007244BA">
        <w:t xml:space="preserve"> than those not chosen</w:t>
      </w:r>
      <w:r w:rsidR="00071E6B" w:rsidRPr="006D35A0">
        <w:t>.</w:t>
      </w:r>
      <w:r w:rsidR="00071E6B" w:rsidRPr="007244BA">
        <w:t xml:space="preserve"> </w:t>
      </w:r>
      <w:r w:rsidR="00081239">
        <w:t>The commentary noted t</w:t>
      </w:r>
      <w:r w:rsidR="00071E6B" w:rsidRPr="007244BA">
        <w:t>hree studies of G/</w:t>
      </w:r>
      <w:r w:rsidR="00677C70" w:rsidRPr="007244BA">
        <w:t>GOJ</w:t>
      </w:r>
      <w:r w:rsidR="00071E6B" w:rsidRPr="007244BA">
        <w:t xml:space="preserve"> patients (Seo et al. 2019</w:t>
      </w:r>
      <w:r w:rsidR="00F94D16" w:rsidRPr="007244BA">
        <w:rPr>
          <w:rStyle w:val="FootnoteReference"/>
        </w:rPr>
        <w:footnoteReference w:id="6"/>
      </w:r>
      <w:r w:rsidR="00071E6B" w:rsidRPr="007244BA">
        <w:t xml:space="preserve">, </w:t>
      </w:r>
      <w:r w:rsidR="00071E6B" w:rsidRPr="007244BA">
        <w:lastRenderedPageBreak/>
        <w:t>Pietrantonio et al. 2016</w:t>
      </w:r>
      <w:r w:rsidR="0022285B" w:rsidRPr="007244BA">
        <w:rPr>
          <w:rStyle w:val="FootnoteReference"/>
        </w:rPr>
        <w:footnoteReference w:id="7"/>
      </w:r>
      <w:r w:rsidR="00071E6B" w:rsidRPr="007244BA">
        <w:t xml:space="preserve"> and </w:t>
      </w:r>
      <w:proofErr w:type="spellStart"/>
      <w:r w:rsidR="00071E6B" w:rsidRPr="007244BA">
        <w:t>Janjigian</w:t>
      </w:r>
      <w:proofErr w:type="spellEnd"/>
      <w:r w:rsidR="00071E6B" w:rsidRPr="007244BA">
        <w:t xml:space="preserve"> et al. 2015</w:t>
      </w:r>
      <w:r w:rsidR="002D05B0" w:rsidRPr="007244BA">
        <w:rPr>
          <w:rStyle w:val="FootnoteReference"/>
        </w:rPr>
        <w:footnoteReference w:id="8"/>
      </w:r>
      <w:r w:rsidR="00071E6B" w:rsidRPr="007244BA">
        <w:t xml:space="preserve">) who had progressed whilst on trastuzumab reported that 29–35% of patients </w:t>
      </w:r>
      <w:r w:rsidR="00457C13" w:rsidRPr="007244BA">
        <w:t>lost HER2 positivity</w:t>
      </w:r>
      <w:r w:rsidR="00071E6B" w:rsidRPr="007244BA">
        <w:t>.</w:t>
      </w:r>
      <w:r w:rsidR="00071E6B" w:rsidRPr="60969D91">
        <w:rPr>
          <w:i/>
          <w:iCs/>
        </w:rPr>
        <w:t xml:space="preserve"> </w:t>
      </w:r>
      <w:r w:rsidR="00091553" w:rsidRPr="60969D91">
        <w:rPr>
          <w:i/>
          <w:iCs/>
        </w:rPr>
        <w:t xml:space="preserve"> </w:t>
      </w:r>
    </w:p>
    <w:p w14:paraId="19E1F02E" w14:textId="1712456F" w:rsidR="005C7490" w:rsidRPr="009539C3" w:rsidRDefault="00176662" w:rsidP="60969D91">
      <w:pPr>
        <w:rPr>
          <w:i/>
          <w:iCs/>
        </w:rPr>
      </w:pPr>
      <w:r w:rsidRPr="60969D91">
        <w:t xml:space="preserve">The </w:t>
      </w:r>
      <w:r w:rsidR="00F527ED" w:rsidRPr="60969D91">
        <w:t>current</w:t>
      </w:r>
      <w:r w:rsidRPr="60969D91">
        <w:t xml:space="preserve"> clinical management algorithm is presented in </w:t>
      </w:r>
      <w:r>
        <w:fldChar w:fldCharType="begin"/>
      </w:r>
      <w:r>
        <w:instrText xml:space="preserve"> REF _Ref187926314 \h </w:instrText>
      </w:r>
      <w:r>
        <w:fldChar w:fldCharType="separate"/>
      </w:r>
      <w:r w:rsidR="00823BA6" w:rsidRPr="009539C3">
        <w:t xml:space="preserve">Figure </w:t>
      </w:r>
      <w:r w:rsidR="00823BA6">
        <w:rPr>
          <w:noProof/>
        </w:rPr>
        <w:t>2</w:t>
      </w:r>
      <w:r>
        <w:fldChar w:fldCharType="end"/>
      </w:r>
      <w:r w:rsidR="004C7691" w:rsidRPr="60969D91">
        <w:t>.</w:t>
      </w:r>
      <w:r w:rsidR="008703CC" w:rsidRPr="60969D91">
        <w:t xml:space="preserve"> </w:t>
      </w:r>
      <w:r w:rsidR="005C5888" w:rsidRPr="60969D91">
        <w:t>The requested PBS listing for T-</w:t>
      </w:r>
      <w:proofErr w:type="spellStart"/>
      <w:r w:rsidR="005C5888" w:rsidRPr="60969D91">
        <w:t>DXd</w:t>
      </w:r>
      <w:proofErr w:type="spellEnd"/>
      <w:r w:rsidR="005C5888" w:rsidRPr="60969D91">
        <w:t xml:space="preserve"> are patients with stage IV/metastatic HER2 positive gastric/gastroesophageal junction cancer at </w:t>
      </w:r>
      <w:r w:rsidR="00776C03" w:rsidRPr="60969D91">
        <w:t>2L</w:t>
      </w:r>
      <w:r w:rsidR="005C5888" w:rsidRPr="60969D91">
        <w:t xml:space="preserve"> or later</w:t>
      </w:r>
      <w:r w:rsidR="00324F06" w:rsidRPr="60969D91">
        <w:t xml:space="preserve"> who had progressed whilst receiving trastuzumab.</w:t>
      </w:r>
      <w:r w:rsidR="00457C13" w:rsidRPr="60969D91">
        <w:t xml:space="preserve"> </w:t>
      </w:r>
      <w:r w:rsidR="00081239">
        <w:t xml:space="preserve">The commentary noted </w:t>
      </w:r>
      <w:r w:rsidR="00081239" w:rsidRPr="007244BA">
        <w:t>t</w:t>
      </w:r>
      <w:r w:rsidR="00291F35" w:rsidRPr="007244BA">
        <w:t xml:space="preserve">he </w:t>
      </w:r>
      <w:r w:rsidR="005C7490" w:rsidRPr="007244BA">
        <w:t xml:space="preserve">proposed </w:t>
      </w:r>
      <w:r w:rsidR="00291F35" w:rsidRPr="007244BA">
        <w:t xml:space="preserve">PBS listing </w:t>
      </w:r>
      <w:r w:rsidR="001A77E3" w:rsidRPr="007244BA">
        <w:t>d</w:t>
      </w:r>
      <w:r w:rsidR="001A77E3">
        <w:t>id</w:t>
      </w:r>
      <w:r w:rsidR="001A77E3" w:rsidRPr="007244BA">
        <w:t xml:space="preserve"> </w:t>
      </w:r>
      <w:r w:rsidR="0036690B" w:rsidRPr="007244BA">
        <w:t>not require</w:t>
      </w:r>
      <w:r w:rsidR="005C7490" w:rsidRPr="007244BA">
        <w:t xml:space="preserve"> re-testing of </w:t>
      </w:r>
      <w:r w:rsidR="005C7490" w:rsidRPr="007B6A30">
        <w:rPr>
          <w:i/>
          <w:iCs/>
        </w:rPr>
        <w:t>HER2</w:t>
      </w:r>
      <w:r w:rsidR="005C7490" w:rsidRPr="007244BA">
        <w:t xml:space="preserve"> status</w:t>
      </w:r>
      <w:r w:rsidR="006E12C8" w:rsidRPr="007244BA">
        <w:t xml:space="preserve"> </w:t>
      </w:r>
      <w:proofErr w:type="gramStart"/>
      <w:r w:rsidR="006E12C8" w:rsidRPr="007244BA">
        <w:t>in order for</w:t>
      </w:r>
      <w:proofErr w:type="gramEnd"/>
      <w:r w:rsidR="006E12C8" w:rsidRPr="007244BA">
        <w:t xml:space="preserve"> the patient to be eligible for T-</w:t>
      </w:r>
      <w:proofErr w:type="spellStart"/>
      <w:r w:rsidR="006E12C8" w:rsidRPr="007244BA">
        <w:t>DXd</w:t>
      </w:r>
      <w:proofErr w:type="spellEnd"/>
      <w:r w:rsidR="006E12C8" w:rsidRPr="007244BA">
        <w:t xml:space="preserve"> treatment at the </w:t>
      </w:r>
      <w:r w:rsidR="00776C03" w:rsidRPr="007244BA">
        <w:t>2L</w:t>
      </w:r>
      <w:r w:rsidR="005C7490" w:rsidRPr="007244BA">
        <w:t>.</w:t>
      </w:r>
      <w:r w:rsidR="0036690B" w:rsidRPr="007244BA">
        <w:t xml:space="preserve"> </w:t>
      </w:r>
      <w:r w:rsidR="005C7490" w:rsidRPr="007244BA">
        <w:t>T</w:t>
      </w:r>
      <w:r w:rsidR="0036690B" w:rsidRPr="007244BA">
        <w:t xml:space="preserve">he </w:t>
      </w:r>
      <w:r w:rsidR="00C36126" w:rsidRPr="007244BA">
        <w:t xml:space="preserve">listing </w:t>
      </w:r>
      <w:r w:rsidR="00AC5822" w:rsidRPr="007244BA">
        <w:t xml:space="preserve">would </w:t>
      </w:r>
      <w:r w:rsidR="0062460D" w:rsidRPr="007244BA">
        <w:t>only r</w:t>
      </w:r>
      <w:r w:rsidR="005B5B63" w:rsidRPr="007244BA">
        <w:t xml:space="preserve">equire evidence of </w:t>
      </w:r>
      <w:r w:rsidR="005A0D88" w:rsidRPr="007B6A30">
        <w:rPr>
          <w:i/>
          <w:iCs/>
        </w:rPr>
        <w:t>HER2</w:t>
      </w:r>
      <w:r w:rsidR="005A0D88" w:rsidRPr="007244BA">
        <w:t xml:space="preserve"> gene amplification</w:t>
      </w:r>
      <w:r w:rsidR="0062460D" w:rsidRPr="007244BA">
        <w:t xml:space="preserve">, which would have been </w:t>
      </w:r>
      <w:r w:rsidR="00D55691" w:rsidRPr="007244BA">
        <w:t xml:space="preserve">established prior to </w:t>
      </w:r>
      <w:r w:rsidR="00776C03" w:rsidRPr="007244BA">
        <w:t>1L</w:t>
      </w:r>
      <w:r w:rsidR="00AC5822" w:rsidRPr="007244BA">
        <w:t xml:space="preserve"> </w:t>
      </w:r>
      <w:r w:rsidR="00D55691" w:rsidRPr="007244BA">
        <w:t>trastuzumab</w:t>
      </w:r>
      <w:r w:rsidR="00005B24" w:rsidRPr="007244BA">
        <w:t xml:space="preserve"> treatment</w:t>
      </w:r>
      <w:r w:rsidR="00E84206" w:rsidRPr="007244BA">
        <w:t>.</w:t>
      </w:r>
      <w:r w:rsidR="0062460D" w:rsidRPr="60969D91">
        <w:rPr>
          <w:i/>
          <w:iCs/>
        </w:rPr>
        <w:t xml:space="preserve"> </w:t>
      </w:r>
      <w:r w:rsidR="00081239" w:rsidRPr="007244BA">
        <w:t>The commentary noted that</w:t>
      </w:r>
      <w:r w:rsidR="00081239">
        <w:rPr>
          <w:i/>
          <w:iCs/>
        </w:rPr>
        <w:t xml:space="preserve"> </w:t>
      </w:r>
      <w:r w:rsidR="00081239">
        <w:t>t</w:t>
      </w:r>
      <w:r w:rsidR="005C7490" w:rsidRPr="60969D91">
        <w:t xml:space="preserve">he MSAC </w:t>
      </w:r>
      <w:r w:rsidR="007012E5">
        <w:t xml:space="preserve">Executive </w:t>
      </w:r>
      <w:r w:rsidR="005C7490" w:rsidRPr="60969D91">
        <w:t xml:space="preserve">noted that regulators in the European Union and United States do not </w:t>
      </w:r>
      <w:r w:rsidR="002E6997" w:rsidRPr="60969D91">
        <w:t xml:space="preserve">specify the need for </w:t>
      </w:r>
      <w:r w:rsidR="005C7490" w:rsidRPr="60969D91">
        <w:t>testing using a post-progression biopsy.</w:t>
      </w:r>
    </w:p>
    <w:p w14:paraId="693F740E" w14:textId="441D2060" w:rsidR="003D13DE" w:rsidRPr="009539C3" w:rsidRDefault="003D13DE" w:rsidP="003D13DE">
      <w:pPr>
        <w:pStyle w:val="Caption"/>
      </w:pPr>
      <w:bookmarkStart w:id="19" w:name="_Ref187926314"/>
      <w:r w:rsidRPr="009539C3">
        <w:t xml:space="preserve">Figure </w:t>
      </w:r>
      <w:r w:rsidR="00823BA6">
        <w:fldChar w:fldCharType="begin"/>
      </w:r>
      <w:r w:rsidR="00823BA6">
        <w:instrText xml:space="preserve"> SEQ Figure \* ARABIC </w:instrText>
      </w:r>
      <w:r w:rsidR="00823BA6">
        <w:fldChar w:fldCharType="separate"/>
      </w:r>
      <w:r w:rsidR="00823BA6">
        <w:rPr>
          <w:noProof/>
        </w:rPr>
        <w:t>2</w:t>
      </w:r>
      <w:r w:rsidR="00823BA6">
        <w:rPr>
          <w:noProof/>
        </w:rPr>
        <w:fldChar w:fldCharType="end"/>
      </w:r>
      <w:bookmarkEnd w:id="19"/>
      <w:r w:rsidRPr="009539C3">
        <w:t xml:space="preserve"> </w:t>
      </w:r>
      <w:r w:rsidR="00D85FA8" w:rsidRPr="009539C3">
        <w:t>Proposed</w:t>
      </w:r>
      <w:r w:rsidRPr="009539C3">
        <w:t xml:space="preserve"> treatment algorithm describing treatment options for newly diagnosed patients with metastatic </w:t>
      </w:r>
      <w:r w:rsidR="00512034" w:rsidRPr="009539C3">
        <w:t>G/</w:t>
      </w:r>
      <w:r w:rsidR="00677C70" w:rsidRPr="009539C3">
        <w:t>GOJ</w:t>
      </w:r>
    </w:p>
    <w:p w14:paraId="3BB4094B" w14:textId="6223665E" w:rsidR="006670BF" w:rsidRPr="009539C3" w:rsidRDefault="006670BF" w:rsidP="006670BF">
      <w:pPr>
        <w:spacing w:before="0" w:after="0" w:line="240" w:lineRule="auto"/>
        <w:rPr>
          <w:rFonts w:ascii="Times New Roman" w:eastAsia="Times New Roman" w:hAnsi="Times New Roman" w:cs="Times New Roman"/>
          <w:sz w:val="24"/>
          <w:szCs w:val="24"/>
          <w:lang w:eastAsia="en-AU"/>
        </w:rPr>
      </w:pPr>
      <w:r w:rsidRPr="009539C3">
        <w:rPr>
          <w:rFonts w:ascii="Times New Roman" w:eastAsia="Times New Roman" w:hAnsi="Times New Roman" w:cs="Times New Roman"/>
          <w:noProof/>
          <w:sz w:val="24"/>
          <w:szCs w:val="24"/>
          <w:lang w:eastAsia="en-AU"/>
        </w:rPr>
        <w:drawing>
          <wp:inline distT="0" distB="0" distL="0" distR="0" wp14:anchorId="18FCF79D" wp14:editId="18086696">
            <wp:extent cx="5724939" cy="3238554"/>
            <wp:effectExtent l="0" t="0" r="9525" b="0"/>
            <wp:docPr id="989644795" name="Picture 1" descr="A diagram of the treatment algorithm for G/GOJ. Patients are tested for HER2 status prior to treatment. If they are HER2 positive, then they receive trastuzumab pluc chemotherapy. If they progress, they are re-tested for HER2 status (if appropriate) prior to receipt of T-DXd and chemotherapy if they remain HER2 positive. Else, they receieve chemotherapy a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644795" name="Picture 1" descr="A diagram of the treatment algorithm for G/GOJ. Patients are tested for HER2 status prior to treatment. If they are HER2 positive, then they receive trastuzumab pluc chemotherapy. If they progress, they are re-tested for HER2 status (if appropriate) prior to receipt of T-DXd and chemotherapy if they remain HER2 positive. Else, they receieve chemotherapy alo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6671" cy="3245191"/>
                    </a:xfrm>
                    <a:prstGeom prst="rect">
                      <a:avLst/>
                    </a:prstGeom>
                    <a:noFill/>
                    <a:ln>
                      <a:noFill/>
                    </a:ln>
                  </pic:spPr>
                </pic:pic>
              </a:graphicData>
            </a:graphic>
          </wp:inline>
        </w:drawing>
      </w:r>
    </w:p>
    <w:p w14:paraId="3CA6DD37" w14:textId="10FFB8FB" w:rsidR="00A07600" w:rsidRPr="009539C3" w:rsidRDefault="00A07600" w:rsidP="00A07600">
      <w:pPr>
        <w:pStyle w:val="Tablenotes"/>
      </w:pPr>
      <w:r w:rsidRPr="009539C3">
        <w:t xml:space="preserve">Source: Figure </w:t>
      </w:r>
      <w:r w:rsidR="00A65991" w:rsidRPr="009539C3">
        <w:t>1</w:t>
      </w:r>
      <w:r w:rsidR="00847CA7" w:rsidRPr="009539C3">
        <w:t>-5</w:t>
      </w:r>
      <w:r w:rsidRPr="009539C3">
        <w:t>,</w:t>
      </w:r>
      <w:r w:rsidR="00847CA7" w:rsidRPr="009539C3">
        <w:t xml:space="preserve"> p. 23</w:t>
      </w:r>
      <w:r w:rsidRPr="009539C3">
        <w:t xml:space="preserve"> </w:t>
      </w:r>
      <w:r w:rsidR="006670BF" w:rsidRPr="009539C3">
        <w:t>of the PBAC submission</w:t>
      </w:r>
    </w:p>
    <w:p w14:paraId="4014B9B5" w14:textId="51FB0678" w:rsidR="00CA3413" w:rsidRPr="009539C3" w:rsidRDefault="00CA3413" w:rsidP="00CA3413">
      <w:pPr>
        <w:pStyle w:val="Tablenotes"/>
      </w:pPr>
      <w:r w:rsidRPr="009539C3">
        <w:t>Abbreviations: GC/GOJ</w:t>
      </w:r>
      <w:r w:rsidR="00F63531" w:rsidRPr="009539C3">
        <w:t xml:space="preserve"> =</w:t>
      </w:r>
      <w:r w:rsidRPr="009539C3">
        <w:t xml:space="preserve"> gastric carcinoma and gastro-oesophageal junction</w:t>
      </w:r>
      <w:r w:rsidR="00E521FE" w:rsidRPr="009539C3">
        <w:t>;</w:t>
      </w:r>
      <w:r w:rsidRPr="009539C3">
        <w:t xml:space="preserve"> FOLFIRI</w:t>
      </w:r>
      <w:r w:rsidR="00F63531" w:rsidRPr="009539C3">
        <w:t xml:space="preserve"> =</w:t>
      </w:r>
      <w:r w:rsidRPr="009539C3">
        <w:t xml:space="preserve"> folinic acid, fluorouracil, irinotecan; HER2</w:t>
      </w:r>
      <w:r w:rsidR="00D34284" w:rsidRPr="009539C3">
        <w:t xml:space="preserve"> =</w:t>
      </w:r>
      <w:r w:rsidRPr="009539C3">
        <w:t xml:space="preserve"> human epidermal growth factor receptor 2; PBC, platinum-based chemotherapy.</w:t>
      </w:r>
    </w:p>
    <w:p w14:paraId="76253DF3" w14:textId="77777777" w:rsidR="00CA3413" w:rsidRPr="009539C3" w:rsidRDefault="00CA3413" w:rsidP="00CA3413">
      <w:pPr>
        <w:pStyle w:val="Tablenotes"/>
      </w:pPr>
      <w:r w:rsidRPr="009539C3">
        <w:t>*Pembrolizumab was recommended for use in “gastro-oesophageal cancer according to the Australian Product Information” at the May 2022 PBAC meeting but has not progressed to a PBS listing.</w:t>
      </w:r>
    </w:p>
    <w:p w14:paraId="0DC69462" w14:textId="77777777" w:rsidR="00CA3413" w:rsidRPr="009539C3" w:rsidRDefault="00CA3413" w:rsidP="00CA3413">
      <w:pPr>
        <w:pStyle w:val="Tablenotes"/>
      </w:pPr>
      <w:r w:rsidRPr="60969D91">
        <w:t xml:space="preserve">*RAM+PAC was recommended by the PBAC at the March 2018 meeting on the condition that a price reduction was met. Following a resubmission considered at the July 2019 PBAC meeting, the PBAC did not recommend a change to the basis of its March 2018 recommendation restating its position that a substantial price reduction would be required </w:t>
      </w:r>
      <w:proofErr w:type="gramStart"/>
      <w:r w:rsidRPr="60969D91">
        <w:t>in order to</w:t>
      </w:r>
      <w:proofErr w:type="gramEnd"/>
      <w:r w:rsidRPr="60969D91">
        <w:t xml:space="preserve"> achieve a listing.</w:t>
      </w:r>
    </w:p>
    <w:p w14:paraId="3A5A905A" w14:textId="28CCCFFA" w:rsidR="00FB138C" w:rsidRPr="009539C3" w:rsidRDefault="00CA3413" w:rsidP="00CA3413">
      <w:pPr>
        <w:pStyle w:val="Tablenotes"/>
      </w:pPr>
      <w:r w:rsidRPr="60969D91">
        <w:t xml:space="preserve">#Patient must have previously received at least two prior lines of chemotherapy that included a fluoropyrimidine, a platinum and either a </w:t>
      </w:r>
      <w:proofErr w:type="spellStart"/>
      <w:r w:rsidRPr="60969D91">
        <w:t>taxane</w:t>
      </w:r>
      <w:proofErr w:type="spellEnd"/>
      <w:r w:rsidRPr="60969D91">
        <w:t xml:space="preserve"> or irinotecan to access trifluridine/</w:t>
      </w:r>
      <w:proofErr w:type="spellStart"/>
      <w:r w:rsidRPr="60969D91">
        <w:t>tipiracil</w:t>
      </w:r>
      <w:proofErr w:type="spellEnd"/>
      <w:r w:rsidRPr="60969D91">
        <w:t xml:space="preserve"> on the PBS</w:t>
      </w:r>
    </w:p>
    <w:p w14:paraId="66BDFCC1" w14:textId="66B36B8E" w:rsidR="00772829" w:rsidRPr="009539C3" w:rsidRDefault="00772829" w:rsidP="005B521F">
      <w:pPr>
        <w:pStyle w:val="Heading2"/>
        <w:numPr>
          <w:ilvl w:val="0"/>
          <w:numId w:val="12"/>
        </w:numPr>
        <w:ind w:hanging="720"/>
      </w:pPr>
      <w:bookmarkStart w:id="20" w:name="_Toc69491420"/>
      <w:r w:rsidRPr="009539C3">
        <w:lastRenderedPageBreak/>
        <w:t>Comparator</w:t>
      </w:r>
      <w:bookmarkEnd w:id="20"/>
    </w:p>
    <w:p w14:paraId="75989646" w14:textId="2885396A" w:rsidR="003339BB" w:rsidRDefault="00AF2FB2" w:rsidP="003339BB">
      <w:r w:rsidRPr="009539C3">
        <w:t xml:space="preserve">The nominated comparator is no </w:t>
      </w:r>
      <w:r w:rsidRPr="007B6A30">
        <w:rPr>
          <w:i/>
          <w:iCs/>
        </w:rPr>
        <w:t>HER2</w:t>
      </w:r>
      <w:r w:rsidRPr="009539C3">
        <w:t xml:space="preserve"> re-testing, plus standard of care and chemotherapy.</w:t>
      </w:r>
      <w:r w:rsidR="00A05752" w:rsidRPr="009539C3">
        <w:t xml:space="preserve"> </w:t>
      </w:r>
    </w:p>
    <w:p w14:paraId="78F87BC2" w14:textId="77777777" w:rsidR="005B521F" w:rsidRPr="00D155C0" w:rsidRDefault="005B521F" w:rsidP="005B521F">
      <w:pPr>
        <w:pStyle w:val="Heading2"/>
        <w:numPr>
          <w:ilvl w:val="0"/>
          <w:numId w:val="12"/>
        </w:numPr>
        <w:ind w:hanging="720"/>
      </w:pPr>
      <w:bookmarkStart w:id="21" w:name="_Toc69491421"/>
      <w:bookmarkStart w:id="22" w:name="_Hlk193982804"/>
      <w:r w:rsidRPr="003A793E">
        <w:t>Summary of public consultation input</w:t>
      </w:r>
      <w:bookmarkEnd w:id="21"/>
    </w:p>
    <w:bookmarkEnd w:id="22"/>
    <w:p w14:paraId="43B45A49" w14:textId="3AE500CF" w:rsidR="005B521F" w:rsidRPr="009539C3" w:rsidRDefault="005B521F" w:rsidP="003339BB">
      <w:r>
        <w:t>No public consultation input was received for this application.</w:t>
      </w:r>
    </w:p>
    <w:p w14:paraId="03C7A1F1" w14:textId="4C6CA99E" w:rsidR="00772829" w:rsidRPr="009539C3" w:rsidRDefault="00772829" w:rsidP="005B521F">
      <w:pPr>
        <w:pStyle w:val="Heading2"/>
        <w:numPr>
          <w:ilvl w:val="0"/>
          <w:numId w:val="12"/>
        </w:numPr>
        <w:ind w:hanging="720"/>
      </w:pPr>
      <w:bookmarkStart w:id="23" w:name="_Toc69491422"/>
      <w:r w:rsidRPr="009539C3">
        <w:t>Characteristics of the evidence base</w:t>
      </w:r>
      <w:bookmarkEnd w:id="23"/>
    </w:p>
    <w:p w14:paraId="0DC4B55A" w14:textId="37BC4E9F" w:rsidR="00CC2571" w:rsidRPr="009539C3" w:rsidRDefault="00CC2571" w:rsidP="00CC2571">
      <w:r w:rsidRPr="009539C3">
        <w:t xml:space="preserve">The clinical evidence presented in the submission was based </w:t>
      </w:r>
      <w:r w:rsidR="00AC5822" w:rsidRPr="009539C3">
        <w:t xml:space="preserve">on </w:t>
      </w:r>
      <w:r w:rsidR="003A65E5" w:rsidRPr="009539C3">
        <w:t>two trials</w:t>
      </w:r>
      <w:r w:rsidR="003D7AF5" w:rsidRPr="009539C3">
        <w:t>: Destiny-Gastric 01 (DG-01)</w:t>
      </w:r>
      <w:r w:rsidR="008409D1" w:rsidRPr="009539C3">
        <w:t xml:space="preserve"> </w:t>
      </w:r>
      <w:r w:rsidR="00B40AA5" w:rsidRPr="009539C3">
        <w:t>which provided pivotal evidence,</w:t>
      </w:r>
      <w:r w:rsidR="003D7AF5" w:rsidRPr="009539C3">
        <w:t xml:space="preserve"> and Destiny-Gastric 02 (DG-02)</w:t>
      </w:r>
      <w:r w:rsidR="00B40AA5" w:rsidRPr="009539C3">
        <w:t xml:space="preserve"> which provided supportive evidence in the </w:t>
      </w:r>
      <w:r w:rsidR="00E92360" w:rsidRPr="009539C3">
        <w:t>Western-</w:t>
      </w:r>
      <w:r w:rsidR="00B40AA5" w:rsidRPr="009539C3">
        <w:t>European population</w:t>
      </w:r>
      <w:r w:rsidR="003D7AF5" w:rsidRPr="009539C3">
        <w:t>.</w:t>
      </w:r>
      <w:r w:rsidR="00B83E1C" w:rsidRPr="009539C3">
        <w:t xml:space="preserve"> </w:t>
      </w:r>
    </w:p>
    <w:p w14:paraId="008DBD7B" w14:textId="1A6AB73F" w:rsidR="00573275" w:rsidRPr="009539C3" w:rsidRDefault="00573275" w:rsidP="00CC2571">
      <w:r w:rsidRPr="60969D91">
        <w:t>DG-01</w:t>
      </w:r>
      <w:r w:rsidR="003E34CC" w:rsidRPr="60969D91">
        <w:t xml:space="preserve"> (Shitara et al. 2020)</w:t>
      </w:r>
      <w:r w:rsidRPr="60969D91">
        <w:t xml:space="preserve"> is a </w:t>
      </w:r>
      <w:r w:rsidR="00643132" w:rsidRPr="60969D91">
        <w:t xml:space="preserve">phase II </w:t>
      </w:r>
      <w:r w:rsidRPr="60969D91">
        <w:t xml:space="preserve">randomised controlled trial which compared </w:t>
      </w:r>
      <w:r w:rsidR="00AC5822" w:rsidRPr="60969D91">
        <w:t>T-</w:t>
      </w:r>
      <w:proofErr w:type="spellStart"/>
      <w:r w:rsidR="00AC5822" w:rsidRPr="60969D91">
        <w:t>DXd</w:t>
      </w:r>
      <w:proofErr w:type="spellEnd"/>
      <w:r w:rsidRPr="60969D91">
        <w:t xml:space="preserve"> to the treat</w:t>
      </w:r>
      <w:r w:rsidR="00F61C30" w:rsidRPr="60969D91">
        <w:t>ing</w:t>
      </w:r>
      <w:r w:rsidRPr="60969D91">
        <w:t xml:space="preserve"> physician’s choice </w:t>
      </w:r>
      <w:r w:rsidR="00AC5822" w:rsidRPr="60969D91">
        <w:t xml:space="preserve">of </w:t>
      </w:r>
      <w:r w:rsidR="00944E43" w:rsidRPr="60969D91">
        <w:t>chemotherapy (irinotecan</w:t>
      </w:r>
      <w:r w:rsidR="00F80858" w:rsidRPr="60969D91">
        <w:t xml:space="preserve"> or </w:t>
      </w:r>
      <w:r w:rsidR="00944E43" w:rsidRPr="60969D91">
        <w:t>paclitaxel)</w:t>
      </w:r>
      <w:r w:rsidR="004606A7" w:rsidRPr="60969D91">
        <w:t xml:space="preserve"> in </w:t>
      </w:r>
      <w:proofErr w:type="gramStart"/>
      <w:r w:rsidR="00E17DCC">
        <w:t xml:space="preserve">South </w:t>
      </w:r>
      <w:r w:rsidR="004606A7" w:rsidRPr="60969D91">
        <w:t>East</w:t>
      </w:r>
      <w:proofErr w:type="gramEnd"/>
      <w:r w:rsidR="00E17DCC">
        <w:t xml:space="preserve"> (SE)</w:t>
      </w:r>
      <w:r w:rsidR="004606A7" w:rsidRPr="60969D91">
        <w:t xml:space="preserve">-Asian patients with </w:t>
      </w:r>
      <w:r w:rsidR="00C94F6C" w:rsidRPr="60969D91">
        <w:t xml:space="preserve">HER2-positive </w:t>
      </w:r>
      <w:r w:rsidR="004606A7" w:rsidRPr="60969D91">
        <w:t xml:space="preserve">advanced gastric or GOJ </w:t>
      </w:r>
      <w:r w:rsidR="002F63F8" w:rsidRPr="60969D91">
        <w:t>adenocarcinoma who had received at leas</w:t>
      </w:r>
      <w:r w:rsidR="00540337" w:rsidRPr="60969D91">
        <w:t>t two prior regimens (including a fluoropyrimidine, a platinum agent, and trastuzumab therapy)</w:t>
      </w:r>
      <w:r w:rsidR="00E14818" w:rsidRPr="60969D91">
        <w:t>.</w:t>
      </w:r>
      <w:r w:rsidR="00D135CE" w:rsidRPr="60969D91">
        <w:t xml:space="preserve"> </w:t>
      </w:r>
    </w:p>
    <w:p w14:paraId="4E9A1EC8" w14:textId="0D6F69A3" w:rsidR="009B2100" w:rsidRPr="009539C3" w:rsidRDefault="009B2100" w:rsidP="60969D91">
      <w:pPr>
        <w:rPr>
          <w:i/>
          <w:iCs/>
        </w:rPr>
      </w:pPr>
      <w:r w:rsidRPr="60969D91">
        <w:t xml:space="preserve">DG-02 </w:t>
      </w:r>
      <w:r w:rsidR="003E34CC" w:rsidRPr="60969D91">
        <w:t>(</w:t>
      </w:r>
      <w:r w:rsidR="003E7232" w:rsidRPr="60969D91">
        <w:t>V</w:t>
      </w:r>
      <w:r w:rsidR="003E34CC" w:rsidRPr="60969D91">
        <w:t xml:space="preserve">an </w:t>
      </w:r>
      <w:proofErr w:type="spellStart"/>
      <w:r w:rsidR="003E34CC" w:rsidRPr="60969D91">
        <w:t>Cutsem</w:t>
      </w:r>
      <w:proofErr w:type="spellEnd"/>
      <w:r w:rsidR="003E34CC" w:rsidRPr="60969D91">
        <w:t xml:space="preserve"> et al. 2023) </w:t>
      </w:r>
      <w:r w:rsidRPr="60969D91">
        <w:t>is a</w:t>
      </w:r>
      <w:r w:rsidR="00945994" w:rsidRPr="60969D91">
        <w:t xml:space="preserve"> phase II</w:t>
      </w:r>
      <w:r w:rsidRPr="60969D91">
        <w:t xml:space="preserve"> single arm study which </w:t>
      </w:r>
      <w:r w:rsidR="00B40AA5" w:rsidRPr="60969D91">
        <w:t xml:space="preserve">reported the efficacy and safety of </w:t>
      </w:r>
      <w:r w:rsidR="00AC5822" w:rsidRPr="60969D91">
        <w:t>T-</w:t>
      </w:r>
      <w:proofErr w:type="spellStart"/>
      <w:r w:rsidR="00AC5822" w:rsidRPr="60969D91">
        <w:t>DXd</w:t>
      </w:r>
      <w:proofErr w:type="spellEnd"/>
      <w:r w:rsidR="00E63CD1" w:rsidRPr="60969D91">
        <w:t xml:space="preserve"> in</w:t>
      </w:r>
      <w:r w:rsidR="0004331F" w:rsidRPr="60969D91">
        <w:t xml:space="preserve"> US and</w:t>
      </w:r>
      <w:r w:rsidR="00E63CD1" w:rsidRPr="60969D91">
        <w:t xml:space="preserve"> European </w:t>
      </w:r>
      <w:r w:rsidR="00D92A5B" w:rsidRPr="60969D91">
        <w:t xml:space="preserve">patients with </w:t>
      </w:r>
      <w:r w:rsidR="00C94F6C" w:rsidRPr="60969D91">
        <w:t xml:space="preserve">HER2-positive </w:t>
      </w:r>
      <w:r w:rsidR="00B05E99" w:rsidRPr="60969D91">
        <w:t xml:space="preserve">unresectable or metastatic gastric or </w:t>
      </w:r>
      <w:r w:rsidR="00520B3B" w:rsidRPr="60969D91">
        <w:t>GOJ</w:t>
      </w:r>
      <w:r w:rsidR="00B05E99" w:rsidRPr="60969D91">
        <w:t xml:space="preserve"> </w:t>
      </w:r>
      <w:r w:rsidR="00520B3B" w:rsidRPr="60969D91">
        <w:t xml:space="preserve">adenocarcinoma who had received </w:t>
      </w:r>
      <w:r w:rsidR="00776C03" w:rsidRPr="60969D91">
        <w:t>1L</w:t>
      </w:r>
      <w:r w:rsidR="00520B3B" w:rsidRPr="60969D91">
        <w:t xml:space="preserve"> </w:t>
      </w:r>
      <w:r w:rsidR="00A81D24" w:rsidRPr="60969D91">
        <w:t>trastuzumab</w:t>
      </w:r>
      <w:r w:rsidR="00772BA2" w:rsidRPr="60969D91">
        <w:t xml:space="preserve">. </w:t>
      </w:r>
    </w:p>
    <w:p w14:paraId="05509F79" w14:textId="094CBC00" w:rsidR="00E504B8" w:rsidRPr="009539C3" w:rsidRDefault="00E504B8" w:rsidP="00B05E99">
      <w:r w:rsidRPr="009539C3">
        <w:t xml:space="preserve">The key features of the </w:t>
      </w:r>
      <w:r w:rsidR="003D4CC6" w:rsidRPr="009539C3">
        <w:t>study population</w:t>
      </w:r>
      <w:r w:rsidR="00AE68DD" w:rsidRPr="009539C3">
        <w:t xml:space="preserve">s </w:t>
      </w:r>
      <w:r w:rsidRPr="009539C3">
        <w:t xml:space="preserve">are presented in </w:t>
      </w:r>
      <w:r w:rsidR="00D94FA0" w:rsidRPr="009539C3">
        <w:fldChar w:fldCharType="begin"/>
      </w:r>
      <w:r w:rsidR="00D94FA0" w:rsidRPr="009539C3">
        <w:instrText xml:space="preserve"> REF _Ref69725651 \h </w:instrText>
      </w:r>
      <w:r w:rsidR="00D94FA0" w:rsidRPr="009539C3">
        <w:fldChar w:fldCharType="separate"/>
      </w:r>
      <w:r w:rsidR="007B45D6" w:rsidRPr="009539C3">
        <w:t>Table </w:t>
      </w:r>
      <w:r w:rsidR="007B45D6">
        <w:rPr>
          <w:noProof/>
        </w:rPr>
        <w:t>4</w:t>
      </w:r>
      <w:r w:rsidR="00D94FA0" w:rsidRPr="009539C3">
        <w:fldChar w:fldCharType="end"/>
      </w:r>
      <w:r w:rsidR="00D94FA0" w:rsidRPr="009539C3">
        <w:t>.</w:t>
      </w:r>
      <w:r w:rsidR="002D707E" w:rsidRPr="009539C3">
        <w:t xml:space="preserve"> Overall, </w:t>
      </w:r>
      <w:r w:rsidR="001E4CE9" w:rsidRPr="009539C3">
        <w:t xml:space="preserve">study participants differed in terms of </w:t>
      </w:r>
      <w:r w:rsidR="0084606F" w:rsidRPr="009539C3">
        <w:t xml:space="preserve">determination of HER2 status, </w:t>
      </w:r>
      <w:r w:rsidR="00B56C95" w:rsidRPr="009539C3">
        <w:t xml:space="preserve">heritage, </w:t>
      </w:r>
      <w:r w:rsidR="00700A60" w:rsidRPr="009539C3">
        <w:t xml:space="preserve">line of therapy, </w:t>
      </w:r>
      <w:r w:rsidR="00C35A07" w:rsidRPr="009539C3">
        <w:t xml:space="preserve">and </w:t>
      </w:r>
      <w:r w:rsidR="0084606F" w:rsidRPr="009539C3">
        <w:t>cancer typ</w:t>
      </w:r>
      <w:r w:rsidR="00FB6B2E" w:rsidRPr="009539C3">
        <w:t>e.</w:t>
      </w:r>
      <w:r w:rsidR="0084606F" w:rsidRPr="009539C3">
        <w:t xml:space="preserve"> </w:t>
      </w:r>
    </w:p>
    <w:p w14:paraId="692BCA4B" w14:textId="54247C0A" w:rsidR="00956ACE" w:rsidRPr="009539C3" w:rsidRDefault="00956ACE" w:rsidP="009A06F4">
      <w:pPr>
        <w:pStyle w:val="Caption"/>
        <w:rPr>
          <w:color w:val="258221"/>
        </w:rPr>
      </w:pPr>
      <w:bookmarkStart w:id="24" w:name="_Ref69725651"/>
      <w:r w:rsidRPr="009539C3">
        <w:t>Table</w:t>
      </w:r>
      <w:r w:rsidR="004A4FDF" w:rsidRPr="009539C3">
        <w:t> </w:t>
      </w:r>
      <w:r>
        <w:fldChar w:fldCharType="begin"/>
      </w:r>
      <w:r>
        <w:instrText xml:space="preserve"> SEQ Table \* ARABIC </w:instrText>
      </w:r>
      <w:r>
        <w:fldChar w:fldCharType="separate"/>
      </w:r>
      <w:r w:rsidR="007B45D6">
        <w:rPr>
          <w:noProof/>
        </w:rPr>
        <w:t>4</w:t>
      </w:r>
      <w:r>
        <w:fldChar w:fldCharType="end"/>
      </w:r>
      <w:bookmarkEnd w:id="24"/>
      <w:r w:rsidRPr="009539C3">
        <w:tab/>
        <w:t xml:space="preserve">Key features of the included </w:t>
      </w:r>
      <w:r w:rsidR="00406013" w:rsidRPr="009539C3">
        <w:t>studies</w:t>
      </w:r>
      <w:r w:rsidRPr="009539C3">
        <w:rPr>
          <w:color w:val="538135" w:themeColor="accent6" w:themeShade="BF"/>
        </w:rPr>
        <w:t xml:space="preserve"> </w:t>
      </w:r>
    </w:p>
    <w:tbl>
      <w:tblPr>
        <w:tblStyle w:val="HTATableshaded"/>
        <w:tblW w:w="5000" w:type="pct"/>
        <w:tblLook w:val="04A0" w:firstRow="1" w:lastRow="0" w:firstColumn="1" w:lastColumn="0" w:noHBand="0" w:noVBand="1"/>
      </w:tblPr>
      <w:tblGrid>
        <w:gridCol w:w="987"/>
        <w:gridCol w:w="1275"/>
        <w:gridCol w:w="1560"/>
        <w:gridCol w:w="2377"/>
        <w:gridCol w:w="1414"/>
        <w:gridCol w:w="1403"/>
      </w:tblGrid>
      <w:tr w:rsidR="00DD0B90" w:rsidRPr="009539C3" w14:paraId="45CBEA08" w14:textId="77777777" w:rsidTr="00DD0B90">
        <w:trPr>
          <w:cnfStyle w:val="100000000000" w:firstRow="1" w:lastRow="0" w:firstColumn="0" w:lastColumn="0" w:oddVBand="0" w:evenVBand="0" w:oddHBand="0" w:evenHBand="0" w:firstRowFirstColumn="0" w:firstRowLastColumn="0" w:lastRowFirstColumn="0" w:lastRowLastColumn="0"/>
          <w:tblHeader/>
        </w:trPr>
        <w:tc>
          <w:tcPr>
            <w:tcW w:w="547" w:type="pct"/>
            <w:shd w:val="clear" w:color="auto" w:fill="auto"/>
            <w:hideMark/>
          </w:tcPr>
          <w:p w14:paraId="5E908CEE" w14:textId="77777777" w:rsidR="00EB1CD2" w:rsidRPr="009539C3" w:rsidRDefault="00EB1CD2" w:rsidP="00EB1CD2">
            <w:pPr>
              <w:pStyle w:val="Tabletext0"/>
              <w:rPr>
                <w:b/>
                <w:bCs/>
              </w:rPr>
            </w:pPr>
            <w:bookmarkStart w:id="25" w:name="_Hlk68276176"/>
            <w:r w:rsidRPr="009539C3">
              <w:rPr>
                <w:b/>
                <w:bCs/>
              </w:rPr>
              <w:t>Trial ID</w:t>
            </w:r>
          </w:p>
        </w:tc>
        <w:tc>
          <w:tcPr>
            <w:tcW w:w="707" w:type="pct"/>
            <w:shd w:val="clear" w:color="auto" w:fill="auto"/>
            <w:hideMark/>
          </w:tcPr>
          <w:p w14:paraId="6A7B8157" w14:textId="77777777" w:rsidR="00EB1CD2" w:rsidRPr="009539C3" w:rsidRDefault="00EB1CD2" w:rsidP="00EB1CD2">
            <w:pPr>
              <w:pStyle w:val="Tabletext0"/>
              <w:rPr>
                <w:b/>
                <w:bCs/>
              </w:rPr>
            </w:pPr>
            <w:r w:rsidRPr="009539C3">
              <w:rPr>
                <w:b/>
                <w:bCs/>
              </w:rPr>
              <w:t xml:space="preserve">Trial design </w:t>
            </w:r>
          </w:p>
        </w:tc>
        <w:tc>
          <w:tcPr>
            <w:tcW w:w="865" w:type="pct"/>
            <w:shd w:val="clear" w:color="auto" w:fill="auto"/>
            <w:hideMark/>
          </w:tcPr>
          <w:p w14:paraId="1F1DE29D" w14:textId="77777777" w:rsidR="00EB1CD2" w:rsidRPr="009539C3" w:rsidRDefault="00EB1CD2" w:rsidP="00EB1CD2">
            <w:pPr>
              <w:pStyle w:val="Tabletext0"/>
              <w:rPr>
                <w:b/>
                <w:bCs/>
              </w:rPr>
            </w:pPr>
            <w:r w:rsidRPr="009539C3">
              <w:rPr>
                <w:b/>
                <w:bCs/>
              </w:rPr>
              <w:t xml:space="preserve">Trial population </w:t>
            </w:r>
          </w:p>
        </w:tc>
        <w:tc>
          <w:tcPr>
            <w:tcW w:w="1318" w:type="pct"/>
            <w:shd w:val="clear" w:color="auto" w:fill="auto"/>
            <w:hideMark/>
          </w:tcPr>
          <w:p w14:paraId="588B6C1D" w14:textId="77777777" w:rsidR="00EB1CD2" w:rsidRPr="009539C3" w:rsidRDefault="00EB1CD2" w:rsidP="00EB1CD2">
            <w:pPr>
              <w:pStyle w:val="Tabletext0"/>
              <w:jc w:val="left"/>
              <w:rPr>
                <w:b/>
                <w:bCs/>
              </w:rPr>
            </w:pPr>
            <w:r w:rsidRPr="009539C3">
              <w:rPr>
                <w:b/>
                <w:bCs/>
              </w:rPr>
              <w:t xml:space="preserve">Key population baseline characteristics </w:t>
            </w:r>
          </w:p>
        </w:tc>
        <w:tc>
          <w:tcPr>
            <w:tcW w:w="784" w:type="pct"/>
            <w:shd w:val="clear" w:color="auto" w:fill="auto"/>
            <w:hideMark/>
          </w:tcPr>
          <w:p w14:paraId="77BF6E85" w14:textId="77777777" w:rsidR="00EB1CD2" w:rsidRPr="009539C3" w:rsidRDefault="00EB1CD2" w:rsidP="00EB1CD2">
            <w:pPr>
              <w:pStyle w:val="Tabletext0"/>
              <w:rPr>
                <w:b/>
                <w:bCs/>
              </w:rPr>
            </w:pPr>
            <w:r w:rsidRPr="009539C3">
              <w:rPr>
                <w:b/>
                <w:bCs/>
              </w:rPr>
              <w:t xml:space="preserve">Intervention </w:t>
            </w:r>
          </w:p>
        </w:tc>
        <w:tc>
          <w:tcPr>
            <w:tcW w:w="778" w:type="pct"/>
            <w:shd w:val="clear" w:color="auto" w:fill="auto"/>
            <w:hideMark/>
          </w:tcPr>
          <w:p w14:paraId="05FFEA4B" w14:textId="77777777" w:rsidR="00EB1CD2" w:rsidRPr="009539C3" w:rsidRDefault="00EB1CD2" w:rsidP="00EB1CD2">
            <w:pPr>
              <w:pStyle w:val="Tabletext0"/>
              <w:rPr>
                <w:b/>
                <w:bCs/>
              </w:rPr>
            </w:pPr>
            <w:r w:rsidRPr="009539C3">
              <w:rPr>
                <w:b/>
                <w:bCs/>
              </w:rPr>
              <w:t xml:space="preserve">Comparator </w:t>
            </w:r>
          </w:p>
        </w:tc>
      </w:tr>
      <w:tr w:rsidR="00EB1CD2" w:rsidRPr="009539C3" w14:paraId="59D7A9F1" w14:textId="77777777" w:rsidTr="00DD0B90">
        <w:trPr>
          <w:trHeight w:val="2301"/>
        </w:trPr>
        <w:tc>
          <w:tcPr>
            <w:tcW w:w="547" w:type="pct"/>
            <w:tcBorders>
              <w:top w:val="single" w:sz="4" w:space="0" w:color="auto"/>
              <w:left w:val="single" w:sz="4" w:space="0" w:color="auto"/>
              <w:bottom w:val="single" w:sz="4" w:space="0" w:color="auto"/>
              <w:right w:val="single" w:sz="4" w:space="0" w:color="auto"/>
            </w:tcBorders>
            <w:hideMark/>
          </w:tcPr>
          <w:p w14:paraId="3ADE03E2" w14:textId="77777777" w:rsidR="00EB1CD2" w:rsidRPr="009539C3" w:rsidRDefault="00EB1CD2" w:rsidP="00EB1CD2">
            <w:pPr>
              <w:pStyle w:val="Tabletext0"/>
              <w:jc w:val="left"/>
            </w:pPr>
            <w:r w:rsidRPr="009539C3">
              <w:t>DG-01</w:t>
            </w:r>
          </w:p>
        </w:tc>
        <w:tc>
          <w:tcPr>
            <w:tcW w:w="707" w:type="pct"/>
            <w:tcBorders>
              <w:top w:val="single" w:sz="4" w:space="0" w:color="auto"/>
              <w:left w:val="single" w:sz="4" w:space="0" w:color="auto"/>
              <w:bottom w:val="single" w:sz="4" w:space="0" w:color="auto"/>
              <w:right w:val="single" w:sz="4" w:space="0" w:color="auto"/>
            </w:tcBorders>
          </w:tcPr>
          <w:p w14:paraId="7247B9CF" w14:textId="77777777" w:rsidR="00EB1CD2" w:rsidRPr="009539C3" w:rsidRDefault="00EB1CD2" w:rsidP="00EB1CD2">
            <w:pPr>
              <w:pStyle w:val="Tabletext0"/>
              <w:jc w:val="left"/>
            </w:pPr>
            <w:r w:rsidRPr="009539C3">
              <w:t>Phase II, MC, OL, randomised</w:t>
            </w:r>
          </w:p>
          <w:p w14:paraId="44B029B1" w14:textId="77777777" w:rsidR="00EB1CD2" w:rsidRPr="009539C3" w:rsidRDefault="00EB1CD2" w:rsidP="00EB1CD2">
            <w:pPr>
              <w:pStyle w:val="Tabletext0"/>
              <w:jc w:val="left"/>
            </w:pPr>
          </w:p>
          <w:p w14:paraId="353C4FEE" w14:textId="77777777" w:rsidR="00EB1CD2" w:rsidRPr="009539C3" w:rsidRDefault="00EB1CD2" w:rsidP="00EB1CD2">
            <w:pPr>
              <w:pStyle w:val="Tabletext0"/>
              <w:jc w:val="left"/>
            </w:pPr>
            <w:r w:rsidRPr="009539C3">
              <w:t>N=188</w:t>
            </w:r>
          </w:p>
          <w:p w14:paraId="65D33520" w14:textId="77777777" w:rsidR="00EB1CD2" w:rsidRPr="009539C3" w:rsidRDefault="00EB1CD2" w:rsidP="00EB1CD2">
            <w:pPr>
              <w:pStyle w:val="Tabletext0"/>
              <w:jc w:val="left"/>
            </w:pPr>
            <w:r w:rsidRPr="60969D91">
              <w:t>T-</w:t>
            </w:r>
            <w:proofErr w:type="spellStart"/>
            <w:r w:rsidRPr="60969D91">
              <w:t>DXd</w:t>
            </w:r>
            <w:proofErr w:type="spellEnd"/>
            <w:r w:rsidRPr="60969D91">
              <w:t>: 126</w:t>
            </w:r>
          </w:p>
          <w:p w14:paraId="72A9FA64" w14:textId="77777777" w:rsidR="00EB1CD2" w:rsidRPr="009539C3" w:rsidRDefault="00EB1CD2" w:rsidP="00EB1CD2">
            <w:pPr>
              <w:pStyle w:val="Tabletext0"/>
              <w:jc w:val="left"/>
            </w:pPr>
            <w:r w:rsidRPr="009539C3">
              <w:t>Physician’s choice: 62</w:t>
            </w:r>
          </w:p>
        </w:tc>
        <w:tc>
          <w:tcPr>
            <w:tcW w:w="865" w:type="pct"/>
            <w:tcBorders>
              <w:top w:val="single" w:sz="4" w:space="0" w:color="auto"/>
              <w:left w:val="single" w:sz="4" w:space="0" w:color="auto"/>
              <w:bottom w:val="single" w:sz="4" w:space="0" w:color="auto"/>
              <w:right w:val="single" w:sz="4" w:space="0" w:color="auto"/>
            </w:tcBorders>
            <w:hideMark/>
          </w:tcPr>
          <w:p w14:paraId="7DF7D280" w14:textId="77777777" w:rsidR="00EB1CD2" w:rsidRPr="009539C3" w:rsidRDefault="00EB1CD2" w:rsidP="00EB1CD2">
            <w:pPr>
              <w:pStyle w:val="Tabletext0"/>
              <w:jc w:val="left"/>
            </w:pPr>
            <w:r w:rsidRPr="007B6A30">
              <w:rPr>
                <w:i/>
                <w:iCs/>
              </w:rPr>
              <w:t>HER2</w:t>
            </w:r>
            <w:r w:rsidRPr="009539C3">
              <w:t>-positive 3L+ advanced gastric or GOJ cancer</w:t>
            </w:r>
          </w:p>
          <w:p w14:paraId="2753623A" w14:textId="77777777" w:rsidR="00EB1CD2" w:rsidRPr="009539C3" w:rsidRDefault="00EB1CD2" w:rsidP="00EB1CD2">
            <w:pPr>
              <w:pStyle w:val="Tabletext0"/>
              <w:jc w:val="left"/>
            </w:pPr>
          </w:p>
          <w:p w14:paraId="44EC09EF" w14:textId="77777777" w:rsidR="00EB1CD2" w:rsidRPr="009539C3" w:rsidRDefault="00EB1CD2" w:rsidP="00EB1CD2">
            <w:pPr>
              <w:pStyle w:val="Tabletext0"/>
              <w:jc w:val="left"/>
              <w:rPr>
                <w:i/>
              </w:rPr>
            </w:pPr>
            <w:r w:rsidRPr="009539C3">
              <w:rPr>
                <w:i/>
              </w:rPr>
              <w:t>HER2 testing based on archived tissue</w:t>
            </w:r>
          </w:p>
        </w:tc>
        <w:tc>
          <w:tcPr>
            <w:tcW w:w="1318" w:type="pct"/>
            <w:tcBorders>
              <w:top w:val="single" w:sz="4" w:space="0" w:color="auto"/>
              <w:left w:val="single" w:sz="4" w:space="0" w:color="auto"/>
              <w:bottom w:val="single" w:sz="4" w:space="0" w:color="auto"/>
              <w:right w:val="single" w:sz="4" w:space="0" w:color="auto"/>
            </w:tcBorders>
            <w:hideMark/>
          </w:tcPr>
          <w:p w14:paraId="2E45FEE0" w14:textId="77777777" w:rsidR="00EB1CD2" w:rsidRPr="009539C3" w:rsidRDefault="00EB1CD2" w:rsidP="00EB1CD2">
            <w:pPr>
              <w:pStyle w:val="Tabletext0"/>
              <w:jc w:val="left"/>
            </w:pPr>
            <w:r w:rsidRPr="009539C3">
              <w:t>Mean age: 66.0 years</w:t>
            </w:r>
          </w:p>
          <w:p w14:paraId="4E4FA42D" w14:textId="77777777" w:rsidR="00EB1CD2" w:rsidRPr="009539C3" w:rsidRDefault="00EB1CD2" w:rsidP="00EB1CD2">
            <w:pPr>
              <w:pStyle w:val="Tabletext0"/>
              <w:jc w:val="left"/>
            </w:pPr>
            <w:r w:rsidRPr="009539C3">
              <w:t>Male:75.9%</w:t>
            </w:r>
          </w:p>
          <w:p w14:paraId="605A3327" w14:textId="77777777" w:rsidR="00EB1CD2" w:rsidRPr="009539C3" w:rsidRDefault="00EB1CD2" w:rsidP="00EB1CD2">
            <w:pPr>
              <w:pStyle w:val="Tabletext0"/>
              <w:jc w:val="left"/>
            </w:pPr>
            <w:r w:rsidRPr="009539C3">
              <w:t>Asian: 100% (Japan: 79.7%; South Korea: 20.3%)</w:t>
            </w:r>
          </w:p>
          <w:p w14:paraId="7F695314" w14:textId="77777777" w:rsidR="00EB1CD2" w:rsidRPr="009539C3" w:rsidRDefault="00EB1CD2" w:rsidP="00EB1CD2">
            <w:pPr>
              <w:pStyle w:val="Tabletext0"/>
              <w:jc w:val="left"/>
            </w:pPr>
            <w:r w:rsidRPr="009539C3">
              <w:t>Cancer type: Gastric 87.2%; GOJ 12.8%</w:t>
            </w:r>
          </w:p>
          <w:p w14:paraId="06A52666" w14:textId="77777777" w:rsidR="00EB1CD2" w:rsidRPr="009539C3" w:rsidRDefault="00EB1CD2" w:rsidP="00EB1CD2">
            <w:pPr>
              <w:pStyle w:val="Tabletext0"/>
              <w:jc w:val="left"/>
            </w:pPr>
            <w:r w:rsidRPr="009539C3">
              <w:t>ECOG PS 0, 1: 49.2%, 50.8%</w:t>
            </w:r>
          </w:p>
          <w:p w14:paraId="08BEBB8C" w14:textId="77777777" w:rsidR="00EB1CD2" w:rsidRPr="009539C3" w:rsidRDefault="00EB1CD2" w:rsidP="00EB1CD2">
            <w:pPr>
              <w:pStyle w:val="Tabletext0"/>
              <w:jc w:val="left"/>
            </w:pPr>
            <w:r w:rsidRPr="009539C3">
              <w:t>Line of therapy: 3L+</w:t>
            </w:r>
          </w:p>
          <w:p w14:paraId="182DAEF2" w14:textId="77777777" w:rsidR="00EB1CD2" w:rsidRPr="009539C3" w:rsidRDefault="00EB1CD2" w:rsidP="00EB1CD2">
            <w:pPr>
              <w:pStyle w:val="Tabletext0"/>
              <w:jc w:val="left"/>
            </w:pPr>
            <w:r w:rsidRPr="009539C3">
              <w:t>Prior IO therapy: 32.6%</w:t>
            </w:r>
          </w:p>
        </w:tc>
        <w:tc>
          <w:tcPr>
            <w:tcW w:w="784" w:type="pct"/>
            <w:tcBorders>
              <w:top w:val="single" w:sz="4" w:space="0" w:color="auto"/>
              <w:left w:val="single" w:sz="4" w:space="0" w:color="auto"/>
              <w:bottom w:val="single" w:sz="4" w:space="0" w:color="auto"/>
              <w:right w:val="single" w:sz="4" w:space="0" w:color="auto"/>
            </w:tcBorders>
          </w:tcPr>
          <w:p w14:paraId="2B9D3F86" w14:textId="77777777" w:rsidR="00EB1CD2" w:rsidRPr="009539C3" w:rsidRDefault="00EB1CD2" w:rsidP="00EB1CD2">
            <w:pPr>
              <w:pStyle w:val="Tabletext0"/>
              <w:jc w:val="left"/>
            </w:pPr>
            <w:r w:rsidRPr="60969D91">
              <w:t>T-</w:t>
            </w:r>
            <w:proofErr w:type="spellStart"/>
            <w:r w:rsidRPr="60969D91">
              <w:t>DXd</w:t>
            </w:r>
            <w:proofErr w:type="spellEnd"/>
            <w:r w:rsidRPr="60969D91">
              <w:t xml:space="preserve"> 6.4mg/kg Q3W</w:t>
            </w:r>
          </w:p>
          <w:p w14:paraId="4A9AC7B4" w14:textId="77777777" w:rsidR="00EB1CD2" w:rsidRPr="009539C3" w:rsidRDefault="00EB1CD2" w:rsidP="00EB1CD2">
            <w:pPr>
              <w:pStyle w:val="Tabletext0"/>
              <w:jc w:val="left"/>
            </w:pPr>
          </w:p>
        </w:tc>
        <w:tc>
          <w:tcPr>
            <w:tcW w:w="778" w:type="pct"/>
            <w:tcBorders>
              <w:top w:val="single" w:sz="4" w:space="0" w:color="auto"/>
              <w:left w:val="single" w:sz="4" w:space="0" w:color="auto"/>
              <w:bottom w:val="single" w:sz="4" w:space="0" w:color="auto"/>
              <w:right w:val="single" w:sz="4" w:space="0" w:color="auto"/>
            </w:tcBorders>
          </w:tcPr>
          <w:p w14:paraId="2EEC1DEE" w14:textId="77777777" w:rsidR="00EB1CD2" w:rsidRPr="009539C3" w:rsidRDefault="00EB1CD2" w:rsidP="00EB1CD2">
            <w:pPr>
              <w:pStyle w:val="Tabletext0"/>
              <w:jc w:val="left"/>
            </w:pPr>
            <w:r w:rsidRPr="009539C3">
              <w:t>Irinotecan 150mg/m</w:t>
            </w:r>
            <w:r w:rsidRPr="009539C3">
              <w:rPr>
                <w:vertAlign w:val="superscript"/>
              </w:rPr>
              <w:t>2</w:t>
            </w:r>
            <w:r w:rsidRPr="009539C3">
              <w:t xml:space="preserve"> every 2 weeks or</w:t>
            </w:r>
          </w:p>
          <w:p w14:paraId="33450FA0" w14:textId="77777777" w:rsidR="00EB1CD2" w:rsidRPr="009539C3" w:rsidRDefault="00EB1CD2" w:rsidP="00EB1CD2">
            <w:pPr>
              <w:pStyle w:val="Tabletext0"/>
              <w:jc w:val="left"/>
            </w:pPr>
            <w:r w:rsidRPr="009539C3">
              <w:t>paclitaxel 80mg/m</w:t>
            </w:r>
            <w:r w:rsidRPr="009539C3">
              <w:rPr>
                <w:vertAlign w:val="superscript"/>
              </w:rPr>
              <w:t>2</w:t>
            </w:r>
            <w:r w:rsidRPr="009539C3">
              <w:t xml:space="preserve"> every week of 28-day cycle</w:t>
            </w:r>
          </w:p>
          <w:p w14:paraId="7B7530A2" w14:textId="77777777" w:rsidR="00EB1CD2" w:rsidRPr="009539C3" w:rsidRDefault="00EB1CD2" w:rsidP="00EB1CD2">
            <w:pPr>
              <w:pStyle w:val="Tabletext0"/>
              <w:jc w:val="left"/>
            </w:pPr>
          </w:p>
        </w:tc>
      </w:tr>
      <w:tr w:rsidR="00EB1CD2" w:rsidRPr="009539C3" w14:paraId="4CDAAF61" w14:textId="77777777" w:rsidTr="00DD0B90">
        <w:tc>
          <w:tcPr>
            <w:tcW w:w="547" w:type="pct"/>
            <w:tcBorders>
              <w:top w:val="single" w:sz="4" w:space="0" w:color="auto"/>
              <w:left w:val="single" w:sz="4" w:space="0" w:color="auto"/>
              <w:bottom w:val="single" w:sz="4" w:space="0" w:color="auto"/>
              <w:right w:val="single" w:sz="4" w:space="0" w:color="auto"/>
            </w:tcBorders>
          </w:tcPr>
          <w:p w14:paraId="419F5C64" w14:textId="77777777" w:rsidR="00EB1CD2" w:rsidRPr="009539C3" w:rsidRDefault="00EB1CD2" w:rsidP="00EB1CD2">
            <w:pPr>
              <w:pStyle w:val="Tabletext0"/>
              <w:jc w:val="left"/>
            </w:pPr>
            <w:r w:rsidRPr="009539C3">
              <w:t>DG-02</w:t>
            </w:r>
          </w:p>
          <w:p w14:paraId="19A83A01" w14:textId="77777777" w:rsidR="00EB1CD2" w:rsidRPr="009539C3" w:rsidRDefault="00EB1CD2" w:rsidP="00EB1CD2">
            <w:pPr>
              <w:pStyle w:val="Tabletext0"/>
              <w:jc w:val="left"/>
            </w:pPr>
          </w:p>
        </w:tc>
        <w:tc>
          <w:tcPr>
            <w:tcW w:w="707" w:type="pct"/>
            <w:tcBorders>
              <w:top w:val="single" w:sz="4" w:space="0" w:color="auto"/>
              <w:left w:val="single" w:sz="4" w:space="0" w:color="auto"/>
              <w:bottom w:val="single" w:sz="4" w:space="0" w:color="auto"/>
              <w:right w:val="single" w:sz="4" w:space="0" w:color="auto"/>
            </w:tcBorders>
          </w:tcPr>
          <w:p w14:paraId="65C5EB63" w14:textId="77777777" w:rsidR="00EB1CD2" w:rsidRPr="009539C3" w:rsidRDefault="00EB1CD2" w:rsidP="60969D91">
            <w:pPr>
              <w:pStyle w:val="Tabletext0"/>
              <w:jc w:val="left"/>
            </w:pPr>
            <w:r w:rsidRPr="60969D91">
              <w:t xml:space="preserve">Phase II, MC, </w:t>
            </w:r>
            <w:proofErr w:type="gramStart"/>
            <w:r w:rsidRPr="60969D91">
              <w:t>single-arm</w:t>
            </w:r>
            <w:proofErr w:type="gramEnd"/>
          </w:p>
          <w:p w14:paraId="74E4298D" w14:textId="77777777" w:rsidR="00EB1CD2" w:rsidRPr="009539C3" w:rsidRDefault="00EB1CD2" w:rsidP="00EB1CD2">
            <w:pPr>
              <w:pStyle w:val="Tabletext0"/>
              <w:jc w:val="left"/>
            </w:pPr>
          </w:p>
          <w:p w14:paraId="701AF856" w14:textId="77777777" w:rsidR="00EB1CD2" w:rsidRPr="009539C3" w:rsidRDefault="00EB1CD2" w:rsidP="00EB1CD2">
            <w:pPr>
              <w:pStyle w:val="Tabletext0"/>
              <w:jc w:val="left"/>
            </w:pPr>
            <w:r w:rsidRPr="009539C3">
              <w:t>N=79</w:t>
            </w:r>
          </w:p>
          <w:p w14:paraId="55B5EDA8" w14:textId="77777777" w:rsidR="00EB1CD2" w:rsidRPr="009539C3" w:rsidRDefault="00EB1CD2" w:rsidP="00EB1CD2">
            <w:pPr>
              <w:pStyle w:val="Tabletext0"/>
              <w:jc w:val="left"/>
            </w:pPr>
          </w:p>
        </w:tc>
        <w:tc>
          <w:tcPr>
            <w:tcW w:w="865" w:type="pct"/>
            <w:tcBorders>
              <w:top w:val="single" w:sz="4" w:space="0" w:color="auto"/>
              <w:left w:val="single" w:sz="4" w:space="0" w:color="auto"/>
              <w:bottom w:val="single" w:sz="4" w:space="0" w:color="auto"/>
              <w:right w:val="single" w:sz="4" w:space="0" w:color="auto"/>
            </w:tcBorders>
            <w:hideMark/>
          </w:tcPr>
          <w:p w14:paraId="3F6B2DF5" w14:textId="77777777" w:rsidR="00EB1CD2" w:rsidRPr="009539C3" w:rsidRDefault="00EB1CD2" w:rsidP="00EB1CD2">
            <w:pPr>
              <w:pStyle w:val="Tabletext0"/>
              <w:jc w:val="left"/>
            </w:pPr>
            <w:r w:rsidRPr="007B6A30">
              <w:rPr>
                <w:i/>
                <w:iCs/>
              </w:rPr>
              <w:t>HER2</w:t>
            </w:r>
            <w:r w:rsidRPr="009539C3">
              <w:t xml:space="preserve"> positive 2L advanced gastric or GOJ cancer</w:t>
            </w:r>
          </w:p>
          <w:p w14:paraId="0DCEE760" w14:textId="77777777" w:rsidR="00EB1CD2" w:rsidRPr="009539C3" w:rsidRDefault="00EB1CD2" w:rsidP="00EB1CD2">
            <w:pPr>
              <w:pStyle w:val="Tabletext0"/>
              <w:jc w:val="left"/>
            </w:pPr>
          </w:p>
          <w:p w14:paraId="558EF968" w14:textId="77777777" w:rsidR="00EB1CD2" w:rsidRPr="009539C3" w:rsidRDefault="00EB1CD2" w:rsidP="00EB1CD2">
            <w:pPr>
              <w:pStyle w:val="Tabletext0"/>
              <w:jc w:val="left"/>
              <w:rPr>
                <w:i/>
              </w:rPr>
            </w:pPr>
            <w:r w:rsidRPr="009539C3">
              <w:rPr>
                <w:i/>
              </w:rPr>
              <w:t>HER2 testing based on fresh tissue after progression on or after a prior trastuzumab-containing regimen</w:t>
            </w:r>
          </w:p>
        </w:tc>
        <w:tc>
          <w:tcPr>
            <w:tcW w:w="1318" w:type="pct"/>
            <w:tcBorders>
              <w:top w:val="single" w:sz="4" w:space="0" w:color="auto"/>
              <w:left w:val="single" w:sz="4" w:space="0" w:color="auto"/>
              <w:bottom w:val="single" w:sz="4" w:space="0" w:color="auto"/>
              <w:right w:val="single" w:sz="4" w:space="0" w:color="auto"/>
            </w:tcBorders>
            <w:hideMark/>
          </w:tcPr>
          <w:p w14:paraId="6902F913" w14:textId="77777777" w:rsidR="00EB1CD2" w:rsidRPr="009539C3" w:rsidRDefault="00EB1CD2" w:rsidP="00EB1CD2">
            <w:pPr>
              <w:pStyle w:val="Tabletext0"/>
              <w:jc w:val="left"/>
            </w:pPr>
            <w:r w:rsidRPr="009539C3">
              <w:t>Mean age: 60.7 years</w:t>
            </w:r>
          </w:p>
          <w:p w14:paraId="321A3621" w14:textId="77777777" w:rsidR="00EB1CD2" w:rsidRPr="009539C3" w:rsidRDefault="00EB1CD2" w:rsidP="00EB1CD2">
            <w:pPr>
              <w:pStyle w:val="Tabletext0"/>
              <w:jc w:val="left"/>
            </w:pPr>
            <w:r w:rsidRPr="009539C3">
              <w:t>Male: 72.2%</w:t>
            </w:r>
          </w:p>
          <w:p w14:paraId="329B5CDE" w14:textId="77777777" w:rsidR="00EB1CD2" w:rsidRPr="009539C3" w:rsidRDefault="00EB1CD2" w:rsidP="00EB1CD2">
            <w:pPr>
              <w:pStyle w:val="Tabletext0"/>
              <w:jc w:val="left"/>
            </w:pPr>
            <w:r w:rsidRPr="009539C3">
              <w:t>Asian: 5.0%; Caucasian: 87.3%; Other: 7.6%</w:t>
            </w:r>
          </w:p>
          <w:p w14:paraId="0D467210" w14:textId="77777777" w:rsidR="00EB1CD2" w:rsidRPr="009539C3" w:rsidRDefault="00EB1CD2" w:rsidP="00EB1CD2">
            <w:pPr>
              <w:pStyle w:val="Tabletext0"/>
              <w:jc w:val="left"/>
            </w:pPr>
            <w:r w:rsidRPr="009539C3">
              <w:t>Cancer type: Gastric 34.2%; GOJ 65.8%</w:t>
            </w:r>
          </w:p>
          <w:p w14:paraId="6292993E" w14:textId="77777777" w:rsidR="00EB1CD2" w:rsidRPr="009539C3" w:rsidRDefault="00EB1CD2" w:rsidP="00EB1CD2">
            <w:pPr>
              <w:pStyle w:val="Tabletext0"/>
              <w:jc w:val="left"/>
            </w:pPr>
            <w:r w:rsidRPr="009539C3">
              <w:t>ECOG PS 0, 1: 36.7%, 63.3%</w:t>
            </w:r>
          </w:p>
          <w:p w14:paraId="2D0DB9AA" w14:textId="77777777" w:rsidR="00EB1CD2" w:rsidRPr="009539C3" w:rsidRDefault="00EB1CD2" w:rsidP="00EB1CD2">
            <w:pPr>
              <w:pStyle w:val="Tabletext0"/>
              <w:jc w:val="left"/>
            </w:pPr>
            <w:r w:rsidRPr="009539C3">
              <w:t>Line of therapy: 2L</w:t>
            </w:r>
          </w:p>
          <w:p w14:paraId="029875F2" w14:textId="77777777" w:rsidR="00EB1CD2" w:rsidRPr="009539C3" w:rsidRDefault="00EB1CD2" w:rsidP="00EB1CD2">
            <w:pPr>
              <w:pStyle w:val="Tabletext0"/>
              <w:jc w:val="left"/>
            </w:pPr>
            <w:r w:rsidRPr="009539C3">
              <w:t>Prior IO therapy: 8.9%</w:t>
            </w:r>
          </w:p>
        </w:tc>
        <w:tc>
          <w:tcPr>
            <w:tcW w:w="784" w:type="pct"/>
            <w:tcBorders>
              <w:top w:val="single" w:sz="4" w:space="0" w:color="auto"/>
              <w:left w:val="single" w:sz="4" w:space="0" w:color="auto"/>
              <w:bottom w:val="single" w:sz="4" w:space="0" w:color="auto"/>
              <w:right w:val="single" w:sz="4" w:space="0" w:color="auto"/>
            </w:tcBorders>
            <w:hideMark/>
          </w:tcPr>
          <w:p w14:paraId="2DF16775" w14:textId="77777777" w:rsidR="00EB1CD2" w:rsidRPr="009539C3" w:rsidRDefault="00EB1CD2" w:rsidP="00EB1CD2">
            <w:pPr>
              <w:pStyle w:val="Tabletext0"/>
              <w:jc w:val="left"/>
            </w:pPr>
            <w:r w:rsidRPr="60969D91">
              <w:t>T-</w:t>
            </w:r>
            <w:proofErr w:type="spellStart"/>
            <w:r w:rsidRPr="60969D91">
              <w:t>DXd</w:t>
            </w:r>
            <w:proofErr w:type="spellEnd"/>
            <w:r w:rsidRPr="60969D91">
              <w:t xml:space="preserve"> 6.4mg/kg Q3W</w:t>
            </w:r>
          </w:p>
        </w:tc>
        <w:tc>
          <w:tcPr>
            <w:tcW w:w="778" w:type="pct"/>
            <w:tcBorders>
              <w:top w:val="single" w:sz="4" w:space="0" w:color="auto"/>
              <w:left w:val="single" w:sz="4" w:space="0" w:color="auto"/>
              <w:bottom w:val="single" w:sz="4" w:space="0" w:color="auto"/>
              <w:right w:val="single" w:sz="4" w:space="0" w:color="auto"/>
            </w:tcBorders>
          </w:tcPr>
          <w:p w14:paraId="211AC33B" w14:textId="77777777" w:rsidR="00EB1CD2" w:rsidRPr="009539C3" w:rsidRDefault="00EB1CD2" w:rsidP="00EB1CD2">
            <w:pPr>
              <w:pStyle w:val="Tabletext0"/>
              <w:jc w:val="left"/>
            </w:pPr>
            <w:r w:rsidRPr="009539C3">
              <w:t>None</w:t>
            </w:r>
          </w:p>
          <w:p w14:paraId="1AC0831B" w14:textId="77777777" w:rsidR="00EB1CD2" w:rsidRPr="009539C3" w:rsidRDefault="00EB1CD2" w:rsidP="00EB1CD2">
            <w:pPr>
              <w:pStyle w:val="Tabletext0"/>
              <w:jc w:val="left"/>
            </w:pPr>
          </w:p>
          <w:p w14:paraId="66726006" w14:textId="77777777" w:rsidR="00EB1CD2" w:rsidRPr="009539C3" w:rsidRDefault="00EB1CD2" w:rsidP="00EB1CD2">
            <w:pPr>
              <w:pStyle w:val="Tabletext0"/>
              <w:jc w:val="left"/>
            </w:pPr>
          </w:p>
        </w:tc>
      </w:tr>
    </w:tbl>
    <w:p w14:paraId="5E6FB5F9" w14:textId="1DDCC87D" w:rsidR="00EB1CD2" w:rsidRPr="009539C3" w:rsidRDefault="00EB1CD2" w:rsidP="00133786">
      <w:pPr>
        <w:pStyle w:val="Tablenotes0"/>
        <w:spacing w:after="0"/>
      </w:pPr>
      <w:r w:rsidRPr="009539C3">
        <w:t>Source: Table 1 of the Streamlined MSAC submission Nov 2024</w:t>
      </w:r>
    </w:p>
    <w:p w14:paraId="6C301D37" w14:textId="12926B4B" w:rsidR="00EB1CD2" w:rsidRPr="009539C3" w:rsidRDefault="00EB1CD2" w:rsidP="00133786">
      <w:pPr>
        <w:pStyle w:val="Tablenotes0"/>
        <w:spacing w:after="0"/>
      </w:pPr>
      <w:r w:rsidRPr="60969D91">
        <w:lastRenderedPageBreak/>
        <w:t xml:space="preserve">Abbreviations: </w:t>
      </w:r>
      <w:r w:rsidR="00952357" w:rsidRPr="60969D91">
        <w:t>DG-01 = Destiny-Gastric 01; DG-02</w:t>
      </w:r>
      <w:r w:rsidR="004643A2" w:rsidRPr="60969D91">
        <w:t xml:space="preserve"> = Destiny-Gastric 02; </w:t>
      </w:r>
      <w:r w:rsidRPr="60969D91">
        <w:t>GOJ</w:t>
      </w:r>
      <w:r w:rsidR="00AC5822" w:rsidRPr="60969D91">
        <w:t xml:space="preserve"> =</w:t>
      </w:r>
      <w:r w:rsidRPr="60969D91">
        <w:t xml:space="preserve"> gastro-oesophageal junction; IO</w:t>
      </w:r>
      <w:r w:rsidR="00AC5822" w:rsidRPr="60969D91">
        <w:t xml:space="preserve"> =</w:t>
      </w:r>
      <w:r w:rsidRPr="60969D91">
        <w:t xml:space="preserve"> immunotherapy; MC</w:t>
      </w:r>
      <w:r w:rsidR="00AC5822" w:rsidRPr="60969D91">
        <w:t xml:space="preserve"> =</w:t>
      </w:r>
      <w:r w:rsidRPr="60969D91">
        <w:t xml:space="preserve"> multi-centre, OL</w:t>
      </w:r>
      <w:r w:rsidR="00AC5822" w:rsidRPr="60969D91">
        <w:t xml:space="preserve"> =</w:t>
      </w:r>
      <w:r w:rsidRPr="60969D91">
        <w:t xml:space="preserve"> open-label, Q3W</w:t>
      </w:r>
      <w:r w:rsidR="00AC5822" w:rsidRPr="60969D91">
        <w:t xml:space="preserve"> =</w:t>
      </w:r>
      <w:r w:rsidRPr="60969D91">
        <w:t xml:space="preserve"> every three weeks; </w:t>
      </w:r>
      <w:r w:rsidRPr="007B6A30">
        <w:rPr>
          <w:i/>
          <w:iCs/>
        </w:rPr>
        <w:t>HER2</w:t>
      </w:r>
      <w:r w:rsidR="00AC5822" w:rsidRPr="60969D91">
        <w:t xml:space="preserve"> =</w:t>
      </w:r>
      <w:r w:rsidRPr="60969D91">
        <w:t xml:space="preserve"> human epidermal growth factor receptor 2; ECOG</w:t>
      </w:r>
      <w:r w:rsidR="00AC5822" w:rsidRPr="60969D91">
        <w:t xml:space="preserve"> =</w:t>
      </w:r>
      <w:r w:rsidRPr="60969D91">
        <w:t xml:space="preserve"> Eastern Cooperative Oncology Group</w:t>
      </w:r>
      <w:r w:rsidR="000C2E39" w:rsidRPr="60969D91">
        <w:t>;</w:t>
      </w:r>
      <w:r w:rsidRPr="60969D91">
        <w:t xml:space="preserve"> T-</w:t>
      </w:r>
      <w:proofErr w:type="spellStart"/>
      <w:r w:rsidRPr="60969D91">
        <w:t>DXd</w:t>
      </w:r>
      <w:proofErr w:type="spellEnd"/>
      <w:r w:rsidR="00AC5822" w:rsidRPr="60969D91">
        <w:t xml:space="preserve"> =</w:t>
      </w:r>
      <w:r w:rsidRPr="60969D91">
        <w:t xml:space="preserve"> trastuzumab </w:t>
      </w:r>
      <w:proofErr w:type="spellStart"/>
      <w:r w:rsidRPr="60969D91">
        <w:t>deruxtecan</w:t>
      </w:r>
      <w:proofErr w:type="spellEnd"/>
    </w:p>
    <w:p w14:paraId="21637328" w14:textId="77457644" w:rsidR="002D707E" w:rsidRPr="009539C3" w:rsidRDefault="002D707E" w:rsidP="002D707E">
      <w:r w:rsidRPr="60969D91">
        <w:t xml:space="preserve">In DG-01, patients were assigned to sub-cohorts based on </w:t>
      </w:r>
      <w:r w:rsidRPr="007B6A30">
        <w:rPr>
          <w:i/>
          <w:iCs/>
        </w:rPr>
        <w:t>HER2</w:t>
      </w:r>
      <w:r w:rsidRPr="60969D91">
        <w:t xml:space="preserve"> status. However, </w:t>
      </w:r>
      <w:r w:rsidRPr="007B6A30">
        <w:rPr>
          <w:i/>
          <w:iCs/>
        </w:rPr>
        <w:t>HER2</w:t>
      </w:r>
      <w:r w:rsidRPr="60969D91">
        <w:t xml:space="preserve"> status was determined based on retesting of archival tissue. Therefore, it is unclear how many </w:t>
      </w:r>
      <w:r w:rsidRPr="007B6A30">
        <w:rPr>
          <w:i/>
          <w:iCs/>
        </w:rPr>
        <w:t>HER2</w:t>
      </w:r>
      <w:r w:rsidRPr="60969D91">
        <w:t xml:space="preserve"> positive patients comprised the study cohort at the point of T-</w:t>
      </w:r>
      <w:proofErr w:type="spellStart"/>
      <w:r w:rsidRPr="60969D91">
        <w:t>DXd</w:t>
      </w:r>
      <w:proofErr w:type="spellEnd"/>
      <w:r w:rsidRPr="60969D91">
        <w:t xml:space="preserve"> administration. In comparison, participants in DG-02 were required to undergo </w:t>
      </w:r>
      <w:r w:rsidRPr="007B6A30">
        <w:rPr>
          <w:i/>
          <w:iCs/>
        </w:rPr>
        <w:t>HER2</w:t>
      </w:r>
      <w:r w:rsidRPr="60969D91">
        <w:t xml:space="preserve"> retesting prior to receiving T-</w:t>
      </w:r>
      <w:proofErr w:type="spellStart"/>
      <w:r w:rsidRPr="60969D91">
        <w:t>DXd</w:t>
      </w:r>
      <w:proofErr w:type="spellEnd"/>
      <w:r w:rsidRPr="60969D91">
        <w:t xml:space="preserve"> (i.e. post-progression on trastuzumab), which consisted of a biopsy of the primary or metastatic tumour, and IHC and/or ISH. Eighty-nine patients were recruited to the study, but only 79 were enrolled. </w:t>
      </w:r>
      <w:r w:rsidR="007939D4">
        <w:t xml:space="preserve">The commentary noted </w:t>
      </w:r>
      <w:r w:rsidR="007939D4" w:rsidRPr="007244BA">
        <w:t>n</w:t>
      </w:r>
      <w:r w:rsidR="00FF6551" w:rsidRPr="007244BA">
        <w:t>o reasons were provided</w:t>
      </w:r>
      <w:r w:rsidR="006A3725">
        <w:t xml:space="preserve"> in the submission</w:t>
      </w:r>
      <w:r w:rsidR="00FF6551" w:rsidRPr="007244BA">
        <w:t xml:space="preserve"> for the 10 participants who failed screening, </w:t>
      </w:r>
      <w:proofErr w:type="gramStart"/>
      <w:r w:rsidR="00FF6551" w:rsidRPr="007244BA">
        <w:t>in particular whether</w:t>
      </w:r>
      <w:proofErr w:type="gramEnd"/>
      <w:r w:rsidR="00FF6551" w:rsidRPr="007244BA">
        <w:t xml:space="preserve"> they tested </w:t>
      </w:r>
      <w:r w:rsidR="00FF6551" w:rsidRPr="007B6A30">
        <w:rPr>
          <w:i/>
          <w:iCs/>
        </w:rPr>
        <w:t>HER2</w:t>
      </w:r>
      <w:r w:rsidR="00FF6551" w:rsidRPr="007244BA">
        <w:t xml:space="preserve"> negative (i.e. lost </w:t>
      </w:r>
      <w:r w:rsidR="00FF6551" w:rsidRPr="007B6A30">
        <w:rPr>
          <w:i/>
          <w:iCs/>
        </w:rPr>
        <w:t>HER2</w:t>
      </w:r>
      <w:r w:rsidR="00FF6551" w:rsidRPr="007244BA">
        <w:t xml:space="preserve"> </w:t>
      </w:r>
      <w:r w:rsidR="00D014FA" w:rsidRPr="007244BA">
        <w:t>positivity</w:t>
      </w:r>
      <w:r w:rsidR="00FF6551" w:rsidRPr="007244BA">
        <w:t>).</w:t>
      </w:r>
      <w:r w:rsidR="00FF6551" w:rsidRPr="60969D91">
        <w:t xml:space="preserve"> </w:t>
      </w:r>
    </w:p>
    <w:p w14:paraId="126F279B" w14:textId="67C93AEB" w:rsidR="00F2078B" w:rsidRPr="009539C3" w:rsidRDefault="00F2078B" w:rsidP="60969D91">
      <w:pPr>
        <w:rPr>
          <w:b/>
          <w:bCs/>
        </w:rPr>
      </w:pPr>
      <w:r w:rsidRPr="60969D91">
        <w:t>DG-01 patients were recruited from SE-Asian populations whereas patients in DG-02 were recruited from predominantly western European populations (87%)</w:t>
      </w:r>
      <w:r w:rsidR="00466CD4" w:rsidRPr="60969D91">
        <w:t>, the latter being</w:t>
      </w:r>
      <w:r w:rsidR="00DC78E8" w:rsidRPr="60969D91">
        <w:t xml:space="preserve"> more representative of the Australian clinical context</w:t>
      </w:r>
      <w:r w:rsidR="00C11F35" w:rsidRPr="60969D91">
        <w:t>.</w:t>
      </w:r>
    </w:p>
    <w:p w14:paraId="01AD0A72" w14:textId="36ED78F8" w:rsidR="00C726B2" w:rsidRPr="009539C3" w:rsidRDefault="00E654AD" w:rsidP="60969D91">
      <w:pPr>
        <w:rPr>
          <w:i/>
          <w:iCs/>
        </w:rPr>
      </w:pPr>
      <w:r w:rsidRPr="60969D91">
        <w:t>Both trial populations</w:t>
      </w:r>
      <w:r w:rsidR="0000149F" w:rsidRPr="60969D91">
        <w:t xml:space="preserve"> had</w:t>
      </w:r>
      <w:r w:rsidR="007C6984" w:rsidRPr="60969D91">
        <w:t xml:space="preserve"> </w:t>
      </w:r>
      <w:r w:rsidR="007C6984" w:rsidRPr="007B6A30">
        <w:rPr>
          <w:i/>
          <w:iCs/>
        </w:rPr>
        <w:t>HER2</w:t>
      </w:r>
      <w:r w:rsidR="007C6984" w:rsidRPr="60969D91">
        <w:t>-positive</w:t>
      </w:r>
      <w:r w:rsidR="0000149F" w:rsidRPr="60969D91">
        <w:t xml:space="preserve"> </w:t>
      </w:r>
      <w:r w:rsidR="00CB4526" w:rsidRPr="60969D91">
        <w:t>GC/</w:t>
      </w:r>
      <w:r w:rsidR="00677C70" w:rsidRPr="60969D91">
        <w:t>GOJ</w:t>
      </w:r>
      <w:r w:rsidR="00CB4526" w:rsidRPr="60969D91">
        <w:t>, however</w:t>
      </w:r>
      <w:r w:rsidR="007C6984" w:rsidRPr="60969D91">
        <w:t xml:space="preserve"> patients in DG-01 were being treated at the 3</w:t>
      </w:r>
      <w:r w:rsidR="007C6984" w:rsidRPr="60969D91">
        <w:rPr>
          <w:vertAlign w:val="superscript"/>
        </w:rPr>
        <w:t>rd</w:t>
      </w:r>
      <w:r w:rsidR="007C6984" w:rsidRPr="60969D91">
        <w:t xml:space="preserve"> line whereas DG-02 were treated from the 2</w:t>
      </w:r>
      <w:r w:rsidR="007C6984" w:rsidRPr="60969D91">
        <w:rPr>
          <w:vertAlign w:val="superscript"/>
        </w:rPr>
        <w:t>nd</w:t>
      </w:r>
      <w:r w:rsidR="007C6984" w:rsidRPr="60969D91">
        <w:t xml:space="preserve"> line. T-</w:t>
      </w:r>
      <w:proofErr w:type="spellStart"/>
      <w:r w:rsidR="007C6984" w:rsidRPr="60969D91">
        <w:t>DXd</w:t>
      </w:r>
      <w:proofErr w:type="spellEnd"/>
      <w:r w:rsidR="007C6984" w:rsidRPr="60969D91">
        <w:t xml:space="preserve"> is </w:t>
      </w:r>
      <w:r w:rsidR="00374E01" w:rsidRPr="60969D91">
        <w:t xml:space="preserve">proposed </w:t>
      </w:r>
      <w:r w:rsidR="007C6984" w:rsidRPr="60969D91">
        <w:t>to be listed for use in 2</w:t>
      </w:r>
      <w:r w:rsidR="007C6984" w:rsidRPr="60969D91">
        <w:rPr>
          <w:vertAlign w:val="superscript"/>
        </w:rPr>
        <w:t>nd</w:t>
      </w:r>
      <w:r w:rsidR="007C6984" w:rsidRPr="60969D91">
        <w:t xml:space="preserve"> line or later.</w:t>
      </w:r>
      <w:r w:rsidR="00CB4526" w:rsidRPr="60969D91">
        <w:t xml:space="preserve"> </w:t>
      </w:r>
    </w:p>
    <w:p w14:paraId="236FD920" w14:textId="3AF11842" w:rsidR="00AB37F9" w:rsidRPr="009539C3" w:rsidRDefault="004D4FD1" w:rsidP="004D4FD1">
      <w:r w:rsidRPr="60969D91">
        <w:t xml:space="preserve">In both </w:t>
      </w:r>
      <w:r w:rsidR="002D707E" w:rsidRPr="60969D91">
        <w:t xml:space="preserve">trials, </w:t>
      </w:r>
      <w:r w:rsidR="002D707E" w:rsidRPr="007B6A30">
        <w:rPr>
          <w:i/>
          <w:iCs/>
        </w:rPr>
        <w:t>HER2</w:t>
      </w:r>
      <w:r w:rsidR="002D707E" w:rsidRPr="60969D91">
        <w:t xml:space="preserve"> positive status was determined by </w:t>
      </w:r>
      <w:r w:rsidR="00D014FA" w:rsidRPr="60969D91">
        <w:t xml:space="preserve">guidelines from the </w:t>
      </w:r>
      <w:r w:rsidR="006533C3" w:rsidRPr="006533C3">
        <w:t>American Society of Clinical Oncology–College of American Pathologists</w:t>
      </w:r>
      <w:r w:rsidR="00E147EE">
        <w:t xml:space="preserve"> </w:t>
      </w:r>
      <w:r w:rsidR="004F78DE" w:rsidRPr="60969D91">
        <w:t>(</w:t>
      </w:r>
      <w:r w:rsidR="006533C3">
        <w:t>ASCO-</w:t>
      </w:r>
      <w:r w:rsidR="004F78DE" w:rsidRPr="60969D91">
        <w:t>CAP)</w:t>
      </w:r>
      <w:r w:rsidR="00D014FA" w:rsidRPr="60969D91">
        <w:t xml:space="preserve">, which are less-stringent than </w:t>
      </w:r>
      <w:r w:rsidR="00B456BE" w:rsidRPr="60969D91">
        <w:t>those</w:t>
      </w:r>
      <w:r w:rsidR="00D014FA" w:rsidRPr="60969D91">
        <w:t xml:space="preserve"> used in Australia. </w:t>
      </w:r>
      <w:r w:rsidR="004F78DE" w:rsidRPr="60969D91">
        <w:t xml:space="preserve">The </w:t>
      </w:r>
      <w:r w:rsidR="006533C3">
        <w:t>ASCO-</w:t>
      </w:r>
      <w:r w:rsidR="004F78DE" w:rsidRPr="60969D91">
        <w:t>CAP guidelines</w:t>
      </w:r>
      <w:r w:rsidR="0046114D">
        <w:rPr>
          <w:rStyle w:val="FootnoteReference"/>
        </w:rPr>
        <w:footnoteReference w:id="9"/>
      </w:r>
      <w:r w:rsidR="004F78DE" w:rsidRPr="60969D91">
        <w:t xml:space="preserve"> recommend</w:t>
      </w:r>
      <w:r w:rsidR="00AB37F9" w:rsidRPr="60969D91">
        <w:t>:</w:t>
      </w:r>
    </w:p>
    <w:p w14:paraId="602357FE" w14:textId="751FEFF7" w:rsidR="00AB37F9" w:rsidRPr="009539C3" w:rsidRDefault="00D014FA" w:rsidP="005B521F">
      <w:pPr>
        <w:pStyle w:val="ListParagraph"/>
        <w:numPr>
          <w:ilvl w:val="0"/>
          <w:numId w:val="11"/>
        </w:numPr>
      </w:pPr>
      <w:r w:rsidRPr="009539C3">
        <w:t>only patients who test as 2</w:t>
      </w:r>
      <w:r w:rsidR="00AA73A7" w:rsidRPr="009539C3">
        <w:t>+</w:t>
      </w:r>
      <w:r w:rsidRPr="009539C3">
        <w:t xml:space="preserve"> </w:t>
      </w:r>
      <w:r w:rsidR="00F660F2" w:rsidRPr="009539C3">
        <w:t xml:space="preserve">(equivocal) </w:t>
      </w:r>
      <w:r w:rsidRPr="009539C3">
        <w:t>on IHC will undergo further ISH</w:t>
      </w:r>
      <w:r w:rsidR="00A12627" w:rsidRPr="009539C3">
        <w:t xml:space="preserve"> </w:t>
      </w:r>
    </w:p>
    <w:p w14:paraId="232A24C1" w14:textId="6242E619" w:rsidR="00AB37F9" w:rsidRPr="009539C3" w:rsidRDefault="00AB37F9" w:rsidP="005B521F">
      <w:pPr>
        <w:pStyle w:val="ListParagraph"/>
        <w:numPr>
          <w:ilvl w:val="0"/>
          <w:numId w:val="11"/>
        </w:numPr>
      </w:pPr>
      <w:r w:rsidRPr="009539C3">
        <w:t xml:space="preserve">A </w:t>
      </w:r>
      <w:r w:rsidR="00A12627" w:rsidRPr="009539C3">
        <w:t>sample tests ISH</w:t>
      </w:r>
      <w:r w:rsidR="00D014FA" w:rsidRPr="009539C3">
        <w:t xml:space="preserve">-positive if </w:t>
      </w:r>
      <w:r w:rsidR="00152233" w:rsidRPr="009539C3">
        <w:t xml:space="preserve">the </w:t>
      </w:r>
      <w:r w:rsidR="00152233" w:rsidRPr="007B6A30">
        <w:rPr>
          <w:i/>
          <w:iCs/>
        </w:rPr>
        <w:t>HER2</w:t>
      </w:r>
      <w:r w:rsidR="00152233" w:rsidRPr="009539C3">
        <w:t>/</w:t>
      </w:r>
      <w:r w:rsidR="00501A9E" w:rsidRPr="00501A9E">
        <w:rPr>
          <w:rFonts w:ascii="Merriweather" w:hAnsi="Merriweather"/>
          <w:color w:val="2A2A2A"/>
          <w:sz w:val="23"/>
          <w:szCs w:val="23"/>
          <w:shd w:val="clear" w:color="auto" w:fill="FFFFFF"/>
        </w:rPr>
        <w:t xml:space="preserve"> </w:t>
      </w:r>
      <w:r w:rsidR="00501A9E" w:rsidRPr="00501A9E">
        <w:t xml:space="preserve">chromosome 17 centromere </w:t>
      </w:r>
      <w:r w:rsidR="00501A9E">
        <w:t>(</w:t>
      </w:r>
      <w:r w:rsidR="00152233" w:rsidRPr="007B6A30">
        <w:rPr>
          <w:i/>
          <w:iCs/>
        </w:rPr>
        <w:t>CEP17</w:t>
      </w:r>
      <w:r w:rsidR="00501A9E">
        <w:t xml:space="preserve">) </w:t>
      </w:r>
      <w:r w:rsidR="00152233" w:rsidRPr="009539C3">
        <w:t xml:space="preserve">ratio is ≥2 </w:t>
      </w:r>
      <w:r w:rsidR="00383A1E" w:rsidRPr="009539C3">
        <w:t>OR</w:t>
      </w:r>
      <w:r w:rsidR="00BF2FA7" w:rsidRPr="009539C3">
        <w:t xml:space="preserve"> has an</w:t>
      </w:r>
      <w:r w:rsidR="00152233" w:rsidRPr="009539C3">
        <w:t xml:space="preserve"> average of ≥6 </w:t>
      </w:r>
      <w:r w:rsidR="00152233" w:rsidRPr="00A25DB5">
        <w:rPr>
          <w:i/>
          <w:iCs/>
        </w:rPr>
        <w:t>HER2</w:t>
      </w:r>
      <w:r w:rsidR="00152233" w:rsidRPr="009539C3">
        <w:t xml:space="preserve"> gene copies per cell. </w:t>
      </w:r>
    </w:p>
    <w:p w14:paraId="6DF42B6E" w14:textId="77777777" w:rsidR="00AB37F9" w:rsidRPr="009539C3" w:rsidRDefault="00AB37F9" w:rsidP="00AB37F9">
      <w:pPr>
        <w:ind w:left="60"/>
      </w:pPr>
      <w:r w:rsidRPr="009539C3">
        <w:t>Whereas in Australia:</w:t>
      </w:r>
    </w:p>
    <w:p w14:paraId="6E2A3D51" w14:textId="47B8E9C6" w:rsidR="00E16E03" w:rsidRPr="009539C3" w:rsidRDefault="00A12627" w:rsidP="005B521F">
      <w:pPr>
        <w:pStyle w:val="ListParagraph"/>
        <w:numPr>
          <w:ilvl w:val="0"/>
          <w:numId w:val="11"/>
        </w:numPr>
      </w:pPr>
      <w:r w:rsidRPr="009539C3">
        <w:t xml:space="preserve">all </w:t>
      </w:r>
      <w:r w:rsidR="00940966" w:rsidRPr="009539C3">
        <w:t xml:space="preserve">IHC </w:t>
      </w:r>
      <w:r w:rsidRPr="009539C3">
        <w:t>2</w:t>
      </w:r>
      <w:r w:rsidR="00AA73A7" w:rsidRPr="009539C3">
        <w:t>+</w:t>
      </w:r>
      <w:r w:rsidRPr="009539C3">
        <w:t>/3</w:t>
      </w:r>
      <w:r w:rsidR="00AA73A7" w:rsidRPr="009539C3">
        <w:t>+</w:t>
      </w:r>
      <w:r w:rsidRPr="009539C3">
        <w:t xml:space="preserve"> samples undergo ISH </w:t>
      </w:r>
    </w:p>
    <w:p w14:paraId="295D8ED2" w14:textId="39247389" w:rsidR="00E16E03" w:rsidRPr="009539C3" w:rsidRDefault="00E16E03" w:rsidP="005B521F">
      <w:pPr>
        <w:pStyle w:val="ListParagraph"/>
        <w:numPr>
          <w:ilvl w:val="0"/>
          <w:numId w:val="11"/>
        </w:numPr>
      </w:pPr>
      <w:r w:rsidRPr="009539C3">
        <w:t xml:space="preserve">A sample tests ISH-positive if the </w:t>
      </w:r>
      <w:r w:rsidRPr="007B6A30">
        <w:rPr>
          <w:i/>
          <w:iCs/>
        </w:rPr>
        <w:t>HER2/CEP17</w:t>
      </w:r>
      <w:r w:rsidRPr="009539C3">
        <w:t xml:space="preserve"> ratio is ≥2 AND has average of ≥6 </w:t>
      </w:r>
      <w:r w:rsidRPr="00A25DB5">
        <w:rPr>
          <w:i/>
          <w:iCs/>
        </w:rPr>
        <w:t xml:space="preserve">HER2 </w:t>
      </w:r>
      <w:r w:rsidRPr="009539C3">
        <w:t xml:space="preserve">gene copies per cell. </w:t>
      </w:r>
    </w:p>
    <w:p w14:paraId="1EABC237" w14:textId="2A1E8E69" w:rsidR="004D4FD1" w:rsidRPr="007939D4" w:rsidRDefault="007939D4" w:rsidP="00597824">
      <w:pPr>
        <w:ind w:left="60"/>
      </w:pPr>
      <w:r w:rsidRPr="007244BA">
        <w:t xml:space="preserve">The commentary considered </w:t>
      </w:r>
      <w:r w:rsidR="00D01E9F">
        <w:t>i</w:t>
      </w:r>
      <w:r w:rsidR="004A0D41" w:rsidRPr="007244BA">
        <w:t xml:space="preserve">t </w:t>
      </w:r>
      <w:r w:rsidRPr="007244BA">
        <w:t xml:space="preserve">was </w:t>
      </w:r>
      <w:r w:rsidR="004A0D41" w:rsidRPr="007244BA">
        <w:t>unclear how many of the patients in DG-02</w:t>
      </w:r>
      <w:r w:rsidR="0094349C" w:rsidRPr="007244BA">
        <w:t xml:space="preserve"> (i.e. test</w:t>
      </w:r>
      <w:r w:rsidR="007F460E" w:rsidRPr="007244BA">
        <w:t>ed</w:t>
      </w:r>
      <w:r w:rsidR="0094349C" w:rsidRPr="007244BA">
        <w:t xml:space="preserve"> positive</w:t>
      </w:r>
      <w:r w:rsidR="007F460E" w:rsidRPr="007244BA">
        <w:t xml:space="preserve"> by CAP guidelines</w:t>
      </w:r>
      <w:r w:rsidR="0094349C" w:rsidRPr="007244BA">
        <w:t>)</w:t>
      </w:r>
      <w:r w:rsidR="004A0D41" w:rsidRPr="007244BA">
        <w:t xml:space="preserve"> would have tested negative by the Australian ISH-testing guidelines and therefore would not be eligible for T-</w:t>
      </w:r>
      <w:proofErr w:type="spellStart"/>
      <w:r w:rsidR="004A0D41" w:rsidRPr="007244BA">
        <w:t>DXd</w:t>
      </w:r>
      <w:proofErr w:type="spellEnd"/>
      <w:r w:rsidR="004A0D41" w:rsidRPr="007244BA">
        <w:t>.</w:t>
      </w:r>
    </w:p>
    <w:p w14:paraId="3B9FC2AD" w14:textId="1C1AFEC4" w:rsidR="00772829" w:rsidRPr="009539C3" w:rsidRDefault="00772829" w:rsidP="005B521F">
      <w:pPr>
        <w:pStyle w:val="Heading2"/>
        <w:numPr>
          <w:ilvl w:val="0"/>
          <w:numId w:val="12"/>
        </w:numPr>
        <w:ind w:hanging="720"/>
      </w:pPr>
      <w:bookmarkStart w:id="26" w:name="_Toc69491423"/>
      <w:bookmarkEnd w:id="25"/>
      <w:r w:rsidRPr="009539C3">
        <w:t>Comparative safety</w:t>
      </w:r>
      <w:bookmarkEnd w:id="26"/>
    </w:p>
    <w:p w14:paraId="44FD6EFE" w14:textId="3E58BDC1" w:rsidR="00554818" w:rsidRPr="009539C3" w:rsidRDefault="00554818" w:rsidP="00554818">
      <w:r w:rsidRPr="60969D91">
        <w:t xml:space="preserve">No data were presented in the submission to support the comparative safety of ISH testing. </w:t>
      </w:r>
      <w:r w:rsidR="00BB3B3C" w:rsidRPr="60969D91">
        <w:t xml:space="preserve">Feedback by </w:t>
      </w:r>
      <w:r w:rsidR="00D366CD" w:rsidRPr="60969D91">
        <w:t>Australian clinicians</w:t>
      </w:r>
      <w:r w:rsidR="00BB3B3C" w:rsidRPr="60969D91">
        <w:t xml:space="preserve"> </w:t>
      </w:r>
      <w:r w:rsidR="00CB6C23" w:rsidRPr="60969D91">
        <w:t xml:space="preserve">featured in the submission </w:t>
      </w:r>
      <w:r w:rsidR="00BB3B3C" w:rsidRPr="60969D91">
        <w:t xml:space="preserve">stated that adverse events associated with biopsy included bleeding, infection, or damage to the surrounding organs. </w:t>
      </w:r>
    </w:p>
    <w:p w14:paraId="217926CE" w14:textId="1B4CB8F1" w:rsidR="00951938" w:rsidRPr="009539C3" w:rsidRDefault="004145FC" w:rsidP="00554818">
      <w:r w:rsidRPr="60969D91">
        <w:t>Indirect</w:t>
      </w:r>
      <w:r w:rsidR="004410FD" w:rsidRPr="60969D91">
        <w:t xml:space="preserve"> harms are related to </w:t>
      </w:r>
      <w:r w:rsidR="00CA615C" w:rsidRPr="60969D91">
        <w:t xml:space="preserve">inaccurate test performance. That is, </w:t>
      </w:r>
      <w:r w:rsidR="00794122" w:rsidRPr="60969D91">
        <w:t>T-</w:t>
      </w:r>
      <w:proofErr w:type="spellStart"/>
      <w:r w:rsidR="00794122" w:rsidRPr="60969D91">
        <w:t>DXd</w:t>
      </w:r>
      <w:proofErr w:type="spellEnd"/>
      <w:r w:rsidR="00CA615C" w:rsidRPr="60969D91">
        <w:t xml:space="preserve"> side effects in patients who were false positive for </w:t>
      </w:r>
      <w:r w:rsidR="00CA615C" w:rsidRPr="007B6A30">
        <w:rPr>
          <w:i/>
          <w:iCs/>
        </w:rPr>
        <w:t>HER2</w:t>
      </w:r>
      <w:r w:rsidR="00CA615C" w:rsidRPr="60969D91">
        <w:t>; and disease progression in patients who were not correctly identified as having HER2 positive G/</w:t>
      </w:r>
      <w:r w:rsidR="00677C70" w:rsidRPr="60969D91">
        <w:t>GOJ</w:t>
      </w:r>
      <w:r w:rsidR="00CA615C" w:rsidRPr="60969D91">
        <w:t xml:space="preserve"> cancer.</w:t>
      </w:r>
      <w:r w:rsidR="001A136C" w:rsidRPr="60969D91">
        <w:t xml:space="preserve"> </w:t>
      </w:r>
      <w:r w:rsidR="00EA1240" w:rsidRPr="60969D91">
        <w:t>The most-commonly reported serious adverse events (Grade ≥3)</w:t>
      </w:r>
      <w:r w:rsidR="008D69D7" w:rsidRPr="60969D91">
        <w:t xml:space="preserve"> </w:t>
      </w:r>
      <w:r w:rsidR="006E1DD3" w:rsidRPr="60969D91">
        <w:t>include</w:t>
      </w:r>
      <w:r w:rsidR="00B456BE" w:rsidRPr="60969D91">
        <w:t>d</w:t>
      </w:r>
      <w:r w:rsidR="008D69D7" w:rsidRPr="60969D91">
        <w:t xml:space="preserve"> </w:t>
      </w:r>
      <w:r w:rsidR="006E1DD3" w:rsidRPr="60969D91">
        <w:t>a</w:t>
      </w:r>
      <w:r w:rsidR="008D69D7" w:rsidRPr="60969D91">
        <w:t>naemia,</w:t>
      </w:r>
      <w:r w:rsidR="006E1DD3" w:rsidRPr="60969D91">
        <w:t xml:space="preserve"> decreased appetite, fatigue, nausea. An adverse event of special interest associated with T-</w:t>
      </w:r>
      <w:proofErr w:type="spellStart"/>
      <w:r w:rsidR="006E1DD3" w:rsidRPr="60969D91">
        <w:t>DXd</w:t>
      </w:r>
      <w:proofErr w:type="spellEnd"/>
      <w:r w:rsidR="006E1DD3" w:rsidRPr="60969D91">
        <w:t xml:space="preserve"> is interstitial lung disease</w:t>
      </w:r>
      <w:r w:rsidR="009C2F28" w:rsidRPr="60969D91">
        <w:t xml:space="preserve"> (ILD)</w:t>
      </w:r>
      <w:r w:rsidR="006E1DD3" w:rsidRPr="60969D91">
        <w:t>.</w:t>
      </w:r>
      <w:r w:rsidR="009C2F28" w:rsidRPr="60969D91">
        <w:t xml:space="preserve"> In DG-01, 12.8% of patients experienced ILD versus none in the comparator arm.</w:t>
      </w:r>
      <w:r w:rsidR="00C05F47" w:rsidRPr="60969D91">
        <w:t xml:space="preserve"> In DG-02, ILD was the most </w:t>
      </w:r>
      <w:r w:rsidR="00C05F47" w:rsidRPr="60969D91">
        <w:lastRenderedPageBreak/>
        <w:t>common drug-related adverse event associated with discontinuation.</w:t>
      </w:r>
      <w:r w:rsidR="001C3923" w:rsidRPr="60969D91">
        <w:t xml:space="preserve"> </w:t>
      </w:r>
      <w:r w:rsidR="00FE769B" w:rsidRPr="60969D91">
        <w:t xml:space="preserve">However, most instances of ILD were not considered serious </w:t>
      </w:r>
      <w:r w:rsidR="00160942" w:rsidRPr="60969D91">
        <w:t>(Grade 1</w:t>
      </w:r>
      <w:r w:rsidR="000A157F" w:rsidRPr="60969D91">
        <w:t xml:space="preserve"> or </w:t>
      </w:r>
      <w:r w:rsidR="00160942" w:rsidRPr="60969D91">
        <w:t>2)</w:t>
      </w:r>
      <w:r w:rsidR="00A46EDD" w:rsidRPr="60969D91">
        <w:t xml:space="preserve"> and were successfully managed.</w:t>
      </w:r>
      <w:r w:rsidR="00C9677D" w:rsidRPr="60969D91">
        <w:t xml:space="preserve"> </w:t>
      </w:r>
    </w:p>
    <w:p w14:paraId="3717AA01" w14:textId="23EE90F3" w:rsidR="00772829" w:rsidRPr="009539C3" w:rsidRDefault="00772829" w:rsidP="005B521F">
      <w:pPr>
        <w:pStyle w:val="Heading2"/>
        <w:numPr>
          <w:ilvl w:val="0"/>
          <w:numId w:val="12"/>
        </w:numPr>
        <w:ind w:hanging="720"/>
      </w:pPr>
      <w:bookmarkStart w:id="27" w:name="_Toc69491424"/>
      <w:r w:rsidRPr="009539C3">
        <w:t>Comparative effectiveness</w:t>
      </w:r>
      <w:bookmarkEnd w:id="27"/>
    </w:p>
    <w:p w14:paraId="213924C6" w14:textId="16B20F61" w:rsidR="00772829" w:rsidRPr="009539C3" w:rsidRDefault="00772829" w:rsidP="00606E7A">
      <w:pPr>
        <w:pStyle w:val="Heading3"/>
      </w:pPr>
      <w:r w:rsidRPr="009539C3">
        <w:t>Clinical claim</w:t>
      </w:r>
    </w:p>
    <w:p w14:paraId="6A97BD90" w14:textId="713366BF" w:rsidR="00AA5C49" w:rsidRPr="001F4AAC" w:rsidRDefault="00AA5C49" w:rsidP="00AA5C49">
      <w:r w:rsidRPr="60969D91">
        <w:t xml:space="preserve">No claims were made for </w:t>
      </w:r>
      <w:r w:rsidRPr="007B6A30">
        <w:rPr>
          <w:i/>
          <w:iCs/>
        </w:rPr>
        <w:t>HER2</w:t>
      </w:r>
      <w:r w:rsidRPr="60969D91">
        <w:t xml:space="preserve"> ISH testing. </w:t>
      </w:r>
      <w:r w:rsidR="00493DB5" w:rsidRPr="60969D91">
        <w:t>The goal of testing should be to target T-</w:t>
      </w:r>
      <w:proofErr w:type="spellStart"/>
      <w:r w:rsidR="00493DB5" w:rsidRPr="60969D91">
        <w:t>DXd</w:t>
      </w:r>
      <w:proofErr w:type="spellEnd"/>
      <w:r w:rsidR="00493DB5" w:rsidRPr="60969D91">
        <w:t xml:space="preserve"> to those patients most likely to benefit from treatment. </w:t>
      </w:r>
      <w:r w:rsidR="001F4AAC">
        <w:t xml:space="preserve">The commentary considered </w:t>
      </w:r>
      <w:r w:rsidR="001F4AAC" w:rsidRPr="007244BA">
        <w:t>i</w:t>
      </w:r>
      <w:r w:rsidR="00B456BE" w:rsidRPr="007244BA">
        <w:t xml:space="preserve">f retesting had clinical utility, those retested and remained </w:t>
      </w:r>
      <w:r w:rsidR="00B456BE" w:rsidRPr="007B6A30">
        <w:rPr>
          <w:i/>
          <w:iCs/>
        </w:rPr>
        <w:t>HER2</w:t>
      </w:r>
      <w:r w:rsidR="00B456BE" w:rsidRPr="007244BA">
        <w:t xml:space="preserve"> positive should respond to T-</w:t>
      </w:r>
      <w:proofErr w:type="spellStart"/>
      <w:r w:rsidR="00B456BE" w:rsidRPr="007244BA">
        <w:t>DXd</w:t>
      </w:r>
      <w:proofErr w:type="spellEnd"/>
      <w:r w:rsidR="00B456BE" w:rsidRPr="007244BA">
        <w:t xml:space="preserve"> better on average than those not retested (as it may be assumed that </w:t>
      </w:r>
      <w:r w:rsidR="00776C03" w:rsidRPr="007244BA">
        <w:t xml:space="preserve">a sample of patients </w:t>
      </w:r>
      <w:r w:rsidR="00B456BE" w:rsidRPr="007244BA">
        <w:t xml:space="preserve">not retested would include some patients with </w:t>
      </w:r>
      <w:r w:rsidR="004677B7" w:rsidRPr="007244BA">
        <w:t xml:space="preserve">loss of </w:t>
      </w:r>
      <w:r w:rsidR="004677B7" w:rsidRPr="007B6A30">
        <w:rPr>
          <w:i/>
          <w:iCs/>
        </w:rPr>
        <w:t>HER2</w:t>
      </w:r>
      <w:r w:rsidR="004677B7" w:rsidRPr="007244BA">
        <w:t xml:space="preserve"> positivity</w:t>
      </w:r>
      <w:r w:rsidR="00B456BE" w:rsidRPr="007244BA">
        <w:t xml:space="preserve">). </w:t>
      </w:r>
      <w:r w:rsidR="00F21B9C">
        <w:t>Further the commentary considered r</w:t>
      </w:r>
      <w:r w:rsidR="00B456BE" w:rsidRPr="007244BA">
        <w:t>etesting should in theory have superior effectiveness (although potentially inferior safety) to no testing.</w:t>
      </w:r>
      <w:r w:rsidR="00B456BE" w:rsidRPr="001F4AAC">
        <w:t xml:space="preserve"> </w:t>
      </w:r>
    </w:p>
    <w:p w14:paraId="36BE9DAA" w14:textId="441BF51D" w:rsidR="00ED3797" w:rsidRPr="009539C3" w:rsidRDefault="00ED3797" w:rsidP="00ED3797">
      <w:pPr>
        <w:pStyle w:val="Heading3"/>
      </w:pPr>
      <w:r w:rsidRPr="009539C3">
        <w:t>Comparative analytical performance</w:t>
      </w:r>
    </w:p>
    <w:p w14:paraId="3C9C882D" w14:textId="524B5DD8" w:rsidR="00B50683" w:rsidRPr="009539C3" w:rsidRDefault="00B50683" w:rsidP="00B50683">
      <w:r w:rsidRPr="60969D91">
        <w:t xml:space="preserve">No data </w:t>
      </w:r>
      <w:r w:rsidR="00327DB0" w:rsidRPr="60969D91">
        <w:t xml:space="preserve">were presented in the submission to support the comparative analytical performance of </w:t>
      </w:r>
      <w:r w:rsidR="00E246B2" w:rsidRPr="60969D91">
        <w:t xml:space="preserve">ISH </w:t>
      </w:r>
      <w:r w:rsidR="00327DB0" w:rsidRPr="007B6A30">
        <w:rPr>
          <w:i/>
          <w:iCs/>
        </w:rPr>
        <w:t>HER2</w:t>
      </w:r>
      <w:r w:rsidR="00327DB0" w:rsidRPr="60969D91">
        <w:t xml:space="preserve"> testing</w:t>
      </w:r>
      <w:r w:rsidR="00AC6A41" w:rsidRPr="60969D91">
        <w:t xml:space="preserve"> for T-</w:t>
      </w:r>
      <w:proofErr w:type="spellStart"/>
      <w:r w:rsidR="00AC6A41" w:rsidRPr="60969D91">
        <w:t>DXd</w:t>
      </w:r>
      <w:proofErr w:type="spellEnd"/>
      <w:r w:rsidR="00AC6A41" w:rsidRPr="60969D91">
        <w:t xml:space="preserve"> treatment.</w:t>
      </w:r>
      <w:r w:rsidR="009F4B31" w:rsidRPr="60969D91">
        <w:t xml:space="preserve"> </w:t>
      </w:r>
    </w:p>
    <w:p w14:paraId="7EC4307A" w14:textId="3B9E1401" w:rsidR="00F127C3" w:rsidRPr="009539C3" w:rsidRDefault="00F127C3" w:rsidP="00F127C3">
      <w:pPr>
        <w:pStyle w:val="Heading3"/>
      </w:pPr>
      <w:r w:rsidRPr="009539C3">
        <w:t>Drug</w:t>
      </w:r>
    </w:p>
    <w:p w14:paraId="0E94B16D" w14:textId="34A39AE8" w:rsidR="001332AA" w:rsidRPr="009539C3" w:rsidRDefault="00004529" w:rsidP="001332AA">
      <w:r w:rsidRPr="009539C3">
        <w:t>Overall survival (</w:t>
      </w:r>
      <w:r w:rsidR="0024796B" w:rsidRPr="009539C3">
        <w:t>OS</w:t>
      </w:r>
      <w:r w:rsidRPr="009539C3">
        <w:t>)</w:t>
      </w:r>
      <w:r w:rsidR="0024796B" w:rsidRPr="009539C3">
        <w:t xml:space="preserve"> and </w:t>
      </w:r>
      <w:r w:rsidRPr="009539C3">
        <w:t>progression-free survival (</w:t>
      </w:r>
      <w:r w:rsidR="0024796B" w:rsidRPr="009539C3">
        <w:t>PFS</w:t>
      </w:r>
      <w:r w:rsidRPr="009539C3">
        <w:t>)</w:t>
      </w:r>
      <w:r w:rsidR="0024796B" w:rsidRPr="009539C3">
        <w:t xml:space="preserve"> results for DG-01</w:t>
      </w:r>
      <w:r w:rsidR="00EC6F7E" w:rsidRPr="009539C3">
        <w:t xml:space="preserve"> and </w:t>
      </w:r>
      <w:r w:rsidR="0024796B" w:rsidRPr="009539C3">
        <w:t>DG-02</w:t>
      </w:r>
      <w:r w:rsidR="00EC6F7E" w:rsidRPr="009539C3">
        <w:t xml:space="preserve"> are presented in </w:t>
      </w:r>
      <w:r w:rsidR="00270B7D" w:rsidRPr="009539C3">
        <w:fldChar w:fldCharType="begin"/>
      </w:r>
      <w:r w:rsidR="00270B7D" w:rsidRPr="009539C3">
        <w:instrText xml:space="preserve"> REF _Ref189059603 \h </w:instrText>
      </w:r>
      <w:r w:rsidR="00270B7D" w:rsidRPr="009539C3">
        <w:fldChar w:fldCharType="separate"/>
      </w:r>
      <w:r w:rsidR="007B45D6" w:rsidRPr="009539C3">
        <w:t xml:space="preserve">Table </w:t>
      </w:r>
      <w:r w:rsidR="007B45D6">
        <w:rPr>
          <w:noProof/>
        </w:rPr>
        <w:t>5</w:t>
      </w:r>
      <w:r w:rsidR="00270B7D" w:rsidRPr="009539C3">
        <w:fldChar w:fldCharType="end"/>
      </w:r>
      <w:r w:rsidR="00270B7D" w:rsidRPr="009539C3">
        <w:t>.</w:t>
      </w:r>
    </w:p>
    <w:p w14:paraId="60A30D86" w14:textId="4A41A434" w:rsidR="006E18B8" w:rsidRPr="009539C3" w:rsidRDefault="00F94C36" w:rsidP="001332AA">
      <w:r w:rsidRPr="60969D91">
        <w:t>In DG-0</w:t>
      </w:r>
      <w:r w:rsidR="007E6FBD" w:rsidRPr="60969D91">
        <w:t>1</w:t>
      </w:r>
      <w:r w:rsidRPr="60969D91">
        <w:t>,</w:t>
      </w:r>
      <w:r w:rsidR="007E6FBD" w:rsidRPr="60969D91">
        <w:t xml:space="preserve"> </w:t>
      </w:r>
      <w:r w:rsidR="00865339" w:rsidRPr="60969D91">
        <w:t>results showed a</w:t>
      </w:r>
      <w:r w:rsidR="007C6245" w:rsidRPr="60969D91">
        <w:t xml:space="preserve"> statistically significant improvement in terms of OS (Hazard ratio: 0.60, 95% CI: 0.42, 0.86, p = 0.01</w:t>
      </w:r>
      <w:r w:rsidR="00400E45" w:rsidRPr="60969D91">
        <w:t>) and PFS (Hazard ratio: 0.47, 95% CI: 0.31, 0.71, p = 0.0003)</w:t>
      </w:r>
      <w:r w:rsidR="00380E40" w:rsidRPr="60969D91">
        <w:t xml:space="preserve">, favouring </w:t>
      </w:r>
      <w:r w:rsidR="009A4A90" w:rsidRPr="60969D91">
        <w:t>T-</w:t>
      </w:r>
      <w:proofErr w:type="spellStart"/>
      <w:r w:rsidR="009A4A90" w:rsidRPr="60969D91">
        <w:t>DXd</w:t>
      </w:r>
      <w:proofErr w:type="spellEnd"/>
      <w:r w:rsidR="009A4A90" w:rsidRPr="60969D91">
        <w:t xml:space="preserve"> over physician’s choice</w:t>
      </w:r>
      <w:r w:rsidR="00AE6438" w:rsidRPr="60969D91">
        <w:t>.</w:t>
      </w:r>
      <w:r w:rsidR="00254E59" w:rsidRPr="60969D91">
        <w:t xml:space="preserve"> </w:t>
      </w:r>
    </w:p>
    <w:p w14:paraId="4750B1D0" w14:textId="1025894A" w:rsidR="00CB5419" w:rsidRPr="009539C3" w:rsidRDefault="00AE0EC4" w:rsidP="60969D91">
      <w:pPr>
        <w:rPr>
          <w:i/>
          <w:iCs/>
        </w:rPr>
      </w:pPr>
      <w:r w:rsidRPr="60969D91">
        <w:t xml:space="preserve">In </w:t>
      </w:r>
      <w:r w:rsidR="00E36944" w:rsidRPr="60969D91">
        <w:t>DG-02, median PFS was 5.6 months (95% CI: 4.2, 8.3)</w:t>
      </w:r>
      <w:r w:rsidR="00E36944" w:rsidRPr="009539C3">
        <w:softHyphen/>
      </w:r>
      <w:r w:rsidR="00DA1EF1" w:rsidRPr="60969D91">
        <w:t xml:space="preserve"> and OS was 12.1 months (95% CI: 9.4, 15.4)</w:t>
      </w:r>
      <w:r w:rsidR="00AE3A76" w:rsidRPr="60969D91">
        <w:t>.</w:t>
      </w:r>
      <w:r w:rsidR="00D8578E" w:rsidRPr="60969D91">
        <w:t xml:space="preserve"> </w:t>
      </w:r>
      <w:r w:rsidR="00F15148">
        <w:t xml:space="preserve">The commentary noted, </w:t>
      </w:r>
      <w:r w:rsidR="00F15148" w:rsidRPr="007244BA">
        <w:t>i</w:t>
      </w:r>
      <w:r w:rsidR="009D40E4" w:rsidRPr="007244BA">
        <w:t>ssues with the trial populations notwithstanding,</w:t>
      </w:r>
      <w:r w:rsidR="00CB5419" w:rsidRPr="007244BA">
        <w:t xml:space="preserve"> there </w:t>
      </w:r>
      <w:r w:rsidR="00E55BA8" w:rsidRPr="00E55BA8">
        <w:t>appea</w:t>
      </w:r>
      <w:r w:rsidR="00E55BA8">
        <w:t>red</w:t>
      </w:r>
      <w:r w:rsidR="00F15148" w:rsidRPr="007244BA">
        <w:t xml:space="preserve"> </w:t>
      </w:r>
      <w:r w:rsidR="00CB5419" w:rsidRPr="007244BA">
        <w:t xml:space="preserve">no appreciable difference in PFS and OS </w:t>
      </w:r>
      <w:r w:rsidR="0033337D" w:rsidRPr="007244BA">
        <w:t>across</w:t>
      </w:r>
      <w:r w:rsidR="00CB5419" w:rsidRPr="007244BA">
        <w:t xml:space="preserve"> the T-</w:t>
      </w:r>
      <w:proofErr w:type="spellStart"/>
      <w:r w:rsidR="00CB5419" w:rsidRPr="007244BA">
        <w:t>DXd</w:t>
      </w:r>
      <w:proofErr w:type="spellEnd"/>
      <w:r w:rsidR="00CB5419" w:rsidRPr="007244BA">
        <w:t xml:space="preserve"> arms of DG-</w:t>
      </w:r>
      <w:r w:rsidR="0004323D" w:rsidRPr="007244BA">
        <w:t>0</w:t>
      </w:r>
      <w:r w:rsidR="00CB5419" w:rsidRPr="007244BA">
        <w:t xml:space="preserve">1 </w:t>
      </w:r>
      <w:r w:rsidR="00F67D88" w:rsidRPr="007244BA">
        <w:t xml:space="preserve">(no retesting) </w:t>
      </w:r>
      <w:r w:rsidR="00CB5419" w:rsidRPr="007244BA">
        <w:t>and DG-02</w:t>
      </w:r>
      <w:r w:rsidR="00F67D88" w:rsidRPr="007244BA">
        <w:t xml:space="preserve"> (retested)</w:t>
      </w:r>
      <w:r w:rsidRPr="007244BA">
        <w:t xml:space="preserve">, which </w:t>
      </w:r>
      <w:r w:rsidR="00F15148" w:rsidRPr="007244BA">
        <w:t>suggest</w:t>
      </w:r>
      <w:r w:rsidR="00F15148">
        <w:t>ed</w:t>
      </w:r>
      <w:r w:rsidR="00F15148" w:rsidRPr="007244BA">
        <w:t xml:space="preserve"> </w:t>
      </w:r>
      <w:r w:rsidRPr="007244BA">
        <w:t xml:space="preserve">limited benefit in retesting of </w:t>
      </w:r>
      <w:r w:rsidRPr="007B6A30">
        <w:rPr>
          <w:i/>
          <w:iCs/>
        </w:rPr>
        <w:t>HER2</w:t>
      </w:r>
      <w:r w:rsidR="008711A3" w:rsidRPr="007244BA">
        <w:t>.</w:t>
      </w:r>
    </w:p>
    <w:p w14:paraId="5636EA60" w14:textId="2BF4E3DD" w:rsidR="00EC6F7E" w:rsidRPr="009539C3" w:rsidRDefault="00EC6F7E" w:rsidP="00EC6F7E">
      <w:pPr>
        <w:pStyle w:val="Caption"/>
      </w:pPr>
      <w:bookmarkStart w:id="28" w:name="_Ref189059603"/>
      <w:r w:rsidRPr="009539C3">
        <w:t xml:space="preserve">Table </w:t>
      </w:r>
      <w:r>
        <w:fldChar w:fldCharType="begin"/>
      </w:r>
      <w:r>
        <w:instrText xml:space="preserve"> SEQ Table \* ARABIC </w:instrText>
      </w:r>
      <w:r>
        <w:fldChar w:fldCharType="separate"/>
      </w:r>
      <w:r w:rsidR="007B45D6">
        <w:rPr>
          <w:noProof/>
        </w:rPr>
        <w:t>5</w:t>
      </w:r>
      <w:r>
        <w:fldChar w:fldCharType="end"/>
      </w:r>
      <w:bookmarkEnd w:id="28"/>
      <w:r w:rsidRPr="009539C3">
        <w:t xml:space="preserve"> Summary of key efficacy results for DG-01 and DG-02</w:t>
      </w:r>
    </w:p>
    <w:tbl>
      <w:tblPr>
        <w:tblStyle w:val="HealthConsult1"/>
        <w:tblW w:w="4872" w:type="pct"/>
        <w:tblLook w:val="04A0" w:firstRow="1" w:lastRow="0" w:firstColumn="1" w:lastColumn="0" w:noHBand="0" w:noVBand="1"/>
      </w:tblPr>
      <w:tblGrid>
        <w:gridCol w:w="1658"/>
        <w:gridCol w:w="1402"/>
        <w:gridCol w:w="1395"/>
        <w:gridCol w:w="1399"/>
        <w:gridCol w:w="1228"/>
        <w:gridCol w:w="1703"/>
      </w:tblGrid>
      <w:tr w:rsidR="00F127C3" w:rsidRPr="009539C3" w14:paraId="737B40A8" w14:textId="77777777" w:rsidTr="00DD0B90">
        <w:trPr>
          <w:trHeight w:val="257"/>
        </w:trPr>
        <w:tc>
          <w:tcPr>
            <w:tcW w:w="944" w:type="pct"/>
            <w:vMerge w:val="restart"/>
            <w:shd w:val="clear" w:color="auto" w:fill="D9D9D9" w:themeFill="background1" w:themeFillShade="D9"/>
          </w:tcPr>
          <w:p w14:paraId="087833B8" w14:textId="77777777" w:rsidR="00F127C3" w:rsidRPr="009539C3" w:rsidRDefault="00F127C3" w:rsidP="00F127C3">
            <w:pPr>
              <w:pStyle w:val="TableText1"/>
            </w:pPr>
          </w:p>
        </w:tc>
        <w:tc>
          <w:tcPr>
            <w:tcW w:w="3087" w:type="pct"/>
            <w:gridSpan w:val="4"/>
            <w:shd w:val="clear" w:color="auto" w:fill="D9D9D9" w:themeFill="background1" w:themeFillShade="D9"/>
          </w:tcPr>
          <w:p w14:paraId="0664C216" w14:textId="0B39ACA9" w:rsidR="00F127C3" w:rsidRPr="009539C3" w:rsidRDefault="00F127C3" w:rsidP="00F127C3">
            <w:pPr>
              <w:pStyle w:val="TableText1"/>
              <w:rPr>
                <w:b/>
              </w:rPr>
            </w:pPr>
            <w:r w:rsidRPr="009539C3">
              <w:rPr>
                <w:b/>
              </w:rPr>
              <w:t>DG-01</w:t>
            </w:r>
            <w:r w:rsidR="00004529" w:rsidRPr="009539C3">
              <w:rPr>
                <w:b/>
              </w:rPr>
              <w:t xml:space="preserve"> (no retesting)</w:t>
            </w:r>
          </w:p>
        </w:tc>
        <w:tc>
          <w:tcPr>
            <w:tcW w:w="969" w:type="pct"/>
            <w:shd w:val="clear" w:color="auto" w:fill="D9D9D9" w:themeFill="background1" w:themeFillShade="D9"/>
          </w:tcPr>
          <w:p w14:paraId="627667DC" w14:textId="41C5E7CF" w:rsidR="00F127C3" w:rsidRPr="009539C3" w:rsidRDefault="00F127C3" w:rsidP="00F127C3">
            <w:pPr>
              <w:pStyle w:val="TableText1"/>
              <w:rPr>
                <w:b/>
              </w:rPr>
            </w:pPr>
            <w:r w:rsidRPr="009539C3">
              <w:rPr>
                <w:b/>
              </w:rPr>
              <w:t>DG-02</w:t>
            </w:r>
            <w:r w:rsidR="00004529" w:rsidRPr="009539C3">
              <w:rPr>
                <w:b/>
              </w:rPr>
              <w:t xml:space="preserve"> (retesting)</w:t>
            </w:r>
          </w:p>
        </w:tc>
      </w:tr>
      <w:tr w:rsidR="007B45D6" w:rsidRPr="009539C3" w14:paraId="7068ED59" w14:textId="77777777" w:rsidTr="60969D91">
        <w:trPr>
          <w:trHeight w:val="257"/>
        </w:trPr>
        <w:tc>
          <w:tcPr>
            <w:tcW w:w="944" w:type="pct"/>
            <w:vMerge/>
          </w:tcPr>
          <w:p w14:paraId="5A6C4FC9" w14:textId="77777777" w:rsidR="00F127C3" w:rsidRPr="009539C3" w:rsidRDefault="00F127C3" w:rsidP="00F127C3">
            <w:pPr>
              <w:pStyle w:val="TableText1"/>
              <w:rPr>
                <w:b/>
              </w:rPr>
            </w:pPr>
          </w:p>
        </w:tc>
        <w:tc>
          <w:tcPr>
            <w:tcW w:w="798" w:type="pct"/>
            <w:shd w:val="clear" w:color="auto" w:fill="D9D9D9" w:themeFill="background1" w:themeFillShade="D9"/>
          </w:tcPr>
          <w:p w14:paraId="083DBB73" w14:textId="1E428236" w:rsidR="00F127C3" w:rsidRPr="009539C3" w:rsidRDefault="00794122" w:rsidP="60969D91">
            <w:pPr>
              <w:pStyle w:val="TableText1"/>
              <w:rPr>
                <w:b/>
                <w:bCs/>
              </w:rPr>
            </w:pPr>
            <w:r w:rsidRPr="60969D91">
              <w:rPr>
                <w:b/>
                <w:bCs/>
              </w:rPr>
              <w:t>T-</w:t>
            </w:r>
            <w:proofErr w:type="spellStart"/>
            <w:r w:rsidRPr="60969D91">
              <w:rPr>
                <w:b/>
                <w:bCs/>
              </w:rPr>
              <w:t>DX</w:t>
            </w:r>
            <w:r w:rsidR="00F127C3" w:rsidRPr="60969D91">
              <w:rPr>
                <w:b/>
                <w:bCs/>
              </w:rPr>
              <w:t>d</w:t>
            </w:r>
            <w:proofErr w:type="spellEnd"/>
          </w:p>
          <w:p w14:paraId="434CCDB2" w14:textId="77777777" w:rsidR="00F127C3" w:rsidRPr="009539C3" w:rsidRDefault="00F127C3" w:rsidP="00F127C3">
            <w:pPr>
              <w:pStyle w:val="TableText1"/>
              <w:rPr>
                <w:b/>
              </w:rPr>
            </w:pPr>
            <w:r w:rsidRPr="009539C3">
              <w:rPr>
                <w:b/>
              </w:rPr>
              <w:t>N = 125</w:t>
            </w:r>
          </w:p>
        </w:tc>
        <w:tc>
          <w:tcPr>
            <w:tcW w:w="794" w:type="pct"/>
            <w:shd w:val="clear" w:color="auto" w:fill="D9D9D9" w:themeFill="background1" w:themeFillShade="D9"/>
          </w:tcPr>
          <w:p w14:paraId="747BF1DD" w14:textId="77777777" w:rsidR="00F127C3" w:rsidRPr="009539C3" w:rsidRDefault="00F127C3" w:rsidP="00F127C3">
            <w:pPr>
              <w:pStyle w:val="TableText1"/>
              <w:rPr>
                <w:b/>
              </w:rPr>
            </w:pPr>
            <w:r w:rsidRPr="009539C3">
              <w:rPr>
                <w:b/>
              </w:rPr>
              <w:t>Overall Chemotherapy</w:t>
            </w:r>
          </w:p>
          <w:p w14:paraId="51FAA112" w14:textId="77777777" w:rsidR="00F127C3" w:rsidRPr="009539C3" w:rsidRDefault="00F127C3" w:rsidP="00F127C3">
            <w:pPr>
              <w:pStyle w:val="TableText1"/>
              <w:rPr>
                <w:b/>
              </w:rPr>
            </w:pPr>
            <w:r w:rsidRPr="009539C3">
              <w:rPr>
                <w:b/>
              </w:rPr>
              <w:t>N = 62</w:t>
            </w:r>
          </w:p>
        </w:tc>
        <w:tc>
          <w:tcPr>
            <w:tcW w:w="796" w:type="pct"/>
            <w:shd w:val="clear" w:color="auto" w:fill="D9D9D9" w:themeFill="background1" w:themeFillShade="D9"/>
          </w:tcPr>
          <w:p w14:paraId="17021E10" w14:textId="77777777" w:rsidR="00F127C3" w:rsidRPr="009539C3" w:rsidRDefault="00F127C3" w:rsidP="00F127C3">
            <w:pPr>
              <w:pStyle w:val="TableText1"/>
              <w:rPr>
                <w:b/>
              </w:rPr>
            </w:pPr>
            <w:r w:rsidRPr="009539C3">
              <w:rPr>
                <w:b/>
              </w:rPr>
              <w:t>Irinotecan</w:t>
            </w:r>
          </w:p>
          <w:p w14:paraId="4747FC37" w14:textId="77777777" w:rsidR="00F127C3" w:rsidRPr="009539C3" w:rsidRDefault="00F127C3" w:rsidP="00F127C3">
            <w:pPr>
              <w:pStyle w:val="TableText1"/>
              <w:rPr>
                <w:b/>
              </w:rPr>
            </w:pPr>
            <w:r w:rsidRPr="009539C3">
              <w:rPr>
                <w:b/>
              </w:rPr>
              <w:t>N = 55</w:t>
            </w:r>
          </w:p>
        </w:tc>
        <w:tc>
          <w:tcPr>
            <w:tcW w:w="699" w:type="pct"/>
            <w:shd w:val="clear" w:color="auto" w:fill="D9D9D9" w:themeFill="background1" w:themeFillShade="D9"/>
          </w:tcPr>
          <w:p w14:paraId="2FA3B0DC" w14:textId="77777777" w:rsidR="00F127C3" w:rsidRPr="009539C3" w:rsidRDefault="00F127C3" w:rsidP="00F127C3">
            <w:pPr>
              <w:pStyle w:val="TableText1"/>
              <w:rPr>
                <w:b/>
              </w:rPr>
            </w:pPr>
            <w:r w:rsidRPr="009539C3">
              <w:rPr>
                <w:b/>
              </w:rPr>
              <w:t>Paclitaxel</w:t>
            </w:r>
          </w:p>
          <w:p w14:paraId="35C4AA76" w14:textId="77777777" w:rsidR="00F127C3" w:rsidRPr="009539C3" w:rsidRDefault="00F127C3" w:rsidP="00F127C3">
            <w:pPr>
              <w:pStyle w:val="TableText1"/>
              <w:rPr>
                <w:b/>
              </w:rPr>
            </w:pPr>
            <w:r w:rsidRPr="009539C3">
              <w:rPr>
                <w:b/>
              </w:rPr>
              <w:t>N = 7</w:t>
            </w:r>
          </w:p>
        </w:tc>
        <w:tc>
          <w:tcPr>
            <w:tcW w:w="969" w:type="pct"/>
            <w:shd w:val="clear" w:color="auto" w:fill="D9D9D9" w:themeFill="background1" w:themeFillShade="D9"/>
          </w:tcPr>
          <w:p w14:paraId="54CC2FBB" w14:textId="788A2456" w:rsidR="00F127C3" w:rsidRPr="009539C3" w:rsidRDefault="00794122" w:rsidP="60969D91">
            <w:pPr>
              <w:pStyle w:val="TableText1"/>
              <w:rPr>
                <w:b/>
                <w:bCs/>
              </w:rPr>
            </w:pPr>
            <w:r w:rsidRPr="60969D91">
              <w:rPr>
                <w:b/>
                <w:bCs/>
              </w:rPr>
              <w:t>T-</w:t>
            </w:r>
            <w:proofErr w:type="spellStart"/>
            <w:r w:rsidRPr="60969D91">
              <w:rPr>
                <w:b/>
                <w:bCs/>
              </w:rPr>
              <w:t>DX</w:t>
            </w:r>
            <w:r w:rsidR="00F127C3" w:rsidRPr="60969D91">
              <w:rPr>
                <w:b/>
                <w:bCs/>
              </w:rPr>
              <w:t>d</w:t>
            </w:r>
            <w:proofErr w:type="spellEnd"/>
          </w:p>
          <w:p w14:paraId="385001FC" w14:textId="77777777" w:rsidR="00F127C3" w:rsidRPr="009539C3" w:rsidRDefault="00F127C3" w:rsidP="00F127C3">
            <w:pPr>
              <w:pStyle w:val="TableText1"/>
              <w:rPr>
                <w:b/>
              </w:rPr>
            </w:pPr>
            <w:r w:rsidRPr="009539C3">
              <w:rPr>
                <w:b/>
              </w:rPr>
              <w:t>N = 79</w:t>
            </w:r>
          </w:p>
        </w:tc>
      </w:tr>
      <w:tr w:rsidR="00F127C3" w:rsidRPr="009539C3" w14:paraId="641D42A1" w14:textId="77777777" w:rsidTr="00DD0B90">
        <w:trPr>
          <w:trHeight w:val="257"/>
        </w:trPr>
        <w:tc>
          <w:tcPr>
            <w:tcW w:w="5000" w:type="pct"/>
            <w:gridSpan w:val="6"/>
          </w:tcPr>
          <w:p w14:paraId="04665025" w14:textId="77777777" w:rsidR="00F127C3" w:rsidRPr="009539C3" w:rsidRDefault="00F127C3" w:rsidP="00F127C3">
            <w:pPr>
              <w:pStyle w:val="TableText1"/>
              <w:rPr>
                <w:b/>
              </w:rPr>
            </w:pPr>
            <w:r w:rsidRPr="009539C3">
              <w:rPr>
                <w:b/>
              </w:rPr>
              <w:t>OS</w:t>
            </w:r>
          </w:p>
        </w:tc>
      </w:tr>
      <w:tr w:rsidR="00F127C3" w:rsidRPr="009539C3" w14:paraId="1E27645F" w14:textId="77777777" w:rsidTr="00DD0B90">
        <w:trPr>
          <w:trHeight w:val="257"/>
        </w:trPr>
        <w:tc>
          <w:tcPr>
            <w:tcW w:w="944" w:type="pct"/>
          </w:tcPr>
          <w:p w14:paraId="5191F440" w14:textId="77777777" w:rsidR="00F127C3" w:rsidRPr="009539C3" w:rsidRDefault="00F127C3" w:rsidP="001332AA">
            <w:pPr>
              <w:pStyle w:val="TableText1"/>
              <w:jc w:val="left"/>
            </w:pPr>
            <w:r w:rsidRPr="009539C3">
              <w:t>Median OS, months (95% CI)</w:t>
            </w:r>
          </w:p>
        </w:tc>
        <w:tc>
          <w:tcPr>
            <w:tcW w:w="798" w:type="pct"/>
            <w:vAlign w:val="center"/>
          </w:tcPr>
          <w:p w14:paraId="67542C51" w14:textId="77777777" w:rsidR="00F127C3" w:rsidRPr="009539C3" w:rsidRDefault="00F127C3" w:rsidP="001332AA">
            <w:pPr>
              <w:pStyle w:val="TableText1"/>
              <w:jc w:val="left"/>
            </w:pPr>
            <w:r w:rsidRPr="009539C3">
              <w:t>12.5 (10.3, 15.2)</w:t>
            </w:r>
          </w:p>
        </w:tc>
        <w:tc>
          <w:tcPr>
            <w:tcW w:w="794" w:type="pct"/>
            <w:vAlign w:val="center"/>
          </w:tcPr>
          <w:p w14:paraId="2334FCF0" w14:textId="77777777" w:rsidR="00F127C3" w:rsidRPr="009539C3" w:rsidRDefault="00F127C3" w:rsidP="001332AA">
            <w:pPr>
              <w:pStyle w:val="TableText1"/>
              <w:jc w:val="left"/>
            </w:pPr>
            <w:r w:rsidRPr="009539C3">
              <w:t>8.9 (6.4, 10.4)</w:t>
            </w:r>
          </w:p>
        </w:tc>
        <w:tc>
          <w:tcPr>
            <w:tcW w:w="796" w:type="pct"/>
            <w:vAlign w:val="center"/>
          </w:tcPr>
          <w:p w14:paraId="42D8510A" w14:textId="77777777" w:rsidR="00F127C3" w:rsidRPr="009539C3" w:rsidRDefault="00F127C3" w:rsidP="001332AA">
            <w:pPr>
              <w:pStyle w:val="TableText1"/>
              <w:jc w:val="left"/>
            </w:pPr>
            <w:r w:rsidRPr="009539C3">
              <w:t>8.6 (6.4, 10.4)</w:t>
            </w:r>
          </w:p>
        </w:tc>
        <w:tc>
          <w:tcPr>
            <w:tcW w:w="699" w:type="pct"/>
            <w:vAlign w:val="center"/>
          </w:tcPr>
          <w:p w14:paraId="7FA9BBE7" w14:textId="77777777" w:rsidR="00F127C3" w:rsidRPr="009539C3" w:rsidRDefault="00F127C3" w:rsidP="001332AA">
            <w:pPr>
              <w:pStyle w:val="TableText1"/>
              <w:jc w:val="left"/>
            </w:pPr>
            <w:r w:rsidRPr="009539C3">
              <w:t>14.3 (2.9, NE)</w:t>
            </w:r>
          </w:p>
        </w:tc>
        <w:tc>
          <w:tcPr>
            <w:tcW w:w="969" w:type="pct"/>
            <w:vAlign w:val="center"/>
          </w:tcPr>
          <w:p w14:paraId="2D9A93DE" w14:textId="77777777" w:rsidR="00F127C3" w:rsidRPr="009539C3" w:rsidRDefault="00F127C3" w:rsidP="001332AA">
            <w:pPr>
              <w:pStyle w:val="TableText1"/>
              <w:jc w:val="left"/>
            </w:pPr>
            <w:r w:rsidRPr="009539C3">
              <w:t>12.1 (9.4, 15.4)</w:t>
            </w:r>
          </w:p>
        </w:tc>
      </w:tr>
      <w:tr w:rsidR="00F127C3" w:rsidRPr="009539C3" w14:paraId="2E44BD0E" w14:textId="77777777" w:rsidTr="00DD0B90">
        <w:trPr>
          <w:trHeight w:val="257"/>
        </w:trPr>
        <w:tc>
          <w:tcPr>
            <w:tcW w:w="944" w:type="pct"/>
          </w:tcPr>
          <w:p w14:paraId="6842573E" w14:textId="77777777" w:rsidR="00F127C3" w:rsidRPr="009539C3" w:rsidRDefault="00F127C3" w:rsidP="001332AA">
            <w:pPr>
              <w:pStyle w:val="TableText1"/>
              <w:jc w:val="left"/>
            </w:pPr>
            <w:r w:rsidRPr="009539C3">
              <w:t xml:space="preserve">HR (95% CI); p-value </w:t>
            </w:r>
          </w:p>
        </w:tc>
        <w:tc>
          <w:tcPr>
            <w:tcW w:w="1592" w:type="pct"/>
            <w:gridSpan w:val="2"/>
            <w:vAlign w:val="center"/>
          </w:tcPr>
          <w:p w14:paraId="5419D158" w14:textId="0A7DB2E1" w:rsidR="00F127C3" w:rsidRPr="009539C3" w:rsidRDefault="00F127C3" w:rsidP="001332AA">
            <w:pPr>
              <w:pStyle w:val="TableText1"/>
              <w:jc w:val="left"/>
            </w:pPr>
            <w:r w:rsidRPr="009539C3">
              <w:t>0.60 (0.42, 0.86) p = 0.0051</w:t>
            </w:r>
          </w:p>
        </w:tc>
        <w:tc>
          <w:tcPr>
            <w:tcW w:w="796" w:type="pct"/>
            <w:vAlign w:val="center"/>
          </w:tcPr>
          <w:p w14:paraId="7D81056A" w14:textId="77777777" w:rsidR="00F127C3" w:rsidRPr="009539C3" w:rsidRDefault="00F127C3" w:rsidP="001332AA">
            <w:pPr>
              <w:pStyle w:val="TableText1"/>
              <w:jc w:val="left"/>
            </w:pPr>
            <w:r w:rsidRPr="009539C3">
              <w:t>NC</w:t>
            </w:r>
          </w:p>
        </w:tc>
        <w:tc>
          <w:tcPr>
            <w:tcW w:w="699" w:type="pct"/>
            <w:vAlign w:val="center"/>
          </w:tcPr>
          <w:p w14:paraId="59B9BBA7" w14:textId="77777777" w:rsidR="00F127C3" w:rsidRPr="009539C3" w:rsidRDefault="00F127C3" w:rsidP="001332AA">
            <w:pPr>
              <w:pStyle w:val="TableText1"/>
              <w:jc w:val="left"/>
            </w:pPr>
            <w:r w:rsidRPr="009539C3">
              <w:t>NC</w:t>
            </w:r>
          </w:p>
        </w:tc>
        <w:tc>
          <w:tcPr>
            <w:tcW w:w="969" w:type="pct"/>
            <w:vAlign w:val="center"/>
          </w:tcPr>
          <w:p w14:paraId="4560D128" w14:textId="77777777" w:rsidR="00F127C3" w:rsidRPr="009539C3" w:rsidRDefault="00F127C3" w:rsidP="001332AA">
            <w:pPr>
              <w:pStyle w:val="TableText1"/>
              <w:jc w:val="left"/>
            </w:pPr>
            <w:r w:rsidRPr="009539C3">
              <w:t>NE</w:t>
            </w:r>
          </w:p>
        </w:tc>
      </w:tr>
      <w:tr w:rsidR="00F127C3" w:rsidRPr="009539C3" w14:paraId="3BE3BD9A" w14:textId="77777777" w:rsidTr="00DD0B90">
        <w:trPr>
          <w:trHeight w:val="257"/>
        </w:trPr>
        <w:tc>
          <w:tcPr>
            <w:tcW w:w="5000" w:type="pct"/>
            <w:gridSpan w:val="6"/>
            <w:vAlign w:val="center"/>
          </w:tcPr>
          <w:p w14:paraId="1E158D8B" w14:textId="77777777" w:rsidR="00F127C3" w:rsidRPr="009539C3" w:rsidRDefault="00F127C3" w:rsidP="001332AA">
            <w:pPr>
              <w:pStyle w:val="TableText1"/>
              <w:jc w:val="left"/>
              <w:rPr>
                <w:b/>
              </w:rPr>
            </w:pPr>
            <w:r w:rsidRPr="009539C3">
              <w:rPr>
                <w:b/>
              </w:rPr>
              <w:t>PFS</w:t>
            </w:r>
          </w:p>
        </w:tc>
      </w:tr>
      <w:tr w:rsidR="00F127C3" w:rsidRPr="009539C3" w14:paraId="3B3C833D" w14:textId="77777777" w:rsidTr="00DD0B90">
        <w:trPr>
          <w:trHeight w:val="257"/>
        </w:trPr>
        <w:tc>
          <w:tcPr>
            <w:tcW w:w="944" w:type="pct"/>
          </w:tcPr>
          <w:p w14:paraId="2AED87F3" w14:textId="77777777" w:rsidR="00F127C3" w:rsidRPr="009539C3" w:rsidRDefault="00F127C3" w:rsidP="001332AA">
            <w:pPr>
              <w:pStyle w:val="TableText1"/>
              <w:jc w:val="left"/>
            </w:pPr>
            <w:r w:rsidRPr="009539C3">
              <w:t>Median PFS, months (95% CI)</w:t>
            </w:r>
          </w:p>
        </w:tc>
        <w:tc>
          <w:tcPr>
            <w:tcW w:w="798" w:type="pct"/>
            <w:vAlign w:val="center"/>
          </w:tcPr>
          <w:p w14:paraId="7585484C" w14:textId="77777777" w:rsidR="00F127C3" w:rsidRPr="009539C3" w:rsidRDefault="00F127C3" w:rsidP="001332AA">
            <w:pPr>
              <w:pStyle w:val="TableText1"/>
              <w:jc w:val="left"/>
            </w:pPr>
            <w:r w:rsidRPr="009539C3">
              <w:t>5.6 (4.3, 6.9)</w:t>
            </w:r>
          </w:p>
        </w:tc>
        <w:tc>
          <w:tcPr>
            <w:tcW w:w="794" w:type="pct"/>
            <w:vAlign w:val="center"/>
          </w:tcPr>
          <w:p w14:paraId="15336F58" w14:textId="77777777" w:rsidR="00F127C3" w:rsidRPr="009539C3" w:rsidRDefault="00F127C3" w:rsidP="001332AA">
            <w:pPr>
              <w:pStyle w:val="TableText1"/>
              <w:jc w:val="left"/>
            </w:pPr>
            <w:r w:rsidRPr="009539C3">
              <w:t>3.5 (2.0, 4.3)</w:t>
            </w:r>
          </w:p>
        </w:tc>
        <w:tc>
          <w:tcPr>
            <w:tcW w:w="796" w:type="pct"/>
            <w:vAlign w:val="center"/>
          </w:tcPr>
          <w:p w14:paraId="71432D73" w14:textId="28CE5151" w:rsidR="00F127C3" w:rsidRPr="009539C3" w:rsidRDefault="00F127C3" w:rsidP="001332AA">
            <w:pPr>
              <w:pStyle w:val="TableText1"/>
              <w:jc w:val="left"/>
            </w:pPr>
            <w:r w:rsidRPr="009539C3">
              <w:t xml:space="preserve">2.8 (2.0, 4.3) </w:t>
            </w:r>
          </w:p>
        </w:tc>
        <w:tc>
          <w:tcPr>
            <w:tcW w:w="699" w:type="pct"/>
            <w:vAlign w:val="center"/>
          </w:tcPr>
          <w:p w14:paraId="3933949B" w14:textId="0E125F8E" w:rsidR="00F127C3" w:rsidRPr="009539C3" w:rsidRDefault="00F127C3" w:rsidP="001332AA">
            <w:pPr>
              <w:pStyle w:val="TableText1"/>
              <w:jc w:val="left"/>
            </w:pPr>
            <w:r w:rsidRPr="009539C3">
              <w:t>4.9 (2.0, NE)</w:t>
            </w:r>
            <w:r w:rsidRPr="009539C3">
              <w:rPr>
                <w:vertAlign w:val="superscript"/>
              </w:rPr>
              <w:t xml:space="preserve"> </w:t>
            </w:r>
          </w:p>
        </w:tc>
        <w:tc>
          <w:tcPr>
            <w:tcW w:w="969" w:type="pct"/>
            <w:vAlign w:val="center"/>
          </w:tcPr>
          <w:p w14:paraId="0AD8D3A8" w14:textId="77777777" w:rsidR="00F127C3" w:rsidRPr="009539C3" w:rsidRDefault="00F127C3" w:rsidP="001332AA">
            <w:pPr>
              <w:pStyle w:val="TableText1"/>
              <w:jc w:val="left"/>
            </w:pPr>
            <w:r w:rsidRPr="009539C3">
              <w:t>5.6 (4.2, 8.3)</w:t>
            </w:r>
            <w:r w:rsidRPr="009539C3">
              <w:softHyphen/>
            </w:r>
          </w:p>
        </w:tc>
      </w:tr>
      <w:tr w:rsidR="00AC278E" w:rsidRPr="009539C3" w14:paraId="15357C4F" w14:textId="77777777" w:rsidTr="00DD0B90">
        <w:trPr>
          <w:trHeight w:val="257"/>
        </w:trPr>
        <w:tc>
          <w:tcPr>
            <w:tcW w:w="944" w:type="pct"/>
          </w:tcPr>
          <w:p w14:paraId="3D9C6E35" w14:textId="34D5567D" w:rsidR="00AC278E" w:rsidRPr="009539C3" w:rsidRDefault="00AC278E" w:rsidP="00AC278E">
            <w:pPr>
              <w:pStyle w:val="TableText1"/>
              <w:jc w:val="left"/>
            </w:pPr>
            <w:bookmarkStart w:id="29" w:name="_Hlk189477050"/>
            <w:r w:rsidRPr="009539C3">
              <w:t xml:space="preserve">HR (95% CI); p-value </w:t>
            </w:r>
          </w:p>
        </w:tc>
        <w:tc>
          <w:tcPr>
            <w:tcW w:w="1592" w:type="pct"/>
            <w:gridSpan w:val="2"/>
            <w:vAlign w:val="center"/>
          </w:tcPr>
          <w:p w14:paraId="7646D132" w14:textId="7C08D40D" w:rsidR="00AC278E" w:rsidRPr="009539C3" w:rsidRDefault="004E6285" w:rsidP="00AC278E">
            <w:pPr>
              <w:pStyle w:val="TableText1"/>
              <w:jc w:val="left"/>
            </w:pPr>
            <w:r w:rsidRPr="009539C3">
              <w:t xml:space="preserve">0.47 (0.31, 0.71) </w:t>
            </w:r>
            <w:r w:rsidR="00F66EFC" w:rsidRPr="009539C3">
              <w:t>p = 0.0003</w:t>
            </w:r>
          </w:p>
        </w:tc>
        <w:tc>
          <w:tcPr>
            <w:tcW w:w="796" w:type="pct"/>
            <w:vAlign w:val="center"/>
          </w:tcPr>
          <w:p w14:paraId="15D46274" w14:textId="218B6798" w:rsidR="00AC278E" w:rsidRPr="009539C3" w:rsidRDefault="00AC278E" w:rsidP="00AC278E">
            <w:pPr>
              <w:pStyle w:val="TableText1"/>
              <w:jc w:val="left"/>
            </w:pPr>
            <w:r w:rsidRPr="009539C3">
              <w:t>NC</w:t>
            </w:r>
          </w:p>
        </w:tc>
        <w:tc>
          <w:tcPr>
            <w:tcW w:w="699" w:type="pct"/>
            <w:vAlign w:val="center"/>
          </w:tcPr>
          <w:p w14:paraId="0FD1B637" w14:textId="7C120802" w:rsidR="00AC278E" w:rsidRPr="009539C3" w:rsidRDefault="00AC278E" w:rsidP="00AC278E">
            <w:pPr>
              <w:pStyle w:val="TableText1"/>
              <w:jc w:val="left"/>
            </w:pPr>
            <w:r w:rsidRPr="009539C3">
              <w:t>NC</w:t>
            </w:r>
          </w:p>
        </w:tc>
        <w:tc>
          <w:tcPr>
            <w:tcW w:w="969" w:type="pct"/>
            <w:vAlign w:val="center"/>
          </w:tcPr>
          <w:p w14:paraId="7B4806B0" w14:textId="5ACA341A" w:rsidR="00AC278E" w:rsidRPr="009539C3" w:rsidRDefault="00AC278E" w:rsidP="00AC278E">
            <w:pPr>
              <w:pStyle w:val="TableText1"/>
              <w:jc w:val="left"/>
            </w:pPr>
            <w:r w:rsidRPr="009539C3">
              <w:t>NE</w:t>
            </w:r>
          </w:p>
        </w:tc>
      </w:tr>
    </w:tbl>
    <w:bookmarkEnd w:id="29"/>
    <w:p w14:paraId="77B3063A" w14:textId="1D431758" w:rsidR="00780064" w:rsidRPr="009539C3" w:rsidRDefault="00780064" w:rsidP="00780064">
      <w:pPr>
        <w:pStyle w:val="Tablenotes0"/>
      </w:pPr>
      <w:r w:rsidRPr="009539C3">
        <w:t xml:space="preserve">Source: Table </w:t>
      </w:r>
      <w:r w:rsidR="00554050">
        <w:t xml:space="preserve">2 </w:t>
      </w:r>
      <w:r w:rsidRPr="009539C3">
        <w:t>of the Streamlined MSAC submission Nov 2024</w:t>
      </w:r>
      <w:r w:rsidR="00BA66CC" w:rsidRPr="009539C3">
        <w:t>; Table 1 of the PBAC submission</w:t>
      </w:r>
    </w:p>
    <w:p w14:paraId="72E7964F" w14:textId="27A9AAE4" w:rsidR="00AC3E91" w:rsidRPr="009539C3" w:rsidRDefault="00F127C3" w:rsidP="60969D91">
      <w:pPr>
        <w:pStyle w:val="Tablenotes0"/>
      </w:pPr>
      <w:r w:rsidRPr="60969D91">
        <w:t xml:space="preserve">Abbreviations: </w:t>
      </w:r>
      <w:r w:rsidR="003D032C" w:rsidRPr="60969D91">
        <w:t xml:space="preserve">DG-01 = Destiny-Gastric 01; DG-02 = Destiny-Gastric 02; </w:t>
      </w:r>
      <w:r w:rsidRPr="60969D91">
        <w:t>OS</w:t>
      </w:r>
      <w:r w:rsidR="00B15039" w:rsidRPr="60969D91">
        <w:t xml:space="preserve"> =</w:t>
      </w:r>
      <w:r w:rsidRPr="60969D91">
        <w:t xml:space="preserve"> overall survival, PFS</w:t>
      </w:r>
      <w:r w:rsidR="00B15039" w:rsidRPr="60969D91">
        <w:t xml:space="preserve"> =</w:t>
      </w:r>
      <w:r w:rsidRPr="60969D91">
        <w:t xml:space="preserve"> progression-free survival, NC</w:t>
      </w:r>
      <w:r w:rsidR="00B15039" w:rsidRPr="60969D91">
        <w:t xml:space="preserve"> =</w:t>
      </w:r>
      <w:r w:rsidRPr="60969D91">
        <w:t xml:space="preserve"> not calculated, </w:t>
      </w:r>
      <w:r w:rsidR="00F20ED3" w:rsidRPr="60969D91">
        <w:t xml:space="preserve">N= </w:t>
      </w:r>
      <w:r w:rsidR="00E17DCC">
        <w:t>number of patients</w:t>
      </w:r>
      <w:r w:rsidR="00F20ED3" w:rsidRPr="60969D91">
        <w:t xml:space="preserve"> </w:t>
      </w:r>
      <w:r w:rsidRPr="60969D91">
        <w:t>HR</w:t>
      </w:r>
      <w:r w:rsidR="00B15039" w:rsidRPr="60969D91">
        <w:t xml:space="preserve"> = </w:t>
      </w:r>
      <w:r w:rsidRPr="60969D91">
        <w:t>hazard ratio, CI</w:t>
      </w:r>
      <w:r w:rsidR="00B15039" w:rsidRPr="60969D91">
        <w:t xml:space="preserve"> =</w:t>
      </w:r>
      <w:r w:rsidRPr="60969D91">
        <w:t xml:space="preserve"> confidence interval, NE</w:t>
      </w:r>
      <w:r w:rsidR="00B15039" w:rsidRPr="60969D91">
        <w:t xml:space="preserve"> =</w:t>
      </w:r>
      <w:r w:rsidRPr="60969D91">
        <w:t xml:space="preserve"> not-estimable</w:t>
      </w:r>
      <w:r w:rsidR="007E66D8" w:rsidRPr="60969D91">
        <w:t>; T-</w:t>
      </w:r>
      <w:proofErr w:type="spellStart"/>
      <w:r w:rsidR="007E66D8" w:rsidRPr="60969D91">
        <w:t>DXd</w:t>
      </w:r>
      <w:proofErr w:type="spellEnd"/>
      <w:r w:rsidR="007E66D8" w:rsidRPr="60969D91">
        <w:t xml:space="preserve"> = trastuzumab </w:t>
      </w:r>
      <w:proofErr w:type="spellStart"/>
      <w:r w:rsidR="007E66D8" w:rsidRPr="60969D91">
        <w:t>deruxtecan</w:t>
      </w:r>
      <w:proofErr w:type="spellEnd"/>
    </w:p>
    <w:p w14:paraId="0D09C9E4" w14:textId="17B9B09B" w:rsidR="00772829" w:rsidRPr="009539C3" w:rsidRDefault="00772829" w:rsidP="005B521F">
      <w:pPr>
        <w:pStyle w:val="Heading2"/>
        <w:numPr>
          <w:ilvl w:val="0"/>
          <w:numId w:val="12"/>
        </w:numPr>
        <w:ind w:hanging="720"/>
      </w:pPr>
      <w:bookmarkStart w:id="30" w:name="_Toc69491425"/>
      <w:r w:rsidRPr="009539C3">
        <w:lastRenderedPageBreak/>
        <w:t>Economic evaluation</w:t>
      </w:r>
      <w:bookmarkEnd w:id="30"/>
    </w:p>
    <w:p w14:paraId="6C27DECA" w14:textId="1D91C0A1" w:rsidR="00441264" w:rsidRPr="009539C3" w:rsidRDefault="00441264" w:rsidP="00441264">
      <w:r w:rsidRPr="009539C3">
        <w:t>No economic evaluation was undertaken in the Streamlined MSAC submission.</w:t>
      </w:r>
    </w:p>
    <w:p w14:paraId="25AE2BAC" w14:textId="2F191F81" w:rsidR="00772829" w:rsidRPr="009539C3" w:rsidRDefault="00772829" w:rsidP="005B521F">
      <w:pPr>
        <w:pStyle w:val="Heading2"/>
        <w:numPr>
          <w:ilvl w:val="0"/>
          <w:numId w:val="12"/>
        </w:numPr>
        <w:ind w:hanging="720"/>
      </w:pPr>
      <w:bookmarkStart w:id="31" w:name="_Toc69491426"/>
      <w:r w:rsidRPr="009539C3">
        <w:t>Financial/budgetary impacts</w:t>
      </w:r>
      <w:bookmarkEnd w:id="31"/>
    </w:p>
    <w:p w14:paraId="6A48D901" w14:textId="31E35320" w:rsidR="00CF6139" w:rsidRPr="00B33840" w:rsidRDefault="00CF6139" w:rsidP="60969D91">
      <w:pPr>
        <w:rPr>
          <w:rStyle w:val="InstructionaltextChar"/>
        </w:rPr>
      </w:pPr>
      <w:r w:rsidRPr="60969D91">
        <w:t>The submission used an epidemiological approach to determine the patients eligible for treatment with T-</w:t>
      </w:r>
      <w:proofErr w:type="spellStart"/>
      <w:r w:rsidRPr="60969D91">
        <w:t>DXd</w:t>
      </w:r>
      <w:proofErr w:type="spellEnd"/>
      <w:r w:rsidRPr="60969D91">
        <w:t>. This approach relied on the assumption that the current script volume for patients initiating on 1L trastuzumab has a one-to-one relationship to treated patients</w:t>
      </w:r>
      <w:r w:rsidRPr="007244BA">
        <w:t>.</w:t>
      </w:r>
      <w:r w:rsidR="00B33840" w:rsidRPr="007244BA">
        <w:t xml:space="preserve"> The commentary considered </w:t>
      </w:r>
      <w:r w:rsidR="00B33840">
        <w:t>a</w:t>
      </w:r>
      <w:r w:rsidRPr="007244BA">
        <w:t>s no repeat scripts are allowed under these items, the logic of this approach is sound, however an analysis of script data held by the Department indicates that some patients are receiving more than one initiating script. This results in the under-estimation of the size of the incident and prevalent patient populations.</w:t>
      </w:r>
      <w:r w:rsidRPr="00B33840">
        <w:t xml:space="preserve"> The submission contains incident, prevalent and grandfathered patients.</w:t>
      </w:r>
      <w:r w:rsidRPr="00B33840">
        <w:rPr>
          <w:rStyle w:val="InstructionaltextChar"/>
        </w:rPr>
        <w:t xml:space="preserve"> </w:t>
      </w:r>
    </w:p>
    <w:p w14:paraId="438ADBB6" w14:textId="78F8C964" w:rsidR="00CF6139" w:rsidRPr="005D0F37" w:rsidRDefault="00CF6139" w:rsidP="60969D91">
      <w:pPr>
        <w:rPr>
          <w:i/>
          <w:iCs/>
        </w:rPr>
      </w:pPr>
      <w:r w:rsidRPr="60969D91">
        <w:t xml:space="preserve">The incident patients were derived from the trastuzumab scripts dispensed to patients initiating 1L trastuzumab treatment for Stage IV HER2 positive adenocarcinoma of the stomach or gastro-oesophageal junction (PBS items 10581X and 10589H) from 2019 to August 2024 (the latest data available at the time of the submission). The submission assumed, based on the restriction, that a script was analogous to a patient. These figures were then linearly extrapolated to provide patient numbers from 2026 to 2030. </w:t>
      </w:r>
      <w:r w:rsidR="00D0198E" w:rsidRPr="00D0198E">
        <w:t xml:space="preserve">The commentary noted </w:t>
      </w:r>
      <w:r w:rsidR="00D0198E" w:rsidRPr="007244BA">
        <w:t>t</w:t>
      </w:r>
      <w:r w:rsidRPr="007244BA">
        <w:t>he patients in 2024 were forecast from data for the first eight months of data, converted to a monthly average and multiplied by 12. The additional months of data have since become available, and the actual number of scripts dispensed in 2024 was 282.</w:t>
      </w:r>
    </w:p>
    <w:p w14:paraId="02A76973" w14:textId="2BAABE1F" w:rsidR="00CF6139" w:rsidRPr="007244BA" w:rsidRDefault="00CF6139" w:rsidP="60969D91">
      <w:r w:rsidRPr="007244BA">
        <w:t xml:space="preserve">The </w:t>
      </w:r>
      <w:r w:rsidR="00D0198E" w:rsidRPr="007244BA">
        <w:t xml:space="preserve">commentary noted that </w:t>
      </w:r>
      <w:r w:rsidR="0014441B">
        <w:t>t</w:t>
      </w:r>
      <w:r w:rsidR="00D0198E" w:rsidRPr="007244BA">
        <w:t xml:space="preserve">he </w:t>
      </w:r>
      <w:r w:rsidRPr="007244BA">
        <w:t xml:space="preserve">forecast effectively </w:t>
      </w:r>
      <w:r w:rsidR="00D0198E" w:rsidRPr="007244BA">
        <w:t xml:space="preserve">commenced </w:t>
      </w:r>
      <w:r w:rsidRPr="007244BA">
        <w:t xml:space="preserve">in 2026, with the value for 2025 being the mid-point between 2024 and 2026. This </w:t>
      </w:r>
      <w:r w:rsidR="00D0198E" w:rsidRPr="007244BA">
        <w:t xml:space="preserve">removed </w:t>
      </w:r>
      <w:r w:rsidRPr="007244BA">
        <w:t>the “dip” that would otherwise occur as the patient numbers move</w:t>
      </w:r>
      <w:r w:rsidR="00D0198E">
        <w:t>d</w:t>
      </w:r>
      <w:r w:rsidRPr="007244BA">
        <w:t xml:space="preserve"> from actual to forecast.</w:t>
      </w:r>
    </w:p>
    <w:p w14:paraId="10A53AA7" w14:textId="504C8267" w:rsidR="005D0F37" w:rsidRPr="006A02EE" w:rsidRDefault="002F1DDF" w:rsidP="00CF6139">
      <w:r>
        <w:t>In the submission, t</w:t>
      </w:r>
      <w:r w:rsidR="005D0F37" w:rsidRPr="60969D91">
        <w:t xml:space="preserve">he prevalent patients were derived from the 2024 incident patients. These </w:t>
      </w:r>
      <w:r>
        <w:t>we</w:t>
      </w:r>
      <w:r w:rsidRPr="60969D91">
        <w:t xml:space="preserve">re </w:t>
      </w:r>
      <w:r w:rsidR="005D0F37" w:rsidRPr="60969D91">
        <w:t xml:space="preserve">patients who </w:t>
      </w:r>
      <w:r>
        <w:t>were</w:t>
      </w:r>
      <w:r w:rsidRPr="60969D91">
        <w:t xml:space="preserve"> </w:t>
      </w:r>
      <w:r w:rsidR="005D0F37" w:rsidRPr="60969D91">
        <w:t>on or after progression to 2L at the time of T-</w:t>
      </w:r>
      <w:proofErr w:type="spellStart"/>
      <w:r w:rsidR="005D0F37" w:rsidRPr="60969D91">
        <w:t>DXd</w:t>
      </w:r>
      <w:proofErr w:type="spellEnd"/>
      <w:r w:rsidR="005D0F37" w:rsidRPr="60969D91">
        <w:t xml:space="preserve"> listing. </w:t>
      </w:r>
      <w:r w:rsidR="006A02EE">
        <w:t>The submission considered t</w:t>
      </w:r>
      <w:r w:rsidR="005D0F37" w:rsidRPr="60969D91">
        <w:t>hese patients will only occur in the first year of listing, as the incident patients will be treated directly, once T-</w:t>
      </w:r>
      <w:proofErr w:type="spellStart"/>
      <w:r w:rsidR="005D0F37" w:rsidRPr="60969D91">
        <w:t>DXd</w:t>
      </w:r>
      <w:proofErr w:type="spellEnd"/>
      <w:r w:rsidR="005D0F37" w:rsidRPr="60969D91">
        <w:t xml:space="preserve"> </w:t>
      </w:r>
      <w:r w:rsidR="006A02EE">
        <w:t>wa</w:t>
      </w:r>
      <w:r w:rsidR="006A02EE" w:rsidRPr="60969D91">
        <w:t xml:space="preserve">s </w:t>
      </w:r>
      <w:r w:rsidR="005D0F37" w:rsidRPr="60969D91">
        <w:t xml:space="preserve">listed. </w:t>
      </w:r>
      <w:r w:rsidR="006A02EE">
        <w:t>The commentary identified</w:t>
      </w:r>
      <w:r w:rsidR="005D0F37" w:rsidRPr="007244BA">
        <w:t xml:space="preserve"> a series of issues with the derivation of this population. If the underlying incident population </w:t>
      </w:r>
      <w:r w:rsidR="006A02EE" w:rsidRPr="007244BA">
        <w:t>increase</w:t>
      </w:r>
      <w:r w:rsidR="006A02EE">
        <w:t>d</w:t>
      </w:r>
      <w:r w:rsidR="006A02EE" w:rsidRPr="007244BA">
        <w:t xml:space="preserve"> </w:t>
      </w:r>
      <w:r w:rsidR="005D0F37" w:rsidRPr="007244BA">
        <w:t xml:space="preserve">when the actual treated population </w:t>
      </w:r>
      <w:r w:rsidR="006A02EE">
        <w:t>wa</w:t>
      </w:r>
      <w:r w:rsidR="006A02EE" w:rsidRPr="007244BA">
        <w:t xml:space="preserve">s </w:t>
      </w:r>
      <w:r w:rsidR="005D0F37" w:rsidRPr="007244BA">
        <w:t xml:space="preserve">used rather than the script proxy, then this </w:t>
      </w:r>
      <w:r w:rsidR="006A02EE">
        <w:t xml:space="preserve">would </w:t>
      </w:r>
      <w:r w:rsidR="005D0F37" w:rsidRPr="007244BA">
        <w:t>increase the prevalent population. The proportion of patients who progress</w:t>
      </w:r>
      <w:r w:rsidR="006A02EE">
        <w:t>ed</w:t>
      </w:r>
      <w:r w:rsidR="005D0F37" w:rsidRPr="007244BA">
        <w:t xml:space="preserve"> while on 1L treatment and </w:t>
      </w:r>
      <w:r w:rsidR="006A02EE">
        <w:t xml:space="preserve">were </w:t>
      </w:r>
      <w:r w:rsidR="005D0F37" w:rsidRPr="007244BA">
        <w:t xml:space="preserve">alive, as an assumption may </w:t>
      </w:r>
      <w:r w:rsidR="006A02EE">
        <w:t xml:space="preserve">have </w:t>
      </w:r>
      <w:r w:rsidR="005D0F37" w:rsidRPr="007244BA">
        <w:t>be</w:t>
      </w:r>
      <w:r w:rsidR="006A02EE">
        <w:t>en</w:t>
      </w:r>
      <w:r w:rsidR="005D0F37" w:rsidRPr="007244BA">
        <w:t xml:space="preserve"> an overestimate. The </w:t>
      </w:r>
      <w:r w:rsidR="006A02EE">
        <w:t xml:space="preserve">commentary considered the </w:t>
      </w:r>
      <w:r w:rsidR="005D0F37" w:rsidRPr="007244BA">
        <w:t xml:space="preserve">proportion of patients treated in 2L </w:t>
      </w:r>
      <w:r w:rsidR="006A02EE">
        <w:t>wa</w:t>
      </w:r>
      <w:r w:rsidR="006A02EE" w:rsidRPr="007244BA">
        <w:t xml:space="preserve">s </w:t>
      </w:r>
      <w:r w:rsidR="005D0F37" w:rsidRPr="007244BA">
        <w:t xml:space="preserve">an assumption at the higher end of the range of values provided by the five reported studies may </w:t>
      </w:r>
      <w:r w:rsidR="005569D2">
        <w:t xml:space="preserve">have </w:t>
      </w:r>
      <w:r w:rsidR="005D0F37" w:rsidRPr="007244BA">
        <w:t>be</w:t>
      </w:r>
      <w:r w:rsidR="005569D2">
        <w:t>en</w:t>
      </w:r>
      <w:r w:rsidR="005D0F37" w:rsidRPr="007244BA">
        <w:t xml:space="preserve"> an overestimate. The application of the life expectancy reduction (0.88 </w:t>
      </w:r>
      <w:r w:rsidR="00BA0E70" w:rsidRPr="007244BA">
        <w:t>life years</w:t>
      </w:r>
      <w:r w:rsidR="005D0F37" w:rsidRPr="007244BA">
        <w:t xml:space="preserve">) </w:t>
      </w:r>
      <w:r w:rsidR="005569D2" w:rsidRPr="007244BA">
        <w:t>d</w:t>
      </w:r>
      <w:r w:rsidR="005569D2">
        <w:t>id</w:t>
      </w:r>
      <w:r w:rsidR="005569D2" w:rsidRPr="007244BA">
        <w:t xml:space="preserve"> </w:t>
      </w:r>
      <w:r w:rsidR="005D0F37" w:rsidRPr="007244BA">
        <w:t xml:space="preserve">not appropriately adjust the number of patients who </w:t>
      </w:r>
      <w:r w:rsidR="005569D2">
        <w:t>were</w:t>
      </w:r>
      <w:r w:rsidR="005569D2" w:rsidRPr="007244BA">
        <w:t xml:space="preserve"> </w:t>
      </w:r>
      <w:r w:rsidR="005D0F37" w:rsidRPr="007244BA">
        <w:t xml:space="preserve">available for treatment as it </w:t>
      </w:r>
      <w:r w:rsidR="005569D2">
        <w:t>wa</w:t>
      </w:r>
      <w:r w:rsidR="005569D2" w:rsidRPr="007244BA">
        <w:t xml:space="preserve">s </w:t>
      </w:r>
      <w:r w:rsidR="005D0F37" w:rsidRPr="007244BA">
        <w:t>a measure of how long patients w</w:t>
      </w:r>
      <w:r w:rsidR="005569D2">
        <w:t>ould</w:t>
      </w:r>
      <w:r w:rsidR="005D0F37" w:rsidRPr="007244BA">
        <w:t xml:space="preserve"> remain alive on 1L treatment (on average). This </w:t>
      </w:r>
      <w:r w:rsidR="005569D2" w:rsidRPr="007244BA">
        <w:t>ha</w:t>
      </w:r>
      <w:r w:rsidR="005569D2">
        <w:t>d</w:t>
      </w:r>
      <w:r w:rsidR="005569D2" w:rsidRPr="007244BA">
        <w:t xml:space="preserve"> </w:t>
      </w:r>
      <w:r w:rsidR="005D0F37" w:rsidRPr="007244BA">
        <w:t xml:space="preserve">been used in combination with the 26.5% reduction to account for patients who </w:t>
      </w:r>
      <w:r w:rsidR="005569D2">
        <w:t>sought</w:t>
      </w:r>
      <w:r w:rsidR="005569D2" w:rsidRPr="007244BA">
        <w:t xml:space="preserve"> </w:t>
      </w:r>
      <w:r w:rsidR="005D0F37" w:rsidRPr="007244BA">
        <w:t xml:space="preserve">treatment. </w:t>
      </w:r>
      <w:r w:rsidR="005569D2">
        <w:t>The commentary noted t</w:t>
      </w:r>
      <w:r w:rsidR="005D0F37" w:rsidRPr="007244BA">
        <w:t xml:space="preserve">his further calculation </w:t>
      </w:r>
      <w:r w:rsidR="005569D2" w:rsidRPr="007244BA">
        <w:t>applie</w:t>
      </w:r>
      <w:r w:rsidR="005569D2">
        <w:t>d</w:t>
      </w:r>
      <w:r w:rsidR="005569D2" w:rsidRPr="007244BA">
        <w:t xml:space="preserve"> </w:t>
      </w:r>
      <w:r w:rsidR="005D0F37" w:rsidRPr="007244BA">
        <w:t xml:space="preserve">a proportion of patients to a figure which </w:t>
      </w:r>
      <w:r w:rsidR="005569D2" w:rsidRPr="007244BA">
        <w:t>represent</w:t>
      </w:r>
      <w:r w:rsidR="005569D2">
        <w:t>ed</w:t>
      </w:r>
      <w:r w:rsidR="005569D2" w:rsidRPr="007244BA">
        <w:t xml:space="preserve"> </w:t>
      </w:r>
      <w:r w:rsidR="005D0F37" w:rsidRPr="007244BA">
        <w:t xml:space="preserve">patient-years of treatment which </w:t>
      </w:r>
      <w:r w:rsidR="005569D2">
        <w:t>wa</w:t>
      </w:r>
      <w:r w:rsidR="005569D2" w:rsidRPr="007244BA">
        <w:t xml:space="preserve">s </w:t>
      </w:r>
      <w:r w:rsidR="005D0F37" w:rsidRPr="007244BA">
        <w:t>inappropriate.</w:t>
      </w:r>
    </w:p>
    <w:p w14:paraId="186CFDCA" w14:textId="5A4748D5" w:rsidR="005D0F37" w:rsidRPr="005D0F37" w:rsidRDefault="005D0F37" w:rsidP="00CF6139">
      <w:r>
        <w:t xml:space="preserve">The submission </w:t>
      </w:r>
      <w:r w:rsidR="005569D2">
        <w:t xml:space="preserve">included </w:t>
      </w:r>
      <w:r>
        <w:t xml:space="preserve">a provision for </w:t>
      </w:r>
      <w:r w:rsidR="00E01BDB" w:rsidRPr="007B6A30">
        <w:rPr>
          <w:b/>
          <w:bCs/>
        </w:rPr>
        <w:t>redacted</w:t>
      </w:r>
      <w:r w:rsidR="00E01BDB">
        <w:t xml:space="preserve"> </w:t>
      </w:r>
      <w:r>
        <w:t xml:space="preserve">grandfathered patients. These patients </w:t>
      </w:r>
      <w:r w:rsidR="005569D2">
        <w:t xml:space="preserve">were </w:t>
      </w:r>
      <w:r>
        <w:t xml:space="preserve">assumed to participate in the sponsor’s Co-pay Access Program that will commence in Q1 of </w:t>
      </w:r>
      <w:r w:rsidRPr="007B6A30">
        <w:t>2025</w:t>
      </w:r>
      <w:r>
        <w:t xml:space="preserve">. </w:t>
      </w:r>
      <w:r w:rsidR="005569D2">
        <w:t>The commentary considered t</w:t>
      </w:r>
      <w:r>
        <w:t xml:space="preserve">his </w:t>
      </w:r>
      <w:r w:rsidR="005569D2">
        <w:t xml:space="preserve">was </w:t>
      </w:r>
      <w:r>
        <w:t xml:space="preserve">appropriate, noting that this number </w:t>
      </w:r>
      <w:r w:rsidR="005569D2">
        <w:t xml:space="preserve">was </w:t>
      </w:r>
      <w:r>
        <w:t>an assumption and based on a program that, at the time of submission, had not yet commenced.</w:t>
      </w:r>
    </w:p>
    <w:p w14:paraId="002B7238" w14:textId="35D1D9E4" w:rsidR="003532E9" w:rsidRPr="009539C3" w:rsidRDefault="003532E9" w:rsidP="003532E9">
      <w:r w:rsidRPr="60969D91">
        <w:t xml:space="preserve">The estimated number of patients </w:t>
      </w:r>
      <w:r w:rsidR="00E4158A" w:rsidRPr="60969D91">
        <w:t>who would be retested if T-</w:t>
      </w:r>
      <w:proofErr w:type="spellStart"/>
      <w:r w:rsidR="00E4158A" w:rsidRPr="60969D91">
        <w:t>DXd</w:t>
      </w:r>
      <w:proofErr w:type="spellEnd"/>
      <w:r w:rsidR="00E4158A" w:rsidRPr="60969D91">
        <w:t xml:space="preserve"> was PBS listed is presented in </w:t>
      </w:r>
      <w:r>
        <w:fldChar w:fldCharType="begin"/>
      </w:r>
      <w:r>
        <w:instrText xml:space="preserve"> REF _Ref189575661 \h </w:instrText>
      </w:r>
      <w:r>
        <w:fldChar w:fldCharType="separate"/>
      </w:r>
      <w:r w:rsidR="007B45D6" w:rsidRPr="60969D91">
        <w:t xml:space="preserve">Table </w:t>
      </w:r>
      <w:r w:rsidR="007B45D6">
        <w:rPr>
          <w:noProof/>
        </w:rPr>
        <w:t>6</w:t>
      </w:r>
      <w:r>
        <w:fldChar w:fldCharType="end"/>
      </w:r>
      <w:r w:rsidR="00E4158A" w:rsidRPr="60969D91">
        <w:t>.</w:t>
      </w:r>
    </w:p>
    <w:p w14:paraId="143800E3" w14:textId="590E79F9" w:rsidR="004C114C" w:rsidRPr="009539C3" w:rsidRDefault="004C114C" w:rsidP="004C114C">
      <w:pPr>
        <w:pStyle w:val="Caption"/>
      </w:pPr>
      <w:bookmarkStart w:id="32" w:name="_Ref189575661"/>
      <w:r w:rsidRPr="60969D91">
        <w:lastRenderedPageBreak/>
        <w:t xml:space="preserve">Table </w:t>
      </w:r>
      <w:r>
        <w:fldChar w:fldCharType="begin"/>
      </w:r>
      <w:r>
        <w:instrText xml:space="preserve"> SEQ Table \* ARABIC </w:instrText>
      </w:r>
      <w:r>
        <w:fldChar w:fldCharType="separate"/>
      </w:r>
      <w:r w:rsidR="007B45D6">
        <w:rPr>
          <w:noProof/>
        </w:rPr>
        <w:t>6</w:t>
      </w:r>
      <w:r>
        <w:fldChar w:fldCharType="end"/>
      </w:r>
      <w:bookmarkEnd w:id="32"/>
      <w:r w:rsidRPr="60969D91">
        <w:t xml:space="preserve"> Estimation of the number of patients re-tested for </w:t>
      </w:r>
      <w:r w:rsidRPr="007B6A30">
        <w:rPr>
          <w:i/>
          <w:iCs/>
        </w:rPr>
        <w:t>HER2</w:t>
      </w:r>
      <w:r w:rsidRPr="60969D91">
        <w:t xml:space="preserve"> status if </w:t>
      </w:r>
      <w:r w:rsidR="00794122" w:rsidRPr="60969D91">
        <w:t>T-</w:t>
      </w:r>
      <w:proofErr w:type="spellStart"/>
      <w:r w:rsidR="00794122" w:rsidRPr="60969D91">
        <w:t>DX</w:t>
      </w:r>
      <w:r w:rsidRPr="60969D91">
        <w:t>d</w:t>
      </w:r>
      <w:proofErr w:type="spellEnd"/>
      <w:r w:rsidRPr="60969D91">
        <w:t xml:space="preserve"> i</w:t>
      </w:r>
      <w:r w:rsidR="00C37068">
        <w:t>s</w:t>
      </w:r>
      <w:r w:rsidRPr="60969D91">
        <w:t xml:space="preserve"> PBS listed</w:t>
      </w:r>
    </w:p>
    <w:tbl>
      <w:tblPr>
        <w:tblStyle w:val="MSDTableGrid1"/>
        <w:tblW w:w="0" w:type="auto"/>
        <w:tblLayout w:type="fixed"/>
        <w:tblLook w:val="01E0" w:firstRow="1" w:lastRow="1" w:firstColumn="1" w:lastColumn="1" w:noHBand="0" w:noVBand="0"/>
      </w:tblPr>
      <w:tblGrid>
        <w:gridCol w:w="331"/>
        <w:gridCol w:w="1172"/>
        <w:gridCol w:w="1041"/>
        <w:gridCol w:w="1037"/>
        <w:gridCol w:w="1037"/>
        <w:gridCol w:w="1037"/>
        <w:gridCol w:w="1037"/>
        <w:gridCol w:w="1037"/>
        <w:gridCol w:w="1287"/>
      </w:tblGrid>
      <w:tr w:rsidR="004C114C" w:rsidRPr="009539C3" w14:paraId="1A7C1D06" w14:textId="77777777" w:rsidTr="007B6A30">
        <w:trPr>
          <w:cnfStyle w:val="100000000000" w:firstRow="1" w:lastRow="0" w:firstColumn="0" w:lastColumn="0" w:oddVBand="0" w:evenVBand="0" w:oddHBand="0" w:evenHBand="0" w:firstRowFirstColumn="0" w:firstRowLastColumn="0" w:lastRowFirstColumn="0" w:lastRowLastColumn="0"/>
          <w:trHeight w:val="283"/>
        </w:trPr>
        <w:tc>
          <w:tcPr>
            <w:tcW w:w="331" w:type="dxa"/>
            <w:shd w:val="clear" w:color="auto" w:fill="auto"/>
          </w:tcPr>
          <w:p w14:paraId="4003BF2F" w14:textId="77777777" w:rsidR="004C114C" w:rsidRPr="009539C3" w:rsidRDefault="004C114C" w:rsidP="00C3087B">
            <w:pPr>
              <w:pStyle w:val="TableText1"/>
              <w:spacing w:line="240" w:lineRule="auto"/>
              <w:jc w:val="left"/>
            </w:pPr>
          </w:p>
        </w:tc>
        <w:tc>
          <w:tcPr>
            <w:tcW w:w="1172" w:type="dxa"/>
            <w:shd w:val="clear" w:color="auto" w:fill="auto"/>
          </w:tcPr>
          <w:p w14:paraId="6ACA48E3" w14:textId="77777777" w:rsidR="004C114C" w:rsidRPr="009539C3" w:rsidRDefault="004C114C" w:rsidP="00C3087B">
            <w:pPr>
              <w:pStyle w:val="TableText1"/>
              <w:spacing w:line="240" w:lineRule="auto"/>
              <w:jc w:val="left"/>
            </w:pPr>
            <w:r w:rsidRPr="009539C3">
              <w:t>Description</w:t>
            </w:r>
          </w:p>
        </w:tc>
        <w:tc>
          <w:tcPr>
            <w:tcW w:w="1041" w:type="dxa"/>
            <w:shd w:val="clear" w:color="auto" w:fill="auto"/>
          </w:tcPr>
          <w:p w14:paraId="6D5B0BFF" w14:textId="77777777" w:rsidR="004C114C" w:rsidRPr="009539C3" w:rsidRDefault="004C114C" w:rsidP="00C3087B">
            <w:pPr>
              <w:pStyle w:val="TableText1"/>
              <w:spacing w:line="240" w:lineRule="auto"/>
              <w:jc w:val="left"/>
            </w:pPr>
            <w:r w:rsidRPr="009539C3">
              <w:t>2025</w:t>
            </w:r>
          </w:p>
        </w:tc>
        <w:tc>
          <w:tcPr>
            <w:tcW w:w="1037" w:type="dxa"/>
            <w:shd w:val="clear" w:color="auto" w:fill="auto"/>
          </w:tcPr>
          <w:p w14:paraId="58E82641" w14:textId="77777777" w:rsidR="004C114C" w:rsidRPr="009539C3" w:rsidRDefault="004C114C" w:rsidP="00C3087B">
            <w:pPr>
              <w:pStyle w:val="TableText1"/>
              <w:spacing w:line="240" w:lineRule="auto"/>
              <w:jc w:val="left"/>
            </w:pPr>
            <w:r w:rsidRPr="009539C3">
              <w:t>2026</w:t>
            </w:r>
          </w:p>
        </w:tc>
        <w:tc>
          <w:tcPr>
            <w:tcW w:w="1037" w:type="dxa"/>
            <w:shd w:val="clear" w:color="auto" w:fill="auto"/>
          </w:tcPr>
          <w:p w14:paraId="5D1065C0" w14:textId="77777777" w:rsidR="004C114C" w:rsidRPr="009539C3" w:rsidRDefault="004C114C" w:rsidP="00C3087B">
            <w:pPr>
              <w:pStyle w:val="TableText1"/>
              <w:spacing w:line="240" w:lineRule="auto"/>
              <w:jc w:val="left"/>
            </w:pPr>
            <w:r w:rsidRPr="009539C3">
              <w:t>2027</w:t>
            </w:r>
          </w:p>
        </w:tc>
        <w:tc>
          <w:tcPr>
            <w:tcW w:w="1037" w:type="dxa"/>
            <w:shd w:val="clear" w:color="auto" w:fill="auto"/>
          </w:tcPr>
          <w:p w14:paraId="591C644B" w14:textId="77777777" w:rsidR="004C114C" w:rsidRPr="009539C3" w:rsidRDefault="004C114C" w:rsidP="00C3087B">
            <w:pPr>
              <w:pStyle w:val="TableText1"/>
              <w:spacing w:line="240" w:lineRule="auto"/>
              <w:jc w:val="left"/>
            </w:pPr>
            <w:r w:rsidRPr="009539C3">
              <w:t>2028</w:t>
            </w:r>
          </w:p>
        </w:tc>
        <w:tc>
          <w:tcPr>
            <w:tcW w:w="1037" w:type="dxa"/>
            <w:shd w:val="clear" w:color="auto" w:fill="auto"/>
          </w:tcPr>
          <w:p w14:paraId="31408084" w14:textId="77777777" w:rsidR="004C114C" w:rsidRPr="009539C3" w:rsidRDefault="004C114C" w:rsidP="00C3087B">
            <w:pPr>
              <w:pStyle w:val="TableText1"/>
              <w:spacing w:line="240" w:lineRule="auto"/>
              <w:jc w:val="left"/>
            </w:pPr>
            <w:r w:rsidRPr="009539C3">
              <w:t>2029</w:t>
            </w:r>
          </w:p>
        </w:tc>
        <w:tc>
          <w:tcPr>
            <w:tcW w:w="1037" w:type="dxa"/>
            <w:shd w:val="clear" w:color="auto" w:fill="auto"/>
          </w:tcPr>
          <w:p w14:paraId="128F17AE" w14:textId="77777777" w:rsidR="004C114C" w:rsidRPr="009539C3" w:rsidRDefault="004C114C" w:rsidP="00C3087B">
            <w:pPr>
              <w:pStyle w:val="TableText1"/>
              <w:spacing w:line="240" w:lineRule="auto"/>
              <w:jc w:val="left"/>
            </w:pPr>
            <w:r w:rsidRPr="009539C3">
              <w:t>2030</w:t>
            </w:r>
          </w:p>
        </w:tc>
        <w:tc>
          <w:tcPr>
            <w:tcW w:w="1287" w:type="dxa"/>
            <w:shd w:val="clear" w:color="auto" w:fill="auto"/>
          </w:tcPr>
          <w:p w14:paraId="168C2BE1" w14:textId="77777777" w:rsidR="004C114C" w:rsidRPr="009539C3" w:rsidRDefault="004C114C" w:rsidP="00C3087B">
            <w:pPr>
              <w:pStyle w:val="TableText1"/>
              <w:spacing w:line="240" w:lineRule="auto"/>
              <w:jc w:val="left"/>
            </w:pPr>
            <w:r w:rsidRPr="009539C3">
              <w:t>Source / Calculation</w:t>
            </w:r>
          </w:p>
        </w:tc>
      </w:tr>
      <w:tr w:rsidR="004C114C" w:rsidRPr="009539C3" w14:paraId="59027AC0" w14:textId="77777777" w:rsidTr="007B6A30">
        <w:trPr>
          <w:trHeight w:val="283"/>
        </w:trPr>
        <w:tc>
          <w:tcPr>
            <w:tcW w:w="331" w:type="dxa"/>
          </w:tcPr>
          <w:p w14:paraId="26723132" w14:textId="77777777" w:rsidR="004C114C" w:rsidRPr="009539C3" w:rsidRDefault="004C114C" w:rsidP="00C3087B">
            <w:pPr>
              <w:pStyle w:val="TableText1"/>
              <w:spacing w:line="240" w:lineRule="auto"/>
            </w:pPr>
            <w:r w:rsidRPr="009539C3">
              <w:t>A</w:t>
            </w:r>
          </w:p>
        </w:tc>
        <w:tc>
          <w:tcPr>
            <w:tcW w:w="1172" w:type="dxa"/>
          </w:tcPr>
          <w:p w14:paraId="05D5FF9E" w14:textId="77777777" w:rsidR="004C114C" w:rsidRPr="009539C3" w:rsidRDefault="004C114C" w:rsidP="00C3087B">
            <w:pPr>
              <w:pStyle w:val="TableText1"/>
              <w:spacing w:line="240" w:lineRule="auto"/>
            </w:pPr>
            <w:r w:rsidRPr="009539C3">
              <w:t xml:space="preserve">Number of patients initiating 1L trastuzumab </w:t>
            </w:r>
          </w:p>
        </w:tc>
        <w:tc>
          <w:tcPr>
            <w:tcW w:w="1041" w:type="dxa"/>
          </w:tcPr>
          <w:p w14:paraId="7DBC0991" w14:textId="77777777" w:rsidR="004C114C" w:rsidRPr="009539C3" w:rsidRDefault="004C114C" w:rsidP="00C3087B">
            <w:pPr>
              <w:pStyle w:val="TableText1"/>
              <w:spacing w:line="240" w:lineRule="auto"/>
            </w:pPr>
            <w:r w:rsidRPr="009539C3">
              <w:t>285</w:t>
            </w:r>
          </w:p>
        </w:tc>
        <w:tc>
          <w:tcPr>
            <w:tcW w:w="1037" w:type="dxa"/>
          </w:tcPr>
          <w:p w14:paraId="31C7F038" w14:textId="77777777" w:rsidR="004C114C" w:rsidRPr="009539C3" w:rsidRDefault="004C114C" w:rsidP="00C3087B">
            <w:pPr>
              <w:pStyle w:val="TableText1"/>
              <w:spacing w:line="240" w:lineRule="auto"/>
            </w:pPr>
            <w:r w:rsidRPr="009539C3">
              <w:t>296</w:t>
            </w:r>
          </w:p>
        </w:tc>
        <w:tc>
          <w:tcPr>
            <w:tcW w:w="1037" w:type="dxa"/>
          </w:tcPr>
          <w:p w14:paraId="5E576796" w14:textId="77777777" w:rsidR="004C114C" w:rsidRPr="009539C3" w:rsidRDefault="004C114C" w:rsidP="00C3087B">
            <w:pPr>
              <w:pStyle w:val="TableText1"/>
              <w:spacing w:line="240" w:lineRule="auto"/>
            </w:pPr>
            <w:r w:rsidRPr="009539C3">
              <w:t>318</w:t>
            </w:r>
          </w:p>
        </w:tc>
        <w:tc>
          <w:tcPr>
            <w:tcW w:w="1037" w:type="dxa"/>
          </w:tcPr>
          <w:p w14:paraId="5A2DDE20" w14:textId="77777777" w:rsidR="004C114C" w:rsidRPr="009539C3" w:rsidRDefault="004C114C" w:rsidP="00C3087B">
            <w:pPr>
              <w:pStyle w:val="TableText1"/>
              <w:spacing w:line="240" w:lineRule="auto"/>
            </w:pPr>
            <w:r w:rsidRPr="009539C3">
              <w:t>340</w:t>
            </w:r>
          </w:p>
        </w:tc>
        <w:tc>
          <w:tcPr>
            <w:tcW w:w="1037" w:type="dxa"/>
          </w:tcPr>
          <w:p w14:paraId="2CAF5C66" w14:textId="77777777" w:rsidR="004C114C" w:rsidRPr="009539C3" w:rsidRDefault="004C114C" w:rsidP="00C3087B">
            <w:pPr>
              <w:pStyle w:val="TableText1"/>
              <w:spacing w:line="240" w:lineRule="auto"/>
            </w:pPr>
            <w:r w:rsidRPr="009539C3">
              <w:t>362</w:t>
            </w:r>
          </w:p>
        </w:tc>
        <w:tc>
          <w:tcPr>
            <w:tcW w:w="1037" w:type="dxa"/>
          </w:tcPr>
          <w:p w14:paraId="5E7888AC" w14:textId="77777777" w:rsidR="004C114C" w:rsidRPr="009539C3" w:rsidRDefault="004C114C" w:rsidP="00C3087B">
            <w:pPr>
              <w:pStyle w:val="TableText1"/>
              <w:spacing w:line="240" w:lineRule="auto"/>
            </w:pPr>
            <w:r w:rsidRPr="009539C3">
              <w:t>384</w:t>
            </w:r>
          </w:p>
        </w:tc>
        <w:tc>
          <w:tcPr>
            <w:tcW w:w="1287" w:type="dxa"/>
          </w:tcPr>
          <w:p w14:paraId="51202399" w14:textId="77777777" w:rsidR="004C114C" w:rsidRPr="009539C3" w:rsidRDefault="004C114C" w:rsidP="00C3087B">
            <w:pPr>
              <w:pStyle w:val="TableText1"/>
              <w:spacing w:line="240" w:lineRule="auto"/>
            </w:pPr>
            <w:r w:rsidRPr="009539C3">
              <w:t>PBS data</w:t>
            </w:r>
          </w:p>
        </w:tc>
      </w:tr>
      <w:tr w:rsidR="004C114C" w:rsidRPr="009539C3" w14:paraId="17578094" w14:textId="77777777" w:rsidTr="007B6A30">
        <w:trPr>
          <w:trHeight w:val="283"/>
        </w:trPr>
        <w:tc>
          <w:tcPr>
            <w:tcW w:w="331" w:type="dxa"/>
          </w:tcPr>
          <w:p w14:paraId="4F2BED3E" w14:textId="77777777" w:rsidR="004C114C" w:rsidRPr="009539C3" w:rsidRDefault="004C114C" w:rsidP="00C3087B">
            <w:pPr>
              <w:pStyle w:val="TableText1"/>
              <w:spacing w:line="240" w:lineRule="auto"/>
            </w:pPr>
            <w:r w:rsidRPr="009539C3">
              <w:t>B</w:t>
            </w:r>
          </w:p>
        </w:tc>
        <w:tc>
          <w:tcPr>
            <w:tcW w:w="1172" w:type="dxa"/>
          </w:tcPr>
          <w:p w14:paraId="63394707" w14:textId="50DCD887" w:rsidR="004C114C" w:rsidRPr="009539C3" w:rsidRDefault="004C114C" w:rsidP="00C3087B">
            <w:pPr>
              <w:pStyle w:val="TableText1"/>
              <w:spacing w:line="240" w:lineRule="auto"/>
            </w:pPr>
            <w:r w:rsidRPr="009539C3">
              <w:t xml:space="preserve">Proportion of 1L trastuzumab patients who receive 2L </w:t>
            </w:r>
            <w:proofErr w:type="spellStart"/>
            <w:r w:rsidRPr="009539C3">
              <w:t>therapy</w:t>
            </w:r>
            <w:r w:rsidR="00591349" w:rsidRPr="00133786">
              <w:rPr>
                <w:i/>
                <w:iCs/>
                <w:vertAlign w:val="superscript"/>
              </w:rPr>
              <w:t>a</w:t>
            </w:r>
            <w:proofErr w:type="spellEnd"/>
          </w:p>
        </w:tc>
        <w:tc>
          <w:tcPr>
            <w:tcW w:w="6226" w:type="dxa"/>
            <w:gridSpan w:val="6"/>
          </w:tcPr>
          <w:p w14:paraId="2766B9C7" w14:textId="1B6A1ED9" w:rsidR="004C114C" w:rsidRPr="009539C3" w:rsidRDefault="00523FA0" w:rsidP="00C3087B">
            <w:pPr>
              <w:pStyle w:val="TableText1"/>
              <w:spacing w:line="240" w:lineRule="auto"/>
            </w:pPr>
            <w:r>
              <w:t>redacted</w:t>
            </w:r>
            <w:r w:rsidR="004C114C" w:rsidRPr="009539C3">
              <w:t>%</w:t>
            </w:r>
          </w:p>
        </w:tc>
        <w:tc>
          <w:tcPr>
            <w:tcW w:w="1287" w:type="dxa"/>
          </w:tcPr>
          <w:p w14:paraId="2AF1BFCA" w14:textId="754FC033" w:rsidR="004C114C" w:rsidRPr="009539C3" w:rsidRDefault="004C114C" w:rsidP="00C3087B">
            <w:pPr>
              <w:pStyle w:val="TableText1"/>
              <w:spacing w:line="240" w:lineRule="auto"/>
              <w:jc w:val="left"/>
            </w:pPr>
            <w:r w:rsidRPr="009539C3">
              <w:t xml:space="preserve">Clinical opinion, literature: </w:t>
            </w:r>
            <w:r w:rsidR="00523FA0">
              <w:t>redacted</w:t>
            </w:r>
            <w:r w:rsidRPr="009539C3">
              <w:t xml:space="preserve">% [alive] x </w:t>
            </w:r>
            <w:r w:rsidR="00523FA0">
              <w:t>redacted</w:t>
            </w:r>
            <w:r w:rsidRPr="009539C3">
              <w:t>% [ECOG 0-1]</w:t>
            </w:r>
          </w:p>
        </w:tc>
      </w:tr>
      <w:tr w:rsidR="00523FA0" w:rsidRPr="009539C3" w14:paraId="35DE7949" w14:textId="77777777" w:rsidTr="007B6A30">
        <w:trPr>
          <w:trHeight w:val="283"/>
        </w:trPr>
        <w:tc>
          <w:tcPr>
            <w:tcW w:w="331" w:type="dxa"/>
          </w:tcPr>
          <w:p w14:paraId="12EC593A" w14:textId="77777777" w:rsidR="00523FA0" w:rsidRPr="009539C3" w:rsidRDefault="00523FA0" w:rsidP="00523FA0">
            <w:pPr>
              <w:pStyle w:val="TableText1"/>
              <w:spacing w:line="240" w:lineRule="auto"/>
            </w:pPr>
            <w:r w:rsidRPr="009539C3">
              <w:t>C</w:t>
            </w:r>
          </w:p>
        </w:tc>
        <w:tc>
          <w:tcPr>
            <w:tcW w:w="1172" w:type="dxa"/>
          </w:tcPr>
          <w:p w14:paraId="1027C709" w14:textId="1E68F3F0" w:rsidR="00523FA0" w:rsidRPr="009539C3" w:rsidRDefault="00523FA0" w:rsidP="00523FA0">
            <w:pPr>
              <w:pStyle w:val="TableText1"/>
              <w:spacing w:line="240" w:lineRule="auto"/>
            </w:pPr>
            <w:r w:rsidRPr="60969D91">
              <w:t>Incident patients eligible for T-</w:t>
            </w:r>
            <w:proofErr w:type="spellStart"/>
            <w:r w:rsidRPr="60969D91">
              <w:t>DXd</w:t>
            </w:r>
            <w:proofErr w:type="spellEnd"/>
          </w:p>
        </w:tc>
        <w:tc>
          <w:tcPr>
            <w:tcW w:w="1041" w:type="dxa"/>
          </w:tcPr>
          <w:p w14:paraId="610B6A40" w14:textId="0F8D56DF" w:rsidR="00523FA0" w:rsidRPr="009539C3" w:rsidRDefault="00523FA0" w:rsidP="00523FA0">
            <w:pPr>
              <w:pStyle w:val="TableText1"/>
              <w:spacing w:line="240" w:lineRule="auto"/>
            </w:pPr>
            <w:r>
              <w:t>redacted</w:t>
            </w:r>
          </w:p>
        </w:tc>
        <w:tc>
          <w:tcPr>
            <w:tcW w:w="1037" w:type="dxa"/>
          </w:tcPr>
          <w:p w14:paraId="0DF80C1E" w14:textId="3C4A63AE" w:rsidR="00523FA0" w:rsidRPr="009539C3" w:rsidRDefault="00523FA0" w:rsidP="00523FA0">
            <w:pPr>
              <w:pStyle w:val="TableText1"/>
              <w:spacing w:line="240" w:lineRule="auto"/>
            </w:pPr>
            <w:r w:rsidRPr="006D774A">
              <w:t>redacted</w:t>
            </w:r>
          </w:p>
        </w:tc>
        <w:tc>
          <w:tcPr>
            <w:tcW w:w="1037" w:type="dxa"/>
          </w:tcPr>
          <w:p w14:paraId="7FF59FD4" w14:textId="0CDEECAC" w:rsidR="00523FA0" w:rsidRPr="009539C3" w:rsidRDefault="00523FA0" w:rsidP="00523FA0">
            <w:pPr>
              <w:pStyle w:val="TableText1"/>
              <w:spacing w:line="240" w:lineRule="auto"/>
            </w:pPr>
            <w:r w:rsidRPr="006D774A">
              <w:t>redacted</w:t>
            </w:r>
          </w:p>
        </w:tc>
        <w:tc>
          <w:tcPr>
            <w:tcW w:w="1037" w:type="dxa"/>
          </w:tcPr>
          <w:p w14:paraId="0D018C6B" w14:textId="5F2A2985" w:rsidR="00523FA0" w:rsidRPr="009539C3" w:rsidRDefault="00523FA0" w:rsidP="00523FA0">
            <w:pPr>
              <w:pStyle w:val="TableText1"/>
              <w:spacing w:line="240" w:lineRule="auto"/>
            </w:pPr>
            <w:r w:rsidRPr="006D774A">
              <w:t>redacted</w:t>
            </w:r>
          </w:p>
        </w:tc>
        <w:tc>
          <w:tcPr>
            <w:tcW w:w="1037" w:type="dxa"/>
          </w:tcPr>
          <w:p w14:paraId="0F7496DA" w14:textId="6F87C581" w:rsidR="00523FA0" w:rsidRPr="009539C3" w:rsidRDefault="00523FA0" w:rsidP="00523FA0">
            <w:pPr>
              <w:pStyle w:val="TableText1"/>
              <w:spacing w:line="240" w:lineRule="auto"/>
            </w:pPr>
            <w:r w:rsidRPr="006D774A">
              <w:t>redacted</w:t>
            </w:r>
          </w:p>
        </w:tc>
        <w:tc>
          <w:tcPr>
            <w:tcW w:w="1037" w:type="dxa"/>
          </w:tcPr>
          <w:p w14:paraId="06CBE298" w14:textId="46B0DF2C" w:rsidR="00523FA0" w:rsidRPr="009539C3" w:rsidRDefault="00523FA0" w:rsidP="00523FA0">
            <w:pPr>
              <w:pStyle w:val="TableText1"/>
              <w:spacing w:line="240" w:lineRule="auto"/>
            </w:pPr>
            <w:r w:rsidRPr="006D774A">
              <w:t>redacted</w:t>
            </w:r>
          </w:p>
        </w:tc>
        <w:tc>
          <w:tcPr>
            <w:tcW w:w="1287" w:type="dxa"/>
          </w:tcPr>
          <w:p w14:paraId="56C099F0" w14:textId="77777777" w:rsidR="00523FA0" w:rsidRPr="009539C3" w:rsidRDefault="00523FA0" w:rsidP="00523FA0">
            <w:pPr>
              <w:pStyle w:val="TableText1"/>
              <w:spacing w:line="240" w:lineRule="auto"/>
            </w:pPr>
            <w:r w:rsidRPr="009539C3">
              <w:t>A*B</w:t>
            </w:r>
          </w:p>
        </w:tc>
      </w:tr>
      <w:tr w:rsidR="004C114C" w:rsidRPr="009539C3" w14:paraId="7F682348" w14:textId="77777777" w:rsidTr="007B6A30">
        <w:trPr>
          <w:trHeight w:val="283"/>
        </w:trPr>
        <w:tc>
          <w:tcPr>
            <w:tcW w:w="331" w:type="dxa"/>
          </w:tcPr>
          <w:p w14:paraId="32DFAAFB" w14:textId="77777777" w:rsidR="004C114C" w:rsidRPr="009539C3" w:rsidRDefault="004C114C" w:rsidP="00C3087B">
            <w:pPr>
              <w:pStyle w:val="TableText1"/>
              <w:spacing w:line="240" w:lineRule="auto"/>
            </w:pPr>
            <w:r w:rsidRPr="009539C3">
              <w:t>D</w:t>
            </w:r>
          </w:p>
        </w:tc>
        <w:tc>
          <w:tcPr>
            <w:tcW w:w="1172" w:type="dxa"/>
          </w:tcPr>
          <w:p w14:paraId="49AF2145" w14:textId="77777777" w:rsidR="004C114C" w:rsidRPr="009539C3" w:rsidRDefault="004C114C" w:rsidP="00C3087B">
            <w:pPr>
              <w:pStyle w:val="TableText1"/>
              <w:spacing w:line="240" w:lineRule="auto"/>
            </w:pPr>
            <w:r w:rsidRPr="009539C3">
              <w:t>Prevalent cases eligible for treatment</w:t>
            </w:r>
          </w:p>
        </w:tc>
        <w:tc>
          <w:tcPr>
            <w:tcW w:w="1041" w:type="dxa"/>
          </w:tcPr>
          <w:p w14:paraId="5E9C35D9" w14:textId="0A6E77D3" w:rsidR="004C114C" w:rsidRPr="009539C3" w:rsidRDefault="00523FA0" w:rsidP="00C3087B">
            <w:pPr>
              <w:pStyle w:val="TableText1"/>
              <w:spacing w:line="240" w:lineRule="auto"/>
            </w:pPr>
            <w:r>
              <w:t>redacted</w:t>
            </w:r>
          </w:p>
        </w:tc>
        <w:tc>
          <w:tcPr>
            <w:tcW w:w="1037" w:type="dxa"/>
          </w:tcPr>
          <w:p w14:paraId="29CAA13F" w14:textId="77777777" w:rsidR="004C114C" w:rsidRPr="009539C3" w:rsidRDefault="004C114C" w:rsidP="00C3087B">
            <w:pPr>
              <w:pStyle w:val="TableText1"/>
              <w:spacing w:line="240" w:lineRule="auto"/>
            </w:pPr>
          </w:p>
        </w:tc>
        <w:tc>
          <w:tcPr>
            <w:tcW w:w="1037" w:type="dxa"/>
          </w:tcPr>
          <w:p w14:paraId="5D98B870" w14:textId="77777777" w:rsidR="004C114C" w:rsidRPr="009539C3" w:rsidRDefault="004C114C" w:rsidP="00C3087B">
            <w:pPr>
              <w:pStyle w:val="TableText1"/>
              <w:spacing w:line="240" w:lineRule="auto"/>
            </w:pPr>
          </w:p>
        </w:tc>
        <w:tc>
          <w:tcPr>
            <w:tcW w:w="1037" w:type="dxa"/>
          </w:tcPr>
          <w:p w14:paraId="46E896A0" w14:textId="77777777" w:rsidR="004C114C" w:rsidRPr="009539C3" w:rsidRDefault="004C114C" w:rsidP="00C3087B">
            <w:pPr>
              <w:pStyle w:val="TableText1"/>
              <w:spacing w:line="240" w:lineRule="auto"/>
            </w:pPr>
          </w:p>
        </w:tc>
        <w:tc>
          <w:tcPr>
            <w:tcW w:w="1037" w:type="dxa"/>
          </w:tcPr>
          <w:p w14:paraId="63E74E37" w14:textId="77777777" w:rsidR="004C114C" w:rsidRPr="009539C3" w:rsidRDefault="004C114C" w:rsidP="00C3087B">
            <w:pPr>
              <w:pStyle w:val="TableText1"/>
              <w:spacing w:line="240" w:lineRule="auto"/>
            </w:pPr>
          </w:p>
        </w:tc>
        <w:tc>
          <w:tcPr>
            <w:tcW w:w="1037" w:type="dxa"/>
          </w:tcPr>
          <w:p w14:paraId="3BB088DF" w14:textId="77777777" w:rsidR="004C114C" w:rsidRPr="009539C3" w:rsidRDefault="004C114C" w:rsidP="00C3087B">
            <w:pPr>
              <w:pStyle w:val="TableText1"/>
              <w:spacing w:line="240" w:lineRule="auto"/>
            </w:pPr>
          </w:p>
        </w:tc>
        <w:tc>
          <w:tcPr>
            <w:tcW w:w="1287" w:type="dxa"/>
          </w:tcPr>
          <w:p w14:paraId="7E7F9445" w14:textId="77777777" w:rsidR="004C114C" w:rsidRPr="009539C3" w:rsidRDefault="004C114C" w:rsidP="00C3087B">
            <w:pPr>
              <w:pStyle w:val="TableText1"/>
              <w:spacing w:line="240" w:lineRule="auto"/>
              <w:jc w:val="left"/>
            </w:pPr>
            <w:r w:rsidRPr="009539C3">
              <w:t>Calculated from 2024 PBS trastuzumab scripts</w:t>
            </w:r>
          </w:p>
        </w:tc>
      </w:tr>
      <w:tr w:rsidR="00523FA0" w:rsidRPr="009539C3" w14:paraId="36BBAB8B" w14:textId="77777777" w:rsidTr="007B6A30">
        <w:trPr>
          <w:trHeight w:val="283"/>
        </w:trPr>
        <w:tc>
          <w:tcPr>
            <w:tcW w:w="331" w:type="dxa"/>
          </w:tcPr>
          <w:p w14:paraId="591E8A0D" w14:textId="77777777" w:rsidR="00523FA0" w:rsidRPr="009539C3" w:rsidRDefault="00523FA0" w:rsidP="00523FA0">
            <w:pPr>
              <w:pStyle w:val="TableText1"/>
              <w:spacing w:line="240" w:lineRule="auto"/>
            </w:pPr>
            <w:r w:rsidRPr="009539C3">
              <w:t>E</w:t>
            </w:r>
          </w:p>
        </w:tc>
        <w:tc>
          <w:tcPr>
            <w:tcW w:w="1172" w:type="dxa"/>
          </w:tcPr>
          <w:p w14:paraId="03A2E92C" w14:textId="4990FAC9" w:rsidR="00523FA0" w:rsidRPr="009539C3" w:rsidRDefault="00523FA0" w:rsidP="00523FA0">
            <w:pPr>
              <w:pStyle w:val="TableText1"/>
              <w:spacing w:line="240" w:lineRule="auto"/>
            </w:pPr>
            <w:r w:rsidRPr="60969D91">
              <w:t>Total eligible T-</w:t>
            </w:r>
            <w:proofErr w:type="spellStart"/>
            <w:r w:rsidRPr="60969D91">
              <w:t>DXd</w:t>
            </w:r>
            <w:proofErr w:type="spellEnd"/>
            <w:r w:rsidRPr="60969D91">
              <w:t xml:space="preserve"> patients</w:t>
            </w:r>
          </w:p>
        </w:tc>
        <w:tc>
          <w:tcPr>
            <w:tcW w:w="1041" w:type="dxa"/>
          </w:tcPr>
          <w:p w14:paraId="1BD7E54C" w14:textId="4AF78F27" w:rsidR="00523FA0" w:rsidRPr="009539C3" w:rsidRDefault="00523FA0" w:rsidP="00523FA0">
            <w:pPr>
              <w:pStyle w:val="TableText1"/>
              <w:spacing w:line="240" w:lineRule="auto"/>
            </w:pPr>
            <w:r>
              <w:t>redacted</w:t>
            </w:r>
            <w:r w:rsidRPr="009539C3" w:rsidDel="00523FA0">
              <w:t xml:space="preserve"> </w:t>
            </w:r>
            <w:r w:rsidRPr="00133786">
              <w:rPr>
                <w:vertAlign w:val="superscript"/>
              </w:rPr>
              <w:t>b</w:t>
            </w:r>
          </w:p>
        </w:tc>
        <w:tc>
          <w:tcPr>
            <w:tcW w:w="1037" w:type="dxa"/>
          </w:tcPr>
          <w:p w14:paraId="448463CF" w14:textId="163B992C" w:rsidR="00523FA0" w:rsidRPr="009539C3" w:rsidRDefault="00523FA0" w:rsidP="00523FA0">
            <w:pPr>
              <w:pStyle w:val="TableText1"/>
              <w:spacing w:line="240" w:lineRule="auto"/>
            </w:pPr>
            <w:r w:rsidRPr="0060685C">
              <w:t>redacted</w:t>
            </w:r>
          </w:p>
        </w:tc>
        <w:tc>
          <w:tcPr>
            <w:tcW w:w="1037" w:type="dxa"/>
          </w:tcPr>
          <w:p w14:paraId="25F5D5D1" w14:textId="076FE3D6" w:rsidR="00523FA0" w:rsidRPr="009539C3" w:rsidRDefault="00523FA0" w:rsidP="00523FA0">
            <w:pPr>
              <w:pStyle w:val="TableText1"/>
              <w:spacing w:line="240" w:lineRule="auto"/>
            </w:pPr>
            <w:r w:rsidRPr="0060685C">
              <w:t>redacted</w:t>
            </w:r>
          </w:p>
        </w:tc>
        <w:tc>
          <w:tcPr>
            <w:tcW w:w="1037" w:type="dxa"/>
          </w:tcPr>
          <w:p w14:paraId="63186FB1" w14:textId="6A843AB8" w:rsidR="00523FA0" w:rsidRPr="009539C3" w:rsidRDefault="00523FA0" w:rsidP="00523FA0">
            <w:pPr>
              <w:pStyle w:val="TableText1"/>
              <w:spacing w:line="240" w:lineRule="auto"/>
            </w:pPr>
            <w:r w:rsidRPr="0060685C">
              <w:t>redacted</w:t>
            </w:r>
          </w:p>
        </w:tc>
        <w:tc>
          <w:tcPr>
            <w:tcW w:w="1037" w:type="dxa"/>
          </w:tcPr>
          <w:p w14:paraId="3B81BF0E" w14:textId="6DCD849A" w:rsidR="00523FA0" w:rsidRPr="009539C3" w:rsidRDefault="00523FA0" w:rsidP="00523FA0">
            <w:pPr>
              <w:pStyle w:val="TableText1"/>
              <w:spacing w:line="240" w:lineRule="auto"/>
            </w:pPr>
            <w:r w:rsidRPr="0060685C">
              <w:t>redacted</w:t>
            </w:r>
          </w:p>
        </w:tc>
        <w:tc>
          <w:tcPr>
            <w:tcW w:w="1037" w:type="dxa"/>
          </w:tcPr>
          <w:p w14:paraId="7B8B492F" w14:textId="0064E709" w:rsidR="00523FA0" w:rsidRPr="009539C3" w:rsidRDefault="00523FA0" w:rsidP="00523FA0">
            <w:pPr>
              <w:pStyle w:val="TableText1"/>
              <w:spacing w:line="240" w:lineRule="auto"/>
            </w:pPr>
            <w:r w:rsidRPr="0060685C">
              <w:t>redacted</w:t>
            </w:r>
          </w:p>
        </w:tc>
        <w:tc>
          <w:tcPr>
            <w:tcW w:w="1287" w:type="dxa"/>
          </w:tcPr>
          <w:p w14:paraId="29838CC2" w14:textId="440717C4" w:rsidR="00523FA0" w:rsidRPr="009539C3" w:rsidRDefault="00523FA0" w:rsidP="00523FA0">
            <w:pPr>
              <w:pStyle w:val="TableText1"/>
              <w:spacing w:line="240" w:lineRule="auto"/>
            </w:pPr>
            <w:r w:rsidRPr="009539C3">
              <w:t>C+</w:t>
            </w:r>
            <w:r w:rsidRPr="00133786">
              <w:rPr>
                <w:i/>
                <w:iCs/>
              </w:rPr>
              <w:t>D</w:t>
            </w:r>
          </w:p>
        </w:tc>
      </w:tr>
      <w:tr w:rsidR="00F32B2F" w:rsidRPr="009539C3" w14:paraId="18DFD4B4" w14:textId="77777777" w:rsidTr="007B6A30">
        <w:trPr>
          <w:trHeight w:val="283"/>
        </w:trPr>
        <w:tc>
          <w:tcPr>
            <w:tcW w:w="331" w:type="dxa"/>
          </w:tcPr>
          <w:p w14:paraId="58B0CEC2" w14:textId="77777777" w:rsidR="00F32B2F" w:rsidRPr="009539C3" w:rsidRDefault="00F32B2F" w:rsidP="00F32B2F">
            <w:pPr>
              <w:pStyle w:val="TableText1"/>
              <w:spacing w:line="240" w:lineRule="auto"/>
            </w:pPr>
            <w:r w:rsidRPr="009539C3">
              <w:t>F</w:t>
            </w:r>
          </w:p>
        </w:tc>
        <w:tc>
          <w:tcPr>
            <w:tcW w:w="1172" w:type="dxa"/>
          </w:tcPr>
          <w:p w14:paraId="11F8CB76" w14:textId="77777777" w:rsidR="00F32B2F" w:rsidRPr="009539C3" w:rsidRDefault="00F32B2F" w:rsidP="00F32B2F">
            <w:pPr>
              <w:pStyle w:val="TableText1"/>
              <w:spacing w:line="240" w:lineRule="auto"/>
            </w:pPr>
            <w:r w:rsidRPr="009539C3">
              <w:t>Number of patients re-tested</w:t>
            </w:r>
          </w:p>
        </w:tc>
        <w:tc>
          <w:tcPr>
            <w:tcW w:w="1041" w:type="dxa"/>
          </w:tcPr>
          <w:p w14:paraId="10A21F53" w14:textId="39FFE4B7" w:rsidR="00F32B2F" w:rsidRPr="009539C3" w:rsidRDefault="00F32B2F" w:rsidP="00F32B2F">
            <w:pPr>
              <w:pStyle w:val="TableText1"/>
              <w:spacing w:line="240" w:lineRule="auto"/>
            </w:pPr>
            <w:r w:rsidRPr="00B4542B">
              <w:t>redacted</w:t>
            </w:r>
          </w:p>
        </w:tc>
        <w:tc>
          <w:tcPr>
            <w:tcW w:w="1037" w:type="dxa"/>
          </w:tcPr>
          <w:p w14:paraId="36986222" w14:textId="28F60CE9" w:rsidR="00F32B2F" w:rsidRPr="009539C3" w:rsidRDefault="00F32B2F" w:rsidP="00F32B2F">
            <w:pPr>
              <w:pStyle w:val="TableText1"/>
              <w:spacing w:line="240" w:lineRule="auto"/>
            </w:pPr>
            <w:r w:rsidRPr="00B4542B">
              <w:t>redacted</w:t>
            </w:r>
          </w:p>
        </w:tc>
        <w:tc>
          <w:tcPr>
            <w:tcW w:w="1037" w:type="dxa"/>
          </w:tcPr>
          <w:p w14:paraId="0EF987EC" w14:textId="025A1300" w:rsidR="00F32B2F" w:rsidRPr="009539C3" w:rsidRDefault="00F32B2F" w:rsidP="00F32B2F">
            <w:pPr>
              <w:pStyle w:val="TableText1"/>
              <w:spacing w:line="240" w:lineRule="auto"/>
            </w:pPr>
            <w:r w:rsidRPr="00B4542B">
              <w:t>redacted</w:t>
            </w:r>
          </w:p>
        </w:tc>
        <w:tc>
          <w:tcPr>
            <w:tcW w:w="1037" w:type="dxa"/>
          </w:tcPr>
          <w:p w14:paraId="15E02CD9" w14:textId="54979DFF" w:rsidR="00F32B2F" w:rsidRPr="009539C3" w:rsidRDefault="00F32B2F" w:rsidP="00F32B2F">
            <w:pPr>
              <w:pStyle w:val="TableText1"/>
              <w:spacing w:line="240" w:lineRule="auto"/>
            </w:pPr>
            <w:r w:rsidRPr="00B4542B">
              <w:t>redacted</w:t>
            </w:r>
          </w:p>
        </w:tc>
        <w:tc>
          <w:tcPr>
            <w:tcW w:w="1037" w:type="dxa"/>
          </w:tcPr>
          <w:p w14:paraId="54253894" w14:textId="579525EA" w:rsidR="00F32B2F" w:rsidRPr="009539C3" w:rsidRDefault="00F32B2F" w:rsidP="00F32B2F">
            <w:pPr>
              <w:pStyle w:val="TableText1"/>
              <w:spacing w:line="240" w:lineRule="auto"/>
            </w:pPr>
            <w:r w:rsidRPr="00B4542B">
              <w:t>redacted</w:t>
            </w:r>
          </w:p>
        </w:tc>
        <w:tc>
          <w:tcPr>
            <w:tcW w:w="1037" w:type="dxa"/>
          </w:tcPr>
          <w:p w14:paraId="32F86500" w14:textId="0FDC7088" w:rsidR="00F32B2F" w:rsidRPr="009539C3" w:rsidRDefault="00F32B2F" w:rsidP="00F32B2F">
            <w:pPr>
              <w:pStyle w:val="TableText1"/>
              <w:spacing w:line="240" w:lineRule="auto"/>
            </w:pPr>
            <w:r w:rsidRPr="00B4542B">
              <w:t>redacted</w:t>
            </w:r>
          </w:p>
        </w:tc>
        <w:tc>
          <w:tcPr>
            <w:tcW w:w="1287" w:type="dxa"/>
          </w:tcPr>
          <w:p w14:paraId="7E4785AA" w14:textId="16D5C1D0" w:rsidR="00F32B2F" w:rsidRPr="009539C3" w:rsidRDefault="00F32B2F" w:rsidP="00F32B2F">
            <w:pPr>
              <w:pStyle w:val="TableText1"/>
              <w:spacing w:line="240" w:lineRule="auto"/>
              <w:jc w:val="left"/>
            </w:pPr>
            <w:r w:rsidRPr="009539C3">
              <w:t xml:space="preserve">Clinical opinion – </w:t>
            </w:r>
            <w:r>
              <w:t>redacted</w:t>
            </w:r>
            <w:r w:rsidRPr="009539C3" w:rsidDel="00F32B2F">
              <w:t xml:space="preserve"> </w:t>
            </w:r>
            <w:r w:rsidRPr="009539C3">
              <w:t>% of E</w:t>
            </w:r>
          </w:p>
        </w:tc>
      </w:tr>
      <w:tr w:rsidR="00F32B2F" w:rsidRPr="009539C3" w14:paraId="11C41ED1" w14:textId="77777777" w:rsidTr="007B6A30">
        <w:trPr>
          <w:trHeight w:val="283"/>
        </w:trPr>
        <w:tc>
          <w:tcPr>
            <w:tcW w:w="331" w:type="dxa"/>
          </w:tcPr>
          <w:p w14:paraId="2470F022" w14:textId="2BDEF931" w:rsidR="00F32B2F" w:rsidRPr="009539C3" w:rsidRDefault="00F32B2F" w:rsidP="00F32B2F">
            <w:pPr>
              <w:pStyle w:val="TableText1"/>
              <w:spacing w:line="240" w:lineRule="auto"/>
            </w:pPr>
            <w:r>
              <w:t>G</w:t>
            </w:r>
          </w:p>
        </w:tc>
        <w:tc>
          <w:tcPr>
            <w:tcW w:w="1172" w:type="dxa"/>
          </w:tcPr>
          <w:p w14:paraId="2318FD62" w14:textId="77777777" w:rsidR="00F32B2F" w:rsidRDefault="00F32B2F" w:rsidP="00F32B2F">
            <w:pPr>
              <w:pStyle w:val="TableText1"/>
              <w:spacing w:line="240" w:lineRule="auto"/>
              <w:rPr>
                <w:i/>
                <w:iCs/>
              </w:rPr>
            </w:pPr>
            <w:r w:rsidRPr="005D0F37">
              <w:rPr>
                <w:i/>
                <w:iCs/>
              </w:rPr>
              <w:t>Revised number of patients re-tested</w:t>
            </w:r>
          </w:p>
          <w:p w14:paraId="1BB90D70" w14:textId="7D385D91" w:rsidR="00F32B2F" w:rsidRPr="00765007" w:rsidRDefault="00F32B2F" w:rsidP="00F32B2F">
            <w:pPr>
              <w:pStyle w:val="TableText1"/>
              <w:spacing w:line="240" w:lineRule="auto"/>
            </w:pPr>
            <w:r w:rsidRPr="00081940">
              <w:rPr>
                <w:color w:val="388600"/>
              </w:rPr>
              <w:t>(will receive biopsy and IHC tests)</w:t>
            </w:r>
          </w:p>
        </w:tc>
        <w:tc>
          <w:tcPr>
            <w:tcW w:w="1041" w:type="dxa"/>
          </w:tcPr>
          <w:p w14:paraId="2545474C" w14:textId="21790914" w:rsidR="00F32B2F" w:rsidRPr="005D0F37" w:rsidRDefault="00F32B2F" w:rsidP="00F32B2F">
            <w:pPr>
              <w:pStyle w:val="TableText1"/>
              <w:spacing w:line="240" w:lineRule="auto"/>
              <w:rPr>
                <w:i/>
                <w:iCs/>
              </w:rPr>
            </w:pPr>
            <w:r w:rsidRPr="006E311B">
              <w:t>redacted</w:t>
            </w:r>
          </w:p>
        </w:tc>
        <w:tc>
          <w:tcPr>
            <w:tcW w:w="1037" w:type="dxa"/>
          </w:tcPr>
          <w:p w14:paraId="6DCCFEA1" w14:textId="3B5E06CD" w:rsidR="00F32B2F" w:rsidRPr="005D0F37" w:rsidRDefault="00F32B2F" w:rsidP="00F32B2F">
            <w:pPr>
              <w:pStyle w:val="TableText1"/>
              <w:spacing w:line="240" w:lineRule="auto"/>
              <w:rPr>
                <w:i/>
                <w:iCs/>
              </w:rPr>
            </w:pPr>
            <w:r w:rsidRPr="006E311B">
              <w:t>redacted</w:t>
            </w:r>
          </w:p>
        </w:tc>
        <w:tc>
          <w:tcPr>
            <w:tcW w:w="1037" w:type="dxa"/>
          </w:tcPr>
          <w:p w14:paraId="6C516663" w14:textId="2137CBB4" w:rsidR="00F32B2F" w:rsidRPr="005D0F37" w:rsidRDefault="00F32B2F" w:rsidP="00F32B2F">
            <w:pPr>
              <w:pStyle w:val="TableText1"/>
              <w:spacing w:line="240" w:lineRule="auto"/>
              <w:rPr>
                <w:i/>
                <w:iCs/>
              </w:rPr>
            </w:pPr>
            <w:r w:rsidRPr="006E311B">
              <w:t>redacted</w:t>
            </w:r>
          </w:p>
        </w:tc>
        <w:tc>
          <w:tcPr>
            <w:tcW w:w="1037" w:type="dxa"/>
          </w:tcPr>
          <w:p w14:paraId="09D1E692" w14:textId="748E7B13" w:rsidR="00F32B2F" w:rsidRPr="005D0F37" w:rsidRDefault="00F32B2F" w:rsidP="00F32B2F">
            <w:pPr>
              <w:pStyle w:val="TableText1"/>
              <w:spacing w:line="240" w:lineRule="auto"/>
              <w:rPr>
                <w:i/>
                <w:iCs/>
              </w:rPr>
            </w:pPr>
            <w:r w:rsidRPr="006E311B">
              <w:t>redacted</w:t>
            </w:r>
          </w:p>
        </w:tc>
        <w:tc>
          <w:tcPr>
            <w:tcW w:w="1037" w:type="dxa"/>
          </w:tcPr>
          <w:p w14:paraId="5487133A" w14:textId="19147B12" w:rsidR="00F32B2F" w:rsidRPr="005D0F37" w:rsidRDefault="00F32B2F" w:rsidP="00F32B2F">
            <w:pPr>
              <w:pStyle w:val="TableText1"/>
              <w:spacing w:line="240" w:lineRule="auto"/>
              <w:rPr>
                <w:i/>
                <w:iCs/>
              </w:rPr>
            </w:pPr>
            <w:r w:rsidRPr="006E311B">
              <w:t>redacted</w:t>
            </w:r>
          </w:p>
        </w:tc>
        <w:tc>
          <w:tcPr>
            <w:tcW w:w="1037" w:type="dxa"/>
          </w:tcPr>
          <w:p w14:paraId="5CF98E02" w14:textId="41C21C0F" w:rsidR="00F32B2F" w:rsidRPr="005D0F37" w:rsidRDefault="00F32B2F" w:rsidP="00F32B2F">
            <w:pPr>
              <w:pStyle w:val="TableText1"/>
              <w:spacing w:line="240" w:lineRule="auto"/>
              <w:rPr>
                <w:i/>
                <w:iCs/>
              </w:rPr>
            </w:pPr>
            <w:r w:rsidRPr="006E311B">
              <w:t>redacted</w:t>
            </w:r>
          </w:p>
        </w:tc>
        <w:tc>
          <w:tcPr>
            <w:tcW w:w="1287" w:type="dxa"/>
          </w:tcPr>
          <w:p w14:paraId="6CC9B8D1" w14:textId="15898B03" w:rsidR="00F32B2F" w:rsidRPr="009539C3" w:rsidRDefault="00F32B2F" w:rsidP="00F32B2F">
            <w:pPr>
              <w:pStyle w:val="TableText1"/>
              <w:spacing w:line="240" w:lineRule="auto"/>
              <w:jc w:val="left"/>
            </w:pPr>
            <w:r w:rsidRPr="00D36AB5">
              <w:rPr>
                <w:color w:val="000000"/>
                <w:szCs w:val="18"/>
                <w14:ligatures w14:val="none"/>
              </w:rPr>
              <w:t>HTA group revised calculations</w:t>
            </w:r>
          </w:p>
        </w:tc>
      </w:tr>
      <w:tr w:rsidR="00F32B2F" w:rsidRPr="009539C3" w14:paraId="7CFA3FBB" w14:textId="77777777" w:rsidTr="007B6A30">
        <w:trPr>
          <w:trHeight w:val="283"/>
        </w:trPr>
        <w:tc>
          <w:tcPr>
            <w:tcW w:w="331" w:type="dxa"/>
            <w:vAlign w:val="center"/>
          </w:tcPr>
          <w:p w14:paraId="7F190632" w14:textId="010FC9DD" w:rsidR="00F32B2F" w:rsidRPr="00081940" w:rsidRDefault="00F32B2F" w:rsidP="00F32B2F">
            <w:pPr>
              <w:pStyle w:val="TableText1"/>
              <w:spacing w:line="240" w:lineRule="auto"/>
              <w:rPr>
                <w:color w:val="388600"/>
              </w:rPr>
            </w:pPr>
            <w:r w:rsidRPr="00081940">
              <w:rPr>
                <w:color w:val="388600"/>
                <w:szCs w:val="18"/>
                <w14:ligatures w14:val="none"/>
              </w:rPr>
              <w:t>H</w:t>
            </w:r>
          </w:p>
        </w:tc>
        <w:tc>
          <w:tcPr>
            <w:tcW w:w="1172" w:type="dxa"/>
            <w:vAlign w:val="center"/>
          </w:tcPr>
          <w:p w14:paraId="7E0FB581" w14:textId="55BFDF27" w:rsidR="00F32B2F" w:rsidRPr="00081940" w:rsidRDefault="00F32B2F" w:rsidP="00F32B2F">
            <w:pPr>
              <w:pStyle w:val="TableText1"/>
              <w:spacing w:line="240" w:lineRule="auto"/>
              <w:rPr>
                <w:i/>
                <w:iCs/>
                <w:color w:val="006100"/>
              </w:rPr>
            </w:pPr>
            <w:r w:rsidRPr="00081940">
              <w:rPr>
                <w:color w:val="006100"/>
                <w:szCs w:val="18"/>
                <w14:ligatures w14:val="none"/>
              </w:rPr>
              <w:t xml:space="preserve">No. of patients receiving ISH test (MBS item 73342) </w:t>
            </w:r>
          </w:p>
        </w:tc>
        <w:tc>
          <w:tcPr>
            <w:tcW w:w="1041" w:type="dxa"/>
          </w:tcPr>
          <w:p w14:paraId="3BB3141E" w14:textId="4EBB3FF8" w:rsidR="00F32B2F" w:rsidRPr="00081940" w:rsidRDefault="00F32B2F" w:rsidP="00F32B2F">
            <w:pPr>
              <w:pStyle w:val="TableText1"/>
              <w:spacing w:line="240" w:lineRule="auto"/>
              <w:rPr>
                <w:i/>
                <w:iCs/>
                <w:color w:val="006100"/>
              </w:rPr>
            </w:pPr>
            <w:r w:rsidRPr="00084EC8">
              <w:t>redacted</w:t>
            </w:r>
          </w:p>
        </w:tc>
        <w:tc>
          <w:tcPr>
            <w:tcW w:w="1037" w:type="dxa"/>
          </w:tcPr>
          <w:p w14:paraId="60179F49" w14:textId="0091E2BE" w:rsidR="00F32B2F" w:rsidRPr="00081940" w:rsidRDefault="00F32B2F" w:rsidP="00F32B2F">
            <w:pPr>
              <w:pStyle w:val="TableText1"/>
              <w:spacing w:line="240" w:lineRule="auto"/>
              <w:rPr>
                <w:i/>
                <w:iCs/>
                <w:color w:val="006100"/>
              </w:rPr>
            </w:pPr>
            <w:r w:rsidRPr="00084EC8">
              <w:t>redacted</w:t>
            </w:r>
          </w:p>
        </w:tc>
        <w:tc>
          <w:tcPr>
            <w:tcW w:w="1037" w:type="dxa"/>
          </w:tcPr>
          <w:p w14:paraId="05468BF0" w14:textId="77B437BC" w:rsidR="00F32B2F" w:rsidRPr="00081940" w:rsidRDefault="00F32B2F" w:rsidP="00F32B2F">
            <w:pPr>
              <w:pStyle w:val="TableText1"/>
              <w:spacing w:line="240" w:lineRule="auto"/>
              <w:rPr>
                <w:i/>
                <w:iCs/>
                <w:color w:val="006100"/>
              </w:rPr>
            </w:pPr>
            <w:r w:rsidRPr="00084EC8">
              <w:t>redacted</w:t>
            </w:r>
          </w:p>
        </w:tc>
        <w:tc>
          <w:tcPr>
            <w:tcW w:w="1037" w:type="dxa"/>
          </w:tcPr>
          <w:p w14:paraId="7E73368C" w14:textId="57CB27A6" w:rsidR="00F32B2F" w:rsidRPr="00081940" w:rsidRDefault="00F32B2F" w:rsidP="00F32B2F">
            <w:pPr>
              <w:pStyle w:val="TableText1"/>
              <w:spacing w:line="240" w:lineRule="auto"/>
              <w:rPr>
                <w:i/>
                <w:iCs/>
                <w:color w:val="006100"/>
              </w:rPr>
            </w:pPr>
            <w:r w:rsidRPr="00084EC8">
              <w:t>redacted</w:t>
            </w:r>
          </w:p>
        </w:tc>
        <w:tc>
          <w:tcPr>
            <w:tcW w:w="1037" w:type="dxa"/>
          </w:tcPr>
          <w:p w14:paraId="25009A30" w14:textId="27BCF687" w:rsidR="00F32B2F" w:rsidRPr="00081940" w:rsidRDefault="00F32B2F" w:rsidP="00F32B2F">
            <w:pPr>
              <w:pStyle w:val="TableText1"/>
              <w:spacing w:line="240" w:lineRule="auto"/>
              <w:rPr>
                <w:i/>
                <w:iCs/>
                <w:color w:val="006100"/>
              </w:rPr>
            </w:pPr>
            <w:r w:rsidRPr="00084EC8">
              <w:t>redacted</w:t>
            </w:r>
          </w:p>
        </w:tc>
        <w:tc>
          <w:tcPr>
            <w:tcW w:w="1037" w:type="dxa"/>
          </w:tcPr>
          <w:p w14:paraId="2327EAB2" w14:textId="174A701D" w:rsidR="00F32B2F" w:rsidRPr="00081940" w:rsidRDefault="00F32B2F" w:rsidP="00F32B2F">
            <w:pPr>
              <w:pStyle w:val="TableText1"/>
              <w:spacing w:line="240" w:lineRule="auto"/>
              <w:rPr>
                <w:i/>
                <w:iCs/>
                <w:color w:val="006100"/>
              </w:rPr>
            </w:pPr>
            <w:r w:rsidRPr="00084EC8">
              <w:t>redacted</w:t>
            </w:r>
          </w:p>
        </w:tc>
        <w:tc>
          <w:tcPr>
            <w:tcW w:w="1287" w:type="dxa"/>
            <w:vAlign w:val="center"/>
          </w:tcPr>
          <w:p w14:paraId="4D637E8A" w14:textId="4E6C9C79" w:rsidR="00F32B2F" w:rsidRPr="00081940" w:rsidRDefault="00F32B2F" w:rsidP="00F32B2F">
            <w:pPr>
              <w:pStyle w:val="TableText1"/>
              <w:spacing w:line="240" w:lineRule="auto"/>
              <w:jc w:val="left"/>
              <w:rPr>
                <w:color w:val="006100"/>
              </w:rPr>
            </w:pPr>
            <w:r w:rsidRPr="00081940">
              <w:rPr>
                <w:color w:val="006100"/>
                <w:szCs w:val="18"/>
                <w14:ligatures w14:val="none"/>
              </w:rPr>
              <w:t xml:space="preserve">Commentary - 30% of relapsed patients with G/GOJ lose </w:t>
            </w:r>
            <w:r w:rsidRPr="007B6A30">
              <w:rPr>
                <w:i/>
                <w:iCs/>
                <w:color w:val="006100"/>
                <w:szCs w:val="18"/>
              </w:rPr>
              <w:t>HER2</w:t>
            </w:r>
            <w:r w:rsidRPr="00081940">
              <w:rPr>
                <w:color w:val="006100"/>
                <w:szCs w:val="18"/>
                <w14:ligatures w14:val="none"/>
              </w:rPr>
              <w:t xml:space="preserve"> positivity / 70% x G</w:t>
            </w:r>
          </w:p>
        </w:tc>
      </w:tr>
    </w:tbl>
    <w:p w14:paraId="5DEFC04D" w14:textId="77777777" w:rsidR="004C114C" w:rsidRPr="009539C3" w:rsidRDefault="004C114C" w:rsidP="004C114C">
      <w:pPr>
        <w:pStyle w:val="Tablenotes"/>
      </w:pPr>
      <w:r w:rsidRPr="009539C3">
        <w:t>Source: Table 6 of the MSAC Streamlined submission</w:t>
      </w:r>
    </w:p>
    <w:p w14:paraId="51B12BAE" w14:textId="0783083A" w:rsidR="004C114C" w:rsidRPr="009539C3" w:rsidRDefault="004C114C" w:rsidP="004C114C">
      <w:pPr>
        <w:pStyle w:val="Tablenotes"/>
      </w:pPr>
      <w:proofErr w:type="spellStart"/>
      <w:proofErr w:type="gramStart"/>
      <w:r w:rsidRPr="60969D91">
        <w:rPr>
          <w:vertAlign w:val="superscript"/>
        </w:rPr>
        <w:t>a</w:t>
      </w:r>
      <w:proofErr w:type="spellEnd"/>
      <w:proofErr w:type="gramEnd"/>
      <w:r w:rsidR="00E97639" w:rsidRPr="60969D91">
        <w:rPr>
          <w:vertAlign w:val="superscript"/>
        </w:rPr>
        <w:t xml:space="preserve"> </w:t>
      </w:r>
      <w:r w:rsidRPr="60969D91">
        <w:t>Adjustment to account for proportion of patients still alive and with an ECOG status 0-1 since PBS criteria for trastuzumab is ECOG 0-2</w:t>
      </w:r>
    </w:p>
    <w:p w14:paraId="14E586A8" w14:textId="48DF3B9D" w:rsidR="004C114C" w:rsidRPr="009539C3" w:rsidRDefault="004C114C" w:rsidP="004C114C">
      <w:pPr>
        <w:pStyle w:val="Tablenotes"/>
      </w:pPr>
      <w:r w:rsidRPr="009539C3">
        <w:rPr>
          <w:vertAlign w:val="superscript"/>
        </w:rPr>
        <w:t>b</w:t>
      </w:r>
      <w:r w:rsidR="00E97639" w:rsidRPr="009539C3">
        <w:rPr>
          <w:vertAlign w:val="superscript"/>
        </w:rPr>
        <w:t xml:space="preserve"> </w:t>
      </w:r>
      <w:r w:rsidRPr="009539C3">
        <w:t>Difference in sum due to rounding in model</w:t>
      </w:r>
    </w:p>
    <w:p w14:paraId="446BA9B5" w14:textId="1D01BC75" w:rsidR="004C114C" w:rsidRDefault="004C114C" w:rsidP="60969D91">
      <w:pPr>
        <w:pStyle w:val="Tablenotes"/>
      </w:pPr>
      <w:r w:rsidRPr="60969D91">
        <w:t>Abbreviations: 1L</w:t>
      </w:r>
      <w:r w:rsidR="00042643" w:rsidRPr="60969D91">
        <w:t xml:space="preserve"> =</w:t>
      </w:r>
      <w:r w:rsidRPr="60969D91">
        <w:t xml:space="preserve"> </w:t>
      </w:r>
      <w:proofErr w:type="gramStart"/>
      <w:r w:rsidRPr="60969D91">
        <w:t>first-line</w:t>
      </w:r>
      <w:proofErr w:type="gramEnd"/>
      <w:r w:rsidR="00B7760A" w:rsidRPr="60969D91">
        <w:t>;</w:t>
      </w:r>
      <w:r w:rsidRPr="60969D91">
        <w:t xml:space="preserve"> 2L</w:t>
      </w:r>
      <w:r w:rsidR="00042643" w:rsidRPr="60969D91">
        <w:t xml:space="preserve"> = </w:t>
      </w:r>
      <w:proofErr w:type="gramStart"/>
      <w:r w:rsidRPr="60969D91">
        <w:t>second-line</w:t>
      </w:r>
      <w:proofErr w:type="gramEnd"/>
      <w:r w:rsidR="00B7760A" w:rsidRPr="60969D91">
        <w:t>;</w:t>
      </w:r>
      <w:r w:rsidRPr="60969D91">
        <w:t xml:space="preserve"> ECOG</w:t>
      </w:r>
      <w:r w:rsidR="00042643" w:rsidRPr="60969D91">
        <w:t xml:space="preserve"> =</w:t>
      </w:r>
      <w:r w:rsidRPr="60969D91">
        <w:t xml:space="preserve"> Eastern Cooperative Oncology Group</w:t>
      </w:r>
      <w:r w:rsidR="00FE5881" w:rsidRPr="60969D91">
        <w:t>;</w:t>
      </w:r>
      <w:r w:rsidR="00FF4E25">
        <w:t xml:space="preserve"> </w:t>
      </w:r>
      <w:r w:rsidR="00FF4E25" w:rsidRPr="00DF461A">
        <w:t xml:space="preserve">G/GOJ= gastric/gastroesophageal junction adenocarcinoma; </w:t>
      </w:r>
      <w:r w:rsidR="00FF4E25" w:rsidRPr="007B6A30">
        <w:rPr>
          <w:i/>
          <w:iCs/>
        </w:rPr>
        <w:t>HER2</w:t>
      </w:r>
      <w:r w:rsidR="00FF4E25" w:rsidRPr="00DF461A">
        <w:t xml:space="preserve"> = human epidermal growth factor receptor 2; IHC= immunohistochemistry; ISH= </w:t>
      </w:r>
      <w:r w:rsidR="00FF4E25" w:rsidRPr="00DF461A">
        <w:rPr>
          <w:i/>
          <w:iCs/>
        </w:rPr>
        <w:t>in situ</w:t>
      </w:r>
      <w:r w:rsidR="00FF4E25" w:rsidRPr="00DF461A">
        <w:t xml:space="preserve"> hybridisation; MBS = Medicare Benefits Schedule</w:t>
      </w:r>
      <w:r w:rsidR="00FF4E25" w:rsidRPr="00554F78">
        <w:rPr>
          <w:color w:val="385623" w:themeColor="accent6" w:themeShade="80"/>
        </w:rPr>
        <w:t xml:space="preserve">; </w:t>
      </w:r>
      <w:r w:rsidR="00EF6E40" w:rsidRPr="60969D91">
        <w:t xml:space="preserve">PBS = Pharmaceutical Benefits Scheme; </w:t>
      </w:r>
      <w:r w:rsidR="00F91359" w:rsidRPr="60969D91">
        <w:t>T-</w:t>
      </w:r>
      <w:proofErr w:type="spellStart"/>
      <w:r w:rsidR="00F91359" w:rsidRPr="60969D91">
        <w:t>DXd</w:t>
      </w:r>
      <w:proofErr w:type="spellEnd"/>
      <w:r w:rsidR="00F91359" w:rsidRPr="60969D91">
        <w:t xml:space="preserve"> = trastuzumab </w:t>
      </w:r>
      <w:proofErr w:type="spellStart"/>
      <w:r w:rsidR="00F91359" w:rsidRPr="60969D91">
        <w:t>deruxtecan</w:t>
      </w:r>
      <w:proofErr w:type="spellEnd"/>
    </w:p>
    <w:p w14:paraId="70AC2E89" w14:textId="77777777" w:rsidR="00A02F93" w:rsidRDefault="008B673B" w:rsidP="00A02F93">
      <w:pPr>
        <w:pStyle w:val="Tablenotes"/>
      </w:pPr>
      <w:r>
        <w:t xml:space="preserve">Italics indicate </w:t>
      </w:r>
      <w:r w:rsidR="00371E00">
        <w:t>changes made during e</w:t>
      </w:r>
      <w:r w:rsidR="00526B64">
        <w:t xml:space="preserve">valuation </w:t>
      </w:r>
    </w:p>
    <w:p w14:paraId="029D1327" w14:textId="71DA627D" w:rsidR="00A02F93" w:rsidRPr="005B521F" w:rsidRDefault="00A02F93" w:rsidP="60969D91">
      <w:pPr>
        <w:pStyle w:val="Tablenotes"/>
        <w:rPr>
          <w:color w:val="000000"/>
          <w:szCs w:val="18"/>
          <w:lang w:eastAsia="en-AU"/>
        </w:rPr>
      </w:pPr>
      <w:r w:rsidRPr="00296093">
        <w:rPr>
          <w:color w:val="000000"/>
          <w:szCs w:val="18"/>
          <w:lang w:eastAsia="en-AU"/>
        </w:rPr>
        <w:t xml:space="preserve">Green font indicates </w:t>
      </w:r>
      <w:r>
        <w:rPr>
          <w:color w:val="000000"/>
          <w:szCs w:val="18"/>
          <w:lang w:eastAsia="en-AU"/>
        </w:rPr>
        <w:t>changes</w:t>
      </w:r>
      <w:r w:rsidRPr="00296093">
        <w:rPr>
          <w:color w:val="000000"/>
          <w:szCs w:val="18"/>
          <w:lang w:eastAsia="en-AU"/>
        </w:rPr>
        <w:t xml:space="preserve"> by department</w:t>
      </w:r>
    </w:p>
    <w:p w14:paraId="28893438" w14:textId="4B75A5FB" w:rsidR="00B641FA" w:rsidRPr="009539C3" w:rsidRDefault="00B641FA" w:rsidP="00B641FA">
      <w:r w:rsidRPr="009539C3">
        <w:t xml:space="preserve">The financial implications to the MBS resulting from the proposed listing of </w:t>
      </w:r>
      <w:r w:rsidRPr="007B6A30">
        <w:rPr>
          <w:i/>
          <w:iCs/>
        </w:rPr>
        <w:t>HER2</w:t>
      </w:r>
      <w:r w:rsidRPr="009539C3">
        <w:t xml:space="preserve"> are summarised in </w:t>
      </w:r>
      <w:r w:rsidRPr="009539C3">
        <w:fldChar w:fldCharType="begin"/>
      </w:r>
      <w:r w:rsidRPr="009539C3">
        <w:instrText xml:space="preserve"> REF _Ref189575195 \h </w:instrText>
      </w:r>
      <w:r w:rsidRPr="009539C3">
        <w:fldChar w:fldCharType="separate"/>
      </w:r>
      <w:r w:rsidR="007B45D6" w:rsidRPr="60969D91">
        <w:t xml:space="preserve">Table </w:t>
      </w:r>
      <w:r w:rsidR="007B45D6">
        <w:rPr>
          <w:noProof/>
        </w:rPr>
        <w:t>7</w:t>
      </w:r>
      <w:r w:rsidRPr="009539C3">
        <w:fldChar w:fldCharType="end"/>
      </w:r>
      <w:r w:rsidRPr="009539C3">
        <w:t xml:space="preserve">. </w:t>
      </w:r>
      <w:r w:rsidR="00A70A96">
        <w:t>The revised cost is derived from corrected population but applying the same fees.</w:t>
      </w:r>
    </w:p>
    <w:p w14:paraId="715A53F3" w14:textId="17E93438" w:rsidR="004C114C" w:rsidRPr="009539C3" w:rsidRDefault="004C114C" w:rsidP="004C114C">
      <w:pPr>
        <w:pStyle w:val="Caption"/>
      </w:pPr>
      <w:bookmarkStart w:id="33" w:name="_Ref189575195"/>
      <w:r w:rsidRPr="60969D91">
        <w:lastRenderedPageBreak/>
        <w:t xml:space="preserve">Table </w:t>
      </w:r>
      <w:r>
        <w:fldChar w:fldCharType="begin"/>
      </w:r>
      <w:r>
        <w:instrText xml:space="preserve"> SEQ Table \* ARABIC </w:instrText>
      </w:r>
      <w:r>
        <w:fldChar w:fldCharType="separate"/>
      </w:r>
      <w:r w:rsidR="007B45D6">
        <w:rPr>
          <w:noProof/>
        </w:rPr>
        <w:t>7</w:t>
      </w:r>
      <w:r>
        <w:fldChar w:fldCharType="end"/>
      </w:r>
      <w:bookmarkEnd w:id="33"/>
      <w:r w:rsidRPr="60969D91">
        <w:t xml:space="preserve"> Incremental cost to the MBS for additional </w:t>
      </w:r>
      <w:r w:rsidRPr="007B6A30">
        <w:rPr>
          <w:i/>
          <w:iCs/>
        </w:rPr>
        <w:t>HER2</w:t>
      </w:r>
      <w:r w:rsidRPr="60969D91">
        <w:t xml:space="preserve"> testing</w:t>
      </w:r>
    </w:p>
    <w:tbl>
      <w:tblPr>
        <w:tblStyle w:val="HealthConsult2"/>
        <w:tblW w:w="0" w:type="auto"/>
        <w:tblLayout w:type="fixed"/>
        <w:tblLook w:val="04A0" w:firstRow="1" w:lastRow="0" w:firstColumn="1" w:lastColumn="0" w:noHBand="0" w:noVBand="1"/>
      </w:tblPr>
      <w:tblGrid>
        <w:gridCol w:w="693"/>
        <w:gridCol w:w="578"/>
        <w:gridCol w:w="761"/>
        <w:gridCol w:w="1164"/>
        <w:gridCol w:w="1164"/>
        <w:gridCol w:w="1164"/>
        <w:gridCol w:w="1164"/>
        <w:gridCol w:w="1164"/>
        <w:gridCol w:w="1164"/>
      </w:tblGrid>
      <w:tr w:rsidR="00831203" w:rsidRPr="009539C3" w14:paraId="2C6C809E" w14:textId="77777777" w:rsidTr="00831203">
        <w:tc>
          <w:tcPr>
            <w:tcW w:w="693" w:type="dxa"/>
            <w:shd w:val="clear" w:color="auto" w:fill="auto"/>
          </w:tcPr>
          <w:p w14:paraId="31539142" w14:textId="77777777" w:rsidR="004C114C" w:rsidRPr="009539C3" w:rsidRDefault="004C114C" w:rsidP="007B6A30">
            <w:pPr>
              <w:pStyle w:val="TableText1"/>
              <w:ind w:right="-124"/>
              <w:jc w:val="left"/>
              <w:rPr>
                <w:b/>
                <w:bCs/>
              </w:rPr>
            </w:pPr>
            <w:r w:rsidRPr="009539C3">
              <w:rPr>
                <w:rFonts w:eastAsia="Calibri"/>
                <w:b/>
                <w:bCs/>
              </w:rPr>
              <w:t>MBS Item Number</w:t>
            </w:r>
          </w:p>
        </w:tc>
        <w:tc>
          <w:tcPr>
            <w:tcW w:w="578" w:type="dxa"/>
            <w:shd w:val="clear" w:color="auto" w:fill="auto"/>
          </w:tcPr>
          <w:p w14:paraId="6DF84DBE" w14:textId="77777777" w:rsidR="004C114C" w:rsidRPr="009539C3" w:rsidRDefault="004C114C" w:rsidP="007B6A30">
            <w:pPr>
              <w:pStyle w:val="TableText1"/>
              <w:ind w:right="-158"/>
              <w:jc w:val="left"/>
              <w:rPr>
                <w:b/>
                <w:bCs/>
              </w:rPr>
            </w:pPr>
            <w:r w:rsidRPr="009539C3">
              <w:rPr>
                <w:rFonts w:eastAsia="Calibri"/>
                <w:b/>
                <w:bCs/>
              </w:rPr>
              <w:t>MBS Service</w:t>
            </w:r>
          </w:p>
        </w:tc>
        <w:tc>
          <w:tcPr>
            <w:tcW w:w="761" w:type="dxa"/>
            <w:shd w:val="clear" w:color="auto" w:fill="auto"/>
          </w:tcPr>
          <w:p w14:paraId="69CB57C6" w14:textId="0013DEF1" w:rsidR="004C114C" w:rsidRPr="009539C3" w:rsidRDefault="004C114C" w:rsidP="00C3087B">
            <w:pPr>
              <w:pStyle w:val="TableText1"/>
              <w:jc w:val="left"/>
              <w:rPr>
                <w:b/>
                <w:bCs/>
              </w:rPr>
            </w:pPr>
            <w:r w:rsidRPr="009539C3">
              <w:rPr>
                <w:b/>
                <w:bCs/>
              </w:rPr>
              <w:t xml:space="preserve">Full </w:t>
            </w:r>
            <w:proofErr w:type="spellStart"/>
            <w:r w:rsidRPr="009539C3">
              <w:rPr>
                <w:b/>
                <w:bCs/>
              </w:rPr>
              <w:t>Fee</w:t>
            </w:r>
            <w:r w:rsidR="00B9095C" w:rsidRPr="00A25DB5">
              <w:rPr>
                <w:b/>
                <w:bCs/>
                <w:vertAlign w:val="superscript"/>
              </w:rPr>
              <w:t>a</w:t>
            </w:r>
            <w:proofErr w:type="spellEnd"/>
          </w:p>
        </w:tc>
        <w:tc>
          <w:tcPr>
            <w:tcW w:w="1164" w:type="dxa"/>
            <w:shd w:val="clear" w:color="auto" w:fill="auto"/>
          </w:tcPr>
          <w:p w14:paraId="38F33A8B" w14:textId="2E792CC8" w:rsidR="004C114C" w:rsidRPr="009539C3" w:rsidRDefault="004C114C" w:rsidP="00C3087B">
            <w:pPr>
              <w:pStyle w:val="TableText1"/>
              <w:jc w:val="left"/>
              <w:rPr>
                <w:b/>
                <w:bCs/>
              </w:rPr>
            </w:pPr>
            <w:r w:rsidRPr="009539C3">
              <w:rPr>
                <w:rFonts w:eastAsia="Calibri"/>
                <w:b/>
                <w:bCs/>
              </w:rPr>
              <w:t xml:space="preserve"> 2025</w:t>
            </w:r>
          </w:p>
        </w:tc>
        <w:tc>
          <w:tcPr>
            <w:tcW w:w="1164" w:type="dxa"/>
            <w:shd w:val="clear" w:color="auto" w:fill="auto"/>
          </w:tcPr>
          <w:p w14:paraId="6619CAC0" w14:textId="79B7B790" w:rsidR="004C114C" w:rsidRPr="009539C3" w:rsidRDefault="004C114C" w:rsidP="00C3087B">
            <w:pPr>
              <w:pStyle w:val="TableText1"/>
              <w:jc w:val="left"/>
              <w:rPr>
                <w:b/>
                <w:bCs/>
              </w:rPr>
            </w:pPr>
            <w:r w:rsidRPr="009539C3">
              <w:rPr>
                <w:rFonts w:eastAsia="Calibri"/>
                <w:b/>
                <w:bCs/>
              </w:rPr>
              <w:t xml:space="preserve"> 2026</w:t>
            </w:r>
          </w:p>
        </w:tc>
        <w:tc>
          <w:tcPr>
            <w:tcW w:w="1164" w:type="dxa"/>
            <w:shd w:val="clear" w:color="auto" w:fill="auto"/>
          </w:tcPr>
          <w:p w14:paraId="068402F1" w14:textId="180A1763" w:rsidR="004C114C" w:rsidRPr="009539C3" w:rsidRDefault="004C114C" w:rsidP="00C3087B">
            <w:pPr>
              <w:pStyle w:val="TableText1"/>
              <w:jc w:val="left"/>
              <w:rPr>
                <w:b/>
                <w:bCs/>
              </w:rPr>
            </w:pPr>
            <w:r w:rsidRPr="009539C3">
              <w:rPr>
                <w:rFonts w:eastAsia="Calibri"/>
                <w:b/>
                <w:bCs/>
              </w:rPr>
              <w:t xml:space="preserve"> 2027</w:t>
            </w:r>
          </w:p>
        </w:tc>
        <w:tc>
          <w:tcPr>
            <w:tcW w:w="1164" w:type="dxa"/>
            <w:shd w:val="clear" w:color="auto" w:fill="auto"/>
          </w:tcPr>
          <w:p w14:paraId="11718D34" w14:textId="562FDF0B" w:rsidR="004C114C" w:rsidRPr="009539C3" w:rsidRDefault="004C114C" w:rsidP="00C3087B">
            <w:pPr>
              <w:pStyle w:val="TableText1"/>
              <w:jc w:val="left"/>
              <w:rPr>
                <w:b/>
                <w:bCs/>
              </w:rPr>
            </w:pPr>
            <w:r w:rsidRPr="009539C3">
              <w:rPr>
                <w:rFonts w:eastAsia="Calibri"/>
                <w:b/>
                <w:bCs/>
              </w:rPr>
              <w:t xml:space="preserve"> 2028</w:t>
            </w:r>
          </w:p>
        </w:tc>
        <w:tc>
          <w:tcPr>
            <w:tcW w:w="1164" w:type="dxa"/>
            <w:shd w:val="clear" w:color="auto" w:fill="auto"/>
          </w:tcPr>
          <w:p w14:paraId="4C42B977" w14:textId="058C9E0A" w:rsidR="004C114C" w:rsidRPr="009539C3" w:rsidRDefault="004C114C" w:rsidP="00C3087B">
            <w:pPr>
              <w:pStyle w:val="TableText1"/>
              <w:jc w:val="left"/>
              <w:rPr>
                <w:b/>
                <w:bCs/>
              </w:rPr>
            </w:pPr>
            <w:r w:rsidRPr="009539C3">
              <w:rPr>
                <w:rFonts w:eastAsia="Calibri"/>
                <w:b/>
                <w:bCs/>
              </w:rPr>
              <w:t xml:space="preserve"> 2029</w:t>
            </w:r>
          </w:p>
        </w:tc>
        <w:tc>
          <w:tcPr>
            <w:tcW w:w="1164" w:type="dxa"/>
            <w:shd w:val="clear" w:color="auto" w:fill="auto"/>
          </w:tcPr>
          <w:p w14:paraId="36D1DF33" w14:textId="7E978E77" w:rsidR="004C114C" w:rsidRPr="009539C3" w:rsidRDefault="004C114C" w:rsidP="00C3087B">
            <w:pPr>
              <w:pStyle w:val="TableText1"/>
              <w:rPr>
                <w:b/>
                <w:bCs/>
              </w:rPr>
            </w:pPr>
            <w:r w:rsidRPr="009539C3">
              <w:rPr>
                <w:rFonts w:eastAsia="Calibri"/>
                <w:b/>
                <w:bCs/>
              </w:rPr>
              <w:t>2030</w:t>
            </w:r>
          </w:p>
        </w:tc>
      </w:tr>
      <w:tr w:rsidR="00831203" w:rsidRPr="009539C3" w14:paraId="6A4BEE1C" w14:textId="77777777" w:rsidTr="00831203">
        <w:tc>
          <w:tcPr>
            <w:tcW w:w="693" w:type="dxa"/>
          </w:tcPr>
          <w:p w14:paraId="598F061D" w14:textId="4B1BE091" w:rsidR="004C114C" w:rsidRPr="009539C3" w:rsidRDefault="00E97639" w:rsidP="00C3087B">
            <w:pPr>
              <w:pStyle w:val="TableText1"/>
            </w:pPr>
            <w:r w:rsidRPr="009539C3">
              <w:rPr>
                <w:rFonts w:eastAsia="Calibri"/>
              </w:rPr>
              <w:t>7</w:t>
            </w:r>
            <w:r w:rsidR="004C114C" w:rsidRPr="009539C3">
              <w:rPr>
                <w:rFonts w:eastAsia="Calibri"/>
              </w:rPr>
              <w:t>2848</w:t>
            </w:r>
          </w:p>
        </w:tc>
        <w:tc>
          <w:tcPr>
            <w:tcW w:w="578" w:type="dxa"/>
          </w:tcPr>
          <w:p w14:paraId="5EEA62C5" w14:textId="77777777" w:rsidR="004C114C" w:rsidRPr="009539C3" w:rsidRDefault="004C114C" w:rsidP="00C3087B">
            <w:pPr>
              <w:pStyle w:val="TableText1"/>
            </w:pPr>
            <w:r w:rsidRPr="009539C3">
              <w:t>IHC</w:t>
            </w:r>
          </w:p>
        </w:tc>
        <w:tc>
          <w:tcPr>
            <w:tcW w:w="761" w:type="dxa"/>
            <w:vAlign w:val="center"/>
          </w:tcPr>
          <w:p w14:paraId="60DC1068" w14:textId="77777777" w:rsidR="004C114C" w:rsidRPr="009539C3" w:rsidRDefault="004C114C" w:rsidP="007B6A30">
            <w:pPr>
              <w:pStyle w:val="TableText1"/>
              <w:jc w:val="left"/>
            </w:pPr>
            <w:r w:rsidRPr="009539C3">
              <w:t>$74.50</w:t>
            </w:r>
          </w:p>
        </w:tc>
        <w:tc>
          <w:tcPr>
            <w:tcW w:w="1164" w:type="dxa"/>
            <w:vAlign w:val="center"/>
          </w:tcPr>
          <w:p w14:paraId="756E54BF" w14:textId="0D5E854F" w:rsidR="004C114C" w:rsidRPr="009539C3" w:rsidRDefault="004C114C" w:rsidP="00F000F7">
            <w:pPr>
              <w:pStyle w:val="TableText1"/>
              <w:jc w:val="right"/>
            </w:pPr>
            <w:r w:rsidRPr="009539C3">
              <w:rPr>
                <w:color w:val="000000"/>
              </w:rPr>
              <w:t>$</w:t>
            </w:r>
            <w:r w:rsidR="001F64A9">
              <w:t xml:space="preserve"> redacted</w:t>
            </w:r>
          </w:p>
        </w:tc>
        <w:tc>
          <w:tcPr>
            <w:tcW w:w="1164" w:type="dxa"/>
            <w:vAlign w:val="center"/>
          </w:tcPr>
          <w:p w14:paraId="24B623F7" w14:textId="7E2CEAC2" w:rsidR="004C114C" w:rsidRPr="009539C3" w:rsidRDefault="004C114C" w:rsidP="00F000F7">
            <w:pPr>
              <w:pStyle w:val="TableText1"/>
              <w:jc w:val="right"/>
            </w:pPr>
            <w:r w:rsidRPr="009539C3">
              <w:rPr>
                <w:color w:val="000000"/>
              </w:rPr>
              <w:t>$</w:t>
            </w:r>
            <w:r w:rsidR="001F64A9">
              <w:t xml:space="preserve"> redacted</w:t>
            </w:r>
          </w:p>
        </w:tc>
        <w:tc>
          <w:tcPr>
            <w:tcW w:w="1164" w:type="dxa"/>
            <w:vAlign w:val="center"/>
          </w:tcPr>
          <w:p w14:paraId="7A8E88E1" w14:textId="1C37041F" w:rsidR="004C114C" w:rsidRPr="009539C3" w:rsidRDefault="004C114C" w:rsidP="00F000F7">
            <w:pPr>
              <w:pStyle w:val="TableText1"/>
              <w:jc w:val="right"/>
            </w:pPr>
            <w:r w:rsidRPr="009539C3">
              <w:rPr>
                <w:color w:val="000000"/>
              </w:rPr>
              <w:t>$</w:t>
            </w:r>
            <w:r w:rsidR="001F64A9">
              <w:t xml:space="preserve"> redacted</w:t>
            </w:r>
          </w:p>
        </w:tc>
        <w:tc>
          <w:tcPr>
            <w:tcW w:w="1164" w:type="dxa"/>
            <w:vAlign w:val="center"/>
          </w:tcPr>
          <w:p w14:paraId="49260AE3" w14:textId="05A5E59E" w:rsidR="004C114C" w:rsidRPr="009539C3" w:rsidRDefault="004C114C" w:rsidP="00F000F7">
            <w:pPr>
              <w:pStyle w:val="TableText1"/>
              <w:jc w:val="right"/>
            </w:pPr>
            <w:r w:rsidRPr="009539C3">
              <w:rPr>
                <w:color w:val="000000"/>
              </w:rPr>
              <w:t>$</w:t>
            </w:r>
            <w:r w:rsidR="001F64A9">
              <w:t xml:space="preserve"> redacted</w:t>
            </w:r>
          </w:p>
        </w:tc>
        <w:tc>
          <w:tcPr>
            <w:tcW w:w="1164" w:type="dxa"/>
            <w:vAlign w:val="center"/>
          </w:tcPr>
          <w:p w14:paraId="537C76B6" w14:textId="48669565" w:rsidR="004C114C" w:rsidRPr="009539C3" w:rsidRDefault="004C114C" w:rsidP="00F000F7">
            <w:pPr>
              <w:pStyle w:val="TableText1"/>
              <w:jc w:val="right"/>
            </w:pPr>
            <w:r w:rsidRPr="009539C3">
              <w:rPr>
                <w:color w:val="000000"/>
              </w:rPr>
              <w:t>$</w:t>
            </w:r>
            <w:r w:rsidR="001F64A9">
              <w:t xml:space="preserve"> redacted</w:t>
            </w:r>
          </w:p>
        </w:tc>
        <w:tc>
          <w:tcPr>
            <w:tcW w:w="1164" w:type="dxa"/>
            <w:vAlign w:val="center"/>
          </w:tcPr>
          <w:p w14:paraId="68E3128F" w14:textId="227E29F8" w:rsidR="004C114C" w:rsidRPr="009539C3" w:rsidRDefault="004C114C" w:rsidP="00F000F7">
            <w:pPr>
              <w:pStyle w:val="TableText1"/>
              <w:jc w:val="right"/>
            </w:pPr>
            <w:r w:rsidRPr="009539C3">
              <w:rPr>
                <w:color w:val="000000"/>
              </w:rPr>
              <w:t>$</w:t>
            </w:r>
            <w:r w:rsidR="001F64A9">
              <w:t xml:space="preserve"> redacted</w:t>
            </w:r>
          </w:p>
        </w:tc>
      </w:tr>
      <w:tr w:rsidR="00831203" w:rsidRPr="009539C3" w14:paraId="10B02DF0" w14:textId="77777777" w:rsidTr="007B6A30">
        <w:tc>
          <w:tcPr>
            <w:tcW w:w="693" w:type="dxa"/>
          </w:tcPr>
          <w:p w14:paraId="7DFA932B" w14:textId="77777777" w:rsidR="004C114C" w:rsidRPr="009539C3" w:rsidRDefault="004C114C" w:rsidP="00C3087B">
            <w:pPr>
              <w:pStyle w:val="TableText1"/>
            </w:pPr>
            <w:r w:rsidRPr="009539C3">
              <w:rPr>
                <w:rFonts w:eastAsia="Calibri"/>
              </w:rPr>
              <w:t>73342</w:t>
            </w:r>
          </w:p>
        </w:tc>
        <w:tc>
          <w:tcPr>
            <w:tcW w:w="578" w:type="dxa"/>
          </w:tcPr>
          <w:p w14:paraId="10ECC126" w14:textId="77777777" w:rsidR="004C114C" w:rsidRPr="009539C3" w:rsidRDefault="004C114C" w:rsidP="00C3087B">
            <w:pPr>
              <w:pStyle w:val="TableText1"/>
            </w:pPr>
            <w:r w:rsidRPr="009539C3">
              <w:rPr>
                <w:rFonts w:eastAsia="Calibri"/>
              </w:rPr>
              <w:t>ISH</w:t>
            </w:r>
          </w:p>
        </w:tc>
        <w:tc>
          <w:tcPr>
            <w:tcW w:w="761" w:type="dxa"/>
            <w:vAlign w:val="center"/>
          </w:tcPr>
          <w:p w14:paraId="65BA9144" w14:textId="77777777" w:rsidR="004C114C" w:rsidRPr="009539C3" w:rsidRDefault="004C114C" w:rsidP="007B6A30">
            <w:pPr>
              <w:pStyle w:val="TableText1"/>
              <w:jc w:val="left"/>
            </w:pPr>
            <w:r w:rsidRPr="009539C3">
              <w:rPr>
                <w:rFonts w:eastAsia="Calibri"/>
              </w:rPr>
              <w:t>$315.40</w:t>
            </w:r>
          </w:p>
        </w:tc>
        <w:tc>
          <w:tcPr>
            <w:tcW w:w="1164" w:type="dxa"/>
            <w:vAlign w:val="center"/>
          </w:tcPr>
          <w:p w14:paraId="4163BBF7" w14:textId="5D1CE69C" w:rsidR="004C114C" w:rsidRPr="009539C3" w:rsidRDefault="004C114C" w:rsidP="00F000F7">
            <w:pPr>
              <w:pStyle w:val="TableText1"/>
              <w:jc w:val="right"/>
            </w:pPr>
            <w:r w:rsidRPr="009539C3">
              <w:rPr>
                <w:color w:val="000000"/>
              </w:rPr>
              <w:t>$</w:t>
            </w:r>
            <w:r w:rsidR="001F64A9">
              <w:t xml:space="preserve"> redacted</w:t>
            </w:r>
          </w:p>
        </w:tc>
        <w:tc>
          <w:tcPr>
            <w:tcW w:w="1164" w:type="dxa"/>
            <w:vAlign w:val="center"/>
          </w:tcPr>
          <w:p w14:paraId="2A2EB98A" w14:textId="38C7CE82" w:rsidR="004C114C" w:rsidRPr="009539C3" w:rsidRDefault="004C114C" w:rsidP="00F000F7">
            <w:pPr>
              <w:pStyle w:val="TableText1"/>
              <w:jc w:val="right"/>
            </w:pPr>
            <w:r w:rsidRPr="009539C3">
              <w:rPr>
                <w:color w:val="000000"/>
              </w:rPr>
              <w:t>$</w:t>
            </w:r>
            <w:r w:rsidR="001F64A9">
              <w:t xml:space="preserve"> redacted</w:t>
            </w:r>
          </w:p>
        </w:tc>
        <w:tc>
          <w:tcPr>
            <w:tcW w:w="1164" w:type="dxa"/>
            <w:vAlign w:val="center"/>
          </w:tcPr>
          <w:p w14:paraId="5D90AF8F" w14:textId="644A10EA" w:rsidR="004C114C" w:rsidRPr="009539C3" w:rsidRDefault="004C114C" w:rsidP="00F000F7">
            <w:pPr>
              <w:pStyle w:val="TableText1"/>
              <w:jc w:val="right"/>
            </w:pPr>
            <w:r w:rsidRPr="009539C3">
              <w:rPr>
                <w:color w:val="000000"/>
              </w:rPr>
              <w:t>$</w:t>
            </w:r>
            <w:r w:rsidR="00170C17">
              <w:t xml:space="preserve"> redacted</w:t>
            </w:r>
          </w:p>
        </w:tc>
        <w:tc>
          <w:tcPr>
            <w:tcW w:w="1164" w:type="dxa"/>
            <w:vAlign w:val="center"/>
          </w:tcPr>
          <w:p w14:paraId="12ABE548" w14:textId="0877C9FC" w:rsidR="004C114C" w:rsidRPr="009539C3" w:rsidRDefault="004C114C" w:rsidP="00F000F7">
            <w:pPr>
              <w:pStyle w:val="TableText1"/>
              <w:jc w:val="right"/>
            </w:pPr>
            <w:r w:rsidRPr="009539C3">
              <w:rPr>
                <w:color w:val="000000"/>
              </w:rPr>
              <w:t>$</w:t>
            </w:r>
            <w:r w:rsidR="00170C17">
              <w:t xml:space="preserve"> redacted</w:t>
            </w:r>
          </w:p>
        </w:tc>
        <w:tc>
          <w:tcPr>
            <w:tcW w:w="1164" w:type="dxa"/>
            <w:vAlign w:val="center"/>
          </w:tcPr>
          <w:p w14:paraId="6787B6F2" w14:textId="768C8E61" w:rsidR="004C114C" w:rsidRPr="009539C3" w:rsidRDefault="004C114C" w:rsidP="00F000F7">
            <w:pPr>
              <w:pStyle w:val="TableText1"/>
              <w:jc w:val="right"/>
            </w:pPr>
            <w:r w:rsidRPr="009539C3">
              <w:rPr>
                <w:color w:val="000000"/>
              </w:rPr>
              <w:t>$</w:t>
            </w:r>
            <w:r w:rsidR="00170C17">
              <w:t xml:space="preserve"> redacted</w:t>
            </w:r>
          </w:p>
        </w:tc>
        <w:tc>
          <w:tcPr>
            <w:tcW w:w="1164" w:type="dxa"/>
            <w:vAlign w:val="center"/>
          </w:tcPr>
          <w:p w14:paraId="5C82602B" w14:textId="093F042C" w:rsidR="004C114C" w:rsidRPr="009539C3" w:rsidRDefault="004C114C" w:rsidP="00F000F7">
            <w:pPr>
              <w:pStyle w:val="TableText1"/>
              <w:jc w:val="right"/>
              <w:rPr>
                <w:color w:val="000000"/>
              </w:rPr>
            </w:pPr>
            <w:r w:rsidRPr="009539C3">
              <w:rPr>
                <w:color w:val="000000"/>
              </w:rPr>
              <w:t>$</w:t>
            </w:r>
            <w:r w:rsidR="00170C17">
              <w:t xml:space="preserve"> redacted</w:t>
            </w:r>
          </w:p>
        </w:tc>
      </w:tr>
      <w:tr w:rsidR="00831203" w:rsidRPr="009539C3" w14:paraId="1EE95998" w14:textId="77777777" w:rsidTr="007B6A30">
        <w:tc>
          <w:tcPr>
            <w:tcW w:w="693" w:type="dxa"/>
          </w:tcPr>
          <w:p w14:paraId="51DEFB45" w14:textId="77777777" w:rsidR="004C114C" w:rsidRPr="009539C3" w:rsidRDefault="004C114C" w:rsidP="00C3087B">
            <w:pPr>
              <w:pStyle w:val="TableText1"/>
              <w:rPr>
                <w:rFonts w:eastAsia="Calibri"/>
              </w:rPr>
            </w:pPr>
            <w:r w:rsidRPr="009539C3">
              <w:rPr>
                <w:rFonts w:eastAsia="Calibri"/>
              </w:rPr>
              <w:t>30688</w:t>
            </w:r>
          </w:p>
        </w:tc>
        <w:tc>
          <w:tcPr>
            <w:tcW w:w="578" w:type="dxa"/>
          </w:tcPr>
          <w:p w14:paraId="725A70E9" w14:textId="77777777" w:rsidR="004C114C" w:rsidRPr="009539C3" w:rsidRDefault="004C114C" w:rsidP="00C3087B">
            <w:pPr>
              <w:pStyle w:val="TableText1"/>
            </w:pPr>
            <w:r w:rsidRPr="009539C3">
              <w:t>Biopsy</w:t>
            </w:r>
          </w:p>
        </w:tc>
        <w:tc>
          <w:tcPr>
            <w:tcW w:w="761" w:type="dxa"/>
            <w:vAlign w:val="center"/>
          </w:tcPr>
          <w:p w14:paraId="12AA9B99" w14:textId="77777777" w:rsidR="004C114C" w:rsidRPr="009539C3" w:rsidRDefault="004C114C" w:rsidP="007B6A30">
            <w:pPr>
              <w:pStyle w:val="TableText1"/>
              <w:jc w:val="left"/>
            </w:pPr>
            <w:r w:rsidRPr="009539C3">
              <w:rPr>
                <w:rFonts w:eastAsia="Calibri"/>
              </w:rPr>
              <w:t>$415.75</w:t>
            </w:r>
          </w:p>
        </w:tc>
        <w:tc>
          <w:tcPr>
            <w:tcW w:w="1164" w:type="dxa"/>
          </w:tcPr>
          <w:p w14:paraId="36200749" w14:textId="518FB2DF" w:rsidR="004C114C" w:rsidRPr="009539C3" w:rsidRDefault="004C114C" w:rsidP="00F000F7">
            <w:pPr>
              <w:pStyle w:val="TableText1"/>
              <w:jc w:val="right"/>
            </w:pPr>
            <w:r w:rsidRPr="009539C3">
              <w:t>$</w:t>
            </w:r>
            <w:r w:rsidR="00170C17">
              <w:t xml:space="preserve"> redacted</w:t>
            </w:r>
          </w:p>
        </w:tc>
        <w:tc>
          <w:tcPr>
            <w:tcW w:w="1164" w:type="dxa"/>
          </w:tcPr>
          <w:p w14:paraId="05C45909" w14:textId="10CDF945" w:rsidR="004C114C" w:rsidRPr="009539C3" w:rsidRDefault="004C114C" w:rsidP="00F000F7">
            <w:pPr>
              <w:pStyle w:val="TableText1"/>
              <w:jc w:val="right"/>
            </w:pPr>
            <w:r w:rsidRPr="009539C3">
              <w:t>$</w:t>
            </w:r>
            <w:r w:rsidR="00170C17">
              <w:t xml:space="preserve"> redacted</w:t>
            </w:r>
          </w:p>
        </w:tc>
        <w:tc>
          <w:tcPr>
            <w:tcW w:w="1164" w:type="dxa"/>
          </w:tcPr>
          <w:p w14:paraId="589855C1" w14:textId="48E080E4" w:rsidR="004C114C" w:rsidRPr="009539C3" w:rsidRDefault="004C114C" w:rsidP="00F000F7">
            <w:pPr>
              <w:pStyle w:val="TableText1"/>
              <w:jc w:val="right"/>
            </w:pPr>
            <w:r w:rsidRPr="009539C3">
              <w:t>$</w:t>
            </w:r>
            <w:r w:rsidR="00170C17">
              <w:t xml:space="preserve"> redacted</w:t>
            </w:r>
          </w:p>
        </w:tc>
        <w:tc>
          <w:tcPr>
            <w:tcW w:w="1164" w:type="dxa"/>
          </w:tcPr>
          <w:p w14:paraId="671EC2C0" w14:textId="67BD86D7" w:rsidR="004C114C" w:rsidRPr="009539C3" w:rsidRDefault="004C114C" w:rsidP="00F000F7">
            <w:pPr>
              <w:pStyle w:val="TableText1"/>
              <w:jc w:val="right"/>
            </w:pPr>
            <w:r w:rsidRPr="009539C3">
              <w:t>$</w:t>
            </w:r>
            <w:r w:rsidR="00170C17">
              <w:t xml:space="preserve"> redacted</w:t>
            </w:r>
          </w:p>
        </w:tc>
        <w:tc>
          <w:tcPr>
            <w:tcW w:w="1164" w:type="dxa"/>
          </w:tcPr>
          <w:p w14:paraId="22222056" w14:textId="6CEAC20A" w:rsidR="004C114C" w:rsidRPr="009539C3" w:rsidRDefault="004C114C" w:rsidP="00F000F7">
            <w:pPr>
              <w:pStyle w:val="TableText1"/>
              <w:jc w:val="right"/>
            </w:pPr>
            <w:r w:rsidRPr="009539C3">
              <w:t>$</w:t>
            </w:r>
            <w:r w:rsidR="00170C17">
              <w:t xml:space="preserve"> redacted</w:t>
            </w:r>
          </w:p>
        </w:tc>
        <w:tc>
          <w:tcPr>
            <w:tcW w:w="1164" w:type="dxa"/>
          </w:tcPr>
          <w:p w14:paraId="123F3BE4" w14:textId="0522F4F8" w:rsidR="004C114C" w:rsidRPr="009539C3" w:rsidRDefault="004C114C" w:rsidP="00F000F7">
            <w:pPr>
              <w:pStyle w:val="TableText1"/>
              <w:jc w:val="right"/>
            </w:pPr>
            <w:r w:rsidRPr="009539C3">
              <w:t>$</w:t>
            </w:r>
            <w:r w:rsidR="00170C17">
              <w:t xml:space="preserve"> redacted</w:t>
            </w:r>
          </w:p>
        </w:tc>
      </w:tr>
      <w:tr w:rsidR="00084ACA" w:rsidRPr="009539C3" w14:paraId="6E0B6C0B" w14:textId="77777777" w:rsidTr="007B6A30">
        <w:tc>
          <w:tcPr>
            <w:tcW w:w="2032" w:type="dxa"/>
            <w:gridSpan w:val="3"/>
          </w:tcPr>
          <w:p w14:paraId="791EE5CC" w14:textId="2DDAC20F" w:rsidR="004C114C" w:rsidRPr="009539C3" w:rsidRDefault="004C114C" w:rsidP="00C3087B">
            <w:pPr>
              <w:pStyle w:val="TableText1"/>
              <w:rPr>
                <w:rFonts w:eastAsia="Calibri"/>
                <w:b/>
                <w:bCs/>
              </w:rPr>
            </w:pPr>
            <w:r w:rsidRPr="009539C3">
              <w:rPr>
                <w:rFonts w:eastAsia="Calibri"/>
                <w:b/>
                <w:bCs/>
              </w:rPr>
              <w:t>Total cost to MBS</w:t>
            </w:r>
            <w:r w:rsidR="00170C17">
              <w:rPr>
                <w:rFonts w:eastAsia="Calibri"/>
                <w:b/>
                <w:bCs/>
              </w:rPr>
              <w:t xml:space="preserve"> ($)</w:t>
            </w:r>
          </w:p>
        </w:tc>
        <w:tc>
          <w:tcPr>
            <w:tcW w:w="1164" w:type="dxa"/>
            <w:vAlign w:val="center"/>
          </w:tcPr>
          <w:p w14:paraId="3162AB30" w14:textId="291C80F9" w:rsidR="004C114C" w:rsidRPr="009539C3" w:rsidRDefault="00170C17" w:rsidP="00F000F7">
            <w:pPr>
              <w:pStyle w:val="TableText1"/>
              <w:jc w:val="right"/>
              <w:rPr>
                <w:b/>
                <w:bCs/>
              </w:rPr>
            </w:pPr>
            <w:r>
              <w:t>redacted</w:t>
            </w:r>
          </w:p>
        </w:tc>
        <w:tc>
          <w:tcPr>
            <w:tcW w:w="1164" w:type="dxa"/>
            <w:vAlign w:val="center"/>
          </w:tcPr>
          <w:p w14:paraId="314E0F74" w14:textId="458C90BF" w:rsidR="004C114C" w:rsidRPr="009539C3" w:rsidRDefault="00170C17" w:rsidP="00F000F7">
            <w:pPr>
              <w:pStyle w:val="TableText1"/>
              <w:jc w:val="right"/>
              <w:rPr>
                <w:b/>
                <w:bCs/>
              </w:rPr>
            </w:pPr>
            <w:r>
              <w:t>redacted</w:t>
            </w:r>
          </w:p>
        </w:tc>
        <w:tc>
          <w:tcPr>
            <w:tcW w:w="1164" w:type="dxa"/>
            <w:vAlign w:val="center"/>
          </w:tcPr>
          <w:p w14:paraId="1AB3A5C4" w14:textId="3C99C362" w:rsidR="004C114C" w:rsidRPr="009539C3" w:rsidRDefault="00170C17" w:rsidP="00F000F7">
            <w:pPr>
              <w:pStyle w:val="TableText1"/>
              <w:jc w:val="right"/>
              <w:rPr>
                <w:b/>
                <w:bCs/>
              </w:rPr>
            </w:pPr>
            <w:r>
              <w:t>redacted</w:t>
            </w:r>
          </w:p>
        </w:tc>
        <w:tc>
          <w:tcPr>
            <w:tcW w:w="1164" w:type="dxa"/>
            <w:vAlign w:val="center"/>
          </w:tcPr>
          <w:p w14:paraId="78EB14C2" w14:textId="71E951D4" w:rsidR="004C114C" w:rsidRPr="009539C3" w:rsidRDefault="00170C17" w:rsidP="00F000F7">
            <w:pPr>
              <w:pStyle w:val="TableText1"/>
              <w:jc w:val="right"/>
              <w:rPr>
                <w:b/>
                <w:bCs/>
              </w:rPr>
            </w:pPr>
            <w:r>
              <w:t>redacted</w:t>
            </w:r>
          </w:p>
        </w:tc>
        <w:tc>
          <w:tcPr>
            <w:tcW w:w="1164" w:type="dxa"/>
            <w:vAlign w:val="center"/>
          </w:tcPr>
          <w:p w14:paraId="6D885E65" w14:textId="1EF519F2" w:rsidR="004C114C" w:rsidRPr="009539C3" w:rsidRDefault="00170C17" w:rsidP="00F000F7">
            <w:pPr>
              <w:pStyle w:val="TableText1"/>
              <w:jc w:val="right"/>
              <w:rPr>
                <w:b/>
                <w:bCs/>
              </w:rPr>
            </w:pPr>
            <w:r>
              <w:t>redacted</w:t>
            </w:r>
          </w:p>
        </w:tc>
        <w:tc>
          <w:tcPr>
            <w:tcW w:w="1164" w:type="dxa"/>
            <w:vAlign w:val="center"/>
          </w:tcPr>
          <w:p w14:paraId="239A35B7" w14:textId="3BF109FE" w:rsidR="004C114C" w:rsidRPr="009539C3" w:rsidRDefault="00170C17" w:rsidP="00F000F7">
            <w:pPr>
              <w:pStyle w:val="TableText1"/>
              <w:jc w:val="right"/>
              <w:rPr>
                <w:b/>
                <w:bCs/>
              </w:rPr>
            </w:pPr>
            <w:r>
              <w:t>redacted</w:t>
            </w:r>
          </w:p>
        </w:tc>
      </w:tr>
      <w:tr w:rsidR="00084ACA" w:rsidRPr="009539C3" w14:paraId="024370B6" w14:textId="77777777" w:rsidTr="007B6A30">
        <w:tc>
          <w:tcPr>
            <w:tcW w:w="2032" w:type="dxa"/>
            <w:gridSpan w:val="3"/>
          </w:tcPr>
          <w:p w14:paraId="42E6206D" w14:textId="29192E24" w:rsidR="00170C17" w:rsidRPr="00765007" w:rsidRDefault="00170C17" w:rsidP="007B6A30">
            <w:pPr>
              <w:pStyle w:val="TableText1"/>
              <w:jc w:val="left"/>
              <w:rPr>
                <w:rFonts w:eastAsia="Calibri"/>
                <w:i/>
                <w:iCs/>
              </w:rPr>
            </w:pPr>
            <w:r w:rsidRPr="00765007">
              <w:rPr>
                <w:rFonts w:eastAsia="Calibri"/>
                <w:i/>
                <w:iCs/>
              </w:rPr>
              <w:t>Revised cost to MBS</w:t>
            </w:r>
            <w:r w:rsidR="00C47DFB">
              <w:rPr>
                <w:rFonts w:eastAsia="Calibri"/>
                <w:i/>
                <w:iCs/>
              </w:rPr>
              <w:t xml:space="preserve"> </w:t>
            </w:r>
            <w:r w:rsidRPr="00765007">
              <w:rPr>
                <w:rFonts w:eastAsia="Calibri"/>
                <w:i/>
                <w:iCs/>
              </w:rPr>
              <w:t xml:space="preserve">at 80% of the </w:t>
            </w:r>
            <w:proofErr w:type="spellStart"/>
            <w:r w:rsidRPr="00765007">
              <w:rPr>
                <w:rFonts w:eastAsia="Calibri"/>
                <w:i/>
                <w:iCs/>
              </w:rPr>
              <w:t>Fee</w:t>
            </w:r>
            <w:r w:rsidRPr="00765007">
              <w:rPr>
                <w:rFonts w:eastAsia="Calibri"/>
                <w:i/>
                <w:iCs/>
                <w:vertAlign w:val="superscript"/>
              </w:rPr>
              <w:t>b</w:t>
            </w:r>
            <w:proofErr w:type="spellEnd"/>
            <w:r>
              <w:rPr>
                <w:rFonts w:eastAsia="Calibri"/>
                <w:i/>
                <w:iCs/>
                <w:vertAlign w:val="superscript"/>
              </w:rPr>
              <w:t xml:space="preserve"> </w:t>
            </w:r>
            <w:r w:rsidRPr="007B6A30">
              <w:rPr>
                <w:rFonts w:eastAsia="Calibri"/>
                <w:i/>
                <w:iCs/>
              </w:rPr>
              <w:t>($)</w:t>
            </w:r>
          </w:p>
        </w:tc>
        <w:tc>
          <w:tcPr>
            <w:tcW w:w="1164" w:type="dxa"/>
          </w:tcPr>
          <w:p w14:paraId="1176D6EF" w14:textId="460BDEE3" w:rsidR="00170C17" w:rsidRPr="00765007" w:rsidRDefault="00170C17" w:rsidP="00170C17">
            <w:pPr>
              <w:pStyle w:val="TableText1"/>
              <w:jc w:val="right"/>
              <w:rPr>
                <w:i/>
                <w:iCs/>
                <w:color w:val="000000"/>
              </w:rPr>
            </w:pPr>
            <w:r w:rsidRPr="00170C17">
              <w:rPr>
                <w:i/>
                <w:iCs/>
              </w:rPr>
              <w:t>redacted</w:t>
            </w:r>
          </w:p>
        </w:tc>
        <w:tc>
          <w:tcPr>
            <w:tcW w:w="1164" w:type="dxa"/>
          </w:tcPr>
          <w:p w14:paraId="1720406E" w14:textId="50729310" w:rsidR="00170C17" w:rsidRPr="00A70A96" w:rsidRDefault="00170C17" w:rsidP="00170C17">
            <w:pPr>
              <w:pStyle w:val="TableText1"/>
              <w:jc w:val="right"/>
              <w:rPr>
                <w:b/>
                <w:bCs/>
                <w:i/>
                <w:iCs/>
                <w:color w:val="000000"/>
              </w:rPr>
            </w:pPr>
            <w:r w:rsidRPr="004C4967">
              <w:rPr>
                <w:i/>
                <w:iCs/>
              </w:rPr>
              <w:t>redacted</w:t>
            </w:r>
          </w:p>
        </w:tc>
        <w:tc>
          <w:tcPr>
            <w:tcW w:w="1164" w:type="dxa"/>
          </w:tcPr>
          <w:p w14:paraId="4B5478E1" w14:textId="5680BC88" w:rsidR="00170C17" w:rsidRPr="00A70A96" w:rsidRDefault="00170C17" w:rsidP="00170C17">
            <w:pPr>
              <w:pStyle w:val="TableText1"/>
              <w:jc w:val="right"/>
              <w:rPr>
                <w:b/>
                <w:bCs/>
                <w:i/>
                <w:iCs/>
                <w:color w:val="000000"/>
              </w:rPr>
            </w:pPr>
            <w:r w:rsidRPr="004C4967">
              <w:rPr>
                <w:i/>
                <w:iCs/>
              </w:rPr>
              <w:t>redacted</w:t>
            </w:r>
          </w:p>
        </w:tc>
        <w:tc>
          <w:tcPr>
            <w:tcW w:w="1164" w:type="dxa"/>
          </w:tcPr>
          <w:p w14:paraId="02AE1D11" w14:textId="23CD8094" w:rsidR="00170C17" w:rsidRPr="00A70A96" w:rsidRDefault="00170C17" w:rsidP="00170C17">
            <w:pPr>
              <w:pStyle w:val="TableText1"/>
              <w:jc w:val="right"/>
              <w:rPr>
                <w:b/>
                <w:bCs/>
                <w:i/>
                <w:iCs/>
                <w:color w:val="000000"/>
              </w:rPr>
            </w:pPr>
            <w:r w:rsidRPr="004C4967">
              <w:rPr>
                <w:i/>
                <w:iCs/>
              </w:rPr>
              <w:t>redacted</w:t>
            </w:r>
          </w:p>
        </w:tc>
        <w:tc>
          <w:tcPr>
            <w:tcW w:w="1164" w:type="dxa"/>
          </w:tcPr>
          <w:p w14:paraId="6C9DDA08" w14:textId="1DCA7912" w:rsidR="00170C17" w:rsidRPr="00A70A96" w:rsidRDefault="00170C17" w:rsidP="00170C17">
            <w:pPr>
              <w:pStyle w:val="TableText1"/>
              <w:jc w:val="right"/>
              <w:rPr>
                <w:b/>
                <w:bCs/>
                <w:i/>
                <w:iCs/>
                <w:color w:val="000000"/>
              </w:rPr>
            </w:pPr>
            <w:r w:rsidRPr="004C4967">
              <w:rPr>
                <w:i/>
                <w:iCs/>
              </w:rPr>
              <w:t>redacted</w:t>
            </w:r>
          </w:p>
        </w:tc>
        <w:tc>
          <w:tcPr>
            <w:tcW w:w="1164" w:type="dxa"/>
          </w:tcPr>
          <w:p w14:paraId="7EC26256" w14:textId="7B937011" w:rsidR="00170C17" w:rsidRPr="00A70A96" w:rsidRDefault="00170C17" w:rsidP="00170C17">
            <w:pPr>
              <w:pStyle w:val="TableText1"/>
              <w:jc w:val="right"/>
              <w:rPr>
                <w:b/>
                <w:bCs/>
                <w:i/>
                <w:iCs/>
                <w:color w:val="000000"/>
              </w:rPr>
            </w:pPr>
            <w:r w:rsidRPr="004C4967">
              <w:rPr>
                <w:i/>
                <w:iCs/>
              </w:rPr>
              <w:t>redacted</w:t>
            </w:r>
          </w:p>
        </w:tc>
      </w:tr>
      <w:tr w:rsidR="00084ACA" w:rsidRPr="009539C3" w14:paraId="4CA24FCD" w14:textId="77777777" w:rsidTr="007B6A30">
        <w:tc>
          <w:tcPr>
            <w:tcW w:w="2032" w:type="dxa"/>
            <w:gridSpan w:val="3"/>
          </w:tcPr>
          <w:p w14:paraId="49AFB70E" w14:textId="33E4C0B1" w:rsidR="00170C17" w:rsidRPr="00765007" w:rsidRDefault="00170C17" w:rsidP="007B6A30">
            <w:pPr>
              <w:pStyle w:val="TableText1"/>
              <w:jc w:val="left"/>
              <w:rPr>
                <w:rFonts w:eastAsia="Calibri"/>
                <w:i/>
                <w:iCs/>
              </w:rPr>
            </w:pPr>
            <w:r w:rsidRPr="00765007">
              <w:rPr>
                <w:rFonts w:eastAsia="Calibri"/>
                <w:i/>
                <w:iCs/>
              </w:rPr>
              <w:t xml:space="preserve">Revised cost to MBS at 85% of the </w:t>
            </w:r>
            <w:proofErr w:type="spellStart"/>
            <w:r w:rsidRPr="00765007">
              <w:rPr>
                <w:rFonts w:eastAsia="Calibri"/>
                <w:i/>
                <w:iCs/>
              </w:rPr>
              <w:t>Fee</w:t>
            </w:r>
            <w:r w:rsidRPr="00765007">
              <w:rPr>
                <w:rFonts w:eastAsia="Calibri"/>
                <w:i/>
                <w:iCs/>
                <w:vertAlign w:val="superscript"/>
              </w:rPr>
              <w:t>c</w:t>
            </w:r>
            <w:proofErr w:type="spellEnd"/>
            <w:r>
              <w:rPr>
                <w:rFonts w:eastAsia="Calibri"/>
                <w:i/>
                <w:iCs/>
                <w:vertAlign w:val="superscript"/>
              </w:rPr>
              <w:t xml:space="preserve"> </w:t>
            </w:r>
            <w:r w:rsidRPr="007B6A30">
              <w:rPr>
                <w:rFonts w:eastAsia="Calibri"/>
                <w:i/>
                <w:iCs/>
              </w:rPr>
              <w:t>($)</w:t>
            </w:r>
          </w:p>
        </w:tc>
        <w:tc>
          <w:tcPr>
            <w:tcW w:w="1164" w:type="dxa"/>
          </w:tcPr>
          <w:p w14:paraId="750E605C" w14:textId="623F35C8" w:rsidR="00170C17" w:rsidRPr="00DC407E" w:rsidRDefault="00170C17" w:rsidP="00170C17">
            <w:pPr>
              <w:pStyle w:val="TableText1"/>
              <w:jc w:val="right"/>
              <w:rPr>
                <w:i/>
                <w:iCs/>
              </w:rPr>
            </w:pPr>
            <w:r w:rsidRPr="002D5877">
              <w:rPr>
                <w:i/>
                <w:iCs/>
              </w:rPr>
              <w:t>redacted</w:t>
            </w:r>
          </w:p>
        </w:tc>
        <w:tc>
          <w:tcPr>
            <w:tcW w:w="1164" w:type="dxa"/>
          </w:tcPr>
          <w:p w14:paraId="4393A62D" w14:textId="2DFF325E" w:rsidR="00170C17" w:rsidRPr="00A70A96" w:rsidRDefault="00170C17" w:rsidP="00170C17">
            <w:pPr>
              <w:pStyle w:val="TableText1"/>
              <w:jc w:val="right"/>
              <w:rPr>
                <w:i/>
                <w:iCs/>
              </w:rPr>
            </w:pPr>
            <w:r w:rsidRPr="002D5877">
              <w:rPr>
                <w:i/>
                <w:iCs/>
              </w:rPr>
              <w:t>redacted</w:t>
            </w:r>
          </w:p>
        </w:tc>
        <w:tc>
          <w:tcPr>
            <w:tcW w:w="1164" w:type="dxa"/>
          </w:tcPr>
          <w:p w14:paraId="125AF6D3" w14:textId="323C0B87" w:rsidR="00170C17" w:rsidRPr="00A70A96" w:rsidRDefault="00170C17" w:rsidP="00170C17">
            <w:pPr>
              <w:pStyle w:val="TableText1"/>
              <w:jc w:val="right"/>
              <w:rPr>
                <w:i/>
                <w:iCs/>
              </w:rPr>
            </w:pPr>
            <w:r w:rsidRPr="002D5877">
              <w:rPr>
                <w:i/>
                <w:iCs/>
              </w:rPr>
              <w:t>redacted</w:t>
            </w:r>
          </w:p>
        </w:tc>
        <w:tc>
          <w:tcPr>
            <w:tcW w:w="1164" w:type="dxa"/>
          </w:tcPr>
          <w:p w14:paraId="46BBB466" w14:textId="4493098B" w:rsidR="00170C17" w:rsidRPr="00A70A96" w:rsidRDefault="00170C17" w:rsidP="00170C17">
            <w:pPr>
              <w:pStyle w:val="TableText1"/>
              <w:jc w:val="right"/>
              <w:rPr>
                <w:i/>
                <w:iCs/>
              </w:rPr>
            </w:pPr>
            <w:r w:rsidRPr="002D5877">
              <w:rPr>
                <w:i/>
                <w:iCs/>
              </w:rPr>
              <w:t>redacted</w:t>
            </w:r>
          </w:p>
        </w:tc>
        <w:tc>
          <w:tcPr>
            <w:tcW w:w="1164" w:type="dxa"/>
          </w:tcPr>
          <w:p w14:paraId="2A048C4A" w14:textId="57E1E89F" w:rsidR="00170C17" w:rsidRPr="00A70A96" w:rsidRDefault="00170C17" w:rsidP="00170C17">
            <w:pPr>
              <w:pStyle w:val="TableText1"/>
              <w:jc w:val="right"/>
              <w:rPr>
                <w:i/>
                <w:iCs/>
              </w:rPr>
            </w:pPr>
            <w:r w:rsidRPr="002D5877">
              <w:rPr>
                <w:i/>
                <w:iCs/>
              </w:rPr>
              <w:t>redacted</w:t>
            </w:r>
          </w:p>
        </w:tc>
        <w:tc>
          <w:tcPr>
            <w:tcW w:w="1164" w:type="dxa"/>
          </w:tcPr>
          <w:p w14:paraId="0B86C78E" w14:textId="10A5EE69" w:rsidR="00170C17" w:rsidRPr="00A70A96" w:rsidRDefault="00170C17" w:rsidP="00170C17">
            <w:pPr>
              <w:pStyle w:val="TableText1"/>
              <w:jc w:val="right"/>
              <w:rPr>
                <w:i/>
                <w:iCs/>
              </w:rPr>
            </w:pPr>
            <w:r w:rsidRPr="002D5877">
              <w:rPr>
                <w:i/>
                <w:iCs/>
              </w:rPr>
              <w:t>redacted</w:t>
            </w:r>
          </w:p>
        </w:tc>
      </w:tr>
      <w:tr w:rsidR="00084ACA" w:rsidRPr="009539C3" w14:paraId="5162612A" w14:textId="77777777" w:rsidTr="007B6A30">
        <w:tc>
          <w:tcPr>
            <w:tcW w:w="2032" w:type="dxa"/>
            <w:gridSpan w:val="3"/>
            <w:vAlign w:val="center"/>
          </w:tcPr>
          <w:p w14:paraId="336F071E" w14:textId="14E90090" w:rsidR="00170C17" w:rsidRPr="00131C9A" w:rsidRDefault="00170C17" w:rsidP="00170C17">
            <w:pPr>
              <w:pStyle w:val="TableText1"/>
              <w:jc w:val="left"/>
              <w:rPr>
                <w:rFonts w:eastAsia="Calibri"/>
                <w:b/>
                <w:bCs/>
                <w:szCs w:val="18"/>
              </w:rPr>
            </w:pPr>
            <w:r w:rsidRPr="00081940">
              <w:rPr>
                <w:color w:val="388600"/>
                <w:szCs w:val="18"/>
              </w:rPr>
              <w:t>Revised cost to MBS at 85% of the Fee IHC item 72848 ($63.35)</w:t>
            </w:r>
            <w:r w:rsidRPr="00081940">
              <w:rPr>
                <w:color w:val="388600"/>
                <w:kern w:val="0"/>
                <w:szCs w:val="18"/>
                <w14:ligatures w14:val="none"/>
              </w:rPr>
              <w:t xml:space="preserve"> </w:t>
            </w:r>
            <w:r>
              <w:rPr>
                <w:color w:val="388600"/>
                <w:kern w:val="0"/>
                <w:szCs w:val="18"/>
                <w14:ligatures w14:val="none"/>
              </w:rPr>
              <w:t>($)</w:t>
            </w:r>
          </w:p>
        </w:tc>
        <w:tc>
          <w:tcPr>
            <w:tcW w:w="1164" w:type="dxa"/>
          </w:tcPr>
          <w:p w14:paraId="4570D4FA" w14:textId="48B7F308" w:rsidR="00170C17" w:rsidRPr="00131C9A" w:rsidRDefault="00170C17" w:rsidP="00170C17">
            <w:pPr>
              <w:pStyle w:val="TableText1"/>
              <w:jc w:val="right"/>
              <w:rPr>
                <w:i/>
                <w:iCs/>
                <w:szCs w:val="18"/>
              </w:rPr>
            </w:pPr>
            <w:r w:rsidRPr="00DE2D25">
              <w:t>redacted</w:t>
            </w:r>
          </w:p>
        </w:tc>
        <w:tc>
          <w:tcPr>
            <w:tcW w:w="1164" w:type="dxa"/>
          </w:tcPr>
          <w:p w14:paraId="14A754D0" w14:textId="53F35F49" w:rsidR="00170C17" w:rsidRPr="00131C9A" w:rsidRDefault="00170C17" w:rsidP="00170C17">
            <w:pPr>
              <w:pStyle w:val="TableText1"/>
              <w:jc w:val="right"/>
              <w:rPr>
                <w:i/>
                <w:iCs/>
                <w:szCs w:val="18"/>
              </w:rPr>
            </w:pPr>
            <w:r w:rsidRPr="00DE2D25">
              <w:t>redacted</w:t>
            </w:r>
          </w:p>
        </w:tc>
        <w:tc>
          <w:tcPr>
            <w:tcW w:w="1164" w:type="dxa"/>
          </w:tcPr>
          <w:p w14:paraId="726D68CE" w14:textId="3A9B4425" w:rsidR="00170C17" w:rsidRPr="00131C9A" w:rsidRDefault="00170C17" w:rsidP="00170C17">
            <w:pPr>
              <w:pStyle w:val="TableText1"/>
              <w:jc w:val="right"/>
              <w:rPr>
                <w:i/>
                <w:iCs/>
                <w:szCs w:val="18"/>
              </w:rPr>
            </w:pPr>
            <w:r w:rsidRPr="00DE2D25">
              <w:t>redacted</w:t>
            </w:r>
          </w:p>
        </w:tc>
        <w:tc>
          <w:tcPr>
            <w:tcW w:w="1164" w:type="dxa"/>
          </w:tcPr>
          <w:p w14:paraId="6A5A9E58" w14:textId="71920400" w:rsidR="00170C17" w:rsidRPr="00131C9A" w:rsidRDefault="00170C17" w:rsidP="00170C17">
            <w:pPr>
              <w:pStyle w:val="TableText1"/>
              <w:jc w:val="right"/>
              <w:rPr>
                <w:i/>
                <w:iCs/>
                <w:szCs w:val="18"/>
              </w:rPr>
            </w:pPr>
            <w:r w:rsidRPr="00DE2D25">
              <w:t>redacted</w:t>
            </w:r>
          </w:p>
        </w:tc>
        <w:tc>
          <w:tcPr>
            <w:tcW w:w="1164" w:type="dxa"/>
          </w:tcPr>
          <w:p w14:paraId="31798B62" w14:textId="09B0558F" w:rsidR="00170C17" w:rsidRPr="00131C9A" w:rsidRDefault="00170C17" w:rsidP="00170C17">
            <w:pPr>
              <w:pStyle w:val="TableText1"/>
              <w:jc w:val="right"/>
              <w:rPr>
                <w:i/>
                <w:iCs/>
                <w:szCs w:val="18"/>
              </w:rPr>
            </w:pPr>
            <w:r w:rsidRPr="00DE2D25">
              <w:t>redacted</w:t>
            </w:r>
          </w:p>
        </w:tc>
        <w:tc>
          <w:tcPr>
            <w:tcW w:w="1164" w:type="dxa"/>
          </w:tcPr>
          <w:p w14:paraId="1EE4FA48" w14:textId="4CCF159B" w:rsidR="00170C17" w:rsidRPr="00131C9A" w:rsidRDefault="00170C17" w:rsidP="00170C17">
            <w:pPr>
              <w:pStyle w:val="TableText1"/>
              <w:jc w:val="right"/>
              <w:rPr>
                <w:i/>
                <w:iCs/>
                <w:szCs w:val="18"/>
              </w:rPr>
            </w:pPr>
            <w:r w:rsidRPr="00DE2D25">
              <w:t>redacted</w:t>
            </w:r>
          </w:p>
        </w:tc>
      </w:tr>
      <w:tr w:rsidR="00084ACA" w:rsidRPr="009539C3" w14:paraId="64A0B785" w14:textId="77777777" w:rsidTr="007B6A30">
        <w:tc>
          <w:tcPr>
            <w:tcW w:w="2032" w:type="dxa"/>
            <w:gridSpan w:val="3"/>
            <w:vAlign w:val="center"/>
          </w:tcPr>
          <w:p w14:paraId="140EB76C" w14:textId="7FC0752E" w:rsidR="00170C17" w:rsidRPr="00131C9A" w:rsidRDefault="00170C17" w:rsidP="00170C17">
            <w:pPr>
              <w:pStyle w:val="TableText1"/>
              <w:jc w:val="left"/>
              <w:rPr>
                <w:rFonts w:eastAsia="Calibri"/>
                <w:b/>
                <w:bCs/>
                <w:szCs w:val="18"/>
              </w:rPr>
            </w:pPr>
            <w:r w:rsidRPr="00081940">
              <w:rPr>
                <w:color w:val="388600"/>
                <w:szCs w:val="18"/>
              </w:rPr>
              <w:t>Revised cost to MBS at 85% of the Fee for ISH item 73342 ($268.10)</w:t>
            </w:r>
            <w:r>
              <w:rPr>
                <w:color w:val="388600"/>
                <w:szCs w:val="18"/>
              </w:rPr>
              <w:t xml:space="preserve"> </w:t>
            </w:r>
            <w:r>
              <w:rPr>
                <w:color w:val="388600"/>
                <w:kern w:val="0"/>
                <w:szCs w:val="18"/>
                <w14:ligatures w14:val="none"/>
              </w:rPr>
              <w:t>($)</w:t>
            </w:r>
          </w:p>
        </w:tc>
        <w:tc>
          <w:tcPr>
            <w:tcW w:w="1164" w:type="dxa"/>
          </w:tcPr>
          <w:p w14:paraId="139F5D0A" w14:textId="3F7CC02A" w:rsidR="00170C17" w:rsidRPr="00131C9A" w:rsidRDefault="00170C17" w:rsidP="00170C17">
            <w:pPr>
              <w:pStyle w:val="TableText1"/>
              <w:jc w:val="right"/>
              <w:rPr>
                <w:i/>
                <w:iCs/>
                <w:szCs w:val="18"/>
              </w:rPr>
            </w:pPr>
            <w:r w:rsidRPr="00131880">
              <w:t>redacted</w:t>
            </w:r>
          </w:p>
        </w:tc>
        <w:tc>
          <w:tcPr>
            <w:tcW w:w="1164" w:type="dxa"/>
          </w:tcPr>
          <w:p w14:paraId="63C101F3" w14:textId="2FE4D178" w:rsidR="00170C17" w:rsidRPr="00131C9A" w:rsidRDefault="00170C17" w:rsidP="00170C17">
            <w:pPr>
              <w:pStyle w:val="TableText1"/>
              <w:jc w:val="right"/>
              <w:rPr>
                <w:i/>
                <w:iCs/>
                <w:szCs w:val="18"/>
              </w:rPr>
            </w:pPr>
            <w:r w:rsidRPr="00131880">
              <w:t>redacted</w:t>
            </w:r>
          </w:p>
        </w:tc>
        <w:tc>
          <w:tcPr>
            <w:tcW w:w="1164" w:type="dxa"/>
          </w:tcPr>
          <w:p w14:paraId="7E74C5C1" w14:textId="7844A3A2" w:rsidR="00170C17" w:rsidRPr="00131C9A" w:rsidRDefault="00170C17" w:rsidP="00170C17">
            <w:pPr>
              <w:pStyle w:val="TableText1"/>
              <w:jc w:val="right"/>
              <w:rPr>
                <w:i/>
                <w:iCs/>
                <w:szCs w:val="18"/>
              </w:rPr>
            </w:pPr>
            <w:r w:rsidRPr="00131880">
              <w:t>redacted</w:t>
            </w:r>
          </w:p>
        </w:tc>
        <w:tc>
          <w:tcPr>
            <w:tcW w:w="1164" w:type="dxa"/>
          </w:tcPr>
          <w:p w14:paraId="60D36E54" w14:textId="7C468325" w:rsidR="00170C17" w:rsidRPr="00131C9A" w:rsidRDefault="00170C17" w:rsidP="00170C17">
            <w:pPr>
              <w:pStyle w:val="TableText1"/>
              <w:jc w:val="right"/>
              <w:rPr>
                <w:i/>
                <w:iCs/>
                <w:szCs w:val="18"/>
              </w:rPr>
            </w:pPr>
            <w:r w:rsidRPr="00131880">
              <w:t>redacted</w:t>
            </w:r>
          </w:p>
        </w:tc>
        <w:tc>
          <w:tcPr>
            <w:tcW w:w="1164" w:type="dxa"/>
          </w:tcPr>
          <w:p w14:paraId="2A3C780A" w14:textId="3822280A" w:rsidR="00170C17" w:rsidRPr="00131C9A" w:rsidRDefault="00170C17" w:rsidP="00170C17">
            <w:pPr>
              <w:pStyle w:val="TableText1"/>
              <w:jc w:val="right"/>
              <w:rPr>
                <w:i/>
                <w:iCs/>
                <w:szCs w:val="18"/>
              </w:rPr>
            </w:pPr>
            <w:r w:rsidRPr="00131880">
              <w:t>redacted</w:t>
            </w:r>
          </w:p>
        </w:tc>
        <w:tc>
          <w:tcPr>
            <w:tcW w:w="1164" w:type="dxa"/>
          </w:tcPr>
          <w:p w14:paraId="6CD5E435" w14:textId="1166DC61" w:rsidR="00170C17" w:rsidRPr="00131C9A" w:rsidRDefault="00170C17" w:rsidP="00170C17">
            <w:pPr>
              <w:pStyle w:val="TableText1"/>
              <w:jc w:val="right"/>
              <w:rPr>
                <w:i/>
                <w:iCs/>
                <w:szCs w:val="18"/>
              </w:rPr>
            </w:pPr>
            <w:r w:rsidRPr="00131880">
              <w:t>redacted</w:t>
            </w:r>
          </w:p>
        </w:tc>
      </w:tr>
      <w:tr w:rsidR="00084ACA" w:rsidRPr="009539C3" w14:paraId="4B5920D6" w14:textId="77777777" w:rsidTr="007B6A30">
        <w:tc>
          <w:tcPr>
            <w:tcW w:w="2032" w:type="dxa"/>
            <w:gridSpan w:val="3"/>
            <w:vAlign w:val="center"/>
          </w:tcPr>
          <w:p w14:paraId="3A600E4E" w14:textId="1E7BB776" w:rsidR="00170C17" w:rsidRPr="00131C9A" w:rsidRDefault="00170C17" w:rsidP="00170C17">
            <w:pPr>
              <w:pStyle w:val="TableText1"/>
              <w:jc w:val="left"/>
              <w:rPr>
                <w:rFonts w:eastAsia="Calibri"/>
                <w:b/>
                <w:bCs/>
                <w:szCs w:val="18"/>
              </w:rPr>
            </w:pPr>
            <w:r w:rsidRPr="00081940">
              <w:rPr>
                <w:color w:val="388600"/>
                <w:szCs w:val="18"/>
              </w:rPr>
              <w:t>Revised cost to MBS at 75% of the Fee for Biopsy item</w:t>
            </w:r>
            <w:r w:rsidRPr="00081940">
              <w:rPr>
                <w:color w:val="388600"/>
                <w:kern w:val="0"/>
                <w:szCs w:val="18"/>
                <w14:ligatures w14:val="none"/>
              </w:rPr>
              <w:t xml:space="preserve"> </w:t>
            </w:r>
            <w:r w:rsidRPr="00081940">
              <w:rPr>
                <w:color w:val="388600"/>
                <w:szCs w:val="18"/>
              </w:rPr>
              <w:t>30688 ($311.85) inpatient service</w:t>
            </w:r>
            <w:r>
              <w:rPr>
                <w:color w:val="388600"/>
                <w:szCs w:val="18"/>
              </w:rPr>
              <w:t xml:space="preserve"> </w:t>
            </w:r>
            <w:r>
              <w:rPr>
                <w:color w:val="388600"/>
                <w:kern w:val="0"/>
                <w:szCs w:val="18"/>
                <w14:ligatures w14:val="none"/>
              </w:rPr>
              <w:t>($)</w:t>
            </w:r>
          </w:p>
        </w:tc>
        <w:tc>
          <w:tcPr>
            <w:tcW w:w="1164" w:type="dxa"/>
          </w:tcPr>
          <w:p w14:paraId="1211A247" w14:textId="3221396D" w:rsidR="00170C17" w:rsidRPr="00131C9A" w:rsidRDefault="00170C17" w:rsidP="00170C17">
            <w:pPr>
              <w:pStyle w:val="TableText1"/>
              <w:jc w:val="right"/>
              <w:rPr>
                <w:i/>
                <w:iCs/>
                <w:szCs w:val="18"/>
              </w:rPr>
            </w:pPr>
            <w:r w:rsidRPr="00A05818">
              <w:t>redacted</w:t>
            </w:r>
          </w:p>
        </w:tc>
        <w:tc>
          <w:tcPr>
            <w:tcW w:w="1164" w:type="dxa"/>
          </w:tcPr>
          <w:p w14:paraId="498B2C66" w14:textId="3FA4C950" w:rsidR="00170C17" w:rsidRPr="00131C9A" w:rsidRDefault="00170C17" w:rsidP="00170C17">
            <w:pPr>
              <w:pStyle w:val="TableText1"/>
              <w:jc w:val="right"/>
              <w:rPr>
                <w:i/>
                <w:iCs/>
                <w:szCs w:val="18"/>
              </w:rPr>
            </w:pPr>
            <w:r w:rsidRPr="00A05818">
              <w:t>redacted</w:t>
            </w:r>
          </w:p>
        </w:tc>
        <w:tc>
          <w:tcPr>
            <w:tcW w:w="1164" w:type="dxa"/>
          </w:tcPr>
          <w:p w14:paraId="7B331E24" w14:textId="2FCBDD2D" w:rsidR="00170C17" w:rsidRPr="00131C9A" w:rsidRDefault="00170C17" w:rsidP="00170C17">
            <w:pPr>
              <w:pStyle w:val="TableText1"/>
              <w:jc w:val="right"/>
              <w:rPr>
                <w:i/>
                <w:iCs/>
                <w:szCs w:val="18"/>
              </w:rPr>
            </w:pPr>
            <w:r w:rsidRPr="00A05818">
              <w:t>redacted</w:t>
            </w:r>
          </w:p>
        </w:tc>
        <w:tc>
          <w:tcPr>
            <w:tcW w:w="1164" w:type="dxa"/>
          </w:tcPr>
          <w:p w14:paraId="73184A27" w14:textId="3AF0DC64" w:rsidR="00170C17" w:rsidRPr="00131C9A" w:rsidRDefault="00170C17" w:rsidP="00170C17">
            <w:pPr>
              <w:pStyle w:val="TableText1"/>
              <w:jc w:val="right"/>
              <w:rPr>
                <w:i/>
                <w:iCs/>
                <w:szCs w:val="18"/>
              </w:rPr>
            </w:pPr>
            <w:r w:rsidRPr="00A05818">
              <w:t>redacted</w:t>
            </w:r>
          </w:p>
        </w:tc>
        <w:tc>
          <w:tcPr>
            <w:tcW w:w="1164" w:type="dxa"/>
          </w:tcPr>
          <w:p w14:paraId="05E1BCC6" w14:textId="4543C863" w:rsidR="00170C17" w:rsidRPr="00131C9A" w:rsidRDefault="00170C17" w:rsidP="00170C17">
            <w:pPr>
              <w:pStyle w:val="TableText1"/>
              <w:jc w:val="right"/>
              <w:rPr>
                <w:i/>
                <w:iCs/>
                <w:szCs w:val="18"/>
              </w:rPr>
            </w:pPr>
            <w:r w:rsidRPr="00A05818">
              <w:t>redacted</w:t>
            </w:r>
          </w:p>
        </w:tc>
        <w:tc>
          <w:tcPr>
            <w:tcW w:w="1164" w:type="dxa"/>
          </w:tcPr>
          <w:p w14:paraId="40139C1F" w14:textId="546B528F" w:rsidR="00170C17" w:rsidRPr="00131C9A" w:rsidRDefault="00170C17" w:rsidP="00170C17">
            <w:pPr>
              <w:pStyle w:val="TableText1"/>
              <w:jc w:val="right"/>
              <w:rPr>
                <w:i/>
                <w:iCs/>
                <w:szCs w:val="18"/>
              </w:rPr>
            </w:pPr>
            <w:r w:rsidRPr="00A05818">
              <w:t>redacted</w:t>
            </w:r>
          </w:p>
        </w:tc>
      </w:tr>
      <w:tr w:rsidR="00084ACA" w:rsidRPr="009539C3" w14:paraId="7ECBAE2B" w14:textId="77777777" w:rsidTr="007B6A30">
        <w:tc>
          <w:tcPr>
            <w:tcW w:w="2032" w:type="dxa"/>
            <w:gridSpan w:val="3"/>
            <w:vAlign w:val="bottom"/>
          </w:tcPr>
          <w:p w14:paraId="29213B07" w14:textId="41E8E93F" w:rsidR="00170C17" w:rsidRPr="00131C9A" w:rsidRDefault="00170C17" w:rsidP="00170C17">
            <w:pPr>
              <w:pStyle w:val="TableText1"/>
              <w:jc w:val="left"/>
              <w:rPr>
                <w:rFonts w:eastAsia="Calibri"/>
                <w:b/>
                <w:bCs/>
                <w:szCs w:val="18"/>
              </w:rPr>
            </w:pPr>
            <w:r w:rsidRPr="00081940">
              <w:rPr>
                <w:b/>
                <w:bCs/>
                <w:color w:val="388600"/>
                <w:szCs w:val="18"/>
              </w:rPr>
              <w:t xml:space="preserve">Revised cost to MBS </w:t>
            </w:r>
            <w:r w:rsidRPr="007B6A30">
              <w:rPr>
                <w:b/>
                <w:bCs/>
                <w:color w:val="388600"/>
                <w:szCs w:val="18"/>
              </w:rPr>
              <w:t>($)</w:t>
            </w:r>
          </w:p>
        </w:tc>
        <w:tc>
          <w:tcPr>
            <w:tcW w:w="1164" w:type="dxa"/>
          </w:tcPr>
          <w:p w14:paraId="7AE255AE" w14:textId="3F609F45" w:rsidR="00170C17" w:rsidRPr="00131C9A" w:rsidRDefault="00170C17" w:rsidP="00170C17">
            <w:pPr>
              <w:pStyle w:val="TableText1"/>
              <w:jc w:val="right"/>
              <w:rPr>
                <w:i/>
                <w:iCs/>
                <w:szCs w:val="18"/>
              </w:rPr>
            </w:pPr>
            <w:r w:rsidRPr="00AC064D">
              <w:t>redacted</w:t>
            </w:r>
          </w:p>
        </w:tc>
        <w:tc>
          <w:tcPr>
            <w:tcW w:w="1164" w:type="dxa"/>
          </w:tcPr>
          <w:p w14:paraId="57FDE1C1" w14:textId="1D0FFC0D" w:rsidR="00170C17" w:rsidRPr="00131C9A" w:rsidRDefault="00170C17" w:rsidP="00170C17">
            <w:pPr>
              <w:pStyle w:val="TableText1"/>
              <w:jc w:val="right"/>
              <w:rPr>
                <w:i/>
                <w:iCs/>
                <w:szCs w:val="18"/>
              </w:rPr>
            </w:pPr>
            <w:r w:rsidRPr="00AC064D">
              <w:t>redacted</w:t>
            </w:r>
          </w:p>
        </w:tc>
        <w:tc>
          <w:tcPr>
            <w:tcW w:w="1164" w:type="dxa"/>
          </w:tcPr>
          <w:p w14:paraId="41CA9888" w14:textId="4002506C" w:rsidR="00170C17" w:rsidRPr="00131C9A" w:rsidRDefault="00170C17" w:rsidP="00170C17">
            <w:pPr>
              <w:pStyle w:val="TableText1"/>
              <w:jc w:val="right"/>
              <w:rPr>
                <w:i/>
                <w:iCs/>
                <w:szCs w:val="18"/>
              </w:rPr>
            </w:pPr>
            <w:r w:rsidRPr="00AC064D">
              <w:t>redacted</w:t>
            </w:r>
          </w:p>
        </w:tc>
        <w:tc>
          <w:tcPr>
            <w:tcW w:w="1164" w:type="dxa"/>
          </w:tcPr>
          <w:p w14:paraId="144A7712" w14:textId="6A264755" w:rsidR="00170C17" w:rsidRPr="00131C9A" w:rsidRDefault="00170C17" w:rsidP="00170C17">
            <w:pPr>
              <w:pStyle w:val="TableText1"/>
              <w:jc w:val="right"/>
              <w:rPr>
                <w:i/>
                <w:iCs/>
                <w:szCs w:val="18"/>
              </w:rPr>
            </w:pPr>
            <w:r w:rsidRPr="00AC064D">
              <w:t>redacted</w:t>
            </w:r>
          </w:p>
        </w:tc>
        <w:tc>
          <w:tcPr>
            <w:tcW w:w="1164" w:type="dxa"/>
          </w:tcPr>
          <w:p w14:paraId="07C6A2F7" w14:textId="55AEC4CE" w:rsidR="00170C17" w:rsidRPr="00131C9A" w:rsidRDefault="00170C17" w:rsidP="00170C17">
            <w:pPr>
              <w:pStyle w:val="TableText1"/>
              <w:jc w:val="right"/>
              <w:rPr>
                <w:i/>
                <w:iCs/>
                <w:szCs w:val="18"/>
              </w:rPr>
            </w:pPr>
            <w:r w:rsidRPr="00AC064D">
              <w:t>redacted</w:t>
            </w:r>
          </w:p>
        </w:tc>
        <w:tc>
          <w:tcPr>
            <w:tcW w:w="1164" w:type="dxa"/>
          </w:tcPr>
          <w:p w14:paraId="6A66A4C3" w14:textId="01137136" w:rsidR="00170C17" w:rsidRPr="00131C9A" w:rsidRDefault="00170C17" w:rsidP="00170C17">
            <w:pPr>
              <w:pStyle w:val="TableText1"/>
              <w:jc w:val="right"/>
              <w:rPr>
                <w:i/>
                <w:iCs/>
                <w:szCs w:val="18"/>
              </w:rPr>
            </w:pPr>
            <w:r w:rsidRPr="00AC064D">
              <w:t>redacted</w:t>
            </w:r>
          </w:p>
        </w:tc>
      </w:tr>
    </w:tbl>
    <w:p w14:paraId="473CD589" w14:textId="20BCAE70" w:rsidR="004C114C" w:rsidRPr="009539C3" w:rsidRDefault="004C114C" w:rsidP="004C114C">
      <w:pPr>
        <w:pStyle w:val="Tablenotes"/>
        <w:rPr>
          <w:lang w:eastAsia="en-GB"/>
        </w:rPr>
      </w:pPr>
      <w:r w:rsidRPr="009539C3">
        <w:rPr>
          <w:lang w:eastAsia="en-GB"/>
        </w:rPr>
        <w:t xml:space="preserve">Source: Table 7 of the MSAC </w:t>
      </w:r>
      <w:r w:rsidR="00ED6C70" w:rsidRPr="009539C3">
        <w:t>Streamlined submission</w:t>
      </w:r>
    </w:p>
    <w:p w14:paraId="03D8C636" w14:textId="45EB4907" w:rsidR="004C114C" w:rsidRDefault="00B9095C" w:rsidP="004C114C">
      <w:pPr>
        <w:pStyle w:val="Tablenotes"/>
        <w:rPr>
          <w:lang w:eastAsia="en-GB"/>
        </w:rPr>
      </w:pPr>
      <w:r w:rsidRPr="00A25DB5">
        <w:rPr>
          <w:vertAlign w:val="superscript"/>
          <w:lang w:eastAsia="en-GB"/>
        </w:rPr>
        <w:t>a</w:t>
      </w:r>
      <w:r>
        <w:rPr>
          <w:lang w:eastAsia="en-GB"/>
        </w:rPr>
        <w:t xml:space="preserve"> </w:t>
      </w:r>
      <w:r w:rsidR="004C114C" w:rsidRPr="009539C3">
        <w:rPr>
          <w:lang w:eastAsia="en-GB"/>
        </w:rPr>
        <w:t>Full fee: 80% of MBS Fee applied in the calculations</w:t>
      </w:r>
    </w:p>
    <w:p w14:paraId="777FD60F" w14:textId="4CF3D5B1" w:rsidR="00F000F7" w:rsidRDefault="00B9095C" w:rsidP="004C114C">
      <w:pPr>
        <w:pStyle w:val="Tablenotes"/>
        <w:rPr>
          <w:lang w:eastAsia="en-GB"/>
        </w:rPr>
      </w:pPr>
      <w:r w:rsidRPr="00A25DB5">
        <w:rPr>
          <w:vertAlign w:val="superscript"/>
          <w:lang w:eastAsia="en-GB"/>
        </w:rPr>
        <w:t>b</w:t>
      </w:r>
      <w:r>
        <w:rPr>
          <w:lang w:eastAsia="en-GB"/>
        </w:rPr>
        <w:t xml:space="preserve"> </w:t>
      </w:r>
      <w:r w:rsidR="00A70A96">
        <w:rPr>
          <w:lang w:eastAsia="en-GB"/>
        </w:rPr>
        <w:t>Revised during evaluation</w:t>
      </w:r>
    </w:p>
    <w:p w14:paraId="4250FCEA" w14:textId="682B3E00" w:rsidR="00A70A96" w:rsidRPr="009539C3" w:rsidRDefault="00B9095C" w:rsidP="004C114C">
      <w:pPr>
        <w:pStyle w:val="Tablenotes"/>
        <w:rPr>
          <w:lang w:eastAsia="en-GB"/>
        </w:rPr>
      </w:pPr>
      <w:r w:rsidRPr="00A25DB5">
        <w:rPr>
          <w:vertAlign w:val="superscript"/>
          <w:lang w:eastAsia="en-GB"/>
        </w:rPr>
        <w:t>c</w:t>
      </w:r>
      <w:r w:rsidR="00F000F7">
        <w:rPr>
          <w:lang w:eastAsia="en-GB"/>
        </w:rPr>
        <w:t xml:space="preserve"> Revised </w:t>
      </w:r>
      <w:r w:rsidR="004F5712">
        <w:rPr>
          <w:lang w:eastAsia="en-GB"/>
        </w:rPr>
        <w:t xml:space="preserve">during evaluation </w:t>
      </w:r>
      <w:r w:rsidR="00F000F7">
        <w:rPr>
          <w:lang w:eastAsia="en-GB"/>
        </w:rPr>
        <w:t>cost at 85% of MBS Fees</w:t>
      </w:r>
      <w:r w:rsidR="00665884">
        <w:rPr>
          <w:lang w:eastAsia="en-GB"/>
        </w:rPr>
        <w:t xml:space="preserve"> </w:t>
      </w:r>
    </w:p>
    <w:p w14:paraId="0E0066F7" w14:textId="77777777" w:rsidR="00DC407E" w:rsidRDefault="004C114C" w:rsidP="00DC407E">
      <w:pPr>
        <w:pStyle w:val="Tablenotes"/>
        <w:rPr>
          <w:lang w:eastAsia="en-GB"/>
        </w:rPr>
      </w:pPr>
      <w:r w:rsidRPr="009539C3">
        <w:rPr>
          <w:lang w:eastAsia="en-GB"/>
        </w:rPr>
        <w:t>Abbreviations: IHC</w:t>
      </w:r>
      <w:r w:rsidR="006A470E" w:rsidRPr="009539C3">
        <w:rPr>
          <w:lang w:eastAsia="en-GB"/>
        </w:rPr>
        <w:t xml:space="preserve"> =</w:t>
      </w:r>
      <w:r w:rsidRPr="009539C3">
        <w:rPr>
          <w:lang w:eastAsia="en-GB"/>
        </w:rPr>
        <w:t xml:space="preserve"> Immunohistochemistry; ISH</w:t>
      </w:r>
      <w:r w:rsidR="006A470E" w:rsidRPr="009539C3">
        <w:rPr>
          <w:lang w:eastAsia="en-GB"/>
        </w:rPr>
        <w:t xml:space="preserve"> =</w:t>
      </w:r>
      <w:r w:rsidRPr="009539C3">
        <w:rPr>
          <w:lang w:eastAsia="en-GB"/>
        </w:rPr>
        <w:t xml:space="preserve"> </w:t>
      </w:r>
      <w:r w:rsidR="00527F36" w:rsidRPr="00133786">
        <w:rPr>
          <w:i/>
          <w:iCs/>
          <w:lang w:eastAsia="en-GB"/>
        </w:rPr>
        <w:t>i</w:t>
      </w:r>
      <w:r w:rsidRPr="00133786">
        <w:rPr>
          <w:i/>
          <w:iCs/>
          <w:lang w:eastAsia="en-GB"/>
        </w:rPr>
        <w:t>n situ</w:t>
      </w:r>
      <w:r w:rsidRPr="009539C3">
        <w:rPr>
          <w:lang w:eastAsia="en-GB"/>
        </w:rPr>
        <w:t xml:space="preserve"> hybridisation; MBS</w:t>
      </w:r>
      <w:r w:rsidR="006A470E" w:rsidRPr="009539C3">
        <w:rPr>
          <w:lang w:eastAsia="en-GB"/>
        </w:rPr>
        <w:t xml:space="preserve"> =</w:t>
      </w:r>
      <w:r w:rsidRPr="009539C3">
        <w:rPr>
          <w:lang w:eastAsia="en-GB"/>
        </w:rPr>
        <w:t xml:space="preserve"> Medicare Benefits Schedule</w:t>
      </w:r>
      <w:r w:rsidR="00A02F93">
        <w:rPr>
          <w:lang w:eastAsia="en-GB"/>
        </w:rPr>
        <w:t xml:space="preserve"> </w:t>
      </w:r>
    </w:p>
    <w:p w14:paraId="7F7D3CB2" w14:textId="0615D105" w:rsidR="00DC407E" w:rsidRPr="00765007" w:rsidRDefault="00DC407E" w:rsidP="00765007">
      <w:pPr>
        <w:pStyle w:val="Tablenotes"/>
        <w:rPr>
          <w:lang w:eastAsia="en-GB"/>
        </w:rPr>
      </w:pPr>
      <w:r w:rsidRPr="00296093">
        <w:rPr>
          <w:color w:val="000000"/>
          <w:szCs w:val="18"/>
          <w:lang w:eastAsia="en-AU"/>
        </w:rPr>
        <w:t xml:space="preserve">Italics indicate changes made during evaluation  </w:t>
      </w:r>
    </w:p>
    <w:p w14:paraId="3FA0818F" w14:textId="62015250" w:rsidR="00EF3CB1" w:rsidRPr="009539C3" w:rsidRDefault="00A02F93" w:rsidP="00E97639">
      <w:pPr>
        <w:pStyle w:val="Tablenotes"/>
        <w:rPr>
          <w:lang w:eastAsia="en-GB"/>
        </w:rPr>
      </w:pPr>
      <w:r w:rsidRPr="00A02F93">
        <w:rPr>
          <w:lang w:eastAsia="en-GB"/>
        </w:rPr>
        <w:t>Green font indicates changes by department</w:t>
      </w:r>
    </w:p>
    <w:p w14:paraId="7838A9FF" w14:textId="383F7A29" w:rsidR="00772829" w:rsidRPr="009539C3" w:rsidRDefault="00772829" w:rsidP="005B521F">
      <w:pPr>
        <w:pStyle w:val="Heading2"/>
        <w:numPr>
          <w:ilvl w:val="0"/>
          <w:numId w:val="12"/>
        </w:numPr>
        <w:ind w:hanging="720"/>
      </w:pPr>
      <w:bookmarkStart w:id="34" w:name="_Toc69491427"/>
      <w:r w:rsidRPr="009539C3">
        <w:t xml:space="preserve">Other relevant </w:t>
      </w:r>
      <w:bookmarkEnd w:id="34"/>
      <w:r w:rsidR="00FA5766" w:rsidRPr="009539C3">
        <w:t>information</w:t>
      </w:r>
    </w:p>
    <w:p w14:paraId="30DE9625" w14:textId="6EF764B5" w:rsidR="00772829" w:rsidRPr="009539C3" w:rsidRDefault="00E13FBB" w:rsidP="00E13FBB">
      <w:r w:rsidRPr="009539C3">
        <w:t>Nil</w:t>
      </w:r>
    </w:p>
    <w:p w14:paraId="4CC9908B" w14:textId="77777777" w:rsidR="005B521F" w:rsidRPr="00A737D1" w:rsidRDefault="005B521F" w:rsidP="005B521F">
      <w:pPr>
        <w:pStyle w:val="Heading2"/>
        <w:numPr>
          <w:ilvl w:val="0"/>
          <w:numId w:val="12"/>
        </w:numPr>
        <w:ind w:hanging="720"/>
      </w:pPr>
      <w:bookmarkStart w:id="35" w:name="_Hlk193984667"/>
      <w:r w:rsidRPr="003A793E">
        <w:t>Applicant comments on MSAC’s Public Summary Document</w:t>
      </w:r>
    </w:p>
    <w:p w14:paraId="6BBAFF3B" w14:textId="725C1E0E" w:rsidR="005B521F" w:rsidRPr="000D2098" w:rsidRDefault="00641BBA" w:rsidP="005B521F">
      <w:pPr>
        <w:spacing w:after="240"/>
        <w:rPr>
          <w:color w:val="007BB8"/>
        </w:rPr>
      </w:pPr>
      <w:r w:rsidRPr="007B6A30">
        <w:t>The applicant had no comment</w:t>
      </w:r>
      <w:r w:rsidR="005B521F" w:rsidRPr="007B6A30">
        <w:t>.</w:t>
      </w:r>
    </w:p>
    <w:p w14:paraId="7FDE795C" w14:textId="77777777" w:rsidR="005B521F" w:rsidRPr="00A737D1" w:rsidRDefault="005B521F" w:rsidP="005B521F">
      <w:pPr>
        <w:pStyle w:val="Heading2"/>
        <w:numPr>
          <w:ilvl w:val="0"/>
          <w:numId w:val="12"/>
        </w:numPr>
        <w:ind w:hanging="720"/>
      </w:pPr>
      <w:r w:rsidRPr="003A793E">
        <w:t>Further information on MSAC</w:t>
      </w:r>
    </w:p>
    <w:p w14:paraId="01B2A9FA" w14:textId="1D8E5BA4" w:rsidR="00772829" w:rsidRPr="005B521F" w:rsidRDefault="005B521F" w:rsidP="005B521F">
      <w:pPr>
        <w:pStyle w:val="BodyText"/>
        <w:rPr>
          <w:b/>
          <w:bCs/>
          <w:i/>
          <w:iCs/>
        </w:rPr>
      </w:pPr>
      <w:r w:rsidRPr="00F309FA">
        <w:rPr>
          <w:bCs/>
          <w:iCs/>
        </w:rPr>
        <w:t xml:space="preserve">MSAC Terms of Reference and other information are available on the MSAC Website: </w:t>
      </w:r>
      <w:hyperlink r:id="rId16" w:tooltip="Link to the MSAC website" w:history="1">
        <w:r w:rsidRPr="000D2098">
          <w:rPr>
            <w:rStyle w:val="Hyperlink"/>
            <w:iCs/>
            <w:color w:val="007BB8"/>
          </w:rPr>
          <w:t>visit the MSAC website</w:t>
        </w:r>
      </w:hyperlink>
      <w:bookmarkEnd w:id="35"/>
    </w:p>
    <w:sectPr w:rsidR="00772829" w:rsidRPr="005B521F" w:rsidSect="00784341">
      <w:headerReference w:type="even" r:id="rId17"/>
      <w:headerReference w:type="default" r:id="rId18"/>
      <w:footerReference w:type="even" r:id="rId19"/>
      <w:footerReference w:type="default" r:id="rId20"/>
      <w:headerReference w:type="first" r:id="rId21"/>
      <w:footerReference w:type="first" r:id="rId22"/>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F0DC1" w14:textId="77777777" w:rsidR="00FC335F" w:rsidRDefault="00FC335F" w:rsidP="00B62DF2">
      <w:pPr>
        <w:spacing w:after="0" w:line="240" w:lineRule="auto"/>
      </w:pPr>
      <w:r>
        <w:separator/>
      </w:r>
    </w:p>
  </w:endnote>
  <w:endnote w:type="continuationSeparator" w:id="0">
    <w:p w14:paraId="4BD3277C" w14:textId="77777777" w:rsidR="00FC335F" w:rsidRDefault="00FC335F" w:rsidP="00B62DF2">
      <w:pPr>
        <w:spacing w:after="0" w:line="240" w:lineRule="auto"/>
      </w:pPr>
      <w:r>
        <w:continuationSeparator/>
      </w:r>
    </w:p>
  </w:endnote>
  <w:endnote w:type="continuationNotice" w:id="1">
    <w:p w14:paraId="25460DDB" w14:textId="77777777" w:rsidR="00FC335F" w:rsidRDefault="00FC335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charset w:val="00"/>
    <w:family w:val="auto"/>
    <w:pitch w:val="variable"/>
    <w:sig w:usb0="20000207" w:usb1="00000002" w:usb2="00000000" w:usb3="00000000" w:csb0="00000197"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6D499" w14:textId="3921313F" w:rsidR="003A5F4C" w:rsidRDefault="003A5F4C" w:rsidP="005B521F">
    <w:pPr>
      <w:pStyle w:val="Footer"/>
      <w:jc w:val="right"/>
    </w:pPr>
    <w:r w:rsidRPr="60969D91">
      <w:rPr>
        <w:noProof/>
      </w:rPr>
      <w:fldChar w:fldCharType="begin"/>
    </w:r>
    <w:r>
      <w:instrText xml:space="preserve"> PAGE   \* MERGEFORMAT </w:instrText>
    </w:r>
    <w:r w:rsidRPr="60969D91">
      <w:fldChar w:fldCharType="separate"/>
    </w:r>
    <w:r w:rsidR="00892750">
      <w:rPr>
        <w:noProof/>
      </w:rPr>
      <w:t>2</w:t>
    </w:r>
    <w:r w:rsidRPr="60969D9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4847"/>
      <w:docPartObj>
        <w:docPartGallery w:val="Page Numbers (Bottom of Page)"/>
        <w:docPartUnique/>
      </w:docPartObj>
    </w:sdtPr>
    <w:sdtEndPr>
      <w:rPr>
        <w:noProof/>
      </w:rPr>
    </w:sdtEndPr>
    <w:sdtContent>
      <w:p w14:paraId="6BE9385A" w14:textId="4D4D7BCD" w:rsidR="003A5F4C" w:rsidRDefault="003A5F4C" w:rsidP="60969D91">
        <w:pPr>
          <w:pStyle w:val="Footer"/>
          <w:jc w:val="right"/>
        </w:pPr>
        <w:r w:rsidRPr="60969D91">
          <w:rPr>
            <w:noProof/>
          </w:rPr>
          <w:fldChar w:fldCharType="begin"/>
        </w:r>
        <w:r>
          <w:instrText xml:space="preserve"> PAGE   \* MERGEFORMAT </w:instrText>
        </w:r>
        <w:r w:rsidRPr="60969D91">
          <w:fldChar w:fldCharType="separate"/>
        </w:r>
        <w:r w:rsidR="00892750">
          <w:rPr>
            <w:noProof/>
          </w:rPr>
          <w:t>3</w:t>
        </w:r>
        <w:r w:rsidRPr="60969D91">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CD5A9" w14:textId="77777777" w:rsidR="003A5F4C" w:rsidRDefault="003A5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4FF0F" w14:textId="77777777" w:rsidR="00FC335F" w:rsidRDefault="00FC335F" w:rsidP="00B62DF2">
      <w:pPr>
        <w:spacing w:after="0" w:line="240" w:lineRule="auto"/>
      </w:pPr>
      <w:r>
        <w:separator/>
      </w:r>
    </w:p>
  </w:footnote>
  <w:footnote w:type="continuationSeparator" w:id="0">
    <w:p w14:paraId="57AAD974" w14:textId="77777777" w:rsidR="00FC335F" w:rsidRDefault="00FC335F" w:rsidP="00B62DF2">
      <w:pPr>
        <w:spacing w:after="0" w:line="240" w:lineRule="auto"/>
      </w:pPr>
      <w:r>
        <w:continuationSeparator/>
      </w:r>
    </w:p>
  </w:footnote>
  <w:footnote w:type="continuationNotice" w:id="1">
    <w:p w14:paraId="4FB0E5B6" w14:textId="77777777" w:rsidR="00FC335F" w:rsidRDefault="00FC335F">
      <w:pPr>
        <w:spacing w:before="0" w:after="0" w:line="240" w:lineRule="auto"/>
      </w:pPr>
    </w:p>
  </w:footnote>
  <w:footnote w:id="2">
    <w:p w14:paraId="4E3EEF55" w14:textId="53886C42" w:rsidR="003A5F4C" w:rsidRDefault="003A5F4C">
      <w:pPr>
        <w:pStyle w:val="FootnoteText"/>
      </w:pPr>
      <w:r>
        <w:rPr>
          <w:rStyle w:val="FootnoteReference"/>
        </w:rPr>
        <w:footnoteRef/>
      </w:r>
      <w:r>
        <w:t xml:space="preserve"> </w:t>
      </w:r>
      <w:hyperlink r:id="rId1" w:history="1">
        <w:r w:rsidRPr="00FD12F5">
          <w:rPr>
            <w:rStyle w:val="Hyperlink"/>
          </w:rPr>
          <w:t>http://www9.health.gov.au/mbs/fullDisplay.cfm?type=item&amp;q=73342&amp;qt=item&amp;criteria=73342</w:t>
        </w:r>
      </w:hyperlink>
    </w:p>
  </w:footnote>
  <w:footnote w:id="3">
    <w:p w14:paraId="111F69D3" w14:textId="1EA3B034" w:rsidR="003A5F4C" w:rsidRDefault="003A5F4C">
      <w:pPr>
        <w:pStyle w:val="FootnoteText"/>
      </w:pPr>
      <w:r>
        <w:rPr>
          <w:rStyle w:val="FootnoteReference"/>
        </w:rPr>
        <w:footnoteRef/>
      </w:r>
      <w:r>
        <w:t xml:space="preserve"> </w:t>
      </w:r>
      <w:r w:rsidRPr="000946FB">
        <w:t xml:space="preserve">Shitara K, </w:t>
      </w:r>
      <w:r>
        <w:t>et al.</w:t>
      </w:r>
      <w:r w:rsidRPr="000946FB">
        <w:t xml:space="preserve"> DESTINY-Gastric01 Investigators. Trastuzumab Deruxtecan in Previously Treated HER2-Positive Gastric Cancer. </w:t>
      </w:r>
      <w:r w:rsidRPr="00133786">
        <w:rPr>
          <w:i/>
          <w:iCs/>
        </w:rPr>
        <w:t>N Engl J Med</w:t>
      </w:r>
      <w:r w:rsidRPr="000946FB">
        <w:t>. 2020 Jun 18;382(25):2419-2430. doi: 10.1056/NEJMoa2004413. Epub 2020 May 29. PMID: 32469182</w:t>
      </w:r>
    </w:p>
  </w:footnote>
  <w:footnote w:id="4">
    <w:p w14:paraId="68BDF4B9" w14:textId="38252EC1" w:rsidR="003A5F4C" w:rsidRDefault="003A5F4C">
      <w:pPr>
        <w:pStyle w:val="FootnoteText"/>
      </w:pPr>
      <w:r>
        <w:rPr>
          <w:rStyle w:val="FootnoteReference"/>
        </w:rPr>
        <w:footnoteRef/>
      </w:r>
      <w:r>
        <w:t xml:space="preserve"> </w:t>
      </w:r>
      <w:r w:rsidRPr="00EB452C">
        <w:t xml:space="preserve">Van Cutsem E, </w:t>
      </w:r>
      <w:r>
        <w:t>et al</w:t>
      </w:r>
      <w:r w:rsidRPr="00EB452C">
        <w:t xml:space="preserve">. Trastuzumab deruxtecan in patients in the USA and Europe with HER2-positive advanced gastric or gastroesophageal junction cancer with disease progression on or after a trastuzumab-containing regimen (DESTINY-Gastric02): primary and updated analyses from a single-arm, phase 2 study. </w:t>
      </w:r>
      <w:r w:rsidRPr="00133786">
        <w:rPr>
          <w:i/>
          <w:iCs/>
        </w:rPr>
        <w:t>Lancet Oncol</w:t>
      </w:r>
      <w:r w:rsidRPr="00EB452C">
        <w:t>. 2023 Jul;24(7):744-756</w:t>
      </w:r>
    </w:p>
  </w:footnote>
  <w:footnote w:id="5">
    <w:p w14:paraId="4CF3F1D1" w14:textId="1F0118FE" w:rsidR="003A5F4C" w:rsidRDefault="003A5F4C">
      <w:pPr>
        <w:pStyle w:val="FootnoteText"/>
      </w:pPr>
      <w:r>
        <w:rPr>
          <w:rStyle w:val="FootnoteReference"/>
        </w:rPr>
        <w:footnoteRef/>
      </w:r>
      <w:r>
        <w:t xml:space="preserve"> </w:t>
      </w:r>
      <w:r w:rsidRPr="00C6678D">
        <w:t>https://www.msac.gov.au/applications/1163-1</w:t>
      </w:r>
    </w:p>
  </w:footnote>
  <w:footnote w:id="6">
    <w:p w14:paraId="10E519F2" w14:textId="18A32C74" w:rsidR="003A5F4C" w:rsidRDefault="003A5F4C">
      <w:pPr>
        <w:pStyle w:val="FootnoteText"/>
      </w:pPr>
      <w:r>
        <w:rPr>
          <w:rStyle w:val="FootnoteReference"/>
        </w:rPr>
        <w:footnoteRef/>
      </w:r>
      <w:r>
        <w:t xml:space="preserve"> </w:t>
      </w:r>
      <w:r w:rsidRPr="00F94D16">
        <w:t xml:space="preserve">Seo S, </w:t>
      </w:r>
      <w:r>
        <w:t>et al</w:t>
      </w:r>
      <w:r w:rsidRPr="00F94D16">
        <w:t xml:space="preserve">. Loss of HER2 positivity after anti-HER2 chemotherapy in HER2-positive gastric cancer patients: results of the GASTric cancer HER2 reassessment study 3 (GASTHER3). </w:t>
      </w:r>
      <w:r w:rsidRPr="00133786">
        <w:rPr>
          <w:i/>
          <w:iCs/>
        </w:rPr>
        <w:t>Gastric Cancer</w:t>
      </w:r>
      <w:r w:rsidRPr="00F94D16">
        <w:t>. 2019 May;22(3):527-535. doi: 10.1007/s10120-018-0891-1. Epub 2018 Nov 1. PMID: 30386954.</w:t>
      </w:r>
    </w:p>
  </w:footnote>
  <w:footnote w:id="7">
    <w:p w14:paraId="3D1C0E3F" w14:textId="5193F9B2" w:rsidR="003A5F4C" w:rsidRDefault="003A5F4C">
      <w:pPr>
        <w:pStyle w:val="FootnoteText"/>
      </w:pPr>
      <w:r>
        <w:rPr>
          <w:rStyle w:val="FootnoteReference"/>
        </w:rPr>
        <w:footnoteRef/>
      </w:r>
      <w:r>
        <w:t xml:space="preserve"> </w:t>
      </w:r>
      <w:r w:rsidRPr="002D54C6">
        <w:t xml:space="preserve">Pietrantonio F, </w:t>
      </w:r>
      <w:r>
        <w:t xml:space="preserve">et al. </w:t>
      </w:r>
      <w:r w:rsidRPr="002D54C6">
        <w:t xml:space="preserve">HER2 loss in HER2-positive gastric or gastroesophageal cancer after trastuzumab therapy: Implication for further clinical research. </w:t>
      </w:r>
      <w:r w:rsidRPr="00133786">
        <w:rPr>
          <w:i/>
          <w:iCs/>
        </w:rPr>
        <w:t>Int J Cancer</w:t>
      </w:r>
      <w:r w:rsidRPr="002D54C6">
        <w:t>. 2016 Dec 15;139(12):2859-2864. doi: 10.1002/ijc.30408. Epub 2016 Sep 16. PMID: 27578417.</w:t>
      </w:r>
    </w:p>
  </w:footnote>
  <w:footnote w:id="8">
    <w:p w14:paraId="00B0A4BE" w14:textId="0E37B27A" w:rsidR="003A5F4C" w:rsidRDefault="003A5F4C" w:rsidP="00580839">
      <w:pPr>
        <w:pStyle w:val="FootnoteText"/>
      </w:pPr>
      <w:r>
        <w:rPr>
          <w:rStyle w:val="FootnoteReference"/>
        </w:rPr>
        <w:footnoteRef/>
      </w:r>
      <w:r>
        <w:t xml:space="preserve"> Yelena Yuriy Janjigian et al. Loss of human epidermal growth factor receptor 2 (HER2) expression in HER2-overexpressing esophagogastric (EG) tumors treated with trastuzumab. </w:t>
      </w:r>
      <w:r w:rsidRPr="00133786">
        <w:rPr>
          <w:i/>
          <w:iCs/>
        </w:rPr>
        <w:t>J Clin Oncol</w:t>
      </w:r>
      <w:r>
        <w:t xml:space="preserve"> 33, 63-63(2015). DOI:10.1200/jco.2015.33.3_suppl.63</w:t>
      </w:r>
    </w:p>
  </w:footnote>
  <w:footnote w:id="9">
    <w:p w14:paraId="027C2F82" w14:textId="3A2B7397" w:rsidR="00B11D8D" w:rsidRDefault="003A5F4C">
      <w:pPr>
        <w:pStyle w:val="FootnoteText"/>
      </w:pPr>
      <w:r>
        <w:rPr>
          <w:rStyle w:val="FootnoteReference"/>
        </w:rPr>
        <w:footnoteRef/>
      </w:r>
      <w:r>
        <w:t xml:space="preserve"> </w:t>
      </w:r>
      <w:hyperlink r:id="rId2" w:history="1">
        <w:r w:rsidR="00B11D8D" w:rsidRPr="00EC04CB">
          <w:rPr>
            <w:rStyle w:val="Hyperlink"/>
          </w:rPr>
          <w:t>https://www.cap.org/protocols-and-guidelines/cap-guidelines/current-cap-guidelines/her2-testing-and-clinical-decision-making-in-gastroesophageal-adenocarcinoma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50013" w14:textId="77777777" w:rsidR="003A5F4C" w:rsidRDefault="003A5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8C5E9" w14:textId="77777777" w:rsidR="003A5F4C" w:rsidRDefault="003A5F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A69F9" w14:textId="77777777" w:rsidR="003A5F4C" w:rsidRDefault="003A5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C24D06"/>
    <w:multiLevelType w:val="hybridMultilevel"/>
    <w:tmpl w:val="7C9E4F22"/>
    <w:lvl w:ilvl="0" w:tplc="2696C13E">
      <w:start w:val="1"/>
      <w:numFmt w:val="lowerLetter"/>
      <w:lvlText w:val="%1)"/>
      <w:lvlJc w:val="left"/>
      <w:pPr>
        <w:ind w:left="720" w:hanging="360"/>
      </w:pPr>
      <w:rPr>
        <w:rFonts w:ascii="Arial Narrow" w:eastAsiaTheme="minorHAnsi" w:hAnsi="Arial Narrow" w:cstheme="minorBid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4"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4F305F3"/>
    <w:multiLevelType w:val="hybridMultilevel"/>
    <w:tmpl w:val="F63045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1FB7EB9"/>
    <w:multiLevelType w:val="hybridMultilevel"/>
    <w:tmpl w:val="A3C42D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8153FA"/>
    <w:multiLevelType w:val="hybridMultilevel"/>
    <w:tmpl w:val="7C9E4F22"/>
    <w:lvl w:ilvl="0" w:tplc="FFFFFFFF">
      <w:start w:val="1"/>
      <w:numFmt w:val="lowerLetter"/>
      <w:lvlText w:val="%1)"/>
      <w:lvlJc w:val="left"/>
      <w:pPr>
        <w:ind w:left="720" w:hanging="360"/>
      </w:pPr>
      <w:rPr>
        <w:rFonts w:ascii="Arial Narrow" w:eastAsiaTheme="minorHAnsi" w:hAnsi="Arial Narrow" w:cstheme="minorBidi"/>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245959074">
    <w:abstractNumId w:val="7"/>
  </w:num>
  <w:num w:numId="2" w16cid:durableId="1733236749">
    <w:abstractNumId w:val="14"/>
  </w:num>
  <w:num w:numId="3" w16cid:durableId="468866649">
    <w:abstractNumId w:val="0"/>
  </w:num>
  <w:num w:numId="4" w16cid:durableId="1228342211">
    <w:abstractNumId w:val="3"/>
  </w:num>
  <w:num w:numId="5" w16cid:durableId="1957709316">
    <w:abstractNumId w:val="11"/>
  </w:num>
  <w:num w:numId="6" w16cid:durableId="1280333295">
    <w:abstractNumId w:val="4"/>
  </w:num>
  <w:num w:numId="7" w16cid:durableId="1582108001">
    <w:abstractNumId w:val="2"/>
  </w:num>
  <w:num w:numId="8" w16cid:durableId="129979931">
    <w:abstractNumId w:val="5"/>
  </w:num>
  <w:num w:numId="9" w16cid:durableId="552929336">
    <w:abstractNumId w:val="6"/>
  </w:num>
  <w:num w:numId="10" w16cid:durableId="890851062">
    <w:abstractNumId w:val="8"/>
  </w:num>
  <w:num w:numId="11" w16cid:durableId="1983844792">
    <w:abstractNumId w:val="10"/>
  </w:num>
  <w:num w:numId="12" w16cid:durableId="1693997855">
    <w:abstractNumId w:val="9"/>
  </w:num>
  <w:num w:numId="13" w16cid:durableId="175194913">
    <w:abstractNumId w:val="1"/>
  </w:num>
  <w:num w:numId="14" w16cid:durableId="1676957832">
    <w:abstractNumId w:val="12"/>
  </w:num>
  <w:num w:numId="15" w16cid:durableId="193678737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F1"/>
    <w:rsid w:val="0000109A"/>
    <w:rsid w:val="0000149F"/>
    <w:rsid w:val="00001AE6"/>
    <w:rsid w:val="00001D55"/>
    <w:rsid w:val="00002B03"/>
    <w:rsid w:val="00003B71"/>
    <w:rsid w:val="00004529"/>
    <w:rsid w:val="00004D69"/>
    <w:rsid w:val="00004F7F"/>
    <w:rsid w:val="000054C9"/>
    <w:rsid w:val="0000550B"/>
    <w:rsid w:val="00005B24"/>
    <w:rsid w:val="000069F1"/>
    <w:rsid w:val="00010A3D"/>
    <w:rsid w:val="00011568"/>
    <w:rsid w:val="00012B22"/>
    <w:rsid w:val="00014974"/>
    <w:rsid w:val="0001516C"/>
    <w:rsid w:val="00016044"/>
    <w:rsid w:val="000162F5"/>
    <w:rsid w:val="000164D7"/>
    <w:rsid w:val="00020F74"/>
    <w:rsid w:val="000228B8"/>
    <w:rsid w:val="000235B0"/>
    <w:rsid w:val="0002381B"/>
    <w:rsid w:val="00024EA5"/>
    <w:rsid w:val="00025AA7"/>
    <w:rsid w:val="00025C2F"/>
    <w:rsid w:val="0002655D"/>
    <w:rsid w:val="0002755F"/>
    <w:rsid w:val="0003027C"/>
    <w:rsid w:val="00031CC0"/>
    <w:rsid w:val="00032850"/>
    <w:rsid w:val="000332F6"/>
    <w:rsid w:val="000341D9"/>
    <w:rsid w:val="0003423A"/>
    <w:rsid w:val="0003477F"/>
    <w:rsid w:val="00036418"/>
    <w:rsid w:val="00036A4C"/>
    <w:rsid w:val="00036AD8"/>
    <w:rsid w:val="00037037"/>
    <w:rsid w:val="00037302"/>
    <w:rsid w:val="0004005D"/>
    <w:rsid w:val="000401C6"/>
    <w:rsid w:val="00040ADF"/>
    <w:rsid w:val="00040FB4"/>
    <w:rsid w:val="00041254"/>
    <w:rsid w:val="000416EA"/>
    <w:rsid w:val="0004178C"/>
    <w:rsid w:val="00041F5D"/>
    <w:rsid w:val="00042643"/>
    <w:rsid w:val="0004323D"/>
    <w:rsid w:val="0004331F"/>
    <w:rsid w:val="00043715"/>
    <w:rsid w:val="000443A6"/>
    <w:rsid w:val="000449D1"/>
    <w:rsid w:val="00045B8D"/>
    <w:rsid w:val="00045CC5"/>
    <w:rsid w:val="000466B5"/>
    <w:rsid w:val="00046B6A"/>
    <w:rsid w:val="000472D4"/>
    <w:rsid w:val="00051ABA"/>
    <w:rsid w:val="00052DB7"/>
    <w:rsid w:val="00052DD3"/>
    <w:rsid w:val="00052F65"/>
    <w:rsid w:val="0005326D"/>
    <w:rsid w:val="00053F6C"/>
    <w:rsid w:val="00056149"/>
    <w:rsid w:val="000604FC"/>
    <w:rsid w:val="0006073A"/>
    <w:rsid w:val="00061950"/>
    <w:rsid w:val="0006234F"/>
    <w:rsid w:val="0006339C"/>
    <w:rsid w:val="00064731"/>
    <w:rsid w:val="00064783"/>
    <w:rsid w:val="000647C2"/>
    <w:rsid w:val="0007021F"/>
    <w:rsid w:val="000709A0"/>
    <w:rsid w:val="0007116C"/>
    <w:rsid w:val="00071E6B"/>
    <w:rsid w:val="00072D1E"/>
    <w:rsid w:val="00073504"/>
    <w:rsid w:val="00074199"/>
    <w:rsid w:val="000761D9"/>
    <w:rsid w:val="00080241"/>
    <w:rsid w:val="00081239"/>
    <w:rsid w:val="00081778"/>
    <w:rsid w:val="00081940"/>
    <w:rsid w:val="000821CE"/>
    <w:rsid w:val="0008226D"/>
    <w:rsid w:val="00083760"/>
    <w:rsid w:val="00084ACA"/>
    <w:rsid w:val="000870B6"/>
    <w:rsid w:val="00090610"/>
    <w:rsid w:val="00090613"/>
    <w:rsid w:val="00090BD1"/>
    <w:rsid w:val="00090FE3"/>
    <w:rsid w:val="00091322"/>
    <w:rsid w:val="00091553"/>
    <w:rsid w:val="00091857"/>
    <w:rsid w:val="00091C59"/>
    <w:rsid w:val="00092A21"/>
    <w:rsid w:val="00093D9A"/>
    <w:rsid w:val="00094656"/>
    <w:rsid w:val="000946FB"/>
    <w:rsid w:val="00096B52"/>
    <w:rsid w:val="000976E5"/>
    <w:rsid w:val="000A098F"/>
    <w:rsid w:val="000A10BF"/>
    <w:rsid w:val="000A157F"/>
    <w:rsid w:val="000A2429"/>
    <w:rsid w:val="000A2ACD"/>
    <w:rsid w:val="000A2B65"/>
    <w:rsid w:val="000A2DA8"/>
    <w:rsid w:val="000A31FC"/>
    <w:rsid w:val="000A3358"/>
    <w:rsid w:val="000A54B4"/>
    <w:rsid w:val="000A5C47"/>
    <w:rsid w:val="000A629E"/>
    <w:rsid w:val="000A6581"/>
    <w:rsid w:val="000A6B30"/>
    <w:rsid w:val="000B0326"/>
    <w:rsid w:val="000B07E1"/>
    <w:rsid w:val="000B29BE"/>
    <w:rsid w:val="000B2EE4"/>
    <w:rsid w:val="000B3330"/>
    <w:rsid w:val="000B48CA"/>
    <w:rsid w:val="000B5210"/>
    <w:rsid w:val="000B52BE"/>
    <w:rsid w:val="000B6CF0"/>
    <w:rsid w:val="000B720C"/>
    <w:rsid w:val="000B7665"/>
    <w:rsid w:val="000C20CB"/>
    <w:rsid w:val="000C2857"/>
    <w:rsid w:val="000C2E39"/>
    <w:rsid w:val="000C468D"/>
    <w:rsid w:val="000C5328"/>
    <w:rsid w:val="000C5E66"/>
    <w:rsid w:val="000C78BB"/>
    <w:rsid w:val="000C7C46"/>
    <w:rsid w:val="000C7E08"/>
    <w:rsid w:val="000D1B52"/>
    <w:rsid w:val="000D2350"/>
    <w:rsid w:val="000D2C88"/>
    <w:rsid w:val="000D362B"/>
    <w:rsid w:val="000D377C"/>
    <w:rsid w:val="000D3D7C"/>
    <w:rsid w:val="000D4C1B"/>
    <w:rsid w:val="000D5523"/>
    <w:rsid w:val="000E03DC"/>
    <w:rsid w:val="000E0A38"/>
    <w:rsid w:val="000E1027"/>
    <w:rsid w:val="000E1124"/>
    <w:rsid w:val="000E1902"/>
    <w:rsid w:val="000E5268"/>
    <w:rsid w:val="000E5531"/>
    <w:rsid w:val="000E5E56"/>
    <w:rsid w:val="000E6410"/>
    <w:rsid w:val="000E678B"/>
    <w:rsid w:val="000E6B1C"/>
    <w:rsid w:val="000E7FEB"/>
    <w:rsid w:val="000F2E01"/>
    <w:rsid w:val="000F4381"/>
    <w:rsid w:val="000F4BE5"/>
    <w:rsid w:val="000F5A54"/>
    <w:rsid w:val="000F7987"/>
    <w:rsid w:val="000F7D48"/>
    <w:rsid w:val="0010051C"/>
    <w:rsid w:val="001013CF"/>
    <w:rsid w:val="00101814"/>
    <w:rsid w:val="00103BBE"/>
    <w:rsid w:val="0010448B"/>
    <w:rsid w:val="00104F94"/>
    <w:rsid w:val="0010521F"/>
    <w:rsid w:val="0010625A"/>
    <w:rsid w:val="00107524"/>
    <w:rsid w:val="00107DCD"/>
    <w:rsid w:val="00107EF0"/>
    <w:rsid w:val="00111417"/>
    <w:rsid w:val="001114D9"/>
    <w:rsid w:val="001119B5"/>
    <w:rsid w:val="00113C60"/>
    <w:rsid w:val="00114868"/>
    <w:rsid w:val="00114C3B"/>
    <w:rsid w:val="00114CBD"/>
    <w:rsid w:val="00115691"/>
    <w:rsid w:val="0011580B"/>
    <w:rsid w:val="00116980"/>
    <w:rsid w:val="00117039"/>
    <w:rsid w:val="00117F04"/>
    <w:rsid w:val="001201AB"/>
    <w:rsid w:val="00120BD3"/>
    <w:rsid w:val="00121A32"/>
    <w:rsid w:val="0012276B"/>
    <w:rsid w:val="00122AE3"/>
    <w:rsid w:val="00122EE1"/>
    <w:rsid w:val="00123658"/>
    <w:rsid w:val="00123738"/>
    <w:rsid w:val="001237AF"/>
    <w:rsid w:val="001247EB"/>
    <w:rsid w:val="00124F3C"/>
    <w:rsid w:val="001250F9"/>
    <w:rsid w:val="00125B61"/>
    <w:rsid w:val="00126122"/>
    <w:rsid w:val="00126CBA"/>
    <w:rsid w:val="001309A7"/>
    <w:rsid w:val="00131C9A"/>
    <w:rsid w:val="00131D45"/>
    <w:rsid w:val="001320F0"/>
    <w:rsid w:val="00132A7F"/>
    <w:rsid w:val="001332AA"/>
    <w:rsid w:val="001336E0"/>
    <w:rsid w:val="00133786"/>
    <w:rsid w:val="00133F34"/>
    <w:rsid w:val="001348C7"/>
    <w:rsid w:val="00134F7D"/>
    <w:rsid w:val="00135273"/>
    <w:rsid w:val="00135FC9"/>
    <w:rsid w:val="001412B4"/>
    <w:rsid w:val="00141F68"/>
    <w:rsid w:val="00142A84"/>
    <w:rsid w:val="00143478"/>
    <w:rsid w:val="00143F2F"/>
    <w:rsid w:val="0014441B"/>
    <w:rsid w:val="00146624"/>
    <w:rsid w:val="00147B62"/>
    <w:rsid w:val="00150376"/>
    <w:rsid w:val="00151DBD"/>
    <w:rsid w:val="00151E2F"/>
    <w:rsid w:val="00152233"/>
    <w:rsid w:val="0015246D"/>
    <w:rsid w:val="0015265A"/>
    <w:rsid w:val="00152ADD"/>
    <w:rsid w:val="001530E7"/>
    <w:rsid w:val="001531D6"/>
    <w:rsid w:val="00154581"/>
    <w:rsid w:val="00155434"/>
    <w:rsid w:val="00155AEF"/>
    <w:rsid w:val="00155BDA"/>
    <w:rsid w:val="00155FF0"/>
    <w:rsid w:val="00156E27"/>
    <w:rsid w:val="00156FA7"/>
    <w:rsid w:val="00157473"/>
    <w:rsid w:val="00157DB5"/>
    <w:rsid w:val="001600AA"/>
    <w:rsid w:val="0016023A"/>
    <w:rsid w:val="00160942"/>
    <w:rsid w:val="001609C2"/>
    <w:rsid w:val="001621D9"/>
    <w:rsid w:val="001627A3"/>
    <w:rsid w:val="00162A09"/>
    <w:rsid w:val="00162DBF"/>
    <w:rsid w:val="00164CF8"/>
    <w:rsid w:val="001653AE"/>
    <w:rsid w:val="00166D6D"/>
    <w:rsid w:val="00170410"/>
    <w:rsid w:val="00170588"/>
    <w:rsid w:val="00170C17"/>
    <w:rsid w:val="00170D5B"/>
    <w:rsid w:val="00172B8F"/>
    <w:rsid w:val="001736F8"/>
    <w:rsid w:val="00173B59"/>
    <w:rsid w:val="00173D85"/>
    <w:rsid w:val="0017484C"/>
    <w:rsid w:val="00174FD4"/>
    <w:rsid w:val="00176662"/>
    <w:rsid w:val="0018075C"/>
    <w:rsid w:val="00180CB2"/>
    <w:rsid w:val="00181910"/>
    <w:rsid w:val="00181990"/>
    <w:rsid w:val="00182726"/>
    <w:rsid w:val="0018293D"/>
    <w:rsid w:val="00183087"/>
    <w:rsid w:val="00183D3E"/>
    <w:rsid w:val="00184BAE"/>
    <w:rsid w:val="00184BC9"/>
    <w:rsid w:val="0018556A"/>
    <w:rsid w:val="00185892"/>
    <w:rsid w:val="00185CAF"/>
    <w:rsid w:val="0019362A"/>
    <w:rsid w:val="0019474E"/>
    <w:rsid w:val="00195728"/>
    <w:rsid w:val="001962D7"/>
    <w:rsid w:val="001970C0"/>
    <w:rsid w:val="001A057B"/>
    <w:rsid w:val="001A0FED"/>
    <w:rsid w:val="001A136C"/>
    <w:rsid w:val="001A1CB7"/>
    <w:rsid w:val="001A3531"/>
    <w:rsid w:val="001A39A1"/>
    <w:rsid w:val="001A420B"/>
    <w:rsid w:val="001A4B97"/>
    <w:rsid w:val="001A4F7D"/>
    <w:rsid w:val="001A507C"/>
    <w:rsid w:val="001A7496"/>
    <w:rsid w:val="001A77E3"/>
    <w:rsid w:val="001A7B42"/>
    <w:rsid w:val="001A7D8F"/>
    <w:rsid w:val="001B0F4A"/>
    <w:rsid w:val="001B2301"/>
    <w:rsid w:val="001B2434"/>
    <w:rsid w:val="001B2A97"/>
    <w:rsid w:val="001B2CD4"/>
    <w:rsid w:val="001B3024"/>
    <w:rsid w:val="001B3D2C"/>
    <w:rsid w:val="001B3FD8"/>
    <w:rsid w:val="001B4D3E"/>
    <w:rsid w:val="001B7307"/>
    <w:rsid w:val="001B7329"/>
    <w:rsid w:val="001C174A"/>
    <w:rsid w:val="001C1953"/>
    <w:rsid w:val="001C1D05"/>
    <w:rsid w:val="001C2A48"/>
    <w:rsid w:val="001C2A5F"/>
    <w:rsid w:val="001C3923"/>
    <w:rsid w:val="001C4759"/>
    <w:rsid w:val="001C5C1F"/>
    <w:rsid w:val="001C69E3"/>
    <w:rsid w:val="001C6DFD"/>
    <w:rsid w:val="001C6DFE"/>
    <w:rsid w:val="001D2D46"/>
    <w:rsid w:val="001D32C0"/>
    <w:rsid w:val="001D3A64"/>
    <w:rsid w:val="001D3A76"/>
    <w:rsid w:val="001D3A82"/>
    <w:rsid w:val="001D4A93"/>
    <w:rsid w:val="001D535B"/>
    <w:rsid w:val="001D5789"/>
    <w:rsid w:val="001D5793"/>
    <w:rsid w:val="001D6F45"/>
    <w:rsid w:val="001D74A7"/>
    <w:rsid w:val="001E0A8B"/>
    <w:rsid w:val="001E15F2"/>
    <w:rsid w:val="001E204C"/>
    <w:rsid w:val="001E22F7"/>
    <w:rsid w:val="001E3D1B"/>
    <w:rsid w:val="001E465F"/>
    <w:rsid w:val="001E4CE9"/>
    <w:rsid w:val="001E748C"/>
    <w:rsid w:val="001F14E9"/>
    <w:rsid w:val="001F15B2"/>
    <w:rsid w:val="001F2187"/>
    <w:rsid w:val="001F272F"/>
    <w:rsid w:val="001F2902"/>
    <w:rsid w:val="001F395A"/>
    <w:rsid w:val="001F3F36"/>
    <w:rsid w:val="001F46C2"/>
    <w:rsid w:val="001F4AAC"/>
    <w:rsid w:val="001F506A"/>
    <w:rsid w:val="001F535C"/>
    <w:rsid w:val="001F64A9"/>
    <w:rsid w:val="001F658C"/>
    <w:rsid w:val="001F675C"/>
    <w:rsid w:val="001F6F44"/>
    <w:rsid w:val="001F7563"/>
    <w:rsid w:val="001F7927"/>
    <w:rsid w:val="0020173D"/>
    <w:rsid w:val="0020452C"/>
    <w:rsid w:val="00204723"/>
    <w:rsid w:val="00206CF4"/>
    <w:rsid w:val="00207120"/>
    <w:rsid w:val="00207F11"/>
    <w:rsid w:val="00207F59"/>
    <w:rsid w:val="00210D9C"/>
    <w:rsid w:val="00210FB4"/>
    <w:rsid w:val="00211DC3"/>
    <w:rsid w:val="00213862"/>
    <w:rsid w:val="002155B6"/>
    <w:rsid w:val="002157E4"/>
    <w:rsid w:val="002158F1"/>
    <w:rsid w:val="00215AFB"/>
    <w:rsid w:val="00215B7E"/>
    <w:rsid w:val="00215DEA"/>
    <w:rsid w:val="002177BF"/>
    <w:rsid w:val="002200D8"/>
    <w:rsid w:val="002222AD"/>
    <w:rsid w:val="0022285B"/>
    <w:rsid w:val="00222867"/>
    <w:rsid w:val="00223664"/>
    <w:rsid w:val="002238E4"/>
    <w:rsid w:val="00223A56"/>
    <w:rsid w:val="00225833"/>
    <w:rsid w:val="00226095"/>
    <w:rsid w:val="00227B89"/>
    <w:rsid w:val="00227F43"/>
    <w:rsid w:val="00234640"/>
    <w:rsid w:val="00234E6D"/>
    <w:rsid w:val="002365B2"/>
    <w:rsid w:val="00237640"/>
    <w:rsid w:val="00240106"/>
    <w:rsid w:val="00240353"/>
    <w:rsid w:val="00240DCE"/>
    <w:rsid w:val="002411C7"/>
    <w:rsid w:val="002425AD"/>
    <w:rsid w:val="00242F4E"/>
    <w:rsid w:val="002452A0"/>
    <w:rsid w:val="00246380"/>
    <w:rsid w:val="002463A6"/>
    <w:rsid w:val="0024661D"/>
    <w:rsid w:val="00246ADB"/>
    <w:rsid w:val="00246DA4"/>
    <w:rsid w:val="0024783A"/>
    <w:rsid w:val="0024796B"/>
    <w:rsid w:val="002517A5"/>
    <w:rsid w:val="00251A93"/>
    <w:rsid w:val="00251F6C"/>
    <w:rsid w:val="0025249C"/>
    <w:rsid w:val="002539ED"/>
    <w:rsid w:val="0025440D"/>
    <w:rsid w:val="0025450E"/>
    <w:rsid w:val="002547AE"/>
    <w:rsid w:val="00254960"/>
    <w:rsid w:val="00254E59"/>
    <w:rsid w:val="00255152"/>
    <w:rsid w:val="0025554E"/>
    <w:rsid w:val="002567FE"/>
    <w:rsid w:val="00257553"/>
    <w:rsid w:val="00260FF3"/>
    <w:rsid w:val="00261EDB"/>
    <w:rsid w:val="002638F4"/>
    <w:rsid w:val="002657B9"/>
    <w:rsid w:val="00266085"/>
    <w:rsid w:val="00267F08"/>
    <w:rsid w:val="002703D9"/>
    <w:rsid w:val="00270B7D"/>
    <w:rsid w:val="0027118A"/>
    <w:rsid w:val="0027160C"/>
    <w:rsid w:val="00271837"/>
    <w:rsid w:val="002720A9"/>
    <w:rsid w:val="00273E5A"/>
    <w:rsid w:val="00273F19"/>
    <w:rsid w:val="002740FA"/>
    <w:rsid w:val="002751D1"/>
    <w:rsid w:val="00275209"/>
    <w:rsid w:val="00275E5F"/>
    <w:rsid w:val="00276B80"/>
    <w:rsid w:val="002811C7"/>
    <w:rsid w:val="002829C3"/>
    <w:rsid w:val="002839AA"/>
    <w:rsid w:val="00283A05"/>
    <w:rsid w:val="00283D77"/>
    <w:rsid w:val="0028402A"/>
    <w:rsid w:val="00284340"/>
    <w:rsid w:val="0028434A"/>
    <w:rsid w:val="00284F7C"/>
    <w:rsid w:val="002867E5"/>
    <w:rsid w:val="00286C14"/>
    <w:rsid w:val="00287E78"/>
    <w:rsid w:val="00290676"/>
    <w:rsid w:val="00291462"/>
    <w:rsid w:val="00291572"/>
    <w:rsid w:val="00291F35"/>
    <w:rsid w:val="00292162"/>
    <w:rsid w:val="00292E87"/>
    <w:rsid w:val="002947C3"/>
    <w:rsid w:val="002958D0"/>
    <w:rsid w:val="002A04B4"/>
    <w:rsid w:val="002A0FDC"/>
    <w:rsid w:val="002A145B"/>
    <w:rsid w:val="002A18BE"/>
    <w:rsid w:val="002A36F6"/>
    <w:rsid w:val="002A4084"/>
    <w:rsid w:val="002A4AD6"/>
    <w:rsid w:val="002A5558"/>
    <w:rsid w:val="002A5979"/>
    <w:rsid w:val="002A6A9F"/>
    <w:rsid w:val="002A6B5F"/>
    <w:rsid w:val="002A70A3"/>
    <w:rsid w:val="002A7196"/>
    <w:rsid w:val="002A76AE"/>
    <w:rsid w:val="002A79E8"/>
    <w:rsid w:val="002A7FB0"/>
    <w:rsid w:val="002B094F"/>
    <w:rsid w:val="002B10F2"/>
    <w:rsid w:val="002B1384"/>
    <w:rsid w:val="002B1830"/>
    <w:rsid w:val="002B18B3"/>
    <w:rsid w:val="002B1963"/>
    <w:rsid w:val="002B1EDA"/>
    <w:rsid w:val="002B2033"/>
    <w:rsid w:val="002B2E13"/>
    <w:rsid w:val="002B2E3E"/>
    <w:rsid w:val="002B3681"/>
    <w:rsid w:val="002B3846"/>
    <w:rsid w:val="002B3FCA"/>
    <w:rsid w:val="002B4CA3"/>
    <w:rsid w:val="002B667C"/>
    <w:rsid w:val="002C11CA"/>
    <w:rsid w:val="002C143A"/>
    <w:rsid w:val="002C1485"/>
    <w:rsid w:val="002C1E58"/>
    <w:rsid w:val="002C3E3D"/>
    <w:rsid w:val="002C44A8"/>
    <w:rsid w:val="002C45E8"/>
    <w:rsid w:val="002C50DE"/>
    <w:rsid w:val="002C5BC1"/>
    <w:rsid w:val="002C62D8"/>
    <w:rsid w:val="002C6D8D"/>
    <w:rsid w:val="002C6EDC"/>
    <w:rsid w:val="002C70CE"/>
    <w:rsid w:val="002D0054"/>
    <w:rsid w:val="002D05B0"/>
    <w:rsid w:val="002D18F4"/>
    <w:rsid w:val="002D3053"/>
    <w:rsid w:val="002D3EE5"/>
    <w:rsid w:val="002D455A"/>
    <w:rsid w:val="002D45E9"/>
    <w:rsid w:val="002D5097"/>
    <w:rsid w:val="002D54C6"/>
    <w:rsid w:val="002D55E4"/>
    <w:rsid w:val="002D575C"/>
    <w:rsid w:val="002D5C9A"/>
    <w:rsid w:val="002D690D"/>
    <w:rsid w:val="002D695E"/>
    <w:rsid w:val="002D707E"/>
    <w:rsid w:val="002E187F"/>
    <w:rsid w:val="002E63BE"/>
    <w:rsid w:val="002E675B"/>
    <w:rsid w:val="002E6997"/>
    <w:rsid w:val="002E75F6"/>
    <w:rsid w:val="002E7775"/>
    <w:rsid w:val="002E7AC9"/>
    <w:rsid w:val="002E7AD2"/>
    <w:rsid w:val="002F1399"/>
    <w:rsid w:val="002F1DDF"/>
    <w:rsid w:val="002F32FB"/>
    <w:rsid w:val="002F39C5"/>
    <w:rsid w:val="002F5611"/>
    <w:rsid w:val="002F5F5E"/>
    <w:rsid w:val="002F5F85"/>
    <w:rsid w:val="002F63F8"/>
    <w:rsid w:val="002F693F"/>
    <w:rsid w:val="002F6FE4"/>
    <w:rsid w:val="002F7EBA"/>
    <w:rsid w:val="003008CC"/>
    <w:rsid w:val="00300C53"/>
    <w:rsid w:val="003015E5"/>
    <w:rsid w:val="00301763"/>
    <w:rsid w:val="00301DDC"/>
    <w:rsid w:val="0030213A"/>
    <w:rsid w:val="00302252"/>
    <w:rsid w:val="00302A4F"/>
    <w:rsid w:val="00303C60"/>
    <w:rsid w:val="00304FB8"/>
    <w:rsid w:val="00307299"/>
    <w:rsid w:val="00307B3D"/>
    <w:rsid w:val="0031033F"/>
    <w:rsid w:val="00310B9B"/>
    <w:rsid w:val="00310C3F"/>
    <w:rsid w:val="003115D3"/>
    <w:rsid w:val="003127D8"/>
    <w:rsid w:val="00313A88"/>
    <w:rsid w:val="00313F43"/>
    <w:rsid w:val="003140D2"/>
    <w:rsid w:val="00317714"/>
    <w:rsid w:val="00320864"/>
    <w:rsid w:val="00320A17"/>
    <w:rsid w:val="003218A3"/>
    <w:rsid w:val="00322DA9"/>
    <w:rsid w:val="00322EA5"/>
    <w:rsid w:val="00323AF6"/>
    <w:rsid w:val="003248B0"/>
    <w:rsid w:val="00324F06"/>
    <w:rsid w:val="003251C2"/>
    <w:rsid w:val="00325FA0"/>
    <w:rsid w:val="00326F1C"/>
    <w:rsid w:val="00327162"/>
    <w:rsid w:val="00327DB0"/>
    <w:rsid w:val="003307A4"/>
    <w:rsid w:val="00330A0A"/>
    <w:rsid w:val="00330C0C"/>
    <w:rsid w:val="00331780"/>
    <w:rsid w:val="0033237C"/>
    <w:rsid w:val="003328A9"/>
    <w:rsid w:val="00333178"/>
    <w:rsid w:val="0033337D"/>
    <w:rsid w:val="003339BB"/>
    <w:rsid w:val="003361AE"/>
    <w:rsid w:val="003371B5"/>
    <w:rsid w:val="00337BAF"/>
    <w:rsid w:val="00340341"/>
    <w:rsid w:val="003417CB"/>
    <w:rsid w:val="00343281"/>
    <w:rsid w:val="003435A9"/>
    <w:rsid w:val="00344649"/>
    <w:rsid w:val="00345496"/>
    <w:rsid w:val="00345BCF"/>
    <w:rsid w:val="00345CE2"/>
    <w:rsid w:val="003466F9"/>
    <w:rsid w:val="00350092"/>
    <w:rsid w:val="00350B7A"/>
    <w:rsid w:val="0035197E"/>
    <w:rsid w:val="003519AD"/>
    <w:rsid w:val="00351E0E"/>
    <w:rsid w:val="003532E9"/>
    <w:rsid w:val="0035336D"/>
    <w:rsid w:val="00353564"/>
    <w:rsid w:val="00354042"/>
    <w:rsid w:val="003549CD"/>
    <w:rsid w:val="00354EB4"/>
    <w:rsid w:val="003562EE"/>
    <w:rsid w:val="00356D29"/>
    <w:rsid w:val="00357093"/>
    <w:rsid w:val="003571C2"/>
    <w:rsid w:val="003606A8"/>
    <w:rsid w:val="00361524"/>
    <w:rsid w:val="00361E4E"/>
    <w:rsid w:val="00362435"/>
    <w:rsid w:val="00362BA9"/>
    <w:rsid w:val="003640A7"/>
    <w:rsid w:val="00365447"/>
    <w:rsid w:val="003655B9"/>
    <w:rsid w:val="0036690B"/>
    <w:rsid w:val="00367720"/>
    <w:rsid w:val="0036794E"/>
    <w:rsid w:val="00371E00"/>
    <w:rsid w:val="003732A7"/>
    <w:rsid w:val="00374E01"/>
    <w:rsid w:val="003750B7"/>
    <w:rsid w:val="00375435"/>
    <w:rsid w:val="00377E9A"/>
    <w:rsid w:val="00380E40"/>
    <w:rsid w:val="0038146C"/>
    <w:rsid w:val="00381871"/>
    <w:rsid w:val="00382609"/>
    <w:rsid w:val="00383A1E"/>
    <w:rsid w:val="003840F7"/>
    <w:rsid w:val="00386124"/>
    <w:rsid w:val="003864D5"/>
    <w:rsid w:val="003875DE"/>
    <w:rsid w:val="0038785D"/>
    <w:rsid w:val="00390567"/>
    <w:rsid w:val="00390DE3"/>
    <w:rsid w:val="003911A0"/>
    <w:rsid w:val="00391BC6"/>
    <w:rsid w:val="00391FC4"/>
    <w:rsid w:val="00393482"/>
    <w:rsid w:val="00393899"/>
    <w:rsid w:val="003965A5"/>
    <w:rsid w:val="003966F6"/>
    <w:rsid w:val="0039677D"/>
    <w:rsid w:val="0039786F"/>
    <w:rsid w:val="00397D5C"/>
    <w:rsid w:val="003A0660"/>
    <w:rsid w:val="003A0D52"/>
    <w:rsid w:val="003A1AD2"/>
    <w:rsid w:val="003A2ED1"/>
    <w:rsid w:val="003A4C47"/>
    <w:rsid w:val="003A5F4C"/>
    <w:rsid w:val="003A65E5"/>
    <w:rsid w:val="003A6724"/>
    <w:rsid w:val="003A6C61"/>
    <w:rsid w:val="003A6E1A"/>
    <w:rsid w:val="003A7F3A"/>
    <w:rsid w:val="003B0BA1"/>
    <w:rsid w:val="003B2028"/>
    <w:rsid w:val="003B2952"/>
    <w:rsid w:val="003B2E05"/>
    <w:rsid w:val="003B3EE9"/>
    <w:rsid w:val="003B4599"/>
    <w:rsid w:val="003B61B7"/>
    <w:rsid w:val="003B764B"/>
    <w:rsid w:val="003C1AE2"/>
    <w:rsid w:val="003C440C"/>
    <w:rsid w:val="003C4935"/>
    <w:rsid w:val="003C4ADF"/>
    <w:rsid w:val="003C4F8F"/>
    <w:rsid w:val="003C6928"/>
    <w:rsid w:val="003C6B59"/>
    <w:rsid w:val="003D0210"/>
    <w:rsid w:val="003D032C"/>
    <w:rsid w:val="003D03C0"/>
    <w:rsid w:val="003D13DE"/>
    <w:rsid w:val="003D299E"/>
    <w:rsid w:val="003D3861"/>
    <w:rsid w:val="003D3ECD"/>
    <w:rsid w:val="003D4CC6"/>
    <w:rsid w:val="003D5256"/>
    <w:rsid w:val="003D55E1"/>
    <w:rsid w:val="003D6105"/>
    <w:rsid w:val="003D641A"/>
    <w:rsid w:val="003D71EB"/>
    <w:rsid w:val="003D7ABB"/>
    <w:rsid w:val="003D7AF5"/>
    <w:rsid w:val="003E0CE2"/>
    <w:rsid w:val="003E1FBF"/>
    <w:rsid w:val="003E22CB"/>
    <w:rsid w:val="003E2343"/>
    <w:rsid w:val="003E2443"/>
    <w:rsid w:val="003E34CC"/>
    <w:rsid w:val="003E406B"/>
    <w:rsid w:val="003E4F96"/>
    <w:rsid w:val="003E5CCA"/>
    <w:rsid w:val="003E7232"/>
    <w:rsid w:val="003E7773"/>
    <w:rsid w:val="003F115E"/>
    <w:rsid w:val="003F14C2"/>
    <w:rsid w:val="003F2210"/>
    <w:rsid w:val="003F2EAF"/>
    <w:rsid w:val="003F353B"/>
    <w:rsid w:val="003F3888"/>
    <w:rsid w:val="003F535C"/>
    <w:rsid w:val="003F682B"/>
    <w:rsid w:val="003F696B"/>
    <w:rsid w:val="003F7196"/>
    <w:rsid w:val="00400738"/>
    <w:rsid w:val="004008AF"/>
    <w:rsid w:val="00400A21"/>
    <w:rsid w:val="00400B5F"/>
    <w:rsid w:val="00400E45"/>
    <w:rsid w:val="00401C24"/>
    <w:rsid w:val="00401DBF"/>
    <w:rsid w:val="0040325B"/>
    <w:rsid w:val="004032DE"/>
    <w:rsid w:val="004033D9"/>
    <w:rsid w:val="00404443"/>
    <w:rsid w:val="00404A94"/>
    <w:rsid w:val="0040545F"/>
    <w:rsid w:val="0040551F"/>
    <w:rsid w:val="00406013"/>
    <w:rsid w:val="00406A94"/>
    <w:rsid w:val="0040771F"/>
    <w:rsid w:val="004111F7"/>
    <w:rsid w:val="0041217D"/>
    <w:rsid w:val="004125C6"/>
    <w:rsid w:val="0041275F"/>
    <w:rsid w:val="00413198"/>
    <w:rsid w:val="004145FC"/>
    <w:rsid w:val="00414D01"/>
    <w:rsid w:val="00414F26"/>
    <w:rsid w:val="004152D8"/>
    <w:rsid w:val="0041568F"/>
    <w:rsid w:val="004177FF"/>
    <w:rsid w:val="00421A89"/>
    <w:rsid w:val="00421CB1"/>
    <w:rsid w:val="00421EBC"/>
    <w:rsid w:val="00422BB5"/>
    <w:rsid w:val="0042304B"/>
    <w:rsid w:val="00423A85"/>
    <w:rsid w:val="00424084"/>
    <w:rsid w:val="00425694"/>
    <w:rsid w:val="00425AC0"/>
    <w:rsid w:val="004273AD"/>
    <w:rsid w:val="004274E2"/>
    <w:rsid w:val="00427CBB"/>
    <w:rsid w:val="00430387"/>
    <w:rsid w:val="004305AE"/>
    <w:rsid w:val="00430D45"/>
    <w:rsid w:val="00431800"/>
    <w:rsid w:val="0043196B"/>
    <w:rsid w:val="004325E9"/>
    <w:rsid w:val="00433541"/>
    <w:rsid w:val="004337AC"/>
    <w:rsid w:val="00436514"/>
    <w:rsid w:val="0043654C"/>
    <w:rsid w:val="0044056D"/>
    <w:rsid w:val="004410FD"/>
    <w:rsid w:val="00441264"/>
    <w:rsid w:val="004423F7"/>
    <w:rsid w:val="00442A49"/>
    <w:rsid w:val="00444561"/>
    <w:rsid w:val="0044690B"/>
    <w:rsid w:val="00446BBE"/>
    <w:rsid w:val="00447045"/>
    <w:rsid w:val="0044782C"/>
    <w:rsid w:val="0045093D"/>
    <w:rsid w:val="00451645"/>
    <w:rsid w:val="00454F8E"/>
    <w:rsid w:val="00455CD5"/>
    <w:rsid w:val="004560AC"/>
    <w:rsid w:val="00456B5C"/>
    <w:rsid w:val="00456DDA"/>
    <w:rsid w:val="00457C13"/>
    <w:rsid w:val="004606A7"/>
    <w:rsid w:val="004609B9"/>
    <w:rsid w:val="0046114D"/>
    <w:rsid w:val="0046276B"/>
    <w:rsid w:val="00462778"/>
    <w:rsid w:val="00462B85"/>
    <w:rsid w:val="004643A2"/>
    <w:rsid w:val="00464EA5"/>
    <w:rsid w:val="00464EB0"/>
    <w:rsid w:val="00464F6C"/>
    <w:rsid w:val="00466CD4"/>
    <w:rsid w:val="004677B7"/>
    <w:rsid w:val="00467DF9"/>
    <w:rsid w:val="00470BFB"/>
    <w:rsid w:val="00471D0D"/>
    <w:rsid w:val="004726AE"/>
    <w:rsid w:val="00472854"/>
    <w:rsid w:val="00474E01"/>
    <w:rsid w:val="00475082"/>
    <w:rsid w:val="004757D0"/>
    <w:rsid w:val="00476C0D"/>
    <w:rsid w:val="00481D80"/>
    <w:rsid w:val="00482804"/>
    <w:rsid w:val="00482B47"/>
    <w:rsid w:val="0048323E"/>
    <w:rsid w:val="0048386F"/>
    <w:rsid w:val="00484DC5"/>
    <w:rsid w:val="00485675"/>
    <w:rsid w:val="0048642B"/>
    <w:rsid w:val="00487C85"/>
    <w:rsid w:val="0049045D"/>
    <w:rsid w:val="00490DC4"/>
    <w:rsid w:val="004933C0"/>
    <w:rsid w:val="00493DB5"/>
    <w:rsid w:val="00494F64"/>
    <w:rsid w:val="00496F19"/>
    <w:rsid w:val="00497B9F"/>
    <w:rsid w:val="004A0D41"/>
    <w:rsid w:val="004A1616"/>
    <w:rsid w:val="004A2084"/>
    <w:rsid w:val="004A2464"/>
    <w:rsid w:val="004A4430"/>
    <w:rsid w:val="004A4FDF"/>
    <w:rsid w:val="004A5489"/>
    <w:rsid w:val="004A5E73"/>
    <w:rsid w:val="004A7A52"/>
    <w:rsid w:val="004A7C4E"/>
    <w:rsid w:val="004B0C35"/>
    <w:rsid w:val="004B19FE"/>
    <w:rsid w:val="004B2A4D"/>
    <w:rsid w:val="004B2F45"/>
    <w:rsid w:val="004B33C2"/>
    <w:rsid w:val="004B4214"/>
    <w:rsid w:val="004B6018"/>
    <w:rsid w:val="004B689D"/>
    <w:rsid w:val="004B71BD"/>
    <w:rsid w:val="004C0E97"/>
    <w:rsid w:val="004C114C"/>
    <w:rsid w:val="004C2204"/>
    <w:rsid w:val="004C48C8"/>
    <w:rsid w:val="004C4F94"/>
    <w:rsid w:val="004C598D"/>
    <w:rsid w:val="004C5BEF"/>
    <w:rsid w:val="004C7691"/>
    <w:rsid w:val="004D0F67"/>
    <w:rsid w:val="004D1452"/>
    <w:rsid w:val="004D2029"/>
    <w:rsid w:val="004D20C6"/>
    <w:rsid w:val="004D3897"/>
    <w:rsid w:val="004D4425"/>
    <w:rsid w:val="004D4FD1"/>
    <w:rsid w:val="004D5147"/>
    <w:rsid w:val="004D6413"/>
    <w:rsid w:val="004E2758"/>
    <w:rsid w:val="004E2BD6"/>
    <w:rsid w:val="004E5744"/>
    <w:rsid w:val="004E5F0F"/>
    <w:rsid w:val="004E6285"/>
    <w:rsid w:val="004E6496"/>
    <w:rsid w:val="004F0115"/>
    <w:rsid w:val="004F2920"/>
    <w:rsid w:val="004F4949"/>
    <w:rsid w:val="004F5712"/>
    <w:rsid w:val="004F6AD3"/>
    <w:rsid w:val="004F78DE"/>
    <w:rsid w:val="00501386"/>
    <w:rsid w:val="00501878"/>
    <w:rsid w:val="00501A9E"/>
    <w:rsid w:val="00501BD9"/>
    <w:rsid w:val="00501C25"/>
    <w:rsid w:val="005027A6"/>
    <w:rsid w:val="00502B04"/>
    <w:rsid w:val="00502DAE"/>
    <w:rsid w:val="00502FFB"/>
    <w:rsid w:val="00503625"/>
    <w:rsid w:val="005038A0"/>
    <w:rsid w:val="00504A82"/>
    <w:rsid w:val="00505E19"/>
    <w:rsid w:val="00506B70"/>
    <w:rsid w:val="00506B9E"/>
    <w:rsid w:val="005103C5"/>
    <w:rsid w:val="00510AF7"/>
    <w:rsid w:val="0051130B"/>
    <w:rsid w:val="00512034"/>
    <w:rsid w:val="005131D3"/>
    <w:rsid w:val="0051352C"/>
    <w:rsid w:val="00514FC2"/>
    <w:rsid w:val="0051516F"/>
    <w:rsid w:val="00515BFA"/>
    <w:rsid w:val="00516559"/>
    <w:rsid w:val="00516568"/>
    <w:rsid w:val="00516613"/>
    <w:rsid w:val="00516676"/>
    <w:rsid w:val="00517A86"/>
    <w:rsid w:val="00520B3B"/>
    <w:rsid w:val="005222C8"/>
    <w:rsid w:val="00522F0A"/>
    <w:rsid w:val="0052349D"/>
    <w:rsid w:val="00523FA0"/>
    <w:rsid w:val="00524BE8"/>
    <w:rsid w:val="00525141"/>
    <w:rsid w:val="0052575D"/>
    <w:rsid w:val="00526B64"/>
    <w:rsid w:val="00526C92"/>
    <w:rsid w:val="005275FC"/>
    <w:rsid w:val="0052768C"/>
    <w:rsid w:val="00527F36"/>
    <w:rsid w:val="00530025"/>
    <w:rsid w:val="00530896"/>
    <w:rsid w:val="005310AF"/>
    <w:rsid w:val="005342C3"/>
    <w:rsid w:val="00534A7D"/>
    <w:rsid w:val="00535277"/>
    <w:rsid w:val="005362F5"/>
    <w:rsid w:val="0053725B"/>
    <w:rsid w:val="0053732B"/>
    <w:rsid w:val="00540337"/>
    <w:rsid w:val="005407B1"/>
    <w:rsid w:val="00540C57"/>
    <w:rsid w:val="0054417F"/>
    <w:rsid w:val="00551392"/>
    <w:rsid w:val="00552656"/>
    <w:rsid w:val="00552DF8"/>
    <w:rsid w:val="005531BD"/>
    <w:rsid w:val="0055326A"/>
    <w:rsid w:val="00553682"/>
    <w:rsid w:val="005537A1"/>
    <w:rsid w:val="00554050"/>
    <w:rsid w:val="00554818"/>
    <w:rsid w:val="00554CEF"/>
    <w:rsid w:val="00554F78"/>
    <w:rsid w:val="005567B2"/>
    <w:rsid w:val="005569D2"/>
    <w:rsid w:val="00557870"/>
    <w:rsid w:val="0055799A"/>
    <w:rsid w:val="00560277"/>
    <w:rsid w:val="00560938"/>
    <w:rsid w:val="00560AF1"/>
    <w:rsid w:val="00561562"/>
    <w:rsid w:val="0056340B"/>
    <w:rsid w:val="00563A3B"/>
    <w:rsid w:val="00563DE6"/>
    <w:rsid w:val="00564C32"/>
    <w:rsid w:val="0056528D"/>
    <w:rsid w:val="005656B4"/>
    <w:rsid w:val="00565F55"/>
    <w:rsid w:val="0056628B"/>
    <w:rsid w:val="00566298"/>
    <w:rsid w:val="00566EBE"/>
    <w:rsid w:val="00567154"/>
    <w:rsid w:val="00567BAA"/>
    <w:rsid w:val="00567ED2"/>
    <w:rsid w:val="0057091E"/>
    <w:rsid w:val="00571531"/>
    <w:rsid w:val="00571A22"/>
    <w:rsid w:val="005723D6"/>
    <w:rsid w:val="00573275"/>
    <w:rsid w:val="00574A6E"/>
    <w:rsid w:val="00575733"/>
    <w:rsid w:val="00577145"/>
    <w:rsid w:val="005773BE"/>
    <w:rsid w:val="00580839"/>
    <w:rsid w:val="00582365"/>
    <w:rsid w:val="005834F7"/>
    <w:rsid w:val="00583D61"/>
    <w:rsid w:val="00585C1B"/>
    <w:rsid w:val="00587639"/>
    <w:rsid w:val="00591349"/>
    <w:rsid w:val="00592638"/>
    <w:rsid w:val="00593138"/>
    <w:rsid w:val="00593A33"/>
    <w:rsid w:val="005947B5"/>
    <w:rsid w:val="00594B8F"/>
    <w:rsid w:val="00595E3D"/>
    <w:rsid w:val="005960BB"/>
    <w:rsid w:val="005963B0"/>
    <w:rsid w:val="00597407"/>
    <w:rsid w:val="00597668"/>
    <w:rsid w:val="00597824"/>
    <w:rsid w:val="005A0496"/>
    <w:rsid w:val="005A063D"/>
    <w:rsid w:val="005A0D88"/>
    <w:rsid w:val="005A1C28"/>
    <w:rsid w:val="005A2A1A"/>
    <w:rsid w:val="005A4047"/>
    <w:rsid w:val="005A41F3"/>
    <w:rsid w:val="005A4384"/>
    <w:rsid w:val="005A7012"/>
    <w:rsid w:val="005A7A5E"/>
    <w:rsid w:val="005B066F"/>
    <w:rsid w:val="005B1685"/>
    <w:rsid w:val="005B1C07"/>
    <w:rsid w:val="005B1FF1"/>
    <w:rsid w:val="005B3432"/>
    <w:rsid w:val="005B35D7"/>
    <w:rsid w:val="005B3BD6"/>
    <w:rsid w:val="005B4309"/>
    <w:rsid w:val="005B465F"/>
    <w:rsid w:val="005B51B1"/>
    <w:rsid w:val="005B521F"/>
    <w:rsid w:val="005B5B63"/>
    <w:rsid w:val="005B6FF9"/>
    <w:rsid w:val="005B7D6C"/>
    <w:rsid w:val="005C2538"/>
    <w:rsid w:val="005C2565"/>
    <w:rsid w:val="005C44C8"/>
    <w:rsid w:val="005C4B28"/>
    <w:rsid w:val="005C587B"/>
    <w:rsid w:val="005C5888"/>
    <w:rsid w:val="005C6232"/>
    <w:rsid w:val="005C7215"/>
    <w:rsid w:val="005C73C4"/>
    <w:rsid w:val="005C7490"/>
    <w:rsid w:val="005C7F42"/>
    <w:rsid w:val="005D00EA"/>
    <w:rsid w:val="005D023B"/>
    <w:rsid w:val="005D02C4"/>
    <w:rsid w:val="005D0BBF"/>
    <w:rsid w:val="005D0F37"/>
    <w:rsid w:val="005D170B"/>
    <w:rsid w:val="005D2304"/>
    <w:rsid w:val="005D38D5"/>
    <w:rsid w:val="005D3A04"/>
    <w:rsid w:val="005D48FE"/>
    <w:rsid w:val="005D51AD"/>
    <w:rsid w:val="005D7264"/>
    <w:rsid w:val="005D7471"/>
    <w:rsid w:val="005D749D"/>
    <w:rsid w:val="005D7B0D"/>
    <w:rsid w:val="005E09B0"/>
    <w:rsid w:val="005E2702"/>
    <w:rsid w:val="005E4C7B"/>
    <w:rsid w:val="005E5874"/>
    <w:rsid w:val="005E65BE"/>
    <w:rsid w:val="005E75D5"/>
    <w:rsid w:val="005E770D"/>
    <w:rsid w:val="005E7F4B"/>
    <w:rsid w:val="005F1555"/>
    <w:rsid w:val="005F1572"/>
    <w:rsid w:val="005F1F60"/>
    <w:rsid w:val="005F2399"/>
    <w:rsid w:val="005F2978"/>
    <w:rsid w:val="005F39C1"/>
    <w:rsid w:val="005F4721"/>
    <w:rsid w:val="005F6E50"/>
    <w:rsid w:val="005F720A"/>
    <w:rsid w:val="00600128"/>
    <w:rsid w:val="00600317"/>
    <w:rsid w:val="00600505"/>
    <w:rsid w:val="006016CB"/>
    <w:rsid w:val="00601CB2"/>
    <w:rsid w:val="00601EAD"/>
    <w:rsid w:val="00602ADB"/>
    <w:rsid w:val="00602F43"/>
    <w:rsid w:val="00603B08"/>
    <w:rsid w:val="00603C9F"/>
    <w:rsid w:val="00604A27"/>
    <w:rsid w:val="00605776"/>
    <w:rsid w:val="00606E7A"/>
    <w:rsid w:val="0060796C"/>
    <w:rsid w:val="00607F3D"/>
    <w:rsid w:val="00610162"/>
    <w:rsid w:val="00610ABA"/>
    <w:rsid w:val="00612733"/>
    <w:rsid w:val="00613037"/>
    <w:rsid w:val="006135AB"/>
    <w:rsid w:val="0061360A"/>
    <w:rsid w:val="006138E4"/>
    <w:rsid w:val="006144F6"/>
    <w:rsid w:val="00615721"/>
    <w:rsid w:val="00616277"/>
    <w:rsid w:val="00616407"/>
    <w:rsid w:val="006172BA"/>
    <w:rsid w:val="00620E5A"/>
    <w:rsid w:val="00621504"/>
    <w:rsid w:val="006220CA"/>
    <w:rsid w:val="00623303"/>
    <w:rsid w:val="0062439A"/>
    <w:rsid w:val="0062460D"/>
    <w:rsid w:val="006250E9"/>
    <w:rsid w:val="0062549F"/>
    <w:rsid w:val="006306B0"/>
    <w:rsid w:val="00630955"/>
    <w:rsid w:val="00632C8E"/>
    <w:rsid w:val="00633ABF"/>
    <w:rsid w:val="00633B2F"/>
    <w:rsid w:val="00633F66"/>
    <w:rsid w:val="006341B5"/>
    <w:rsid w:val="0063433E"/>
    <w:rsid w:val="00635E6C"/>
    <w:rsid w:val="006375A4"/>
    <w:rsid w:val="00640C31"/>
    <w:rsid w:val="0064118D"/>
    <w:rsid w:val="006418AA"/>
    <w:rsid w:val="00641BBA"/>
    <w:rsid w:val="00643132"/>
    <w:rsid w:val="00643226"/>
    <w:rsid w:val="006437B6"/>
    <w:rsid w:val="00644B0D"/>
    <w:rsid w:val="006459EF"/>
    <w:rsid w:val="006465F3"/>
    <w:rsid w:val="00647415"/>
    <w:rsid w:val="006519EC"/>
    <w:rsid w:val="00651CF6"/>
    <w:rsid w:val="006533C3"/>
    <w:rsid w:val="006534BF"/>
    <w:rsid w:val="006537D7"/>
    <w:rsid w:val="0065444A"/>
    <w:rsid w:val="00654F68"/>
    <w:rsid w:val="00655CF9"/>
    <w:rsid w:val="00655D45"/>
    <w:rsid w:val="0065714C"/>
    <w:rsid w:val="00657D91"/>
    <w:rsid w:val="00660A74"/>
    <w:rsid w:val="00660F1E"/>
    <w:rsid w:val="00662E5F"/>
    <w:rsid w:val="00664434"/>
    <w:rsid w:val="0066561F"/>
    <w:rsid w:val="00665884"/>
    <w:rsid w:val="006667A5"/>
    <w:rsid w:val="00666A58"/>
    <w:rsid w:val="006670BF"/>
    <w:rsid w:val="00670650"/>
    <w:rsid w:val="006712C0"/>
    <w:rsid w:val="006726E1"/>
    <w:rsid w:val="006727CF"/>
    <w:rsid w:val="00672A5C"/>
    <w:rsid w:val="006744AC"/>
    <w:rsid w:val="00674C7D"/>
    <w:rsid w:val="0067545A"/>
    <w:rsid w:val="00675CAF"/>
    <w:rsid w:val="00677C70"/>
    <w:rsid w:val="0068010B"/>
    <w:rsid w:val="00680B40"/>
    <w:rsid w:val="00681EC9"/>
    <w:rsid w:val="006822FA"/>
    <w:rsid w:val="0068288C"/>
    <w:rsid w:val="00683525"/>
    <w:rsid w:val="00683F36"/>
    <w:rsid w:val="00685589"/>
    <w:rsid w:val="0068627A"/>
    <w:rsid w:val="00686789"/>
    <w:rsid w:val="0068682C"/>
    <w:rsid w:val="006938AA"/>
    <w:rsid w:val="006946F1"/>
    <w:rsid w:val="0069474B"/>
    <w:rsid w:val="0069475D"/>
    <w:rsid w:val="00694C38"/>
    <w:rsid w:val="00695208"/>
    <w:rsid w:val="0069594B"/>
    <w:rsid w:val="00697966"/>
    <w:rsid w:val="00697E8A"/>
    <w:rsid w:val="006A02EE"/>
    <w:rsid w:val="006A061E"/>
    <w:rsid w:val="006A2066"/>
    <w:rsid w:val="006A2BEF"/>
    <w:rsid w:val="006A3725"/>
    <w:rsid w:val="006A3A2B"/>
    <w:rsid w:val="006A3AE7"/>
    <w:rsid w:val="006A4616"/>
    <w:rsid w:val="006A470E"/>
    <w:rsid w:val="006A60D4"/>
    <w:rsid w:val="006A6BF1"/>
    <w:rsid w:val="006A6E2E"/>
    <w:rsid w:val="006A7849"/>
    <w:rsid w:val="006B081B"/>
    <w:rsid w:val="006B1AF0"/>
    <w:rsid w:val="006B3032"/>
    <w:rsid w:val="006B3595"/>
    <w:rsid w:val="006B4B4A"/>
    <w:rsid w:val="006B4F87"/>
    <w:rsid w:val="006B53BF"/>
    <w:rsid w:val="006B5825"/>
    <w:rsid w:val="006B75C6"/>
    <w:rsid w:val="006C0D6A"/>
    <w:rsid w:val="006C2657"/>
    <w:rsid w:val="006C3198"/>
    <w:rsid w:val="006C354C"/>
    <w:rsid w:val="006C3B76"/>
    <w:rsid w:val="006C4572"/>
    <w:rsid w:val="006C5146"/>
    <w:rsid w:val="006C5325"/>
    <w:rsid w:val="006C65E0"/>
    <w:rsid w:val="006C73FC"/>
    <w:rsid w:val="006C74EF"/>
    <w:rsid w:val="006C7B03"/>
    <w:rsid w:val="006D0EC2"/>
    <w:rsid w:val="006D2FD5"/>
    <w:rsid w:val="006D35A0"/>
    <w:rsid w:val="006D4020"/>
    <w:rsid w:val="006D4C72"/>
    <w:rsid w:val="006D4E4C"/>
    <w:rsid w:val="006D50D4"/>
    <w:rsid w:val="006D5585"/>
    <w:rsid w:val="006D567B"/>
    <w:rsid w:val="006D5F76"/>
    <w:rsid w:val="006D61D3"/>
    <w:rsid w:val="006D6D96"/>
    <w:rsid w:val="006D7211"/>
    <w:rsid w:val="006D75C8"/>
    <w:rsid w:val="006D7705"/>
    <w:rsid w:val="006E12C8"/>
    <w:rsid w:val="006E18B8"/>
    <w:rsid w:val="006E1DD3"/>
    <w:rsid w:val="006E338C"/>
    <w:rsid w:val="006E575C"/>
    <w:rsid w:val="006E7481"/>
    <w:rsid w:val="006E78A5"/>
    <w:rsid w:val="006F00CF"/>
    <w:rsid w:val="006F0233"/>
    <w:rsid w:val="006F0D46"/>
    <w:rsid w:val="006F23DD"/>
    <w:rsid w:val="006F259B"/>
    <w:rsid w:val="006F2952"/>
    <w:rsid w:val="006F3CC8"/>
    <w:rsid w:val="006F5158"/>
    <w:rsid w:val="006F6730"/>
    <w:rsid w:val="006F6B85"/>
    <w:rsid w:val="006F6FA3"/>
    <w:rsid w:val="00700112"/>
    <w:rsid w:val="00700950"/>
    <w:rsid w:val="00700A60"/>
    <w:rsid w:val="00701136"/>
    <w:rsid w:val="007012E5"/>
    <w:rsid w:val="00702637"/>
    <w:rsid w:val="0070319A"/>
    <w:rsid w:val="00703CB4"/>
    <w:rsid w:val="00704A72"/>
    <w:rsid w:val="00705AAE"/>
    <w:rsid w:val="00706A7E"/>
    <w:rsid w:val="00706F37"/>
    <w:rsid w:val="0070717D"/>
    <w:rsid w:val="00707C18"/>
    <w:rsid w:val="007103A9"/>
    <w:rsid w:val="00711C95"/>
    <w:rsid w:val="00714042"/>
    <w:rsid w:val="0071592A"/>
    <w:rsid w:val="00716AD2"/>
    <w:rsid w:val="007203CA"/>
    <w:rsid w:val="00720A18"/>
    <w:rsid w:val="007226F5"/>
    <w:rsid w:val="00722855"/>
    <w:rsid w:val="00722E8E"/>
    <w:rsid w:val="00722FB3"/>
    <w:rsid w:val="00723B2C"/>
    <w:rsid w:val="00724122"/>
    <w:rsid w:val="007244BA"/>
    <w:rsid w:val="00724ED0"/>
    <w:rsid w:val="00724F92"/>
    <w:rsid w:val="007253D6"/>
    <w:rsid w:val="007256EB"/>
    <w:rsid w:val="0072578A"/>
    <w:rsid w:val="0072597A"/>
    <w:rsid w:val="007277E0"/>
    <w:rsid w:val="00730ED1"/>
    <w:rsid w:val="00733DC1"/>
    <w:rsid w:val="00735310"/>
    <w:rsid w:val="00735582"/>
    <w:rsid w:val="00735B7D"/>
    <w:rsid w:val="00735C40"/>
    <w:rsid w:val="0073792C"/>
    <w:rsid w:val="00741E50"/>
    <w:rsid w:val="0074257A"/>
    <w:rsid w:val="00743D94"/>
    <w:rsid w:val="0074447A"/>
    <w:rsid w:val="007457F2"/>
    <w:rsid w:val="00747434"/>
    <w:rsid w:val="00747825"/>
    <w:rsid w:val="0074788B"/>
    <w:rsid w:val="00747EF4"/>
    <w:rsid w:val="0075036A"/>
    <w:rsid w:val="0075137C"/>
    <w:rsid w:val="0075418A"/>
    <w:rsid w:val="00754A2C"/>
    <w:rsid w:val="00755795"/>
    <w:rsid w:val="00755956"/>
    <w:rsid w:val="00756327"/>
    <w:rsid w:val="00757091"/>
    <w:rsid w:val="007574E6"/>
    <w:rsid w:val="0076136D"/>
    <w:rsid w:val="00762421"/>
    <w:rsid w:val="0076260D"/>
    <w:rsid w:val="007633CC"/>
    <w:rsid w:val="00763B14"/>
    <w:rsid w:val="00763B77"/>
    <w:rsid w:val="007649D9"/>
    <w:rsid w:val="00764A45"/>
    <w:rsid w:val="00765007"/>
    <w:rsid w:val="00765E16"/>
    <w:rsid w:val="00766181"/>
    <w:rsid w:val="0076702C"/>
    <w:rsid w:val="00767F6C"/>
    <w:rsid w:val="00772829"/>
    <w:rsid w:val="007729CC"/>
    <w:rsid w:val="00772BA2"/>
    <w:rsid w:val="0077387D"/>
    <w:rsid w:val="00774E0D"/>
    <w:rsid w:val="00776C03"/>
    <w:rsid w:val="00777848"/>
    <w:rsid w:val="00777893"/>
    <w:rsid w:val="00777E9D"/>
    <w:rsid w:val="00780064"/>
    <w:rsid w:val="0078021C"/>
    <w:rsid w:val="0078145E"/>
    <w:rsid w:val="0078216D"/>
    <w:rsid w:val="00782499"/>
    <w:rsid w:val="00782D0E"/>
    <w:rsid w:val="00784341"/>
    <w:rsid w:val="007852E9"/>
    <w:rsid w:val="007876BC"/>
    <w:rsid w:val="00787A32"/>
    <w:rsid w:val="00787C39"/>
    <w:rsid w:val="00790B15"/>
    <w:rsid w:val="00790F2B"/>
    <w:rsid w:val="00790F49"/>
    <w:rsid w:val="007912B2"/>
    <w:rsid w:val="00792213"/>
    <w:rsid w:val="0079230C"/>
    <w:rsid w:val="007931CB"/>
    <w:rsid w:val="007934B6"/>
    <w:rsid w:val="007939D4"/>
    <w:rsid w:val="00794122"/>
    <w:rsid w:val="007951D4"/>
    <w:rsid w:val="007953AC"/>
    <w:rsid w:val="00795868"/>
    <w:rsid w:val="00797C46"/>
    <w:rsid w:val="007A19F6"/>
    <w:rsid w:val="007A1A38"/>
    <w:rsid w:val="007A24A7"/>
    <w:rsid w:val="007A2B65"/>
    <w:rsid w:val="007A4DBD"/>
    <w:rsid w:val="007A5617"/>
    <w:rsid w:val="007A5BB7"/>
    <w:rsid w:val="007A7C3F"/>
    <w:rsid w:val="007B0245"/>
    <w:rsid w:val="007B083F"/>
    <w:rsid w:val="007B0880"/>
    <w:rsid w:val="007B0D01"/>
    <w:rsid w:val="007B1705"/>
    <w:rsid w:val="007B2085"/>
    <w:rsid w:val="007B2651"/>
    <w:rsid w:val="007B2FDC"/>
    <w:rsid w:val="007B38A0"/>
    <w:rsid w:val="007B38B7"/>
    <w:rsid w:val="007B45D6"/>
    <w:rsid w:val="007B47CE"/>
    <w:rsid w:val="007B4857"/>
    <w:rsid w:val="007B4F7B"/>
    <w:rsid w:val="007B5262"/>
    <w:rsid w:val="007B583D"/>
    <w:rsid w:val="007B6684"/>
    <w:rsid w:val="007B6A30"/>
    <w:rsid w:val="007B6B21"/>
    <w:rsid w:val="007B7024"/>
    <w:rsid w:val="007B7222"/>
    <w:rsid w:val="007C0390"/>
    <w:rsid w:val="007C14A2"/>
    <w:rsid w:val="007C300E"/>
    <w:rsid w:val="007C328D"/>
    <w:rsid w:val="007C336F"/>
    <w:rsid w:val="007C3F3C"/>
    <w:rsid w:val="007C41B1"/>
    <w:rsid w:val="007C5328"/>
    <w:rsid w:val="007C56FF"/>
    <w:rsid w:val="007C6245"/>
    <w:rsid w:val="007C6984"/>
    <w:rsid w:val="007D00B5"/>
    <w:rsid w:val="007D01B0"/>
    <w:rsid w:val="007D1AC8"/>
    <w:rsid w:val="007D27F2"/>
    <w:rsid w:val="007D30B7"/>
    <w:rsid w:val="007D3D97"/>
    <w:rsid w:val="007D6048"/>
    <w:rsid w:val="007D6CB9"/>
    <w:rsid w:val="007D6FC5"/>
    <w:rsid w:val="007D713E"/>
    <w:rsid w:val="007E02FB"/>
    <w:rsid w:val="007E15AD"/>
    <w:rsid w:val="007E2506"/>
    <w:rsid w:val="007E25ED"/>
    <w:rsid w:val="007E2BC0"/>
    <w:rsid w:val="007E363D"/>
    <w:rsid w:val="007E5644"/>
    <w:rsid w:val="007E66D8"/>
    <w:rsid w:val="007E69E1"/>
    <w:rsid w:val="007E6FBD"/>
    <w:rsid w:val="007F2616"/>
    <w:rsid w:val="007F460E"/>
    <w:rsid w:val="007F67E9"/>
    <w:rsid w:val="007F7C7B"/>
    <w:rsid w:val="00801C95"/>
    <w:rsid w:val="00801DA0"/>
    <w:rsid w:val="008040A2"/>
    <w:rsid w:val="008045E6"/>
    <w:rsid w:val="00804632"/>
    <w:rsid w:val="00804723"/>
    <w:rsid w:val="008054D9"/>
    <w:rsid w:val="008056A2"/>
    <w:rsid w:val="00806688"/>
    <w:rsid w:val="00807A3E"/>
    <w:rsid w:val="00807E62"/>
    <w:rsid w:val="00810338"/>
    <w:rsid w:val="00812282"/>
    <w:rsid w:val="008123CC"/>
    <w:rsid w:val="00812B22"/>
    <w:rsid w:val="00813F51"/>
    <w:rsid w:val="008140EF"/>
    <w:rsid w:val="008148E4"/>
    <w:rsid w:val="008157F1"/>
    <w:rsid w:val="00815C3A"/>
    <w:rsid w:val="00815FB7"/>
    <w:rsid w:val="00816AD2"/>
    <w:rsid w:val="00816B52"/>
    <w:rsid w:val="00816D1D"/>
    <w:rsid w:val="00816EC2"/>
    <w:rsid w:val="00820EAF"/>
    <w:rsid w:val="00822AA9"/>
    <w:rsid w:val="00822D8C"/>
    <w:rsid w:val="008236E1"/>
    <w:rsid w:val="00823BA6"/>
    <w:rsid w:val="00824458"/>
    <w:rsid w:val="008249F7"/>
    <w:rsid w:val="00824B74"/>
    <w:rsid w:val="00826584"/>
    <w:rsid w:val="00826B9E"/>
    <w:rsid w:val="00827027"/>
    <w:rsid w:val="00831203"/>
    <w:rsid w:val="00833663"/>
    <w:rsid w:val="00833ED6"/>
    <w:rsid w:val="00835EC9"/>
    <w:rsid w:val="00836B53"/>
    <w:rsid w:val="008409D1"/>
    <w:rsid w:val="00840E5A"/>
    <w:rsid w:val="00841388"/>
    <w:rsid w:val="00841792"/>
    <w:rsid w:val="00841EFB"/>
    <w:rsid w:val="00841F44"/>
    <w:rsid w:val="00842C82"/>
    <w:rsid w:val="00842ED8"/>
    <w:rsid w:val="008436D7"/>
    <w:rsid w:val="008440FE"/>
    <w:rsid w:val="00844DF1"/>
    <w:rsid w:val="0084606F"/>
    <w:rsid w:val="00846119"/>
    <w:rsid w:val="0084718C"/>
    <w:rsid w:val="008474E3"/>
    <w:rsid w:val="00847CA7"/>
    <w:rsid w:val="008527ED"/>
    <w:rsid w:val="008537F7"/>
    <w:rsid w:val="008546BE"/>
    <w:rsid w:val="00854CB2"/>
    <w:rsid w:val="00856074"/>
    <w:rsid w:val="008578C4"/>
    <w:rsid w:val="00857949"/>
    <w:rsid w:val="00857FFC"/>
    <w:rsid w:val="00860657"/>
    <w:rsid w:val="0086230B"/>
    <w:rsid w:val="008644D4"/>
    <w:rsid w:val="00865339"/>
    <w:rsid w:val="008661DD"/>
    <w:rsid w:val="00866432"/>
    <w:rsid w:val="008703CC"/>
    <w:rsid w:val="008711A3"/>
    <w:rsid w:val="008719C2"/>
    <w:rsid w:val="0087277A"/>
    <w:rsid w:val="00872A47"/>
    <w:rsid w:val="008736E2"/>
    <w:rsid w:val="008736E8"/>
    <w:rsid w:val="00874565"/>
    <w:rsid w:val="00875D61"/>
    <w:rsid w:val="00877247"/>
    <w:rsid w:val="008801AE"/>
    <w:rsid w:val="00880AA3"/>
    <w:rsid w:val="008814F8"/>
    <w:rsid w:val="0088421C"/>
    <w:rsid w:val="0088445B"/>
    <w:rsid w:val="0089020E"/>
    <w:rsid w:val="00891AF6"/>
    <w:rsid w:val="00891BC3"/>
    <w:rsid w:val="00892750"/>
    <w:rsid w:val="008937C8"/>
    <w:rsid w:val="00893ACD"/>
    <w:rsid w:val="00894F58"/>
    <w:rsid w:val="008967C4"/>
    <w:rsid w:val="00897266"/>
    <w:rsid w:val="008A0B43"/>
    <w:rsid w:val="008A0D2A"/>
    <w:rsid w:val="008A1693"/>
    <w:rsid w:val="008A254F"/>
    <w:rsid w:val="008A2630"/>
    <w:rsid w:val="008A4232"/>
    <w:rsid w:val="008A42AB"/>
    <w:rsid w:val="008A5833"/>
    <w:rsid w:val="008A5DF3"/>
    <w:rsid w:val="008A5E91"/>
    <w:rsid w:val="008A691E"/>
    <w:rsid w:val="008B045A"/>
    <w:rsid w:val="008B0993"/>
    <w:rsid w:val="008B227A"/>
    <w:rsid w:val="008B35D7"/>
    <w:rsid w:val="008B3A88"/>
    <w:rsid w:val="008B4BFC"/>
    <w:rsid w:val="008B51B4"/>
    <w:rsid w:val="008B560F"/>
    <w:rsid w:val="008B5630"/>
    <w:rsid w:val="008B5B67"/>
    <w:rsid w:val="008B5D7A"/>
    <w:rsid w:val="008B5E09"/>
    <w:rsid w:val="008B66E3"/>
    <w:rsid w:val="008B673B"/>
    <w:rsid w:val="008B7173"/>
    <w:rsid w:val="008B7848"/>
    <w:rsid w:val="008C07CD"/>
    <w:rsid w:val="008C0A70"/>
    <w:rsid w:val="008C1E05"/>
    <w:rsid w:val="008C247F"/>
    <w:rsid w:val="008C2605"/>
    <w:rsid w:val="008C34BB"/>
    <w:rsid w:val="008C45E2"/>
    <w:rsid w:val="008C733E"/>
    <w:rsid w:val="008C739A"/>
    <w:rsid w:val="008C7D0B"/>
    <w:rsid w:val="008D1DC4"/>
    <w:rsid w:val="008D3726"/>
    <w:rsid w:val="008D4CB0"/>
    <w:rsid w:val="008D6397"/>
    <w:rsid w:val="008D65F2"/>
    <w:rsid w:val="008D69D7"/>
    <w:rsid w:val="008D6A87"/>
    <w:rsid w:val="008D73C9"/>
    <w:rsid w:val="008E0A23"/>
    <w:rsid w:val="008E0C9D"/>
    <w:rsid w:val="008E10A5"/>
    <w:rsid w:val="008E1130"/>
    <w:rsid w:val="008E16BF"/>
    <w:rsid w:val="008E3049"/>
    <w:rsid w:val="008E35A3"/>
    <w:rsid w:val="008E4CE6"/>
    <w:rsid w:val="008E4D13"/>
    <w:rsid w:val="008E7274"/>
    <w:rsid w:val="008F0562"/>
    <w:rsid w:val="008F0C86"/>
    <w:rsid w:val="008F260B"/>
    <w:rsid w:val="008F3BF1"/>
    <w:rsid w:val="008F7559"/>
    <w:rsid w:val="008F7CA6"/>
    <w:rsid w:val="0090325F"/>
    <w:rsid w:val="009042CA"/>
    <w:rsid w:val="00906821"/>
    <w:rsid w:val="00906E65"/>
    <w:rsid w:val="00906F14"/>
    <w:rsid w:val="00911714"/>
    <w:rsid w:val="009144D5"/>
    <w:rsid w:val="00915F98"/>
    <w:rsid w:val="00915FA3"/>
    <w:rsid w:val="00916938"/>
    <w:rsid w:val="00916A1D"/>
    <w:rsid w:val="00916D25"/>
    <w:rsid w:val="00917329"/>
    <w:rsid w:val="00917BA2"/>
    <w:rsid w:val="00920FDF"/>
    <w:rsid w:val="009217F8"/>
    <w:rsid w:val="0092281C"/>
    <w:rsid w:val="0092470E"/>
    <w:rsid w:val="00925187"/>
    <w:rsid w:val="00925778"/>
    <w:rsid w:val="00926283"/>
    <w:rsid w:val="009267F9"/>
    <w:rsid w:val="00926805"/>
    <w:rsid w:val="00926DB0"/>
    <w:rsid w:val="00926F43"/>
    <w:rsid w:val="0092709C"/>
    <w:rsid w:val="0092717F"/>
    <w:rsid w:val="00927359"/>
    <w:rsid w:val="00927744"/>
    <w:rsid w:val="00927B05"/>
    <w:rsid w:val="00930F4E"/>
    <w:rsid w:val="00933B63"/>
    <w:rsid w:val="009350C2"/>
    <w:rsid w:val="00936062"/>
    <w:rsid w:val="00937CBE"/>
    <w:rsid w:val="00940966"/>
    <w:rsid w:val="00942D01"/>
    <w:rsid w:val="0094349C"/>
    <w:rsid w:val="00944076"/>
    <w:rsid w:val="00944087"/>
    <w:rsid w:val="009442F4"/>
    <w:rsid w:val="00944E43"/>
    <w:rsid w:val="00944E74"/>
    <w:rsid w:val="009455C3"/>
    <w:rsid w:val="009457DC"/>
    <w:rsid w:val="00945994"/>
    <w:rsid w:val="009463ED"/>
    <w:rsid w:val="00947985"/>
    <w:rsid w:val="0095012E"/>
    <w:rsid w:val="00951934"/>
    <w:rsid w:val="00951938"/>
    <w:rsid w:val="00951B69"/>
    <w:rsid w:val="0095207B"/>
    <w:rsid w:val="00952357"/>
    <w:rsid w:val="009539C3"/>
    <w:rsid w:val="00953F12"/>
    <w:rsid w:val="00954C8C"/>
    <w:rsid w:val="00956ACE"/>
    <w:rsid w:val="00956BF5"/>
    <w:rsid w:val="009572A0"/>
    <w:rsid w:val="00957D24"/>
    <w:rsid w:val="00960203"/>
    <w:rsid w:val="00960DCF"/>
    <w:rsid w:val="00961B53"/>
    <w:rsid w:val="00962C18"/>
    <w:rsid w:val="00963264"/>
    <w:rsid w:val="009632E0"/>
    <w:rsid w:val="0096389D"/>
    <w:rsid w:val="00964AE0"/>
    <w:rsid w:val="0096505B"/>
    <w:rsid w:val="0096513C"/>
    <w:rsid w:val="009676C0"/>
    <w:rsid w:val="00967F23"/>
    <w:rsid w:val="00971BFE"/>
    <w:rsid w:val="00974B0C"/>
    <w:rsid w:val="00977047"/>
    <w:rsid w:val="00977634"/>
    <w:rsid w:val="009802A7"/>
    <w:rsid w:val="009803A9"/>
    <w:rsid w:val="009803CB"/>
    <w:rsid w:val="009803D4"/>
    <w:rsid w:val="009807A2"/>
    <w:rsid w:val="0098199C"/>
    <w:rsid w:val="0098297D"/>
    <w:rsid w:val="00982E4F"/>
    <w:rsid w:val="00983FA9"/>
    <w:rsid w:val="00986484"/>
    <w:rsid w:val="009873F3"/>
    <w:rsid w:val="00987DE0"/>
    <w:rsid w:val="009904E1"/>
    <w:rsid w:val="0099088A"/>
    <w:rsid w:val="00990DA1"/>
    <w:rsid w:val="00992FC1"/>
    <w:rsid w:val="0099591D"/>
    <w:rsid w:val="00995E98"/>
    <w:rsid w:val="009963AA"/>
    <w:rsid w:val="00996BAA"/>
    <w:rsid w:val="00996F15"/>
    <w:rsid w:val="00997BA8"/>
    <w:rsid w:val="00997DE9"/>
    <w:rsid w:val="00997E18"/>
    <w:rsid w:val="009A06F4"/>
    <w:rsid w:val="009A1E37"/>
    <w:rsid w:val="009A3717"/>
    <w:rsid w:val="009A3778"/>
    <w:rsid w:val="009A3E2E"/>
    <w:rsid w:val="009A4A90"/>
    <w:rsid w:val="009A63E8"/>
    <w:rsid w:val="009A65F2"/>
    <w:rsid w:val="009A7018"/>
    <w:rsid w:val="009A7F34"/>
    <w:rsid w:val="009B08FA"/>
    <w:rsid w:val="009B2053"/>
    <w:rsid w:val="009B2100"/>
    <w:rsid w:val="009B2245"/>
    <w:rsid w:val="009B258E"/>
    <w:rsid w:val="009B36F6"/>
    <w:rsid w:val="009B5997"/>
    <w:rsid w:val="009B6346"/>
    <w:rsid w:val="009B6B23"/>
    <w:rsid w:val="009B7ABD"/>
    <w:rsid w:val="009C13A1"/>
    <w:rsid w:val="009C1D27"/>
    <w:rsid w:val="009C2F28"/>
    <w:rsid w:val="009C3BD9"/>
    <w:rsid w:val="009C5B82"/>
    <w:rsid w:val="009C7336"/>
    <w:rsid w:val="009C7414"/>
    <w:rsid w:val="009C756E"/>
    <w:rsid w:val="009C7D53"/>
    <w:rsid w:val="009D07B5"/>
    <w:rsid w:val="009D21BE"/>
    <w:rsid w:val="009D3C3D"/>
    <w:rsid w:val="009D40E4"/>
    <w:rsid w:val="009D5288"/>
    <w:rsid w:val="009D70D8"/>
    <w:rsid w:val="009E04D5"/>
    <w:rsid w:val="009E0995"/>
    <w:rsid w:val="009E242A"/>
    <w:rsid w:val="009E2AD3"/>
    <w:rsid w:val="009E364A"/>
    <w:rsid w:val="009E3A41"/>
    <w:rsid w:val="009E47E5"/>
    <w:rsid w:val="009F146F"/>
    <w:rsid w:val="009F3C75"/>
    <w:rsid w:val="009F46D1"/>
    <w:rsid w:val="009F4B31"/>
    <w:rsid w:val="009F5DD2"/>
    <w:rsid w:val="009F7553"/>
    <w:rsid w:val="00A0037E"/>
    <w:rsid w:val="00A01303"/>
    <w:rsid w:val="00A02C4F"/>
    <w:rsid w:val="00A02F93"/>
    <w:rsid w:val="00A04A09"/>
    <w:rsid w:val="00A04CA3"/>
    <w:rsid w:val="00A04CCC"/>
    <w:rsid w:val="00A05752"/>
    <w:rsid w:val="00A05821"/>
    <w:rsid w:val="00A05D1D"/>
    <w:rsid w:val="00A05EA2"/>
    <w:rsid w:val="00A07600"/>
    <w:rsid w:val="00A076CC"/>
    <w:rsid w:val="00A10769"/>
    <w:rsid w:val="00A1165C"/>
    <w:rsid w:val="00A125D6"/>
    <w:rsid w:val="00A12627"/>
    <w:rsid w:val="00A14E53"/>
    <w:rsid w:val="00A15580"/>
    <w:rsid w:val="00A16449"/>
    <w:rsid w:val="00A16B0B"/>
    <w:rsid w:val="00A2001C"/>
    <w:rsid w:val="00A20DD2"/>
    <w:rsid w:val="00A22EFC"/>
    <w:rsid w:val="00A2445A"/>
    <w:rsid w:val="00A25DB5"/>
    <w:rsid w:val="00A26389"/>
    <w:rsid w:val="00A303B8"/>
    <w:rsid w:val="00A34735"/>
    <w:rsid w:val="00A34BCC"/>
    <w:rsid w:val="00A361C3"/>
    <w:rsid w:val="00A3674C"/>
    <w:rsid w:val="00A40EAF"/>
    <w:rsid w:val="00A411FA"/>
    <w:rsid w:val="00A4311C"/>
    <w:rsid w:val="00A43755"/>
    <w:rsid w:val="00A43B1D"/>
    <w:rsid w:val="00A44EC1"/>
    <w:rsid w:val="00A44F3E"/>
    <w:rsid w:val="00A45430"/>
    <w:rsid w:val="00A454B3"/>
    <w:rsid w:val="00A45E52"/>
    <w:rsid w:val="00A46652"/>
    <w:rsid w:val="00A46BCA"/>
    <w:rsid w:val="00A46D15"/>
    <w:rsid w:val="00A46EDD"/>
    <w:rsid w:val="00A4713D"/>
    <w:rsid w:val="00A4746E"/>
    <w:rsid w:val="00A478ED"/>
    <w:rsid w:val="00A50239"/>
    <w:rsid w:val="00A51E5F"/>
    <w:rsid w:val="00A52375"/>
    <w:rsid w:val="00A52479"/>
    <w:rsid w:val="00A52AD6"/>
    <w:rsid w:val="00A52E3C"/>
    <w:rsid w:val="00A5323B"/>
    <w:rsid w:val="00A53267"/>
    <w:rsid w:val="00A54FB4"/>
    <w:rsid w:val="00A56DE0"/>
    <w:rsid w:val="00A62077"/>
    <w:rsid w:val="00A63C18"/>
    <w:rsid w:val="00A642E8"/>
    <w:rsid w:val="00A655A9"/>
    <w:rsid w:val="00A65991"/>
    <w:rsid w:val="00A662DC"/>
    <w:rsid w:val="00A672A9"/>
    <w:rsid w:val="00A6741B"/>
    <w:rsid w:val="00A70A96"/>
    <w:rsid w:val="00A70DD7"/>
    <w:rsid w:val="00A71121"/>
    <w:rsid w:val="00A731E9"/>
    <w:rsid w:val="00A73A4C"/>
    <w:rsid w:val="00A74226"/>
    <w:rsid w:val="00A74D9C"/>
    <w:rsid w:val="00A757B0"/>
    <w:rsid w:val="00A7588B"/>
    <w:rsid w:val="00A75AA1"/>
    <w:rsid w:val="00A7682D"/>
    <w:rsid w:val="00A776A4"/>
    <w:rsid w:val="00A8049D"/>
    <w:rsid w:val="00A8185A"/>
    <w:rsid w:val="00A81D24"/>
    <w:rsid w:val="00A822C2"/>
    <w:rsid w:val="00A82990"/>
    <w:rsid w:val="00A846CB"/>
    <w:rsid w:val="00A859D2"/>
    <w:rsid w:val="00A90401"/>
    <w:rsid w:val="00A9096C"/>
    <w:rsid w:val="00A921E3"/>
    <w:rsid w:val="00A92CB1"/>
    <w:rsid w:val="00A92E48"/>
    <w:rsid w:val="00A933F0"/>
    <w:rsid w:val="00A94D20"/>
    <w:rsid w:val="00A95D2A"/>
    <w:rsid w:val="00A9752B"/>
    <w:rsid w:val="00AA0065"/>
    <w:rsid w:val="00AA2461"/>
    <w:rsid w:val="00AA2574"/>
    <w:rsid w:val="00AA26BB"/>
    <w:rsid w:val="00AA2865"/>
    <w:rsid w:val="00AA2DEF"/>
    <w:rsid w:val="00AA3A9B"/>
    <w:rsid w:val="00AA3BF1"/>
    <w:rsid w:val="00AA4B56"/>
    <w:rsid w:val="00AA5410"/>
    <w:rsid w:val="00AA5C49"/>
    <w:rsid w:val="00AA73A7"/>
    <w:rsid w:val="00AA7562"/>
    <w:rsid w:val="00AA7B0A"/>
    <w:rsid w:val="00AB0A7A"/>
    <w:rsid w:val="00AB1847"/>
    <w:rsid w:val="00AB21C6"/>
    <w:rsid w:val="00AB2841"/>
    <w:rsid w:val="00AB2B96"/>
    <w:rsid w:val="00AB37F9"/>
    <w:rsid w:val="00AB46F8"/>
    <w:rsid w:val="00AB4931"/>
    <w:rsid w:val="00AB64B8"/>
    <w:rsid w:val="00AC07AF"/>
    <w:rsid w:val="00AC10D8"/>
    <w:rsid w:val="00AC278E"/>
    <w:rsid w:val="00AC3E91"/>
    <w:rsid w:val="00AC4555"/>
    <w:rsid w:val="00AC5822"/>
    <w:rsid w:val="00AC6750"/>
    <w:rsid w:val="00AC6A41"/>
    <w:rsid w:val="00AC6AEE"/>
    <w:rsid w:val="00AC6F7D"/>
    <w:rsid w:val="00AC720A"/>
    <w:rsid w:val="00AD03EF"/>
    <w:rsid w:val="00AD5619"/>
    <w:rsid w:val="00AD60EA"/>
    <w:rsid w:val="00AD67D4"/>
    <w:rsid w:val="00AE0D6D"/>
    <w:rsid w:val="00AE0EC4"/>
    <w:rsid w:val="00AE3A76"/>
    <w:rsid w:val="00AE4331"/>
    <w:rsid w:val="00AE4AC1"/>
    <w:rsid w:val="00AE614D"/>
    <w:rsid w:val="00AE6438"/>
    <w:rsid w:val="00AE68DD"/>
    <w:rsid w:val="00AE6C5A"/>
    <w:rsid w:val="00AE77C8"/>
    <w:rsid w:val="00AE7849"/>
    <w:rsid w:val="00AE7977"/>
    <w:rsid w:val="00AE7FD0"/>
    <w:rsid w:val="00AF05B5"/>
    <w:rsid w:val="00AF1F10"/>
    <w:rsid w:val="00AF2FB2"/>
    <w:rsid w:val="00AF3AAE"/>
    <w:rsid w:val="00AF3D39"/>
    <w:rsid w:val="00AF497B"/>
    <w:rsid w:val="00AF66ED"/>
    <w:rsid w:val="00AF6A4C"/>
    <w:rsid w:val="00AF6A94"/>
    <w:rsid w:val="00AF7275"/>
    <w:rsid w:val="00B0003B"/>
    <w:rsid w:val="00B02183"/>
    <w:rsid w:val="00B045BA"/>
    <w:rsid w:val="00B047C2"/>
    <w:rsid w:val="00B04CB1"/>
    <w:rsid w:val="00B05635"/>
    <w:rsid w:val="00B05E99"/>
    <w:rsid w:val="00B07620"/>
    <w:rsid w:val="00B11D8D"/>
    <w:rsid w:val="00B12785"/>
    <w:rsid w:val="00B1314F"/>
    <w:rsid w:val="00B133B7"/>
    <w:rsid w:val="00B14B16"/>
    <w:rsid w:val="00B15039"/>
    <w:rsid w:val="00B151CF"/>
    <w:rsid w:val="00B15593"/>
    <w:rsid w:val="00B20445"/>
    <w:rsid w:val="00B21BED"/>
    <w:rsid w:val="00B228E2"/>
    <w:rsid w:val="00B247AD"/>
    <w:rsid w:val="00B254B4"/>
    <w:rsid w:val="00B25D05"/>
    <w:rsid w:val="00B26622"/>
    <w:rsid w:val="00B26669"/>
    <w:rsid w:val="00B276B4"/>
    <w:rsid w:val="00B27795"/>
    <w:rsid w:val="00B2792D"/>
    <w:rsid w:val="00B303F6"/>
    <w:rsid w:val="00B307B7"/>
    <w:rsid w:val="00B315FB"/>
    <w:rsid w:val="00B328B2"/>
    <w:rsid w:val="00B33840"/>
    <w:rsid w:val="00B34A4D"/>
    <w:rsid w:val="00B34FED"/>
    <w:rsid w:val="00B354DF"/>
    <w:rsid w:val="00B36028"/>
    <w:rsid w:val="00B40064"/>
    <w:rsid w:val="00B400ED"/>
    <w:rsid w:val="00B4018F"/>
    <w:rsid w:val="00B40AA5"/>
    <w:rsid w:val="00B40AB9"/>
    <w:rsid w:val="00B4267A"/>
    <w:rsid w:val="00B4328C"/>
    <w:rsid w:val="00B437E0"/>
    <w:rsid w:val="00B45326"/>
    <w:rsid w:val="00B456BE"/>
    <w:rsid w:val="00B50683"/>
    <w:rsid w:val="00B50A44"/>
    <w:rsid w:val="00B5454B"/>
    <w:rsid w:val="00B5470A"/>
    <w:rsid w:val="00B55524"/>
    <w:rsid w:val="00B56C95"/>
    <w:rsid w:val="00B575BF"/>
    <w:rsid w:val="00B612EA"/>
    <w:rsid w:val="00B61C66"/>
    <w:rsid w:val="00B62604"/>
    <w:rsid w:val="00B62906"/>
    <w:rsid w:val="00B62DF2"/>
    <w:rsid w:val="00B641B7"/>
    <w:rsid w:val="00B641FA"/>
    <w:rsid w:val="00B66A87"/>
    <w:rsid w:val="00B674A5"/>
    <w:rsid w:val="00B67777"/>
    <w:rsid w:val="00B712D0"/>
    <w:rsid w:val="00B71A20"/>
    <w:rsid w:val="00B72FE8"/>
    <w:rsid w:val="00B7325E"/>
    <w:rsid w:val="00B73AD3"/>
    <w:rsid w:val="00B73DCD"/>
    <w:rsid w:val="00B757E5"/>
    <w:rsid w:val="00B75B43"/>
    <w:rsid w:val="00B75B87"/>
    <w:rsid w:val="00B7760A"/>
    <w:rsid w:val="00B81F38"/>
    <w:rsid w:val="00B83349"/>
    <w:rsid w:val="00B83B62"/>
    <w:rsid w:val="00B83E1C"/>
    <w:rsid w:val="00B843D2"/>
    <w:rsid w:val="00B84650"/>
    <w:rsid w:val="00B8535F"/>
    <w:rsid w:val="00B8712E"/>
    <w:rsid w:val="00B878CD"/>
    <w:rsid w:val="00B9095C"/>
    <w:rsid w:val="00B91CB1"/>
    <w:rsid w:val="00B9249B"/>
    <w:rsid w:val="00B9536C"/>
    <w:rsid w:val="00B95B8C"/>
    <w:rsid w:val="00B97FD4"/>
    <w:rsid w:val="00BA0E70"/>
    <w:rsid w:val="00BA1FFB"/>
    <w:rsid w:val="00BA2B3F"/>
    <w:rsid w:val="00BA3A8B"/>
    <w:rsid w:val="00BA4A48"/>
    <w:rsid w:val="00BA4E45"/>
    <w:rsid w:val="00BA59FB"/>
    <w:rsid w:val="00BA5E38"/>
    <w:rsid w:val="00BA66CC"/>
    <w:rsid w:val="00BA6CE2"/>
    <w:rsid w:val="00BA7F0E"/>
    <w:rsid w:val="00BB0418"/>
    <w:rsid w:val="00BB14A3"/>
    <w:rsid w:val="00BB3B3C"/>
    <w:rsid w:val="00BB4318"/>
    <w:rsid w:val="00BB5F7E"/>
    <w:rsid w:val="00BB667F"/>
    <w:rsid w:val="00BB695C"/>
    <w:rsid w:val="00BB6D86"/>
    <w:rsid w:val="00BB730F"/>
    <w:rsid w:val="00BC15B8"/>
    <w:rsid w:val="00BC15DE"/>
    <w:rsid w:val="00BC17C8"/>
    <w:rsid w:val="00BC23EE"/>
    <w:rsid w:val="00BC369C"/>
    <w:rsid w:val="00BC4972"/>
    <w:rsid w:val="00BC6897"/>
    <w:rsid w:val="00BC6983"/>
    <w:rsid w:val="00BC7D80"/>
    <w:rsid w:val="00BC7E1F"/>
    <w:rsid w:val="00BD16AD"/>
    <w:rsid w:val="00BD1706"/>
    <w:rsid w:val="00BD1776"/>
    <w:rsid w:val="00BD1B8D"/>
    <w:rsid w:val="00BD1FA0"/>
    <w:rsid w:val="00BD33D4"/>
    <w:rsid w:val="00BD40B1"/>
    <w:rsid w:val="00BD4852"/>
    <w:rsid w:val="00BD6C73"/>
    <w:rsid w:val="00BE221E"/>
    <w:rsid w:val="00BE24A9"/>
    <w:rsid w:val="00BE30AE"/>
    <w:rsid w:val="00BE47BF"/>
    <w:rsid w:val="00BE5374"/>
    <w:rsid w:val="00BE627A"/>
    <w:rsid w:val="00BE6C1A"/>
    <w:rsid w:val="00BE6CE8"/>
    <w:rsid w:val="00BF0996"/>
    <w:rsid w:val="00BF2FA7"/>
    <w:rsid w:val="00BF34E7"/>
    <w:rsid w:val="00BF5152"/>
    <w:rsid w:val="00BF53DC"/>
    <w:rsid w:val="00BF7C54"/>
    <w:rsid w:val="00BF7E73"/>
    <w:rsid w:val="00C01D5F"/>
    <w:rsid w:val="00C0345A"/>
    <w:rsid w:val="00C03511"/>
    <w:rsid w:val="00C04C3A"/>
    <w:rsid w:val="00C05700"/>
    <w:rsid w:val="00C05F47"/>
    <w:rsid w:val="00C06D31"/>
    <w:rsid w:val="00C074CD"/>
    <w:rsid w:val="00C10684"/>
    <w:rsid w:val="00C107C3"/>
    <w:rsid w:val="00C11F35"/>
    <w:rsid w:val="00C13373"/>
    <w:rsid w:val="00C13520"/>
    <w:rsid w:val="00C14346"/>
    <w:rsid w:val="00C14F9B"/>
    <w:rsid w:val="00C14FAB"/>
    <w:rsid w:val="00C15F42"/>
    <w:rsid w:val="00C1610B"/>
    <w:rsid w:val="00C1611D"/>
    <w:rsid w:val="00C1620E"/>
    <w:rsid w:val="00C16C9A"/>
    <w:rsid w:val="00C175E4"/>
    <w:rsid w:val="00C17F51"/>
    <w:rsid w:val="00C2217C"/>
    <w:rsid w:val="00C22712"/>
    <w:rsid w:val="00C22CFA"/>
    <w:rsid w:val="00C232E0"/>
    <w:rsid w:val="00C235F2"/>
    <w:rsid w:val="00C2476C"/>
    <w:rsid w:val="00C24B5E"/>
    <w:rsid w:val="00C2534F"/>
    <w:rsid w:val="00C25FFC"/>
    <w:rsid w:val="00C26FA0"/>
    <w:rsid w:val="00C30058"/>
    <w:rsid w:val="00C3087B"/>
    <w:rsid w:val="00C30EDE"/>
    <w:rsid w:val="00C317A2"/>
    <w:rsid w:val="00C3268E"/>
    <w:rsid w:val="00C336DB"/>
    <w:rsid w:val="00C343FC"/>
    <w:rsid w:val="00C347F0"/>
    <w:rsid w:val="00C35A07"/>
    <w:rsid w:val="00C36126"/>
    <w:rsid w:val="00C36326"/>
    <w:rsid w:val="00C3651F"/>
    <w:rsid w:val="00C36633"/>
    <w:rsid w:val="00C36E9D"/>
    <w:rsid w:val="00C37068"/>
    <w:rsid w:val="00C37C86"/>
    <w:rsid w:val="00C41213"/>
    <w:rsid w:val="00C412B1"/>
    <w:rsid w:val="00C434F9"/>
    <w:rsid w:val="00C4436C"/>
    <w:rsid w:val="00C451E1"/>
    <w:rsid w:val="00C461B2"/>
    <w:rsid w:val="00C466C0"/>
    <w:rsid w:val="00C47673"/>
    <w:rsid w:val="00C47C8E"/>
    <w:rsid w:val="00C47DFB"/>
    <w:rsid w:val="00C507C1"/>
    <w:rsid w:val="00C51BCA"/>
    <w:rsid w:val="00C52EA3"/>
    <w:rsid w:val="00C52FD1"/>
    <w:rsid w:val="00C5359B"/>
    <w:rsid w:val="00C53AF7"/>
    <w:rsid w:val="00C5411D"/>
    <w:rsid w:val="00C554B5"/>
    <w:rsid w:val="00C55ADE"/>
    <w:rsid w:val="00C56EF2"/>
    <w:rsid w:val="00C570A6"/>
    <w:rsid w:val="00C579F3"/>
    <w:rsid w:val="00C600B3"/>
    <w:rsid w:val="00C60DE1"/>
    <w:rsid w:val="00C612A6"/>
    <w:rsid w:val="00C61464"/>
    <w:rsid w:val="00C61C35"/>
    <w:rsid w:val="00C620DC"/>
    <w:rsid w:val="00C627DD"/>
    <w:rsid w:val="00C6363C"/>
    <w:rsid w:val="00C63700"/>
    <w:rsid w:val="00C63A72"/>
    <w:rsid w:val="00C63AE0"/>
    <w:rsid w:val="00C64C26"/>
    <w:rsid w:val="00C6678D"/>
    <w:rsid w:val="00C66A0D"/>
    <w:rsid w:val="00C67E8E"/>
    <w:rsid w:val="00C711E4"/>
    <w:rsid w:val="00C72177"/>
    <w:rsid w:val="00C726B2"/>
    <w:rsid w:val="00C74B8C"/>
    <w:rsid w:val="00C74BFB"/>
    <w:rsid w:val="00C74CB3"/>
    <w:rsid w:val="00C75003"/>
    <w:rsid w:val="00C75292"/>
    <w:rsid w:val="00C763BE"/>
    <w:rsid w:val="00C77D65"/>
    <w:rsid w:val="00C808CF"/>
    <w:rsid w:val="00C822EB"/>
    <w:rsid w:val="00C8268F"/>
    <w:rsid w:val="00C833EF"/>
    <w:rsid w:val="00C83535"/>
    <w:rsid w:val="00C83D84"/>
    <w:rsid w:val="00C85C38"/>
    <w:rsid w:val="00C87436"/>
    <w:rsid w:val="00C91651"/>
    <w:rsid w:val="00C917A4"/>
    <w:rsid w:val="00C9219D"/>
    <w:rsid w:val="00C922A2"/>
    <w:rsid w:val="00C92A53"/>
    <w:rsid w:val="00C92E73"/>
    <w:rsid w:val="00C937AA"/>
    <w:rsid w:val="00C94681"/>
    <w:rsid w:val="00C94F6C"/>
    <w:rsid w:val="00C94F98"/>
    <w:rsid w:val="00C964F4"/>
    <w:rsid w:val="00C9677D"/>
    <w:rsid w:val="00C96E50"/>
    <w:rsid w:val="00C97CEE"/>
    <w:rsid w:val="00CA0A7D"/>
    <w:rsid w:val="00CA0C5A"/>
    <w:rsid w:val="00CA26EA"/>
    <w:rsid w:val="00CA288B"/>
    <w:rsid w:val="00CA2FB2"/>
    <w:rsid w:val="00CA32C3"/>
    <w:rsid w:val="00CA3413"/>
    <w:rsid w:val="00CA36AC"/>
    <w:rsid w:val="00CA3D3A"/>
    <w:rsid w:val="00CA42D6"/>
    <w:rsid w:val="00CA4DAE"/>
    <w:rsid w:val="00CA528A"/>
    <w:rsid w:val="00CA615C"/>
    <w:rsid w:val="00CA676E"/>
    <w:rsid w:val="00CA7A9D"/>
    <w:rsid w:val="00CB0379"/>
    <w:rsid w:val="00CB0689"/>
    <w:rsid w:val="00CB0B38"/>
    <w:rsid w:val="00CB12A5"/>
    <w:rsid w:val="00CB14C6"/>
    <w:rsid w:val="00CB15E9"/>
    <w:rsid w:val="00CB2BAE"/>
    <w:rsid w:val="00CB2BD5"/>
    <w:rsid w:val="00CB4526"/>
    <w:rsid w:val="00CB4966"/>
    <w:rsid w:val="00CB5419"/>
    <w:rsid w:val="00CB57EB"/>
    <w:rsid w:val="00CB5C55"/>
    <w:rsid w:val="00CB6C23"/>
    <w:rsid w:val="00CC033E"/>
    <w:rsid w:val="00CC123A"/>
    <w:rsid w:val="00CC130A"/>
    <w:rsid w:val="00CC1D1A"/>
    <w:rsid w:val="00CC2571"/>
    <w:rsid w:val="00CC2B0D"/>
    <w:rsid w:val="00CC3677"/>
    <w:rsid w:val="00CC3D9F"/>
    <w:rsid w:val="00CC425E"/>
    <w:rsid w:val="00CC55C7"/>
    <w:rsid w:val="00CC5956"/>
    <w:rsid w:val="00CC6260"/>
    <w:rsid w:val="00CD01C4"/>
    <w:rsid w:val="00CD01CB"/>
    <w:rsid w:val="00CD06DD"/>
    <w:rsid w:val="00CD07BC"/>
    <w:rsid w:val="00CD0ACA"/>
    <w:rsid w:val="00CD1404"/>
    <w:rsid w:val="00CD1CBF"/>
    <w:rsid w:val="00CD1F61"/>
    <w:rsid w:val="00CD49CE"/>
    <w:rsid w:val="00CD609E"/>
    <w:rsid w:val="00CE0A52"/>
    <w:rsid w:val="00CE28E3"/>
    <w:rsid w:val="00CE39AF"/>
    <w:rsid w:val="00CE46D1"/>
    <w:rsid w:val="00CE4902"/>
    <w:rsid w:val="00CE52B3"/>
    <w:rsid w:val="00CE602B"/>
    <w:rsid w:val="00CF1A2D"/>
    <w:rsid w:val="00CF23D5"/>
    <w:rsid w:val="00CF2913"/>
    <w:rsid w:val="00CF2BCA"/>
    <w:rsid w:val="00CF439F"/>
    <w:rsid w:val="00CF4DB3"/>
    <w:rsid w:val="00CF6139"/>
    <w:rsid w:val="00CF6367"/>
    <w:rsid w:val="00CF7120"/>
    <w:rsid w:val="00CF724C"/>
    <w:rsid w:val="00CF7BD1"/>
    <w:rsid w:val="00D001B4"/>
    <w:rsid w:val="00D003B7"/>
    <w:rsid w:val="00D00AC3"/>
    <w:rsid w:val="00D00E36"/>
    <w:rsid w:val="00D014FA"/>
    <w:rsid w:val="00D0198E"/>
    <w:rsid w:val="00D01E9F"/>
    <w:rsid w:val="00D02F4F"/>
    <w:rsid w:val="00D04899"/>
    <w:rsid w:val="00D04CB3"/>
    <w:rsid w:val="00D04EA0"/>
    <w:rsid w:val="00D104DE"/>
    <w:rsid w:val="00D12406"/>
    <w:rsid w:val="00D135CE"/>
    <w:rsid w:val="00D14E59"/>
    <w:rsid w:val="00D15264"/>
    <w:rsid w:val="00D164B8"/>
    <w:rsid w:val="00D20031"/>
    <w:rsid w:val="00D21DDD"/>
    <w:rsid w:val="00D22BA8"/>
    <w:rsid w:val="00D23057"/>
    <w:rsid w:val="00D26093"/>
    <w:rsid w:val="00D269D3"/>
    <w:rsid w:val="00D26D01"/>
    <w:rsid w:val="00D27782"/>
    <w:rsid w:val="00D313B3"/>
    <w:rsid w:val="00D3292B"/>
    <w:rsid w:val="00D32B22"/>
    <w:rsid w:val="00D33F02"/>
    <w:rsid w:val="00D34284"/>
    <w:rsid w:val="00D34CE9"/>
    <w:rsid w:val="00D3531F"/>
    <w:rsid w:val="00D358F7"/>
    <w:rsid w:val="00D3608A"/>
    <w:rsid w:val="00D36376"/>
    <w:rsid w:val="00D366CD"/>
    <w:rsid w:val="00D36E67"/>
    <w:rsid w:val="00D37CE3"/>
    <w:rsid w:val="00D37EF5"/>
    <w:rsid w:val="00D4064A"/>
    <w:rsid w:val="00D419C9"/>
    <w:rsid w:val="00D41D2A"/>
    <w:rsid w:val="00D428B7"/>
    <w:rsid w:val="00D428B9"/>
    <w:rsid w:val="00D43246"/>
    <w:rsid w:val="00D45750"/>
    <w:rsid w:val="00D457EA"/>
    <w:rsid w:val="00D45C42"/>
    <w:rsid w:val="00D461DA"/>
    <w:rsid w:val="00D46F3A"/>
    <w:rsid w:val="00D479F8"/>
    <w:rsid w:val="00D47C83"/>
    <w:rsid w:val="00D52214"/>
    <w:rsid w:val="00D528D2"/>
    <w:rsid w:val="00D52CBE"/>
    <w:rsid w:val="00D52E54"/>
    <w:rsid w:val="00D52FF5"/>
    <w:rsid w:val="00D53D6B"/>
    <w:rsid w:val="00D551A0"/>
    <w:rsid w:val="00D55691"/>
    <w:rsid w:val="00D55A04"/>
    <w:rsid w:val="00D5648F"/>
    <w:rsid w:val="00D56DFA"/>
    <w:rsid w:val="00D57800"/>
    <w:rsid w:val="00D6028D"/>
    <w:rsid w:val="00D6044C"/>
    <w:rsid w:val="00D60E22"/>
    <w:rsid w:val="00D61302"/>
    <w:rsid w:val="00D62B23"/>
    <w:rsid w:val="00D62F4D"/>
    <w:rsid w:val="00D64906"/>
    <w:rsid w:val="00D652D9"/>
    <w:rsid w:val="00D65862"/>
    <w:rsid w:val="00D65C94"/>
    <w:rsid w:val="00D70DDA"/>
    <w:rsid w:val="00D7197F"/>
    <w:rsid w:val="00D73AD9"/>
    <w:rsid w:val="00D73BB9"/>
    <w:rsid w:val="00D75BB7"/>
    <w:rsid w:val="00D76C77"/>
    <w:rsid w:val="00D77840"/>
    <w:rsid w:val="00D77B20"/>
    <w:rsid w:val="00D77D6A"/>
    <w:rsid w:val="00D80C29"/>
    <w:rsid w:val="00D82108"/>
    <w:rsid w:val="00D82223"/>
    <w:rsid w:val="00D8271D"/>
    <w:rsid w:val="00D8316D"/>
    <w:rsid w:val="00D83B51"/>
    <w:rsid w:val="00D84ECA"/>
    <w:rsid w:val="00D8525E"/>
    <w:rsid w:val="00D8578E"/>
    <w:rsid w:val="00D85FA8"/>
    <w:rsid w:val="00D9041B"/>
    <w:rsid w:val="00D90DBB"/>
    <w:rsid w:val="00D9141D"/>
    <w:rsid w:val="00D92A5B"/>
    <w:rsid w:val="00D937E5"/>
    <w:rsid w:val="00D946C9"/>
    <w:rsid w:val="00D94CF3"/>
    <w:rsid w:val="00D94FA0"/>
    <w:rsid w:val="00D967A8"/>
    <w:rsid w:val="00D97F28"/>
    <w:rsid w:val="00DA058E"/>
    <w:rsid w:val="00DA17E6"/>
    <w:rsid w:val="00DA1EF1"/>
    <w:rsid w:val="00DA2636"/>
    <w:rsid w:val="00DA45ED"/>
    <w:rsid w:val="00DA512C"/>
    <w:rsid w:val="00DA5636"/>
    <w:rsid w:val="00DA6243"/>
    <w:rsid w:val="00DA6574"/>
    <w:rsid w:val="00DA6765"/>
    <w:rsid w:val="00DA7AA5"/>
    <w:rsid w:val="00DB003C"/>
    <w:rsid w:val="00DB1E91"/>
    <w:rsid w:val="00DB42B0"/>
    <w:rsid w:val="00DB4410"/>
    <w:rsid w:val="00DB5117"/>
    <w:rsid w:val="00DB6031"/>
    <w:rsid w:val="00DB664A"/>
    <w:rsid w:val="00DB69AE"/>
    <w:rsid w:val="00DB7463"/>
    <w:rsid w:val="00DB7A0E"/>
    <w:rsid w:val="00DC14AF"/>
    <w:rsid w:val="00DC14F1"/>
    <w:rsid w:val="00DC1720"/>
    <w:rsid w:val="00DC269A"/>
    <w:rsid w:val="00DC3633"/>
    <w:rsid w:val="00DC407E"/>
    <w:rsid w:val="00DC4108"/>
    <w:rsid w:val="00DC4EC7"/>
    <w:rsid w:val="00DC4F64"/>
    <w:rsid w:val="00DC50C5"/>
    <w:rsid w:val="00DC64A7"/>
    <w:rsid w:val="00DC6975"/>
    <w:rsid w:val="00DC78E8"/>
    <w:rsid w:val="00DD05D3"/>
    <w:rsid w:val="00DD0698"/>
    <w:rsid w:val="00DD069A"/>
    <w:rsid w:val="00DD0953"/>
    <w:rsid w:val="00DD0B90"/>
    <w:rsid w:val="00DD1A95"/>
    <w:rsid w:val="00DD2C81"/>
    <w:rsid w:val="00DD5822"/>
    <w:rsid w:val="00DD6991"/>
    <w:rsid w:val="00DD6D07"/>
    <w:rsid w:val="00DD7A85"/>
    <w:rsid w:val="00DE2496"/>
    <w:rsid w:val="00DE2A6D"/>
    <w:rsid w:val="00DE395A"/>
    <w:rsid w:val="00DE3E28"/>
    <w:rsid w:val="00DE4877"/>
    <w:rsid w:val="00DE5A01"/>
    <w:rsid w:val="00DE7099"/>
    <w:rsid w:val="00DE7AB3"/>
    <w:rsid w:val="00DE7D91"/>
    <w:rsid w:val="00DF0FAA"/>
    <w:rsid w:val="00DF1B54"/>
    <w:rsid w:val="00DF25C7"/>
    <w:rsid w:val="00DF341B"/>
    <w:rsid w:val="00DF39E9"/>
    <w:rsid w:val="00DF3BC6"/>
    <w:rsid w:val="00DF431B"/>
    <w:rsid w:val="00DF461A"/>
    <w:rsid w:val="00DF6446"/>
    <w:rsid w:val="00DF72C2"/>
    <w:rsid w:val="00DF74D9"/>
    <w:rsid w:val="00DF77FD"/>
    <w:rsid w:val="00E00AF2"/>
    <w:rsid w:val="00E01BDB"/>
    <w:rsid w:val="00E03312"/>
    <w:rsid w:val="00E0360B"/>
    <w:rsid w:val="00E03A2A"/>
    <w:rsid w:val="00E03A96"/>
    <w:rsid w:val="00E05124"/>
    <w:rsid w:val="00E05D56"/>
    <w:rsid w:val="00E079B8"/>
    <w:rsid w:val="00E07BD3"/>
    <w:rsid w:val="00E105A9"/>
    <w:rsid w:val="00E12E9B"/>
    <w:rsid w:val="00E1390F"/>
    <w:rsid w:val="00E13ACD"/>
    <w:rsid w:val="00E13FBB"/>
    <w:rsid w:val="00E147EE"/>
    <w:rsid w:val="00E14818"/>
    <w:rsid w:val="00E15056"/>
    <w:rsid w:val="00E15DB1"/>
    <w:rsid w:val="00E1614B"/>
    <w:rsid w:val="00E16E03"/>
    <w:rsid w:val="00E17552"/>
    <w:rsid w:val="00E17DCC"/>
    <w:rsid w:val="00E21B03"/>
    <w:rsid w:val="00E22445"/>
    <w:rsid w:val="00E23492"/>
    <w:rsid w:val="00E246B2"/>
    <w:rsid w:val="00E260A3"/>
    <w:rsid w:val="00E264DC"/>
    <w:rsid w:val="00E26D15"/>
    <w:rsid w:val="00E27DDB"/>
    <w:rsid w:val="00E314E5"/>
    <w:rsid w:val="00E31702"/>
    <w:rsid w:val="00E31B75"/>
    <w:rsid w:val="00E3242E"/>
    <w:rsid w:val="00E330C9"/>
    <w:rsid w:val="00E3330E"/>
    <w:rsid w:val="00E3351F"/>
    <w:rsid w:val="00E33604"/>
    <w:rsid w:val="00E33992"/>
    <w:rsid w:val="00E33EB0"/>
    <w:rsid w:val="00E34F48"/>
    <w:rsid w:val="00E3622B"/>
    <w:rsid w:val="00E36944"/>
    <w:rsid w:val="00E40DAE"/>
    <w:rsid w:val="00E40F62"/>
    <w:rsid w:val="00E4158A"/>
    <w:rsid w:val="00E4171B"/>
    <w:rsid w:val="00E43249"/>
    <w:rsid w:val="00E436A2"/>
    <w:rsid w:val="00E44967"/>
    <w:rsid w:val="00E45652"/>
    <w:rsid w:val="00E458D8"/>
    <w:rsid w:val="00E504B8"/>
    <w:rsid w:val="00E51286"/>
    <w:rsid w:val="00E516FA"/>
    <w:rsid w:val="00E518A7"/>
    <w:rsid w:val="00E521FE"/>
    <w:rsid w:val="00E529F5"/>
    <w:rsid w:val="00E5356B"/>
    <w:rsid w:val="00E53E00"/>
    <w:rsid w:val="00E54221"/>
    <w:rsid w:val="00E54ACC"/>
    <w:rsid w:val="00E55BA8"/>
    <w:rsid w:val="00E5650A"/>
    <w:rsid w:val="00E574EC"/>
    <w:rsid w:val="00E5781E"/>
    <w:rsid w:val="00E57F9C"/>
    <w:rsid w:val="00E615F9"/>
    <w:rsid w:val="00E6193C"/>
    <w:rsid w:val="00E6255E"/>
    <w:rsid w:val="00E62BC2"/>
    <w:rsid w:val="00E63CD1"/>
    <w:rsid w:val="00E63DAA"/>
    <w:rsid w:val="00E65104"/>
    <w:rsid w:val="00E654AD"/>
    <w:rsid w:val="00E658B7"/>
    <w:rsid w:val="00E67DAD"/>
    <w:rsid w:val="00E7221D"/>
    <w:rsid w:val="00E728AC"/>
    <w:rsid w:val="00E74CDA"/>
    <w:rsid w:val="00E7615F"/>
    <w:rsid w:val="00E761D8"/>
    <w:rsid w:val="00E76A28"/>
    <w:rsid w:val="00E76AE0"/>
    <w:rsid w:val="00E77064"/>
    <w:rsid w:val="00E776BF"/>
    <w:rsid w:val="00E7796D"/>
    <w:rsid w:val="00E81A87"/>
    <w:rsid w:val="00E8311A"/>
    <w:rsid w:val="00E83948"/>
    <w:rsid w:val="00E83CF9"/>
    <w:rsid w:val="00E84206"/>
    <w:rsid w:val="00E846F9"/>
    <w:rsid w:val="00E85E99"/>
    <w:rsid w:val="00E90699"/>
    <w:rsid w:val="00E91A0C"/>
    <w:rsid w:val="00E92360"/>
    <w:rsid w:val="00E9256A"/>
    <w:rsid w:val="00E92974"/>
    <w:rsid w:val="00E92F98"/>
    <w:rsid w:val="00E9331D"/>
    <w:rsid w:val="00E94BB8"/>
    <w:rsid w:val="00E95322"/>
    <w:rsid w:val="00E95490"/>
    <w:rsid w:val="00E968C1"/>
    <w:rsid w:val="00E971F6"/>
    <w:rsid w:val="00E97639"/>
    <w:rsid w:val="00EA0E54"/>
    <w:rsid w:val="00EA1240"/>
    <w:rsid w:val="00EA1769"/>
    <w:rsid w:val="00EA2F64"/>
    <w:rsid w:val="00EA3671"/>
    <w:rsid w:val="00EA4441"/>
    <w:rsid w:val="00EA50CB"/>
    <w:rsid w:val="00EA5C7D"/>
    <w:rsid w:val="00EA7592"/>
    <w:rsid w:val="00EA7809"/>
    <w:rsid w:val="00EA7C41"/>
    <w:rsid w:val="00EB0DEA"/>
    <w:rsid w:val="00EB1695"/>
    <w:rsid w:val="00EB1CD2"/>
    <w:rsid w:val="00EB1F63"/>
    <w:rsid w:val="00EB27BC"/>
    <w:rsid w:val="00EB38C6"/>
    <w:rsid w:val="00EB452C"/>
    <w:rsid w:val="00EB5184"/>
    <w:rsid w:val="00EB6A32"/>
    <w:rsid w:val="00EB7F1A"/>
    <w:rsid w:val="00EC106C"/>
    <w:rsid w:val="00EC10CF"/>
    <w:rsid w:val="00EC21FD"/>
    <w:rsid w:val="00EC33A0"/>
    <w:rsid w:val="00EC388C"/>
    <w:rsid w:val="00EC38BF"/>
    <w:rsid w:val="00EC4835"/>
    <w:rsid w:val="00EC4836"/>
    <w:rsid w:val="00EC5088"/>
    <w:rsid w:val="00EC5140"/>
    <w:rsid w:val="00EC5FB0"/>
    <w:rsid w:val="00EC65B0"/>
    <w:rsid w:val="00EC6D6C"/>
    <w:rsid w:val="00EC6F7E"/>
    <w:rsid w:val="00EC77C6"/>
    <w:rsid w:val="00ED09BC"/>
    <w:rsid w:val="00ED3797"/>
    <w:rsid w:val="00ED4776"/>
    <w:rsid w:val="00ED4794"/>
    <w:rsid w:val="00ED4ADE"/>
    <w:rsid w:val="00ED5E38"/>
    <w:rsid w:val="00ED67FC"/>
    <w:rsid w:val="00ED6C70"/>
    <w:rsid w:val="00EE1DA2"/>
    <w:rsid w:val="00EE3550"/>
    <w:rsid w:val="00EE3855"/>
    <w:rsid w:val="00EE3F95"/>
    <w:rsid w:val="00EE4490"/>
    <w:rsid w:val="00EE4EEF"/>
    <w:rsid w:val="00EE6832"/>
    <w:rsid w:val="00EE79F9"/>
    <w:rsid w:val="00EE7A07"/>
    <w:rsid w:val="00EF1755"/>
    <w:rsid w:val="00EF2A1F"/>
    <w:rsid w:val="00EF2E0F"/>
    <w:rsid w:val="00EF3CB1"/>
    <w:rsid w:val="00EF3D58"/>
    <w:rsid w:val="00EF6E40"/>
    <w:rsid w:val="00EF7063"/>
    <w:rsid w:val="00EF7084"/>
    <w:rsid w:val="00EF76AC"/>
    <w:rsid w:val="00EF792C"/>
    <w:rsid w:val="00F000F7"/>
    <w:rsid w:val="00F009BD"/>
    <w:rsid w:val="00F00F38"/>
    <w:rsid w:val="00F010CD"/>
    <w:rsid w:val="00F0228B"/>
    <w:rsid w:val="00F02CAE"/>
    <w:rsid w:val="00F035BC"/>
    <w:rsid w:val="00F03B39"/>
    <w:rsid w:val="00F04052"/>
    <w:rsid w:val="00F04FED"/>
    <w:rsid w:val="00F05A4E"/>
    <w:rsid w:val="00F06673"/>
    <w:rsid w:val="00F0691E"/>
    <w:rsid w:val="00F06961"/>
    <w:rsid w:val="00F07A3A"/>
    <w:rsid w:val="00F102B4"/>
    <w:rsid w:val="00F1066F"/>
    <w:rsid w:val="00F127C3"/>
    <w:rsid w:val="00F1415F"/>
    <w:rsid w:val="00F14201"/>
    <w:rsid w:val="00F1508C"/>
    <w:rsid w:val="00F15148"/>
    <w:rsid w:val="00F1578E"/>
    <w:rsid w:val="00F1604F"/>
    <w:rsid w:val="00F17B96"/>
    <w:rsid w:val="00F20110"/>
    <w:rsid w:val="00F20763"/>
    <w:rsid w:val="00F2078B"/>
    <w:rsid w:val="00F20ED3"/>
    <w:rsid w:val="00F21B9C"/>
    <w:rsid w:val="00F227C8"/>
    <w:rsid w:val="00F22904"/>
    <w:rsid w:val="00F23CB7"/>
    <w:rsid w:val="00F2533D"/>
    <w:rsid w:val="00F25427"/>
    <w:rsid w:val="00F257B5"/>
    <w:rsid w:val="00F26DEC"/>
    <w:rsid w:val="00F2720E"/>
    <w:rsid w:val="00F2776D"/>
    <w:rsid w:val="00F30925"/>
    <w:rsid w:val="00F311EF"/>
    <w:rsid w:val="00F3124A"/>
    <w:rsid w:val="00F3170A"/>
    <w:rsid w:val="00F31E30"/>
    <w:rsid w:val="00F3233E"/>
    <w:rsid w:val="00F32B2F"/>
    <w:rsid w:val="00F336B0"/>
    <w:rsid w:val="00F346E6"/>
    <w:rsid w:val="00F35754"/>
    <w:rsid w:val="00F365F0"/>
    <w:rsid w:val="00F40864"/>
    <w:rsid w:val="00F41270"/>
    <w:rsid w:val="00F4171B"/>
    <w:rsid w:val="00F41FC0"/>
    <w:rsid w:val="00F42842"/>
    <w:rsid w:val="00F44895"/>
    <w:rsid w:val="00F450A2"/>
    <w:rsid w:val="00F50585"/>
    <w:rsid w:val="00F516E3"/>
    <w:rsid w:val="00F527ED"/>
    <w:rsid w:val="00F54583"/>
    <w:rsid w:val="00F54832"/>
    <w:rsid w:val="00F57885"/>
    <w:rsid w:val="00F57EF7"/>
    <w:rsid w:val="00F60041"/>
    <w:rsid w:val="00F60889"/>
    <w:rsid w:val="00F60990"/>
    <w:rsid w:val="00F60F00"/>
    <w:rsid w:val="00F61707"/>
    <w:rsid w:val="00F61C30"/>
    <w:rsid w:val="00F62DB5"/>
    <w:rsid w:val="00F631AB"/>
    <w:rsid w:val="00F63531"/>
    <w:rsid w:val="00F6423D"/>
    <w:rsid w:val="00F658FD"/>
    <w:rsid w:val="00F660F2"/>
    <w:rsid w:val="00F66144"/>
    <w:rsid w:val="00F66EFC"/>
    <w:rsid w:val="00F6713F"/>
    <w:rsid w:val="00F6732D"/>
    <w:rsid w:val="00F67C61"/>
    <w:rsid w:val="00F67D88"/>
    <w:rsid w:val="00F72473"/>
    <w:rsid w:val="00F73649"/>
    <w:rsid w:val="00F748D5"/>
    <w:rsid w:val="00F74B51"/>
    <w:rsid w:val="00F76408"/>
    <w:rsid w:val="00F80858"/>
    <w:rsid w:val="00F81362"/>
    <w:rsid w:val="00F81756"/>
    <w:rsid w:val="00F82C28"/>
    <w:rsid w:val="00F842CB"/>
    <w:rsid w:val="00F854EE"/>
    <w:rsid w:val="00F8615A"/>
    <w:rsid w:val="00F879BE"/>
    <w:rsid w:val="00F87E2F"/>
    <w:rsid w:val="00F91015"/>
    <w:rsid w:val="00F91353"/>
    <w:rsid w:val="00F91359"/>
    <w:rsid w:val="00F927B6"/>
    <w:rsid w:val="00F92C78"/>
    <w:rsid w:val="00F94C36"/>
    <w:rsid w:val="00F94D16"/>
    <w:rsid w:val="00F9684A"/>
    <w:rsid w:val="00F96878"/>
    <w:rsid w:val="00F96D70"/>
    <w:rsid w:val="00F96FFD"/>
    <w:rsid w:val="00FA0422"/>
    <w:rsid w:val="00FA04D9"/>
    <w:rsid w:val="00FA0825"/>
    <w:rsid w:val="00FA08AD"/>
    <w:rsid w:val="00FA1F0B"/>
    <w:rsid w:val="00FA260A"/>
    <w:rsid w:val="00FA2F27"/>
    <w:rsid w:val="00FA37A7"/>
    <w:rsid w:val="00FA3E06"/>
    <w:rsid w:val="00FA4150"/>
    <w:rsid w:val="00FA5766"/>
    <w:rsid w:val="00FA7414"/>
    <w:rsid w:val="00FA7D7D"/>
    <w:rsid w:val="00FB0CA6"/>
    <w:rsid w:val="00FB138C"/>
    <w:rsid w:val="00FB2CEE"/>
    <w:rsid w:val="00FB3384"/>
    <w:rsid w:val="00FB33AC"/>
    <w:rsid w:val="00FB33E7"/>
    <w:rsid w:val="00FB5272"/>
    <w:rsid w:val="00FB580A"/>
    <w:rsid w:val="00FB5A70"/>
    <w:rsid w:val="00FB620D"/>
    <w:rsid w:val="00FB6B2E"/>
    <w:rsid w:val="00FB6F67"/>
    <w:rsid w:val="00FC058A"/>
    <w:rsid w:val="00FC0AD7"/>
    <w:rsid w:val="00FC10DE"/>
    <w:rsid w:val="00FC239E"/>
    <w:rsid w:val="00FC2D5F"/>
    <w:rsid w:val="00FC313B"/>
    <w:rsid w:val="00FC335F"/>
    <w:rsid w:val="00FC5603"/>
    <w:rsid w:val="00FC63AE"/>
    <w:rsid w:val="00FD05FF"/>
    <w:rsid w:val="00FD0907"/>
    <w:rsid w:val="00FD0B28"/>
    <w:rsid w:val="00FD0BF7"/>
    <w:rsid w:val="00FD17BA"/>
    <w:rsid w:val="00FD2C9D"/>
    <w:rsid w:val="00FD2F74"/>
    <w:rsid w:val="00FD3B94"/>
    <w:rsid w:val="00FD40DD"/>
    <w:rsid w:val="00FD43B3"/>
    <w:rsid w:val="00FD5C89"/>
    <w:rsid w:val="00FD6295"/>
    <w:rsid w:val="00FD6C55"/>
    <w:rsid w:val="00FD6CB1"/>
    <w:rsid w:val="00FE1118"/>
    <w:rsid w:val="00FE3392"/>
    <w:rsid w:val="00FE40E5"/>
    <w:rsid w:val="00FE4585"/>
    <w:rsid w:val="00FE4739"/>
    <w:rsid w:val="00FE4DB2"/>
    <w:rsid w:val="00FE5881"/>
    <w:rsid w:val="00FE66B6"/>
    <w:rsid w:val="00FE681D"/>
    <w:rsid w:val="00FE74DF"/>
    <w:rsid w:val="00FE769B"/>
    <w:rsid w:val="00FE7F52"/>
    <w:rsid w:val="00FF0A9C"/>
    <w:rsid w:val="00FF0DBD"/>
    <w:rsid w:val="00FF12FF"/>
    <w:rsid w:val="00FF2100"/>
    <w:rsid w:val="00FF28A1"/>
    <w:rsid w:val="00FF3A07"/>
    <w:rsid w:val="00FF3FEA"/>
    <w:rsid w:val="00FF4C68"/>
    <w:rsid w:val="00FF4E25"/>
    <w:rsid w:val="00FF6551"/>
    <w:rsid w:val="00FF70E7"/>
    <w:rsid w:val="0265AFB9"/>
    <w:rsid w:val="02B28E74"/>
    <w:rsid w:val="035D2128"/>
    <w:rsid w:val="05C91216"/>
    <w:rsid w:val="0B527D2B"/>
    <w:rsid w:val="0D049E8B"/>
    <w:rsid w:val="0DC21AB7"/>
    <w:rsid w:val="0E2CCE1C"/>
    <w:rsid w:val="0ED56C3A"/>
    <w:rsid w:val="0ED62C39"/>
    <w:rsid w:val="0FB7F677"/>
    <w:rsid w:val="10D09D24"/>
    <w:rsid w:val="111A7A13"/>
    <w:rsid w:val="1198C4A0"/>
    <w:rsid w:val="13873A1D"/>
    <w:rsid w:val="1467EEFE"/>
    <w:rsid w:val="15529923"/>
    <w:rsid w:val="18E8CBAB"/>
    <w:rsid w:val="1D6B9828"/>
    <w:rsid w:val="1DB10C10"/>
    <w:rsid w:val="1E06DF4D"/>
    <w:rsid w:val="211A3EB0"/>
    <w:rsid w:val="216D1FD9"/>
    <w:rsid w:val="219F5E3A"/>
    <w:rsid w:val="231BB65B"/>
    <w:rsid w:val="243355A6"/>
    <w:rsid w:val="250B22AD"/>
    <w:rsid w:val="25213363"/>
    <w:rsid w:val="25BC67EC"/>
    <w:rsid w:val="26F667BA"/>
    <w:rsid w:val="281B0E03"/>
    <w:rsid w:val="2834F47E"/>
    <w:rsid w:val="2A818A89"/>
    <w:rsid w:val="2ACCAA62"/>
    <w:rsid w:val="2B9B8064"/>
    <w:rsid w:val="2D16B7C0"/>
    <w:rsid w:val="2E319C93"/>
    <w:rsid w:val="324DFF30"/>
    <w:rsid w:val="3A1A5343"/>
    <w:rsid w:val="3A6C97CD"/>
    <w:rsid w:val="3BA6218F"/>
    <w:rsid w:val="3C426A15"/>
    <w:rsid w:val="3F4E8F12"/>
    <w:rsid w:val="40B5E3E1"/>
    <w:rsid w:val="419C6D71"/>
    <w:rsid w:val="433DCBC4"/>
    <w:rsid w:val="45E18849"/>
    <w:rsid w:val="4645CE53"/>
    <w:rsid w:val="47848764"/>
    <w:rsid w:val="4840EAF1"/>
    <w:rsid w:val="4917C91D"/>
    <w:rsid w:val="4D9418B2"/>
    <w:rsid w:val="4DE1042E"/>
    <w:rsid w:val="4EE9A88A"/>
    <w:rsid w:val="4F33CE04"/>
    <w:rsid w:val="4FD1E947"/>
    <w:rsid w:val="50C8836E"/>
    <w:rsid w:val="52DB35FF"/>
    <w:rsid w:val="54261BB9"/>
    <w:rsid w:val="54300BCC"/>
    <w:rsid w:val="5491E09D"/>
    <w:rsid w:val="55182B5A"/>
    <w:rsid w:val="588D0B3D"/>
    <w:rsid w:val="5B1B46EA"/>
    <w:rsid w:val="5B4D52E4"/>
    <w:rsid w:val="5CD23F82"/>
    <w:rsid w:val="5D53B99E"/>
    <w:rsid w:val="5E265F0F"/>
    <w:rsid w:val="5F1326F0"/>
    <w:rsid w:val="60969D91"/>
    <w:rsid w:val="6182CE9E"/>
    <w:rsid w:val="63084B90"/>
    <w:rsid w:val="6409E488"/>
    <w:rsid w:val="64D7D92C"/>
    <w:rsid w:val="65F23B54"/>
    <w:rsid w:val="66411E9D"/>
    <w:rsid w:val="66E33501"/>
    <w:rsid w:val="692447E6"/>
    <w:rsid w:val="6964C63E"/>
    <w:rsid w:val="69A1D603"/>
    <w:rsid w:val="6B0FA14C"/>
    <w:rsid w:val="6B4B5FCB"/>
    <w:rsid w:val="6DE21071"/>
    <w:rsid w:val="6E1EB66F"/>
    <w:rsid w:val="6E71A844"/>
    <w:rsid w:val="7267ACBB"/>
    <w:rsid w:val="73223806"/>
    <w:rsid w:val="7429C0A9"/>
    <w:rsid w:val="769E44E9"/>
    <w:rsid w:val="76FFB603"/>
    <w:rsid w:val="77C8E7F4"/>
    <w:rsid w:val="780765D5"/>
    <w:rsid w:val="79B96388"/>
    <w:rsid w:val="7AB6C0DA"/>
    <w:rsid w:val="7ABBC846"/>
    <w:rsid w:val="7C6F15A4"/>
    <w:rsid w:val="7C70BB4B"/>
    <w:rsid w:val="7DEECC8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paragraph" w:styleId="Heading5">
    <w:name w:val="heading 5"/>
    <w:basedOn w:val="Normal"/>
    <w:next w:val="Normal"/>
    <w:link w:val="Heading5Char"/>
    <w:uiPriority w:val="9"/>
    <w:semiHidden/>
    <w:unhideWhenUsed/>
    <w:qFormat/>
    <w:rsid w:val="00787A3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Char"/>
    <w:basedOn w:val="Normal"/>
    <w:next w:val="Normal"/>
    <w:link w:val="CaptionChar"/>
    <w:uiPriority w:val="35"/>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Merriweather" w:hAnsi="Merriweather"/>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har Char"/>
    <w:basedOn w:val="DefaultParagraphFont"/>
    <w:link w:val="Caption"/>
    <w:uiPriority w:val="35"/>
    <w:qFormat/>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HTAtableplain,CMA Table Template,PBAC table,MSD Table Grid,Dossier table,Summary Table,HealthConsult,PHE Table Grid,Lash Style Table,Section 3- footnotes"/>
    <w:basedOn w:val="TableNormal"/>
    <w:uiPriority w:val="3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B75B43"/>
    <w:pPr>
      <w:spacing w:before="0"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B75B43"/>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Merriweather" w:hAnsi="Merriweather"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Merriweather" w:hAnsi="Merriweather"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Merriweather" w:hAnsi="Merriweather"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uiPriority w:val="1"/>
    <w:qFormat/>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uiPriority w:val="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8"/>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9"/>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10"/>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table" w:customStyle="1" w:styleId="HealthConsult1">
    <w:name w:val="HealthConsult1"/>
    <w:basedOn w:val="TableNormal"/>
    <w:next w:val="TableGrid"/>
    <w:uiPriority w:val="59"/>
    <w:rsid w:val="00F127C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TableGrid1">
    <w:name w:val="MSD Table Grid1"/>
    <w:basedOn w:val="TableNormal"/>
    <w:next w:val="TableGrid"/>
    <w:uiPriority w:val="39"/>
    <w:rsid w:val="00E05124"/>
    <w:pPr>
      <w:spacing w:after="0" w:line="360" w:lineRule="auto"/>
    </w:pPr>
    <w:rPr>
      <w:rFonts w:ascii="Times New Roman" w:eastAsia="SimSun" w:hAnsi="Times New Roman" w:cs="Times New Roman"/>
      <w:sz w:val="20"/>
      <w:szCs w:val="20"/>
      <w:lang w:eastAsia="en-A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E7E6E6"/>
      </w:tcPr>
    </w:tblStylePr>
  </w:style>
  <w:style w:type="table" w:customStyle="1" w:styleId="HealthConsult2">
    <w:name w:val="HealthConsult2"/>
    <w:basedOn w:val="TableNormal"/>
    <w:next w:val="TableGrid"/>
    <w:uiPriority w:val="59"/>
    <w:rsid w:val="0062150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722FB3"/>
    <w:rPr>
      <w:color w:val="605E5C"/>
      <w:shd w:val="clear" w:color="auto" w:fill="E1DFDD"/>
    </w:rPr>
  </w:style>
  <w:style w:type="character" w:customStyle="1" w:styleId="Heading5Char">
    <w:name w:val="Heading 5 Char"/>
    <w:basedOn w:val="DefaultParagraphFont"/>
    <w:link w:val="Heading5"/>
    <w:uiPriority w:val="9"/>
    <w:semiHidden/>
    <w:rsid w:val="00787A32"/>
    <w:rPr>
      <w:rFonts w:asciiTheme="majorHAnsi" w:eastAsiaTheme="majorEastAsia" w:hAnsiTheme="majorHAnsi" w:cstheme="majorBidi"/>
      <w:color w:val="2E74B5" w:themeColor="accent1" w:themeShade="BF"/>
    </w:rPr>
  </w:style>
  <w:style w:type="table" w:customStyle="1" w:styleId="HealthConsult3">
    <w:name w:val="HealthConsult3"/>
    <w:basedOn w:val="TableNormal"/>
    <w:next w:val="TableGrid"/>
    <w:uiPriority w:val="39"/>
    <w:rsid w:val="004D20C6"/>
    <w:pPr>
      <w:spacing w:after="0" w:line="360" w:lineRule="auto"/>
    </w:pPr>
    <w:rPr>
      <w:rFonts w:ascii="Times New Roman" w:eastAsia="SimSu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E7E6E6" w:themeFill="background2"/>
      </w:tcPr>
    </w:tblStylePr>
  </w:style>
  <w:style w:type="paragraph" w:styleId="NormalWeb">
    <w:name w:val="Normal (Web)"/>
    <w:basedOn w:val="Normal"/>
    <w:uiPriority w:val="99"/>
    <w:semiHidden/>
    <w:unhideWhenUsed/>
    <w:rsid w:val="008C07C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BACTblFignote">
    <w:name w:val="PBAC Tbl/Fig note"/>
    <w:uiPriority w:val="99"/>
    <w:qFormat/>
    <w:rsid w:val="008C07CD"/>
    <w:pPr>
      <w:spacing w:after="360" w:line="240" w:lineRule="auto"/>
      <w:contextualSpacing/>
      <w:textboxTightWrap w:val="allLines"/>
    </w:pPr>
    <w:rPr>
      <w:rFonts w:ascii="Arial Narrow" w:eastAsia="Times New Roman" w:hAnsi="Arial Narrow" w:cs="Arial"/>
      <w:sz w:val="16"/>
      <w:szCs w:val="24"/>
      <w:lang w:eastAsia="en-GB"/>
    </w:rPr>
  </w:style>
  <w:style w:type="table" w:customStyle="1" w:styleId="HTATableshaded">
    <w:name w:val="HTA Table shaded"/>
    <w:basedOn w:val="TableNormal"/>
    <w:rsid w:val="00EB1CD2"/>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Section3-footnot1">
    <w:name w:val="Section 3- footnot1"/>
    <w:basedOn w:val="TableNormal"/>
    <w:next w:val="TableGrid"/>
    <w:uiPriority w:val="59"/>
    <w:rsid w:val="005B5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5B521F"/>
    <w:pPr>
      <w:spacing w:before="0" w:after="120" w:line="240" w:lineRule="auto"/>
    </w:pPr>
    <w:rPr>
      <w:rFonts w:eastAsia="Times New Roman" w:cs="Times New Roman"/>
      <w:color w:val="000000"/>
      <w:szCs w:val="20"/>
      <w:lang w:eastAsia="en-AU"/>
    </w:rPr>
  </w:style>
  <w:style w:type="character" w:customStyle="1" w:styleId="BodyTextChar">
    <w:name w:val="Body Text Char"/>
    <w:basedOn w:val="DefaultParagraphFont"/>
    <w:link w:val="BodyText"/>
    <w:uiPriority w:val="99"/>
    <w:rsid w:val="005B521F"/>
    <w:rPr>
      <w:rFonts w:ascii="Franklin Gothic Book" w:eastAsia="Times New Roman" w:hAnsi="Franklin Gothic Book" w:cs="Times New Roman"/>
      <w:color w:val="000000"/>
      <w:szCs w:val="20"/>
      <w:lang w:eastAsia="en-AU"/>
    </w:rPr>
  </w:style>
  <w:style w:type="paragraph" w:customStyle="1" w:styleId="PBACTabletext">
    <w:name w:val="PBAC Table text"/>
    <w:qFormat/>
    <w:rsid w:val="00A53267"/>
    <w:pPr>
      <w:keepNext/>
      <w:keepLines/>
      <w:suppressLineNumbers/>
      <w:spacing w:after="0" w:line="240" w:lineRule="auto"/>
      <w:textboxTightWrap w:val="allLines"/>
    </w:pPr>
    <w:rPr>
      <w:rFonts w:ascii="Calibri" w:eastAsia="Times New Roman" w:hAnsi="Calibri" w:cs="Arial"/>
      <w:sz w:val="18"/>
      <w:szCs w:val="24"/>
      <w:lang w:eastAsia="en-GB"/>
    </w:rPr>
  </w:style>
  <w:style w:type="paragraph" w:customStyle="1" w:styleId="BulletBeforeDash">
    <w:name w:val="BulletBeforeDash"/>
    <w:basedOn w:val="Normal"/>
    <w:rsid w:val="006667A5"/>
    <w:pPr>
      <w:numPr>
        <w:numId w:val="14"/>
      </w:numPr>
      <w:spacing w:before="0" w:after="0" w:line="240" w:lineRule="auto"/>
      <w:ind w:left="720"/>
    </w:pPr>
    <w:rPr>
      <w:rFonts w:ascii="Times New Roman" w:eastAsia="Times New Roman" w:hAnsi="Times New Roman" w:cs="Times New Roman"/>
      <w:color w:val="000000"/>
      <w:sz w:val="24"/>
      <w:szCs w:val="20"/>
      <w:lang w:eastAsia="en-AU"/>
    </w:rPr>
  </w:style>
  <w:style w:type="character" w:styleId="UnresolvedMention">
    <w:name w:val="Unresolved Mention"/>
    <w:basedOn w:val="DefaultParagraphFont"/>
    <w:uiPriority w:val="99"/>
    <w:semiHidden/>
    <w:unhideWhenUsed/>
    <w:rsid w:val="007B4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54346281">
      <w:bodyDiv w:val="1"/>
      <w:marLeft w:val="0"/>
      <w:marRight w:val="0"/>
      <w:marTop w:val="0"/>
      <w:marBottom w:val="0"/>
      <w:divBdr>
        <w:top w:val="none" w:sz="0" w:space="0" w:color="auto"/>
        <w:left w:val="none" w:sz="0" w:space="0" w:color="auto"/>
        <w:bottom w:val="none" w:sz="0" w:space="0" w:color="auto"/>
        <w:right w:val="none" w:sz="0" w:space="0" w:color="auto"/>
      </w:divBdr>
    </w:div>
    <w:div w:id="15480510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12622218">
      <w:bodyDiv w:val="1"/>
      <w:marLeft w:val="0"/>
      <w:marRight w:val="0"/>
      <w:marTop w:val="0"/>
      <w:marBottom w:val="0"/>
      <w:divBdr>
        <w:top w:val="none" w:sz="0" w:space="0" w:color="auto"/>
        <w:left w:val="none" w:sz="0" w:space="0" w:color="auto"/>
        <w:bottom w:val="none" w:sz="0" w:space="0" w:color="auto"/>
        <w:right w:val="none" w:sz="0" w:space="0" w:color="auto"/>
      </w:divBdr>
    </w:div>
    <w:div w:id="219559381">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268047189">
      <w:bodyDiv w:val="1"/>
      <w:marLeft w:val="0"/>
      <w:marRight w:val="0"/>
      <w:marTop w:val="0"/>
      <w:marBottom w:val="0"/>
      <w:divBdr>
        <w:top w:val="none" w:sz="0" w:space="0" w:color="auto"/>
        <w:left w:val="none" w:sz="0" w:space="0" w:color="auto"/>
        <w:bottom w:val="none" w:sz="0" w:space="0" w:color="auto"/>
        <w:right w:val="none" w:sz="0" w:space="0" w:color="auto"/>
      </w:divBdr>
    </w:div>
    <w:div w:id="275990290">
      <w:bodyDiv w:val="1"/>
      <w:marLeft w:val="0"/>
      <w:marRight w:val="0"/>
      <w:marTop w:val="0"/>
      <w:marBottom w:val="0"/>
      <w:divBdr>
        <w:top w:val="none" w:sz="0" w:space="0" w:color="auto"/>
        <w:left w:val="none" w:sz="0" w:space="0" w:color="auto"/>
        <w:bottom w:val="none" w:sz="0" w:space="0" w:color="auto"/>
        <w:right w:val="none" w:sz="0" w:space="0" w:color="auto"/>
      </w:divBdr>
    </w:div>
    <w:div w:id="357779926">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05882429">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580872184">
      <w:bodyDiv w:val="1"/>
      <w:marLeft w:val="0"/>
      <w:marRight w:val="0"/>
      <w:marTop w:val="0"/>
      <w:marBottom w:val="0"/>
      <w:divBdr>
        <w:top w:val="none" w:sz="0" w:space="0" w:color="auto"/>
        <w:left w:val="none" w:sz="0" w:space="0" w:color="auto"/>
        <w:bottom w:val="none" w:sz="0" w:space="0" w:color="auto"/>
        <w:right w:val="none" w:sz="0" w:space="0" w:color="auto"/>
      </w:divBdr>
    </w:div>
    <w:div w:id="593517623">
      <w:bodyDiv w:val="1"/>
      <w:marLeft w:val="0"/>
      <w:marRight w:val="0"/>
      <w:marTop w:val="0"/>
      <w:marBottom w:val="0"/>
      <w:divBdr>
        <w:top w:val="none" w:sz="0" w:space="0" w:color="auto"/>
        <w:left w:val="none" w:sz="0" w:space="0" w:color="auto"/>
        <w:bottom w:val="none" w:sz="0" w:space="0" w:color="auto"/>
        <w:right w:val="none" w:sz="0" w:space="0" w:color="auto"/>
      </w:divBdr>
      <w:divsChild>
        <w:div w:id="1733772794">
          <w:marLeft w:val="547"/>
          <w:marRight w:val="0"/>
          <w:marTop w:val="134"/>
          <w:marBottom w:val="0"/>
          <w:divBdr>
            <w:top w:val="none" w:sz="0" w:space="0" w:color="auto"/>
            <w:left w:val="none" w:sz="0" w:space="0" w:color="auto"/>
            <w:bottom w:val="none" w:sz="0" w:space="0" w:color="auto"/>
            <w:right w:val="none" w:sz="0" w:space="0" w:color="auto"/>
          </w:divBdr>
        </w:div>
      </w:divsChild>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653409572">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53628374">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978803537">
      <w:bodyDiv w:val="1"/>
      <w:marLeft w:val="0"/>
      <w:marRight w:val="0"/>
      <w:marTop w:val="0"/>
      <w:marBottom w:val="0"/>
      <w:divBdr>
        <w:top w:val="none" w:sz="0" w:space="0" w:color="auto"/>
        <w:left w:val="none" w:sz="0" w:space="0" w:color="auto"/>
        <w:bottom w:val="none" w:sz="0" w:space="0" w:color="auto"/>
        <w:right w:val="none" w:sz="0" w:space="0" w:color="auto"/>
      </w:divBdr>
    </w:div>
    <w:div w:id="988556759">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25153496">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23391878">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38984073">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496650696">
      <w:bodyDiv w:val="1"/>
      <w:marLeft w:val="0"/>
      <w:marRight w:val="0"/>
      <w:marTop w:val="0"/>
      <w:marBottom w:val="0"/>
      <w:divBdr>
        <w:top w:val="none" w:sz="0" w:space="0" w:color="auto"/>
        <w:left w:val="none" w:sz="0" w:space="0" w:color="auto"/>
        <w:bottom w:val="none" w:sz="0" w:space="0" w:color="auto"/>
        <w:right w:val="none" w:sz="0" w:space="0" w:color="auto"/>
      </w:divBdr>
    </w:div>
    <w:div w:id="1531215234">
      <w:bodyDiv w:val="1"/>
      <w:marLeft w:val="0"/>
      <w:marRight w:val="0"/>
      <w:marTop w:val="0"/>
      <w:marBottom w:val="0"/>
      <w:divBdr>
        <w:top w:val="none" w:sz="0" w:space="0" w:color="auto"/>
        <w:left w:val="none" w:sz="0" w:space="0" w:color="auto"/>
        <w:bottom w:val="none" w:sz="0" w:space="0" w:color="auto"/>
        <w:right w:val="none" w:sz="0" w:space="0" w:color="auto"/>
      </w:divBdr>
    </w:div>
    <w:div w:id="1568683217">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26488712">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9.health.gov.au/mbs/fullDisplay.cfm?type=note&amp;qt=NoteID&amp;q=PN.1.2"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9.health.gov.au/mbs/fullDisplay.cfm?type=note&amp;qt=NoteID&amp;q=PN.1.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msac.gov.au/internet/msac/publishing.nsf/Content/Home-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ac.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cap.org/protocols-and-guidelines/cap-guidelines/current-cap-guidelines/her2-testing-and-clinical-decision-making-in-gastroesophageal-adenocarcinoma" TargetMode="External"/><Relationship Id="rId1" Type="http://schemas.openxmlformats.org/officeDocument/2006/relationships/hyperlink" Target="http://www9.health.gov.au/mbs/fullDisplay.cfm?type=item&amp;q=73342&amp;qt=item&amp;criteria=733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4A37BE997BE34FBB7D5057D341D123" ma:contentTypeVersion="13" ma:contentTypeDescription="Create a new document." ma:contentTypeScope="" ma:versionID="b67814db4cbf52fde07137e7d49b245e">
  <xsd:schema xmlns:xsd="http://www.w3.org/2001/XMLSchema" xmlns:xs="http://www.w3.org/2001/XMLSchema" xmlns:p="http://schemas.microsoft.com/office/2006/metadata/properties" xmlns:ns2="7513b557-581c-46d3-8cc7-77c65017dc6f" xmlns:ns3="e7d54a9e-4aca-451b-99db-b94fe438e987" targetNamespace="http://schemas.microsoft.com/office/2006/metadata/properties" ma:root="true" ma:fieldsID="dea1ae2ed431f796c5177aed60a9a2d6" ns2:_="" ns3:_="">
    <xsd:import namespace="7513b557-581c-46d3-8cc7-77c65017dc6f"/>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3b557-581c-46d3-8cc7-77c65017d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094059-5103-4cd0-8820-a17a44f45f06}"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13b557-581c-46d3-8cc7-77c65017dc6f">
      <Terms xmlns="http://schemas.microsoft.com/office/infopath/2007/PartnerControls"/>
    </lcf76f155ced4ddcb4097134ff3c332f>
    <TaxCatchAll xmlns="e7d54a9e-4aca-451b-99db-b94fe438e98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A140F-85AB-4F60-85EC-07FD608E6BC2}">
  <ds:schemaRefs>
    <ds:schemaRef ds:uri="http://schemas.microsoft.com/sharepoint/v3/contenttype/forms"/>
  </ds:schemaRefs>
</ds:datastoreItem>
</file>

<file path=customXml/itemProps2.xml><?xml version="1.0" encoding="utf-8"?>
<ds:datastoreItem xmlns:ds="http://schemas.openxmlformats.org/officeDocument/2006/customXml" ds:itemID="{641E5B73-C38B-4F2B-B7F1-B0359DD83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3b557-581c-46d3-8cc7-77c65017dc6f"/>
    <ds:schemaRef ds:uri="e7d54a9e-4aca-451b-99db-b94fe438e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DBDF4-2DF9-4863-AE5E-EBAE1EFC1DF7}">
  <ds:schemaRefs>
    <ds:schemaRef ds:uri="http://schemas.microsoft.com/office/2006/metadata/properties"/>
    <ds:schemaRef ds:uri="http://schemas.microsoft.com/office/infopath/2007/PartnerControls"/>
    <ds:schemaRef ds:uri="7513b557-581c-46d3-8cc7-77c65017dc6f"/>
    <ds:schemaRef ds:uri="e7d54a9e-4aca-451b-99db-b94fe438e987"/>
  </ds:schemaRefs>
</ds:datastoreItem>
</file>

<file path=customXml/itemProps4.xml><?xml version="1.0" encoding="utf-8"?>
<ds:datastoreItem xmlns:ds="http://schemas.openxmlformats.org/officeDocument/2006/customXml" ds:itemID="{AA55E2E8-6927-4333-BAC4-E3E39CB42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6463</Words>
  <Characters>36844</Characters>
  <Application>Microsoft Office Word</Application>
  <DocSecurity>0</DocSecurity>
  <Lines>307</Lines>
  <Paragraphs>86</Paragraphs>
  <ScaleCrop>false</ScaleCrop>
  <Company/>
  <LinksUpToDate>false</LinksUpToDate>
  <CharactersWithSpaces>43221</CharactersWithSpaces>
  <SharedDoc>false</SharedDoc>
  <HyperlinkBase/>
  <HLinks>
    <vt:vector size="36" baseType="variant">
      <vt:variant>
        <vt:i4>6684716</vt:i4>
      </vt:variant>
      <vt:variant>
        <vt:i4>63</vt:i4>
      </vt:variant>
      <vt:variant>
        <vt:i4>0</vt:i4>
      </vt:variant>
      <vt:variant>
        <vt:i4>5</vt:i4>
      </vt:variant>
      <vt:variant>
        <vt:lpwstr>http://msac.gov.au/internet/msac/publishing.nsf/Content/Home-1</vt:lpwstr>
      </vt:variant>
      <vt:variant>
        <vt:lpwstr/>
      </vt:variant>
      <vt:variant>
        <vt:i4>3211304</vt:i4>
      </vt:variant>
      <vt:variant>
        <vt:i4>24</vt:i4>
      </vt:variant>
      <vt:variant>
        <vt:i4>0</vt:i4>
      </vt:variant>
      <vt:variant>
        <vt:i4>5</vt:i4>
      </vt:variant>
      <vt:variant>
        <vt:lpwstr>http://www9.health.gov.au/mbs/fullDisplay.cfm?type=note&amp;qt=NoteID&amp;q=PN.1.2</vt:lpwstr>
      </vt:variant>
      <vt:variant>
        <vt:lpwstr/>
      </vt:variant>
      <vt:variant>
        <vt:i4>3211304</vt:i4>
      </vt:variant>
      <vt:variant>
        <vt:i4>6</vt:i4>
      </vt:variant>
      <vt:variant>
        <vt:i4>0</vt:i4>
      </vt:variant>
      <vt:variant>
        <vt:i4>5</vt:i4>
      </vt:variant>
      <vt:variant>
        <vt:lpwstr>http://www9.health.gov.au/mbs/fullDisplay.cfm?type=note&amp;qt=NoteID&amp;q=PN.1.2</vt:lpwstr>
      </vt:variant>
      <vt:variant>
        <vt:lpwstr/>
      </vt:variant>
      <vt:variant>
        <vt:i4>3997744</vt:i4>
      </vt:variant>
      <vt:variant>
        <vt:i4>0</vt:i4>
      </vt:variant>
      <vt:variant>
        <vt:i4>0</vt:i4>
      </vt:variant>
      <vt:variant>
        <vt:i4>5</vt:i4>
      </vt:variant>
      <vt:variant>
        <vt:lpwstr>http://www.msac.gov.au/</vt:lpwstr>
      </vt:variant>
      <vt:variant>
        <vt:lpwstr/>
      </vt:variant>
      <vt:variant>
        <vt:i4>2293867</vt:i4>
      </vt:variant>
      <vt:variant>
        <vt:i4>3</vt:i4>
      </vt:variant>
      <vt:variant>
        <vt:i4>0</vt:i4>
      </vt:variant>
      <vt:variant>
        <vt:i4>5</vt:i4>
      </vt:variant>
      <vt:variant>
        <vt:lpwstr>https://www.cap.org/protocols-and-guidelines/cap-guidelines/current-cap-guidelines/her2-testing-and-clinical-decision-making-in-gastroesophageal-adenocarcinoma</vt:lpwstr>
      </vt:variant>
      <vt:variant>
        <vt:lpwstr/>
      </vt:variant>
      <vt:variant>
        <vt:i4>3604534</vt:i4>
      </vt:variant>
      <vt:variant>
        <vt:i4>0</vt:i4>
      </vt:variant>
      <vt:variant>
        <vt:i4>0</vt:i4>
      </vt:variant>
      <vt:variant>
        <vt:i4>5</vt:i4>
      </vt:variant>
      <vt:variant>
        <vt:lpwstr>http://www9.health.gov.au/mbs/fullDisplay.cfm?type=item&amp;q=73342&amp;qt=item&amp;criteria=73342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2025-05-26T05:33:00Z</dcterms:created>
  <dcterms:modified xsi:type="dcterms:W3CDTF">2025-06-18T04:00:00Z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0x0101005E4A37BE997BE34FBB7D5057D341D123</vt:lpwstr>
  </property>
</Properties>
</file>