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A294" w14:textId="40DC7C4A" w:rsidR="002D3941" w:rsidRPr="000A7BB0" w:rsidRDefault="002D3941" w:rsidP="00BC7B40">
      <w:pPr>
        <w:keepNext/>
        <w:keepLines/>
        <w:spacing w:before="0" w:after="360"/>
        <w:ind w:left="788"/>
        <w:jc w:val="center"/>
        <w:outlineLvl w:val="0"/>
        <w:rPr>
          <w:rFonts w:ascii="Arial" w:hAnsi="Arial" w:cs="Arial"/>
          <w:bCs/>
          <w:color w:val="000080"/>
          <w:sz w:val="36"/>
          <w:szCs w:val="36"/>
        </w:rPr>
      </w:pPr>
      <w:bookmarkStart w:id="0" w:name="_Toc187863726"/>
      <w:bookmarkStart w:id="1" w:name="_Toc188441210"/>
      <w:bookmarkStart w:id="2" w:name="_Hlk193982020"/>
      <w:r w:rsidRPr="000A7BB0">
        <w:rPr>
          <w:rFonts w:ascii="Arial" w:eastAsiaTheme="majorEastAsia" w:hAnsi="Arial" w:cs="Arial"/>
          <w:b/>
          <w:bCs/>
          <w:color w:val="000080"/>
          <w:sz w:val="36"/>
          <w:szCs w:val="36"/>
        </w:rPr>
        <w:t>Medical Services Advisory Committee (MSAC)</w:t>
      </w:r>
      <w:r w:rsidRPr="000A7BB0">
        <w:rPr>
          <w:rFonts w:ascii="Arial" w:eastAsiaTheme="majorEastAsia" w:hAnsi="Arial" w:cs="Arial"/>
          <w:b/>
          <w:bCs/>
          <w:color w:val="000080"/>
          <w:sz w:val="36"/>
          <w:szCs w:val="36"/>
        </w:rPr>
        <w:br/>
      </w:r>
      <w:r w:rsidR="00BC7B40" w:rsidRPr="00F76D74">
        <w:rPr>
          <w:rFonts w:ascii="Arial" w:hAnsi="Arial" w:cs="Arial"/>
          <w:b/>
          <w:bCs/>
          <w:color w:val="000080"/>
          <w:sz w:val="36"/>
          <w:szCs w:val="36"/>
        </w:rPr>
        <w:t>Public Summary Document</w:t>
      </w:r>
    </w:p>
    <w:bookmarkEnd w:id="2"/>
    <w:p w14:paraId="28C4CDAF" w14:textId="5AD465CC" w:rsidR="00970D2E" w:rsidRPr="00BC7B40" w:rsidRDefault="00544DE1" w:rsidP="00BC7B40">
      <w:pPr>
        <w:pStyle w:val="Subtitle"/>
      </w:pPr>
      <w:r w:rsidRPr="00BC7B40">
        <w:t xml:space="preserve">Application No. </w:t>
      </w:r>
      <w:r w:rsidR="0030364E" w:rsidRPr="00BC7B40">
        <w:t>1767</w:t>
      </w:r>
      <w:r w:rsidRPr="00BC7B40">
        <w:t xml:space="preserve"> </w:t>
      </w:r>
      <w:r w:rsidR="00B51226" w:rsidRPr="00BC7B40">
        <w:t xml:space="preserve">- </w:t>
      </w:r>
      <w:bookmarkEnd w:id="0"/>
      <w:bookmarkEnd w:id="1"/>
      <w:r w:rsidR="00BC7B40" w:rsidRPr="00BC7B40">
        <w:t xml:space="preserve">Immunohistochemistry testing for Claudin 18 expression in patients with gastric or gastro-oesophageal junction cancers, to determine eligibility for PBS subsidised </w:t>
      </w:r>
      <w:r w:rsidR="00BC7B40">
        <w:br/>
      </w:r>
      <w:r w:rsidR="00BC7B40" w:rsidRPr="00BC7B40">
        <w:t>zolbetuximab treatment</w:t>
      </w:r>
    </w:p>
    <w:p w14:paraId="2513809A" w14:textId="09AEBE11" w:rsidR="0DBF9A4F" w:rsidRPr="00333EDF" w:rsidRDefault="21D4AA12" w:rsidP="009C0BAC">
      <w:pPr>
        <w:tabs>
          <w:tab w:val="left" w:pos="3544"/>
        </w:tabs>
        <w:rPr>
          <w:rFonts w:ascii="Arial" w:eastAsia="Arial" w:hAnsi="Arial" w:cs="Arial"/>
          <w:color w:val="000000" w:themeColor="text1"/>
          <w:sz w:val="22"/>
        </w:rPr>
      </w:pPr>
      <w:r w:rsidRPr="00333EDF">
        <w:rPr>
          <w:rFonts w:ascii="Arial" w:eastAsia="Arial" w:hAnsi="Arial" w:cs="Arial"/>
          <w:b/>
          <w:bCs/>
          <w:color w:val="000000" w:themeColor="text1"/>
          <w:sz w:val="22"/>
        </w:rPr>
        <w:t>Applicant:</w:t>
      </w:r>
      <w:r w:rsidR="0DBF9A4F" w:rsidRPr="00333EDF">
        <w:rPr>
          <w:sz w:val="22"/>
        </w:rPr>
        <w:tab/>
      </w:r>
      <w:r w:rsidR="00BC7B40" w:rsidRPr="00333EDF">
        <w:rPr>
          <w:rFonts w:ascii="Arial" w:eastAsia="Arial" w:hAnsi="Arial" w:cs="Arial"/>
          <w:b/>
          <w:bCs/>
          <w:color w:val="000000" w:themeColor="text1"/>
          <w:sz w:val="22"/>
        </w:rPr>
        <w:t>Astellas Pharma Australia Pty Ltd</w:t>
      </w:r>
      <w:r w:rsidRPr="00333EDF">
        <w:rPr>
          <w:rFonts w:ascii="Arial" w:eastAsia="Arial" w:hAnsi="Arial" w:cs="Arial"/>
          <w:b/>
          <w:bCs/>
          <w:color w:val="000000" w:themeColor="text1"/>
          <w:sz w:val="22"/>
        </w:rPr>
        <w:t>.</w:t>
      </w:r>
    </w:p>
    <w:p w14:paraId="5E04E3B8" w14:textId="2AD21562" w:rsidR="0DBF9A4F" w:rsidRPr="00333EDF" w:rsidRDefault="21D4AA12" w:rsidP="009C0BAC">
      <w:pPr>
        <w:tabs>
          <w:tab w:val="left" w:pos="3544"/>
        </w:tabs>
        <w:spacing w:after="240"/>
        <w:rPr>
          <w:rFonts w:ascii="Arial" w:eastAsia="Arial" w:hAnsi="Arial" w:cs="Arial"/>
          <w:b/>
          <w:bCs/>
          <w:color w:val="000000" w:themeColor="text1"/>
          <w:sz w:val="22"/>
        </w:rPr>
      </w:pPr>
      <w:r w:rsidRPr="00333EDF">
        <w:rPr>
          <w:rFonts w:ascii="Arial" w:eastAsia="Arial" w:hAnsi="Arial" w:cs="Arial"/>
          <w:b/>
          <w:bCs/>
          <w:color w:val="000000" w:themeColor="text1"/>
          <w:sz w:val="22"/>
        </w:rPr>
        <w:t xml:space="preserve">Date of </w:t>
      </w:r>
      <w:r w:rsidR="00BC7B40" w:rsidRPr="00333EDF">
        <w:rPr>
          <w:rFonts w:ascii="Arial" w:eastAsia="Arial" w:hAnsi="Arial" w:cs="Arial"/>
          <w:b/>
          <w:bCs/>
          <w:color w:val="000000" w:themeColor="text1"/>
          <w:sz w:val="22"/>
        </w:rPr>
        <w:t>MSAC</w:t>
      </w:r>
      <w:r w:rsidRPr="00333EDF">
        <w:rPr>
          <w:rFonts w:ascii="Arial" w:eastAsia="Arial" w:hAnsi="Arial" w:cs="Arial"/>
          <w:b/>
          <w:bCs/>
          <w:color w:val="000000" w:themeColor="text1"/>
          <w:sz w:val="22"/>
        </w:rPr>
        <w:t xml:space="preserve"> consideration:</w:t>
      </w:r>
      <w:r w:rsidR="0DBF9A4F" w:rsidRPr="00333EDF">
        <w:rPr>
          <w:sz w:val="22"/>
        </w:rPr>
        <w:tab/>
      </w:r>
      <w:r w:rsidR="00B1082A">
        <w:rPr>
          <w:rFonts w:ascii="Arial" w:eastAsia="Arial" w:hAnsi="Arial" w:cs="Arial"/>
          <w:b/>
          <w:bCs/>
          <w:color w:val="000000" w:themeColor="text1"/>
          <w:sz w:val="22"/>
        </w:rPr>
        <w:t>3-4 April</w:t>
      </w:r>
      <w:r w:rsidR="165D5162" w:rsidRPr="00333EDF">
        <w:rPr>
          <w:rFonts w:ascii="Arial" w:eastAsia="Arial" w:hAnsi="Arial" w:cs="Arial"/>
          <w:b/>
          <w:bCs/>
          <w:color w:val="000000" w:themeColor="text1"/>
          <w:sz w:val="22"/>
        </w:rPr>
        <w:t xml:space="preserve"> 2025</w:t>
      </w:r>
    </w:p>
    <w:p w14:paraId="191A6FB2" w14:textId="77AC095C" w:rsidR="00083A2F" w:rsidRPr="00333EDF" w:rsidRDefault="00333EDF" w:rsidP="00B95AC2">
      <w:pPr>
        <w:spacing w:after="240"/>
        <w:rPr>
          <w:rFonts w:ascii="Franklin Gothic Book" w:hAnsi="Franklin Gothic Book"/>
          <w:color w:val="0000FF"/>
          <w:sz w:val="22"/>
          <w:u w:val="single"/>
        </w:rPr>
      </w:pPr>
      <w:r w:rsidRPr="00333EDF">
        <w:rPr>
          <w:rFonts w:ascii="Franklin Gothic Book" w:hAnsi="Franklin Gothic Book"/>
          <w:sz w:val="22"/>
        </w:rPr>
        <w:t xml:space="preserve">Context for decision: MSAC makes its advice in accordance with its Terms of Reference, </w:t>
      </w:r>
      <w:hyperlink r:id="rId11" w:tooltip="Link to Medical Services Advisory Committee website" w:history="1">
        <w:r w:rsidRPr="000D2098">
          <w:rPr>
            <w:rStyle w:val="Hyperlink"/>
            <w:rFonts w:ascii="Franklin Gothic Book" w:hAnsi="Franklin Gothic Book"/>
            <w:color w:val="007BB8"/>
            <w:sz w:val="22"/>
          </w:rPr>
          <w:t>visit the MSAC website</w:t>
        </w:r>
      </w:hyperlink>
    </w:p>
    <w:p w14:paraId="21138958" w14:textId="7815813C" w:rsidR="00870112" w:rsidRPr="00333EDF" w:rsidRDefault="00870112"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3" w:name="_Toc187863727"/>
      <w:bookmarkStart w:id="4" w:name="_Toc188441211"/>
      <w:bookmarkStart w:id="5" w:name="_Ref189082999"/>
      <w:r w:rsidRPr="00333EDF">
        <w:rPr>
          <w:rFonts w:ascii="Franklin Gothic Medium" w:hAnsi="Franklin Gothic Medium"/>
          <w:b w:val="0"/>
          <w:i w:val="0"/>
          <w:snapToGrid/>
          <w:color w:val="000000" w:themeColor="text1"/>
          <w:sz w:val="32"/>
          <w:szCs w:val="26"/>
        </w:rPr>
        <w:t xml:space="preserve">Purpose of the </w:t>
      </w:r>
      <w:r w:rsidR="000A027E" w:rsidRPr="00333EDF">
        <w:rPr>
          <w:rFonts w:ascii="Franklin Gothic Medium" w:hAnsi="Franklin Gothic Medium"/>
          <w:b w:val="0"/>
          <w:i w:val="0"/>
          <w:snapToGrid/>
          <w:color w:val="000000" w:themeColor="text1"/>
          <w:sz w:val="32"/>
          <w:szCs w:val="26"/>
        </w:rPr>
        <w:t>application</w:t>
      </w:r>
      <w:bookmarkEnd w:id="3"/>
      <w:bookmarkEnd w:id="4"/>
      <w:bookmarkEnd w:id="5"/>
      <w:r w:rsidR="00DF0689" w:rsidRPr="00333EDF">
        <w:rPr>
          <w:rFonts w:ascii="Franklin Gothic Medium" w:hAnsi="Franklin Gothic Medium"/>
          <w:b w:val="0"/>
          <w:i w:val="0"/>
          <w:snapToGrid/>
          <w:color w:val="000000" w:themeColor="text1"/>
          <w:sz w:val="32"/>
          <w:szCs w:val="26"/>
        </w:rPr>
        <w:t xml:space="preserve"> </w:t>
      </w:r>
    </w:p>
    <w:p w14:paraId="0588B57C" w14:textId="471704AF" w:rsidR="000A027E" w:rsidRPr="00333EDF" w:rsidRDefault="40B29B46" w:rsidP="00F91D6E">
      <w:pPr>
        <w:pStyle w:val="MSACESParagraph"/>
        <w:rPr>
          <w:rFonts w:ascii="Franklin Gothic Book" w:hAnsi="Franklin Gothic Book"/>
          <w:sz w:val="22"/>
        </w:rPr>
      </w:pPr>
      <w:r w:rsidRPr="00333EDF">
        <w:rPr>
          <w:rFonts w:ascii="Franklin Gothic Book" w:hAnsi="Franklin Gothic Book"/>
          <w:sz w:val="22"/>
        </w:rPr>
        <w:t xml:space="preserve">The integrated codependent </w:t>
      </w:r>
      <w:r w:rsidR="6DA72DDD" w:rsidRPr="00333EDF">
        <w:rPr>
          <w:rFonts w:ascii="Franklin Gothic Book" w:hAnsi="Franklin Gothic Book"/>
          <w:sz w:val="22"/>
        </w:rPr>
        <w:t xml:space="preserve">application requested: </w:t>
      </w:r>
    </w:p>
    <w:p w14:paraId="68A71895" w14:textId="096453B0" w:rsidR="000359BA" w:rsidRPr="00333EDF" w:rsidRDefault="000359BA" w:rsidP="00B50C3D">
      <w:pPr>
        <w:pStyle w:val="MSACESParagraph"/>
        <w:numPr>
          <w:ilvl w:val="0"/>
          <w:numId w:val="17"/>
        </w:numPr>
        <w:rPr>
          <w:rFonts w:ascii="Franklin Gothic Book" w:hAnsi="Franklin Gothic Book"/>
          <w:sz w:val="22"/>
        </w:rPr>
      </w:pPr>
      <w:r w:rsidRPr="00333EDF">
        <w:rPr>
          <w:rFonts w:ascii="Franklin Gothic Book" w:hAnsi="Franklin Gothic Book"/>
          <w:sz w:val="22"/>
        </w:rPr>
        <w:t>Medicare Benefits Schedule (MBS) listing of</w:t>
      </w:r>
      <w:r w:rsidR="0030364E" w:rsidRPr="00333EDF">
        <w:rPr>
          <w:rFonts w:ascii="Franklin Gothic Book" w:hAnsi="Franklin Gothic Book"/>
          <w:sz w:val="22"/>
        </w:rPr>
        <w:t xml:space="preserve"> immunohistochemistry (IHC) testing</w:t>
      </w:r>
      <w:r w:rsidRPr="00333EDF">
        <w:rPr>
          <w:rFonts w:ascii="Franklin Gothic Book" w:hAnsi="Franklin Gothic Book"/>
          <w:sz w:val="22"/>
        </w:rPr>
        <w:t xml:space="preserve"> for the evaluation of</w:t>
      </w:r>
      <w:r w:rsidR="0030364E" w:rsidRPr="00333EDF">
        <w:rPr>
          <w:rFonts w:ascii="Franklin Gothic Book" w:hAnsi="Franklin Gothic Book"/>
          <w:sz w:val="22"/>
        </w:rPr>
        <w:t xml:space="preserve"> Claudin 18</w:t>
      </w:r>
      <w:r w:rsidR="003A57A6" w:rsidRPr="00333EDF">
        <w:rPr>
          <w:rFonts w:ascii="Franklin Gothic Book" w:hAnsi="Franklin Gothic Book"/>
          <w:sz w:val="22"/>
        </w:rPr>
        <w:t>.2</w:t>
      </w:r>
      <w:r w:rsidR="0030364E" w:rsidRPr="00333EDF">
        <w:rPr>
          <w:rFonts w:ascii="Franklin Gothic Book" w:hAnsi="Franklin Gothic Book"/>
          <w:sz w:val="22"/>
        </w:rPr>
        <w:t xml:space="preserve"> (CLDN18</w:t>
      </w:r>
      <w:r w:rsidR="003A57A6" w:rsidRPr="00333EDF">
        <w:rPr>
          <w:rFonts w:ascii="Franklin Gothic Book" w:hAnsi="Franklin Gothic Book"/>
          <w:sz w:val="22"/>
        </w:rPr>
        <w:t>.2</w:t>
      </w:r>
      <w:r w:rsidR="0030364E" w:rsidRPr="00333EDF">
        <w:rPr>
          <w:rFonts w:ascii="Franklin Gothic Book" w:hAnsi="Franklin Gothic Book"/>
          <w:sz w:val="22"/>
        </w:rPr>
        <w:t>) expression</w:t>
      </w:r>
      <w:r w:rsidRPr="00333EDF">
        <w:rPr>
          <w:rFonts w:ascii="Franklin Gothic Book" w:hAnsi="Franklin Gothic Book"/>
          <w:sz w:val="22"/>
        </w:rPr>
        <w:t xml:space="preserve"> </w:t>
      </w:r>
      <w:r w:rsidR="000A027E" w:rsidRPr="00333EDF">
        <w:rPr>
          <w:rFonts w:ascii="Franklin Gothic Book" w:hAnsi="Franklin Gothic Book"/>
          <w:sz w:val="22"/>
        </w:rPr>
        <w:t>for the determination of patient</w:t>
      </w:r>
      <w:r w:rsidRPr="00333EDF">
        <w:rPr>
          <w:rFonts w:ascii="Franklin Gothic Book" w:hAnsi="Franklin Gothic Book"/>
          <w:sz w:val="22"/>
        </w:rPr>
        <w:t xml:space="preserve"> eligibility for treatment with </w:t>
      </w:r>
      <w:r w:rsidR="0030364E" w:rsidRPr="00333EDF">
        <w:rPr>
          <w:rFonts w:ascii="Franklin Gothic Book" w:hAnsi="Franklin Gothic Book"/>
          <w:sz w:val="22"/>
        </w:rPr>
        <w:t>zolbetuximab</w:t>
      </w:r>
      <w:r w:rsidRPr="00333EDF">
        <w:rPr>
          <w:rFonts w:ascii="Franklin Gothic Book" w:hAnsi="Franklin Gothic Book"/>
          <w:sz w:val="22"/>
        </w:rPr>
        <w:t xml:space="preserve"> in patients with </w:t>
      </w:r>
      <w:r w:rsidR="0030364E" w:rsidRPr="00333EDF">
        <w:rPr>
          <w:rFonts w:ascii="Franklin Gothic Book" w:hAnsi="Franklin Gothic Book"/>
          <w:sz w:val="22"/>
        </w:rPr>
        <w:t>locally advanced unresectable or metastatic gastric or gastro-oesophageal junction (G/GOJ) adenocarcinoma</w:t>
      </w:r>
      <w:r w:rsidRPr="00333EDF">
        <w:rPr>
          <w:rFonts w:ascii="Franklin Gothic Book" w:hAnsi="Franklin Gothic Book"/>
          <w:sz w:val="22"/>
        </w:rPr>
        <w:t>; and</w:t>
      </w:r>
    </w:p>
    <w:p w14:paraId="770B7F0A" w14:textId="42910D61" w:rsidR="00B1082A" w:rsidRPr="00FC478C" w:rsidRDefault="000359BA" w:rsidP="00FC478C">
      <w:pPr>
        <w:pStyle w:val="MSACESBulletPoint"/>
        <w:rPr>
          <w:rFonts w:ascii="Franklin Gothic Book" w:hAnsi="Franklin Gothic Book"/>
          <w:sz w:val="22"/>
        </w:rPr>
      </w:pPr>
      <w:r w:rsidRPr="00333EDF">
        <w:rPr>
          <w:rFonts w:ascii="Franklin Gothic Book" w:hAnsi="Franklin Gothic Book"/>
          <w:sz w:val="22"/>
        </w:rPr>
        <w:t>Pharmaceutical Benefits Scheme (PBS) Authority Required</w:t>
      </w:r>
      <w:r w:rsidR="00FF6B58" w:rsidRPr="00333EDF">
        <w:rPr>
          <w:rFonts w:ascii="Franklin Gothic Book" w:hAnsi="Franklin Gothic Book"/>
          <w:sz w:val="22"/>
        </w:rPr>
        <w:t xml:space="preserve"> (STREAMLINED)</w:t>
      </w:r>
      <w:r w:rsidRPr="00333EDF">
        <w:rPr>
          <w:rFonts w:ascii="Franklin Gothic Book" w:hAnsi="Franklin Gothic Book"/>
          <w:sz w:val="22"/>
        </w:rPr>
        <w:t xml:space="preserve"> listing </w:t>
      </w:r>
      <w:r w:rsidR="000A027E" w:rsidRPr="00333EDF">
        <w:rPr>
          <w:rFonts w:ascii="Franklin Gothic Book" w:hAnsi="Franklin Gothic Book"/>
          <w:sz w:val="22"/>
        </w:rPr>
        <w:t xml:space="preserve">of </w:t>
      </w:r>
      <w:r w:rsidR="00FF6B58" w:rsidRPr="00333EDF">
        <w:rPr>
          <w:rFonts w:ascii="Franklin Gothic Book" w:hAnsi="Franklin Gothic Book"/>
          <w:sz w:val="22"/>
        </w:rPr>
        <w:t>zolbetuximab in combination with fluoropyrimidine- and platinum-containing chemotherapy for</w:t>
      </w:r>
      <w:r w:rsidRPr="00333EDF">
        <w:rPr>
          <w:rFonts w:ascii="Franklin Gothic Book" w:hAnsi="Franklin Gothic Book"/>
          <w:sz w:val="22"/>
        </w:rPr>
        <w:t xml:space="preserve"> the </w:t>
      </w:r>
      <w:r w:rsidR="00BA3A80" w:rsidRPr="00333EDF">
        <w:rPr>
          <w:rFonts w:ascii="Franklin Gothic Book" w:hAnsi="Franklin Gothic Book"/>
          <w:sz w:val="22"/>
        </w:rPr>
        <w:t xml:space="preserve">first-line </w:t>
      </w:r>
      <w:r w:rsidRPr="00333EDF">
        <w:rPr>
          <w:rFonts w:ascii="Franklin Gothic Book" w:hAnsi="Franklin Gothic Book"/>
          <w:sz w:val="22"/>
        </w:rPr>
        <w:t>treatment of</w:t>
      </w:r>
      <w:r w:rsidR="00FF6B58" w:rsidRPr="00333EDF">
        <w:rPr>
          <w:rFonts w:ascii="Franklin Gothic Book" w:hAnsi="Franklin Gothic Book"/>
          <w:sz w:val="22"/>
        </w:rPr>
        <w:t xml:space="preserve"> locally advanced unresectable or metastatic human epidermal growth factor receptor 2 (HER2)</w:t>
      </w:r>
      <w:r w:rsidR="004C23C0" w:rsidRPr="00333EDF">
        <w:rPr>
          <w:rFonts w:ascii="Franklin Gothic Book" w:hAnsi="Franklin Gothic Book"/>
          <w:sz w:val="22"/>
        </w:rPr>
        <w:t>-</w:t>
      </w:r>
      <w:r w:rsidR="00FF6B58" w:rsidRPr="00333EDF">
        <w:rPr>
          <w:rFonts w:ascii="Franklin Gothic Book" w:hAnsi="Franklin Gothic Book"/>
          <w:sz w:val="22"/>
        </w:rPr>
        <w:t xml:space="preserve">negative G/GOJ adenocarcinoma </w:t>
      </w:r>
      <w:r w:rsidRPr="00333EDF">
        <w:rPr>
          <w:rFonts w:ascii="Franklin Gothic Book" w:hAnsi="Franklin Gothic Book"/>
          <w:sz w:val="22"/>
        </w:rPr>
        <w:t xml:space="preserve">in patients who have evidence of </w:t>
      </w:r>
      <w:r w:rsidR="00FF6B58" w:rsidRPr="00333EDF">
        <w:rPr>
          <w:rFonts w:ascii="Franklin Gothic Book" w:hAnsi="Franklin Gothic Book"/>
          <w:sz w:val="22"/>
        </w:rPr>
        <w:t>CLDN18.2 expression.</w:t>
      </w:r>
    </w:p>
    <w:p w14:paraId="0F7E70A7" w14:textId="33221AD0" w:rsidR="00333EDF" w:rsidRPr="003A793E" w:rsidRDefault="00333EDF"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6" w:name="_Hlk193982496"/>
      <w:r w:rsidRPr="003A793E">
        <w:rPr>
          <w:rFonts w:ascii="Franklin Gothic Medium" w:hAnsi="Franklin Gothic Medium"/>
          <w:b w:val="0"/>
          <w:i w:val="0"/>
          <w:snapToGrid/>
          <w:color w:val="000000" w:themeColor="text1"/>
          <w:sz w:val="32"/>
          <w:szCs w:val="26"/>
        </w:rPr>
        <w:lastRenderedPageBreak/>
        <w:t>MSAC’s advice to the Minister</w:t>
      </w:r>
    </w:p>
    <w:p w14:paraId="0D207A10" w14:textId="17BA67C0" w:rsidR="002A7897" w:rsidRPr="00167D1D" w:rsidRDefault="00333EDF" w:rsidP="00132950">
      <w:pPr>
        <w:pStyle w:val="TableFooter"/>
        <w:keepNext/>
        <w:keepLines/>
        <w:jc w:val="left"/>
        <w:rPr>
          <w:rFonts w:ascii="Franklin Gothic Book" w:eastAsia="Franklin Gothic Book" w:hAnsi="Franklin Gothic Book"/>
          <w:b/>
          <w:bCs/>
          <w:color w:val="FF0000"/>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szCs w:val="22"/>
        </w:rPr>
        <w:t>MSAC</w:t>
      </w:r>
      <w:r w:rsidR="008D1201">
        <w:rPr>
          <w:rFonts w:ascii="Franklin Gothic Book" w:eastAsia="Franklin Gothic Book" w:hAnsi="Franklin Gothic Book"/>
          <w:sz w:val="22"/>
          <w:szCs w:val="22"/>
        </w:rPr>
        <w:t xml:space="preserve"> </w:t>
      </w:r>
      <w:r w:rsidR="006B5A1E" w:rsidRPr="2883B670">
        <w:rPr>
          <w:rFonts w:ascii="Franklin Gothic Book" w:eastAsia="Arial" w:hAnsi="Franklin Gothic Book"/>
          <w:sz w:val="22"/>
          <w:szCs w:val="22"/>
        </w:rPr>
        <w:t xml:space="preserve">supported the creation of </w:t>
      </w:r>
      <w:r w:rsidR="006B5A1E" w:rsidRPr="2883B670">
        <w:rPr>
          <w:rFonts w:ascii="Franklin Gothic Book" w:hAnsi="Franklin Gothic Book"/>
          <w:sz w:val="22"/>
          <w:szCs w:val="22"/>
        </w:rPr>
        <w:t>a new Medicare Benefits Schedule (MBS) item</w:t>
      </w:r>
      <w:r w:rsidR="006B5A1E" w:rsidRPr="2883B670">
        <w:rPr>
          <w:rFonts w:ascii="Franklin Gothic Book" w:eastAsia="Arial" w:hAnsi="Franklin Gothic Book"/>
          <w:sz w:val="22"/>
          <w:szCs w:val="22"/>
        </w:rPr>
        <w:t xml:space="preserve"> for </w:t>
      </w:r>
      <w:r w:rsidR="006B5A1E" w:rsidRPr="2883B670">
        <w:rPr>
          <w:rFonts w:ascii="Franklin Gothic Book" w:eastAsia="Arial" w:hAnsi="Franklin Gothic Book" w:cs="Calibri"/>
          <w:sz w:val="22"/>
          <w:szCs w:val="22"/>
        </w:rPr>
        <w:t>immunohistochemistry (IHC) testing for Claudin (CLDN18.2) expression to determine eligibility for zolbetuximab under the Pharmaceutical Benefits Scheme (PBS) in patients with locally advanced unresectable or metastatic gastric or gastro-oesophageal junction (G/GOJ) adenocarcinoma. MSAC noted that the Pharmaceutical Benefits Advisory Committee (PBAC) at its March 2025 meeting was of a mind to recommend zolbetuximab pending a price reduction</w:t>
      </w:r>
      <w:r w:rsidR="00C378E4">
        <w:rPr>
          <w:rFonts w:ascii="Franklin Gothic Book" w:eastAsia="Arial" w:hAnsi="Franklin Gothic Book" w:cs="Calibri"/>
          <w:sz w:val="22"/>
          <w:szCs w:val="22"/>
        </w:rPr>
        <w:t xml:space="preserve"> and other </w:t>
      </w:r>
      <w:r w:rsidR="004F13FF">
        <w:rPr>
          <w:rFonts w:ascii="Franklin Gothic Book" w:eastAsia="Arial" w:hAnsi="Franklin Gothic Book" w:cs="Calibri"/>
          <w:sz w:val="22"/>
          <w:szCs w:val="22"/>
        </w:rPr>
        <w:t>updates</w:t>
      </w:r>
      <w:r w:rsidR="006B5A1E" w:rsidRPr="2883B670">
        <w:rPr>
          <w:rFonts w:ascii="Franklin Gothic Book" w:eastAsia="Arial" w:hAnsi="Franklin Gothic Book" w:cs="Calibri"/>
          <w:sz w:val="22"/>
          <w:szCs w:val="22"/>
        </w:rPr>
        <w:t xml:space="preserve">. MSAC considered testing would identify patients expected to benefit from zolbetuximab and testing would have no additional safety concerns. MSAC considered the financial impact of testing to the MBS would be relatively low. MSAC considered the proposed fee of </w:t>
      </w:r>
      <w:r w:rsidR="006B5A1E" w:rsidRPr="00D22C85">
        <w:rPr>
          <w:rFonts w:ascii="Franklin Gothic Book" w:eastAsia="Arial" w:hAnsi="Franklin Gothic Book" w:cs="Calibri"/>
          <w:sz w:val="22"/>
          <w:szCs w:val="22"/>
        </w:rPr>
        <w:t xml:space="preserve">$112 </w:t>
      </w:r>
      <w:r w:rsidR="00F00628" w:rsidRPr="00D22C85">
        <w:rPr>
          <w:rFonts w:ascii="Franklin Gothic Book" w:eastAsia="Arial" w:hAnsi="Franklin Gothic Book" w:cs="Calibri"/>
          <w:sz w:val="22"/>
          <w:szCs w:val="22"/>
        </w:rPr>
        <w:t>may be</w:t>
      </w:r>
      <w:r w:rsidR="006B5A1E" w:rsidRPr="00D22C85">
        <w:rPr>
          <w:rFonts w:ascii="Franklin Gothic Book" w:eastAsia="Arial" w:hAnsi="Franklin Gothic Book" w:cs="Calibri"/>
          <w:sz w:val="22"/>
          <w:szCs w:val="22"/>
        </w:rPr>
        <w:t xml:space="preserve"> high and advised that a fee between $74.50 to $112</w:t>
      </w:r>
      <w:r w:rsidR="006B5A1E" w:rsidRPr="2883B670">
        <w:rPr>
          <w:rFonts w:ascii="Franklin Gothic Book" w:eastAsia="Arial" w:hAnsi="Franklin Gothic Book" w:cs="Calibri"/>
          <w:sz w:val="22"/>
          <w:szCs w:val="22"/>
        </w:rPr>
        <w:t xml:space="preserve"> would be appropriate.</w:t>
      </w:r>
      <w:r w:rsidR="52DFA197" w:rsidRPr="0B871A28">
        <w:rPr>
          <w:rFonts w:ascii="Franklin Gothic Book" w:eastAsia="Arial" w:hAnsi="Franklin Gothic Book" w:cs="Calibri"/>
          <w:sz w:val="22"/>
          <w:szCs w:val="22"/>
        </w:rPr>
        <w:t xml:space="preserve"> </w:t>
      </w:r>
    </w:p>
    <w:p w14:paraId="46222202" w14:textId="3D3A00F0" w:rsidR="00456288" w:rsidRPr="002E5507" w:rsidRDefault="00456288" w:rsidP="0097566D">
      <w:pPr>
        <w:pStyle w:val="Caption"/>
        <w:rPr>
          <w:rFonts w:ascii="Franklin Gothic Book" w:hAnsi="Franklin Gothic Book"/>
          <w:sz w:val="22"/>
        </w:rPr>
      </w:pPr>
      <w:r>
        <w:t xml:space="preserve">Table </w:t>
      </w:r>
      <w:r w:rsidR="004A65F6">
        <w:fldChar w:fldCharType="begin"/>
      </w:r>
      <w:r w:rsidR="004A65F6">
        <w:instrText xml:space="preserve"> SEQ Table \* ARABIC </w:instrText>
      </w:r>
      <w:r w:rsidR="004A65F6">
        <w:fldChar w:fldCharType="separate"/>
      </w:r>
      <w:r w:rsidR="00132950">
        <w:rPr>
          <w:noProof/>
        </w:rPr>
        <w:t>1</w:t>
      </w:r>
      <w:r w:rsidR="004A65F6">
        <w:rPr>
          <w:noProof/>
        </w:rPr>
        <w:fldChar w:fldCharType="end"/>
      </w:r>
      <w:r w:rsidRPr="00456288">
        <w:rPr>
          <w:rFonts w:asciiTheme="minorHAnsi" w:hAnsiTheme="minorHAnsi"/>
          <w:b w:val="0"/>
          <w:iCs w:val="0"/>
          <w:sz w:val="24"/>
          <w:szCs w:val="22"/>
        </w:rPr>
        <w:t xml:space="preserve"> </w:t>
      </w:r>
      <w:r w:rsidRPr="00456288">
        <w:t>MSAC’s supported MBS item descriptor</w:t>
      </w:r>
    </w:p>
    <w:tbl>
      <w:tblPr>
        <w:tblW w:w="5000" w:type="pct"/>
        <w:tblCellMar>
          <w:left w:w="0" w:type="dxa"/>
          <w:right w:w="0" w:type="dxa"/>
        </w:tblCellMar>
        <w:tblLook w:val="04A0" w:firstRow="1" w:lastRow="0" w:firstColumn="1" w:lastColumn="0" w:noHBand="0" w:noVBand="1"/>
      </w:tblPr>
      <w:tblGrid>
        <w:gridCol w:w="9006"/>
      </w:tblGrid>
      <w:tr w:rsidR="002E5507" w:rsidRPr="002E5507" w14:paraId="711B8AA4" w14:textId="77777777" w:rsidTr="00C10B07">
        <w:trPr>
          <w:trHeight w:val="381"/>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hideMark/>
          </w:tcPr>
          <w:p w14:paraId="7905DDD1" w14:textId="06C2368B" w:rsidR="002E5507" w:rsidRPr="002E5507" w:rsidRDefault="002E5507" w:rsidP="002A2BCD">
            <w:pPr>
              <w:keepNext/>
              <w:tabs>
                <w:tab w:val="left" w:pos="6543"/>
              </w:tabs>
              <w:rPr>
                <w:rFonts w:ascii="Arial Narrow" w:hAnsi="Arial Narrow"/>
                <w:sz w:val="20"/>
                <w:szCs w:val="20"/>
              </w:rPr>
            </w:pPr>
            <w:r w:rsidRPr="002E5507">
              <w:rPr>
                <w:rFonts w:ascii="Arial Narrow" w:hAnsi="Arial Narrow"/>
                <w:sz w:val="20"/>
                <w:szCs w:val="20"/>
              </w:rPr>
              <w:t>Category 6 – PATHOLOGY SERVICES</w:t>
            </w:r>
            <w:r w:rsidR="53FC4E39" w:rsidRPr="0B871A28">
              <w:rPr>
                <w:rFonts w:ascii="Arial Narrow" w:hAnsi="Arial Narrow"/>
                <w:sz w:val="20"/>
                <w:szCs w:val="20"/>
              </w:rPr>
              <w:t xml:space="preserve"> </w:t>
            </w:r>
            <w:r w:rsidR="002A2BCD">
              <w:rPr>
                <w:rFonts w:ascii="Arial Narrow" w:hAnsi="Arial Narrow"/>
                <w:sz w:val="20"/>
                <w:szCs w:val="20"/>
              </w:rPr>
              <w:tab/>
            </w:r>
            <w:r w:rsidR="53FC4E39" w:rsidRPr="0B871A28">
              <w:rPr>
                <w:rFonts w:ascii="Arial Narrow" w:eastAsia="Arial Narrow" w:hAnsi="Arial Narrow" w:cs="Arial Narrow"/>
                <w:sz w:val="20"/>
                <w:szCs w:val="20"/>
              </w:rPr>
              <w:t>Group P5 - Tissue Pathology</w:t>
            </w:r>
          </w:p>
        </w:tc>
      </w:tr>
      <w:tr w:rsidR="002E5507" w:rsidRPr="002E5507" w14:paraId="5F41E08D" w14:textId="77777777" w:rsidTr="00C10B07">
        <w:trPr>
          <w:trHeight w:val="2034"/>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hideMark/>
          </w:tcPr>
          <w:p w14:paraId="48A2AF30" w14:textId="77777777" w:rsidR="002E5507" w:rsidRPr="002E5507" w:rsidRDefault="002E5507" w:rsidP="003E39AC">
            <w:pPr>
              <w:keepNext/>
              <w:rPr>
                <w:rFonts w:ascii="Arial Narrow" w:hAnsi="Arial Narrow"/>
                <w:sz w:val="20"/>
                <w:szCs w:val="20"/>
              </w:rPr>
            </w:pPr>
            <w:r w:rsidRPr="002E5507">
              <w:rPr>
                <w:rFonts w:ascii="Arial Narrow" w:hAnsi="Arial Narrow"/>
                <w:sz w:val="20"/>
                <w:szCs w:val="20"/>
                <w:lang w:val="en-US"/>
              </w:rPr>
              <w:t>MBS item *XXXX</w:t>
            </w:r>
          </w:p>
          <w:p w14:paraId="242796C9" w14:textId="692204C6" w:rsidR="002E5507" w:rsidRPr="002E5507" w:rsidRDefault="002E5507" w:rsidP="003E39AC">
            <w:pPr>
              <w:keepNext/>
              <w:rPr>
                <w:rFonts w:ascii="Arial Narrow" w:hAnsi="Arial Narrow"/>
                <w:sz w:val="20"/>
                <w:szCs w:val="20"/>
              </w:rPr>
            </w:pPr>
            <w:r w:rsidRPr="002E5507">
              <w:rPr>
                <w:rFonts w:ascii="Arial Narrow" w:hAnsi="Arial Narrow"/>
                <w:sz w:val="20"/>
                <w:szCs w:val="20"/>
                <w:lang w:val="en-US"/>
              </w:rPr>
              <w:t xml:space="preserve">Immunohistochemical examination of </w:t>
            </w:r>
            <w:proofErr w:type="spellStart"/>
            <w:r w:rsidRPr="002E5507">
              <w:rPr>
                <w:rFonts w:ascii="Arial Narrow" w:hAnsi="Arial Narrow"/>
                <w:sz w:val="20"/>
                <w:szCs w:val="20"/>
                <w:lang w:val="en-US"/>
              </w:rPr>
              <w:t>tumour</w:t>
            </w:r>
            <w:proofErr w:type="spellEnd"/>
            <w:r w:rsidRPr="002E5507">
              <w:rPr>
                <w:rFonts w:ascii="Arial Narrow" w:hAnsi="Arial Narrow"/>
                <w:sz w:val="20"/>
                <w:szCs w:val="20"/>
                <w:lang w:val="en-US"/>
              </w:rPr>
              <w:t xml:space="preserve"> tissue CLDN18 expression in a patient with locally advanced unresectable or metastatic gastric/gastro-</w:t>
            </w:r>
            <w:proofErr w:type="spellStart"/>
            <w:r w:rsidRPr="002E5507">
              <w:rPr>
                <w:rFonts w:ascii="Arial Narrow" w:hAnsi="Arial Narrow"/>
                <w:sz w:val="20"/>
                <w:szCs w:val="20"/>
                <w:lang w:val="en-US"/>
              </w:rPr>
              <w:t>oesophageal</w:t>
            </w:r>
            <w:proofErr w:type="spellEnd"/>
            <w:r w:rsidRPr="002E5507">
              <w:rPr>
                <w:rFonts w:ascii="Arial Narrow" w:hAnsi="Arial Narrow"/>
                <w:sz w:val="20"/>
                <w:szCs w:val="20"/>
                <w:lang w:val="en-US"/>
              </w:rPr>
              <w:t xml:space="preserve"> junction adenocarcinoma, requested by a specialist or consultant physician,</w:t>
            </w:r>
            <w:r w:rsidRPr="002E5507">
              <w:rPr>
                <w:rFonts w:ascii="Arial Narrow" w:hAnsi="Arial Narrow"/>
                <w:i/>
                <w:iCs/>
                <w:sz w:val="20"/>
                <w:szCs w:val="20"/>
                <w:lang w:val="en-US"/>
              </w:rPr>
              <w:t xml:space="preserve"> </w:t>
            </w:r>
            <w:r w:rsidRPr="002E5507">
              <w:rPr>
                <w:rFonts w:ascii="Arial Narrow" w:hAnsi="Arial Narrow"/>
                <w:sz w:val="20"/>
                <w:szCs w:val="20"/>
                <w:lang w:val="en-US"/>
              </w:rPr>
              <w:t>to determine eligibility for a relevant treatment listed under the Pharmaceutical Benefits Scheme (PBS).</w:t>
            </w:r>
          </w:p>
          <w:p w14:paraId="1DD06866" w14:textId="77777777" w:rsidR="002E5507" w:rsidRPr="002E5507" w:rsidRDefault="002E5507" w:rsidP="003E39AC">
            <w:pPr>
              <w:keepNext/>
              <w:rPr>
                <w:rFonts w:ascii="Arial Narrow" w:hAnsi="Arial Narrow"/>
                <w:sz w:val="20"/>
                <w:szCs w:val="20"/>
              </w:rPr>
            </w:pPr>
            <w:r w:rsidRPr="002E5507">
              <w:rPr>
                <w:rFonts w:ascii="Arial Narrow" w:hAnsi="Arial Narrow"/>
                <w:sz w:val="20"/>
                <w:szCs w:val="20"/>
                <w:lang w:val="en-US"/>
              </w:rPr>
              <w:t>(See para PN.1.2 of explanatory notes to this category)</w:t>
            </w:r>
          </w:p>
        </w:tc>
      </w:tr>
      <w:tr w:rsidR="002E5507" w:rsidRPr="002E5507" w14:paraId="12E6F6C4" w14:textId="77777777" w:rsidTr="00C10B07">
        <w:trPr>
          <w:trHeight w:val="179"/>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hideMark/>
          </w:tcPr>
          <w:p w14:paraId="7D5076B5" w14:textId="1DD62D3F" w:rsidR="002E5507" w:rsidRPr="002E5507" w:rsidRDefault="002E5507" w:rsidP="003E39AC">
            <w:pPr>
              <w:rPr>
                <w:rFonts w:ascii="Arial Narrow" w:hAnsi="Arial Narrow"/>
                <w:sz w:val="20"/>
                <w:szCs w:val="20"/>
              </w:rPr>
            </w:pPr>
            <w:r w:rsidRPr="002E5507">
              <w:rPr>
                <w:rFonts w:ascii="Arial Narrow" w:hAnsi="Arial Narrow"/>
                <w:sz w:val="20"/>
                <w:szCs w:val="20"/>
              </w:rPr>
              <w:t>Fee:</w:t>
            </w:r>
            <w:r w:rsidR="00280198">
              <w:rPr>
                <w:rFonts w:ascii="Arial Narrow" w:hAnsi="Arial Narrow"/>
                <w:sz w:val="20"/>
                <w:szCs w:val="20"/>
              </w:rPr>
              <w:t xml:space="preserve"> $</w:t>
            </w:r>
            <w:r w:rsidR="00280198" w:rsidRPr="00D22C85">
              <w:rPr>
                <w:rFonts w:ascii="Arial Narrow" w:hAnsi="Arial Narrow"/>
                <w:sz w:val="20"/>
                <w:szCs w:val="20"/>
              </w:rPr>
              <w:t>112.00</w:t>
            </w:r>
            <w:r w:rsidRPr="00D22C85">
              <w:rPr>
                <w:rFonts w:ascii="Arial Narrow" w:hAnsi="Arial Narrow"/>
                <w:sz w:val="20"/>
                <w:szCs w:val="20"/>
              </w:rPr>
              <w:t xml:space="preserve"> Benefit: 75% = </w:t>
            </w:r>
            <w:r w:rsidR="00280198" w:rsidRPr="00D22C85">
              <w:rPr>
                <w:rFonts w:ascii="Arial Narrow" w:hAnsi="Arial Narrow"/>
                <w:sz w:val="20"/>
                <w:szCs w:val="20"/>
              </w:rPr>
              <w:t>$</w:t>
            </w:r>
            <w:r w:rsidR="005D5DD6" w:rsidRPr="00D22C85">
              <w:rPr>
                <w:rFonts w:ascii="Arial Narrow" w:hAnsi="Arial Narrow"/>
                <w:sz w:val="20"/>
                <w:szCs w:val="20"/>
              </w:rPr>
              <w:t>84.00</w:t>
            </w:r>
            <w:r w:rsidR="00193F1C" w:rsidRPr="00D22C85">
              <w:rPr>
                <w:rFonts w:ascii="Arial Narrow" w:hAnsi="Arial Narrow"/>
                <w:sz w:val="20"/>
                <w:szCs w:val="20"/>
              </w:rPr>
              <w:t xml:space="preserve"> </w:t>
            </w:r>
            <w:r w:rsidRPr="00D22C85">
              <w:rPr>
                <w:rFonts w:ascii="Arial Narrow" w:hAnsi="Arial Narrow"/>
                <w:sz w:val="20"/>
                <w:szCs w:val="20"/>
              </w:rPr>
              <w:t xml:space="preserve">85% = </w:t>
            </w:r>
            <w:r w:rsidR="005D5DD6" w:rsidRPr="00D22C85">
              <w:rPr>
                <w:rFonts w:ascii="Arial Narrow" w:hAnsi="Arial Narrow"/>
                <w:sz w:val="20"/>
                <w:szCs w:val="20"/>
              </w:rPr>
              <w:t>$95.20</w:t>
            </w:r>
          </w:p>
        </w:tc>
      </w:tr>
    </w:tbl>
    <w:p w14:paraId="33D9D5C1" w14:textId="77777777" w:rsidR="002E5507" w:rsidRDefault="002E5507" w:rsidP="00F91D6E">
      <w:pPr>
        <w:pStyle w:val="TableFooter"/>
        <w:rPr>
          <w:rFonts w:ascii="Franklin Gothic Book" w:hAnsi="Franklin Gothic Book"/>
          <w:sz w:val="22"/>
          <w:szCs w:val="22"/>
        </w:rPr>
      </w:pPr>
    </w:p>
    <w:tbl>
      <w:tblPr>
        <w:tblStyle w:val="Section3-footnot1"/>
        <w:tblW w:w="0" w:type="auto"/>
        <w:tblLook w:val="04A0" w:firstRow="1" w:lastRow="0" w:firstColumn="1" w:lastColumn="0" w:noHBand="0" w:noVBand="1"/>
        <w:tblDescription w:val="Consumer summary of MSAC consideration"/>
      </w:tblPr>
      <w:tblGrid>
        <w:gridCol w:w="9016"/>
      </w:tblGrid>
      <w:tr w:rsidR="00F91D6E" w:rsidRPr="00F91D6E" w14:paraId="66F74933" w14:textId="77777777" w:rsidTr="00275B43">
        <w:trPr>
          <w:tblHeader/>
        </w:trPr>
        <w:tc>
          <w:tcPr>
            <w:tcW w:w="9016" w:type="dxa"/>
          </w:tcPr>
          <w:p w14:paraId="2D9FCFE5" w14:textId="16B48BC7" w:rsidR="00F91D6E" w:rsidRPr="00F91D6E" w:rsidRDefault="00F91D6E" w:rsidP="00F91D6E">
            <w:pPr>
              <w:keepNext/>
              <w:keepLines/>
              <w:spacing w:after="120" w:line="259" w:lineRule="auto"/>
              <w:jc w:val="left"/>
              <w:rPr>
                <w:rFonts w:ascii="Franklin Gothic Book" w:eastAsia="Calibri" w:hAnsi="Franklin Gothic Book" w:cs="Times New Roman"/>
                <w:b/>
                <w:bCs/>
                <w:sz w:val="22"/>
              </w:rPr>
            </w:pPr>
            <w:r w:rsidRPr="00F91D6E">
              <w:rPr>
                <w:rFonts w:ascii="Franklin Gothic Book" w:eastAsia="Times New Roman" w:hAnsi="Franklin Gothic Book" w:cs="Times New Roman"/>
                <w:b/>
                <w:bCs/>
                <w:szCs w:val="24"/>
              </w:rPr>
              <w:t>Consumer summary</w:t>
            </w:r>
          </w:p>
        </w:tc>
      </w:tr>
      <w:tr w:rsidR="00F91D6E" w:rsidRPr="00F91D6E" w14:paraId="615AAC48" w14:textId="77777777" w:rsidTr="00275B43">
        <w:tc>
          <w:tcPr>
            <w:tcW w:w="9016" w:type="dxa"/>
          </w:tcPr>
          <w:p w14:paraId="66248307" w14:textId="37F93360" w:rsidR="00823C4C" w:rsidRPr="00823C4C" w:rsidRDefault="00823C4C" w:rsidP="00823C4C">
            <w:pPr>
              <w:jc w:val="left"/>
              <w:rPr>
                <w:rFonts w:ascii="Franklin Gothic Book" w:hAnsi="Franklin Gothic Book"/>
                <w:sz w:val="22"/>
              </w:rPr>
            </w:pPr>
            <w:r w:rsidRPr="00823C4C">
              <w:rPr>
                <w:rFonts w:ascii="Franklin Gothic Book" w:hAnsi="Franklin Gothic Book"/>
                <w:sz w:val="22"/>
              </w:rPr>
              <w:t>This</w:t>
            </w:r>
            <w:r w:rsidRPr="00823C4C" w:rsidDel="00D36999">
              <w:rPr>
                <w:rFonts w:ascii="Franklin Gothic Book" w:hAnsi="Franklin Gothic Book"/>
                <w:sz w:val="22"/>
              </w:rPr>
              <w:t xml:space="preserve"> </w:t>
            </w:r>
            <w:r w:rsidRPr="00823C4C">
              <w:rPr>
                <w:rFonts w:ascii="Franklin Gothic Book" w:hAnsi="Franklin Gothic Book"/>
                <w:sz w:val="22"/>
              </w:rPr>
              <w:t xml:space="preserve">application from Astellas Pharma Australia Pty Ltd </w:t>
            </w:r>
            <w:r w:rsidR="00D36999" w:rsidRPr="00823C4C">
              <w:rPr>
                <w:rFonts w:ascii="Franklin Gothic Book" w:hAnsi="Franklin Gothic Book"/>
                <w:sz w:val="22"/>
              </w:rPr>
              <w:t>request</w:t>
            </w:r>
            <w:r w:rsidR="00D36999">
              <w:rPr>
                <w:rFonts w:ascii="Franklin Gothic Book" w:hAnsi="Franklin Gothic Book"/>
                <w:sz w:val="22"/>
              </w:rPr>
              <w:t>ed</w:t>
            </w:r>
            <w:r w:rsidR="00D36999" w:rsidRPr="00823C4C">
              <w:rPr>
                <w:rFonts w:ascii="Franklin Gothic Book" w:hAnsi="Franklin Gothic Book"/>
                <w:sz w:val="22"/>
              </w:rPr>
              <w:t xml:space="preserve"> </w:t>
            </w:r>
            <w:r w:rsidRPr="00823C4C">
              <w:rPr>
                <w:rFonts w:ascii="Franklin Gothic Book" w:hAnsi="Franklin Gothic Book"/>
                <w:sz w:val="22"/>
              </w:rPr>
              <w:t xml:space="preserve">Medicare Benefits Schedule (MBS) listing of a test to </w:t>
            </w:r>
            <w:r w:rsidR="001813A0">
              <w:rPr>
                <w:rFonts w:ascii="Franklin Gothic Book" w:hAnsi="Franklin Gothic Book"/>
                <w:sz w:val="22"/>
              </w:rPr>
              <w:t xml:space="preserve">detect </w:t>
            </w:r>
            <w:r w:rsidR="00250A43">
              <w:rPr>
                <w:rFonts w:ascii="Franklin Gothic Book" w:hAnsi="Franklin Gothic Book"/>
                <w:sz w:val="22"/>
              </w:rPr>
              <w:t>a protein</w:t>
            </w:r>
            <w:r w:rsidR="00D9171C">
              <w:rPr>
                <w:rFonts w:ascii="Franklin Gothic Book" w:hAnsi="Franklin Gothic Book"/>
                <w:sz w:val="22"/>
              </w:rPr>
              <w:t xml:space="preserve"> called </w:t>
            </w:r>
            <w:r w:rsidR="005A0A5C">
              <w:rPr>
                <w:rFonts w:ascii="Franklin Gothic Book" w:hAnsi="Franklin Gothic Book"/>
                <w:sz w:val="22"/>
              </w:rPr>
              <w:t xml:space="preserve">Claudin 18 in patients with </w:t>
            </w:r>
            <w:r w:rsidR="00DC2581">
              <w:rPr>
                <w:rFonts w:ascii="Franklin Gothic Book" w:hAnsi="Franklin Gothic Book"/>
                <w:sz w:val="22"/>
              </w:rPr>
              <w:t xml:space="preserve">a certain type of </w:t>
            </w:r>
            <w:r w:rsidR="00810F5C">
              <w:rPr>
                <w:rFonts w:ascii="Franklin Gothic Book" w:hAnsi="Franklin Gothic Book"/>
                <w:sz w:val="22"/>
              </w:rPr>
              <w:t xml:space="preserve">stomach </w:t>
            </w:r>
            <w:r w:rsidR="008260D7">
              <w:rPr>
                <w:rFonts w:ascii="Franklin Gothic Book" w:hAnsi="Franklin Gothic Book"/>
                <w:sz w:val="22"/>
              </w:rPr>
              <w:t>or oesophagus cancer called</w:t>
            </w:r>
            <w:r w:rsidR="007035F9">
              <w:rPr>
                <w:rFonts w:ascii="Franklin Gothic Book" w:hAnsi="Franklin Gothic Book"/>
                <w:sz w:val="22"/>
              </w:rPr>
              <w:t xml:space="preserve"> </w:t>
            </w:r>
            <w:r w:rsidRPr="00823C4C">
              <w:rPr>
                <w:rFonts w:ascii="Franklin Gothic Book" w:hAnsi="Franklin Gothic Book"/>
                <w:sz w:val="22"/>
              </w:rPr>
              <w:t>gastric or gastro-oesophageal</w:t>
            </w:r>
            <w:r w:rsidR="002653B4">
              <w:rPr>
                <w:rFonts w:ascii="Franklin Gothic Book" w:hAnsi="Franklin Gothic Book"/>
                <w:sz w:val="22"/>
              </w:rPr>
              <w:t xml:space="preserve"> junction</w:t>
            </w:r>
            <w:r w:rsidR="00951920">
              <w:rPr>
                <w:rFonts w:ascii="Franklin Gothic Book" w:hAnsi="Franklin Gothic Book"/>
                <w:sz w:val="22"/>
              </w:rPr>
              <w:t xml:space="preserve"> (G/GOJ)</w:t>
            </w:r>
            <w:r w:rsidRPr="00823C4C">
              <w:rPr>
                <w:rFonts w:ascii="Franklin Gothic Book" w:hAnsi="Franklin Gothic Book"/>
                <w:sz w:val="22"/>
              </w:rPr>
              <w:t xml:space="preserve"> </w:t>
            </w:r>
            <w:r w:rsidR="00CF2427">
              <w:rPr>
                <w:rFonts w:ascii="Franklin Gothic Book" w:hAnsi="Franklin Gothic Book"/>
                <w:sz w:val="22"/>
              </w:rPr>
              <w:t>adenocarcinoma</w:t>
            </w:r>
            <w:r w:rsidRPr="00823C4C">
              <w:rPr>
                <w:rFonts w:ascii="Franklin Gothic Book" w:hAnsi="Franklin Gothic Book"/>
                <w:sz w:val="22"/>
              </w:rPr>
              <w:t xml:space="preserve">. </w:t>
            </w:r>
            <w:r w:rsidR="00CF2427">
              <w:rPr>
                <w:rFonts w:ascii="Franklin Gothic Book" w:hAnsi="Franklin Gothic Book"/>
                <w:sz w:val="22"/>
              </w:rPr>
              <w:t xml:space="preserve">People </w:t>
            </w:r>
            <w:r w:rsidR="00A2100F">
              <w:rPr>
                <w:rFonts w:ascii="Franklin Gothic Book" w:hAnsi="Franklin Gothic Book"/>
                <w:sz w:val="22"/>
              </w:rPr>
              <w:t xml:space="preserve">who </w:t>
            </w:r>
            <w:r w:rsidR="003B0C66">
              <w:rPr>
                <w:rFonts w:ascii="Franklin Gothic Book" w:hAnsi="Franklin Gothic Book"/>
                <w:sz w:val="22"/>
              </w:rPr>
              <w:t>test</w:t>
            </w:r>
            <w:r w:rsidR="00CF2427" w:rsidDel="00B15DBF">
              <w:rPr>
                <w:rFonts w:ascii="Franklin Gothic Book" w:hAnsi="Franklin Gothic Book"/>
                <w:sz w:val="22"/>
              </w:rPr>
              <w:t xml:space="preserve"> </w:t>
            </w:r>
            <w:r w:rsidR="00B15DBF">
              <w:rPr>
                <w:rFonts w:ascii="Franklin Gothic Book" w:hAnsi="Franklin Gothic Book"/>
                <w:sz w:val="22"/>
              </w:rPr>
              <w:t xml:space="preserve">positive for the </w:t>
            </w:r>
            <w:r w:rsidR="00CF2427">
              <w:rPr>
                <w:rFonts w:ascii="Franklin Gothic Book" w:hAnsi="Franklin Gothic Book"/>
                <w:sz w:val="22"/>
              </w:rPr>
              <w:t>protein</w:t>
            </w:r>
            <w:r w:rsidR="00195DD9">
              <w:rPr>
                <w:rFonts w:ascii="Franklin Gothic Book" w:hAnsi="Franklin Gothic Book"/>
                <w:sz w:val="22"/>
              </w:rPr>
              <w:t xml:space="preserve"> </w:t>
            </w:r>
            <w:r w:rsidR="00B15DBF">
              <w:rPr>
                <w:rFonts w:ascii="Franklin Gothic Book" w:hAnsi="Franklin Gothic Book"/>
                <w:sz w:val="22"/>
              </w:rPr>
              <w:t>Claudin</w:t>
            </w:r>
            <w:r w:rsidR="00EC54B9">
              <w:rPr>
                <w:rFonts w:ascii="Franklin Gothic Book" w:hAnsi="Franklin Gothic Book"/>
                <w:sz w:val="22"/>
              </w:rPr>
              <w:t xml:space="preserve"> 18</w:t>
            </w:r>
            <w:r w:rsidR="00195DD9">
              <w:rPr>
                <w:rFonts w:ascii="Franklin Gothic Book" w:hAnsi="Franklin Gothic Book"/>
                <w:sz w:val="22"/>
              </w:rPr>
              <w:t xml:space="preserve"> (that is</w:t>
            </w:r>
            <w:r w:rsidR="00BD0C62">
              <w:rPr>
                <w:rFonts w:ascii="Franklin Gothic Book" w:hAnsi="Franklin Gothic Book"/>
                <w:sz w:val="22"/>
              </w:rPr>
              <w:t xml:space="preserve"> </w:t>
            </w:r>
            <w:r w:rsidR="00F44C8D">
              <w:rPr>
                <w:rFonts w:ascii="Franklin Gothic Book" w:hAnsi="Franklin Gothic Book"/>
                <w:sz w:val="22"/>
              </w:rPr>
              <w:t xml:space="preserve">Claudin 18 </w:t>
            </w:r>
            <w:r w:rsidR="005B1B86">
              <w:rPr>
                <w:rFonts w:ascii="Franklin Gothic Book" w:hAnsi="Franklin Gothic Book"/>
                <w:sz w:val="22"/>
              </w:rPr>
              <w:t xml:space="preserve">levels </w:t>
            </w:r>
            <w:r w:rsidR="00403B19">
              <w:rPr>
                <w:rFonts w:ascii="Franklin Gothic Book" w:hAnsi="Franklin Gothic Book"/>
                <w:sz w:val="22"/>
              </w:rPr>
              <w:t xml:space="preserve">that </w:t>
            </w:r>
            <w:r w:rsidR="005B1B86">
              <w:rPr>
                <w:rFonts w:ascii="Franklin Gothic Book" w:hAnsi="Franklin Gothic Book"/>
                <w:sz w:val="22"/>
              </w:rPr>
              <w:t>are</w:t>
            </w:r>
            <w:r w:rsidR="00195DD9">
              <w:rPr>
                <w:rFonts w:ascii="Franklin Gothic Book" w:hAnsi="Franklin Gothic Book"/>
                <w:sz w:val="22"/>
              </w:rPr>
              <w:t xml:space="preserve"> </w:t>
            </w:r>
            <w:r w:rsidR="00BD0C62">
              <w:rPr>
                <w:rFonts w:ascii="Franklin Gothic Book" w:hAnsi="Franklin Gothic Book"/>
                <w:sz w:val="22"/>
              </w:rPr>
              <w:t>above a certain threshold)</w:t>
            </w:r>
            <w:r w:rsidR="00DA239C">
              <w:rPr>
                <w:rFonts w:ascii="Franklin Gothic Book" w:hAnsi="Franklin Gothic Book"/>
                <w:sz w:val="22"/>
              </w:rPr>
              <w:t xml:space="preserve"> will then be eligible to access a medicine</w:t>
            </w:r>
            <w:r w:rsidRPr="00823C4C">
              <w:rPr>
                <w:rFonts w:ascii="Franklin Gothic Book" w:hAnsi="Franklin Gothic Book"/>
                <w:sz w:val="22"/>
              </w:rPr>
              <w:t xml:space="preserve"> called zolbetuximab, </w:t>
            </w:r>
            <w:r w:rsidR="002A72CE">
              <w:rPr>
                <w:rFonts w:ascii="Franklin Gothic Book" w:hAnsi="Franklin Gothic Book"/>
                <w:sz w:val="22"/>
              </w:rPr>
              <w:t>in combination with</w:t>
            </w:r>
            <w:r w:rsidRPr="00823C4C">
              <w:rPr>
                <w:rFonts w:ascii="Franklin Gothic Book" w:hAnsi="Franklin Gothic Book"/>
                <w:sz w:val="22"/>
              </w:rPr>
              <w:t xml:space="preserve"> chemotherapy, under the Pharmaceutical Benefits Scheme (PBS). </w:t>
            </w:r>
            <w:r w:rsidR="00E1675A">
              <w:rPr>
                <w:rFonts w:ascii="Franklin Gothic Book" w:hAnsi="Franklin Gothic Book"/>
                <w:sz w:val="22"/>
              </w:rPr>
              <w:t xml:space="preserve">At the time that this application was made, zolbetuximab was not listed on the PBS, </w:t>
            </w:r>
            <w:r w:rsidR="00EF516B">
              <w:rPr>
                <w:rFonts w:ascii="Franklin Gothic Book" w:hAnsi="Franklin Gothic Book"/>
                <w:sz w:val="22"/>
              </w:rPr>
              <w:t xml:space="preserve">so </w:t>
            </w:r>
            <w:r w:rsidR="00234308" w:rsidRPr="00234308">
              <w:rPr>
                <w:rFonts w:ascii="Franklin Gothic Book" w:hAnsi="Franklin Gothic Book"/>
                <w:sz w:val="22"/>
              </w:rPr>
              <w:t>a codependent application that proposed</w:t>
            </w:r>
            <w:r w:rsidR="00234308">
              <w:rPr>
                <w:rFonts w:ascii="Franklin Gothic Book" w:hAnsi="Franklin Gothic Book"/>
                <w:sz w:val="22"/>
              </w:rPr>
              <w:t xml:space="preserve"> </w:t>
            </w:r>
            <w:r w:rsidR="00F54F13">
              <w:rPr>
                <w:rFonts w:ascii="Franklin Gothic Book" w:hAnsi="Franklin Gothic Book"/>
                <w:sz w:val="22"/>
              </w:rPr>
              <w:t xml:space="preserve">public funding for zolbetuximab by </w:t>
            </w:r>
            <w:r w:rsidRPr="00823C4C">
              <w:rPr>
                <w:rFonts w:ascii="Franklin Gothic Book" w:hAnsi="Franklin Gothic Book"/>
                <w:sz w:val="22"/>
              </w:rPr>
              <w:t>the Pharmaceutical Benefits Advisory Committee (PBAC)</w:t>
            </w:r>
            <w:r w:rsidR="00F54F13">
              <w:rPr>
                <w:rFonts w:ascii="Franklin Gothic Book" w:hAnsi="Franklin Gothic Book"/>
                <w:sz w:val="22"/>
              </w:rPr>
              <w:t xml:space="preserve"> </w:t>
            </w:r>
            <w:r w:rsidR="00234308">
              <w:rPr>
                <w:rFonts w:ascii="Franklin Gothic Book" w:hAnsi="Franklin Gothic Book"/>
                <w:sz w:val="22"/>
              </w:rPr>
              <w:t>wa</w:t>
            </w:r>
            <w:r w:rsidR="00CF1B83">
              <w:rPr>
                <w:rFonts w:ascii="Franklin Gothic Book" w:hAnsi="Franklin Gothic Book"/>
                <w:sz w:val="22"/>
              </w:rPr>
              <w:t>s</w:t>
            </w:r>
            <w:r w:rsidR="00F54F13">
              <w:rPr>
                <w:rFonts w:ascii="Franklin Gothic Book" w:hAnsi="Franklin Gothic Book"/>
                <w:sz w:val="22"/>
              </w:rPr>
              <w:t xml:space="preserve"> </w:t>
            </w:r>
            <w:r w:rsidR="00AD5386">
              <w:rPr>
                <w:rFonts w:ascii="Franklin Gothic Book" w:hAnsi="Franklin Gothic Book"/>
                <w:sz w:val="22"/>
              </w:rPr>
              <w:t>submitted at the same time</w:t>
            </w:r>
            <w:r w:rsidRPr="00823C4C" w:rsidDel="00F54F13">
              <w:rPr>
                <w:rFonts w:ascii="Franklin Gothic Book" w:hAnsi="Franklin Gothic Book"/>
                <w:sz w:val="22"/>
              </w:rPr>
              <w:t>.</w:t>
            </w:r>
          </w:p>
          <w:p w14:paraId="563F72C2" w14:textId="6FC6C58A" w:rsidR="00951920" w:rsidRDefault="006D03AE" w:rsidP="00823C4C">
            <w:pPr>
              <w:jc w:val="left"/>
              <w:rPr>
                <w:rFonts w:ascii="Franklin Gothic Book" w:hAnsi="Franklin Gothic Book"/>
                <w:sz w:val="22"/>
              </w:rPr>
            </w:pPr>
            <w:r w:rsidRPr="006D03AE">
              <w:rPr>
                <w:rFonts w:ascii="Franklin Gothic Book" w:hAnsi="Franklin Gothic Book"/>
                <w:sz w:val="22"/>
              </w:rPr>
              <w:t xml:space="preserve">G/GOJ cancer </w:t>
            </w:r>
            <w:r w:rsidR="00300304">
              <w:rPr>
                <w:rFonts w:ascii="Franklin Gothic Book" w:hAnsi="Franklin Gothic Book"/>
                <w:sz w:val="22"/>
              </w:rPr>
              <w:t>start</w:t>
            </w:r>
            <w:r w:rsidRPr="006D03AE">
              <w:rPr>
                <w:rFonts w:ascii="Franklin Gothic Book" w:hAnsi="Franklin Gothic Book"/>
                <w:sz w:val="22"/>
              </w:rPr>
              <w:t xml:space="preserve">s in the lining of the stomach and the </w:t>
            </w:r>
            <w:r w:rsidR="00300304">
              <w:rPr>
                <w:rFonts w:ascii="Franklin Gothic Book" w:hAnsi="Franklin Gothic Book"/>
                <w:sz w:val="22"/>
              </w:rPr>
              <w:t xml:space="preserve">area where the stomach connects to the </w:t>
            </w:r>
            <w:r w:rsidRPr="006D03AE">
              <w:rPr>
                <w:rFonts w:ascii="Franklin Gothic Book" w:hAnsi="Franklin Gothic Book"/>
                <w:sz w:val="22"/>
              </w:rPr>
              <w:t>oesophag</w:t>
            </w:r>
            <w:r w:rsidR="00300304">
              <w:rPr>
                <w:rFonts w:ascii="Franklin Gothic Book" w:hAnsi="Franklin Gothic Book"/>
                <w:sz w:val="22"/>
              </w:rPr>
              <w:t>us</w:t>
            </w:r>
            <w:r w:rsidRPr="006D03AE" w:rsidDel="00300304">
              <w:rPr>
                <w:rFonts w:ascii="Franklin Gothic Book" w:hAnsi="Franklin Gothic Book"/>
                <w:sz w:val="22"/>
              </w:rPr>
              <w:t xml:space="preserve"> </w:t>
            </w:r>
            <w:r w:rsidR="00CA73ED">
              <w:rPr>
                <w:rFonts w:ascii="Franklin Gothic Book" w:hAnsi="Franklin Gothic Book"/>
                <w:sz w:val="22"/>
              </w:rPr>
              <w:t>(gullet)</w:t>
            </w:r>
            <w:r w:rsidRPr="006D03AE">
              <w:rPr>
                <w:rFonts w:ascii="Franklin Gothic Book" w:hAnsi="Franklin Gothic Book"/>
                <w:sz w:val="22"/>
              </w:rPr>
              <w:t xml:space="preserve">. As gastric cancer and gastro-oesophageal cancer are similar in </w:t>
            </w:r>
            <w:r w:rsidR="00CE29F8">
              <w:rPr>
                <w:rFonts w:ascii="Franklin Gothic Book" w:hAnsi="Franklin Gothic Book"/>
                <w:sz w:val="22"/>
              </w:rPr>
              <w:t xml:space="preserve">how </w:t>
            </w:r>
            <w:r w:rsidR="00E63DCC">
              <w:rPr>
                <w:rFonts w:ascii="Franklin Gothic Book" w:hAnsi="Franklin Gothic Book"/>
                <w:sz w:val="22"/>
              </w:rPr>
              <w:t>they develop and behave</w:t>
            </w:r>
            <w:r w:rsidR="00EC7F0E">
              <w:rPr>
                <w:rFonts w:ascii="Franklin Gothic Book" w:hAnsi="Franklin Gothic Book"/>
                <w:sz w:val="22"/>
              </w:rPr>
              <w:t xml:space="preserve">, </w:t>
            </w:r>
            <w:r w:rsidRPr="006D03AE">
              <w:rPr>
                <w:rFonts w:ascii="Franklin Gothic Book" w:hAnsi="Franklin Gothic Book"/>
                <w:sz w:val="22"/>
              </w:rPr>
              <w:t xml:space="preserve">patients with </w:t>
            </w:r>
            <w:r w:rsidR="0000055E" w:rsidRPr="006D03AE">
              <w:rPr>
                <w:rFonts w:ascii="Franklin Gothic Book" w:hAnsi="Franklin Gothic Book"/>
                <w:sz w:val="22"/>
              </w:rPr>
              <w:t xml:space="preserve">gastric cancer and gastro-oesophageal cancer </w:t>
            </w:r>
            <w:r w:rsidR="007839C6">
              <w:rPr>
                <w:rFonts w:ascii="Franklin Gothic Book" w:hAnsi="Franklin Gothic Book"/>
                <w:sz w:val="22"/>
              </w:rPr>
              <w:t xml:space="preserve">are usually treated </w:t>
            </w:r>
            <w:r w:rsidR="00056384">
              <w:rPr>
                <w:rFonts w:ascii="Franklin Gothic Book" w:hAnsi="Franklin Gothic Book"/>
                <w:sz w:val="22"/>
              </w:rPr>
              <w:t>in the same way</w:t>
            </w:r>
            <w:r w:rsidR="00C634D7">
              <w:rPr>
                <w:rFonts w:ascii="Franklin Gothic Book" w:hAnsi="Franklin Gothic Book"/>
                <w:sz w:val="22"/>
              </w:rPr>
              <w:t xml:space="preserve"> at </w:t>
            </w:r>
            <w:r w:rsidR="00E341B7">
              <w:rPr>
                <w:rFonts w:ascii="Franklin Gothic Book" w:hAnsi="Franklin Gothic Book"/>
                <w:sz w:val="22"/>
              </w:rPr>
              <w:t>each stage</w:t>
            </w:r>
            <w:r w:rsidR="0000055E">
              <w:rPr>
                <w:rFonts w:ascii="Franklin Gothic Book" w:hAnsi="Franklin Gothic Book"/>
                <w:sz w:val="22"/>
              </w:rPr>
              <w:t>.</w:t>
            </w:r>
            <w:r w:rsidR="006339F4">
              <w:t xml:space="preserve"> </w:t>
            </w:r>
            <w:r w:rsidR="006339F4" w:rsidRPr="006339F4">
              <w:rPr>
                <w:rFonts w:ascii="Franklin Gothic Book" w:hAnsi="Franklin Gothic Book"/>
                <w:sz w:val="22"/>
              </w:rPr>
              <w:t xml:space="preserve">G/GOJ </w:t>
            </w:r>
            <w:r w:rsidR="00E341B7">
              <w:rPr>
                <w:rFonts w:ascii="Franklin Gothic Book" w:hAnsi="Franklin Gothic Book"/>
                <w:sz w:val="22"/>
              </w:rPr>
              <w:t>cancers</w:t>
            </w:r>
            <w:r w:rsidR="006339F4" w:rsidRPr="006339F4">
              <w:rPr>
                <w:rFonts w:ascii="Franklin Gothic Book" w:hAnsi="Franklin Gothic Book"/>
                <w:sz w:val="22"/>
              </w:rPr>
              <w:t xml:space="preserve"> </w:t>
            </w:r>
            <w:r w:rsidR="00E341B7">
              <w:rPr>
                <w:rFonts w:ascii="Franklin Gothic Book" w:hAnsi="Franklin Gothic Book"/>
                <w:sz w:val="22"/>
              </w:rPr>
              <w:t>tend to be</w:t>
            </w:r>
            <w:r w:rsidR="006339F4" w:rsidRPr="006339F4">
              <w:rPr>
                <w:rFonts w:ascii="Franklin Gothic Book" w:hAnsi="Franklin Gothic Book"/>
                <w:sz w:val="22"/>
              </w:rPr>
              <w:t xml:space="preserve"> aggressive with poor prognosis</w:t>
            </w:r>
            <w:r w:rsidR="00B8715B">
              <w:rPr>
                <w:rFonts w:ascii="Franklin Gothic Book" w:hAnsi="Franklin Gothic Book"/>
                <w:sz w:val="22"/>
              </w:rPr>
              <w:t>/outlook</w:t>
            </w:r>
            <w:r w:rsidR="00E13B4D">
              <w:rPr>
                <w:rFonts w:ascii="Franklin Gothic Book" w:hAnsi="Franklin Gothic Book"/>
                <w:sz w:val="22"/>
              </w:rPr>
              <w:t xml:space="preserve">. The </w:t>
            </w:r>
            <w:r w:rsidR="006339F4" w:rsidRPr="006339F4">
              <w:rPr>
                <w:rFonts w:ascii="Franklin Gothic Book" w:hAnsi="Franklin Gothic Book"/>
                <w:sz w:val="22"/>
              </w:rPr>
              <w:t xml:space="preserve">5-year survival rate </w:t>
            </w:r>
            <w:r w:rsidR="00B6650F">
              <w:rPr>
                <w:rFonts w:ascii="Franklin Gothic Book" w:hAnsi="Franklin Gothic Book"/>
                <w:sz w:val="22"/>
              </w:rPr>
              <w:t>is</w:t>
            </w:r>
            <w:r w:rsidR="006339F4" w:rsidRPr="006339F4" w:rsidDel="00595A0D">
              <w:rPr>
                <w:rFonts w:ascii="Franklin Gothic Book" w:hAnsi="Franklin Gothic Book"/>
                <w:sz w:val="22"/>
              </w:rPr>
              <w:t xml:space="preserve"> </w:t>
            </w:r>
            <w:r w:rsidR="006339F4" w:rsidRPr="006339F4">
              <w:rPr>
                <w:rFonts w:ascii="Franklin Gothic Book" w:hAnsi="Franklin Gothic Book"/>
                <w:sz w:val="22"/>
              </w:rPr>
              <w:t xml:space="preserve">about 37% for all stages </w:t>
            </w:r>
            <w:r w:rsidR="00FA00D1">
              <w:rPr>
                <w:rFonts w:ascii="Franklin Gothic Book" w:hAnsi="Franklin Gothic Book"/>
                <w:sz w:val="22"/>
              </w:rPr>
              <w:t xml:space="preserve">of the </w:t>
            </w:r>
            <w:r w:rsidR="00D20D82">
              <w:rPr>
                <w:rFonts w:ascii="Franklin Gothic Book" w:hAnsi="Franklin Gothic Book"/>
                <w:sz w:val="22"/>
              </w:rPr>
              <w:t xml:space="preserve">disease </w:t>
            </w:r>
            <w:r w:rsidR="006339F4" w:rsidRPr="006339F4">
              <w:rPr>
                <w:rFonts w:ascii="Franklin Gothic Book" w:hAnsi="Franklin Gothic Book"/>
                <w:sz w:val="22"/>
              </w:rPr>
              <w:t>combined.</w:t>
            </w:r>
            <w:r w:rsidR="008A5AA7">
              <w:rPr>
                <w:rFonts w:ascii="Franklin Gothic Book" w:hAnsi="Franklin Gothic Book"/>
                <w:sz w:val="22"/>
              </w:rPr>
              <w:t xml:space="preserve"> Survival is worse for patients with G/GOJ cancer due to a lack of treatment</w:t>
            </w:r>
            <w:r w:rsidR="00CA0CE1">
              <w:rPr>
                <w:rFonts w:ascii="Franklin Gothic Book" w:hAnsi="Franklin Gothic Book"/>
                <w:sz w:val="22"/>
              </w:rPr>
              <w:t>s that can specifically target the</w:t>
            </w:r>
            <w:r w:rsidR="00E92B4B">
              <w:rPr>
                <w:rFonts w:ascii="Franklin Gothic Book" w:hAnsi="Franklin Gothic Book"/>
                <w:sz w:val="22"/>
              </w:rPr>
              <w:t>se ca</w:t>
            </w:r>
            <w:r w:rsidR="00581CA3">
              <w:rPr>
                <w:rFonts w:ascii="Franklin Gothic Book" w:hAnsi="Franklin Gothic Book"/>
                <w:sz w:val="22"/>
              </w:rPr>
              <w:t>n</w:t>
            </w:r>
            <w:r w:rsidR="00EB0DAE">
              <w:rPr>
                <w:rFonts w:ascii="Franklin Gothic Book" w:hAnsi="Franklin Gothic Book"/>
                <w:sz w:val="22"/>
              </w:rPr>
              <w:t>c</w:t>
            </w:r>
            <w:r w:rsidR="00581CA3">
              <w:rPr>
                <w:rFonts w:ascii="Franklin Gothic Book" w:hAnsi="Franklin Gothic Book"/>
                <w:sz w:val="22"/>
              </w:rPr>
              <w:t>ers</w:t>
            </w:r>
            <w:r w:rsidR="008A5AA7">
              <w:rPr>
                <w:rFonts w:ascii="Franklin Gothic Book" w:hAnsi="Franklin Gothic Book"/>
                <w:sz w:val="22"/>
              </w:rPr>
              <w:t xml:space="preserve">. </w:t>
            </w:r>
          </w:p>
          <w:p w14:paraId="1D4E9B8A" w14:textId="11FA74BD" w:rsidR="00A81BD1" w:rsidRDefault="00EB0DAE" w:rsidP="00823C4C">
            <w:pPr>
              <w:jc w:val="left"/>
              <w:rPr>
                <w:rFonts w:ascii="Franklin Gothic Book" w:hAnsi="Franklin Gothic Book"/>
                <w:sz w:val="22"/>
              </w:rPr>
            </w:pPr>
            <w:r>
              <w:rPr>
                <w:rFonts w:ascii="Franklin Gothic Book" w:hAnsi="Franklin Gothic Book"/>
                <w:sz w:val="22"/>
              </w:rPr>
              <w:t xml:space="preserve">A protein called </w:t>
            </w:r>
            <w:r w:rsidR="00A946F7">
              <w:rPr>
                <w:rFonts w:ascii="Franklin Gothic Book" w:hAnsi="Franklin Gothic Book"/>
                <w:sz w:val="22"/>
              </w:rPr>
              <w:t>Claudin 18</w:t>
            </w:r>
            <w:r w:rsidR="008C1ED3">
              <w:rPr>
                <w:rFonts w:ascii="Franklin Gothic Book" w:hAnsi="Franklin Gothic Book"/>
                <w:sz w:val="22"/>
              </w:rPr>
              <w:t>.2</w:t>
            </w:r>
            <w:r w:rsidR="00A946F7">
              <w:rPr>
                <w:rFonts w:ascii="Franklin Gothic Book" w:hAnsi="Franklin Gothic Book"/>
                <w:sz w:val="22"/>
              </w:rPr>
              <w:t xml:space="preserve"> </w:t>
            </w:r>
            <w:r>
              <w:rPr>
                <w:rFonts w:ascii="Franklin Gothic Book" w:hAnsi="Franklin Gothic Book"/>
                <w:sz w:val="22"/>
              </w:rPr>
              <w:t xml:space="preserve">can be found on the </w:t>
            </w:r>
            <w:r w:rsidR="00940315">
              <w:rPr>
                <w:rFonts w:ascii="Franklin Gothic Book" w:hAnsi="Franklin Gothic Book"/>
                <w:sz w:val="22"/>
              </w:rPr>
              <w:t xml:space="preserve">surface of </w:t>
            </w:r>
            <w:r w:rsidR="006C559A">
              <w:rPr>
                <w:rFonts w:ascii="Franklin Gothic Book" w:hAnsi="Franklin Gothic Book"/>
                <w:sz w:val="22"/>
              </w:rPr>
              <w:t xml:space="preserve">some G/GOJ cancer cells. </w:t>
            </w:r>
            <w:r w:rsidR="00144188">
              <w:rPr>
                <w:rFonts w:ascii="Franklin Gothic Book" w:hAnsi="Franklin Gothic Book"/>
                <w:sz w:val="22"/>
              </w:rPr>
              <w:t>The levels of Claudin 18</w:t>
            </w:r>
            <w:r w:rsidR="00013A6A">
              <w:rPr>
                <w:rFonts w:ascii="Franklin Gothic Book" w:hAnsi="Franklin Gothic Book"/>
                <w:sz w:val="22"/>
              </w:rPr>
              <w:t>.2</w:t>
            </w:r>
            <w:r w:rsidR="00144188">
              <w:rPr>
                <w:rFonts w:ascii="Franklin Gothic Book" w:hAnsi="Franklin Gothic Book"/>
                <w:sz w:val="22"/>
              </w:rPr>
              <w:t xml:space="preserve"> </w:t>
            </w:r>
            <w:r w:rsidR="009A627E">
              <w:rPr>
                <w:rFonts w:ascii="Franklin Gothic Book" w:hAnsi="Franklin Gothic Book"/>
                <w:sz w:val="22"/>
              </w:rPr>
              <w:t>protein can be tested.</w:t>
            </w:r>
            <w:r w:rsidR="006C559A">
              <w:rPr>
                <w:rFonts w:ascii="Franklin Gothic Book" w:hAnsi="Franklin Gothic Book"/>
                <w:sz w:val="22"/>
              </w:rPr>
              <w:t xml:space="preserve"> </w:t>
            </w:r>
            <w:r w:rsidR="00F20A88">
              <w:rPr>
                <w:rFonts w:ascii="Franklin Gothic Book" w:hAnsi="Franklin Gothic Book"/>
                <w:sz w:val="22"/>
              </w:rPr>
              <w:t>A test r</w:t>
            </w:r>
            <w:r w:rsidR="00CA6753">
              <w:rPr>
                <w:rFonts w:ascii="Franklin Gothic Book" w:hAnsi="Franklin Gothic Book"/>
                <w:sz w:val="22"/>
              </w:rPr>
              <w:t>esult</w:t>
            </w:r>
            <w:r w:rsidR="00A946F7">
              <w:rPr>
                <w:rFonts w:ascii="Franklin Gothic Book" w:hAnsi="Franklin Gothic Book"/>
                <w:sz w:val="22"/>
              </w:rPr>
              <w:t xml:space="preserve"> is considered positive when </w:t>
            </w:r>
            <w:r w:rsidR="00375DB0">
              <w:rPr>
                <w:rFonts w:ascii="Franklin Gothic Book" w:hAnsi="Franklin Gothic Book"/>
                <w:sz w:val="22"/>
              </w:rPr>
              <w:t xml:space="preserve">the </w:t>
            </w:r>
            <w:r w:rsidR="007B3CB8">
              <w:rPr>
                <w:rFonts w:ascii="Franklin Gothic Book" w:hAnsi="Franklin Gothic Book"/>
                <w:sz w:val="22"/>
              </w:rPr>
              <w:t>level of Claudin 18 (</w:t>
            </w:r>
            <w:r w:rsidR="00A946F7">
              <w:rPr>
                <w:rFonts w:ascii="Franklin Gothic Book" w:hAnsi="Franklin Gothic Book"/>
                <w:sz w:val="22"/>
              </w:rPr>
              <w:t>expression</w:t>
            </w:r>
            <w:r w:rsidR="007B3CB8">
              <w:rPr>
                <w:rFonts w:ascii="Franklin Gothic Book" w:hAnsi="Franklin Gothic Book"/>
                <w:sz w:val="22"/>
              </w:rPr>
              <w:t>)</w:t>
            </w:r>
            <w:r w:rsidR="00A946F7">
              <w:rPr>
                <w:rFonts w:ascii="Franklin Gothic Book" w:hAnsi="Franklin Gothic Book"/>
                <w:sz w:val="22"/>
              </w:rPr>
              <w:t xml:space="preserve"> is </w:t>
            </w:r>
            <w:r w:rsidR="004518FB">
              <w:rPr>
                <w:rFonts w:ascii="Franklin Gothic Book" w:hAnsi="Franklin Gothic Book"/>
                <w:sz w:val="22"/>
              </w:rPr>
              <w:t xml:space="preserve">above a certain </w:t>
            </w:r>
            <w:r w:rsidR="007F64D3">
              <w:rPr>
                <w:rFonts w:ascii="Franklin Gothic Book" w:hAnsi="Franklin Gothic Book"/>
                <w:sz w:val="22"/>
              </w:rPr>
              <w:t>level (</w:t>
            </w:r>
            <w:r w:rsidR="004518FB">
              <w:rPr>
                <w:rFonts w:ascii="Franklin Gothic Book" w:hAnsi="Franklin Gothic Book"/>
                <w:sz w:val="22"/>
              </w:rPr>
              <w:t>threshold</w:t>
            </w:r>
            <w:r w:rsidR="007F64D3">
              <w:rPr>
                <w:rFonts w:ascii="Franklin Gothic Book" w:hAnsi="Franklin Gothic Book"/>
                <w:sz w:val="22"/>
              </w:rPr>
              <w:t>)</w:t>
            </w:r>
            <w:r w:rsidR="004518FB">
              <w:rPr>
                <w:rFonts w:ascii="Franklin Gothic Book" w:hAnsi="Franklin Gothic Book"/>
                <w:sz w:val="22"/>
              </w:rPr>
              <w:t xml:space="preserve">. </w:t>
            </w:r>
            <w:r w:rsidR="00340568">
              <w:rPr>
                <w:rFonts w:ascii="Franklin Gothic Book" w:hAnsi="Franklin Gothic Book"/>
                <w:sz w:val="22"/>
              </w:rPr>
              <w:t>The medicine</w:t>
            </w:r>
            <w:r w:rsidR="00C02DC6">
              <w:rPr>
                <w:rFonts w:ascii="Franklin Gothic Book" w:hAnsi="Franklin Gothic Book"/>
                <w:sz w:val="22"/>
              </w:rPr>
              <w:t xml:space="preserve"> called</w:t>
            </w:r>
            <w:r w:rsidR="0010086F">
              <w:rPr>
                <w:rFonts w:ascii="Franklin Gothic Book" w:hAnsi="Franklin Gothic Book"/>
                <w:sz w:val="22"/>
              </w:rPr>
              <w:t xml:space="preserve"> </w:t>
            </w:r>
            <w:r w:rsidR="00C02DC6">
              <w:rPr>
                <w:rFonts w:ascii="Franklin Gothic Book" w:hAnsi="Franklin Gothic Book"/>
                <w:sz w:val="22"/>
              </w:rPr>
              <w:t>z</w:t>
            </w:r>
            <w:r w:rsidR="00FD4FAB" w:rsidRPr="00FD4FAB">
              <w:rPr>
                <w:rFonts w:ascii="Franklin Gothic Book" w:hAnsi="Franklin Gothic Book"/>
                <w:sz w:val="22"/>
              </w:rPr>
              <w:t xml:space="preserve">olbetuximab is </w:t>
            </w:r>
            <w:r w:rsidR="00DB7C0D">
              <w:rPr>
                <w:rFonts w:ascii="Franklin Gothic Book" w:hAnsi="Franklin Gothic Book"/>
                <w:sz w:val="22"/>
              </w:rPr>
              <w:t>an</w:t>
            </w:r>
            <w:r w:rsidR="00FD4FAB" w:rsidRPr="00FD4FAB">
              <w:rPr>
                <w:rFonts w:ascii="Franklin Gothic Book" w:hAnsi="Franklin Gothic Book"/>
                <w:sz w:val="22"/>
              </w:rPr>
              <w:t xml:space="preserve"> antibody that </w:t>
            </w:r>
            <w:r w:rsidR="009C4E7D">
              <w:rPr>
                <w:rFonts w:ascii="Franklin Gothic Book" w:hAnsi="Franklin Gothic Book"/>
                <w:sz w:val="22"/>
              </w:rPr>
              <w:t>attaches</w:t>
            </w:r>
            <w:r w:rsidR="00FD4FAB" w:rsidRPr="00FD4FAB">
              <w:rPr>
                <w:rFonts w:ascii="Franklin Gothic Book" w:hAnsi="Franklin Gothic Book"/>
                <w:sz w:val="22"/>
              </w:rPr>
              <w:t xml:space="preserve"> to </w:t>
            </w:r>
            <w:r w:rsidR="0002513D">
              <w:rPr>
                <w:rFonts w:ascii="Franklin Gothic Book" w:hAnsi="Franklin Gothic Book"/>
                <w:sz w:val="22"/>
              </w:rPr>
              <w:t xml:space="preserve">the </w:t>
            </w:r>
            <w:r w:rsidR="00FD4FAB" w:rsidRPr="00FD4FAB">
              <w:rPr>
                <w:rFonts w:ascii="Franklin Gothic Book" w:hAnsi="Franklin Gothic Book"/>
                <w:sz w:val="22"/>
              </w:rPr>
              <w:t>C</w:t>
            </w:r>
            <w:r w:rsidR="00FE0AD0">
              <w:rPr>
                <w:rFonts w:ascii="Franklin Gothic Book" w:hAnsi="Franklin Gothic Book"/>
                <w:sz w:val="22"/>
              </w:rPr>
              <w:t>laudin</w:t>
            </w:r>
            <w:r w:rsidR="00FD4FAB" w:rsidRPr="00FD4FAB">
              <w:rPr>
                <w:rFonts w:ascii="Franklin Gothic Book" w:hAnsi="Franklin Gothic Book"/>
                <w:sz w:val="22"/>
              </w:rPr>
              <w:t>18</w:t>
            </w:r>
            <w:r w:rsidR="00013A6A">
              <w:rPr>
                <w:rFonts w:ascii="Franklin Gothic Book" w:hAnsi="Franklin Gothic Book"/>
                <w:sz w:val="22"/>
              </w:rPr>
              <w:t>.2</w:t>
            </w:r>
            <w:r w:rsidR="00DB7C0D" w:rsidDel="0097566D">
              <w:rPr>
                <w:rFonts w:ascii="Franklin Gothic Book" w:hAnsi="Franklin Gothic Book"/>
                <w:sz w:val="22"/>
              </w:rPr>
              <w:t xml:space="preserve"> </w:t>
            </w:r>
            <w:r w:rsidR="0002513D">
              <w:rPr>
                <w:rFonts w:ascii="Franklin Gothic Book" w:hAnsi="Franklin Gothic Book"/>
                <w:sz w:val="22"/>
              </w:rPr>
              <w:t>protein, found on the surface of cancer cells</w:t>
            </w:r>
            <w:r w:rsidR="002D5925">
              <w:rPr>
                <w:rFonts w:ascii="Franklin Gothic Book" w:hAnsi="Franklin Gothic Book"/>
                <w:sz w:val="22"/>
              </w:rPr>
              <w:t xml:space="preserve"> in the stomach</w:t>
            </w:r>
            <w:r w:rsidR="00B01149">
              <w:rPr>
                <w:rFonts w:ascii="Franklin Gothic Book" w:hAnsi="Franklin Gothic Book"/>
                <w:sz w:val="22"/>
              </w:rPr>
              <w:t>.</w:t>
            </w:r>
            <w:r w:rsidR="00E47AA4">
              <w:rPr>
                <w:rFonts w:ascii="Franklin Gothic Book" w:hAnsi="Franklin Gothic Book"/>
                <w:sz w:val="22"/>
              </w:rPr>
              <w:t xml:space="preserve"> Once attached to cancer cells, zolbetuximab activates the patient’s immune system to </w:t>
            </w:r>
            <w:r w:rsidR="00E10F9B">
              <w:rPr>
                <w:rFonts w:ascii="Franklin Gothic Book" w:hAnsi="Franklin Gothic Book"/>
                <w:sz w:val="22"/>
              </w:rPr>
              <w:t>attack and destroy cancer cells.</w:t>
            </w:r>
            <w:r w:rsidR="00B01149">
              <w:rPr>
                <w:rFonts w:ascii="Franklin Gothic Book" w:hAnsi="Franklin Gothic Book"/>
                <w:sz w:val="22"/>
              </w:rPr>
              <w:t xml:space="preserve"> </w:t>
            </w:r>
            <w:r w:rsidR="006F4D13">
              <w:rPr>
                <w:rFonts w:ascii="Franklin Gothic Book" w:hAnsi="Franklin Gothic Book"/>
                <w:sz w:val="22"/>
              </w:rPr>
              <w:t>Zolbetuximab also interferes with the structure of cancer cells and the way the cancer cell</w:t>
            </w:r>
            <w:r w:rsidR="00A2443E">
              <w:rPr>
                <w:rFonts w:ascii="Franklin Gothic Book" w:hAnsi="Franklin Gothic Book"/>
                <w:sz w:val="22"/>
              </w:rPr>
              <w:t>s</w:t>
            </w:r>
            <w:r w:rsidR="006F4D13">
              <w:rPr>
                <w:rFonts w:ascii="Franklin Gothic Book" w:hAnsi="Franklin Gothic Book"/>
                <w:sz w:val="22"/>
              </w:rPr>
              <w:t xml:space="preserve"> communicate with each other, which makes it easier for the patient’s immun</w:t>
            </w:r>
            <w:r w:rsidR="005A35BF">
              <w:rPr>
                <w:rFonts w:ascii="Franklin Gothic Book" w:hAnsi="Franklin Gothic Book"/>
                <w:sz w:val="22"/>
              </w:rPr>
              <w:t xml:space="preserve">e </w:t>
            </w:r>
            <w:r w:rsidR="006F4D13">
              <w:rPr>
                <w:rFonts w:ascii="Franklin Gothic Book" w:hAnsi="Franklin Gothic Book"/>
                <w:sz w:val="22"/>
              </w:rPr>
              <w:t>system to destroy them.</w:t>
            </w:r>
            <w:r w:rsidR="00B01149">
              <w:rPr>
                <w:rFonts w:ascii="Franklin Gothic Book" w:hAnsi="Franklin Gothic Book"/>
                <w:sz w:val="22"/>
              </w:rPr>
              <w:t xml:space="preserve"> </w:t>
            </w:r>
          </w:p>
          <w:p w14:paraId="1915B5C8" w14:textId="77777777" w:rsidR="002005F5" w:rsidRDefault="008E4FF0" w:rsidP="00FA55BF">
            <w:pPr>
              <w:jc w:val="left"/>
              <w:rPr>
                <w:rFonts w:ascii="Franklin Gothic Book" w:hAnsi="Franklin Gothic Book"/>
                <w:sz w:val="22"/>
              </w:rPr>
            </w:pPr>
            <w:r>
              <w:rPr>
                <w:rFonts w:ascii="Franklin Gothic Book" w:hAnsi="Franklin Gothic Book"/>
                <w:sz w:val="22"/>
              </w:rPr>
              <w:t xml:space="preserve">MSAC noted that the </w:t>
            </w:r>
            <w:r w:rsidRPr="2883B670">
              <w:rPr>
                <w:rFonts w:ascii="Franklin Gothic Book" w:eastAsia="Arial" w:hAnsi="Franklin Gothic Book" w:cs="Calibri"/>
                <w:sz w:val="22"/>
              </w:rPr>
              <w:t xml:space="preserve">Pharmaceutical Benefits Advisory Committee (PBAC) </w:t>
            </w:r>
            <w:r w:rsidR="00A3091A">
              <w:rPr>
                <w:rFonts w:ascii="Franklin Gothic Book" w:eastAsia="Arial" w:hAnsi="Franklin Gothic Book" w:cs="Calibri"/>
                <w:sz w:val="22"/>
              </w:rPr>
              <w:t xml:space="preserve">at its </w:t>
            </w:r>
            <w:r w:rsidR="00D26456">
              <w:rPr>
                <w:rFonts w:ascii="Franklin Gothic Book" w:eastAsia="Arial" w:hAnsi="Franklin Gothic Book" w:cs="Calibri"/>
                <w:sz w:val="22"/>
              </w:rPr>
              <w:t xml:space="preserve">March 2025 meeting </w:t>
            </w:r>
            <w:r>
              <w:rPr>
                <w:rFonts w:ascii="Franklin Gothic Book" w:eastAsia="Arial" w:hAnsi="Franklin Gothic Book" w:cs="Calibri"/>
                <w:sz w:val="22"/>
              </w:rPr>
              <w:t xml:space="preserve">was of a mind to </w:t>
            </w:r>
            <w:r>
              <w:rPr>
                <w:rFonts w:ascii="Franklin Gothic Book" w:hAnsi="Franklin Gothic Book"/>
                <w:sz w:val="22"/>
              </w:rPr>
              <w:t xml:space="preserve">recommend zolbetuximab to be listed on the PBS provided the cost of the drug was reduced. </w:t>
            </w:r>
          </w:p>
          <w:p w14:paraId="7BDF4292" w14:textId="3D3799D8" w:rsidR="004019BE" w:rsidRDefault="00823C4C" w:rsidP="00FA55BF">
            <w:pPr>
              <w:jc w:val="left"/>
              <w:rPr>
                <w:rFonts w:ascii="Franklin Gothic Book" w:eastAsia="Arial" w:hAnsi="Franklin Gothic Book" w:cs="Calibri"/>
                <w:sz w:val="22"/>
              </w:rPr>
            </w:pPr>
            <w:r w:rsidRPr="00823C4C">
              <w:rPr>
                <w:rFonts w:ascii="Franklin Gothic Book" w:hAnsi="Franklin Gothic Book"/>
                <w:sz w:val="22"/>
              </w:rPr>
              <w:t>MSAC considered</w:t>
            </w:r>
            <w:r w:rsidRPr="00823C4C" w:rsidDel="001115C8">
              <w:rPr>
                <w:rFonts w:ascii="Franklin Gothic Book" w:hAnsi="Franklin Gothic Book"/>
                <w:sz w:val="22"/>
              </w:rPr>
              <w:t xml:space="preserve"> </w:t>
            </w:r>
            <w:r w:rsidRPr="00823C4C">
              <w:rPr>
                <w:rFonts w:ascii="Franklin Gothic Book" w:hAnsi="Franklin Gothic Book"/>
                <w:sz w:val="22"/>
              </w:rPr>
              <w:t>Claudin 18 test</w:t>
            </w:r>
            <w:r w:rsidR="001115C8">
              <w:rPr>
                <w:rFonts w:ascii="Franklin Gothic Book" w:hAnsi="Franklin Gothic Book"/>
                <w:sz w:val="22"/>
              </w:rPr>
              <w:t xml:space="preserve">ing </w:t>
            </w:r>
            <w:r w:rsidRPr="00823C4C">
              <w:rPr>
                <w:rFonts w:ascii="Franklin Gothic Book" w:hAnsi="Franklin Gothic Book"/>
                <w:sz w:val="22"/>
              </w:rPr>
              <w:t>was</w:t>
            </w:r>
            <w:r w:rsidR="001115C8">
              <w:rPr>
                <w:rFonts w:ascii="Franklin Gothic Book" w:hAnsi="Franklin Gothic Book"/>
                <w:sz w:val="22"/>
              </w:rPr>
              <w:t xml:space="preserve"> </w:t>
            </w:r>
            <w:r w:rsidRPr="00823C4C">
              <w:rPr>
                <w:rFonts w:ascii="Franklin Gothic Book" w:hAnsi="Franklin Gothic Book"/>
                <w:sz w:val="22"/>
              </w:rPr>
              <w:t>safe and effective</w:t>
            </w:r>
            <w:r w:rsidR="008E4FF0">
              <w:rPr>
                <w:rFonts w:ascii="Franklin Gothic Book" w:hAnsi="Franklin Gothic Book"/>
                <w:sz w:val="22"/>
              </w:rPr>
              <w:t xml:space="preserve"> and </w:t>
            </w:r>
            <w:r w:rsidR="008E4FF0" w:rsidRPr="2883B670">
              <w:rPr>
                <w:rFonts w:ascii="Franklin Gothic Book" w:eastAsia="Arial" w:hAnsi="Franklin Gothic Book" w:cs="Calibri"/>
                <w:sz w:val="22"/>
              </w:rPr>
              <w:t xml:space="preserve">would </w:t>
            </w:r>
            <w:r w:rsidR="00092E3A">
              <w:rPr>
                <w:rFonts w:ascii="Franklin Gothic Book" w:eastAsia="Arial" w:hAnsi="Franklin Gothic Book" w:cs="Calibri"/>
                <w:sz w:val="22"/>
              </w:rPr>
              <w:t xml:space="preserve">accurately </w:t>
            </w:r>
            <w:r w:rsidR="008E4FF0" w:rsidRPr="2883B670">
              <w:rPr>
                <w:rFonts w:ascii="Franklin Gothic Book" w:eastAsia="Arial" w:hAnsi="Franklin Gothic Book" w:cs="Calibri"/>
                <w:sz w:val="22"/>
              </w:rPr>
              <w:t>identify patients expected to benefit from zolbetuximab</w:t>
            </w:r>
            <w:r w:rsidR="008E4FF0">
              <w:rPr>
                <w:rFonts w:ascii="Franklin Gothic Book" w:eastAsia="Arial" w:hAnsi="Franklin Gothic Book" w:cs="Calibri"/>
                <w:sz w:val="22"/>
              </w:rPr>
              <w:t xml:space="preserve">. </w:t>
            </w:r>
          </w:p>
          <w:p w14:paraId="651DD9B8" w14:textId="60CE9F18" w:rsidR="00823C4C" w:rsidRPr="00823C4C" w:rsidRDefault="00677020" w:rsidP="00FA55BF">
            <w:pPr>
              <w:jc w:val="left"/>
              <w:rPr>
                <w:rFonts w:ascii="Franklin Gothic Book" w:hAnsi="Franklin Gothic Book"/>
                <w:sz w:val="22"/>
              </w:rPr>
            </w:pPr>
            <w:r>
              <w:rPr>
                <w:rFonts w:ascii="Franklin Gothic Book" w:eastAsia="Arial" w:hAnsi="Franklin Gothic Book" w:cs="Calibri"/>
                <w:sz w:val="22"/>
              </w:rPr>
              <w:t xml:space="preserve">MSAC considered Claudin 18 testing </w:t>
            </w:r>
            <w:r w:rsidR="00475667">
              <w:rPr>
                <w:rFonts w:ascii="Franklin Gothic Book" w:eastAsia="Arial" w:hAnsi="Franklin Gothic Book" w:cs="Calibri"/>
                <w:sz w:val="22"/>
              </w:rPr>
              <w:t xml:space="preserve">had </w:t>
            </w:r>
            <w:r w:rsidR="00475667" w:rsidRPr="00475667">
              <w:rPr>
                <w:rFonts w:ascii="Franklin Gothic Book" w:eastAsia="Arial" w:hAnsi="Franklin Gothic Book" w:cs="Calibri"/>
                <w:sz w:val="22"/>
              </w:rPr>
              <w:t>acceptable value for money</w:t>
            </w:r>
            <w:r w:rsidR="00A92B76">
              <w:rPr>
                <w:rFonts w:ascii="Franklin Gothic Book" w:eastAsia="Arial" w:hAnsi="Franklin Gothic Book" w:cs="Calibri"/>
                <w:sz w:val="22"/>
              </w:rPr>
              <w:t xml:space="preserve"> and would have </w:t>
            </w:r>
            <w:r w:rsidR="0018089B">
              <w:rPr>
                <w:rFonts w:ascii="Franklin Gothic Book" w:eastAsia="Arial" w:hAnsi="Franklin Gothic Book" w:cs="Calibri"/>
                <w:sz w:val="22"/>
              </w:rPr>
              <w:t xml:space="preserve">a low </w:t>
            </w:r>
            <w:r w:rsidR="001E380F">
              <w:rPr>
                <w:rFonts w:ascii="Franklin Gothic Book" w:eastAsia="Arial" w:hAnsi="Franklin Gothic Book" w:cs="Calibri"/>
                <w:sz w:val="22"/>
              </w:rPr>
              <w:t xml:space="preserve">financial impact. </w:t>
            </w:r>
            <w:r w:rsidR="00F84AE6">
              <w:rPr>
                <w:rFonts w:ascii="Franklin Gothic Book" w:hAnsi="Franklin Gothic Book"/>
                <w:sz w:val="22"/>
              </w:rPr>
              <w:t xml:space="preserve">Therefore, MSAC supported listing Claudin 18 testing on the MBS. </w:t>
            </w:r>
            <w:r w:rsidR="00823C4C" w:rsidRPr="00823C4C">
              <w:rPr>
                <w:rFonts w:ascii="Franklin Gothic Book" w:hAnsi="Franklin Gothic Book"/>
                <w:sz w:val="22"/>
              </w:rPr>
              <w:t xml:space="preserve"> </w:t>
            </w:r>
          </w:p>
          <w:p w14:paraId="6B399370" w14:textId="7A752E0F" w:rsidR="00F91D6E" w:rsidRPr="00F91D6E" w:rsidRDefault="00F91D6E" w:rsidP="00F91D6E">
            <w:pPr>
              <w:keepNext/>
              <w:keepLines/>
              <w:spacing w:after="120" w:line="259" w:lineRule="auto"/>
              <w:jc w:val="left"/>
              <w:rPr>
                <w:rFonts w:ascii="Franklin Gothic Book" w:eastAsia="Times New Roman" w:hAnsi="Franklin Gothic Book" w:cs="Times New Roman"/>
                <w:b/>
                <w:bCs/>
                <w:szCs w:val="24"/>
              </w:rPr>
            </w:pPr>
            <w:r w:rsidRPr="00F91D6E">
              <w:rPr>
                <w:rFonts w:ascii="Franklin Gothic Book" w:eastAsia="Times New Roman" w:hAnsi="Franklin Gothic Book" w:cs="Times New Roman"/>
                <w:b/>
                <w:bCs/>
                <w:szCs w:val="24"/>
              </w:rPr>
              <w:t xml:space="preserve">MSAC’s advice to the </w:t>
            </w:r>
            <w:proofErr w:type="gramStart"/>
            <w:r w:rsidRPr="00F91D6E">
              <w:rPr>
                <w:rFonts w:ascii="Franklin Gothic Book" w:eastAsia="Times New Roman" w:hAnsi="Franklin Gothic Book" w:cs="Times New Roman"/>
                <w:b/>
                <w:bCs/>
                <w:szCs w:val="24"/>
              </w:rPr>
              <w:t>Commonwealth Minister</w:t>
            </w:r>
            <w:proofErr w:type="gramEnd"/>
            <w:r w:rsidRPr="00F91D6E">
              <w:rPr>
                <w:rFonts w:ascii="Franklin Gothic Book" w:eastAsia="Times New Roman" w:hAnsi="Franklin Gothic Book" w:cs="Times New Roman"/>
                <w:b/>
                <w:bCs/>
                <w:szCs w:val="24"/>
              </w:rPr>
              <w:t xml:space="preserve"> for Health and Aged Care</w:t>
            </w:r>
          </w:p>
          <w:p w14:paraId="3C63F27E" w14:textId="24A8F48F" w:rsidR="00F91D6E" w:rsidRPr="0085434B" w:rsidRDefault="0085434B" w:rsidP="00F91D6E">
            <w:pPr>
              <w:spacing w:after="120" w:line="259" w:lineRule="auto"/>
              <w:jc w:val="left"/>
              <w:rPr>
                <w:rFonts w:ascii="Franklin Gothic Book" w:hAnsi="Franklin Gothic Book"/>
                <w:sz w:val="22"/>
              </w:rPr>
            </w:pPr>
            <w:r w:rsidRPr="0085434B">
              <w:rPr>
                <w:rFonts w:ascii="Franklin Gothic Book" w:hAnsi="Franklin Gothic Book"/>
                <w:sz w:val="22"/>
              </w:rPr>
              <w:t xml:space="preserve">MSAC supported </w:t>
            </w:r>
            <w:r w:rsidR="00711E9E">
              <w:rPr>
                <w:rFonts w:ascii="Franklin Gothic Book" w:hAnsi="Franklin Gothic Book"/>
                <w:sz w:val="22"/>
              </w:rPr>
              <w:t xml:space="preserve">listing </w:t>
            </w:r>
            <w:r w:rsidRPr="0085434B">
              <w:rPr>
                <w:rFonts w:ascii="Franklin Gothic Book" w:hAnsi="Franklin Gothic Book"/>
                <w:sz w:val="22"/>
              </w:rPr>
              <w:t xml:space="preserve">Claudin 18 testing </w:t>
            </w:r>
            <w:r w:rsidR="00711E9E">
              <w:rPr>
                <w:rFonts w:ascii="Franklin Gothic Book" w:hAnsi="Franklin Gothic Book"/>
                <w:sz w:val="22"/>
              </w:rPr>
              <w:t xml:space="preserve">on the MBS for people with gastric or gastro-oesophageal </w:t>
            </w:r>
            <w:r w:rsidR="002B2165">
              <w:rPr>
                <w:rFonts w:ascii="Franklin Gothic Book" w:hAnsi="Franklin Gothic Book"/>
                <w:sz w:val="22"/>
              </w:rPr>
              <w:t>cancer. The testing is</w:t>
            </w:r>
            <w:r w:rsidRPr="0085434B" w:rsidDel="002B2165">
              <w:rPr>
                <w:rFonts w:ascii="Franklin Gothic Book" w:hAnsi="Franklin Gothic Book"/>
                <w:sz w:val="22"/>
              </w:rPr>
              <w:t xml:space="preserve"> </w:t>
            </w:r>
            <w:r w:rsidRPr="0085434B">
              <w:rPr>
                <w:rFonts w:ascii="Franklin Gothic Book" w:hAnsi="Franklin Gothic Book"/>
                <w:sz w:val="22"/>
              </w:rPr>
              <w:t>safe</w:t>
            </w:r>
            <w:r w:rsidR="00A11B3D">
              <w:rPr>
                <w:rFonts w:ascii="Franklin Gothic Book" w:hAnsi="Franklin Gothic Book"/>
                <w:sz w:val="22"/>
              </w:rPr>
              <w:t>,</w:t>
            </w:r>
            <w:r w:rsidR="002B2165" w:rsidDel="00A11B3D">
              <w:rPr>
                <w:rFonts w:ascii="Franklin Gothic Book" w:hAnsi="Franklin Gothic Book"/>
                <w:sz w:val="22"/>
              </w:rPr>
              <w:t xml:space="preserve"> </w:t>
            </w:r>
            <w:r w:rsidRPr="0085434B">
              <w:rPr>
                <w:rFonts w:ascii="Franklin Gothic Book" w:hAnsi="Franklin Gothic Book"/>
                <w:sz w:val="22"/>
              </w:rPr>
              <w:t>effective</w:t>
            </w:r>
            <w:r w:rsidR="00A11B3D">
              <w:rPr>
                <w:rFonts w:ascii="Franklin Gothic Book" w:hAnsi="Franklin Gothic Book"/>
                <w:sz w:val="22"/>
              </w:rPr>
              <w:t xml:space="preserve"> and good value for money</w:t>
            </w:r>
            <w:r w:rsidR="002B2165">
              <w:rPr>
                <w:rFonts w:ascii="Franklin Gothic Book" w:hAnsi="Franklin Gothic Book"/>
                <w:sz w:val="22"/>
              </w:rPr>
              <w:t>.</w:t>
            </w:r>
            <w:r w:rsidRPr="0085434B" w:rsidDel="002B2165">
              <w:rPr>
                <w:rFonts w:ascii="Franklin Gothic Book" w:hAnsi="Franklin Gothic Book"/>
                <w:sz w:val="22"/>
              </w:rPr>
              <w:t xml:space="preserve"> </w:t>
            </w:r>
            <w:r w:rsidR="00D9171C">
              <w:rPr>
                <w:rFonts w:ascii="Franklin Gothic Book" w:hAnsi="Franklin Gothic Book"/>
                <w:sz w:val="22"/>
              </w:rPr>
              <w:t xml:space="preserve">MSAC noted PBAC </w:t>
            </w:r>
            <w:r w:rsidR="00D26456">
              <w:rPr>
                <w:rFonts w:ascii="Franklin Gothic Book" w:hAnsi="Franklin Gothic Book"/>
                <w:sz w:val="22"/>
              </w:rPr>
              <w:t xml:space="preserve">at its March 2025 meeting </w:t>
            </w:r>
            <w:r w:rsidR="00A11B3D">
              <w:rPr>
                <w:rFonts w:ascii="Franklin Gothic Book" w:hAnsi="Franklin Gothic Book"/>
                <w:sz w:val="22"/>
              </w:rPr>
              <w:t xml:space="preserve">was of a mind to </w:t>
            </w:r>
            <w:r w:rsidR="00D9171C">
              <w:rPr>
                <w:rFonts w:ascii="Franklin Gothic Book" w:hAnsi="Franklin Gothic Book"/>
                <w:sz w:val="22"/>
              </w:rPr>
              <w:t>recommend</w:t>
            </w:r>
            <w:r w:rsidR="009A1DF4">
              <w:rPr>
                <w:rFonts w:ascii="Franklin Gothic Book" w:hAnsi="Franklin Gothic Book"/>
                <w:sz w:val="22"/>
              </w:rPr>
              <w:t xml:space="preserve"> </w:t>
            </w:r>
            <w:r w:rsidR="008B0E44">
              <w:rPr>
                <w:rFonts w:ascii="Franklin Gothic Book" w:hAnsi="Franklin Gothic Book"/>
                <w:sz w:val="22"/>
              </w:rPr>
              <w:t xml:space="preserve">the medicine zolbetuximab </w:t>
            </w:r>
            <w:r w:rsidR="00C53C9C">
              <w:rPr>
                <w:rFonts w:ascii="Franklin Gothic Book" w:hAnsi="Franklin Gothic Book"/>
                <w:sz w:val="22"/>
              </w:rPr>
              <w:t xml:space="preserve">if the </w:t>
            </w:r>
            <w:r w:rsidR="00D9171C">
              <w:rPr>
                <w:rFonts w:ascii="Franklin Gothic Book" w:hAnsi="Franklin Gothic Book"/>
                <w:sz w:val="22"/>
              </w:rPr>
              <w:t xml:space="preserve">price </w:t>
            </w:r>
            <w:r w:rsidR="00C53C9C">
              <w:rPr>
                <w:rFonts w:ascii="Franklin Gothic Book" w:hAnsi="Franklin Gothic Book"/>
                <w:sz w:val="22"/>
              </w:rPr>
              <w:t>is reduced</w:t>
            </w:r>
            <w:r w:rsidR="003116A6">
              <w:rPr>
                <w:rFonts w:ascii="Franklin Gothic Book" w:hAnsi="Franklin Gothic Book"/>
                <w:sz w:val="22"/>
              </w:rPr>
              <w:t>,</w:t>
            </w:r>
            <w:r w:rsidR="00D9171C" w:rsidDel="00C53C9C">
              <w:rPr>
                <w:rFonts w:ascii="Franklin Gothic Book" w:hAnsi="Franklin Gothic Book"/>
                <w:sz w:val="22"/>
              </w:rPr>
              <w:t xml:space="preserve"> </w:t>
            </w:r>
            <w:r w:rsidR="00D9171C">
              <w:rPr>
                <w:rFonts w:ascii="Franklin Gothic Book" w:hAnsi="Franklin Gothic Book"/>
                <w:sz w:val="22"/>
              </w:rPr>
              <w:t xml:space="preserve">before it is listed on the PBS. </w:t>
            </w:r>
          </w:p>
        </w:tc>
      </w:tr>
    </w:tbl>
    <w:p w14:paraId="6E4CDD16" w14:textId="30379D3C" w:rsidR="00333EDF" w:rsidRPr="003A793E" w:rsidRDefault="00333EDF"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Summary of consideration and rationale for MSAC’s advice</w:t>
      </w:r>
    </w:p>
    <w:p w14:paraId="6B4543B9" w14:textId="72C9153D"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that this </w:t>
      </w:r>
      <w:r w:rsidR="00DA7D94">
        <w:rPr>
          <w:rFonts w:ascii="Franklin Gothic Book" w:hAnsi="Franklin Gothic Book"/>
          <w:sz w:val="22"/>
          <w:szCs w:val="22"/>
        </w:rPr>
        <w:t xml:space="preserve">was an </w:t>
      </w:r>
      <w:r w:rsidRPr="002E133F">
        <w:rPr>
          <w:rFonts w:ascii="Franklin Gothic Book" w:hAnsi="Franklin Gothic Book"/>
          <w:sz w:val="22"/>
          <w:szCs w:val="22"/>
        </w:rPr>
        <w:t xml:space="preserve">integrated codependent application </w:t>
      </w:r>
      <w:r w:rsidR="00DA7D94">
        <w:rPr>
          <w:rFonts w:ascii="Franklin Gothic Book" w:hAnsi="Franklin Gothic Book"/>
          <w:sz w:val="22"/>
          <w:szCs w:val="22"/>
        </w:rPr>
        <w:t xml:space="preserve">from </w:t>
      </w:r>
      <w:r w:rsidR="00891271" w:rsidRPr="00891271">
        <w:rPr>
          <w:rFonts w:ascii="Franklin Gothic Book" w:hAnsi="Franklin Gothic Book"/>
          <w:sz w:val="22"/>
          <w:szCs w:val="22"/>
        </w:rPr>
        <w:t>Astellas Pharma Australia Pty Ltd</w:t>
      </w:r>
      <w:r w:rsidR="00891271">
        <w:rPr>
          <w:rFonts w:ascii="Franklin Gothic Book" w:hAnsi="Franklin Gothic Book"/>
          <w:sz w:val="22"/>
          <w:szCs w:val="22"/>
        </w:rPr>
        <w:t xml:space="preserve"> requesting</w:t>
      </w:r>
      <w:r w:rsidRPr="002E133F">
        <w:rPr>
          <w:rFonts w:ascii="Franklin Gothic Book" w:hAnsi="Franklin Gothic Book"/>
          <w:sz w:val="22"/>
          <w:szCs w:val="22"/>
        </w:rPr>
        <w:t xml:space="preserve"> MBS listing of immunohistochemistry (IHC) testing for Claudin</w:t>
      </w:r>
      <w:r w:rsidRPr="002E133F" w:rsidDel="002F68EB">
        <w:rPr>
          <w:rFonts w:ascii="Franklin Gothic Book" w:hAnsi="Franklin Gothic Book"/>
          <w:sz w:val="22"/>
          <w:szCs w:val="22"/>
        </w:rPr>
        <w:t xml:space="preserve"> </w:t>
      </w:r>
      <w:r w:rsidRPr="002E133F">
        <w:rPr>
          <w:rFonts w:ascii="Franklin Gothic Book" w:hAnsi="Franklin Gothic Book"/>
          <w:sz w:val="22"/>
          <w:szCs w:val="22"/>
        </w:rPr>
        <w:t>(CLDN18</w:t>
      </w:r>
      <w:r w:rsidR="002F68EB">
        <w:rPr>
          <w:rFonts w:ascii="Franklin Gothic Book" w:hAnsi="Franklin Gothic Book"/>
          <w:sz w:val="22"/>
          <w:szCs w:val="22"/>
        </w:rPr>
        <w:t>.2</w:t>
      </w:r>
      <w:r w:rsidRPr="002E133F">
        <w:rPr>
          <w:rFonts w:ascii="Franklin Gothic Book" w:hAnsi="Franklin Gothic Book"/>
          <w:sz w:val="22"/>
          <w:szCs w:val="22"/>
        </w:rPr>
        <w:t xml:space="preserve">) expression in patients with locally advanced unresectable or metastatic gastric or gastro-oesophageal junction (G/GOJ) adenocarcinoma, and Pharmaceutical Benefits Scheme (PBS) listing of zolbetuximab in combination with fluoropyrimidine- and platinum-containing chemotherapy for the first-line treatment of </w:t>
      </w:r>
      <w:r w:rsidR="007B5944">
        <w:rPr>
          <w:rFonts w:ascii="Franklin Gothic Book" w:hAnsi="Franklin Gothic Book"/>
          <w:sz w:val="22"/>
          <w:szCs w:val="22"/>
        </w:rPr>
        <w:t xml:space="preserve">patients </w:t>
      </w:r>
      <w:r w:rsidR="003A0BBD">
        <w:rPr>
          <w:rFonts w:ascii="Franklin Gothic Book" w:hAnsi="Franklin Gothic Book"/>
          <w:sz w:val="22"/>
          <w:szCs w:val="22"/>
        </w:rPr>
        <w:t xml:space="preserve">with </w:t>
      </w:r>
      <w:r w:rsidRPr="002E133F">
        <w:rPr>
          <w:rFonts w:ascii="Franklin Gothic Book" w:hAnsi="Franklin Gothic Book"/>
          <w:sz w:val="22"/>
          <w:szCs w:val="22"/>
        </w:rPr>
        <w:t xml:space="preserve">HER2-negative G/GOJ adenocarcinoma </w:t>
      </w:r>
      <w:r w:rsidR="003A0BBD">
        <w:rPr>
          <w:rFonts w:ascii="Franklin Gothic Book" w:hAnsi="Franklin Gothic Book"/>
          <w:sz w:val="22"/>
          <w:szCs w:val="22"/>
        </w:rPr>
        <w:t xml:space="preserve">and whose tumours </w:t>
      </w:r>
      <w:r w:rsidR="00726CBA">
        <w:rPr>
          <w:rFonts w:ascii="Franklin Gothic Book" w:hAnsi="Franklin Gothic Book"/>
          <w:sz w:val="22"/>
          <w:szCs w:val="22"/>
        </w:rPr>
        <w:t>are</w:t>
      </w:r>
      <w:r w:rsidRPr="002E133F">
        <w:rPr>
          <w:rFonts w:ascii="Franklin Gothic Book" w:hAnsi="Franklin Gothic Book"/>
          <w:sz w:val="22"/>
          <w:szCs w:val="22"/>
        </w:rPr>
        <w:t xml:space="preserve"> CLDN18</w:t>
      </w:r>
      <w:r w:rsidR="00F62E35">
        <w:rPr>
          <w:rFonts w:ascii="Franklin Gothic Book" w:hAnsi="Franklin Gothic Book"/>
          <w:sz w:val="22"/>
          <w:szCs w:val="22"/>
        </w:rPr>
        <w:t>.2</w:t>
      </w:r>
      <w:r w:rsidRPr="002E133F">
        <w:rPr>
          <w:rFonts w:ascii="Franklin Gothic Book" w:hAnsi="Franklin Gothic Book"/>
          <w:sz w:val="22"/>
          <w:szCs w:val="22"/>
        </w:rPr>
        <w:t xml:space="preserve"> </w:t>
      </w:r>
      <w:r w:rsidR="00726CBA">
        <w:rPr>
          <w:rFonts w:ascii="Franklin Gothic Book" w:hAnsi="Franklin Gothic Book"/>
          <w:sz w:val="22"/>
          <w:szCs w:val="22"/>
        </w:rPr>
        <w:t>positive</w:t>
      </w:r>
      <w:r w:rsidRPr="002E133F">
        <w:rPr>
          <w:rFonts w:ascii="Franklin Gothic Book" w:hAnsi="Franklin Gothic Book"/>
          <w:sz w:val="22"/>
          <w:szCs w:val="22"/>
        </w:rPr>
        <w:t>.</w:t>
      </w:r>
    </w:p>
    <w:p w14:paraId="5F5C74BD" w14:textId="11310307"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MSAC noted that the Pharmaceutical Benefits Advisory Committee (PBAC)</w:t>
      </w:r>
      <w:r w:rsidR="00BD7CB0">
        <w:rPr>
          <w:rFonts w:ascii="Franklin Gothic Book" w:hAnsi="Franklin Gothic Book"/>
          <w:sz w:val="22"/>
          <w:szCs w:val="22"/>
        </w:rPr>
        <w:t xml:space="preserve"> at its </w:t>
      </w:r>
      <w:r w:rsidR="00160FEE">
        <w:rPr>
          <w:rFonts w:ascii="Franklin Gothic Book" w:hAnsi="Franklin Gothic Book"/>
          <w:sz w:val="22"/>
          <w:szCs w:val="22"/>
        </w:rPr>
        <w:t>March 2025</w:t>
      </w:r>
      <w:r w:rsidRPr="002E133F">
        <w:rPr>
          <w:rFonts w:ascii="Franklin Gothic Book" w:hAnsi="Franklin Gothic Book"/>
          <w:sz w:val="22"/>
          <w:szCs w:val="22"/>
        </w:rPr>
        <w:t xml:space="preserve"> </w:t>
      </w:r>
      <w:r w:rsidR="00E42E07">
        <w:rPr>
          <w:rFonts w:ascii="Franklin Gothic Book" w:hAnsi="Franklin Gothic Book"/>
          <w:sz w:val="22"/>
          <w:szCs w:val="22"/>
        </w:rPr>
        <w:t>was</w:t>
      </w:r>
      <w:r w:rsidRPr="002E133F">
        <w:rPr>
          <w:rFonts w:ascii="Franklin Gothic Book" w:hAnsi="Franklin Gothic Book"/>
          <w:sz w:val="22"/>
          <w:szCs w:val="22"/>
        </w:rPr>
        <w:t xml:space="preserve"> of a mind to recommend zolbetuximab</w:t>
      </w:r>
      <w:r w:rsidR="002B0D6F">
        <w:rPr>
          <w:rFonts w:ascii="Franklin Gothic Book" w:hAnsi="Franklin Gothic Book"/>
          <w:sz w:val="22"/>
          <w:szCs w:val="22"/>
        </w:rPr>
        <w:t xml:space="preserve"> pending a price reduction</w:t>
      </w:r>
      <w:r w:rsidR="006A119E">
        <w:rPr>
          <w:rFonts w:ascii="Franklin Gothic Book" w:hAnsi="Franklin Gothic Book"/>
          <w:sz w:val="22"/>
          <w:szCs w:val="22"/>
        </w:rPr>
        <w:t xml:space="preserve"> and </w:t>
      </w:r>
      <w:r w:rsidR="00DC3841">
        <w:rPr>
          <w:rFonts w:ascii="Franklin Gothic Book" w:hAnsi="Franklin Gothic Book"/>
          <w:sz w:val="22"/>
          <w:szCs w:val="22"/>
        </w:rPr>
        <w:t xml:space="preserve">other updates </w:t>
      </w:r>
      <w:r w:rsidR="000E33EA">
        <w:rPr>
          <w:rFonts w:ascii="Franklin Gothic Book" w:hAnsi="Franklin Gothic Book"/>
          <w:sz w:val="22"/>
          <w:szCs w:val="22"/>
        </w:rPr>
        <w:t>including</w:t>
      </w:r>
      <w:r w:rsidR="00D45505">
        <w:rPr>
          <w:rFonts w:ascii="Franklin Gothic Book" w:hAnsi="Franklin Gothic Book"/>
          <w:sz w:val="22"/>
          <w:szCs w:val="22"/>
        </w:rPr>
        <w:t xml:space="preserve"> </w:t>
      </w:r>
      <w:r w:rsidR="0092694F">
        <w:rPr>
          <w:rFonts w:ascii="Franklin Gothic Book" w:hAnsi="Franklin Gothic Book"/>
          <w:sz w:val="22"/>
          <w:szCs w:val="22"/>
        </w:rPr>
        <w:t xml:space="preserve">amendments </w:t>
      </w:r>
      <w:r w:rsidR="00FD4256">
        <w:rPr>
          <w:rFonts w:ascii="Franklin Gothic Book" w:hAnsi="Franklin Gothic Book"/>
          <w:sz w:val="22"/>
          <w:szCs w:val="22"/>
        </w:rPr>
        <w:t xml:space="preserve">to the proposed </w:t>
      </w:r>
      <w:r w:rsidR="00064724">
        <w:rPr>
          <w:rFonts w:ascii="Franklin Gothic Book" w:hAnsi="Franklin Gothic Book"/>
          <w:sz w:val="22"/>
          <w:szCs w:val="22"/>
        </w:rPr>
        <w:t>restrict</w:t>
      </w:r>
      <w:r w:rsidR="00545BAB">
        <w:rPr>
          <w:rFonts w:ascii="Franklin Gothic Book" w:hAnsi="Franklin Gothic Book"/>
          <w:sz w:val="22"/>
          <w:szCs w:val="22"/>
        </w:rPr>
        <w:t>ion criteria</w:t>
      </w:r>
      <w:r w:rsidR="004C157F">
        <w:rPr>
          <w:rFonts w:ascii="Franklin Gothic Book" w:hAnsi="Franklin Gothic Book"/>
          <w:sz w:val="22"/>
          <w:szCs w:val="22"/>
        </w:rPr>
        <w:t xml:space="preserve"> and cost of managing </w:t>
      </w:r>
      <w:r w:rsidR="00D3051C" w:rsidRPr="00D3051C">
        <w:rPr>
          <w:rFonts w:ascii="Franklin Gothic Book" w:hAnsi="Franklin Gothic Book"/>
          <w:sz w:val="22"/>
          <w:szCs w:val="22"/>
        </w:rPr>
        <w:t>zolbetuximab-related adverse events</w:t>
      </w:r>
      <w:r w:rsidRPr="002E133F">
        <w:rPr>
          <w:rFonts w:ascii="Franklin Gothic Book" w:hAnsi="Franklin Gothic Book"/>
          <w:sz w:val="22"/>
          <w:szCs w:val="22"/>
        </w:rPr>
        <w:t xml:space="preserve">. </w:t>
      </w:r>
    </w:p>
    <w:p w14:paraId="3F264AB7" w14:textId="7BAE415C" w:rsidR="00A362C0" w:rsidRDefault="007C02FB"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MSAC noted the consultation input, which indicated support for this application.</w:t>
      </w:r>
      <w:r w:rsidR="007D3C75">
        <w:rPr>
          <w:rFonts w:ascii="Franklin Gothic Book" w:hAnsi="Franklin Gothic Book"/>
          <w:sz w:val="22"/>
          <w:szCs w:val="22"/>
        </w:rPr>
        <w:t xml:space="preserve"> </w:t>
      </w:r>
      <w:r w:rsidR="00563157">
        <w:rPr>
          <w:rFonts w:ascii="Franklin Gothic Book" w:hAnsi="Franklin Gothic Book"/>
          <w:sz w:val="22"/>
          <w:szCs w:val="22"/>
        </w:rPr>
        <w:t xml:space="preserve">MSAC noted </w:t>
      </w:r>
      <w:r w:rsidR="006A6423">
        <w:rPr>
          <w:rFonts w:ascii="Franklin Gothic Book" w:hAnsi="Franklin Gothic Book"/>
          <w:sz w:val="22"/>
          <w:szCs w:val="22"/>
        </w:rPr>
        <w:t>public</w:t>
      </w:r>
      <w:r w:rsidR="00563157">
        <w:rPr>
          <w:rFonts w:ascii="Franklin Gothic Book" w:hAnsi="Franklin Gothic Book"/>
          <w:sz w:val="22"/>
          <w:szCs w:val="22"/>
        </w:rPr>
        <w:t xml:space="preserve"> </w:t>
      </w:r>
      <w:r w:rsidR="0095136C">
        <w:rPr>
          <w:rFonts w:ascii="Franklin Gothic Book" w:hAnsi="Franklin Gothic Book"/>
          <w:sz w:val="22"/>
          <w:szCs w:val="22"/>
        </w:rPr>
        <w:t xml:space="preserve">funding would provide equitable access to the new therapies and would ensure </w:t>
      </w:r>
      <w:r w:rsidR="00ED03D3">
        <w:rPr>
          <w:rFonts w:ascii="Franklin Gothic Book" w:hAnsi="Franklin Gothic Book"/>
          <w:sz w:val="22"/>
          <w:szCs w:val="22"/>
        </w:rPr>
        <w:t>people are not required to self</w:t>
      </w:r>
      <w:r w:rsidR="009822B1">
        <w:rPr>
          <w:rFonts w:ascii="Franklin Gothic Book" w:hAnsi="Franklin Gothic Book"/>
          <w:sz w:val="22"/>
          <w:szCs w:val="22"/>
        </w:rPr>
        <w:t>-fund therapies</w:t>
      </w:r>
      <w:r w:rsidR="00122460">
        <w:rPr>
          <w:rFonts w:ascii="Franklin Gothic Book" w:hAnsi="Franklin Gothic Book"/>
          <w:sz w:val="22"/>
          <w:szCs w:val="22"/>
        </w:rPr>
        <w:t>.</w:t>
      </w:r>
      <w:r w:rsidR="00BA2C27">
        <w:rPr>
          <w:rFonts w:ascii="Franklin Gothic Book" w:hAnsi="Franklin Gothic Book"/>
          <w:sz w:val="22"/>
          <w:szCs w:val="22"/>
        </w:rPr>
        <w:t xml:space="preserve"> </w:t>
      </w:r>
      <w:r w:rsidR="008A1D6B">
        <w:rPr>
          <w:rFonts w:ascii="Franklin Gothic Book" w:hAnsi="Franklin Gothic Book"/>
          <w:sz w:val="22"/>
          <w:szCs w:val="22"/>
        </w:rPr>
        <w:t xml:space="preserve">Additionally, </w:t>
      </w:r>
      <w:r w:rsidR="007D62A8">
        <w:rPr>
          <w:rFonts w:ascii="Franklin Gothic Book" w:hAnsi="Franklin Gothic Book"/>
          <w:sz w:val="22"/>
          <w:szCs w:val="22"/>
        </w:rPr>
        <w:t xml:space="preserve">MSAC noted </w:t>
      </w:r>
      <w:r w:rsidR="00DC2221">
        <w:rPr>
          <w:rFonts w:ascii="Franklin Gothic Book" w:hAnsi="Franklin Gothic Book"/>
          <w:sz w:val="22"/>
          <w:szCs w:val="22"/>
        </w:rPr>
        <w:t xml:space="preserve">feedback </w:t>
      </w:r>
      <w:r w:rsidR="00ED3A27">
        <w:rPr>
          <w:rFonts w:ascii="Franklin Gothic Book" w:hAnsi="Franklin Gothic Book"/>
          <w:sz w:val="22"/>
          <w:szCs w:val="22"/>
        </w:rPr>
        <w:t>which</w:t>
      </w:r>
      <w:r w:rsidR="006F6E72">
        <w:rPr>
          <w:rFonts w:ascii="Franklin Gothic Book" w:hAnsi="Franklin Gothic Book"/>
          <w:sz w:val="22"/>
          <w:szCs w:val="22"/>
        </w:rPr>
        <w:t xml:space="preserve"> raised </w:t>
      </w:r>
      <w:r w:rsidR="00F461B1">
        <w:rPr>
          <w:rFonts w:ascii="Franklin Gothic Book" w:hAnsi="Franklin Gothic Book"/>
          <w:sz w:val="22"/>
          <w:szCs w:val="22"/>
        </w:rPr>
        <w:t xml:space="preserve">that </w:t>
      </w:r>
      <w:r w:rsidR="008A1D6B">
        <w:rPr>
          <w:rFonts w:ascii="Franklin Gothic Book" w:hAnsi="Franklin Gothic Book"/>
          <w:sz w:val="22"/>
          <w:szCs w:val="22"/>
        </w:rPr>
        <w:t xml:space="preserve">while the proposed </w:t>
      </w:r>
      <w:r w:rsidR="00093603">
        <w:rPr>
          <w:rFonts w:ascii="Franklin Gothic Book" w:hAnsi="Franklin Gothic Book"/>
          <w:sz w:val="22"/>
          <w:szCs w:val="22"/>
        </w:rPr>
        <w:t xml:space="preserve">medicines </w:t>
      </w:r>
      <w:r w:rsidR="00AD1DC5">
        <w:rPr>
          <w:rFonts w:ascii="Franklin Gothic Book" w:hAnsi="Franklin Gothic Book"/>
          <w:sz w:val="22"/>
          <w:szCs w:val="22"/>
        </w:rPr>
        <w:t>offered benefits</w:t>
      </w:r>
      <w:r w:rsidR="00B55489">
        <w:rPr>
          <w:rFonts w:ascii="Franklin Gothic Book" w:hAnsi="Franklin Gothic Book"/>
          <w:sz w:val="22"/>
          <w:szCs w:val="22"/>
        </w:rPr>
        <w:t>,</w:t>
      </w:r>
      <w:r w:rsidR="00FF20EE">
        <w:rPr>
          <w:rFonts w:ascii="Franklin Gothic Book" w:hAnsi="Franklin Gothic Book"/>
          <w:sz w:val="22"/>
          <w:szCs w:val="22"/>
        </w:rPr>
        <w:t xml:space="preserve"> patients should be aware of the possible side effects.</w:t>
      </w:r>
    </w:p>
    <w:p w14:paraId="78F76B65" w14:textId="71A16B94"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w:t>
      </w:r>
      <w:r w:rsidR="007F034D">
        <w:rPr>
          <w:rFonts w:ascii="Franklin Gothic Book" w:hAnsi="Franklin Gothic Book"/>
          <w:sz w:val="22"/>
          <w:szCs w:val="22"/>
        </w:rPr>
        <w:t xml:space="preserve">the </w:t>
      </w:r>
      <w:r w:rsidR="00850D4E">
        <w:rPr>
          <w:rFonts w:ascii="Franklin Gothic Book" w:hAnsi="Franklin Gothic Book"/>
          <w:sz w:val="22"/>
          <w:szCs w:val="22"/>
        </w:rPr>
        <w:t>comm</w:t>
      </w:r>
      <w:r w:rsidR="00F42046">
        <w:rPr>
          <w:rFonts w:ascii="Franklin Gothic Book" w:hAnsi="Franklin Gothic Book"/>
          <w:sz w:val="22"/>
          <w:szCs w:val="22"/>
        </w:rPr>
        <w:t xml:space="preserve">entary </w:t>
      </w:r>
      <w:r w:rsidR="007F034D">
        <w:rPr>
          <w:rFonts w:ascii="Franklin Gothic Book" w:hAnsi="Franklin Gothic Book"/>
          <w:sz w:val="22"/>
          <w:szCs w:val="22"/>
        </w:rPr>
        <w:t xml:space="preserve">considered </w:t>
      </w:r>
      <w:r w:rsidR="00F42046">
        <w:rPr>
          <w:rFonts w:ascii="Franklin Gothic Book" w:hAnsi="Franklin Gothic Book"/>
          <w:sz w:val="22"/>
          <w:szCs w:val="22"/>
        </w:rPr>
        <w:t xml:space="preserve">that </w:t>
      </w:r>
      <w:proofErr w:type="spellStart"/>
      <w:r w:rsidR="00F42046">
        <w:rPr>
          <w:rFonts w:ascii="Franklin Gothic Book" w:hAnsi="Franklin Gothic Book"/>
          <w:sz w:val="22"/>
          <w:szCs w:val="22"/>
        </w:rPr>
        <w:t>codependence</w:t>
      </w:r>
      <w:proofErr w:type="spellEnd"/>
      <w:r w:rsidR="00F42046">
        <w:rPr>
          <w:rFonts w:ascii="Franklin Gothic Book" w:hAnsi="Franklin Gothic Book"/>
          <w:sz w:val="22"/>
          <w:szCs w:val="22"/>
        </w:rPr>
        <w:t xml:space="preserve"> was not </w:t>
      </w:r>
      <w:r w:rsidR="003D0007">
        <w:rPr>
          <w:rFonts w:ascii="Franklin Gothic Book" w:hAnsi="Franklin Gothic Book"/>
          <w:sz w:val="22"/>
          <w:szCs w:val="22"/>
        </w:rPr>
        <w:t xml:space="preserve">supported by </w:t>
      </w:r>
      <w:r w:rsidR="009D006E">
        <w:rPr>
          <w:rFonts w:ascii="Franklin Gothic Book" w:hAnsi="Franklin Gothic Book"/>
          <w:sz w:val="22"/>
          <w:szCs w:val="22"/>
        </w:rPr>
        <w:t>counterfactual</w:t>
      </w:r>
      <w:r w:rsidR="0089106A">
        <w:rPr>
          <w:rFonts w:ascii="Franklin Gothic Book" w:hAnsi="Franklin Gothic Book"/>
          <w:sz w:val="22"/>
          <w:szCs w:val="22"/>
        </w:rPr>
        <w:t xml:space="preserve"> </w:t>
      </w:r>
      <w:r w:rsidR="003D0007">
        <w:rPr>
          <w:rFonts w:ascii="Franklin Gothic Book" w:hAnsi="Franklin Gothic Book"/>
          <w:sz w:val="22"/>
          <w:szCs w:val="22"/>
        </w:rPr>
        <w:t>evidence</w:t>
      </w:r>
      <w:r w:rsidR="005D3580">
        <w:rPr>
          <w:rFonts w:ascii="Franklin Gothic Book" w:hAnsi="Franklin Gothic Book"/>
          <w:sz w:val="22"/>
          <w:szCs w:val="22"/>
        </w:rPr>
        <w:t xml:space="preserve"> </w:t>
      </w:r>
      <w:r w:rsidR="00DD7F03">
        <w:rPr>
          <w:rFonts w:ascii="Franklin Gothic Book" w:hAnsi="Franklin Gothic Book"/>
          <w:sz w:val="22"/>
          <w:szCs w:val="22"/>
        </w:rPr>
        <w:t>as</w:t>
      </w:r>
      <w:r w:rsidR="005D3580">
        <w:rPr>
          <w:rFonts w:ascii="Franklin Gothic Book" w:hAnsi="Franklin Gothic Book"/>
          <w:sz w:val="22"/>
          <w:szCs w:val="22"/>
        </w:rPr>
        <w:t xml:space="preserve"> </w:t>
      </w:r>
      <w:r w:rsidR="00577CA4" w:rsidRPr="00577CA4">
        <w:rPr>
          <w:rFonts w:ascii="Franklin Gothic Book" w:hAnsi="Franklin Gothic Book"/>
          <w:sz w:val="22"/>
          <w:szCs w:val="22"/>
        </w:rPr>
        <w:t>the trials evaluating zolbetuximab + chemotherapy exclusively included patients with CLDN18.2+ expression</w:t>
      </w:r>
      <w:r w:rsidR="00DB3D0F">
        <w:rPr>
          <w:rFonts w:ascii="Franklin Gothic Book" w:hAnsi="Franklin Gothic Book"/>
          <w:sz w:val="22"/>
          <w:szCs w:val="22"/>
        </w:rPr>
        <w:t xml:space="preserve">. </w:t>
      </w:r>
      <w:r w:rsidR="00F42046">
        <w:rPr>
          <w:rFonts w:ascii="Franklin Gothic Book" w:hAnsi="Franklin Gothic Book"/>
          <w:sz w:val="22"/>
          <w:szCs w:val="22"/>
        </w:rPr>
        <w:t xml:space="preserve">However, </w:t>
      </w:r>
      <w:r w:rsidR="0036153F">
        <w:rPr>
          <w:rFonts w:ascii="Franklin Gothic Book" w:hAnsi="Franklin Gothic Book"/>
          <w:sz w:val="22"/>
          <w:szCs w:val="22"/>
        </w:rPr>
        <w:t xml:space="preserve">MSAC noted </w:t>
      </w:r>
      <w:r w:rsidR="00683546">
        <w:rPr>
          <w:rFonts w:ascii="Franklin Gothic Book" w:hAnsi="Franklin Gothic Book"/>
          <w:sz w:val="22"/>
          <w:szCs w:val="22"/>
        </w:rPr>
        <w:t xml:space="preserve">that </w:t>
      </w:r>
      <w:r w:rsidR="0071149C">
        <w:rPr>
          <w:rFonts w:ascii="Franklin Gothic Book" w:hAnsi="Franklin Gothic Book"/>
          <w:sz w:val="22"/>
          <w:szCs w:val="22"/>
        </w:rPr>
        <w:t xml:space="preserve">the </w:t>
      </w:r>
      <w:r w:rsidR="00DD67CC">
        <w:rPr>
          <w:rFonts w:ascii="Franklin Gothic Book" w:hAnsi="Franklin Gothic Book"/>
          <w:sz w:val="22"/>
          <w:szCs w:val="22"/>
        </w:rPr>
        <w:t>Evaluation Sub-</w:t>
      </w:r>
      <w:r w:rsidR="000F7423">
        <w:rPr>
          <w:rFonts w:ascii="Franklin Gothic Book" w:hAnsi="Franklin Gothic Book"/>
          <w:sz w:val="22"/>
          <w:szCs w:val="22"/>
        </w:rPr>
        <w:t>C</w:t>
      </w:r>
      <w:r w:rsidR="00DD67CC">
        <w:rPr>
          <w:rFonts w:ascii="Franklin Gothic Book" w:hAnsi="Franklin Gothic Book"/>
          <w:sz w:val="22"/>
          <w:szCs w:val="22"/>
        </w:rPr>
        <w:t>ommittee</w:t>
      </w:r>
      <w:r w:rsidR="00BF1291">
        <w:rPr>
          <w:rFonts w:ascii="Franklin Gothic Book" w:hAnsi="Franklin Gothic Book"/>
          <w:sz w:val="22"/>
          <w:szCs w:val="22"/>
        </w:rPr>
        <w:t>s</w:t>
      </w:r>
      <w:r w:rsidR="00DD67CC">
        <w:rPr>
          <w:rFonts w:ascii="Franklin Gothic Book" w:hAnsi="Franklin Gothic Book"/>
          <w:sz w:val="22"/>
          <w:szCs w:val="22"/>
        </w:rPr>
        <w:t xml:space="preserve"> (</w:t>
      </w:r>
      <w:r w:rsidR="0071149C">
        <w:rPr>
          <w:rFonts w:ascii="Franklin Gothic Book" w:hAnsi="Franklin Gothic Book"/>
          <w:sz w:val="22"/>
          <w:szCs w:val="22"/>
        </w:rPr>
        <w:t>ESCs</w:t>
      </w:r>
      <w:r w:rsidR="00BF1291">
        <w:rPr>
          <w:rFonts w:ascii="Franklin Gothic Book" w:hAnsi="Franklin Gothic Book"/>
          <w:sz w:val="22"/>
          <w:szCs w:val="22"/>
        </w:rPr>
        <w:t>)</w:t>
      </w:r>
      <w:r w:rsidR="0071149C">
        <w:rPr>
          <w:rFonts w:ascii="Franklin Gothic Book" w:hAnsi="Franklin Gothic Book"/>
          <w:sz w:val="22"/>
          <w:szCs w:val="22"/>
        </w:rPr>
        <w:t xml:space="preserve"> </w:t>
      </w:r>
      <w:r w:rsidR="00683546">
        <w:rPr>
          <w:rFonts w:ascii="Franklin Gothic Book" w:hAnsi="Franklin Gothic Book"/>
          <w:sz w:val="22"/>
          <w:szCs w:val="22"/>
        </w:rPr>
        <w:t>considered</w:t>
      </w:r>
      <w:r w:rsidR="0071149C" w:rsidRPr="0071149C">
        <w:rPr>
          <w:rFonts w:ascii="Franklin Gothic Book" w:hAnsi="Franklin Gothic Book"/>
          <w:sz w:val="22"/>
          <w:szCs w:val="22"/>
        </w:rPr>
        <w:t xml:space="preserve"> that the biological </w:t>
      </w:r>
      <w:r w:rsidR="00973DEF">
        <w:rPr>
          <w:rFonts w:ascii="Franklin Gothic Book" w:hAnsi="Franklin Gothic Book"/>
          <w:sz w:val="22"/>
          <w:szCs w:val="22"/>
        </w:rPr>
        <w:t>plausibility</w:t>
      </w:r>
      <w:r w:rsidR="0071149C" w:rsidRPr="0071149C">
        <w:rPr>
          <w:rFonts w:ascii="Franklin Gothic Book" w:hAnsi="Franklin Gothic Book"/>
          <w:sz w:val="22"/>
          <w:szCs w:val="22"/>
        </w:rPr>
        <w:t xml:space="preserve"> for testing</w:t>
      </w:r>
      <w:r w:rsidR="0071149C" w:rsidRPr="0071149C" w:rsidDel="00F13073">
        <w:rPr>
          <w:rFonts w:ascii="Franklin Gothic Book" w:hAnsi="Franklin Gothic Book"/>
          <w:sz w:val="22"/>
          <w:szCs w:val="22"/>
        </w:rPr>
        <w:t xml:space="preserve"> </w:t>
      </w:r>
      <w:r w:rsidR="0071149C" w:rsidRPr="0071149C">
        <w:rPr>
          <w:rFonts w:ascii="Franklin Gothic Book" w:hAnsi="Franklin Gothic Book"/>
          <w:sz w:val="22"/>
          <w:szCs w:val="22"/>
        </w:rPr>
        <w:t>CLDN18.2 expression as a biomarker for targeted treatment with zolbetuximab appeared to be reasonable and aligned with the international guidelines</w:t>
      </w:r>
      <w:r w:rsidR="00955068">
        <w:rPr>
          <w:rStyle w:val="FootnoteReference"/>
          <w:rFonts w:ascii="Franklin Gothic Book" w:hAnsi="Franklin Gothic Book"/>
          <w:sz w:val="22"/>
          <w:szCs w:val="22"/>
        </w:rPr>
        <w:footnoteReference w:id="2"/>
      </w:r>
      <w:r w:rsidR="00F83E7C" w:rsidRPr="0097566D">
        <w:rPr>
          <w:rFonts w:ascii="Franklin Gothic Book" w:hAnsi="Franklin Gothic Book"/>
          <w:sz w:val="22"/>
          <w:szCs w:val="22"/>
          <w:vertAlign w:val="superscript"/>
        </w:rPr>
        <w:t>,</w:t>
      </w:r>
      <w:r w:rsidR="00F83E7C">
        <w:rPr>
          <w:rStyle w:val="FootnoteReference"/>
          <w:rFonts w:ascii="Franklin Gothic Book" w:hAnsi="Franklin Gothic Book"/>
          <w:sz w:val="22"/>
          <w:szCs w:val="22"/>
        </w:rPr>
        <w:footnoteReference w:id="3"/>
      </w:r>
      <w:r w:rsidR="0071149C" w:rsidRPr="0071149C">
        <w:rPr>
          <w:rFonts w:ascii="Franklin Gothic Book" w:hAnsi="Franklin Gothic Book"/>
          <w:sz w:val="22"/>
          <w:szCs w:val="22"/>
        </w:rPr>
        <w:t xml:space="preserve">. </w:t>
      </w:r>
    </w:p>
    <w:p w14:paraId="19CB02A9" w14:textId="670E6439" w:rsidR="00191370" w:rsidRPr="002E133F" w:rsidRDefault="00191370" w:rsidP="00191370">
      <w:pPr>
        <w:pStyle w:val="TableFooter"/>
        <w:spacing w:before="120" w:after="160"/>
        <w:contextualSpacing w:val="0"/>
        <w:jc w:val="left"/>
        <w:rPr>
          <w:rFonts w:ascii="Franklin Gothic Book" w:hAnsi="Franklin Gothic Book"/>
          <w:sz w:val="22"/>
          <w:szCs w:val="22"/>
        </w:rPr>
      </w:pPr>
      <w:r>
        <w:rPr>
          <w:rFonts w:ascii="Franklin Gothic Book" w:hAnsi="Franklin Gothic Book"/>
          <w:sz w:val="22"/>
          <w:szCs w:val="22"/>
        </w:rPr>
        <w:t xml:space="preserve">MSAC acknowledged that </w:t>
      </w:r>
      <w:r w:rsidRPr="004E695F">
        <w:rPr>
          <w:rFonts w:ascii="Franklin Gothic Book" w:hAnsi="Franklin Gothic Book"/>
          <w:sz w:val="22"/>
          <w:szCs w:val="22"/>
        </w:rPr>
        <w:t>G</w:t>
      </w:r>
      <w:r>
        <w:rPr>
          <w:rFonts w:ascii="Franklin Gothic Book" w:hAnsi="Franklin Gothic Book"/>
          <w:sz w:val="22"/>
          <w:szCs w:val="22"/>
        </w:rPr>
        <w:t>/</w:t>
      </w:r>
      <w:r w:rsidRPr="004E695F">
        <w:rPr>
          <w:rFonts w:ascii="Franklin Gothic Book" w:hAnsi="Franklin Gothic Book"/>
          <w:sz w:val="22"/>
          <w:szCs w:val="22"/>
        </w:rPr>
        <w:t>GOJ a</w:t>
      </w:r>
      <w:r>
        <w:rPr>
          <w:rFonts w:ascii="Franklin Gothic Book" w:hAnsi="Franklin Gothic Book"/>
          <w:sz w:val="22"/>
          <w:szCs w:val="22"/>
        </w:rPr>
        <w:t>denocarcinoma</w:t>
      </w:r>
      <w:r w:rsidRPr="004E695F">
        <w:rPr>
          <w:rFonts w:ascii="Franklin Gothic Book" w:hAnsi="Franklin Gothic Book"/>
          <w:sz w:val="22"/>
          <w:szCs w:val="22"/>
        </w:rPr>
        <w:t xml:space="preserve">s are very aggressive malignancies with </w:t>
      </w:r>
      <w:r>
        <w:rPr>
          <w:rFonts w:ascii="Franklin Gothic Book" w:hAnsi="Franklin Gothic Book"/>
          <w:sz w:val="22"/>
          <w:szCs w:val="22"/>
        </w:rPr>
        <w:t>5-</w:t>
      </w:r>
      <w:r w:rsidRPr="004E695F">
        <w:rPr>
          <w:rFonts w:ascii="Franklin Gothic Book" w:hAnsi="Franklin Gothic Book"/>
          <w:sz w:val="22"/>
          <w:szCs w:val="22"/>
        </w:rPr>
        <w:t>year survival rates</w:t>
      </w:r>
      <w:r>
        <w:rPr>
          <w:rFonts w:ascii="Franklin Gothic Book" w:hAnsi="Franklin Gothic Book"/>
          <w:sz w:val="22"/>
          <w:szCs w:val="22"/>
        </w:rPr>
        <w:t xml:space="preserve"> of </w:t>
      </w:r>
      <w:r w:rsidR="00583A7B">
        <w:rPr>
          <w:rFonts w:ascii="Franklin Gothic Book" w:hAnsi="Franklin Gothic Book"/>
          <w:sz w:val="22"/>
          <w:szCs w:val="22"/>
        </w:rPr>
        <w:t xml:space="preserve">approximately </w:t>
      </w:r>
      <w:r w:rsidR="00E30532">
        <w:rPr>
          <w:rFonts w:ascii="Franklin Gothic Book" w:hAnsi="Franklin Gothic Book"/>
          <w:sz w:val="22"/>
          <w:szCs w:val="22"/>
        </w:rPr>
        <w:t>37</w:t>
      </w:r>
      <w:r>
        <w:rPr>
          <w:rFonts w:ascii="Franklin Gothic Book" w:hAnsi="Franklin Gothic Book"/>
          <w:sz w:val="22"/>
          <w:szCs w:val="22"/>
        </w:rPr>
        <w:t xml:space="preserve">% for </w:t>
      </w:r>
      <w:r w:rsidR="00E30532">
        <w:rPr>
          <w:rFonts w:ascii="Franklin Gothic Book" w:hAnsi="Franklin Gothic Book"/>
          <w:sz w:val="22"/>
          <w:szCs w:val="22"/>
        </w:rPr>
        <w:t xml:space="preserve">all stages of </w:t>
      </w:r>
      <w:r>
        <w:rPr>
          <w:rFonts w:ascii="Franklin Gothic Book" w:hAnsi="Franklin Gothic Book"/>
          <w:sz w:val="22"/>
          <w:szCs w:val="22"/>
        </w:rPr>
        <w:t>disease</w:t>
      </w:r>
      <w:r w:rsidR="00E30532">
        <w:rPr>
          <w:rFonts w:ascii="Franklin Gothic Book" w:hAnsi="Franklin Gothic Book"/>
          <w:sz w:val="22"/>
          <w:szCs w:val="22"/>
        </w:rPr>
        <w:t xml:space="preserve"> combined and </w:t>
      </w:r>
      <w:r>
        <w:rPr>
          <w:rFonts w:ascii="Franklin Gothic Book" w:hAnsi="Franklin Gothic Book"/>
          <w:sz w:val="22"/>
          <w:szCs w:val="22"/>
        </w:rPr>
        <w:t>5-10% for patients with advanced (stage IV) disease. The survival rate is worse for patients with HER2 negative locally advanced unresectable/metastatic G/GOJ carcinomas than those with HER2 positive due to a lack of targeted treatment options</w:t>
      </w:r>
      <w:r w:rsidR="002D2052">
        <w:rPr>
          <w:rFonts w:ascii="Franklin Gothic Book" w:hAnsi="Franklin Gothic Book"/>
          <w:sz w:val="22"/>
          <w:szCs w:val="22"/>
        </w:rPr>
        <w:t xml:space="preserve"> for patients with HER2 negative</w:t>
      </w:r>
      <w:r w:rsidR="00413773">
        <w:rPr>
          <w:rFonts w:ascii="Franklin Gothic Book" w:hAnsi="Franklin Gothic Book"/>
          <w:sz w:val="22"/>
          <w:szCs w:val="22"/>
        </w:rPr>
        <w:t xml:space="preserve"> G/GOJ carcinomas</w:t>
      </w:r>
      <w:r>
        <w:rPr>
          <w:rFonts w:ascii="Franklin Gothic Book" w:hAnsi="Franklin Gothic Book"/>
          <w:sz w:val="22"/>
          <w:szCs w:val="22"/>
        </w:rPr>
        <w:t xml:space="preserve">. MSAC considered </w:t>
      </w:r>
      <w:r w:rsidRPr="00073ACA">
        <w:rPr>
          <w:rFonts w:ascii="Franklin Gothic Book" w:hAnsi="Franklin Gothic Book"/>
          <w:sz w:val="22"/>
          <w:szCs w:val="22"/>
        </w:rPr>
        <w:t xml:space="preserve">there is a significant unmet need for effective therapies for patients </w:t>
      </w:r>
      <w:r>
        <w:rPr>
          <w:rFonts w:ascii="Franklin Gothic Book" w:hAnsi="Franklin Gothic Book"/>
          <w:sz w:val="22"/>
          <w:szCs w:val="22"/>
        </w:rPr>
        <w:t xml:space="preserve">with </w:t>
      </w:r>
      <w:r w:rsidRPr="00073ACA">
        <w:rPr>
          <w:rFonts w:ascii="Franklin Gothic Book" w:hAnsi="Franklin Gothic Book"/>
          <w:sz w:val="22"/>
          <w:szCs w:val="22"/>
        </w:rPr>
        <w:t>advanced disease</w:t>
      </w:r>
      <w:r>
        <w:rPr>
          <w:rFonts w:ascii="Franklin Gothic Book" w:hAnsi="Franklin Gothic Book"/>
          <w:sz w:val="22"/>
          <w:szCs w:val="22"/>
        </w:rPr>
        <w:t xml:space="preserve">. MSAC noted that CLDN18 testing is not currently funded, </w:t>
      </w:r>
      <w:r w:rsidR="00284E18">
        <w:rPr>
          <w:rFonts w:ascii="Franklin Gothic Book" w:hAnsi="Franklin Gothic Book"/>
          <w:sz w:val="22"/>
          <w:szCs w:val="22"/>
        </w:rPr>
        <w:t xml:space="preserve">but </w:t>
      </w:r>
      <w:r w:rsidR="006542FF">
        <w:rPr>
          <w:rFonts w:ascii="Franklin Gothic Book" w:hAnsi="Franklin Gothic Book"/>
          <w:sz w:val="22"/>
          <w:szCs w:val="22"/>
        </w:rPr>
        <w:t>MBS listing of</w:t>
      </w:r>
      <w:r w:rsidR="000F5E64">
        <w:rPr>
          <w:rFonts w:ascii="Franklin Gothic Book" w:hAnsi="Franklin Gothic Book"/>
          <w:sz w:val="22"/>
          <w:szCs w:val="22"/>
        </w:rPr>
        <w:t xml:space="preserve"> the test would allow access to PBS subsidised zolbetuximab.</w:t>
      </w:r>
      <w:r w:rsidR="00063222">
        <w:rPr>
          <w:rFonts w:ascii="Franklin Gothic Book" w:hAnsi="Franklin Gothic Book"/>
          <w:sz w:val="22"/>
          <w:szCs w:val="22"/>
        </w:rPr>
        <w:t xml:space="preserve"> However, MSAC noted</w:t>
      </w:r>
      <w:r w:rsidR="00416F8C">
        <w:rPr>
          <w:rFonts w:ascii="Franklin Gothic Book" w:hAnsi="Franklin Gothic Book"/>
          <w:sz w:val="22"/>
          <w:szCs w:val="22"/>
        </w:rPr>
        <w:t xml:space="preserve"> </w:t>
      </w:r>
      <w:r w:rsidR="006A522E">
        <w:rPr>
          <w:rFonts w:ascii="Franklin Gothic Book" w:hAnsi="Franklin Gothic Book"/>
          <w:sz w:val="22"/>
          <w:szCs w:val="22"/>
        </w:rPr>
        <w:t>the</w:t>
      </w:r>
      <w:r w:rsidR="00416F8C">
        <w:rPr>
          <w:rFonts w:ascii="Franklin Gothic Book" w:hAnsi="Franklin Gothic Book"/>
          <w:sz w:val="22"/>
          <w:szCs w:val="22"/>
        </w:rPr>
        <w:t xml:space="preserve"> toxicity profile</w:t>
      </w:r>
      <w:r w:rsidR="006A522E">
        <w:rPr>
          <w:rFonts w:ascii="Franklin Gothic Book" w:hAnsi="Franklin Gothic Book"/>
          <w:sz w:val="22"/>
          <w:szCs w:val="22"/>
        </w:rPr>
        <w:t xml:space="preserve"> </w:t>
      </w:r>
      <w:r w:rsidR="00416F8C">
        <w:rPr>
          <w:rFonts w:ascii="Franklin Gothic Book" w:hAnsi="Franklin Gothic Book"/>
          <w:sz w:val="22"/>
          <w:szCs w:val="22"/>
        </w:rPr>
        <w:t xml:space="preserve">of zolbetuximab </w:t>
      </w:r>
      <w:r w:rsidR="00ED05CC">
        <w:rPr>
          <w:rFonts w:ascii="Franklin Gothic Book" w:hAnsi="Franklin Gothic Book"/>
          <w:sz w:val="22"/>
          <w:szCs w:val="22"/>
        </w:rPr>
        <w:t>indicate</w:t>
      </w:r>
      <w:r w:rsidR="00416F8C">
        <w:rPr>
          <w:rFonts w:ascii="Franklin Gothic Book" w:hAnsi="Franklin Gothic Book"/>
          <w:sz w:val="22"/>
          <w:szCs w:val="22"/>
        </w:rPr>
        <w:t>d</w:t>
      </w:r>
      <w:r w:rsidR="00063222">
        <w:rPr>
          <w:rFonts w:ascii="Franklin Gothic Book" w:hAnsi="Franklin Gothic Book"/>
          <w:sz w:val="22"/>
          <w:szCs w:val="22"/>
        </w:rPr>
        <w:t xml:space="preserve"> that </w:t>
      </w:r>
      <w:r w:rsidR="00A16C3F">
        <w:rPr>
          <w:rFonts w:ascii="Franklin Gothic Book" w:hAnsi="Franklin Gothic Book"/>
          <w:sz w:val="22"/>
          <w:szCs w:val="22"/>
        </w:rPr>
        <w:t xml:space="preserve">appropriate mitigation and management of adverse events associated with the </w:t>
      </w:r>
      <w:r w:rsidR="003C5A1C">
        <w:rPr>
          <w:rFonts w:ascii="Franklin Gothic Book" w:hAnsi="Franklin Gothic Book"/>
          <w:sz w:val="22"/>
          <w:szCs w:val="22"/>
        </w:rPr>
        <w:t xml:space="preserve">treatment would be required. </w:t>
      </w:r>
    </w:p>
    <w:p w14:paraId="003CD5F2" w14:textId="53CC8F79" w:rsidR="004135EE" w:rsidRPr="002E133F" w:rsidRDefault="00D604D6" w:rsidP="00D604D6">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MSAC noted that</w:t>
      </w:r>
      <w:r w:rsidR="00CC5FD9">
        <w:rPr>
          <w:rFonts w:ascii="Franklin Gothic Book" w:hAnsi="Franklin Gothic Book"/>
          <w:sz w:val="22"/>
          <w:szCs w:val="22"/>
        </w:rPr>
        <w:t xml:space="preserve"> </w:t>
      </w:r>
      <w:r w:rsidRPr="002E133F">
        <w:rPr>
          <w:rFonts w:ascii="Franklin Gothic Book" w:hAnsi="Franklin Gothic Book"/>
          <w:sz w:val="22"/>
          <w:szCs w:val="22"/>
        </w:rPr>
        <w:t xml:space="preserve">the </w:t>
      </w:r>
      <w:r w:rsidR="00B95B21">
        <w:rPr>
          <w:rFonts w:ascii="Franklin Gothic Book" w:hAnsi="Franklin Gothic Book"/>
          <w:sz w:val="22"/>
          <w:szCs w:val="22"/>
        </w:rPr>
        <w:t xml:space="preserve">proposed </w:t>
      </w:r>
      <w:r w:rsidRPr="002E133F">
        <w:rPr>
          <w:rFonts w:ascii="Franklin Gothic Book" w:hAnsi="Franklin Gothic Book"/>
          <w:sz w:val="22"/>
          <w:szCs w:val="22"/>
        </w:rPr>
        <w:t xml:space="preserve">intervention was </w:t>
      </w:r>
      <w:r>
        <w:rPr>
          <w:rFonts w:ascii="Franklin Gothic Book" w:hAnsi="Franklin Gothic Book"/>
          <w:sz w:val="22"/>
          <w:szCs w:val="22"/>
        </w:rPr>
        <w:t>immunohistochemistry (</w:t>
      </w:r>
      <w:r w:rsidRPr="002E133F">
        <w:rPr>
          <w:rFonts w:ascii="Franklin Gothic Book" w:hAnsi="Franklin Gothic Book"/>
          <w:sz w:val="22"/>
          <w:szCs w:val="22"/>
        </w:rPr>
        <w:t>IHC</w:t>
      </w:r>
      <w:r>
        <w:rPr>
          <w:rFonts w:ascii="Franklin Gothic Book" w:hAnsi="Franklin Gothic Book"/>
          <w:sz w:val="22"/>
          <w:szCs w:val="22"/>
        </w:rPr>
        <w:t>)</w:t>
      </w:r>
      <w:r w:rsidRPr="002E133F">
        <w:rPr>
          <w:rFonts w:ascii="Franklin Gothic Book" w:hAnsi="Franklin Gothic Book"/>
          <w:sz w:val="22"/>
          <w:szCs w:val="22"/>
        </w:rPr>
        <w:t xml:space="preserve"> testing for CLDN18 expression using the Ventana</w:t>
      </w:r>
      <w:r w:rsidRPr="0097566D">
        <w:rPr>
          <w:rFonts w:ascii="Franklin Gothic Book" w:hAnsi="Franklin Gothic Book"/>
          <w:sz w:val="22"/>
          <w:szCs w:val="22"/>
          <w:vertAlign w:val="superscript"/>
        </w:rPr>
        <w:t>®</w:t>
      </w:r>
      <w:r w:rsidRPr="002E133F">
        <w:rPr>
          <w:rFonts w:ascii="Franklin Gothic Book" w:hAnsi="Franklin Gothic Book"/>
          <w:sz w:val="22"/>
          <w:szCs w:val="22"/>
        </w:rPr>
        <w:t xml:space="preserve"> CLDN18 (43-14A) </w:t>
      </w:r>
      <w:proofErr w:type="spellStart"/>
      <w:r w:rsidRPr="002E133F">
        <w:rPr>
          <w:rFonts w:ascii="Franklin Gothic Book" w:hAnsi="Franklin Gothic Book"/>
          <w:sz w:val="22"/>
          <w:szCs w:val="22"/>
        </w:rPr>
        <w:t>RxDx</w:t>
      </w:r>
      <w:proofErr w:type="spellEnd"/>
      <w:r w:rsidRPr="002E133F">
        <w:rPr>
          <w:rFonts w:ascii="Franklin Gothic Book" w:hAnsi="Franklin Gothic Book"/>
          <w:sz w:val="22"/>
          <w:szCs w:val="22"/>
        </w:rPr>
        <w:t xml:space="preserve"> assay, which is the clinical utility standard and was used in the </w:t>
      </w:r>
      <w:r w:rsidR="00D90956">
        <w:rPr>
          <w:rFonts w:ascii="Franklin Gothic Book" w:hAnsi="Franklin Gothic Book"/>
          <w:sz w:val="22"/>
          <w:szCs w:val="22"/>
        </w:rPr>
        <w:t xml:space="preserve">key </w:t>
      </w:r>
      <w:r w:rsidRPr="002E133F">
        <w:rPr>
          <w:rFonts w:ascii="Franklin Gothic Book" w:hAnsi="Franklin Gothic Book"/>
          <w:sz w:val="22"/>
          <w:szCs w:val="22"/>
        </w:rPr>
        <w:t>SPOTLIGHT and GLOW trials. MSAC noted that the</w:t>
      </w:r>
      <w:r w:rsidR="005F7A84">
        <w:rPr>
          <w:rFonts w:ascii="Franklin Gothic Book" w:hAnsi="Franklin Gothic Book"/>
          <w:sz w:val="22"/>
          <w:szCs w:val="22"/>
        </w:rPr>
        <w:t xml:space="preserve"> Therapeutic Goods Administration</w:t>
      </w:r>
      <w:r w:rsidR="00562274">
        <w:rPr>
          <w:rFonts w:ascii="Franklin Gothic Book" w:hAnsi="Franklin Gothic Book"/>
          <w:sz w:val="22"/>
          <w:szCs w:val="22"/>
        </w:rPr>
        <w:t xml:space="preserve"> </w:t>
      </w:r>
      <w:r w:rsidR="005F7A84">
        <w:rPr>
          <w:rFonts w:ascii="Franklin Gothic Book" w:hAnsi="Franklin Gothic Book"/>
          <w:sz w:val="22"/>
          <w:szCs w:val="22"/>
        </w:rPr>
        <w:t>(</w:t>
      </w:r>
      <w:r w:rsidRPr="002E133F">
        <w:rPr>
          <w:rFonts w:ascii="Franklin Gothic Book" w:hAnsi="Franklin Gothic Book"/>
          <w:sz w:val="22"/>
          <w:szCs w:val="22"/>
        </w:rPr>
        <w:t>TGA</w:t>
      </w:r>
      <w:r w:rsidR="005F7A84">
        <w:rPr>
          <w:rFonts w:ascii="Franklin Gothic Book" w:hAnsi="Franklin Gothic Book"/>
          <w:sz w:val="22"/>
          <w:szCs w:val="22"/>
        </w:rPr>
        <w:t>)</w:t>
      </w:r>
      <w:r w:rsidRPr="002E133F">
        <w:rPr>
          <w:rFonts w:ascii="Franklin Gothic Book" w:hAnsi="Franklin Gothic Book"/>
          <w:sz w:val="22"/>
          <w:szCs w:val="22"/>
        </w:rPr>
        <w:t xml:space="preserve"> had</w:t>
      </w:r>
      <w:r w:rsidRPr="002E133F" w:rsidDel="00D90956">
        <w:rPr>
          <w:rFonts w:ascii="Franklin Gothic Book" w:hAnsi="Franklin Gothic Book"/>
          <w:sz w:val="22"/>
          <w:szCs w:val="22"/>
        </w:rPr>
        <w:t xml:space="preserve"> </w:t>
      </w:r>
      <w:r w:rsidRPr="002E133F">
        <w:rPr>
          <w:rFonts w:ascii="Franklin Gothic Book" w:hAnsi="Franklin Gothic Book"/>
          <w:sz w:val="22"/>
          <w:szCs w:val="22"/>
        </w:rPr>
        <w:t xml:space="preserve">made the decision </w:t>
      </w:r>
      <w:r w:rsidR="00D90956">
        <w:rPr>
          <w:rFonts w:ascii="Franklin Gothic Book" w:hAnsi="Franklin Gothic Book"/>
          <w:sz w:val="22"/>
          <w:szCs w:val="22"/>
        </w:rPr>
        <w:t xml:space="preserve">on </w:t>
      </w:r>
      <w:r w:rsidR="00D90956" w:rsidRPr="002E133F">
        <w:rPr>
          <w:rFonts w:ascii="Franklin Gothic Book" w:hAnsi="Franklin Gothic Book"/>
          <w:sz w:val="22"/>
          <w:szCs w:val="22"/>
        </w:rPr>
        <w:t>2 April 2025</w:t>
      </w:r>
      <w:r w:rsidR="00D90956">
        <w:rPr>
          <w:rFonts w:ascii="Franklin Gothic Book" w:hAnsi="Franklin Gothic Book"/>
          <w:sz w:val="22"/>
          <w:szCs w:val="22"/>
        </w:rPr>
        <w:t xml:space="preserve"> </w:t>
      </w:r>
      <w:r w:rsidRPr="002E133F">
        <w:rPr>
          <w:rFonts w:ascii="Franklin Gothic Book" w:hAnsi="Franklin Gothic Book"/>
          <w:sz w:val="22"/>
          <w:szCs w:val="22"/>
        </w:rPr>
        <w:t xml:space="preserve">to include the </w:t>
      </w:r>
      <w:bookmarkStart w:id="7" w:name="_Hlk198548216"/>
      <w:r w:rsidR="00C638DA">
        <w:rPr>
          <w:rFonts w:ascii="Franklin Gothic Book" w:hAnsi="Franklin Gothic Book"/>
          <w:sz w:val="22"/>
          <w:szCs w:val="22"/>
        </w:rPr>
        <w:t>Ventana</w:t>
      </w:r>
      <w:r w:rsidR="00C638DA" w:rsidRPr="000B64BF">
        <w:rPr>
          <w:rFonts w:ascii="Franklin Gothic Book" w:hAnsi="Franklin Gothic Book"/>
          <w:sz w:val="22"/>
          <w:szCs w:val="22"/>
          <w:vertAlign w:val="superscript"/>
        </w:rPr>
        <w:t>®</w:t>
      </w:r>
      <w:r w:rsidR="00C638DA" w:rsidRPr="002E133F">
        <w:rPr>
          <w:rFonts w:ascii="Franklin Gothic Book" w:hAnsi="Franklin Gothic Book"/>
          <w:sz w:val="22"/>
          <w:szCs w:val="22"/>
        </w:rPr>
        <w:t xml:space="preserve"> CLDN18 (43-14A) </w:t>
      </w:r>
      <w:proofErr w:type="spellStart"/>
      <w:r w:rsidR="00C638DA" w:rsidRPr="002E133F">
        <w:rPr>
          <w:rFonts w:ascii="Franklin Gothic Book" w:hAnsi="Franklin Gothic Book"/>
          <w:sz w:val="22"/>
          <w:szCs w:val="22"/>
        </w:rPr>
        <w:t>RxDx</w:t>
      </w:r>
      <w:proofErr w:type="spellEnd"/>
      <w:r w:rsidR="00C638DA" w:rsidRPr="002E133F">
        <w:rPr>
          <w:rFonts w:ascii="Franklin Gothic Book" w:hAnsi="Franklin Gothic Book"/>
          <w:sz w:val="22"/>
          <w:szCs w:val="22"/>
        </w:rPr>
        <w:t xml:space="preserve"> assay</w:t>
      </w:r>
      <w:r w:rsidR="00C638DA" w:rsidRPr="002E133F" w:rsidDel="001C216D">
        <w:rPr>
          <w:rFonts w:ascii="Franklin Gothic Book" w:hAnsi="Franklin Gothic Book"/>
          <w:sz w:val="22"/>
          <w:szCs w:val="22"/>
        </w:rPr>
        <w:t xml:space="preserve"> </w:t>
      </w:r>
      <w:r w:rsidR="00A22748">
        <w:rPr>
          <w:rFonts w:ascii="Franklin Gothic Book" w:hAnsi="Franklin Gothic Book"/>
          <w:sz w:val="22"/>
          <w:szCs w:val="22"/>
        </w:rPr>
        <w:t>as an</w:t>
      </w:r>
      <w:r w:rsidR="00A22748" w:rsidRPr="00A22748">
        <w:rPr>
          <w:rFonts w:ascii="Franklin Gothic Book" w:hAnsi="Franklin Gothic Book"/>
          <w:sz w:val="22"/>
          <w:szCs w:val="22"/>
        </w:rPr>
        <w:t xml:space="preserve"> </w:t>
      </w:r>
      <w:r w:rsidR="00276CC1">
        <w:rPr>
          <w:rFonts w:ascii="Franklin Gothic Book" w:hAnsi="Franklin Gothic Book"/>
          <w:sz w:val="22"/>
          <w:szCs w:val="22"/>
        </w:rPr>
        <w:t>i</w:t>
      </w:r>
      <w:r w:rsidR="00276CC1" w:rsidRPr="00276CC1">
        <w:rPr>
          <w:rFonts w:ascii="Franklin Gothic Book" w:hAnsi="Franklin Gothic Book"/>
          <w:sz w:val="22"/>
          <w:szCs w:val="22"/>
        </w:rPr>
        <w:t>n vitro diagnostic (IVD)</w:t>
      </w:r>
      <w:r w:rsidR="001C216D">
        <w:rPr>
          <w:rFonts w:ascii="Franklin Gothic Book" w:hAnsi="Franklin Gothic Book"/>
          <w:sz w:val="22"/>
          <w:szCs w:val="22"/>
        </w:rPr>
        <w:t xml:space="preserve"> companion test</w:t>
      </w:r>
      <w:r w:rsidR="002E3106">
        <w:rPr>
          <w:rFonts w:ascii="Franklin Gothic Book" w:hAnsi="Franklin Gothic Book"/>
          <w:sz w:val="22"/>
          <w:szCs w:val="22"/>
        </w:rPr>
        <w:t xml:space="preserve"> for zolbetuxima</w:t>
      </w:r>
      <w:r w:rsidR="00DA70B6">
        <w:rPr>
          <w:rFonts w:ascii="Franklin Gothic Book" w:hAnsi="Franklin Gothic Book"/>
          <w:sz w:val="22"/>
          <w:szCs w:val="22"/>
        </w:rPr>
        <w:t>b</w:t>
      </w:r>
      <w:r w:rsidR="002E3106">
        <w:rPr>
          <w:rFonts w:ascii="Franklin Gothic Book" w:hAnsi="Franklin Gothic Book"/>
          <w:sz w:val="22"/>
          <w:szCs w:val="22"/>
        </w:rPr>
        <w:t xml:space="preserve"> treatment</w:t>
      </w:r>
      <w:r w:rsidRPr="002E133F">
        <w:rPr>
          <w:rFonts w:ascii="Franklin Gothic Book" w:hAnsi="Franklin Gothic Book"/>
          <w:sz w:val="22"/>
          <w:szCs w:val="22"/>
        </w:rPr>
        <w:t xml:space="preserve"> on the Australian Register of Therapeutic Goods </w:t>
      </w:r>
      <w:bookmarkEnd w:id="7"/>
      <w:r w:rsidRPr="002E133F">
        <w:rPr>
          <w:rFonts w:ascii="Franklin Gothic Book" w:hAnsi="Franklin Gothic Book"/>
          <w:sz w:val="22"/>
          <w:szCs w:val="22"/>
        </w:rPr>
        <w:t xml:space="preserve">(ARTG). The comparator was </w:t>
      </w:r>
      <w:proofErr w:type="gramStart"/>
      <w:r w:rsidRPr="002E133F">
        <w:rPr>
          <w:rFonts w:ascii="Franklin Gothic Book" w:hAnsi="Franklin Gothic Book"/>
          <w:sz w:val="22"/>
          <w:szCs w:val="22"/>
        </w:rPr>
        <w:t>no</w:t>
      </w:r>
      <w:proofErr w:type="gramEnd"/>
      <w:r w:rsidRPr="002E133F">
        <w:rPr>
          <w:rFonts w:ascii="Franklin Gothic Book" w:hAnsi="Franklin Gothic Book"/>
          <w:sz w:val="22"/>
          <w:szCs w:val="22"/>
        </w:rPr>
        <w:t xml:space="preserve"> testing, which MSAC considered to be appropriate. </w:t>
      </w:r>
      <w:r w:rsidR="003A16D2">
        <w:rPr>
          <w:rFonts w:ascii="Franklin Gothic Book" w:hAnsi="Franklin Gothic Book"/>
          <w:sz w:val="22"/>
          <w:szCs w:val="22"/>
        </w:rPr>
        <w:t>MSAC noted</w:t>
      </w:r>
      <w:r w:rsidRPr="002E133F" w:rsidDel="003A16D2">
        <w:rPr>
          <w:rFonts w:ascii="Franklin Gothic Book" w:hAnsi="Franklin Gothic Book"/>
          <w:sz w:val="22"/>
          <w:szCs w:val="22"/>
        </w:rPr>
        <w:t xml:space="preserve"> </w:t>
      </w:r>
      <w:r w:rsidRPr="002E133F">
        <w:rPr>
          <w:rFonts w:ascii="Franklin Gothic Book" w:hAnsi="Franklin Gothic Book"/>
          <w:sz w:val="22"/>
          <w:szCs w:val="22"/>
        </w:rPr>
        <w:t xml:space="preserve">the intervention </w:t>
      </w:r>
      <w:r w:rsidR="003A16D2">
        <w:rPr>
          <w:rFonts w:ascii="Franklin Gothic Book" w:hAnsi="Franklin Gothic Book"/>
          <w:sz w:val="22"/>
          <w:szCs w:val="22"/>
        </w:rPr>
        <w:t xml:space="preserve">for the drug </w:t>
      </w:r>
      <w:r w:rsidRPr="002E133F">
        <w:rPr>
          <w:rFonts w:ascii="Franklin Gothic Book" w:hAnsi="Franklin Gothic Book"/>
          <w:sz w:val="22"/>
          <w:szCs w:val="22"/>
        </w:rPr>
        <w:t>was zolbetuximab in combination with fluoropyrimidine- and platinum-containing chemotherapy, and the comparator was nivolumab in combination with fluoropyrimidine- and platinum-containing chemotherapy</w:t>
      </w:r>
      <w:r w:rsidRPr="002E133F" w:rsidDel="003A16D2">
        <w:rPr>
          <w:rFonts w:ascii="Franklin Gothic Book" w:hAnsi="Franklin Gothic Book"/>
          <w:sz w:val="22"/>
          <w:szCs w:val="22"/>
        </w:rPr>
        <w:t>.</w:t>
      </w:r>
      <w:r w:rsidR="00290059">
        <w:rPr>
          <w:rFonts w:ascii="Franklin Gothic Book" w:hAnsi="Franklin Gothic Book"/>
          <w:sz w:val="22"/>
          <w:szCs w:val="22"/>
        </w:rPr>
        <w:t xml:space="preserve"> </w:t>
      </w:r>
      <w:r w:rsidR="004135EE" w:rsidRPr="004135EE">
        <w:rPr>
          <w:rFonts w:ascii="Franklin Gothic Book" w:hAnsi="Franklin Gothic Book"/>
          <w:sz w:val="22"/>
          <w:szCs w:val="22"/>
        </w:rPr>
        <w:t xml:space="preserve">MSAC noted that assay antibody 43-14A clone is not isotype-specific, but Claudin 18.2 is the only isotype expressed in </w:t>
      </w:r>
      <w:r w:rsidR="00704741">
        <w:rPr>
          <w:rFonts w:ascii="Franklin Gothic Book" w:hAnsi="Franklin Gothic Book"/>
          <w:sz w:val="22"/>
          <w:szCs w:val="22"/>
        </w:rPr>
        <w:t>gastric tissue</w:t>
      </w:r>
      <w:r w:rsidR="004135EE" w:rsidRPr="004135EE">
        <w:rPr>
          <w:rFonts w:ascii="Franklin Gothic Book" w:hAnsi="Franklin Gothic Book"/>
          <w:sz w:val="22"/>
          <w:szCs w:val="22"/>
        </w:rPr>
        <w:t xml:space="preserve">. Therefore, MSAC considered that by default the results following testing of gastric tissue using the Ventana® CLDN18 (43-14A) </w:t>
      </w:r>
      <w:proofErr w:type="spellStart"/>
      <w:r w:rsidR="004135EE" w:rsidRPr="004135EE">
        <w:rPr>
          <w:rFonts w:ascii="Franklin Gothic Book" w:hAnsi="Franklin Gothic Book"/>
          <w:sz w:val="22"/>
          <w:szCs w:val="22"/>
        </w:rPr>
        <w:t>RxDx</w:t>
      </w:r>
      <w:proofErr w:type="spellEnd"/>
      <w:r w:rsidR="004135EE" w:rsidRPr="004135EE">
        <w:rPr>
          <w:rFonts w:ascii="Franklin Gothic Book" w:hAnsi="Franklin Gothic Book"/>
          <w:sz w:val="22"/>
          <w:szCs w:val="22"/>
        </w:rPr>
        <w:t xml:space="preserve"> assay would be reflective of the CLDN18.2 expression level</w:t>
      </w:r>
      <w:r w:rsidR="002E3106">
        <w:rPr>
          <w:rFonts w:ascii="Franklin Gothic Book" w:hAnsi="Franklin Gothic Book"/>
          <w:sz w:val="22"/>
          <w:szCs w:val="22"/>
        </w:rPr>
        <w:t xml:space="preserve">. </w:t>
      </w:r>
      <w:r w:rsidR="00F00A61" w:rsidRPr="00F00A61">
        <w:rPr>
          <w:rFonts w:ascii="Franklin Gothic Book" w:hAnsi="Franklin Gothic Book"/>
          <w:sz w:val="22"/>
          <w:szCs w:val="22"/>
        </w:rPr>
        <w:t>MSAC noted</w:t>
      </w:r>
      <w:r w:rsidR="00F00A61">
        <w:rPr>
          <w:rFonts w:ascii="Franklin Gothic Book" w:hAnsi="Franklin Gothic Book"/>
          <w:sz w:val="22"/>
          <w:szCs w:val="22"/>
        </w:rPr>
        <w:t xml:space="preserve"> that</w:t>
      </w:r>
      <w:r w:rsidR="00F00A61" w:rsidRPr="00F00A61">
        <w:rPr>
          <w:rFonts w:ascii="Franklin Gothic Book" w:hAnsi="Franklin Gothic Book"/>
          <w:sz w:val="22"/>
          <w:szCs w:val="22"/>
        </w:rPr>
        <w:t xml:space="preserve"> intratumor heterogeneity in CLDN18.2 expression exists</w:t>
      </w:r>
      <w:r w:rsidR="00CC5FD9">
        <w:rPr>
          <w:rFonts w:ascii="Franklin Gothic Book" w:hAnsi="Franklin Gothic Book"/>
          <w:sz w:val="22"/>
          <w:szCs w:val="22"/>
        </w:rPr>
        <w:t>,</w:t>
      </w:r>
      <w:r w:rsidR="00F00A61" w:rsidRPr="00F00A61">
        <w:rPr>
          <w:rFonts w:ascii="Franklin Gothic Book" w:hAnsi="Franklin Gothic Book"/>
          <w:sz w:val="22"/>
          <w:szCs w:val="22"/>
        </w:rPr>
        <w:t xml:space="preserve"> </w:t>
      </w:r>
      <w:r w:rsidR="00E35BB7">
        <w:rPr>
          <w:rFonts w:ascii="Franklin Gothic Book" w:hAnsi="Franklin Gothic Book"/>
          <w:sz w:val="22"/>
          <w:szCs w:val="22"/>
        </w:rPr>
        <w:t>but the issue</w:t>
      </w:r>
      <w:r w:rsidR="00F00A61" w:rsidRPr="00F00A61">
        <w:rPr>
          <w:rFonts w:ascii="Franklin Gothic Book" w:hAnsi="Franklin Gothic Book"/>
          <w:sz w:val="22"/>
          <w:szCs w:val="22"/>
        </w:rPr>
        <w:t xml:space="preserve"> </w:t>
      </w:r>
      <w:r w:rsidR="00476825" w:rsidRPr="00476825">
        <w:rPr>
          <w:rFonts w:ascii="Franklin Gothic Book" w:hAnsi="Franklin Gothic Book"/>
          <w:sz w:val="22"/>
          <w:szCs w:val="22"/>
        </w:rPr>
        <w:t>could be addressed by testing multiple biopsies from the same tumour to improve sensitivity</w:t>
      </w:r>
      <w:r w:rsidR="00A43001">
        <w:rPr>
          <w:rFonts w:ascii="Franklin Gothic Book" w:hAnsi="Franklin Gothic Book"/>
          <w:sz w:val="22"/>
          <w:szCs w:val="22"/>
        </w:rPr>
        <w:t>.</w:t>
      </w:r>
      <w:r w:rsidR="002C02E9">
        <w:rPr>
          <w:rFonts w:ascii="Franklin Gothic Book" w:hAnsi="Franklin Gothic Book"/>
          <w:sz w:val="22"/>
          <w:szCs w:val="22"/>
        </w:rPr>
        <w:t xml:space="preserve"> MSAC noted this </w:t>
      </w:r>
      <w:r w:rsidR="00A43001">
        <w:rPr>
          <w:rFonts w:ascii="Franklin Gothic Book" w:hAnsi="Franklin Gothic Book"/>
          <w:sz w:val="22"/>
          <w:szCs w:val="22"/>
        </w:rPr>
        <w:t>approach</w:t>
      </w:r>
      <w:r w:rsidR="006364D1">
        <w:rPr>
          <w:rFonts w:ascii="Franklin Gothic Book" w:hAnsi="Franklin Gothic Book"/>
          <w:sz w:val="22"/>
          <w:szCs w:val="22"/>
        </w:rPr>
        <w:t xml:space="preserve"> would align with</w:t>
      </w:r>
      <w:r w:rsidR="0085753A">
        <w:rPr>
          <w:rFonts w:ascii="Franklin Gothic Book" w:hAnsi="Franklin Gothic Book"/>
          <w:sz w:val="22"/>
          <w:szCs w:val="22"/>
        </w:rPr>
        <w:t xml:space="preserve"> established practices for </w:t>
      </w:r>
      <w:r w:rsidR="00CC5FD9">
        <w:rPr>
          <w:rFonts w:ascii="Franklin Gothic Book" w:hAnsi="Franklin Gothic Book"/>
          <w:sz w:val="22"/>
          <w:szCs w:val="22"/>
        </w:rPr>
        <w:t>assessment of gastric cancer biopsies in HER2 testing</w:t>
      </w:r>
      <w:r w:rsidR="00143C80">
        <w:rPr>
          <w:rFonts w:ascii="Franklin Gothic Book" w:hAnsi="Franklin Gothic Book"/>
          <w:sz w:val="22"/>
          <w:szCs w:val="22"/>
        </w:rPr>
        <w:t>, where multiple biopsies are routinely assessed</w:t>
      </w:r>
      <w:r w:rsidR="00476825" w:rsidRPr="00476825">
        <w:rPr>
          <w:rFonts w:ascii="Franklin Gothic Book" w:hAnsi="Franklin Gothic Book"/>
          <w:sz w:val="22"/>
          <w:szCs w:val="22"/>
        </w:rPr>
        <w:t xml:space="preserve">. </w:t>
      </w:r>
      <w:r w:rsidR="00E35BB7">
        <w:rPr>
          <w:rFonts w:ascii="Franklin Gothic Book" w:hAnsi="Franklin Gothic Book"/>
          <w:sz w:val="22"/>
          <w:szCs w:val="22"/>
        </w:rPr>
        <w:t xml:space="preserve">MSAC also noted that </w:t>
      </w:r>
      <w:r w:rsidR="00F00A61" w:rsidRPr="00F00A61">
        <w:rPr>
          <w:rFonts w:ascii="Franklin Gothic Book" w:hAnsi="Franklin Gothic Book"/>
          <w:sz w:val="22"/>
          <w:szCs w:val="22"/>
        </w:rPr>
        <w:t>CLDN18.2 expression is reported to be highly concordant in matched primary and metastatic tumours.</w:t>
      </w:r>
      <w:r w:rsidR="00B02447">
        <w:rPr>
          <w:rFonts w:ascii="Franklin Gothic Book" w:hAnsi="Franklin Gothic Book"/>
          <w:sz w:val="22"/>
          <w:szCs w:val="22"/>
        </w:rPr>
        <w:t xml:space="preserve"> </w:t>
      </w:r>
      <w:r w:rsidR="00C03292">
        <w:rPr>
          <w:rFonts w:ascii="Franklin Gothic Book" w:hAnsi="Franklin Gothic Book"/>
          <w:sz w:val="22"/>
          <w:szCs w:val="22"/>
        </w:rPr>
        <w:t xml:space="preserve">MSAC considered that </w:t>
      </w:r>
      <w:r w:rsidR="00A64B79">
        <w:rPr>
          <w:rFonts w:ascii="Franklin Gothic Book" w:hAnsi="Franklin Gothic Book"/>
          <w:sz w:val="22"/>
          <w:szCs w:val="22"/>
        </w:rPr>
        <w:t>due to</w:t>
      </w:r>
      <w:r w:rsidR="008637A0">
        <w:rPr>
          <w:rFonts w:ascii="Franklin Gothic Book" w:hAnsi="Franklin Gothic Book"/>
          <w:sz w:val="22"/>
          <w:szCs w:val="22"/>
        </w:rPr>
        <w:t xml:space="preserve"> </w:t>
      </w:r>
      <w:r w:rsidR="00C03292">
        <w:rPr>
          <w:rFonts w:ascii="Franklin Gothic Book" w:hAnsi="Franklin Gothic Book"/>
          <w:sz w:val="22"/>
          <w:szCs w:val="22"/>
        </w:rPr>
        <w:t>distingu</w:t>
      </w:r>
      <w:r w:rsidR="004D4C03">
        <w:rPr>
          <w:rFonts w:ascii="Franklin Gothic Book" w:hAnsi="Franklin Gothic Book"/>
          <w:sz w:val="22"/>
          <w:szCs w:val="22"/>
        </w:rPr>
        <w:t xml:space="preserve">ishable </w:t>
      </w:r>
      <w:r w:rsidR="00C03292" w:rsidRPr="00C03292">
        <w:rPr>
          <w:rFonts w:ascii="Franklin Gothic Book" w:hAnsi="Franklin Gothic Book"/>
          <w:sz w:val="22"/>
          <w:szCs w:val="22"/>
        </w:rPr>
        <w:t xml:space="preserve">membranous staining in tumour cells, interpretation </w:t>
      </w:r>
      <w:r w:rsidR="008637A0">
        <w:rPr>
          <w:rFonts w:ascii="Franklin Gothic Book" w:hAnsi="Franklin Gothic Book"/>
          <w:sz w:val="22"/>
          <w:szCs w:val="22"/>
        </w:rPr>
        <w:t>of CLDN</w:t>
      </w:r>
      <w:r w:rsidR="006C6243">
        <w:rPr>
          <w:rFonts w:ascii="Franklin Gothic Book" w:hAnsi="Franklin Gothic Book"/>
          <w:sz w:val="22"/>
          <w:szCs w:val="22"/>
        </w:rPr>
        <w:t xml:space="preserve">18 </w:t>
      </w:r>
      <w:r w:rsidR="00B671D9">
        <w:rPr>
          <w:rFonts w:ascii="Franklin Gothic Book" w:hAnsi="Franklin Gothic Book"/>
          <w:sz w:val="22"/>
          <w:szCs w:val="22"/>
        </w:rPr>
        <w:t xml:space="preserve">expression </w:t>
      </w:r>
      <w:r w:rsidR="00C03292" w:rsidRPr="00C03292">
        <w:rPr>
          <w:rFonts w:ascii="Franklin Gothic Book" w:hAnsi="Franklin Gothic Book"/>
          <w:sz w:val="22"/>
          <w:szCs w:val="22"/>
        </w:rPr>
        <w:t>should not be challenging</w:t>
      </w:r>
      <w:r w:rsidR="008637A0">
        <w:rPr>
          <w:rFonts w:ascii="Franklin Gothic Book" w:hAnsi="Franklin Gothic Book"/>
          <w:sz w:val="22"/>
          <w:szCs w:val="22"/>
        </w:rPr>
        <w:t>.</w:t>
      </w:r>
      <w:r w:rsidR="00F901C5">
        <w:rPr>
          <w:rFonts w:ascii="Franklin Gothic Book" w:hAnsi="Franklin Gothic Book"/>
          <w:sz w:val="22"/>
          <w:szCs w:val="22"/>
        </w:rPr>
        <w:t xml:space="preserve"> MSAC also </w:t>
      </w:r>
      <w:r w:rsidR="00CC1122">
        <w:rPr>
          <w:rFonts w:ascii="Franklin Gothic Book" w:hAnsi="Franklin Gothic Book"/>
          <w:sz w:val="22"/>
          <w:szCs w:val="22"/>
        </w:rPr>
        <w:t>noted</w:t>
      </w:r>
      <w:r w:rsidR="00F901C5">
        <w:rPr>
          <w:rFonts w:ascii="Franklin Gothic Book" w:hAnsi="Franklin Gothic Book"/>
          <w:sz w:val="22"/>
          <w:szCs w:val="22"/>
        </w:rPr>
        <w:t xml:space="preserve"> that </w:t>
      </w:r>
      <w:r w:rsidR="00A1036D">
        <w:rPr>
          <w:rFonts w:ascii="Franklin Gothic Book" w:hAnsi="Franklin Gothic Book"/>
          <w:sz w:val="22"/>
          <w:szCs w:val="22"/>
        </w:rPr>
        <w:t xml:space="preserve">using </w:t>
      </w:r>
      <w:r w:rsidR="00A1036D" w:rsidRPr="00A1036D">
        <w:rPr>
          <w:rFonts w:ascii="Franklin Gothic Book" w:hAnsi="Franklin Gothic Book"/>
          <w:sz w:val="22"/>
          <w:szCs w:val="22"/>
        </w:rPr>
        <w:t xml:space="preserve">normal foveolar gastric mucosa </w:t>
      </w:r>
      <w:r w:rsidR="00A1036D">
        <w:rPr>
          <w:rFonts w:ascii="Franklin Gothic Book" w:hAnsi="Franklin Gothic Book"/>
          <w:sz w:val="22"/>
          <w:szCs w:val="22"/>
        </w:rPr>
        <w:t>as i</w:t>
      </w:r>
      <w:r w:rsidR="00A1036D" w:rsidRPr="00A1036D">
        <w:rPr>
          <w:rFonts w:ascii="Franklin Gothic Book" w:hAnsi="Franklin Gothic Book"/>
          <w:sz w:val="22"/>
          <w:szCs w:val="22"/>
        </w:rPr>
        <w:t xml:space="preserve">nherent internal control </w:t>
      </w:r>
      <w:r w:rsidR="00513AE3">
        <w:rPr>
          <w:rFonts w:ascii="Franklin Gothic Book" w:hAnsi="Franklin Gothic Book"/>
          <w:sz w:val="22"/>
          <w:szCs w:val="22"/>
        </w:rPr>
        <w:t xml:space="preserve">would be </w:t>
      </w:r>
      <w:r w:rsidR="00A1036D" w:rsidRPr="00A1036D">
        <w:rPr>
          <w:rFonts w:ascii="Franklin Gothic Book" w:hAnsi="Franklin Gothic Book"/>
          <w:sz w:val="22"/>
          <w:szCs w:val="22"/>
        </w:rPr>
        <w:t>helpful</w:t>
      </w:r>
      <w:r w:rsidR="00513AE3">
        <w:rPr>
          <w:rFonts w:ascii="Franklin Gothic Book" w:hAnsi="Franklin Gothic Book"/>
          <w:sz w:val="22"/>
          <w:szCs w:val="22"/>
        </w:rPr>
        <w:t xml:space="preserve"> in interpretation of CLDN18 </w:t>
      </w:r>
      <w:r w:rsidR="004F1FB2">
        <w:rPr>
          <w:rFonts w:ascii="Franklin Gothic Book" w:hAnsi="Franklin Gothic Book"/>
          <w:sz w:val="22"/>
          <w:szCs w:val="22"/>
        </w:rPr>
        <w:t xml:space="preserve">expression </w:t>
      </w:r>
      <w:r w:rsidR="00513AE3">
        <w:rPr>
          <w:rFonts w:ascii="Franklin Gothic Book" w:hAnsi="Franklin Gothic Book"/>
          <w:sz w:val="22"/>
          <w:szCs w:val="22"/>
        </w:rPr>
        <w:t>result</w:t>
      </w:r>
      <w:r w:rsidR="004F1FB2">
        <w:rPr>
          <w:rFonts w:ascii="Franklin Gothic Book" w:hAnsi="Franklin Gothic Book"/>
          <w:sz w:val="22"/>
          <w:szCs w:val="22"/>
        </w:rPr>
        <w:t>s</w:t>
      </w:r>
      <w:r w:rsidR="00513AE3">
        <w:rPr>
          <w:rFonts w:ascii="Franklin Gothic Book" w:hAnsi="Franklin Gothic Book"/>
          <w:sz w:val="22"/>
          <w:szCs w:val="22"/>
        </w:rPr>
        <w:t xml:space="preserve">. </w:t>
      </w:r>
    </w:p>
    <w:p w14:paraId="6BB725FC" w14:textId="7C3BB577" w:rsidR="00B92FB3" w:rsidRDefault="004B308D"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w:t>
      </w:r>
      <w:r w:rsidR="00CD6AEB">
        <w:rPr>
          <w:rFonts w:ascii="Franklin Gothic Book" w:hAnsi="Franklin Gothic Book"/>
          <w:sz w:val="22"/>
          <w:szCs w:val="22"/>
        </w:rPr>
        <w:t xml:space="preserve">the applicant’s pre-MSAC response </w:t>
      </w:r>
      <w:r w:rsidR="00F91B00">
        <w:rPr>
          <w:rFonts w:ascii="Franklin Gothic Book" w:hAnsi="Franklin Gothic Book"/>
          <w:sz w:val="22"/>
          <w:szCs w:val="22"/>
        </w:rPr>
        <w:t>that stated t</w:t>
      </w:r>
      <w:r w:rsidR="00BA63E0">
        <w:rPr>
          <w:rFonts w:ascii="Franklin Gothic Book" w:hAnsi="Franklin Gothic Book"/>
          <w:sz w:val="22"/>
          <w:szCs w:val="22"/>
        </w:rPr>
        <w:t>hat</w:t>
      </w:r>
      <w:r w:rsidR="00F91B00">
        <w:rPr>
          <w:rFonts w:ascii="Franklin Gothic Book" w:hAnsi="Franklin Gothic Book"/>
          <w:sz w:val="22"/>
          <w:szCs w:val="22"/>
        </w:rPr>
        <w:t xml:space="preserve"> </w:t>
      </w:r>
      <w:r w:rsidR="00CE2690">
        <w:rPr>
          <w:rFonts w:ascii="Franklin Gothic Book" w:hAnsi="Franklin Gothic Book"/>
          <w:sz w:val="22"/>
          <w:szCs w:val="22"/>
        </w:rPr>
        <w:t>CLDN 18</w:t>
      </w:r>
      <w:r w:rsidR="005D0E60">
        <w:rPr>
          <w:rFonts w:ascii="Franklin Gothic Book" w:hAnsi="Franklin Gothic Book"/>
          <w:sz w:val="22"/>
          <w:szCs w:val="22"/>
        </w:rPr>
        <w:t xml:space="preserve"> is not a prognostic factor</w:t>
      </w:r>
      <w:r w:rsidR="00DD3DD4">
        <w:rPr>
          <w:rFonts w:ascii="Franklin Gothic Book" w:hAnsi="Franklin Gothic Book"/>
          <w:sz w:val="22"/>
          <w:szCs w:val="22"/>
        </w:rPr>
        <w:t xml:space="preserve"> in G/GOJ patients</w:t>
      </w:r>
      <w:r w:rsidR="00CE2690">
        <w:rPr>
          <w:rFonts w:ascii="Franklin Gothic Book" w:hAnsi="Franklin Gothic Book"/>
          <w:sz w:val="22"/>
          <w:szCs w:val="22"/>
        </w:rPr>
        <w:t xml:space="preserve">. MSAC considered </w:t>
      </w:r>
      <w:r w:rsidRPr="002E133F">
        <w:rPr>
          <w:rFonts w:ascii="Franklin Gothic Book" w:hAnsi="Franklin Gothic Book"/>
          <w:sz w:val="22"/>
          <w:szCs w:val="22"/>
        </w:rPr>
        <w:t xml:space="preserve">that the prognostic impact of CLDN18 testing was not clear from the studies presented in the </w:t>
      </w:r>
      <w:proofErr w:type="gramStart"/>
      <w:r w:rsidRPr="002E133F">
        <w:rPr>
          <w:rFonts w:ascii="Franklin Gothic Book" w:hAnsi="Franklin Gothic Book"/>
          <w:sz w:val="22"/>
          <w:szCs w:val="22"/>
        </w:rPr>
        <w:t>submission, but</w:t>
      </w:r>
      <w:proofErr w:type="gramEnd"/>
      <w:r w:rsidRPr="002E133F">
        <w:rPr>
          <w:rFonts w:ascii="Franklin Gothic Book" w:hAnsi="Franklin Gothic Book"/>
          <w:sz w:val="22"/>
          <w:szCs w:val="22"/>
        </w:rPr>
        <w:t xml:space="preserve"> also noted that CLDN</w:t>
      </w:r>
      <w:r w:rsidR="00AB4E6A">
        <w:rPr>
          <w:rFonts w:ascii="Franklin Gothic Book" w:hAnsi="Franklin Gothic Book"/>
          <w:sz w:val="22"/>
          <w:szCs w:val="22"/>
        </w:rPr>
        <w:t>18.2</w:t>
      </w:r>
      <w:r w:rsidRPr="002E133F">
        <w:rPr>
          <w:rFonts w:ascii="Franklin Gothic Book" w:hAnsi="Franklin Gothic Book"/>
          <w:sz w:val="22"/>
          <w:szCs w:val="22"/>
        </w:rPr>
        <w:t xml:space="preserve"> expression is reported to be higher in poorly differentiated cells or signet ring cell subtypes, which could explain why CLDN18</w:t>
      </w:r>
      <w:r w:rsidR="00AB4E6A">
        <w:rPr>
          <w:rFonts w:ascii="Franklin Gothic Book" w:hAnsi="Franklin Gothic Book"/>
          <w:sz w:val="22"/>
          <w:szCs w:val="22"/>
        </w:rPr>
        <w:t>.2</w:t>
      </w:r>
      <w:r w:rsidRPr="002E133F">
        <w:rPr>
          <w:rFonts w:ascii="Franklin Gothic Book" w:hAnsi="Franklin Gothic Book"/>
          <w:sz w:val="22"/>
          <w:szCs w:val="22"/>
        </w:rPr>
        <w:t xml:space="preserve"> expression may be associated with a poorer prognosis in some studies.</w:t>
      </w:r>
    </w:p>
    <w:p w14:paraId="46E001BE" w14:textId="2D0306BC"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MSAC noted the proposed MBS item descriptor. MSAC noted that the ESCs agreed with not including</w:t>
      </w:r>
      <w:r w:rsidR="000B6E2D">
        <w:rPr>
          <w:rFonts w:ascii="Franklin Gothic Book" w:hAnsi="Franklin Gothic Book"/>
          <w:sz w:val="22"/>
          <w:szCs w:val="22"/>
        </w:rPr>
        <w:t xml:space="preserve"> </w:t>
      </w:r>
      <w:r w:rsidR="007A550E">
        <w:rPr>
          <w:rFonts w:ascii="Franklin Gothic Book" w:hAnsi="Franklin Gothic Book"/>
          <w:sz w:val="22"/>
          <w:szCs w:val="22"/>
        </w:rPr>
        <w:t xml:space="preserve">a </w:t>
      </w:r>
      <w:r w:rsidRPr="002E133F">
        <w:rPr>
          <w:rFonts w:ascii="Franklin Gothic Book" w:hAnsi="Franklin Gothic Book"/>
          <w:sz w:val="22"/>
          <w:szCs w:val="22"/>
        </w:rPr>
        <w:t>threshold</w:t>
      </w:r>
      <w:r w:rsidR="00AB1FCA">
        <w:rPr>
          <w:rFonts w:ascii="Franklin Gothic Book" w:hAnsi="Franklin Gothic Book"/>
          <w:sz w:val="22"/>
          <w:szCs w:val="22"/>
        </w:rPr>
        <w:t xml:space="preserve"> </w:t>
      </w:r>
      <w:r w:rsidR="003B6CA7">
        <w:rPr>
          <w:rFonts w:ascii="Franklin Gothic Book" w:hAnsi="Franklin Gothic Book"/>
          <w:sz w:val="22"/>
          <w:szCs w:val="22"/>
        </w:rPr>
        <w:t>that defined</w:t>
      </w:r>
      <w:r w:rsidR="00AB1FCA">
        <w:rPr>
          <w:rFonts w:ascii="Franklin Gothic Book" w:hAnsi="Franklin Gothic Book"/>
          <w:sz w:val="22"/>
          <w:szCs w:val="22"/>
        </w:rPr>
        <w:t xml:space="preserve"> CLDN18 positiv</w:t>
      </w:r>
      <w:r w:rsidR="007A550E">
        <w:rPr>
          <w:rFonts w:ascii="Franklin Gothic Book" w:hAnsi="Franklin Gothic Book"/>
          <w:sz w:val="22"/>
          <w:szCs w:val="22"/>
        </w:rPr>
        <w:t>ity</w:t>
      </w:r>
      <w:r w:rsidRPr="002E133F">
        <w:rPr>
          <w:rFonts w:ascii="Franklin Gothic Book" w:hAnsi="Franklin Gothic Book"/>
          <w:sz w:val="22"/>
          <w:szCs w:val="22"/>
        </w:rPr>
        <w:t xml:space="preserve"> in the MBS item </w:t>
      </w:r>
      <w:proofErr w:type="gramStart"/>
      <w:r w:rsidRPr="002E133F">
        <w:rPr>
          <w:rFonts w:ascii="Franklin Gothic Book" w:hAnsi="Franklin Gothic Book"/>
          <w:sz w:val="22"/>
          <w:szCs w:val="22"/>
        </w:rPr>
        <w:t>descriptor, but</w:t>
      </w:r>
      <w:proofErr w:type="gramEnd"/>
      <w:r w:rsidRPr="002E133F">
        <w:rPr>
          <w:rFonts w:ascii="Franklin Gothic Book" w:hAnsi="Franklin Gothic Book"/>
          <w:sz w:val="22"/>
          <w:szCs w:val="22"/>
        </w:rPr>
        <w:t xml:space="preserve"> considered that it would be appropriate for the PBS restriction to specify the threshold of ≥75% CLDN18.2 expression, in line with the TGA Product Information. MSAC also </w:t>
      </w:r>
      <w:r w:rsidR="00EB334A">
        <w:rPr>
          <w:rFonts w:ascii="Franklin Gothic Book" w:hAnsi="Franklin Gothic Book"/>
          <w:sz w:val="22"/>
          <w:szCs w:val="22"/>
        </w:rPr>
        <w:t>considered</w:t>
      </w:r>
      <w:r w:rsidR="00EB334A" w:rsidRPr="002E133F">
        <w:rPr>
          <w:rFonts w:ascii="Franklin Gothic Book" w:hAnsi="Franklin Gothic Book"/>
          <w:sz w:val="22"/>
          <w:szCs w:val="22"/>
        </w:rPr>
        <w:t xml:space="preserve"> </w:t>
      </w:r>
      <w:r w:rsidR="00033EF3">
        <w:rPr>
          <w:rFonts w:ascii="Franklin Gothic Book" w:hAnsi="Franklin Gothic Book"/>
          <w:sz w:val="22"/>
          <w:szCs w:val="22"/>
        </w:rPr>
        <w:t xml:space="preserve">it appropriate </w:t>
      </w:r>
      <w:r w:rsidRPr="002E133F">
        <w:rPr>
          <w:rFonts w:ascii="Franklin Gothic Book" w:hAnsi="Franklin Gothic Book"/>
          <w:sz w:val="22"/>
          <w:szCs w:val="22"/>
        </w:rPr>
        <w:t xml:space="preserve">that the </w:t>
      </w:r>
      <w:r w:rsidR="00033EF3">
        <w:rPr>
          <w:rFonts w:ascii="Franklin Gothic Book" w:hAnsi="Franklin Gothic Book"/>
          <w:sz w:val="22"/>
          <w:szCs w:val="22"/>
        </w:rPr>
        <w:t>test</w:t>
      </w:r>
      <w:r w:rsidRPr="002E133F">
        <w:rPr>
          <w:rFonts w:ascii="Franklin Gothic Book" w:hAnsi="Franklin Gothic Book"/>
          <w:sz w:val="22"/>
          <w:szCs w:val="22"/>
        </w:rPr>
        <w:t xml:space="preserve"> be pathologist-determinable to allow parallel HER2 testing.</w:t>
      </w:r>
    </w:p>
    <w:p w14:paraId="33E3C822" w14:textId="1F2E03FB" w:rsidR="002252D8" w:rsidRPr="002E133F" w:rsidRDefault="002252D8" w:rsidP="009853B7">
      <w:pPr>
        <w:pStyle w:val="TableFooter"/>
        <w:spacing w:before="120" w:after="160"/>
        <w:contextualSpacing w:val="0"/>
        <w:jc w:val="left"/>
        <w:rPr>
          <w:rFonts w:ascii="Franklin Gothic Book" w:hAnsi="Franklin Gothic Book"/>
          <w:sz w:val="22"/>
          <w:szCs w:val="22"/>
        </w:rPr>
      </w:pPr>
      <w:r w:rsidRPr="002252D8">
        <w:rPr>
          <w:rFonts w:ascii="Franklin Gothic Book" w:hAnsi="Franklin Gothic Book"/>
          <w:sz w:val="22"/>
          <w:szCs w:val="22"/>
        </w:rPr>
        <w:t>MSAC noted</w:t>
      </w:r>
      <w:r w:rsidR="00E871AB">
        <w:rPr>
          <w:rFonts w:ascii="Franklin Gothic Book" w:hAnsi="Franklin Gothic Book"/>
          <w:sz w:val="22"/>
          <w:szCs w:val="22"/>
        </w:rPr>
        <w:t xml:space="preserve"> </w:t>
      </w:r>
      <w:r w:rsidRPr="002252D8">
        <w:rPr>
          <w:rFonts w:ascii="Franklin Gothic Book" w:hAnsi="Franklin Gothic Book"/>
          <w:sz w:val="22"/>
          <w:szCs w:val="22"/>
        </w:rPr>
        <w:t>the</w:t>
      </w:r>
      <w:r w:rsidR="00E53822">
        <w:rPr>
          <w:rFonts w:ascii="Franklin Gothic Book" w:hAnsi="Franklin Gothic Book"/>
          <w:sz w:val="22"/>
          <w:szCs w:val="22"/>
        </w:rPr>
        <w:t xml:space="preserve"> </w:t>
      </w:r>
      <w:r w:rsidR="00E53822" w:rsidRPr="00E53822">
        <w:rPr>
          <w:rFonts w:ascii="Franklin Gothic Book" w:hAnsi="Franklin Gothic Book"/>
          <w:sz w:val="22"/>
          <w:szCs w:val="22"/>
        </w:rPr>
        <w:t>high concordance between Ventana</w:t>
      </w:r>
      <w:r w:rsidR="00E53822" w:rsidRPr="0097566D">
        <w:rPr>
          <w:rFonts w:ascii="Franklin Gothic Book" w:hAnsi="Franklin Gothic Book"/>
          <w:sz w:val="22"/>
          <w:szCs w:val="22"/>
          <w:vertAlign w:val="superscript"/>
        </w:rPr>
        <w:t>®</w:t>
      </w:r>
      <w:r w:rsidR="00E53822" w:rsidRPr="00E53822">
        <w:rPr>
          <w:rFonts w:ascii="Franklin Gothic Book" w:hAnsi="Franklin Gothic Book"/>
          <w:sz w:val="22"/>
          <w:szCs w:val="22"/>
        </w:rPr>
        <w:t xml:space="preserve"> CLDN18 antibody with the Ventana platform and the </w:t>
      </w:r>
      <w:proofErr w:type="spellStart"/>
      <w:r w:rsidR="00E53822" w:rsidRPr="00E53822">
        <w:rPr>
          <w:rFonts w:ascii="Franklin Gothic Book" w:hAnsi="Franklin Gothic Book"/>
          <w:sz w:val="22"/>
          <w:szCs w:val="22"/>
        </w:rPr>
        <w:t>LSBio</w:t>
      </w:r>
      <w:proofErr w:type="spellEnd"/>
      <w:r w:rsidR="00E53822" w:rsidRPr="00E53822">
        <w:rPr>
          <w:rFonts w:ascii="Franklin Gothic Book" w:hAnsi="Franklin Gothic Book"/>
          <w:sz w:val="22"/>
          <w:szCs w:val="22"/>
        </w:rPr>
        <w:t xml:space="preserve"> antibody with the Dako platform supports the MBS item descriptor to be agnostic to both the IHC platform and the </w:t>
      </w:r>
      <w:r w:rsidR="00D50ED9" w:rsidRPr="66E4FC66">
        <w:rPr>
          <w:rFonts w:ascii="Franklin Gothic Book" w:hAnsi="Franklin Gothic Book"/>
          <w:sz w:val="22"/>
          <w:szCs w:val="22"/>
        </w:rPr>
        <w:t>Ventana</w:t>
      </w:r>
      <w:r w:rsidR="00D50ED9" w:rsidRPr="66E4FC66">
        <w:rPr>
          <w:rFonts w:ascii="Franklin Gothic Book" w:hAnsi="Franklin Gothic Book"/>
          <w:sz w:val="22"/>
          <w:szCs w:val="22"/>
          <w:vertAlign w:val="superscript"/>
        </w:rPr>
        <w:t>®</w:t>
      </w:r>
      <w:r w:rsidR="00D50ED9" w:rsidRPr="66E4FC66">
        <w:rPr>
          <w:rFonts w:ascii="Franklin Gothic Book" w:hAnsi="Franklin Gothic Book"/>
          <w:sz w:val="22"/>
          <w:szCs w:val="22"/>
        </w:rPr>
        <w:t xml:space="preserve"> </w:t>
      </w:r>
      <w:r w:rsidR="00E53822" w:rsidRPr="00E53822">
        <w:rPr>
          <w:rFonts w:ascii="Franklin Gothic Book" w:hAnsi="Franklin Gothic Book"/>
          <w:sz w:val="22"/>
          <w:szCs w:val="22"/>
        </w:rPr>
        <w:t>CLDN18 antibody</w:t>
      </w:r>
      <w:r w:rsidR="00E53822">
        <w:rPr>
          <w:rFonts w:ascii="Franklin Gothic Book" w:hAnsi="Franklin Gothic Book"/>
          <w:sz w:val="22"/>
          <w:szCs w:val="22"/>
        </w:rPr>
        <w:t>.</w:t>
      </w:r>
    </w:p>
    <w:p w14:paraId="1AAFC033" w14:textId="1513E45D" w:rsidR="002E133F" w:rsidRDefault="002E133F" w:rsidP="00C10B0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The proposed fee for CLDN18 testing was $112. MSAC noted that existing MBS IHC tests for PD</w:t>
      </w:r>
      <w:r w:rsidR="00001101">
        <w:rPr>
          <w:rFonts w:ascii="Franklin Gothic Book" w:hAnsi="Franklin Gothic Book"/>
          <w:sz w:val="22"/>
          <w:szCs w:val="22"/>
        </w:rPr>
        <w:noBreakHyphen/>
      </w:r>
      <w:r w:rsidRPr="002E133F">
        <w:rPr>
          <w:rFonts w:ascii="Franklin Gothic Book" w:hAnsi="Franklin Gothic Book"/>
          <w:sz w:val="22"/>
          <w:szCs w:val="22"/>
        </w:rPr>
        <w:t xml:space="preserve">L1 and HER2 have a fee of $74.50 </w:t>
      </w:r>
      <w:r w:rsidR="00FB7B4C">
        <w:rPr>
          <w:rFonts w:ascii="Franklin Gothic Book" w:hAnsi="Franklin Gothic Book"/>
          <w:sz w:val="22"/>
          <w:szCs w:val="22"/>
        </w:rPr>
        <w:t>using</w:t>
      </w:r>
      <w:r w:rsidRPr="002E133F">
        <w:rPr>
          <w:rFonts w:ascii="Franklin Gothic Book" w:hAnsi="Franklin Gothic Book"/>
          <w:sz w:val="22"/>
          <w:szCs w:val="22"/>
        </w:rPr>
        <w:t xml:space="preserve"> similar methodology to </w:t>
      </w:r>
      <w:r w:rsidR="00A16530">
        <w:rPr>
          <w:rFonts w:ascii="Franklin Gothic Book" w:hAnsi="Franklin Gothic Book"/>
          <w:sz w:val="22"/>
          <w:szCs w:val="22"/>
        </w:rPr>
        <w:t>CLDN18 testing</w:t>
      </w:r>
      <w:r w:rsidRPr="002E133F">
        <w:rPr>
          <w:rFonts w:ascii="Franklin Gothic Book" w:hAnsi="Franklin Gothic Book"/>
          <w:sz w:val="22"/>
          <w:szCs w:val="22"/>
        </w:rPr>
        <w:t xml:space="preserve"> and most laboratories already have a suitable platform in place for testing. However, MSAC noted that the volume of testing for CLDN18 will be much lower than for PD-L1, as the cancers that involve PD</w:t>
      </w:r>
      <w:r w:rsidR="002D514D">
        <w:rPr>
          <w:rFonts w:ascii="Franklin Gothic Book" w:hAnsi="Franklin Gothic Book"/>
          <w:sz w:val="22"/>
          <w:szCs w:val="22"/>
        </w:rPr>
        <w:noBreakHyphen/>
      </w:r>
      <w:r w:rsidRPr="002E133F">
        <w:rPr>
          <w:rFonts w:ascii="Franklin Gothic Book" w:hAnsi="Franklin Gothic Book"/>
          <w:sz w:val="22"/>
          <w:szCs w:val="22"/>
        </w:rPr>
        <w:t xml:space="preserve">L1 testing are much more common than G/GOJ cancers, so a fee </w:t>
      </w:r>
      <w:r w:rsidR="00704B07">
        <w:rPr>
          <w:rFonts w:ascii="Franklin Gothic Book" w:hAnsi="Franklin Gothic Book"/>
          <w:sz w:val="22"/>
          <w:szCs w:val="22"/>
        </w:rPr>
        <w:t xml:space="preserve">higher </w:t>
      </w:r>
      <w:r w:rsidRPr="002E133F">
        <w:rPr>
          <w:rFonts w:ascii="Franklin Gothic Book" w:hAnsi="Franklin Gothic Book"/>
          <w:sz w:val="22"/>
          <w:szCs w:val="22"/>
        </w:rPr>
        <w:t xml:space="preserve">than $74.50 may be appropriate. </w:t>
      </w:r>
      <w:r w:rsidR="00A00DC1">
        <w:rPr>
          <w:rFonts w:ascii="Franklin Gothic Book" w:hAnsi="Franklin Gothic Book"/>
          <w:sz w:val="22"/>
          <w:szCs w:val="22"/>
        </w:rPr>
        <w:t>Furthermore</w:t>
      </w:r>
      <w:r w:rsidR="008448D2">
        <w:rPr>
          <w:rFonts w:ascii="Franklin Gothic Book" w:hAnsi="Franklin Gothic Book"/>
          <w:sz w:val="22"/>
          <w:szCs w:val="22"/>
        </w:rPr>
        <w:t>,</w:t>
      </w:r>
      <w:r w:rsidR="00A00DC1">
        <w:rPr>
          <w:rFonts w:ascii="Franklin Gothic Book" w:hAnsi="Franklin Gothic Book"/>
          <w:sz w:val="22"/>
          <w:szCs w:val="22"/>
        </w:rPr>
        <w:t xml:space="preserve"> </w:t>
      </w:r>
      <w:proofErr w:type="gramStart"/>
      <w:r w:rsidR="00C17B83">
        <w:rPr>
          <w:rFonts w:ascii="Franklin Gothic Book" w:hAnsi="Franklin Gothic Book"/>
          <w:sz w:val="22"/>
          <w:szCs w:val="22"/>
        </w:rPr>
        <w:t>taking into account</w:t>
      </w:r>
      <w:proofErr w:type="gramEnd"/>
      <w:r w:rsidR="00C17B83">
        <w:rPr>
          <w:rFonts w:ascii="Franklin Gothic Book" w:hAnsi="Franklin Gothic Book"/>
          <w:sz w:val="22"/>
          <w:szCs w:val="22"/>
        </w:rPr>
        <w:t xml:space="preserve"> that </w:t>
      </w:r>
      <w:r w:rsidR="005E6902">
        <w:rPr>
          <w:rFonts w:ascii="Franklin Gothic Book" w:hAnsi="Franklin Gothic Book"/>
          <w:sz w:val="22"/>
          <w:szCs w:val="22"/>
        </w:rPr>
        <w:t xml:space="preserve">the </w:t>
      </w:r>
      <w:r w:rsidR="00A45983">
        <w:rPr>
          <w:rFonts w:ascii="Franklin Gothic Book" w:hAnsi="Franklin Gothic Book"/>
          <w:sz w:val="22"/>
          <w:szCs w:val="22"/>
        </w:rPr>
        <w:t xml:space="preserve">cost </w:t>
      </w:r>
      <w:r w:rsidR="003D4079">
        <w:rPr>
          <w:rFonts w:ascii="Franklin Gothic Book" w:hAnsi="Franklin Gothic Book"/>
          <w:sz w:val="22"/>
          <w:szCs w:val="22"/>
        </w:rPr>
        <w:t xml:space="preserve">of the antibody </w:t>
      </w:r>
      <w:r w:rsidR="00D77105">
        <w:rPr>
          <w:rFonts w:ascii="Franklin Gothic Book" w:hAnsi="Franklin Gothic Book"/>
          <w:sz w:val="22"/>
          <w:szCs w:val="22"/>
        </w:rPr>
        <w:t>could vary</w:t>
      </w:r>
      <w:r w:rsidR="00785529">
        <w:rPr>
          <w:rFonts w:ascii="Franklin Gothic Book" w:hAnsi="Franklin Gothic Book"/>
          <w:sz w:val="22"/>
          <w:szCs w:val="22"/>
        </w:rPr>
        <w:t>, MSAC</w:t>
      </w:r>
      <w:r w:rsidR="00A45983">
        <w:rPr>
          <w:rFonts w:ascii="Franklin Gothic Book" w:hAnsi="Franklin Gothic Book"/>
          <w:sz w:val="22"/>
          <w:szCs w:val="22"/>
        </w:rPr>
        <w:t xml:space="preserve"> </w:t>
      </w:r>
      <w:r w:rsidRPr="002E133F">
        <w:rPr>
          <w:rFonts w:ascii="Franklin Gothic Book" w:hAnsi="Franklin Gothic Book"/>
          <w:sz w:val="22"/>
          <w:szCs w:val="22"/>
        </w:rPr>
        <w:t>concluded that the fee should be between $74.50 and $112</w:t>
      </w:r>
      <w:r w:rsidRPr="002E133F" w:rsidDel="00A672B9">
        <w:rPr>
          <w:rFonts w:ascii="Franklin Gothic Book" w:hAnsi="Franklin Gothic Book"/>
          <w:sz w:val="22"/>
          <w:szCs w:val="22"/>
        </w:rPr>
        <w:t>.</w:t>
      </w:r>
      <w:r w:rsidR="00751C15">
        <w:rPr>
          <w:rFonts w:ascii="Franklin Gothic Book" w:hAnsi="Franklin Gothic Book"/>
          <w:sz w:val="22"/>
          <w:szCs w:val="22"/>
        </w:rPr>
        <w:t xml:space="preserve"> </w:t>
      </w:r>
      <w:r w:rsidR="008448D2">
        <w:rPr>
          <w:rFonts w:ascii="Franklin Gothic Book" w:eastAsia="Franklin Gothic Book" w:hAnsi="Franklin Gothic Book" w:cs="Franklin Gothic Book"/>
          <w:sz w:val="22"/>
          <w:szCs w:val="22"/>
        </w:rPr>
        <w:t xml:space="preserve">MSAC </w:t>
      </w:r>
      <w:r w:rsidR="00D9286D">
        <w:rPr>
          <w:rFonts w:ascii="Franklin Gothic Book" w:eastAsia="Franklin Gothic Book" w:hAnsi="Franklin Gothic Book" w:cs="Franklin Gothic Book"/>
          <w:sz w:val="22"/>
          <w:szCs w:val="22"/>
        </w:rPr>
        <w:t xml:space="preserve">further </w:t>
      </w:r>
      <w:r w:rsidR="008C09E8">
        <w:rPr>
          <w:rFonts w:ascii="Franklin Gothic Book" w:eastAsia="Franklin Gothic Book" w:hAnsi="Franklin Gothic Book" w:cs="Franklin Gothic Book"/>
          <w:sz w:val="22"/>
          <w:szCs w:val="22"/>
        </w:rPr>
        <w:t>advised</w:t>
      </w:r>
      <w:r w:rsidR="008448D2">
        <w:rPr>
          <w:rFonts w:ascii="Franklin Gothic Book" w:eastAsia="Franklin Gothic Book" w:hAnsi="Franklin Gothic Book" w:cs="Franklin Gothic Book"/>
          <w:sz w:val="22"/>
          <w:szCs w:val="22"/>
        </w:rPr>
        <w:t xml:space="preserve"> out</w:t>
      </w:r>
      <w:r w:rsidR="00F11EA3">
        <w:rPr>
          <w:rFonts w:ascii="Franklin Gothic Book" w:eastAsia="Franklin Gothic Book" w:hAnsi="Franklin Gothic Book" w:cs="Franklin Gothic Book"/>
          <w:sz w:val="22"/>
          <w:szCs w:val="22"/>
        </w:rPr>
        <w:t>-</w:t>
      </w:r>
      <w:r w:rsidR="008448D2">
        <w:rPr>
          <w:rFonts w:ascii="Franklin Gothic Book" w:eastAsia="Franklin Gothic Book" w:hAnsi="Franklin Gothic Book" w:cs="Franklin Gothic Book"/>
          <w:sz w:val="22"/>
          <w:szCs w:val="22"/>
        </w:rPr>
        <w:t>of</w:t>
      </w:r>
      <w:r w:rsidR="00F11EA3">
        <w:rPr>
          <w:rFonts w:ascii="Franklin Gothic Book" w:eastAsia="Franklin Gothic Book" w:hAnsi="Franklin Gothic Book" w:cs="Franklin Gothic Book"/>
          <w:sz w:val="22"/>
          <w:szCs w:val="22"/>
        </w:rPr>
        <w:t>-</w:t>
      </w:r>
      <w:r w:rsidR="008448D2">
        <w:rPr>
          <w:rFonts w:ascii="Franklin Gothic Book" w:eastAsia="Franklin Gothic Book" w:hAnsi="Franklin Gothic Book" w:cs="Franklin Gothic Book"/>
          <w:sz w:val="22"/>
          <w:szCs w:val="22"/>
        </w:rPr>
        <w:t>session</w:t>
      </w:r>
      <w:r w:rsidR="003742A5">
        <w:rPr>
          <w:rFonts w:ascii="Franklin Gothic Book" w:eastAsia="Franklin Gothic Book" w:hAnsi="Franklin Gothic Book" w:cs="Franklin Gothic Book"/>
          <w:sz w:val="22"/>
          <w:szCs w:val="22"/>
        </w:rPr>
        <w:t xml:space="preserve"> that a fee </w:t>
      </w:r>
      <w:r w:rsidR="001B1DDA">
        <w:rPr>
          <w:rFonts w:ascii="Franklin Gothic Book" w:eastAsia="Franklin Gothic Book" w:hAnsi="Franklin Gothic Book" w:cs="Franklin Gothic Book"/>
          <w:sz w:val="22"/>
          <w:szCs w:val="22"/>
        </w:rPr>
        <w:t xml:space="preserve">of </w:t>
      </w:r>
      <w:r w:rsidR="00751C15">
        <w:rPr>
          <w:rFonts w:ascii="Franklin Gothic Book" w:hAnsi="Franklin Gothic Book"/>
          <w:sz w:val="22"/>
          <w:szCs w:val="22"/>
        </w:rPr>
        <w:t xml:space="preserve">$112 </w:t>
      </w:r>
      <w:r w:rsidR="003742A5">
        <w:rPr>
          <w:rFonts w:ascii="Franklin Gothic Book" w:hAnsi="Franklin Gothic Book"/>
          <w:sz w:val="22"/>
          <w:szCs w:val="22"/>
        </w:rPr>
        <w:t xml:space="preserve">was </w:t>
      </w:r>
      <w:r w:rsidR="00751C15">
        <w:rPr>
          <w:rFonts w:ascii="Franklin Gothic Book" w:hAnsi="Franklin Gothic Book"/>
          <w:sz w:val="22"/>
          <w:szCs w:val="22"/>
        </w:rPr>
        <w:t>appropriate –</w:t>
      </w:r>
      <w:r w:rsidR="003742A5">
        <w:rPr>
          <w:rFonts w:ascii="Franklin Gothic Book" w:hAnsi="Franklin Gothic Book"/>
          <w:sz w:val="22"/>
          <w:szCs w:val="22"/>
        </w:rPr>
        <w:t xml:space="preserve"> as</w:t>
      </w:r>
      <w:r w:rsidR="00476E49">
        <w:rPr>
          <w:rFonts w:ascii="Franklin Gothic Book" w:hAnsi="Franklin Gothic Book"/>
          <w:sz w:val="22"/>
          <w:szCs w:val="22"/>
        </w:rPr>
        <w:t xml:space="preserve"> a lower fee than $112 </w:t>
      </w:r>
      <w:r w:rsidR="005C3453">
        <w:rPr>
          <w:rFonts w:ascii="Franklin Gothic Book" w:hAnsi="Franklin Gothic Book"/>
          <w:sz w:val="22"/>
          <w:szCs w:val="22"/>
        </w:rPr>
        <w:t xml:space="preserve">would </w:t>
      </w:r>
      <w:r w:rsidR="00751C15">
        <w:rPr>
          <w:rFonts w:ascii="Franklin Gothic Book" w:hAnsi="Franklin Gothic Book"/>
          <w:sz w:val="22"/>
          <w:szCs w:val="22"/>
        </w:rPr>
        <w:t>be non-viable for lab</w:t>
      </w:r>
      <w:r w:rsidR="00686B40">
        <w:rPr>
          <w:rFonts w:ascii="Franklin Gothic Book" w:hAnsi="Franklin Gothic Book"/>
          <w:sz w:val="22"/>
          <w:szCs w:val="22"/>
        </w:rPr>
        <w:t>oratorie</w:t>
      </w:r>
      <w:r w:rsidR="00751C15">
        <w:rPr>
          <w:rFonts w:ascii="Franklin Gothic Book" w:hAnsi="Franklin Gothic Book"/>
          <w:sz w:val="22"/>
          <w:szCs w:val="22"/>
        </w:rPr>
        <w:t>s to perform</w:t>
      </w:r>
      <w:r w:rsidR="00476E49">
        <w:rPr>
          <w:rFonts w:ascii="Franklin Gothic Book" w:hAnsi="Franklin Gothic Book"/>
          <w:sz w:val="22"/>
          <w:szCs w:val="22"/>
        </w:rPr>
        <w:t xml:space="preserve"> the test</w:t>
      </w:r>
      <w:r w:rsidR="00076E4A">
        <w:rPr>
          <w:rFonts w:ascii="Franklin Gothic Book" w:hAnsi="Franklin Gothic Book"/>
          <w:sz w:val="22"/>
          <w:szCs w:val="22"/>
        </w:rPr>
        <w:t>.</w:t>
      </w:r>
      <w:r w:rsidR="00476E49">
        <w:rPr>
          <w:rFonts w:ascii="Franklin Gothic Book" w:hAnsi="Franklin Gothic Book"/>
          <w:sz w:val="22"/>
          <w:szCs w:val="22"/>
        </w:rPr>
        <w:t xml:space="preserve"> </w:t>
      </w:r>
    </w:p>
    <w:p w14:paraId="430BCDBA" w14:textId="5BE39C54" w:rsidR="00266C35" w:rsidRDefault="002E133F" w:rsidP="00266C35">
      <w:pPr>
        <w:pStyle w:val="TableFooter"/>
        <w:spacing w:before="120" w:after="160"/>
        <w:contextualSpacing w:val="0"/>
        <w:jc w:val="left"/>
        <w:rPr>
          <w:rFonts w:ascii="Franklin Gothic Book" w:hAnsi="Franklin Gothic Book"/>
          <w:sz w:val="22"/>
          <w:szCs w:val="22"/>
        </w:rPr>
      </w:pPr>
      <w:r w:rsidRPr="0097566D">
        <w:rPr>
          <w:rFonts w:ascii="Franklin Gothic Book" w:hAnsi="Franklin Gothic Book"/>
          <w:snapToGrid/>
          <w:sz w:val="22"/>
          <w:szCs w:val="22"/>
        </w:rPr>
        <w:t xml:space="preserve">Regarding comparative safety, MSAC noted that </w:t>
      </w:r>
      <w:r w:rsidR="00B46087" w:rsidRPr="0097566D">
        <w:rPr>
          <w:rFonts w:ascii="Franklin Gothic Book" w:hAnsi="Franklin Gothic Book"/>
          <w:snapToGrid/>
          <w:sz w:val="22"/>
          <w:szCs w:val="22"/>
        </w:rPr>
        <w:t>the use of archival samples for parallel testing is recommended to minimi</w:t>
      </w:r>
      <w:r w:rsidR="00BD5E72">
        <w:rPr>
          <w:rFonts w:ascii="Franklin Gothic Book" w:hAnsi="Franklin Gothic Book"/>
          <w:snapToGrid/>
          <w:sz w:val="22"/>
          <w:szCs w:val="22"/>
        </w:rPr>
        <w:t>s</w:t>
      </w:r>
      <w:r w:rsidR="00B46087" w:rsidRPr="0097566D">
        <w:rPr>
          <w:rFonts w:ascii="Franklin Gothic Book" w:hAnsi="Franklin Gothic Book"/>
          <w:snapToGrid/>
          <w:sz w:val="22"/>
          <w:szCs w:val="22"/>
        </w:rPr>
        <w:t xml:space="preserve">e </w:t>
      </w:r>
      <w:r w:rsidR="00767BB4">
        <w:rPr>
          <w:rFonts w:ascii="Franklin Gothic Book" w:hAnsi="Franklin Gothic Book"/>
          <w:snapToGrid/>
          <w:sz w:val="22"/>
          <w:szCs w:val="22"/>
        </w:rPr>
        <w:t xml:space="preserve">the </w:t>
      </w:r>
      <w:r w:rsidR="00B46087" w:rsidRPr="0097566D">
        <w:rPr>
          <w:rFonts w:ascii="Franklin Gothic Book" w:hAnsi="Franklin Gothic Book"/>
          <w:snapToGrid/>
          <w:sz w:val="22"/>
          <w:szCs w:val="22"/>
        </w:rPr>
        <w:t>need f</w:t>
      </w:r>
      <w:r w:rsidR="00767BB4">
        <w:rPr>
          <w:rFonts w:ascii="Franklin Gothic Book" w:hAnsi="Franklin Gothic Book"/>
          <w:snapToGrid/>
          <w:sz w:val="22"/>
          <w:szCs w:val="22"/>
        </w:rPr>
        <w:t>or</w:t>
      </w:r>
      <w:r w:rsidR="00B46087" w:rsidRPr="0097566D">
        <w:rPr>
          <w:rFonts w:ascii="Franklin Gothic Book" w:hAnsi="Franklin Gothic Book"/>
          <w:snapToGrid/>
          <w:sz w:val="22"/>
          <w:szCs w:val="22"/>
        </w:rPr>
        <w:t xml:space="preserve"> </w:t>
      </w:r>
      <w:proofErr w:type="spellStart"/>
      <w:r w:rsidR="00B46087" w:rsidRPr="0097566D">
        <w:rPr>
          <w:rFonts w:ascii="Franklin Gothic Book" w:hAnsi="Franklin Gothic Book"/>
          <w:snapToGrid/>
          <w:sz w:val="22"/>
          <w:szCs w:val="22"/>
        </w:rPr>
        <w:t>rebiopsy</w:t>
      </w:r>
      <w:proofErr w:type="spellEnd"/>
      <w:r w:rsidR="00B46087" w:rsidRPr="0097566D">
        <w:rPr>
          <w:rFonts w:ascii="Franklin Gothic Book" w:hAnsi="Franklin Gothic Book"/>
          <w:snapToGrid/>
          <w:sz w:val="22"/>
          <w:szCs w:val="22"/>
        </w:rPr>
        <w:t xml:space="preserve">. </w:t>
      </w:r>
      <w:r w:rsidR="00150999" w:rsidRPr="0097566D">
        <w:rPr>
          <w:rFonts w:ascii="Franklin Gothic Book" w:hAnsi="Franklin Gothic Book"/>
          <w:snapToGrid/>
          <w:sz w:val="22"/>
        </w:rPr>
        <w:t>MSAC</w:t>
      </w:r>
      <w:r w:rsidR="00413FDA" w:rsidRPr="0097566D">
        <w:rPr>
          <w:rFonts w:ascii="Franklin Gothic Book" w:hAnsi="Franklin Gothic Book"/>
          <w:snapToGrid/>
          <w:sz w:val="22"/>
        </w:rPr>
        <w:t xml:space="preserve"> agreed with the ESCs consideration</w:t>
      </w:r>
      <w:r w:rsidR="00150999" w:rsidRPr="0097566D">
        <w:rPr>
          <w:rFonts w:ascii="Franklin Gothic Book" w:hAnsi="Franklin Gothic Book"/>
          <w:snapToGrid/>
          <w:sz w:val="22"/>
        </w:rPr>
        <w:t xml:space="preserve"> that the claim of non-inferior safety compared to no testing was appropriate</w:t>
      </w:r>
      <w:r w:rsidR="009102E4">
        <w:rPr>
          <w:rFonts w:ascii="Franklin Gothic Book" w:hAnsi="Franklin Gothic Book"/>
          <w:snapToGrid/>
          <w:sz w:val="22"/>
        </w:rPr>
        <w:t xml:space="preserve">, due to </w:t>
      </w:r>
      <w:r w:rsidR="00A4199C">
        <w:rPr>
          <w:rFonts w:ascii="Franklin Gothic Book" w:hAnsi="Franklin Gothic Book"/>
          <w:snapToGrid/>
          <w:sz w:val="22"/>
        </w:rPr>
        <w:t xml:space="preserve">there being no adverse events related to </w:t>
      </w:r>
      <w:r w:rsidR="00BC2D96">
        <w:rPr>
          <w:rFonts w:ascii="Franklin Gothic Book" w:hAnsi="Franklin Gothic Book"/>
          <w:snapToGrid/>
          <w:sz w:val="22"/>
        </w:rPr>
        <w:t>CLDN18 testing.</w:t>
      </w:r>
      <w:r w:rsidR="0032706E">
        <w:rPr>
          <w:rFonts w:ascii="Franklin Gothic Book" w:hAnsi="Franklin Gothic Book"/>
          <w:sz w:val="22"/>
        </w:rPr>
        <w:t xml:space="preserve"> </w:t>
      </w:r>
    </w:p>
    <w:p w14:paraId="609C33B6" w14:textId="1299E2B5"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MSAC noted that the</w:t>
      </w:r>
      <w:r w:rsidR="006D6A3C">
        <w:rPr>
          <w:rFonts w:ascii="Franklin Gothic Book" w:hAnsi="Franklin Gothic Book"/>
          <w:sz w:val="22"/>
          <w:szCs w:val="22"/>
        </w:rPr>
        <w:t xml:space="preserve"> </w:t>
      </w:r>
      <w:r w:rsidR="009E0048">
        <w:rPr>
          <w:rFonts w:ascii="Franklin Gothic Book" w:hAnsi="Franklin Gothic Book"/>
          <w:sz w:val="22"/>
          <w:szCs w:val="22"/>
        </w:rPr>
        <w:t>applicant developed assessment report (</w:t>
      </w:r>
      <w:r w:rsidR="006D6A3C">
        <w:rPr>
          <w:rFonts w:ascii="Franklin Gothic Book" w:hAnsi="Franklin Gothic Book"/>
          <w:sz w:val="22"/>
          <w:szCs w:val="22"/>
        </w:rPr>
        <w:t>ADAR</w:t>
      </w:r>
      <w:r w:rsidR="009E0048">
        <w:rPr>
          <w:rFonts w:ascii="Franklin Gothic Book" w:hAnsi="Franklin Gothic Book"/>
          <w:sz w:val="22"/>
          <w:szCs w:val="22"/>
        </w:rPr>
        <w:t>)</w:t>
      </w:r>
      <w:r w:rsidR="006D6A3C">
        <w:rPr>
          <w:rFonts w:ascii="Franklin Gothic Book" w:hAnsi="Franklin Gothic Book"/>
          <w:sz w:val="22"/>
          <w:szCs w:val="22"/>
        </w:rPr>
        <w:t xml:space="preserve"> presented an indirect comparison</w:t>
      </w:r>
      <w:r w:rsidR="00426C3C">
        <w:rPr>
          <w:rFonts w:ascii="Franklin Gothic Book" w:hAnsi="Franklin Gothic Book"/>
          <w:sz w:val="22"/>
          <w:szCs w:val="22"/>
        </w:rPr>
        <w:t xml:space="preserve"> to inf</w:t>
      </w:r>
      <w:r w:rsidR="00317DB9">
        <w:rPr>
          <w:rFonts w:ascii="Franklin Gothic Book" w:hAnsi="Franklin Gothic Book"/>
          <w:sz w:val="22"/>
          <w:szCs w:val="22"/>
        </w:rPr>
        <w:t xml:space="preserve">orm the </w:t>
      </w:r>
      <w:r w:rsidR="00C03860">
        <w:rPr>
          <w:rFonts w:ascii="Franklin Gothic Book" w:hAnsi="Franklin Gothic Book"/>
          <w:sz w:val="22"/>
          <w:szCs w:val="22"/>
        </w:rPr>
        <w:t xml:space="preserve">data regarding </w:t>
      </w:r>
      <w:r w:rsidR="00317DB9">
        <w:rPr>
          <w:rFonts w:ascii="Franklin Gothic Book" w:hAnsi="Franklin Gothic Book"/>
          <w:sz w:val="22"/>
          <w:szCs w:val="22"/>
        </w:rPr>
        <w:t>comparative effectiveness of the test</w:t>
      </w:r>
      <w:r w:rsidR="00EB06D8">
        <w:rPr>
          <w:rFonts w:ascii="Franklin Gothic Book" w:hAnsi="Franklin Gothic Book"/>
          <w:sz w:val="22"/>
          <w:szCs w:val="22"/>
        </w:rPr>
        <w:t xml:space="preserve"> and drug combination.</w:t>
      </w:r>
      <w:r w:rsidRPr="002E133F">
        <w:rPr>
          <w:rFonts w:ascii="Franklin Gothic Book" w:hAnsi="Franklin Gothic Book"/>
          <w:sz w:val="22"/>
          <w:szCs w:val="22"/>
        </w:rPr>
        <w:t xml:space="preserve"> SPOTLIGHT and GLOW trials were in patients who were CLDN18-</w:t>
      </w:r>
      <w:proofErr w:type="gramStart"/>
      <w:r w:rsidRPr="002E133F">
        <w:rPr>
          <w:rFonts w:ascii="Franklin Gothic Book" w:hAnsi="Franklin Gothic Book"/>
          <w:sz w:val="22"/>
          <w:szCs w:val="22"/>
        </w:rPr>
        <w:t>positive, and</w:t>
      </w:r>
      <w:proofErr w:type="gramEnd"/>
      <w:r w:rsidRPr="002E133F">
        <w:rPr>
          <w:rFonts w:ascii="Franklin Gothic Book" w:hAnsi="Franklin Gothic Book"/>
          <w:sz w:val="22"/>
          <w:szCs w:val="22"/>
        </w:rPr>
        <w:t xml:space="preserve"> compared zolbetuximab + chemotherapy with chemotherapy alone. For the comparator of nivolumab + chemotherapy, patients in the </w:t>
      </w:r>
      <w:proofErr w:type="spellStart"/>
      <w:r w:rsidRPr="002E133F">
        <w:rPr>
          <w:rFonts w:ascii="Franklin Gothic Book" w:hAnsi="Franklin Gothic Book"/>
          <w:sz w:val="22"/>
          <w:szCs w:val="22"/>
        </w:rPr>
        <w:t>CheckMate</w:t>
      </w:r>
      <w:proofErr w:type="spellEnd"/>
      <w:r w:rsidRPr="002E133F">
        <w:rPr>
          <w:rFonts w:ascii="Franklin Gothic Book" w:hAnsi="Franklin Gothic Book"/>
          <w:sz w:val="22"/>
          <w:szCs w:val="22"/>
        </w:rPr>
        <w:t xml:space="preserve"> 649 and ATTRACTION-4 trials were not tested for the biomarker, so their CLDN18 status was unknown. Clinical effectiveness was assessed using a network meta-analysis of these trials. MSAC noted the uncertainty regarding the results of the network meta-analysis</w:t>
      </w:r>
      <w:r w:rsidR="00F23DED">
        <w:rPr>
          <w:rFonts w:ascii="Franklin Gothic Book" w:hAnsi="Franklin Gothic Book"/>
          <w:sz w:val="22"/>
          <w:szCs w:val="22"/>
        </w:rPr>
        <w:t xml:space="preserve"> </w:t>
      </w:r>
      <w:r w:rsidR="000B6862">
        <w:rPr>
          <w:rFonts w:ascii="Franklin Gothic Book" w:hAnsi="Franklin Gothic Book"/>
          <w:sz w:val="22"/>
          <w:szCs w:val="22"/>
        </w:rPr>
        <w:t xml:space="preserve">as CLDN18 status </w:t>
      </w:r>
      <w:r w:rsidR="003B4A7B">
        <w:rPr>
          <w:rFonts w:ascii="Franklin Gothic Book" w:hAnsi="Franklin Gothic Book"/>
          <w:sz w:val="22"/>
          <w:szCs w:val="22"/>
        </w:rPr>
        <w:t>may be a prognostic factor</w:t>
      </w:r>
      <w:r w:rsidR="00F23DED">
        <w:rPr>
          <w:rFonts w:ascii="Franklin Gothic Book" w:hAnsi="Franklin Gothic Book"/>
          <w:sz w:val="22"/>
          <w:szCs w:val="22"/>
        </w:rPr>
        <w:t>.</w:t>
      </w:r>
      <w:r w:rsidR="00F23DED" w:rsidRPr="002E133F">
        <w:rPr>
          <w:rFonts w:ascii="Franklin Gothic Book" w:hAnsi="Franklin Gothic Book"/>
          <w:sz w:val="22"/>
          <w:szCs w:val="22"/>
        </w:rPr>
        <w:t xml:space="preserve"> </w:t>
      </w:r>
      <w:r w:rsidR="00F23DED">
        <w:rPr>
          <w:rFonts w:ascii="Franklin Gothic Book" w:hAnsi="Franklin Gothic Book"/>
          <w:sz w:val="22"/>
          <w:szCs w:val="22"/>
        </w:rPr>
        <w:t>On balance, MSAC</w:t>
      </w:r>
      <w:r w:rsidR="00F23DED" w:rsidRPr="002E133F">
        <w:rPr>
          <w:rFonts w:ascii="Franklin Gothic Book" w:hAnsi="Franklin Gothic Book"/>
          <w:sz w:val="22"/>
          <w:szCs w:val="22"/>
        </w:rPr>
        <w:t xml:space="preserve"> </w:t>
      </w:r>
      <w:r w:rsidRPr="002E133F">
        <w:rPr>
          <w:rFonts w:ascii="Franklin Gothic Book" w:hAnsi="Franklin Gothic Book"/>
          <w:sz w:val="22"/>
          <w:szCs w:val="22"/>
        </w:rPr>
        <w:t xml:space="preserve">agreed with the ESCs that the clinical evidence </w:t>
      </w:r>
      <w:r w:rsidR="005F5B91" w:rsidRPr="002E133F">
        <w:rPr>
          <w:rFonts w:ascii="Franklin Gothic Book" w:hAnsi="Franklin Gothic Book"/>
          <w:sz w:val="22"/>
          <w:szCs w:val="22"/>
        </w:rPr>
        <w:t>indicate</w:t>
      </w:r>
      <w:r w:rsidR="005F5B91">
        <w:rPr>
          <w:rFonts w:ascii="Franklin Gothic Book" w:hAnsi="Franklin Gothic Book"/>
          <w:sz w:val="22"/>
          <w:szCs w:val="22"/>
        </w:rPr>
        <w:t>d</w:t>
      </w:r>
      <w:r w:rsidRPr="002E133F">
        <w:rPr>
          <w:rFonts w:ascii="Franklin Gothic Book" w:hAnsi="Franklin Gothic Book"/>
          <w:sz w:val="22"/>
          <w:szCs w:val="22"/>
        </w:rPr>
        <w:t xml:space="preserve"> that adding zolbetuximab to standard therapy for CLDN18-positive patients improves survival by </w:t>
      </w:r>
      <w:r w:rsidR="002375AE">
        <w:rPr>
          <w:rFonts w:ascii="Franklin Gothic Book" w:hAnsi="Franklin Gothic Book"/>
          <w:sz w:val="22"/>
          <w:szCs w:val="22"/>
        </w:rPr>
        <w:br/>
      </w:r>
      <w:r w:rsidRPr="002E133F">
        <w:rPr>
          <w:rFonts w:ascii="Franklin Gothic Book" w:hAnsi="Franklin Gothic Book"/>
          <w:sz w:val="22"/>
          <w:szCs w:val="22"/>
        </w:rPr>
        <w:t xml:space="preserve">2.2–2.7 months. </w:t>
      </w:r>
    </w:p>
    <w:p w14:paraId="2BE83A48" w14:textId="2AD8C763"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the economic evaluation, which was a cost-minimisation approach comparing zolbetuximab </w:t>
      </w:r>
      <w:r w:rsidR="00635FD0">
        <w:rPr>
          <w:rFonts w:ascii="Franklin Gothic Book" w:hAnsi="Franklin Gothic Book"/>
          <w:sz w:val="22"/>
          <w:szCs w:val="22"/>
        </w:rPr>
        <w:t>in combination with</w:t>
      </w:r>
      <w:r w:rsidR="00635FD0" w:rsidRPr="002E133F">
        <w:rPr>
          <w:rFonts w:ascii="Franklin Gothic Book" w:hAnsi="Franklin Gothic Book"/>
          <w:sz w:val="22"/>
          <w:szCs w:val="22"/>
        </w:rPr>
        <w:t xml:space="preserve"> </w:t>
      </w:r>
      <w:r w:rsidRPr="002E133F">
        <w:rPr>
          <w:rFonts w:ascii="Franklin Gothic Book" w:hAnsi="Franklin Gothic Book"/>
          <w:sz w:val="22"/>
          <w:szCs w:val="22"/>
        </w:rPr>
        <w:t xml:space="preserve">chemotherapy </w:t>
      </w:r>
      <w:r w:rsidR="00635FD0">
        <w:rPr>
          <w:rFonts w:ascii="Franklin Gothic Book" w:hAnsi="Franklin Gothic Book"/>
          <w:sz w:val="22"/>
          <w:szCs w:val="22"/>
        </w:rPr>
        <w:t>in patients</w:t>
      </w:r>
      <w:r w:rsidRPr="002E133F">
        <w:rPr>
          <w:rFonts w:ascii="Franklin Gothic Book" w:hAnsi="Franklin Gothic Book"/>
          <w:sz w:val="22"/>
          <w:szCs w:val="22"/>
        </w:rPr>
        <w:t xml:space="preserve"> with CLDN18 testing to nivolumab </w:t>
      </w:r>
      <w:r w:rsidR="00635FD0">
        <w:rPr>
          <w:rFonts w:ascii="Franklin Gothic Book" w:hAnsi="Franklin Gothic Book"/>
          <w:sz w:val="22"/>
          <w:szCs w:val="22"/>
        </w:rPr>
        <w:t>in combination with</w:t>
      </w:r>
      <w:r w:rsidR="00635FD0" w:rsidRPr="002E133F">
        <w:rPr>
          <w:rFonts w:ascii="Franklin Gothic Book" w:hAnsi="Franklin Gothic Book"/>
          <w:sz w:val="22"/>
          <w:szCs w:val="22"/>
        </w:rPr>
        <w:t xml:space="preserve"> </w:t>
      </w:r>
      <w:r w:rsidRPr="002E133F">
        <w:rPr>
          <w:rFonts w:ascii="Franklin Gothic Book" w:hAnsi="Franklin Gothic Book"/>
          <w:sz w:val="22"/>
          <w:szCs w:val="22"/>
        </w:rPr>
        <w:t xml:space="preserve">chemotherapy </w:t>
      </w:r>
      <w:r w:rsidR="00635FD0">
        <w:rPr>
          <w:rFonts w:ascii="Franklin Gothic Book" w:hAnsi="Franklin Gothic Book"/>
          <w:sz w:val="22"/>
          <w:szCs w:val="22"/>
        </w:rPr>
        <w:t xml:space="preserve">in patients </w:t>
      </w:r>
      <w:r w:rsidRPr="002E133F">
        <w:rPr>
          <w:rFonts w:ascii="Franklin Gothic Book" w:hAnsi="Franklin Gothic Book"/>
          <w:sz w:val="22"/>
          <w:szCs w:val="22"/>
        </w:rPr>
        <w:t xml:space="preserve">with no testing, based on the claim of noninferior efficacy and safety. MSAC considered </w:t>
      </w:r>
      <w:r w:rsidR="0011249C">
        <w:rPr>
          <w:rFonts w:ascii="Franklin Gothic Book" w:hAnsi="Franklin Gothic Book"/>
          <w:sz w:val="22"/>
          <w:szCs w:val="22"/>
        </w:rPr>
        <w:t>the approach</w:t>
      </w:r>
      <w:r w:rsidR="0011249C" w:rsidRPr="002E133F">
        <w:rPr>
          <w:rFonts w:ascii="Franklin Gothic Book" w:hAnsi="Franklin Gothic Book"/>
          <w:sz w:val="22"/>
          <w:szCs w:val="22"/>
        </w:rPr>
        <w:t xml:space="preserve"> </w:t>
      </w:r>
      <w:r w:rsidRPr="002E133F">
        <w:rPr>
          <w:rFonts w:ascii="Franklin Gothic Book" w:hAnsi="Franklin Gothic Book"/>
          <w:sz w:val="22"/>
          <w:szCs w:val="22"/>
        </w:rPr>
        <w:t>to be appropriate.</w:t>
      </w:r>
    </w:p>
    <w:p w14:paraId="0710AF2E" w14:textId="43EA8D0C"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the estimated utilisation and </w:t>
      </w:r>
      <w:r w:rsidR="004871B9">
        <w:rPr>
          <w:rFonts w:ascii="Franklin Gothic Book" w:hAnsi="Franklin Gothic Book"/>
          <w:sz w:val="22"/>
          <w:szCs w:val="22"/>
        </w:rPr>
        <w:t xml:space="preserve">revised </w:t>
      </w:r>
      <w:r w:rsidRPr="002E133F">
        <w:rPr>
          <w:rFonts w:ascii="Franklin Gothic Book" w:hAnsi="Franklin Gothic Book"/>
          <w:sz w:val="22"/>
          <w:szCs w:val="22"/>
        </w:rPr>
        <w:t>financial implications</w:t>
      </w:r>
      <w:r w:rsidR="004871B9">
        <w:rPr>
          <w:rFonts w:ascii="Franklin Gothic Book" w:hAnsi="Franklin Gothic Book"/>
          <w:sz w:val="22"/>
          <w:szCs w:val="22"/>
        </w:rPr>
        <w:t xml:space="preserve"> </w:t>
      </w:r>
      <w:r w:rsidR="004871B9" w:rsidRPr="000F2A98">
        <w:rPr>
          <w:rFonts w:ascii="Franklin Gothic Book" w:hAnsi="Franklin Gothic Book"/>
          <w:bCs/>
          <w:sz w:val="22"/>
        </w:rPr>
        <w:t xml:space="preserve">using the post-ESC calculated cost-minimised </w:t>
      </w:r>
      <w:r w:rsidR="004871B9">
        <w:rPr>
          <w:rFonts w:ascii="Franklin Gothic Book" w:hAnsi="Franklin Gothic Book"/>
          <w:bCs/>
          <w:sz w:val="22"/>
        </w:rPr>
        <w:t>price</w:t>
      </w:r>
      <w:r w:rsidR="004871B9" w:rsidRPr="000F2A98">
        <w:rPr>
          <w:rFonts w:ascii="Franklin Gothic Book" w:hAnsi="Franklin Gothic Book"/>
          <w:bCs/>
          <w:sz w:val="22"/>
        </w:rPr>
        <w:t xml:space="preserve"> for zolbetuximab and </w:t>
      </w:r>
      <w:r w:rsidR="004871B9" w:rsidRPr="000F2A98">
        <w:rPr>
          <w:rFonts w:ascii="Franklin Gothic Book" w:eastAsia="Calibri" w:hAnsi="Franklin Gothic Book"/>
          <w:bCs/>
          <w:sz w:val="22"/>
        </w:rPr>
        <w:t>ESC-supported MBS fee of $74.50 for CLDN18 testing</w:t>
      </w:r>
      <w:r w:rsidR="00B43C39">
        <w:rPr>
          <w:rFonts w:ascii="Franklin Gothic Book" w:hAnsi="Franklin Gothic Book"/>
          <w:sz w:val="22"/>
          <w:szCs w:val="22"/>
        </w:rPr>
        <w:t>.</w:t>
      </w:r>
      <w:r w:rsidRPr="002E133F">
        <w:rPr>
          <w:rFonts w:ascii="Franklin Gothic Book" w:hAnsi="Franklin Gothic Book"/>
          <w:sz w:val="22"/>
          <w:szCs w:val="22"/>
        </w:rPr>
        <w:t xml:space="preserve"> </w:t>
      </w:r>
      <w:r w:rsidR="00E44CE5" w:rsidRPr="002E133F">
        <w:rPr>
          <w:rFonts w:ascii="Franklin Gothic Book" w:hAnsi="Franklin Gothic Book"/>
          <w:sz w:val="22"/>
          <w:szCs w:val="22"/>
        </w:rPr>
        <w:t>MSAC noted the uncertainty</w:t>
      </w:r>
      <w:r w:rsidR="00E44CE5">
        <w:rPr>
          <w:rFonts w:ascii="Franklin Gothic Book" w:hAnsi="Franklin Gothic Book"/>
          <w:sz w:val="22"/>
          <w:szCs w:val="22"/>
        </w:rPr>
        <w:t xml:space="preserve"> </w:t>
      </w:r>
      <w:r w:rsidR="00D2244D">
        <w:rPr>
          <w:rFonts w:ascii="Franklin Gothic Book" w:hAnsi="Franklin Gothic Book"/>
          <w:sz w:val="22"/>
          <w:szCs w:val="22"/>
        </w:rPr>
        <w:t xml:space="preserve">in the </w:t>
      </w:r>
      <w:r w:rsidR="000D07A7">
        <w:rPr>
          <w:rFonts w:ascii="Franklin Gothic Book" w:hAnsi="Franklin Gothic Book"/>
          <w:sz w:val="22"/>
          <w:szCs w:val="22"/>
        </w:rPr>
        <w:t xml:space="preserve">proportion of patients who would have </w:t>
      </w:r>
      <w:r w:rsidR="000D07A7" w:rsidRPr="000D07A7">
        <w:rPr>
          <w:rFonts w:ascii="Franklin Gothic Book" w:hAnsi="Franklin Gothic Book"/>
          <w:sz w:val="22"/>
          <w:szCs w:val="22"/>
        </w:rPr>
        <w:t>CLDN18.2 positive</w:t>
      </w:r>
      <w:r w:rsidR="000D07A7">
        <w:rPr>
          <w:rFonts w:ascii="Franklin Gothic Book" w:hAnsi="Franklin Gothic Book"/>
          <w:sz w:val="22"/>
          <w:szCs w:val="22"/>
        </w:rPr>
        <w:t xml:space="preserve"> tumours</w:t>
      </w:r>
      <w:r w:rsidR="000D07A7" w:rsidRPr="000D07A7">
        <w:rPr>
          <w:rFonts w:ascii="Franklin Gothic Book" w:hAnsi="Franklin Gothic Book"/>
          <w:sz w:val="22"/>
          <w:szCs w:val="22"/>
        </w:rPr>
        <w:t xml:space="preserve"> </w:t>
      </w:r>
      <w:r w:rsidR="00734020">
        <w:rPr>
          <w:rFonts w:ascii="Franklin Gothic Book" w:hAnsi="Franklin Gothic Book"/>
          <w:sz w:val="22"/>
          <w:szCs w:val="22"/>
        </w:rPr>
        <w:t xml:space="preserve">due </w:t>
      </w:r>
      <w:r w:rsidR="00E44CE5">
        <w:rPr>
          <w:rFonts w:ascii="Franklin Gothic Book" w:hAnsi="Franklin Gothic Book"/>
          <w:sz w:val="22"/>
          <w:szCs w:val="22"/>
        </w:rPr>
        <w:t>to lack of data on</w:t>
      </w:r>
      <w:r w:rsidR="00E44CE5" w:rsidRPr="002E133F">
        <w:rPr>
          <w:rFonts w:ascii="Franklin Gothic Book" w:hAnsi="Franklin Gothic Book"/>
          <w:sz w:val="22"/>
          <w:szCs w:val="22"/>
        </w:rPr>
        <w:t xml:space="preserve"> the prevalence of CLDN18</w:t>
      </w:r>
      <w:r w:rsidR="00E44CE5">
        <w:rPr>
          <w:rFonts w:ascii="Franklin Gothic Book" w:hAnsi="Franklin Gothic Book"/>
          <w:sz w:val="22"/>
          <w:szCs w:val="22"/>
        </w:rPr>
        <w:t>.2 positive</w:t>
      </w:r>
      <w:r w:rsidR="00E44CE5" w:rsidRPr="002E133F">
        <w:rPr>
          <w:rFonts w:ascii="Franklin Gothic Book" w:hAnsi="Franklin Gothic Book"/>
          <w:sz w:val="22"/>
          <w:szCs w:val="22"/>
        </w:rPr>
        <w:t xml:space="preserve"> expression in Australian patients </w:t>
      </w:r>
      <w:r w:rsidR="00E44CE5">
        <w:rPr>
          <w:rFonts w:ascii="Franklin Gothic Book" w:hAnsi="Franklin Gothic Book"/>
          <w:sz w:val="22"/>
          <w:szCs w:val="22"/>
        </w:rPr>
        <w:t>with</w:t>
      </w:r>
      <w:r w:rsidR="00E44CE5" w:rsidRPr="000643E4">
        <w:rPr>
          <w:rFonts w:ascii="Franklin Gothic Book" w:hAnsi="Franklin Gothic Book"/>
          <w:sz w:val="22"/>
          <w:szCs w:val="22"/>
        </w:rPr>
        <w:t xml:space="preserve"> G/GOJ cancer</w:t>
      </w:r>
      <w:r w:rsidR="00E44CE5">
        <w:rPr>
          <w:rFonts w:ascii="Franklin Gothic Book" w:hAnsi="Franklin Gothic Book"/>
          <w:sz w:val="22"/>
          <w:szCs w:val="22"/>
        </w:rPr>
        <w:t xml:space="preserve">. MSAC also noted the uncertainty of </w:t>
      </w:r>
      <w:r w:rsidR="00E44CE5" w:rsidRPr="002F75B2">
        <w:rPr>
          <w:rFonts w:ascii="Franklin Gothic Book" w:hAnsi="Franklin Gothic Book"/>
          <w:sz w:val="22"/>
          <w:szCs w:val="22"/>
        </w:rPr>
        <w:t xml:space="preserve">additional costs to manage infusion related adverse events, </w:t>
      </w:r>
      <w:r w:rsidR="00E44CE5">
        <w:rPr>
          <w:rFonts w:ascii="Franklin Gothic Book" w:hAnsi="Franklin Gothic Book"/>
          <w:sz w:val="22"/>
          <w:szCs w:val="22"/>
        </w:rPr>
        <w:t xml:space="preserve">and </w:t>
      </w:r>
      <w:r w:rsidR="00E44CE5" w:rsidRPr="002F75B2">
        <w:rPr>
          <w:rFonts w:ascii="Franklin Gothic Book" w:hAnsi="Franklin Gothic Book"/>
          <w:sz w:val="22"/>
          <w:szCs w:val="22"/>
        </w:rPr>
        <w:t>this may underestimate of costs of management</w:t>
      </w:r>
      <w:r w:rsidR="00E44CE5">
        <w:rPr>
          <w:rFonts w:ascii="Franklin Gothic Book" w:hAnsi="Franklin Gothic Book"/>
          <w:sz w:val="22"/>
          <w:szCs w:val="22"/>
        </w:rPr>
        <w:t>.</w:t>
      </w:r>
      <w:r w:rsidR="00E44CE5" w:rsidRPr="002F75B2">
        <w:rPr>
          <w:rFonts w:ascii="Franklin Gothic Book" w:hAnsi="Franklin Gothic Book"/>
          <w:sz w:val="22"/>
          <w:szCs w:val="22"/>
        </w:rPr>
        <w:t xml:space="preserve"> </w:t>
      </w:r>
      <w:r w:rsidR="00E44CE5">
        <w:rPr>
          <w:rFonts w:ascii="Franklin Gothic Book" w:hAnsi="Franklin Gothic Book"/>
          <w:sz w:val="22"/>
          <w:szCs w:val="22"/>
        </w:rPr>
        <w:t xml:space="preserve">MSAC considered </w:t>
      </w:r>
      <w:r w:rsidR="00E44CE5" w:rsidRPr="002E133F">
        <w:rPr>
          <w:rFonts w:ascii="Franklin Gothic Book" w:hAnsi="Franklin Gothic Book"/>
          <w:sz w:val="22"/>
          <w:szCs w:val="22"/>
        </w:rPr>
        <w:t>that the financial impact on the MBS was modest</w:t>
      </w:r>
      <w:r w:rsidR="00E44CE5">
        <w:rPr>
          <w:rFonts w:ascii="Franklin Gothic Book" w:hAnsi="Franklin Gothic Book"/>
          <w:sz w:val="22"/>
          <w:szCs w:val="22"/>
        </w:rPr>
        <w:t xml:space="preserve">. </w:t>
      </w:r>
      <w:r w:rsidRPr="002E133F">
        <w:rPr>
          <w:rFonts w:ascii="Franklin Gothic Book" w:hAnsi="Franklin Gothic Book"/>
          <w:sz w:val="22"/>
          <w:szCs w:val="22"/>
        </w:rPr>
        <w:t>MSAC</w:t>
      </w:r>
      <w:r w:rsidRPr="002E133F" w:rsidDel="00482290">
        <w:rPr>
          <w:rFonts w:ascii="Franklin Gothic Book" w:hAnsi="Franklin Gothic Book"/>
          <w:sz w:val="22"/>
          <w:szCs w:val="22"/>
        </w:rPr>
        <w:t xml:space="preserve"> </w:t>
      </w:r>
      <w:r w:rsidR="001017FE">
        <w:rPr>
          <w:rFonts w:ascii="Franklin Gothic Book" w:hAnsi="Franklin Gothic Book"/>
          <w:sz w:val="22"/>
          <w:szCs w:val="22"/>
        </w:rPr>
        <w:t>considered</w:t>
      </w:r>
      <w:r w:rsidR="00482290" w:rsidRPr="002E133F">
        <w:rPr>
          <w:rFonts w:ascii="Franklin Gothic Book" w:hAnsi="Franklin Gothic Book"/>
          <w:sz w:val="22"/>
          <w:szCs w:val="22"/>
        </w:rPr>
        <w:t xml:space="preserve"> </w:t>
      </w:r>
      <w:r w:rsidRPr="002E133F">
        <w:rPr>
          <w:rFonts w:ascii="Franklin Gothic Book" w:hAnsi="Franklin Gothic Book"/>
          <w:sz w:val="22"/>
          <w:szCs w:val="22"/>
        </w:rPr>
        <w:t xml:space="preserve">that it was likely that all patients who </w:t>
      </w:r>
      <w:r w:rsidR="00E44CE5">
        <w:rPr>
          <w:rFonts w:ascii="Franklin Gothic Book" w:hAnsi="Franklin Gothic Book"/>
          <w:sz w:val="22"/>
          <w:szCs w:val="22"/>
        </w:rPr>
        <w:t>are</w:t>
      </w:r>
      <w:r w:rsidR="00E44CE5" w:rsidRPr="002E133F">
        <w:rPr>
          <w:rFonts w:ascii="Franklin Gothic Book" w:hAnsi="Franklin Gothic Book"/>
          <w:sz w:val="22"/>
          <w:szCs w:val="22"/>
        </w:rPr>
        <w:t xml:space="preserve"> </w:t>
      </w:r>
      <w:r w:rsidRPr="002E133F">
        <w:rPr>
          <w:rFonts w:ascii="Franklin Gothic Book" w:hAnsi="Franklin Gothic Book"/>
          <w:sz w:val="22"/>
          <w:szCs w:val="22"/>
        </w:rPr>
        <w:t xml:space="preserve">biopsied would be tested, so the test uptake rate of </w:t>
      </w:r>
      <w:r w:rsidR="00A16A03" w:rsidRPr="009E3815">
        <w:rPr>
          <w:rFonts w:ascii="Franklin Gothic Book" w:hAnsi="Franklin Gothic Book"/>
          <w:b/>
          <w:sz w:val="22"/>
          <w:szCs w:val="22"/>
        </w:rPr>
        <w:t>redacted</w:t>
      </w:r>
      <w:r w:rsidR="00A16A03">
        <w:rPr>
          <w:rFonts w:ascii="Franklin Gothic Book" w:hAnsi="Franklin Gothic Book"/>
          <w:sz w:val="22"/>
          <w:szCs w:val="22"/>
        </w:rPr>
        <w:t xml:space="preserve"> </w:t>
      </w:r>
      <w:r w:rsidRPr="002E133F">
        <w:rPr>
          <w:rFonts w:ascii="Franklin Gothic Book" w:hAnsi="Franklin Gothic Book"/>
          <w:sz w:val="22"/>
          <w:szCs w:val="22"/>
        </w:rPr>
        <w:t xml:space="preserve">% used in the financial analysis was appropriate. </w:t>
      </w:r>
    </w:p>
    <w:p w14:paraId="261D3514" w14:textId="4B3EFC04" w:rsidR="002E133F" w:rsidRPr="002E133F" w:rsidRDefault="002E133F" w:rsidP="009853B7">
      <w:pPr>
        <w:pStyle w:val="TableFooter"/>
        <w:spacing w:before="120" w:after="160"/>
        <w:contextualSpacing w:val="0"/>
        <w:jc w:val="left"/>
        <w:rPr>
          <w:rFonts w:ascii="Franklin Gothic Book" w:hAnsi="Franklin Gothic Book"/>
          <w:sz w:val="22"/>
          <w:szCs w:val="22"/>
        </w:rPr>
      </w:pPr>
      <w:r w:rsidRPr="002E133F">
        <w:rPr>
          <w:rFonts w:ascii="Franklin Gothic Book" w:hAnsi="Franklin Gothic Book"/>
          <w:sz w:val="22"/>
          <w:szCs w:val="22"/>
        </w:rPr>
        <w:t xml:space="preserve">MSAC noted and agreed with the need for training and a quality assurance program for pathologists </w:t>
      </w:r>
      <w:r w:rsidR="009A1D2B">
        <w:rPr>
          <w:rFonts w:ascii="Franklin Gothic Book" w:hAnsi="Franklin Gothic Book"/>
          <w:sz w:val="22"/>
          <w:szCs w:val="22"/>
        </w:rPr>
        <w:t xml:space="preserve">and </w:t>
      </w:r>
      <w:r w:rsidR="00081982">
        <w:rPr>
          <w:rFonts w:ascii="Franklin Gothic Book" w:hAnsi="Franklin Gothic Book"/>
          <w:sz w:val="22"/>
          <w:szCs w:val="22"/>
        </w:rPr>
        <w:t xml:space="preserve">staff </w:t>
      </w:r>
      <w:r w:rsidR="00727017">
        <w:rPr>
          <w:rFonts w:ascii="Franklin Gothic Book" w:hAnsi="Franklin Gothic Book"/>
          <w:sz w:val="22"/>
          <w:szCs w:val="22"/>
        </w:rPr>
        <w:t>for conducting the test</w:t>
      </w:r>
      <w:r w:rsidR="009A1D2B">
        <w:rPr>
          <w:rFonts w:ascii="Franklin Gothic Book" w:hAnsi="Franklin Gothic Book"/>
          <w:sz w:val="22"/>
          <w:szCs w:val="22"/>
        </w:rPr>
        <w:t xml:space="preserve"> and interpret</w:t>
      </w:r>
      <w:r w:rsidR="00727017">
        <w:rPr>
          <w:rFonts w:ascii="Franklin Gothic Book" w:hAnsi="Franklin Gothic Book"/>
          <w:sz w:val="22"/>
          <w:szCs w:val="22"/>
        </w:rPr>
        <w:t>ing</w:t>
      </w:r>
      <w:r w:rsidR="009A1D2B">
        <w:rPr>
          <w:rFonts w:ascii="Franklin Gothic Book" w:hAnsi="Franklin Gothic Book"/>
          <w:sz w:val="22"/>
          <w:szCs w:val="22"/>
        </w:rPr>
        <w:t xml:space="preserve"> </w:t>
      </w:r>
      <w:r w:rsidR="00727017">
        <w:rPr>
          <w:rFonts w:ascii="Franklin Gothic Book" w:hAnsi="Franklin Gothic Book"/>
          <w:sz w:val="22"/>
          <w:szCs w:val="22"/>
        </w:rPr>
        <w:t>the</w:t>
      </w:r>
      <w:r w:rsidR="009A1D2B">
        <w:rPr>
          <w:rFonts w:ascii="Franklin Gothic Book" w:hAnsi="Franklin Gothic Book"/>
          <w:sz w:val="22"/>
          <w:szCs w:val="22"/>
        </w:rPr>
        <w:t xml:space="preserve"> CLDN18 testing results</w:t>
      </w:r>
      <w:r w:rsidRPr="002E133F">
        <w:rPr>
          <w:rFonts w:ascii="Franklin Gothic Book" w:hAnsi="Franklin Gothic Book"/>
          <w:sz w:val="22"/>
          <w:szCs w:val="22"/>
        </w:rPr>
        <w:t>.</w:t>
      </w:r>
    </w:p>
    <w:p w14:paraId="0AF2F11F" w14:textId="77777777" w:rsidR="004040DE" w:rsidRPr="003A793E" w:rsidRDefault="00BD3EF0"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8" w:name="_Toc187863728"/>
      <w:bookmarkStart w:id="9" w:name="_Toc188441212"/>
      <w:bookmarkEnd w:id="6"/>
      <w:r w:rsidRPr="003A793E">
        <w:rPr>
          <w:rFonts w:ascii="Franklin Gothic Medium" w:hAnsi="Franklin Gothic Medium"/>
          <w:b w:val="0"/>
          <w:i w:val="0"/>
          <w:snapToGrid/>
          <w:color w:val="000000" w:themeColor="text1"/>
          <w:sz w:val="32"/>
          <w:szCs w:val="26"/>
        </w:rPr>
        <w:t>Background</w:t>
      </w:r>
      <w:bookmarkEnd w:id="8"/>
      <w:bookmarkEnd w:id="9"/>
    </w:p>
    <w:p w14:paraId="2C357D4D" w14:textId="0FBB12B6" w:rsidR="00BD3EF0" w:rsidRPr="00F91D6E" w:rsidRDefault="00BD3EF0" w:rsidP="00F91D6E">
      <w:pPr>
        <w:jc w:val="left"/>
        <w:rPr>
          <w:rFonts w:ascii="Franklin Gothic Book" w:hAnsi="Franklin Gothic Book"/>
          <w:sz w:val="22"/>
        </w:rPr>
      </w:pPr>
      <w:r w:rsidRPr="00F91D6E">
        <w:rPr>
          <w:rFonts w:ascii="Franklin Gothic Book" w:hAnsi="Franklin Gothic Book"/>
          <w:sz w:val="22"/>
        </w:rPr>
        <w:t>This integrated codependent application is the first submission for CLDN18 test</w:t>
      </w:r>
      <w:r w:rsidR="00CD3C44" w:rsidRPr="00F91D6E">
        <w:rPr>
          <w:rFonts w:ascii="Franklin Gothic Book" w:hAnsi="Franklin Gothic Book"/>
          <w:sz w:val="22"/>
        </w:rPr>
        <w:t>ing</w:t>
      </w:r>
      <w:r w:rsidRPr="00F91D6E">
        <w:rPr>
          <w:rFonts w:ascii="Franklin Gothic Book" w:hAnsi="Franklin Gothic Book"/>
          <w:sz w:val="22"/>
        </w:rPr>
        <w:t xml:space="preserve"> for </w:t>
      </w:r>
      <w:r w:rsidR="00826E9D" w:rsidRPr="00F91D6E">
        <w:rPr>
          <w:rFonts w:ascii="Franklin Gothic Book" w:hAnsi="Franklin Gothic Book"/>
          <w:sz w:val="22"/>
        </w:rPr>
        <w:t xml:space="preserve">locally advanced unresectable or metastatic G/GOJ adenocarcinoma </w:t>
      </w:r>
      <w:r w:rsidR="00475734" w:rsidRPr="00F91D6E">
        <w:rPr>
          <w:rFonts w:ascii="Franklin Gothic Book" w:hAnsi="Franklin Gothic Book"/>
          <w:sz w:val="22"/>
        </w:rPr>
        <w:t>(hereafter advanced G/</w:t>
      </w:r>
      <w:r w:rsidR="6FE70967" w:rsidRPr="00F91D6E">
        <w:rPr>
          <w:rFonts w:ascii="Franklin Gothic Book" w:hAnsi="Franklin Gothic Book"/>
          <w:sz w:val="22"/>
        </w:rPr>
        <w:t>GOJ) to</w:t>
      </w:r>
      <w:r w:rsidR="00826E9D" w:rsidRPr="00F91D6E">
        <w:rPr>
          <w:rFonts w:ascii="Franklin Gothic Book" w:hAnsi="Franklin Gothic Book"/>
          <w:sz w:val="22"/>
        </w:rPr>
        <w:t xml:space="preserve"> the MSAC, and the first submission for zolbetuximab in combination with chemotherapy for advanced G/GOJ adenocarcinoma to the PBAC.</w:t>
      </w:r>
    </w:p>
    <w:p w14:paraId="6CFE4A9C" w14:textId="5AF4F69E" w:rsidR="00BE3D49" w:rsidRPr="003A793E" w:rsidRDefault="6A8280B8"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10" w:name="_Toc187863729"/>
      <w:bookmarkStart w:id="11" w:name="_Toc188441213"/>
      <w:r w:rsidRPr="003A793E">
        <w:rPr>
          <w:rFonts w:ascii="Franklin Gothic Medium" w:hAnsi="Franklin Gothic Medium"/>
          <w:b w:val="0"/>
          <w:i w:val="0"/>
          <w:snapToGrid/>
          <w:color w:val="000000" w:themeColor="text1"/>
          <w:sz w:val="32"/>
          <w:szCs w:val="26"/>
        </w:rPr>
        <w:t>Prerequisites to implementation of any funding advice</w:t>
      </w:r>
      <w:bookmarkEnd w:id="10"/>
      <w:bookmarkEnd w:id="11"/>
    </w:p>
    <w:p w14:paraId="0A14FAE8" w14:textId="2531D4B4" w:rsidR="00604E2A" w:rsidRPr="00F91D6E" w:rsidRDefault="26B9ADD2" w:rsidP="00F91D6E">
      <w:pPr>
        <w:pStyle w:val="Instructionaltext0"/>
        <w:rPr>
          <w:color w:val="auto"/>
        </w:rPr>
      </w:pPr>
      <w:r w:rsidRPr="00F91D6E">
        <w:rPr>
          <w:color w:val="auto"/>
        </w:rPr>
        <w:t>IHC testing for CLDN18</w:t>
      </w:r>
      <w:r w:rsidR="272DE3A2" w:rsidRPr="00F91D6E">
        <w:rPr>
          <w:color w:val="auto"/>
        </w:rPr>
        <w:t>.2</w:t>
      </w:r>
      <w:r w:rsidRPr="00F91D6E">
        <w:rPr>
          <w:color w:val="auto"/>
        </w:rPr>
        <w:t xml:space="preserve"> expression is not currently funded, nor available in Australia. </w:t>
      </w:r>
      <w:r w:rsidR="35EFBE60" w:rsidRPr="00F91D6E">
        <w:rPr>
          <w:color w:val="auto"/>
        </w:rPr>
        <w:t>The commentary considered that a</w:t>
      </w:r>
      <w:r w:rsidR="66D97713" w:rsidRPr="00F91D6E">
        <w:rPr>
          <w:color w:val="auto"/>
        </w:rPr>
        <w:t>s</w:t>
      </w:r>
      <w:r w:rsidRPr="00F91D6E">
        <w:rPr>
          <w:color w:val="auto"/>
        </w:rPr>
        <w:t xml:space="preserve"> i</w:t>
      </w:r>
      <w:r w:rsidR="2213A3C4" w:rsidRPr="00F91D6E">
        <w:rPr>
          <w:color w:val="auto"/>
        </w:rPr>
        <w:t>s</w:t>
      </w:r>
      <w:r w:rsidRPr="00F91D6E">
        <w:rPr>
          <w:color w:val="auto"/>
        </w:rPr>
        <w:t xml:space="preserve"> the case for other pathology tests, CLDN18 testing involves in</w:t>
      </w:r>
      <w:r w:rsidR="20008B18" w:rsidRPr="00F91D6E">
        <w:rPr>
          <w:color w:val="auto"/>
        </w:rPr>
        <w:t xml:space="preserve"> </w:t>
      </w:r>
      <w:r w:rsidRPr="00F91D6E">
        <w:rPr>
          <w:color w:val="auto"/>
        </w:rPr>
        <w:t>vitro diagnostic medical devices (IVD) that require approval by the Therapeutic Goods Administration (TGA) and inclusion on the Australian Register of Therapeutic Goods (ARTG)</w:t>
      </w:r>
      <w:r w:rsidR="4F9496B5" w:rsidRPr="00F91D6E">
        <w:rPr>
          <w:color w:val="auto"/>
        </w:rPr>
        <w:t>.</w:t>
      </w:r>
      <w:r w:rsidRPr="00F91D6E">
        <w:rPr>
          <w:color w:val="auto"/>
        </w:rPr>
        <w:t xml:space="preserve"> The submission did not provide any information regarding the TGA</w:t>
      </w:r>
      <w:r w:rsidR="4F9496B5" w:rsidRPr="00F91D6E">
        <w:rPr>
          <w:color w:val="auto"/>
        </w:rPr>
        <w:t>/ARTG</w:t>
      </w:r>
      <w:r w:rsidRPr="00F91D6E">
        <w:rPr>
          <w:color w:val="auto"/>
        </w:rPr>
        <w:t xml:space="preserve"> status of the </w:t>
      </w:r>
      <w:r w:rsidR="272DE3A2" w:rsidRPr="00F91D6E">
        <w:rPr>
          <w:color w:val="auto"/>
        </w:rPr>
        <w:t>Ventana®</w:t>
      </w:r>
      <w:r w:rsidRPr="00F91D6E">
        <w:rPr>
          <w:color w:val="auto"/>
        </w:rPr>
        <w:t xml:space="preserve"> CLDN18 (43-14A) </w:t>
      </w:r>
      <w:proofErr w:type="spellStart"/>
      <w:r w:rsidRPr="00F91D6E">
        <w:rPr>
          <w:color w:val="auto"/>
        </w:rPr>
        <w:t>RxDx</w:t>
      </w:r>
      <w:proofErr w:type="spellEnd"/>
      <w:r w:rsidRPr="00F91D6E">
        <w:rPr>
          <w:color w:val="auto"/>
        </w:rPr>
        <w:t xml:space="preserve"> Assay</w:t>
      </w:r>
      <w:r w:rsidR="4F9496B5" w:rsidRPr="00F91D6E">
        <w:rPr>
          <w:color w:val="auto"/>
        </w:rPr>
        <w:t xml:space="preserve"> </w:t>
      </w:r>
      <w:r w:rsidR="209579E8" w:rsidRPr="00F91D6E">
        <w:rPr>
          <w:color w:val="auto"/>
        </w:rPr>
        <w:t>for</w:t>
      </w:r>
      <w:r w:rsidR="4F9496B5" w:rsidRPr="00F91D6E">
        <w:rPr>
          <w:color w:val="auto"/>
        </w:rPr>
        <w:t xml:space="preserve"> conducting CLDN18 testing</w:t>
      </w:r>
      <w:r w:rsidRPr="00F91D6E">
        <w:rPr>
          <w:color w:val="auto"/>
        </w:rPr>
        <w:t xml:space="preserve">. </w:t>
      </w:r>
      <w:r w:rsidR="35F5F3A2" w:rsidRPr="00F91D6E">
        <w:rPr>
          <w:color w:val="auto"/>
        </w:rPr>
        <w:t>A</w:t>
      </w:r>
      <w:r w:rsidR="67F2DD70" w:rsidRPr="00F91D6E">
        <w:rPr>
          <w:color w:val="auto"/>
        </w:rPr>
        <w:t xml:space="preserve">ccording to </w:t>
      </w:r>
      <w:r w:rsidR="4A537118" w:rsidRPr="00F91D6E">
        <w:rPr>
          <w:color w:val="auto"/>
        </w:rPr>
        <w:t>correspondence received from the applicant in March 2024,</w:t>
      </w:r>
      <w:r w:rsidR="35F5F3A2" w:rsidRPr="00F91D6E">
        <w:rPr>
          <w:color w:val="auto"/>
        </w:rPr>
        <w:t xml:space="preserve"> </w:t>
      </w:r>
      <w:r w:rsidR="4A537118" w:rsidRPr="00F91D6E">
        <w:rPr>
          <w:color w:val="auto"/>
        </w:rPr>
        <w:t>TGA approval of the Companion Diagnostic (</w:t>
      </w:r>
      <w:proofErr w:type="spellStart"/>
      <w:r w:rsidR="4A537118" w:rsidRPr="00F91D6E">
        <w:rPr>
          <w:color w:val="auto"/>
        </w:rPr>
        <w:t>CDx</w:t>
      </w:r>
      <w:proofErr w:type="spellEnd"/>
      <w:r w:rsidR="4A537118" w:rsidRPr="00F91D6E">
        <w:rPr>
          <w:color w:val="auto"/>
        </w:rPr>
        <w:t xml:space="preserve">) was </w:t>
      </w:r>
      <w:r w:rsidR="35F5F3A2" w:rsidRPr="00F91D6E">
        <w:rPr>
          <w:color w:val="auto"/>
        </w:rPr>
        <w:t>anticipated</w:t>
      </w:r>
      <w:r w:rsidR="4A537118" w:rsidRPr="00F91D6E">
        <w:rPr>
          <w:color w:val="auto"/>
        </w:rPr>
        <w:t xml:space="preserve"> in December 2024</w:t>
      </w:r>
      <w:r w:rsidR="542E275C" w:rsidRPr="00F91D6E">
        <w:rPr>
          <w:color w:val="auto"/>
        </w:rPr>
        <w:t>.</w:t>
      </w:r>
    </w:p>
    <w:p w14:paraId="698F524A" w14:textId="6973FD11" w:rsidR="006C73D8" w:rsidRPr="00F91D6E" w:rsidRDefault="4F9496B5" w:rsidP="00F91D6E">
      <w:pPr>
        <w:pStyle w:val="Instructionaltext0"/>
        <w:rPr>
          <w:color w:val="auto"/>
        </w:rPr>
      </w:pPr>
      <w:r w:rsidRPr="00F91D6E">
        <w:rPr>
          <w:color w:val="auto"/>
        </w:rPr>
        <w:t xml:space="preserve">On 18th October 2024, the US Food and Drug Administration (FDA) approved the </w:t>
      </w:r>
      <w:r w:rsidR="272DE3A2" w:rsidRPr="00F91D6E">
        <w:rPr>
          <w:color w:val="auto"/>
        </w:rPr>
        <w:t xml:space="preserve">Ventana® </w:t>
      </w:r>
      <w:r w:rsidRPr="00F91D6E">
        <w:rPr>
          <w:color w:val="auto"/>
        </w:rPr>
        <w:t xml:space="preserve">CLDN18 (43-14A) </w:t>
      </w:r>
      <w:proofErr w:type="spellStart"/>
      <w:r w:rsidRPr="00F91D6E">
        <w:rPr>
          <w:color w:val="auto"/>
        </w:rPr>
        <w:t>RxDx</w:t>
      </w:r>
      <w:proofErr w:type="spellEnd"/>
      <w:r w:rsidRPr="00F91D6E">
        <w:rPr>
          <w:color w:val="auto"/>
        </w:rPr>
        <w:t xml:space="preserve"> Assay (Ventana Medical Systems, Inc./Roche Diagnostics) as a companion diagnostic </w:t>
      </w:r>
      <w:r w:rsidR="2F0F618D" w:rsidRPr="00F91D6E">
        <w:rPr>
          <w:color w:val="auto"/>
        </w:rPr>
        <w:t xml:space="preserve">test </w:t>
      </w:r>
      <w:r w:rsidRPr="00F91D6E">
        <w:rPr>
          <w:color w:val="auto"/>
        </w:rPr>
        <w:t xml:space="preserve">to identify patients with </w:t>
      </w:r>
      <w:r w:rsidR="410829FD" w:rsidRPr="00F91D6E">
        <w:rPr>
          <w:color w:val="auto"/>
        </w:rPr>
        <w:t>G/</w:t>
      </w:r>
      <w:r w:rsidRPr="00F91D6E">
        <w:rPr>
          <w:color w:val="auto"/>
        </w:rPr>
        <w:t>G</w:t>
      </w:r>
      <w:r w:rsidR="272DE3A2" w:rsidRPr="00F91D6E">
        <w:rPr>
          <w:color w:val="auto"/>
        </w:rPr>
        <w:t>O</w:t>
      </w:r>
      <w:r w:rsidRPr="00F91D6E">
        <w:rPr>
          <w:color w:val="auto"/>
        </w:rPr>
        <w:t>J adenocarcinoma who may be eligible for treatment with zolbetuximab.</w:t>
      </w:r>
      <w:r w:rsidR="006C73D8" w:rsidRPr="00F91D6E">
        <w:rPr>
          <w:rStyle w:val="FootnoteReference"/>
          <w:color w:val="auto"/>
        </w:rPr>
        <w:footnoteReference w:id="4"/>
      </w:r>
    </w:p>
    <w:p w14:paraId="7D5F0314" w14:textId="686C45A8" w:rsidR="00FF6E5B" w:rsidRPr="00F91D6E" w:rsidRDefault="5F16E37B" w:rsidP="00F91D6E">
      <w:pPr>
        <w:pStyle w:val="Instructionaltext0"/>
        <w:rPr>
          <w:color w:val="auto"/>
        </w:rPr>
      </w:pPr>
      <w:r w:rsidRPr="00F91D6E">
        <w:rPr>
          <w:color w:val="auto"/>
        </w:rPr>
        <w:t xml:space="preserve">IHC testing is a well-established technique in all major pathology laboratories and is routinely performed to determine HER2 status </w:t>
      </w:r>
      <w:r w:rsidR="6AD31BCF" w:rsidRPr="00F91D6E">
        <w:rPr>
          <w:color w:val="auto"/>
        </w:rPr>
        <w:t xml:space="preserve">in </w:t>
      </w:r>
      <w:r w:rsidRPr="00F91D6E">
        <w:rPr>
          <w:color w:val="auto"/>
        </w:rPr>
        <w:t xml:space="preserve">G/GOJ cancer </w:t>
      </w:r>
      <w:r w:rsidR="6AD31BCF" w:rsidRPr="00F91D6E">
        <w:rPr>
          <w:color w:val="auto"/>
        </w:rPr>
        <w:t>patients</w:t>
      </w:r>
      <w:r w:rsidRPr="00F91D6E">
        <w:rPr>
          <w:color w:val="auto"/>
        </w:rPr>
        <w:t xml:space="preserve">. </w:t>
      </w:r>
      <w:r w:rsidR="6AD31BCF" w:rsidRPr="00F91D6E">
        <w:rPr>
          <w:color w:val="auto"/>
        </w:rPr>
        <w:t>These laboratories are anticipated to have the infrastructure necessary for CLDN18 IHC testing. As the V</w:t>
      </w:r>
      <w:r w:rsidR="79ACE9E7" w:rsidRPr="00F91D6E">
        <w:rPr>
          <w:color w:val="auto"/>
        </w:rPr>
        <w:t>entana</w:t>
      </w:r>
      <w:r w:rsidR="6AD31BCF" w:rsidRPr="00F91D6E">
        <w:rPr>
          <w:color w:val="auto"/>
        </w:rPr>
        <w:t xml:space="preserve"> platform is </w:t>
      </w:r>
      <w:r w:rsidR="5B86B236" w:rsidRPr="00F91D6E">
        <w:rPr>
          <w:color w:val="auto"/>
        </w:rPr>
        <w:t>widely used in Australian laboratories</w:t>
      </w:r>
      <w:r w:rsidR="6AD31BCF" w:rsidRPr="00F91D6E">
        <w:rPr>
          <w:color w:val="auto"/>
        </w:rPr>
        <w:t xml:space="preserve">, </w:t>
      </w:r>
      <w:r w:rsidR="59161A1C" w:rsidRPr="00F91D6E">
        <w:rPr>
          <w:color w:val="auto"/>
        </w:rPr>
        <w:t>t</w:t>
      </w:r>
      <w:r w:rsidR="5B86B236" w:rsidRPr="00F91D6E">
        <w:rPr>
          <w:color w:val="auto"/>
        </w:rPr>
        <w:t>he Royal College of Pathologists of Australasia (RCPA)</w:t>
      </w:r>
      <w:r w:rsidR="6AD31BCF" w:rsidRPr="00F91D6E">
        <w:rPr>
          <w:color w:val="auto"/>
        </w:rPr>
        <w:t xml:space="preserve"> noted no major implementation issues</w:t>
      </w:r>
      <w:r w:rsidR="79ACE9E7" w:rsidRPr="00F91D6E">
        <w:rPr>
          <w:color w:val="auto"/>
        </w:rPr>
        <w:t xml:space="preserve"> (p2, Attachment 12 </w:t>
      </w:r>
      <w:r w:rsidR="6319C284" w:rsidRPr="00F91D6E">
        <w:rPr>
          <w:color w:val="auto"/>
        </w:rPr>
        <w:t>of</w:t>
      </w:r>
      <w:r w:rsidR="79ACE9E7" w:rsidRPr="00F91D6E">
        <w:rPr>
          <w:color w:val="auto"/>
        </w:rPr>
        <w:t xml:space="preserve"> the submission)</w:t>
      </w:r>
      <w:r w:rsidR="5B86B236" w:rsidRPr="00F91D6E">
        <w:rPr>
          <w:color w:val="auto"/>
        </w:rPr>
        <w:t xml:space="preserve">. However, it </w:t>
      </w:r>
      <w:r w:rsidR="6AD31BCF" w:rsidRPr="00F91D6E">
        <w:rPr>
          <w:color w:val="auto"/>
        </w:rPr>
        <w:t xml:space="preserve">highlighted the importance of specific training </w:t>
      </w:r>
      <w:r w:rsidR="5B86B236" w:rsidRPr="00F91D6E">
        <w:rPr>
          <w:color w:val="auto"/>
        </w:rPr>
        <w:t>for</w:t>
      </w:r>
      <w:r w:rsidR="6AD31BCF" w:rsidRPr="00F91D6E">
        <w:rPr>
          <w:color w:val="auto"/>
        </w:rPr>
        <w:t xml:space="preserve"> pathologists and staff</w:t>
      </w:r>
      <w:r w:rsidR="5B86B236" w:rsidRPr="00F91D6E">
        <w:rPr>
          <w:color w:val="auto"/>
        </w:rPr>
        <w:t xml:space="preserve"> to accurately perform and interpret the CLDN18 expression test</w:t>
      </w:r>
      <w:r w:rsidR="6AD31BCF" w:rsidRPr="00F91D6E">
        <w:rPr>
          <w:color w:val="auto"/>
        </w:rPr>
        <w:t xml:space="preserve">, </w:t>
      </w:r>
      <w:r w:rsidR="5B86B236" w:rsidRPr="00F91D6E">
        <w:rPr>
          <w:color w:val="auto"/>
        </w:rPr>
        <w:t>as well as a Quality Assurance Program (QAP) for conducting the test.</w:t>
      </w:r>
    </w:p>
    <w:p w14:paraId="02C93F27" w14:textId="77777777" w:rsidR="001E1827" w:rsidRPr="003A793E" w:rsidRDefault="00EE5014"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12" w:name="_Toc93044754"/>
      <w:bookmarkStart w:id="13" w:name="_Toc93322888"/>
      <w:bookmarkStart w:id="14" w:name="_Toc187863730"/>
      <w:bookmarkStart w:id="15" w:name="_Toc188441214"/>
      <w:bookmarkEnd w:id="12"/>
      <w:bookmarkEnd w:id="13"/>
      <w:r w:rsidRPr="003A793E">
        <w:rPr>
          <w:rFonts w:ascii="Franklin Gothic Medium" w:hAnsi="Franklin Gothic Medium"/>
          <w:b w:val="0"/>
          <w:i w:val="0"/>
          <w:snapToGrid/>
          <w:color w:val="000000" w:themeColor="text1"/>
          <w:sz w:val="32"/>
          <w:szCs w:val="26"/>
        </w:rPr>
        <w:t>Proposal for public funding</w:t>
      </w:r>
      <w:bookmarkEnd w:id="14"/>
      <w:bookmarkEnd w:id="15"/>
    </w:p>
    <w:p w14:paraId="2233C22D" w14:textId="5C0D7F59" w:rsidR="000A0F5C" w:rsidRPr="00F91D6E" w:rsidRDefault="79E75103" w:rsidP="00F91D6E">
      <w:pPr>
        <w:pStyle w:val="Instructionaltext0"/>
        <w:rPr>
          <w:color w:val="auto"/>
        </w:rPr>
      </w:pPr>
      <w:r w:rsidRPr="00F91D6E">
        <w:rPr>
          <w:color w:val="auto"/>
        </w:rPr>
        <w:t xml:space="preserve">A new MBS item </w:t>
      </w:r>
      <w:r w:rsidR="00366384">
        <w:rPr>
          <w:color w:val="auto"/>
        </w:rPr>
        <w:t>w</w:t>
      </w:r>
      <w:r w:rsidR="00366384" w:rsidRPr="00F91D6E">
        <w:rPr>
          <w:color w:val="auto"/>
        </w:rPr>
        <w:t xml:space="preserve">as </w:t>
      </w:r>
      <w:r w:rsidRPr="00F91D6E">
        <w:rPr>
          <w:color w:val="auto"/>
        </w:rPr>
        <w:t xml:space="preserve">proposed for CLDN18 testing to determine eligibility for zolbetuximab on the PBS, presented in </w:t>
      </w:r>
      <w:r w:rsidR="00BD7A41" w:rsidRPr="00F91D6E">
        <w:rPr>
          <w:color w:val="auto"/>
        </w:rPr>
        <w:fldChar w:fldCharType="begin"/>
      </w:r>
      <w:r w:rsidR="00BD7A41" w:rsidRPr="00F91D6E">
        <w:rPr>
          <w:color w:val="auto"/>
        </w:rPr>
        <w:instrText xml:space="preserve"> REF _Ref94771322 \h  \* MERGEFORMAT </w:instrText>
      </w:r>
      <w:r w:rsidR="00BD7A41" w:rsidRPr="00F91D6E">
        <w:rPr>
          <w:color w:val="auto"/>
        </w:rPr>
      </w:r>
      <w:r w:rsidR="00BD7A41" w:rsidRPr="00F91D6E">
        <w:rPr>
          <w:color w:val="auto"/>
        </w:rPr>
        <w:fldChar w:fldCharType="separate"/>
      </w:r>
      <w:r w:rsidR="00132950" w:rsidRPr="00132950">
        <w:rPr>
          <w:color w:val="auto"/>
        </w:rPr>
        <w:t xml:space="preserve"> Table </w:t>
      </w:r>
      <w:r w:rsidR="00132950">
        <w:rPr>
          <w:noProof/>
        </w:rPr>
        <w:t>2</w:t>
      </w:r>
      <w:r w:rsidR="00BD7A41" w:rsidRPr="00F91D6E">
        <w:rPr>
          <w:color w:val="auto"/>
        </w:rPr>
        <w:fldChar w:fldCharType="end"/>
      </w:r>
      <w:r w:rsidRPr="00F91D6E">
        <w:rPr>
          <w:color w:val="auto"/>
        </w:rPr>
        <w:t xml:space="preserve">. </w:t>
      </w:r>
    </w:p>
    <w:p w14:paraId="10026C11" w14:textId="5E599F1F" w:rsidR="007A4EC3" w:rsidRPr="004B07DF" w:rsidRDefault="007A4EC3" w:rsidP="0041001B">
      <w:pPr>
        <w:pStyle w:val="Caption"/>
      </w:pPr>
      <w:bookmarkStart w:id="16" w:name="_Ref94771322"/>
      <w:r w:rsidRPr="004B07DF">
        <w:t xml:space="preserve"> </w:t>
      </w:r>
      <w:r w:rsidR="002E2CFF">
        <w:t xml:space="preserve">Table </w:t>
      </w:r>
      <w:r w:rsidR="004A65F6">
        <w:fldChar w:fldCharType="begin"/>
      </w:r>
      <w:r w:rsidR="004A65F6">
        <w:instrText xml:space="preserve"> SEQ Table \* ARABIC </w:instrText>
      </w:r>
      <w:r w:rsidR="004A65F6">
        <w:fldChar w:fldCharType="separate"/>
      </w:r>
      <w:r w:rsidR="00132950">
        <w:rPr>
          <w:noProof/>
        </w:rPr>
        <w:t>2</w:t>
      </w:r>
      <w:r w:rsidR="004A65F6">
        <w:rPr>
          <w:noProof/>
        </w:rPr>
        <w:fldChar w:fldCharType="end"/>
      </w:r>
      <w:bookmarkEnd w:id="16"/>
      <w:r w:rsidRPr="004B07DF">
        <w:tab/>
      </w:r>
      <w:r w:rsidR="000A0F5C" w:rsidRPr="004B07DF">
        <w:t>P</w:t>
      </w:r>
      <w:r w:rsidRPr="004B07DF">
        <w:t>roposed MBS item</w:t>
      </w:r>
      <w:r w:rsidR="000A0F5C" w:rsidRPr="004B07DF">
        <w:t xml:space="preserve"> for CLDN18 expression testing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41328" w:rsidRPr="006F4D53" w14:paraId="26559D2E" w14:textId="77777777" w:rsidTr="77D89277">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89414" w14:textId="4D67ED25" w:rsidR="008A41CD" w:rsidRPr="004B07DF" w:rsidRDefault="008A41CD" w:rsidP="00A54DF9">
            <w:pPr>
              <w:pStyle w:val="TableText"/>
              <w:keepNext/>
              <w:keepLines/>
              <w:rPr>
                <w:sz w:val="24"/>
              </w:rPr>
            </w:pPr>
            <w:r w:rsidRPr="004B07DF">
              <w:t xml:space="preserve">Category </w:t>
            </w:r>
            <w:r w:rsidR="00BD7A41" w:rsidRPr="004B07DF">
              <w:t>6</w:t>
            </w:r>
            <w:r w:rsidRPr="004B07DF">
              <w:t xml:space="preserve"> – </w:t>
            </w:r>
            <w:r w:rsidR="00BD7A41" w:rsidRPr="004B07DF">
              <w:t>PATHOLOGY SERVICES</w:t>
            </w:r>
          </w:p>
        </w:tc>
      </w:tr>
      <w:tr w:rsidR="00E41328" w:rsidRPr="006F4D53" w14:paraId="25BE7DE9" w14:textId="77777777" w:rsidTr="77D8927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BC65A" w14:textId="77777777" w:rsidR="008A41CD" w:rsidRPr="00B803D0" w:rsidRDefault="008A41CD" w:rsidP="00A54DF9">
            <w:pPr>
              <w:keepNext/>
              <w:keepLines/>
              <w:spacing w:after="120"/>
              <w:rPr>
                <w:rFonts w:ascii="Arial Narrow" w:hAnsi="Arial Narrow"/>
                <w:sz w:val="20"/>
                <w:szCs w:val="20"/>
                <w:lang w:eastAsia="ja-JP"/>
              </w:rPr>
            </w:pPr>
            <w:r w:rsidRPr="00B803D0">
              <w:rPr>
                <w:rFonts w:ascii="Arial Narrow" w:hAnsi="Arial Narrow"/>
                <w:sz w:val="20"/>
                <w:szCs w:val="20"/>
                <w:lang w:eastAsia="ja-JP"/>
              </w:rPr>
              <w:t>MBS item *XXXX</w:t>
            </w:r>
          </w:p>
          <w:p w14:paraId="67E4A120" w14:textId="2BC1DBB2" w:rsidR="00BD7A41" w:rsidRPr="00B803D0" w:rsidRDefault="79E75103" w:rsidP="77D89277">
            <w:pPr>
              <w:keepNext/>
              <w:keepLines/>
              <w:spacing w:after="120"/>
              <w:rPr>
                <w:rFonts w:ascii="Arial Narrow" w:hAnsi="Arial Narrow"/>
                <w:sz w:val="20"/>
                <w:szCs w:val="20"/>
                <w:lang w:eastAsia="ja-JP"/>
              </w:rPr>
            </w:pPr>
            <w:r w:rsidRPr="77D89277">
              <w:rPr>
                <w:rFonts w:ascii="Arial Narrow" w:hAnsi="Arial Narrow"/>
                <w:sz w:val="20"/>
                <w:szCs w:val="20"/>
                <w:lang w:eastAsia="ja-JP"/>
              </w:rPr>
              <w:t>Immunohistochemical examination of tumour tissue from a patient with locally advanced unresectable or metastatic gastric/gastro-oesophageal junction adenocarcinoma</w:t>
            </w:r>
            <w:r w:rsidR="5716503B" w:rsidRPr="77D89277">
              <w:rPr>
                <w:rFonts w:ascii="Arial Narrow" w:hAnsi="Arial Narrow"/>
                <w:sz w:val="20"/>
                <w:szCs w:val="20"/>
                <w:lang w:eastAsia="ja-JP"/>
              </w:rPr>
              <w:t xml:space="preserve">, </w:t>
            </w:r>
            <w:r w:rsidR="2684DE1C" w:rsidRPr="77D89277">
              <w:rPr>
                <w:rFonts w:ascii="Arial Narrow" w:hAnsi="Arial Narrow"/>
                <w:i/>
                <w:iCs/>
                <w:sz w:val="20"/>
                <w:szCs w:val="20"/>
                <w:lang w:eastAsia="ja-JP"/>
              </w:rPr>
              <w:t>requested by a specialist or consultant physician</w:t>
            </w:r>
            <w:r w:rsidR="61DFBDD7" w:rsidRPr="77D89277">
              <w:rPr>
                <w:rFonts w:ascii="Arial Narrow" w:hAnsi="Arial Narrow"/>
                <w:i/>
                <w:iCs/>
                <w:sz w:val="20"/>
                <w:szCs w:val="20"/>
                <w:lang w:eastAsia="ja-JP"/>
              </w:rPr>
              <w:t xml:space="preserve">, </w:t>
            </w:r>
            <w:r w:rsidRPr="77D89277">
              <w:rPr>
                <w:rFonts w:ascii="Arial Narrow" w:hAnsi="Arial Narrow"/>
                <w:sz w:val="20"/>
                <w:szCs w:val="20"/>
                <w:lang w:eastAsia="ja-JP"/>
              </w:rPr>
              <w:t xml:space="preserve">to determine </w:t>
            </w:r>
            <w:r w:rsidR="497C8BF6" w:rsidRPr="77D89277">
              <w:rPr>
                <w:rFonts w:ascii="Arial Narrow" w:hAnsi="Arial Narrow"/>
                <w:sz w:val="20"/>
                <w:szCs w:val="20"/>
                <w:lang w:eastAsia="ja-JP"/>
              </w:rPr>
              <w:t xml:space="preserve">if </w:t>
            </w:r>
            <w:r w:rsidRPr="77D89277">
              <w:rPr>
                <w:rFonts w:ascii="Arial Narrow" w:hAnsi="Arial Narrow"/>
                <w:sz w:val="20"/>
                <w:szCs w:val="20"/>
                <w:lang w:eastAsia="ja-JP"/>
              </w:rPr>
              <w:t>the requirements relating to CLDN18 expression for access to a relevant treatment listed under the Pharmaceutical Benefits Scheme (PBS) are fulfilled.</w:t>
            </w:r>
          </w:p>
          <w:p w14:paraId="1DF0461D" w14:textId="44E72160" w:rsidR="006C7C87" w:rsidRPr="00B803D0" w:rsidRDefault="006C7C87" w:rsidP="00A54DF9">
            <w:pPr>
              <w:keepNext/>
              <w:keepLines/>
              <w:spacing w:before="0" w:after="0"/>
              <w:jc w:val="left"/>
              <w:rPr>
                <w:rFonts w:ascii="Times New Roman" w:eastAsia="Times New Roman" w:hAnsi="Times New Roman" w:cs="Times New Roman"/>
                <w:szCs w:val="24"/>
                <w:lang w:eastAsia="en-AU"/>
              </w:rPr>
            </w:pPr>
          </w:p>
        </w:tc>
      </w:tr>
      <w:tr w:rsidR="008A41CD" w:rsidRPr="006F4D53" w14:paraId="1601128C" w14:textId="77777777" w:rsidTr="77D8927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1100A" w14:textId="2BCBE5C7" w:rsidR="008A41CD" w:rsidRPr="00B803D0" w:rsidRDefault="00BD7A41" w:rsidP="00A54DF9">
            <w:pPr>
              <w:pStyle w:val="TableText"/>
              <w:keepNext/>
              <w:keepLines/>
              <w:rPr>
                <w:szCs w:val="20"/>
              </w:rPr>
            </w:pPr>
            <w:r w:rsidRPr="00B803D0">
              <w:rPr>
                <w:szCs w:val="20"/>
              </w:rPr>
              <w:t xml:space="preserve">Fee: </w:t>
            </w:r>
            <w:r w:rsidRPr="00595D0C">
              <w:rPr>
                <w:szCs w:val="20"/>
              </w:rPr>
              <w:t>$112.00 Benefit: 75% = $84.00 85% = $95.20</w:t>
            </w:r>
          </w:p>
        </w:tc>
      </w:tr>
    </w:tbl>
    <w:p w14:paraId="3100925E" w14:textId="26C1FA39" w:rsidR="00BD7A41" w:rsidRPr="00B803D0" w:rsidRDefault="00BD7A41" w:rsidP="00A54DF9">
      <w:pPr>
        <w:pStyle w:val="FooterTableFigure"/>
        <w:keepNext/>
        <w:keepLines/>
      </w:pPr>
      <w:r w:rsidRPr="00B803D0">
        <w:t>Source: Table 1.9, p41 of the submission.</w:t>
      </w:r>
    </w:p>
    <w:p w14:paraId="14FA5642" w14:textId="5A3BA4AF" w:rsidR="00BD7A41" w:rsidRPr="00B803D0" w:rsidRDefault="00BD7A41" w:rsidP="00BD7A41">
      <w:pPr>
        <w:pStyle w:val="FooterTableFigure"/>
        <w:rPr>
          <w:i/>
        </w:rPr>
      </w:pPr>
      <w:r w:rsidRPr="00B803D0">
        <w:rPr>
          <w:i/>
        </w:rPr>
        <w:t>Italics added during the commentary based on the PASC advice</w:t>
      </w:r>
      <w:r w:rsidR="000A0F5C" w:rsidRPr="00B803D0">
        <w:rPr>
          <w:i/>
        </w:rPr>
        <w:t xml:space="preserve"> (</w:t>
      </w:r>
      <w:r w:rsidR="00032538" w:rsidRPr="00B803D0">
        <w:rPr>
          <w:i/>
        </w:rPr>
        <w:t xml:space="preserve">p19, MSAC 1767, </w:t>
      </w:r>
      <w:r w:rsidR="000A0F5C" w:rsidRPr="00B803D0">
        <w:rPr>
          <w:i/>
        </w:rPr>
        <w:t>Ratified PICO Confirmation, April 2024 PASC meeting)</w:t>
      </w:r>
      <w:r w:rsidRPr="00B803D0">
        <w:rPr>
          <w:i/>
        </w:rPr>
        <w:t>.</w:t>
      </w:r>
    </w:p>
    <w:p w14:paraId="0CD84123" w14:textId="1E986387" w:rsidR="00E6190D" w:rsidRPr="00F91D6E" w:rsidRDefault="1B18B02E" w:rsidP="00F91D6E">
      <w:pPr>
        <w:pStyle w:val="Instructionaltext-afterfiguretable"/>
        <w:rPr>
          <w:color w:val="auto"/>
        </w:rPr>
      </w:pPr>
      <w:r w:rsidRPr="00F91D6E">
        <w:rPr>
          <w:color w:val="auto"/>
        </w:rPr>
        <w:t xml:space="preserve">The proposed MBS </w:t>
      </w:r>
      <w:r w:rsidR="459CFC84" w:rsidRPr="00F91D6E">
        <w:rPr>
          <w:color w:val="auto"/>
        </w:rPr>
        <w:t xml:space="preserve">item descriptor </w:t>
      </w:r>
      <w:r w:rsidRPr="00F91D6E">
        <w:rPr>
          <w:color w:val="auto"/>
        </w:rPr>
        <w:t xml:space="preserve">was consistent with the </w:t>
      </w:r>
      <w:bookmarkStart w:id="17" w:name="_Hlk185321415"/>
      <w:r w:rsidRPr="00F91D6E">
        <w:rPr>
          <w:color w:val="auto"/>
        </w:rPr>
        <w:t>Ratified PICO Confirmation</w:t>
      </w:r>
      <w:bookmarkEnd w:id="17"/>
      <w:r w:rsidRPr="00F91D6E">
        <w:rPr>
          <w:color w:val="auto"/>
        </w:rPr>
        <w:t>, except for ‘</w:t>
      </w:r>
      <w:r w:rsidR="13796650" w:rsidRPr="00F91D6E">
        <w:rPr>
          <w:color w:val="auto"/>
        </w:rPr>
        <w:t>requested by a specialist or consultant physician</w:t>
      </w:r>
      <w:r w:rsidRPr="00F91D6E">
        <w:rPr>
          <w:color w:val="auto"/>
        </w:rPr>
        <w:t xml:space="preserve">’ which was omitted in the submission. </w:t>
      </w:r>
      <w:r w:rsidR="3D1A3748" w:rsidRPr="00F91D6E">
        <w:rPr>
          <w:color w:val="auto"/>
        </w:rPr>
        <w:t xml:space="preserve">The commentary noted that excluding the requester from the item descriptor would allow </w:t>
      </w:r>
      <w:r w:rsidR="1909501B" w:rsidRPr="00F91D6E">
        <w:rPr>
          <w:color w:val="auto"/>
        </w:rPr>
        <w:t>any practitioner</w:t>
      </w:r>
      <w:r w:rsidR="2D3C5B11" w:rsidRPr="00F91D6E">
        <w:rPr>
          <w:color w:val="auto"/>
        </w:rPr>
        <w:t xml:space="preserve"> (e.g., pathologists) </w:t>
      </w:r>
      <w:r w:rsidR="3D1A3748" w:rsidRPr="00F91D6E">
        <w:rPr>
          <w:color w:val="auto"/>
        </w:rPr>
        <w:t xml:space="preserve">to request the CLDN18 test. However, </w:t>
      </w:r>
      <w:r w:rsidRPr="00F91D6E">
        <w:rPr>
          <w:color w:val="auto"/>
        </w:rPr>
        <w:t>PASC considered that the treating clinician</w:t>
      </w:r>
      <w:r w:rsidR="6938DD59" w:rsidRPr="00F91D6E">
        <w:rPr>
          <w:color w:val="auto"/>
        </w:rPr>
        <w:t xml:space="preserve"> </w:t>
      </w:r>
      <w:r w:rsidRPr="00F91D6E">
        <w:rPr>
          <w:color w:val="auto"/>
        </w:rPr>
        <w:t xml:space="preserve">would have the necessary clinical information to determine if CLDN18 testing was required </w:t>
      </w:r>
      <w:r w:rsidR="3D1A3748" w:rsidRPr="00F91D6E">
        <w:rPr>
          <w:color w:val="auto"/>
        </w:rPr>
        <w:t>and would be best placed to interpret the results to inform any change in patient management</w:t>
      </w:r>
      <w:r w:rsidRPr="00F91D6E">
        <w:rPr>
          <w:color w:val="auto"/>
        </w:rPr>
        <w:t xml:space="preserve"> (p19, MSAC 1767 Ratified PICO Confirmation, April 2024 PASC meeting).</w:t>
      </w:r>
    </w:p>
    <w:p w14:paraId="05A6E1A6" w14:textId="3E380149" w:rsidR="00D552D7" w:rsidRPr="00512EC9" w:rsidRDefault="29588EB3" w:rsidP="00F91D6E">
      <w:pPr>
        <w:pStyle w:val="InstructionalText"/>
        <w:jc w:val="left"/>
        <w:rPr>
          <w:rFonts w:ascii="Franklin Gothic Book" w:hAnsi="Franklin Gothic Book"/>
          <w:color w:val="auto"/>
          <w:sz w:val="22"/>
        </w:rPr>
      </w:pPr>
      <w:r w:rsidRPr="00F91D6E">
        <w:rPr>
          <w:rFonts w:ascii="Franklin Gothic Book" w:hAnsi="Franklin Gothic Book"/>
          <w:color w:val="auto"/>
          <w:sz w:val="22"/>
        </w:rPr>
        <w:t xml:space="preserve">The submission also justified that the omission of 'Once per lifetime' from the proposed MBS item descriptor provides flexibility for clinicians to order testing as clinically necessary. </w:t>
      </w:r>
      <w:r w:rsidR="004F5B1B">
        <w:rPr>
          <w:rFonts w:ascii="Franklin Gothic Book" w:hAnsi="Franklin Gothic Book"/>
          <w:color w:val="auto"/>
          <w:sz w:val="22"/>
        </w:rPr>
        <w:t xml:space="preserve">The commentary </w:t>
      </w:r>
      <w:r w:rsidR="00E77C0C">
        <w:rPr>
          <w:rFonts w:ascii="Franklin Gothic Book" w:hAnsi="Franklin Gothic Book"/>
          <w:color w:val="auto"/>
          <w:sz w:val="22"/>
        </w:rPr>
        <w:t xml:space="preserve">noted, </w:t>
      </w:r>
      <w:r w:rsidR="00E77C0C">
        <w:rPr>
          <w:rFonts w:ascii="Franklin Gothic Book" w:hAnsi="Franklin Gothic Book"/>
          <w:i/>
          <w:iCs/>
          <w:color w:val="auto"/>
          <w:sz w:val="22"/>
        </w:rPr>
        <w:t>t</w:t>
      </w:r>
      <w:r w:rsidRPr="00F91D6E">
        <w:rPr>
          <w:rFonts w:ascii="Franklin Gothic Book" w:hAnsi="Franklin Gothic Book"/>
          <w:i/>
          <w:iCs/>
          <w:color w:val="auto"/>
          <w:sz w:val="22"/>
        </w:rPr>
        <w:t xml:space="preserve">his </w:t>
      </w:r>
      <w:r w:rsidR="00E77C0C" w:rsidRPr="00512EC9">
        <w:rPr>
          <w:rFonts w:ascii="Franklin Gothic Book" w:hAnsi="Franklin Gothic Book"/>
          <w:color w:val="auto"/>
          <w:sz w:val="22"/>
        </w:rPr>
        <w:t xml:space="preserve">aligned </w:t>
      </w:r>
      <w:r w:rsidRPr="00512EC9">
        <w:rPr>
          <w:rFonts w:ascii="Franklin Gothic Book" w:hAnsi="Franklin Gothic Book"/>
          <w:color w:val="auto"/>
          <w:sz w:val="22"/>
        </w:rPr>
        <w:t xml:space="preserve">with PASC advice, so was considered reasonable. However, </w:t>
      </w:r>
      <w:r w:rsidR="00E77C0C">
        <w:rPr>
          <w:rFonts w:ascii="Franklin Gothic Book" w:hAnsi="Franklin Gothic Book"/>
          <w:color w:val="auto"/>
          <w:sz w:val="22"/>
        </w:rPr>
        <w:t>the com</w:t>
      </w:r>
      <w:r w:rsidR="00BD7A1B">
        <w:rPr>
          <w:rFonts w:ascii="Franklin Gothic Book" w:hAnsi="Franklin Gothic Book"/>
          <w:color w:val="auto"/>
          <w:sz w:val="22"/>
        </w:rPr>
        <w:t xml:space="preserve">mentary considered </w:t>
      </w:r>
      <w:r w:rsidRPr="00512EC9">
        <w:rPr>
          <w:rFonts w:ascii="Franklin Gothic Book" w:hAnsi="Franklin Gothic Book"/>
          <w:color w:val="auto"/>
          <w:sz w:val="22"/>
        </w:rPr>
        <w:t>no details were provided as to the rationale or evidence for CLDN18 retesting, and it is not included in the restriction criteria, or factored into the CMA or the financials</w:t>
      </w:r>
      <w:r w:rsidR="10AC5408" w:rsidRPr="00512EC9">
        <w:rPr>
          <w:rFonts w:ascii="Franklin Gothic Book" w:hAnsi="Franklin Gothic Book"/>
          <w:color w:val="auto"/>
          <w:sz w:val="22"/>
        </w:rPr>
        <w:t>. Therefore</w:t>
      </w:r>
      <w:r w:rsidRPr="00512EC9">
        <w:rPr>
          <w:rFonts w:ascii="Franklin Gothic Book" w:hAnsi="Franklin Gothic Book"/>
          <w:color w:val="auto"/>
          <w:sz w:val="22"/>
        </w:rPr>
        <w:t xml:space="preserve">, further information </w:t>
      </w:r>
      <w:r w:rsidR="00BD7A1B">
        <w:rPr>
          <w:rFonts w:ascii="Franklin Gothic Book" w:hAnsi="Franklin Gothic Book"/>
          <w:color w:val="auto"/>
          <w:sz w:val="22"/>
        </w:rPr>
        <w:t>wa</w:t>
      </w:r>
      <w:r w:rsidR="00BD7A1B" w:rsidRPr="00512EC9">
        <w:rPr>
          <w:rFonts w:ascii="Franklin Gothic Book" w:hAnsi="Franklin Gothic Book"/>
          <w:color w:val="auto"/>
          <w:sz w:val="22"/>
        </w:rPr>
        <w:t xml:space="preserve">s </w:t>
      </w:r>
      <w:r w:rsidRPr="00512EC9">
        <w:rPr>
          <w:rFonts w:ascii="Franklin Gothic Book" w:hAnsi="Franklin Gothic Book"/>
          <w:color w:val="auto"/>
          <w:sz w:val="22"/>
        </w:rPr>
        <w:t>sought from the sponsor</w:t>
      </w:r>
      <w:bookmarkStart w:id="18" w:name="clarification_sought"/>
      <w:bookmarkEnd w:id="18"/>
      <w:r w:rsidRPr="00512EC9">
        <w:rPr>
          <w:rFonts w:ascii="Franklin Gothic Book" w:hAnsi="Franklin Gothic Book"/>
          <w:color w:val="auto"/>
          <w:sz w:val="22"/>
        </w:rPr>
        <w:t xml:space="preserve"> regarding anticipated retesting</w:t>
      </w:r>
      <w:r w:rsidR="10AC5408" w:rsidRPr="00512EC9">
        <w:rPr>
          <w:rFonts w:ascii="Franklin Gothic Book" w:hAnsi="Franklin Gothic Book"/>
          <w:color w:val="auto"/>
          <w:sz w:val="22"/>
        </w:rPr>
        <w:t xml:space="preserve"> frequency, estimated uptake and </w:t>
      </w:r>
      <w:r w:rsidR="2BBD0195" w:rsidRPr="00512EC9">
        <w:rPr>
          <w:rFonts w:ascii="Franklin Gothic Book" w:hAnsi="Franklin Gothic Book"/>
          <w:color w:val="auto"/>
          <w:sz w:val="22"/>
        </w:rPr>
        <w:t>the financial impact</w:t>
      </w:r>
      <w:r w:rsidRPr="00512EC9">
        <w:rPr>
          <w:rFonts w:ascii="Franklin Gothic Book" w:hAnsi="Franklin Gothic Book"/>
          <w:color w:val="auto"/>
          <w:sz w:val="22"/>
        </w:rPr>
        <w:t xml:space="preserve">.  </w:t>
      </w:r>
    </w:p>
    <w:p w14:paraId="197C907D" w14:textId="0043F6EF" w:rsidR="00F91D6E" w:rsidRDefault="43AD257D" w:rsidP="00F91D6E">
      <w:pPr>
        <w:pStyle w:val="Instructionaltext-afterfiguretable"/>
        <w:spacing w:before="240" w:after="240"/>
        <w:rPr>
          <w:color w:val="auto"/>
        </w:rPr>
      </w:pPr>
      <w:r w:rsidRPr="00F91D6E">
        <w:rPr>
          <w:color w:val="auto"/>
        </w:rPr>
        <w:t xml:space="preserve">The submission proposed a fee of $112 per test, based on analogous IHC tests and all necessary steps </w:t>
      </w:r>
      <w:r w:rsidR="31F7F0C5" w:rsidRPr="00F91D6E">
        <w:rPr>
          <w:color w:val="auto"/>
        </w:rPr>
        <w:t xml:space="preserve">required </w:t>
      </w:r>
      <w:r w:rsidRPr="00F91D6E">
        <w:rPr>
          <w:color w:val="auto"/>
        </w:rPr>
        <w:t xml:space="preserve">to perform the service, including sample preparation, staining, interpretation by a certified pathologist, and quality control measures. Notably, </w:t>
      </w:r>
      <w:r w:rsidR="3D1A3748" w:rsidRPr="00F91D6E">
        <w:rPr>
          <w:color w:val="auto"/>
        </w:rPr>
        <w:t xml:space="preserve">PASC considered </w:t>
      </w:r>
      <w:r w:rsidRPr="00F91D6E">
        <w:rPr>
          <w:color w:val="auto"/>
        </w:rPr>
        <w:t xml:space="preserve">the process for </w:t>
      </w:r>
      <w:r w:rsidR="3D1A3748" w:rsidRPr="00F91D6E">
        <w:rPr>
          <w:color w:val="auto"/>
        </w:rPr>
        <w:t xml:space="preserve">conducting </w:t>
      </w:r>
      <w:r w:rsidRPr="00F91D6E">
        <w:rPr>
          <w:color w:val="auto"/>
        </w:rPr>
        <w:t xml:space="preserve">the CLDN18 test </w:t>
      </w:r>
      <w:r w:rsidR="3D1A3748" w:rsidRPr="00F91D6E">
        <w:rPr>
          <w:color w:val="auto"/>
        </w:rPr>
        <w:t>to be</w:t>
      </w:r>
      <w:r w:rsidRPr="00F91D6E">
        <w:rPr>
          <w:color w:val="auto"/>
        </w:rPr>
        <w:t xml:space="preserve"> </w:t>
      </w:r>
      <w:proofErr w:type="gramStart"/>
      <w:r w:rsidRPr="00F91D6E">
        <w:rPr>
          <w:color w:val="auto"/>
        </w:rPr>
        <w:t>similar to</w:t>
      </w:r>
      <w:proofErr w:type="gramEnd"/>
      <w:r w:rsidRPr="00F91D6E">
        <w:rPr>
          <w:color w:val="auto"/>
        </w:rPr>
        <w:t xml:space="preserve"> </w:t>
      </w:r>
      <w:r w:rsidR="3D1A3748" w:rsidRPr="00F91D6E">
        <w:rPr>
          <w:color w:val="auto"/>
        </w:rPr>
        <w:t>that of</w:t>
      </w:r>
      <w:r w:rsidRPr="00F91D6E">
        <w:rPr>
          <w:color w:val="auto"/>
        </w:rPr>
        <w:t xml:space="preserve"> HER2 and PD-L1</w:t>
      </w:r>
      <w:r w:rsidR="0AF5592D" w:rsidRPr="00F91D6E">
        <w:rPr>
          <w:color w:val="auto"/>
        </w:rPr>
        <w:t xml:space="preserve"> (programmed cell death ligand 1) </w:t>
      </w:r>
      <w:r w:rsidRPr="00F91D6E">
        <w:rPr>
          <w:color w:val="auto"/>
        </w:rPr>
        <w:t xml:space="preserve">IHC testing (p19, MSAC 1767 Ratified PICO Confirmation, April 2024 PASC meeting). </w:t>
      </w:r>
      <w:r w:rsidR="3D1A3748" w:rsidRPr="00F91D6E">
        <w:rPr>
          <w:color w:val="auto"/>
        </w:rPr>
        <w:t>The commentary noted that</w:t>
      </w:r>
      <w:r w:rsidRPr="00F91D6E">
        <w:rPr>
          <w:color w:val="auto"/>
        </w:rPr>
        <w:t xml:space="preserve"> the new</w:t>
      </w:r>
      <w:r w:rsidR="3E346910" w:rsidRPr="00F91D6E">
        <w:rPr>
          <w:color w:val="auto"/>
        </w:rPr>
        <w:t>ly</w:t>
      </w:r>
      <w:r w:rsidRPr="00F91D6E">
        <w:rPr>
          <w:color w:val="auto"/>
        </w:rPr>
        <w:t xml:space="preserve"> proposed</w:t>
      </w:r>
      <w:r w:rsidR="0AF5592D" w:rsidRPr="00F91D6E">
        <w:rPr>
          <w:color w:val="auto"/>
        </w:rPr>
        <w:t xml:space="preserve"> MBS</w:t>
      </w:r>
      <w:r w:rsidRPr="00F91D6E">
        <w:rPr>
          <w:color w:val="auto"/>
        </w:rPr>
        <w:t xml:space="preserve"> item fee of $112 was lower than the previously proposed item </w:t>
      </w:r>
      <w:r w:rsidR="0AF5592D" w:rsidRPr="00F91D6E">
        <w:rPr>
          <w:color w:val="auto"/>
        </w:rPr>
        <w:t xml:space="preserve">fee </w:t>
      </w:r>
      <w:r w:rsidRPr="00F91D6E">
        <w:rPr>
          <w:color w:val="auto"/>
        </w:rPr>
        <w:t>of $550</w:t>
      </w:r>
      <w:r w:rsidR="3D1A3748" w:rsidRPr="00F91D6E">
        <w:rPr>
          <w:color w:val="auto"/>
        </w:rPr>
        <w:t xml:space="preserve">; however, </w:t>
      </w:r>
      <w:r w:rsidR="3E346910" w:rsidRPr="00F91D6E">
        <w:rPr>
          <w:color w:val="auto"/>
        </w:rPr>
        <w:t>it remains higher than</w:t>
      </w:r>
      <w:r w:rsidRPr="00F91D6E">
        <w:rPr>
          <w:color w:val="auto"/>
        </w:rPr>
        <w:t xml:space="preserve"> the fees for comparable MBS items: $59.60 for generic IHC examination (MBS item 72846) and $74.50 for IHC testing to determine HER2 (MBS item 72848) or PD-L1 status (MBS item 72814).</w:t>
      </w:r>
      <w:r w:rsidR="709E1C07" w:rsidRPr="00F91D6E">
        <w:rPr>
          <w:color w:val="auto"/>
        </w:rPr>
        <w:t xml:space="preserve"> The submission </w:t>
      </w:r>
      <w:r w:rsidR="755646EB" w:rsidRPr="00F91D6E">
        <w:rPr>
          <w:color w:val="auto"/>
        </w:rPr>
        <w:t>stated</w:t>
      </w:r>
      <w:r w:rsidR="709E1C07" w:rsidRPr="00F91D6E">
        <w:rPr>
          <w:color w:val="auto"/>
        </w:rPr>
        <w:t xml:space="preserve"> that the proposed fee structure </w:t>
      </w:r>
      <w:r w:rsidR="755646EB" w:rsidRPr="00F91D6E">
        <w:rPr>
          <w:color w:val="auto"/>
        </w:rPr>
        <w:t>aligns</w:t>
      </w:r>
      <w:r w:rsidR="709E1C07" w:rsidRPr="00F91D6E">
        <w:rPr>
          <w:color w:val="auto"/>
        </w:rPr>
        <w:t xml:space="preserve"> with the clinical utility of CLDN18 testing in patients with </w:t>
      </w:r>
      <w:r w:rsidR="755646EB" w:rsidRPr="00F91D6E">
        <w:rPr>
          <w:color w:val="auto"/>
        </w:rPr>
        <w:t xml:space="preserve">advanced </w:t>
      </w:r>
      <w:r w:rsidR="709E1C07" w:rsidRPr="00F91D6E">
        <w:rPr>
          <w:color w:val="auto"/>
        </w:rPr>
        <w:t>G/GOJ adenocarcinoma</w:t>
      </w:r>
      <w:r w:rsidR="755646EB" w:rsidRPr="00F91D6E">
        <w:rPr>
          <w:color w:val="auto"/>
        </w:rPr>
        <w:t>; however,</w:t>
      </w:r>
      <w:r w:rsidR="709E1C07" w:rsidRPr="00F91D6E">
        <w:rPr>
          <w:color w:val="auto"/>
        </w:rPr>
        <w:t xml:space="preserve"> </w:t>
      </w:r>
      <w:r w:rsidR="00BD7A1B">
        <w:rPr>
          <w:color w:val="auto"/>
        </w:rPr>
        <w:t xml:space="preserve">the commentary noted </w:t>
      </w:r>
      <w:r w:rsidR="709E1C07" w:rsidRPr="00F91D6E">
        <w:rPr>
          <w:color w:val="auto"/>
        </w:rPr>
        <w:t xml:space="preserve">no </w:t>
      </w:r>
      <w:r w:rsidR="755646EB" w:rsidRPr="00F91D6E">
        <w:rPr>
          <w:color w:val="auto"/>
        </w:rPr>
        <w:t xml:space="preserve">additional </w:t>
      </w:r>
      <w:r w:rsidR="709E1C07" w:rsidRPr="00F91D6E">
        <w:rPr>
          <w:color w:val="auto"/>
        </w:rPr>
        <w:t xml:space="preserve">clarification was provided to justify a higher </w:t>
      </w:r>
      <w:r w:rsidR="41399652" w:rsidRPr="00F91D6E">
        <w:rPr>
          <w:color w:val="auto"/>
        </w:rPr>
        <w:t>fee compared</w:t>
      </w:r>
      <w:r w:rsidR="755646EB" w:rsidRPr="00F91D6E">
        <w:rPr>
          <w:color w:val="auto"/>
        </w:rPr>
        <w:t xml:space="preserve"> to similar</w:t>
      </w:r>
      <w:r w:rsidR="709E1C07" w:rsidRPr="00F91D6E">
        <w:rPr>
          <w:color w:val="auto"/>
        </w:rPr>
        <w:t xml:space="preserve"> MBS items.</w:t>
      </w:r>
      <w:r w:rsidR="00751C15">
        <w:rPr>
          <w:color w:val="auto"/>
        </w:rPr>
        <w:t xml:space="preserve"> </w:t>
      </w:r>
    </w:p>
    <w:p w14:paraId="754C4B91" w14:textId="012F953A" w:rsidR="00A4460A" w:rsidRPr="00F91D6E" w:rsidRDefault="27FC9474" w:rsidP="00F91D6E">
      <w:pPr>
        <w:pStyle w:val="Instructionaltext-afterfiguretable"/>
        <w:spacing w:before="240" w:after="240"/>
        <w:rPr>
          <w:color w:val="auto"/>
        </w:rPr>
      </w:pPr>
      <w:r w:rsidRPr="00F91D6E">
        <w:rPr>
          <w:color w:val="auto"/>
        </w:rPr>
        <w:t xml:space="preserve">Based </w:t>
      </w:r>
      <w:r w:rsidR="4E02C87E" w:rsidRPr="00F91D6E">
        <w:rPr>
          <w:color w:val="auto"/>
        </w:rPr>
        <w:t>on the Ratified PICO Confirmation, i</w:t>
      </w:r>
      <w:r w:rsidRPr="00F91D6E">
        <w:rPr>
          <w:color w:val="auto"/>
        </w:rPr>
        <w:t xml:space="preserve">t was proposed that CLDN18 testing </w:t>
      </w:r>
      <w:r w:rsidR="202E8467" w:rsidRPr="00F91D6E">
        <w:rPr>
          <w:color w:val="auto"/>
        </w:rPr>
        <w:t>is</w:t>
      </w:r>
      <w:r w:rsidRPr="00F91D6E">
        <w:rPr>
          <w:color w:val="auto"/>
        </w:rPr>
        <w:t xml:space="preserve"> eligible to be carried out in any pathology laboratory holding the appropriate accreditation to claim pathology services through the MBS</w:t>
      </w:r>
      <w:r w:rsidR="4E02C87E" w:rsidRPr="00F91D6E">
        <w:rPr>
          <w:color w:val="auto"/>
        </w:rPr>
        <w:t xml:space="preserve"> (p17, MSAC 1767 Ratified PICO Confirmation, April 2024 PASC meeting).</w:t>
      </w:r>
    </w:p>
    <w:p w14:paraId="75B5281D" w14:textId="75F03BBE" w:rsidR="005C3B3A" w:rsidRPr="005D6068" w:rsidRDefault="000A7518" w:rsidP="0041001B">
      <w:pPr>
        <w:pStyle w:val="Caption"/>
      </w:pPr>
      <w:r>
        <w:t xml:space="preserve">Table </w:t>
      </w:r>
      <w:r w:rsidR="004A65F6">
        <w:fldChar w:fldCharType="begin"/>
      </w:r>
      <w:r w:rsidR="004A65F6">
        <w:instrText xml:space="preserve"> SEQ Table \* ARABIC </w:instrText>
      </w:r>
      <w:r w:rsidR="004A65F6">
        <w:fldChar w:fldCharType="separate"/>
      </w:r>
      <w:r w:rsidR="00132950">
        <w:rPr>
          <w:noProof/>
        </w:rPr>
        <w:t>3</w:t>
      </w:r>
      <w:r w:rsidR="004A65F6">
        <w:rPr>
          <w:noProof/>
        </w:rPr>
        <w:fldChar w:fldCharType="end"/>
      </w:r>
      <w:r>
        <w:t xml:space="preserve"> </w:t>
      </w:r>
      <w:r w:rsidR="005C3B3A">
        <w:t>Key components of the clinical issue addressed by the submission</w:t>
      </w:r>
    </w:p>
    <w:tbl>
      <w:tblPr>
        <w:tblStyle w:val="PBACTableStyle"/>
        <w:tblW w:w="0" w:type="auto"/>
        <w:tblLook w:val="04A0" w:firstRow="1" w:lastRow="0" w:firstColumn="1" w:lastColumn="0" w:noHBand="0" w:noVBand="1"/>
      </w:tblPr>
      <w:tblGrid>
        <w:gridCol w:w="1271"/>
        <w:gridCol w:w="7745"/>
      </w:tblGrid>
      <w:tr w:rsidR="005C3B3A" w:rsidRPr="006F4D53" w14:paraId="226DFCB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41D0E72E" w14:textId="77777777" w:rsidR="005C3B3A" w:rsidRPr="00160842" w:rsidRDefault="005C3B3A">
            <w:pPr>
              <w:pStyle w:val="TableText"/>
              <w:keepNext/>
              <w:keepLines/>
              <w:rPr>
                <w:color w:val="auto"/>
                <w:lang w:val="en-AU"/>
              </w:rPr>
            </w:pPr>
            <w:r w:rsidRPr="00160842">
              <w:t>Component</w:t>
            </w:r>
          </w:p>
        </w:tc>
        <w:tc>
          <w:tcPr>
            <w:tcW w:w="7745" w:type="dxa"/>
          </w:tcPr>
          <w:p w14:paraId="0641B94A" w14:textId="77777777" w:rsidR="005C3B3A" w:rsidRPr="00160842" w:rsidRDefault="005C3B3A">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160842">
              <w:t>Description</w:t>
            </w:r>
          </w:p>
        </w:tc>
      </w:tr>
      <w:tr w:rsidR="005C3B3A" w:rsidRPr="006F4D53" w14:paraId="4F681AA2" w14:textId="77777777">
        <w:tc>
          <w:tcPr>
            <w:cnfStyle w:val="001000000000" w:firstRow="0" w:lastRow="0" w:firstColumn="1" w:lastColumn="0" w:oddVBand="0" w:evenVBand="0" w:oddHBand="0" w:evenHBand="0" w:firstRowFirstColumn="0" w:firstRowLastColumn="0" w:lastRowFirstColumn="0" w:lastRowLastColumn="0"/>
            <w:tcW w:w="1271" w:type="dxa"/>
          </w:tcPr>
          <w:p w14:paraId="7085A29E" w14:textId="77777777" w:rsidR="005C3B3A" w:rsidRPr="00160842" w:rsidRDefault="005C3B3A">
            <w:pPr>
              <w:pStyle w:val="TableText"/>
              <w:keepNext/>
              <w:keepLines/>
              <w:rPr>
                <w:color w:val="auto"/>
                <w:lang w:val="en-AU"/>
              </w:rPr>
            </w:pPr>
            <w:r w:rsidRPr="00160842">
              <w:t>Population</w:t>
            </w:r>
          </w:p>
        </w:tc>
        <w:tc>
          <w:tcPr>
            <w:tcW w:w="7745" w:type="dxa"/>
          </w:tcPr>
          <w:p w14:paraId="51BC7DEF" w14:textId="77777777" w:rsidR="005C3B3A" w:rsidRPr="00122C93"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160842">
              <w:t>Test: Patients with locally advanced unresectable or metastatic gastric or gastro-</w:t>
            </w:r>
            <w:proofErr w:type="spellStart"/>
            <w:r w:rsidRPr="00160842">
              <w:t>oesophageal</w:t>
            </w:r>
            <w:proofErr w:type="spellEnd"/>
            <w:r w:rsidRPr="00160842">
              <w:t xml:space="preserve"> junction (G/GOJ) adenocarcinoma.</w:t>
            </w:r>
          </w:p>
          <w:p w14:paraId="47382173" w14:textId="77777777" w:rsidR="005C3B3A" w:rsidRPr="0030558F"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122C93">
              <w:t xml:space="preserve">Drug: Patients with locally advanced unresectable or metastatic </w:t>
            </w:r>
            <w:r w:rsidRPr="00122C93">
              <w:rPr>
                <w:i/>
              </w:rPr>
              <w:t xml:space="preserve">HER2-negative </w:t>
            </w:r>
            <w:r w:rsidRPr="00122C93">
              <w:t>G/GOJ adenocarcinoma who are found positive after Claudin 18 testing (CLDN18.2+).</w:t>
            </w:r>
          </w:p>
        </w:tc>
      </w:tr>
      <w:tr w:rsidR="005C3B3A" w:rsidRPr="006F4D53" w14:paraId="0BC3182D" w14:textId="77777777">
        <w:tc>
          <w:tcPr>
            <w:cnfStyle w:val="001000000000" w:firstRow="0" w:lastRow="0" w:firstColumn="1" w:lastColumn="0" w:oddVBand="0" w:evenVBand="0" w:oddHBand="0" w:evenHBand="0" w:firstRowFirstColumn="0" w:firstRowLastColumn="0" w:lastRowFirstColumn="0" w:lastRowLastColumn="0"/>
            <w:tcW w:w="1271" w:type="dxa"/>
          </w:tcPr>
          <w:p w14:paraId="67D29B3B" w14:textId="77777777" w:rsidR="005C3B3A" w:rsidRPr="0030558F" w:rsidRDefault="005C3B3A">
            <w:pPr>
              <w:pStyle w:val="TableText"/>
              <w:keepNext/>
              <w:keepLines/>
              <w:rPr>
                <w:color w:val="auto"/>
                <w:lang w:val="en-AU"/>
              </w:rPr>
            </w:pPr>
            <w:r w:rsidRPr="0030558F">
              <w:t>Intervention</w:t>
            </w:r>
          </w:p>
        </w:tc>
        <w:tc>
          <w:tcPr>
            <w:tcW w:w="7745" w:type="dxa"/>
          </w:tcPr>
          <w:p w14:paraId="159A133B" w14:textId="77777777" w:rsidR="005C3B3A" w:rsidRPr="0030558F"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30558F">
              <w:t>Test: Immunohistochemistry (IHC) testing for CLDN18</w:t>
            </w:r>
            <w:r w:rsidRPr="0030558F">
              <w:rPr>
                <w:i/>
              </w:rPr>
              <w:t>.2</w:t>
            </w:r>
            <w:r w:rsidRPr="0030558F">
              <w:t xml:space="preserve"> expression using the Ventana</w:t>
            </w:r>
            <w:r w:rsidRPr="0030558F">
              <w:rPr>
                <w:vertAlign w:val="superscript"/>
              </w:rPr>
              <w:t>®</w:t>
            </w:r>
            <w:r w:rsidRPr="0030558F">
              <w:t xml:space="preserve"> CLDN18 (43-14A) </w:t>
            </w:r>
            <w:proofErr w:type="spellStart"/>
            <w:r w:rsidRPr="0030558F">
              <w:t>RxDx</w:t>
            </w:r>
            <w:proofErr w:type="spellEnd"/>
            <w:r w:rsidRPr="0030558F">
              <w:t xml:space="preserve"> Assay</w:t>
            </w:r>
          </w:p>
          <w:p w14:paraId="52E08E62" w14:textId="77777777" w:rsidR="005C3B3A" w:rsidRPr="0030558F"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30558F">
              <w:t xml:space="preserve">Drug: </w:t>
            </w:r>
            <w:proofErr w:type="spellStart"/>
            <w:r w:rsidRPr="0030558F">
              <w:t>Zolbetuximab</w:t>
            </w:r>
            <w:proofErr w:type="spellEnd"/>
            <w:r w:rsidRPr="0030558F">
              <w:t xml:space="preserve"> in combination with fluoropyrimidine and platinum-containing chemotherapy</w:t>
            </w:r>
          </w:p>
        </w:tc>
      </w:tr>
      <w:tr w:rsidR="005C3B3A" w:rsidRPr="006F4D53" w14:paraId="1DBA738B" w14:textId="77777777">
        <w:tc>
          <w:tcPr>
            <w:cnfStyle w:val="001000000000" w:firstRow="0" w:lastRow="0" w:firstColumn="1" w:lastColumn="0" w:oddVBand="0" w:evenVBand="0" w:oddHBand="0" w:evenHBand="0" w:firstRowFirstColumn="0" w:firstRowLastColumn="0" w:lastRowFirstColumn="0" w:lastRowLastColumn="0"/>
            <w:tcW w:w="1271" w:type="dxa"/>
          </w:tcPr>
          <w:p w14:paraId="56833044" w14:textId="77777777" w:rsidR="005C3B3A" w:rsidRPr="00C44BE9" w:rsidRDefault="005C3B3A">
            <w:pPr>
              <w:pStyle w:val="TableText"/>
              <w:keepNext/>
              <w:keepLines/>
              <w:rPr>
                <w:color w:val="auto"/>
                <w:lang w:val="en-AU"/>
              </w:rPr>
            </w:pPr>
            <w:r w:rsidRPr="00C44BE9">
              <w:t>Comparator</w:t>
            </w:r>
          </w:p>
        </w:tc>
        <w:tc>
          <w:tcPr>
            <w:tcW w:w="7745" w:type="dxa"/>
          </w:tcPr>
          <w:p w14:paraId="01DF8A35" w14:textId="77777777" w:rsidR="005C3B3A" w:rsidRPr="00A97F66"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C44BE9">
              <w:t>Test: No testing</w:t>
            </w:r>
          </w:p>
          <w:p w14:paraId="77C5BD23" w14:textId="77777777" w:rsidR="005C3B3A" w:rsidRPr="00C8232C"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C8232C">
              <w:t xml:space="preserve">Drug: </w:t>
            </w:r>
          </w:p>
          <w:p w14:paraId="77F5D629" w14:textId="77777777" w:rsidR="005C3B3A" w:rsidRPr="003B50CF"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CA789D">
              <w:t>For patients without prior immune checkpoint inhibitor (CPI) therapy, nivolumab in combination with fluoropyrimidine- and platinum-containing chemotherapy.</w:t>
            </w:r>
          </w:p>
          <w:p w14:paraId="2D25C9C6" w14:textId="77777777" w:rsidR="005C3B3A" w:rsidRPr="001A3CA4"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512D6F">
              <w:t>For patients who received nivolumab therapy for Stage II/III disease and subsequently relapsed with locally advanced unresectable or metastatic disease, chemotherapy alone appeared to be the appropriate comparator (</w:t>
            </w:r>
            <w:r>
              <w:rPr>
                <w:i/>
              </w:rPr>
              <w:t>as per</w:t>
            </w:r>
            <w:r w:rsidRPr="00512D6F">
              <w:rPr>
                <w:i/>
              </w:rPr>
              <w:t xml:space="preserve"> MSAC 1767 Ratified PICO Confirmation, April 2024 PASC Meeting</w:t>
            </w:r>
            <w:r w:rsidRPr="00512D6F">
              <w:t>).</w:t>
            </w:r>
          </w:p>
        </w:tc>
      </w:tr>
      <w:tr w:rsidR="005C3B3A" w:rsidRPr="006F4D53" w14:paraId="0DFA96D8" w14:textId="77777777">
        <w:tc>
          <w:tcPr>
            <w:cnfStyle w:val="001000000000" w:firstRow="0" w:lastRow="0" w:firstColumn="1" w:lastColumn="0" w:oddVBand="0" w:evenVBand="0" w:oddHBand="0" w:evenHBand="0" w:firstRowFirstColumn="0" w:firstRowLastColumn="0" w:lastRowFirstColumn="0" w:lastRowLastColumn="0"/>
            <w:tcW w:w="1271" w:type="dxa"/>
          </w:tcPr>
          <w:p w14:paraId="14EF6155" w14:textId="77777777" w:rsidR="005C3B3A" w:rsidRPr="002334D8" w:rsidRDefault="005C3B3A">
            <w:pPr>
              <w:pStyle w:val="TableText"/>
              <w:keepNext/>
              <w:keepLines/>
              <w:rPr>
                <w:color w:val="auto"/>
                <w:lang w:val="en-AU"/>
              </w:rPr>
            </w:pPr>
            <w:r w:rsidRPr="001A3CA4">
              <w:t>Outcomes</w:t>
            </w:r>
          </w:p>
        </w:tc>
        <w:tc>
          <w:tcPr>
            <w:tcW w:w="7745" w:type="dxa"/>
          </w:tcPr>
          <w:p w14:paraId="3E75B872" w14:textId="77777777" w:rsidR="005C3B3A" w:rsidRPr="00A72CFF"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A72CFF">
              <w:t>Test-related outcomes:</w:t>
            </w:r>
          </w:p>
          <w:p w14:paraId="4531BA97" w14:textId="77777777" w:rsidR="005C3B3A" w:rsidRPr="00AC276C" w:rsidRDefault="005C3B3A">
            <w:pPr>
              <w:pStyle w:val="TableText"/>
              <w:keepNext/>
              <w:keepLines/>
              <w:numPr>
                <w:ilvl w:val="0"/>
                <w:numId w:val="17"/>
              </w:numPr>
              <w:cnfStyle w:val="000000000000" w:firstRow="0" w:lastRow="0" w:firstColumn="0" w:lastColumn="0" w:oddVBand="0" w:evenVBand="0" w:oddHBand="0" w:evenHBand="0" w:firstRowFirstColumn="0" w:firstRowLastColumn="0" w:lastRowFirstColumn="0" w:lastRowLastColumn="0"/>
              <w:rPr>
                <w:color w:val="auto"/>
                <w:lang w:val="en-AU"/>
              </w:rPr>
            </w:pPr>
            <w:r w:rsidRPr="00A72CFF">
              <w:t>Safety: Adverse events associated with biopsy/re</w:t>
            </w:r>
            <w:r>
              <w:rPr>
                <w:color w:val="auto"/>
                <w:lang w:val="en-AU"/>
              </w:rPr>
              <w:t>-</w:t>
            </w:r>
            <w:r w:rsidRPr="00AC276C">
              <w:t xml:space="preserve">biopsy for patients with inadequate tissue for </w:t>
            </w:r>
            <w:proofErr w:type="spellStart"/>
            <w:r w:rsidRPr="00AC276C">
              <w:t>tumour</w:t>
            </w:r>
            <w:proofErr w:type="spellEnd"/>
            <w:r w:rsidRPr="00AC276C">
              <w:t xml:space="preserve"> testing.</w:t>
            </w:r>
          </w:p>
          <w:p w14:paraId="1FD01025" w14:textId="77777777" w:rsidR="005C3B3A" w:rsidRPr="00AC276C" w:rsidRDefault="005C3B3A">
            <w:pPr>
              <w:pStyle w:val="TableText"/>
              <w:keepNext/>
              <w:keepLines/>
              <w:numPr>
                <w:ilvl w:val="0"/>
                <w:numId w:val="17"/>
              </w:numPr>
              <w:cnfStyle w:val="000000000000" w:firstRow="0" w:lastRow="0" w:firstColumn="0" w:lastColumn="0" w:oddVBand="0" w:evenVBand="0" w:oddHBand="0" w:evenHBand="0" w:firstRowFirstColumn="0" w:firstRowLastColumn="0" w:lastRowFirstColumn="0" w:lastRowLastColumn="0"/>
              <w:rPr>
                <w:color w:val="auto"/>
                <w:lang w:val="en-AU"/>
              </w:rPr>
            </w:pPr>
            <w:r w:rsidRPr="00AC276C">
              <w:t xml:space="preserve">Diagnostic performance: Sensitivity, specificity, assessment of extent of and implications of discordances between Australian IHC testing and clinical utility standard, test-retest reliability, evidence of stability of proteins in archival tissue, evidence of stability in CLDN18.2 status over time, test failure rate, heterogeneity within tissue samples. </w:t>
            </w:r>
          </w:p>
          <w:p w14:paraId="0C081464" w14:textId="77777777" w:rsidR="005C3B3A" w:rsidRPr="00AC276C" w:rsidRDefault="005C3B3A">
            <w:pPr>
              <w:pStyle w:val="TableText"/>
              <w:keepNext/>
              <w:keepLines/>
              <w:numPr>
                <w:ilvl w:val="0"/>
                <w:numId w:val="17"/>
              </w:numPr>
              <w:cnfStyle w:val="000000000000" w:firstRow="0" w:lastRow="0" w:firstColumn="0" w:lastColumn="0" w:oddVBand="0" w:evenVBand="0" w:oddHBand="0" w:evenHBand="0" w:firstRowFirstColumn="0" w:firstRowLastColumn="0" w:lastRowFirstColumn="0" w:lastRowLastColumn="0"/>
              <w:rPr>
                <w:color w:val="auto"/>
                <w:lang w:val="en-AU"/>
              </w:rPr>
            </w:pPr>
            <w:r w:rsidRPr="00AC276C">
              <w:t>Clinical validity: Positive and negative predictive values, positive and negative likelihood ratios.</w:t>
            </w:r>
          </w:p>
          <w:p w14:paraId="2D02F59B" w14:textId="77777777" w:rsidR="005C3B3A" w:rsidRPr="006A7451" w:rsidRDefault="005C3B3A">
            <w:pPr>
              <w:pStyle w:val="TableText"/>
              <w:keepNext/>
              <w:keepLines/>
              <w:numPr>
                <w:ilvl w:val="0"/>
                <w:numId w:val="17"/>
              </w:numPr>
              <w:cnfStyle w:val="000000000000" w:firstRow="0" w:lastRow="0" w:firstColumn="0" w:lastColumn="0" w:oddVBand="0" w:evenVBand="0" w:oddHBand="0" w:evenHBand="0" w:firstRowFirstColumn="0" w:firstRowLastColumn="0" w:lastRowFirstColumn="0" w:lastRowLastColumn="0"/>
              <w:rPr>
                <w:color w:val="auto"/>
                <w:lang w:val="en-AU"/>
              </w:rPr>
            </w:pPr>
            <w:r w:rsidRPr="008A4AC7">
              <w:t xml:space="preserve">Clinical utility of the test: Determine whether testing for CLDN18.2 predicts variation in the treatment effect of </w:t>
            </w:r>
            <w:proofErr w:type="spellStart"/>
            <w:r w:rsidRPr="008A4AC7">
              <w:t>zolbetuximab</w:t>
            </w:r>
            <w:proofErr w:type="spellEnd"/>
            <w:r w:rsidRPr="008A4AC7">
              <w:t xml:space="preserve"> in terms of health outcomes for patients.</w:t>
            </w:r>
          </w:p>
          <w:p w14:paraId="6594F467" w14:textId="77777777" w:rsidR="005C3B3A" w:rsidRPr="006A7451"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6A7451">
              <w:t>Drug-related outcomes:</w:t>
            </w:r>
          </w:p>
          <w:p w14:paraId="1E70FCFF" w14:textId="77777777" w:rsidR="005C3B3A" w:rsidRPr="00776FA8" w:rsidRDefault="005C3B3A">
            <w:pPr>
              <w:pStyle w:val="TableText"/>
              <w:keepNext/>
              <w:keepLines/>
              <w:numPr>
                <w:ilvl w:val="0"/>
                <w:numId w:val="20"/>
              </w:numPr>
              <w:cnfStyle w:val="000000000000" w:firstRow="0" w:lastRow="0" w:firstColumn="0" w:lastColumn="0" w:oddVBand="0" w:evenVBand="0" w:oddHBand="0" w:evenHBand="0" w:firstRowFirstColumn="0" w:firstRowLastColumn="0" w:lastRowFirstColumn="0" w:lastRowLastColumn="0"/>
              <w:rPr>
                <w:color w:val="auto"/>
                <w:lang w:val="en-AU"/>
              </w:rPr>
            </w:pPr>
            <w:r w:rsidRPr="00DB5E0E">
              <w:t xml:space="preserve">Safety: Safety and tolerability of treatment with </w:t>
            </w:r>
            <w:proofErr w:type="spellStart"/>
            <w:r w:rsidRPr="00DB5E0E">
              <w:t>zolbetuximab</w:t>
            </w:r>
            <w:proofErr w:type="spellEnd"/>
            <w:r w:rsidRPr="00DB5E0E">
              <w:t xml:space="preserve"> compared to alternative treatments assessed by adverse events, physical examination, laboratory findings and vital signs. </w:t>
            </w:r>
          </w:p>
          <w:p w14:paraId="6FA6737D" w14:textId="77777777" w:rsidR="005C3B3A" w:rsidRPr="00A94DD6" w:rsidRDefault="005C3B3A">
            <w:pPr>
              <w:pStyle w:val="TableText"/>
              <w:keepNext/>
              <w:keepLines/>
              <w:numPr>
                <w:ilvl w:val="0"/>
                <w:numId w:val="20"/>
              </w:numPr>
              <w:cnfStyle w:val="000000000000" w:firstRow="0" w:lastRow="0" w:firstColumn="0" w:lastColumn="0" w:oddVBand="0" w:evenVBand="0" w:oddHBand="0" w:evenHBand="0" w:firstRowFirstColumn="0" w:firstRowLastColumn="0" w:lastRowFirstColumn="0" w:lastRowLastColumn="0"/>
              <w:rPr>
                <w:color w:val="auto"/>
                <w:lang w:val="en-AU"/>
              </w:rPr>
            </w:pPr>
            <w:r w:rsidRPr="00776FA8">
              <w:t xml:space="preserve">Clinical effectiveness outcomes: </w:t>
            </w:r>
          </w:p>
          <w:p w14:paraId="5FA96CBB" w14:textId="77777777" w:rsidR="005C3B3A" w:rsidRPr="003D1E41"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A94DD6">
              <w:t>Objective response rate (ORR)</w:t>
            </w:r>
          </w:p>
          <w:p w14:paraId="01BD388D" w14:textId="77777777" w:rsidR="005C3B3A" w:rsidRPr="003D1E41"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3D1E41">
              <w:t>Overall survival (OS)</w:t>
            </w:r>
          </w:p>
          <w:p w14:paraId="532F1AF1" w14:textId="77777777" w:rsidR="005C3B3A" w:rsidRPr="003D1E41"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3D1E41">
              <w:t xml:space="preserve">Progression-free survival (PFS) </w:t>
            </w:r>
          </w:p>
          <w:p w14:paraId="51295F5A" w14:textId="77777777" w:rsidR="005C3B3A" w:rsidRPr="0068180B"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68180B">
              <w:t>Partial response (PR)</w:t>
            </w:r>
          </w:p>
          <w:p w14:paraId="3B3BDB55" w14:textId="77777777" w:rsidR="005C3B3A" w:rsidRPr="00B90B2F"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68180B">
              <w:t>Complete response (CR)</w:t>
            </w:r>
          </w:p>
          <w:p w14:paraId="025A2B57" w14:textId="77777777" w:rsidR="005C3B3A" w:rsidRPr="00B90B2F" w:rsidRDefault="005C3B3A">
            <w:pPr>
              <w:pStyle w:val="TableText"/>
              <w:keepNext/>
              <w:keepLines/>
              <w:numPr>
                <w:ilvl w:val="1"/>
                <w:numId w:val="23"/>
              </w:numPr>
              <w:cnfStyle w:val="000000000000" w:firstRow="0" w:lastRow="0" w:firstColumn="0" w:lastColumn="0" w:oddVBand="0" w:evenVBand="0" w:oddHBand="0" w:evenHBand="0" w:firstRowFirstColumn="0" w:firstRowLastColumn="0" w:lastRowFirstColumn="0" w:lastRowLastColumn="0"/>
              <w:rPr>
                <w:color w:val="auto"/>
                <w:lang w:val="en-AU"/>
              </w:rPr>
            </w:pPr>
            <w:r w:rsidRPr="00B90B2F">
              <w:t>Health-related quality of life (</w:t>
            </w:r>
            <w:proofErr w:type="spellStart"/>
            <w:r w:rsidRPr="00B90B2F">
              <w:t>HRQoL</w:t>
            </w:r>
            <w:proofErr w:type="spellEnd"/>
            <w:r w:rsidRPr="00B90B2F">
              <w:t>)</w:t>
            </w:r>
          </w:p>
          <w:p w14:paraId="583D6BD1" w14:textId="77777777" w:rsidR="005C3B3A" w:rsidRPr="00B90B2F" w:rsidRDefault="005C3B3A">
            <w:pPr>
              <w:pStyle w:val="TableText"/>
              <w:keepNext/>
              <w:keepLines/>
              <w:numPr>
                <w:ilvl w:val="0"/>
                <w:numId w:val="21"/>
              </w:numPr>
              <w:cnfStyle w:val="000000000000" w:firstRow="0" w:lastRow="0" w:firstColumn="0" w:lastColumn="0" w:oddVBand="0" w:evenVBand="0" w:oddHBand="0" w:evenHBand="0" w:firstRowFirstColumn="0" w:firstRowLastColumn="0" w:lastRowFirstColumn="0" w:lastRowLastColumn="0"/>
              <w:rPr>
                <w:color w:val="auto"/>
                <w:lang w:val="en-AU"/>
              </w:rPr>
            </w:pPr>
            <w:r w:rsidRPr="00B90B2F">
              <w:t xml:space="preserve">Healthcare system outcomes: </w:t>
            </w:r>
          </w:p>
          <w:p w14:paraId="475E0825" w14:textId="77777777" w:rsidR="005C3B3A" w:rsidRPr="001C0553" w:rsidRDefault="005C3B3A">
            <w:pPr>
              <w:pStyle w:val="TableText"/>
              <w:keepNext/>
              <w:keepLines/>
              <w:numPr>
                <w:ilvl w:val="1"/>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B90B2F">
              <w:t>Cost of testing per patient and cost of associated re</w:t>
            </w:r>
            <w:r>
              <w:rPr>
                <w:color w:val="auto"/>
                <w:lang w:val="en-AU"/>
              </w:rPr>
              <w:t>-</w:t>
            </w:r>
            <w:r w:rsidRPr="001C0553">
              <w:t>biopsies (e.g.: early-stage disease that has relapsed, test failure, inadequate sampling)</w:t>
            </w:r>
          </w:p>
          <w:p w14:paraId="7D6B4E67" w14:textId="77777777" w:rsidR="005C3B3A" w:rsidRPr="001C0553" w:rsidRDefault="005C3B3A">
            <w:pPr>
              <w:pStyle w:val="TableText"/>
              <w:keepNext/>
              <w:keepLines/>
              <w:numPr>
                <w:ilvl w:val="1"/>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1C0553">
              <w:t>Cost of treatment and cost of treating adverse events</w:t>
            </w:r>
          </w:p>
          <w:p w14:paraId="18ABB2E4" w14:textId="77777777" w:rsidR="005C3B3A" w:rsidRPr="001C0553" w:rsidRDefault="005C3B3A">
            <w:pPr>
              <w:pStyle w:val="TableText"/>
              <w:keepNext/>
              <w:keepLines/>
              <w:numPr>
                <w:ilvl w:val="1"/>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1C0553">
              <w:t>Financial implications: number of patients tested; number of patients treated.</w:t>
            </w:r>
          </w:p>
        </w:tc>
      </w:tr>
      <w:tr w:rsidR="005C3B3A" w:rsidRPr="006F4D53" w14:paraId="5D582DF6" w14:textId="77777777">
        <w:tc>
          <w:tcPr>
            <w:cnfStyle w:val="001000000000" w:firstRow="0" w:lastRow="0" w:firstColumn="1" w:lastColumn="0" w:oddVBand="0" w:evenVBand="0" w:oddHBand="0" w:evenHBand="0" w:firstRowFirstColumn="0" w:firstRowLastColumn="0" w:lastRowFirstColumn="0" w:lastRowLastColumn="0"/>
            <w:tcW w:w="1271" w:type="dxa"/>
          </w:tcPr>
          <w:p w14:paraId="617990EB" w14:textId="77777777" w:rsidR="005C3B3A" w:rsidRPr="001C0553" w:rsidRDefault="005C3B3A">
            <w:pPr>
              <w:pStyle w:val="TableText"/>
              <w:keepNext/>
              <w:keepLines/>
              <w:rPr>
                <w:color w:val="auto"/>
                <w:lang w:val="en-AU"/>
              </w:rPr>
            </w:pPr>
            <w:r w:rsidRPr="001C0553">
              <w:t>Clinical utility standard</w:t>
            </w:r>
          </w:p>
        </w:tc>
        <w:tc>
          <w:tcPr>
            <w:tcW w:w="7745" w:type="dxa"/>
          </w:tcPr>
          <w:p w14:paraId="0FB966E8" w14:textId="77777777" w:rsidR="005C3B3A" w:rsidRPr="001C0553"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1C0553">
              <w:t xml:space="preserve">Ventana® CLDN18 (43-14A) </w:t>
            </w:r>
            <w:proofErr w:type="spellStart"/>
            <w:r w:rsidRPr="001C0553">
              <w:t>RxDx</w:t>
            </w:r>
            <w:proofErr w:type="spellEnd"/>
            <w:r w:rsidRPr="001C0553">
              <w:t xml:space="preserve"> Assay</w:t>
            </w:r>
          </w:p>
          <w:p w14:paraId="56AD9C76" w14:textId="77777777" w:rsidR="005C3B3A" w:rsidRPr="001C0553"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1C0553">
              <w:t>Test used in key clinical trials, SPOTLIGHT and GLOW</w:t>
            </w:r>
          </w:p>
        </w:tc>
      </w:tr>
      <w:tr w:rsidR="005C3B3A" w:rsidRPr="006F4D53" w14:paraId="566E78E3" w14:textId="77777777">
        <w:tc>
          <w:tcPr>
            <w:cnfStyle w:val="001000000000" w:firstRow="0" w:lastRow="0" w:firstColumn="1" w:lastColumn="0" w:oddVBand="0" w:evenVBand="0" w:oddHBand="0" w:evenHBand="0" w:firstRowFirstColumn="0" w:firstRowLastColumn="0" w:lastRowFirstColumn="0" w:lastRowLastColumn="0"/>
            <w:tcW w:w="1271" w:type="dxa"/>
          </w:tcPr>
          <w:p w14:paraId="1AE82111" w14:textId="77777777" w:rsidR="005C3B3A" w:rsidRPr="001C0553" w:rsidRDefault="005C3B3A">
            <w:pPr>
              <w:pStyle w:val="TableText"/>
              <w:keepNext/>
              <w:keepLines/>
              <w:rPr>
                <w:color w:val="auto"/>
                <w:lang w:val="en-AU"/>
              </w:rPr>
            </w:pPr>
            <w:r w:rsidRPr="001C0553">
              <w:t>Clinical claim</w:t>
            </w:r>
          </w:p>
        </w:tc>
        <w:tc>
          <w:tcPr>
            <w:tcW w:w="7745" w:type="dxa"/>
          </w:tcPr>
          <w:p w14:paraId="564955D4" w14:textId="77777777" w:rsidR="005C3B3A" w:rsidRPr="001C0553" w:rsidRDefault="005C3B3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1C0553">
              <w:t xml:space="preserve">In patients with locally advanced unresectable or metastatic G/GOJ adenocarcinoma with CLDN18.2+ </w:t>
            </w:r>
            <w:proofErr w:type="spellStart"/>
            <w:r w:rsidRPr="001C0553">
              <w:t>tumours</w:t>
            </w:r>
            <w:proofErr w:type="spellEnd"/>
            <w:r w:rsidRPr="001C0553">
              <w:t xml:space="preserve"> identified by the IHC testing for CLDN18.2 expression, </w:t>
            </w:r>
            <w:proofErr w:type="spellStart"/>
            <w:r w:rsidRPr="001C0553">
              <w:t>zolbetuximab</w:t>
            </w:r>
            <w:proofErr w:type="spellEnd"/>
            <w:r w:rsidRPr="001C0553">
              <w:t xml:space="preserve"> in combination with chemotherapy is noninferior compared to nivolumab in combination chemotherapy and no testing in terms of efficacy, with a different but manageable safety profile</w:t>
            </w:r>
          </w:p>
        </w:tc>
      </w:tr>
    </w:tbl>
    <w:p w14:paraId="67207241" w14:textId="77777777" w:rsidR="005C3B3A" w:rsidRPr="001C0553" w:rsidRDefault="005C3B3A" w:rsidP="005C3B3A">
      <w:pPr>
        <w:pStyle w:val="TableFooter"/>
      </w:pPr>
      <w:r w:rsidRPr="001C0553">
        <w:t>Source: Table 1-1, pp25-26 of the submission.</w:t>
      </w:r>
    </w:p>
    <w:p w14:paraId="62CC26FD" w14:textId="77777777" w:rsidR="005C3B3A" w:rsidRPr="001C0553" w:rsidRDefault="005C3B3A" w:rsidP="005C3B3A">
      <w:pPr>
        <w:pStyle w:val="TableFooter"/>
      </w:pPr>
      <w:r w:rsidRPr="001C0553">
        <w:t>CLDN18 = Claudin 18; G/GOJ = gastric or gastro-oesophageal junction; HER2 = human epidermal growth factor receptor 2; IHC = Immunohistochemistry.</w:t>
      </w:r>
    </w:p>
    <w:p w14:paraId="32C163B2" w14:textId="58468562" w:rsidR="005C3B3A" w:rsidRPr="001317CD" w:rsidRDefault="005C3B3A" w:rsidP="001317CD">
      <w:pPr>
        <w:pStyle w:val="TableFooter"/>
        <w:rPr>
          <w:i/>
        </w:rPr>
      </w:pPr>
      <w:r w:rsidRPr="001C0553">
        <w:rPr>
          <w:i/>
        </w:rPr>
        <w:t>Italics added during evaluation based on the Table 1, p2 of the MSAC 1767 Ratified PICO Confirmation, April 2024 PASC Meeting.</w:t>
      </w:r>
    </w:p>
    <w:p w14:paraId="5891EDA8" w14:textId="77777777" w:rsidR="004C4E7B" w:rsidRPr="003A793E" w:rsidRDefault="004C4E7B"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19" w:name="_Toc93044759"/>
      <w:bookmarkStart w:id="20" w:name="_Toc93322893"/>
      <w:bookmarkStart w:id="21" w:name="_Toc187863731"/>
      <w:bookmarkStart w:id="22" w:name="_Toc188441215"/>
      <w:bookmarkEnd w:id="19"/>
      <w:bookmarkEnd w:id="20"/>
      <w:r w:rsidRPr="003A793E">
        <w:rPr>
          <w:rFonts w:ascii="Franklin Gothic Medium" w:hAnsi="Franklin Gothic Medium"/>
          <w:b w:val="0"/>
          <w:i w:val="0"/>
          <w:snapToGrid/>
          <w:color w:val="000000" w:themeColor="text1"/>
          <w:sz w:val="32"/>
          <w:szCs w:val="26"/>
        </w:rPr>
        <w:t>Population</w:t>
      </w:r>
      <w:bookmarkEnd w:id="21"/>
      <w:bookmarkEnd w:id="22"/>
    </w:p>
    <w:p w14:paraId="4275213F" w14:textId="66609CB6" w:rsidR="00EA1953" w:rsidRPr="00F91D6E" w:rsidRDefault="216B102F" w:rsidP="00F91D6E">
      <w:pPr>
        <w:pStyle w:val="MSACESParagraph"/>
        <w:rPr>
          <w:rFonts w:ascii="Franklin Gothic Book" w:hAnsi="Franklin Gothic Book"/>
          <w:sz w:val="22"/>
        </w:rPr>
      </w:pPr>
      <w:r w:rsidRPr="00F91D6E">
        <w:rPr>
          <w:rFonts w:ascii="Franklin Gothic Book" w:hAnsi="Franklin Gothic Book"/>
          <w:sz w:val="22"/>
        </w:rPr>
        <w:t xml:space="preserve">The population eligible for CLDN18 testing includes all patients with </w:t>
      </w:r>
      <w:r w:rsidR="4C709056" w:rsidRPr="00F91D6E">
        <w:rPr>
          <w:rFonts w:ascii="Franklin Gothic Book" w:hAnsi="Franklin Gothic Book"/>
          <w:sz w:val="22"/>
        </w:rPr>
        <w:t>advanced</w:t>
      </w:r>
      <w:r w:rsidRPr="00F91D6E">
        <w:rPr>
          <w:rFonts w:ascii="Franklin Gothic Book" w:hAnsi="Franklin Gothic Book"/>
          <w:sz w:val="22"/>
        </w:rPr>
        <w:t xml:space="preserve"> G/GOJ adenocarcinoma who are treatment naïve for this disease stage. This was confirmed by the PASC, based on the applicant’s pre-PASC response to define one single population diagnosed with </w:t>
      </w:r>
      <w:r w:rsidR="4C709056" w:rsidRPr="00F91D6E">
        <w:rPr>
          <w:rFonts w:ascii="Franklin Gothic Book" w:hAnsi="Franklin Gothic Book"/>
          <w:sz w:val="22"/>
        </w:rPr>
        <w:t>advanced</w:t>
      </w:r>
      <w:r w:rsidRPr="00F91D6E">
        <w:rPr>
          <w:rFonts w:ascii="Franklin Gothic Book" w:hAnsi="Franklin Gothic Book"/>
          <w:sz w:val="22"/>
        </w:rPr>
        <w:t xml:space="preserve"> disease, of which a subset of patients will have received nivolumab as adjuvant therapy for Stage II/III disease, which has subsequently relapsed into unresectable or metastatic disease (p5, MSAC 1767 Ratified PICO Confirmation, April 2024 PASC meeting). </w:t>
      </w:r>
      <w:r w:rsidR="709E1C07" w:rsidRPr="00F91D6E">
        <w:rPr>
          <w:rFonts w:ascii="Franklin Gothic Book" w:hAnsi="Franklin Gothic Book"/>
          <w:sz w:val="22"/>
        </w:rPr>
        <w:t>The commentary noted a discrepancy</w:t>
      </w:r>
      <w:r w:rsidR="7A26834D" w:rsidRPr="00F91D6E">
        <w:rPr>
          <w:rFonts w:ascii="Franklin Gothic Book" w:hAnsi="Franklin Gothic Book"/>
          <w:sz w:val="22"/>
        </w:rPr>
        <w:t xml:space="preserve"> in the test population and the requested restriction for zolbetuximab</w:t>
      </w:r>
      <w:r w:rsidR="40AE3F43" w:rsidRPr="00F91D6E">
        <w:rPr>
          <w:rFonts w:ascii="Franklin Gothic Book" w:hAnsi="Franklin Gothic Book"/>
          <w:sz w:val="22"/>
        </w:rPr>
        <w:t>. The commentary considered</w:t>
      </w:r>
      <w:r w:rsidR="3ACC0991" w:rsidRPr="00F91D6E">
        <w:rPr>
          <w:rFonts w:ascii="Franklin Gothic Book" w:hAnsi="Franklin Gothic Book"/>
          <w:sz w:val="22"/>
        </w:rPr>
        <w:t xml:space="preserve"> that</w:t>
      </w:r>
      <w:r w:rsidR="40AE3F43" w:rsidRPr="00F91D6E">
        <w:rPr>
          <w:rFonts w:ascii="Franklin Gothic Book" w:hAnsi="Franklin Gothic Book"/>
          <w:sz w:val="22"/>
        </w:rPr>
        <w:t xml:space="preserve"> the requested restriction </w:t>
      </w:r>
      <w:r w:rsidR="5E616B0C" w:rsidRPr="00F91D6E">
        <w:rPr>
          <w:rFonts w:ascii="Franklin Gothic Book" w:hAnsi="Franklin Gothic Book"/>
          <w:sz w:val="22"/>
        </w:rPr>
        <w:t>for zolbetuximab</w:t>
      </w:r>
      <w:r w:rsidR="40AE3F43" w:rsidRPr="00F91D6E">
        <w:rPr>
          <w:rFonts w:ascii="Franklin Gothic Book" w:hAnsi="Franklin Gothic Book"/>
          <w:sz w:val="22"/>
        </w:rPr>
        <w:t xml:space="preserve"> was broader than the inclusion criteria of the key clinical trials of zolbetuximab (i.e., SPOTLIGHT and GLOW), as it included patients with oesophageal adenocarcinoma in addition to those with G/GOJ adenocarcinoma</w:t>
      </w:r>
      <w:r w:rsidR="3ACC0991" w:rsidRPr="00F91D6E">
        <w:rPr>
          <w:rFonts w:ascii="Franklin Gothic Book" w:hAnsi="Franklin Gothic Book"/>
          <w:sz w:val="22"/>
        </w:rPr>
        <w:t>. In contrast,</w:t>
      </w:r>
      <w:r w:rsidR="64DDD7B2" w:rsidRPr="00F91D6E">
        <w:rPr>
          <w:rFonts w:ascii="Franklin Gothic Book" w:hAnsi="Franklin Gothic Book"/>
          <w:sz w:val="22"/>
        </w:rPr>
        <w:t xml:space="preserve"> </w:t>
      </w:r>
      <w:r w:rsidR="40AE3F43" w:rsidRPr="00F91D6E">
        <w:rPr>
          <w:rFonts w:ascii="Franklin Gothic Book" w:hAnsi="Franklin Gothic Book"/>
          <w:sz w:val="22"/>
        </w:rPr>
        <w:t xml:space="preserve">the clinical trials only enrolled patients with G/GOJ adenocarcinoma. Furthermore, </w:t>
      </w:r>
      <w:r w:rsidR="64DDD7B2" w:rsidRPr="00F91D6E">
        <w:rPr>
          <w:rFonts w:ascii="Franklin Gothic Book" w:hAnsi="Franklin Gothic Book"/>
          <w:sz w:val="22"/>
        </w:rPr>
        <w:t>the requested restriction</w:t>
      </w:r>
      <w:r w:rsidR="40AE3F43" w:rsidRPr="00F91D6E">
        <w:rPr>
          <w:rFonts w:ascii="Franklin Gothic Book" w:hAnsi="Franklin Gothic Book"/>
          <w:sz w:val="22"/>
        </w:rPr>
        <w:t xml:space="preserve"> was </w:t>
      </w:r>
      <w:r w:rsidR="73AA1060" w:rsidRPr="00F91D6E">
        <w:rPr>
          <w:rFonts w:ascii="Franklin Gothic Book" w:hAnsi="Franklin Gothic Book"/>
          <w:sz w:val="22"/>
        </w:rPr>
        <w:t>not aligned</w:t>
      </w:r>
      <w:r w:rsidR="40AE3F43" w:rsidRPr="00F91D6E">
        <w:rPr>
          <w:rFonts w:ascii="Franklin Gothic Book" w:hAnsi="Franklin Gothic Book"/>
          <w:sz w:val="22"/>
        </w:rPr>
        <w:t xml:space="preserve"> with the proposed TGA indication for zolbetuximab</w:t>
      </w:r>
      <w:r w:rsidR="755646EB" w:rsidRPr="00F91D6E">
        <w:rPr>
          <w:rFonts w:ascii="Franklin Gothic Book" w:hAnsi="Franklin Gothic Book"/>
          <w:sz w:val="22"/>
        </w:rPr>
        <w:t xml:space="preserve"> </w:t>
      </w:r>
      <w:r w:rsidR="73AA1060" w:rsidRPr="00F91D6E">
        <w:rPr>
          <w:rFonts w:ascii="Franklin Gothic Book" w:hAnsi="Franklin Gothic Book"/>
          <w:sz w:val="22"/>
        </w:rPr>
        <w:t>as</w:t>
      </w:r>
      <w:r w:rsidR="2C30831C" w:rsidRPr="00F91D6E">
        <w:rPr>
          <w:rFonts w:ascii="Franklin Gothic Book" w:hAnsi="Franklin Gothic Book"/>
          <w:sz w:val="22"/>
        </w:rPr>
        <w:t xml:space="preserve"> the first-line treatment </w:t>
      </w:r>
      <w:r w:rsidR="73AA1060" w:rsidRPr="00F91D6E">
        <w:rPr>
          <w:rFonts w:ascii="Franklin Gothic Book" w:hAnsi="Franklin Gothic Book"/>
          <w:sz w:val="22"/>
        </w:rPr>
        <w:t>for</w:t>
      </w:r>
      <w:r w:rsidR="2C30831C" w:rsidRPr="00F91D6E">
        <w:rPr>
          <w:rFonts w:ascii="Franklin Gothic Book" w:hAnsi="Franklin Gothic Book"/>
          <w:sz w:val="22"/>
        </w:rPr>
        <w:t xml:space="preserve"> patients with advanced </w:t>
      </w:r>
      <w:r w:rsidR="0B8B2A97" w:rsidRPr="00F91D6E">
        <w:rPr>
          <w:rFonts w:ascii="Franklin Gothic Book" w:hAnsi="Franklin Gothic Book"/>
          <w:sz w:val="22"/>
        </w:rPr>
        <w:t>G/</w:t>
      </w:r>
      <w:r w:rsidR="2C30831C" w:rsidRPr="00F91D6E">
        <w:rPr>
          <w:rFonts w:ascii="Franklin Gothic Book" w:hAnsi="Franklin Gothic Book"/>
          <w:sz w:val="22"/>
        </w:rPr>
        <w:t>GOJ</w:t>
      </w:r>
      <w:r w:rsidR="0B8B2A97" w:rsidRPr="00F91D6E">
        <w:rPr>
          <w:rFonts w:ascii="Franklin Gothic Book" w:hAnsi="Franklin Gothic Book"/>
          <w:sz w:val="22"/>
        </w:rPr>
        <w:t>.</w:t>
      </w:r>
    </w:p>
    <w:p w14:paraId="3817EC8B" w14:textId="0356647E" w:rsidR="004C4E7B" w:rsidRPr="00F91D6E" w:rsidRDefault="216B102F" w:rsidP="00F91D6E">
      <w:pPr>
        <w:pStyle w:val="MSACESParagraph"/>
        <w:rPr>
          <w:rFonts w:ascii="Franklin Gothic Book" w:hAnsi="Franklin Gothic Book"/>
          <w:sz w:val="22"/>
        </w:rPr>
      </w:pPr>
      <w:r w:rsidRPr="00F91D6E">
        <w:rPr>
          <w:rFonts w:ascii="Franklin Gothic Book" w:hAnsi="Franklin Gothic Book"/>
          <w:sz w:val="22"/>
        </w:rPr>
        <w:t xml:space="preserve">The proposed biomarker test in the submission was for both the isoforms of CLDN18 (CLDN18.1 and CLDN18.2). CLDN18.1 is primarily expressed in lung tissue, while CLDN18.2 is primarily expressed in gastric tissue. In normal tissue, CLDN18.2 </w:t>
      </w:r>
      <w:proofErr w:type="gramStart"/>
      <w:r w:rsidRPr="00F91D6E">
        <w:rPr>
          <w:rFonts w:ascii="Franklin Gothic Book" w:hAnsi="Franklin Gothic Book"/>
          <w:sz w:val="22"/>
        </w:rPr>
        <w:t>is located in</w:t>
      </w:r>
      <w:proofErr w:type="gramEnd"/>
      <w:r w:rsidRPr="00F91D6E">
        <w:rPr>
          <w:rFonts w:ascii="Franklin Gothic Book" w:hAnsi="Franklin Gothic Book"/>
          <w:sz w:val="22"/>
        </w:rPr>
        <w:t xml:space="preserve"> tight junctions forming a paracellular barrier in gastric mucosa cells to control the flow of molecules between cells; however, during malignant transformation, the loss of cell polarity exposes the epitope of CLDN18</w:t>
      </w:r>
      <w:r w:rsidR="004F201E">
        <w:rPr>
          <w:rFonts w:ascii="Franklin Gothic Book" w:hAnsi="Franklin Gothic Book"/>
          <w:sz w:val="22"/>
        </w:rPr>
        <w:t>.2</w:t>
      </w:r>
      <w:r w:rsidRPr="00F91D6E">
        <w:rPr>
          <w:rFonts w:ascii="Franklin Gothic Book" w:hAnsi="Franklin Gothic Book"/>
          <w:sz w:val="22"/>
        </w:rPr>
        <w:t>, making it more accessible to antibodies.</w:t>
      </w:r>
      <w:r w:rsidR="419E8B49" w:rsidRPr="00F91D6E">
        <w:rPr>
          <w:rFonts w:ascii="Franklin Gothic Book" w:hAnsi="Franklin Gothic Book"/>
          <w:sz w:val="22"/>
        </w:rPr>
        <w:t xml:space="preserve"> </w:t>
      </w:r>
      <w:r w:rsidR="5569E1A7" w:rsidRPr="00F91D6E">
        <w:rPr>
          <w:rFonts w:ascii="Franklin Gothic Book" w:hAnsi="Franklin Gothic Book"/>
          <w:sz w:val="22"/>
        </w:rPr>
        <w:t>T</w:t>
      </w:r>
      <w:r w:rsidR="5569E1A7" w:rsidRPr="00F91D6E">
        <w:rPr>
          <w:rFonts w:ascii="Franklin Gothic Book" w:eastAsiaTheme="minorEastAsia" w:hAnsi="Franklin Gothic Book"/>
          <w:sz w:val="22"/>
        </w:rPr>
        <w:t xml:space="preserve">herefore, when the </w:t>
      </w:r>
      <w:r w:rsidR="1DD7FC5C" w:rsidRPr="00F91D6E">
        <w:rPr>
          <w:rFonts w:ascii="Franklin Gothic Book" w:eastAsiaTheme="minorEastAsia" w:hAnsi="Franklin Gothic Book"/>
          <w:sz w:val="22"/>
        </w:rPr>
        <w:t>CLDN18 biomarker test is conducted in</w:t>
      </w:r>
      <w:r w:rsidR="5569E1A7" w:rsidRPr="00F91D6E">
        <w:rPr>
          <w:rFonts w:ascii="Franklin Gothic Book" w:eastAsiaTheme="minorEastAsia" w:hAnsi="Franklin Gothic Book"/>
          <w:sz w:val="22"/>
        </w:rPr>
        <w:t xml:space="preserve"> gastric tissue</w:t>
      </w:r>
      <w:r w:rsidR="1DD7FC5C" w:rsidRPr="00F91D6E">
        <w:rPr>
          <w:rFonts w:ascii="Franklin Gothic Book" w:eastAsiaTheme="minorEastAsia" w:hAnsi="Franklin Gothic Book"/>
          <w:sz w:val="22"/>
        </w:rPr>
        <w:t xml:space="preserve">, it </w:t>
      </w:r>
      <w:r w:rsidR="0949C580" w:rsidRPr="00F91D6E">
        <w:rPr>
          <w:rFonts w:ascii="Franklin Gothic Book" w:eastAsiaTheme="minorEastAsia" w:hAnsi="Franklin Gothic Book"/>
          <w:sz w:val="22"/>
        </w:rPr>
        <w:t>primarily reflects</w:t>
      </w:r>
      <w:r w:rsidR="1DD7FC5C" w:rsidRPr="00F91D6E">
        <w:rPr>
          <w:rFonts w:ascii="Franklin Gothic Book" w:eastAsiaTheme="minorEastAsia" w:hAnsi="Franklin Gothic Book"/>
          <w:sz w:val="22"/>
        </w:rPr>
        <w:t xml:space="preserve"> CLDN18</w:t>
      </w:r>
      <w:r w:rsidR="5569E1A7" w:rsidRPr="00F91D6E">
        <w:rPr>
          <w:rFonts w:ascii="Franklin Gothic Book" w:eastAsiaTheme="minorEastAsia" w:hAnsi="Franklin Gothic Book"/>
          <w:sz w:val="22"/>
        </w:rPr>
        <w:t>.2</w:t>
      </w:r>
      <w:r w:rsidR="0949C580" w:rsidRPr="00F91D6E">
        <w:rPr>
          <w:rFonts w:ascii="Franklin Gothic Book" w:eastAsiaTheme="minorEastAsia" w:hAnsi="Franklin Gothic Book"/>
          <w:sz w:val="22"/>
        </w:rPr>
        <w:t>,</w:t>
      </w:r>
      <w:r w:rsidR="33C874E3" w:rsidRPr="00F91D6E">
        <w:rPr>
          <w:rFonts w:ascii="Franklin Gothic Book" w:hAnsi="Franklin Gothic Book"/>
          <w:sz w:val="22"/>
        </w:rPr>
        <w:t xml:space="preserve"> </w:t>
      </w:r>
      <w:r w:rsidR="33C874E3" w:rsidRPr="00F91D6E">
        <w:rPr>
          <w:rFonts w:ascii="Franklin Gothic Book" w:eastAsiaTheme="minorEastAsia" w:hAnsi="Franklin Gothic Book"/>
          <w:sz w:val="22"/>
        </w:rPr>
        <w:t xml:space="preserve">as CLDN18.1 </w:t>
      </w:r>
      <w:r w:rsidR="0949C580" w:rsidRPr="00F91D6E">
        <w:rPr>
          <w:rFonts w:ascii="Franklin Gothic Book" w:eastAsiaTheme="minorEastAsia" w:hAnsi="Franklin Gothic Book"/>
          <w:sz w:val="22"/>
        </w:rPr>
        <w:t xml:space="preserve">is </w:t>
      </w:r>
      <w:r w:rsidR="33C874E3" w:rsidRPr="00F91D6E">
        <w:rPr>
          <w:rFonts w:ascii="Franklin Gothic Book" w:eastAsiaTheme="minorEastAsia" w:hAnsi="Franklin Gothic Book"/>
          <w:sz w:val="22"/>
        </w:rPr>
        <w:t>rarely present in gastric tissues</w:t>
      </w:r>
      <w:r w:rsidR="1DD7FC5C" w:rsidRPr="00F91D6E">
        <w:rPr>
          <w:rFonts w:ascii="Franklin Gothic Book" w:eastAsiaTheme="minorEastAsia" w:hAnsi="Franklin Gothic Book"/>
          <w:sz w:val="22"/>
        </w:rPr>
        <w:t>.</w:t>
      </w:r>
      <w:r w:rsidR="5569E1A7" w:rsidRPr="00F91D6E">
        <w:rPr>
          <w:rFonts w:ascii="Franklin Gothic Book" w:eastAsiaTheme="minorEastAsia" w:hAnsi="Franklin Gothic Book"/>
          <w:sz w:val="22"/>
        </w:rPr>
        <w:t xml:space="preserve"> </w:t>
      </w:r>
    </w:p>
    <w:p w14:paraId="584AA006" w14:textId="77777777" w:rsidR="00F91D6E" w:rsidRDefault="55834B67" w:rsidP="00F91D6E">
      <w:pPr>
        <w:pStyle w:val="TableText"/>
        <w:rPr>
          <w:rFonts w:ascii="Franklin Gothic Book" w:hAnsi="Franklin Gothic Book"/>
          <w:sz w:val="22"/>
        </w:rPr>
      </w:pPr>
      <w:r w:rsidRPr="00F91D6E">
        <w:rPr>
          <w:rStyle w:val="InstructionalTextChar"/>
          <w:rFonts w:ascii="Franklin Gothic Book" w:hAnsi="Franklin Gothic Book"/>
          <w:color w:val="auto"/>
          <w:sz w:val="22"/>
        </w:rPr>
        <w:t xml:space="preserve">Proposed testing using the Ventana CLDN18 (43-14A) </w:t>
      </w:r>
      <w:proofErr w:type="spellStart"/>
      <w:r w:rsidRPr="00F91D6E">
        <w:rPr>
          <w:rStyle w:val="InstructionalTextChar"/>
          <w:rFonts w:ascii="Franklin Gothic Book" w:hAnsi="Franklin Gothic Book"/>
          <w:color w:val="auto"/>
          <w:sz w:val="22"/>
        </w:rPr>
        <w:t>RxDx</w:t>
      </w:r>
      <w:proofErr w:type="spellEnd"/>
      <w:r w:rsidRPr="00F91D6E">
        <w:rPr>
          <w:rStyle w:val="InstructionalTextChar"/>
          <w:rFonts w:ascii="Franklin Gothic Book" w:hAnsi="Franklin Gothic Book"/>
          <w:color w:val="auto"/>
          <w:sz w:val="22"/>
        </w:rPr>
        <w:t xml:space="preserve"> does not specifically target specific isoforms of CLDN18 but recognises the C-terminus of CLDN18 only. Therefore, both CLDN18.1 (mainly expressed in lung tissue) and CLDN18.2 (mainly expressed in gastric tissue) are detected. The applicant stated that CLDN18.1 is minimally expressed in gastric tissue and therefore tests of gastric tissue using Ventana CLDN18 (43-14A) </w:t>
      </w:r>
      <w:proofErr w:type="spellStart"/>
      <w:r w:rsidRPr="00F91D6E">
        <w:rPr>
          <w:rStyle w:val="InstructionalTextChar"/>
          <w:rFonts w:ascii="Franklin Gothic Book" w:hAnsi="Franklin Gothic Book"/>
          <w:color w:val="auto"/>
          <w:sz w:val="22"/>
        </w:rPr>
        <w:t>RxDx</w:t>
      </w:r>
      <w:proofErr w:type="spellEnd"/>
      <w:r w:rsidRPr="00F91D6E">
        <w:rPr>
          <w:rStyle w:val="InstructionalTextChar"/>
          <w:rFonts w:ascii="Franklin Gothic Book" w:hAnsi="Franklin Gothic Book"/>
          <w:color w:val="auto"/>
          <w:sz w:val="22"/>
        </w:rPr>
        <w:t xml:space="preserve"> will give an estimation of the CLDN18.2 level. It is unclear to what extent CLDN18.1 is expressed in gastric tissue and therefore it is possible that the CLDN18.2 level could be overestimated when using the Ventana CLDN18 (43-14A) </w:t>
      </w:r>
      <w:proofErr w:type="spellStart"/>
      <w:r w:rsidRPr="00F91D6E">
        <w:rPr>
          <w:rStyle w:val="InstructionalTextChar"/>
          <w:rFonts w:ascii="Franklin Gothic Book" w:hAnsi="Franklin Gothic Book"/>
          <w:color w:val="auto"/>
          <w:sz w:val="22"/>
        </w:rPr>
        <w:t>RxDx</w:t>
      </w:r>
      <w:proofErr w:type="spellEnd"/>
      <w:r w:rsidRPr="00F91D6E">
        <w:rPr>
          <w:rStyle w:val="InstructionalTextChar"/>
          <w:rFonts w:ascii="Franklin Gothic Book" w:hAnsi="Franklin Gothic Book"/>
          <w:color w:val="auto"/>
          <w:sz w:val="22"/>
        </w:rPr>
        <w:t xml:space="preserve"> test. This has implications for the effectiveness of zolbetuximab, which has been demonstrated in the FAST trial to have a survival benefit only in patients who have </w:t>
      </w:r>
      <w:r w:rsidRPr="00F91D6E">
        <w:rPr>
          <w:rFonts w:ascii="Franklin Gothic Book" w:hAnsi="Franklin Gothic Book"/>
          <w:sz w:val="22"/>
        </w:rPr>
        <w:t xml:space="preserve">CLDN18.2 expression detected in ≥70% of tumour cells. It is unclear whether other IHC CLDN18 tests (e.g. Novus and </w:t>
      </w:r>
      <w:proofErr w:type="spellStart"/>
      <w:r w:rsidRPr="00F91D6E">
        <w:rPr>
          <w:rFonts w:ascii="Franklin Gothic Book" w:hAnsi="Franklin Gothic Book"/>
          <w:sz w:val="22"/>
        </w:rPr>
        <w:t>LSBio</w:t>
      </w:r>
      <w:proofErr w:type="spellEnd"/>
      <w:r w:rsidRPr="00F91D6E">
        <w:rPr>
          <w:rFonts w:ascii="Franklin Gothic Book" w:hAnsi="Franklin Gothic Book"/>
          <w:sz w:val="22"/>
        </w:rPr>
        <w:t xml:space="preserve">) specifically target CLDN18.2. </w:t>
      </w:r>
      <w:bookmarkStart w:id="23" w:name="_Hlk183606447"/>
    </w:p>
    <w:p w14:paraId="08DA6DEF" w14:textId="3646E1A1" w:rsidR="004C4E7B" w:rsidRPr="00F91D6E" w:rsidRDefault="004C4E7B" w:rsidP="00F91D6E">
      <w:pPr>
        <w:pStyle w:val="TableText"/>
        <w:spacing w:before="240"/>
        <w:rPr>
          <w:rFonts w:ascii="Franklin Gothic Book" w:hAnsi="Franklin Gothic Book"/>
          <w:sz w:val="22"/>
        </w:rPr>
      </w:pPr>
      <w:r w:rsidRPr="00F91D6E">
        <w:rPr>
          <w:rFonts w:ascii="Franklin Gothic Book" w:hAnsi="Franklin Gothic Book"/>
          <w:sz w:val="22"/>
        </w:rPr>
        <w:t xml:space="preserve">Zolbetuximab is a genetically engineered, highly purified chimeric (mouse/human immunoglobulin G1 [IgG1]) monoclonal antibody targeted against CLDN18.2. Upon binding, zolbetuximab induces cancer cell death through antibody-dependent cellular cytotoxicity and complement-dependent cytotoxicity. </w:t>
      </w:r>
    </w:p>
    <w:bookmarkEnd w:id="23"/>
    <w:p w14:paraId="3EB830B5" w14:textId="2AB20035" w:rsidR="004C4E7B" w:rsidRPr="00F91D6E" w:rsidRDefault="004C4E7B" w:rsidP="00F91D6E">
      <w:pPr>
        <w:pStyle w:val="MSACESParagraph"/>
        <w:rPr>
          <w:rFonts w:ascii="Franklin Gothic Book" w:hAnsi="Franklin Gothic Book"/>
          <w:sz w:val="22"/>
        </w:rPr>
      </w:pPr>
      <w:r w:rsidRPr="00F91D6E">
        <w:rPr>
          <w:rFonts w:ascii="Franklin Gothic Book" w:hAnsi="Franklin Gothic Book"/>
          <w:sz w:val="22"/>
        </w:rPr>
        <w:t>The commentary considered the biological rationale for testing for CLDN18.2 expression as a biomarker for targeted treatment with zolbetuximab to be reasonable.</w:t>
      </w:r>
    </w:p>
    <w:p w14:paraId="3B316326" w14:textId="77777777" w:rsidR="004C4E7B" w:rsidRPr="00F91D6E" w:rsidRDefault="004C4E7B" w:rsidP="00F91D6E">
      <w:pPr>
        <w:pStyle w:val="MSACESParagraph"/>
        <w:rPr>
          <w:rFonts w:ascii="Franklin Gothic Book" w:hAnsi="Franklin Gothic Book" w:cstheme="minorHAnsi"/>
          <w:sz w:val="22"/>
        </w:rPr>
      </w:pPr>
      <w:r w:rsidRPr="00F91D6E">
        <w:rPr>
          <w:rFonts w:ascii="Franklin Gothic Book" w:hAnsi="Franklin Gothic Book" w:cstheme="minorHAnsi"/>
          <w:sz w:val="22"/>
        </w:rPr>
        <w:t>Gastric cancer (GC) originates in the stomach lining, while GOJ cancer develops in the area between the stomach and the oesophagus. In patients with G/GOJ cancer, the prevalence of CLDN18.2+ (defined as ≥75% of tumour cells showing moderate-to-strong membranous staining above background) is 38.38%. This was based on a weighted proportion of patients from SPOTLIGHT (38.37%) and GLOW (38.40%) trials whose tumours were CLDN18.2+ expression. Based on the threshold of ≥75%, the prevalence of CLDN18.2 positivity was reported in 24% of the Italian population</w:t>
      </w:r>
      <w:r w:rsidRPr="00F91D6E">
        <w:rPr>
          <w:rStyle w:val="FootnoteReference"/>
          <w:rFonts w:ascii="Franklin Gothic Book" w:hAnsi="Franklin Gothic Book" w:cstheme="minorHAnsi"/>
          <w:sz w:val="22"/>
        </w:rPr>
        <w:footnoteReference w:id="5"/>
      </w:r>
      <w:r w:rsidRPr="00F91D6E">
        <w:rPr>
          <w:rFonts w:ascii="Franklin Gothic Book" w:hAnsi="Franklin Gothic Book" w:cstheme="minorHAnsi"/>
          <w:sz w:val="22"/>
        </w:rPr>
        <w:t>, 33.4% of the Japanese population</w:t>
      </w:r>
      <w:r w:rsidRPr="00F91D6E">
        <w:rPr>
          <w:rStyle w:val="FootnoteReference"/>
          <w:rFonts w:ascii="Franklin Gothic Book" w:hAnsi="Franklin Gothic Book" w:cstheme="minorHAnsi"/>
          <w:sz w:val="22"/>
        </w:rPr>
        <w:footnoteReference w:id="6"/>
      </w:r>
      <w:r w:rsidRPr="00F91D6E">
        <w:rPr>
          <w:rFonts w:ascii="Franklin Gothic Book" w:hAnsi="Franklin Gothic Book" w:cstheme="minorHAnsi"/>
          <w:sz w:val="22"/>
        </w:rPr>
        <w:t>, and 44.4% of the U.S. population</w:t>
      </w:r>
      <w:r w:rsidRPr="00F91D6E">
        <w:rPr>
          <w:rStyle w:val="FootnoteReference"/>
          <w:rFonts w:ascii="Franklin Gothic Book" w:hAnsi="Franklin Gothic Book" w:cstheme="minorHAnsi"/>
          <w:sz w:val="22"/>
        </w:rPr>
        <w:footnoteReference w:id="7"/>
      </w:r>
      <w:r w:rsidRPr="00F91D6E">
        <w:rPr>
          <w:rFonts w:ascii="Franklin Gothic Book" w:hAnsi="Franklin Gothic Book" w:cstheme="minorHAnsi"/>
          <w:sz w:val="22"/>
        </w:rPr>
        <w:t xml:space="preserve"> in retrospective studies. An independent search conducted during the commentary found no data on the prevalence of CLDN18.2+ in Australian cases of G/GOJ cancers. As a result, the commentary considered that there is uncertainty about the proportion of patients with CLDN18.2+ expression in Australia.</w:t>
      </w:r>
    </w:p>
    <w:p w14:paraId="5A5691B9" w14:textId="77777777" w:rsidR="000708ED" w:rsidRPr="00F91D6E" w:rsidRDefault="216B102F" w:rsidP="00F91D6E">
      <w:pPr>
        <w:pStyle w:val="MSACESParagraph"/>
        <w:rPr>
          <w:rFonts w:ascii="Franklin Gothic Book" w:hAnsi="Franklin Gothic Book"/>
          <w:sz w:val="22"/>
        </w:rPr>
      </w:pPr>
      <w:r w:rsidRPr="00F91D6E">
        <w:rPr>
          <w:rFonts w:ascii="Franklin Gothic Book" w:hAnsi="Franklin Gothic Book"/>
          <w:sz w:val="22"/>
        </w:rPr>
        <w:t xml:space="preserve">In the current clinical management algorithm presented in the submission, patients with advanced or metastatic G/GOJ adenocarcinoma receive a combination of fluoropyrimidine- and platinum-containing chemotherapy. Notably, HER2 testing is done as part of the standard work up for G/GOJ cancer diagnosis and staging. For patients with HER2-positive tumours, trastuzumab is added to chemotherapy. For patients with HER2-negative tumours, nivolumab is added to chemotherapy (hereafter nivolumab + chemotherapy). For the subgroup of the population with HER2-negative tumours who have relapsed after early-stage disease treatment with nivolumab or have contraindications to PD-L1 inhibitors, chemotherapy alone appears to be the most appropriate therapy. In the proposed clinical management algorithm, CLDN18 testing is to be performed in parallel with HER2 testing in all patients with advanced or metastatic G/GOJ adenocarcinoma. This was in line with the PASC advice, given that parallel testing may facilitate timely treatment decisions (p5, MSAC Application 1767 Ratified PICO Confirmation, April 2024 PASC Meeting). Zolbetuximab, in combination with fluoropyrimidine- and platinum-containing chemotherapy (hereafter zolbetuximab + chemotherapy), is proposed as a novel first-line treatment for patients with </w:t>
      </w:r>
      <w:r w:rsidR="4C709056" w:rsidRPr="00F91D6E">
        <w:rPr>
          <w:rFonts w:ascii="Franklin Gothic Book" w:hAnsi="Franklin Gothic Book"/>
          <w:sz w:val="22"/>
        </w:rPr>
        <w:t>advanced</w:t>
      </w:r>
      <w:r w:rsidRPr="00F91D6E">
        <w:rPr>
          <w:rFonts w:ascii="Franklin Gothic Book" w:hAnsi="Franklin Gothic Book"/>
          <w:sz w:val="22"/>
        </w:rPr>
        <w:t xml:space="preserve"> G/GOJ adenocarcinoma whose tumours are HER2-negative and CLDN18.2+.  The submission was consistent with the Ratified PICO Confirmation regarding the population to be tested and treated. However, the requested restriction for zolbetuximab, which specifies that ‘patient must be untreated (up until initiating this drug) with programmed cell death-1/ligand-1 (PD-1/PD-L1) inhibitor therapy for gastro-oesophageal cancer’, does not align with the treat</w:t>
      </w:r>
      <w:r w:rsidR="107D9D01" w:rsidRPr="00F91D6E">
        <w:rPr>
          <w:rFonts w:ascii="Franklin Gothic Book" w:hAnsi="Franklin Gothic Book"/>
          <w:sz w:val="22"/>
        </w:rPr>
        <w:t>ment</w:t>
      </w:r>
      <w:r w:rsidRPr="00F91D6E">
        <w:rPr>
          <w:rFonts w:ascii="Franklin Gothic Book" w:hAnsi="Franklin Gothic Book"/>
          <w:sz w:val="22"/>
        </w:rPr>
        <w:t xml:space="preserve"> population outlined in the Ratified PICO Confirmation. See Section 3 of the </w:t>
      </w:r>
      <w:r w:rsidR="2D19064E" w:rsidRPr="00F91D6E">
        <w:rPr>
          <w:rFonts w:ascii="Franklin Gothic Book" w:hAnsi="Franklin Gothic Book"/>
          <w:sz w:val="22"/>
        </w:rPr>
        <w:t>Economics Sub Committe</w:t>
      </w:r>
      <w:r w:rsidR="184EA657" w:rsidRPr="00F91D6E">
        <w:rPr>
          <w:rFonts w:ascii="Franklin Gothic Book" w:hAnsi="Franklin Gothic Book"/>
          <w:sz w:val="22"/>
        </w:rPr>
        <w:t>es: Advice to</w:t>
      </w:r>
      <w:r w:rsidRPr="00F91D6E">
        <w:rPr>
          <w:rFonts w:ascii="Franklin Gothic Book" w:hAnsi="Franklin Gothic Book"/>
          <w:sz w:val="22"/>
        </w:rPr>
        <w:t xml:space="preserve"> PBAC for more details. </w:t>
      </w:r>
    </w:p>
    <w:p w14:paraId="36724195" w14:textId="77777777" w:rsidR="000708ED" w:rsidRPr="003A793E" w:rsidRDefault="00FD07C6"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Comparator</w:t>
      </w:r>
      <w:r w:rsidR="004C4E7B" w:rsidRPr="003A793E">
        <w:rPr>
          <w:rFonts w:ascii="Franklin Gothic Medium" w:hAnsi="Franklin Gothic Medium"/>
          <w:b w:val="0"/>
          <w:i w:val="0"/>
          <w:snapToGrid/>
          <w:color w:val="000000" w:themeColor="text1"/>
          <w:sz w:val="32"/>
          <w:szCs w:val="26"/>
        </w:rPr>
        <w:t xml:space="preserve"> </w:t>
      </w:r>
    </w:p>
    <w:p w14:paraId="14DB1F70" w14:textId="1228E6F6" w:rsidR="000708ED" w:rsidRDefault="36FDCEA7" w:rsidP="00F91D6E">
      <w:pPr>
        <w:pStyle w:val="MSACESParagraph"/>
        <w:rPr>
          <w:rFonts w:ascii="Franklin Gothic Book" w:hAnsi="Franklin Gothic Book"/>
          <w:sz w:val="22"/>
        </w:rPr>
      </w:pPr>
      <w:r w:rsidRPr="00F91D6E">
        <w:rPr>
          <w:rFonts w:ascii="Franklin Gothic Book" w:hAnsi="Franklin Gothic Book"/>
          <w:sz w:val="22"/>
        </w:rPr>
        <w:t>The proposed comparator is no testing</w:t>
      </w:r>
      <w:r w:rsidR="4364B548" w:rsidRPr="00F91D6E">
        <w:rPr>
          <w:rFonts w:ascii="Franklin Gothic Book" w:hAnsi="Franklin Gothic Book"/>
          <w:sz w:val="22"/>
        </w:rPr>
        <w:t xml:space="preserve"> for CLDN18.2 expression</w:t>
      </w:r>
      <w:r w:rsidRPr="00F91D6E">
        <w:rPr>
          <w:rFonts w:ascii="Franklin Gothic Book" w:hAnsi="Franklin Gothic Book"/>
          <w:sz w:val="22"/>
        </w:rPr>
        <w:t>, as testing for CLDN18</w:t>
      </w:r>
      <w:r w:rsidR="4364B548" w:rsidRPr="00F91D6E">
        <w:rPr>
          <w:rFonts w:ascii="Franklin Gothic Book" w:hAnsi="Franklin Gothic Book"/>
          <w:sz w:val="22"/>
        </w:rPr>
        <w:t>.2</w:t>
      </w:r>
      <w:r w:rsidRPr="00F91D6E">
        <w:rPr>
          <w:rFonts w:ascii="Franklin Gothic Book" w:hAnsi="Franklin Gothic Book"/>
          <w:sz w:val="22"/>
        </w:rPr>
        <w:t xml:space="preserve"> expression is not currently funded in Australia. </w:t>
      </w:r>
      <w:r w:rsidR="551E31F5" w:rsidRPr="00F91D6E">
        <w:rPr>
          <w:rFonts w:ascii="Franklin Gothic Book" w:hAnsi="Franklin Gothic Book"/>
          <w:sz w:val="22"/>
        </w:rPr>
        <w:t xml:space="preserve">The submission nominated nivolumab </w:t>
      </w:r>
      <w:r w:rsidR="0BBA28C0" w:rsidRPr="00F91D6E">
        <w:rPr>
          <w:rFonts w:ascii="Franklin Gothic Book" w:hAnsi="Franklin Gothic Book"/>
          <w:sz w:val="22"/>
        </w:rPr>
        <w:t xml:space="preserve">+ </w:t>
      </w:r>
      <w:r w:rsidR="551E31F5" w:rsidRPr="00F91D6E">
        <w:rPr>
          <w:rFonts w:ascii="Franklin Gothic Book" w:hAnsi="Franklin Gothic Book"/>
          <w:sz w:val="22"/>
        </w:rPr>
        <w:t xml:space="preserve">chemotherapy as the main comparator for the </w:t>
      </w:r>
      <w:r w:rsidR="7714139C" w:rsidRPr="00F91D6E">
        <w:rPr>
          <w:rFonts w:ascii="Franklin Gothic Book" w:hAnsi="Franklin Gothic Book"/>
          <w:sz w:val="22"/>
        </w:rPr>
        <w:t xml:space="preserve">zolbetuximab + chemotherapy. </w:t>
      </w:r>
      <w:r w:rsidR="551E31F5" w:rsidRPr="00F91D6E">
        <w:rPr>
          <w:rFonts w:ascii="Franklin Gothic Book" w:hAnsi="Franklin Gothic Book"/>
          <w:sz w:val="22"/>
        </w:rPr>
        <w:t>For patients who received nivolumab therapy following early-stage disease treatment and subsequently relapsed or have contraindications to PD-1/PD-L1 inhibitors, chemotherapy alone was the comparator.</w:t>
      </w:r>
      <w:r w:rsidR="216B102F" w:rsidRPr="00F91D6E">
        <w:rPr>
          <w:rFonts w:ascii="Franklin Gothic Book" w:hAnsi="Franklin Gothic Book"/>
          <w:sz w:val="22"/>
        </w:rPr>
        <w:t xml:space="preserve"> </w:t>
      </w:r>
      <w:r w:rsidRPr="00F91D6E">
        <w:rPr>
          <w:rFonts w:ascii="Franklin Gothic Book" w:hAnsi="Franklin Gothic Book"/>
          <w:sz w:val="22"/>
        </w:rPr>
        <w:t xml:space="preserve">The commentary considered </w:t>
      </w:r>
      <w:r w:rsidR="09AB3726" w:rsidRPr="00F91D6E">
        <w:rPr>
          <w:rFonts w:ascii="Franklin Gothic Book" w:hAnsi="Franklin Gothic Book"/>
          <w:sz w:val="22"/>
        </w:rPr>
        <w:t xml:space="preserve">the choice of comparator for both the test and </w:t>
      </w:r>
      <w:r w:rsidR="120C82F1" w:rsidRPr="00F91D6E">
        <w:rPr>
          <w:rFonts w:ascii="Franklin Gothic Book" w:hAnsi="Franklin Gothic Book"/>
          <w:sz w:val="22"/>
        </w:rPr>
        <w:t xml:space="preserve">the </w:t>
      </w:r>
      <w:r w:rsidR="09AB3726" w:rsidRPr="00F91D6E">
        <w:rPr>
          <w:rFonts w:ascii="Franklin Gothic Book" w:hAnsi="Franklin Gothic Book"/>
          <w:sz w:val="22"/>
        </w:rPr>
        <w:t xml:space="preserve">drug </w:t>
      </w:r>
      <w:r w:rsidR="120C82F1" w:rsidRPr="00F91D6E">
        <w:rPr>
          <w:rFonts w:ascii="Franklin Gothic Book" w:hAnsi="Franklin Gothic Book"/>
          <w:sz w:val="22"/>
        </w:rPr>
        <w:t xml:space="preserve">to be </w:t>
      </w:r>
      <w:r w:rsidRPr="00F91D6E">
        <w:rPr>
          <w:rFonts w:ascii="Franklin Gothic Book" w:hAnsi="Franklin Gothic Book"/>
          <w:sz w:val="22"/>
        </w:rPr>
        <w:t>appropriate</w:t>
      </w:r>
      <w:r w:rsidR="08E898D7" w:rsidRPr="00F91D6E">
        <w:rPr>
          <w:rFonts w:ascii="Franklin Gothic Book" w:hAnsi="Franklin Gothic Book"/>
          <w:sz w:val="22"/>
        </w:rPr>
        <w:t xml:space="preserve"> and </w:t>
      </w:r>
      <w:r w:rsidR="120C82F1" w:rsidRPr="00F91D6E">
        <w:rPr>
          <w:rFonts w:ascii="Franklin Gothic Book" w:hAnsi="Franklin Gothic Book"/>
          <w:sz w:val="22"/>
        </w:rPr>
        <w:t xml:space="preserve">aligned </w:t>
      </w:r>
      <w:r w:rsidR="08E898D7" w:rsidRPr="00F91D6E">
        <w:rPr>
          <w:rFonts w:ascii="Franklin Gothic Book" w:hAnsi="Franklin Gothic Book"/>
          <w:sz w:val="22"/>
        </w:rPr>
        <w:t>with the Ratified P</w:t>
      </w:r>
      <w:r w:rsidR="49F476EE" w:rsidRPr="00F91D6E">
        <w:rPr>
          <w:rFonts w:ascii="Franklin Gothic Book" w:hAnsi="Franklin Gothic Book"/>
          <w:sz w:val="22"/>
        </w:rPr>
        <w:t>I</w:t>
      </w:r>
      <w:r w:rsidR="08E898D7" w:rsidRPr="00F91D6E">
        <w:rPr>
          <w:rFonts w:ascii="Franklin Gothic Book" w:hAnsi="Franklin Gothic Book"/>
          <w:sz w:val="22"/>
        </w:rPr>
        <w:t>CO confirmation</w:t>
      </w:r>
      <w:r w:rsidRPr="00F91D6E">
        <w:rPr>
          <w:rFonts w:ascii="Franklin Gothic Book" w:hAnsi="Franklin Gothic Book"/>
          <w:sz w:val="22"/>
        </w:rPr>
        <w:t xml:space="preserve">. </w:t>
      </w:r>
    </w:p>
    <w:p w14:paraId="6F269AB7" w14:textId="588AE859" w:rsidR="00F91D6E" w:rsidRPr="003A793E" w:rsidRDefault="00F91D6E"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24" w:name="_Toc69491421"/>
      <w:bookmarkStart w:id="25" w:name="_Hlk193982804"/>
      <w:r w:rsidRPr="003A793E">
        <w:rPr>
          <w:rFonts w:ascii="Franklin Gothic Medium" w:hAnsi="Franklin Gothic Medium"/>
          <w:b w:val="0"/>
          <w:i w:val="0"/>
          <w:snapToGrid/>
          <w:color w:val="000000" w:themeColor="text1"/>
          <w:sz w:val="32"/>
          <w:szCs w:val="26"/>
        </w:rPr>
        <w:t>Summary of public consultation input</w:t>
      </w:r>
      <w:bookmarkEnd w:id="24"/>
    </w:p>
    <w:p w14:paraId="0F603167" w14:textId="7F3B5F71" w:rsidR="02E04D0E" w:rsidRDefault="02E04D0E" w:rsidP="38D8AF46">
      <w:pPr>
        <w:tabs>
          <w:tab w:val="left" w:pos="3686"/>
        </w:tabs>
        <w:spacing w:line="256" w:lineRule="auto"/>
        <w:rPr>
          <w:rFonts w:ascii="Franklin Gothic Book" w:eastAsia="Franklin Gothic Book" w:hAnsi="Franklin Gothic Book" w:cs="Franklin Gothic Book"/>
          <w:color w:val="000000" w:themeColor="text1"/>
          <w:sz w:val="22"/>
        </w:rPr>
      </w:pPr>
      <w:r w:rsidRPr="38D8AF46">
        <w:rPr>
          <w:rFonts w:ascii="Franklin Gothic Book" w:eastAsia="Franklin Gothic Book" w:hAnsi="Franklin Gothic Book" w:cs="Franklin Gothic Book"/>
          <w:color w:val="000000" w:themeColor="text1"/>
          <w:sz w:val="22"/>
        </w:rPr>
        <w:t>Consultation input was received from two medical, health, or other (non-consumer) organisations, and one consumer organisation.</w:t>
      </w:r>
    </w:p>
    <w:p w14:paraId="16D6F663" w14:textId="56CDC333" w:rsidR="02E04D0E" w:rsidRDefault="02E04D0E" w:rsidP="009714EC">
      <w:pPr>
        <w:keepNext/>
        <w:keepLines/>
        <w:tabs>
          <w:tab w:val="left" w:pos="3686"/>
        </w:tabs>
        <w:spacing w:line="257" w:lineRule="auto"/>
        <w:rPr>
          <w:rFonts w:ascii="Franklin Gothic Book" w:eastAsia="Franklin Gothic Book" w:hAnsi="Franklin Gothic Book" w:cs="Franklin Gothic Book"/>
          <w:color w:val="000000" w:themeColor="text1"/>
          <w:sz w:val="22"/>
        </w:rPr>
      </w:pPr>
      <w:r w:rsidRPr="1F0B43A9">
        <w:rPr>
          <w:rFonts w:ascii="Franklin Gothic Book" w:eastAsia="Franklin Gothic Book" w:hAnsi="Franklin Gothic Book" w:cs="Franklin Gothic Book"/>
          <w:color w:val="000000" w:themeColor="text1"/>
          <w:sz w:val="22"/>
        </w:rPr>
        <w:t>The organisations that submitted input were:</w:t>
      </w:r>
    </w:p>
    <w:p w14:paraId="1DD69A18" w14:textId="7F23BE62" w:rsidR="02E04D0E" w:rsidRDefault="02E04D0E" w:rsidP="009714EC">
      <w:pPr>
        <w:pStyle w:val="ListParagraph"/>
        <w:keepNext/>
        <w:keepLines/>
        <w:numPr>
          <w:ilvl w:val="0"/>
          <w:numId w:val="4"/>
        </w:numPr>
        <w:tabs>
          <w:tab w:val="left" w:pos="3686"/>
        </w:tabs>
        <w:spacing w:line="257" w:lineRule="auto"/>
        <w:rPr>
          <w:rFonts w:ascii="Franklin Gothic Book" w:eastAsia="Franklin Gothic Book" w:hAnsi="Franklin Gothic Book" w:cs="Franklin Gothic Book"/>
          <w:sz w:val="22"/>
        </w:rPr>
      </w:pPr>
      <w:r w:rsidRPr="1F0B43A9">
        <w:rPr>
          <w:rFonts w:ascii="Franklin Gothic Book" w:eastAsia="Franklin Gothic Book" w:hAnsi="Franklin Gothic Book" w:cs="Franklin Gothic Book"/>
          <w:sz w:val="22"/>
        </w:rPr>
        <w:t>Australian Pathology</w:t>
      </w:r>
    </w:p>
    <w:p w14:paraId="065744C1" w14:textId="36AE36EB" w:rsidR="02E04D0E" w:rsidRDefault="02E04D0E" w:rsidP="009714EC">
      <w:pPr>
        <w:pStyle w:val="ListParagraph"/>
        <w:keepNext/>
        <w:keepLines/>
        <w:numPr>
          <w:ilvl w:val="0"/>
          <w:numId w:val="4"/>
        </w:numPr>
        <w:tabs>
          <w:tab w:val="left" w:pos="3686"/>
        </w:tabs>
        <w:spacing w:line="257" w:lineRule="auto"/>
        <w:rPr>
          <w:rFonts w:ascii="Franklin Gothic Book" w:eastAsia="Franklin Gothic Book" w:hAnsi="Franklin Gothic Book" w:cs="Franklin Gothic Book"/>
          <w:sz w:val="22"/>
        </w:rPr>
      </w:pPr>
      <w:r w:rsidRPr="062B2925">
        <w:rPr>
          <w:rFonts w:ascii="Franklin Gothic Book" w:eastAsia="Franklin Gothic Book" w:hAnsi="Franklin Gothic Book" w:cs="Franklin Gothic Book"/>
          <w:sz w:val="22"/>
        </w:rPr>
        <w:t>The Royal College of Pathologists of Australasia (RCPA)</w:t>
      </w:r>
    </w:p>
    <w:p w14:paraId="60644EAD" w14:textId="37FB4884" w:rsidR="02E04D0E" w:rsidRDefault="02E04D0E" w:rsidP="009714EC">
      <w:pPr>
        <w:pStyle w:val="ListParagraph"/>
        <w:keepNext/>
        <w:keepLines/>
        <w:numPr>
          <w:ilvl w:val="0"/>
          <w:numId w:val="4"/>
        </w:numPr>
        <w:tabs>
          <w:tab w:val="left" w:pos="3686"/>
        </w:tabs>
        <w:spacing w:line="257" w:lineRule="auto"/>
        <w:rPr>
          <w:rFonts w:ascii="Franklin Gothic Book" w:eastAsia="Franklin Gothic Book" w:hAnsi="Franklin Gothic Book" w:cs="Franklin Gothic Book"/>
          <w:sz w:val="22"/>
        </w:rPr>
      </w:pPr>
      <w:proofErr w:type="spellStart"/>
      <w:r w:rsidRPr="062B2925">
        <w:rPr>
          <w:rFonts w:ascii="Franklin Gothic Book" w:eastAsia="Franklin Gothic Book" w:hAnsi="Franklin Gothic Book" w:cs="Franklin Gothic Book"/>
          <w:sz w:val="22"/>
        </w:rPr>
        <w:t>PanCare</w:t>
      </w:r>
      <w:proofErr w:type="spellEnd"/>
      <w:r w:rsidRPr="062B2925">
        <w:rPr>
          <w:rFonts w:ascii="Franklin Gothic Book" w:eastAsia="Franklin Gothic Book" w:hAnsi="Franklin Gothic Book" w:cs="Franklin Gothic Book"/>
          <w:sz w:val="22"/>
        </w:rPr>
        <w:t xml:space="preserve"> Foundation</w:t>
      </w:r>
    </w:p>
    <w:p w14:paraId="377CC16D" w14:textId="6DB3F498" w:rsidR="02E04D0E" w:rsidRDefault="02E04D0E" w:rsidP="494116F9">
      <w:pPr>
        <w:rPr>
          <w:rFonts w:ascii="Franklin Gothic Book" w:eastAsia="Franklin Gothic Book" w:hAnsi="Franklin Gothic Book" w:cs="Franklin Gothic Book"/>
          <w:color w:val="000000" w:themeColor="text1"/>
          <w:szCs w:val="24"/>
        </w:rPr>
      </w:pPr>
      <w:r w:rsidRPr="062B2925">
        <w:rPr>
          <w:rFonts w:ascii="Franklin Gothic Book" w:eastAsia="Franklin Gothic Book" w:hAnsi="Franklin Gothic Book" w:cs="Franklin Gothic Book"/>
          <w:b/>
          <w:bCs/>
          <w:color w:val="000000" w:themeColor="text1"/>
        </w:rPr>
        <w:t xml:space="preserve">Level of support for public funding </w:t>
      </w:r>
    </w:p>
    <w:p w14:paraId="34460AA3" w14:textId="199F4D59" w:rsidR="5A97ED26" w:rsidRDefault="5A97ED26" w:rsidP="609F9722">
      <w:pPr>
        <w:rPr>
          <w:rFonts w:ascii="Franklin Gothic Book" w:eastAsia="Franklin Gothic Book" w:hAnsi="Franklin Gothic Book" w:cs="Franklin Gothic Book"/>
          <w:color w:val="000000" w:themeColor="text1"/>
          <w:sz w:val="22"/>
        </w:rPr>
      </w:pPr>
      <w:r w:rsidRPr="609F9722">
        <w:rPr>
          <w:rFonts w:ascii="Franklin Gothic Book" w:eastAsia="Franklin Gothic Book" w:hAnsi="Franklin Gothic Book" w:cs="Franklin Gothic Book"/>
          <w:color w:val="000000" w:themeColor="text1"/>
          <w:sz w:val="22"/>
        </w:rPr>
        <w:t xml:space="preserve">All organisations expressed support for the public funding of this </w:t>
      </w:r>
      <w:r w:rsidR="7175075F" w:rsidRPr="609F9722">
        <w:rPr>
          <w:rFonts w:ascii="Franklin Gothic Book" w:eastAsia="Franklin Gothic Book" w:hAnsi="Franklin Gothic Book" w:cs="Franklin Gothic Book"/>
          <w:color w:val="000000" w:themeColor="text1"/>
          <w:sz w:val="22"/>
        </w:rPr>
        <w:t>service</w:t>
      </w:r>
      <w:r w:rsidRPr="609F9722">
        <w:rPr>
          <w:rFonts w:ascii="Franklin Gothic Book" w:eastAsia="Franklin Gothic Book" w:hAnsi="Franklin Gothic Book" w:cs="Franklin Gothic Book"/>
          <w:color w:val="000000" w:themeColor="text1"/>
          <w:sz w:val="22"/>
        </w:rPr>
        <w:t>.</w:t>
      </w:r>
    </w:p>
    <w:p w14:paraId="0BE11D70" w14:textId="67A0C563" w:rsidR="02E04D0E" w:rsidRDefault="02E04D0E" w:rsidP="494116F9">
      <w:pPr>
        <w:rPr>
          <w:rFonts w:ascii="Franklin Gothic Book" w:eastAsia="Franklin Gothic Book" w:hAnsi="Franklin Gothic Book" w:cs="Franklin Gothic Book"/>
          <w:color w:val="000000" w:themeColor="text1"/>
          <w:szCs w:val="24"/>
        </w:rPr>
      </w:pPr>
      <w:r w:rsidRPr="062B2925">
        <w:rPr>
          <w:rFonts w:ascii="Franklin Gothic Book" w:eastAsia="Franklin Gothic Book" w:hAnsi="Franklin Gothic Book" w:cs="Franklin Gothic Book"/>
          <w:b/>
          <w:bCs/>
          <w:color w:val="000000" w:themeColor="text1"/>
        </w:rPr>
        <w:t xml:space="preserve">Comments on PICO </w:t>
      </w:r>
    </w:p>
    <w:p w14:paraId="1A15DEFE" w14:textId="44FE0516" w:rsidR="1C636989" w:rsidRDefault="1C636989" w:rsidP="062B2925">
      <w:pPr>
        <w:spacing w:before="0"/>
        <w:rPr>
          <w:rFonts w:ascii="Franklin Gothic Book" w:eastAsia="Franklin Gothic Book" w:hAnsi="Franklin Gothic Book" w:cs="Franklin Gothic Book"/>
          <w:sz w:val="22"/>
        </w:rPr>
      </w:pPr>
      <w:r w:rsidRPr="062B2925">
        <w:rPr>
          <w:rFonts w:ascii="Franklin Gothic Book" w:eastAsia="Franklin Gothic Book" w:hAnsi="Franklin Gothic Book" w:cs="Franklin Gothic Book"/>
          <w:sz w:val="22"/>
        </w:rPr>
        <w:t>Both Australian Pathology and RCPA noted their agreement with the proposed PICO.</w:t>
      </w:r>
    </w:p>
    <w:p w14:paraId="708087C0" w14:textId="28F8B866" w:rsidR="02E04D0E" w:rsidRDefault="02E04D0E" w:rsidP="494116F9">
      <w:pPr>
        <w:rPr>
          <w:rFonts w:ascii="Franklin Gothic Book" w:eastAsia="Franklin Gothic Book" w:hAnsi="Franklin Gothic Book" w:cs="Franklin Gothic Book"/>
          <w:color w:val="000000" w:themeColor="text1"/>
          <w:szCs w:val="24"/>
        </w:rPr>
      </w:pPr>
      <w:r w:rsidRPr="062B2925">
        <w:rPr>
          <w:rFonts w:ascii="Franklin Gothic Book" w:eastAsia="Franklin Gothic Book" w:hAnsi="Franklin Gothic Book" w:cs="Franklin Gothic Book"/>
          <w:b/>
          <w:bCs/>
          <w:color w:val="000000" w:themeColor="text1"/>
        </w:rPr>
        <w:t xml:space="preserve">Perceived Advantages </w:t>
      </w:r>
    </w:p>
    <w:p w14:paraId="23FB0709" w14:textId="60C9AA1D" w:rsidR="7DE18F66" w:rsidRDefault="7DE18F66" w:rsidP="098D1E51">
      <w:pPr>
        <w:rPr>
          <w:rFonts w:ascii="Franklin Gothic Book" w:eastAsia="Franklin Gothic Book" w:hAnsi="Franklin Gothic Book" w:cs="Franklin Gothic Book"/>
          <w:color w:val="000000" w:themeColor="text1"/>
          <w:sz w:val="22"/>
        </w:rPr>
      </w:pPr>
      <w:proofErr w:type="spellStart"/>
      <w:r w:rsidRPr="098D1E51">
        <w:rPr>
          <w:rFonts w:ascii="Franklin Gothic Book" w:eastAsia="Franklin Gothic Book" w:hAnsi="Franklin Gothic Book" w:cs="Franklin Gothic Book"/>
          <w:color w:val="000000" w:themeColor="text1"/>
          <w:sz w:val="22"/>
        </w:rPr>
        <w:t>Pancare</w:t>
      </w:r>
      <w:proofErr w:type="spellEnd"/>
      <w:r w:rsidRPr="098D1E51">
        <w:rPr>
          <w:rFonts w:ascii="Franklin Gothic Book" w:eastAsia="Franklin Gothic Book" w:hAnsi="Franklin Gothic Book" w:cs="Franklin Gothic Book"/>
          <w:color w:val="000000" w:themeColor="text1"/>
          <w:sz w:val="22"/>
        </w:rPr>
        <w:t xml:space="preserve"> Foundation noted the following advantages with the proposed </w:t>
      </w:r>
      <w:r w:rsidR="5D04C062" w:rsidRPr="098D1E51">
        <w:rPr>
          <w:rFonts w:ascii="Franklin Gothic Book" w:eastAsia="Franklin Gothic Book" w:hAnsi="Franklin Gothic Book" w:cs="Franklin Gothic Book"/>
          <w:color w:val="000000" w:themeColor="text1"/>
          <w:sz w:val="22"/>
        </w:rPr>
        <w:t>service</w:t>
      </w:r>
      <w:r w:rsidRPr="098D1E51">
        <w:rPr>
          <w:rFonts w:ascii="Franklin Gothic Book" w:eastAsia="Franklin Gothic Book" w:hAnsi="Franklin Gothic Book" w:cs="Franklin Gothic Book"/>
          <w:color w:val="000000" w:themeColor="text1"/>
          <w:sz w:val="22"/>
        </w:rPr>
        <w:t>:</w:t>
      </w:r>
    </w:p>
    <w:p w14:paraId="32BE05AC" w14:textId="29C61B20" w:rsidR="7DE18F66" w:rsidRDefault="545EEF07" w:rsidP="098D1E51">
      <w:pPr>
        <w:pStyle w:val="ListParagraph"/>
        <w:numPr>
          <w:ilvl w:val="0"/>
          <w:numId w:val="4"/>
        </w:numPr>
        <w:tabs>
          <w:tab w:val="left" w:pos="3686"/>
        </w:tabs>
        <w:spacing w:line="256" w:lineRule="auto"/>
        <w:rPr>
          <w:rFonts w:ascii="Franklin Gothic Book" w:eastAsia="Franklin Gothic Book" w:hAnsi="Franklin Gothic Book" w:cs="Franklin Gothic Book"/>
          <w:sz w:val="22"/>
        </w:rPr>
      </w:pPr>
      <w:r w:rsidRPr="098D1E51">
        <w:rPr>
          <w:rFonts w:ascii="Franklin Gothic Book" w:eastAsia="Franklin Gothic Book" w:hAnsi="Franklin Gothic Book" w:cs="Franklin Gothic Book"/>
          <w:sz w:val="22"/>
        </w:rPr>
        <w:t>Facilitating i</w:t>
      </w:r>
      <w:r w:rsidR="7DE18F66" w:rsidRPr="098D1E51">
        <w:rPr>
          <w:rFonts w:ascii="Franklin Gothic Book" w:eastAsia="Franklin Gothic Book" w:hAnsi="Franklin Gothic Book" w:cs="Franklin Gothic Book"/>
          <w:sz w:val="22"/>
        </w:rPr>
        <w:t>mproved progression free survival and overall survival.</w:t>
      </w:r>
    </w:p>
    <w:p w14:paraId="0557BDDA" w14:textId="60BFB2B1" w:rsidR="7DE18F66" w:rsidRDefault="7DE18F66" w:rsidP="062B2925">
      <w:pPr>
        <w:pStyle w:val="ListParagraph"/>
        <w:numPr>
          <w:ilvl w:val="0"/>
          <w:numId w:val="4"/>
        </w:numPr>
        <w:tabs>
          <w:tab w:val="left" w:pos="3686"/>
        </w:tabs>
        <w:spacing w:line="256" w:lineRule="auto"/>
        <w:rPr>
          <w:rFonts w:ascii="Franklin Gothic Book" w:eastAsia="Franklin Gothic Book" w:hAnsi="Franklin Gothic Book" w:cs="Franklin Gothic Book"/>
          <w:sz w:val="22"/>
        </w:rPr>
      </w:pPr>
      <w:r w:rsidRPr="062B2925">
        <w:rPr>
          <w:rFonts w:ascii="Franklin Gothic Book" w:eastAsia="Franklin Gothic Book" w:hAnsi="Franklin Gothic Book" w:cs="Franklin Gothic Book"/>
          <w:sz w:val="22"/>
        </w:rPr>
        <w:t>Reduced financial burdens.</w:t>
      </w:r>
    </w:p>
    <w:p w14:paraId="6521B788" w14:textId="521D6E22" w:rsidR="7DE18F66" w:rsidRDefault="7DE18F66" w:rsidP="062B2925">
      <w:pPr>
        <w:pStyle w:val="ListParagraph"/>
        <w:numPr>
          <w:ilvl w:val="0"/>
          <w:numId w:val="4"/>
        </w:numPr>
        <w:tabs>
          <w:tab w:val="left" w:pos="3686"/>
        </w:tabs>
        <w:spacing w:line="256" w:lineRule="auto"/>
        <w:rPr>
          <w:rFonts w:ascii="Franklin Gothic Book" w:eastAsia="Franklin Gothic Book" w:hAnsi="Franklin Gothic Book" w:cs="Franklin Gothic Book"/>
          <w:sz w:val="22"/>
        </w:rPr>
      </w:pPr>
      <w:r w:rsidRPr="098D1E51">
        <w:rPr>
          <w:rFonts w:ascii="Franklin Gothic Book" w:eastAsia="Franklin Gothic Book" w:hAnsi="Franklin Gothic Book" w:cs="Franklin Gothic Book"/>
          <w:sz w:val="22"/>
        </w:rPr>
        <w:t>Increased sense of hope.</w:t>
      </w:r>
    </w:p>
    <w:p w14:paraId="48C9E4F3" w14:textId="34444443" w:rsidR="02E04D0E" w:rsidRDefault="02E04D0E" w:rsidP="062B2925">
      <w:pPr>
        <w:rPr>
          <w:rFonts w:ascii="Franklin Gothic Book" w:eastAsia="Franklin Gothic Book" w:hAnsi="Franklin Gothic Book" w:cs="Franklin Gothic Book"/>
          <w:color w:val="000000" w:themeColor="text1"/>
          <w:sz w:val="22"/>
        </w:rPr>
      </w:pPr>
      <w:r w:rsidRPr="062B2925">
        <w:rPr>
          <w:rFonts w:ascii="Franklin Gothic Book" w:eastAsia="Franklin Gothic Book" w:hAnsi="Franklin Gothic Book" w:cs="Franklin Gothic Book"/>
          <w:b/>
          <w:bCs/>
          <w:color w:val="000000" w:themeColor="text1"/>
          <w:sz w:val="22"/>
        </w:rPr>
        <w:t xml:space="preserve">Support for Implementation /issues </w:t>
      </w:r>
    </w:p>
    <w:p w14:paraId="0CCB6709" w14:textId="1112C3C3" w:rsidR="655E6FF8" w:rsidRDefault="655E6FF8" w:rsidP="062B2925">
      <w:pPr>
        <w:pStyle w:val="ListParagraph"/>
        <w:numPr>
          <w:ilvl w:val="0"/>
          <w:numId w:val="1"/>
        </w:numPr>
        <w:spacing w:before="0"/>
        <w:ind w:left="709"/>
        <w:rPr>
          <w:rFonts w:ascii="Franklin Gothic Book" w:eastAsia="Franklin Gothic Book" w:hAnsi="Franklin Gothic Book" w:cs="Franklin Gothic Book"/>
          <w:sz w:val="22"/>
        </w:rPr>
      </w:pPr>
      <w:r w:rsidRPr="062B2925">
        <w:rPr>
          <w:rFonts w:ascii="Franklin Gothic Book" w:eastAsia="Franklin Gothic Book" w:hAnsi="Franklin Gothic Book" w:cs="Franklin Gothic Book"/>
          <w:sz w:val="22"/>
        </w:rPr>
        <w:t xml:space="preserve">RCPA noted that all semiquantitative IHC assays that are used to determine access to a specific drug have a higher level of validation </w:t>
      </w:r>
      <w:proofErr w:type="gramStart"/>
      <w:r w:rsidRPr="062B2925">
        <w:rPr>
          <w:rFonts w:ascii="Franklin Gothic Book" w:eastAsia="Franklin Gothic Book" w:hAnsi="Franklin Gothic Book" w:cs="Franklin Gothic Book"/>
          <w:sz w:val="22"/>
        </w:rPr>
        <w:t>requirements,</w:t>
      </w:r>
      <w:r w:rsidR="116905FF" w:rsidRPr="062B2925">
        <w:rPr>
          <w:rFonts w:ascii="Franklin Gothic Book" w:eastAsia="Franklin Gothic Book" w:hAnsi="Franklin Gothic Book" w:cs="Franklin Gothic Book"/>
          <w:sz w:val="22"/>
        </w:rPr>
        <w:t xml:space="preserve"> and</w:t>
      </w:r>
      <w:proofErr w:type="gramEnd"/>
      <w:r w:rsidR="116905FF" w:rsidRPr="062B2925">
        <w:rPr>
          <w:rFonts w:ascii="Franklin Gothic Book" w:eastAsia="Franklin Gothic Book" w:hAnsi="Franklin Gothic Book" w:cs="Franklin Gothic Book"/>
          <w:sz w:val="22"/>
        </w:rPr>
        <w:t xml:space="preserve"> therefore noted the need for adequate</w:t>
      </w:r>
      <w:r w:rsidRPr="062B2925">
        <w:rPr>
          <w:rFonts w:ascii="Franklin Gothic Book" w:eastAsia="Franklin Gothic Book" w:hAnsi="Franklin Gothic Book" w:cs="Franklin Gothic Book"/>
          <w:sz w:val="22"/>
        </w:rPr>
        <w:t xml:space="preserve"> pathologist training and ongoing QC/QA to ensure they are being performed correctly.</w:t>
      </w:r>
    </w:p>
    <w:p w14:paraId="44AF9D50" w14:textId="1975B28C" w:rsidR="494116F9" w:rsidRPr="001317CD" w:rsidRDefault="147528AE" w:rsidP="001317CD">
      <w:pPr>
        <w:pStyle w:val="ListParagraph"/>
        <w:numPr>
          <w:ilvl w:val="0"/>
          <w:numId w:val="1"/>
        </w:numPr>
        <w:spacing w:before="0"/>
        <w:ind w:left="709"/>
        <w:rPr>
          <w:rFonts w:ascii="Franklin Gothic Book" w:eastAsia="Franklin Gothic Book" w:hAnsi="Franklin Gothic Book" w:cs="Franklin Gothic Book"/>
          <w:sz w:val="22"/>
        </w:rPr>
      </w:pPr>
      <w:r w:rsidRPr="062B2925">
        <w:rPr>
          <w:rFonts w:ascii="Franklin Gothic Book" w:eastAsia="Franklin Gothic Book" w:hAnsi="Franklin Gothic Book" w:cs="Franklin Gothic Book"/>
          <w:sz w:val="22"/>
        </w:rPr>
        <w:t>RCPA also noted that</w:t>
      </w:r>
      <w:r w:rsidR="655E6FF8" w:rsidRPr="062B2925">
        <w:rPr>
          <w:rFonts w:ascii="Franklin Gothic Book" w:eastAsia="Franklin Gothic Book" w:hAnsi="Franklin Gothic Book" w:cs="Franklin Gothic Book"/>
          <w:sz w:val="22"/>
        </w:rPr>
        <w:t xml:space="preserve"> if labs are using the IHC antibody as an IVD test (lab-developed test), the requirements for assay validation are more stringent and costly than those of diagnostic antibodies.</w:t>
      </w:r>
    </w:p>
    <w:p w14:paraId="2BCA453F" w14:textId="47629071" w:rsidR="000708ED" w:rsidRPr="003A793E" w:rsidRDefault="3CF80902" w:rsidP="00D14172">
      <w:pPr>
        <w:pStyle w:val="Heading2"/>
        <w:keepNext w:val="0"/>
        <w:keepLines w:val="0"/>
        <w:numPr>
          <w:ilvl w:val="0"/>
          <w:numId w:val="27"/>
        </w:numPr>
        <w:spacing w:after="240"/>
        <w:ind w:hanging="720"/>
        <w:rPr>
          <w:rFonts w:ascii="Franklin Gothic Medium" w:hAnsi="Franklin Gothic Medium"/>
          <w:b w:val="0"/>
          <w:i w:val="0"/>
          <w:snapToGrid/>
          <w:color w:val="000000" w:themeColor="text1"/>
          <w:sz w:val="32"/>
          <w:szCs w:val="26"/>
        </w:rPr>
      </w:pPr>
      <w:bookmarkStart w:id="26" w:name="_Toc187863733"/>
      <w:bookmarkStart w:id="27" w:name="_Toc188441217"/>
      <w:bookmarkEnd w:id="25"/>
      <w:r w:rsidRPr="003A793E">
        <w:rPr>
          <w:rFonts w:ascii="Franklin Gothic Medium" w:hAnsi="Franklin Gothic Medium"/>
          <w:b w:val="0"/>
          <w:i w:val="0"/>
          <w:snapToGrid/>
          <w:color w:val="000000" w:themeColor="text1"/>
          <w:sz w:val="32"/>
          <w:szCs w:val="26"/>
        </w:rPr>
        <w:t>Characteristics of the evidence base</w:t>
      </w:r>
      <w:bookmarkEnd w:id="26"/>
      <w:bookmarkEnd w:id="27"/>
      <w:r w:rsidR="4E672B7A" w:rsidRPr="003A793E">
        <w:rPr>
          <w:rFonts w:ascii="Franklin Gothic Medium" w:hAnsi="Franklin Gothic Medium"/>
          <w:b w:val="0"/>
          <w:i w:val="0"/>
          <w:snapToGrid/>
          <w:color w:val="000000" w:themeColor="text1"/>
          <w:sz w:val="32"/>
          <w:szCs w:val="26"/>
        </w:rPr>
        <w:t xml:space="preserve"> </w:t>
      </w:r>
    </w:p>
    <w:p w14:paraId="2D001252" w14:textId="7872D4D7" w:rsidR="0072282F" w:rsidRDefault="0BA8FBBD" w:rsidP="00D14172">
      <w:pPr>
        <w:pStyle w:val="MSACESParagraph"/>
        <w:rPr>
          <w:rFonts w:ascii="Franklin Gothic Book" w:hAnsi="Franklin Gothic Book"/>
          <w:sz w:val="22"/>
        </w:rPr>
      </w:pPr>
      <w:r w:rsidRPr="00F91D6E">
        <w:rPr>
          <w:rFonts w:ascii="Franklin Gothic Book" w:hAnsi="Franklin Gothic Book"/>
          <w:sz w:val="22"/>
        </w:rPr>
        <w:t xml:space="preserve">The approach taken in the submission was to present </w:t>
      </w:r>
      <w:r w:rsidR="230EB403" w:rsidRPr="00F91D6E">
        <w:rPr>
          <w:rFonts w:ascii="Franklin Gothic Book" w:hAnsi="Franklin Gothic Book"/>
          <w:sz w:val="22"/>
        </w:rPr>
        <w:t xml:space="preserve">linked </w:t>
      </w:r>
      <w:r w:rsidRPr="00F91D6E">
        <w:rPr>
          <w:rFonts w:ascii="Franklin Gothic Book" w:hAnsi="Franklin Gothic Book"/>
          <w:sz w:val="22"/>
        </w:rPr>
        <w:t xml:space="preserve">evidence to support the contention that targeting CLDN18.2 expression with zolbetuximab + chemotherapy produced noninferior clinical outcomes to no testing for CLDN18.2 expression and nivolumab + chemotherapy. </w:t>
      </w:r>
      <w:r w:rsidR="004B029D" w:rsidRPr="00D920F2">
        <w:rPr>
          <w:rFonts w:ascii="Franklin Gothic Book" w:hAnsi="Franklin Gothic Book"/>
          <w:sz w:val="22"/>
        </w:rPr>
        <w:fldChar w:fldCharType="begin"/>
      </w:r>
      <w:r w:rsidR="004B029D" w:rsidRPr="00D920F2">
        <w:rPr>
          <w:rFonts w:ascii="Franklin Gothic Book" w:hAnsi="Franklin Gothic Book"/>
          <w:sz w:val="22"/>
        </w:rPr>
        <w:instrText xml:space="preserve"> REF _Ref197009715 \h </w:instrText>
      </w:r>
      <w:r w:rsidR="00D920F2" w:rsidRPr="00D920F2">
        <w:rPr>
          <w:rFonts w:ascii="Franklin Gothic Book" w:hAnsi="Franklin Gothic Book"/>
          <w:sz w:val="22"/>
        </w:rPr>
        <w:instrText xml:space="preserve"> \* MERGEFORMAT </w:instrText>
      </w:r>
      <w:r w:rsidR="004B029D" w:rsidRPr="00D920F2">
        <w:rPr>
          <w:rFonts w:ascii="Franklin Gothic Book" w:hAnsi="Franklin Gothic Book"/>
          <w:sz w:val="22"/>
        </w:rPr>
      </w:r>
      <w:r w:rsidR="004B029D" w:rsidRPr="00D920F2">
        <w:rPr>
          <w:rFonts w:ascii="Franklin Gothic Book" w:hAnsi="Franklin Gothic Book"/>
          <w:sz w:val="22"/>
        </w:rPr>
        <w:fldChar w:fldCharType="separate"/>
      </w:r>
      <w:r w:rsidR="00132950" w:rsidRPr="00132950">
        <w:rPr>
          <w:rFonts w:ascii="Franklin Gothic Book" w:hAnsi="Franklin Gothic Book"/>
          <w:sz w:val="22"/>
        </w:rPr>
        <w:t>Table</w:t>
      </w:r>
      <w:r w:rsidR="00132950">
        <w:t xml:space="preserve"> </w:t>
      </w:r>
      <w:r w:rsidR="00132950">
        <w:rPr>
          <w:noProof/>
        </w:rPr>
        <w:t>4</w:t>
      </w:r>
      <w:r w:rsidR="004B029D" w:rsidRPr="00D920F2">
        <w:rPr>
          <w:rFonts w:ascii="Franklin Gothic Book" w:hAnsi="Franklin Gothic Book"/>
          <w:sz w:val="22"/>
        </w:rPr>
        <w:fldChar w:fldCharType="end"/>
      </w:r>
      <w:r w:rsidR="004B029D" w:rsidRPr="00D920F2">
        <w:rPr>
          <w:rFonts w:ascii="Franklin Gothic Book" w:hAnsi="Franklin Gothic Book"/>
          <w:sz w:val="22"/>
        </w:rPr>
        <w:t xml:space="preserve"> </w:t>
      </w:r>
      <w:r w:rsidR="2669114B" w:rsidRPr="00D920F2">
        <w:rPr>
          <w:rFonts w:ascii="Franklin Gothic Book" w:hAnsi="Franklin Gothic Book"/>
          <w:sz w:val="22"/>
        </w:rPr>
        <w:t>s</w:t>
      </w:r>
      <w:r w:rsidR="2669114B" w:rsidRPr="000A7518">
        <w:rPr>
          <w:rFonts w:ascii="Franklin Gothic Book" w:hAnsi="Franklin Gothic Book"/>
          <w:sz w:val="22"/>
        </w:rPr>
        <w:t>ummarises</w:t>
      </w:r>
      <w:r w:rsidR="2669114B" w:rsidRPr="00F91D6E">
        <w:rPr>
          <w:rFonts w:ascii="Franklin Gothic Book" w:hAnsi="Franklin Gothic Book"/>
          <w:sz w:val="22"/>
        </w:rPr>
        <w:t xml:space="preserve"> the linked evidence presented in the submission. </w:t>
      </w:r>
    </w:p>
    <w:p w14:paraId="7FA50E9A" w14:textId="3BADCFA8" w:rsidR="004C4E7B" w:rsidRPr="00B803D0" w:rsidRDefault="000A7518" w:rsidP="000A7518">
      <w:pPr>
        <w:pStyle w:val="Caption"/>
        <w:rPr>
          <w:rFonts w:asciiTheme="minorHAnsi" w:hAnsiTheme="minorHAnsi"/>
        </w:rPr>
      </w:pPr>
      <w:bookmarkStart w:id="28" w:name="_Ref197009715"/>
      <w:r>
        <w:t xml:space="preserve">Table </w:t>
      </w:r>
      <w:r w:rsidR="004A65F6">
        <w:fldChar w:fldCharType="begin"/>
      </w:r>
      <w:r w:rsidR="004A65F6">
        <w:instrText xml:space="preserve"> SEQ Table \* ARABIC </w:instrText>
      </w:r>
      <w:r w:rsidR="004A65F6">
        <w:fldChar w:fldCharType="separate"/>
      </w:r>
      <w:r w:rsidR="00132950">
        <w:rPr>
          <w:noProof/>
        </w:rPr>
        <w:t>4</w:t>
      </w:r>
      <w:r w:rsidR="004A65F6">
        <w:rPr>
          <w:noProof/>
        </w:rPr>
        <w:fldChar w:fldCharType="end"/>
      </w:r>
      <w:bookmarkEnd w:id="28"/>
      <w:r w:rsidRPr="000A7518">
        <w:t xml:space="preserve"> </w:t>
      </w:r>
      <w:r>
        <w:t xml:space="preserve"> </w:t>
      </w:r>
      <w:r w:rsidRPr="43B696FE">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552"/>
        <w:gridCol w:w="1700"/>
        <w:gridCol w:w="2182"/>
        <w:gridCol w:w="1028"/>
      </w:tblGrid>
      <w:tr w:rsidR="00E41328" w:rsidRPr="006F4D53" w14:paraId="11FDA2CF" w14:textId="77777777" w:rsidTr="77D89277">
        <w:trPr>
          <w:trHeight w:val="300"/>
          <w:tblHeader/>
        </w:trPr>
        <w:tc>
          <w:tcPr>
            <w:tcW w:w="862" w:type="pct"/>
            <w:tcBorders>
              <w:top w:val="single" w:sz="4" w:space="0" w:color="auto"/>
              <w:left w:val="single" w:sz="4" w:space="0" w:color="auto"/>
              <w:bottom w:val="single" w:sz="4" w:space="0" w:color="auto"/>
              <w:right w:val="single" w:sz="4" w:space="0" w:color="auto"/>
            </w:tcBorders>
            <w:vAlign w:val="bottom"/>
          </w:tcPr>
          <w:p w14:paraId="73FBFC1C" w14:textId="77777777" w:rsidR="00174058" w:rsidRPr="00B803D0" w:rsidRDefault="00174058" w:rsidP="00302CC1">
            <w:pPr>
              <w:pStyle w:val="TableText"/>
              <w:keepNext/>
              <w:rPr>
                <w:b/>
              </w:rPr>
            </w:pPr>
            <w:bookmarkStart w:id="29" w:name="_Hlk68276288"/>
            <w:r w:rsidRPr="00B803D0">
              <w:rPr>
                <w:b/>
              </w:rPr>
              <w:t>Criterion</w:t>
            </w:r>
          </w:p>
        </w:tc>
        <w:tc>
          <w:tcPr>
            <w:tcW w:w="1415" w:type="pct"/>
            <w:tcBorders>
              <w:top w:val="single" w:sz="4" w:space="0" w:color="auto"/>
              <w:left w:val="single" w:sz="4" w:space="0" w:color="auto"/>
              <w:bottom w:val="single" w:sz="4" w:space="0" w:color="auto"/>
              <w:right w:val="single" w:sz="4" w:space="0" w:color="auto"/>
            </w:tcBorders>
            <w:vAlign w:val="bottom"/>
            <w:hideMark/>
          </w:tcPr>
          <w:p w14:paraId="2503B7C8" w14:textId="77777777" w:rsidR="00174058" w:rsidRPr="00B803D0" w:rsidRDefault="00174058" w:rsidP="00302CC1">
            <w:pPr>
              <w:pStyle w:val="TableText"/>
              <w:keepNext/>
              <w:rPr>
                <w:b/>
              </w:rPr>
            </w:pPr>
            <w:r w:rsidRPr="00B803D0">
              <w:rPr>
                <w:b/>
              </w:rPr>
              <w:t>Type of evidence supplied</w:t>
            </w:r>
          </w:p>
        </w:tc>
        <w:tc>
          <w:tcPr>
            <w:tcW w:w="943" w:type="pct"/>
            <w:tcBorders>
              <w:top w:val="single" w:sz="4" w:space="0" w:color="auto"/>
              <w:left w:val="single" w:sz="4" w:space="0" w:color="auto"/>
              <w:bottom w:val="single" w:sz="4" w:space="0" w:color="auto"/>
              <w:right w:val="single" w:sz="4" w:space="0" w:color="auto"/>
            </w:tcBorders>
            <w:vAlign w:val="bottom"/>
            <w:hideMark/>
          </w:tcPr>
          <w:p w14:paraId="1AAE4601" w14:textId="77777777" w:rsidR="00174058" w:rsidRPr="00B803D0" w:rsidRDefault="00174058" w:rsidP="00302CC1">
            <w:pPr>
              <w:pStyle w:val="TableText"/>
              <w:keepNext/>
              <w:rPr>
                <w:b/>
              </w:rPr>
            </w:pPr>
            <w:r w:rsidRPr="00B803D0">
              <w:rPr>
                <w:b/>
              </w:rPr>
              <w:t>Extent of evidence supplied</w:t>
            </w:r>
          </w:p>
        </w:tc>
        <w:tc>
          <w:tcPr>
            <w:tcW w:w="1210" w:type="pct"/>
            <w:tcBorders>
              <w:top w:val="single" w:sz="4" w:space="0" w:color="auto"/>
              <w:left w:val="single" w:sz="4" w:space="0" w:color="auto"/>
              <w:bottom w:val="single" w:sz="4" w:space="0" w:color="auto"/>
              <w:right w:val="single" w:sz="4" w:space="0" w:color="auto"/>
            </w:tcBorders>
            <w:vAlign w:val="bottom"/>
            <w:hideMark/>
          </w:tcPr>
          <w:p w14:paraId="2AC05FBE" w14:textId="77777777" w:rsidR="00174058" w:rsidRPr="00B803D0" w:rsidRDefault="00174058" w:rsidP="00302CC1">
            <w:pPr>
              <w:pStyle w:val="TableText"/>
              <w:keepNext/>
              <w:rPr>
                <w:b/>
              </w:rPr>
            </w:pPr>
            <w:r w:rsidRPr="00B803D0">
              <w:rPr>
                <w:b/>
              </w:rPr>
              <w:t>Overall risk of bias in evidence base</w:t>
            </w:r>
          </w:p>
        </w:tc>
        <w:tc>
          <w:tcPr>
            <w:tcW w:w="570" w:type="pct"/>
            <w:tcBorders>
              <w:top w:val="single" w:sz="4" w:space="0" w:color="auto"/>
              <w:left w:val="single" w:sz="4" w:space="0" w:color="auto"/>
              <w:bottom w:val="single" w:sz="4" w:space="0" w:color="auto"/>
              <w:right w:val="single" w:sz="4" w:space="0" w:color="auto"/>
            </w:tcBorders>
          </w:tcPr>
          <w:p w14:paraId="3125CB86" w14:textId="77777777" w:rsidR="00174058" w:rsidRPr="00B803D0" w:rsidRDefault="00174058" w:rsidP="0040607B">
            <w:pPr>
              <w:pStyle w:val="TableText"/>
              <w:keepNext/>
              <w:rPr>
                <w:b/>
              </w:rPr>
            </w:pPr>
            <w:r w:rsidRPr="00B803D0">
              <w:rPr>
                <w:b/>
              </w:rPr>
              <w:t>Use</w:t>
            </w:r>
            <w:r w:rsidR="0097670E" w:rsidRPr="00B803D0">
              <w:rPr>
                <w:b/>
              </w:rPr>
              <w:t>d</w:t>
            </w:r>
            <w:r w:rsidRPr="00B803D0">
              <w:rPr>
                <w:b/>
              </w:rPr>
              <w:t xml:space="preserve"> i</w:t>
            </w:r>
            <w:r w:rsidR="0097670E" w:rsidRPr="00B803D0">
              <w:rPr>
                <w:b/>
              </w:rPr>
              <w:t>n</w:t>
            </w:r>
            <w:r w:rsidRPr="00B803D0">
              <w:rPr>
                <w:b/>
              </w:rPr>
              <w:t xml:space="preserve"> modelled evaluation</w:t>
            </w:r>
          </w:p>
        </w:tc>
      </w:tr>
      <w:tr w:rsidR="00E41328" w:rsidRPr="006F4D53" w14:paraId="6C16B425" w14:textId="77777777" w:rsidTr="77D89277">
        <w:trPr>
          <w:trHeight w:val="300"/>
        </w:trPr>
        <w:tc>
          <w:tcPr>
            <w:tcW w:w="862" w:type="pct"/>
            <w:tcBorders>
              <w:top w:val="single" w:sz="4" w:space="0" w:color="auto"/>
              <w:left w:val="single" w:sz="4" w:space="0" w:color="auto"/>
              <w:bottom w:val="single" w:sz="4" w:space="0" w:color="auto"/>
              <w:right w:val="single" w:sz="4" w:space="0" w:color="auto"/>
            </w:tcBorders>
            <w:hideMark/>
          </w:tcPr>
          <w:p w14:paraId="4A5B8B7B" w14:textId="77777777" w:rsidR="00174058" w:rsidRPr="002E6DA7" w:rsidRDefault="00174058" w:rsidP="00302CC1">
            <w:pPr>
              <w:pStyle w:val="TableText"/>
              <w:keepNext/>
            </w:pPr>
            <w:bookmarkStart w:id="30" w:name="_Hlk183598184"/>
            <w:r w:rsidRPr="002E6DA7">
              <w:t>Accuracy and performance of the test (cross-sectional accuracy)</w:t>
            </w:r>
          </w:p>
        </w:tc>
        <w:tc>
          <w:tcPr>
            <w:tcW w:w="1415" w:type="pct"/>
            <w:tcBorders>
              <w:top w:val="single" w:sz="4" w:space="0" w:color="auto"/>
              <w:left w:val="single" w:sz="4" w:space="0" w:color="auto"/>
              <w:bottom w:val="single" w:sz="4" w:space="0" w:color="auto"/>
              <w:right w:val="single" w:sz="4" w:space="0" w:color="auto"/>
            </w:tcBorders>
            <w:hideMark/>
          </w:tcPr>
          <w:p w14:paraId="69A89B04" w14:textId="53CB112F" w:rsidR="00A508CE" w:rsidRPr="002E6DA7" w:rsidRDefault="3D2B67EC" w:rsidP="00A508CE">
            <w:pPr>
              <w:pStyle w:val="TableText"/>
              <w:keepNext/>
            </w:pPr>
            <w:r w:rsidRPr="002E6DA7">
              <w:t>Concordance with clinical utility standard (Jasani et al., 2024)</w:t>
            </w:r>
            <w:r w:rsidR="00407371" w:rsidRPr="002E6DA7">
              <w:t>.</w:t>
            </w:r>
          </w:p>
          <w:p w14:paraId="494D9A8B" w14:textId="77777777" w:rsidR="00407371" w:rsidRPr="002E6DA7" w:rsidRDefault="00407371" w:rsidP="00A508CE">
            <w:pPr>
              <w:pStyle w:val="TableText"/>
              <w:keepNext/>
            </w:pPr>
          </w:p>
          <w:p w14:paraId="3502D4F0" w14:textId="3E4B6FD5" w:rsidR="00174058" w:rsidRPr="002E6DA7" w:rsidRDefault="0C15E5C1" w:rsidP="00A508CE">
            <w:pPr>
              <w:pStyle w:val="TableText"/>
              <w:keepNext/>
            </w:pPr>
            <w:r w:rsidRPr="77D89277">
              <w:t xml:space="preserve">Analytical performance and reproducibility of </w:t>
            </w:r>
            <w:r w:rsidR="7B503948" w:rsidRPr="77D89277">
              <w:t>Ventana</w:t>
            </w:r>
            <w:r w:rsidR="7B503948" w:rsidRPr="77D89277">
              <w:rPr>
                <w:vertAlign w:val="superscript"/>
              </w:rPr>
              <w:t>®</w:t>
            </w:r>
            <w:r w:rsidR="7B503948" w:rsidRPr="77D89277">
              <w:t xml:space="preserve"> </w:t>
            </w:r>
            <w:r w:rsidRPr="77D89277">
              <w:t xml:space="preserve">CLDN18 (43-14A) </w:t>
            </w:r>
            <w:proofErr w:type="spellStart"/>
            <w:r w:rsidRPr="77D89277">
              <w:t>RxDx</w:t>
            </w:r>
            <w:proofErr w:type="spellEnd"/>
            <w:r w:rsidRPr="77D89277">
              <w:t xml:space="preserve"> IHC assay (Stratton et al., 2023)</w:t>
            </w:r>
          </w:p>
        </w:tc>
        <w:tc>
          <w:tcPr>
            <w:tcW w:w="943" w:type="pct"/>
            <w:tcBorders>
              <w:top w:val="single" w:sz="4" w:space="0" w:color="auto"/>
              <w:left w:val="single" w:sz="4" w:space="0" w:color="auto"/>
              <w:bottom w:val="single" w:sz="4" w:space="0" w:color="auto"/>
              <w:right w:val="single" w:sz="4" w:space="0" w:color="auto"/>
            </w:tcBorders>
            <w:hideMark/>
          </w:tcPr>
          <w:p w14:paraId="2E2BB221" w14:textId="1B79EE9D" w:rsidR="00174058" w:rsidRPr="00BF1877" w:rsidRDefault="00132950" w:rsidP="00302CC1">
            <w:pPr>
              <w:pStyle w:val="TableText"/>
              <w:keepNext/>
            </w:pPr>
            <w:sdt>
              <w:sdtPr>
                <w:id w:val="1454910707"/>
                <w14:checkbox>
                  <w14:checked w14:val="1"/>
                  <w14:checkedState w14:val="2612" w14:font="MS Gothic"/>
                  <w14:uncheckedState w14:val="2610" w14:font="MS Gothic"/>
                </w14:checkbox>
              </w:sdtPr>
              <w:sdtEndPr>
                <w:rPr>
                  <w:noProof/>
                </w:rPr>
              </w:sdtEndPr>
              <w:sdtContent>
                <w:r w:rsidR="00A508CE" w:rsidRPr="00752D14">
                  <w:rPr>
                    <w:rFonts w:ascii="MS Gothic" w:eastAsia="MS Gothic" w:hAnsi="MS Gothic"/>
                    <w:noProof/>
                  </w:rPr>
                  <w:t>☒</w:t>
                </w:r>
              </w:sdtContent>
            </w:sdt>
            <w:r w:rsidR="00B8219E" w:rsidRPr="00BF1877">
              <w:t xml:space="preserve"> </w:t>
            </w:r>
            <w:r w:rsidR="00174058" w:rsidRPr="00BF1877">
              <w:t>k=</w:t>
            </w:r>
            <w:r w:rsidR="00A508CE" w:rsidRPr="00BF1877">
              <w:t>1</w:t>
            </w:r>
            <w:r w:rsidR="00174058" w:rsidRPr="00BF1877">
              <w:tab/>
              <w:t>n=</w:t>
            </w:r>
            <w:r w:rsidR="00A508CE" w:rsidRPr="00BF1877">
              <w:rPr>
                <w:i/>
              </w:rPr>
              <w:t>15</w:t>
            </w:r>
            <w:r w:rsidR="00A508CE" w:rsidRPr="00BF1877">
              <w:rPr>
                <w:i/>
                <w:vertAlign w:val="superscript"/>
              </w:rPr>
              <w:t>a</w:t>
            </w:r>
          </w:p>
          <w:p w14:paraId="53219AEF" w14:textId="77777777" w:rsidR="00A508CE" w:rsidRPr="00BF1877" w:rsidRDefault="00A508CE" w:rsidP="00302CC1">
            <w:pPr>
              <w:pStyle w:val="TableText"/>
              <w:keepNext/>
            </w:pPr>
          </w:p>
          <w:p w14:paraId="15250D49" w14:textId="77777777" w:rsidR="00407371" w:rsidRPr="00BF1877" w:rsidRDefault="00407371" w:rsidP="00302CC1">
            <w:pPr>
              <w:pStyle w:val="TableText"/>
              <w:keepNext/>
            </w:pPr>
          </w:p>
          <w:p w14:paraId="48AFBA34" w14:textId="150CFDD9" w:rsidR="00A508CE" w:rsidRPr="00BF1877" w:rsidRDefault="00132950" w:rsidP="00302CC1">
            <w:pPr>
              <w:pStyle w:val="TableText"/>
              <w:keepNext/>
              <w:rPr>
                <w:i/>
                <w:vertAlign w:val="superscript"/>
                <w:lang w:val="en-GB"/>
              </w:rPr>
            </w:pPr>
            <w:sdt>
              <w:sdtPr>
                <w:id w:val="-1769841432"/>
                <w14:checkbox>
                  <w14:checked w14:val="1"/>
                  <w14:checkedState w14:val="2612" w14:font="MS Gothic"/>
                  <w14:uncheckedState w14:val="2610" w14:font="MS Gothic"/>
                </w14:checkbox>
              </w:sdtPr>
              <w:sdtEndPr>
                <w:rPr>
                  <w:noProof/>
                </w:rPr>
              </w:sdtEndPr>
              <w:sdtContent>
                <w:r w:rsidR="00407371" w:rsidRPr="550B048E">
                  <w:rPr>
                    <w:rFonts w:ascii="MS Gothic" w:eastAsia="MS Gothic" w:hAnsi="MS Gothic"/>
                    <w:lang w:val="en-GB"/>
                  </w:rPr>
                  <w:t>☒</w:t>
                </w:r>
              </w:sdtContent>
            </w:sdt>
            <w:r w:rsidR="00B8219E" w:rsidRPr="550B048E">
              <w:rPr>
                <w:lang w:val="en-GB"/>
              </w:rPr>
              <w:t xml:space="preserve"> </w:t>
            </w:r>
            <w:r w:rsidR="00A508CE" w:rsidRPr="550B048E">
              <w:rPr>
                <w:lang w:val="en-GB"/>
              </w:rPr>
              <w:t>k=1</w:t>
            </w:r>
            <w:r w:rsidR="00A508CE" w:rsidRPr="00BF1877">
              <w:tab/>
            </w:r>
            <w:r w:rsidR="00A508CE" w:rsidRPr="550B048E">
              <w:rPr>
                <w:lang w:val="en-GB"/>
              </w:rPr>
              <w:t>n=</w:t>
            </w:r>
            <w:proofErr w:type="spellStart"/>
            <w:r w:rsidR="00A508CE" w:rsidRPr="550B048E">
              <w:rPr>
                <w:i/>
                <w:lang w:val="en-GB"/>
              </w:rPr>
              <w:t>NR</w:t>
            </w:r>
            <w:r w:rsidR="00A508CE" w:rsidRPr="550B048E">
              <w:rPr>
                <w:i/>
                <w:vertAlign w:val="superscript"/>
                <w:lang w:val="en-GB"/>
              </w:rPr>
              <w:t>b</w:t>
            </w:r>
            <w:proofErr w:type="spellEnd"/>
          </w:p>
        </w:tc>
        <w:tc>
          <w:tcPr>
            <w:tcW w:w="1210" w:type="pct"/>
            <w:tcBorders>
              <w:top w:val="single" w:sz="4" w:space="0" w:color="auto"/>
              <w:left w:val="single" w:sz="4" w:space="0" w:color="auto"/>
              <w:bottom w:val="single" w:sz="4" w:space="0" w:color="auto"/>
              <w:right w:val="single" w:sz="4" w:space="0" w:color="auto"/>
            </w:tcBorders>
            <w:hideMark/>
          </w:tcPr>
          <w:p w14:paraId="18872D84" w14:textId="20D1FFB0" w:rsidR="00174058" w:rsidRPr="00BF1877" w:rsidRDefault="10906D31" w:rsidP="77D89277">
            <w:pPr>
              <w:pStyle w:val="TableText"/>
              <w:keepNext/>
              <w:rPr>
                <w:i/>
                <w:iCs/>
              </w:rPr>
            </w:pPr>
            <w:r w:rsidRPr="77D89277">
              <w:t xml:space="preserve">Risk of bias assessment was not provided in the submission. </w:t>
            </w:r>
            <w:r w:rsidRPr="77D89277">
              <w:rPr>
                <w:i/>
                <w:iCs/>
              </w:rPr>
              <w:t>The commentary considered that Jasani et al., 2024 was at risk of bias and Stratton et al., 2023 was at high risk of bias, based on QUADAS-2 assessment.</w:t>
            </w:r>
          </w:p>
        </w:tc>
        <w:tc>
          <w:tcPr>
            <w:tcW w:w="570" w:type="pct"/>
            <w:tcBorders>
              <w:top w:val="single" w:sz="4" w:space="0" w:color="auto"/>
              <w:left w:val="single" w:sz="4" w:space="0" w:color="auto"/>
              <w:bottom w:val="single" w:sz="4" w:space="0" w:color="auto"/>
              <w:right w:val="single" w:sz="4" w:space="0" w:color="auto"/>
            </w:tcBorders>
          </w:tcPr>
          <w:p w14:paraId="14E9E584" w14:textId="30ECDADE" w:rsidR="00174058" w:rsidRPr="00BF1877" w:rsidRDefault="00A508CE" w:rsidP="00302CC1">
            <w:pPr>
              <w:pStyle w:val="TableText"/>
              <w:keepNext/>
            </w:pPr>
            <w:r w:rsidRPr="00BF1877">
              <w:t>No</w:t>
            </w:r>
          </w:p>
        </w:tc>
      </w:tr>
      <w:tr w:rsidR="00E41328" w:rsidRPr="006F4D53" w14:paraId="6F436643" w14:textId="77777777" w:rsidTr="77D89277">
        <w:trPr>
          <w:trHeight w:val="300"/>
        </w:trPr>
        <w:tc>
          <w:tcPr>
            <w:tcW w:w="862" w:type="pct"/>
            <w:tcBorders>
              <w:top w:val="single" w:sz="4" w:space="0" w:color="auto"/>
              <w:left w:val="single" w:sz="4" w:space="0" w:color="auto"/>
              <w:bottom w:val="single" w:sz="4" w:space="0" w:color="auto"/>
              <w:right w:val="single" w:sz="4" w:space="0" w:color="auto"/>
            </w:tcBorders>
            <w:hideMark/>
          </w:tcPr>
          <w:p w14:paraId="3E09DC50" w14:textId="77777777" w:rsidR="00174058" w:rsidRPr="00BF1877" w:rsidRDefault="00174058" w:rsidP="00302CC1">
            <w:pPr>
              <w:pStyle w:val="TableText"/>
              <w:keepNext/>
            </w:pPr>
            <w:r w:rsidRPr="00BF1877">
              <w:t>Prognostic evidence (longitudinal accuracy)</w:t>
            </w:r>
          </w:p>
        </w:tc>
        <w:tc>
          <w:tcPr>
            <w:tcW w:w="1415" w:type="pct"/>
            <w:tcBorders>
              <w:top w:val="single" w:sz="4" w:space="0" w:color="auto"/>
              <w:left w:val="single" w:sz="4" w:space="0" w:color="auto"/>
              <w:bottom w:val="single" w:sz="4" w:space="0" w:color="auto"/>
              <w:right w:val="single" w:sz="4" w:space="0" w:color="auto"/>
            </w:tcBorders>
            <w:hideMark/>
          </w:tcPr>
          <w:p w14:paraId="1B55C00F" w14:textId="1E7F53F8" w:rsidR="00174058" w:rsidRPr="00BF1877" w:rsidRDefault="3D2B67EC" w:rsidP="00302CC1">
            <w:pPr>
              <w:pStyle w:val="TableText"/>
              <w:keepNext/>
            </w:pPr>
            <w:r w:rsidRPr="00BF1877">
              <w:t>Comparison of health outcomes in patients receiving usual care (chemotherapy), condition</w:t>
            </w:r>
            <w:r w:rsidR="3B31C4B8" w:rsidRPr="00BF1877">
              <w:t>al</w:t>
            </w:r>
            <w:r w:rsidRPr="00BF1877">
              <w:t xml:space="preserve"> on the presence or absence of biomarker-positive status</w:t>
            </w:r>
            <w:r w:rsidR="7605CC38" w:rsidRPr="00BF1877">
              <w:t xml:space="preserve"> (Kubota et al., 2023; Pellino et al., 2021; Waters et al., 2024)</w:t>
            </w:r>
          </w:p>
        </w:tc>
        <w:tc>
          <w:tcPr>
            <w:tcW w:w="943" w:type="pct"/>
            <w:tcBorders>
              <w:top w:val="single" w:sz="4" w:space="0" w:color="auto"/>
              <w:left w:val="single" w:sz="4" w:space="0" w:color="auto"/>
              <w:bottom w:val="single" w:sz="4" w:space="0" w:color="auto"/>
              <w:right w:val="single" w:sz="4" w:space="0" w:color="auto"/>
            </w:tcBorders>
            <w:hideMark/>
          </w:tcPr>
          <w:p w14:paraId="43B5AE81" w14:textId="19367097" w:rsidR="00174058" w:rsidRPr="00BF1877" w:rsidRDefault="00132950" w:rsidP="00302CC1">
            <w:pPr>
              <w:pStyle w:val="TableText"/>
              <w:keepNext/>
            </w:pPr>
            <w:sdt>
              <w:sdtPr>
                <w:id w:val="-1456874868"/>
                <w14:checkbox>
                  <w14:checked w14:val="1"/>
                  <w14:checkedState w14:val="2612" w14:font="MS Gothic"/>
                  <w14:uncheckedState w14:val="2610" w14:font="MS Gothic"/>
                </w14:checkbox>
              </w:sdtPr>
              <w:sdtEndPr>
                <w:rPr>
                  <w:noProof/>
                </w:rPr>
              </w:sdtEndPr>
              <w:sdtContent>
                <w:r w:rsidR="00A508CE" w:rsidRPr="00752D14">
                  <w:rPr>
                    <w:rFonts w:ascii="MS Gothic" w:eastAsia="MS Gothic" w:hAnsi="MS Gothic"/>
                    <w:noProof/>
                  </w:rPr>
                  <w:t>☒</w:t>
                </w:r>
              </w:sdtContent>
            </w:sdt>
            <w:r w:rsidR="00B8219E" w:rsidRPr="00BF1877">
              <w:t xml:space="preserve"> </w:t>
            </w:r>
            <w:r w:rsidR="00174058" w:rsidRPr="00BF1877">
              <w:t>k=</w:t>
            </w:r>
            <w:r w:rsidR="00032538" w:rsidRPr="00BF1877">
              <w:t>3</w:t>
            </w:r>
            <w:r w:rsidR="003E7112" w:rsidRPr="00BF1877">
              <w:t xml:space="preserve">    </w:t>
            </w:r>
            <w:r w:rsidR="00B8219E" w:rsidRPr="00BF1877">
              <w:t xml:space="preserve"> </w:t>
            </w:r>
            <w:r w:rsidR="00174058" w:rsidRPr="00BF1877">
              <w:t>n=</w:t>
            </w:r>
            <w:r w:rsidR="00A508CE" w:rsidRPr="00BF1877">
              <w:rPr>
                <w:i/>
              </w:rPr>
              <w:t>1,058</w:t>
            </w:r>
            <w:r w:rsidR="00A508CE" w:rsidRPr="00BF1877">
              <w:rPr>
                <w:i/>
                <w:vertAlign w:val="superscript"/>
              </w:rPr>
              <w:t>c</w:t>
            </w:r>
          </w:p>
        </w:tc>
        <w:tc>
          <w:tcPr>
            <w:tcW w:w="1210" w:type="pct"/>
            <w:tcBorders>
              <w:top w:val="single" w:sz="4" w:space="0" w:color="auto"/>
              <w:left w:val="single" w:sz="4" w:space="0" w:color="auto"/>
              <w:bottom w:val="single" w:sz="4" w:space="0" w:color="auto"/>
              <w:right w:val="single" w:sz="4" w:space="0" w:color="auto"/>
            </w:tcBorders>
            <w:hideMark/>
          </w:tcPr>
          <w:p w14:paraId="2BF46767" w14:textId="7B3E4462" w:rsidR="00174058" w:rsidRPr="00BF1877" w:rsidRDefault="0087536E" w:rsidP="00302CC1">
            <w:pPr>
              <w:pStyle w:val="TableText"/>
              <w:keepNext/>
            </w:pPr>
            <w:r w:rsidRPr="00BF1877">
              <w:t xml:space="preserve">Risk of bias assessment was not provided in the submission. </w:t>
            </w:r>
            <w:r w:rsidRPr="00BF1877">
              <w:rPr>
                <w:i/>
              </w:rPr>
              <w:t>The commentary considered that all three retrospective studies were at moderate risk of bias, based on QUIPS risk of bias tool.</w:t>
            </w:r>
          </w:p>
        </w:tc>
        <w:tc>
          <w:tcPr>
            <w:tcW w:w="570" w:type="pct"/>
            <w:tcBorders>
              <w:top w:val="single" w:sz="4" w:space="0" w:color="auto"/>
              <w:left w:val="single" w:sz="4" w:space="0" w:color="auto"/>
              <w:bottom w:val="single" w:sz="4" w:space="0" w:color="auto"/>
              <w:right w:val="single" w:sz="4" w:space="0" w:color="auto"/>
            </w:tcBorders>
          </w:tcPr>
          <w:p w14:paraId="5A2F9A68" w14:textId="3E213565" w:rsidR="00174058" w:rsidRPr="00BF1877" w:rsidRDefault="00A508CE" w:rsidP="00302CC1">
            <w:pPr>
              <w:pStyle w:val="TableText"/>
              <w:keepNext/>
            </w:pPr>
            <w:r w:rsidRPr="00BF1877">
              <w:t>No</w:t>
            </w:r>
          </w:p>
        </w:tc>
      </w:tr>
      <w:bookmarkEnd w:id="30"/>
      <w:tr w:rsidR="00E41328" w:rsidRPr="006F4D53" w14:paraId="035A4A5A" w14:textId="77777777" w:rsidTr="77D89277">
        <w:trPr>
          <w:trHeight w:val="300"/>
        </w:trPr>
        <w:tc>
          <w:tcPr>
            <w:tcW w:w="862" w:type="pct"/>
            <w:tcBorders>
              <w:top w:val="single" w:sz="4" w:space="0" w:color="auto"/>
              <w:left w:val="single" w:sz="4" w:space="0" w:color="auto"/>
              <w:bottom w:val="single" w:sz="4" w:space="0" w:color="auto"/>
              <w:right w:val="single" w:sz="4" w:space="0" w:color="auto"/>
            </w:tcBorders>
            <w:hideMark/>
          </w:tcPr>
          <w:p w14:paraId="07B71A6B" w14:textId="77777777" w:rsidR="00174058" w:rsidRPr="00BF1877" w:rsidRDefault="00174058" w:rsidP="00302CC1">
            <w:pPr>
              <w:pStyle w:val="TableText"/>
              <w:keepNext/>
            </w:pPr>
            <w:r w:rsidRPr="00BF1877">
              <w:t xml:space="preserve">Change in patient management </w:t>
            </w:r>
          </w:p>
        </w:tc>
        <w:tc>
          <w:tcPr>
            <w:tcW w:w="1415" w:type="pct"/>
            <w:tcBorders>
              <w:top w:val="single" w:sz="4" w:space="0" w:color="auto"/>
              <w:left w:val="single" w:sz="4" w:space="0" w:color="auto"/>
              <w:bottom w:val="single" w:sz="4" w:space="0" w:color="auto"/>
              <w:right w:val="single" w:sz="4" w:space="0" w:color="auto"/>
            </w:tcBorders>
            <w:hideMark/>
          </w:tcPr>
          <w:p w14:paraId="203F1BE3" w14:textId="3B0F616F" w:rsidR="00A508CE" w:rsidRPr="00BF1877" w:rsidRDefault="00A508CE" w:rsidP="00A508CE">
            <w:pPr>
              <w:pStyle w:val="TableText"/>
              <w:keepNext/>
            </w:pPr>
            <w:r w:rsidRPr="00BF1877">
              <w:t>Not explicitly assessed.</w:t>
            </w:r>
          </w:p>
          <w:p w14:paraId="167D3AF0" w14:textId="11FAA429" w:rsidR="00174058" w:rsidRPr="00BF1877" w:rsidRDefault="3D2B67EC" w:rsidP="00A508CE">
            <w:pPr>
              <w:pStyle w:val="TableText"/>
              <w:keepNext/>
            </w:pPr>
            <w:r w:rsidRPr="00BF1877">
              <w:t xml:space="preserve">Patients tested positive </w:t>
            </w:r>
            <w:r w:rsidR="4928754F" w:rsidRPr="00BF1877">
              <w:t>for</w:t>
            </w:r>
            <w:r w:rsidRPr="00BF1877">
              <w:t xml:space="preserve"> CLDN18.2 </w:t>
            </w:r>
            <w:r w:rsidR="59BE709D" w:rsidRPr="00BF1877">
              <w:t xml:space="preserve">expression </w:t>
            </w:r>
            <w:r w:rsidRPr="00BF1877">
              <w:t>would be eligible for treatment with zolbetuximab.</w:t>
            </w:r>
          </w:p>
        </w:tc>
        <w:tc>
          <w:tcPr>
            <w:tcW w:w="943" w:type="pct"/>
            <w:tcBorders>
              <w:top w:val="single" w:sz="4" w:space="0" w:color="auto"/>
              <w:left w:val="single" w:sz="4" w:space="0" w:color="auto"/>
              <w:bottom w:val="single" w:sz="4" w:space="0" w:color="auto"/>
              <w:right w:val="single" w:sz="4" w:space="0" w:color="auto"/>
            </w:tcBorders>
            <w:hideMark/>
          </w:tcPr>
          <w:p w14:paraId="5D4AC847" w14:textId="0303AFFF" w:rsidR="00174058" w:rsidRPr="00BF1877" w:rsidRDefault="00132950" w:rsidP="00302CC1">
            <w:pPr>
              <w:pStyle w:val="TableText"/>
              <w:keepNext/>
            </w:pPr>
            <w:sdt>
              <w:sdtPr>
                <w:id w:val="-1943214893"/>
                <w14:checkbox>
                  <w14:checked w14:val="0"/>
                  <w14:checkedState w14:val="2612" w14:font="MS Gothic"/>
                  <w14:uncheckedState w14:val="2610" w14:font="MS Gothic"/>
                </w14:checkbox>
              </w:sdtPr>
              <w:sdtEndPr>
                <w:rPr>
                  <w:noProof/>
                </w:rPr>
              </w:sdtEndPr>
              <w:sdtContent>
                <w:r w:rsidR="00174058" w:rsidRPr="00752D14">
                  <w:rPr>
                    <w:rFonts w:ascii="MS Gothic" w:eastAsia="MS Gothic" w:hAnsi="MS Gothic"/>
                    <w:noProof/>
                  </w:rPr>
                  <w:t>☐</w:t>
                </w:r>
              </w:sdtContent>
            </w:sdt>
            <w:r w:rsidR="00B8219E" w:rsidRPr="00BF1877">
              <w:t xml:space="preserve"> </w:t>
            </w:r>
            <w:r w:rsidR="00174058" w:rsidRPr="00BF1877">
              <w:t>k=</w:t>
            </w:r>
            <w:r w:rsidR="00A508CE" w:rsidRPr="00BF1877">
              <w:t>0</w:t>
            </w:r>
            <w:r w:rsidR="00174058" w:rsidRPr="00BF1877">
              <w:tab/>
              <w:t>n=</w:t>
            </w:r>
            <w:r w:rsidR="00A508CE" w:rsidRPr="00BF1877">
              <w:t>0</w:t>
            </w:r>
          </w:p>
        </w:tc>
        <w:tc>
          <w:tcPr>
            <w:tcW w:w="1210" w:type="pct"/>
            <w:tcBorders>
              <w:top w:val="single" w:sz="4" w:space="0" w:color="auto"/>
              <w:left w:val="single" w:sz="4" w:space="0" w:color="auto"/>
              <w:bottom w:val="single" w:sz="4" w:space="0" w:color="auto"/>
              <w:right w:val="single" w:sz="4" w:space="0" w:color="auto"/>
            </w:tcBorders>
            <w:hideMark/>
          </w:tcPr>
          <w:p w14:paraId="18F22363" w14:textId="4899B571" w:rsidR="00174058" w:rsidRPr="00BF1877" w:rsidRDefault="0081491F" w:rsidP="00302CC1">
            <w:pPr>
              <w:pStyle w:val="TableText"/>
              <w:keepNext/>
            </w:pPr>
            <w:r w:rsidRPr="00BF1877">
              <w:t>-</w:t>
            </w:r>
          </w:p>
        </w:tc>
        <w:tc>
          <w:tcPr>
            <w:tcW w:w="570" w:type="pct"/>
            <w:tcBorders>
              <w:top w:val="single" w:sz="4" w:space="0" w:color="auto"/>
              <w:left w:val="single" w:sz="4" w:space="0" w:color="auto"/>
              <w:bottom w:val="single" w:sz="4" w:space="0" w:color="auto"/>
              <w:right w:val="single" w:sz="4" w:space="0" w:color="auto"/>
            </w:tcBorders>
          </w:tcPr>
          <w:p w14:paraId="1C444D68" w14:textId="2A902265" w:rsidR="00174058" w:rsidRPr="00BF1877" w:rsidRDefault="00A508CE" w:rsidP="00302CC1">
            <w:pPr>
              <w:pStyle w:val="TableText"/>
              <w:keepNext/>
            </w:pPr>
            <w:r w:rsidRPr="00BF1877">
              <w:t>-</w:t>
            </w:r>
          </w:p>
        </w:tc>
      </w:tr>
      <w:tr w:rsidR="00E41328" w:rsidRPr="006F4D53" w14:paraId="5BD966D0" w14:textId="77777777" w:rsidTr="77D89277">
        <w:trPr>
          <w:trHeight w:val="300"/>
        </w:trPr>
        <w:tc>
          <w:tcPr>
            <w:tcW w:w="862" w:type="pct"/>
            <w:tcBorders>
              <w:top w:val="single" w:sz="4" w:space="0" w:color="auto"/>
              <w:left w:val="single" w:sz="4" w:space="0" w:color="auto"/>
              <w:bottom w:val="nil"/>
              <w:right w:val="single" w:sz="4" w:space="0" w:color="auto"/>
            </w:tcBorders>
            <w:hideMark/>
          </w:tcPr>
          <w:p w14:paraId="39E321AF" w14:textId="6EC013D1" w:rsidR="00A508CE" w:rsidRPr="00BF1877" w:rsidRDefault="00A508CE" w:rsidP="00A508CE">
            <w:pPr>
              <w:pStyle w:val="TableText"/>
              <w:keepNext/>
            </w:pPr>
            <w:r w:rsidRPr="00BF1877">
              <w:t xml:space="preserve">Health outcomes (clinical utility) </w:t>
            </w:r>
            <w:r w:rsidR="00964624" w:rsidRPr="00BF1877">
              <w:br/>
            </w:r>
            <w:r w:rsidR="004D0072" w:rsidRPr="00BF1877">
              <w:br/>
            </w:r>
          </w:p>
        </w:tc>
        <w:tc>
          <w:tcPr>
            <w:tcW w:w="1415" w:type="pct"/>
            <w:tcBorders>
              <w:top w:val="single" w:sz="4" w:space="0" w:color="auto"/>
              <w:left w:val="single" w:sz="4" w:space="0" w:color="auto"/>
              <w:bottom w:val="nil"/>
              <w:right w:val="single" w:sz="4" w:space="0" w:color="auto"/>
            </w:tcBorders>
          </w:tcPr>
          <w:p w14:paraId="598FF8E2" w14:textId="24E1DADA" w:rsidR="00A508CE" w:rsidRPr="00BF1877" w:rsidRDefault="00A508CE" w:rsidP="00A508CE">
            <w:pPr>
              <w:pStyle w:val="TableText"/>
              <w:keepNext/>
            </w:pPr>
            <w:r w:rsidRPr="00BF1877">
              <w:t>As per treatment effect (enriched).</w:t>
            </w:r>
          </w:p>
        </w:tc>
        <w:tc>
          <w:tcPr>
            <w:tcW w:w="943" w:type="pct"/>
            <w:tcBorders>
              <w:top w:val="single" w:sz="4" w:space="0" w:color="auto"/>
              <w:left w:val="single" w:sz="4" w:space="0" w:color="auto"/>
              <w:bottom w:val="nil"/>
              <w:right w:val="single" w:sz="4" w:space="0" w:color="auto"/>
            </w:tcBorders>
          </w:tcPr>
          <w:p w14:paraId="034BECCB" w14:textId="3249B460" w:rsidR="00A508CE" w:rsidRPr="00BF1877" w:rsidRDefault="00132950" w:rsidP="00A508CE">
            <w:pPr>
              <w:pStyle w:val="TableText"/>
              <w:keepNext/>
            </w:pPr>
            <w:sdt>
              <w:sdtPr>
                <w:id w:val="-605892943"/>
                <w14:checkbox>
                  <w14:checked w14:val="1"/>
                  <w14:checkedState w14:val="2612" w14:font="MS Gothic"/>
                  <w14:uncheckedState w14:val="2610" w14:font="MS Gothic"/>
                </w14:checkbox>
              </w:sdtPr>
              <w:sdtEndPr>
                <w:rPr>
                  <w:noProof/>
                </w:rPr>
              </w:sdtEndPr>
              <w:sdtContent>
                <w:r w:rsidR="00A508CE" w:rsidRPr="00752D14">
                  <w:rPr>
                    <w:rFonts w:ascii="MS Gothic" w:eastAsia="MS Gothic" w:hAnsi="MS Gothic"/>
                    <w:noProof/>
                  </w:rPr>
                  <w:t>☒</w:t>
                </w:r>
              </w:sdtContent>
            </w:sdt>
            <w:r w:rsidR="00B8219E" w:rsidRPr="00BF1877">
              <w:t xml:space="preserve"> </w:t>
            </w:r>
            <w:r w:rsidR="00A508CE" w:rsidRPr="00BF1877">
              <w:t>k=2</w:t>
            </w:r>
            <w:r w:rsidR="00A508CE" w:rsidRPr="00BF1877">
              <w:tab/>
              <w:t>n=1,072</w:t>
            </w:r>
          </w:p>
          <w:p w14:paraId="12C7D06F" w14:textId="77777777" w:rsidR="00A508CE" w:rsidRPr="00BF1877" w:rsidRDefault="00A508CE" w:rsidP="00A508CE">
            <w:pPr>
              <w:pStyle w:val="TableText"/>
              <w:keepNext/>
            </w:pPr>
          </w:p>
        </w:tc>
        <w:tc>
          <w:tcPr>
            <w:tcW w:w="1210" w:type="pct"/>
            <w:tcBorders>
              <w:top w:val="single" w:sz="4" w:space="0" w:color="auto"/>
              <w:left w:val="single" w:sz="4" w:space="0" w:color="auto"/>
              <w:bottom w:val="nil"/>
              <w:right w:val="single" w:sz="4" w:space="0" w:color="auto"/>
            </w:tcBorders>
            <w:hideMark/>
          </w:tcPr>
          <w:p w14:paraId="1693FE02" w14:textId="6E592FD0" w:rsidR="00A508CE" w:rsidRPr="00BF1877" w:rsidRDefault="0087536E" w:rsidP="00A508CE">
            <w:pPr>
              <w:pStyle w:val="TableText"/>
              <w:keepNext/>
            </w:pPr>
            <w:r w:rsidRPr="00BF1877">
              <w:t>Low</w:t>
            </w:r>
          </w:p>
        </w:tc>
        <w:tc>
          <w:tcPr>
            <w:tcW w:w="570" w:type="pct"/>
            <w:tcBorders>
              <w:top w:val="single" w:sz="4" w:space="0" w:color="auto"/>
              <w:left w:val="single" w:sz="4" w:space="0" w:color="auto"/>
              <w:bottom w:val="nil"/>
              <w:right w:val="single" w:sz="4" w:space="0" w:color="auto"/>
            </w:tcBorders>
          </w:tcPr>
          <w:p w14:paraId="46844860" w14:textId="2E646953" w:rsidR="00A508CE" w:rsidRPr="00BF1877" w:rsidRDefault="00A508CE" w:rsidP="00A508CE">
            <w:pPr>
              <w:pStyle w:val="TableText"/>
              <w:keepNext/>
            </w:pPr>
            <w:r w:rsidRPr="00BF1877">
              <w:t>Yes</w:t>
            </w:r>
          </w:p>
        </w:tc>
      </w:tr>
      <w:tr w:rsidR="00E41328" w:rsidRPr="006F4D53" w14:paraId="22F73D1C" w14:textId="77777777" w:rsidTr="77D89277">
        <w:trPr>
          <w:trHeight w:val="300"/>
        </w:trPr>
        <w:tc>
          <w:tcPr>
            <w:tcW w:w="862" w:type="pct"/>
            <w:tcBorders>
              <w:top w:val="nil"/>
              <w:left w:val="single" w:sz="4" w:space="0" w:color="auto"/>
              <w:bottom w:val="nil"/>
              <w:right w:val="single" w:sz="4" w:space="0" w:color="auto"/>
            </w:tcBorders>
          </w:tcPr>
          <w:p w14:paraId="59C6F3E0" w14:textId="4F3AD089" w:rsidR="003E7112" w:rsidRPr="00BF1877" w:rsidRDefault="003E7112" w:rsidP="00A508CE">
            <w:pPr>
              <w:pStyle w:val="TableText"/>
              <w:keepNext/>
            </w:pPr>
            <w:r w:rsidRPr="00BF1877">
              <w:t>Predictive effect (treatment effect variation)</w:t>
            </w:r>
            <w:r w:rsidR="004D0072" w:rsidRPr="00BF1877">
              <w:br/>
            </w:r>
          </w:p>
        </w:tc>
        <w:tc>
          <w:tcPr>
            <w:tcW w:w="1415" w:type="pct"/>
            <w:tcBorders>
              <w:top w:val="nil"/>
              <w:left w:val="single" w:sz="4" w:space="0" w:color="auto"/>
              <w:bottom w:val="nil"/>
              <w:right w:val="single" w:sz="4" w:space="0" w:color="auto"/>
            </w:tcBorders>
          </w:tcPr>
          <w:p w14:paraId="4086CB17" w14:textId="6EFAAFB3" w:rsidR="003E7112" w:rsidRPr="00BF1877" w:rsidRDefault="003E7112" w:rsidP="00A508CE">
            <w:pPr>
              <w:pStyle w:val="TableText"/>
              <w:keepNext/>
            </w:pPr>
            <w:r w:rsidRPr="00BF1877">
              <w:t>No evidence presented.</w:t>
            </w:r>
          </w:p>
        </w:tc>
        <w:tc>
          <w:tcPr>
            <w:tcW w:w="943" w:type="pct"/>
            <w:tcBorders>
              <w:top w:val="nil"/>
              <w:left w:val="single" w:sz="4" w:space="0" w:color="auto"/>
              <w:bottom w:val="nil"/>
              <w:right w:val="single" w:sz="4" w:space="0" w:color="auto"/>
            </w:tcBorders>
          </w:tcPr>
          <w:p w14:paraId="0A323F03" w14:textId="2E27FBA4" w:rsidR="003E7112" w:rsidRPr="00BF1877" w:rsidRDefault="00132950" w:rsidP="003E7112">
            <w:pPr>
              <w:pStyle w:val="TableText"/>
              <w:keepNext/>
            </w:pPr>
            <w:sdt>
              <w:sdtPr>
                <w:id w:val="-1971969573"/>
                <w14:checkbox>
                  <w14:checked w14:val="0"/>
                  <w14:checkedState w14:val="2612" w14:font="MS Gothic"/>
                  <w14:uncheckedState w14:val="2610" w14:font="MS Gothic"/>
                </w14:checkbox>
              </w:sdtPr>
              <w:sdtEndPr>
                <w:rPr>
                  <w:noProof/>
                </w:rPr>
              </w:sdtEndPr>
              <w:sdtContent>
                <w:r w:rsidR="003E7112" w:rsidRPr="00752D14">
                  <w:rPr>
                    <w:rFonts w:ascii="MS Gothic" w:eastAsia="MS Gothic" w:hAnsi="MS Gothic"/>
                    <w:noProof/>
                  </w:rPr>
                  <w:t>☐</w:t>
                </w:r>
              </w:sdtContent>
            </w:sdt>
            <w:r w:rsidR="00B8219E" w:rsidRPr="00BF1877">
              <w:t xml:space="preserve"> </w:t>
            </w:r>
            <w:r w:rsidR="003E7112" w:rsidRPr="00BF1877">
              <w:t>k=0</w:t>
            </w:r>
            <w:r w:rsidR="003E7112" w:rsidRPr="00BF1877">
              <w:tab/>
              <w:t>n=0</w:t>
            </w:r>
          </w:p>
          <w:p w14:paraId="0E2A0EB8" w14:textId="77777777" w:rsidR="003E7112" w:rsidRPr="00BF1877" w:rsidRDefault="003E7112" w:rsidP="00A508CE">
            <w:pPr>
              <w:pStyle w:val="TableText"/>
              <w:keepNext/>
            </w:pPr>
          </w:p>
        </w:tc>
        <w:tc>
          <w:tcPr>
            <w:tcW w:w="1210" w:type="pct"/>
            <w:tcBorders>
              <w:top w:val="nil"/>
              <w:left w:val="single" w:sz="4" w:space="0" w:color="auto"/>
              <w:bottom w:val="nil"/>
              <w:right w:val="single" w:sz="4" w:space="0" w:color="auto"/>
            </w:tcBorders>
          </w:tcPr>
          <w:p w14:paraId="7E8368C1" w14:textId="44A80585" w:rsidR="003E7112" w:rsidRPr="00BF1877" w:rsidRDefault="003E7112" w:rsidP="00A508CE">
            <w:pPr>
              <w:pStyle w:val="TableText"/>
              <w:keepNext/>
            </w:pPr>
            <w:r w:rsidRPr="00BF1877">
              <w:t>-</w:t>
            </w:r>
          </w:p>
        </w:tc>
        <w:tc>
          <w:tcPr>
            <w:tcW w:w="570" w:type="pct"/>
            <w:tcBorders>
              <w:top w:val="nil"/>
              <w:left w:val="single" w:sz="4" w:space="0" w:color="auto"/>
              <w:bottom w:val="nil"/>
              <w:right w:val="single" w:sz="4" w:space="0" w:color="auto"/>
            </w:tcBorders>
          </w:tcPr>
          <w:p w14:paraId="1256B1FF" w14:textId="7CE89854" w:rsidR="003E7112" w:rsidRPr="00BF1877" w:rsidRDefault="003E7112" w:rsidP="00A508CE">
            <w:pPr>
              <w:pStyle w:val="TableText"/>
              <w:keepNext/>
            </w:pPr>
            <w:r w:rsidRPr="00BF1877">
              <w:t>-</w:t>
            </w:r>
          </w:p>
        </w:tc>
      </w:tr>
      <w:tr w:rsidR="00E41328" w:rsidRPr="006F4D53" w14:paraId="3F3E3904" w14:textId="77777777" w:rsidTr="77D89277">
        <w:trPr>
          <w:trHeight w:val="300"/>
        </w:trPr>
        <w:tc>
          <w:tcPr>
            <w:tcW w:w="862" w:type="pct"/>
            <w:tcBorders>
              <w:top w:val="nil"/>
              <w:left w:val="single" w:sz="4" w:space="0" w:color="auto"/>
              <w:bottom w:val="single" w:sz="4" w:space="0" w:color="auto"/>
              <w:right w:val="single" w:sz="4" w:space="0" w:color="auto"/>
            </w:tcBorders>
          </w:tcPr>
          <w:p w14:paraId="66A60BB5" w14:textId="77777777" w:rsidR="00A508CE" w:rsidRPr="00BF1877" w:rsidRDefault="00A508CE" w:rsidP="00A508CE">
            <w:pPr>
              <w:pStyle w:val="TableText"/>
              <w:keepNext/>
            </w:pPr>
            <w:r w:rsidRPr="00BF1877">
              <w:t>Treatment effect (enriched)</w:t>
            </w:r>
          </w:p>
        </w:tc>
        <w:tc>
          <w:tcPr>
            <w:tcW w:w="1415" w:type="pct"/>
            <w:tcBorders>
              <w:top w:val="nil"/>
              <w:left w:val="single" w:sz="4" w:space="0" w:color="auto"/>
              <w:bottom w:val="single" w:sz="4" w:space="0" w:color="auto"/>
              <w:right w:val="single" w:sz="4" w:space="0" w:color="auto"/>
            </w:tcBorders>
          </w:tcPr>
          <w:p w14:paraId="0B1C076F" w14:textId="2AA89F19" w:rsidR="00A508CE" w:rsidRPr="00BF1877" w:rsidRDefault="00A508CE" w:rsidP="00A508CE">
            <w:pPr>
              <w:pStyle w:val="TableText"/>
              <w:keepNext/>
            </w:pPr>
            <w:r w:rsidRPr="00BF1877">
              <w:t xml:space="preserve">Two RCTs with all patients </w:t>
            </w:r>
            <w:r w:rsidR="00B6775E" w:rsidRPr="00BF1877">
              <w:t xml:space="preserve">who have </w:t>
            </w:r>
            <w:r w:rsidRPr="00BF1877">
              <w:t>tested positive for CLDN18.2, randomised to either zolbetuximab</w:t>
            </w:r>
            <w:r w:rsidR="0005455E" w:rsidRPr="00BF1877">
              <w:t xml:space="preserve"> </w:t>
            </w:r>
            <w:r w:rsidRPr="00BF1877">
              <w:t>+</w:t>
            </w:r>
            <w:r w:rsidR="0005455E" w:rsidRPr="00BF1877">
              <w:t xml:space="preserve"> chemotherapy</w:t>
            </w:r>
            <w:r w:rsidRPr="00BF1877">
              <w:t xml:space="preserve">, or </w:t>
            </w:r>
            <w:r w:rsidR="0005455E" w:rsidRPr="00BF1877">
              <w:t>chemotherapy alone</w:t>
            </w:r>
            <w:r w:rsidRPr="00BF1877">
              <w:t>.</w:t>
            </w:r>
          </w:p>
        </w:tc>
        <w:tc>
          <w:tcPr>
            <w:tcW w:w="943" w:type="pct"/>
            <w:tcBorders>
              <w:top w:val="nil"/>
              <w:left w:val="single" w:sz="4" w:space="0" w:color="auto"/>
              <w:bottom w:val="single" w:sz="4" w:space="0" w:color="auto"/>
              <w:right w:val="single" w:sz="4" w:space="0" w:color="auto"/>
            </w:tcBorders>
          </w:tcPr>
          <w:p w14:paraId="4D55D749" w14:textId="0999E8F2" w:rsidR="00A508CE" w:rsidRPr="00BF1877" w:rsidRDefault="00132950" w:rsidP="00A508CE">
            <w:pPr>
              <w:pStyle w:val="TableText"/>
              <w:keepNext/>
            </w:pPr>
            <w:sdt>
              <w:sdtPr>
                <w:id w:val="680405120"/>
                <w14:checkbox>
                  <w14:checked w14:val="1"/>
                  <w14:checkedState w14:val="2612" w14:font="MS Gothic"/>
                  <w14:uncheckedState w14:val="2610" w14:font="MS Gothic"/>
                </w14:checkbox>
              </w:sdtPr>
              <w:sdtEndPr>
                <w:rPr>
                  <w:noProof/>
                </w:rPr>
              </w:sdtEndPr>
              <w:sdtContent>
                <w:r w:rsidR="00A508CE" w:rsidRPr="00752D14">
                  <w:rPr>
                    <w:rFonts w:ascii="MS Gothic" w:eastAsia="MS Gothic" w:hAnsi="MS Gothic"/>
                    <w:noProof/>
                  </w:rPr>
                  <w:t>☒</w:t>
                </w:r>
              </w:sdtContent>
            </w:sdt>
            <w:r w:rsidR="00B8219E" w:rsidRPr="00BF1877">
              <w:t xml:space="preserve"> </w:t>
            </w:r>
            <w:r w:rsidR="00A508CE" w:rsidRPr="00BF1877">
              <w:t>k=2</w:t>
            </w:r>
            <w:r w:rsidR="00A508CE" w:rsidRPr="00BF1877">
              <w:tab/>
              <w:t>n=1,072</w:t>
            </w:r>
          </w:p>
          <w:p w14:paraId="7130DA91" w14:textId="77777777" w:rsidR="00A508CE" w:rsidRPr="00BF1877" w:rsidRDefault="00A508CE" w:rsidP="00A508CE">
            <w:pPr>
              <w:pStyle w:val="TableText"/>
              <w:keepNext/>
            </w:pPr>
          </w:p>
        </w:tc>
        <w:tc>
          <w:tcPr>
            <w:tcW w:w="1210" w:type="pct"/>
            <w:tcBorders>
              <w:top w:val="nil"/>
              <w:left w:val="single" w:sz="4" w:space="0" w:color="auto"/>
              <w:bottom w:val="single" w:sz="4" w:space="0" w:color="auto"/>
              <w:right w:val="single" w:sz="4" w:space="0" w:color="auto"/>
            </w:tcBorders>
          </w:tcPr>
          <w:p w14:paraId="7A3DDEB7" w14:textId="5A16BEBF" w:rsidR="00A508CE" w:rsidRPr="00BF1877" w:rsidRDefault="0087536E" w:rsidP="00A508CE">
            <w:pPr>
              <w:pStyle w:val="TableText"/>
              <w:keepNext/>
            </w:pPr>
            <w:r w:rsidRPr="00BF1877">
              <w:t>Low</w:t>
            </w:r>
          </w:p>
        </w:tc>
        <w:tc>
          <w:tcPr>
            <w:tcW w:w="570" w:type="pct"/>
            <w:tcBorders>
              <w:top w:val="nil"/>
              <w:left w:val="single" w:sz="4" w:space="0" w:color="auto"/>
              <w:bottom w:val="single" w:sz="4" w:space="0" w:color="auto"/>
              <w:right w:val="single" w:sz="4" w:space="0" w:color="auto"/>
            </w:tcBorders>
          </w:tcPr>
          <w:p w14:paraId="3295FE01" w14:textId="2389D27D" w:rsidR="00A508CE" w:rsidRPr="00BF1877" w:rsidRDefault="00A508CE" w:rsidP="00A508CE">
            <w:pPr>
              <w:pStyle w:val="TableText"/>
              <w:keepNext/>
            </w:pPr>
            <w:r w:rsidRPr="00BF1877">
              <w:t>Yes</w:t>
            </w:r>
          </w:p>
        </w:tc>
      </w:tr>
    </w:tbl>
    <w:p w14:paraId="06FA61F0" w14:textId="77777777" w:rsidR="003E7112" w:rsidRPr="00BF1877" w:rsidRDefault="003E7112" w:rsidP="003E7112">
      <w:pPr>
        <w:pStyle w:val="TableFooter"/>
      </w:pPr>
      <w:bookmarkStart w:id="31" w:name="_Hlk68276301"/>
      <w:bookmarkEnd w:id="29"/>
      <w:r w:rsidRPr="00BF1877">
        <w:t>Source: Table 2-6, pp57-58; Table 2-13, p78; Table 2-14, p78; Table 2-15, p78 of the submission.</w:t>
      </w:r>
    </w:p>
    <w:bookmarkEnd w:id="31"/>
    <w:p w14:paraId="11AC2F67" w14:textId="3B185DB6" w:rsidR="003E7112" w:rsidRPr="00BF1877" w:rsidRDefault="003E7112" w:rsidP="003E7112">
      <w:pPr>
        <w:pStyle w:val="TableFooter"/>
      </w:pPr>
      <w:r w:rsidRPr="00BF1877">
        <w:t>CLDN18.2 = claudin 18.2; IHC = immunohistochemistry; k=number of studies; n = number of patients; NR = not reported; QUADAS-2 = Quality Assessment of Diagnostic Accuracy Studies;</w:t>
      </w:r>
      <w:r w:rsidR="00032538" w:rsidRPr="00BF1877">
        <w:t xml:space="preserve"> QUIPS = Quality in Prognostic Studies; </w:t>
      </w:r>
      <w:r w:rsidRPr="00BF1877">
        <w:t>RCT = randomised controlled trial</w:t>
      </w:r>
      <w:r w:rsidR="0037797A" w:rsidRPr="00BF1877">
        <w:t>.</w:t>
      </w:r>
    </w:p>
    <w:p w14:paraId="18449435" w14:textId="6AE2D574" w:rsidR="0037797A" w:rsidRPr="00BF1877" w:rsidRDefault="0037797A" w:rsidP="0037797A">
      <w:pPr>
        <w:pStyle w:val="TableFooter"/>
        <w:rPr>
          <w:i/>
        </w:rPr>
      </w:pPr>
      <w:r w:rsidRPr="00BF1877">
        <w:rPr>
          <w:i/>
          <w:vertAlign w:val="superscript"/>
        </w:rPr>
        <w:t>a</w:t>
      </w:r>
      <w:r w:rsidRPr="00BF1877">
        <w:rPr>
          <w:i/>
        </w:rPr>
        <w:t xml:space="preserve"> 15 resection samples were used to construct tissue microarray (Jasani et al., 2024).</w:t>
      </w:r>
    </w:p>
    <w:p w14:paraId="19F6855B" w14:textId="77777777" w:rsidR="0037797A" w:rsidRPr="00BF1877" w:rsidRDefault="0037797A" w:rsidP="0037797A">
      <w:pPr>
        <w:pStyle w:val="TableFooter"/>
        <w:rPr>
          <w:i/>
        </w:rPr>
      </w:pPr>
      <w:r w:rsidRPr="00BF1877">
        <w:rPr>
          <w:i/>
          <w:vertAlign w:val="superscript"/>
        </w:rPr>
        <w:t>b</w:t>
      </w:r>
      <w:r w:rsidRPr="00BF1877">
        <w:rPr>
          <w:i/>
        </w:rPr>
        <w:t xml:space="preserve"> 24 tissue cases were stained for repeatability analysis; 100 tissue cases were evaluated for inter- and intra-reader precision; and 28 tissue cases were stained for interlaboratory reproducibility tests (Stratton et al., 2023).</w:t>
      </w:r>
    </w:p>
    <w:p w14:paraId="2166AE35" w14:textId="2656D35D" w:rsidR="0037797A" w:rsidRPr="00BF1877" w:rsidRDefault="0037797A" w:rsidP="0037797A">
      <w:pPr>
        <w:pStyle w:val="TableFooter"/>
        <w:rPr>
          <w:i/>
        </w:rPr>
      </w:pPr>
      <w:r w:rsidRPr="00BF1877">
        <w:rPr>
          <w:i/>
          <w:vertAlign w:val="superscript"/>
        </w:rPr>
        <w:t>c</w:t>
      </w:r>
      <w:r w:rsidRPr="00BF1877">
        <w:rPr>
          <w:i/>
        </w:rPr>
        <w:t xml:space="preserve"> </w:t>
      </w:r>
      <w:r w:rsidR="00454B25" w:rsidRPr="00BF1877">
        <w:rPr>
          <w:i/>
        </w:rPr>
        <w:t xml:space="preserve">Calculated based on </w:t>
      </w:r>
      <w:r w:rsidR="00032538" w:rsidRPr="00BF1877">
        <w:rPr>
          <w:i/>
        </w:rPr>
        <w:t>n=408 in Kubota et al., 2023; n=350 in Pellino et al., 2021; n=300 in Waters et al., 2024.</w:t>
      </w:r>
    </w:p>
    <w:p w14:paraId="48C3AB3E" w14:textId="1B53696A" w:rsidR="00A508CE" w:rsidRPr="00F428A9" w:rsidRDefault="0037797A" w:rsidP="00F428A9">
      <w:pPr>
        <w:pStyle w:val="TableFooter"/>
        <w:rPr>
          <w:i/>
        </w:rPr>
      </w:pPr>
      <w:r w:rsidRPr="00BF1877">
        <w:rPr>
          <w:i/>
        </w:rPr>
        <w:t xml:space="preserve">Italics added during the evaluation. </w:t>
      </w:r>
    </w:p>
    <w:p w14:paraId="37194702" w14:textId="77777777" w:rsidR="00EE5014" w:rsidRPr="003A793E" w:rsidRDefault="00EE5014"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32" w:name="_Toc93044767"/>
      <w:bookmarkStart w:id="33" w:name="_Toc93322901"/>
      <w:bookmarkStart w:id="34" w:name="_Toc93044770"/>
      <w:bookmarkStart w:id="35" w:name="_Toc93322904"/>
      <w:bookmarkStart w:id="36" w:name="_Toc93044771"/>
      <w:bookmarkStart w:id="37" w:name="_Toc93322905"/>
      <w:bookmarkStart w:id="38" w:name="_Toc93044772"/>
      <w:bookmarkStart w:id="39" w:name="_Toc93322906"/>
      <w:bookmarkStart w:id="40" w:name="_Toc93044775"/>
      <w:bookmarkStart w:id="41" w:name="_Toc93322909"/>
      <w:bookmarkStart w:id="42" w:name="_Toc187863734"/>
      <w:bookmarkStart w:id="43" w:name="_Toc188441218"/>
      <w:bookmarkEnd w:id="32"/>
      <w:bookmarkEnd w:id="33"/>
      <w:bookmarkEnd w:id="34"/>
      <w:bookmarkEnd w:id="35"/>
      <w:bookmarkEnd w:id="36"/>
      <w:bookmarkEnd w:id="37"/>
      <w:bookmarkEnd w:id="38"/>
      <w:bookmarkEnd w:id="39"/>
      <w:bookmarkEnd w:id="40"/>
      <w:bookmarkEnd w:id="41"/>
      <w:r w:rsidRPr="003A793E">
        <w:rPr>
          <w:rFonts w:ascii="Franklin Gothic Medium" w:hAnsi="Franklin Gothic Medium"/>
          <w:b w:val="0"/>
          <w:i w:val="0"/>
          <w:snapToGrid/>
          <w:color w:val="000000" w:themeColor="text1"/>
          <w:sz w:val="32"/>
          <w:szCs w:val="26"/>
        </w:rPr>
        <w:t>Comparative safety</w:t>
      </w:r>
      <w:bookmarkEnd w:id="42"/>
      <w:bookmarkEnd w:id="43"/>
    </w:p>
    <w:p w14:paraId="45E86F55" w14:textId="77777777" w:rsidR="0062726F" w:rsidRPr="00F428A9" w:rsidRDefault="0062726F" w:rsidP="00565A06">
      <w:pPr>
        <w:pStyle w:val="Heading4"/>
        <w:rPr>
          <w:rFonts w:ascii="Franklin Gothic Book" w:hAnsi="Franklin Gothic Book"/>
          <w:color w:val="auto"/>
        </w:rPr>
      </w:pPr>
      <w:r w:rsidRPr="00F428A9">
        <w:rPr>
          <w:rFonts w:ascii="Franklin Gothic Book" w:hAnsi="Franklin Gothic Book"/>
          <w:color w:val="auto"/>
        </w:rPr>
        <w:t>Adverse events from testing</w:t>
      </w:r>
    </w:p>
    <w:p w14:paraId="7371925C" w14:textId="1240F38B" w:rsidR="00A513BA" w:rsidRPr="00F428A9" w:rsidRDefault="47D8DA5F" w:rsidP="00F428A9">
      <w:pPr>
        <w:pStyle w:val="MSACESParagraph"/>
        <w:rPr>
          <w:rFonts w:ascii="Franklin Gothic Book" w:hAnsi="Franklin Gothic Book"/>
          <w:sz w:val="22"/>
        </w:rPr>
      </w:pPr>
      <w:r w:rsidRPr="00F428A9">
        <w:rPr>
          <w:rFonts w:ascii="Franklin Gothic Book" w:hAnsi="Franklin Gothic Book"/>
          <w:sz w:val="22"/>
        </w:rPr>
        <w:t xml:space="preserve">The CLDN18 test is </w:t>
      </w:r>
      <w:r w:rsidR="1DDB249D" w:rsidRPr="00F428A9">
        <w:rPr>
          <w:rFonts w:ascii="Franklin Gothic Book" w:hAnsi="Franklin Gothic Book"/>
          <w:sz w:val="22"/>
        </w:rPr>
        <w:t>expected to be performed on the same tumour specimens used for histological assessment and the standard diagnostic work-up in the management of advanced or metastatic G/GOJ cancers.</w:t>
      </w:r>
      <w:r w:rsidR="34641BE9" w:rsidRPr="00F428A9">
        <w:rPr>
          <w:rFonts w:ascii="Franklin Gothic Book" w:hAnsi="Franklin Gothic Book"/>
          <w:sz w:val="22"/>
        </w:rPr>
        <w:t xml:space="preserve"> </w:t>
      </w:r>
      <w:r w:rsidR="46C41000" w:rsidRPr="00F428A9">
        <w:rPr>
          <w:rFonts w:ascii="Franklin Gothic Book" w:hAnsi="Franklin Gothic Book"/>
          <w:sz w:val="22"/>
        </w:rPr>
        <w:t xml:space="preserve">CLDN18 testing could </w:t>
      </w:r>
      <w:r w:rsidR="34641BE9" w:rsidRPr="00F428A9">
        <w:rPr>
          <w:rFonts w:ascii="Franklin Gothic Book" w:hAnsi="Franklin Gothic Book"/>
          <w:sz w:val="22"/>
        </w:rPr>
        <w:t xml:space="preserve">also </w:t>
      </w:r>
      <w:r w:rsidR="46C41000" w:rsidRPr="00F428A9">
        <w:rPr>
          <w:rFonts w:ascii="Franklin Gothic Book" w:hAnsi="Franklin Gothic Book"/>
          <w:sz w:val="22"/>
        </w:rPr>
        <w:t xml:space="preserve">be performed on archival tissue for those who progress from earlier stages of G/GOJ cancer. </w:t>
      </w:r>
      <w:r w:rsidR="1DDB249D" w:rsidRPr="00F428A9">
        <w:rPr>
          <w:rFonts w:ascii="Franklin Gothic Book" w:hAnsi="Franklin Gothic Book"/>
          <w:sz w:val="22"/>
        </w:rPr>
        <w:t>As a result, no additional adverse events</w:t>
      </w:r>
      <w:r w:rsidR="46C41000" w:rsidRPr="00F428A9">
        <w:rPr>
          <w:rFonts w:ascii="Franklin Gothic Book" w:hAnsi="Franklin Gothic Book"/>
          <w:sz w:val="22"/>
        </w:rPr>
        <w:t xml:space="preserve"> (AEs)</w:t>
      </w:r>
      <w:r w:rsidR="1DDB249D" w:rsidRPr="00F428A9">
        <w:rPr>
          <w:rFonts w:ascii="Franklin Gothic Book" w:hAnsi="Franklin Gothic Book"/>
          <w:sz w:val="22"/>
        </w:rPr>
        <w:t xml:space="preserve"> are expected from testing.</w:t>
      </w:r>
    </w:p>
    <w:p w14:paraId="2F13F0E2" w14:textId="302CCA02" w:rsidR="00621DF4" w:rsidRPr="00F428A9" w:rsidRDefault="003621BB" w:rsidP="00F428A9">
      <w:pPr>
        <w:pStyle w:val="MSACESParagraph"/>
        <w:rPr>
          <w:rFonts w:ascii="Franklin Gothic Book" w:hAnsi="Franklin Gothic Book" w:cstheme="minorHAnsi"/>
          <w:sz w:val="22"/>
        </w:rPr>
      </w:pPr>
      <w:r w:rsidRPr="00F428A9">
        <w:rPr>
          <w:rFonts w:ascii="Franklin Gothic Book" w:hAnsi="Franklin Gothic Book" w:cstheme="minorHAnsi"/>
          <w:sz w:val="22"/>
        </w:rPr>
        <w:t>In line with the</w:t>
      </w:r>
      <w:r w:rsidR="003E5A24" w:rsidRPr="00F428A9">
        <w:rPr>
          <w:rFonts w:ascii="Franklin Gothic Book" w:hAnsi="Franklin Gothic Book" w:cstheme="minorHAnsi"/>
          <w:sz w:val="22"/>
        </w:rPr>
        <w:t xml:space="preserve"> post-PASC advice, t</w:t>
      </w:r>
      <w:r w:rsidR="00621DF4" w:rsidRPr="00F428A9">
        <w:rPr>
          <w:rFonts w:ascii="Franklin Gothic Book" w:hAnsi="Franklin Gothic Book" w:cstheme="minorHAnsi"/>
          <w:sz w:val="22"/>
        </w:rPr>
        <w:t xml:space="preserve">he </w:t>
      </w:r>
      <w:r w:rsidR="00834EFC">
        <w:rPr>
          <w:rFonts w:ascii="Franklin Gothic Book" w:hAnsi="Franklin Gothic Book" w:cstheme="minorHAnsi"/>
          <w:sz w:val="22"/>
        </w:rPr>
        <w:t xml:space="preserve">commentary noted that the </w:t>
      </w:r>
      <w:r w:rsidR="00621DF4" w:rsidRPr="00F428A9">
        <w:rPr>
          <w:rFonts w:ascii="Franklin Gothic Book" w:hAnsi="Franklin Gothic Book" w:cstheme="minorHAnsi"/>
          <w:sz w:val="22"/>
        </w:rPr>
        <w:t>submission did not present AEs associated with biopsy/re</w:t>
      </w:r>
      <w:r w:rsidR="00D93616" w:rsidRPr="00F428A9">
        <w:rPr>
          <w:rFonts w:ascii="Franklin Gothic Book" w:hAnsi="Franklin Gothic Book" w:cstheme="minorHAnsi"/>
          <w:sz w:val="22"/>
        </w:rPr>
        <w:t>-</w:t>
      </w:r>
      <w:r w:rsidR="00621DF4" w:rsidRPr="00F428A9">
        <w:rPr>
          <w:rFonts w:ascii="Franklin Gothic Book" w:hAnsi="Franklin Gothic Book" w:cstheme="minorHAnsi"/>
          <w:sz w:val="22"/>
        </w:rPr>
        <w:t>biopsy for patients with inadequate tissue for tumour testing</w:t>
      </w:r>
      <w:r w:rsidRPr="00F428A9">
        <w:rPr>
          <w:rFonts w:ascii="Franklin Gothic Book" w:hAnsi="Franklin Gothic Book" w:cstheme="minorHAnsi"/>
          <w:sz w:val="22"/>
        </w:rPr>
        <w:t xml:space="preserve">. PASC confirmed </w:t>
      </w:r>
      <w:r w:rsidR="00621DF4" w:rsidRPr="00F428A9">
        <w:rPr>
          <w:rFonts w:ascii="Franklin Gothic Book" w:hAnsi="Franklin Gothic Book" w:cstheme="minorHAnsi"/>
          <w:sz w:val="22"/>
        </w:rPr>
        <w:t xml:space="preserve">that most patients </w:t>
      </w:r>
      <w:r w:rsidRPr="00F428A9">
        <w:rPr>
          <w:rFonts w:ascii="Franklin Gothic Book" w:hAnsi="Franklin Gothic Book" w:cstheme="minorHAnsi"/>
          <w:sz w:val="22"/>
        </w:rPr>
        <w:t>are expected to</w:t>
      </w:r>
      <w:r w:rsidR="00621DF4" w:rsidRPr="00F428A9">
        <w:rPr>
          <w:rFonts w:ascii="Franklin Gothic Book" w:hAnsi="Franklin Gothic Book" w:cstheme="minorHAnsi"/>
          <w:sz w:val="22"/>
        </w:rPr>
        <w:t xml:space="preserve"> undergo parallel testing of HER2 and CLDN18, and </w:t>
      </w:r>
      <w:r w:rsidRPr="00F428A9">
        <w:rPr>
          <w:rFonts w:ascii="Franklin Gothic Book" w:hAnsi="Franklin Gothic Book" w:cstheme="minorHAnsi"/>
          <w:sz w:val="22"/>
        </w:rPr>
        <w:t xml:space="preserve">the </w:t>
      </w:r>
      <w:r w:rsidR="00621DF4" w:rsidRPr="00F428A9">
        <w:rPr>
          <w:rFonts w:ascii="Franklin Gothic Book" w:hAnsi="Franklin Gothic Book" w:cstheme="minorHAnsi"/>
          <w:sz w:val="22"/>
        </w:rPr>
        <w:t>re</w:t>
      </w:r>
      <w:r w:rsidR="00D93616" w:rsidRPr="00F428A9">
        <w:rPr>
          <w:rFonts w:ascii="Franklin Gothic Book" w:hAnsi="Franklin Gothic Book" w:cstheme="minorHAnsi"/>
          <w:sz w:val="22"/>
        </w:rPr>
        <w:t>-</w:t>
      </w:r>
      <w:r w:rsidR="00621DF4" w:rsidRPr="00F428A9">
        <w:rPr>
          <w:rFonts w:ascii="Franklin Gothic Book" w:hAnsi="Franklin Gothic Book" w:cstheme="minorHAnsi"/>
          <w:sz w:val="22"/>
        </w:rPr>
        <w:t>biopsy rate was likely to be small and insignificant (</w:t>
      </w:r>
      <w:r w:rsidR="003E5A24" w:rsidRPr="00F428A9">
        <w:rPr>
          <w:rFonts w:ascii="Franklin Gothic Book" w:hAnsi="Franklin Gothic Book" w:cstheme="minorHAnsi"/>
          <w:sz w:val="22"/>
        </w:rPr>
        <w:t xml:space="preserve">p12, </w:t>
      </w:r>
      <w:r w:rsidR="00621DF4" w:rsidRPr="00F428A9">
        <w:rPr>
          <w:rFonts w:ascii="Franklin Gothic Book" w:hAnsi="Franklin Gothic Book" w:cstheme="minorHAnsi"/>
          <w:sz w:val="22"/>
        </w:rPr>
        <w:t xml:space="preserve">MSAC 1767 </w:t>
      </w:r>
      <w:r w:rsidR="00E27E43" w:rsidRPr="00F428A9">
        <w:rPr>
          <w:rFonts w:ascii="Franklin Gothic Book" w:hAnsi="Franklin Gothic Book" w:cstheme="minorHAnsi"/>
          <w:sz w:val="22"/>
        </w:rPr>
        <w:t xml:space="preserve">Ratified </w:t>
      </w:r>
      <w:r w:rsidR="00621DF4" w:rsidRPr="00F428A9">
        <w:rPr>
          <w:rFonts w:ascii="Franklin Gothic Book" w:hAnsi="Franklin Gothic Book" w:cstheme="minorHAnsi"/>
          <w:sz w:val="22"/>
        </w:rPr>
        <w:t>PICO Confirmation, April 2024 meeting).</w:t>
      </w:r>
    </w:p>
    <w:p w14:paraId="0F99F8F7" w14:textId="77777777" w:rsidR="0062726F" w:rsidRPr="00F428A9" w:rsidRDefault="0062726F" w:rsidP="00565A06">
      <w:pPr>
        <w:pStyle w:val="Heading4"/>
        <w:rPr>
          <w:rFonts w:ascii="Franklin Gothic Book" w:hAnsi="Franklin Gothic Book"/>
          <w:color w:val="auto"/>
        </w:rPr>
      </w:pPr>
      <w:r w:rsidRPr="00F428A9">
        <w:rPr>
          <w:rFonts w:ascii="Franklin Gothic Book" w:hAnsi="Franklin Gothic Book"/>
          <w:color w:val="auto"/>
        </w:rPr>
        <w:t>Adverse events from changes in management</w:t>
      </w:r>
    </w:p>
    <w:p w14:paraId="2C2E65C7" w14:textId="654027AC" w:rsidR="00246EA6" w:rsidRPr="00F428A9" w:rsidRDefault="3EEA3FA9" w:rsidP="00F428A9">
      <w:pPr>
        <w:pStyle w:val="MSACESParagraph"/>
        <w:rPr>
          <w:rFonts w:ascii="Franklin Gothic Book" w:hAnsi="Franklin Gothic Book"/>
          <w:sz w:val="22"/>
        </w:rPr>
      </w:pPr>
      <w:r w:rsidRPr="00F428A9">
        <w:rPr>
          <w:rFonts w:ascii="Franklin Gothic Book" w:hAnsi="Franklin Gothic Book"/>
          <w:sz w:val="22"/>
        </w:rPr>
        <w:t>The use of CLDN18 testing would result in the majority of those with CLDN18.2+ expression receiving zolbetuximab</w:t>
      </w:r>
      <w:r w:rsidR="1F194D3F" w:rsidRPr="00F428A9">
        <w:rPr>
          <w:rFonts w:ascii="Franklin Gothic Book" w:hAnsi="Franklin Gothic Book"/>
          <w:sz w:val="22"/>
        </w:rPr>
        <w:t xml:space="preserve"> + chemotherapy</w:t>
      </w:r>
      <w:r w:rsidRPr="00F428A9">
        <w:rPr>
          <w:rFonts w:ascii="Franklin Gothic Book" w:hAnsi="Franklin Gothic Book"/>
          <w:sz w:val="22"/>
        </w:rPr>
        <w:t>.</w:t>
      </w:r>
      <w:r w:rsidR="59B39191" w:rsidRPr="00F428A9">
        <w:rPr>
          <w:rFonts w:ascii="Franklin Gothic Book" w:hAnsi="Franklin Gothic Book"/>
          <w:sz w:val="22"/>
        </w:rPr>
        <w:t xml:space="preserve"> </w:t>
      </w:r>
      <w:r w:rsidRPr="00F428A9">
        <w:rPr>
          <w:rFonts w:ascii="Franklin Gothic Book" w:hAnsi="Franklin Gothic Book"/>
          <w:sz w:val="22"/>
        </w:rPr>
        <w:t>No formal indirect comparisons were conducted in the submission to determine the relative safety of zolbetuximab and nivolumab</w:t>
      </w:r>
      <w:r w:rsidR="1F194D3F" w:rsidRPr="00F428A9">
        <w:rPr>
          <w:rFonts w:ascii="Franklin Gothic Book" w:hAnsi="Franklin Gothic Book"/>
          <w:sz w:val="22"/>
        </w:rPr>
        <w:t>, in combination with chemotherapy</w:t>
      </w:r>
      <w:r w:rsidRPr="00F428A9">
        <w:rPr>
          <w:rFonts w:ascii="Franklin Gothic Book" w:hAnsi="Franklin Gothic Book"/>
          <w:sz w:val="22"/>
        </w:rPr>
        <w:t>.</w:t>
      </w:r>
      <w:r w:rsidR="17E22774" w:rsidRPr="00F428A9">
        <w:rPr>
          <w:rFonts w:ascii="Franklin Gothic Book" w:hAnsi="Franklin Gothic Book"/>
          <w:sz w:val="22"/>
        </w:rPr>
        <w:t xml:space="preserve"> </w:t>
      </w:r>
    </w:p>
    <w:p w14:paraId="7D9B420C" w14:textId="7600554C" w:rsidR="00246EA6" w:rsidRPr="00F428A9" w:rsidRDefault="341FA46D" w:rsidP="00F428A9">
      <w:pPr>
        <w:pStyle w:val="MSACESParagraph"/>
        <w:rPr>
          <w:rFonts w:ascii="Franklin Gothic Book" w:hAnsi="Franklin Gothic Book"/>
          <w:sz w:val="22"/>
        </w:rPr>
      </w:pPr>
      <w:bookmarkStart w:id="44" w:name="_Hlk183596729"/>
      <w:r w:rsidRPr="00F428A9">
        <w:rPr>
          <w:rFonts w:ascii="Franklin Gothic Book" w:hAnsi="Franklin Gothic Book"/>
          <w:sz w:val="22"/>
        </w:rPr>
        <w:t xml:space="preserve">Based on </w:t>
      </w:r>
      <w:r w:rsidR="33379006" w:rsidRPr="00F428A9">
        <w:rPr>
          <w:rFonts w:ascii="Franklin Gothic Book" w:hAnsi="Franklin Gothic Book"/>
          <w:sz w:val="22"/>
        </w:rPr>
        <w:t xml:space="preserve">unanchored and unadjusted indirect treatment comparison of </w:t>
      </w:r>
      <w:r w:rsidR="13AEDA84" w:rsidRPr="00F428A9">
        <w:rPr>
          <w:rFonts w:ascii="Franklin Gothic Book" w:hAnsi="Franklin Gothic Book"/>
          <w:sz w:val="22"/>
        </w:rPr>
        <w:t xml:space="preserve">the </w:t>
      </w:r>
      <w:r w:rsidRPr="00F428A9">
        <w:rPr>
          <w:rFonts w:ascii="Franklin Gothic Book" w:hAnsi="Franklin Gothic Book"/>
          <w:sz w:val="22"/>
        </w:rPr>
        <w:t xml:space="preserve">pooled </w:t>
      </w:r>
      <w:r w:rsidR="1E4129B3" w:rsidRPr="00F428A9">
        <w:rPr>
          <w:rFonts w:ascii="Franklin Gothic Book" w:hAnsi="Franklin Gothic Book"/>
          <w:sz w:val="22"/>
        </w:rPr>
        <w:t xml:space="preserve">safety </w:t>
      </w:r>
      <w:r w:rsidRPr="00F428A9">
        <w:rPr>
          <w:rFonts w:ascii="Franklin Gothic Book" w:hAnsi="Franklin Gothic Book"/>
          <w:sz w:val="22"/>
        </w:rPr>
        <w:t xml:space="preserve">data from zolbetuximab trials (SPOTLIGHT and GLOW) and </w:t>
      </w:r>
      <w:r w:rsidR="0C15E5C1" w:rsidRPr="00F428A9">
        <w:rPr>
          <w:rFonts w:ascii="Franklin Gothic Book" w:hAnsi="Franklin Gothic Book"/>
          <w:sz w:val="22"/>
        </w:rPr>
        <w:t xml:space="preserve">the </w:t>
      </w:r>
      <w:r w:rsidRPr="00F428A9">
        <w:rPr>
          <w:rFonts w:ascii="Franklin Gothic Book" w:hAnsi="Franklin Gothic Book"/>
          <w:sz w:val="22"/>
        </w:rPr>
        <w:t>nivolumab trial (</w:t>
      </w:r>
      <w:proofErr w:type="spellStart"/>
      <w:r w:rsidRPr="00F428A9">
        <w:rPr>
          <w:rFonts w:ascii="Franklin Gothic Book" w:hAnsi="Franklin Gothic Book"/>
          <w:sz w:val="22"/>
        </w:rPr>
        <w:t>CheckMate</w:t>
      </w:r>
      <w:proofErr w:type="spellEnd"/>
      <w:r w:rsidRPr="00F428A9">
        <w:rPr>
          <w:rFonts w:ascii="Franklin Gothic Book" w:hAnsi="Franklin Gothic Book"/>
          <w:sz w:val="22"/>
        </w:rPr>
        <w:t xml:space="preserve"> 649)</w:t>
      </w:r>
      <w:r w:rsidR="1E4129B3" w:rsidRPr="00F428A9">
        <w:rPr>
          <w:rFonts w:ascii="Franklin Gothic Book" w:hAnsi="Franklin Gothic Book"/>
          <w:sz w:val="22"/>
        </w:rPr>
        <w:t xml:space="preserve">, </w:t>
      </w:r>
      <w:r w:rsidR="3BDE3078" w:rsidRPr="00F428A9">
        <w:rPr>
          <w:rFonts w:ascii="Franklin Gothic Book" w:hAnsi="Franklin Gothic Book"/>
          <w:sz w:val="22"/>
        </w:rPr>
        <w:t xml:space="preserve">a higher proportion of </w:t>
      </w:r>
      <w:r w:rsidRPr="00F428A9">
        <w:rPr>
          <w:rFonts w:ascii="Franklin Gothic Book" w:hAnsi="Franklin Gothic Book"/>
          <w:sz w:val="22"/>
        </w:rPr>
        <w:t xml:space="preserve">Grade 3-4 </w:t>
      </w:r>
      <w:r w:rsidR="3605220E" w:rsidRPr="00F428A9">
        <w:rPr>
          <w:rFonts w:ascii="Franklin Gothic Book" w:hAnsi="Franklin Gothic Book"/>
          <w:sz w:val="22"/>
        </w:rPr>
        <w:t>treatment-emergent AEs (</w:t>
      </w:r>
      <w:r w:rsidRPr="00F428A9">
        <w:rPr>
          <w:rFonts w:ascii="Franklin Gothic Book" w:hAnsi="Franklin Gothic Book"/>
          <w:sz w:val="22"/>
        </w:rPr>
        <w:t>TEAEs</w:t>
      </w:r>
      <w:r w:rsidR="3605220E" w:rsidRPr="00F428A9">
        <w:rPr>
          <w:rFonts w:ascii="Franklin Gothic Book" w:hAnsi="Franklin Gothic Book"/>
          <w:sz w:val="22"/>
        </w:rPr>
        <w:t>)</w:t>
      </w:r>
      <w:r w:rsidRPr="00F428A9">
        <w:rPr>
          <w:rFonts w:ascii="Franklin Gothic Book" w:hAnsi="Franklin Gothic Book"/>
          <w:sz w:val="22"/>
        </w:rPr>
        <w:t xml:space="preserve"> occurred in active treatment arms</w:t>
      </w:r>
      <w:r w:rsidR="726DC221" w:rsidRPr="00F428A9">
        <w:rPr>
          <w:rFonts w:ascii="Franklin Gothic Book" w:hAnsi="Franklin Gothic Book"/>
          <w:sz w:val="22"/>
        </w:rPr>
        <w:t xml:space="preserve">; </w:t>
      </w:r>
      <w:r w:rsidRPr="00F428A9">
        <w:rPr>
          <w:rFonts w:ascii="Franklin Gothic Book" w:hAnsi="Franklin Gothic Book"/>
          <w:sz w:val="22"/>
        </w:rPr>
        <w:t xml:space="preserve">70.9% vs 63.4% in zolbetuximab </w:t>
      </w:r>
      <w:r w:rsidR="726DC221" w:rsidRPr="00F428A9">
        <w:rPr>
          <w:rFonts w:ascii="Franklin Gothic Book" w:hAnsi="Franklin Gothic Book"/>
          <w:sz w:val="22"/>
        </w:rPr>
        <w:t>arm compared to chemotherapy arm</w:t>
      </w:r>
      <w:r w:rsidR="4B983E8B" w:rsidRPr="00F428A9">
        <w:rPr>
          <w:rFonts w:ascii="Franklin Gothic Book" w:hAnsi="Franklin Gothic Book"/>
          <w:sz w:val="22"/>
        </w:rPr>
        <w:t xml:space="preserve"> (risk difference</w:t>
      </w:r>
      <w:r w:rsidR="32BD943E" w:rsidRPr="00F428A9">
        <w:rPr>
          <w:rFonts w:ascii="Franklin Gothic Book" w:hAnsi="Franklin Gothic Book"/>
          <w:sz w:val="22"/>
        </w:rPr>
        <w:t xml:space="preserve"> [RD]</w:t>
      </w:r>
      <w:r w:rsidR="4B983E8B" w:rsidRPr="00F428A9">
        <w:rPr>
          <w:rFonts w:ascii="Franklin Gothic Book" w:hAnsi="Franklin Gothic Book"/>
          <w:sz w:val="22"/>
        </w:rPr>
        <w:t xml:space="preserve">: </w:t>
      </w:r>
      <w:r w:rsidR="32BD943E" w:rsidRPr="00F428A9">
        <w:rPr>
          <w:rFonts w:ascii="Franklin Gothic Book" w:hAnsi="Franklin Gothic Book"/>
          <w:sz w:val="22"/>
        </w:rPr>
        <w:t xml:space="preserve">0.08; 95% </w:t>
      </w:r>
      <w:r w:rsidR="4C19E6DA" w:rsidRPr="00F428A9">
        <w:rPr>
          <w:rFonts w:ascii="Franklin Gothic Book" w:hAnsi="Franklin Gothic Book"/>
          <w:sz w:val="22"/>
        </w:rPr>
        <w:t xml:space="preserve">Confidence Interval </w:t>
      </w:r>
      <w:r w:rsidR="31E1EF01" w:rsidRPr="00F428A9">
        <w:rPr>
          <w:rFonts w:ascii="Franklin Gothic Book" w:hAnsi="Franklin Gothic Book"/>
          <w:sz w:val="22"/>
        </w:rPr>
        <w:t>[</w:t>
      </w:r>
      <w:r w:rsidR="32BD943E" w:rsidRPr="00F428A9">
        <w:rPr>
          <w:rFonts w:ascii="Franklin Gothic Book" w:hAnsi="Franklin Gothic Book"/>
          <w:sz w:val="22"/>
        </w:rPr>
        <w:t>CI</w:t>
      </w:r>
      <w:r w:rsidR="31E1EF01" w:rsidRPr="00F428A9">
        <w:rPr>
          <w:rFonts w:ascii="Franklin Gothic Book" w:hAnsi="Franklin Gothic Book"/>
          <w:sz w:val="22"/>
        </w:rPr>
        <w:t>]</w:t>
      </w:r>
      <w:r w:rsidR="32BD943E" w:rsidRPr="00F428A9">
        <w:rPr>
          <w:rFonts w:ascii="Franklin Gothic Book" w:hAnsi="Franklin Gothic Book"/>
          <w:sz w:val="22"/>
        </w:rPr>
        <w:t>: 0.03, 0.12)</w:t>
      </w:r>
      <w:r w:rsidR="726DC221" w:rsidRPr="00F428A9">
        <w:rPr>
          <w:rFonts w:ascii="Franklin Gothic Book" w:hAnsi="Franklin Gothic Book"/>
          <w:sz w:val="22"/>
        </w:rPr>
        <w:t xml:space="preserve"> </w:t>
      </w:r>
      <w:r w:rsidRPr="00F428A9">
        <w:rPr>
          <w:rFonts w:ascii="Franklin Gothic Book" w:hAnsi="Franklin Gothic Book"/>
          <w:sz w:val="22"/>
        </w:rPr>
        <w:t>and 69.1%</w:t>
      </w:r>
      <w:r w:rsidR="726DC221" w:rsidRPr="00F428A9">
        <w:rPr>
          <w:rFonts w:ascii="Franklin Gothic Book" w:hAnsi="Franklin Gothic Book"/>
          <w:sz w:val="22"/>
        </w:rPr>
        <w:t xml:space="preserve"> vs 59.5%</w:t>
      </w:r>
      <w:r w:rsidR="1E4129B3" w:rsidRPr="00F428A9">
        <w:rPr>
          <w:rFonts w:ascii="Franklin Gothic Book" w:hAnsi="Franklin Gothic Book"/>
          <w:sz w:val="22"/>
        </w:rPr>
        <w:t xml:space="preserve"> </w:t>
      </w:r>
      <w:r w:rsidRPr="00F428A9">
        <w:rPr>
          <w:rFonts w:ascii="Franklin Gothic Book" w:hAnsi="Franklin Gothic Book"/>
          <w:sz w:val="22"/>
        </w:rPr>
        <w:t>in nivolumab</w:t>
      </w:r>
      <w:r w:rsidR="726DC221" w:rsidRPr="00F428A9">
        <w:rPr>
          <w:rFonts w:ascii="Franklin Gothic Book" w:hAnsi="Franklin Gothic Book"/>
          <w:sz w:val="22"/>
        </w:rPr>
        <w:t xml:space="preserve"> arm </w:t>
      </w:r>
      <w:r w:rsidRPr="00F428A9">
        <w:rPr>
          <w:rFonts w:ascii="Franklin Gothic Book" w:hAnsi="Franklin Gothic Book"/>
          <w:sz w:val="22"/>
        </w:rPr>
        <w:t>compared to the chemotherapy arm</w:t>
      </w:r>
      <w:r w:rsidR="32BD943E" w:rsidRPr="00F428A9">
        <w:rPr>
          <w:rFonts w:ascii="Franklin Gothic Book" w:hAnsi="Franklin Gothic Book"/>
          <w:sz w:val="22"/>
        </w:rPr>
        <w:t xml:space="preserve"> (RD: 0.10; 95% CI: 0.</w:t>
      </w:r>
      <w:r w:rsidR="574197AF" w:rsidRPr="00F428A9">
        <w:rPr>
          <w:rFonts w:ascii="Franklin Gothic Book" w:hAnsi="Franklin Gothic Book"/>
          <w:sz w:val="22"/>
        </w:rPr>
        <w:t>05, 0.14)</w:t>
      </w:r>
      <w:r w:rsidRPr="00F428A9">
        <w:rPr>
          <w:rFonts w:ascii="Franklin Gothic Book" w:hAnsi="Franklin Gothic Book"/>
          <w:sz w:val="22"/>
        </w:rPr>
        <w:t>, with no notable difference between zolbetuximab and nivolumab</w:t>
      </w:r>
      <w:r w:rsidR="726DC221" w:rsidRPr="00F428A9">
        <w:rPr>
          <w:rFonts w:ascii="Franklin Gothic Book" w:hAnsi="Franklin Gothic Book"/>
          <w:sz w:val="22"/>
        </w:rPr>
        <w:t xml:space="preserve"> arms</w:t>
      </w:r>
      <w:r w:rsidR="3F63FDCC" w:rsidRPr="00F428A9">
        <w:rPr>
          <w:rFonts w:ascii="Franklin Gothic Book" w:hAnsi="Franklin Gothic Book"/>
          <w:sz w:val="22"/>
        </w:rPr>
        <w:t xml:space="preserve"> (RD: </w:t>
      </w:r>
      <w:r w:rsidR="0A7B4334" w:rsidRPr="00F428A9">
        <w:rPr>
          <w:rFonts w:ascii="Franklin Gothic Book" w:hAnsi="Franklin Gothic Book"/>
          <w:sz w:val="22"/>
        </w:rPr>
        <w:t>0.02</w:t>
      </w:r>
      <w:r w:rsidR="4846EDB6" w:rsidRPr="00F428A9">
        <w:rPr>
          <w:rFonts w:ascii="Franklin Gothic Book" w:hAnsi="Franklin Gothic Book"/>
          <w:sz w:val="22"/>
        </w:rPr>
        <w:t>; 95% CI: -</w:t>
      </w:r>
      <w:r w:rsidR="161C86F3" w:rsidRPr="00F428A9">
        <w:rPr>
          <w:rFonts w:ascii="Franklin Gothic Book" w:hAnsi="Franklin Gothic Book"/>
          <w:sz w:val="22"/>
        </w:rPr>
        <w:t>0.03</w:t>
      </w:r>
      <w:r w:rsidR="4BB4328D" w:rsidRPr="00F428A9">
        <w:rPr>
          <w:rFonts w:ascii="Franklin Gothic Book" w:hAnsi="Franklin Gothic Book"/>
          <w:sz w:val="22"/>
        </w:rPr>
        <w:t>, 0.69</w:t>
      </w:r>
      <w:r w:rsidR="20A477D5" w:rsidRPr="00F428A9">
        <w:rPr>
          <w:rFonts w:ascii="Franklin Gothic Book" w:hAnsi="Franklin Gothic Book"/>
          <w:sz w:val="22"/>
        </w:rPr>
        <w:t>)</w:t>
      </w:r>
      <w:r w:rsidRPr="00F428A9">
        <w:rPr>
          <w:rFonts w:ascii="Franklin Gothic Book" w:hAnsi="Franklin Gothic Book"/>
          <w:sz w:val="22"/>
        </w:rPr>
        <w:t>. This trend was also observed for treatment related Grade 3-4 TEAE</w:t>
      </w:r>
      <w:r w:rsidR="1DC82241" w:rsidRPr="00F428A9">
        <w:rPr>
          <w:rFonts w:ascii="Franklin Gothic Book" w:hAnsi="Franklin Gothic Book"/>
          <w:sz w:val="22"/>
        </w:rPr>
        <w:t>s</w:t>
      </w:r>
      <w:r w:rsidR="1DC5288E" w:rsidRPr="00F428A9">
        <w:rPr>
          <w:rFonts w:ascii="Franklin Gothic Book" w:hAnsi="Franklin Gothic Book"/>
          <w:sz w:val="22"/>
        </w:rPr>
        <w:t xml:space="preserve"> (RD: 0.07; 95% CI: </w:t>
      </w:r>
      <w:r w:rsidR="089F52EC" w:rsidRPr="00F428A9">
        <w:rPr>
          <w:rFonts w:ascii="Franklin Gothic Book" w:hAnsi="Franklin Gothic Book"/>
          <w:sz w:val="22"/>
        </w:rPr>
        <w:t>0.02, 0.12)</w:t>
      </w:r>
      <w:r w:rsidRPr="00F428A9">
        <w:rPr>
          <w:rFonts w:ascii="Franklin Gothic Book" w:hAnsi="Franklin Gothic Book"/>
          <w:sz w:val="22"/>
        </w:rPr>
        <w:t>.</w:t>
      </w:r>
      <w:r w:rsidR="1E4129B3" w:rsidRPr="00F428A9">
        <w:rPr>
          <w:rFonts w:ascii="Franklin Gothic Book" w:hAnsi="Franklin Gothic Book"/>
          <w:sz w:val="22"/>
        </w:rPr>
        <w:t xml:space="preserve"> </w:t>
      </w:r>
      <w:r w:rsidR="3BDE3078" w:rsidRPr="00F428A9">
        <w:rPr>
          <w:rFonts w:ascii="Franklin Gothic Book" w:hAnsi="Franklin Gothic Book"/>
          <w:sz w:val="22"/>
        </w:rPr>
        <w:t xml:space="preserve">The rate of serious TEAEs were similar </w:t>
      </w:r>
      <w:r w:rsidRPr="00F428A9">
        <w:rPr>
          <w:rFonts w:ascii="Franklin Gothic Book" w:hAnsi="Franklin Gothic Book"/>
          <w:sz w:val="22"/>
        </w:rPr>
        <w:t xml:space="preserve">between zolbetuximab and chemotherapy </w:t>
      </w:r>
      <w:r w:rsidR="726DC221" w:rsidRPr="00F428A9">
        <w:rPr>
          <w:rFonts w:ascii="Franklin Gothic Book" w:hAnsi="Franklin Gothic Book"/>
          <w:sz w:val="22"/>
        </w:rPr>
        <w:t xml:space="preserve">arms </w:t>
      </w:r>
      <w:r w:rsidRPr="00F428A9">
        <w:rPr>
          <w:rFonts w:ascii="Franklin Gothic Book" w:hAnsi="Franklin Gothic Book"/>
          <w:sz w:val="22"/>
        </w:rPr>
        <w:t>(</w:t>
      </w:r>
      <w:r w:rsidR="3BDE3078" w:rsidRPr="00F428A9">
        <w:rPr>
          <w:rFonts w:ascii="Franklin Gothic Book" w:hAnsi="Franklin Gothic Book"/>
          <w:sz w:val="22"/>
        </w:rPr>
        <w:t xml:space="preserve">46% vs </w:t>
      </w:r>
      <w:r w:rsidRPr="00F428A9">
        <w:rPr>
          <w:rFonts w:ascii="Franklin Gothic Book" w:hAnsi="Franklin Gothic Book"/>
          <w:sz w:val="22"/>
        </w:rPr>
        <w:t>46.5%</w:t>
      </w:r>
      <w:r w:rsidR="2ED44A8A" w:rsidRPr="00F428A9">
        <w:rPr>
          <w:rFonts w:ascii="Franklin Gothic Book" w:hAnsi="Franklin Gothic Book"/>
          <w:sz w:val="22"/>
        </w:rPr>
        <w:t>; RD</w:t>
      </w:r>
      <w:r w:rsidR="584F721B" w:rsidRPr="00F428A9">
        <w:rPr>
          <w:rFonts w:ascii="Franklin Gothic Book" w:hAnsi="Franklin Gothic Book"/>
          <w:sz w:val="22"/>
        </w:rPr>
        <w:t>: -0.01</w:t>
      </w:r>
      <w:r w:rsidR="752F34E3" w:rsidRPr="00F428A9">
        <w:rPr>
          <w:rFonts w:ascii="Franklin Gothic Book" w:hAnsi="Franklin Gothic Book"/>
          <w:sz w:val="22"/>
        </w:rPr>
        <w:t>; 95% CI: -0.05, 0.04</w:t>
      </w:r>
      <w:r w:rsidRPr="00F428A9">
        <w:rPr>
          <w:rFonts w:ascii="Franklin Gothic Book" w:hAnsi="Franklin Gothic Book"/>
          <w:sz w:val="22"/>
        </w:rPr>
        <w:t>)</w:t>
      </w:r>
      <w:r w:rsidR="3BDE3078" w:rsidRPr="00F428A9">
        <w:rPr>
          <w:rFonts w:ascii="Franklin Gothic Book" w:hAnsi="Franklin Gothic Book"/>
          <w:sz w:val="22"/>
        </w:rPr>
        <w:t xml:space="preserve">, while </w:t>
      </w:r>
      <w:r w:rsidRPr="00F428A9">
        <w:rPr>
          <w:rFonts w:ascii="Franklin Gothic Book" w:hAnsi="Franklin Gothic Book"/>
          <w:sz w:val="22"/>
        </w:rPr>
        <w:t xml:space="preserve">a higher proportion of patients </w:t>
      </w:r>
      <w:r w:rsidR="3BDE3078" w:rsidRPr="00F428A9">
        <w:rPr>
          <w:rFonts w:ascii="Franklin Gothic Book" w:hAnsi="Franklin Gothic Book"/>
          <w:sz w:val="22"/>
        </w:rPr>
        <w:t>experience</w:t>
      </w:r>
      <w:r w:rsidR="46BE943C" w:rsidRPr="00F428A9">
        <w:rPr>
          <w:rFonts w:ascii="Franklin Gothic Book" w:hAnsi="Franklin Gothic Book"/>
          <w:sz w:val="22"/>
        </w:rPr>
        <w:t>d</w:t>
      </w:r>
      <w:r w:rsidR="3BDE3078" w:rsidRPr="00F428A9">
        <w:rPr>
          <w:rFonts w:ascii="Franklin Gothic Book" w:hAnsi="Franklin Gothic Book"/>
          <w:sz w:val="22"/>
        </w:rPr>
        <w:t xml:space="preserve"> serious TEAEs </w:t>
      </w:r>
      <w:r w:rsidR="46BE943C" w:rsidRPr="00F428A9">
        <w:rPr>
          <w:rFonts w:ascii="Franklin Gothic Book" w:hAnsi="Franklin Gothic Book"/>
          <w:sz w:val="22"/>
        </w:rPr>
        <w:t xml:space="preserve">in the nivolumab arm </w:t>
      </w:r>
      <w:r w:rsidR="3BDE3078" w:rsidRPr="00F428A9">
        <w:rPr>
          <w:rFonts w:ascii="Franklin Gothic Book" w:hAnsi="Franklin Gothic Book"/>
          <w:sz w:val="22"/>
        </w:rPr>
        <w:t xml:space="preserve">compared to chemotherapy </w:t>
      </w:r>
      <w:r w:rsidR="726DC221" w:rsidRPr="00F428A9">
        <w:rPr>
          <w:rFonts w:ascii="Franklin Gothic Book" w:hAnsi="Franklin Gothic Book"/>
          <w:sz w:val="22"/>
        </w:rPr>
        <w:t xml:space="preserve">arm </w:t>
      </w:r>
      <w:r w:rsidRPr="00F428A9">
        <w:rPr>
          <w:rFonts w:ascii="Franklin Gothic Book" w:hAnsi="Franklin Gothic Book"/>
          <w:sz w:val="22"/>
        </w:rPr>
        <w:t>(</w:t>
      </w:r>
      <w:r w:rsidR="3BDE3078" w:rsidRPr="00F428A9">
        <w:rPr>
          <w:rFonts w:ascii="Franklin Gothic Book" w:hAnsi="Franklin Gothic Book"/>
          <w:sz w:val="22"/>
        </w:rPr>
        <w:t xml:space="preserve">54.1% vs </w:t>
      </w:r>
      <w:r w:rsidRPr="00F428A9">
        <w:rPr>
          <w:rFonts w:ascii="Franklin Gothic Book" w:hAnsi="Franklin Gothic Book"/>
          <w:sz w:val="22"/>
        </w:rPr>
        <w:t>43.7%</w:t>
      </w:r>
      <w:r w:rsidR="752F34E3" w:rsidRPr="00F428A9">
        <w:rPr>
          <w:rFonts w:ascii="Franklin Gothic Book" w:hAnsi="Franklin Gothic Book"/>
          <w:sz w:val="22"/>
        </w:rPr>
        <w:t xml:space="preserve">; RD: </w:t>
      </w:r>
      <w:r w:rsidR="0382A92A" w:rsidRPr="00F428A9">
        <w:rPr>
          <w:rFonts w:ascii="Franklin Gothic Book" w:hAnsi="Franklin Gothic Book"/>
          <w:sz w:val="22"/>
        </w:rPr>
        <w:t>0.10; 95% CI: 0.05, 0.15</w:t>
      </w:r>
      <w:r w:rsidRPr="00F428A9">
        <w:rPr>
          <w:rFonts w:ascii="Franklin Gothic Book" w:hAnsi="Franklin Gothic Book"/>
          <w:sz w:val="22"/>
        </w:rPr>
        <w:t xml:space="preserve">). Treatment-related serious TEAEs were </w:t>
      </w:r>
      <w:r w:rsidR="3BDE3078" w:rsidRPr="00F428A9">
        <w:rPr>
          <w:rFonts w:ascii="Franklin Gothic Book" w:hAnsi="Franklin Gothic Book"/>
          <w:sz w:val="22"/>
        </w:rPr>
        <w:t xml:space="preserve">more </w:t>
      </w:r>
      <w:r w:rsidRPr="00F428A9">
        <w:rPr>
          <w:rFonts w:ascii="Franklin Gothic Book" w:hAnsi="Franklin Gothic Book"/>
          <w:sz w:val="22"/>
        </w:rPr>
        <w:t>frequent in zolbetuximab</w:t>
      </w:r>
      <w:r w:rsidR="46BE943C" w:rsidRPr="00F428A9">
        <w:rPr>
          <w:rFonts w:ascii="Franklin Gothic Book" w:hAnsi="Franklin Gothic Book"/>
          <w:sz w:val="22"/>
        </w:rPr>
        <w:t xml:space="preserve"> arm</w:t>
      </w:r>
      <w:r w:rsidRPr="00F428A9">
        <w:rPr>
          <w:rFonts w:ascii="Franklin Gothic Book" w:hAnsi="Franklin Gothic Book"/>
          <w:sz w:val="22"/>
        </w:rPr>
        <w:t xml:space="preserve"> (25.1% vs 18.4%</w:t>
      </w:r>
      <w:r w:rsidR="0382A92A" w:rsidRPr="00F428A9">
        <w:rPr>
          <w:rFonts w:ascii="Franklin Gothic Book" w:hAnsi="Franklin Gothic Book"/>
          <w:sz w:val="22"/>
        </w:rPr>
        <w:t xml:space="preserve">; RD: </w:t>
      </w:r>
      <w:r w:rsidR="17F0A7D1" w:rsidRPr="00F428A9">
        <w:rPr>
          <w:rFonts w:ascii="Franklin Gothic Book" w:hAnsi="Franklin Gothic Book"/>
          <w:sz w:val="22"/>
        </w:rPr>
        <w:t>0.07; 95% CI: 0.01, 0.08</w:t>
      </w:r>
      <w:r w:rsidRPr="00F428A9">
        <w:rPr>
          <w:rFonts w:ascii="Franklin Gothic Book" w:hAnsi="Franklin Gothic Book"/>
          <w:sz w:val="22"/>
        </w:rPr>
        <w:t>) and nivolumab</w:t>
      </w:r>
      <w:r w:rsidR="46BE943C" w:rsidRPr="00F428A9">
        <w:rPr>
          <w:rFonts w:ascii="Franklin Gothic Book" w:hAnsi="Franklin Gothic Book"/>
          <w:sz w:val="22"/>
        </w:rPr>
        <w:t xml:space="preserve"> arm</w:t>
      </w:r>
      <w:r w:rsidRPr="00F428A9">
        <w:rPr>
          <w:rFonts w:ascii="Franklin Gothic Book" w:hAnsi="Franklin Gothic Book"/>
          <w:sz w:val="22"/>
        </w:rPr>
        <w:t xml:space="preserve"> (22.0% vs 12.1%</w:t>
      </w:r>
      <w:r w:rsidR="17F0A7D1" w:rsidRPr="00F428A9">
        <w:rPr>
          <w:rFonts w:ascii="Franklin Gothic Book" w:hAnsi="Franklin Gothic Book"/>
          <w:sz w:val="22"/>
        </w:rPr>
        <w:t>; RD: 0.10; 95% CI: 0.</w:t>
      </w:r>
      <w:r w:rsidR="3F54B61C" w:rsidRPr="00F428A9">
        <w:rPr>
          <w:rFonts w:ascii="Franklin Gothic Book" w:hAnsi="Franklin Gothic Book"/>
          <w:sz w:val="22"/>
        </w:rPr>
        <w:t>06, 0.14</w:t>
      </w:r>
      <w:r w:rsidRPr="00F428A9">
        <w:rPr>
          <w:rFonts w:ascii="Franklin Gothic Book" w:hAnsi="Franklin Gothic Book"/>
          <w:sz w:val="22"/>
        </w:rPr>
        <w:t>)</w:t>
      </w:r>
      <w:r w:rsidR="3BDE3078" w:rsidRPr="00F428A9">
        <w:rPr>
          <w:rFonts w:ascii="Franklin Gothic Book" w:hAnsi="Franklin Gothic Book"/>
          <w:sz w:val="22"/>
        </w:rPr>
        <w:t xml:space="preserve"> than in </w:t>
      </w:r>
      <w:r w:rsidR="46BE943C" w:rsidRPr="00F428A9">
        <w:rPr>
          <w:rFonts w:ascii="Franklin Gothic Book" w:hAnsi="Franklin Gothic Book"/>
          <w:sz w:val="22"/>
        </w:rPr>
        <w:t xml:space="preserve">the respective </w:t>
      </w:r>
      <w:r w:rsidR="3BDE3078" w:rsidRPr="00F428A9">
        <w:rPr>
          <w:rFonts w:ascii="Franklin Gothic Book" w:hAnsi="Franklin Gothic Book"/>
          <w:sz w:val="22"/>
        </w:rPr>
        <w:t>chemotherapy</w:t>
      </w:r>
      <w:r w:rsidR="46BE943C" w:rsidRPr="00F428A9">
        <w:rPr>
          <w:rFonts w:ascii="Franklin Gothic Book" w:hAnsi="Franklin Gothic Book"/>
          <w:sz w:val="22"/>
        </w:rPr>
        <w:t xml:space="preserve"> arm</w:t>
      </w:r>
      <w:r w:rsidRPr="00F428A9">
        <w:rPr>
          <w:rFonts w:ascii="Franklin Gothic Book" w:hAnsi="Franklin Gothic Book"/>
          <w:sz w:val="22"/>
        </w:rPr>
        <w:t>, with no notable difference in magnitude between zolbetuximab and nivolumab</w:t>
      </w:r>
      <w:r w:rsidR="46BE943C" w:rsidRPr="00F428A9">
        <w:rPr>
          <w:rFonts w:ascii="Franklin Gothic Book" w:hAnsi="Franklin Gothic Book"/>
          <w:sz w:val="22"/>
        </w:rPr>
        <w:t xml:space="preserve"> arms</w:t>
      </w:r>
      <w:r w:rsidR="20A477D5" w:rsidRPr="00F428A9">
        <w:rPr>
          <w:rFonts w:ascii="Franklin Gothic Book" w:hAnsi="Franklin Gothic Book"/>
          <w:sz w:val="22"/>
        </w:rPr>
        <w:t xml:space="preserve"> (</w:t>
      </w:r>
      <w:r w:rsidR="09060C32" w:rsidRPr="00F428A9">
        <w:rPr>
          <w:rFonts w:ascii="Franklin Gothic Book" w:hAnsi="Franklin Gothic Book"/>
          <w:sz w:val="22"/>
        </w:rPr>
        <w:t>RD: 0.03; 95% CI: -0.0</w:t>
      </w:r>
      <w:r w:rsidR="6A8077EB" w:rsidRPr="00F428A9">
        <w:rPr>
          <w:rFonts w:ascii="Franklin Gothic Book" w:hAnsi="Franklin Gothic Book"/>
          <w:sz w:val="22"/>
        </w:rPr>
        <w:t>2, 0.08)</w:t>
      </w:r>
      <w:r w:rsidRPr="00F428A9">
        <w:rPr>
          <w:rFonts w:ascii="Franklin Gothic Book" w:hAnsi="Franklin Gothic Book"/>
          <w:sz w:val="22"/>
        </w:rPr>
        <w:t xml:space="preserve">. </w:t>
      </w:r>
      <w:r w:rsidR="3BDE3078" w:rsidRPr="00F428A9">
        <w:rPr>
          <w:rFonts w:ascii="Franklin Gothic Book" w:hAnsi="Franklin Gothic Book"/>
          <w:sz w:val="22"/>
        </w:rPr>
        <w:t>More</w:t>
      </w:r>
      <w:r w:rsidRPr="00F428A9">
        <w:rPr>
          <w:rFonts w:ascii="Franklin Gothic Book" w:hAnsi="Franklin Gothic Book"/>
          <w:sz w:val="22"/>
        </w:rPr>
        <w:t xml:space="preserve"> patients in nivolumab</w:t>
      </w:r>
      <w:r w:rsidR="46BE943C" w:rsidRPr="00F428A9">
        <w:rPr>
          <w:rFonts w:ascii="Franklin Gothic Book" w:hAnsi="Franklin Gothic Book"/>
          <w:sz w:val="22"/>
        </w:rPr>
        <w:t xml:space="preserve"> arm</w:t>
      </w:r>
      <w:r w:rsidRPr="00F428A9">
        <w:rPr>
          <w:rFonts w:ascii="Franklin Gothic Book" w:hAnsi="Franklin Gothic Book"/>
          <w:sz w:val="22"/>
        </w:rPr>
        <w:t xml:space="preserve"> </w:t>
      </w:r>
      <w:r w:rsidR="3BDE3078" w:rsidRPr="00F428A9">
        <w:rPr>
          <w:rFonts w:ascii="Franklin Gothic Book" w:hAnsi="Franklin Gothic Book"/>
          <w:sz w:val="22"/>
        </w:rPr>
        <w:t xml:space="preserve">(36.3%) </w:t>
      </w:r>
      <w:r w:rsidRPr="00F428A9">
        <w:rPr>
          <w:rFonts w:ascii="Franklin Gothic Book" w:hAnsi="Franklin Gothic Book"/>
          <w:sz w:val="22"/>
        </w:rPr>
        <w:t>compared to zolbetuximab</w:t>
      </w:r>
      <w:r w:rsidR="3BDE3078" w:rsidRPr="00F428A9">
        <w:rPr>
          <w:rFonts w:ascii="Franklin Gothic Book" w:hAnsi="Franklin Gothic Book"/>
          <w:sz w:val="22"/>
        </w:rPr>
        <w:t xml:space="preserve"> </w:t>
      </w:r>
      <w:r w:rsidR="46BE943C" w:rsidRPr="00F428A9">
        <w:rPr>
          <w:rFonts w:ascii="Franklin Gothic Book" w:hAnsi="Franklin Gothic Book"/>
          <w:sz w:val="22"/>
        </w:rPr>
        <w:t xml:space="preserve">arm </w:t>
      </w:r>
      <w:r w:rsidR="3BDE3078" w:rsidRPr="00F428A9">
        <w:rPr>
          <w:rFonts w:ascii="Franklin Gothic Book" w:hAnsi="Franklin Gothic Book"/>
          <w:sz w:val="22"/>
        </w:rPr>
        <w:t>(20.6%)</w:t>
      </w:r>
      <w:r w:rsidR="09297907" w:rsidRPr="00F428A9">
        <w:rPr>
          <w:rFonts w:ascii="Franklin Gothic Book" w:hAnsi="Franklin Gothic Book"/>
          <w:sz w:val="22"/>
        </w:rPr>
        <w:t xml:space="preserve"> discontinued treatment due to TEAEs (RD: -0.16; 95% CI: -0.21, -0.11)</w:t>
      </w:r>
      <w:r w:rsidR="3BDE3078" w:rsidRPr="00F428A9">
        <w:rPr>
          <w:rFonts w:ascii="Franklin Gothic Book" w:hAnsi="Franklin Gothic Book"/>
          <w:sz w:val="22"/>
        </w:rPr>
        <w:t>.</w:t>
      </w:r>
    </w:p>
    <w:bookmarkEnd w:id="44"/>
    <w:p w14:paraId="64D7203E" w14:textId="0149BFC4" w:rsidR="00246EA6" w:rsidRPr="00F428A9" w:rsidRDefault="00A508CE" w:rsidP="00F428A9">
      <w:pPr>
        <w:pStyle w:val="MSACESParagraph"/>
        <w:rPr>
          <w:rFonts w:ascii="Franklin Gothic Book" w:hAnsi="Franklin Gothic Book"/>
          <w:sz w:val="22"/>
        </w:rPr>
      </w:pPr>
      <w:r w:rsidRPr="00F428A9">
        <w:rPr>
          <w:rFonts w:ascii="Franklin Gothic Book" w:hAnsi="Franklin Gothic Book"/>
          <w:sz w:val="22"/>
        </w:rPr>
        <w:t>Notably, z</w:t>
      </w:r>
      <w:r w:rsidR="00246EA6" w:rsidRPr="00F428A9">
        <w:rPr>
          <w:rFonts w:ascii="Franklin Gothic Book" w:hAnsi="Franklin Gothic Book"/>
          <w:sz w:val="22"/>
        </w:rPr>
        <w:t xml:space="preserve">olbetuximab and nivolumab have distinct safety profiles. </w:t>
      </w:r>
      <w:r w:rsidR="0042269F" w:rsidRPr="00F428A9">
        <w:rPr>
          <w:rFonts w:ascii="Franklin Gothic Book" w:hAnsi="Franklin Gothic Book"/>
          <w:sz w:val="22"/>
        </w:rPr>
        <w:t>T</w:t>
      </w:r>
      <w:r w:rsidR="00246EA6" w:rsidRPr="00F428A9">
        <w:rPr>
          <w:rFonts w:ascii="Franklin Gothic Book" w:hAnsi="Franklin Gothic Book"/>
          <w:sz w:val="22"/>
        </w:rPr>
        <w:t>he most common Grade 3-4 TEAEs with zolbetuximab were nausea</w:t>
      </w:r>
      <w:r w:rsidR="00E27E43" w:rsidRPr="00F428A9">
        <w:rPr>
          <w:rFonts w:ascii="Franklin Gothic Book" w:hAnsi="Franklin Gothic Book"/>
          <w:sz w:val="22"/>
        </w:rPr>
        <w:t xml:space="preserve"> (11.6%)</w:t>
      </w:r>
      <w:r w:rsidR="00246EA6" w:rsidRPr="00F428A9">
        <w:rPr>
          <w:rFonts w:ascii="Franklin Gothic Book" w:hAnsi="Franklin Gothic Book"/>
          <w:sz w:val="22"/>
        </w:rPr>
        <w:t>, vomiting</w:t>
      </w:r>
      <w:r w:rsidR="00E27E43" w:rsidRPr="00F428A9">
        <w:rPr>
          <w:rFonts w:ascii="Franklin Gothic Book" w:hAnsi="Franklin Gothic Book"/>
          <w:sz w:val="22"/>
        </w:rPr>
        <w:t xml:space="preserve"> (12.8%)</w:t>
      </w:r>
      <w:r w:rsidR="00246EA6" w:rsidRPr="00F428A9">
        <w:rPr>
          <w:rFonts w:ascii="Franklin Gothic Book" w:hAnsi="Franklin Gothic Book"/>
          <w:sz w:val="22"/>
        </w:rPr>
        <w:t>, neutropenia</w:t>
      </w:r>
      <w:r w:rsidR="00E27E43" w:rsidRPr="00F428A9">
        <w:rPr>
          <w:rFonts w:ascii="Franklin Gothic Book" w:hAnsi="Franklin Gothic Book"/>
          <w:sz w:val="22"/>
        </w:rPr>
        <w:t xml:space="preserve"> (9.9%)</w:t>
      </w:r>
      <w:r w:rsidR="00246EA6" w:rsidRPr="00F428A9">
        <w:rPr>
          <w:rFonts w:ascii="Franklin Gothic Book" w:hAnsi="Franklin Gothic Book"/>
          <w:sz w:val="22"/>
        </w:rPr>
        <w:t xml:space="preserve"> and decreased appetite</w:t>
      </w:r>
      <w:r w:rsidR="00E27E43" w:rsidRPr="00F428A9">
        <w:rPr>
          <w:rFonts w:ascii="Franklin Gothic Book" w:hAnsi="Franklin Gothic Book"/>
          <w:sz w:val="22"/>
        </w:rPr>
        <w:t xml:space="preserve"> (4.7%)</w:t>
      </w:r>
      <w:r w:rsidR="00246EA6" w:rsidRPr="00F428A9">
        <w:rPr>
          <w:rFonts w:ascii="Franklin Gothic Book" w:hAnsi="Franklin Gothic Book"/>
          <w:sz w:val="22"/>
        </w:rPr>
        <w:t xml:space="preserve">, whereas </w:t>
      </w:r>
      <w:r w:rsidR="0094109C" w:rsidRPr="00F428A9">
        <w:rPr>
          <w:rFonts w:ascii="Franklin Gothic Book" w:hAnsi="Franklin Gothic Book"/>
          <w:sz w:val="22"/>
        </w:rPr>
        <w:t>neutropenia (</w:t>
      </w:r>
      <w:r w:rsidR="00FA43C3" w:rsidRPr="00F428A9">
        <w:rPr>
          <w:rFonts w:ascii="Franklin Gothic Book" w:hAnsi="Franklin Gothic Book"/>
          <w:sz w:val="22"/>
        </w:rPr>
        <w:t>defined as absolute neutrophil count &lt;1500 per microlite</w:t>
      </w:r>
      <w:r w:rsidR="000C4E5A" w:rsidRPr="00F428A9">
        <w:rPr>
          <w:rFonts w:ascii="Franklin Gothic Book" w:hAnsi="Franklin Gothic Book"/>
          <w:sz w:val="22"/>
        </w:rPr>
        <w:t>r</w:t>
      </w:r>
      <w:r w:rsidR="00FA43C3" w:rsidRPr="00F428A9">
        <w:rPr>
          <w:rFonts w:ascii="Franklin Gothic Book" w:hAnsi="Franklin Gothic Book"/>
          <w:sz w:val="22"/>
        </w:rPr>
        <w:t xml:space="preserve">; </w:t>
      </w:r>
      <w:r w:rsidR="0094109C" w:rsidRPr="00F428A9">
        <w:rPr>
          <w:rFonts w:ascii="Franklin Gothic Book" w:hAnsi="Franklin Gothic Book"/>
          <w:sz w:val="22"/>
        </w:rPr>
        <w:t>15.7%)</w:t>
      </w:r>
      <w:r w:rsidR="00246EA6" w:rsidRPr="00F428A9">
        <w:rPr>
          <w:rFonts w:ascii="Franklin Gothic Book" w:hAnsi="Franklin Gothic Book"/>
          <w:sz w:val="22"/>
        </w:rPr>
        <w:t xml:space="preserve">, </w:t>
      </w:r>
      <w:r w:rsidR="0094109C" w:rsidRPr="00F428A9">
        <w:rPr>
          <w:rFonts w:ascii="Franklin Gothic Book" w:hAnsi="Franklin Gothic Book"/>
          <w:sz w:val="22"/>
        </w:rPr>
        <w:t xml:space="preserve">neutrophil count decreased (10.7%), </w:t>
      </w:r>
      <w:r w:rsidR="00246EA6" w:rsidRPr="00F428A9">
        <w:rPr>
          <w:rFonts w:ascii="Franklin Gothic Book" w:hAnsi="Franklin Gothic Book"/>
          <w:sz w:val="22"/>
        </w:rPr>
        <w:t>anaemia</w:t>
      </w:r>
      <w:r w:rsidR="0094109C" w:rsidRPr="00F428A9">
        <w:rPr>
          <w:rFonts w:ascii="Franklin Gothic Book" w:hAnsi="Franklin Gothic Book"/>
          <w:sz w:val="22"/>
        </w:rPr>
        <w:t xml:space="preserve"> (6.0%)</w:t>
      </w:r>
      <w:r w:rsidR="00246EA6" w:rsidRPr="00F428A9">
        <w:rPr>
          <w:rFonts w:ascii="Franklin Gothic Book" w:hAnsi="Franklin Gothic Book"/>
          <w:sz w:val="22"/>
        </w:rPr>
        <w:t>,</w:t>
      </w:r>
      <w:r w:rsidR="0094109C" w:rsidRPr="00F428A9">
        <w:rPr>
          <w:rFonts w:ascii="Franklin Gothic Book" w:hAnsi="Franklin Gothic Book"/>
          <w:sz w:val="22"/>
        </w:rPr>
        <w:t xml:space="preserve"> </w:t>
      </w:r>
      <w:r w:rsidR="00246EA6" w:rsidRPr="00F428A9">
        <w:rPr>
          <w:rFonts w:ascii="Franklin Gothic Book" w:hAnsi="Franklin Gothic Book"/>
          <w:sz w:val="22"/>
        </w:rPr>
        <w:t xml:space="preserve">lipase increases </w:t>
      </w:r>
      <w:r w:rsidR="0094109C" w:rsidRPr="00F428A9">
        <w:rPr>
          <w:rFonts w:ascii="Franklin Gothic Book" w:hAnsi="Franklin Gothic Book"/>
          <w:sz w:val="22"/>
        </w:rPr>
        <w:t xml:space="preserve">(5.8%) </w:t>
      </w:r>
      <w:r w:rsidR="0042269F" w:rsidRPr="00F428A9">
        <w:rPr>
          <w:rFonts w:ascii="Franklin Gothic Book" w:hAnsi="Franklin Gothic Book"/>
          <w:sz w:val="22"/>
        </w:rPr>
        <w:t>were</w:t>
      </w:r>
      <w:r w:rsidR="00246EA6" w:rsidRPr="00F428A9">
        <w:rPr>
          <w:rFonts w:ascii="Franklin Gothic Book" w:hAnsi="Franklin Gothic Book"/>
          <w:sz w:val="22"/>
        </w:rPr>
        <w:t xml:space="preserve"> the most common Grade 3-4 TEAEs reported for nivolumab.</w:t>
      </w:r>
    </w:p>
    <w:p w14:paraId="52A8B1A6" w14:textId="6F0F993D" w:rsidR="001C40A1" w:rsidRPr="00F428A9" w:rsidRDefault="3DAFC2E7" w:rsidP="00F428A9">
      <w:pPr>
        <w:pStyle w:val="MSACESParagraph"/>
        <w:rPr>
          <w:rFonts w:ascii="Franklin Gothic Book" w:hAnsi="Franklin Gothic Book"/>
          <w:sz w:val="22"/>
        </w:rPr>
      </w:pPr>
      <w:r w:rsidRPr="00F428A9">
        <w:rPr>
          <w:rFonts w:ascii="Franklin Gothic Book" w:hAnsi="Franklin Gothic Book"/>
          <w:sz w:val="22"/>
        </w:rPr>
        <w:t>The commentary noted that it was difficult to assess the comparative safety due to the unanchored</w:t>
      </w:r>
      <w:r w:rsidR="00270585" w:rsidRPr="00F428A9">
        <w:rPr>
          <w:rFonts w:ascii="Franklin Gothic Book" w:hAnsi="Franklin Gothic Book"/>
          <w:sz w:val="22"/>
        </w:rPr>
        <w:t xml:space="preserve"> </w:t>
      </w:r>
      <w:r w:rsidRPr="00F428A9">
        <w:rPr>
          <w:rFonts w:ascii="Franklin Gothic Book" w:hAnsi="Franklin Gothic Book"/>
          <w:sz w:val="22"/>
        </w:rPr>
        <w:t xml:space="preserve">indirect </w:t>
      </w:r>
      <w:r w:rsidR="00270585" w:rsidRPr="00F428A9">
        <w:rPr>
          <w:rFonts w:ascii="Franklin Gothic Book" w:hAnsi="Franklin Gothic Book"/>
          <w:sz w:val="22"/>
        </w:rPr>
        <w:t xml:space="preserve">nature of the </w:t>
      </w:r>
      <w:r w:rsidRPr="00F428A9">
        <w:rPr>
          <w:rFonts w:ascii="Franklin Gothic Book" w:hAnsi="Franklin Gothic Book"/>
          <w:sz w:val="22"/>
        </w:rPr>
        <w:t xml:space="preserve">comparison and </w:t>
      </w:r>
      <w:r w:rsidR="00270585" w:rsidRPr="00F428A9">
        <w:rPr>
          <w:rFonts w:ascii="Franklin Gothic Book" w:hAnsi="Franklin Gothic Book"/>
          <w:sz w:val="22"/>
        </w:rPr>
        <w:t xml:space="preserve">the distinct </w:t>
      </w:r>
      <w:r w:rsidRPr="00F428A9">
        <w:rPr>
          <w:rFonts w:ascii="Franklin Gothic Book" w:hAnsi="Franklin Gothic Book"/>
          <w:sz w:val="22"/>
        </w:rPr>
        <w:t xml:space="preserve">safety profiles </w:t>
      </w:r>
      <w:r w:rsidR="00270585" w:rsidRPr="00F428A9">
        <w:rPr>
          <w:rFonts w:ascii="Franklin Gothic Book" w:hAnsi="Franklin Gothic Book"/>
          <w:sz w:val="22"/>
        </w:rPr>
        <w:t>between</w:t>
      </w:r>
      <w:r w:rsidRPr="00F428A9">
        <w:rPr>
          <w:rFonts w:ascii="Franklin Gothic Book" w:hAnsi="Franklin Gothic Book"/>
          <w:sz w:val="22"/>
        </w:rPr>
        <w:t xml:space="preserve"> zolbetuximab and nivolumab.</w:t>
      </w:r>
      <w:r w:rsidR="6ED30E44" w:rsidRPr="00F428A9">
        <w:rPr>
          <w:rFonts w:ascii="Franklin Gothic Book" w:hAnsi="Franklin Gothic Book"/>
          <w:sz w:val="22"/>
        </w:rPr>
        <w:t xml:space="preserve"> </w:t>
      </w:r>
    </w:p>
    <w:p w14:paraId="4455F60B" w14:textId="77777777" w:rsidR="00EE5014" w:rsidRPr="003A793E" w:rsidRDefault="00EE5014"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45" w:name="_Ref496866969"/>
      <w:bookmarkStart w:id="46" w:name="_Ref496866994"/>
      <w:bookmarkStart w:id="47" w:name="_Toc187863735"/>
      <w:bookmarkStart w:id="48" w:name="_Toc188441219"/>
      <w:r w:rsidRPr="003A793E">
        <w:rPr>
          <w:rFonts w:ascii="Franklin Gothic Medium" w:hAnsi="Franklin Gothic Medium"/>
          <w:b w:val="0"/>
          <w:i w:val="0"/>
          <w:snapToGrid/>
          <w:color w:val="000000" w:themeColor="text1"/>
          <w:sz w:val="32"/>
          <w:szCs w:val="26"/>
        </w:rPr>
        <w:t>Comparative effectiveness</w:t>
      </w:r>
      <w:bookmarkEnd w:id="45"/>
      <w:bookmarkEnd w:id="46"/>
      <w:bookmarkEnd w:id="47"/>
      <w:bookmarkEnd w:id="48"/>
    </w:p>
    <w:p w14:paraId="02ECA1A1" w14:textId="5519E6EA" w:rsidR="007D172C" w:rsidRDefault="4BB3B8BD" w:rsidP="00F428A9">
      <w:pPr>
        <w:pStyle w:val="MSACESParagraph"/>
        <w:rPr>
          <w:rFonts w:ascii="Franklin Gothic Book" w:hAnsi="Franklin Gothic Book"/>
          <w:sz w:val="22"/>
        </w:rPr>
      </w:pPr>
      <w:r w:rsidRPr="00F428A9">
        <w:rPr>
          <w:rFonts w:ascii="Franklin Gothic Book" w:hAnsi="Franklin Gothic Book"/>
          <w:sz w:val="22"/>
        </w:rPr>
        <w:t xml:space="preserve">A summary of the data used to inform the comparisons of test and drug combinations is </w:t>
      </w:r>
      <w:r w:rsidRPr="00D920F2">
        <w:rPr>
          <w:rFonts w:ascii="Franklin Gothic Book" w:hAnsi="Franklin Gothic Book"/>
          <w:sz w:val="22"/>
        </w:rPr>
        <w:t xml:space="preserve">presented in </w:t>
      </w:r>
      <w:r w:rsidR="00D920F2" w:rsidRPr="00D920F2">
        <w:rPr>
          <w:rFonts w:ascii="Franklin Gothic Book" w:hAnsi="Franklin Gothic Book"/>
          <w:sz w:val="22"/>
        </w:rPr>
        <w:fldChar w:fldCharType="begin"/>
      </w:r>
      <w:r w:rsidR="00D920F2" w:rsidRPr="00D920F2">
        <w:rPr>
          <w:rFonts w:ascii="Franklin Gothic Book" w:hAnsi="Franklin Gothic Book"/>
          <w:sz w:val="22"/>
        </w:rPr>
        <w:instrText xml:space="preserve"> REF _Ref197009806 \h  \* MERGEFORMAT </w:instrText>
      </w:r>
      <w:r w:rsidR="00D920F2" w:rsidRPr="00D920F2">
        <w:rPr>
          <w:rFonts w:ascii="Franklin Gothic Book" w:hAnsi="Franklin Gothic Book"/>
          <w:sz w:val="22"/>
        </w:rPr>
      </w:r>
      <w:r w:rsidR="00D920F2" w:rsidRPr="00D920F2">
        <w:rPr>
          <w:rFonts w:ascii="Franklin Gothic Book" w:hAnsi="Franklin Gothic Book"/>
          <w:sz w:val="22"/>
        </w:rPr>
        <w:fldChar w:fldCharType="separate"/>
      </w:r>
      <w:r w:rsidR="00132950" w:rsidRPr="00132950">
        <w:rPr>
          <w:rFonts w:ascii="Franklin Gothic Book" w:hAnsi="Franklin Gothic Book"/>
          <w:sz w:val="22"/>
        </w:rPr>
        <w:t xml:space="preserve">Table </w:t>
      </w:r>
      <w:r w:rsidR="00132950" w:rsidRPr="00132950">
        <w:rPr>
          <w:rFonts w:ascii="Franklin Gothic Book" w:hAnsi="Franklin Gothic Book"/>
          <w:noProof/>
          <w:sz w:val="22"/>
        </w:rPr>
        <w:t>5</w:t>
      </w:r>
      <w:r w:rsidR="00D920F2" w:rsidRPr="00D920F2">
        <w:rPr>
          <w:rFonts w:ascii="Franklin Gothic Book" w:hAnsi="Franklin Gothic Book"/>
          <w:sz w:val="22"/>
        </w:rPr>
        <w:fldChar w:fldCharType="end"/>
      </w:r>
      <w:r w:rsidRPr="00F428A9">
        <w:rPr>
          <w:rFonts w:ascii="Franklin Gothic Book" w:hAnsi="Franklin Gothic Book"/>
          <w:sz w:val="22"/>
        </w:rPr>
        <w:t>.</w:t>
      </w:r>
      <w:r w:rsidR="772A643B" w:rsidRPr="00F428A9">
        <w:rPr>
          <w:rFonts w:ascii="Franklin Gothic Book" w:hAnsi="Franklin Gothic Book"/>
          <w:sz w:val="22"/>
        </w:rPr>
        <w:t xml:space="preserve"> </w:t>
      </w:r>
    </w:p>
    <w:p w14:paraId="4ABF9599" w14:textId="49508CE9" w:rsidR="0010086D" w:rsidRPr="00BF1877" w:rsidRDefault="000A7518" w:rsidP="00B94D03">
      <w:pPr>
        <w:pStyle w:val="Caption"/>
      </w:pPr>
      <w:bookmarkStart w:id="49" w:name="_Ref197009806"/>
      <w:r>
        <w:t xml:space="preserve">Table </w:t>
      </w:r>
      <w:r w:rsidR="004A65F6">
        <w:fldChar w:fldCharType="begin"/>
      </w:r>
      <w:r w:rsidR="004A65F6">
        <w:instrText xml:space="preserve"> SEQ Table \* ARABIC </w:instrText>
      </w:r>
      <w:r w:rsidR="004A65F6">
        <w:fldChar w:fldCharType="separate"/>
      </w:r>
      <w:r w:rsidR="00132950">
        <w:rPr>
          <w:noProof/>
        </w:rPr>
        <w:t>5</w:t>
      </w:r>
      <w:r w:rsidR="004A65F6">
        <w:rPr>
          <w:noProof/>
        </w:rPr>
        <w:fldChar w:fldCharType="end"/>
      </w:r>
      <w:bookmarkEnd w:id="49"/>
      <w:r w:rsidRPr="000A7518">
        <w:t xml:space="preserve"> </w:t>
      </w:r>
      <w:r w:rsidRPr="00BF1877">
        <w:t>Data availability to inform comparisons</w:t>
      </w:r>
      <w:bookmarkStart w:id="50" w:name="_Hlk18396240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268"/>
        <w:gridCol w:w="2151"/>
        <w:gridCol w:w="2616"/>
      </w:tblGrid>
      <w:tr w:rsidR="00E41328" w:rsidRPr="006F4D53" w14:paraId="57D5DA95" w14:textId="2D520142" w:rsidTr="77D89277">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AF2C3" w14:textId="77777777" w:rsidR="00B8219E" w:rsidRPr="00BF1877" w:rsidRDefault="00B8219E" w:rsidP="00B8219E">
            <w:pPr>
              <w:pStyle w:val="TableText"/>
              <w:keepNext/>
            </w:pPr>
            <w:r w:rsidRPr="00BF1877">
              <w:t>Proposed test vs no test</w:t>
            </w:r>
          </w:p>
        </w:tc>
        <w:tc>
          <w:tcPr>
            <w:tcW w:w="39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6FE0B" w14:textId="1C0DBAEA" w:rsidR="00B8219E" w:rsidRPr="00BF1877" w:rsidRDefault="00B8219E" w:rsidP="00B8219E">
            <w:pPr>
              <w:pStyle w:val="TableText"/>
              <w:keepNext/>
            </w:pPr>
            <w:r w:rsidRPr="00BF1877">
              <w:t>No evidence presented</w:t>
            </w:r>
          </w:p>
        </w:tc>
      </w:tr>
      <w:tr w:rsidR="00E41328" w:rsidRPr="006F4D53" w14:paraId="213C8214" w14:textId="2D4CC743" w:rsidTr="77D89277">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F61B1" w14:textId="77777777" w:rsidR="00B8219E" w:rsidRPr="00BF1877" w:rsidRDefault="00B8219E" w:rsidP="00B8219E">
            <w:pPr>
              <w:pStyle w:val="TableText"/>
              <w:keepNext/>
            </w:pPr>
            <w:r w:rsidRPr="00BF1877">
              <w:t>Proposed test vs alternative test</w:t>
            </w:r>
          </w:p>
        </w:tc>
        <w:tc>
          <w:tcPr>
            <w:tcW w:w="39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511F4" w14:textId="067FB1A1" w:rsidR="00B8219E" w:rsidRPr="00BF1877" w:rsidRDefault="3ECE3317" w:rsidP="00B8219E">
            <w:pPr>
              <w:pStyle w:val="TableText"/>
              <w:keepNext/>
            </w:pPr>
            <w:r w:rsidRPr="77D89277">
              <w:t xml:space="preserve">Global Ring Study by Jasani et al. (2024) compared Ventana® CLDN18 (43-14A) </w:t>
            </w:r>
            <w:proofErr w:type="spellStart"/>
            <w:r w:rsidRPr="77D89277">
              <w:t>RxDx</w:t>
            </w:r>
            <w:proofErr w:type="spellEnd"/>
            <w:r w:rsidRPr="77D89277">
              <w:t xml:space="preserve"> IHC assay to Novus and </w:t>
            </w:r>
            <w:proofErr w:type="spellStart"/>
            <w:r w:rsidRPr="77D89277">
              <w:t>LSBio</w:t>
            </w:r>
            <w:proofErr w:type="spellEnd"/>
            <w:r w:rsidRPr="77D89277">
              <w:t xml:space="preserve"> antibodies, stained on Ventana, Dako and Leica platforms</w:t>
            </w:r>
          </w:p>
        </w:tc>
      </w:tr>
      <w:tr w:rsidR="00E41328" w:rsidRPr="006F4D53" w14:paraId="039B5C22" w14:textId="77777777" w:rsidTr="77D89277">
        <w:tc>
          <w:tcPr>
            <w:tcW w:w="1098" w:type="pct"/>
            <w:vMerge w:val="restart"/>
            <w:tcBorders>
              <w:top w:val="single" w:sz="4" w:space="0" w:color="000000" w:themeColor="text1"/>
              <w:left w:val="single" w:sz="4" w:space="0" w:color="000000" w:themeColor="text1"/>
              <w:right w:val="single" w:sz="4" w:space="0" w:color="000000" w:themeColor="text1"/>
            </w:tcBorders>
          </w:tcPr>
          <w:p w14:paraId="09323539" w14:textId="77777777" w:rsidR="00B8219E" w:rsidRPr="00BF1877" w:rsidRDefault="00B8219E" w:rsidP="00B8219E">
            <w:pPr>
              <w:pStyle w:val="TableText"/>
              <w:keepNext/>
            </w:pPr>
          </w:p>
        </w:tc>
        <w:tc>
          <w:tcPr>
            <w:tcW w:w="12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077FD" w14:textId="7C46F363" w:rsidR="00B8219E" w:rsidRPr="00BF1877" w:rsidRDefault="00B8219E" w:rsidP="00B8219E">
            <w:pPr>
              <w:pStyle w:val="TableText"/>
              <w:keepNext/>
              <w:jc w:val="center"/>
            </w:pPr>
            <w:r w:rsidRPr="00BF1877">
              <w:t>Proposed drug</w:t>
            </w:r>
          </w:p>
        </w:tc>
        <w:tc>
          <w:tcPr>
            <w:tcW w:w="26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76646" w14:textId="15900495" w:rsidR="00B8219E" w:rsidRPr="00BF1877" w:rsidRDefault="00B8219E" w:rsidP="00B8219E">
            <w:pPr>
              <w:pStyle w:val="TableText"/>
              <w:keepNext/>
              <w:jc w:val="center"/>
            </w:pPr>
            <w:r w:rsidRPr="00BF1877">
              <w:t>Comparator drug</w:t>
            </w:r>
          </w:p>
        </w:tc>
      </w:tr>
      <w:tr w:rsidR="00E41328" w:rsidRPr="006F4D53" w14:paraId="2B222B05" w14:textId="0D0EBBD3" w:rsidTr="77D89277">
        <w:tc>
          <w:tcPr>
            <w:tcW w:w="1098" w:type="pct"/>
            <w:vMerge/>
          </w:tcPr>
          <w:p w14:paraId="2957101C" w14:textId="77777777" w:rsidR="00B8219E" w:rsidRPr="00BF1877" w:rsidRDefault="00B8219E" w:rsidP="00B8219E">
            <w:pPr>
              <w:pStyle w:val="TableText"/>
              <w:keepNext/>
            </w:pPr>
          </w:p>
        </w:tc>
        <w:tc>
          <w:tcPr>
            <w:tcW w:w="12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1C9A8" w14:textId="6AE17AE8" w:rsidR="00B8219E" w:rsidRPr="00BF1877" w:rsidRDefault="00B8219E" w:rsidP="00B8219E">
            <w:pPr>
              <w:pStyle w:val="TableText"/>
              <w:keepNext/>
            </w:pPr>
            <w:r w:rsidRPr="00BF1877">
              <w:t>Zolbetuximab + chemotherapy</w:t>
            </w:r>
          </w:p>
        </w:tc>
        <w:tc>
          <w:tcPr>
            <w:tcW w:w="11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1F073" w14:textId="11D19665" w:rsidR="00B8219E" w:rsidRPr="00BF1877" w:rsidRDefault="00B8219E" w:rsidP="00B8219E">
            <w:pPr>
              <w:pStyle w:val="TableText"/>
              <w:keepNext/>
              <w:jc w:val="center"/>
            </w:pPr>
            <w:r w:rsidRPr="00BF1877">
              <w:t>Chemotherapy</w:t>
            </w:r>
          </w:p>
        </w:tc>
        <w:tc>
          <w:tcPr>
            <w:tcW w:w="14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83CA3" w14:textId="1FE7EDF0" w:rsidR="00B8219E" w:rsidRPr="00BF1877" w:rsidRDefault="00B8219E" w:rsidP="00B8219E">
            <w:pPr>
              <w:pStyle w:val="TableText"/>
              <w:keepNext/>
              <w:jc w:val="center"/>
            </w:pPr>
            <w:r w:rsidRPr="00BF1877">
              <w:t>Nivolumab + chemotherapy</w:t>
            </w:r>
          </w:p>
        </w:tc>
      </w:tr>
      <w:tr w:rsidR="00E41328" w:rsidRPr="006F4D53" w14:paraId="43070EB2" w14:textId="334AE86C" w:rsidTr="77D89277">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91DFB" w14:textId="4C811953" w:rsidR="00B8219E" w:rsidRPr="00BF1877" w:rsidRDefault="3ECE3317" w:rsidP="00B8219E">
            <w:pPr>
              <w:pStyle w:val="TableText"/>
              <w:keepNext/>
            </w:pPr>
            <w:r w:rsidRPr="77D89277">
              <w:t>Biomarker test positive</w:t>
            </w:r>
          </w:p>
        </w:tc>
        <w:tc>
          <w:tcPr>
            <w:tcW w:w="12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004BF" w14:textId="2900F223" w:rsidR="00B8219E" w:rsidRPr="00BF1877" w:rsidRDefault="00B8219E" w:rsidP="00B8219E">
            <w:pPr>
              <w:pStyle w:val="TableText"/>
              <w:keepNext/>
            </w:pPr>
            <w:r w:rsidRPr="00BF1877">
              <w:t>SPOTLIGHT and GLOW trials</w:t>
            </w:r>
          </w:p>
        </w:tc>
        <w:tc>
          <w:tcPr>
            <w:tcW w:w="11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2CFB5" w14:textId="236EB385" w:rsidR="00B8219E" w:rsidRPr="00BF1877" w:rsidRDefault="00B8219E" w:rsidP="00B8219E">
            <w:pPr>
              <w:pStyle w:val="TableText"/>
              <w:keepNext/>
            </w:pPr>
            <w:r w:rsidRPr="00BF1877">
              <w:t>SPOTLIGHT and GLOW trials</w:t>
            </w:r>
          </w:p>
        </w:tc>
        <w:tc>
          <w:tcPr>
            <w:tcW w:w="1451" w:type="pct"/>
            <w:vMerge w:val="restart"/>
            <w:tcBorders>
              <w:top w:val="single" w:sz="4" w:space="0" w:color="000000" w:themeColor="text1"/>
              <w:left w:val="single" w:sz="4" w:space="0" w:color="000000" w:themeColor="text1"/>
              <w:right w:val="single" w:sz="4" w:space="0" w:color="000000" w:themeColor="text1"/>
            </w:tcBorders>
          </w:tcPr>
          <w:p w14:paraId="5BC33B58" w14:textId="1CB11653" w:rsidR="00B8219E" w:rsidRPr="00BF1877" w:rsidRDefault="3ECE3317" w:rsidP="00B8219E">
            <w:pPr>
              <w:pStyle w:val="TableText"/>
              <w:keepNext/>
            </w:pPr>
            <w:proofErr w:type="spellStart"/>
            <w:r w:rsidRPr="77D89277">
              <w:t>CheckMate</w:t>
            </w:r>
            <w:proofErr w:type="spellEnd"/>
            <w:r w:rsidRPr="77D89277">
              <w:t xml:space="preserve"> 649 and ATTRACTION-4; however, the biomarker was not tested in these trials</w:t>
            </w:r>
            <w:r w:rsidR="2A40EBAC" w:rsidRPr="77D89277">
              <w:t xml:space="preserve"> and the study participants’ CLDN18 status was unknown</w:t>
            </w:r>
            <w:r w:rsidRPr="77D89277">
              <w:t xml:space="preserve">. </w:t>
            </w:r>
          </w:p>
        </w:tc>
      </w:tr>
      <w:tr w:rsidR="00B8219E" w:rsidRPr="006F4D53" w14:paraId="06713E11" w14:textId="6BC87D14" w:rsidTr="77D89277">
        <w:tc>
          <w:tcPr>
            <w:tcW w:w="1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A87F" w14:textId="1208DB2A" w:rsidR="00B8219E" w:rsidRPr="00BF1877" w:rsidRDefault="3ECE3317" w:rsidP="00B8219E">
            <w:pPr>
              <w:pStyle w:val="TableText"/>
              <w:keepNext/>
            </w:pPr>
            <w:r w:rsidRPr="77D89277">
              <w:t xml:space="preserve">Biomarker test negative </w:t>
            </w:r>
          </w:p>
        </w:tc>
        <w:tc>
          <w:tcPr>
            <w:tcW w:w="12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BBDD8" w14:textId="41A2D5F7" w:rsidR="00B8219E" w:rsidRPr="00BF1877" w:rsidRDefault="00B8219E" w:rsidP="00B8219E">
            <w:pPr>
              <w:pStyle w:val="TableText"/>
              <w:keepNext/>
            </w:pPr>
            <w:r w:rsidRPr="00BF1877">
              <w:t>No evidence presented</w:t>
            </w:r>
          </w:p>
        </w:tc>
        <w:tc>
          <w:tcPr>
            <w:tcW w:w="11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ED9AA" w14:textId="7FC5651F" w:rsidR="00B8219E" w:rsidRPr="00BF1877" w:rsidRDefault="00B8219E" w:rsidP="00B8219E">
            <w:pPr>
              <w:pStyle w:val="TableText"/>
              <w:keepNext/>
            </w:pPr>
            <w:r w:rsidRPr="00BF1877">
              <w:t xml:space="preserve">No evidence presented </w:t>
            </w:r>
          </w:p>
        </w:tc>
        <w:tc>
          <w:tcPr>
            <w:tcW w:w="1451" w:type="pct"/>
            <w:vMerge/>
          </w:tcPr>
          <w:p w14:paraId="05734781" w14:textId="77777777" w:rsidR="00B8219E" w:rsidRPr="00BF1877" w:rsidRDefault="00B8219E" w:rsidP="00B8219E">
            <w:pPr>
              <w:pStyle w:val="TableText"/>
              <w:keepNext/>
            </w:pPr>
          </w:p>
        </w:tc>
      </w:tr>
    </w:tbl>
    <w:p w14:paraId="4166D23D" w14:textId="238F746F" w:rsidR="0010086D" w:rsidRPr="00BF1877" w:rsidRDefault="004E6CFF" w:rsidP="0010086D">
      <w:pPr>
        <w:pStyle w:val="TableFooter"/>
      </w:pPr>
      <w:r w:rsidRPr="00BF1877">
        <w:t xml:space="preserve">Source: </w:t>
      </w:r>
      <w:r w:rsidR="007D172C" w:rsidRPr="00BF1877">
        <w:t>Complied during evaluation.</w:t>
      </w:r>
    </w:p>
    <w:bookmarkEnd w:id="50"/>
    <w:p w14:paraId="334C8CE5" w14:textId="1CB894CD" w:rsidR="007D172C" w:rsidRPr="00BF1877" w:rsidRDefault="007D172C" w:rsidP="0010086D">
      <w:pPr>
        <w:pStyle w:val="TableFooter"/>
      </w:pPr>
      <w:r w:rsidRPr="00BF1877">
        <w:t>CLDN18 = Claudin 18; IHC = immunohistochemistry.</w:t>
      </w:r>
    </w:p>
    <w:p w14:paraId="0A6B0EAF" w14:textId="08952136" w:rsidR="007266DE" w:rsidRPr="00F428A9" w:rsidRDefault="3C37CB20" w:rsidP="00F428A9">
      <w:pPr>
        <w:pStyle w:val="MSACESParagraph"/>
        <w:spacing w:before="240"/>
        <w:rPr>
          <w:rFonts w:ascii="Franklin Gothic Book" w:hAnsi="Franklin Gothic Book"/>
          <w:sz w:val="22"/>
        </w:rPr>
      </w:pPr>
      <w:r w:rsidRPr="00F428A9">
        <w:rPr>
          <w:rFonts w:ascii="Franklin Gothic Book" w:hAnsi="Franklin Gothic Book"/>
          <w:sz w:val="22"/>
        </w:rPr>
        <w:t xml:space="preserve">The evidence presented to show concordance between the clinical utility standard </w:t>
      </w:r>
      <w:r w:rsidR="51C2D689" w:rsidRPr="00F428A9">
        <w:rPr>
          <w:rFonts w:ascii="Franklin Gothic Book" w:hAnsi="Franklin Gothic Book"/>
          <w:sz w:val="22"/>
        </w:rPr>
        <w:t xml:space="preserve">(Ventana® CLDN18 (43-14A) </w:t>
      </w:r>
      <w:proofErr w:type="spellStart"/>
      <w:r w:rsidR="51C2D689" w:rsidRPr="00F428A9">
        <w:rPr>
          <w:rFonts w:ascii="Franklin Gothic Book" w:hAnsi="Franklin Gothic Book"/>
          <w:sz w:val="22"/>
        </w:rPr>
        <w:t>RxDx</w:t>
      </w:r>
      <w:proofErr w:type="spellEnd"/>
      <w:r w:rsidR="51C2D689" w:rsidRPr="00F428A9">
        <w:rPr>
          <w:rFonts w:ascii="Franklin Gothic Book" w:hAnsi="Franklin Gothic Book"/>
          <w:sz w:val="22"/>
        </w:rPr>
        <w:t xml:space="preserve"> Assay) </w:t>
      </w:r>
      <w:r w:rsidRPr="00F428A9">
        <w:rPr>
          <w:rFonts w:ascii="Franklin Gothic Book" w:hAnsi="Franklin Gothic Book"/>
          <w:sz w:val="22"/>
        </w:rPr>
        <w:t xml:space="preserve">and </w:t>
      </w:r>
      <w:r w:rsidR="2A40EBAC" w:rsidRPr="00F428A9">
        <w:rPr>
          <w:rFonts w:ascii="Franklin Gothic Book" w:hAnsi="Franklin Gothic Book"/>
          <w:sz w:val="22"/>
        </w:rPr>
        <w:t xml:space="preserve">IHC </w:t>
      </w:r>
      <w:r w:rsidRPr="00F428A9">
        <w:rPr>
          <w:rFonts w:ascii="Franklin Gothic Book" w:hAnsi="Franklin Gothic Book"/>
          <w:sz w:val="22"/>
        </w:rPr>
        <w:t>CLDN18 testing, was limited to one study</w:t>
      </w:r>
      <w:r w:rsidR="4B27AFA6" w:rsidRPr="00F428A9">
        <w:rPr>
          <w:rFonts w:ascii="Franklin Gothic Book" w:hAnsi="Franklin Gothic Book"/>
          <w:sz w:val="22"/>
        </w:rPr>
        <w:t xml:space="preserve"> (</w:t>
      </w:r>
      <w:r w:rsidR="79FC6E77" w:rsidRPr="00F428A9">
        <w:rPr>
          <w:rFonts w:ascii="Franklin Gothic Book" w:hAnsi="Franklin Gothic Book"/>
          <w:sz w:val="22"/>
        </w:rPr>
        <w:t>Jasani et al., 2024</w:t>
      </w:r>
      <w:r w:rsidR="4B27AFA6" w:rsidRPr="00F428A9">
        <w:rPr>
          <w:rFonts w:ascii="Franklin Gothic Book" w:hAnsi="Franklin Gothic Book"/>
          <w:sz w:val="22"/>
        </w:rPr>
        <w:t>)</w:t>
      </w:r>
      <w:r w:rsidR="00A84C4E">
        <w:rPr>
          <w:rStyle w:val="FootnoteReference"/>
          <w:rFonts w:ascii="Franklin Gothic Book" w:hAnsi="Franklin Gothic Book"/>
          <w:sz w:val="22"/>
        </w:rPr>
        <w:footnoteReference w:id="8"/>
      </w:r>
      <w:r w:rsidR="446CA7C8" w:rsidRPr="00F428A9">
        <w:rPr>
          <w:rFonts w:ascii="Franklin Gothic Book" w:hAnsi="Franklin Gothic Book"/>
          <w:sz w:val="22"/>
        </w:rPr>
        <w:t>,</w:t>
      </w:r>
      <w:r w:rsidRPr="00F428A9">
        <w:rPr>
          <w:rFonts w:ascii="Franklin Gothic Book" w:hAnsi="Franklin Gothic Book"/>
          <w:sz w:val="22"/>
        </w:rPr>
        <w:t xml:space="preserve"> </w:t>
      </w:r>
      <w:r w:rsidR="446CA7C8" w:rsidRPr="00F428A9">
        <w:rPr>
          <w:rFonts w:ascii="Franklin Gothic Book" w:hAnsi="Franklin Gothic Book"/>
          <w:sz w:val="22"/>
        </w:rPr>
        <w:t xml:space="preserve">which </w:t>
      </w:r>
      <w:r w:rsidR="58CBC56A" w:rsidRPr="00F428A9">
        <w:rPr>
          <w:rFonts w:ascii="Franklin Gothic Book" w:hAnsi="Franklin Gothic Book"/>
          <w:sz w:val="22"/>
        </w:rPr>
        <w:t xml:space="preserve">has </w:t>
      </w:r>
      <w:r w:rsidR="446CA7C8" w:rsidRPr="00F428A9">
        <w:rPr>
          <w:rFonts w:ascii="Franklin Gothic Book" w:hAnsi="Franklin Gothic Book"/>
          <w:sz w:val="22"/>
        </w:rPr>
        <w:t>potential bias in the flow and timing domain, as evaluated by the commentary.</w:t>
      </w:r>
      <w:r w:rsidRPr="00F428A9">
        <w:rPr>
          <w:rFonts w:ascii="Franklin Gothic Book" w:hAnsi="Franklin Gothic Book"/>
          <w:sz w:val="22"/>
        </w:rPr>
        <w:t xml:space="preserve"> </w:t>
      </w:r>
      <w:r w:rsidR="6DE1A88C" w:rsidRPr="00F428A9">
        <w:rPr>
          <w:rFonts w:ascii="Franklin Gothic Book" w:hAnsi="Franklin Gothic Book"/>
          <w:sz w:val="22"/>
        </w:rPr>
        <w:t xml:space="preserve">Similarly, the evidence supporting analytical performance and reproducibility was based on a </w:t>
      </w:r>
      <w:r w:rsidR="00E8F027" w:rsidRPr="00F428A9">
        <w:rPr>
          <w:rFonts w:ascii="Franklin Gothic Book" w:hAnsi="Franklin Gothic Book"/>
          <w:sz w:val="22"/>
        </w:rPr>
        <w:t>poster presentation</w:t>
      </w:r>
      <w:r w:rsidR="139111B7" w:rsidRPr="00F428A9">
        <w:rPr>
          <w:rFonts w:ascii="Franklin Gothic Book" w:hAnsi="Franklin Gothic Book"/>
          <w:sz w:val="22"/>
        </w:rPr>
        <w:t xml:space="preserve"> (</w:t>
      </w:r>
      <w:r w:rsidR="00E8F027" w:rsidRPr="00F428A9">
        <w:rPr>
          <w:rFonts w:ascii="Franklin Gothic Book" w:hAnsi="Franklin Gothic Book"/>
          <w:sz w:val="22"/>
        </w:rPr>
        <w:t>Stratton et al., 2023)</w:t>
      </w:r>
      <w:r w:rsidR="0080584A" w:rsidRPr="00F428A9">
        <w:rPr>
          <w:rStyle w:val="FootnoteReference"/>
          <w:rFonts w:ascii="Franklin Gothic Book" w:hAnsi="Franklin Gothic Book"/>
          <w:sz w:val="22"/>
        </w:rPr>
        <w:footnoteReference w:id="9"/>
      </w:r>
      <w:r w:rsidR="6DE1A88C" w:rsidRPr="00F428A9">
        <w:rPr>
          <w:rFonts w:ascii="Franklin Gothic Book" w:hAnsi="Franklin Gothic Book"/>
          <w:sz w:val="22"/>
        </w:rPr>
        <w:t xml:space="preserve">, which was considered to have a high risk of bias </w:t>
      </w:r>
      <w:r w:rsidR="3CB64166" w:rsidRPr="00F428A9">
        <w:rPr>
          <w:rFonts w:ascii="Franklin Gothic Book" w:hAnsi="Franklin Gothic Book"/>
          <w:sz w:val="22"/>
        </w:rPr>
        <w:t xml:space="preserve">by the commentary </w:t>
      </w:r>
      <w:r w:rsidR="6DE1A88C" w:rsidRPr="00F428A9">
        <w:rPr>
          <w:rFonts w:ascii="Franklin Gothic Book" w:hAnsi="Franklin Gothic Book"/>
          <w:sz w:val="22"/>
        </w:rPr>
        <w:t>due to incomplete information. The evidence presented for clinical effectiveness was based on an indirect comparison of zolbetuximab + chemotherapy</w:t>
      </w:r>
      <w:r w:rsidR="00E8F027" w:rsidRPr="00F428A9">
        <w:rPr>
          <w:rFonts w:ascii="Franklin Gothic Book" w:hAnsi="Franklin Gothic Book"/>
          <w:sz w:val="22"/>
        </w:rPr>
        <w:t xml:space="preserve"> (SPOTLIGHT and GLOW trials)</w:t>
      </w:r>
      <w:r w:rsidR="6DE1A88C" w:rsidRPr="00F428A9">
        <w:rPr>
          <w:rFonts w:ascii="Franklin Gothic Book" w:hAnsi="Franklin Gothic Book"/>
          <w:sz w:val="22"/>
        </w:rPr>
        <w:t xml:space="preserve"> and nivolumab + chemotherapy </w:t>
      </w:r>
      <w:r w:rsidR="00E8F027" w:rsidRPr="00F428A9">
        <w:rPr>
          <w:rFonts w:ascii="Franklin Gothic Book" w:hAnsi="Franklin Gothic Book"/>
          <w:sz w:val="22"/>
        </w:rPr>
        <w:t>(</w:t>
      </w:r>
      <w:proofErr w:type="spellStart"/>
      <w:r w:rsidR="00E8F027" w:rsidRPr="00F428A9">
        <w:rPr>
          <w:rFonts w:ascii="Franklin Gothic Book" w:hAnsi="Franklin Gothic Book"/>
          <w:sz w:val="22"/>
        </w:rPr>
        <w:t>CheckMate</w:t>
      </w:r>
      <w:proofErr w:type="spellEnd"/>
      <w:r w:rsidR="00E8F027" w:rsidRPr="00F428A9">
        <w:rPr>
          <w:rFonts w:ascii="Franklin Gothic Book" w:hAnsi="Franklin Gothic Book"/>
          <w:sz w:val="22"/>
        </w:rPr>
        <w:t xml:space="preserve"> 649 and ATTRACTION-4) </w:t>
      </w:r>
      <w:r w:rsidR="6DE1A88C" w:rsidRPr="00F428A9">
        <w:rPr>
          <w:rFonts w:ascii="Franklin Gothic Book" w:hAnsi="Franklin Gothic Book"/>
          <w:sz w:val="22"/>
        </w:rPr>
        <w:t>via network-meta-analysis (NMA). While the trials</w:t>
      </w:r>
      <w:r w:rsidR="139111B7" w:rsidRPr="00F428A9">
        <w:rPr>
          <w:rFonts w:ascii="Franklin Gothic Book" w:hAnsi="Franklin Gothic Book"/>
          <w:sz w:val="22"/>
        </w:rPr>
        <w:t xml:space="preserve"> </w:t>
      </w:r>
      <w:r w:rsidR="6DE1A88C" w:rsidRPr="00F428A9">
        <w:rPr>
          <w:rFonts w:ascii="Franklin Gothic Book" w:hAnsi="Franklin Gothic Book"/>
          <w:sz w:val="22"/>
        </w:rPr>
        <w:t>were at low risk of bias, t</w:t>
      </w:r>
      <w:r w:rsidRPr="00F428A9">
        <w:rPr>
          <w:rFonts w:ascii="Franklin Gothic Book" w:hAnsi="Franklin Gothic Book"/>
          <w:sz w:val="22"/>
        </w:rPr>
        <w:t xml:space="preserve">he commentary regarded the results of the NMA </w:t>
      </w:r>
      <w:r w:rsidR="6DE1A88C" w:rsidRPr="00F428A9">
        <w:rPr>
          <w:rFonts w:ascii="Franklin Gothic Book" w:hAnsi="Franklin Gothic Book"/>
          <w:sz w:val="22"/>
        </w:rPr>
        <w:t>to be</w:t>
      </w:r>
      <w:r w:rsidRPr="00F428A9">
        <w:rPr>
          <w:rFonts w:ascii="Franklin Gothic Book" w:hAnsi="Franklin Gothic Book"/>
          <w:sz w:val="22"/>
        </w:rPr>
        <w:t xml:space="preserve"> uncertain due to transitivity issues</w:t>
      </w:r>
      <w:r w:rsidR="18ED7993" w:rsidRPr="00F428A9">
        <w:rPr>
          <w:rFonts w:ascii="Franklin Gothic Book" w:hAnsi="Franklin Gothic Book"/>
          <w:sz w:val="22"/>
        </w:rPr>
        <w:t xml:space="preserve"> between the trials, including differences in </w:t>
      </w:r>
      <w:r w:rsidR="1359DCF3" w:rsidRPr="00F428A9">
        <w:rPr>
          <w:rFonts w:ascii="Franklin Gothic Book" w:hAnsi="Franklin Gothic Book"/>
          <w:sz w:val="22"/>
        </w:rPr>
        <w:t xml:space="preserve">eligibility criteria, </w:t>
      </w:r>
      <w:r w:rsidR="76251D4B" w:rsidRPr="00F428A9">
        <w:rPr>
          <w:rFonts w:ascii="Franklin Gothic Book" w:hAnsi="Franklin Gothic Book"/>
          <w:sz w:val="22"/>
        </w:rPr>
        <w:t xml:space="preserve">primary disease site, </w:t>
      </w:r>
      <w:r w:rsidR="483C7E75" w:rsidRPr="00F428A9">
        <w:rPr>
          <w:rFonts w:ascii="Franklin Gothic Book" w:hAnsi="Franklin Gothic Book"/>
          <w:sz w:val="22"/>
        </w:rPr>
        <w:t>ancestr</w:t>
      </w:r>
      <w:r w:rsidR="0E4D6A5C" w:rsidRPr="00F428A9">
        <w:rPr>
          <w:rFonts w:ascii="Franklin Gothic Book" w:hAnsi="Franklin Gothic Book"/>
          <w:sz w:val="22"/>
        </w:rPr>
        <w:t>y</w:t>
      </w:r>
      <w:r w:rsidRPr="00F428A9">
        <w:rPr>
          <w:rFonts w:ascii="Franklin Gothic Book" w:hAnsi="Franklin Gothic Book"/>
          <w:sz w:val="22"/>
        </w:rPr>
        <w:t>, follow-up</w:t>
      </w:r>
      <w:r w:rsidR="18ED7993" w:rsidRPr="00F428A9">
        <w:rPr>
          <w:rFonts w:ascii="Franklin Gothic Book" w:hAnsi="Franklin Gothic Book"/>
          <w:sz w:val="22"/>
        </w:rPr>
        <w:t xml:space="preserve"> duration</w:t>
      </w:r>
      <w:r w:rsidR="76251D4B" w:rsidRPr="00F428A9">
        <w:rPr>
          <w:rFonts w:ascii="Franklin Gothic Book" w:hAnsi="Franklin Gothic Book"/>
          <w:sz w:val="22"/>
        </w:rPr>
        <w:t>, and</w:t>
      </w:r>
      <w:r w:rsidR="13558B0A" w:rsidRPr="00F428A9">
        <w:rPr>
          <w:rFonts w:ascii="Franklin Gothic Book" w:hAnsi="Franklin Gothic Book"/>
          <w:sz w:val="22"/>
        </w:rPr>
        <w:t xml:space="preserve"> subsequent</w:t>
      </w:r>
      <w:r w:rsidR="76251D4B" w:rsidRPr="00F428A9">
        <w:rPr>
          <w:rFonts w:ascii="Franklin Gothic Book" w:hAnsi="Franklin Gothic Book"/>
          <w:sz w:val="22"/>
        </w:rPr>
        <w:t xml:space="preserve"> anti-cancer therapies</w:t>
      </w:r>
      <w:r w:rsidRPr="00F428A9">
        <w:rPr>
          <w:rFonts w:ascii="Franklin Gothic Book" w:hAnsi="Franklin Gothic Book"/>
          <w:sz w:val="22"/>
        </w:rPr>
        <w:t>.</w:t>
      </w:r>
      <w:r w:rsidR="18ED7993" w:rsidRPr="00F428A9">
        <w:rPr>
          <w:rFonts w:ascii="Franklin Gothic Book" w:hAnsi="Franklin Gothic Book"/>
          <w:sz w:val="22"/>
        </w:rPr>
        <w:t xml:space="preserve"> </w:t>
      </w:r>
    </w:p>
    <w:p w14:paraId="310BE2A5" w14:textId="691C43F6" w:rsidR="006B02D5" w:rsidRPr="00F428A9" w:rsidRDefault="51C2D689" w:rsidP="00F428A9">
      <w:pPr>
        <w:pStyle w:val="MSACESParagraph"/>
        <w:rPr>
          <w:rFonts w:ascii="Franklin Gothic Book" w:hAnsi="Franklin Gothic Book"/>
          <w:sz w:val="22"/>
        </w:rPr>
      </w:pPr>
      <w:r w:rsidRPr="00F428A9">
        <w:rPr>
          <w:rFonts w:ascii="Franklin Gothic Book" w:hAnsi="Franklin Gothic Book"/>
          <w:sz w:val="22"/>
        </w:rPr>
        <w:t xml:space="preserve">However, </w:t>
      </w:r>
      <w:r w:rsidR="4B27AFA6" w:rsidRPr="00F428A9">
        <w:rPr>
          <w:rFonts w:ascii="Franklin Gothic Book" w:hAnsi="Franklin Gothic Book"/>
          <w:sz w:val="22"/>
        </w:rPr>
        <w:t xml:space="preserve">as outlined in </w:t>
      </w:r>
      <w:r w:rsidR="000A7518">
        <w:rPr>
          <w:rFonts w:ascii="Franklin Gothic Book" w:hAnsi="Franklin Gothic Book"/>
          <w:sz w:val="22"/>
        </w:rPr>
        <w:fldChar w:fldCharType="begin"/>
      </w:r>
      <w:r w:rsidR="000A7518">
        <w:rPr>
          <w:rFonts w:ascii="Franklin Gothic Book" w:hAnsi="Franklin Gothic Book"/>
          <w:sz w:val="22"/>
        </w:rPr>
        <w:instrText xml:space="preserve"> REF _Ref197009806  \* MERGEFORMAT </w:instrText>
      </w:r>
      <w:r w:rsidR="000A7518">
        <w:rPr>
          <w:rFonts w:ascii="Franklin Gothic Book" w:hAnsi="Franklin Gothic Book"/>
          <w:sz w:val="22"/>
        </w:rPr>
        <w:fldChar w:fldCharType="separate"/>
      </w:r>
      <w:r w:rsidR="00132950" w:rsidRPr="00132950">
        <w:rPr>
          <w:rFonts w:ascii="Franklin Gothic Book" w:hAnsi="Franklin Gothic Book"/>
          <w:sz w:val="22"/>
        </w:rPr>
        <w:t>Table 5</w:t>
      </w:r>
      <w:r w:rsidR="000A7518">
        <w:rPr>
          <w:rFonts w:ascii="Franklin Gothic Book" w:hAnsi="Franklin Gothic Book"/>
          <w:sz w:val="22"/>
        </w:rPr>
        <w:fldChar w:fldCharType="end"/>
      </w:r>
      <w:r w:rsidR="4B27AFA6" w:rsidRPr="00F428A9">
        <w:rPr>
          <w:rFonts w:ascii="Franklin Gothic Book" w:hAnsi="Franklin Gothic Book"/>
          <w:sz w:val="22"/>
        </w:rPr>
        <w:t xml:space="preserve">, </w:t>
      </w:r>
      <w:r w:rsidR="00AD0AFC">
        <w:rPr>
          <w:rFonts w:ascii="Franklin Gothic Book" w:hAnsi="Franklin Gothic Book"/>
          <w:sz w:val="22"/>
        </w:rPr>
        <w:t xml:space="preserve">the commentary considered </w:t>
      </w:r>
      <w:r w:rsidRPr="00F428A9">
        <w:rPr>
          <w:rFonts w:ascii="Franklin Gothic Book" w:hAnsi="Franklin Gothic Book"/>
          <w:sz w:val="22"/>
        </w:rPr>
        <w:t>not all parts of the analytic framework</w:t>
      </w:r>
      <w:r w:rsidR="4B27AFA6" w:rsidRPr="00F428A9">
        <w:rPr>
          <w:rFonts w:ascii="Franklin Gothic Book" w:hAnsi="Franklin Gothic Book"/>
          <w:sz w:val="22"/>
        </w:rPr>
        <w:t xml:space="preserve"> </w:t>
      </w:r>
      <w:r w:rsidRPr="00F428A9">
        <w:rPr>
          <w:rFonts w:ascii="Franklin Gothic Book" w:hAnsi="Franklin Gothic Book"/>
          <w:sz w:val="22"/>
        </w:rPr>
        <w:t xml:space="preserve">were addressed. </w:t>
      </w:r>
      <w:r w:rsidR="7D0AF9E1" w:rsidRPr="00F428A9">
        <w:rPr>
          <w:rFonts w:ascii="Franklin Gothic Book" w:hAnsi="Franklin Gothic Book"/>
          <w:sz w:val="22"/>
        </w:rPr>
        <w:t xml:space="preserve">The </w:t>
      </w:r>
      <w:r w:rsidR="148F5B6D" w:rsidRPr="00F428A9">
        <w:rPr>
          <w:rFonts w:ascii="Franklin Gothic Book" w:hAnsi="Franklin Gothic Book"/>
          <w:sz w:val="22"/>
        </w:rPr>
        <w:t>commentary noted that no evi</w:t>
      </w:r>
      <w:r w:rsidR="4EEA43B2" w:rsidRPr="00F428A9">
        <w:rPr>
          <w:rFonts w:ascii="Franklin Gothic Book" w:hAnsi="Franklin Gothic Book"/>
          <w:sz w:val="22"/>
        </w:rPr>
        <w:t>dence comparing the outcomes of CLDN18 testing versus no testing</w:t>
      </w:r>
      <w:r w:rsidR="148F5B6D" w:rsidRPr="00F428A9">
        <w:rPr>
          <w:rFonts w:ascii="Franklin Gothic Book" w:hAnsi="Franklin Gothic Book"/>
          <w:sz w:val="22"/>
        </w:rPr>
        <w:t xml:space="preserve"> was presented</w:t>
      </w:r>
      <w:r w:rsidR="4EEA43B2" w:rsidRPr="00F428A9">
        <w:rPr>
          <w:rFonts w:ascii="Franklin Gothic Book" w:hAnsi="Franklin Gothic Book"/>
          <w:sz w:val="22"/>
        </w:rPr>
        <w:t>. Additionally</w:t>
      </w:r>
      <w:r w:rsidR="3A18B413" w:rsidRPr="00F428A9">
        <w:rPr>
          <w:rFonts w:ascii="Franklin Gothic Book" w:hAnsi="Franklin Gothic Book"/>
          <w:sz w:val="22"/>
        </w:rPr>
        <w:t>, t</w:t>
      </w:r>
      <w:r w:rsidR="139111B7" w:rsidRPr="00F428A9">
        <w:rPr>
          <w:rFonts w:ascii="Franklin Gothic Book" w:hAnsi="Franklin Gothic Book"/>
          <w:sz w:val="22"/>
        </w:rPr>
        <w:t>he trials evaluating zolbetuximab + chemotherapy exclusively included patients with CLDN18.2+ expression,</w:t>
      </w:r>
      <w:r w:rsidR="148F5B6D" w:rsidRPr="00F428A9">
        <w:rPr>
          <w:rFonts w:ascii="Franklin Gothic Book" w:hAnsi="Franklin Gothic Book"/>
          <w:sz w:val="22"/>
        </w:rPr>
        <w:t xml:space="preserve"> whereas</w:t>
      </w:r>
      <w:r w:rsidR="139111B7" w:rsidRPr="00F428A9">
        <w:rPr>
          <w:rFonts w:ascii="Franklin Gothic Book" w:hAnsi="Franklin Gothic Book"/>
          <w:sz w:val="22"/>
        </w:rPr>
        <w:t xml:space="preserve"> CLDN18.2 expression status was not assessed in the nivolumab + chemotherapy trials. </w:t>
      </w:r>
      <w:r w:rsidR="30CD16A9" w:rsidRPr="00902E69">
        <w:rPr>
          <w:rFonts w:ascii="Franklin Gothic Book" w:hAnsi="Franklin Gothic Book"/>
          <w:sz w:val="22"/>
        </w:rPr>
        <w:t>The ESCs suggested that summarising the results of the early studies of zolbetuximab showing no effect in patients with CLDN18.2- expression would support the claim that this biomarker has a predictive effect on the effectiveness of zolbetuximab.</w:t>
      </w:r>
    </w:p>
    <w:p w14:paraId="529F396C" w14:textId="256ACD35" w:rsidR="004E01FD" w:rsidRPr="00F428A9" w:rsidRDefault="37258D59" w:rsidP="00F428A9">
      <w:pPr>
        <w:pStyle w:val="MSACESParagraph"/>
        <w:rPr>
          <w:rFonts w:ascii="Franklin Gothic Book" w:hAnsi="Franklin Gothic Book"/>
          <w:sz w:val="22"/>
        </w:rPr>
      </w:pPr>
      <w:r w:rsidRPr="00F428A9">
        <w:rPr>
          <w:rFonts w:ascii="Franklin Gothic Book" w:hAnsi="Franklin Gothic Book"/>
          <w:sz w:val="22"/>
        </w:rPr>
        <w:t>T</w:t>
      </w:r>
      <w:r w:rsidR="51C2D689" w:rsidRPr="00F428A9">
        <w:rPr>
          <w:rFonts w:ascii="Franklin Gothic Book" w:hAnsi="Franklin Gothic Book"/>
          <w:sz w:val="22"/>
        </w:rPr>
        <w:t xml:space="preserve">he </w:t>
      </w:r>
      <w:r w:rsidR="429176F7" w:rsidRPr="00F428A9">
        <w:rPr>
          <w:rFonts w:ascii="Franklin Gothic Book" w:hAnsi="Franklin Gothic Book"/>
          <w:sz w:val="22"/>
        </w:rPr>
        <w:t>c</w:t>
      </w:r>
      <w:r w:rsidR="51C2D689" w:rsidRPr="00F428A9">
        <w:rPr>
          <w:rFonts w:ascii="Franklin Gothic Book" w:hAnsi="Franklin Gothic Book"/>
          <w:sz w:val="22"/>
        </w:rPr>
        <w:t>ommentary noted that the populations, tests and treatment regimens were not always transferrable across the evidence linkages, as they varied considerably.</w:t>
      </w:r>
    </w:p>
    <w:p w14:paraId="18D51F81" w14:textId="77777777" w:rsidR="00D44F9D" w:rsidRPr="00F428A9" w:rsidRDefault="00D44F9D" w:rsidP="00565A06">
      <w:pPr>
        <w:pStyle w:val="Heading4"/>
        <w:rPr>
          <w:rFonts w:ascii="Franklin Gothic Book" w:hAnsi="Franklin Gothic Book"/>
          <w:color w:val="auto"/>
        </w:rPr>
      </w:pPr>
      <w:r w:rsidRPr="00F428A9">
        <w:rPr>
          <w:rFonts w:ascii="Franklin Gothic Book" w:hAnsi="Franklin Gothic Book"/>
          <w:color w:val="auto"/>
        </w:rPr>
        <w:t xml:space="preserve">Comparative accuracy/test performance </w:t>
      </w:r>
    </w:p>
    <w:p w14:paraId="613A5D75" w14:textId="001B8FE0" w:rsidR="0005455E" w:rsidRPr="00F428A9" w:rsidRDefault="2F53D1ED" w:rsidP="00F428A9">
      <w:pPr>
        <w:pStyle w:val="MSACESParagraph"/>
        <w:rPr>
          <w:rFonts w:ascii="Franklin Gothic Book" w:hAnsi="Franklin Gothic Book"/>
          <w:sz w:val="22"/>
        </w:rPr>
      </w:pPr>
      <w:r w:rsidRPr="00F428A9">
        <w:rPr>
          <w:rFonts w:ascii="Franklin Gothic Book" w:hAnsi="Franklin Gothic Book"/>
          <w:sz w:val="22"/>
        </w:rPr>
        <w:t xml:space="preserve">The proposed test is IHC testing for CLDN18.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used in the key trials (i.e., SPOTLIGHT and GLOW) represented the clinical utility standard.</w:t>
      </w:r>
    </w:p>
    <w:p w14:paraId="4D976F54" w14:textId="0632EE8C" w:rsidR="00606FF8" w:rsidRDefault="1EE49F48" w:rsidP="00F428A9">
      <w:pPr>
        <w:pStyle w:val="MSACESParagraph"/>
        <w:rPr>
          <w:rFonts w:ascii="Franklin Gothic Book" w:hAnsi="Franklin Gothic Book"/>
          <w:sz w:val="22"/>
        </w:rPr>
      </w:pPr>
      <w:r w:rsidRPr="00F428A9">
        <w:rPr>
          <w:rFonts w:ascii="Franklin Gothic Book" w:hAnsi="Franklin Gothic Book"/>
          <w:sz w:val="22"/>
        </w:rPr>
        <w:t>Jasani et al. (2024)</w:t>
      </w:r>
      <w:r w:rsidR="624F2707" w:rsidRPr="00F428A9">
        <w:rPr>
          <w:rFonts w:ascii="Franklin Gothic Book" w:hAnsi="Franklin Gothic Book"/>
          <w:sz w:val="22"/>
        </w:rPr>
        <w:t xml:space="preserve"> </w:t>
      </w:r>
      <w:r w:rsidR="7814AA6B" w:rsidRPr="00F428A9">
        <w:rPr>
          <w:rFonts w:ascii="Franklin Gothic Book" w:hAnsi="Franklin Gothic Book"/>
          <w:sz w:val="22"/>
        </w:rPr>
        <w:t>assessed the analytical reproducibility and comparability of IHC testing for CLDN18</w:t>
      </w:r>
      <w:r w:rsidR="2A4D1896" w:rsidRPr="00F428A9">
        <w:rPr>
          <w:rFonts w:ascii="Franklin Gothic Book" w:hAnsi="Franklin Gothic Book"/>
          <w:sz w:val="22"/>
        </w:rPr>
        <w:t>, of which the</w:t>
      </w:r>
      <w:r w:rsidR="7814AA6B" w:rsidRPr="00F428A9">
        <w:rPr>
          <w:rFonts w:ascii="Franklin Gothic Book" w:hAnsi="Franklin Gothic Book"/>
          <w:sz w:val="22"/>
        </w:rPr>
        <w:t xml:space="preserve"> inter-laboratory concordance </w:t>
      </w:r>
      <w:r w:rsidR="2A4D1896" w:rsidRPr="00F428A9">
        <w:rPr>
          <w:rFonts w:ascii="Franklin Gothic Book" w:hAnsi="Franklin Gothic Book"/>
          <w:sz w:val="22"/>
        </w:rPr>
        <w:t xml:space="preserve">was evaluated </w:t>
      </w:r>
      <w:r w:rsidR="21903084" w:rsidRPr="00F428A9">
        <w:rPr>
          <w:rFonts w:ascii="Franklin Gothic Book" w:hAnsi="Franklin Gothic Book"/>
          <w:sz w:val="22"/>
        </w:rPr>
        <w:t xml:space="preserve">using </w:t>
      </w:r>
      <w:r w:rsidRPr="00F428A9">
        <w:rPr>
          <w:rFonts w:ascii="Franklin Gothic Book" w:hAnsi="Franklin Gothic Book"/>
          <w:sz w:val="22"/>
        </w:rPr>
        <w:t xml:space="preserve">three CLDN18 antibodies (Ventana, </w:t>
      </w:r>
      <w:proofErr w:type="spellStart"/>
      <w:r w:rsidRPr="00F428A9">
        <w:rPr>
          <w:rFonts w:ascii="Franklin Gothic Book" w:hAnsi="Franklin Gothic Book"/>
          <w:sz w:val="22"/>
        </w:rPr>
        <w:t>LSBio</w:t>
      </w:r>
      <w:proofErr w:type="spellEnd"/>
      <w:r w:rsidRPr="00F428A9">
        <w:rPr>
          <w:rFonts w:ascii="Franklin Gothic Book" w:hAnsi="Franklin Gothic Book"/>
          <w:sz w:val="22"/>
        </w:rPr>
        <w:t>, and Novus) stained on three IHC-staining platforms (Ventana</w:t>
      </w:r>
      <w:r w:rsidR="0A9DBC11" w:rsidRPr="00F428A9">
        <w:rPr>
          <w:rFonts w:ascii="Franklin Gothic Book" w:hAnsi="Franklin Gothic Book"/>
          <w:sz w:val="22"/>
        </w:rPr>
        <w:t xml:space="preserve"> </w:t>
      </w:r>
      <w:proofErr w:type="spellStart"/>
      <w:r w:rsidR="0A9DBC11" w:rsidRPr="00F428A9">
        <w:rPr>
          <w:rFonts w:ascii="Franklin Gothic Book" w:hAnsi="Franklin Gothic Book"/>
          <w:sz w:val="22"/>
        </w:rPr>
        <w:t>BenchMark</w:t>
      </w:r>
      <w:proofErr w:type="spellEnd"/>
      <w:r w:rsidRPr="00F428A9">
        <w:rPr>
          <w:rFonts w:ascii="Franklin Gothic Book" w:hAnsi="Franklin Gothic Book"/>
          <w:sz w:val="22"/>
        </w:rPr>
        <w:t>, Dako</w:t>
      </w:r>
      <w:r w:rsidR="0A9DBC11" w:rsidRPr="00F428A9">
        <w:rPr>
          <w:rFonts w:ascii="Franklin Gothic Book" w:hAnsi="Franklin Gothic Book"/>
          <w:sz w:val="22"/>
        </w:rPr>
        <w:t xml:space="preserve"> </w:t>
      </w:r>
      <w:proofErr w:type="spellStart"/>
      <w:r w:rsidR="0A9DBC11" w:rsidRPr="00F428A9">
        <w:rPr>
          <w:rFonts w:ascii="Franklin Gothic Book" w:hAnsi="Franklin Gothic Book"/>
          <w:sz w:val="22"/>
        </w:rPr>
        <w:t>Autostainer</w:t>
      </w:r>
      <w:proofErr w:type="spellEnd"/>
      <w:r w:rsidR="0A9DBC11" w:rsidRPr="00F428A9">
        <w:rPr>
          <w:rFonts w:ascii="Franklin Gothic Book" w:hAnsi="Franklin Gothic Book"/>
          <w:sz w:val="22"/>
        </w:rPr>
        <w:t xml:space="preserve"> Link 48</w:t>
      </w:r>
      <w:r w:rsidRPr="00F428A9">
        <w:rPr>
          <w:rFonts w:ascii="Franklin Gothic Book" w:hAnsi="Franklin Gothic Book"/>
          <w:sz w:val="22"/>
        </w:rPr>
        <w:t>, and Leica</w:t>
      </w:r>
      <w:r w:rsidR="0A9DBC11" w:rsidRPr="00F428A9">
        <w:rPr>
          <w:rFonts w:ascii="Franklin Gothic Book" w:hAnsi="Franklin Gothic Book"/>
          <w:sz w:val="22"/>
        </w:rPr>
        <w:t xml:space="preserve"> Bond</w:t>
      </w:r>
      <w:r w:rsidRPr="00F428A9">
        <w:rPr>
          <w:rFonts w:ascii="Franklin Gothic Book" w:hAnsi="Franklin Gothic Book"/>
          <w:sz w:val="22"/>
        </w:rPr>
        <w:t xml:space="preserve">). Notably, the </w:t>
      </w:r>
      <w:proofErr w:type="spellStart"/>
      <w:r w:rsidRPr="00F428A9">
        <w:rPr>
          <w:rFonts w:ascii="Franklin Gothic Book" w:hAnsi="Franklin Gothic Book"/>
          <w:sz w:val="22"/>
        </w:rPr>
        <w:t>LSBio</w:t>
      </w:r>
      <w:proofErr w:type="spellEnd"/>
      <w:r w:rsidRPr="00F428A9">
        <w:rPr>
          <w:rFonts w:ascii="Franklin Gothic Book" w:hAnsi="Franklin Gothic Book"/>
          <w:sz w:val="22"/>
        </w:rPr>
        <w:t xml:space="preserve"> and Novus antibodies were stained on all three platforms, whereas Ventana antibody was analysed only on </w:t>
      </w:r>
      <w:r w:rsidR="2A40EBAC" w:rsidRPr="00F428A9">
        <w:rPr>
          <w:rFonts w:ascii="Franklin Gothic Book" w:hAnsi="Franklin Gothic Book"/>
          <w:sz w:val="22"/>
        </w:rPr>
        <w:t xml:space="preserve">the </w:t>
      </w:r>
      <w:r w:rsidRPr="00F428A9">
        <w:rPr>
          <w:rFonts w:ascii="Franklin Gothic Book" w:hAnsi="Franklin Gothic Book"/>
          <w:sz w:val="22"/>
        </w:rPr>
        <w:t xml:space="preserve">Ventana platform. </w:t>
      </w:r>
      <w:r w:rsidR="000A7518">
        <w:rPr>
          <w:rFonts w:ascii="Franklin Gothic Book" w:hAnsi="Franklin Gothic Book"/>
          <w:sz w:val="22"/>
        </w:rPr>
        <w:fldChar w:fldCharType="begin"/>
      </w:r>
      <w:r w:rsidR="000A7518">
        <w:rPr>
          <w:rFonts w:ascii="Franklin Gothic Book" w:hAnsi="Franklin Gothic Book"/>
          <w:sz w:val="22"/>
        </w:rPr>
        <w:instrText xml:space="preserve"> REF _Ref197009857  \* MERGEFORMAT </w:instrText>
      </w:r>
      <w:r w:rsidR="000A7518">
        <w:rPr>
          <w:rFonts w:ascii="Franklin Gothic Book" w:hAnsi="Franklin Gothic Book"/>
          <w:sz w:val="22"/>
        </w:rPr>
        <w:fldChar w:fldCharType="separate"/>
      </w:r>
      <w:r w:rsidR="00132950" w:rsidRPr="00132950">
        <w:rPr>
          <w:rFonts w:ascii="Franklin Gothic Book" w:hAnsi="Franklin Gothic Book"/>
          <w:sz w:val="22"/>
        </w:rPr>
        <w:t>Table 6</w:t>
      </w:r>
      <w:r w:rsidR="000A7518">
        <w:rPr>
          <w:rFonts w:ascii="Franklin Gothic Book" w:hAnsi="Franklin Gothic Book"/>
          <w:sz w:val="22"/>
        </w:rPr>
        <w:fldChar w:fldCharType="end"/>
      </w:r>
      <w:r w:rsidR="09D48714" w:rsidRPr="00F428A9">
        <w:rPr>
          <w:rFonts w:ascii="Franklin Gothic Book" w:hAnsi="Franklin Gothic Book"/>
          <w:sz w:val="22"/>
        </w:rPr>
        <w:t xml:space="preserve"> </w:t>
      </w:r>
      <w:r w:rsidR="1E0D0BE6" w:rsidRPr="00F428A9">
        <w:rPr>
          <w:rFonts w:ascii="Franklin Gothic Book" w:hAnsi="Franklin Gothic Book"/>
          <w:sz w:val="22"/>
        </w:rPr>
        <w:t>presents a summary of the concordance results for CLDN18 testing, comparing the combined performance of different assays and platforms against the clinical utility standard, as calculated by the commentary.</w:t>
      </w:r>
    </w:p>
    <w:p w14:paraId="56C797EA" w14:textId="19E20752" w:rsidR="0094059E" w:rsidRPr="00BF1877" w:rsidRDefault="000A7518" w:rsidP="007C1B09">
      <w:pPr>
        <w:pStyle w:val="Caption"/>
      </w:pPr>
      <w:bookmarkStart w:id="51" w:name="_Ref197009857"/>
      <w:r>
        <w:t xml:space="preserve">Table </w:t>
      </w:r>
      <w:r w:rsidR="004A65F6">
        <w:fldChar w:fldCharType="begin"/>
      </w:r>
      <w:r w:rsidR="004A65F6">
        <w:instrText xml:space="preserve"> SEQ Table \* ARABIC </w:instrText>
      </w:r>
      <w:r w:rsidR="004A65F6">
        <w:fldChar w:fldCharType="separate"/>
      </w:r>
      <w:r w:rsidR="00132950">
        <w:rPr>
          <w:noProof/>
        </w:rPr>
        <w:t>6</w:t>
      </w:r>
      <w:r w:rsidR="004A65F6">
        <w:rPr>
          <w:noProof/>
        </w:rPr>
        <w:fldChar w:fldCharType="end"/>
      </w:r>
      <w:bookmarkEnd w:id="51"/>
      <w:r w:rsidRPr="000A7518">
        <w:t xml:space="preserve"> </w:t>
      </w:r>
      <w:r w:rsidRPr="00BF1877">
        <w:t>Concordance results of IHC CLDN18 testing compared with the clinical utility standard</w:t>
      </w:r>
      <w:bookmarkStart w:id="52" w:name="_Hlk1836881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1700"/>
        <w:gridCol w:w="1636"/>
        <w:gridCol w:w="1637"/>
        <w:gridCol w:w="1637"/>
      </w:tblGrid>
      <w:tr w:rsidR="00E41328" w:rsidRPr="006F4D53" w14:paraId="2DC5202C" w14:textId="77777777" w:rsidTr="77D89277">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BD9C7" w14:textId="5D7EC2A6" w:rsidR="0094059E" w:rsidRPr="00BF1877" w:rsidRDefault="0094059E" w:rsidP="0094059E">
            <w:pPr>
              <w:pStyle w:val="TableText"/>
              <w:keepNext/>
              <w:rPr>
                <w:b/>
                <w:i/>
              </w:rPr>
            </w:pPr>
            <w:r w:rsidRPr="00BF1877">
              <w:rPr>
                <w:b/>
                <w:i/>
              </w:rPr>
              <w:t>Antibody</w:t>
            </w: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24F8" w14:textId="098582C2" w:rsidR="0094059E" w:rsidRPr="00BF1877" w:rsidRDefault="006F345F" w:rsidP="00F27826">
            <w:pPr>
              <w:pStyle w:val="TableText"/>
              <w:keepNext/>
              <w:rPr>
                <w:b/>
                <w:i/>
              </w:rPr>
            </w:pPr>
            <w:r w:rsidRPr="00BF1877">
              <w:rPr>
                <w:b/>
                <w:i/>
              </w:rPr>
              <w:t>IHC</w:t>
            </w:r>
            <w:r w:rsidR="006D560D" w:rsidRPr="00BF1877">
              <w:rPr>
                <w:b/>
                <w:i/>
              </w:rPr>
              <w:t>-staining p</w:t>
            </w:r>
            <w:r w:rsidR="0094059E" w:rsidRPr="00BF1877">
              <w:rPr>
                <w:b/>
                <w:i/>
              </w:rPr>
              <w:t>latform</w:t>
            </w:r>
            <w:r w:rsidR="006D560D" w:rsidRPr="00BF1877">
              <w:rPr>
                <w:b/>
                <w:i/>
              </w:rPr>
              <w:t>s</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0880" w14:textId="4E3174F5" w:rsidR="0094059E" w:rsidRPr="00BF1877" w:rsidRDefault="0094059E" w:rsidP="00F27826">
            <w:pPr>
              <w:pStyle w:val="TableText"/>
              <w:keepNext/>
              <w:jc w:val="center"/>
              <w:rPr>
                <w:b/>
                <w:i/>
              </w:rPr>
            </w:pPr>
            <w:r w:rsidRPr="00BF1877">
              <w:rPr>
                <w:b/>
                <w:i/>
              </w:rPr>
              <w:t>PPA (%)</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1D824" w14:textId="5A60B0A5" w:rsidR="0094059E" w:rsidRPr="00BF1877" w:rsidRDefault="0094059E" w:rsidP="00F27826">
            <w:pPr>
              <w:pStyle w:val="TableText"/>
              <w:keepNext/>
              <w:jc w:val="center"/>
              <w:rPr>
                <w:b/>
                <w:i/>
              </w:rPr>
            </w:pPr>
            <w:r w:rsidRPr="00BF1877">
              <w:rPr>
                <w:b/>
                <w:i/>
              </w:rPr>
              <w:t>NPA (%)</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E851A" w14:textId="4A659B62" w:rsidR="0094059E" w:rsidRPr="00BF1877" w:rsidRDefault="0094059E" w:rsidP="00F27826">
            <w:pPr>
              <w:pStyle w:val="TableText"/>
              <w:keepNext/>
              <w:jc w:val="center"/>
              <w:rPr>
                <w:b/>
                <w:i/>
              </w:rPr>
            </w:pPr>
            <w:r w:rsidRPr="00BF1877">
              <w:rPr>
                <w:b/>
                <w:i/>
              </w:rPr>
              <w:t>OPA (%)</w:t>
            </w:r>
          </w:p>
        </w:tc>
      </w:tr>
      <w:tr w:rsidR="00E41328" w:rsidRPr="006F4D53" w14:paraId="7341BA54" w14:textId="77777777" w:rsidTr="77D89277">
        <w:trPr>
          <w:trHeight w:val="67"/>
        </w:trPr>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8F62" w14:textId="7A7FC95F" w:rsidR="0094059E" w:rsidRPr="007D45FB" w:rsidRDefault="09D48714" w:rsidP="77D89277">
            <w:pPr>
              <w:pStyle w:val="TableText"/>
              <w:keepNext/>
              <w:rPr>
                <w:i/>
                <w:iCs/>
              </w:rPr>
            </w:pPr>
            <w:r w:rsidRPr="77D89277">
              <w:rPr>
                <w:i/>
                <w:iCs/>
              </w:rPr>
              <w:t xml:space="preserve">Ventana </w:t>
            </w:r>
            <w:r w:rsidR="65DF22A0" w:rsidRPr="77D89277">
              <w:rPr>
                <w:i/>
                <w:iCs/>
                <w:vertAlign w:val="superscript"/>
              </w:rPr>
              <w:t xml:space="preserve">® </w:t>
            </w:r>
            <w:r w:rsidR="65DF22A0" w:rsidRPr="77D89277">
              <w:rPr>
                <w:i/>
                <w:iCs/>
              </w:rPr>
              <w:t xml:space="preserve">CLDN18 (43-14A) </w:t>
            </w:r>
            <w:proofErr w:type="spellStart"/>
            <w:r w:rsidR="65DF22A0" w:rsidRPr="77D89277">
              <w:rPr>
                <w:i/>
                <w:iCs/>
              </w:rPr>
              <w:t>RxDx</w:t>
            </w:r>
            <w:proofErr w:type="spellEnd"/>
            <w:r w:rsidR="65DF22A0" w:rsidRPr="77D89277">
              <w:rPr>
                <w:i/>
                <w:iCs/>
              </w:rPr>
              <w:t xml:space="preserve"> IHC</w:t>
            </w: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56271" w14:textId="61692D1E" w:rsidR="0094059E" w:rsidRPr="007D45FB" w:rsidRDefault="0094059E" w:rsidP="00F27826">
            <w:pPr>
              <w:pStyle w:val="TableText"/>
              <w:keepNext/>
              <w:rPr>
                <w:i/>
              </w:rPr>
            </w:pPr>
            <w:r w:rsidRPr="007D45FB">
              <w:rPr>
                <w:i/>
              </w:rPr>
              <w:t>Ventana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E599A" w14:textId="1AF4D51B" w:rsidR="0094059E" w:rsidRPr="007D45FB" w:rsidRDefault="0094059E" w:rsidP="00F27826">
            <w:pPr>
              <w:pStyle w:val="TableText"/>
              <w:keepNext/>
              <w:jc w:val="center"/>
              <w:rPr>
                <w:i/>
              </w:rPr>
            </w:pPr>
            <w:r w:rsidRPr="007D45FB">
              <w:rPr>
                <w:i/>
              </w:rPr>
              <w:t>84.4</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031FF" w14:textId="3DA0344A" w:rsidR="0094059E" w:rsidRPr="007D45FB" w:rsidRDefault="0094059E" w:rsidP="00F27826">
            <w:pPr>
              <w:pStyle w:val="TableText"/>
              <w:keepNext/>
              <w:jc w:val="center"/>
              <w:rPr>
                <w:i/>
              </w:rPr>
            </w:pPr>
            <w:r w:rsidRPr="007D45FB">
              <w:rPr>
                <w:i/>
              </w:rPr>
              <w:t>94.6</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B07A9" w14:textId="4602DFA9" w:rsidR="0094059E" w:rsidRPr="007D45FB" w:rsidRDefault="0094059E" w:rsidP="00F27826">
            <w:pPr>
              <w:pStyle w:val="TableText"/>
              <w:keepNext/>
              <w:jc w:val="center"/>
              <w:rPr>
                <w:i/>
              </w:rPr>
            </w:pPr>
            <w:r w:rsidRPr="007D45FB">
              <w:rPr>
                <w:i/>
              </w:rPr>
              <w:t>89.8</w:t>
            </w:r>
          </w:p>
        </w:tc>
      </w:tr>
      <w:tr w:rsidR="00E41328" w:rsidRPr="006F4D53" w14:paraId="59E36603" w14:textId="77777777" w:rsidTr="77D89277">
        <w:tc>
          <w:tcPr>
            <w:tcW w:w="1334" w:type="pct"/>
            <w:vMerge w:val="restart"/>
            <w:tcBorders>
              <w:top w:val="single" w:sz="4" w:space="0" w:color="000000" w:themeColor="text1"/>
              <w:left w:val="single" w:sz="4" w:space="0" w:color="000000" w:themeColor="text1"/>
              <w:right w:val="single" w:sz="4" w:space="0" w:color="000000" w:themeColor="text1"/>
            </w:tcBorders>
          </w:tcPr>
          <w:p w14:paraId="5DA45909" w14:textId="774B3BFF" w:rsidR="0094059E" w:rsidRPr="007D45FB" w:rsidRDefault="0094059E" w:rsidP="0094059E">
            <w:pPr>
              <w:pStyle w:val="TableText"/>
              <w:keepNext/>
              <w:rPr>
                <w:i/>
              </w:rPr>
            </w:pPr>
            <w:r w:rsidRPr="007D45FB">
              <w:rPr>
                <w:i/>
              </w:rPr>
              <w:t>Novus</w:t>
            </w: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8A7E2" w14:textId="1C498B2B" w:rsidR="0094059E" w:rsidRPr="007D45FB" w:rsidRDefault="0094059E" w:rsidP="00F27826">
            <w:pPr>
              <w:pStyle w:val="TableText"/>
              <w:keepNext/>
              <w:rPr>
                <w:i/>
              </w:rPr>
            </w:pPr>
            <w:r w:rsidRPr="007D45FB">
              <w:rPr>
                <w:i/>
              </w:rPr>
              <w:t>Ventana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3502" w14:textId="4C6CA8E4" w:rsidR="0094059E" w:rsidRPr="007D45FB" w:rsidRDefault="0094059E" w:rsidP="00F27826">
            <w:pPr>
              <w:pStyle w:val="TableText"/>
              <w:keepNext/>
              <w:jc w:val="center"/>
              <w:rPr>
                <w:i/>
              </w:rPr>
            </w:pPr>
            <w:r w:rsidRPr="007D45FB">
              <w:rPr>
                <w:i/>
              </w:rPr>
              <w:t>55.3</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7787F" w14:textId="7F981C79" w:rsidR="0094059E" w:rsidRPr="007D45FB" w:rsidRDefault="0094059E" w:rsidP="00F27826">
            <w:pPr>
              <w:pStyle w:val="TableText"/>
              <w:keepNext/>
              <w:jc w:val="center"/>
              <w:rPr>
                <w:i/>
              </w:rPr>
            </w:pPr>
            <w:r w:rsidRPr="007D45FB">
              <w:rPr>
                <w:i/>
              </w:rPr>
              <w:t>94.6</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69A20" w14:textId="09895282" w:rsidR="0094059E" w:rsidRPr="007D45FB" w:rsidRDefault="0094059E" w:rsidP="00F27826">
            <w:pPr>
              <w:pStyle w:val="TableText"/>
              <w:keepNext/>
              <w:jc w:val="center"/>
              <w:rPr>
                <w:i/>
              </w:rPr>
            </w:pPr>
            <w:r w:rsidRPr="007D45FB">
              <w:rPr>
                <w:i/>
              </w:rPr>
              <w:t>74.2</w:t>
            </w:r>
          </w:p>
        </w:tc>
      </w:tr>
      <w:tr w:rsidR="00E41328" w:rsidRPr="006F4D53" w14:paraId="77A97726" w14:textId="77777777" w:rsidTr="77D89277">
        <w:tc>
          <w:tcPr>
            <w:tcW w:w="1334" w:type="pct"/>
            <w:vMerge/>
          </w:tcPr>
          <w:p w14:paraId="11711CEE" w14:textId="77777777" w:rsidR="0094059E" w:rsidRPr="007D45FB" w:rsidRDefault="0094059E" w:rsidP="0094059E">
            <w:pPr>
              <w:pStyle w:val="TableText"/>
              <w:keepNext/>
              <w:rPr>
                <w:i/>
              </w:rPr>
            </w:pP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F81EC" w14:textId="742F0523" w:rsidR="0094059E" w:rsidRPr="007D45FB" w:rsidRDefault="0094059E" w:rsidP="00F27826">
            <w:pPr>
              <w:pStyle w:val="TableText"/>
              <w:keepNext/>
              <w:rPr>
                <w:i/>
              </w:rPr>
            </w:pPr>
            <w:r w:rsidRPr="007D45FB">
              <w:rPr>
                <w:i/>
              </w:rPr>
              <w:t>Dako</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FBB3" w14:textId="4AE50D98" w:rsidR="0094059E" w:rsidRPr="007D45FB" w:rsidRDefault="0094059E" w:rsidP="00F27826">
            <w:pPr>
              <w:pStyle w:val="TableText"/>
              <w:keepNext/>
              <w:jc w:val="center"/>
              <w:rPr>
                <w:i/>
              </w:rPr>
            </w:pPr>
            <w:r w:rsidRPr="007D45FB">
              <w:rPr>
                <w:i/>
              </w:rPr>
              <w:t>60.5</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FC802" w14:textId="5047600D" w:rsidR="0094059E" w:rsidRPr="007D45FB" w:rsidRDefault="0094059E" w:rsidP="00F27826">
            <w:pPr>
              <w:pStyle w:val="TableText"/>
              <w:keepNext/>
              <w:jc w:val="center"/>
              <w:rPr>
                <w:i/>
              </w:rPr>
            </w:pPr>
            <w:r w:rsidRPr="007D45FB">
              <w:rPr>
                <w:i/>
              </w:rPr>
              <w:t>90.4</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E798" w14:textId="5D3CB8C6" w:rsidR="0094059E" w:rsidRPr="007D45FB" w:rsidRDefault="0094059E" w:rsidP="00F27826">
            <w:pPr>
              <w:pStyle w:val="TableText"/>
              <w:keepNext/>
              <w:jc w:val="center"/>
              <w:rPr>
                <w:i/>
              </w:rPr>
            </w:pPr>
            <w:r w:rsidRPr="007D45FB">
              <w:rPr>
                <w:i/>
              </w:rPr>
              <w:t>75.5</w:t>
            </w:r>
          </w:p>
        </w:tc>
      </w:tr>
      <w:tr w:rsidR="00E41328" w:rsidRPr="006F4D53" w14:paraId="1270AB7B" w14:textId="77777777" w:rsidTr="77D89277">
        <w:tc>
          <w:tcPr>
            <w:tcW w:w="1334" w:type="pct"/>
            <w:vMerge/>
          </w:tcPr>
          <w:p w14:paraId="37FC51FD" w14:textId="77777777" w:rsidR="0094059E" w:rsidRPr="007D45FB" w:rsidRDefault="0094059E" w:rsidP="0094059E">
            <w:pPr>
              <w:pStyle w:val="TableText"/>
              <w:keepNext/>
              <w:rPr>
                <w:i/>
              </w:rPr>
            </w:pP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218FF" w14:textId="7D896CE7" w:rsidR="0094059E" w:rsidRPr="007D45FB" w:rsidRDefault="0094059E" w:rsidP="00F27826">
            <w:pPr>
              <w:pStyle w:val="TableText"/>
              <w:keepNext/>
              <w:rPr>
                <w:i/>
              </w:rPr>
            </w:pPr>
            <w:r w:rsidRPr="007D45FB">
              <w:rPr>
                <w:i/>
              </w:rPr>
              <w:t>Leica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5D06B" w14:textId="1C23C61E" w:rsidR="0094059E" w:rsidRPr="007D45FB" w:rsidRDefault="0094059E" w:rsidP="00F27826">
            <w:pPr>
              <w:pStyle w:val="TableText"/>
              <w:keepNext/>
              <w:jc w:val="center"/>
              <w:rPr>
                <w:i/>
              </w:rPr>
            </w:pPr>
            <w:r w:rsidRPr="007D45FB">
              <w:rPr>
                <w:i/>
              </w:rPr>
              <w:t>71.5</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97448" w14:textId="23742B77" w:rsidR="0094059E" w:rsidRPr="007D45FB" w:rsidRDefault="0094059E" w:rsidP="00F27826">
            <w:pPr>
              <w:pStyle w:val="TableText"/>
              <w:keepNext/>
              <w:jc w:val="center"/>
              <w:rPr>
                <w:i/>
              </w:rPr>
            </w:pPr>
            <w:r w:rsidRPr="007D45FB">
              <w:rPr>
                <w:i/>
              </w:rPr>
              <w:t>87.6</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EDF13" w14:textId="3AB44168" w:rsidR="0094059E" w:rsidRPr="007D45FB" w:rsidRDefault="0094059E" w:rsidP="00F27826">
            <w:pPr>
              <w:pStyle w:val="TableText"/>
              <w:keepNext/>
              <w:jc w:val="center"/>
              <w:rPr>
                <w:i/>
              </w:rPr>
            </w:pPr>
            <w:r w:rsidRPr="007D45FB">
              <w:rPr>
                <w:i/>
              </w:rPr>
              <w:t>79.6</w:t>
            </w:r>
          </w:p>
        </w:tc>
      </w:tr>
      <w:tr w:rsidR="00E41328" w:rsidRPr="006F4D53" w14:paraId="19E089C8" w14:textId="77777777" w:rsidTr="77D89277">
        <w:tc>
          <w:tcPr>
            <w:tcW w:w="1334" w:type="pct"/>
            <w:vMerge w:val="restart"/>
            <w:tcBorders>
              <w:top w:val="single" w:sz="4" w:space="0" w:color="000000" w:themeColor="text1"/>
              <w:left w:val="single" w:sz="4" w:space="0" w:color="000000" w:themeColor="text1"/>
              <w:right w:val="single" w:sz="4" w:space="0" w:color="000000" w:themeColor="text1"/>
            </w:tcBorders>
          </w:tcPr>
          <w:p w14:paraId="021A52A5" w14:textId="695FD0D3" w:rsidR="0094059E" w:rsidRPr="007D45FB" w:rsidRDefault="09D48714" w:rsidP="77D89277">
            <w:pPr>
              <w:pStyle w:val="TableText"/>
              <w:keepNext/>
              <w:rPr>
                <w:i/>
                <w:iCs/>
              </w:rPr>
            </w:pPr>
            <w:proofErr w:type="spellStart"/>
            <w:r w:rsidRPr="77D89277">
              <w:rPr>
                <w:i/>
                <w:iCs/>
              </w:rPr>
              <w:t>LSBio</w:t>
            </w:r>
            <w:proofErr w:type="spellEnd"/>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12D87" w14:textId="57FB3B7C" w:rsidR="0094059E" w:rsidRPr="007D45FB" w:rsidRDefault="0094059E" w:rsidP="00F27826">
            <w:pPr>
              <w:pStyle w:val="TableText"/>
              <w:keepNext/>
              <w:rPr>
                <w:i/>
              </w:rPr>
            </w:pPr>
            <w:r w:rsidRPr="007D45FB">
              <w:rPr>
                <w:i/>
              </w:rPr>
              <w:t>Ventana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669E" w14:textId="5C25DFAF" w:rsidR="0094059E" w:rsidRPr="007D45FB" w:rsidRDefault="0094059E" w:rsidP="00F27826">
            <w:pPr>
              <w:pStyle w:val="TableText"/>
              <w:keepNext/>
              <w:jc w:val="center"/>
              <w:rPr>
                <w:i/>
              </w:rPr>
            </w:pPr>
            <w:r w:rsidRPr="007D45FB">
              <w:rPr>
                <w:i/>
              </w:rPr>
              <w:t>86.5</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98C52" w14:textId="34031C09" w:rsidR="0094059E" w:rsidRPr="007D45FB" w:rsidRDefault="0094059E" w:rsidP="00F27826">
            <w:pPr>
              <w:pStyle w:val="TableText"/>
              <w:keepNext/>
              <w:jc w:val="center"/>
              <w:rPr>
                <w:i/>
              </w:rPr>
            </w:pPr>
            <w:r w:rsidRPr="007D45FB">
              <w:rPr>
                <w:i/>
              </w:rPr>
              <w:t>82.8</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90639" w14:textId="7657487A" w:rsidR="0094059E" w:rsidRPr="007D45FB" w:rsidRDefault="0094059E" w:rsidP="00F27826">
            <w:pPr>
              <w:pStyle w:val="TableText"/>
              <w:keepNext/>
              <w:jc w:val="center"/>
              <w:rPr>
                <w:i/>
              </w:rPr>
            </w:pPr>
            <w:r w:rsidRPr="007D45FB">
              <w:rPr>
                <w:i/>
              </w:rPr>
              <w:t>84.6</w:t>
            </w:r>
          </w:p>
        </w:tc>
      </w:tr>
      <w:tr w:rsidR="00E41328" w:rsidRPr="006F4D53" w14:paraId="2750CFF2" w14:textId="77777777" w:rsidTr="77D89277">
        <w:tc>
          <w:tcPr>
            <w:tcW w:w="1334" w:type="pct"/>
            <w:vMerge/>
          </w:tcPr>
          <w:p w14:paraId="39B0E879" w14:textId="77777777" w:rsidR="0094059E" w:rsidRPr="007D45FB" w:rsidRDefault="0094059E" w:rsidP="0094059E">
            <w:pPr>
              <w:pStyle w:val="TableText"/>
              <w:keepNext/>
              <w:rPr>
                <w:i/>
              </w:rPr>
            </w:pP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337F5" w14:textId="0D846DE7" w:rsidR="0094059E" w:rsidRPr="007D45FB" w:rsidRDefault="0094059E" w:rsidP="00F27826">
            <w:pPr>
              <w:pStyle w:val="TableText"/>
              <w:keepNext/>
              <w:rPr>
                <w:i/>
              </w:rPr>
            </w:pPr>
            <w:r w:rsidRPr="007D45FB">
              <w:rPr>
                <w:i/>
              </w:rPr>
              <w:t>Dako</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68F38" w14:textId="2C78FAE1" w:rsidR="0094059E" w:rsidRPr="007D45FB" w:rsidRDefault="0094059E" w:rsidP="00F27826">
            <w:pPr>
              <w:pStyle w:val="TableText"/>
              <w:keepNext/>
              <w:jc w:val="center"/>
              <w:rPr>
                <w:i/>
              </w:rPr>
            </w:pPr>
            <w:r w:rsidRPr="007D45FB">
              <w:rPr>
                <w:i/>
              </w:rPr>
              <w:t>91.0</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10952" w14:textId="383D59EA" w:rsidR="0094059E" w:rsidRPr="007D45FB" w:rsidRDefault="0094059E" w:rsidP="00F27826">
            <w:pPr>
              <w:pStyle w:val="TableText"/>
              <w:keepNext/>
              <w:jc w:val="center"/>
              <w:rPr>
                <w:i/>
              </w:rPr>
            </w:pPr>
            <w:r w:rsidRPr="007D45FB">
              <w:rPr>
                <w:i/>
              </w:rPr>
              <w:t>93.2</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F6E8C" w14:textId="24AF271F" w:rsidR="0094059E" w:rsidRPr="007D45FB" w:rsidRDefault="0094059E" w:rsidP="00F27826">
            <w:pPr>
              <w:pStyle w:val="TableText"/>
              <w:keepNext/>
              <w:jc w:val="center"/>
              <w:rPr>
                <w:i/>
              </w:rPr>
            </w:pPr>
            <w:r w:rsidRPr="007D45FB">
              <w:rPr>
                <w:i/>
              </w:rPr>
              <w:t>92.1</w:t>
            </w:r>
          </w:p>
        </w:tc>
      </w:tr>
      <w:tr w:rsidR="0094059E" w:rsidRPr="006F4D53" w14:paraId="3A763ADD" w14:textId="77777777" w:rsidTr="77D89277">
        <w:tc>
          <w:tcPr>
            <w:tcW w:w="1334" w:type="pct"/>
            <w:vMerge/>
          </w:tcPr>
          <w:p w14:paraId="4213CE8A" w14:textId="77777777" w:rsidR="0094059E" w:rsidRPr="007D45FB" w:rsidRDefault="0094059E" w:rsidP="0094059E">
            <w:pPr>
              <w:pStyle w:val="TableText"/>
              <w:keepNext/>
              <w:rPr>
                <w:i/>
              </w:rPr>
            </w:pPr>
          </w:p>
        </w:tc>
        <w:tc>
          <w:tcPr>
            <w:tcW w:w="9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76AB7" w14:textId="6E7CA42E" w:rsidR="0094059E" w:rsidRPr="007D45FB" w:rsidRDefault="0094059E" w:rsidP="00F27826">
            <w:pPr>
              <w:pStyle w:val="TableText"/>
              <w:keepNext/>
              <w:rPr>
                <w:i/>
              </w:rPr>
            </w:pPr>
            <w:r w:rsidRPr="007D45FB">
              <w:rPr>
                <w:i/>
              </w:rPr>
              <w:t>Leica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59525" w14:textId="3EB36356" w:rsidR="0094059E" w:rsidRPr="007D45FB" w:rsidRDefault="0094059E" w:rsidP="00F27826">
            <w:pPr>
              <w:pStyle w:val="TableText"/>
              <w:keepNext/>
              <w:jc w:val="center"/>
              <w:rPr>
                <w:i/>
              </w:rPr>
            </w:pPr>
            <w:r w:rsidRPr="007D45FB">
              <w:rPr>
                <w:i/>
              </w:rPr>
              <w:t>85.3</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7BC9" w14:textId="02F6A001" w:rsidR="0094059E" w:rsidRPr="007D45FB" w:rsidRDefault="0094059E" w:rsidP="00F27826">
            <w:pPr>
              <w:pStyle w:val="TableText"/>
              <w:keepNext/>
              <w:jc w:val="center"/>
              <w:rPr>
                <w:i/>
              </w:rPr>
            </w:pPr>
            <w:r w:rsidRPr="007D45FB">
              <w:rPr>
                <w:i/>
              </w:rPr>
              <w:t>86.5</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4DBEF" w14:textId="4A64FDF6" w:rsidR="0094059E" w:rsidRPr="007D45FB" w:rsidRDefault="0094059E" w:rsidP="00F27826">
            <w:pPr>
              <w:pStyle w:val="TableText"/>
              <w:keepNext/>
              <w:jc w:val="center"/>
              <w:rPr>
                <w:i/>
              </w:rPr>
            </w:pPr>
            <w:r w:rsidRPr="007D45FB">
              <w:rPr>
                <w:i/>
              </w:rPr>
              <w:t>85.9</w:t>
            </w:r>
          </w:p>
        </w:tc>
      </w:tr>
    </w:tbl>
    <w:bookmarkEnd w:id="52"/>
    <w:p w14:paraId="4966D7F8" w14:textId="7B101A3E" w:rsidR="0094059E" w:rsidRPr="007D45FB" w:rsidRDefault="0094059E" w:rsidP="0094059E">
      <w:pPr>
        <w:pStyle w:val="TableFooter"/>
        <w:rPr>
          <w:i/>
        </w:rPr>
      </w:pPr>
      <w:r w:rsidRPr="007D45FB">
        <w:rPr>
          <w:i/>
        </w:rPr>
        <w:t>Source: Calculated using evaluation using Table 2-12, p77 of the submission.</w:t>
      </w:r>
    </w:p>
    <w:p w14:paraId="09783258" w14:textId="2316A0D3" w:rsidR="0094059E" w:rsidRPr="007D45FB" w:rsidRDefault="00F27826" w:rsidP="0094059E">
      <w:pPr>
        <w:pStyle w:val="TableFooter"/>
        <w:rPr>
          <w:i/>
        </w:rPr>
      </w:pPr>
      <w:r w:rsidRPr="007D45FB">
        <w:rPr>
          <w:i/>
        </w:rPr>
        <w:t xml:space="preserve">CLDN18 = Claudin 18; IHC = immunohistochemistry; </w:t>
      </w:r>
      <w:r w:rsidR="0094059E" w:rsidRPr="007D45FB">
        <w:rPr>
          <w:i/>
        </w:rPr>
        <w:t>PPA = positive percent agreement; NPA = negative percent agreement; OPA = overall percent agreement.</w:t>
      </w:r>
    </w:p>
    <w:p w14:paraId="3DB1FA94" w14:textId="0C5DFCAC" w:rsidR="00391164" w:rsidRPr="007D45FB" w:rsidRDefault="0094059E" w:rsidP="00F27826">
      <w:pPr>
        <w:pStyle w:val="TableFooter"/>
        <w:rPr>
          <w:i/>
        </w:rPr>
      </w:pPr>
      <w:r w:rsidRPr="007D45FB">
        <w:rPr>
          <w:i/>
        </w:rPr>
        <w:t>Italics calculated during evaluation</w:t>
      </w:r>
      <w:r w:rsidR="00F27826" w:rsidRPr="007D45FB">
        <w:rPr>
          <w:i/>
        </w:rPr>
        <w:t>.</w:t>
      </w:r>
    </w:p>
    <w:p w14:paraId="4241EBF4" w14:textId="68414BAC" w:rsidR="007B6943" w:rsidRPr="00F428A9" w:rsidRDefault="2012B209" w:rsidP="00F428A9">
      <w:pPr>
        <w:pStyle w:val="MSACESParagraph"/>
        <w:spacing w:before="240"/>
        <w:rPr>
          <w:rFonts w:ascii="Franklin Gothic Book" w:hAnsi="Franklin Gothic Book"/>
          <w:sz w:val="22"/>
        </w:rPr>
      </w:pPr>
      <w:r w:rsidRPr="00F428A9">
        <w:rPr>
          <w:rFonts w:ascii="Franklin Gothic Book" w:hAnsi="Franklin Gothic Book"/>
          <w:sz w:val="22"/>
        </w:rPr>
        <w:t xml:space="preserve">Based on the Principles of Analytic Validation of Immunohistochemical Assays: Guideline Update by the College of American Pathologists, an overall concordance </w:t>
      </w:r>
      <w:r w:rsidR="3326472A" w:rsidRPr="00F428A9">
        <w:rPr>
          <w:rFonts w:ascii="Franklin Gothic Book" w:hAnsi="Franklin Gothic Book"/>
          <w:sz w:val="22"/>
        </w:rPr>
        <w:t xml:space="preserve">(represented by </w:t>
      </w:r>
      <w:r w:rsidR="348865E7" w:rsidRPr="00F428A9">
        <w:rPr>
          <w:rFonts w:ascii="Franklin Gothic Book" w:hAnsi="Franklin Gothic Book"/>
          <w:sz w:val="22"/>
        </w:rPr>
        <w:t xml:space="preserve">Overall Percent Agreement </w:t>
      </w:r>
      <w:r w:rsidR="28079DC2" w:rsidRPr="00F428A9">
        <w:rPr>
          <w:rFonts w:ascii="Franklin Gothic Book" w:hAnsi="Franklin Gothic Book"/>
          <w:sz w:val="22"/>
        </w:rPr>
        <w:t>[</w:t>
      </w:r>
      <w:r w:rsidR="3326472A" w:rsidRPr="00F428A9">
        <w:rPr>
          <w:rFonts w:ascii="Franklin Gothic Book" w:hAnsi="Franklin Gothic Book"/>
          <w:sz w:val="22"/>
        </w:rPr>
        <w:t>OPA</w:t>
      </w:r>
      <w:r w:rsidR="28079DC2" w:rsidRPr="00F428A9">
        <w:rPr>
          <w:rFonts w:ascii="Franklin Gothic Book" w:hAnsi="Franklin Gothic Book"/>
          <w:sz w:val="22"/>
        </w:rPr>
        <w:t>]</w:t>
      </w:r>
      <w:r w:rsidR="3326472A" w:rsidRPr="00F428A9">
        <w:rPr>
          <w:rFonts w:ascii="Franklin Gothic Book" w:hAnsi="Franklin Gothic Book"/>
          <w:sz w:val="22"/>
        </w:rPr>
        <w:t xml:space="preserve">) </w:t>
      </w:r>
      <w:r w:rsidRPr="00F428A9">
        <w:rPr>
          <w:rFonts w:ascii="Franklin Gothic Book" w:hAnsi="Franklin Gothic Book"/>
          <w:sz w:val="22"/>
        </w:rPr>
        <w:t>of at least 90% should be achieved between a new assay and a comparator assay</w:t>
      </w:r>
      <w:r w:rsidR="5A1774C9" w:rsidRPr="00F428A9">
        <w:rPr>
          <w:rFonts w:ascii="Franklin Gothic Book" w:hAnsi="Franklin Gothic Book"/>
          <w:sz w:val="22"/>
        </w:rPr>
        <w:t>.</w:t>
      </w:r>
      <w:r w:rsidR="00EF729D" w:rsidRPr="00F428A9">
        <w:rPr>
          <w:rFonts w:ascii="Franklin Gothic Book" w:hAnsi="Franklin Gothic Book"/>
          <w:sz w:val="22"/>
          <w:vertAlign w:val="superscript"/>
        </w:rPr>
        <w:footnoteReference w:id="10"/>
      </w:r>
      <w:r w:rsidRPr="00F428A9">
        <w:rPr>
          <w:rFonts w:ascii="Franklin Gothic Book" w:hAnsi="Franklin Gothic Book"/>
          <w:i/>
          <w:iCs/>
          <w:sz w:val="22"/>
        </w:rPr>
        <w:t xml:space="preserve"> </w:t>
      </w:r>
      <w:r w:rsidR="71763D8E" w:rsidRPr="00F428A9">
        <w:rPr>
          <w:rFonts w:ascii="Franklin Gothic Book" w:hAnsi="Franklin Gothic Book"/>
          <w:sz w:val="22"/>
        </w:rPr>
        <w:t xml:space="preserve">The Positive Percent Agreement (PPA) and Negative Percent Agreement (NPA) for the Ventana platform with the Ventana® CLDN18 (43-14A) </w:t>
      </w:r>
      <w:proofErr w:type="spellStart"/>
      <w:r w:rsidR="71763D8E" w:rsidRPr="00F428A9">
        <w:rPr>
          <w:rFonts w:ascii="Franklin Gothic Book" w:hAnsi="Franklin Gothic Book"/>
          <w:sz w:val="22"/>
        </w:rPr>
        <w:t>RxDx</w:t>
      </w:r>
      <w:proofErr w:type="spellEnd"/>
      <w:r w:rsidR="71763D8E" w:rsidRPr="00F428A9">
        <w:rPr>
          <w:rFonts w:ascii="Franklin Gothic Book" w:hAnsi="Franklin Gothic Book"/>
          <w:sz w:val="22"/>
        </w:rPr>
        <w:t xml:space="preserve"> IHC antibody were 84.4% and 94.6%, respectively, resulting in an OPA of 89.8%. In comparison, the OPA for the Novus antibody was lower across all platforms, ranging from 74% to 80%, demonstrating </w:t>
      </w:r>
      <w:r w:rsidR="5A4DCCAA" w:rsidRPr="00F428A9">
        <w:rPr>
          <w:rFonts w:ascii="Franklin Gothic Book" w:hAnsi="Franklin Gothic Book"/>
          <w:sz w:val="22"/>
        </w:rPr>
        <w:t xml:space="preserve">low </w:t>
      </w:r>
      <w:r w:rsidR="71763D8E" w:rsidRPr="00F428A9">
        <w:rPr>
          <w:rFonts w:ascii="Franklin Gothic Book" w:hAnsi="Franklin Gothic Book"/>
          <w:sz w:val="22"/>
        </w:rPr>
        <w:t xml:space="preserve">consistency. The </w:t>
      </w:r>
      <w:proofErr w:type="spellStart"/>
      <w:r w:rsidR="71763D8E" w:rsidRPr="00F428A9">
        <w:rPr>
          <w:rFonts w:ascii="Franklin Gothic Book" w:hAnsi="Franklin Gothic Book"/>
          <w:sz w:val="22"/>
        </w:rPr>
        <w:t>LSBio</w:t>
      </w:r>
      <w:proofErr w:type="spellEnd"/>
      <w:r w:rsidR="71763D8E" w:rsidRPr="00F428A9">
        <w:rPr>
          <w:rFonts w:ascii="Franklin Gothic Book" w:hAnsi="Franklin Gothic Book"/>
          <w:sz w:val="22"/>
        </w:rPr>
        <w:t xml:space="preserve"> antibody performed notably better with the Dako platform (92.1% OPA), compared to its performance on the Ventana and Leica platforms (84.6% and 85.9% OPA, respectively). The commentary </w:t>
      </w:r>
      <w:r w:rsidR="7D5F42A2" w:rsidRPr="00F428A9">
        <w:rPr>
          <w:rFonts w:ascii="Franklin Gothic Book" w:hAnsi="Franklin Gothic Book"/>
          <w:sz w:val="22"/>
        </w:rPr>
        <w:t>noted</w:t>
      </w:r>
      <w:r w:rsidR="71763D8E" w:rsidRPr="00F428A9">
        <w:rPr>
          <w:rFonts w:ascii="Franklin Gothic Book" w:hAnsi="Franklin Gothic Book"/>
          <w:sz w:val="22"/>
        </w:rPr>
        <w:t xml:space="preserve"> that both the Ventana® CLDN18</w:t>
      </w:r>
      <w:r w:rsidR="3D4623FB" w:rsidRPr="00F428A9">
        <w:rPr>
          <w:rFonts w:ascii="Franklin Gothic Book" w:hAnsi="Franklin Gothic Book"/>
          <w:sz w:val="22"/>
        </w:rPr>
        <w:t>.2</w:t>
      </w:r>
      <w:r w:rsidR="30FBA3EC" w:rsidRPr="00F428A9">
        <w:rPr>
          <w:rFonts w:ascii="Franklin Gothic Book" w:hAnsi="Franklin Gothic Book"/>
          <w:sz w:val="22"/>
        </w:rPr>
        <w:t xml:space="preserve"> (43-14A) </w:t>
      </w:r>
      <w:proofErr w:type="spellStart"/>
      <w:r w:rsidR="30FBA3EC" w:rsidRPr="00F428A9">
        <w:rPr>
          <w:rFonts w:ascii="Franklin Gothic Book" w:hAnsi="Franklin Gothic Book"/>
          <w:sz w:val="22"/>
        </w:rPr>
        <w:t>RxDx</w:t>
      </w:r>
      <w:proofErr w:type="spellEnd"/>
      <w:r w:rsidR="30FBA3EC" w:rsidRPr="00F428A9">
        <w:rPr>
          <w:rFonts w:ascii="Franklin Gothic Book" w:hAnsi="Franklin Gothic Book"/>
          <w:sz w:val="22"/>
        </w:rPr>
        <w:t xml:space="preserve"> IHC</w:t>
      </w:r>
      <w:r w:rsidR="71763D8E" w:rsidRPr="00F428A9">
        <w:rPr>
          <w:rFonts w:ascii="Franklin Gothic Book" w:hAnsi="Franklin Gothic Book"/>
          <w:sz w:val="22"/>
        </w:rPr>
        <w:t xml:space="preserve"> antibody with the Ventana platform and the </w:t>
      </w:r>
      <w:proofErr w:type="spellStart"/>
      <w:r w:rsidR="71763D8E" w:rsidRPr="00F428A9">
        <w:rPr>
          <w:rFonts w:ascii="Franklin Gothic Book" w:hAnsi="Franklin Gothic Book"/>
          <w:sz w:val="22"/>
        </w:rPr>
        <w:t>LSBio</w:t>
      </w:r>
      <w:proofErr w:type="spellEnd"/>
      <w:r w:rsidR="71763D8E" w:rsidRPr="00F428A9">
        <w:rPr>
          <w:rFonts w:ascii="Franklin Gothic Book" w:hAnsi="Franklin Gothic Book"/>
          <w:sz w:val="22"/>
        </w:rPr>
        <w:t xml:space="preserve"> antibody with the Dako platform </w:t>
      </w:r>
      <w:r w:rsidR="0AA92A26" w:rsidRPr="00F428A9">
        <w:rPr>
          <w:rFonts w:ascii="Franklin Gothic Book" w:hAnsi="Franklin Gothic Book"/>
          <w:sz w:val="22"/>
        </w:rPr>
        <w:t xml:space="preserve">demonstrated excellent levels of concordance. </w:t>
      </w:r>
      <w:r w:rsidR="71763D8E" w:rsidRPr="00F428A9">
        <w:rPr>
          <w:rFonts w:ascii="Franklin Gothic Book" w:hAnsi="Franklin Gothic Book"/>
          <w:sz w:val="22"/>
        </w:rPr>
        <w:t>In contrast, the Novus antibody showed lower consistency and reliability across the different platforms used.</w:t>
      </w:r>
      <w:r w:rsidR="689A5C50" w:rsidRPr="00F428A9">
        <w:rPr>
          <w:rFonts w:ascii="Franklin Gothic Book" w:hAnsi="Franklin Gothic Book"/>
          <w:sz w:val="22"/>
        </w:rPr>
        <w:t xml:space="preserve"> </w:t>
      </w:r>
    </w:p>
    <w:p w14:paraId="71E4BC3F" w14:textId="32A751EC" w:rsidR="009D0A69" w:rsidRPr="00F428A9" w:rsidRDefault="129AA183" w:rsidP="00F428A9">
      <w:pPr>
        <w:pStyle w:val="MSACESParagraph"/>
        <w:rPr>
          <w:rFonts w:ascii="Franklin Gothic Book" w:hAnsi="Franklin Gothic Book"/>
          <w:sz w:val="22"/>
        </w:rPr>
      </w:pPr>
      <w:r w:rsidRPr="00F428A9">
        <w:rPr>
          <w:rFonts w:ascii="Franklin Gothic Book" w:hAnsi="Franklin Gothic Book"/>
          <w:sz w:val="22"/>
        </w:rPr>
        <w:t xml:space="preserve">Additionally, </w:t>
      </w:r>
      <w:r w:rsidR="51CAA32E" w:rsidRPr="00F428A9">
        <w:rPr>
          <w:rFonts w:ascii="Franklin Gothic Book" w:hAnsi="Franklin Gothic Book"/>
          <w:sz w:val="22"/>
        </w:rPr>
        <w:t>Stratton et al. (2023</w:t>
      </w:r>
      <w:r w:rsidR="00E8F027" w:rsidRPr="00F428A9">
        <w:rPr>
          <w:rFonts w:ascii="Franklin Gothic Book" w:hAnsi="Franklin Gothic Book"/>
          <w:sz w:val="22"/>
        </w:rPr>
        <w:t xml:space="preserve">) </w:t>
      </w:r>
      <w:r w:rsidR="51CAA32E" w:rsidRPr="00F428A9">
        <w:rPr>
          <w:rFonts w:ascii="Franklin Gothic Book" w:hAnsi="Franklin Gothic Book"/>
          <w:sz w:val="22"/>
        </w:rPr>
        <w:t xml:space="preserve">presented data showing the robustness of analytical and clinical performance of the Ventana® CLDN18 (43-14A) </w:t>
      </w:r>
      <w:proofErr w:type="spellStart"/>
      <w:r w:rsidR="51CAA32E" w:rsidRPr="00F428A9">
        <w:rPr>
          <w:rFonts w:ascii="Franklin Gothic Book" w:hAnsi="Franklin Gothic Book"/>
          <w:sz w:val="22"/>
        </w:rPr>
        <w:t>RxDx</w:t>
      </w:r>
      <w:proofErr w:type="spellEnd"/>
      <w:r w:rsidR="51CAA32E" w:rsidRPr="00F428A9">
        <w:rPr>
          <w:rFonts w:ascii="Franklin Gothic Book" w:hAnsi="Franklin Gothic Book"/>
          <w:sz w:val="22"/>
        </w:rPr>
        <w:t xml:space="preserve"> IHC in G/GOJ adenocarcinoma with high degree of reproducibility in terms of variation in reagent lot, instrument, day, site, and reader. However, the commentary noted that </w:t>
      </w:r>
      <w:r w:rsidRPr="00F428A9">
        <w:rPr>
          <w:rFonts w:ascii="Franklin Gothic Book" w:hAnsi="Franklin Gothic Book"/>
          <w:sz w:val="22"/>
        </w:rPr>
        <w:t xml:space="preserve">the study was available as </w:t>
      </w:r>
      <w:r w:rsidR="0A9DBC11" w:rsidRPr="00F428A9">
        <w:rPr>
          <w:rFonts w:ascii="Franklin Gothic Book" w:hAnsi="Franklin Gothic Book"/>
          <w:sz w:val="22"/>
        </w:rPr>
        <w:t>a poster</w:t>
      </w:r>
      <w:r w:rsidR="7DED73A1" w:rsidRPr="00F428A9">
        <w:rPr>
          <w:rFonts w:ascii="Franklin Gothic Book" w:hAnsi="Franklin Gothic Book"/>
          <w:sz w:val="22"/>
        </w:rPr>
        <w:t xml:space="preserve"> only</w:t>
      </w:r>
      <w:r w:rsidRPr="00F428A9">
        <w:rPr>
          <w:rFonts w:ascii="Franklin Gothic Book" w:hAnsi="Franklin Gothic Book"/>
          <w:sz w:val="22"/>
        </w:rPr>
        <w:t xml:space="preserve">, with </w:t>
      </w:r>
      <w:r w:rsidR="51CAA32E" w:rsidRPr="00F428A9">
        <w:rPr>
          <w:rFonts w:ascii="Franklin Gothic Book" w:hAnsi="Franklin Gothic Book"/>
          <w:sz w:val="22"/>
        </w:rPr>
        <w:t>limited data on inclusion criteria and missing data.</w:t>
      </w:r>
    </w:p>
    <w:p w14:paraId="7B45A9C9" w14:textId="64CD19F0" w:rsidR="00885B6D" w:rsidRPr="00F428A9" w:rsidRDefault="39D31126" w:rsidP="00F428A9">
      <w:pPr>
        <w:pStyle w:val="MSACESParagraph"/>
        <w:rPr>
          <w:rFonts w:ascii="Franklin Gothic Book" w:hAnsi="Franklin Gothic Book"/>
          <w:sz w:val="22"/>
        </w:rPr>
      </w:pPr>
      <w:r w:rsidRPr="00F428A9">
        <w:rPr>
          <w:rFonts w:ascii="Franklin Gothic Book" w:hAnsi="Franklin Gothic Book"/>
          <w:sz w:val="22"/>
        </w:rPr>
        <w:t xml:space="preserve">The commentary noted that the submission did not present a comparison of the analytical performance between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(the clinical utility standard) and other IHC platform and CLDN18 antibody combinations in the Australian setting. </w:t>
      </w:r>
      <w:r w:rsidR="5C5D5CA2" w:rsidRPr="00F428A9">
        <w:rPr>
          <w:rFonts w:ascii="Franklin Gothic Book" w:hAnsi="Franklin Gothic Book"/>
          <w:sz w:val="22"/>
        </w:rPr>
        <w:t>Furthermore</w:t>
      </w:r>
      <w:r w:rsidRPr="00F428A9">
        <w:rPr>
          <w:rFonts w:ascii="Franklin Gothic Book" w:hAnsi="Franklin Gothic Book"/>
          <w:sz w:val="22"/>
        </w:rPr>
        <w:t xml:space="preserve">, </w:t>
      </w:r>
      <w:r w:rsidR="5C5D5CA2" w:rsidRPr="00F428A9">
        <w:rPr>
          <w:rFonts w:ascii="Franklin Gothic Book" w:hAnsi="Franklin Gothic Book"/>
          <w:sz w:val="22"/>
        </w:rPr>
        <w:t xml:space="preserve">feedback from the March 2024 meeting with the </w:t>
      </w:r>
      <w:r w:rsidR="1C8DEFEC" w:rsidRPr="00F428A9">
        <w:rPr>
          <w:rFonts w:ascii="Franklin Gothic Book" w:hAnsi="Franklin Gothic Book"/>
          <w:sz w:val="22"/>
        </w:rPr>
        <w:t>Royal College of Pathologists of Australasia (</w:t>
      </w:r>
      <w:r w:rsidR="5C5D5CA2" w:rsidRPr="00F428A9">
        <w:rPr>
          <w:rFonts w:ascii="Franklin Gothic Book" w:hAnsi="Franklin Gothic Book"/>
          <w:sz w:val="22"/>
        </w:rPr>
        <w:t>RCPA</w:t>
      </w:r>
      <w:r w:rsidR="1C8DEFEC" w:rsidRPr="00F428A9">
        <w:rPr>
          <w:rFonts w:ascii="Franklin Gothic Book" w:hAnsi="Franklin Gothic Book"/>
          <w:sz w:val="22"/>
        </w:rPr>
        <w:t>)</w:t>
      </w:r>
      <w:r w:rsidR="5C5D5CA2" w:rsidRPr="00F428A9">
        <w:rPr>
          <w:rFonts w:ascii="Franklin Gothic Book" w:hAnsi="Franklin Gothic Book"/>
          <w:sz w:val="22"/>
        </w:rPr>
        <w:t xml:space="preserve"> indicated that </w:t>
      </w:r>
      <w:r w:rsidRPr="00F428A9">
        <w:rPr>
          <w:rFonts w:ascii="Franklin Gothic Book" w:hAnsi="Franklin Gothic Book"/>
          <w:sz w:val="22"/>
        </w:rPr>
        <w:t>Australia</w:t>
      </w:r>
      <w:r w:rsidR="5C5D5CA2" w:rsidRPr="00F428A9">
        <w:rPr>
          <w:rFonts w:ascii="Franklin Gothic Book" w:hAnsi="Franklin Gothic Book"/>
          <w:sz w:val="22"/>
        </w:rPr>
        <w:t>n laboratories</w:t>
      </w:r>
      <w:r w:rsidRPr="00F428A9">
        <w:rPr>
          <w:rFonts w:ascii="Franklin Gothic Book" w:hAnsi="Franklin Gothic Book"/>
          <w:sz w:val="22"/>
        </w:rPr>
        <w:t xml:space="preserve"> are unlikely to set up an in-house CLDN18 test due to the associated costs, </w:t>
      </w:r>
      <w:r w:rsidR="5C5D5CA2" w:rsidRPr="00F428A9">
        <w:rPr>
          <w:rFonts w:ascii="Franklin Gothic Book" w:hAnsi="Franklin Gothic Book"/>
          <w:sz w:val="22"/>
        </w:rPr>
        <w:t xml:space="preserve">the </w:t>
      </w:r>
      <w:r w:rsidRPr="00F428A9">
        <w:rPr>
          <w:rFonts w:ascii="Franklin Gothic Book" w:hAnsi="Franklin Gothic Book"/>
          <w:sz w:val="22"/>
        </w:rPr>
        <w:t>time required for validation, and the expected low demand for the test</w:t>
      </w:r>
      <w:r w:rsidR="715B22C6" w:rsidRPr="00F428A9">
        <w:rPr>
          <w:rFonts w:ascii="Franklin Gothic Book" w:hAnsi="Franklin Gothic Book"/>
          <w:sz w:val="22"/>
        </w:rPr>
        <w:t xml:space="preserve"> (p2, Attachment 12 </w:t>
      </w:r>
      <w:r w:rsidR="6319C284" w:rsidRPr="00F428A9">
        <w:rPr>
          <w:rFonts w:ascii="Franklin Gothic Book" w:hAnsi="Franklin Gothic Book"/>
          <w:sz w:val="22"/>
        </w:rPr>
        <w:t>of</w:t>
      </w:r>
      <w:r w:rsidR="715B22C6" w:rsidRPr="00F428A9">
        <w:rPr>
          <w:rFonts w:ascii="Franklin Gothic Book" w:hAnsi="Franklin Gothic Book"/>
          <w:sz w:val="22"/>
        </w:rPr>
        <w:t xml:space="preserve"> the submission)</w:t>
      </w:r>
      <w:r w:rsidRPr="00F428A9">
        <w:rPr>
          <w:rFonts w:ascii="Franklin Gothic Book" w:hAnsi="Franklin Gothic Book"/>
          <w:sz w:val="22"/>
        </w:rPr>
        <w:t>.</w:t>
      </w:r>
      <w:r w:rsidR="5C5D5CA2" w:rsidRPr="00F428A9">
        <w:rPr>
          <w:rFonts w:ascii="Franklin Gothic Book" w:hAnsi="Franklin Gothic Book"/>
          <w:sz w:val="22"/>
        </w:rPr>
        <w:t xml:space="preserve"> </w:t>
      </w:r>
      <w:r w:rsidRPr="00F428A9">
        <w:rPr>
          <w:rFonts w:ascii="Franklin Gothic Book" w:hAnsi="Franklin Gothic Book"/>
          <w:sz w:val="22"/>
        </w:rPr>
        <w:t>PASC confirmed that Ventana is the most common IHC platform used in Australia, noting that there are other relevant IHC platforms and CLDN18 antibodies available</w:t>
      </w:r>
      <w:r w:rsidR="5C5D5CA2" w:rsidRPr="00F428A9">
        <w:rPr>
          <w:rFonts w:ascii="Franklin Gothic Book" w:hAnsi="Franklin Gothic Book"/>
          <w:sz w:val="22"/>
        </w:rPr>
        <w:t xml:space="preserve">. However, none </w:t>
      </w:r>
      <w:r w:rsidRPr="00F428A9">
        <w:rPr>
          <w:rFonts w:ascii="Franklin Gothic Book" w:hAnsi="Franklin Gothic Book"/>
          <w:sz w:val="22"/>
        </w:rPr>
        <w:t xml:space="preserve">of the CLDN18 antibodies </w:t>
      </w:r>
      <w:r w:rsidR="55859A97" w:rsidRPr="00F428A9">
        <w:rPr>
          <w:rFonts w:ascii="Franklin Gothic Book" w:hAnsi="Franklin Gothic Book"/>
          <w:sz w:val="22"/>
        </w:rPr>
        <w:t>were</w:t>
      </w:r>
      <w:r w:rsidRPr="00F428A9">
        <w:rPr>
          <w:rFonts w:ascii="Franklin Gothic Book" w:hAnsi="Franklin Gothic Book"/>
          <w:sz w:val="22"/>
        </w:rPr>
        <w:t xml:space="preserve"> TGA registered</w:t>
      </w:r>
      <w:r w:rsidR="5C5D5CA2" w:rsidRPr="00F428A9">
        <w:rPr>
          <w:rFonts w:ascii="Franklin Gothic Book" w:hAnsi="Franklin Gothic Book"/>
          <w:sz w:val="22"/>
        </w:rPr>
        <w:t xml:space="preserve"> </w:t>
      </w:r>
      <w:r w:rsidR="04EE7B3E" w:rsidRPr="00F428A9">
        <w:rPr>
          <w:rFonts w:ascii="Franklin Gothic Book" w:hAnsi="Franklin Gothic Book"/>
          <w:sz w:val="22"/>
        </w:rPr>
        <w:t xml:space="preserve">at the time of </w:t>
      </w:r>
      <w:r w:rsidR="5C5D5CA2" w:rsidRPr="00F428A9">
        <w:rPr>
          <w:rFonts w:ascii="Franklin Gothic Book" w:hAnsi="Franklin Gothic Book"/>
          <w:sz w:val="22"/>
        </w:rPr>
        <w:t>evaluation</w:t>
      </w:r>
      <w:r w:rsidRPr="00F428A9">
        <w:rPr>
          <w:rFonts w:ascii="Franklin Gothic Book" w:hAnsi="Franklin Gothic Book"/>
          <w:sz w:val="22"/>
        </w:rPr>
        <w:t xml:space="preserve">. The commentary </w:t>
      </w:r>
      <w:r w:rsidR="3B7AE402" w:rsidRPr="00F428A9">
        <w:rPr>
          <w:rFonts w:ascii="Franklin Gothic Book" w:hAnsi="Franklin Gothic Book"/>
          <w:sz w:val="22"/>
        </w:rPr>
        <w:t xml:space="preserve">noted </w:t>
      </w:r>
      <w:r w:rsidR="78F5541E" w:rsidRPr="00F428A9">
        <w:rPr>
          <w:rFonts w:ascii="Franklin Gothic Book" w:hAnsi="Franklin Gothic Book"/>
          <w:sz w:val="22"/>
        </w:rPr>
        <w:t xml:space="preserve">that the </w:t>
      </w:r>
      <w:r w:rsidR="3B7AE402" w:rsidRPr="00F428A9">
        <w:rPr>
          <w:rFonts w:ascii="Franklin Gothic Book" w:hAnsi="Franklin Gothic Book"/>
          <w:sz w:val="22"/>
        </w:rPr>
        <w:t xml:space="preserve">high </w:t>
      </w:r>
      <w:r w:rsidRPr="00F428A9">
        <w:rPr>
          <w:rFonts w:ascii="Franklin Gothic Book" w:hAnsi="Franklin Gothic Book"/>
          <w:sz w:val="22"/>
        </w:rPr>
        <w:t xml:space="preserve">concordance between Ventana® CLDN18 antibody with the Ventana platform and the </w:t>
      </w:r>
      <w:proofErr w:type="spellStart"/>
      <w:r w:rsidRPr="00F428A9">
        <w:rPr>
          <w:rFonts w:ascii="Franklin Gothic Book" w:hAnsi="Franklin Gothic Book"/>
          <w:sz w:val="22"/>
        </w:rPr>
        <w:t>LSBio</w:t>
      </w:r>
      <w:proofErr w:type="spellEnd"/>
      <w:r w:rsidRPr="00F428A9">
        <w:rPr>
          <w:rFonts w:ascii="Franklin Gothic Book" w:hAnsi="Franklin Gothic Book"/>
          <w:sz w:val="22"/>
        </w:rPr>
        <w:t xml:space="preserve"> antibody with the Dako platform support</w:t>
      </w:r>
      <w:r w:rsidR="78F5541E" w:rsidRPr="00F428A9">
        <w:rPr>
          <w:rFonts w:ascii="Franklin Gothic Book" w:hAnsi="Franklin Gothic Book"/>
          <w:sz w:val="22"/>
        </w:rPr>
        <w:t>s</w:t>
      </w:r>
      <w:r w:rsidRPr="00F428A9">
        <w:rPr>
          <w:rFonts w:ascii="Franklin Gothic Book" w:hAnsi="Franklin Gothic Book"/>
          <w:sz w:val="22"/>
        </w:rPr>
        <w:t xml:space="preserve"> the MBS item descriptor to be agnostic to </w:t>
      </w:r>
      <w:r w:rsidR="1D28D415" w:rsidRPr="00F428A9">
        <w:rPr>
          <w:rFonts w:ascii="Franklin Gothic Book" w:hAnsi="Franklin Gothic Book"/>
          <w:sz w:val="22"/>
        </w:rPr>
        <w:t xml:space="preserve">both the </w:t>
      </w:r>
      <w:r w:rsidRPr="00F428A9">
        <w:rPr>
          <w:rFonts w:ascii="Franklin Gothic Book" w:hAnsi="Franklin Gothic Book"/>
          <w:sz w:val="22"/>
        </w:rPr>
        <w:t>IHC platform and the CLDN18 antibody</w:t>
      </w:r>
      <w:r w:rsidR="5EA2BCE1" w:rsidRPr="00F428A9">
        <w:rPr>
          <w:rFonts w:ascii="Franklin Gothic Book" w:hAnsi="Franklin Gothic Book"/>
          <w:sz w:val="22"/>
        </w:rPr>
        <w:t xml:space="preserve">, noting </w:t>
      </w:r>
      <w:r w:rsidR="051C104B" w:rsidRPr="00F428A9">
        <w:rPr>
          <w:rFonts w:ascii="Franklin Gothic Book" w:hAnsi="Franklin Gothic Book"/>
          <w:sz w:val="22"/>
        </w:rPr>
        <w:t>the</w:t>
      </w:r>
      <w:r w:rsidR="5EA2BCE1" w:rsidRPr="00F428A9">
        <w:rPr>
          <w:rFonts w:ascii="Franklin Gothic Book" w:hAnsi="Franklin Gothic Book"/>
          <w:sz w:val="22"/>
        </w:rPr>
        <w:t xml:space="preserve"> low</w:t>
      </w:r>
      <w:r w:rsidR="051C104B" w:rsidRPr="00F428A9">
        <w:rPr>
          <w:rFonts w:ascii="Franklin Gothic Book" w:hAnsi="Franklin Gothic Book"/>
          <w:sz w:val="22"/>
        </w:rPr>
        <w:t xml:space="preserve"> concordance observed across </w:t>
      </w:r>
      <w:r w:rsidR="7D321EA6" w:rsidRPr="00F428A9">
        <w:rPr>
          <w:rFonts w:ascii="Franklin Gothic Book" w:hAnsi="Franklin Gothic Book"/>
          <w:sz w:val="22"/>
        </w:rPr>
        <w:t xml:space="preserve">all IHC platform </w:t>
      </w:r>
      <w:r w:rsidR="051C104B" w:rsidRPr="00F428A9">
        <w:rPr>
          <w:rFonts w:ascii="Franklin Gothic Book" w:hAnsi="Franklin Gothic Book"/>
          <w:sz w:val="22"/>
        </w:rPr>
        <w:t xml:space="preserve">with the </w:t>
      </w:r>
      <w:r w:rsidR="7D321EA6" w:rsidRPr="00F428A9">
        <w:rPr>
          <w:rFonts w:ascii="Franklin Gothic Book" w:hAnsi="Franklin Gothic Book"/>
          <w:sz w:val="22"/>
        </w:rPr>
        <w:t>Novus antibody</w:t>
      </w:r>
      <w:r w:rsidRPr="00F428A9">
        <w:rPr>
          <w:rFonts w:ascii="Franklin Gothic Book" w:hAnsi="Franklin Gothic Book"/>
          <w:sz w:val="22"/>
        </w:rPr>
        <w:t>.</w:t>
      </w:r>
    </w:p>
    <w:p w14:paraId="036550F6" w14:textId="7AAD3ABC" w:rsidR="00454B25" w:rsidRPr="00F428A9" w:rsidRDefault="618E743C" w:rsidP="00F428A9">
      <w:pPr>
        <w:pStyle w:val="MSACESParagraph"/>
        <w:rPr>
          <w:rFonts w:ascii="Franklin Gothic Book" w:hAnsi="Franklin Gothic Book"/>
          <w:sz w:val="22"/>
        </w:rPr>
      </w:pPr>
      <w:r w:rsidRPr="00F428A9">
        <w:rPr>
          <w:rFonts w:ascii="Franklin Gothic Book" w:hAnsi="Franklin Gothic Book"/>
          <w:sz w:val="22"/>
        </w:rPr>
        <w:t xml:space="preserve">The submission found no stability data specific to CLDN18 in stored formalin-fixed paraffin-embedded (FFPE) samples during the literature search. However, Jasani et al. (2024) conducted a stability sub study in which </w:t>
      </w:r>
      <w:r w:rsidR="53C32121" w:rsidRPr="00F428A9">
        <w:rPr>
          <w:rFonts w:ascii="Franklin Gothic Book" w:hAnsi="Franklin Gothic Book"/>
          <w:sz w:val="22"/>
        </w:rPr>
        <w:t xml:space="preserve">tissue </w:t>
      </w:r>
      <w:r w:rsidRPr="00F428A9">
        <w:rPr>
          <w:rFonts w:ascii="Franklin Gothic Book" w:hAnsi="Franklin Gothic Book"/>
          <w:sz w:val="22"/>
        </w:rPr>
        <w:t>microarray (TMA) sections were stored for three months at room temperature and the recommended temperature of 4°C prior to IHC staining and scoring. Th</w:t>
      </w:r>
      <w:r w:rsidR="49CA2BD5" w:rsidRPr="00F428A9">
        <w:rPr>
          <w:rFonts w:ascii="Franklin Gothic Book" w:hAnsi="Franklin Gothic Book"/>
          <w:sz w:val="22"/>
        </w:rPr>
        <w:t>at</w:t>
      </w:r>
      <w:r w:rsidRPr="00F428A9">
        <w:rPr>
          <w:rFonts w:ascii="Franklin Gothic Book" w:hAnsi="Franklin Gothic Book"/>
          <w:sz w:val="22"/>
        </w:rPr>
        <w:t xml:space="preserve"> study reported no staining differences compared to the original slides across various antibody and platform combinations, except for Novus on Leica, which showed weaker staining after three months. Additionally, the submission suggested that CLDN18.2 antigenicity could be preserved for up to a year, based on Jasani et al. (2024), who reported minimal antigenicity loss in various antigens in FFPE blocks and TMAs</w:t>
      </w:r>
      <w:r w:rsidR="459CFC84" w:rsidRPr="00F428A9">
        <w:rPr>
          <w:rFonts w:ascii="Franklin Gothic Book" w:hAnsi="Franklin Gothic Book"/>
          <w:sz w:val="22"/>
        </w:rPr>
        <w:t>.</w:t>
      </w:r>
      <w:r w:rsidRPr="00F428A9">
        <w:rPr>
          <w:rFonts w:ascii="Franklin Gothic Book" w:hAnsi="Franklin Gothic Book"/>
          <w:sz w:val="22"/>
        </w:rPr>
        <w:t xml:space="preserve"> However, the commentary deemed this uncertain</w:t>
      </w:r>
      <w:r w:rsidR="459CFC84" w:rsidRPr="00F428A9">
        <w:rPr>
          <w:rFonts w:ascii="Franklin Gothic Book" w:hAnsi="Franklin Gothic Book"/>
          <w:sz w:val="22"/>
        </w:rPr>
        <w:t xml:space="preserve"> as the stability evidence was based on short term storage of the TMA and there was </w:t>
      </w:r>
      <w:r w:rsidRPr="00F428A9">
        <w:rPr>
          <w:rFonts w:ascii="Franklin Gothic Book" w:hAnsi="Franklin Gothic Book"/>
          <w:sz w:val="22"/>
        </w:rPr>
        <w:t>lack of specific evidence for</w:t>
      </w:r>
      <w:r w:rsidR="459CFC84" w:rsidRPr="00F428A9">
        <w:rPr>
          <w:rFonts w:ascii="Franklin Gothic Book" w:hAnsi="Franklin Gothic Book"/>
          <w:sz w:val="22"/>
        </w:rPr>
        <w:t xml:space="preserve"> longer duration of sample storage. </w:t>
      </w:r>
    </w:p>
    <w:p w14:paraId="30B0AA12" w14:textId="2A105F04" w:rsidR="00053700" w:rsidRPr="00F428A9" w:rsidRDefault="2B3B26A0" w:rsidP="00F428A9">
      <w:pPr>
        <w:pStyle w:val="MSACESParagraph"/>
        <w:rPr>
          <w:rFonts w:ascii="Franklin Gothic Book" w:hAnsi="Franklin Gothic Book"/>
          <w:sz w:val="22"/>
        </w:rPr>
      </w:pPr>
      <w:r w:rsidRPr="00F428A9">
        <w:rPr>
          <w:rFonts w:ascii="Franklin Gothic Book" w:hAnsi="Franklin Gothic Book"/>
          <w:sz w:val="22"/>
        </w:rPr>
        <w:t xml:space="preserve">The submission presented findings from three studies evaluating </w:t>
      </w:r>
      <w:r w:rsidR="5C31A5E7" w:rsidRPr="00F428A9">
        <w:rPr>
          <w:rFonts w:ascii="Franklin Gothic Book" w:hAnsi="Franklin Gothic Book"/>
          <w:sz w:val="22"/>
        </w:rPr>
        <w:t>stability of</w:t>
      </w:r>
      <w:r w:rsidRPr="00F428A9">
        <w:rPr>
          <w:rFonts w:ascii="Franklin Gothic Book" w:hAnsi="Franklin Gothic Book"/>
          <w:sz w:val="22"/>
        </w:rPr>
        <w:t xml:space="preserve"> CLDN18.2 positivity over time: Shitara et al. (2023)</w:t>
      </w:r>
      <w:r w:rsidR="00254435" w:rsidRPr="00F428A9">
        <w:rPr>
          <w:rStyle w:val="FootnoteReference"/>
          <w:rFonts w:ascii="Franklin Gothic Book" w:hAnsi="Franklin Gothic Book"/>
          <w:sz w:val="22"/>
        </w:rPr>
        <w:footnoteReference w:id="11"/>
      </w:r>
      <w:r w:rsidRPr="00F428A9">
        <w:rPr>
          <w:rFonts w:ascii="Franklin Gothic Book" w:hAnsi="Franklin Gothic Book"/>
          <w:sz w:val="22"/>
        </w:rPr>
        <w:t xml:space="preserve">, Kubota et al. (2023), and Pellino et al. (2021). </w:t>
      </w:r>
      <w:r w:rsidR="7D30E160" w:rsidRPr="00F428A9">
        <w:rPr>
          <w:rFonts w:ascii="Franklin Gothic Book" w:hAnsi="Franklin Gothic Book"/>
          <w:sz w:val="22"/>
        </w:rPr>
        <w:t xml:space="preserve">The commentary </w:t>
      </w:r>
      <w:r w:rsidR="3E8793D6" w:rsidRPr="00F428A9">
        <w:rPr>
          <w:rFonts w:ascii="Franklin Gothic Book" w:hAnsi="Franklin Gothic Book"/>
          <w:sz w:val="22"/>
        </w:rPr>
        <w:t>noted</w:t>
      </w:r>
      <w:r w:rsidR="7D30E160" w:rsidRPr="00F428A9">
        <w:rPr>
          <w:rFonts w:ascii="Franklin Gothic Book" w:hAnsi="Franklin Gothic Book"/>
          <w:sz w:val="22"/>
        </w:rPr>
        <w:t xml:space="preserve"> two additional studies reporting concordance between primary and metastatic tissue</w:t>
      </w:r>
      <w:r w:rsidR="2DE070C7" w:rsidRPr="00F428A9">
        <w:rPr>
          <w:rFonts w:ascii="Franklin Gothic Book" w:hAnsi="Franklin Gothic Book"/>
          <w:sz w:val="22"/>
        </w:rPr>
        <w:t>: Waters et al. (2024) and Coati et al. (2019)</w:t>
      </w:r>
      <w:r w:rsidR="004D7781" w:rsidRPr="00F428A9">
        <w:rPr>
          <w:rStyle w:val="FootnoteReference"/>
          <w:rFonts w:ascii="Franklin Gothic Book" w:hAnsi="Franklin Gothic Book"/>
          <w:sz w:val="22"/>
        </w:rPr>
        <w:footnoteReference w:id="12"/>
      </w:r>
      <w:r w:rsidR="7D30E160" w:rsidRPr="00F428A9">
        <w:rPr>
          <w:rFonts w:ascii="Franklin Gothic Book" w:hAnsi="Franklin Gothic Book"/>
          <w:sz w:val="22"/>
        </w:rPr>
        <w:t xml:space="preserve">. </w:t>
      </w:r>
    </w:p>
    <w:p w14:paraId="5A90C7BD" w14:textId="6A9BD691" w:rsidR="00053700" w:rsidRPr="00F428A9" w:rsidRDefault="49C49BBC" w:rsidP="00B50C3D">
      <w:pPr>
        <w:pStyle w:val="MainBodyBulletPoint"/>
        <w:numPr>
          <w:ilvl w:val="0"/>
          <w:numId w:val="25"/>
        </w:numPr>
        <w:rPr>
          <w:rFonts w:ascii="Franklin Gothic Book" w:hAnsi="Franklin Gothic Book"/>
          <w:sz w:val="22"/>
        </w:rPr>
      </w:pPr>
      <w:r w:rsidRPr="00F428A9">
        <w:rPr>
          <w:rFonts w:ascii="Franklin Gothic Book" w:hAnsi="Franklin Gothic Book"/>
          <w:sz w:val="22"/>
        </w:rPr>
        <w:t>Shitara et al. (202</w:t>
      </w:r>
      <w:r w:rsidR="006B16FD" w:rsidRPr="00F428A9">
        <w:rPr>
          <w:rFonts w:ascii="Franklin Gothic Book" w:hAnsi="Franklin Gothic Book"/>
          <w:sz w:val="22"/>
        </w:rPr>
        <w:t>4</w:t>
      </w:r>
      <w:r w:rsidRPr="00F428A9">
        <w:rPr>
          <w:rFonts w:ascii="Franklin Gothic Book" w:hAnsi="Franklin Gothic Book"/>
          <w:sz w:val="22"/>
        </w:rPr>
        <w:t xml:space="preserve">) reported a low concordance rate of 61.1% </w:t>
      </w:r>
      <w:r w:rsidR="003A39C4" w:rsidRPr="00F428A9">
        <w:rPr>
          <w:rFonts w:ascii="Franklin Gothic Book" w:hAnsi="Franklin Gothic Book"/>
          <w:sz w:val="22"/>
        </w:rPr>
        <w:t>between the archi</w:t>
      </w:r>
      <w:r w:rsidR="00725FF5" w:rsidRPr="00F428A9">
        <w:rPr>
          <w:rFonts w:ascii="Franklin Gothic Book" w:hAnsi="Franklin Gothic Book"/>
          <w:sz w:val="22"/>
        </w:rPr>
        <w:t>ve</w:t>
      </w:r>
      <w:r w:rsidR="003A39C4" w:rsidRPr="00F428A9">
        <w:rPr>
          <w:rFonts w:ascii="Franklin Gothic Book" w:hAnsi="Franklin Gothic Book"/>
          <w:sz w:val="22"/>
        </w:rPr>
        <w:t xml:space="preserve"> and baseline tumour tissue samples</w:t>
      </w:r>
      <w:r w:rsidR="006B16FD" w:rsidRPr="00F428A9">
        <w:rPr>
          <w:rFonts w:ascii="Franklin Gothic Book" w:hAnsi="Franklin Gothic Book"/>
          <w:sz w:val="22"/>
        </w:rPr>
        <w:t>,</w:t>
      </w:r>
      <w:r w:rsidR="003A39C4" w:rsidRPr="00F428A9">
        <w:rPr>
          <w:rFonts w:ascii="Franklin Gothic Book" w:hAnsi="Franklin Gothic Book"/>
          <w:sz w:val="22"/>
        </w:rPr>
        <w:t xml:space="preserve"> </w:t>
      </w:r>
      <w:r w:rsidR="006B16FD" w:rsidRPr="00F428A9">
        <w:rPr>
          <w:rFonts w:ascii="Franklin Gothic Book" w:hAnsi="Franklin Gothic Book"/>
          <w:sz w:val="22"/>
        </w:rPr>
        <w:t xml:space="preserve">with the median time between collection of samples of </w:t>
      </w:r>
      <w:r w:rsidRPr="00F428A9">
        <w:rPr>
          <w:rFonts w:ascii="Franklin Gothic Book" w:hAnsi="Franklin Gothic Book"/>
          <w:sz w:val="22"/>
        </w:rPr>
        <w:t xml:space="preserve">more than one year. </w:t>
      </w:r>
    </w:p>
    <w:p w14:paraId="2DAE7C0F" w14:textId="35BA0C93" w:rsidR="00053700" w:rsidRPr="00F428A9" w:rsidRDefault="2B3B26A0" w:rsidP="00F428A9">
      <w:pPr>
        <w:pStyle w:val="MainBodyBulletPoint"/>
        <w:rPr>
          <w:rFonts w:ascii="Franklin Gothic Book" w:hAnsi="Franklin Gothic Book"/>
          <w:sz w:val="22"/>
        </w:rPr>
      </w:pPr>
      <w:r w:rsidRPr="00F428A9">
        <w:rPr>
          <w:rFonts w:ascii="Franklin Gothic Book" w:hAnsi="Franklin Gothic Book"/>
          <w:sz w:val="22"/>
        </w:rPr>
        <w:t>Kubota et al. (2023) observed a concordance rate of 75.1% before and after first-line chemotherapy</w:t>
      </w:r>
      <w:r w:rsidR="6EDD8401" w:rsidRPr="00F428A9">
        <w:rPr>
          <w:rFonts w:ascii="Franklin Gothic Book" w:hAnsi="Franklin Gothic Book"/>
          <w:sz w:val="22"/>
        </w:rPr>
        <w:t>.</w:t>
      </w:r>
    </w:p>
    <w:p w14:paraId="4D226D9E" w14:textId="77777777" w:rsidR="00053700" w:rsidRPr="00F428A9" w:rsidRDefault="49C49BBC" w:rsidP="00B50C3D">
      <w:pPr>
        <w:pStyle w:val="MainBodyBulletPoint"/>
        <w:numPr>
          <w:ilvl w:val="0"/>
          <w:numId w:val="25"/>
        </w:numPr>
        <w:rPr>
          <w:rFonts w:ascii="Franklin Gothic Book" w:hAnsi="Franklin Gothic Book"/>
          <w:sz w:val="22"/>
        </w:rPr>
      </w:pPr>
      <w:r w:rsidRPr="00F428A9">
        <w:rPr>
          <w:rFonts w:ascii="Franklin Gothic Book" w:hAnsi="Franklin Gothic Book"/>
          <w:sz w:val="22"/>
        </w:rPr>
        <w:t xml:space="preserve">Pellino et al. (2021) reported a 66.7% concordance rate between biopsy and surgical samples and an 81.5% concordance rate between primary and metastatic tissue. </w:t>
      </w:r>
    </w:p>
    <w:p w14:paraId="72F60FE9" w14:textId="3369BF67" w:rsidR="00053700" w:rsidRPr="00F428A9" w:rsidRDefault="49C49BBC" w:rsidP="00B50C3D">
      <w:pPr>
        <w:pStyle w:val="MainBodyBulletPoint"/>
        <w:numPr>
          <w:ilvl w:val="0"/>
          <w:numId w:val="25"/>
        </w:numPr>
        <w:rPr>
          <w:rFonts w:ascii="Franklin Gothic Book" w:hAnsi="Franklin Gothic Book"/>
          <w:sz w:val="22"/>
        </w:rPr>
      </w:pPr>
      <w:r w:rsidRPr="00F428A9">
        <w:rPr>
          <w:rFonts w:ascii="Franklin Gothic Book" w:hAnsi="Franklin Gothic Book"/>
          <w:sz w:val="22"/>
        </w:rPr>
        <w:t>Waters et al. (2024) reported a concordance rate of 73.0%, while Coati et al. (2019) reported 86.7%</w:t>
      </w:r>
      <w:r w:rsidR="00053700" w:rsidRPr="00F428A9">
        <w:rPr>
          <w:rFonts w:ascii="Franklin Gothic Book" w:hAnsi="Franklin Gothic Book"/>
          <w:sz w:val="22"/>
        </w:rPr>
        <w:t xml:space="preserve"> between primary and metastatic tissue</w:t>
      </w:r>
      <w:r w:rsidR="00F63D7D" w:rsidRPr="00F428A9">
        <w:rPr>
          <w:rFonts w:ascii="Franklin Gothic Book" w:hAnsi="Franklin Gothic Book"/>
          <w:sz w:val="22"/>
        </w:rPr>
        <w:t>.</w:t>
      </w:r>
    </w:p>
    <w:p w14:paraId="5D90F55A" w14:textId="047FDDF0" w:rsidR="00553F8A" w:rsidRPr="00F428A9" w:rsidRDefault="72E128F4" w:rsidP="00F428A9">
      <w:pPr>
        <w:pStyle w:val="MainBodyBulletPoint"/>
        <w:numPr>
          <w:ilvl w:val="0"/>
          <w:numId w:val="0"/>
        </w:numPr>
        <w:rPr>
          <w:rFonts w:ascii="Franklin Gothic Book" w:hAnsi="Franklin Gothic Book"/>
          <w:sz w:val="22"/>
        </w:rPr>
      </w:pPr>
      <w:r w:rsidRPr="00F428A9">
        <w:rPr>
          <w:rFonts w:ascii="Franklin Gothic Book" w:hAnsi="Franklin Gothic Book" w:cstheme="minorBidi"/>
          <w:sz w:val="22"/>
        </w:rPr>
        <w:t xml:space="preserve">The commentary noted that the </w:t>
      </w:r>
      <w:r w:rsidR="00E473A8" w:rsidRPr="00F428A9">
        <w:rPr>
          <w:rFonts w:ascii="Franklin Gothic Book" w:hAnsi="Franklin Gothic Book" w:cstheme="minorBidi"/>
          <w:sz w:val="22"/>
        </w:rPr>
        <w:t xml:space="preserve">stability of </w:t>
      </w:r>
      <w:r w:rsidRPr="00F428A9">
        <w:rPr>
          <w:rFonts w:ascii="Franklin Gothic Book" w:hAnsi="Franklin Gothic Book" w:cstheme="minorBidi"/>
          <w:sz w:val="22"/>
        </w:rPr>
        <w:t>CLDN18.2 status over time was not high, potentially influenced by factors such as prior therapies, intertumoral heterogeneity between primary and metastatic sites, and differences between archival and baseline samples from the same tumour, as reported by Shitara et al. (202</w:t>
      </w:r>
      <w:r w:rsidR="006B16FD" w:rsidRPr="00F428A9">
        <w:rPr>
          <w:rFonts w:ascii="Franklin Gothic Book" w:hAnsi="Franklin Gothic Book" w:cstheme="minorBidi"/>
          <w:sz w:val="22"/>
        </w:rPr>
        <w:t>4</w:t>
      </w:r>
      <w:r w:rsidRPr="00F428A9">
        <w:rPr>
          <w:rFonts w:ascii="Franklin Gothic Book" w:hAnsi="Franklin Gothic Book" w:cstheme="minorBidi"/>
          <w:sz w:val="22"/>
        </w:rPr>
        <w:t>). Nonetheless, the commentary acknowledged some evidence supporting concordance of CLDN18.2 expression between primary and metastatic samples.</w:t>
      </w:r>
    </w:p>
    <w:p w14:paraId="05A4609C" w14:textId="2B277EE9" w:rsidR="006D7FF7" w:rsidRPr="00F428A9" w:rsidRDefault="1290361A" w:rsidP="00F428A9">
      <w:pPr>
        <w:pStyle w:val="MSACESParagraph"/>
        <w:rPr>
          <w:rFonts w:ascii="Franklin Gothic Book" w:hAnsi="Franklin Gothic Book"/>
          <w:sz w:val="22"/>
        </w:rPr>
      </w:pPr>
      <w:r w:rsidRPr="00F428A9">
        <w:rPr>
          <w:rFonts w:ascii="Franklin Gothic Book" w:hAnsi="Franklin Gothic Book"/>
          <w:sz w:val="22"/>
        </w:rPr>
        <w:t>The submission presented findings from four studies evaluating heterogeneity within tissue samples (Coati et al., 2019; Pellino et al., 2021; Kim et al., 2023</w:t>
      </w:r>
      <w:r w:rsidR="006D506D" w:rsidRPr="00F428A9">
        <w:rPr>
          <w:rStyle w:val="FootnoteReference"/>
          <w:rFonts w:ascii="Franklin Gothic Book" w:hAnsi="Franklin Gothic Book"/>
          <w:sz w:val="22"/>
        </w:rPr>
        <w:footnoteReference w:id="13"/>
      </w:r>
      <w:r w:rsidRPr="00F428A9">
        <w:rPr>
          <w:rFonts w:ascii="Franklin Gothic Book" w:hAnsi="Franklin Gothic Book"/>
          <w:sz w:val="22"/>
        </w:rPr>
        <w:t xml:space="preserve">; and </w:t>
      </w:r>
      <w:proofErr w:type="spellStart"/>
      <w:r w:rsidRPr="00F428A9">
        <w:rPr>
          <w:rFonts w:ascii="Franklin Gothic Book" w:hAnsi="Franklin Gothic Book"/>
          <w:sz w:val="22"/>
        </w:rPr>
        <w:t>Angerilli</w:t>
      </w:r>
      <w:proofErr w:type="spellEnd"/>
      <w:r w:rsidRPr="00F428A9">
        <w:rPr>
          <w:rFonts w:ascii="Franklin Gothic Book" w:hAnsi="Franklin Gothic Book"/>
          <w:sz w:val="22"/>
        </w:rPr>
        <w:t xml:space="preserve"> et al., 2024</w:t>
      </w:r>
      <w:r w:rsidR="006D506D" w:rsidRPr="00F428A9">
        <w:rPr>
          <w:rStyle w:val="FootnoteReference"/>
          <w:rFonts w:ascii="Franklin Gothic Book" w:hAnsi="Franklin Gothic Book"/>
          <w:sz w:val="22"/>
        </w:rPr>
        <w:footnoteReference w:id="14"/>
      </w:r>
      <w:r w:rsidRPr="00F428A9">
        <w:rPr>
          <w:rFonts w:ascii="Franklin Gothic Book" w:hAnsi="Franklin Gothic Book"/>
          <w:sz w:val="22"/>
        </w:rPr>
        <w:t xml:space="preserve">). </w:t>
      </w:r>
      <w:r w:rsidR="1DE181AB" w:rsidRPr="00F428A9">
        <w:rPr>
          <w:rFonts w:ascii="Franklin Gothic Book" w:hAnsi="Franklin Gothic Book"/>
          <w:sz w:val="22"/>
        </w:rPr>
        <w:t xml:space="preserve">Coati et al. (2019) found </w:t>
      </w:r>
      <w:proofErr w:type="spellStart"/>
      <w:r w:rsidR="1DE181AB" w:rsidRPr="00F428A9">
        <w:rPr>
          <w:rFonts w:ascii="Franklin Gothic Book" w:hAnsi="Franklin Gothic Book"/>
          <w:sz w:val="22"/>
        </w:rPr>
        <w:t>intratumoral</w:t>
      </w:r>
      <w:proofErr w:type="spellEnd"/>
      <w:r w:rsidR="1DE181AB" w:rsidRPr="00F428A9">
        <w:rPr>
          <w:rFonts w:ascii="Franklin Gothic Book" w:hAnsi="Franklin Gothic Book"/>
          <w:sz w:val="22"/>
        </w:rPr>
        <w:t xml:space="preserve"> variability in CLDN18 expression in 40.3% of GCs and 33.6% of GOJ</w:t>
      </w:r>
      <w:r w:rsidR="2D140033" w:rsidRPr="00F428A9">
        <w:rPr>
          <w:rFonts w:ascii="Franklin Gothic Book" w:hAnsi="Franklin Gothic Book"/>
          <w:sz w:val="22"/>
        </w:rPr>
        <w:t xml:space="preserve"> cancers</w:t>
      </w:r>
      <w:r w:rsidR="1DE181AB" w:rsidRPr="00F428A9">
        <w:rPr>
          <w:rFonts w:ascii="Franklin Gothic Book" w:hAnsi="Franklin Gothic Book"/>
          <w:sz w:val="22"/>
        </w:rPr>
        <w:t xml:space="preserve">, with 28.8% of metastatic samples showing heterogeneous CLDN18 status. Kim et al. (2023) reported heterogeneous CLDN18.2 expression in 31% of patients with Stage I-III </w:t>
      </w:r>
      <w:proofErr w:type="spellStart"/>
      <w:r w:rsidR="1DE181AB" w:rsidRPr="00F428A9">
        <w:rPr>
          <w:rFonts w:ascii="Franklin Gothic Book" w:hAnsi="Franklin Gothic Book"/>
          <w:sz w:val="22"/>
        </w:rPr>
        <w:t>resectable</w:t>
      </w:r>
      <w:proofErr w:type="spellEnd"/>
      <w:r w:rsidR="1DE181AB" w:rsidRPr="00F428A9">
        <w:rPr>
          <w:rFonts w:ascii="Franklin Gothic Book" w:hAnsi="Franklin Gothic Book"/>
          <w:sz w:val="22"/>
        </w:rPr>
        <w:t xml:space="preserve"> </w:t>
      </w:r>
      <w:r w:rsidR="18A07FB3" w:rsidRPr="00F428A9">
        <w:rPr>
          <w:rFonts w:ascii="Franklin Gothic Book" w:hAnsi="Franklin Gothic Book"/>
          <w:sz w:val="22"/>
        </w:rPr>
        <w:t>GC</w:t>
      </w:r>
      <w:r w:rsidR="1DE181AB" w:rsidRPr="00F428A9">
        <w:rPr>
          <w:rFonts w:ascii="Franklin Gothic Book" w:hAnsi="Franklin Gothic Book"/>
          <w:sz w:val="22"/>
        </w:rPr>
        <w:t>, likely due to discrepancies between endoscopic biopsies and surgical specimens, with greater heterogeneity observed in CLDN18.2- cases. Pellino et al. (2021) investigated CLDN18 intratumor heterogeneity in 93 surgically treated cases (77 GC cases and 16 GOJ cases). Sensitivity increased from two to nine biopsies (93-100%)</w:t>
      </w:r>
      <w:r w:rsidR="1C482C85" w:rsidRPr="00F428A9">
        <w:rPr>
          <w:rFonts w:ascii="Franklin Gothic Book" w:hAnsi="Franklin Gothic Book"/>
          <w:sz w:val="22"/>
        </w:rPr>
        <w:t xml:space="preserve">, with stable specificity between six to eight biopsies (98.5-98.9%). </w:t>
      </w:r>
      <w:proofErr w:type="spellStart"/>
      <w:r w:rsidR="1C482C85" w:rsidRPr="00F428A9">
        <w:rPr>
          <w:rFonts w:ascii="Franklin Gothic Book" w:hAnsi="Franklin Gothic Book"/>
          <w:sz w:val="22"/>
        </w:rPr>
        <w:t>Angerilli</w:t>
      </w:r>
      <w:proofErr w:type="spellEnd"/>
      <w:r w:rsidR="1C482C85" w:rsidRPr="00F428A9">
        <w:rPr>
          <w:rFonts w:ascii="Franklin Gothic Book" w:hAnsi="Franklin Gothic Book"/>
          <w:sz w:val="22"/>
        </w:rPr>
        <w:t xml:space="preserve"> et al. (2024) noted that CLDN18.2 staining exhibits a high degree of spatial </w:t>
      </w:r>
      <w:proofErr w:type="spellStart"/>
      <w:r w:rsidR="1C482C85" w:rsidRPr="00F428A9">
        <w:rPr>
          <w:rFonts w:ascii="Franklin Gothic Book" w:hAnsi="Franklin Gothic Book"/>
          <w:sz w:val="22"/>
        </w:rPr>
        <w:t>intratumoral</w:t>
      </w:r>
      <w:proofErr w:type="spellEnd"/>
      <w:r w:rsidR="1C482C85" w:rsidRPr="00F428A9">
        <w:rPr>
          <w:rFonts w:ascii="Franklin Gothic Book" w:hAnsi="Franklin Gothic Book"/>
          <w:sz w:val="22"/>
        </w:rPr>
        <w:t xml:space="preserve"> heterogeneity, </w:t>
      </w:r>
      <w:proofErr w:type="gramStart"/>
      <w:r w:rsidR="1C482C85" w:rsidRPr="00F428A9">
        <w:rPr>
          <w:rFonts w:ascii="Franklin Gothic Book" w:hAnsi="Franklin Gothic Book"/>
          <w:sz w:val="22"/>
        </w:rPr>
        <w:t>similar to</w:t>
      </w:r>
      <w:proofErr w:type="gramEnd"/>
      <w:r w:rsidR="1C482C85" w:rsidRPr="00F428A9">
        <w:rPr>
          <w:rFonts w:ascii="Franklin Gothic Book" w:hAnsi="Franklin Gothic Book"/>
          <w:sz w:val="22"/>
        </w:rPr>
        <w:t xml:space="preserve"> HER2 which should be assessed using surgical samples or, at a minimum, six biopsy samples representative of the neoplastic lesion, including both primary and metastatic sites.</w:t>
      </w:r>
    </w:p>
    <w:p w14:paraId="38F8290A" w14:textId="77777777" w:rsidR="00D44F9D" w:rsidRPr="00F428A9" w:rsidRDefault="5E53CA1A" w:rsidP="00565A06">
      <w:pPr>
        <w:pStyle w:val="Heading4"/>
        <w:rPr>
          <w:rFonts w:ascii="Franklin Gothic Book" w:hAnsi="Franklin Gothic Book"/>
          <w:color w:val="auto"/>
        </w:rPr>
      </w:pPr>
      <w:bookmarkStart w:id="53" w:name="_Ref187308645"/>
      <w:r w:rsidRPr="00F428A9">
        <w:rPr>
          <w:rFonts w:ascii="Franklin Gothic Book" w:hAnsi="Franklin Gothic Book"/>
          <w:color w:val="auto"/>
        </w:rPr>
        <w:t>Prognostic evidence</w:t>
      </w:r>
      <w:bookmarkEnd w:id="53"/>
    </w:p>
    <w:p w14:paraId="095FCB00" w14:textId="105F8CB5" w:rsidR="000B60F2" w:rsidRPr="00F428A9" w:rsidRDefault="5A029753" w:rsidP="00F428A9">
      <w:pPr>
        <w:pStyle w:val="MSACESParagraph"/>
        <w:rPr>
          <w:rFonts w:ascii="Franklin Gothic Book" w:hAnsi="Franklin Gothic Book"/>
          <w:sz w:val="22"/>
        </w:rPr>
      </w:pPr>
      <w:r w:rsidRPr="00F428A9">
        <w:rPr>
          <w:rFonts w:ascii="Franklin Gothic Book" w:hAnsi="Franklin Gothic Book"/>
          <w:sz w:val="22"/>
        </w:rPr>
        <w:t xml:space="preserve">Based on the literature search, the submission identified ten studies evaluating the prognostic value of CLDN18.2 </w:t>
      </w:r>
      <w:proofErr w:type="gramStart"/>
      <w:r w:rsidRPr="00F428A9">
        <w:rPr>
          <w:rFonts w:ascii="Franklin Gothic Book" w:hAnsi="Franklin Gothic Book"/>
          <w:sz w:val="22"/>
        </w:rPr>
        <w:t>expression, and</w:t>
      </w:r>
      <w:proofErr w:type="gramEnd"/>
      <w:r w:rsidRPr="00F428A9">
        <w:rPr>
          <w:rFonts w:ascii="Franklin Gothic Book" w:hAnsi="Franklin Gothic Book"/>
          <w:sz w:val="22"/>
        </w:rPr>
        <w:t xml:space="preserve"> additionally found one review (Mathias-Machado et al., 2024</w:t>
      </w:r>
      <w:r w:rsidR="00296EC6" w:rsidRPr="00F428A9">
        <w:rPr>
          <w:rStyle w:val="FootnoteReference"/>
          <w:rFonts w:ascii="Franklin Gothic Book" w:hAnsi="Franklin Gothic Book"/>
          <w:sz w:val="22"/>
        </w:rPr>
        <w:footnoteReference w:id="15"/>
      </w:r>
      <w:r w:rsidRPr="00F428A9">
        <w:rPr>
          <w:rFonts w:ascii="Franklin Gothic Book" w:hAnsi="Franklin Gothic Book"/>
          <w:sz w:val="22"/>
        </w:rPr>
        <w:t>), one meta-analysis (Ungureanu et al., 2021</w:t>
      </w:r>
      <w:r w:rsidR="00296EC6" w:rsidRPr="00F428A9">
        <w:rPr>
          <w:rStyle w:val="FootnoteReference"/>
          <w:rFonts w:ascii="Franklin Gothic Book" w:hAnsi="Franklin Gothic Book"/>
          <w:sz w:val="22"/>
        </w:rPr>
        <w:footnoteReference w:id="16"/>
      </w:r>
      <w:r w:rsidRPr="00F428A9">
        <w:rPr>
          <w:rFonts w:ascii="Franklin Gothic Book" w:hAnsi="Franklin Gothic Book"/>
          <w:sz w:val="22"/>
        </w:rPr>
        <w:t>), and two studies (Water et al., 2024 and Sanada et al., 2006</w:t>
      </w:r>
      <w:r w:rsidR="00700C5D" w:rsidRPr="00F428A9">
        <w:rPr>
          <w:rStyle w:val="FootnoteReference"/>
          <w:rFonts w:ascii="Franklin Gothic Book" w:hAnsi="Franklin Gothic Book"/>
          <w:sz w:val="22"/>
        </w:rPr>
        <w:footnoteReference w:id="17"/>
      </w:r>
      <w:r w:rsidRPr="00F428A9">
        <w:rPr>
          <w:rFonts w:ascii="Franklin Gothic Book" w:hAnsi="Franklin Gothic Book"/>
          <w:sz w:val="22"/>
        </w:rPr>
        <w:t xml:space="preserve">). </w:t>
      </w:r>
      <w:r w:rsidR="1A1C684E" w:rsidRPr="00F428A9">
        <w:rPr>
          <w:rFonts w:ascii="Franklin Gothic Book" w:hAnsi="Franklin Gothic Book"/>
          <w:sz w:val="22"/>
        </w:rPr>
        <w:t>An i</w:t>
      </w:r>
      <w:r w:rsidR="273860A3" w:rsidRPr="00F428A9">
        <w:rPr>
          <w:rFonts w:ascii="Franklin Gothic Book" w:hAnsi="Franklin Gothic Book"/>
          <w:sz w:val="22"/>
        </w:rPr>
        <w:t xml:space="preserve">ndependent search </w:t>
      </w:r>
      <w:r w:rsidR="362735CE" w:rsidRPr="00F428A9">
        <w:rPr>
          <w:rFonts w:ascii="Franklin Gothic Book" w:hAnsi="Franklin Gothic Book"/>
          <w:sz w:val="22"/>
        </w:rPr>
        <w:t xml:space="preserve">conducted during </w:t>
      </w:r>
      <w:r w:rsidR="0C5CA068" w:rsidRPr="00F428A9">
        <w:rPr>
          <w:rFonts w:ascii="Franklin Gothic Book" w:hAnsi="Franklin Gothic Book"/>
          <w:sz w:val="22"/>
        </w:rPr>
        <w:t xml:space="preserve">the </w:t>
      </w:r>
      <w:r w:rsidR="666C5171" w:rsidRPr="00F428A9">
        <w:rPr>
          <w:rFonts w:ascii="Franklin Gothic Book" w:hAnsi="Franklin Gothic Book"/>
          <w:sz w:val="22"/>
        </w:rPr>
        <w:t xml:space="preserve">commentary </w:t>
      </w:r>
      <w:r w:rsidR="273860A3" w:rsidRPr="00F428A9">
        <w:rPr>
          <w:rFonts w:ascii="Franklin Gothic Book" w:hAnsi="Franklin Gothic Book"/>
          <w:sz w:val="22"/>
        </w:rPr>
        <w:t xml:space="preserve">identified </w:t>
      </w:r>
      <w:r w:rsidR="1A1C684E" w:rsidRPr="00F428A9">
        <w:rPr>
          <w:rFonts w:ascii="Franklin Gothic Book" w:hAnsi="Franklin Gothic Book"/>
          <w:sz w:val="22"/>
        </w:rPr>
        <w:t xml:space="preserve">a </w:t>
      </w:r>
      <w:r w:rsidR="23710E38" w:rsidRPr="00F428A9">
        <w:rPr>
          <w:rFonts w:ascii="Franklin Gothic Book" w:hAnsi="Franklin Gothic Book"/>
          <w:sz w:val="22"/>
        </w:rPr>
        <w:t xml:space="preserve">recently published </w:t>
      </w:r>
      <w:r w:rsidR="362735CE" w:rsidRPr="00F428A9">
        <w:rPr>
          <w:rFonts w:ascii="Franklin Gothic Book" w:hAnsi="Franklin Gothic Book"/>
          <w:sz w:val="22"/>
        </w:rPr>
        <w:t>systematic review and meta-analysis (Moraes et al., 2024</w:t>
      </w:r>
      <w:r w:rsidR="54D22E8B" w:rsidRPr="00F428A9">
        <w:rPr>
          <w:rFonts w:ascii="Franklin Gothic Book" w:hAnsi="Franklin Gothic Book"/>
          <w:sz w:val="22"/>
        </w:rPr>
        <w:t>)</w:t>
      </w:r>
      <w:r w:rsidR="00C801BD">
        <w:rPr>
          <w:rStyle w:val="FootnoteReference"/>
          <w:rFonts w:ascii="Franklin Gothic Book" w:hAnsi="Franklin Gothic Book"/>
          <w:sz w:val="22"/>
        </w:rPr>
        <w:footnoteReference w:id="18"/>
      </w:r>
      <w:r w:rsidR="54D22E8B" w:rsidRPr="00F428A9">
        <w:rPr>
          <w:rFonts w:ascii="Franklin Gothic Book" w:hAnsi="Franklin Gothic Book"/>
          <w:sz w:val="22"/>
        </w:rPr>
        <w:t>.</w:t>
      </w:r>
    </w:p>
    <w:p w14:paraId="41DB89FC" w14:textId="34832791" w:rsidR="006773FF" w:rsidRDefault="006276F3" w:rsidP="00F428A9">
      <w:pPr>
        <w:pStyle w:val="MSACESParagraph"/>
        <w:rPr>
          <w:rFonts w:ascii="Franklin Gothic Book" w:hAnsi="Franklin Gothic Book" w:cstheme="minorHAnsi"/>
          <w:sz w:val="22"/>
        </w:rPr>
      </w:pPr>
      <w:r>
        <w:rPr>
          <w:rFonts w:ascii="Franklin Gothic Book" w:hAnsi="Franklin Gothic Book" w:cstheme="minorHAnsi"/>
          <w:sz w:val="22"/>
        </w:rPr>
        <w:fldChar w:fldCharType="begin"/>
      </w:r>
      <w:r>
        <w:rPr>
          <w:rFonts w:ascii="Franklin Gothic Book" w:hAnsi="Franklin Gothic Book" w:cstheme="minorHAnsi"/>
          <w:sz w:val="22"/>
        </w:rPr>
        <w:instrText xml:space="preserve"> REF _Ref197009918  \* MERGEFORMAT </w:instrText>
      </w:r>
      <w:r>
        <w:rPr>
          <w:rFonts w:ascii="Franklin Gothic Book" w:hAnsi="Franklin Gothic Book" w:cstheme="minorHAnsi"/>
          <w:sz w:val="22"/>
        </w:rPr>
        <w:fldChar w:fldCharType="separate"/>
      </w:r>
      <w:r w:rsidR="00132950" w:rsidRPr="00132950">
        <w:rPr>
          <w:rFonts w:ascii="Franklin Gothic Book" w:hAnsi="Franklin Gothic Book" w:cstheme="minorHAnsi"/>
          <w:sz w:val="22"/>
        </w:rPr>
        <w:t>Table 7</w:t>
      </w:r>
      <w:r>
        <w:rPr>
          <w:rFonts w:ascii="Franklin Gothic Book" w:hAnsi="Franklin Gothic Book" w:cstheme="minorHAnsi"/>
          <w:sz w:val="22"/>
        </w:rPr>
        <w:fldChar w:fldCharType="end"/>
      </w:r>
      <w:r w:rsidR="00545E30" w:rsidRPr="00F428A9">
        <w:rPr>
          <w:rFonts w:ascii="Franklin Gothic Book" w:hAnsi="Franklin Gothic Book" w:cstheme="minorHAnsi"/>
          <w:sz w:val="22"/>
        </w:rPr>
        <w:t xml:space="preserve"> presents the summary of studies evaluating the prognostic effect of CLDN18.2 in G/GOJ cancers. </w:t>
      </w:r>
    </w:p>
    <w:p w14:paraId="4EE1FA57" w14:textId="65345684" w:rsidR="00996FC5" w:rsidRPr="007D45FB" w:rsidRDefault="006276F3" w:rsidP="0041001B">
      <w:pPr>
        <w:pStyle w:val="Caption"/>
      </w:pPr>
      <w:bookmarkStart w:id="54" w:name="_Ref197009918"/>
      <w:r>
        <w:t xml:space="preserve">Table </w:t>
      </w:r>
      <w:r w:rsidR="004A65F6">
        <w:fldChar w:fldCharType="begin"/>
      </w:r>
      <w:r w:rsidR="004A65F6">
        <w:instrText xml:space="preserve"> SEQ Table \* ARABIC </w:instrText>
      </w:r>
      <w:r w:rsidR="004A65F6">
        <w:fldChar w:fldCharType="separate"/>
      </w:r>
      <w:r w:rsidR="00132950">
        <w:rPr>
          <w:noProof/>
        </w:rPr>
        <w:t>7</w:t>
      </w:r>
      <w:r w:rsidR="004A65F6">
        <w:rPr>
          <w:noProof/>
        </w:rPr>
        <w:fldChar w:fldCharType="end"/>
      </w:r>
      <w:bookmarkEnd w:id="54"/>
      <w:r w:rsidRPr="006276F3">
        <w:t xml:space="preserve"> </w:t>
      </w:r>
      <w:r w:rsidRPr="007D45FB">
        <w:t>Studies evaluating the prognostic effect of CLDN18.2 in G/GOJ cancers</w:t>
      </w:r>
      <w:r w:rsidR="00D05E9D">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401"/>
        <w:gridCol w:w="1560"/>
        <w:gridCol w:w="709"/>
        <w:gridCol w:w="2124"/>
        <w:gridCol w:w="1136"/>
        <w:gridCol w:w="939"/>
      </w:tblGrid>
      <w:tr w:rsidR="0016154E" w:rsidRPr="006F4D53" w14:paraId="47ED7577" w14:textId="77777777" w:rsidTr="00996FC5">
        <w:trPr>
          <w:cnfStyle w:val="100000000000" w:firstRow="1" w:lastRow="0" w:firstColumn="0" w:lastColumn="0" w:oddVBand="0" w:evenVBand="0" w:oddHBand="0" w:evenHBand="0" w:firstRowFirstColumn="0" w:firstRowLastColumn="0" w:lastRowFirstColumn="0" w:lastRowLastColumn="0"/>
          <w:tblHeader/>
        </w:trPr>
        <w:tc>
          <w:tcPr>
            <w:tcW w:w="636" w:type="pct"/>
          </w:tcPr>
          <w:p w14:paraId="35F6EC90" w14:textId="77777777" w:rsidR="00D655E9" w:rsidRPr="007D45FB" w:rsidRDefault="00D655E9" w:rsidP="00062D07">
            <w:pPr>
              <w:pStyle w:val="TableFigureHeading"/>
              <w:keepLines/>
              <w:rPr>
                <w:b/>
                <w:lang w:val="en-AU"/>
              </w:rPr>
            </w:pPr>
            <w:r w:rsidRPr="007D45FB">
              <w:t>Study</w:t>
            </w:r>
          </w:p>
        </w:tc>
        <w:tc>
          <w:tcPr>
            <w:tcW w:w="777" w:type="pct"/>
          </w:tcPr>
          <w:p w14:paraId="5CDE1A57" w14:textId="77777777" w:rsidR="00D655E9" w:rsidRPr="00456A08" w:rsidRDefault="00D655E9" w:rsidP="00062D07">
            <w:pPr>
              <w:pStyle w:val="TableFigureHeading"/>
              <w:keepLines/>
              <w:rPr>
                <w:b/>
                <w:lang w:val="en-AU"/>
              </w:rPr>
            </w:pPr>
            <w:r w:rsidRPr="007D45FB">
              <w:t>Type of study</w:t>
            </w:r>
          </w:p>
        </w:tc>
        <w:tc>
          <w:tcPr>
            <w:tcW w:w="865" w:type="pct"/>
          </w:tcPr>
          <w:p w14:paraId="4FA56720" w14:textId="77777777" w:rsidR="00D655E9" w:rsidRPr="0000520E" w:rsidRDefault="00D655E9" w:rsidP="00062D07">
            <w:pPr>
              <w:pStyle w:val="TableFigureHeading"/>
              <w:keepLines/>
              <w:rPr>
                <w:b/>
                <w:lang w:val="en-AU"/>
              </w:rPr>
            </w:pPr>
            <w:r w:rsidRPr="00456A08">
              <w:t>Country</w:t>
            </w:r>
          </w:p>
        </w:tc>
        <w:tc>
          <w:tcPr>
            <w:tcW w:w="393" w:type="pct"/>
          </w:tcPr>
          <w:p w14:paraId="17722991" w14:textId="77777777" w:rsidR="00D655E9" w:rsidRPr="0000520E" w:rsidRDefault="00D655E9" w:rsidP="00062D07">
            <w:pPr>
              <w:pStyle w:val="TableFigureHeading"/>
              <w:keepLines/>
              <w:rPr>
                <w:b/>
                <w:lang w:val="en-AU"/>
              </w:rPr>
            </w:pPr>
            <w:r w:rsidRPr="0000520E">
              <w:t>N</w:t>
            </w:r>
          </w:p>
        </w:tc>
        <w:tc>
          <w:tcPr>
            <w:tcW w:w="1178" w:type="pct"/>
          </w:tcPr>
          <w:p w14:paraId="11B16B95" w14:textId="77777777" w:rsidR="00D655E9" w:rsidRPr="00C6546B" w:rsidRDefault="00D655E9" w:rsidP="00062D07">
            <w:pPr>
              <w:pStyle w:val="TableFigureHeading"/>
              <w:keepLines/>
              <w:rPr>
                <w:b/>
                <w:lang w:val="en-AU"/>
              </w:rPr>
            </w:pPr>
            <w:r w:rsidRPr="0000520E">
              <w:t>Definition of CLDN18.2 positivity</w:t>
            </w:r>
          </w:p>
        </w:tc>
        <w:tc>
          <w:tcPr>
            <w:tcW w:w="630" w:type="pct"/>
          </w:tcPr>
          <w:p w14:paraId="5E78E6AE" w14:textId="77777777" w:rsidR="00D655E9" w:rsidRPr="00C84816" w:rsidRDefault="00D655E9" w:rsidP="00062D07">
            <w:pPr>
              <w:pStyle w:val="TableFigureHeading"/>
              <w:keepLines/>
              <w:rPr>
                <w:b/>
                <w:lang w:val="en-AU"/>
              </w:rPr>
            </w:pPr>
            <w:r w:rsidRPr="00C84816">
              <w:t>Frequency</w:t>
            </w:r>
          </w:p>
        </w:tc>
        <w:tc>
          <w:tcPr>
            <w:tcW w:w="521" w:type="pct"/>
          </w:tcPr>
          <w:p w14:paraId="2F9B8864" w14:textId="77777777" w:rsidR="00D655E9" w:rsidRPr="00753893" w:rsidRDefault="00D655E9" w:rsidP="00062D07">
            <w:pPr>
              <w:pStyle w:val="TableFigureHeading"/>
              <w:keepLines/>
              <w:rPr>
                <w:lang w:val="en-AU"/>
              </w:rPr>
            </w:pPr>
            <w:r w:rsidRPr="00C84816">
              <w:t>OS impac</w:t>
            </w:r>
            <w:r w:rsidR="00A15762" w:rsidRPr="00C84816">
              <w:t>t</w:t>
            </w:r>
          </w:p>
          <w:p w14:paraId="5F3679D9" w14:textId="2BA26E31" w:rsidR="00A15762" w:rsidRPr="00753893" w:rsidRDefault="00A15762" w:rsidP="00062D07">
            <w:pPr>
              <w:pStyle w:val="In-tableHeading"/>
              <w:keepLines/>
              <w:rPr>
                <w:b/>
                <w:lang w:val="en-AU"/>
              </w:rPr>
            </w:pPr>
            <w:r w:rsidRPr="00753893">
              <w:rPr>
                <w:lang w:val="en-AU"/>
              </w:rPr>
              <w:t>(p-value)</w:t>
            </w:r>
          </w:p>
        </w:tc>
      </w:tr>
      <w:tr w:rsidR="00E41328" w:rsidRPr="006F4D53" w14:paraId="6C6CEB34" w14:textId="77777777" w:rsidTr="000D4FD0">
        <w:tc>
          <w:tcPr>
            <w:tcW w:w="5000" w:type="pct"/>
            <w:gridSpan w:val="7"/>
            <w:vAlign w:val="center"/>
          </w:tcPr>
          <w:p w14:paraId="18D98917" w14:textId="53980F43" w:rsidR="00F75679" w:rsidRPr="00753893" w:rsidRDefault="00F75679" w:rsidP="00062D07">
            <w:pPr>
              <w:pStyle w:val="TableText"/>
              <w:keepNext/>
              <w:keepLines/>
              <w:rPr>
                <w:b/>
                <w:lang w:val="en-AU"/>
              </w:rPr>
            </w:pPr>
            <w:r w:rsidRPr="00753893">
              <w:rPr>
                <w:b/>
              </w:rPr>
              <w:t xml:space="preserve">Studies identified in the literature search </w:t>
            </w:r>
          </w:p>
        </w:tc>
      </w:tr>
      <w:tr w:rsidR="00E41328" w:rsidRPr="006F4D53" w14:paraId="40BDB100" w14:textId="77777777" w:rsidTr="00996FC5">
        <w:tc>
          <w:tcPr>
            <w:tcW w:w="636" w:type="pct"/>
            <w:vAlign w:val="center"/>
          </w:tcPr>
          <w:p w14:paraId="0EE2BF3D" w14:textId="2493CB8D" w:rsidR="00F75679" w:rsidRPr="00753893" w:rsidRDefault="00F75679" w:rsidP="00062D07">
            <w:pPr>
              <w:pStyle w:val="TableText"/>
              <w:keepNext/>
              <w:keepLines/>
              <w:rPr>
                <w:lang w:val="en-AU"/>
              </w:rPr>
            </w:pPr>
            <w:r w:rsidRPr="00753893">
              <w:t>Arnold et al. (</w:t>
            </w:r>
            <w:proofErr w:type="gramStart"/>
            <w:r w:rsidRPr="00753893">
              <w:t>2020)</w:t>
            </w:r>
            <w:r w:rsidRPr="00753893">
              <w:rPr>
                <w:vertAlign w:val="superscript"/>
              </w:rPr>
              <w:t>a</w:t>
            </w:r>
            <w:proofErr w:type="gramEnd"/>
          </w:p>
        </w:tc>
        <w:tc>
          <w:tcPr>
            <w:tcW w:w="777" w:type="pct"/>
            <w:vAlign w:val="center"/>
          </w:tcPr>
          <w:p w14:paraId="2BCF347E" w14:textId="54F497F8" w:rsidR="00F75679" w:rsidRPr="002F01E7" w:rsidRDefault="00F75679" w:rsidP="00062D07">
            <w:pPr>
              <w:pStyle w:val="TableText"/>
              <w:keepNext/>
              <w:keepLines/>
              <w:rPr>
                <w:lang w:val="en-AU"/>
              </w:rPr>
            </w:pPr>
            <w:r w:rsidRPr="00753893">
              <w:t>Retrospective</w:t>
            </w:r>
          </w:p>
        </w:tc>
        <w:tc>
          <w:tcPr>
            <w:tcW w:w="865" w:type="pct"/>
            <w:vAlign w:val="center"/>
          </w:tcPr>
          <w:p w14:paraId="471D9B7E" w14:textId="4676E454" w:rsidR="00F75679" w:rsidRPr="002F01E7" w:rsidRDefault="00F75679" w:rsidP="00062D07">
            <w:pPr>
              <w:pStyle w:val="TableText"/>
              <w:keepNext/>
              <w:keepLines/>
              <w:rPr>
                <w:lang w:val="en-AU"/>
              </w:rPr>
            </w:pPr>
            <w:r w:rsidRPr="002F01E7">
              <w:t>Germany</w:t>
            </w:r>
          </w:p>
        </w:tc>
        <w:tc>
          <w:tcPr>
            <w:tcW w:w="393" w:type="pct"/>
            <w:vAlign w:val="center"/>
          </w:tcPr>
          <w:p w14:paraId="55E302D2" w14:textId="5A223F2F" w:rsidR="00F75679" w:rsidRPr="002F01E7" w:rsidRDefault="00F75679" w:rsidP="00062D07">
            <w:pPr>
              <w:pStyle w:val="TableText"/>
              <w:keepNext/>
              <w:keepLines/>
              <w:rPr>
                <w:lang w:val="en-AU"/>
              </w:rPr>
            </w:pPr>
            <w:r w:rsidRPr="002F01E7">
              <w:t>414</w:t>
            </w:r>
          </w:p>
        </w:tc>
        <w:tc>
          <w:tcPr>
            <w:tcW w:w="1178" w:type="pct"/>
            <w:vAlign w:val="center"/>
          </w:tcPr>
          <w:p w14:paraId="00F00829" w14:textId="6EDED1A7" w:rsidR="00F75679" w:rsidRPr="002F01E7" w:rsidRDefault="00F75679" w:rsidP="00062D07">
            <w:pPr>
              <w:pStyle w:val="TableText"/>
              <w:keepNext/>
              <w:keepLines/>
              <w:rPr>
                <w:lang w:val="en-AU"/>
              </w:rPr>
            </w:pPr>
            <w:r w:rsidRPr="002F01E7">
              <w:t>Immunoreactivity score (IRS) &gt; 8</w:t>
            </w:r>
          </w:p>
        </w:tc>
        <w:tc>
          <w:tcPr>
            <w:tcW w:w="630" w:type="pct"/>
            <w:vAlign w:val="center"/>
          </w:tcPr>
          <w:p w14:paraId="1375C684" w14:textId="751DDCDD" w:rsidR="00F75679" w:rsidRPr="002F01E7" w:rsidRDefault="00F75679" w:rsidP="00062D07">
            <w:pPr>
              <w:pStyle w:val="TableText"/>
              <w:keepNext/>
              <w:keepLines/>
              <w:rPr>
                <w:lang w:val="en-AU"/>
              </w:rPr>
            </w:pPr>
            <w:r w:rsidRPr="002F01E7">
              <w:t>17.1%</w:t>
            </w:r>
          </w:p>
        </w:tc>
        <w:tc>
          <w:tcPr>
            <w:tcW w:w="521" w:type="pct"/>
            <w:vAlign w:val="center"/>
          </w:tcPr>
          <w:p w14:paraId="284D8395" w14:textId="15AF0B64" w:rsidR="00F75679" w:rsidRPr="002F01E7" w:rsidRDefault="00F75679" w:rsidP="00062D07">
            <w:pPr>
              <w:pStyle w:val="TableText"/>
              <w:keepNext/>
              <w:keepLines/>
              <w:rPr>
                <w:lang w:val="en-AU"/>
              </w:rPr>
            </w:pPr>
            <w:r w:rsidRPr="002F01E7">
              <w:t>p=0.94</w:t>
            </w:r>
          </w:p>
        </w:tc>
      </w:tr>
      <w:tr w:rsidR="00E41328" w:rsidRPr="006F4D53" w14:paraId="68A069AC" w14:textId="77777777" w:rsidTr="00996FC5">
        <w:tc>
          <w:tcPr>
            <w:tcW w:w="636" w:type="pct"/>
            <w:vAlign w:val="center"/>
          </w:tcPr>
          <w:p w14:paraId="29881E68" w14:textId="34EE4E07" w:rsidR="00D655E9" w:rsidRPr="002F01E7" w:rsidRDefault="00D655E9" w:rsidP="00062D07">
            <w:pPr>
              <w:pStyle w:val="TableText"/>
              <w:keepNext/>
              <w:keepLines/>
              <w:rPr>
                <w:lang w:val="en-AU"/>
              </w:rPr>
            </w:pPr>
            <w:proofErr w:type="spellStart"/>
            <w:r w:rsidRPr="002F01E7">
              <w:t>Dottermusch</w:t>
            </w:r>
            <w:proofErr w:type="spellEnd"/>
            <w:r w:rsidRPr="002F01E7">
              <w:t xml:space="preserve"> et al. </w:t>
            </w:r>
            <w:r w:rsidR="00385A2B" w:rsidRPr="002F01E7">
              <w:t>(</w:t>
            </w:r>
            <w:proofErr w:type="gramStart"/>
            <w:r w:rsidRPr="002F01E7">
              <w:t>2019</w:t>
            </w:r>
            <w:r w:rsidR="00385A2B" w:rsidRPr="002F01E7">
              <w:t>)</w:t>
            </w:r>
            <w:r w:rsidR="00F75679" w:rsidRPr="002F01E7">
              <w:rPr>
                <w:vertAlign w:val="superscript"/>
              </w:rPr>
              <w:t>a</w:t>
            </w:r>
            <w:proofErr w:type="gramEnd"/>
          </w:p>
        </w:tc>
        <w:tc>
          <w:tcPr>
            <w:tcW w:w="777" w:type="pct"/>
            <w:vAlign w:val="center"/>
          </w:tcPr>
          <w:p w14:paraId="660340A3" w14:textId="77777777" w:rsidR="00D655E9" w:rsidRPr="002F01E7" w:rsidRDefault="00D655E9" w:rsidP="00062D07">
            <w:pPr>
              <w:pStyle w:val="TableText"/>
              <w:keepNext/>
              <w:keepLines/>
              <w:rPr>
                <w:lang w:val="en-AU"/>
              </w:rPr>
            </w:pPr>
            <w:r w:rsidRPr="002F01E7">
              <w:t>Retrospective</w:t>
            </w:r>
          </w:p>
        </w:tc>
        <w:tc>
          <w:tcPr>
            <w:tcW w:w="865" w:type="pct"/>
            <w:vAlign w:val="center"/>
          </w:tcPr>
          <w:p w14:paraId="25D3AAA6" w14:textId="77777777" w:rsidR="00D655E9" w:rsidRPr="002F01E7" w:rsidRDefault="00D655E9" w:rsidP="00062D07">
            <w:pPr>
              <w:pStyle w:val="TableText"/>
              <w:keepNext/>
              <w:keepLines/>
              <w:rPr>
                <w:lang w:val="en-AU"/>
              </w:rPr>
            </w:pPr>
            <w:r w:rsidRPr="002F01E7">
              <w:t>Germany</w:t>
            </w:r>
          </w:p>
        </w:tc>
        <w:tc>
          <w:tcPr>
            <w:tcW w:w="393" w:type="pct"/>
            <w:vAlign w:val="center"/>
          </w:tcPr>
          <w:p w14:paraId="44465854" w14:textId="34084FDF" w:rsidR="00D655E9" w:rsidRPr="002F01E7" w:rsidRDefault="00D655E9" w:rsidP="00062D07">
            <w:pPr>
              <w:pStyle w:val="TableText"/>
              <w:keepNext/>
              <w:keepLines/>
              <w:rPr>
                <w:lang w:val="en-AU"/>
              </w:rPr>
            </w:pPr>
            <w:r w:rsidRPr="002F01E7">
              <w:t>481</w:t>
            </w:r>
          </w:p>
        </w:tc>
        <w:tc>
          <w:tcPr>
            <w:tcW w:w="1178" w:type="pct"/>
            <w:vAlign w:val="center"/>
          </w:tcPr>
          <w:p w14:paraId="59B766EE" w14:textId="77777777" w:rsidR="00D655E9" w:rsidRPr="002F01E7" w:rsidRDefault="00D655E9" w:rsidP="00062D07">
            <w:pPr>
              <w:pStyle w:val="TableText"/>
              <w:keepNext/>
              <w:keepLines/>
              <w:rPr>
                <w:lang w:val="en-AU"/>
              </w:rPr>
            </w:pPr>
            <w:r w:rsidRPr="002F01E7">
              <w:t>Positive histoscore (H-score)</w:t>
            </w:r>
          </w:p>
        </w:tc>
        <w:tc>
          <w:tcPr>
            <w:tcW w:w="630" w:type="pct"/>
            <w:vAlign w:val="center"/>
          </w:tcPr>
          <w:p w14:paraId="6BF49F2F" w14:textId="77777777" w:rsidR="00D655E9" w:rsidRPr="002F01E7" w:rsidRDefault="00D655E9" w:rsidP="00062D07">
            <w:pPr>
              <w:pStyle w:val="TableText"/>
              <w:keepNext/>
              <w:keepLines/>
              <w:rPr>
                <w:lang w:val="en-AU"/>
              </w:rPr>
            </w:pPr>
            <w:r w:rsidRPr="002F01E7">
              <w:t>42.2%</w:t>
            </w:r>
          </w:p>
        </w:tc>
        <w:tc>
          <w:tcPr>
            <w:tcW w:w="521" w:type="pct"/>
            <w:vAlign w:val="center"/>
          </w:tcPr>
          <w:p w14:paraId="228BCF67" w14:textId="683AB1EE" w:rsidR="00D655E9" w:rsidRPr="002F01E7" w:rsidRDefault="00D655E9" w:rsidP="00062D07">
            <w:pPr>
              <w:pStyle w:val="TableText"/>
              <w:keepNext/>
              <w:keepLines/>
              <w:rPr>
                <w:lang w:val="en-AU"/>
              </w:rPr>
            </w:pPr>
            <w:r w:rsidRPr="002F01E7">
              <w:t>p=0.4</w:t>
            </w:r>
            <w:r w:rsidR="002E34DC" w:rsidRPr="002F01E7">
              <w:t>4</w:t>
            </w:r>
            <w:r w:rsidRPr="002F01E7">
              <w:tab/>
            </w:r>
          </w:p>
        </w:tc>
      </w:tr>
      <w:tr w:rsidR="00E41328" w:rsidRPr="006F4D53" w14:paraId="032A3EFB" w14:textId="77777777" w:rsidTr="00996FC5">
        <w:tc>
          <w:tcPr>
            <w:tcW w:w="636" w:type="pct"/>
            <w:vAlign w:val="center"/>
          </w:tcPr>
          <w:p w14:paraId="6D02E1B8" w14:textId="15C32B1A" w:rsidR="00D655E9" w:rsidRPr="002F01E7" w:rsidRDefault="00D655E9" w:rsidP="00062D07">
            <w:pPr>
              <w:pStyle w:val="TableText"/>
              <w:keepNext/>
              <w:keepLines/>
              <w:rPr>
                <w:lang w:val="en-AU"/>
              </w:rPr>
            </w:pPr>
            <w:r w:rsidRPr="002F01E7">
              <w:t>Hong et al.</w:t>
            </w:r>
            <w:r w:rsidR="00385A2B" w:rsidRPr="002F01E7">
              <w:t xml:space="preserve"> (</w:t>
            </w:r>
            <w:r w:rsidRPr="002F01E7">
              <w:t>2020</w:t>
            </w:r>
            <w:r w:rsidR="00385A2B" w:rsidRPr="002F01E7">
              <w:t>)</w:t>
            </w:r>
          </w:p>
        </w:tc>
        <w:tc>
          <w:tcPr>
            <w:tcW w:w="777" w:type="pct"/>
            <w:vAlign w:val="center"/>
          </w:tcPr>
          <w:p w14:paraId="229A41D0" w14:textId="77777777" w:rsidR="00D655E9" w:rsidRPr="002F01E7" w:rsidRDefault="00D655E9" w:rsidP="00062D07">
            <w:pPr>
              <w:pStyle w:val="TableText"/>
              <w:keepNext/>
              <w:keepLines/>
              <w:rPr>
                <w:lang w:val="en-AU"/>
              </w:rPr>
            </w:pPr>
            <w:r w:rsidRPr="002F01E7">
              <w:t>Prospective</w:t>
            </w:r>
            <w:r w:rsidRPr="002F01E7">
              <w:tab/>
            </w:r>
          </w:p>
        </w:tc>
        <w:tc>
          <w:tcPr>
            <w:tcW w:w="865" w:type="pct"/>
            <w:vAlign w:val="center"/>
          </w:tcPr>
          <w:p w14:paraId="12DB86AE" w14:textId="77777777" w:rsidR="00D655E9" w:rsidRPr="002F01E7" w:rsidRDefault="00D655E9" w:rsidP="00062D07">
            <w:pPr>
              <w:pStyle w:val="TableText"/>
              <w:keepNext/>
              <w:keepLines/>
              <w:rPr>
                <w:lang w:val="en-AU"/>
              </w:rPr>
            </w:pPr>
            <w:r w:rsidRPr="002F01E7">
              <w:t>Republic of Korea</w:t>
            </w:r>
          </w:p>
        </w:tc>
        <w:tc>
          <w:tcPr>
            <w:tcW w:w="393" w:type="pct"/>
            <w:vAlign w:val="center"/>
          </w:tcPr>
          <w:p w14:paraId="0ACA8AF2" w14:textId="3D603F5D" w:rsidR="00D655E9" w:rsidRPr="002F01E7" w:rsidRDefault="00D655E9" w:rsidP="00062D07">
            <w:pPr>
              <w:pStyle w:val="TableText"/>
              <w:keepNext/>
              <w:keepLines/>
              <w:rPr>
                <w:lang w:val="en-AU"/>
              </w:rPr>
            </w:pPr>
            <w:r w:rsidRPr="002F01E7">
              <w:t>430</w:t>
            </w:r>
            <w:r w:rsidR="00F75679" w:rsidRPr="002F01E7">
              <w:rPr>
                <w:vertAlign w:val="superscript"/>
              </w:rPr>
              <w:t>b</w:t>
            </w:r>
          </w:p>
        </w:tc>
        <w:tc>
          <w:tcPr>
            <w:tcW w:w="1178" w:type="pct"/>
            <w:vAlign w:val="center"/>
          </w:tcPr>
          <w:p w14:paraId="17410F34" w14:textId="77777777" w:rsidR="00D655E9" w:rsidRPr="002F01E7" w:rsidRDefault="00D655E9" w:rsidP="00062D07">
            <w:pPr>
              <w:pStyle w:val="TableText"/>
              <w:keepNext/>
              <w:keepLines/>
              <w:rPr>
                <w:lang w:val="en-AU"/>
              </w:rPr>
            </w:pPr>
            <w:r w:rsidRPr="002F01E7">
              <w:t>&gt;5%</w:t>
            </w:r>
          </w:p>
        </w:tc>
        <w:tc>
          <w:tcPr>
            <w:tcW w:w="630" w:type="pct"/>
            <w:vAlign w:val="center"/>
          </w:tcPr>
          <w:p w14:paraId="35F0F497" w14:textId="6B31B6F3" w:rsidR="00D655E9" w:rsidRPr="00775572" w:rsidRDefault="00D655E9" w:rsidP="00062D07">
            <w:pPr>
              <w:pStyle w:val="TableText"/>
              <w:keepNext/>
              <w:keepLines/>
              <w:rPr>
                <w:lang w:val="en-AU"/>
              </w:rPr>
            </w:pPr>
            <w:r w:rsidRPr="00775572">
              <w:t>14.1%</w:t>
            </w:r>
          </w:p>
        </w:tc>
        <w:tc>
          <w:tcPr>
            <w:tcW w:w="521" w:type="pct"/>
            <w:vAlign w:val="center"/>
          </w:tcPr>
          <w:p w14:paraId="77E40F42" w14:textId="29684050" w:rsidR="00D655E9" w:rsidRPr="00775572" w:rsidRDefault="00D655E9" w:rsidP="00062D07">
            <w:pPr>
              <w:pStyle w:val="TableText"/>
              <w:keepNext/>
              <w:keepLines/>
              <w:rPr>
                <w:lang w:val="en-AU"/>
              </w:rPr>
            </w:pPr>
            <w:r w:rsidRPr="00775572">
              <w:t>P=0.10</w:t>
            </w:r>
          </w:p>
        </w:tc>
      </w:tr>
      <w:tr w:rsidR="00E41328" w:rsidRPr="006F4D53" w14:paraId="501B9ACE" w14:textId="77777777" w:rsidTr="00996FC5">
        <w:tc>
          <w:tcPr>
            <w:tcW w:w="636" w:type="pct"/>
            <w:vAlign w:val="center"/>
          </w:tcPr>
          <w:p w14:paraId="06BEDB29" w14:textId="66413277" w:rsidR="00D655E9" w:rsidRPr="00775572" w:rsidRDefault="00D655E9" w:rsidP="00062D07">
            <w:pPr>
              <w:pStyle w:val="TableText"/>
              <w:keepNext/>
              <w:keepLines/>
              <w:rPr>
                <w:lang w:val="en-AU"/>
              </w:rPr>
            </w:pPr>
            <w:proofErr w:type="spellStart"/>
            <w:r w:rsidRPr="00775572">
              <w:t>Kayikcioglu</w:t>
            </w:r>
            <w:proofErr w:type="spellEnd"/>
            <w:r w:rsidRPr="00775572">
              <w:t xml:space="preserve"> et al. </w:t>
            </w:r>
            <w:r w:rsidR="00385A2B" w:rsidRPr="00775572">
              <w:t>(</w:t>
            </w:r>
            <w:r w:rsidRPr="00775572">
              <w:t>2023</w:t>
            </w:r>
            <w:r w:rsidR="00385A2B" w:rsidRPr="00775572">
              <w:t>)</w:t>
            </w:r>
          </w:p>
        </w:tc>
        <w:tc>
          <w:tcPr>
            <w:tcW w:w="777" w:type="pct"/>
            <w:vAlign w:val="center"/>
          </w:tcPr>
          <w:p w14:paraId="62EA5B4F" w14:textId="77777777" w:rsidR="00D655E9" w:rsidRPr="00775572" w:rsidRDefault="00D655E9" w:rsidP="00062D07">
            <w:pPr>
              <w:pStyle w:val="TableText"/>
              <w:keepNext/>
              <w:keepLines/>
              <w:rPr>
                <w:lang w:val="en-AU"/>
              </w:rPr>
            </w:pPr>
            <w:r w:rsidRPr="00775572">
              <w:t>Retrospective</w:t>
            </w:r>
          </w:p>
        </w:tc>
        <w:tc>
          <w:tcPr>
            <w:tcW w:w="865" w:type="pct"/>
            <w:vAlign w:val="center"/>
          </w:tcPr>
          <w:p w14:paraId="53BDC4FF" w14:textId="77777777" w:rsidR="00D655E9" w:rsidRPr="00775572" w:rsidRDefault="00D655E9" w:rsidP="00062D07">
            <w:pPr>
              <w:pStyle w:val="TableText"/>
              <w:keepNext/>
              <w:keepLines/>
              <w:rPr>
                <w:lang w:val="en-AU"/>
              </w:rPr>
            </w:pPr>
            <w:r w:rsidRPr="00775572">
              <w:t>Turkey</w:t>
            </w:r>
          </w:p>
        </w:tc>
        <w:tc>
          <w:tcPr>
            <w:tcW w:w="393" w:type="pct"/>
            <w:vAlign w:val="center"/>
          </w:tcPr>
          <w:p w14:paraId="323B5D5A" w14:textId="77777777" w:rsidR="00D655E9" w:rsidRPr="00775572" w:rsidRDefault="00D655E9" w:rsidP="00062D07">
            <w:pPr>
              <w:pStyle w:val="TableText"/>
              <w:keepNext/>
              <w:keepLines/>
              <w:rPr>
                <w:lang w:val="en-AU"/>
              </w:rPr>
            </w:pPr>
            <w:r w:rsidRPr="00775572">
              <w:t>65</w:t>
            </w:r>
          </w:p>
        </w:tc>
        <w:tc>
          <w:tcPr>
            <w:tcW w:w="1178" w:type="pct"/>
            <w:vAlign w:val="center"/>
          </w:tcPr>
          <w:p w14:paraId="2A79230F" w14:textId="77777777" w:rsidR="00D655E9" w:rsidRPr="00775572" w:rsidRDefault="00D655E9" w:rsidP="00062D07">
            <w:pPr>
              <w:pStyle w:val="TableText"/>
              <w:keepNext/>
              <w:keepLines/>
              <w:rPr>
                <w:lang w:val="en-AU"/>
              </w:rPr>
            </w:pPr>
            <w:r w:rsidRPr="00775572">
              <w:t>Any positive staining</w:t>
            </w:r>
          </w:p>
        </w:tc>
        <w:tc>
          <w:tcPr>
            <w:tcW w:w="630" w:type="pct"/>
            <w:vAlign w:val="center"/>
          </w:tcPr>
          <w:p w14:paraId="0442B65E" w14:textId="77777777" w:rsidR="00D655E9" w:rsidRPr="00775572" w:rsidRDefault="00D655E9" w:rsidP="00062D07">
            <w:pPr>
              <w:pStyle w:val="TableText"/>
              <w:keepNext/>
              <w:keepLines/>
              <w:rPr>
                <w:lang w:val="en-AU"/>
              </w:rPr>
            </w:pPr>
            <w:r w:rsidRPr="00775572">
              <w:t>73.8%</w:t>
            </w:r>
          </w:p>
        </w:tc>
        <w:tc>
          <w:tcPr>
            <w:tcW w:w="521" w:type="pct"/>
            <w:vAlign w:val="center"/>
          </w:tcPr>
          <w:p w14:paraId="0E5AE54E" w14:textId="77777777" w:rsidR="00D655E9" w:rsidRPr="00775572" w:rsidRDefault="00D655E9" w:rsidP="00062D07">
            <w:pPr>
              <w:pStyle w:val="TableText"/>
              <w:keepNext/>
              <w:keepLines/>
              <w:rPr>
                <w:lang w:val="en-AU"/>
              </w:rPr>
            </w:pPr>
            <w:r w:rsidRPr="00775572">
              <w:t>p=0.09</w:t>
            </w:r>
          </w:p>
        </w:tc>
      </w:tr>
      <w:tr w:rsidR="00E41328" w:rsidRPr="006F4D53" w14:paraId="1E4AAB11" w14:textId="77777777" w:rsidTr="00996FC5">
        <w:tc>
          <w:tcPr>
            <w:tcW w:w="636" w:type="pct"/>
            <w:vAlign w:val="center"/>
          </w:tcPr>
          <w:p w14:paraId="4E0EB6E3" w14:textId="5EBCF7D9" w:rsidR="00D655E9" w:rsidRPr="00775572" w:rsidRDefault="00D655E9" w:rsidP="00062D07">
            <w:pPr>
              <w:pStyle w:val="TableText"/>
              <w:keepNext/>
              <w:keepLines/>
              <w:rPr>
                <w:lang w:val="en-AU"/>
              </w:rPr>
            </w:pPr>
            <w:r w:rsidRPr="00775572">
              <w:t xml:space="preserve">Kim et al. </w:t>
            </w:r>
            <w:r w:rsidR="00385A2B" w:rsidRPr="00775572">
              <w:t>(</w:t>
            </w:r>
            <w:r w:rsidRPr="00775572">
              <w:t>2020</w:t>
            </w:r>
            <w:r w:rsidR="00385A2B" w:rsidRPr="00775572">
              <w:t>)</w:t>
            </w:r>
          </w:p>
        </w:tc>
        <w:tc>
          <w:tcPr>
            <w:tcW w:w="777" w:type="pct"/>
            <w:vAlign w:val="center"/>
          </w:tcPr>
          <w:p w14:paraId="258B0B71" w14:textId="77777777" w:rsidR="00D655E9" w:rsidRPr="00775572" w:rsidRDefault="00D655E9" w:rsidP="00062D07">
            <w:pPr>
              <w:pStyle w:val="TableText"/>
              <w:keepNext/>
              <w:keepLines/>
              <w:rPr>
                <w:lang w:val="en-AU"/>
              </w:rPr>
            </w:pPr>
            <w:r w:rsidRPr="00775572">
              <w:t>Retrospective</w:t>
            </w:r>
          </w:p>
        </w:tc>
        <w:tc>
          <w:tcPr>
            <w:tcW w:w="865" w:type="pct"/>
            <w:vAlign w:val="center"/>
          </w:tcPr>
          <w:p w14:paraId="6242B3E2" w14:textId="77777777" w:rsidR="00D655E9" w:rsidRPr="00F67CFE" w:rsidRDefault="00D655E9" w:rsidP="00062D07">
            <w:pPr>
              <w:pStyle w:val="TableText"/>
              <w:keepNext/>
              <w:keepLines/>
              <w:rPr>
                <w:lang w:val="en-AU"/>
              </w:rPr>
            </w:pPr>
            <w:r w:rsidRPr="00F67CFE">
              <w:t>Republic of Korea</w:t>
            </w:r>
          </w:p>
        </w:tc>
        <w:tc>
          <w:tcPr>
            <w:tcW w:w="393" w:type="pct"/>
            <w:vAlign w:val="center"/>
          </w:tcPr>
          <w:p w14:paraId="33FBCA08" w14:textId="36DFCC8D" w:rsidR="00D655E9" w:rsidRPr="00F67CFE" w:rsidRDefault="00D655E9" w:rsidP="00062D07">
            <w:pPr>
              <w:pStyle w:val="TableText"/>
              <w:keepNext/>
              <w:keepLines/>
              <w:rPr>
                <w:lang w:val="en-AU"/>
              </w:rPr>
            </w:pPr>
            <w:r w:rsidRPr="00F67CFE">
              <w:t>77</w:t>
            </w:r>
            <w:r w:rsidR="00F75679" w:rsidRPr="00F67CFE">
              <w:rPr>
                <w:vertAlign w:val="superscript"/>
              </w:rPr>
              <w:t>c</w:t>
            </w:r>
          </w:p>
        </w:tc>
        <w:tc>
          <w:tcPr>
            <w:tcW w:w="1178" w:type="pct"/>
            <w:vAlign w:val="center"/>
          </w:tcPr>
          <w:p w14:paraId="5D826215" w14:textId="1C920735" w:rsidR="00D655E9" w:rsidRPr="00F67CFE" w:rsidRDefault="00D655E9" w:rsidP="00062D07">
            <w:pPr>
              <w:pStyle w:val="TableText"/>
              <w:keepNext/>
              <w:keepLines/>
              <w:rPr>
                <w:b/>
                <w:lang w:val="en-AU"/>
              </w:rPr>
            </w:pPr>
            <w:r w:rsidRPr="00F67CFE">
              <w:t>High expressor by H-score (median)</w:t>
            </w:r>
            <w:r w:rsidR="00216449" w:rsidRPr="00F67CFE">
              <w:t xml:space="preserve"> &gt;45 </w:t>
            </w:r>
          </w:p>
        </w:tc>
        <w:tc>
          <w:tcPr>
            <w:tcW w:w="630" w:type="pct"/>
            <w:vAlign w:val="center"/>
          </w:tcPr>
          <w:p w14:paraId="6DF99CEA" w14:textId="77777777" w:rsidR="00D655E9" w:rsidRPr="0013223E" w:rsidRDefault="00D655E9" w:rsidP="00062D07">
            <w:pPr>
              <w:pStyle w:val="TableText"/>
              <w:keepNext/>
              <w:keepLines/>
              <w:rPr>
                <w:lang w:val="en-AU"/>
              </w:rPr>
            </w:pPr>
            <w:r w:rsidRPr="0013223E">
              <w:t>n/a</w:t>
            </w:r>
          </w:p>
        </w:tc>
        <w:tc>
          <w:tcPr>
            <w:tcW w:w="521" w:type="pct"/>
            <w:vAlign w:val="center"/>
          </w:tcPr>
          <w:p w14:paraId="1C059C52" w14:textId="6E2F9DB8" w:rsidR="00D655E9" w:rsidRPr="0013223E" w:rsidRDefault="00D655E9" w:rsidP="00062D07">
            <w:pPr>
              <w:pStyle w:val="TableText"/>
              <w:keepNext/>
              <w:keepLines/>
              <w:rPr>
                <w:lang w:val="en-AU"/>
              </w:rPr>
            </w:pPr>
            <w:r w:rsidRPr="0013223E">
              <w:t>p=0.15</w:t>
            </w:r>
          </w:p>
        </w:tc>
      </w:tr>
      <w:tr w:rsidR="00E41328" w:rsidRPr="006F4D53" w14:paraId="572A2356" w14:textId="77777777" w:rsidTr="00996FC5">
        <w:tc>
          <w:tcPr>
            <w:tcW w:w="636" w:type="pct"/>
            <w:vAlign w:val="center"/>
          </w:tcPr>
          <w:p w14:paraId="31916446" w14:textId="5E88CAA6" w:rsidR="00D655E9" w:rsidRPr="0013223E" w:rsidRDefault="00D655E9" w:rsidP="00062D07">
            <w:pPr>
              <w:pStyle w:val="TableText"/>
              <w:keepNext/>
              <w:keepLines/>
              <w:rPr>
                <w:lang w:val="en-AU"/>
              </w:rPr>
            </w:pPr>
            <w:r w:rsidRPr="0013223E">
              <w:t>Liu et al.</w:t>
            </w:r>
            <w:r w:rsidR="00385A2B" w:rsidRPr="0013223E">
              <w:t xml:space="preserve"> (</w:t>
            </w:r>
            <w:r w:rsidRPr="0013223E">
              <w:t>2024</w:t>
            </w:r>
            <w:r w:rsidR="00385A2B" w:rsidRPr="0013223E">
              <w:t>)</w:t>
            </w:r>
          </w:p>
        </w:tc>
        <w:tc>
          <w:tcPr>
            <w:tcW w:w="777" w:type="pct"/>
            <w:vAlign w:val="center"/>
          </w:tcPr>
          <w:p w14:paraId="31C094A4" w14:textId="77777777" w:rsidR="00D655E9" w:rsidRPr="00095350" w:rsidRDefault="00D655E9" w:rsidP="00062D07">
            <w:pPr>
              <w:pStyle w:val="TableText"/>
              <w:keepNext/>
              <w:keepLines/>
              <w:rPr>
                <w:lang w:val="en-AU"/>
              </w:rPr>
            </w:pPr>
            <w:r w:rsidRPr="00095350">
              <w:t>Retrospective</w:t>
            </w:r>
          </w:p>
        </w:tc>
        <w:tc>
          <w:tcPr>
            <w:tcW w:w="865" w:type="pct"/>
            <w:vAlign w:val="center"/>
          </w:tcPr>
          <w:p w14:paraId="44132ECB" w14:textId="77777777" w:rsidR="00D655E9" w:rsidRPr="00095350" w:rsidRDefault="00D655E9" w:rsidP="00062D07">
            <w:pPr>
              <w:pStyle w:val="TableText"/>
              <w:keepNext/>
              <w:keepLines/>
              <w:rPr>
                <w:lang w:val="en-AU"/>
              </w:rPr>
            </w:pPr>
            <w:r w:rsidRPr="00095350">
              <w:t>China</w:t>
            </w:r>
          </w:p>
        </w:tc>
        <w:tc>
          <w:tcPr>
            <w:tcW w:w="393" w:type="pct"/>
            <w:vAlign w:val="center"/>
          </w:tcPr>
          <w:p w14:paraId="2EF70C12" w14:textId="77777777" w:rsidR="00D655E9" w:rsidRPr="00DE5AA1" w:rsidRDefault="00D655E9" w:rsidP="00062D07">
            <w:pPr>
              <w:pStyle w:val="TableText"/>
              <w:keepNext/>
              <w:keepLines/>
              <w:rPr>
                <w:lang w:val="en-AU"/>
              </w:rPr>
            </w:pPr>
            <w:r w:rsidRPr="00095350">
              <w:t>185</w:t>
            </w:r>
          </w:p>
        </w:tc>
        <w:tc>
          <w:tcPr>
            <w:tcW w:w="1178" w:type="pct"/>
            <w:vAlign w:val="center"/>
          </w:tcPr>
          <w:p w14:paraId="5696DEB6" w14:textId="77777777" w:rsidR="00D655E9" w:rsidRPr="00DE5AA1" w:rsidRDefault="00D655E9" w:rsidP="00062D07">
            <w:pPr>
              <w:pStyle w:val="TableText"/>
              <w:keepNext/>
              <w:keepLines/>
              <w:rPr>
                <w:lang w:val="en-AU"/>
              </w:rPr>
            </w:pPr>
            <w:r w:rsidRPr="00DE5AA1">
              <w:t>High H-score &gt;40</w:t>
            </w:r>
          </w:p>
        </w:tc>
        <w:tc>
          <w:tcPr>
            <w:tcW w:w="630" w:type="pct"/>
            <w:vAlign w:val="center"/>
          </w:tcPr>
          <w:p w14:paraId="74EAD397" w14:textId="77777777" w:rsidR="00D655E9" w:rsidRPr="00DE5AA1" w:rsidRDefault="00D655E9" w:rsidP="00062D07">
            <w:pPr>
              <w:pStyle w:val="TableText"/>
              <w:keepNext/>
              <w:keepLines/>
              <w:rPr>
                <w:lang w:val="en-AU"/>
              </w:rPr>
            </w:pPr>
            <w:r w:rsidRPr="00DE5AA1">
              <w:t>60.5%</w:t>
            </w:r>
          </w:p>
        </w:tc>
        <w:tc>
          <w:tcPr>
            <w:tcW w:w="521" w:type="pct"/>
            <w:vAlign w:val="center"/>
          </w:tcPr>
          <w:p w14:paraId="6FC44223" w14:textId="77777777" w:rsidR="00D655E9" w:rsidRPr="00DE5AA1" w:rsidRDefault="00D655E9" w:rsidP="00062D07">
            <w:pPr>
              <w:pStyle w:val="TableText"/>
              <w:keepNext/>
              <w:keepLines/>
              <w:rPr>
                <w:b/>
                <w:lang w:val="en-AU"/>
              </w:rPr>
            </w:pPr>
            <w:r w:rsidRPr="00DE5AA1">
              <w:rPr>
                <w:b/>
              </w:rPr>
              <w:t>p&lt;0.05</w:t>
            </w:r>
          </w:p>
        </w:tc>
      </w:tr>
      <w:tr w:rsidR="00E41328" w:rsidRPr="006F4D53" w14:paraId="0782B69C" w14:textId="77777777" w:rsidTr="00996FC5">
        <w:tc>
          <w:tcPr>
            <w:tcW w:w="636" w:type="pct"/>
            <w:vAlign w:val="center"/>
          </w:tcPr>
          <w:p w14:paraId="069A865E" w14:textId="6BAEDC23" w:rsidR="00D655E9" w:rsidRPr="005C58E6" w:rsidRDefault="00D655E9" w:rsidP="00062D07">
            <w:pPr>
              <w:pStyle w:val="TableText"/>
              <w:keepNext/>
              <w:keepLines/>
              <w:rPr>
                <w:b/>
                <w:vertAlign w:val="superscript"/>
                <w:lang w:val="en-AU"/>
              </w:rPr>
            </w:pPr>
            <w:proofErr w:type="spellStart"/>
            <w:r w:rsidRPr="00DE5AA1">
              <w:t>Moentenich</w:t>
            </w:r>
            <w:proofErr w:type="spellEnd"/>
            <w:r w:rsidRPr="00DE5AA1">
              <w:t xml:space="preserve"> et al.</w:t>
            </w:r>
            <w:r w:rsidR="00385A2B" w:rsidRPr="00DE5AA1">
              <w:t xml:space="preserve"> (</w:t>
            </w:r>
            <w:proofErr w:type="gramStart"/>
            <w:r w:rsidRPr="00DE5AA1">
              <w:t>2020</w:t>
            </w:r>
            <w:r w:rsidR="00385A2B" w:rsidRPr="00DE5AA1">
              <w:t>)</w:t>
            </w:r>
            <w:r w:rsidR="00F75679" w:rsidRPr="00DE5AA1">
              <w:rPr>
                <w:vertAlign w:val="superscript"/>
              </w:rPr>
              <w:t>a</w:t>
            </w:r>
            <w:proofErr w:type="gramEnd"/>
          </w:p>
        </w:tc>
        <w:tc>
          <w:tcPr>
            <w:tcW w:w="777" w:type="pct"/>
            <w:vAlign w:val="center"/>
          </w:tcPr>
          <w:p w14:paraId="71217BBE" w14:textId="77777777" w:rsidR="00D655E9" w:rsidRPr="005C58E6" w:rsidRDefault="00D655E9" w:rsidP="00062D07">
            <w:pPr>
              <w:pStyle w:val="TableText"/>
              <w:keepNext/>
              <w:keepLines/>
              <w:rPr>
                <w:lang w:val="en-AU"/>
              </w:rPr>
            </w:pPr>
            <w:r w:rsidRPr="005C58E6">
              <w:t>Retrospective</w:t>
            </w:r>
          </w:p>
        </w:tc>
        <w:tc>
          <w:tcPr>
            <w:tcW w:w="865" w:type="pct"/>
            <w:vAlign w:val="center"/>
          </w:tcPr>
          <w:p w14:paraId="2C951FAF" w14:textId="77777777" w:rsidR="00D655E9" w:rsidRPr="005C58E6" w:rsidRDefault="00D655E9" w:rsidP="00062D07">
            <w:pPr>
              <w:pStyle w:val="TableText"/>
              <w:keepNext/>
              <w:keepLines/>
              <w:rPr>
                <w:lang w:val="en-AU"/>
              </w:rPr>
            </w:pPr>
            <w:r w:rsidRPr="005C58E6">
              <w:t>Germany</w:t>
            </w:r>
          </w:p>
        </w:tc>
        <w:tc>
          <w:tcPr>
            <w:tcW w:w="393" w:type="pct"/>
            <w:vAlign w:val="center"/>
          </w:tcPr>
          <w:p w14:paraId="6FED598F" w14:textId="77777777" w:rsidR="00D655E9" w:rsidRPr="005C58E6" w:rsidRDefault="00D655E9" w:rsidP="00062D07">
            <w:pPr>
              <w:pStyle w:val="TableText"/>
              <w:keepNext/>
              <w:keepLines/>
              <w:rPr>
                <w:lang w:val="en-AU"/>
              </w:rPr>
            </w:pPr>
            <w:r w:rsidRPr="005C58E6">
              <w:t>385</w:t>
            </w:r>
          </w:p>
        </w:tc>
        <w:tc>
          <w:tcPr>
            <w:tcW w:w="1178" w:type="pct"/>
            <w:vAlign w:val="center"/>
          </w:tcPr>
          <w:p w14:paraId="7F91ACBF" w14:textId="77777777" w:rsidR="00D655E9" w:rsidRPr="005C58E6" w:rsidRDefault="00D655E9" w:rsidP="00062D07">
            <w:pPr>
              <w:pStyle w:val="TableText"/>
              <w:keepNext/>
              <w:keepLines/>
              <w:rPr>
                <w:lang w:val="en-AU"/>
              </w:rPr>
            </w:pPr>
            <w:r w:rsidRPr="005C58E6">
              <w:t>Positive H-score</w:t>
            </w:r>
          </w:p>
        </w:tc>
        <w:tc>
          <w:tcPr>
            <w:tcW w:w="630" w:type="pct"/>
            <w:vAlign w:val="center"/>
          </w:tcPr>
          <w:p w14:paraId="129D0783" w14:textId="77777777" w:rsidR="00D655E9" w:rsidRPr="005C58E6" w:rsidRDefault="00D655E9" w:rsidP="00062D07">
            <w:pPr>
              <w:pStyle w:val="TableText"/>
              <w:keepNext/>
              <w:keepLines/>
              <w:rPr>
                <w:lang w:val="en-AU"/>
              </w:rPr>
            </w:pPr>
            <w:r w:rsidRPr="005C58E6">
              <w:t>18.4%</w:t>
            </w:r>
          </w:p>
        </w:tc>
        <w:tc>
          <w:tcPr>
            <w:tcW w:w="521" w:type="pct"/>
            <w:vAlign w:val="center"/>
          </w:tcPr>
          <w:p w14:paraId="2D35E443" w14:textId="7933D2DF" w:rsidR="00D655E9" w:rsidRPr="005C58E6" w:rsidRDefault="00D655E9" w:rsidP="00062D07">
            <w:pPr>
              <w:pStyle w:val="TableText"/>
              <w:keepNext/>
              <w:keepLines/>
              <w:rPr>
                <w:lang w:val="en-AU"/>
              </w:rPr>
            </w:pPr>
            <w:r w:rsidRPr="005C58E6">
              <w:t>p=0.52</w:t>
            </w:r>
          </w:p>
        </w:tc>
      </w:tr>
      <w:tr w:rsidR="00E41328" w:rsidRPr="006F4D53" w14:paraId="018ABDDA" w14:textId="77777777" w:rsidTr="00996FC5">
        <w:tc>
          <w:tcPr>
            <w:tcW w:w="636" w:type="pct"/>
            <w:vAlign w:val="center"/>
          </w:tcPr>
          <w:p w14:paraId="3CA43119" w14:textId="7479F03F" w:rsidR="00D655E9" w:rsidRPr="005C58E6" w:rsidRDefault="00D655E9" w:rsidP="00062D07">
            <w:pPr>
              <w:pStyle w:val="TableText"/>
              <w:keepNext/>
              <w:keepLines/>
              <w:rPr>
                <w:lang w:val="en-AU"/>
              </w:rPr>
            </w:pPr>
            <w:r w:rsidRPr="005C58E6">
              <w:t xml:space="preserve">Pellino et al., </w:t>
            </w:r>
            <w:r w:rsidR="00385A2B" w:rsidRPr="005C58E6">
              <w:t>(</w:t>
            </w:r>
            <w:r w:rsidRPr="005C58E6">
              <w:t>2021</w:t>
            </w:r>
            <w:r w:rsidR="00385A2B" w:rsidRPr="005C58E6">
              <w:t>)</w:t>
            </w:r>
          </w:p>
        </w:tc>
        <w:tc>
          <w:tcPr>
            <w:tcW w:w="777" w:type="pct"/>
            <w:vAlign w:val="center"/>
          </w:tcPr>
          <w:p w14:paraId="01FC6F4B" w14:textId="77777777" w:rsidR="00D655E9" w:rsidRPr="005C58E6" w:rsidRDefault="00D655E9" w:rsidP="00062D07">
            <w:pPr>
              <w:pStyle w:val="TableText"/>
              <w:keepNext/>
              <w:keepLines/>
              <w:rPr>
                <w:lang w:val="en-AU"/>
              </w:rPr>
            </w:pPr>
            <w:r w:rsidRPr="005C58E6">
              <w:t>Retrospective</w:t>
            </w:r>
          </w:p>
        </w:tc>
        <w:tc>
          <w:tcPr>
            <w:tcW w:w="865" w:type="pct"/>
            <w:vAlign w:val="center"/>
          </w:tcPr>
          <w:p w14:paraId="4C46303D" w14:textId="77777777" w:rsidR="00D655E9" w:rsidRPr="005C58E6" w:rsidRDefault="00D655E9" w:rsidP="00062D07">
            <w:pPr>
              <w:pStyle w:val="TableText"/>
              <w:keepNext/>
              <w:keepLines/>
              <w:rPr>
                <w:lang w:val="en-AU"/>
              </w:rPr>
            </w:pPr>
            <w:r w:rsidRPr="005C58E6">
              <w:t>Italy</w:t>
            </w:r>
          </w:p>
        </w:tc>
        <w:tc>
          <w:tcPr>
            <w:tcW w:w="393" w:type="pct"/>
            <w:vAlign w:val="center"/>
          </w:tcPr>
          <w:p w14:paraId="3BB58382" w14:textId="77777777" w:rsidR="00D655E9" w:rsidRPr="005C58E6" w:rsidRDefault="00D655E9" w:rsidP="00062D07">
            <w:pPr>
              <w:pStyle w:val="TableText"/>
              <w:keepNext/>
              <w:keepLines/>
              <w:rPr>
                <w:lang w:val="en-AU"/>
              </w:rPr>
            </w:pPr>
            <w:r w:rsidRPr="005C58E6">
              <w:t>350</w:t>
            </w:r>
          </w:p>
        </w:tc>
        <w:tc>
          <w:tcPr>
            <w:tcW w:w="1178" w:type="pct"/>
            <w:vAlign w:val="center"/>
          </w:tcPr>
          <w:p w14:paraId="3D82D98F" w14:textId="77777777" w:rsidR="00D655E9" w:rsidRPr="005C58E6" w:rsidRDefault="00D655E9" w:rsidP="00062D07">
            <w:pPr>
              <w:pStyle w:val="TableText"/>
              <w:keepNext/>
              <w:keepLines/>
              <w:rPr>
                <w:lang w:val="en-AU"/>
              </w:rPr>
            </w:pPr>
            <w:r w:rsidRPr="005C58E6">
              <w:t>&gt;75%</w:t>
            </w:r>
          </w:p>
        </w:tc>
        <w:tc>
          <w:tcPr>
            <w:tcW w:w="630" w:type="pct"/>
            <w:vAlign w:val="center"/>
          </w:tcPr>
          <w:p w14:paraId="5FE119CA" w14:textId="77777777" w:rsidR="00D655E9" w:rsidRPr="005C58E6" w:rsidRDefault="00D655E9" w:rsidP="00062D07">
            <w:pPr>
              <w:pStyle w:val="TableText"/>
              <w:keepNext/>
              <w:keepLines/>
              <w:rPr>
                <w:lang w:val="en-AU"/>
              </w:rPr>
            </w:pPr>
            <w:r w:rsidRPr="005C58E6">
              <w:t>33.4%</w:t>
            </w:r>
          </w:p>
        </w:tc>
        <w:tc>
          <w:tcPr>
            <w:tcW w:w="521" w:type="pct"/>
            <w:vAlign w:val="center"/>
          </w:tcPr>
          <w:p w14:paraId="59A7483A" w14:textId="0A366743" w:rsidR="00D655E9" w:rsidRPr="005C58E6" w:rsidRDefault="00D655E9" w:rsidP="00062D07">
            <w:pPr>
              <w:pStyle w:val="TableText"/>
              <w:keepNext/>
              <w:keepLines/>
              <w:rPr>
                <w:lang w:val="en-AU"/>
              </w:rPr>
            </w:pPr>
            <w:r w:rsidRPr="005C58E6">
              <w:t>p=0.9</w:t>
            </w:r>
            <w:r w:rsidR="002E34DC" w:rsidRPr="005C58E6">
              <w:t>3</w:t>
            </w:r>
          </w:p>
        </w:tc>
      </w:tr>
      <w:tr w:rsidR="00E41328" w:rsidRPr="006F4D53" w14:paraId="07EC8C8A" w14:textId="77777777" w:rsidTr="00996FC5">
        <w:tc>
          <w:tcPr>
            <w:tcW w:w="636" w:type="pct"/>
            <w:vAlign w:val="center"/>
          </w:tcPr>
          <w:p w14:paraId="42A2136F" w14:textId="715F3A17" w:rsidR="00D655E9" w:rsidRPr="005C58E6" w:rsidRDefault="00D655E9" w:rsidP="00062D07">
            <w:pPr>
              <w:pStyle w:val="TableText"/>
              <w:keepNext/>
              <w:keepLines/>
              <w:rPr>
                <w:lang w:val="en-AU"/>
              </w:rPr>
            </w:pPr>
            <w:r w:rsidRPr="005C58E6">
              <w:t xml:space="preserve">Wang et al., </w:t>
            </w:r>
            <w:r w:rsidR="00385A2B" w:rsidRPr="005C58E6">
              <w:t>(</w:t>
            </w:r>
            <w:r w:rsidRPr="005C58E6">
              <w:t>2023</w:t>
            </w:r>
            <w:r w:rsidR="00385A2B" w:rsidRPr="005C58E6">
              <w:t>)</w:t>
            </w:r>
          </w:p>
        </w:tc>
        <w:tc>
          <w:tcPr>
            <w:tcW w:w="777" w:type="pct"/>
            <w:vAlign w:val="center"/>
          </w:tcPr>
          <w:p w14:paraId="5ED06EDA" w14:textId="77777777" w:rsidR="00D655E9" w:rsidRPr="005C58E6" w:rsidRDefault="00D655E9" w:rsidP="00062D07">
            <w:pPr>
              <w:pStyle w:val="TableText"/>
              <w:keepNext/>
              <w:keepLines/>
              <w:rPr>
                <w:lang w:val="en-AU"/>
              </w:rPr>
            </w:pPr>
            <w:r w:rsidRPr="005C58E6">
              <w:t>Retrospective</w:t>
            </w:r>
          </w:p>
        </w:tc>
        <w:tc>
          <w:tcPr>
            <w:tcW w:w="865" w:type="pct"/>
            <w:vAlign w:val="center"/>
          </w:tcPr>
          <w:p w14:paraId="7D398B37" w14:textId="77777777" w:rsidR="00D655E9" w:rsidRPr="005C58E6" w:rsidRDefault="00D655E9" w:rsidP="00062D07">
            <w:pPr>
              <w:pStyle w:val="TableText"/>
              <w:keepNext/>
              <w:keepLines/>
              <w:rPr>
                <w:lang w:val="en-AU"/>
              </w:rPr>
            </w:pPr>
            <w:r w:rsidRPr="005C58E6">
              <w:t>China</w:t>
            </w:r>
          </w:p>
        </w:tc>
        <w:tc>
          <w:tcPr>
            <w:tcW w:w="393" w:type="pct"/>
            <w:vAlign w:val="center"/>
          </w:tcPr>
          <w:p w14:paraId="239EBE02" w14:textId="77777777" w:rsidR="00D655E9" w:rsidRPr="005C58E6" w:rsidRDefault="00D655E9" w:rsidP="00062D07">
            <w:pPr>
              <w:pStyle w:val="TableText"/>
              <w:keepNext/>
              <w:keepLines/>
              <w:rPr>
                <w:lang w:val="en-AU"/>
              </w:rPr>
            </w:pPr>
            <w:r w:rsidRPr="005C58E6">
              <w:t>451</w:t>
            </w:r>
          </w:p>
        </w:tc>
        <w:tc>
          <w:tcPr>
            <w:tcW w:w="1178" w:type="pct"/>
            <w:vAlign w:val="center"/>
          </w:tcPr>
          <w:p w14:paraId="1BEC247A" w14:textId="77777777" w:rsidR="00D655E9" w:rsidRPr="005C58E6" w:rsidRDefault="00D655E9" w:rsidP="00062D07">
            <w:pPr>
              <w:pStyle w:val="TableText"/>
              <w:keepNext/>
              <w:keepLines/>
              <w:rPr>
                <w:lang w:val="en-AU"/>
              </w:rPr>
            </w:pPr>
            <w:r w:rsidRPr="005C58E6">
              <w:t>Positive H-score</w:t>
            </w:r>
          </w:p>
        </w:tc>
        <w:tc>
          <w:tcPr>
            <w:tcW w:w="630" w:type="pct"/>
            <w:vAlign w:val="center"/>
          </w:tcPr>
          <w:p w14:paraId="4D401650" w14:textId="77777777" w:rsidR="00D655E9" w:rsidRPr="005C58E6" w:rsidRDefault="00D655E9" w:rsidP="00062D07">
            <w:pPr>
              <w:pStyle w:val="TableText"/>
              <w:keepNext/>
              <w:keepLines/>
              <w:rPr>
                <w:lang w:val="en-AU"/>
              </w:rPr>
            </w:pPr>
            <w:r w:rsidRPr="005C58E6">
              <w:t>54.3%</w:t>
            </w:r>
          </w:p>
        </w:tc>
        <w:tc>
          <w:tcPr>
            <w:tcW w:w="521" w:type="pct"/>
            <w:vAlign w:val="center"/>
          </w:tcPr>
          <w:p w14:paraId="2EA4EB88" w14:textId="45344F31" w:rsidR="00D655E9" w:rsidRPr="005C58E6" w:rsidRDefault="00D655E9" w:rsidP="00062D07">
            <w:pPr>
              <w:pStyle w:val="TableText"/>
              <w:keepNext/>
              <w:keepLines/>
              <w:rPr>
                <w:b/>
                <w:lang w:val="en-AU"/>
              </w:rPr>
            </w:pPr>
            <w:r w:rsidRPr="005C58E6">
              <w:rPr>
                <w:b/>
              </w:rPr>
              <w:t>p=0.0</w:t>
            </w:r>
            <w:r w:rsidR="002E34DC" w:rsidRPr="005C58E6">
              <w:rPr>
                <w:b/>
              </w:rPr>
              <w:t>3</w:t>
            </w:r>
            <w:r w:rsidRPr="005C58E6">
              <w:rPr>
                <w:b/>
                <w:vertAlign w:val="superscript"/>
              </w:rPr>
              <w:t>c</w:t>
            </w:r>
          </w:p>
        </w:tc>
      </w:tr>
      <w:tr w:rsidR="00E41328" w:rsidRPr="006F4D53" w14:paraId="3D10E270" w14:textId="77777777" w:rsidTr="00996FC5">
        <w:tc>
          <w:tcPr>
            <w:tcW w:w="636" w:type="pct"/>
            <w:vAlign w:val="center"/>
          </w:tcPr>
          <w:p w14:paraId="18D82C3A" w14:textId="18DB2C18" w:rsidR="00D655E9" w:rsidRPr="005C58E6" w:rsidRDefault="00D655E9" w:rsidP="00062D07">
            <w:pPr>
              <w:pStyle w:val="TableText"/>
              <w:keepNext/>
              <w:keepLines/>
              <w:rPr>
                <w:lang w:val="en-AU"/>
              </w:rPr>
            </w:pPr>
            <w:r w:rsidRPr="005C58E6">
              <w:t xml:space="preserve">Xu et al., </w:t>
            </w:r>
            <w:r w:rsidR="00385A2B" w:rsidRPr="005C58E6">
              <w:t>(</w:t>
            </w:r>
            <w:r w:rsidRPr="005C58E6">
              <w:t>2020</w:t>
            </w:r>
            <w:r w:rsidR="00385A2B" w:rsidRPr="005C58E6">
              <w:t>)</w:t>
            </w:r>
          </w:p>
        </w:tc>
        <w:tc>
          <w:tcPr>
            <w:tcW w:w="777" w:type="pct"/>
            <w:vAlign w:val="center"/>
          </w:tcPr>
          <w:p w14:paraId="38257959" w14:textId="77777777" w:rsidR="00D655E9" w:rsidRPr="005C58E6" w:rsidRDefault="00D655E9" w:rsidP="00062D07">
            <w:pPr>
              <w:pStyle w:val="TableText"/>
              <w:keepNext/>
              <w:keepLines/>
              <w:rPr>
                <w:lang w:val="en-AU"/>
              </w:rPr>
            </w:pPr>
            <w:r w:rsidRPr="005C58E6">
              <w:t>Retrospective</w:t>
            </w:r>
          </w:p>
        </w:tc>
        <w:tc>
          <w:tcPr>
            <w:tcW w:w="865" w:type="pct"/>
            <w:vAlign w:val="center"/>
          </w:tcPr>
          <w:p w14:paraId="10AD21BA" w14:textId="77777777" w:rsidR="00D655E9" w:rsidRPr="005C58E6" w:rsidRDefault="00D655E9" w:rsidP="00062D07">
            <w:pPr>
              <w:pStyle w:val="TableText"/>
              <w:keepNext/>
              <w:keepLines/>
              <w:rPr>
                <w:lang w:val="en-AU"/>
              </w:rPr>
            </w:pPr>
            <w:r w:rsidRPr="005C58E6">
              <w:t>China</w:t>
            </w:r>
          </w:p>
        </w:tc>
        <w:tc>
          <w:tcPr>
            <w:tcW w:w="393" w:type="pct"/>
            <w:vAlign w:val="center"/>
          </w:tcPr>
          <w:p w14:paraId="5CF3A09B" w14:textId="77777777" w:rsidR="00D655E9" w:rsidRPr="005C58E6" w:rsidRDefault="00D655E9" w:rsidP="00062D07">
            <w:pPr>
              <w:pStyle w:val="TableText"/>
              <w:keepNext/>
              <w:keepLines/>
              <w:rPr>
                <w:lang w:val="en-AU"/>
              </w:rPr>
            </w:pPr>
            <w:r w:rsidRPr="005C58E6">
              <w:t>105</w:t>
            </w:r>
          </w:p>
        </w:tc>
        <w:tc>
          <w:tcPr>
            <w:tcW w:w="1178" w:type="pct"/>
            <w:vAlign w:val="center"/>
          </w:tcPr>
          <w:p w14:paraId="09653174" w14:textId="77777777" w:rsidR="00D655E9" w:rsidRPr="005C58E6" w:rsidRDefault="00D655E9" w:rsidP="00062D07">
            <w:pPr>
              <w:pStyle w:val="TableText"/>
              <w:keepNext/>
              <w:keepLines/>
              <w:rPr>
                <w:lang w:val="en-AU"/>
              </w:rPr>
            </w:pPr>
            <w:r w:rsidRPr="005C58E6">
              <w:t>Moderate-strong &gt;40% / &gt;90% of cells</w:t>
            </w:r>
          </w:p>
        </w:tc>
        <w:tc>
          <w:tcPr>
            <w:tcW w:w="630" w:type="pct"/>
            <w:vAlign w:val="center"/>
          </w:tcPr>
          <w:p w14:paraId="0A26EC23" w14:textId="77777777" w:rsidR="00D655E9" w:rsidRPr="005C58E6" w:rsidRDefault="00D655E9" w:rsidP="00062D07">
            <w:pPr>
              <w:pStyle w:val="TableText"/>
              <w:keepNext/>
              <w:keepLines/>
              <w:rPr>
                <w:lang w:val="en-AU"/>
              </w:rPr>
            </w:pPr>
            <w:r w:rsidRPr="005C58E6">
              <w:t>64.8% / 21.0%</w:t>
            </w:r>
          </w:p>
        </w:tc>
        <w:tc>
          <w:tcPr>
            <w:tcW w:w="521" w:type="pct"/>
            <w:vAlign w:val="center"/>
          </w:tcPr>
          <w:p w14:paraId="123DA8A6" w14:textId="79EBD743" w:rsidR="00D655E9" w:rsidRPr="005C58E6" w:rsidRDefault="00D655E9" w:rsidP="00062D07">
            <w:pPr>
              <w:pStyle w:val="TableText"/>
              <w:keepNext/>
              <w:keepLines/>
              <w:rPr>
                <w:lang w:val="en-AU"/>
              </w:rPr>
            </w:pPr>
            <w:r w:rsidRPr="005C58E6">
              <w:t>p=0.1</w:t>
            </w:r>
            <w:r w:rsidR="002E34DC" w:rsidRPr="005C58E6">
              <w:t>3</w:t>
            </w:r>
            <w:r w:rsidRPr="005C58E6">
              <w:t xml:space="preserve"> /</w:t>
            </w:r>
          </w:p>
          <w:p w14:paraId="627BA90A" w14:textId="2CC7CBE7" w:rsidR="00D655E9" w:rsidRPr="005C58E6" w:rsidRDefault="00D655E9" w:rsidP="00062D07">
            <w:pPr>
              <w:pStyle w:val="TableText"/>
              <w:keepNext/>
              <w:keepLines/>
              <w:rPr>
                <w:lang w:val="en-AU"/>
              </w:rPr>
            </w:pPr>
            <w:r w:rsidRPr="005C58E6">
              <w:t>p=0.8</w:t>
            </w:r>
            <w:r w:rsidR="002E34DC" w:rsidRPr="005C58E6">
              <w:t>2</w:t>
            </w:r>
          </w:p>
        </w:tc>
      </w:tr>
      <w:tr w:rsidR="00E41328" w:rsidRPr="006F4D53" w14:paraId="295AFA4B" w14:textId="77777777" w:rsidTr="000D4FD0">
        <w:tc>
          <w:tcPr>
            <w:tcW w:w="5000" w:type="pct"/>
            <w:gridSpan w:val="7"/>
            <w:vAlign w:val="center"/>
          </w:tcPr>
          <w:p w14:paraId="39706EE4" w14:textId="052A1220" w:rsidR="00515368" w:rsidRPr="005C58E6" w:rsidRDefault="00EA3F74" w:rsidP="00062D07">
            <w:pPr>
              <w:pStyle w:val="TableText"/>
              <w:keepNext/>
              <w:keepLines/>
              <w:rPr>
                <w:b/>
                <w:lang w:val="en-AU"/>
              </w:rPr>
            </w:pPr>
            <w:r w:rsidRPr="005C58E6">
              <w:rPr>
                <w:b/>
              </w:rPr>
              <w:t>Studies included in the review by Mathias-Machado et al. (</w:t>
            </w:r>
            <w:proofErr w:type="gramStart"/>
            <w:r w:rsidRPr="005C58E6">
              <w:rPr>
                <w:b/>
              </w:rPr>
              <w:t>2024)</w:t>
            </w:r>
            <w:r w:rsidR="00081E33" w:rsidRPr="005C58E6">
              <w:rPr>
                <w:b/>
                <w:vertAlign w:val="superscript"/>
              </w:rPr>
              <w:t>d</w:t>
            </w:r>
            <w:proofErr w:type="gramEnd"/>
          </w:p>
        </w:tc>
      </w:tr>
      <w:tr w:rsidR="00E41328" w:rsidRPr="006F4D53" w14:paraId="5E285C3C" w14:textId="77777777" w:rsidTr="00996FC5">
        <w:tc>
          <w:tcPr>
            <w:tcW w:w="636" w:type="pct"/>
            <w:vAlign w:val="center"/>
          </w:tcPr>
          <w:p w14:paraId="515AC27A" w14:textId="29354067" w:rsidR="003D4F17" w:rsidRPr="005C58E6" w:rsidRDefault="003D4F17" w:rsidP="00062D07">
            <w:pPr>
              <w:pStyle w:val="TableText"/>
              <w:keepNext/>
              <w:keepLines/>
              <w:rPr>
                <w:lang w:val="en-AU"/>
              </w:rPr>
            </w:pPr>
            <w:r w:rsidRPr="005C58E6">
              <w:t xml:space="preserve">Zhu et al. </w:t>
            </w:r>
            <w:r w:rsidR="00385A2B" w:rsidRPr="005C58E6">
              <w:t>(</w:t>
            </w:r>
            <w:r w:rsidRPr="005C58E6">
              <w:t>2013</w:t>
            </w:r>
            <w:r w:rsidR="00385A2B" w:rsidRPr="005C58E6">
              <w:t>)</w:t>
            </w:r>
          </w:p>
        </w:tc>
        <w:tc>
          <w:tcPr>
            <w:tcW w:w="777" w:type="pct"/>
            <w:vAlign w:val="center"/>
          </w:tcPr>
          <w:p w14:paraId="21E3A501" w14:textId="0F34B6C9" w:rsidR="003D4F17" w:rsidRPr="005C58E6" w:rsidRDefault="003D4F17" w:rsidP="00062D07">
            <w:pPr>
              <w:pStyle w:val="TableText"/>
              <w:keepNext/>
              <w:keepLines/>
              <w:rPr>
                <w:lang w:val="en-AU"/>
              </w:rPr>
            </w:pPr>
            <w:r w:rsidRPr="005C58E6">
              <w:t>Retrospective</w:t>
            </w:r>
          </w:p>
        </w:tc>
        <w:tc>
          <w:tcPr>
            <w:tcW w:w="865" w:type="pct"/>
            <w:vAlign w:val="center"/>
          </w:tcPr>
          <w:p w14:paraId="353DD34F" w14:textId="7454F404" w:rsidR="003D4F17" w:rsidRPr="005C58E6" w:rsidRDefault="003D4F17" w:rsidP="00062D07">
            <w:pPr>
              <w:pStyle w:val="TableText"/>
              <w:keepNext/>
              <w:keepLines/>
              <w:rPr>
                <w:lang w:val="en-AU"/>
              </w:rPr>
            </w:pPr>
            <w:r w:rsidRPr="005C58E6">
              <w:t>China</w:t>
            </w:r>
          </w:p>
        </w:tc>
        <w:tc>
          <w:tcPr>
            <w:tcW w:w="393" w:type="pct"/>
            <w:vAlign w:val="center"/>
          </w:tcPr>
          <w:p w14:paraId="1FE03D2A" w14:textId="7A2223BA" w:rsidR="003D4F17" w:rsidRPr="005C58E6" w:rsidRDefault="003D4F17" w:rsidP="00062D07">
            <w:pPr>
              <w:pStyle w:val="TableText"/>
              <w:keepNext/>
              <w:keepLines/>
              <w:rPr>
                <w:lang w:val="en-AU"/>
              </w:rPr>
            </w:pPr>
            <w:r w:rsidRPr="005C58E6">
              <w:t>329</w:t>
            </w:r>
          </w:p>
        </w:tc>
        <w:tc>
          <w:tcPr>
            <w:tcW w:w="1178" w:type="pct"/>
            <w:vAlign w:val="center"/>
          </w:tcPr>
          <w:p w14:paraId="78974853" w14:textId="0AC19487" w:rsidR="003D4F17" w:rsidRPr="005C58E6" w:rsidRDefault="003D4F17" w:rsidP="00062D07">
            <w:pPr>
              <w:pStyle w:val="TableText"/>
              <w:keepNext/>
              <w:keepLines/>
              <w:rPr>
                <w:lang w:val="en-AU"/>
              </w:rPr>
            </w:pPr>
            <w:r w:rsidRPr="005C58E6">
              <w:t>Immunoreactivity score (IS &gt; 4)</w:t>
            </w:r>
          </w:p>
        </w:tc>
        <w:tc>
          <w:tcPr>
            <w:tcW w:w="630" w:type="pct"/>
            <w:vAlign w:val="center"/>
          </w:tcPr>
          <w:p w14:paraId="5EBE90B6" w14:textId="3F6BBF8E" w:rsidR="003D4F17" w:rsidRPr="005C58E6" w:rsidRDefault="003D4F17" w:rsidP="00062D07">
            <w:pPr>
              <w:pStyle w:val="TableText"/>
              <w:keepNext/>
              <w:keepLines/>
              <w:rPr>
                <w:lang w:val="en-AU"/>
              </w:rPr>
            </w:pPr>
            <w:r w:rsidRPr="005C58E6">
              <w:t>53.2%</w:t>
            </w:r>
          </w:p>
        </w:tc>
        <w:tc>
          <w:tcPr>
            <w:tcW w:w="521" w:type="pct"/>
            <w:vAlign w:val="center"/>
          </w:tcPr>
          <w:p w14:paraId="4FC279FF" w14:textId="7595A897" w:rsidR="003D4F17" w:rsidRPr="005C58E6" w:rsidRDefault="003D4F17" w:rsidP="00062D07">
            <w:pPr>
              <w:pStyle w:val="TableText"/>
              <w:keepNext/>
              <w:keepLines/>
              <w:rPr>
                <w:lang w:val="en-AU"/>
              </w:rPr>
            </w:pPr>
            <w:r w:rsidRPr="005C58E6">
              <w:t>p = 0.4</w:t>
            </w:r>
            <w:r w:rsidR="006B16FD" w:rsidRPr="005C58E6">
              <w:t>7</w:t>
            </w:r>
          </w:p>
        </w:tc>
      </w:tr>
      <w:tr w:rsidR="00E41328" w:rsidRPr="006F4D53" w14:paraId="17D0AAD7" w14:textId="77777777" w:rsidTr="00996FC5">
        <w:tc>
          <w:tcPr>
            <w:tcW w:w="636" w:type="pct"/>
            <w:vAlign w:val="center"/>
          </w:tcPr>
          <w:p w14:paraId="7D32134C" w14:textId="08AA3278" w:rsidR="003D4F17" w:rsidRPr="005C58E6" w:rsidRDefault="003D4F17" w:rsidP="00062D07">
            <w:pPr>
              <w:pStyle w:val="TableText"/>
              <w:keepNext/>
              <w:keepLines/>
              <w:rPr>
                <w:lang w:val="en-AU"/>
              </w:rPr>
            </w:pPr>
            <w:r w:rsidRPr="005C58E6">
              <w:t xml:space="preserve">Baek et al. </w:t>
            </w:r>
            <w:r w:rsidR="00385A2B" w:rsidRPr="005C58E6">
              <w:t>(</w:t>
            </w:r>
            <w:r w:rsidRPr="005C58E6">
              <w:t>2019</w:t>
            </w:r>
            <w:r w:rsidR="00385A2B" w:rsidRPr="005C58E6">
              <w:t>)</w:t>
            </w:r>
          </w:p>
        </w:tc>
        <w:tc>
          <w:tcPr>
            <w:tcW w:w="777" w:type="pct"/>
            <w:vAlign w:val="center"/>
          </w:tcPr>
          <w:p w14:paraId="051B5335" w14:textId="43659AC9" w:rsidR="003D4F17" w:rsidRPr="005C58E6" w:rsidRDefault="003D4F17" w:rsidP="00062D07">
            <w:pPr>
              <w:pStyle w:val="TableText"/>
              <w:keepNext/>
              <w:keepLines/>
              <w:rPr>
                <w:lang w:val="en-AU"/>
              </w:rPr>
            </w:pPr>
            <w:r w:rsidRPr="005C58E6">
              <w:t>Retrospective</w:t>
            </w:r>
          </w:p>
        </w:tc>
        <w:tc>
          <w:tcPr>
            <w:tcW w:w="865" w:type="pct"/>
            <w:vAlign w:val="center"/>
          </w:tcPr>
          <w:p w14:paraId="0453D0D4" w14:textId="2BEFE22B" w:rsidR="003D4F17" w:rsidRPr="005C58E6" w:rsidRDefault="003D4F17" w:rsidP="00062D07">
            <w:pPr>
              <w:pStyle w:val="TableText"/>
              <w:keepNext/>
              <w:keepLines/>
              <w:rPr>
                <w:lang w:val="en-AU"/>
              </w:rPr>
            </w:pPr>
            <w:r w:rsidRPr="005C58E6">
              <w:t>Republic of Korea</w:t>
            </w:r>
          </w:p>
        </w:tc>
        <w:tc>
          <w:tcPr>
            <w:tcW w:w="393" w:type="pct"/>
            <w:vAlign w:val="center"/>
          </w:tcPr>
          <w:p w14:paraId="1E7F0DD0" w14:textId="2CC45A99" w:rsidR="003D4F17" w:rsidRPr="005C58E6" w:rsidRDefault="003D4F17" w:rsidP="00062D07">
            <w:pPr>
              <w:pStyle w:val="TableText"/>
              <w:keepNext/>
              <w:keepLines/>
              <w:rPr>
                <w:lang w:val="en-AU"/>
              </w:rPr>
            </w:pPr>
            <w:r w:rsidRPr="005C58E6">
              <w:t>367</w:t>
            </w:r>
          </w:p>
        </w:tc>
        <w:tc>
          <w:tcPr>
            <w:tcW w:w="1178" w:type="pct"/>
            <w:vAlign w:val="center"/>
          </w:tcPr>
          <w:p w14:paraId="0B41B244" w14:textId="03D4644C" w:rsidR="003D4F17" w:rsidRPr="005C58E6" w:rsidRDefault="003D4F17" w:rsidP="00062D07">
            <w:pPr>
              <w:pStyle w:val="TableText"/>
              <w:keepNext/>
              <w:keepLines/>
              <w:rPr>
                <w:lang w:val="en-AU"/>
              </w:rPr>
            </w:pPr>
            <w:r w:rsidRPr="005C58E6">
              <w:t>&gt;50%</w:t>
            </w:r>
          </w:p>
        </w:tc>
        <w:tc>
          <w:tcPr>
            <w:tcW w:w="630" w:type="pct"/>
            <w:vAlign w:val="center"/>
          </w:tcPr>
          <w:p w14:paraId="72609C0A" w14:textId="06185A61" w:rsidR="003D4F17" w:rsidRPr="005C58E6" w:rsidRDefault="003D4F17" w:rsidP="00062D07">
            <w:pPr>
              <w:pStyle w:val="TableText"/>
              <w:keepNext/>
              <w:keepLines/>
              <w:rPr>
                <w:lang w:val="en-AU"/>
              </w:rPr>
            </w:pPr>
            <w:r w:rsidRPr="005C58E6">
              <w:t>29.4%</w:t>
            </w:r>
          </w:p>
        </w:tc>
        <w:tc>
          <w:tcPr>
            <w:tcW w:w="521" w:type="pct"/>
            <w:vAlign w:val="center"/>
          </w:tcPr>
          <w:p w14:paraId="7F4F1474" w14:textId="0971A431" w:rsidR="003D4F17" w:rsidRPr="005C58E6" w:rsidRDefault="003D4F17" w:rsidP="00062D07">
            <w:pPr>
              <w:pStyle w:val="TableText"/>
              <w:keepNext/>
              <w:keepLines/>
              <w:rPr>
                <w:lang w:val="en-AU"/>
              </w:rPr>
            </w:pPr>
            <w:r w:rsidRPr="005C58E6">
              <w:t>p = 0.91</w:t>
            </w:r>
          </w:p>
        </w:tc>
      </w:tr>
      <w:tr w:rsidR="00E41328" w:rsidRPr="006F4D53" w14:paraId="20891DA6" w14:textId="77777777" w:rsidTr="00996FC5">
        <w:tc>
          <w:tcPr>
            <w:tcW w:w="636" w:type="pct"/>
            <w:vAlign w:val="center"/>
          </w:tcPr>
          <w:p w14:paraId="4901CA15" w14:textId="306761CA" w:rsidR="003D4F17" w:rsidRPr="005C58E6" w:rsidRDefault="003D4F17" w:rsidP="00062D07">
            <w:pPr>
              <w:pStyle w:val="TableText"/>
              <w:keepNext/>
              <w:keepLines/>
              <w:rPr>
                <w:lang w:val="en-AU"/>
              </w:rPr>
            </w:pPr>
            <w:r w:rsidRPr="005C58E6">
              <w:t xml:space="preserve">Kubota et al. </w:t>
            </w:r>
            <w:r w:rsidR="00385A2B" w:rsidRPr="005C58E6">
              <w:t>(</w:t>
            </w:r>
            <w:r w:rsidRPr="005C58E6">
              <w:t>2023</w:t>
            </w:r>
            <w:r w:rsidR="00385A2B" w:rsidRPr="005C58E6">
              <w:t>)</w:t>
            </w:r>
          </w:p>
        </w:tc>
        <w:tc>
          <w:tcPr>
            <w:tcW w:w="777" w:type="pct"/>
            <w:vAlign w:val="center"/>
          </w:tcPr>
          <w:p w14:paraId="64B2698F" w14:textId="7BE1978B" w:rsidR="003D4F17" w:rsidRPr="005C58E6" w:rsidRDefault="003D4F17" w:rsidP="00062D07">
            <w:pPr>
              <w:pStyle w:val="TableText"/>
              <w:keepNext/>
              <w:keepLines/>
              <w:rPr>
                <w:lang w:val="en-AU"/>
              </w:rPr>
            </w:pPr>
            <w:r w:rsidRPr="005C58E6">
              <w:t>Retrospective</w:t>
            </w:r>
          </w:p>
        </w:tc>
        <w:tc>
          <w:tcPr>
            <w:tcW w:w="865" w:type="pct"/>
            <w:vAlign w:val="center"/>
          </w:tcPr>
          <w:p w14:paraId="2B887C4D" w14:textId="187FAAFB" w:rsidR="003D4F17" w:rsidRPr="005C58E6" w:rsidRDefault="003D4F17" w:rsidP="00062D07">
            <w:pPr>
              <w:pStyle w:val="TableText"/>
              <w:keepNext/>
              <w:keepLines/>
              <w:rPr>
                <w:lang w:val="en-AU"/>
              </w:rPr>
            </w:pPr>
            <w:r w:rsidRPr="005C58E6">
              <w:t>Japan</w:t>
            </w:r>
          </w:p>
        </w:tc>
        <w:tc>
          <w:tcPr>
            <w:tcW w:w="393" w:type="pct"/>
            <w:vAlign w:val="center"/>
          </w:tcPr>
          <w:p w14:paraId="2E155849" w14:textId="74CF1FD8" w:rsidR="003D4F17" w:rsidRPr="005C58E6" w:rsidRDefault="003D4F17" w:rsidP="00062D07">
            <w:pPr>
              <w:pStyle w:val="TableText"/>
              <w:keepNext/>
              <w:keepLines/>
              <w:rPr>
                <w:lang w:val="en-AU"/>
              </w:rPr>
            </w:pPr>
            <w:r w:rsidRPr="005C58E6">
              <w:t>408</w:t>
            </w:r>
          </w:p>
        </w:tc>
        <w:tc>
          <w:tcPr>
            <w:tcW w:w="1178" w:type="pct"/>
            <w:vAlign w:val="center"/>
          </w:tcPr>
          <w:p w14:paraId="03E8B8D9" w14:textId="4905984E" w:rsidR="003D4F17" w:rsidRPr="005C58E6" w:rsidRDefault="003D4F17" w:rsidP="00062D07">
            <w:pPr>
              <w:pStyle w:val="TableText"/>
              <w:keepNext/>
              <w:keepLines/>
              <w:rPr>
                <w:lang w:val="en-AU"/>
              </w:rPr>
            </w:pPr>
            <w:r w:rsidRPr="005C58E6">
              <w:t>&gt;75%</w:t>
            </w:r>
          </w:p>
        </w:tc>
        <w:tc>
          <w:tcPr>
            <w:tcW w:w="630" w:type="pct"/>
            <w:vAlign w:val="center"/>
          </w:tcPr>
          <w:p w14:paraId="12080585" w14:textId="76B0C578" w:rsidR="003D4F17" w:rsidRPr="005C58E6" w:rsidRDefault="003D4F17" w:rsidP="00062D07">
            <w:pPr>
              <w:pStyle w:val="TableText"/>
              <w:keepNext/>
              <w:keepLines/>
              <w:rPr>
                <w:lang w:val="en-AU"/>
              </w:rPr>
            </w:pPr>
            <w:r w:rsidRPr="005C58E6">
              <w:t>24%</w:t>
            </w:r>
          </w:p>
        </w:tc>
        <w:tc>
          <w:tcPr>
            <w:tcW w:w="521" w:type="pct"/>
            <w:vAlign w:val="center"/>
          </w:tcPr>
          <w:p w14:paraId="58C88AFE" w14:textId="67B49EAD" w:rsidR="003D4F17" w:rsidRPr="005C58E6" w:rsidRDefault="003D4F17" w:rsidP="00062D07">
            <w:pPr>
              <w:pStyle w:val="TableText"/>
              <w:keepNext/>
              <w:keepLines/>
              <w:rPr>
                <w:lang w:val="en-AU"/>
              </w:rPr>
            </w:pPr>
            <w:r w:rsidRPr="005C58E6">
              <w:t>p = 0.19</w:t>
            </w:r>
          </w:p>
        </w:tc>
      </w:tr>
      <w:tr w:rsidR="00E41328" w:rsidRPr="006F4D53" w14:paraId="110FDE1B" w14:textId="77777777" w:rsidTr="00996FC5">
        <w:tc>
          <w:tcPr>
            <w:tcW w:w="636" w:type="pct"/>
            <w:vAlign w:val="center"/>
          </w:tcPr>
          <w:p w14:paraId="335865C8" w14:textId="65006C13" w:rsidR="003D4F17" w:rsidRPr="005C58E6" w:rsidRDefault="003D4F17" w:rsidP="00062D07">
            <w:pPr>
              <w:pStyle w:val="TableText"/>
              <w:keepNext/>
              <w:keepLines/>
              <w:rPr>
                <w:lang w:val="en-AU"/>
              </w:rPr>
            </w:pPr>
            <w:r w:rsidRPr="005C58E6">
              <w:t xml:space="preserve">Resnick et al. </w:t>
            </w:r>
            <w:r w:rsidR="00385A2B" w:rsidRPr="005C58E6">
              <w:t>(</w:t>
            </w:r>
            <w:r w:rsidRPr="005C58E6">
              <w:t>2005</w:t>
            </w:r>
            <w:r w:rsidR="00385A2B" w:rsidRPr="005C58E6">
              <w:t>)</w:t>
            </w:r>
          </w:p>
        </w:tc>
        <w:tc>
          <w:tcPr>
            <w:tcW w:w="777" w:type="pct"/>
            <w:vAlign w:val="center"/>
          </w:tcPr>
          <w:p w14:paraId="61458764" w14:textId="778EB737" w:rsidR="003D4F17" w:rsidRPr="005C58E6" w:rsidRDefault="003D4F17" w:rsidP="00062D07">
            <w:pPr>
              <w:pStyle w:val="TableText"/>
              <w:keepNext/>
              <w:keepLines/>
              <w:rPr>
                <w:lang w:val="en-AU"/>
              </w:rPr>
            </w:pPr>
            <w:r w:rsidRPr="005C58E6">
              <w:t>Retrospective</w:t>
            </w:r>
          </w:p>
        </w:tc>
        <w:tc>
          <w:tcPr>
            <w:tcW w:w="865" w:type="pct"/>
            <w:vAlign w:val="center"/>
          </w:tcPr>
          <w:p w14:paraId="4367EA15" w14:textId="4C835FD4" w:rsidR="003D4F17" w:rsidRPr="005C58E6" w:rsidRDefault="003D4F17" w:rsidP="00062D07">
            <w:pPr>
              <w:pStyle w:val="TableText"/>
              <w:keepNext/>
              <w:keepLines/>
              <w:rPr>
                <w:lang w:val="en-AU"/>
              </w:rPr>
            </w:pPr>
            <w:r w:rsidRPr="005C58E6">
              <w:t>U</w:t>
            </w:r>
            <w:r w:rsidR="006B16FD" w:rsidRPr="005C58E6">
              <w:t>nited States</w:t>
            </w:r>
          </w:p>
        </w:tc>
        <w:tc>
          <w:tcPr>
            <w:tcW w:w="393" w:type="pct"/>
            <w:vAlign w:val="center"/>
          </w:tcPr>
          <w:p w14:paraId="048C10E8" w14:textId="5BA14EFE" w:rsidR="003D4F17" w:rsidRPr="005C58E6" w:rsidRDefault="003D4F17" w:rsidP="00062D07">
            <w:pPr>
              <w:pStyle w:val="TableText"/>
              <w:keepNext/>
              <w:keepLines/>
              <w:rPr>
                <w:lang w:val="en-AU"/>
              </w:rPr>
            </w:pPr>
            <w:r w:rsidRPr="005C58E6">
              <w:t>146</w:t>
            </w:r>
          </w:p>
        </w:tc>
        <w:tc>
          <w:tcPr>
            <w:tcW w:w="1178" w:type="pct"/>
            <w:vAlign w:val="center"/>
          </w:tcPr>
          <w:p w14:paraId="0C714FA1" w14:textId="5660541E" w:rsidR="003D4F17" w:rsidRPr="005C58E6" w:rsidRDefault="003D4F17" w:rsidP="00062D07">
            <w:pPr>
              <w:pStyle w:val="TableText"/>
              <w:keepNext/>
              <w:keepLines/>
              <w:rPr>
                <w:lang w:val="en-AU"/>
              </w:rPr>
            </w:pPr>
            <w:r w:rsidRPr="005C58E6">
              <w:t>&gt;2+</w:t>
            </w:r>
          </w:p>
        </w:tc>
        <w:tc>
          <w:tcPr>
            <w:tcW w:w="630" w:type="pct"/>
            <w:vAlign w:val="center"/>
          </w:tcPr>
          <w:p w14:paraId="72088191" w14:textId="4887E7AD" w:rsidR="003D4F17" w:rsidRPr="005C58E6" w:rsidRDefault="003D4F17" w:rsidP="00062D07">
            <w:pPr>
              <w:pStyle w:val="TableText"/>
              <w:keepNext/>
              <w:keepLines/>
              <w:rPr>
                <w:lang w:val="en-AU"/>
              </w:rPr>
            </w:pPr>
            <w:r w:rsidRPr="005C58E6">
              <w:t>-</w:t>
            </w:r>
          </w:p>
        </w:tc>
        <w:tc>
          <w:tcPr>
            <w:tcW w:w="521" w:type="pct"/>
            <w:vAlign w:val="center"/>
          </w:tcPr>
          <w:p w14:paraId="4B5F8CB7" w14:textId="173E061D" w:rsidR="003D4F17" w:rsidRPr="005C58E6" w:rsidRDefault="003D4F17" w:rsidP="00062D07">
            <w:pPr>
              <w:pStyle w:val="TableText"/>
              <w:keepNext/>
              <w:keepLines/>
              <w:rPr>
                <w:b/>
                <w:lang w:val="en-AU"/>
              </w:rPr>
            </w:pPr>
            <w:r w:rsidRPr="005C58E6">
              <w:rPr>
                <w:b/>
              </w:rPr>
              <w:t>p = 0.0</w:t>
            </w:r>
            <w:r w:rsidR="006B16FD" w:rsidRPr="005C58E6">
              <w:rPr>
                <w:b/>
              </w:rPr>
              <w:t>1</w:t>
            </w:r>
          </w:p>
        </w:tc>
      </w:tr>
      <w:tr w:rsidR="00E41328" w:rsidRPr="006F4D53" w14:paraId="73989DB0" w14:textId="77777777" w:rsidTr="00996FC5">
        <w:tc>
          <w:tcPr>
            <w:tcW w:w="636" w:type="pct"/>
            <w:vAlign w:val="center"/>
          </w:tcPr>
          <w:p w14:paraId="1DED0792" w14:textId="77373AC9" w:rsidR="003D4F17" w:rsidRPr="005C58E6" w:rsidRDefault="003D4F17" w:rsidP="00062D07">
            <w:pPr>
              <w:pStyle w:val="TableText"/>
              <w:keepNext/>
              <w:keepLines/>
              <w:rPr>
                <w:lang w:val="en-AU"/>
              </w:rPr>
            </w:pPr>
            <w:r w:rsidRPr="005C58E6">
              <w:t xml:space="preserve">Jung et al. </w:t>
            </w:r>
            <w:r w:rsidR="00385A2B" w:rsidRPr="005C58E6">
              <w:t>(</w:t>
            </w:r>
            <w:r w:rsidRPr="005C58E6">
              <w:t>2011</w:t>
            </w:r>
            <w:r w:rsidR="00385A2B" w:rsidRPr="005C58E6">
              <w:t>)</w:t>
            </w:r>
          </w:p>
        </w:tc>
        <w:tc>
          <w:tcPr>
            <w:tcW w:w="777" w:type="pct"/>
            <w:vAlign w:val="center"/>
          </w:tcPr>
          <w:p w14:paraId="29482091" w14:textId="1294F0E6" w:rsidR="003D4F17" w:rsidRPr="005C58E6" w:rsidRDefault="003D4F17" w:rsidP="00062D07">
            <w:pPr>
              <w:pStyle w:val="TableText"/>
              <w:keepNext/>
              <w:keepLines/>
              <w:rPr>
                <w:lang w:val="en-AU"/>
              </w:rPr>
            </w:pPr>
            <w:r w:rsidRPr="005C58E6">
              <w:t>Retrospective</w:t>
            </w:r>
          </w:p>
        </w:tc>
        <w:tc>
          <w:tcPr>
            <w:tcW w:w="865" w:type="pct"/>
            <w:vAlign w:val="center"/>
          </w:tcPr>
          <w:p w14:paraId="4F161AD0" w14:textId="76EA63DE" w:rsidR="003D4F17" w:rsidRPr="005C58E6" w:rsidRDefault="003D4F17" w:rsidP="00062D07">
            <w:pPr>
              <w:pStyle w:val="TableText"/>
              <w:keepNext/>
              <w:keepLines/>
              <w:rPr>
                <w:lang w:val="en-AU"/>
              </w:rPr>
            </w:pPr>
            <w:r w:rsidRPr="005C58E6">
              <w:t>Republic of Korea</w:t>
            </w:r>
          </w:p>
        </w:tc>
        <w:tc>
          <w:tcPr>
            <w:tcW w:w="393" w:type="pct"/>
            <w:vAlign w:val="center"/>
          </w:tcPr>
          <w:p w14:paraId="1E0F89FC" w14:textId="19064452" w:rsidR="003D4F17" w:rsidRPr="005C58E6" w:rsidRDefault="003D4F17" w:rsidP="00062D07">
            <w:pPr>
              <w:pStyle w:val="TableText"/>
              <w:keepNext/>
              <w:keepLines/>
              <w:rPr>
                <w:lang w:val="en-AU"/>
              </w:rPr>
            </w:pPr>
            <w:r w:rsidRPr="005C58E6">
              <w:t>72</w:t>
            </w:r>
          </w:p>
        </w:tc>
        <w:tc>
          <w:tcPr>
            <w:tcW w:w="1178" w:type="pct"/>
            <w:vAlign w:val="center"/>
          </w:tcPr>
          <w:p w14:paraId="552D5C04" w14:textId="2077BD41" w:rsidR="003D4F17" w:rsidRPr="005C58E6" w:rsidRDefault="003D4F17" w:rsidP="00062D07">
            <w:pPr>
              <w:pStyle w:val="TableText"/>
              <w:keepNext/>
              <w:keepLines/>
              <w:rPr>
                <w:lang w:val="en-AU"/>
              </w:rPr>
            </w:pPr>
            <w:r w:rsidRPr="005C58E6">
              <w:t>&gt;25%</w:t>
            </w:r>
          </w:p>
        </w:tc>
        <w:tc>
          <w:tcPr>
            <w:tcW w:w="630" w:type="pct"/>
            <w:vAlign w:val="center"/>
          </w:tcPr>
          <w:p w14:paraId="482FECA1" w14:textId="3150533B" w:rsidR="003D4F17" w:rsidRPr="005C58E6" w:rsidRDefault="003D4F17" w:rsidP="00062D07">
            <w:pPr>
              <w:pStyle w:val="TableText"/>
              <w:keepNext/>
              <w:keepLines/>
              <w:rPr>
                <w:lang w:val="en-AU"/>
              </w:rPr>
            </w:pPr>
            <w:r w:rsidRPr="005C58E6">
              <w:t>44.4</w:t>
            </w:r>
            <w:r w:rsidR="003270E9" w:rsidRPr="005C58E6">
              <w:t>-</w:t>
            </w:r>
            <w:r w:rsidRPr="005C58E6">
              <w:t>73.6%</w:t>
            </w:r>
          </w:p>
        </w:tc>
        <w:tc>
          <w:tcPr>
            <w:tcW w:w="521" w:type="pct"/>
            <w:vAlign w:val="center"/>
          </w:tcPr>
          <w:p w14:paraId="7195BAE5" w14:textId="7A464E5D" w:rsidR="003D4F17" w:rsidRPr="005C58E6" w:rsidRDefault="003D4F17" w:rsidP="00062D07">
            <w:pPr>
              <w:pStyle w:val="TableText"/>
              <w:keepNext/>
              <w:keepLines/>
              <w:rPr>
                <w:b/>
                <w:lang w:val="en-AU"/>
              </w:rPr>
            </w:pPr>
            <w:r w:rsidRPr="005C58E6">
              <w:rPr>
                <w:b/>
              </w:rPr>
              <w:t>p = 0.0</w:t>
            </w:r>
            <w:r w:rsidR="006B16FD" w:rsidRPr="005C58E6">
              <w:rPr>
                <w:b/>
              </w:rPr>
              <w:t>5</w:t>
            </w:r>
          </w:p>
        </w:tc>
      </w:tr>
      <w:tr w:rsidR="00E41328" w:rsidRPr="006F4D53" w14:paraId="7CEDA275" w14:textId="77777777" w:rsidTr="00996FC5">
        <w:tc>
          <w:tcPr>
            <w:tcW w:w="636" w:type="pct"/>
            <w:vAlign w:val="center"/>
          </w:tcPr>
          <w:p w14:paraId="7F6FF43B" w14:textId="0B3E03B0" w:rsidR="003D4F17" w:rsidRPr="005C58E6" w:rsidRDefault="003D4F17" w:rsidP="00062D07">
            <w:pPr>
              <w:pStyle w:val="TableText"/>
              <w:keepNext/>
              <w:keepLines/>
              <w:rPr>
                <w:lang w:val="en-AU"/>
              </w:rPr>
            </w:pPr>
            <w:r w:rsidRPr="005C58E6">
              <w:t xml:space="preserve">Jun et al. </w:t>
            </w:r>
            <w:r w:rsidR="00385A2B" w:rsidRPr="005C58E6">
              <w:t>(</w:t>
            </w:r>
            <w:r w:rsidRPr="005C58E6">
              <w:t>2014</w:t>
            </w:r>
            <w:r w:rsidR="00385A2B" w:rsidRPr="005C58E6">
              <w:t>)</w:t>
            </w:r>
          </w:p>
        </w:tc>
        <w:tc>
          <w:tcPr>
            <w:tcW w:w="777" w:type="pct"/>
            <w:vAlign w:val="center"/>
          </w:tcPr>
          <w:p w14:paraId="04F9677C" w14:textId="1964FE41" w:rsidR="003D4F17" w:rsidRPr="005C58E6" w:rsidRDefault="003D4F17" w:rsidP="00062D07">
            <w:pPr>
              <w:pStyle w:val="TableText"/>
              <w:keepNext/>
              <w:keepLines/>
              <w:rPr>
                <w:lang w:val="en-AU"/>
              </w:rPr>
            </w:pPr>
            <w:r w:rsidRPr="005C58E6">
              <w:t>Retrospective</w:t>
            </w:r>
          </w:p>
        </w:tc>
        <w:tc>
          <w:tcPr>
            <w:tcW w:w="865" w:type="pct"/>
            <w:vAlign w:val="center"/>
          </w:tcPr>
          <w:p w14:paraId="6F03B0D3" w14:textId="527AD1FD" w:rsidR="003D4F17" w:rsidRPr="005C58E6" w:rsidRDefault="003D4F17" w:rsidP="00062D07">
            <w:pPr>
              <w:pStyle w:val="TableText"/>
              <w:keepNext/>
              <w:keepLines/>
              <w:rPr>
                <w:lang w:val="en-AU"/>
              </w:rPr>
            </w:pPr>
            <w:r w:rsidRPr="005C58E6">
              <w:t>Republic of Korea</w:t>
            </w:r>
          </w:p>
        </w:tc>
        <w:tc>
          <w:tcPr>
            <w:tcW w:w="393" w:type="pct"/>
            <w:vAlign w:val="center"/>
          </w:tcPr>
          <w:p w14:paraId="7BA37201" w14:textId="4CD6B099" w:rsidR="003D4F17" w:rsidRPr="005C58E6" w:rsidRDefault="003D4F17" w:rsidP="00062D07">
            <w:pPr>
              <w:pStyle w:val="TableText"/>
              <w:keepNext/>
              <w:keepLines/>
              <w:rPr>
                <w:lang w:val="en-AU"/>
              </w:rPr>
            </w:pPr>
            <w:r w:rsidRPr="005C58E6">
              <w:t>134</w:t>
            </w:r>
          </w:p>
        </w:tc>
        <w:tc>
          <w:tcPr>
            <w:tcW w:w="1178" w:type="pct"/>
            <w:vAlign w:val="center"/>
          </w:tcPr>
          <w:p w14:paraId="48598B2C" w14:textId="6341C7AE" w:rsidR="003D4F17" w:rsidRPr="005C58E6" w:rsidRDefault="003D4F17" w:rsidP="00062D07">
            <w:pPr>
              <w:pStyle w:val="TableText"/>
              <w:keepNext/>
              <w:keepLines/>
              <w:rPr>
                <w:lang w:val="en-AU"/>
              </w:rPr>
            </w:pPr>
            <w:r w:rsidRPr="005C58E6">
              <w:t>&gt;10%</w:t>
            </w:r>
          </w:p>
        </w:tc>
        <w:tc>
          <w:tcPr>
            <w:tcW w:w="630" w:type="pct"/>
            <w:vAlign w:val="center"/>
          </w:tcPr>
          <w:p w14:paraId="2E3CE5BC" w14:textId="24FD9A64" w:rsidR="003D4F17" w:rsidRPr="005C58E6" w:rsidRDefault="003D4F17" w:rsidP="00062D07">
            <w:pPr>
              <w:pStyle w:val="TableText"/>
              <w:keepNext/>
              <w:keepLines/>
              <w:rPr>
                <w:lang w:val="en-AU"/>
              </w:rPr>
            </w:pPr>
            <w:r w:rsidRPr="005C58E6">
              <w:t>25.5</w:t>
            </w:r>
            <w:r w:rsidR="003270E9" w:rsidRPr="005C58E6">
              <w:t>-</w:t>
            </w:r>
            <w:r w:rsidRPr="005C58E6">
              <w:t>29.9%</w:t>
            </w:r>
          </w:p>
        </w:tc>
        <w:tc>
          <w:tcPr>
            <w:tcW w:w="521" w:type="pct"/>
            <w:vAlign w:val="center"/>
          </w:tcPr>
          <w:p w14:paraId="71463376" w14:textId="092024E5" w:rsidR="003D4F17" w:rsidRPr="005C58E6" w:rsidRDefault="003D4F17" w:rsidP="00062D07">
            <w:pPr>
              <w:pStyle w:val="TableText"/>
              <w:keepNext/>
              <w:keepLines/>
              <w:rPr>
                <w:b/>
                <w:lang w:val="en-AU"/>
              </w:rPr>
            </w:pPr>
            <w:r w:rsidRPr="005C58E6">
              <w:rPr>
                <w:b/>
              </w:rPr>
              <w:t>p = 0.0</w:t>
            </w:r>
            <w:r w:rsidR="006B16FD" w:rsidRPr="005C58E6">
              <w:rPr>
                <w:b/>
              </w:rPr>
              <w:t>1</w:t>
            </w:r>
          </w:p>
        </w:tc>
      </w:tr>
      <w:tr w:rsidR="00E41328" w:rsidRPr="006F4D53" w14:paraId="679FF77F" w14:textId="77777777" w:rsidTr="00996FC5">
        <w:tc>
          <w:tcPr>
            <w:tcW w:w="636" w:type="pct"/>
            <w:vAlign w:val="center"/>
          </w:tcPr>
          <w:p w14:paraId="534D69C9" w14:textId="3A9420EA" w:rsidR="003D4F17" w:rsidRPr="005C58E6" w:rsidRDefault="003D4F17" w:rsidP="00062D07">
            <w:pPr>
              <w:pStyle w:val="TableText"/>
              <w:keepNext/>
              <w:keepLines/>
              <w:rPr>
                <w:lang w:val="en-AU"/>
              </w:rPr>
            </w:pPr>
            <w:proofErr w:type="spellStart"/>
            <w:r w:rsidRPr="005C58E6">
              <w:t>Kohmoto</w:t>
            </w:r>
            <w:proofErr w:type="spellEnd"/>
            <w:r w:rsidRPr="005C58E6">
              <w:t xml:space="preserve"> et al.</w:t>
            </w:r>
            <w:r w:rsidR="00385A2B" w:rsidRPr="005C58E6">
              <w:t xml:space="preserve"> (</w:t>
            </w:r>
            <w:r w:rsidRPr="005C58E6">
              <w:t>2020</w:t>
            </w:r>
            <w:r w:rsidR="00385A2B" w:rsidRPr="005C58E6">
              <w:t>)</w:t>
            </w:r>
          </w:p>
        </w:tc>
        <w:tc>
          <w:tcPr>
            <w:tcW w:w="777" w:type="pct"/>
            <w:vAlign w:val="center"/>
          </w:tcPr>
          <w:p w14:paraId="5BE02D38" w14:textId="7BA3D0AE" w:rsidR="003D4F17" w:rsidRPr="005C58E6" w:rsidRDefault="003D4F17" w:rsidP="00062D07">
            <w:pPr>
              <w:pStyle w:val="TableText"/>
              <w:keepNext/>
              <w:keepLines/>
              <w:rPr>
                <w:lang w:val="en-AU"/>
              </w:rPr>
            </w:pPr>
            <w:r w:rsidRPr="005C58E6">
              <w:t>Retrospective</w:t>
            </w:r>
          </w:p>
        </w:tc>
        <w:tc>
          <w:tcPr>
            <w:tcW w:w="865" w:type="pct"/>
            <w:vAlign w:val="center"/>
          </w:tcPr>
          <w:p w14:paraId="42339815" w14:textId="56899E78" w:rsidR="003D4F17" w:rsidRPr="005C58E6" w:rsidRDefault="003D4F17" w:rsidP="00062D07">
            <w:pPr>
              <w:pStyle w:val="TableText"/>
              <w:keepNext/>
              <w:keepLines/>
              <w:rPr>
                <w:lang w:val="en-AU"/>
              </w:rPr>
            </w:pPr>
            <w:r w:rsidRPr="005C58E6">
              <w:t>Japan</w:t>
            </w:r>
          </w:p>
        </w:tc>
        <w:tc>
          <w:tcPr>
            <w:tcW w:w="393" w:type="pct"/>
            <w:vAlign w:val="center"/>
          </w:tcPr>
          <w:p w14:paraId="505E3632" w14:textId="789133C9" w:rsidR="003D4F17" w:rsidRPr="005C58E6" w:rsidRDefault="003D4F17" w:rsidP="00062D07">
            <w:pPr>
              <w:pStyle w:val="TableText"/>
              <w:keepNext/>
              <w:keepLines/>
              <w:rPr>
                <w:lang w:val="en-AU"/>
              </w:rPr>
            </w:pPr>
            <w:r w:rsidRPr="005C58E6">
              <w:t>394</w:t>
            </w:r>
          </w:p>
        </w:tc>
        <w:tc>
          <w:tcPr>
            <w:tcW w:w="1178" w:type="pct"/>
            <w:vAlign w:val="center"/>
          </w:tcPr>
          <w:p w14:paraId="4951EA77" w14:textId="757CB02F" w:rsidR="003D4F17" w:rsidRPr="005C58E6" w:rsidRDefault="003D4F17" w:rsidP="00062D07">
            <w:pPr>
              <w:pStyle w:val="TableText"/>
              <w:keepNext/>
              <w:keepLines/>
              <w:rPr>
                <w:lang w:val="en-AU"/>
              </w:rPr>
            </w:pPr>
            <w:r w:rsidRPr="005C58E6">
              <w:t>High mRNA expression</w:t>
            </w:r>
          </w:p>
        </w:tc>
        <w:tc>
          <w:tcPr>
            <w:tcW w:w="630" w:type="pct"/>
            <w:vAlign w:val="center"/>
          </w:tcPr>
          <w:p w14:paraId="669CA9F3" w14:textId="4B7FF92E" w:rsidR="003D4F17" w:rsidRPr="005C58E6" w:rsidRDefault="003D4F17" w:rsidP="00062D07">
            <w:pPr>
              <w:pStyle w:val="TableText"/>
              <w:keepNext/>
              <w:keepLines/>
              <w:rPr>
                <w:lang w:val="en-AU"/>
              </w:rPr>
            </w:pPr>
            <w:r w:rsidRPr="005C58E6">
              <w:t>18%</w:t>
            </w:r>
          </w:p>
        </w:tc>
        <w:tc>
          <w:tcPr>
            <w:tcW w:w="521" w:type="pct"/>
            <w:vAlign w:val="center"/>
          </w:tcPr>
          <w:p w14:paraId="2330BD80" w14:textId="417D562F" w:rsidR="003D4F17" w:rsidRPr="005C58E6" w:rsidRDefault="003D4F17" w:rsidP="00062D07">
            <w:pPr>
              <w:pStyle w:val="TableText"/>
              <w:keepNext/>
              <w:keepLines/>
              <w:rPr>
                <w:b/>
                <w:lang w:val="en-AU"/>
              </w:rPr>
            </w:pPr>
            <w:r w:rsidRPr="005C58E6">
              <w:rPr>
                <w:b/>
              </w:rPr>
              <w:t>p = 0.001</w:t>
            </w:r>
          </w:p>
        </w:tc>
      </w:tr>
      <w:tr w:rsidR="00E41328" w:rsidRPr="006F4D53" w14:paraId="3D73F5C3" w14:textId="77777777" w:rsidTr="000D4FD0">
        <w:tc>
          <w:tcPr>
            <w:tcW w:w="5000" w:type="pct"/>
            <w:gridSpan w:val="7"/>
            <w:vAlign w:val="center"/>
          </w:tcPr>
          <w:p w14:paraId="052A2902" w14:textId="1F33F36E" w:rsidR="008730A1" w:rsidRPr="005C58E6" w:rsidRDefault="008730A1" w:rsidP="00062D07">
            <w:pPr>
              <w:pStyle w:val="TableText"/>
              <w:keepNext/>
              <w:keepLines/>
              <w:rPr>
                <w:b/>
                <w:lang w:val="en-AU"/>
              </w:rPr>
            </w:pPr>
            <w:r w:rsidRPr="005C58E6">
              <w:rPr>
                <w:b/>
              </w:rPr>
              <w:t>Studies identified in additional literature search</w:t>
            </w:r>
          </w:p>
        </w:tc>
      </w:tr>
      <w:tr w:rsidR="00E41328" w:rsidRPr="006F4D53" w14:paraId="59C87859" w14:textId="77777777" w:rsidTr="00996FC5">
        <w:trPr>
          <w:trHeight w:val="259"/>
        </w:trPr>
        <w:tc>
          <w:tcPr>
            <w:tcW w:w="636" w:type="pct"/>
            <w:vAlign w:val="center"/>
          </w:tcPr>
          <w:p w14:paraId="6C27D8AE" w14:textId="4450C27F" w:rsidR="005B2696" w:rsidRPr="005C58E6" w:rsidRDefault="005B2696" w:rsidP="00062D07">
            <w:pPr>
              <w:pStyle w:val="TableText"/>
              <w:keepNext/>
              <w:keepLines/>
              <w:rPr>
                <w:lang w:val="en-AU"/>
              </w:rPr>
            </w:pPr>
            <w:r w:rsidRPr="005C58E6">
              <w:t xml:space="preserve">Waters et al. </w:t>
            </w:r>
            <w:r w:rsidR="00385A2B" w:rsidRPr="005C58E6">
              <w:t>(</w:t>
            </w:r>
            <w:r w:rsidRPr="005C58E6">
              <w:t>2024</w:t>
            </w:r>
            <w:r w:rsidR="00385A2B" w:rsidRPr="005C58E6">
              <w:t>)</w:t>
            </w:r>
          </w:p>
        </w:tc>
        <w:tc>
          <w:tcPr>
            <w:tcW w:w="777" w:type="pct"/>
            <w:vAlign w:val="center"/>
          </w:tcPr>
          <w:p w14:paraId="4FB07502" w14:textId="37EE389F" w:rsidR="005B2696" w:rsidRPr="005C58E6" w:rsidRDefault="005B2696" w:rsidP="00062D07">
            <w:pPr>
              <w:pStyle w:val="TableText"/>
              <w:keepNext/>
              <w:keepLines/>
              <w:rPr>
                <w:lang w:val="en-AU"/>
              </w:rPr>
            </w:pPr>
            <w:r w:rsidRPr="005C58E6">
              <w:t>Retrospective</w:t>
            </w:r>
          </w:p>
        </w:tc>
        <w:tc>
          <w:tcPr>
            <w:tcW w:w="865" w:type="pct"/>
            <w:vAlign w:val="center"/>
          </w:tcPr>
          <w:p w14:paraId="3F85B9D9" w14:textId="7441EA3D" w:rsidR="005B2696" w:rsidRPr="005C58E6" w:rsidRDefault="006B16FD" w:rsidP="00062D07">
            <w:pPr>
              <w:pStyle w:val="TableText"/>
              <w:keepNext/>
              <w:keepLines/>
              <w:rPr>
                <w:lang w:val="en-AU"/>
              </w:rPr>
            </w:pPr>
            <w:r w:rsidRPr="005C58E6">
              <w:t>United States</w:t>
            </w:r>
          </w:p>
        </w:tc>
        <w:tc>
          <w:tcPr>
            <w:tcW w:w="393" w:type="pct"/>
            <w:vAlign w:val="center"/>
          </w:tcPr>
          <w:p w14:paraId="083797CC" w14:textId="3F987A09" w:rsidR="005B2696" w:rsidRPr="005C58E6" w:rsidRDefault="00681EED" w:rsidP="00062D07">
            <w:pPr>
              <w:pStyle w:val="TableText"/>
              <w:keepNext/>
              <w:keepLines/>
              <w:rPr>
                <w:lang w:val="en-AU"/>
              </w:rPr>
            </w:pPr>
            <w:r w:rsidRPr="005C58E6">
              <w:t>304</w:t>
            </w:r>
          </w:p>
        </w:tc>
        <w:tc>
          <w:tcPr>
            <w:tcW w:w="1178" w:type="pct"/>
            <w:vAlign w:val="center"/>
          </w:tcPr>
          <w:p w14:paraId="57C7180B" w14:textId="15A71C2F" w:rsidR="005B2696" w:rsidRPr="005C58E6" w:rsidRDefault="00BA7C24" w:rsidP="00062D07">
            <w:pPr>
              <w:pStyle w:val="TableText"/>
              <w:keepNext/>
              <w:keepLines/>
              <w:rPr>
                <w:lang w:val="en-AU"/>
              </w:rPr>
            </w:pPr>
            <w:r w:rsidRPr="005C58E6">
              <w:t>≥50%</w:t>
            </w:r>
            <w:r w:rsidR="00680B6C" w:rsidRPr="005C58E6">
              <w:t xml:space="preserve"> / </w:t>
            </w:r>
            <w:r w:rsidR="008668AF" w:rsidRPr="005C58E6">
              <w:t>≥75%</w:t>
            </w:r>
            <w:r w:rsidRPr="005C58E6">
              <w:tab/>
            </w:r>
          </w:p>
        </w:tc>
        <w:tc>
          <w:tcPr>
            <w:tcW w:w="630" w:type="pct"/>
            <w:vAlign w:val="center"/>
          </w:tcPr>
          <w:p w14:paraId="0BF23AE9" w14:textId="2731665A" w:rsidR="004F730C" w:rsidRPr="005C58E6" w:rsidRDefault="00BA7C24" w:rsidP="00062D07">
            <w:pPr>
              <w:pStyle w:val="TableText"/>
              <w:keepNext/>
              <w:keepLines/>
              <w:rPr>
                <w:lang w:val="en-AU"/>
              </w:rPr>
            </w:pPr>
            <w:r w:rsidRPr="005C58E6">
              <w:t>56.3%</w:t>
            </w:r>
            <w:r w:rsidR="00680B6C" w:rsidRPr="005C58E6">
              <w:t xml:space="preserve">/ </w:t>
            </w:r>
            <w:r w:rsidR="004F730C" w:rsidRPr="005C58E6">
              <w:t>44.4%</w:t>
            </w:r>
          </w:p>
        </w:tc>
        <w:tc>
          <w:tcPr>
            <w:tcW w:w="521" w:type="pct"/>
            <w:vAlign w:val="center"/>
          </w:tcPr>
          <w:p w14:paraId="66CAB91C" w14:textId="6AC97C36" w:rsidR="005B2696" w:rsidRPr="005C58E6" w:rsidRDefault="006B16FD" w:rsidP="00062D07">
            <w:pPr>
              <w:pStyle w:val="TableText"/>
              <w:keepNext/>
              <w:keepLines/>
              <w:rPr>
                <w:i/>
                <w:lang w:val="en-AU"/>
              </w:rPr>
            </w:pPr>
            <w:proofErr w:type="spellStart"/>
            <w:r w:rsidRPr="005C58E6">
              <w:rPr>
                <w:i/>
              </w:rPr>
              <w:t>NR</w:t>
            </w:r>
            <w:r w:rsidRPr="005C58E6">
              <w:rPr>
                <w:i/>
                <w:vertAlign w:val="superscript"/>
              </w:rPr>
              <w:t>e</w:t>
            </w:r>
            <w:proofErr w:type="spellEnd"/>
          </w:p>
        </w:tc>
      </w:tr>
      <w:tr w:rsidR="00E41328" w:rsidRPr="006F4D53" w14:paraId="52A904C4" w14:textId="77777777" w:rsidTr="00996FC5">
        <w:tc>
          <w:tcPr>
            <w:tcW w:w="636" w:type="pct"/>
            <w:vAlign w:val="center"/>
          </w:tcPr>
          <w:p w14:paraId="5216FDB0" w14:textId="718F99E7" w:rsidR="00C75CC5" w:rsidRPr="005C58E6" w:rsidRDefault="00C75CC5" w:rsidP="00062D07">
            <w:pPr>
              <w:pStyle w:val="TableText"/>
              <w:keepNext/>
              <w:keepLines/>
              <w:rPr>
                <w:lang w:val="en-AU"/>
              </w:rPr>
            </w:pPr>
            <w:r w:rsidRPr="005C58E6">
              <w:t>Sanada et al.</w:t>
            </w:r>
            <w:r w:rsidR="00385A2B" w:rsidRPr="005C58E6">
              <w:t xml:space="preserve"> (</w:t>
            </w:r>
            <w:r w:rsidRPr="005C58E6">
              <w:t>2006</w:t>
            </w:r>
            <w:r w:rsidR="00385A2B" w:rsidRPr="005C58E6">
              <w:t>)</w:t>
            </w:r>
          </w:p>
        </w:tc>
        <w:tc>
          <w:tcPr>
            <w:tcW w:w="777" w:type="pct"/>
            <w:vAlign w:val="center"/>
          </w:tcPr>
          <w:p w14:paraId="570F3056" w14:textId="72098D2E" w:rsidR="00C75CC5" w:rsidRPr="005C58E6" w:rsidRDefault="00C75CC5" w:rsidP="00062D07">
            <w:pPr>
              <w:pStyle w:val="TableText"/>
              <w:keepNext/>
              <w:keepLines/>
              <w:rPr>
                <w:lang w:val="en-AU"/>
              </w:rPr>
            </w:pPr>
            <w:r w:rsidRPr="005C58E6">
              <w:t>Retrospective</w:t>
            </w:r>
          </w:p>
        </w:tc>
        <w:tc>
          <w:tcPr>
            <w:tcW w:w="865" w:type="pct"/>
            <w:vAlign w:val="center"/>
          </w:tcPr>
          <w:p w14:paraId="7CBE468E" w14:textId="737A1631" w:rsidR="00C75CC5" w:rsidRPr="005C58E6" w:rsidRDefault="00C75CC5" w:rsidP="00062D07">
            <w:pPr>
              <w:pStyle w:val="TableText"/>
              <w:keepNext/>
              <w:keepLines/>
              <w:rPr>
                <w:lang w:val="en-AU"/>
              </w:rPr>
            </w:pPr>
            <w:r w:rsidRPr="005C58E6">
              <w:t>Republic of Korea</w:t>
            </w:r>
          </w:p>
        </w:tc>
        <w:tc>
          <w:tcPr>
            <w:tcW w:w="393" w:type="pct"/>
            <w:vAlign w:val="center"/>
          </w:tcPr>
          <w:p w14:paraId="2AA5A455" w14:textId="2DB25900" w:rsidR="00C75CC5" w:rsidRPr="005C58E6" w:rsidRDefault="00C75CC5" w:rsidP="00062D07">
            <w:pPr>
              <w:pStyle w:val="TableText"/>
              <w:keepNext/>
              <w:keepLines/>
              <w:rPr>
                <w:lang w:val="en-AU"/>
              </w:rPr>
            </w:pPr>
            <w:r w:rsidRPr="005C58E6">
              <w:t>367</w:t>
            </w:r>
          </w:p>
        </w:tc>
        <w:tc>
          <w:tcPr>
            <w:tcW w:w="1178" w:type="pct"/>
            <w:vAlign w:val="center"/>
          </w:tcPr>
          <w:p w14:paraId="2F9E1657" w14:textId="2E0D30F0" w:rsidR="00C75CC5" w:rsidRPr="005C58E6" w:rsidRDefault="00C75CC5" w:rsidP="00062D07">
            <w:pPr>
              <w:pStyle w:val="TableText"/>
              <w:keepNext/>
              <w:keepLines/>
              <w:rPr>
                <w:lang w:val="en-AU"/>
              </w:rPr>
            </w:pPr>
            <w:r w:rsidRPr="005C58E6">
              <w:t>Not down-regulated by H-score &gt;50</w:t>
            </w:r>
          </w:p>
        </w:tc>
        <w:tc>
          <w:tcPr>
            <w:tcW w:w="630" w:type="pct"/>
            <w:vAlign w:val="center"/>
          </w:tcPr>
          <w:p w14:paraId="5ECBC9B1" w14:textId="4B1B3C28" w:rsidR="00C75CC5" w:rsidRPr="005C58E6" w:rsidRDefault="00C75CC5" w:rsidP="00062D07">
            <w:pPr>
              <w:pStyle w:val="TableText"/>
              <w:keepNext/>
              <w:keepLines/>
              <w:rPr>
                <w:lang w:val="en-AU"/>
              </w:rPr>
            </w:pPr>
            <w:r w:rsidRPr="005C58E6">
              <w:t>29.4%</w:t>
            </w:r>
          </w:p>
        </w:tc>
        <w:tc>
          <w:tcPr>
            <w:tcW w:w="521" w:type="pct"/>
            <w:vAlign w:val="center"/>
          </w:tcPr>
          <w:p w14:paraId="4B056D15" w14:textId="290E0F25" w:rsidR="00C75CC5" w:rsidRPr="005C58E6" w:rsidRDefault="00C75CC5" w:rsidP="00062D07">
            <w:pPr>
              <w:pStyle w:val="TableText"/>
              <w:keepNext/>
              <w:keepLines/>
              <w:rPr>
                <w:lang w:val="en-AU"/>
              </w:rPr>
            </w:pPr>
            <w:r w:rsidRPr="005C58E6">
              <w:t>p = 0.91</w:t>
            </w:r>
          </w:p>
        </w:tc>
      </w:tr>
      <w:tr w:rsidR="00E41328" w:rsidRPr="006F4D53" w14:paraId="556356C0" w14:textId="77777777" w:rsidTr="000D4FD0">
        <w:tc>
          <w:tcPr>
            <w:tcW w:w="5000" w:type="pct"/>
            <w:gridSpan w:val="7"/>
            <w:vAlign w:val="center"/>
          </w:tcPr>
          <w:p w14:paraId="3FC3CB84" w14:textId="28BD9DFE" w:rsidR="008730A1" w:rsidRPr="005C58E6" w:rsidRDefault="008730A1" w:rsidP="00062D07">
            <w:pPr>
              <w:pStyle w:val="TableText"/>
              <w:keepNext/>
              <w:keepLines/>
              <w:rPr>
                <w:b/>
                <w:lang w:val="en-AU"/>
              </w:rPr>
            </w:pPr>
            <w:r w:rsidRPr="005C58E6">
              <w:rPr>
                <w:b/>
              </w:rPr>
              <w:t>Meta-analysis</w:t>
            </w:r>
          </w:p>
        </w:tc>
      </w:tr>
      <w:tr w:rsidR="00385A2B" w:rsidRPr="006F4D53" w14:paraId="47555D4D" w14:textId="77777777" w:rsidTr="00996FC5">
        <w:tc>
          <w:tcPr>
            <w:tcW w:w="636" w:type="pct"/>
            <w:vAlign w:val="center"/>
          </w:tcPr>
          <w:p w14:paraId="0BC0628E" w14:textId="2A915CDA" w:rsidR="00722D83" w:rsidRPr="005C58E6" w:rsidRDefault="00722D83" w:rsidP="00062D07">
            <w:pPr>
              <w:pStyle w:val="TableText"/>
              <w:keepNext/>
              <w:keepLines/>
              <w:rPr>
                <w:lang w:val="en-AU"/>
              </w:rPr>
            </w:pPr>
            <w:r w:rsidRPr="005C58E6">
              <w:t>Ungureanu et al</w:t>
            </w:r>
            <w:r w:rsidR="003270E9" w:rsidRPr="005C58E6">
              <w:t>.</w:t>
            </w:r>
            <w:r w:rsidR="00385A2B" w:rsidRPr="005C58E6">
              <w:t xml:space="preserve"> (</w:t>
            </w:r>
            <w:r w:rsidRPr="005C58E6">
              <w:t>2021</w:t>
            </w:r>
            <w:r w:rsidR="00385A2B" w:rsidRPr="005C58E6">
              <w:t>)</w:t>
            </w:r>
          </w:p>
        </w:tc>
        <w:tc>
          <w:tcPr>
            <w:tcW w:w="3843" w:type="pct"/>
            <w:gridSpan w:val="5"/>
            <w:vAlign w:val="center"/>
          </w:tcPr>
          <w:p w14:paraId="045B991A" w14:textId="1C710238" w:rsidR="00722D83" w:rsidRPr="005C58E6" w:rsidRDefault="00687047" w:rsidP="00062D07">
            <w:pPr>
              <w:pStyle w:val="TableText"/>
              <w:keepNext/>
              <w:keepLines/>
              <w:rPr>
                <w:lang w:val="en-AU"/>
              </w:rPr>
            </w:pPr>
            <w:r w:rsidRPr="005C58E6">
              <w:t xml:space="preserve">Three </w:t>
            </w:r>
            <w:r w:rsidR="008B544F" w:rsidRPr="005C58E6">
              <w:t xml:space="preserve">studies </w:t>
            </w:r>
            <w:r w:rsidRPr="005C58E6">
              <w:t>(</w:t>
            </w:r>
            <w:proofErr w:type="spellStart"/>
            <w:r w:rsidRPr="005C58E6">
              <w:t>Dottermusch</w:t>
            </w:r>
            <w:proofErr w:type="spellEnd"/>
            <w:r w:rsidRPr="005C58E6">
              <w:t xml:space="preserve"> et al., 2019; </w:t>
            </w:r>
            <w:proofErr w:type="spellStart"/>
            <w:r w:rsidRPr="005C58E6">
              <w:t>Moentenich</w:t>
            </w:r>
            <w:proofErr w:type="spellEnd"/>
            <w:r w:rsidRPr="005C58E6">
              <w:t xml:space="preserve"> et al., 2020; Arnold et al., 2020) were included </w:t>
            </w:r>
            <w:r w:rsidR="00D964A3" w:rsidRPr="005C58E6">
              <w:t xml:space="preserve">in the meta-analysis of the hazard ratio for </w:t>
            </w:r>
            <w:r w:rsidR="00B57973" w:rsidRPr="005C58E6">
              <w:t xml:space="preserve">OS </w:t>
            </w:r>
            <w:r w:rsidR="00D964A3" w:rsidRPr="005C58E6">
              <w:t>for patients who were CLDN18.2</w:t>
            </w:r>
            <w:r w:rsidR="00B57973" w:rsidRPr="005C58E6">
              <w:t xml:space="preserve">+ </w:t>
            </w:r>
            <w:r w:rsidR="00D964A3" w:rsidRPr="005C58E6">
              <w:t>vs CLDN18.2-</w:t>
            </w:r>
          </w:p>
        </w:tc>
        <w:tc>
          <w:tcPr>
            <w:tcW w:w="521" w:type="pct"/>
            <w:vAlign w:val="center"/>
          </w:tcPr>
          <w:p w14:paraId="490D36D6" w14:textId="6FABB425" w:rsidR="00722D83" w:rsidRPr="005C58E6" w:rsidRDefault="00722D83" w:rsidP="00062D07">
            <w:pPr>
              <w:pStyle w:val="TableText"/>
              <w:keepNext/>
              <w:keepLines/>
              <w:rPr>
                <w:lang w:val="en-AU"/>
              </w:rPr>
            </w:pPr>
            <w:r w:rsidRPr="005C58E6">
              <w:t xml:space="preserve">p = 0.95 </w:t>
            </w:r>
          </w:p>
        </w:tc>
      </w:tr>
    </w:tbl>
    <w:p w14:paraId="13513ADF" w14:textId="2C8AFAEF" w:rsidR="00684B1B" w:rsidRPr="005C58E6" w:rsidRDefault="003E7E5D" w:rsidP="00062D07">
      <w:pPr>
        <w:pStyle w:val="TableFooter"/>
        <w:keepNext/>
        <w:keepLines/>
        <w:contextualSpacing w:val="0"/>
      </w:pPr>
      <w:r w:rsidRPr="005C58E6">
        <w:t>Source:</w:t>
      </w:r>
      <w:r w:rsidR="008B544F" w:rsidRPr="005C58E6">
        <w:t xml:space="preserve"> </w:t>
      </w:r>
      <w:r w:rsidR="006B16FD" w:rsidRPr="005C58E6">
        <w:t xml:space="preserve">Table 2-7, pp60-61; </w:t>
      </w:r>
      <w:r w:rsidR="008B544F" w:rsidRPr="005C58E6">
        <w:t>Table 2-8, p64</w:t>
      </w:r>
      <w:r w:rsidR="006B16FD" w:rsidRPr="005C58E6">
        <w:t>; and Figure 2-3, p62 of the submission.</w:t>
      </w:r>
    </w:p>
    <w:p w14:paraId="1BF026A7" w14:textId="2C684F7E" w:rsidR="003E7E5D" w:rsidRPr="005C58E6" w:rsidRDefault="003E7E5D" w:rsidP="00062D07">
      <w:pPr>
        <w:pStyle w:val="TableFooter"/>
        <w:keepNext/>
        <w:keepLines/>
        <w:contextualSpacing w:val="0"/>
      </w:pPr>
      <w:r w:rsidRPr="005C58E6">
        <w:t xml:space="preserve">CLDN18.2 = Claudin 18.2; </w:t>
      </w:r>
      <w:r w:rsidR="00534251" w:rsidRPr="005C58E6">
        <w:t xml:space="preserve">N = number of participants; </w:t>
      </w:r>
      <w:r w:rsidR="006B16FD" w:rsidRPr="005C58E6">
        <w:t xml:space="preserve">NR = not reported; </w:t>
      </w:r>
      <w:r w:rsidRPr="005C58E6">
        <w:t>OS = overall survival</w:t>
      </w:r>
      <w:r w:rsidR="003A71FE" w:rsidRPr="005C58E6">
        <w:t>.</w:t>
      </w:r>
    </w:p>
    <w:p w14:paraId="60AE1DCE" w14:textId="470E5ECD" w:rsidR="00F75679" w:rsidRPr="005C58E6" w:rsidRDefault="0B33EE2F" w:rsidP="00062D07">
      <w:pPr>
        <w:pStyle w:val="TableFooter"/>
        <w:keepNext/>
        <w:keepLines/>
        <w:contextualSpacing w:val="0"/>
      </w:pPr>
      <w:proofErr w:type="gramStart"/>
      <w:r w:rsidRPr="77D89277">
        <w:rPr>
          <w:vertAlign w:val="superscript"/>
        </w:rPr>
        <w:t>a</w:t>
      </w:r>
      <w:proofErr w:type="gramEnd"/>
      <w:r w:rsidRPr="77D89277">
        <w:rPr>
          <w:vertAlign w:val="superscript"/>
        </w:rPr>
        <w:t xml:space="preserve"> </w:t>
      </w:r>
      <w:r w:rsidRPr="77D89277">
        <w:t>Also included in Ungureanu et al. (2021) meta-analysis.</w:t>
      </w:r>
    </w:p>
    <w:p w14:paraId="1958EE3B" w14:textId="04259CA6" w:rsidR="00AB3978" w:rsidRPr="005C58E6" w:rsidRDefault="00F75679" w:rsidP="00062D07">
      <w:pPr>
        <w:pStyle w:val="TableFooter"/>
        <w:keepNext/>
        <w:keepLines/>
        <w:contextualSpacing w:val="0"/>
      </w:pPr>
      <w:r w:rsidRPr="005C58E6">
        <w:rPr>
          <w:vertAlign w:val="superscript"/>
        </w:rPr>
        <w:t>b</w:t>
      </w:r>
      <w:r w:rsidR="003A71FE" w:rsidRPr="005C58E6">
        <w:rPr>
          <w:vertAlign w:val="superscript"/>
        </w:rPr>
        <w:t xml:space="preserve"> </w:t>
      </w:r>
      <w:r w:rsidR="00680B6C" w:rsidRPr="005C58E6">
        <w:t>19.8% (N = 85) gastric cancer.</w:t>
      </w:r>
    </w:p>
    <w:p w14:paraId="1D62E83C" w14:textId="698EAD88" w:rsidR="009923FC" w:rsidRPr="005C58E6" w:rsidRDefault="00F75679" w:rsidP="00062D07">
      <w:pPr>
        <w:pStyle w:val="TableFooter"/>
        <w:keepNext/>
        <w:keepLines/>
        <w:contextualSpacing w:val="0"/>
      </w:pPr>
      <w:r w:rsidRPr="005C58E6">
        <w:rPr>
          <w:vertAlign w:val="superscript"/>
        </w:rPr>
        <w:t>c</w:t>
      </w:r>
      <w:r w:rsidR="009923FC" w:rsidRPr="005C58E6">
        <w:rPr>
          <w:vertAlign w:val="superscript"/>
        </w:rPr>
        <w:t xml:space="preserve"> </w:t>
      </w:r>
      <w:r w:rsidR="00680B6C" w:rsidRPr="005C58E6">
        <w:t>Metastatic diffuse-type gastric cancer.</w:t>
      </w:r>
    </w:p>
    <w:p w14:paraId="7603F618" w14:textId="23AF894C" w:rsidR="00081E33" w:rsidRPr="005C58E6" w:rsidRDefault="7ABC5565" w:rsidP="00062D07">
      <w:pPr>
        <w:pStyle w:val="TableFooter"/>
        <w:keepNext/>
        <w:keepLines/>
        <w:contextualSpacing w:val="0"/>
      </w:pPr>
      <w:r w:rsidRPr="77D89277">
        <w:rPr>
          <w:vertAlign w:val="superscript"/>
        </w:rPr>
        <w:t>d</w:t>
      </w:r>
      <w:r w:rsidR="5023366A" w:rsidRPr="77D89277">
        <w:t xml:space="preserve"> </w:t>
      </w:r>
      <w:proofErr w:type="gramStart"/>
      <w:r w:rsidRPr="77D89277">
        <w:t>The</w:t>
      </w:r>
      <w:proofErr w:type="gramEnd"/>
      <w:r w:rsidRPr="77D89277">
        <w:t xml:space="preserve"> list of studies does not include those already incorporated in the literature search provided in the submission.</w:t>
      </w:r>
    </w:p>
    <w:p w14:paraId="12766F47" w14:textId="1AA985CA" w:rsidR="006B16FD" w:rsidRPr="005C58E6" w:rsidRDefault="006B16FD" w:rsidP="00062D07">
      <w:pPr>
        <w:pStyle w:val="TableFooter"/>
        <w:keepNext/>
        <w:keepLines/>
        <w:contextualSpacing w:val="0"/>
      </w:pPr>
      <w:r w:rsidRPr="005C58E6">
        <w:rPr>
          <w:vertAlign w:val="superscript"/>
        </w:rPr>
        <w:t>e</w:t>
      </w:r>
      <w:r w:rsidRPr="005C58E6">
        <w:t xml:space="preserve"> HR=0.92 (95%CI: 0.62,1.37) for CLDN18.2+ patients at ≥50% threshold; HR=0.75 (95%CI: 0.50,1.14) for CLDN18.2+ patients at ≥75% threshold</w:t>
      </w:r>
    </w:p>
    <w:p w14:paraId="474364BE" w14:textId="1EFA2B52" w:rsidR="003E7E5D" w:rsidRPr="005C58E6" w:rsidRDefault="7ABC5565" w:rsidP="000D4FD0">
      <w:pPr>
        <w:pStyle w:val="TableFooter"/>
      </w:pPr>
      <w:r w:rsidRPr="77D89277">
        <w:rPr>
          <w:b/>
          <w:bCs/>
        </w:rPr>
        <w:t xml:space="preserve">Bold </w:t>
      </w:r>
      <w:r w:rsidRPr="77D89277">
        <w:t xml:space="preserve">indicates statistical significance. </w:t>
      </w:r>
    </w:p>
    <w:p w14:paraId="233FB131" w14:textId="78ECD5CA" w:rsidR="00174AD9" w:rsidRPr="00F428A9" w:rsidRDefault="00515368" w:rsidP="00F428A9">
      <w:pPr>
        <w:pStyle w:val="MSACESParagraph"/>
        <w:rPr>
          <w:rFonts w:ascii="Franklin Gothic Book" w:hAnsi="Franklin Gothic Book"/>
          <w:sz w:val="22"/>
        </w:rPr>
      </w:pPr>
      <w:r w:rsidRPr="00F428A9">
        <w:rPr>
          <w:rFonts w:ascii="Franklin Gothic Book" w:hAnsi="Franklin Gothic Book"/>
          <w:sz w:val="22"/>
        </w:rPr>
        <w:t>T</w:t>
      </w:r>
      <w:r w:rsidR="7CA38234" w:rsidRPr="00F428A9">
        <w:rPr>
          <w:rFonts w:ascii="Franklin Gothic Book" w:hAnsi="Franklin Gothic Book"/>
          <w:sz w:val="22"/>
        </w:rPr>
        <w:t>he definition of CLDN18.2 positivity varied</w:t>
      </w:r>
      <w:r w:rsidRPr="00F428A9">
        <w:rPr>
          <w:rFonts w:ascii="Franklin Gothic Book" w:hAnsi="Franklin Gothic Book"/>
          <w:sz w:val="22"/>
        </w:rPr>
        <w:t xml:space="preserve"> across the studies</w:t>
      </w:r>
      <w:r w:rsidR="7CA38234" w:rsidRPr="00F428A9">
        <w:rPr>
          <w:rFonts w:ascii="Franklin Gothic Book" w:hAnsi="Franklin Gothic Book"/>
          <w:sz w:val="22"/>
        </w:rPr>
        <w:t>.</w:t>
      </w:r>
      <w:r w:rsidRPr="00F428A9">
        <w:rPr>
          <w:rFonts w:ascii="Franklin Gothic Book" w:hAnsi="Franklin Gothic Book"/>
          <w:sz w:val="22"/>
        </w:rPr>
        <w:t xml:space="preserve"> </w:t>
      </w:r>
      <w:r w:rsidR="7CA38234" w:rsidRPr="00F428A9">
        <w:rPr>
          <w:rFonts w:ascii="Franklin Gothic Book" w:hAnsi="Franklin Gothic Book"/>
          <w:sz w:val="22"/>
        </w:rPr>
        <w:t xml:space="preserve">Only </w:t>
      </w:r>
      <w:r w:rsidR="0088521F" w:rsidRPr="00F428A9">
        <w:rPr>
          <w:rFonts w:ascii="Franklin Gothic Book" w:hAnsi="Franklin Gothic Book"/>
          <w:sz w:val="22"/>
        </w:rPr>
        <w:t xml:space="preserve">the following </w:t>
      </w:r>
      <w:r w:rsidR="7CA38234" w:rsidRPr="00F428A9">
        <w:rPr>
          <w:rFonts w:ascii="Franklin Gothic Book" w:hAnsi="Franklin Gothic Book"/>
          <w:sz w:val="22"/>
        </w:rPr>
        <w:t>three studies u</w:t>
      </w:r>
      <w:r w:rsidR="170625F0" w:rsidRPr="00F428A9">
        <w:rPr>
          <w:rFonts w:ascii="Franklin Gothic Book" w:hAnsi="Franklin Gothic Book"/>
          <w:sz w:val="22"/>
        </w:rPr>
        <w:t>sed</w:t>
      </w:r>
      <w:r w:rsidR="7CA38234" w:rsidRPr="00F428A9">
        <w:rPr>
          <w:rFonts w:ascii="Franklin Gothic Book" w:hAnsi="Franklin Gothic Book"/>
          <w:sz w:val="22"/>
        </w:rPr>
        <w:t xml:space="preserve"> the same CLDN18.2 positivity </w:t>
      </w:r>
      <w:r w:rsidR="170625F0" w:rsidRPr="00F428A9">
        <w:rPr>
          <w:rFonts w:ascii="Franklin Gothic Book" w:hAnsi="Franklin Gothic Book"/>
          <w:sz w:val="22"/>
        </w:rPr>
        <w:t xml:space="preserve">threshold of </w:t>
      </w:r>
      <w:r w:rsidR="7CA38234" w:rsidRPr="00F428A9">
        <w:rPr>
          <w:rFonts w:ascii="Franklin Gothic Book" w:hAnsi="Franklin Gothic Book"/>
          <w:sz w:val="22"/>
        </w:rPr>
        <w:t xml:space="preserve">≥75% as in </w:t>
      </w:r>
      <w:r w:rsidR="170625F0" w:rsidRPr="00F428A9">
        <w:rPr>
          <w:rFonts w:ascii="Franklin Gothic Book" w:hAnsi="Franklin Gothic Book"/>
          <w:sz w:val="22"/>
        </w:rPr>
        <w:t xml:space="preserve">the pivotal trials (i.e., </w:t>
      </w:r>
      <w:r w:rsidR="7CA38234" w:rsidRPr="00F428A9">
        <w:rPr>
          <w:rFonts w:ascii="Franklin Gothic Book" w:hAnsi="Franklin Gothic Book"/>
          <w:sz w:val="22"/>
        </w:rPr>
        <w:t>SPOTLIGHT and GLOW</w:t>
      </w:r>
      <w:r w:rsidR="170625F0" w:rsidRPr="00F428A9">
        <w:rPr>
          <w:rFonts w:ascii="Franklin Gothic Book" w:hAnsi="Franklin Gothic Book"/>
          <w:sz w:val="22"/>
        </w:rPr>
        <w:t>)</w:t>
      </w:r>
      <w:r w:rsidR="0088521F" w:rsidRPr="00F428A9">
        <w:rPr>
          <w:rFonts w:ascii="Franklin Gothic Book" w:hAnsi="Franklin Gothic Book"/>
          <w:sz w:val="22"/>
        </w:rPr>
        <w:t>:</w:t>
      </w:r>
      <w:r w:rsidR="20BF2CFC" w:rsidRPr="00F428A9">
        <w:rPr>
          <w:rFonts w:ascii="Franklin Gothic Book" w:hAnsi="Franklin Gothic Book"/>
          <w:sz w:val="22"/>
        </w:rPr>
        <w:t xml:space="preserve"> </w:t>
      </w:r>
    </w:p>
    <w:p w14:paraId="460DAC63" w14:textId="714B8AFB" w:rsidR="00A22C04" w:rsidRPr="00F428A9" w:rsidRDefault="35CD45B8" w:rsidP="00F428A9">
      <w:pPr>
        <w:pStyle w:val="MainBodyBulletPoint"/>
        <w:rPr>
          <w:rFonts w:ascii="Franklin Gothic Book" w:hAnsi="Franklin Gothic Book"/>
          <w:sz w:val="22"/>
        </w:rPr>
      </w:pPr>
      <w:r w:rsidRPr="00F428A9">
        <w:rPr>
          <w:rFonts w:ascii="Franklin Gothic Book" w:hAnsi="Franklin Gothic Book"/>
          <w:sz w:val="22"/>
        </w:rPr>
        <w:t xml:space="preserve">Kubota et al. (2023) found no significant differences in </w:t>
      </w:r>
      <w:r w:rsidR="1FF1B46B" w:rsidRPr="00F428A9">
        <w:rPr>
          <w:rFonts w:ascii="Franklin Gothic Book" w:hAnsi="Franklin Gothic Book"/>
          <w:sz w:val="22"/>
        </w:rPr>
        <w:t>overall survival (</w:t>
      </w:r>
      <w:r w:rsidRPr="00F428A9">
        <w:rPr>
          <w:rFonts w:ascii="Franklin Gothic Book" w:hAnsi="Franklin Gothic Book"/>
          <w:sz w:val="22"/>
        </w:rPr>
        <w:t>OS</w:t>
      </w:r>
      <w:r w:rsidR="1FF1B46B" w:rsidRPr="00F428A9">
        <w:rPr>
          <w:rFonts w:ascii="Franklin Gothic Book" w:hAnsi="Franklin Gothic Book"/>
          <w:sz w:val="22"/>
        </w:rPr>
        <w:t>)</w:t>
      </w:r>
      <w:r w:rsidRPr="00F428A9">
        <w:rPr>
          <w:rFonts w:ascii="Franklin Gothic Book" w:hAnsi="Franklin Gothic Book"/>
          <w:sz w:val="22"/>
        </w:rPr>
        <w:t xml:space="preserve"> between CLDN18.2+ and CLDN18.2- </w:t>
      </w:r>
      <w:r w:rsidR="009A3CF5" w:rsidRPr="00F428A9">
        <w:rPr>
          <w:rFonts w:ascii="Franklin Gothic Book" w:hAnsi="Franklin Gothic Book"/>
          <w:sz w:val="22"/>
        </w:rPr>
        <w:t xml:space="preserve">patients with advanced G/GOJ cancers </w:t>
      </w:r>
      <w:r w:rsidRPr="00F428A9">
        <w:rPr>
          <w:rFonts w:ascii="Franklin Gothic Book" w:hAnsi="Franklin Gothic Book"/>
          <w:sz w:val="22"/>
        </w:rPr>
        <w:t>(</w:t>
      </w:r>
      <w:r w:rsidR="477F0158" w:rsidRPr="00F428A9">
        <w:rPr>
          <w:rFonts w:ascii="Franklin Gothic Book" w:hAnsi="Franklin Gothic Book"/>
          <w:sz w:val="22"/>
        </w:rPr>
        <w:t>hazard ratio [</w:t>
      </w:r>
      <w:r w:rsidRPr="00F428A9">
        <w:rPr>
          <w:rFonts w:ascii="Franklin Gothic Book" w:hAnsi="Franklin Gothic Book"/>
          <w:sz w:val="22"/>
        </w:rPr>
        <w:t>HR</w:t>
      </w:r>
      <w:r w:rsidR="477F0158" w:rsidRPr="00F428A9">
        <w:rPr>
          <w:rFonts w:ascii="Franklin Gothic Book" w:hAnsi="Franklin Gothic Book"/>
          <w:sz w:val="22"/>
        </w:rPr>
        <w:t>]</w:t>
      </w:r>
      <w:r w:rsidRPr="00F428A9">
        <w:rPr>
          <w:rFonts w:ascii="Franklin Gothic Book" w:hAnsi="Franklin Gothic Book"/>
          <w:sz w:val="22"/>
        </w:rPr>
        <w:t xml:space="preserve"> = 1.26; 95% </w:t>
      </w:r>
      <w:r w:rsidR="477F0158" w:rsidRPr="00F428A9">
        <w:rPr>
          <w:rFonts w:ascii="Franklin Gothic Book" w:hAnsi="Franklin Gothic Book"/>
          <w:sz w:val="22"/>
        </w:rPr>
        <w:t>c</w:t>
      </w:r>
      <w:r w:rsidR="24DA6348" w:rsidRPr="00F428A9">
        <w:rPr>
          <w:rFonts w:ascii="Franklin Gothic Book" w:hAnsi="Franklin Gothic Book"/>
          <w:sz w:val="22"/>
        </w:rPr>
        <w:t xml:space="preserve">onfidence </w:t>
      </w:r>
      <w:r w:rsidR="477F0158" w:rsidRPr="00F428A9">
        <w:rPr>
          <w:rFonts w:ascii="Franklin Gothic Book" w:hAnsi="Franklin Gothic Book"/>
          <w:sz w:val="22"/>
        </w:rPr>
        <w:t>i</w:t>
      </w:r>
      <w:r w:rsidR="24DA6348" w:rsidRPr="00F428A9">
        <w:rPr>
          <w:rFonts w:ascii="Franklin Gothic Book" w:hAnsi="Franklin Gothic Book"/>
          <w:sz w:val="22"/>
        </w:rPr>
        <w:t>nterval [</w:t>
      </w:r>
      <w:r w:rsidRPr="00F428A9">
        <w:rPr>
          <w:rFonts w:ascii="Franklin Gothic Book" w:hAnsi="Franklin Gothic Book"/>
          <w:sz w:val="22"/>
        </w:rPr>
        <w:t>CI</w:t>
      </w:r>
      <w:r w:rsidR="24DA6348" w:rsidRPr="00F428A9">
        <w:rPr>
          <w:rFonts w:ascii="Franklin Gothic Book" w:hAnsi="Franklin Gothic Book"/>
          <w:sz w:val="22"/>
        </w:rPr>
        <w:t>]</w:t>
      </w:r>
      <w:r w:rsidRPr="00F428A9">
        <w:rPr>
          <w:rFonts w:ascii="Franklin Gothic Book" w:hAnsi="Franklin Gothic Book"/>
          <w:sz w:val="22"/>
        </w:rPr>
        <w:t>: 0.89, 1.78), with an absolute difference of 1.7 months</w:t>
      </w:r>
      <w:r w:rsidR="00174AD9" w:rsidRPr="00F428A9">
        <w:rPr>
          <w:rFonts w:ascii="Franklin Gothic Book" w:hAnsi="Franklin Gothic Book"/>
          <w:sz w:val="22"/>
        </w:rPr>
        <w:t xml:space="preserve"> </w:t>
      </w:r>
      <w:r w:rsidR="007730C0" w:rsidRPr="00F428A9">
        <w:rPr>
          <w:rFonts w:ascii="Franklin Gothic Book" w:hAnsi="Franklin Gothic Book"/>
          <w:sz w:val="22"/>
        </w:rPr>
        <w:t>favouring CLDN18.2- patients</w:t>
      </w:r>
      <w:r w:rsidRPr="00F428A9">
        <w:rPr>
          <w:rFonts w:ascii="Franklin Gothic Book" w:hAnsi="Franklin Gothic Book"/>
          <w:sz w:val="22"/>
        </w:rPr>
        <w:t xml:space="preserve">. </w:t>
      </w:r>
      <w:r w:rsidR="1FF1B46B" w:rsidRPr="00F428A9">
        <w:rPr>
          <w:rFonts w:ascii="Franklin Gothic Book" w:hAnsi="Franklin Gothic Book"/>
          <w:sz w:val="22"/>
        </w:rPr>
        <w:t>Progression-free survival (</w:t>
      </w:r>
      <w:r w:rsidRPr="00F428A9">
        <w:rPr>
          <w:rFonts w:ascii="Franklin Gothic Book" w:hAnsi="Franklin Gothic Book"/>
          <w:sz w:val="22"/>
        </w:rPr>
        <w:t>PFS</w:t>
      </w:r>
      <w:r w:rsidR="1FF1B46B" w:rsidRPr="00F428A9">
        <w:rPr>
          <w:rFonts w:ascii="Franklin Gothic Book" w:hAnsi="Franklin Gothic Book"/>
          <w:sz w:val="22"/>
        </w:rPr>
        <w:t>)</w:t>
      </w:r>
      <w:r w:rsidRPr="00F428A9">
        <w:rPr>
          <w:rFonts w:ascii="Franklin Gothic Book" w:hAnsi="Franklin Gothic Book"/>
          <w:sz w:val="22"/>
        </w:rPr>
        <w:t xml:space="preserve"> and </w:t>
      </w:r>
      <w:r w:rsidR="1FF1B46B" w:rsidRPr="00F428A9">
        <w:rPr>
          <w:rFonts w:ascii="Franklin Gothic Book" w:hAnsi="Franklin Gothic Book"/>
          <w:sz w:val="22"/>
        </w:rPr>
        <w:t>overall response rate</w:t>
      </w:r>
      <w:r w:rsidR="60D3EACD" w:rsidRPr="00F428A9">
        <w:rPr>
          <w:rFonts w:ascii="Franklin Gothic Book" w:hAnsi="Franklin Gothic Book"/>
          <w:sz w:val="22"/>
        </w:rPr>
        <w:t>s</w:t>
      </w:r>
      <w:r w:rsidR="1FF1B46B" w:rsidRPr="00F428A9">
        <w:rPr>
          <w:rFonts w:ascii="Franklin Gothic Book" w:hAnsi="Franklin Gothic Book"/>
          <w:sz w:val="22"/>
        </w:rPr>
        <w:t xml:space="preserve"> (</w:t>
      </w:r>
      <w:r w:rsidRPr="00F428A9">
        <w:rPr>
          <w:rFonts w:ascii="Franklin Gothic Book" w:hAnsi="Franklin Gothic Book"/>
          <w:sz w:val="22"/>
        </w:rPr>
        <w:t>ORR</w:t>
      </w:r>
      <w:r w:rsidR="1FF1B46B" w:rsidRPr="00F428A9">
        <w:rPr>
          <w:rFonts w:ascii="Franklin Gothic Book" w:hAnsi="Franklin Gothic Book"/>
          <w:sz w:val="22"/>
        </w:rPr>
        <w:t>)</w:t>
      </w:r>
      <w:r w:rsidRPr="00F428A9">
        <w:rPr>
          <w:rFonts w:ascii="Franklin Gothic Book" w:hAnsi="Franklin Gothic Book"/>
          <w:sz w:val="22"/>
        </w:rPr>
        <w:t xml:space="preserve"> </w:t>
      </w:r>
      <w:r w:rsidR="00491990" w:rsidRPr="00F428A9">
        <w:rPr>
          <w:rFonts w:ascii="Franklin Gothic Book" w:hAnsi="Franklin Gothic Book"/>
          <w:sz w:val="22"/>
        </w:rPr>
        <w:t>also</w:t>
      </w:r>
      <w:r w:rsidRPr="00F428A9">
        <w:rPr>
          <w:rFonts w:ascii="Franklin Gothic Book" w:hAnsi="Franklin Gothic Book"/>
          <w:sz w:val="22"/>
        </w:rPr>
        <w:t xml:space="preserve"> showed no significant differences </w:t>
      </w:r>
      <w:r w:rsidR="00491990" w:rsidRPr="00F428A9">
        <w:rPr>
          <w:rFonts w:ascii="Franklin Gothic Book" w:hAnsi="Franklin Gothic Book"/>
          <w:sz w:val="22"/>
        </w:rPr>
        <w:t xml:space="preserve">according to </w:t>
      </w:r>
      <w:r w:rsidRPr="00F428A9">
        <w:rPr>
          <w:rFonts w:ascii="Franklin Gothic Book" w:hAnsi="Franklin Gothic Book"/>
          <w:sz w:val="22"/>
        </w:rPr>
        <w:t>CLDN18.2 status</w:t>
      </w:r>
      <w:r w:rsidR="00491990" w:rsidRPr="00F428A9">
        <w:rPr>
          <w:rFonts w:ascii="Franklin Gothic Book" w:hAnsi="Franklin Gothic Book"/>
          <w:sz w:val="22"/>
        </w:rPr>
        <w:t xml:space="preserve">. </w:t>
      </w:r>
    </w:p>
    <w:p w14:paraId="4A6384FD" w14:textId="4BED88AB" w:rsidR="006D5E50" w:rsidRPr="00F428A9" w:rsidRDefault="35CD45B8" w:rsidP="00F428A9">
      <w:pPr>
        <w:pStyle w:val="MainBodyBulletPoint"/>
        <w:rPr>
          <w:rFonts w:ascii="Franklin Gothic Book" w:hAnsi="Franklin Gothic Book"/>
          <w:sz w:val="22"/>
        </w:rPr>
      </w:pPr>
      <w:r w:rsidRPr="00F428A9">
        <w:rPr>
          <w:rFonts w:ascii="Franklin Gothic Book" w:hAnsi="Franklin Gothic Book"/>
          <w:sz w:val="22"/>
        </w:rPr>
        <w:t xml:space="preserve">Pellino et al. (2021) also concluded that CLDN18.2 positivity was not associated with </w:t>
      </w:r>
      <w:r w:rsidR="009D2AC2" w:rsidRPr="00F428A9">
        <w:rPr>
          <w:rFonts w:ascii="Franklin Gothic Book" w:hAnsi="Franklin Gothic Book"/>
          <w:sz w:val="22"/>
        </w:rPr>
        <w:t>OS</w:t>
      </w:r>
      <w:r w:rsidRPr="00F428A9">
        <w:rPr>
          <w:rFonts w:ascii="Franklin Gothic Book" w:hAnsi="Franklin Gothic Book"/>
          <w:sz w:val="22"/>
        </w:rPr>
        <w:t xml:space="preserve"> in patients with advanced G/GOJ cancers</w:t>
      </w:r>
      <w:r w:rsidR="006D5E50" w:rsidRPr="00F428A9">
        <w:rPr>
          <w:rFonts w:ascii="Franklin Gothic Book" w:hAnsi="Franklin Gothic Book"/>
          <w:sz w:val="22"/>
        </w:rPr>
        <w:t xml:space="preserve"> (p = 0.926).</w:t>
      </w:r>
    </w:p>
    <w:p w14:paraId="5974E4AC" w14:textId="6195D6A8" w:rsidR="00E273BB" w:rsidRPr="00F428A9" w:rsidRDefault="373231D4" w:rsidP="00F428A9">
      <w:pPr>
        <w:pStyle w:val="MainBodyBulletPoint"/>
        <w:rPr>
          <w:rFonts w:ascii="Franklin Gothic Book" w:hAnsi="Franklin Gothic Book"/>
          <w:sz w:val="22"/>
        </w:rPr>
      </w:pPr>
      <w:r w:rsidRPr="00F428A9">
        <w:rPr>
          <w:rFonts w:ascii="Franklin Gothic Book" w:hAnsi="Franklin Gothic Book"/>
          <w:sz w:val="22"/>
        </w:rPr>
        <w:t>Waters et al. (2024)</w:t>
      </w:r>
      <w:r w:rsidR="5C9A78BE" w:rsidRPr="00F428A9">
        <w:rPr>
          <w:rFonts w:ascii="Franklin Gothic Book" w:hAnsi="Franklin Gothic Book"/>
          <w:sz w:val="22"/>
        </w:rPr>
        <w:t xml:space="preserve"> reported an HR </w:t>
      </w:r>
      <w:r w:rsidR="3C511141" w:rsidRPr="00F428A9">
        <w:rPr>
          <w:rFonts w:ascii="Franklin Gothic Book" w:hAnsi="Franklin Gothic Book"/>
          <w:sz w:val="22"/>
        </w:rPr>
        <w:t>of</w:t>
      </w:r>
      <w:r w:rsidR="5C9A78BE" w:rsidRPr="00F428A9">
        <w:rPr>
          <w:rFonts w:ascii="Franklin Gothic Book" w:hAnsi="Franklin Gothic Book"/>
          <w:sz w:val="22"/>
        </w:rPr>
        <w:t xml:space="preserve"> 0.75 (95% CI: 0.50, 1.14), indicating </w:t>
      </w:r>
      <w:r w:rsidR="3C511141" w:rsidRPr="00F428A9">
        <w:rPr>
          <w:rFonts w:ascii="Franklin Gothic Book" w:hAnsi="Franklin Gothic Book"/>
          <w:sz w:val="22"/>
        </w:rPr>
        <w:t>a 33.3%</w:t>
      </w:r>
      <w:r w:rsidR="2FB737D0" w:rsidRPr="00F428A9">
        <w:rPr>
          <w:rFonts w:ascii="Franklin Gothic Book" w:hAnsi="Franklin Gothic Book"/>
          <w:sz w:val="22"/>
        </w:rPr>
        <w:t xml:space="preserve"> higher OS</w:t>
      </w:r>
      <w:r w:rsidR="5C9A78BE" w:rsidRPr="00F428A9">
        <w:rPr>
          <w:rFonts w:ascii="Franklin Gothic Book" w:hAnsi="Franklin Gothic Book"/>
          <w:sz w:val="22"/>
        </w:rPr>
        <w:t xml:space="preserve"> </w:t>
      </w:r>
      <w:r w:rsidR="2FB737D0" w:rsidRPr="00F428A9">
        <w:rPr>
          <w:rFonts w:ascii="Franklin Gothic Book" w:hAnsi="Franklin Gothic Book"/>
          <w:sz w:val="22"/>
        </w:rPr>
        <w:t>in</w:t>
      </w:r>
      <w:r w:rsidR="5C9A78BE" w:rsidRPr="00F428A9">
        <w:rPr>
          <w:rFonts w:ascii="Franklin Gothic Book" w:hAnsi="Franklin Gothic Book"/>
          <w:sz w:val="22"/>
        </w:rPr>
        <w:t xml:space="preserve"> the CLDN18.2- compared </w:t>
      </w:r>
      <w:r w:rsidR="2FB737D0" w:rsidRPr="00F428A9">
        <w:rPr>
          <w:rFonts w:ascii="Franklin Gothic Book" w:hAnsi="Franklin Gothic Book"/>
          <w:sz w:val="22"/>
        </w:rPr>
        <w:t>to</w:t>
      </w:r>
      <w:r w:rsidR="5C9A78BE" w:rsidRPr="00F428A9">
        <w:rPr>
          <w:rFonts w:ascii="Franklin Gothic Book" w:hAnsi="Franklin Gothic Book"/>
          <w:sz w:val="22"/>
        </w:rPr>
        <w:t xml:space="preserve"> the CLDN18.2+ </w:t>
      </w:r>
      <w:r w:rsidR="0367AE92" w:rsidRPr="00F428A9">
        <w:rPr>
          <w:rFonts w:ascii="Franklin Gothic Book" w:hAnsi="Franklin Gothic Book"/>
          <w:sz w:val="22"/>
        </w:rPr>
        <w:t>patients with G/GOJ cancer</w:t>
      </w:r>
      <w:r w:rsidR="5C9A78BE" w:rsidRPr="00F428A9">
        <w:rPr>
          <w:rFonts w:ascii="Franklin Gothic Book" w:hAnsi="Franklin Gothic Book"/>
          <w:sz w:val="22"/>
        </w:rPr>
        <w:t xml:space="preserve">, however, this was not significant. </w:t>
      </w:r>
    </w:p>
    <w:p w14:paraId="3C504267" w14:textId="366ED3EB" w:rsidR="004F5339" w:rsidRPr="00F428A9" w:rsidRDefault="35CD45B8" w:rsidP="00F428A9">
      <w:pPr>
        <w:pStyle w:val="MSACESParagraph"/>
        <w:rPr>
          <w:rFonts w:ascii="Franklin Gothic Book" w:hAnsi="Franklin Gothic Book"/>
          <w:sz w:val="22"/>
        </w:rPr>
      </w:pPr>
      <w:r w:rsidRPr="00F428A9">
        <w:rPr>
          <w:rFonts w:ascii="Franklin Gothic Book" w:hAnsi="Franklin Gothic Book"/>
          <w:sz w:val="22"/>
        </w:rPr>
        <w:t>While the results from these studies consistently suggest no</w:t>
      </w:r>
      <w:r w:rsidR="000F0E72" w:rsidRPr="00F428A9">
        <w:rPr>
          <w:rFonts w:ascii="Franklin Gothic Book" w:hAnsi="Franklin Gothic Book"/>
          <w:sz w:val="22"/>
        </w:rPr>
        <w:t xml:space="preserve"> statistically</w:t>
      </w:r>
      <w:r w:rsidRPr="00F428A9">
        <w:rPr>
          <w:rFonts w:ascii="Franklin Gothic Book" w:hAnsi="Franklin Gothic Book"/>
          <w:sz w:val="22"/>
        </w:rPr>
        <w:t xml:space="preserve"> significant </w:t>
      </w:r>
      <w:r w:rsidR="000F0E72" w:rsidRPr="00F428A9">
        <w:rPr>
          <w:rFonts w:ascii="Franklin Gothic Book" w:hAnsi="Franklin Gothic Book"/>
          <w:sz w:val="22"/>
        </w:rPr>
        <w:t>c</w:t>
      </w:r>
      <w:r w:rsidR="66444481" w:rsidRPr="00F428A9">
        <w:rPr>
          <w:rFonts w:ascii="Franklin Gothic Book" w:hAnsi="Franklin Gothic Book"/>
          <w:sz w:val="22"/>
        </w:rPr>
        <w:t>linical outcomes associated with</w:t>
      </w:r>
      <w:r w:rsidR="000F0E72" w:rsidRPr="00F428A9">
        <w:rPr>
          <w:rFonts w:ascii="Franklin Gothic Book" w:hAnsi="Franklin Gothic Book"/>
          <w:sz w:val="22"/>
        </w:rPr>
        <w:t xml:space="preserve"> </w:t>
      </w:r>
      <w:r w:rsidRPr="00F428A9">
        <w:rPr>
          <w:rFonts w:ascii="Franklin Gothic Book" w:hAnsi="Franklin Gothic Book"/>
          <w:sz w:val="22"/>
        </w:rPr>
        <w:t>CLDN18.2 positivity using the ≥75% threshold</w:t>
      </w:r>
      <w:r w:rsidR="2FE894BB" w:rsidRPr="00F428A9">
        <w:rPr>
          <w:rFonts w:ascii="Franklin Gothic Book" w:hAnsi="Franklin Gothic Book"/>
          <w:sz w:val="22"/>
        </w:rPr>
        <w:t xml:space="preserve">, there was a </w:t>
      </w:r>
      <w:r w:rsidR="002A6B5F" w:rsidRPr="00F428A9">
        <w:rPr>
          <w:rFonts w:ascii="Franklin Gothic Book" w:hAnsi="Franklin Gothic Book"/>
          <w:sz w:val="22"/>
        </w:rPr>
        <w:t xml:space="preserve">trend towards improved OS in patients with </w:t>
      </w:r>
      <w:r w:rsidR="00DE41C5" w:rsidRPr="00F428A9">
        <w:rPr>
          <w:rFonts w:ascii="Franklin Gothic Book" w:hAnsi="Franklin Gothic Book"/>
          <w:sz w:val="22"/>
        </w:rPr>
        <w:t xml:space="preserve">CLDN18.2- expression. </w:t>
      </w:r>
      <w:r w:rsidR="002A6B5F" w:rsidRPr="00F428A9">
        <w:rPr>
          <w:rFonts w:ascii="Franklin Gothic Book" w:hAnsi="Franklin Gothic Book"/>
          <w:sz w:val="22"/>
        </w:rPr>
        <w:t>T</w:t>
      </w:r>
      <w:r w:rsidRPr="00F428A9">
        <w:rPr>
          <w:rFonts w:ascii="Franklin Gothic Book" w:hAnsi="Franklin Gothic Book"/>
          <w:sz w:val="22"/>
        </w:rPr>
        <w:t>he</w:t>
      </w:r>
      <w:r w:rsidR="00E273BB" w:rsidRPr="00F428A9">
        <w:rPr>
          <w:rFonts w:ascii="Franklin Gothic Book" w:hAnsi="Franklin Gothic Book"/>
          <w:sz w:val="22"/>
        </w:rPr>
        <w:t xml:space="preserve"> commentary noted that </w:t>
      </w:r>
      <w:r w:rsidR="00765F18" w:rsidRPr="00F428A9">
        <w:rPr>
          <w:rFonts w:ascii="Franklin Gothic Book" w:hAnsi="Franklin Gothic Book"/>
          <w:sz w:val="22"/>
        </w:rPr>
        <w:t>these studies have limitations</w:t>
      </w:r>
      <w:r w:rsidR="00BE09E6" w:rsidRPr="00F428A9">
        <w:rPr>
          <w:rFonts w:ascii="Franklin Gothic Book" w:hAnsi="Franklin Gothic Book"/>
          <w:sz w:val="22"/>
        </w:rPr>
        <w:t>,</w:t>
      </w:r>
      <w:r w:rsidR="00C71434" w:rsidRPr="00F428A9">
        <w:rPr>
          <w:rFonts w:ascii="Franklin Gothic Book" w:hAnsi="Franklin Gothic Book"/>
          <w:sz w:val="22"/>
        </w:rPr>
        <w:t xml:space="preserve"> including small sample size,</w:t>
      </w:r>
      <w:r w:rsidR="00BE09E6" w:rsidRPr="00F428A9">
        <w:rPr>
          <w:rFonts w:ascii="Franklin Gothic Book" w:hAnsi="Franklin Gothic Book"/>
          <w:sz w:val="22"/>
        </w:rPr>
        <w:t xml:space="preserve"> </w:t>
      </w:r>
      <w:r w:rsidR="00765F18" w:rsidRPr="00F428A9">
        <w:rPr>
          <w:rFonts w:ascii="Franklin Gothic Book" w:hAnsi="Franklin Gothic Book"/>
          <w:sz w:val="22"/>
        </w:rPr>
        <w:t>retrospective</w:t>
      </w:r>
      <w:r w:rsidR="00C71434" w:rsidRPr="00F428A9">
        <w:rPr>
          <w:rFonts w:ascii="Franklin Gothic Book" w:hAnsi="Franklin Gothic Book"/>
          <w:sz w:val="22"/>
        </w:rPr>
        <w:t xml:space="preserve"> design</w:t>
      </w:r>
      <w:r w:rsidR="00765F18" w:rsidRPr="00F428A9">
        <w:rPr>
          <w:rFonts w:ascii="Franklin Gothic Book" w:hAnsi="Franklin Gothic Book"/>
          <w:sz w:val="22"/>
        </w:rPr>
        <w:t>, single-</w:t>
      </w:r>
      <w:r w:rsidR="00BE09E6" w:rsidRPr="00F428A9">
        <w:rPr>
          <w:rFonts w:ascii="Franklin Gothic Book" w:hAnsi="Franklin Gothic Book"/>
          <w:sz w:val="22"/>
        </w:rPr>
        <w:t>institution</w:t>
      </w:r>
      <w:r w:rsidRPr="00F428A9">
        <w:rPr>
          <w:rFonts w:ascii="Franklin Gothic Book" w:hAnsi="Franklin Gothic Book"/>
          <w:sz w:val="22"/>
        </w:rPr>
        <w:t xml:space="preserve"> </w:t>
      </w:r>
      <w:r w:rsidR="00BE09E6" w:rsidRPr="00F428A9">
        <w:rPr>
          <w:rFonts w:ascii="Franklin Gothic Book" w:hAnsi="Franklin Gothic Book"/>
          <w:sz w:val="22"/>
        </w:rPr>
        <w:t>s</w:t>
      </w:r>
      <w:r w:rsidR="00C71434" w:rsidRPr="00F428A9">
        <w:rPr>
          <w:rFonts w:ascii="Franklin Gothic Book" w:hAnsi="Franklin Gothic Book"/>
          <w:sz w:val="22"/>
        </w:rPr>
        <w:t xml:space="preserve">ettings, </w:t>
      </w:r>
      <w:r w:rsidR="00BE09E6" w:rsidRPr="00F428A9">
        <w:rPr>
          <w:rFonts w:ascii="Franklin Gothic Book" w:hAnsi="Franklin Gothic Book"/>
          <w:sz w:val="22"/>
        </w:rPr>
        <w:t xml:space="preserve">with no validation cohort. Furthermore, </w:t>
      </w:r>
      <w:r w:rsidR="00E6724C" w:rsidRPr="00F428A9">
        <w:rPr>
          <w:rFonts w:ascii="Franklin Gothic Book" w:hAnsi="Franklin Gothic Book"/>
          <w:sz w:val="22"/>
        </w:rPr>
        <w:t xml:space="preserve">there was heterogeneity in the populations </w:t>
      </w:r>
      <w:r w:rsidR="00C71434" w:rsidRPr="00F428A9">
        <w:rPr>
          <w:rFonts w:ascii="Franklin Gothic Book" w:hAnsi="Franklin Gothic Book"/>
          <w:sz w:val="22"/>
        </w:rPr>
        <w:t xml:space="preserve">studied </w:t>
      </w:r>
      <w:r w:rsidRPr="00F428A9">
        <w:rPr>
          <w:rFonts w:ascii="Franklin Gothic Book" w:hAnsi="Franklin Gothic Book"/>
          <w:sz w:val="22"/>
        </w:rPr>
        <w:t xml:space="preserve">in </w:t>
      </w:r>
      <w:r w:rsidR="00B672C3" w:rsidRPr="00F428A9">
        <w:rPr>
          <w:rFonts w:ascii="Franklin Gothic Book" w:hAnsi="Franklin Gothic Book"/>
          <w:sz w:val="22"/>
        </w:rPr>
        <w:t xml:space="preserve">terms of </w:t>
      </w:r>
      <w:r w:rsidRPr="00F428A9">
        <w:rPr>
          <w:rFonts w:ascii="Franklin Gothic Book" w:hAnsi="Franklin Gothic Book"/>
          <w:sz w:val="22"/>
        </w:rPr>
        <w:t>disease stage</w:t>
      </w:r>
      <w:r w:rsidR="00365743" w:rsidRPr="00F428A9">
        <w:rPr>
          <w:rFonts w:ascii="Franklin Gothic Book" w:hAnsi="Franklin Gothic Book"/>
          <w:sz w:val="22"/>
        </w:rPr>
        <w:t xml:space="preserve">, </w:t>
      </w:r>
      <w:r w:rsidR="00902B33" w:rsidRPr="00F428A9">
        <w:rPr>
          <w:rFonts w:ascii="Franklin Gothic Book" w:hAnsi="Franklin Gothic Book"/>
          <w:sz w:val="22"/>
        </w:rPr>
        <w:t>treatment</w:t>
      </w:r>
      <w:r w:rsidRPr="00F428A9">
        <w:rPr>
          <w:rFonts w:ascii="Franklin Gothic Book" w:hAnsi="Franklin Gothic Book"/>
          <w:sz w:val="22"/>
        </w:rPr>
        <w:t>, and HER2 status</w:t>
      </w:r>
      <w:r w:rsidR="00365743" w:rsidRPr="00F428A9">
        <w:rPr>
          <w:rFonts w:ascii="Franklin Gothic Book" w:hAnsi="Franklin Gothic Book"/>
          <w:sz w:val="22"/>
        </w:rPr>
        <w:t>.</w:t>
      </w:r>
    </w:p>
    <w:p w14:paraId="0E1FB4FA" w14:textId="315960A6" w:rsidR="001B2F97" w:rsidRPr="00F428A9" w:rsidRDefault="605DCE32" w:rsidP="00F428A9">
      <w:pPr>
        <w:pStyle w:val="MSACESParagraph"/>
        <w:rPr>
          <w:rFonts w:ascii="Franklin Gothic Book" w:hAnsi="Franklin Gothic Book"/>
          <w:i/>
          <w:iCs/>
          <w:sz w:val="22"/>
        </w:rPr>
      </w:pPr>
      <w:r w:rsidRPr="00F428A9">
        <w:rPr>
          <w:rFonts w:ascii="Franklin Gothic Book" w:hAnsi="Franklin Gothic Book"/>
          <w:sz w:val="22"/>
        </w:rPr>
        <w:t xml:space="preserve">The commentary noted that </w:t>
      </w:r>
      <w:r w:rsidR="6D3D46B1" w:rsidRPr="00F428A9">
        <w:rPr>
          <w:rFonts w:ascii="Franklin Gothic Book" w:hAnsi="Franklin Gothic Book"/>
          <w:sz w:val="22"/>
        </w:rPr>
        <w:t>the</w:t>
      </w:r>
      <w:r w:rsidRPr="00F428A9">
        <w:rPr>
          <w:rFonts w:ascii="Franklin Gothic Book" w:hAnsi="Franklin Gothic Book"/>
          <w:sz w:val="22"/>
        </w:rPr>
        <w:t xml:space="preserve"> r</w:t>
      </w:r>
      <w:r w:rsidR="1B77FA5B" w:rsidRPr="00F428A9">
        <w:rPr>
          <w:rFonts w:ascii="Franklin Gothic Book" w:hAnsi="Franklin Gothic Book"/>
          <w:sz w:val="22"/>
        </w:rPr>
        <w:t xml:space="preserve">esults from a </w:t>
      </w:r>
      <w:r w:rsidR="6A01A62F" w:rsidRPr="00F428A9">
        <w:rPr>
          <w:rFonts w:ascii="Franklin Gothic Book" w:hAnsi="Franklin Gothic Book"/>
          <w:sz w:val="22"/>
        </w:rPr>
        <w:t xml:space="preserve">recent systematic review and meta-analysis (Moraes et al., 2024) </w:t>
      </w:r>
      <w:r w:rsidR="1A1C684E" w:rsidRPr="00F428A9">
        <w:rPr>
          <w:rFonts w:ascii="Franklin Gothic Book" w:hAnsi="Franklin Gothic Book"/>
          <w:sz w:val="22"/>
        </w:rPr>
        <w:t>demonstrate</w:t>
      </w:r>
      <w:r w:rsidR="00552EA9" w:rsidRPr="00F428A9">
        <w:rPr>
          <w:rFonts w:ascii="Franklin Gothic Book" w:hAnsi="Franklin Gothic Book"/>
          <w:sz w:val="22"/>
        </w:rPr>
        <w:t>d</w:t>
      </w:r>
      <w:r w:rsidR="1A1C684E" w:rsidRPr="00F428A9">
        <w:rPr>
          <w:rFonts w:ascii="Franklin Gothic Book" w:hAnsi="Franklin Gothic Book"/>
          <w:sz w:val="22"/>
        </w:rPr>
        <w:t xml:space="preserve"> </w:t>
      </w:r>
      <w:r w:rsidR="1B77FA5B" w:rsidRPr="00F428A9">
        <w:rPr>
          <w:rFonts w:ascii="Franklin Gothic Book" w:hAnsi="Franklin Gothic Book"/>
          <w:sz w:val="22"/>
        </w:rPr>
        <w:t xml:space="preserve">that </w:t>
      </w:r>
      <w:r w:rsidR="173E8BEF" w:rsidRPr="00F428A9">
        <w:rPr>
          <w:rFonts w:ascii="Franklin Gothic Book" w:hAnsi="Franklin Gothic Book"/>
          <w:sz w:val="22"/>
        </w:rPr>
        <w:t xml:space="preserve">CLDN18.2 </w:t>
      </w:r>
      <w:r w:rsidR="1A1C684E" w:rsidRPr="00F428A9">
        <w:rPr>
          <w:rFonts w:ascii="Franklin Gothic Book" w:hAnsi="Franklin Gothic Book"/>
          <w:sz w:val="22"/>
        </w:rPr>
        <w:t>is</w:t>
      </w:r>
      <w:r w:rsidR="173E8BEF" w:rsidRPr="00F428A9">
        <w:rPr>
          <w:rFonts w:ascii="Franklin Gothic Book" w:hAnsi="Franklin Gothic Book"/>
          <w:sz w:val="22"/>
        </w:rPr>
        <w:t xml:space="preserve"> a robust negative prognostic indicator for overall survival in gastric cancer patients. </w:t>
      </w:r>
      <w:r w:rsidR="7709A9D5" w:rsidRPr="00F428A9">
        <w:rPr>
          <w:rFonts w:ascii="Franklin Gothic Book" w:hAnsi="Franklin Gothic Book"/>
          <w:sz w:val="22"/>
        </w:rPr>
        <w:t>The review included 15 studies encompassing 4,085 patients</w:t>
      </w:r>
      <w:r w:rsidR="095FF914" w:rsidRPr="00F428A9">
        <w:rPr>
          <w:rFonts w:ascii="Franklin Gothic Book" w:hAnsi="Franklin Gothic Book"/>
          <w:sz w:val="22"/>
        </w:rPr>
        <w:t xml:space="preserve"> with </w:t>
      </w:r>
      <w:bookmarkStart w:id="55" w:name="_Hlk191112966"/>
      <w:r w:rsidR="095FF914" w:rsidRPr="00F428A9">
        <w:rPr>
          <w:rFonts w:ascii="Franklin Gothic Book" w:hAnsi="Franklin Gothic Book"/>
          <w:sz w:val="22"/>
        </w:rPr>
        <w:t>varying definitions of CLDN18.2 positivity</w:t>
      </w:r>
      <w:r w:rsidR="7709A9D5" w:rsidRPr="00F428A9">
        <w:rPr>
          <w:rFonts w:ascii="Franklin Gothic Book" w:hAnsi="Franklin Gothic Book"/>
          <w:sz w:val="22"/>
        </w:rPr>
        <w:t>.</w:t>
      </w:r>
      <w:bookmarkEnd w:id="55"/>
      <w:r w:rsidR="7709A9D5" w:rsidRPr="00F428A9">
        <w:rPr>
          <w:rFonts w:ascii="Franklin Gothic Book" w:hAnsi="Franklin Gothic Book"/>
          <w:sz w:val="22"/>
        </w:rPr>
        <w:t xml:space="preserve"> Patients with CLDN18.2- </w:t>
      </w:r>
      <w:r w:rsidR="4D9ABA0B" w:rsidRPr="00F428A9">
        <w:rPr>
          <w:rFonts w:ascii="Franklin Gothic Book" w:hAnsi="Franklin Gothic Book"/>
          <w:sz w:val="22"/>
        </w:rPr>
        <w:t xml:space="preserve">exhibited a </w:t>
      </w:r>
      <w:r w:rsidR="757F4716" w:rsidRPr="00F428A9">
        <w:rPr>
          <w:rFonts w:ascii="Franklin Gothic Book" w:hAnsi="Franklin Gothic Book"/>
          <w:sz w:val="22"/>
        </w:rPr>
        <w:t xml:space="preserve">statistically </w:t>
      </w:r>
      <w:r w:rsidR="4D9ABA0B" w:rsidRPr="00F428A9">
        <w:rPr>
          <w:rFonts w:ascii="Franklin Gothic Book" w:hAnsi="Franklin Gothic Book"/>
          <w:sz w:val="22"/>
        </w:rPr>
        <w:t xml:space="preserve">significant trend </w:t>
      </w:r>
      <w:r w:rsidR="27402773" w:rsidRPr="00F428A9">
        <w:rPr>
          <w:rFonts w:ascii="Franklin Gothic Book" w:hAnsi="Franklin Gothic Book"/>
          <w:sz w:val="22"/>
        </w:rPr>
        <w:t>towards</w:t>
      </w:r>
      <w:r w:rsidR="4D9ABA0B" w:rsidRPr="00F428A9">
        <w:rPr>
          <w:rFonts w:ascii="Franklin Gothic Book" w:hAnsi="Franklin Gothic Book"/>
          <w:sz w:val="22"/>
        </w:rPr>
        <w:t xml:space="preserve"> </w:t>
      </w:r>
      <w:r w:rsidR="27402773" w:rsidRPr="00F428A9">
        <w:rPr>
          <w:rFonts w:ascii="Franklin Gothic Book" w:hAnsi="Franklin Gothic Book"/>
          <w:sz w:val="22"/>
        </w:rPr>
        <w:t>prolonged</w:t>
      </w:r>
      <w:r w:rsidR="4D9ABA0B" w:rsidRPr="00F428A9">
        <w:rPr>
          <w:rFonts w:ascii="Franklin Gothic Book" w:hAnsi="Franklin Gothic Book"/>
          <w:sz w:val="22"/>
        </w:rPr>
        <w:t xml:space="preserve"> OS (HR: 1.20; 95% CI: 1.07, 1.34</w:t>
      </w:r>
      <w:r w:rsidR="5744488A" w:rsidRPr="00F428A9">
        <w:rPr>
          <w:rFonts w:ascii="Franklin Gothic Book" w:hAnsi="Franklin Gothic Book"/>
          <w:sz w:val="22"/>
        </w:rPr>
        <w:t>, k=12</w:t>
      </w:r>
      <w:r w:rsidR="4D9ABA0B" w:rsidRPr="00F428A9">
        <w:rPr>
          <w:rFonts w:ascii="Franklin Gothic Book" w:hAnsi="Franklin Gothic Book"/>
          <w:sz w:val="22"/>
        </w:rPr>
        <w:t>) and</w:t>
      </w:r>
      <w:r w:rsidR="27402773" w:rsidRPr="00F428A9">
        <w:rPr>
          <w:rFonts w:ascii="Franklin Gothic Book" w:hAnsi="Franklin Gothic Book"/>
          <w:sz w:val="22"/>
        </w:rPr>
        <w:t xml:space="preserve"> non-</w:t>
      </w:r>
      <w:r w:rsidR="5744488A" w:rsidRPr="00F428A9">
        <w:rPr>
          <w:rFonts w:ascii="Franklin Gothic Book" w:hAnsi="Franklin Gothic Book"/>
          <w:sz w:val="22"/>
        </w:rPr>
        <w:t xml:space="preserve">statistically </w:t>
      </w:r>
      <w:r w:rsidR="27402773" w:rsidRPr="00F428A9">
        <w:rPr>
          <w:rFonts w:ascii="Franklin Gothic Book" w:hAnsi="Franklin Gothic Book"/>
          <w:sz w:val="22"/>
        </w:rPr>
        <w:t>significant trend towards prolonged PFS (HR: 1.25; 95% CI: 0.98, 1.61</w:t>
      </w:r>
      <w:r w:rsidR="5744488A" w:rsidRPr="00F428A9">
        <w:rPr>
          <w:rFonts w:ascii="Franklin Gothic Book" w:hAnsi="Franklin Gothic Book"/>
          <w:sz w:val="22"/>
        </w:rPr>
        <w:t>, k=4</w:t>
      </w:r>
      <w:r w:rsidR="27402773" w:rsidRPr="00F428A9">
        <w:rPr>
          <w:rFonts w:ascii="Franklin Gothic Book" w:hAnsi="Franklin Gothic Book"/>
          <w:sz w:val="22"/>
        </w:rPr>
        <w:t>) when compared to CLDN18.2+ patients.</w:t>
      </w:r>
      <w:r w:rsidR="557DF07B" w:rsidRPr="00F428A9">
        <w:rPr>
          <w:rFonts w:ascii="Franklin Gothic Book" w:hAnsi="Franklin Gothic Book"/>
          <w:sz w:val="22"/>
        </w:rPr>
        <w:t xml:space="preserve"> </w:t>
      </w:r>
      <w:bookmarkStart w:id="56" w:name="_Hlk191113001"/>
      <w:r w:rsidR="557DF07B" w:rsidRPr="00F428A9">
        <w:rPr>
          <w:rFonts w:ascii="Franklin Gothic Book" w:hAnsi="Franklin Gothic Book"/>
          <w:i/>
          <w:iCs/>
          <w:sz w:val="22"/>
        </w:rPr>
        <w:t>Overall, the ESCs concluded that the available evidence suggests that expressing CLDN18.2 is possibly prognostic of poorer health outcomes in gastric cancer, but the quality and applicability of this evidence to the proposed Australian clinical population is uncertain.</w:t>
      </w:r>
      <w:bookmarkEnd w:id="56"/>
    </w:p>
    <w:p w14:paraId="18ED7687" w14:textId="77777777" w:rsidR="00D44F9D" w:rsidRPr="00F428A9" w:rsidRDefault="00D44F9D" w:rsidP="00565A06">
      <w:pPr>
        <w:pStyle w:val="Heading4"/>
        <w:rPr>
          <w:rFonts w:ascii="Franklin Gothic Book" w:hAnsi="Franklin Gothic Book"/>
          <w:color w:val="auto"/>
        </w:rPr>
      </w:pPr>
      <w:r w:rsidRPr="00F428A9">
        <w:rPr>
          <w:rFonts w:ascii="Franklin Gothic Book" w:hAnsi="Franklin Gothic Book"/>
          <w:color w:val="auto"/>
        </w:rPr>
        <w:t xml:space="preserve">Predictive evidence </w:t>
      </w:r>
    </w:p>
    <w:p w14:paraId="4B2FFBF9" w14:textId="728B9233" w:rsidR="00711CA1" w:rsidRPr="00F428A9" w:rsidRDefault="5CD84602" w:rsidP="00F428A9">
      <w:pPr>
        <w:pStyle w:val="MSACESParagraph"/>
        <w:rPr>
          <w:rFonts w:ascii="Franklin Gothic Book" w:hAnsi="Franklin Gothic Book"/>
          <w:sz w:val="22"/>
        </w:rPr>
      </w:pPr>
      <w:r w:rsidRPr="00F428A9">
        <w:rPr>
          <w:rFonts w:ascii="Franklin Gothic Book" w:hAnsi="Franklin Gothic Book"/>
          <w:sz w:val="22"/>
        </w:rPr>
        <w:t xml:space="preserve">No predictive evidence was provided in the submission </w:t>
      </w:r>
      <w:r w:rsidR="43F3CB57" w:rsidRPr="00F428A9">
        <w:rPr>
          <w:rFonts w:ascii="Franklin Gothic Book" w:hAnsi="Franklin Gothic Book"/>
          <w:sz w:val="22"/>
        </w:rPr>
        <w:t xml:space="preserve">using the threshold of ≥75% </w:t>
      </w:r>
      <w:r w:rsidRPr="00F428A9">
        <w:rPr>
          <w:rFonts w:ascii="Franklin Gothic Book" w:hAnsi="Franklin Gothic Book"/>
          <w:sz w:val="22"/>
        </w:rPr>
        <w:t>(i.e. no clinical evidence was provided showing a differential effect of zolbetuximab in those with and without the biomarker).</w:t>
      </w:r>
      <w:r w:rsidR="59B1AF18" w:rsidRPr="00F428A9">
        <w:rPr>
          <w:rFonts w:ascii="Franklin Gothic Book" w:hAnsi="Franklin Gothic Book"/>
          <w:sz w:val="22"/>
        </w:rPr>
        <w:t xml:space="preserve"> </w:t>
      </w:r>
      <w:r w:rsidR="1E9705CB" w:rsidRPr="00F428A9">
        <w:rPr>
          <w:rFonts w:ascii="Franklin Gothic Book" w:hAnsi="Franklin Gothic Book"/>
          <w:sz w:val="22"/>
        </w:rPr>
        <w:t xml:space="preserve">Notably, </w:t>
      </w:r>
      <w:r w:rsidR="4E39E99C" w:rsidRPr="00F428A9">
        <w:rPr>
          <w:rFonts w:ascii="Franklin Gothic Book" w:hAnsi="Franklin Gothic Book"/>
          <w:sz w:val="22"/>
        </w:rPr>
        <w:t>the FAST trial, a phase II study of zolbetuximab</w:t>
      </w:r>
      <w:r w:rsidR="523B9171" w:rsidRPr="00F428A9">
        <w:rPr>
          <w:rFonts w:ascii="Franklin Gothic Book" w:hAnsi="Franklin Gothic Book"/>
          <w:sz w:val="22"/>
        </w:rPr>
        <w:t>,</w:t>
      </w:r>
      <w:r w:rsidR="4E39E99C" w:rsidRPr="00F428A9">
        <w:rPr>
          <w:rFonts w:ascii="Franklin Gothic Book" w:hAnsi="Franklin Gothic Book"/>
          <w:sz w:val="22"/>
        </w:rPr>
        <w:t xml:space="preserve"> presented evidence of efficacy </w:t>
      </w:r>
      <w:r w:rsidR="4D8A9C5F" w:rsidRPr="00F428A9">
        <w:rPr>
          <w:rFonts w:ascii="Franklin Gothic Book" w:hAnsi="Franklin Gothic Book"/>
          <w:sz w:val="22"/>
        </w:rPr>
        <w:t>in patients</w:t>
      </w:r>
      <w:r w:rsidR="4E39E99C" w:rsidRPr="00F428A9">
        <w:rPr>
          <w:rFonts w:ascii="Franklin Gothic Book" w:hAnsi="Franklin Gothic Book"/>
          <w:sz w:val="22"/>
        </w:rPr>
        <w:t xml:space="preserve"> with a lower threshold of ≥40% CLDN18.2 expression. </w:t>
      </w:r>
      <w:r w:rsidR="1E9705CB" w:rsidRPr="00F428A9">
        <w:rPr>
          <w:rFonts w:ascii="Franklin Gothic Book" w:hAnsi="Franklin Gothic Book"/>
          <w:sz w:val="22"/>
        </w:rPr>
        <w:t xml:space="preserve">In patients with CLDN18.2 expression in ≥70% of tumour cells, significant improvement in </w:t>
      </w:r>
      <w:r w:rsidR="4D8A9C5F" w:rsidRPr="00F428A9">
        <w:rPr>
          <w:rFonts w:ascii="Franklin Gothic Book" w:hAnsi="Franklin Gothic Book"/>
          <w:sz w:val="22"/>
        </w:rPr>
        <w:t>survival</w:t>
      </w:r>
      <w:r w:rsidR="1E9705CB" w:rsidRPr="00F428A9">
        <w:rPr>
          <w:rFonts w:ascii="Franklin Gothic Book" w:hAnsi="Franklin Gothic Book"/>
          <w:sz w:val="22"/>
        </w:rPr>
        <w:t xml:space="preserve"> was observed with zolbetuximab + chemotherapy compared to chemotherapy alone. However, </w:t>
      </w:r>
      <w:r w:rsidR="66162B5F" w:rsidRPr="00F428A9">
        <w:rPr>
          <w:rFonts w:ascii="Franklin Gothic Book" w:hAnsi="Franklin Gothic Book"/>
          <w:sz w:val="22"/>
        </w:rPr>
        <w:t>for</w:t>
      </w:r>
      <w:r w:rsidR="1E9705CB" w:rsidRPr="00F428A9">
        <w:rPr>
          <w:rFonts w:ascii="Franklin Gothic Book" w:hAnsi="Franklin Gothic Book"/>
          <w:sz w:val="22"/>
        </w:rPr>
        <w:t xml:space="preserve"> patients with 40%-69% CLDN18.2 expression</w:t>
      </w:r>
      <w:r w:rsidR="66162B5F" w:rsidRPr="00F428A9">
        <w:rPr>
          <w:rFonts w:ascii="Franklin Gothic Book" w:hAnsi="Franklin Gothic Book"/>
          <w:sz w:val="22"/>
        </w:rPr>
        <w:t xml:space="preserve">, there was no significant improvement in survival </w:t>
      </w:r>
      <w:r w:rsidR="4AD54CBF" w:rsidRPr="00F428A9">
        <w:rPr>
          <w:rFonts w:ascii="Franklin Gothic Book" w:hAnsi="Franklin Gothic Book"/>
          <w:sz w:val="22"/>
        </w:rPr>
        <w:t xml:space="preserve">with zolbetuximab + chemotherapy compared to chemotherapy alone. </w:t>
      </w:r>
      <w:r w:rsidR="40AA3CB9" w:rsidRPr="00F428A9">
        <w:rPr>
          <w:rFonts w:ascii="Franklin Gothic Book" w:hAnsi="Franklin Gothic Book"/>
          <w:sz w:val="22"/>
        </w:rPr>
        <w:t xml:space="preserve">The improved efficacy among the subgroups of patients with high CLDN18.2 expressing tumours supports a relationship between CLDN18.2 expression and zolbetuximab. </w:t>
      </w:r>
      <w:r w:rsidR="30CD16A9" w:rsidRPr="00CF37E8">
        <w:rPr>
          <w:rFonts w:ascii="Franklin Gothic Book" w:hAnsi="Franklin Gothic Book"/>
          <w:sz w:val="22"/>
        </w:rPr>
        <w:t>In addition, the ESCs suggested that summarising the results of the early studies of zolbetuximab showing no effect in patients with CLDN18.2- expression would further support the claim that this biomarker has a predictive effect on the effectiveness of zolbetuximab.</w:t>
      </w:r>
    </w:p>
    <w:p w14:paraId="39992F57" w14:textId="77777777" w:rsidR="003D3E6A" w:rsidRPr="00F428A9" w:rsidRDefault="003D3E6A" w:rsidP="00565A06">
      <w:pPr>
        <w:pStyle w:val="Heading4"/>
        <w:rPr>
          <w:rFonts w:ascii="Franklin Gothic Book" w:hAnsi="Franklin Gothic Book"/>
          <w:color w:val="auto"/>
        </w:rPr>
      </w:pPr>
      <w:r w:rsidRPr="00F428A9">
        <w:rPr>
          <w:rFonts w:ascii="Franklin Gothic Book" w:hAnsi="Franklin Gothic Book"/>
          <w:color w:val="auto"/>
        </w:rPr>
        <w:t>Change in management in practice</w:t>
      </w:r>
    </w:p>
    <w:p w14:paraId="2DE70DD0" w14:textId="51ED6A41" w:rsidR="00B73C99" w:rsidRPr="00F428A9" w:rsidRDefault="36C4311C" w:rsidP="00F428A9">
      <w:pPr>
        <w:jc w:val="left"/>
        <w:rPr>
          <w:rFonts w:ascii="Franklin Gothic Book" w:hAnsi="Franklin Gothic Book"/>
          <w:sz w:val="22"/>
        </w:rPr>
      </w:pPr>
      <w:r w:rsidRPr="00F428A9">
        <w:rPr>
          <w:rFonts w:ascii="Franklin Gothic Book" w:hAnsi="Franklin Gothic Book"/>
          <w:sz w:val="22"/>
        </w:rPr>
        <w:t>The European Society of Medical Oncology (ESMO) Gastric Cancer Living Guideline</w:t>
      </w:r>
      <w:r w:rsidR="171A5451" w:rsidRPr="00F428A9">
        <w:rPr>
          <w:rFonts w:ascii="Franklin Gothic Book" w:hAnsi="Franklin Gothic Book"/>
          <w:sz w:val="22"/>
        </w:rPr>
        <w:t xml:space="preserve"> </w:t>
      </w:r>
      <w:r w:rsidRPr="00F428A9">
        <w:rPr>
          <w:rFonts w:ascii="Franklin Gothic Book" w:hAnsi="Franklin Gothic Book"/>
          <w:sz w:val="22"/>
        </w:rPr>
        <w:t xml:space="preserve">recommends </w:t>
      </w:r>
      <w:r w:rsidR="171A5451" w:rsidRPr="00F428A9">
        <w:rPr>
          <w:rFonts w:ascii="Franklin Gothic Book" w:hAnsi="Franklin Gothic Book"/>
          <w:sz w:val="22"/>
        </w:rPr>
        <w:t xml:space="preserve">zolbetuximab </w:t>
      </w:r>
      <w:r w:rsidRPr="00F428A9">
        <w:rPr>
          <w:rFonts w:ascii="Franklin Gothic Book" w:hAnsi="Franklin Gothic Book"/>
          <w:sz w:val="22"/>
        </w:rPr>
        <w:t xml:space="preserve">+ </w:t>
      </w:r>
      <w:r w:rsidR="171A5451" w:rsidRPr="00F428A9">
        <w:rPr>
          <w:rFonts w:ascii="Franklin Gothic Book" w:hAnsi="Franklin Gothic Book"/>
          <w:sz w:val="22"/>
        </w:rPr>
        <w:t xml:space="preserve">chemotherapy for patients </w:t>
      </w:r>
      <w:r w:rsidR="2EDF1192" w:rsidRPr="00F428A9">
        <w:rPr>
          <w:rFonts w:ascii="Franklin Gothic Book" w:hAnsi="Franklin Gothic Book"/>
          <w:sz w:val="22"/>
        </w:rPr>
        <w:t xml:space="preserve">who have </w:t>
      </w:r>
      <w:r w:rsidR="171A5451" w:rsidRPr="00F428A9">
        <w:rPr>
          <w:rFonts w:ascii="Franklin Gothic Book" w:hAnsi="Franklin Gothic Book"/>
          <w:sz w:val="22"/>
        </w:rPr>
        <w:t>tested positive for CLDN18.2 expression (≥75%), HER2-negative, and PD-L1 negative tumours in the first-line metastatic setting. Zolbetuximab is also a potential option for some patients with CLDN18.2+, HER2-negative and PD-L1 positive</w:t>
      </w:r>
      <w:r w:rsidR="171A5451" w:rsidRPr="00F428A9">
        <w:rPr>
          <w:rFonts w:ascii="Franklin Gothic Book" w:hAnsi="Franklin Gothic Book"/>
          <w:i/>
          <w:iCs/>
          <w:sz w:val="22"/>
        </w:rPr>
        <w:t xml:space="preserve"> </w:t>
      </w:r>
      <w:r w:rsidR="171A5451" w:rsidRPr="00F428A9">
        <w:rPr>
          <w:rFonts w:ascii="Franklin Gothic Book" w:hAnsi="Franklin Gothic Book"/>
          <w:sz w:val="22"/>
        </w:rPr>
        <w:t>tumours</w:t>
      </w:r>
      <w:r w:rsidR="00F437F9">
        <w:rPr>
          <w:rFonts w:ascii="Franklin Gothic Book" w:hAnsi="Franklin Gothic Book"/>
          <w:sz w:val="22"/>
        </w:rPr>
        <w:t xml:space="preserve"> (ESMO guidelines)</w:t>
      </w:r>
      <w:r w:rsidR="171A5451" w:rsidRPr="00F428A9">
        <w:rPr>
          <w:rFonts w:ascii="Franklin Gothic Book" w:hAnsi="Franklin Gothic Book"/>
          <w:sz w:val="22"/>
        </w:rPr>
        <w:t>.</w:t>
      </w:r>
      <w:r w:rsidR="171A5451" w:rsidRPr="00F428A9">
        <w:rPr>
          <w:rFonts w:ascii="Franklin Gothic Book" w:hAnsi="Franklin Gothic Book"/>
          <w:i/>
          <w:iCs/>
          <w:sz w:val="22"/>
        </w:rPr>
        <w:t xml:space="preserve"> </w:t>
      </w:r>
      <w:r w:rsidR="7F25D73E" w:rsidRPr="00F428A9">
        <w:rPr>
          <w:rFonts w:ascii="Franklin Gothic Book" w:hAnsi="Franklin Gothic Book"/>
          <w:sz w:val="22"/>
        </w:rPr>
        <w:t>The commentary noted that these recommendations were made despite the lack of evidence</w:t>
      </w:r>
      <w:r w:rsidR="3E36626E" w:rsidRPr="00F428A9">
        <w:rPr>
          <w:rFonts w:ascii="Franklin Gothic Book" w:hAnsi="Franklin Gothic Book"/>
          <w:sz w:val="22"/>
        </w:rPr>
        <w:t xml:space="preserve"> about predictive </w:t>
      </w:r>
      <w:r w:rsidR="72E522C2" w:rsidRPr="00F428A9">
        <w:rPr>
          <w:rFonts w:ascii="Franklin Gothic Book" w:hAnsi="Franklin Gothic Book"/>
          <w:sz w:val="22"/>
        </w:rPr>
        <w:t xml:space="preserve">value of CLDN18.2 expression. </w:t>
      </w:r>
      <w:r w:rsidRPr="00F428A9">
        <w:rPr>
          <w:rFonts w:ascii="Franklin Gothic Book" w:hAnsi="Franklin Gothic Book"/>
          <w:sz w:val="22"/>
        </w:rPr>
        <w:t>The submission stated that MBS listing of IHC CLDN18 testing and PBS listing of zolbetuximab will provide an additional treatment option for patients with HER2-negative G/GOJ cancers.</w:t>
      </w:r>
    </w:p>
    <w:p w14:paraId="1C9D2622" w14:textId="1F1E0455" w:rsidR="00887EA3" w:rsidRPr="00F428A9" w:rsidRDefault="00887EA3" w:rsidP="00F428A9">
      <w:pPr>
        <w:jc w:val="left"/>
        <w:rPr>
          <w:rFonts w:ascii="Franklin Gothic Book" w:hAnsi="Franklin Gothic Book"/>
          <w:sz w:val="22"/>
        </w:rPr>
      </w:pPr>
      <w:r w:rsidRPr="00F428A9">
        <w:rPr>
          <w:rFonts w:ascii="Franklin Gothic Book" w:hAnsi="Franklin Gothic Book"/>
          <w:sz w:val="22"/>
        </w:rPr>
        <w:t>The commentary noted that there is no change in clinical management for HER2-negative G/GOJ cancer patients who do not test positive for CLDN18.2 expression as per the current and proposed clinical management algorithms.</w:t>
      </w:r>
    </w:p>
    <w:p w14:paraId="417A42C8" w14:textId="27C54EDB" w:rsidR="00235777" w:rsidRPr="00F428A9" w:rsidRDefault="11CC37CF" w:rsidP="00F428A9">
      <w:pPr>
        <w:pStyle w:val="MSACESParagraph"/>
        <w:rPr>
          <w:rFonts w:ascii="Franklin Gothic Book" w:hAnsi="Franklin Gothic Book"/>
          <w:sz w:val="22"/>
        </w:rPr>
      </w:pPr>
      <w:r w:rsidRPr="00F428A9">
        <w:rPr>
          <w:rFonts w:ascii="Franklin Gothic Book" w:hAnsi="Franklin Gothic Book"/>
          <w:sz w:val="22"/>
        </w:rPr>
        <w:t xml:space="preserve">As highlighted in the comparative accuracy section, the sensitivity and specificity of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IHC assay was 84% and 95%, respectively. This </w:t>
      </w:r>
      <w:r w:rsidR="00400BAE" w:rsidRPr="00F428A9">
        <w:rPr>
          <w:rFonts w:ascii="Franklin Gothic Book" w:hAnsi="Franklin Gothic Book"/>
          <w:sz w:val="22"/>
        </w:rPr>
        <w:t>indicate</w:t>
      </w:r>
      <w:r w:rsidR="00400BAE">
        <w:rPr>
          <w:rFonts w:ascii="Franklin Gothic Book" w:hAnsi="Franklin Gothic Book"/>
          <w:sz w:val="22"/>
        </w:rPr>
        <w:t>d</w:t>
      </w:r>
      <w:r w:rsidRPr="00F428A9">
        <w:rPr>
          <w:rFonts w:ascii="Franklin Gothic Book" w:hAnsi="Franklin Gothic Book"/>
          <w:sz w:val="22"/>
        </w:rPr>
        <w:t xml:space="preserve"> that 16% of cases</w:t>
      </w:r>
      <w:r w:rsidR="5EF6DE7C" w:rsidRPr="00F428A9">
        <w:rPr>
          <w:rFonts w:ascii="Franklin Gothic Book" w:hAnsi="Franklin Gothic Book"/>
          <w:sz w:val="22"/>
        </w:rPr>
        <w:t xml:space="preserve"> with CLDN18.2 expression</w:t>
      </w:r>
      <w:r w:rsidRPr="00F428A9">
        <w:rPr>
          <w:rFonts w:ascii="Franklin Gothic Book" w:hAnsi="Franklin Gothic Book"/>
          <w:sz w:val="22"/>
        </w:rPr>
        <w:t xml:space="preserve"> may </w:t>
      </w:r>
      <w:r w:rsidR="49900620" w:rsidRPr="00F428A9">
        <w:rPr>
          <w:rFonts w:ascii="Franklin Gothic Book" w:hAnsi="Franklin Gothic Book"/>
          <w:sz w:val="22"/>
        </w:rPr>
        <w:t>have</w:t>
      </w:r>
      <w:r w:rsidRPr="00F428A9">
        <w:rPr>
          <w:rFonts w:ascii="Franklin Gothic Book" w:hAnsi="Franklin Gothic Book"/>
          <w:sz w:val="22"/>
        </w:rPr>
        <w:t xml:space="preserve"> false negative</w:t>
      </w:r>
      <w:r w:rsidR="1132D558" w:rsidRPr="00F428A9">
        <w:rPr>
          <w:rFonts w:ascii="Franklin Gothic Book" w:hAnsi="Franklin Gothic Book"/>
          <w:sz w:val="22"/>
        </w:rPr>
        <w:t xml:space="preserve"> results</w:t>
      </w:r>
      <w:r w:rsidRPr="00F428A9">
        <w:rPr>
          <w:rFonts w:ascii="Franklin Gothic Book" w:hAnsi="Franklin Gothic Book"/>
          <w:sz w:val="22"/>
        </w:rPr>
        <w:t>, while 5%</w:t>
      </w:r>
      <w:r w:rsidR="5EF6DE7C" w:rsidRPr="00F428A9">
        <w:rPr>
          <w:rFonts w:ascii="Franklin Gothic Book" w:hAnsi="Franklin Gothic Book"/>
          <w:sz w:val="22"/>
        </w:rPr>
        <w:t xml:space="preserve"> of non-CLDN18.2 expression</w:t>
      </w:r>
      <w:r w:rsidRPr="00F428A9">
        <w:rPr>
          <w:rFonts w:ascii="Franklin Gothic Book" w:hAnsi="Franklin Gothic Book"/>
          <w:sz w:val="22"/>
        </w:rPr>
        <w:t xml:space="preserve"> may yield false positive</w:t>
      </w:r>
      <w:r w:rsidR="1132D558" w:rsidRPr="00F428A9">
        <w:rPr>
          <w:rFonts w:ascii="Franklin Gothic Book" w:hAnsi="Franklin Gothic Book"/>
          <w:sz w:val="22"/>
        </w:rPr>
        <w:t xml:space="preserve"> results</w:t>
      </w:r>
      <w:r w:rsidRPr="00F428A9">
        <w:rPr>
          <w:rFonts w:ascii="Franklin Gothic Book" w:hAnsi="Franklin Gothic Book"/>
          <w:sz w:val="22"/>
        </w:rPr>
        <w:t xml:space="preserve">. </w:t>
      </w:r>
      <w:r w:rsidR="2DB91879" w:rsidRPr="00F428A9">
        <w:rPr>
          <w:rFonts w:ascii="Franklin Gothic Book" w:hAnsi="Franklin Gothic Book"/>
          <w:sz w:val="22"/>
        </w:rPr>
        <w:t>The commentary considered that w</w:t>
      </w:r>
      <w:r w:rsidR="71DF7F55" w:rsidRPr="00F428A9">
        <w:rPr>
          <w:rFonts w:ascii="Franklin Gothic Book" w:hAnsi="Franklin Gothic Book"/>
          <w:sz w:val="22"/>
        </w:rPr>
        <w:t xml:space="preserve">hile the false negative </w:t>
      </w:r>
      <w:r w:rsidR="1132D558" w:rsidRPr="00F428A9">
        <w:rPr>
          <w:rFonts w:ascii="Franklin Gothic Book" w:hAnsi="Franklin Gothic Book"/>
          <w:sz w:val="22"/>
        </w:rPr>
        <w:t>results</w:t>
      </w:r>
      <w:r w:rsidR="71DF7F55" w:rsidRPr="00F428A9">
        <w:rPr>
          <w:rFonts w:ascii="Franklin Gothic Book" w:hAnsi="Franklin Gothic Book"/>
          <w:sz w:val="22"/>
        </w:rPr>
        <w:t xml:space="preserve"> may not result in a clinically significant impact if the claim of noninferiority between zolbetuximab and nivolumab, in combination with chemotherapy, is accepted by the PBAC,</w:t>
      </w:r>
      <w:r w:rsidR="36E14D3D" w:rsidRPr="00F428A9">
        <w:rPr>
          <w:rFonts w:ascii="Franklin Gothic Book" w:hAnsi="Franklin Gothic Book"/>
          <w:sz w:val="22"/>
        </w:rPr>
        <w:t xml:space="preserve"> the</w:t>
      </w:r>
      <w:r w:rsidR="71DF7F55" w:rsidRPr="00F428A9">
        <w:rPr>
          <w:rFonts w:ascii="Franklin Gothic Book" w:hAnsi="Franklin Gothic Book"/>
          <w:sz w:val="22"/>
        </w:rPr>
        <w:t xml:space="preserve"> treatment of false positive patients with zolbetuximab poses a potential risk. This is because there is no evidence supporting the efficacy and safety of zolbetuximab in patients </w:t>
      </w:r>
      <w:r w:rsidR="7257538B" w:rsidRPr="00F428A9">
        <w:rPr>
          <w:rFonts w:ascii="Franklin Gothic Book" w:hAnsi="Franklin Gothic Book"/>
          <w:sz w:val="22"/>
        </w:rPr>
        <w:t xml:space="preserve">with </w:t>
      </w:r>
      <w:r w:rsidR="71DF7F55" w:rsidRPr="00F428A9">
        <w:rPr>
          <w:rFonts w:ascii="Franklin Gothic Book" w:hAnsi="Franklin Gothic Book"/>
          <w:sz w:val="22"/>
        </w:rPr>
        <w:t>CLDN18.2</w:t>
      </w:r>
      <w:r w:rsidR="7257538B" w:rsidRPr="00F428A9">
        <w:rPr>
          <w:rFonts w:ascii="Franklin Gothic Book" w:hAnsi="Franklin Gothic Book"/>
          <w:sz w:val="22"/>
        </w:rPr>
        <w:t>-</w:t>
      </w:r>
      <w:r w:rsidR="71DF7F55" w:rsidRPr="00F428A9">
        <w:rPr>
          <w:rFonts w:ascii="Franklin Gothic Book" w:hAnsi="Franklin Gothic Book"/>
          <w:sz w:val="22"/>
        </w:rPr>
        <w:t xml:space="preserve"> expression, whereas evidence exists to support the use of nivolumab </w:t>
      </w:r>
      <w:r w:rsidR="7257538B" w:rsidRPr="00F428A9">
        <w:rPr>
          <w:rFonts w:ascii="Franklin Gothic Book" w:hAnsi="Franklin Gothic Book"/>
          <w:sz w:val="22"/>
        </w:rPr>
        <w:t>irrespective of CLDN18.2 expression</w:t>
      </w:r>
      <w:r w:rsidR="71DF7F55" w:rsidRPr="00F428A9">
        <w:rPr>
          <w:rFonts w:ascii="Franklin Gothic Book" w:hAnsi="Franklin Gothic Book"/>
          <w:sz w:val="22"/>
        </w:rPr>
        <w:t>.</w:t>
      </w:r>
    </w:p>
    <w:p w14:paraId="1E5BDA7D" w14:textId="004A4B84" w:rsidR="00EE5014" w:rsidRPr="00F428A9" w:rsidRDefault="00EE5014" w:rsidP="00B50C3D">
      <w:pPr>
        <w:pStyle w:val="Heading4"/>
        <w:spacing w:after="120"/>
        <w:ind w:left="1298" w:hanging="1298"/>
        <w:rPr>
          <w:rFonts w:ascii="Franklin Gothic Book" w:hAnsi="Franklin Gothic Book"/>
          <w:color w:val="auto"/>
        </w:rPr>
      </w:pPr>
      <w:r w:rsidRPr="00F428A9">
        <w:rPr>
          <w:rFonts w:ascii="Franklin Gothic Book" w:hAnsi="Franklin Gothic Book"/>
          <w:color w:val="auto"/>
        </w:rPr>
        <w:t xml:space="preserve">Claim of </w:t>
      </w:r>
      <w:proofErr w:type="spellStart"/>
      <w:r w:rsidRPr="00F428A9">
        <w:rPr>
          <w:rFonts w:ascii="Franklin Gothic Book" w:hAnsi="Franklin Gothic Book"/>
          <w:color w:val="auto"/>
        </w:rPr>
        <w:t>codependence</w:t>
      </w:r>
      <w:proofErr w:type="spellEnd"/>
      <w:r w:rsidRPr="00F428A9">
        <w:rPr>
          <w:rFonts w:ascii="Franklin Gothic Book" w:hAnsi="Franklin Gothic Book"/>
          <w:color w:val="auto"/>
        </w:rPr>
        <w:t xml:space="preserve"> </w:t>
      </w:r>
    </w:p>
    <w:p w14:paraId="46B8B85E" w14:textId="702B42C3" w:rsidR="00E8010D" w:rsidRPr="00F428A9" w:rsidRDefault="00E8010D" w:rsidP="00F428A9">
      <w:pPr>
        <w:pStyle w:val="MSACESParagraph"/>
        <w:rPr>
          <w:rFonts w:ascii="Franklin Gothic Book" w:hAnsi="Franklin Gothic Book"/>
          <w:sz w:val="22"/>
        </w:rPr>
      </w:pPr>
      <w:r w:rsidRPr="00F428A9">
        <w:rPr>
          <w:rFonts w:ascii="Franklin Gothic Book" w:hAnsi="Franklin Gothic Book"/>
          <w:sz w:val="22"/>
        </w:rPr>
        <w:t xml:space="preserve">Zolbetuximab, a chimeric </w:t>
      </w:r>
      <w:r w:rsidR="00D80E02" w:rsidRPr="00F428A9">
        <w:rPr>
          <w:rFonts w:ascii="Franklin Gothic Book" w:hAnsi="Franklin Gothic Book"/>
          <w:sz w:val="22"/>
        </w:rPr>
        <w:t>immunoglobulinG1 (</w:t>
      </w:r>
      <w:r w:rsidRPr="00F428A9">
        <w:rPr>
          <w:rFonts w:ascii="Franklin Gothic Book" w:hAnsi="Franklin Gothic Book"/>
          <w:sz w:val="22"/>
        </w:rPr>
        <w:t>IgG1</w:t>
      </w:r>
      <w:r w:rsidR="00D80E02" w:rsidRPr="00F428A9">
        <w:rPr>
          <w:rFonts w:ascii="Franklin Gothic Book" w:hAnsi="Franklin Gothic Book"/>
          <w:sz w:val="22"/>
        </w:rPr>
        <w:t>)</w:t>
      </w:r>
      <w:r w:rsidRPr="00F428A9">
        <w:rPr>
          <w:rFonts w:ascii="Franklin Gothic Book" w:hAnsi="Franklin Gothic Book"/>
          <w:sz w:val="22"/>
        </w:rPr>
        <w:t xml:space="preserve"> monoclonal antibody, binds to CLDN18.2, a tight junction protein that is highly expressed in G/GOJ adenocarcinoma.</w:t>
      </w:r>
      <w:r w:rsidR="004257AE" w:rsidRPr="00F428A9">
        <w:rPr>
          <w:rFonts w:ascii="Franklin Gothic Book" w:hAnsi="Franklin Gothic Book"/>
          <w:sz w:val="22"/>
        </w:rPr>
        <w:t xml:space="preserve"> </w:t>
      </w:r>
      <w:r w:rsidRPr="00F428A9">
        <w:rPr>
          <w:rFonts w:ascii="Franklin Gothic Book" w:hAnsi="Franklin Gothic Book"/>
          <w:sz w:val="22"/>
        </w:rPr>
        <w:t xml:space="preserve">Upon binding, zolbetuximab induces cancer cell death through antibody-dependent cellular cytotoxicity and complement-dependent cytotoxicity. </w:t>
      </w:r>
    </w:p>
    <w:p w14:paraId="785E97DC" w14:textId="56AD1E02" w:rsidR="00535982" w:rsidRPr="00F428A9" w:rsidRDefault="5A6D3534" w:rsidP="00F428A9">
      <w:pPr>
        <w:pStyle w:val="MSACESParagraph"/>
        <w:rPr>
          <w:rFonts w:ascii="Franklin Gothic Book" w:hAnsi="Franklin Gothic Book"/>
          <w:sz w:val="22"/>
        </w:rPr>
      </w:pPr>
      <w:r w:rsidRPr="00F428A9">
        <w:rPr>
          <w:rFonts w:ascii="Franklin Gothic Book" w:hAnsi="Franklin Gothic Book"/>
          <w:sz w:val="22"/>
        </w:rPr>
        <w:t xml:space="preserve">The CLDN18.2 threshold for a positive result was ≥75% tumour cells showing moderate-to-strong membranous staining, while &lt;75% </w:t>
      </w:r>
      <w:r w:rsidR="14D5D3F2" w:rsidRPr="00F428A9">
        <w:rPr>
          <w:rFonts w:ascii="Franklin Gothic Book" w:hAnsi="Franklin Gothic Book"/>
          <w:sz w:val="22"/>
        </w:rPr>
        <w:t>indicated</w:t>
      </w:r>
      <w:r w:rsidRPr="00F428A9">
        <w:rPr>
          <w:rFonts w:ascii="Franklin Gothic Book" w:hAnsi="Franklin Gothic Book"/>
          <w:sz w:val="22"/>
        </w:rPr>
        <w:t xml:space="preserve"> a negative result. </w:t>
      </w:r>
      <w:r w:rsidR="000B6C1F" w:rsidRPr="00F428A9">
        <w:rPr>
          <w:rFonts w:ascii="Franklin Gothic Book" w:hAnsi="Franklin Gothic Book"/>
          <w:sz w:val="22"/>
        </w:rPr>
        <w:t xml:space="preserve">This ≥75% threshold was based on evidence from SPOTLIGHT and GLOW trials. Additionally, this was supported by the </w:t>
      </w:r>
      <w:r w:rsidRPr="00F428A9">
        <w:rPr>
          <w:rFonts w:ascii="Franklin Gothic Book" w:hAnsi="Franklin Gothic Book"/>
          <w:sz w:val="22"/>
        </w:rPr>
        <w:t>FAST</w:t>
      </w:r>
      <w:r w:rsidR="14D5D3F2" w:rsidRPr="00F428A9">
        <w:rPr>
          <w:rFonts w:ascii="Franklin Gothic Book" w:hAnsi="Franklin Gothic Book"/>
          <w:sz w:val="22"/>
        </w:rPr>
        <w:t xml:space="preserve"> </w:t>
      </w:r>
      <w:r w:rsidR="492A5E25" w:rsidRPr="00F428A9">
        <w:rPr>
          <w:rFonts w:ascii="Franklin Gothic Book" w:hAnsi="Franklin Gothic Book"/>
          <w:sz w:val="22"/>
        </w:rPr>
        <w:t>study</w:t>
      </w:r>
      <w:r w:rsidR="002F42DE">
        <w:rPr>
          <w:rStyle w:val="FootnoteReference"/>
          <w:rFonts w:ascii="Franklin Gothic Book" w:hAnsi="Franklin Gothic Book"/>
          <w:sz w:val="22"/>
        </w:rPr>
        <w:footnoteReference w:id="19"/>
      </w:r>
      <w:r w:rsidR="492A5E25" w:rsidRPr="00F428A9">
        <w:rPr>
          <w:rFonts w:ascii="Franklin Gothic Book" w:hAnsi="Franklin Gothic Book"/>
          <w:sz w:val="22"/>
        </w:rPr>
        <w:t xml:space="preserve">, which </w:t>
      </w:r>
      <w:r w:rsidR="00552EA9" w:rsidRPr="00F428A9">
        <w:rPr>
          <w:rFonts w:ascii="Franklin Gothic Book" w:hAnsi="Franklin Gothic Book"/>
          <w:sz w:val="22"/>
        </w:rPr>
        <w:t>was</w:t>
      </w:r>
      <w:r w:rsidR="492A5E25" w:rsidRPr="00F428A9">
        <w:rPr>
          <w:rFonts w:ascii="Franklin Gothic Book" w:hAnsi="Franklin Gothic Book"/>
          <w:sz w:val="22"/>
        </w:rPr>
        <w:t xml:space="preserve"> a </w:t>
      </w:r>
      <w:r w:rsidR="1EC16E24" w:rsidRPr="00F428A9">
        <w:rPr>
          <w:rFonts w:ascii="Franklin Gothic Book" w:hAnsi="Franklin Gothic Book"/>
          <w:sz w:val="22"/>
        </w:rPr>
        <w:t>p</w:t>
      </w:r>
      <w:r w:rsidRPr="00F428A9">
        <w:rPr>
          <w:rFonts w:ascii="Franklin Gothic Book" w:hAnsi="Franklin Gothic Book"/>
          <w:sz w:val="22"/>
        </w:rPr>
        <w:t>hase II study</w:t>
      </w:r>
      <w:r w:rsidR="0E4D1A59" w:rsidRPr="00F428A9">
        <w:rPr>
          <w:rFonts w:ascii="Franklin Gothic Book" w:hAnsi="Franklin Gothic Book"/>
          <w:sz w:val="22"/>
        </w:rPr>
        <w:t xml:space="preserve"> that </w:t>
      </w:r>
      <w:r w:rsidRPr="00F428A9">
        <w:rPr>
          <w:rFonts w:ascii="Franklin Gothic Book" w:hAnsi="Franklin Gothic Book"/>
          <w:sz w:val="22"/>
        </w:rPr>
        <w:t>included adult</w:t>
      </w:r>
      <w:r w:rsidR="14D5D3F2" w:rsidRPr="00F428A9">
        <w:rPr>
          <w:rFonts w:ascii="Franklin Gothic Book" w:hAnsi="Franklin Gothic Book"/>
          <w:sz w:val="22"/>
        </w:rPr>
        <w:t xml:space="preserve">s </w:t>
      </w:r>
      <w:r w:rsidRPr="00F428A9">
        <w:rPr>
          <w:rFonts w:ascii="Franklin Gothic Book" w:hAnsi="Franklin Gothic Book"/>
          <w:sz w:val="22"/>
        </w:rPr>
        <w:t xml:space="preserve">with locally advanced, inoperable, recurrent, or metastatic G/GOJ cancers </w:t>
      </w:r>
      <w:r w:rsidR="14D5D3F2" w:rsidRPr="00F428A9">
        <w:rPr>
          <w:rFonts w:ascii="Franklin Gothic Book" w:hAnsi="Franklin Gothic Book"/>
          <w:sz w:val="22"/>
        </w:rPr>
        <w:t>and</w:t>
      </w:r>
      <w:r w:rsidRPr="00F428A9">
        <w:rPr>
          <w:rFonts w:ascii="Franklin Gothic Book" w:hAnsi="Franklin Gothic Book"/>
          <w:sz w:val="22"/>
        </w:rPr>
        <w:t xml:space="preserve"> CLDN18.2</w:t>
      </w:r>
      <w:r w:rsidR="14D5D3F2" w:rsidRPr="00F428A9">
        <w:rPr>
          <w:rFonts w:ascii="Franklin Gothic Book" w:hAnsi="Franklin Gothic Book"/>
          <w:sz w:val="22"/>
        </w:rPr>
        <w:t xml:space="preserve">+ </w:t>
      </w:r>
      <w:r w:rsidRPr="00F428A9">
        <w:rPr>
          <w:rFonts w:ascii="Franklin Gothic Book" w:hAnsi="Franklin Gothic Book"/>
          <w:sz w:val="22"/>
        </w:rPr>
        <w:t xml:space="preserve">expression in ≥40% of tumour cells. </w:t>
      </w:r>
      <w:bookmarkStart w:id="57" w:name="_Hlk184118857"/>
      <w:r w:rsidRPr="00F428A9">
        <w:rPr>
          <w:rFonts w:ascii="Franklin Gothic Book" w:hAnsi="Franklin Gothic Book"/>
          <w:sz w:val="22"/>
        </w:rPr>
        <w:t xml:space="preserve">In patients </w:t>
      </w:r>
      <w:r w:rsidR="14D5D3F2" w:rsidRPr="00F428A9">
        <w:rPr>
          <w:rFonts w:ascii="Franklin Gothic Book" w:hAnsi="Franklin Gothic Book"/>
          <w:sz w:val="22"/>
        </w:rPr>
        <w:t xml:space="preserve">with </w:t>
      </w:r>
      <w:r w:rsidR="24E6DCE6" w:rsidRPr="00F428A9">
        <w:rPr>
          <w:rFonts w:ascii="Franklin Gothic Book" w:hAnsi="Franklin Gothic Book"/>
          <w:sz w:val="22"/>
        </w:rPr>
        <w:t xml:space="preserve">CLDN18.2 expression in </w:t>
      </w:r>
      <w:r w:rsidRPr="00F428A9">
        <w:rPr>
          <w:rFonts w:ascii="Franklin Gothic Book" w:hAnsi="Franklin Gothic Book"/>
          <w:sz w:val="22"/>
        </w:rPr>
        <w:t xml:space="preserve">≥70% of tumour cells, significant improvement in PFS and OS </w:t>
      </w:r>
      <w:r w:rsidR="14D5D3F2" w:rsidRPr="00F428A9">
        <w:rPr>
          <w:rFonts w:ascii="Franklin Gothic Book" w:hAnsi="Franklin Gothic Book"/>
          <w:sz w:val="22"/>
        </w:rPr>
        <w:t xml:space="preserve">was observed </w:t>
      </w:r>
      <w:r w:rsidRPr="00F428A9">
        <w:rPr>
          <w:rFonts w:ascii="Franklin Gothic Book" w:hAnsi="Franklin Gothic Book"/>
          <w:sz w:val="22"/>
        </w:rPr>
        <w:t>with zolbetuximab + chemotherapy compared to chemotherapy</w:t>
      </w:r>
      <w:r w:rsidR="14D5D3F2" w:rsidRPr="00F428A9">
        <w:rPr>
          <w:rFonts w:ascii="Franklin Gothic Book" w:hAnsi="Franklin Gothic Book"/>
          <w:sz w:val="22"/>
        </w:rPr>
        <w:t xml:space="preserve"> alone</w:t>
      </w:r>
      <w:r w:rsidRPr="00F428A9">
        <w:rPr>
          <w:rFonts w:ascii="Franklin Gothic Book" w:hAnsi="Franklin Gothic Book"/>
          <w:sz w:val="22"/>
        </w:rPr>
        <w:t xml:space="preserve">. However, patients with 40%-69% </w:t>
      </w:r>
      <w:r w:rsidR="24E6DCE6" w:rsidRPr="00F428A9">
        <w:rPr>
          <w:rFonts w:ascii="Franklin Gothic Book" w:hAnsi="Franklin Gothic Book"/>
          <w:sz w:val="22"/>
        </w:rPr>
        <w:t xml:space="preserve">CLDN18.2 </w:t>
      </w:r>
      <w:r w:rsidR="14D5D3F2" w:rsidRPr="00F428A9">
        <w:rPr>
          <w:rFonts w:ascii="Franklin Gothic Book" w:hAnsi="Franklin Gothic Book"/>
          <w:sz w:val="22"/>
        </w:rPr>
        <w:t xml:space="preserve">expression </w:t>
      </w:r>
      <w:r w:rsidRPr="00F428A9">
        <w:rPr>
          <w:rFonts w:ascii="Franklin Gothic Book" w:hAnsi="Franklin Gothic Book"/>
          <w:sz w:val="22"/>
        </w:rPr>
        <w:t>did not demonstrate significant differences between the two arms.</w:t>
      </w:r>
      <w:bookmarkEnd w:id="57"/>
      <w:r w:rsidRPr="00F428A9">
        <w:rPr>
          <w:rFonts w:ascii="Franklin Gothic Book" w:hAnsi="Franklin Gothic Book"/>
          <w:sz w:val="22"/>
        </w:rPr>
        <w:t xml:space="preserve"> </w:t>
      </w:r>
      <w:r w:rsidR="00284E67" w:rsidRPr="00F428A9">
        <w:rPr>
          <w:rFonts w:ascii="Franklin Gothic Book" w:hAnsi="Franklin Gothic Book"/>
          <w:sz w:val="22"/>
        </w:rPr>
        <w:t xml:space="preserve">The authors </w:t>
      </w:r>
      <w:r w:rsidR="005B6D5F" w:rsidRPr="00F428A9">
        <w:rPr>
          <w:rFonts w:ascii="Franklin Gothic Book" w:hAnsi="Franklin Gothic Book"/>
          <w:sz w:val="22"/>
        </w:rPr>
        <w:t>stated that t</w:t>
      </w:r>
      <w:r w:rsidR="00F850B0" w:rsidRPr="00F428A9">
        <w:rPr>
          <w:rFonts w:ascii="Franklin Gothic Book" w:hAnsi="Franklin Gothic Book"/>
          <w:sz w:val="22"/>
        </w:rPr>
        <w:t>he improved efficacy among the subgroups of patients with high CLDN18.2 expressing tumours support a relationship between CLD</w:t>
      </w:r>
      <w:r w:rsidR="00030A66" w:rsidRPr="00F428A9">
        <w:rPr>
          <w:rFonts w:ascii="Franklin Gothic Book" w:hAnsi="Franklin Gothic Book"/>
          <w:sz w:val="22"/>
        </w:rPr>
        <w:t>N</w:t>
      </w:r>
      <w:r w:rsidR="00F850B0" w:rsidRPr="00F428A9">
        <w:rPr>
          <w:rFonts w:ascii="Franklin Gothic Book" w:hAnsi="Franklin Gothic Book"/>
          <w:sz w:val="22"/>
        </w:rPr>
        <w:t xml:space="preserve">18.2 expression and zolbetuximab. </w:t>
      </w:r>
      <w:r w:rsidR="14D5D3F2" w:rsidRPr="00F428A9">
        <w:rPr>
          <w:rFonts w:ascii="Franklin Gothic Book" w:hAnsi="Franklin Gothic Book"/>
          <w:sz w:val="22"/>
        </w:rPr>
        <w:t xml:space="preserve">In </w:t>
      </w:r>
      <w:r w:rsidR="58EADAA5" w:rsidRPr="00F428A9">
        <w:rPr>
          <w:rFonts w:ascii="Franklin Gothic Book" w:hAnsi="Franklin Gothic Book"/>
          <w:sz w:val="22"/>
        </w:rPr>
        <w:t xml:space="preserve">the </w:t>
      </w:r>
      <w:r w:rsidRPr="00F428A9">
        <w:rPr>
          <w:rFonts w:ascii="Franklin Gothic Book" w:hAnsi="Franklin Gothic Book"/>
          <w:sz w:val="22"/>
        </w:rPr>
        <w:t>SPOTLIGHT and GLOW trials</w:t>
      </w:r>
      <w:r w:rsidR="58EADAA5" w:rsidRPr="00F428A9">
        <w:rPr>
          <w:rFonts w:ascii="Franklin Gothic Book" w:hAnsi="Franklin Gothic Book"/>
          <w:sz w:val="22"/>
        </w:rPr>
        <w:t xml:space="preserve">, CLDN18.2 positivity was defined as ≥75% of tumour cells </w:t>
      </w:r>
      <w:r w:rsidR="14D5D3F2" w:rsidRPr="00F428A9">
        <w:rPr>
          <w:rFonts w:ascii="Franklin Gothic Book" w:hAnsi="Franklin Gothic Book"/>
          <w:sz w:val="22"/>
        </w:rPr>
        <w:t xml:space="preserve">with </w:t>
      </w:r>
      <w:r w:rsidR="58EADAA5" w:rsidRPr="00F428A9">
        <w:rPr>
          <w:rFonts w:ascii="Franklin Gothic Book" w:hAnsi="Franklin Gothic Book"/>
          <w:sz w:val="22"/>
        </w:rPr>
        <w:t>moderate-to strong membranous staining</w:t>
      </w:r>
      <w:r w:rsidR="14D5D3F2" w:rsidRPr="00F428A9">
        <w:rPr>
          <w:rFonts w:ascii="Franklin Gothic Book" w:hAnsi="Franklin Gothic Book"/>
          <w:sz w:val="22"/>
        </w:rPr>
        <w:t>.</w:t>
      </w:r>
      <w:r w:rsidRPr="00F428A9" w:rsidDel="24E6DCE6">
        <w:rPr>
          <w:rFonts w:ascii="Franklin Gothic Book" w:hAnsi="Franklin Gothic Book"/>
          <w:sz w:val="22"/>
        </w:rPr>
        <w:t xml:space="preserve"> </w:t>
      </w:r>
    </w:p>
    <w:p w14:paraId="4B9580DF" w14:textId="683099BF" w:rsidR="007D172C" w:rsidRPr="00F428A9" w:rsidRDefault="33DB0CD3" w:rsidP="00F428A9">
      <w:pPr>
        <w:pStyle w:val="InstructionalText"/>
        <w:jc w:val="left"/>
        <w:rPr>
          <w:rFonts w:ascii="Franklin Gothic Book" w:hAnsi="Franklin Gothic Book"/>
          <w:color w:val="auto"/>
          <w:sz w:val="22"/>
        </w:rPr>
      </w:pPr>
      <w:r w:rsidRPr="00F428A9">
        <w:rPr>
          <w:rFonts w:ascii="Franklin Gothic Book" w:hAnsi="Franklin Gothic Book"/>
          <w:color w:val="auto"/>
          <w:sz w:val="22"/>
        </w:rPr>
        <w:t>Based on the results of the FAST study, there may be predictive</w:t>
      </w:r>
      <w:r w:rsidR="21CE0965" w:rsidRPr="00F428A9">
        <w:rPr>
          <w:rFonts w:ascii="Franklin Gothic Book" w:hAnsi="Franklin Gothic Book"/>
          <w:color w:val="auto"/>
          <w:sz w:val="22"/>
        </w:rPr>
        <w:t xml:space="preserve"> </w:t>
      </w:r>
      <w:r w:rsidRPr="00F428A9">
        <w:rPr>
          <w:rFonts w:ascii="Franklin Gothic Book" w:hAnsi="Franklin Gothic Book"/>
          <w:color w:val="auto"/>
          <w:sz w:val="22"/>
        </w:rPr>
        <w:t>value</w:t>
      </w:r>
      <w:r w:rsidR="21CE0965" w:rsidRPr="00F428A9">
        <w:rPr>
          <w:rFonts w:ascii="Franklin Gothic Book" w:hAnsi="Franklin Gothic Book"/>
          <w:color w:val="auto"/>
          <w:sz w:val="22"/>
        </w:rPr>
        <w:t xml:space="preserve"> based on the threshold for CLDN18.2 expression. However, </w:t>
      </w:r>
      <w:r w:rsidR="0C7702EB" w:rsidRPr="00F428A9">
        <w:rPr>
          <w:rFonts w:ascii="Franklin Gothic Book" w:hAnsi="Franklin Gothic Book"/>
          <w:color w:val="auto"/>
          <w:sz w:val="22"/>
        </w:rPr>
        <w:t>t</w:t>
      </w:r>
      <w:r w:rsidR="2962E444" w:rsidRPr="00F428A9">
        <w:rPr>
          <w:rFonts w:ascii="Franklin Gothic Book" w:hAnsi="Franklin Gothic Book"/>
          <w:color w:val="auto"/>
          <w:sz w:val="22"/>
        </w:rPr>
        <w:t>he submission did not present</w:t>
      </w:r>
      <w:r w:rsidR="46778C13" w:rsidRPr="00F428A9">
        <w:rPr>
          <w:rFonts w:ascii="Franklin Gothic Book" w:hAnsi="Franklin Gothic Book"/>
          <w:color w:val="auto"/>
          <w:sz w:val="22"/>
        </w:rPr>
        <w:t xml:space="preserve"> </w:t>
      </w:r>
      <w:r w:rsidR="2962E444" w:rsidRPr="00F428A9">
        <w:rPr>
          <w:rFonts w:ascii="Franklin Gothic Book" w:hAnsi="Franklin Gothic Book"/>
          <w:color w:val="auto"/>
          <w:sz w:val="22"/>
        </w:rPr>
        <w:t xml:space="preserve">evidence </w:t>
      </w:r>
      <w:r w:rsidR="46778C13" w:rsidRPr="00F428A9">
        <w:rPr>
          <w:rFonts w:ascii="Franklin Gothic Book" w:hAnsi="Franklin Gothic Book"/>
          <w:color w:val="auto"/>
          <w:sz w:val="22"/>
        </w:rPr>
        <w:t xml:space="preserve">regarding </w:t>
      </w:r>
      <w:r w:rsidR="2962E444" w:rsidRPr="00F428A9">
        <w:rPr>
          <w:rFonts w:ascii="Franklin Gothic Book" w:hAnsi="Franklin Gothic Book"/>
          <w:color w:val="auto"/>
          <w:sz w:val="22"/>
        </w:rPr>
        <w:t xml:space="preserve">the treatment effect </w:t>
      </w:r>
      <w:r w:rsidR="1F477ED9" w:rsidRPr="00F428A9">
        <w:rPr>
          <w:rFonts w:ascii="Franklin Gothic Book" w:hAnsi="Franklin Gothic Book"/>
          <w:color w:val="auto"/>
          <w:sz w:val="22"/>
        </w:rPr>
        <w:t xml:space="preserve">modification </w:t>
      </w:r>
      <w:r w:rsidR="2962E444" w:rsidRPr="00F428A9">
        <w:rPr>
          <w:rFonts w:ascii="Franklin Gothic Book" w:hAnsi="Franklin Gothic Book"/>
          <w:color w:val="auto"/>
          <w:sz w:val="22"/>
        </w:rPr>
        <w:t xml:space="preserve">of zolbetuximab + chemotherapy for patients who </w:t>
      </w:r>
      <w:r w:rsidR="361A94DA" w:rsidRPr="00F428A9">
        <w:rPr>
          <w:rFonts w:ascii="Franklin Gothic Book" w:hAnsi="Franklin Gothic Book"/>
          <w:color w:val="auto"/>
          <w:sz w:val="22"/>
        </w:rPr>
        <w:t>tested positive for</w:t>
      </w:r>
      <w:r w:rsidR="2962E444" w:rsidRPr="00F428A9">
        <w:rPr>
          <w:rFonts w:ascii="Franklin Gothic Book" w:hAnsi="Franklin Gothic Book"/>
          <w:color w:val="auto"/>
          <w:sz w:val="22"/>
        </w:rPr>
        <w:t xml:space="preserve"> CLDN18.2 versus patients who were CLDN</w:t>
      </w:r>
      <w:r w:rsidR="361A94DA" w:rsidRPr="00F428A9">
        <w:rPr>
          <w:rFonts w:ascii="Franklin Gothic Book" w:hAnsi="Franklin Gothic Book"/>
          <w:color w:val="auto"/>
          <w:sz w:val="22"/>
        </w:rPr>
        <w:t>18.2</w:t>
      </w:r>
      <w:r w:rsidR="1C457ACE" w:rsidRPr="00F428A9">
        <w:rPr>
          <w:rFonts w:ascii="Franklin Gothic Book" w:hAnsi="Franklin Gothic Book"/>
          <w:color w:val="auto"/>
          <w:sz w:val="22"/>
        </w:rPr>
        <w:t>-</w:t>
      </w:r>
      <w:r w:rsidR="361A94DA" w:rsidRPr="00F428A9">
        <w:rPr>
          <w:rFonts w:ascii="Franklin Gothic Book" w:hAnsi="Franklin Gothic Book"/>
          <w:color w:val="auto"/>
          <w:sz w:val="22"/>
        </w:rPr>
        <w:t xml:space="preserve"> expression</w:t>
      </w:r>
      <w:r w:rsidR="47800623" w:rsidRPr="00F428A9">
        <w:rPr>
          <w:rFonts w:ascii="Franklin Gothic Book" w:hAnsi="Franklin Gothic Book"/>
          <w:color w:val="auto"/>
          <w:sz w:val="22"/>
        </w:rPr>
        <w:t xml:space="preserve"> using the threshold of ≥75%. </w:t>
      </w:r>
      <w:r w:rsidR="361A94DA" w:rsidRPr="00F428A9">
        <w:rPr>
          <w:rFonts w:ascii="Franklin Gothic Book" w:hAnsi="Franklin Gothic Book"/>
          <w:color w:val="auto"/>
          <w:sz w:val="22"/>
        </w:rPr>
        <w:t xml:space="preserve">The commentary noted </w:t>
      </w:r>
      <w:r w:rsidR="299A46D7" w:rsidRPr="00F428A9">
        <w:rPr>
          <w:rFonts w:ascii="Franklin Gothic Book" w:hAnsi="Franklin Gothic Book"/>
          <w:color w:val="auto"/>
          <w:sz w:val="22"/>
        </w:rPr>
        <w:t xml:space="preserve">that </w:t>
      </w:r>
      <w:r w:rsidR="361A94DA" w:rsidRPr="00F428A9">
        <w:rPr>
          <w:rFonts w:ascii="Franklin Gothic Book" w:hAnsi="Franklin Gothic Book"/>
          <w:color w:val="auto"/>
          <w:sz w:val="22"/>
        </w:rPr>
        <w:t xml:space="preserve">the variation in treatment effect </w:t>
      </w:r>
      <w:r w:rsidR="481E8A04" w:rsidRPr="00F428A9">
        <w:rPr>
          <w:rFonts w:ascii="Franklin Gothic Book" w:hAnsi="Franklin Gothic Book"/>
          <w:color w:val="auto"/>
          <w:sz w:val="22"/>
        </w:rPr>
        <w:t>attributable to</w:t>
      </w:r>
      <w:r w:rsidR="361A94DA" w:rsidRPr="00F428A9">
        <w:rPr>
          <w:rFonts w:ascii="Franklin Gothic Book" w:hAnsi="Franklin Gothic Book"/>
          <w:color w:val="auto"/>
          <w:sz w:val="22"/>
        </w:rPr>
        <w:t xml:space="preserve"> CLDN18.2 positivity</w:t>
      </w:r>
      <w:r w:rsidR="1E2DFE88" w:rsidRPr="00F428A9">
        <w:rPr>
          <w:rFonts w:ascii="Franklin Gothic Book" w:hAnsi="Franklin Gothic Book"/>
          <w:color w:val="auto"/>
          <w:sz w:val="22"/>
        </w:rPr>
        <w:t>, isolated from its prognostic effect,</w:t>
      </w:r>
      <w:r w:rsidR="361A94DA" w:rsidRPr="00F428A9">
        <w:rPr>
          <w:rFonts w:ascii="Franklin Gothic Book" w:hAnsi="Franklin Gothic Book"/>
          <w:color w:val="auto"/>
          <w:sz w:val="22"/>
        </w:rPr>
        <w:t xml:space="preserve"> could not be established from the evidence presented</w:t>
      </w:r>
      <w:r w:rsidR="481E8A04" w:rsidRPr="00F428A9">
        <w:rPr>
          <w:rFonts w:ascii="Franklin Gothic Book" w:hAnsi="Franklin Gothic Book"/>
          <w:color w:val="auto"/>
          <w:sz w:val="22"/>
        </w:rPr>
        <w:t>,</w:t>
      </w:r>
      <w:r w:rsidR="361A94DA" w:rsidRPr="00F428A9">
        <w:rPr>
          <w:rFonts w:ascii="Franklin Gothic Book" w:hAnsi="Franklin Gothic Book"/>
          <w:color w:val="auto"/>
          <w:sz w:val="22"/>
        </w:rPr>
        <w:t xml:space="preserve"> and acceptance of the predictive value of the test primarily relies </w:t>
      </w:r>
      <w:r w:rsidR="0070234D" w:rsidRPr="00F428A9">
        <w:rPr>
          <w:rFonts w:ascii="Franklin Gothic Book" w:hAnsi="Franklin Gothic Book"/>
          <w:color w:val="auto"/>
          <w:sz w:val="22"/>
        </w:rPr>
        <w:t xml:space="preserve">solely </w:t>
      </w:r>
      <w:r w:rsidR="361A94DA" w:rsidRPr="00F428A9">
        <w:rPr>
          <w:rFonts w:ascii="Franklin Gothic Book" w:hAnsi="Franklin Gothic Book"/>
          <w:color w:val="auto"/>
          <w:sz w:val="22"/>
        </w:rPr>
        <w:t xml:space="preserve">on biological plausibility. </w:t>
      </w:r>
    </w:p>
    <w:p w14:paraId="1D2C4EF2" w14:textId="6CEF0F7A" w:rsidR="00B733D8" w:rsidRPr="00F428A9" w:rsidRDefault="3860790B" w:rsidP="00F428A9">
      <w:pPr>
        <w:pStyle w:val="MSACESParagraph"/>
        <w:rPr>
          <w:rFonts w:ascii="Franklin Gothic Book" w:hAnsi="Franklin Gothic Book"/>
          <w:sz w:val="22"/>
        </w:rPr>
      </w:pPr>
      <w:r w:rsidRPr="00F428A9">
        <w:rPr>
          <w:rFonts w:ascii="Franklin Gothic Book" w:hAnsi="Franklin Gothic Book"/>
          <w:sz w:val="22"/>
        </w:rPr>
        <w:t xml:space="preserve">Therefore, the value of CLDN18 testing </w:t>
      </w:r>
      <w:r w:rsidR="35FBFDEB" w:rsidRPr="00F428A9">
        <w:rPr>
          <w:rFonts w:ascii="Franklin Gothic Book" w:hAnsi="Franklin Gothic Book"/>
          <w:sz w:val="22"/>
        </w:rPr>
        <w:t xml:space="preserve">in determining eligibility for </w:t>
      </w:r>
      <w:r w:rsidRPr="00F428A9">
        <w:rPr>
          <w:rFonts w:ascii="Franklin Gothic Book" w:hAnsi="Franklin Gothic Book"/>
          <w:sz w:val="22"/>
        </w:rPr>
        <w:t xml:space="preserve">zolbetuximab + chemotherapy is unclear, especially given the noninferiority claim regarding efficacy and safety compared to nivolumab + chemotherapy. </w:t>
      </w:r>
    </w:p>
    <w:p w14:paraId="06751D9E" w14:textId="77777777" w:rsidR="00EE5014" w:rsidRPr="003A793E" w:rsidRDefault="00EE5014"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58" w:name="_Toc187863736"/>
      <w:bookmarkStart w:id="59" w:name="_Toc188441220"/>
      <w:r w:rsidRPr="003A793E">
        <w:rPr>
          <w:rFonts w:ascii="Franklin Gothic Medium" w:hAnsi="Franklin Gothic Medium"/>
          <w:b w:val="0"/>
          <w:i w:val="0"/>
          <w:snapToGrid/>
          <w:color w:val="000000" w:themeColor="text1"/>
          <w:sz w:val="32"/>
          <w:szCs w:val="26"/>
        </w:rPr>
        <w:t xml:space="preserve">Economic </w:t>
      </w:r>
      <w:r w:rsidR="00331A16" w:rsidRPr="003A793E">
        <w:rPr>
          <w:rFonts w:ascii="Franklin Gothic Medium" w:hAnsi="Franklin Gothic Medium"/>
          <w:b w:val="0"/>
          <w:i w:val="0"/>
          <w:snapToGrid/>
          <w:color w:val="000000" w:themeColor="text1"/>
          <w:sz w:val="32"/>
          <w:szCs w:val="26"/>
        </w:rPr>
        <w:t>e</w:t>
      </w:r>
      <w:r w:rsidRPr="003A793E">
        <w:rPr>
          <w:rFonts w:ascii="Franklin Gothic Medium" w:hAnsi="Franklin Gothic Medium"/>
          <w:b w:val="0"/>
          <w:i w:val="0"/>
          <w:snapToGrid/>
          <w:color w:val="000000" w:themeColor="text1"/>
          <w:sz w:val="32"/>
          <w:szCs w:val="26"/>
        </w:rPr>
        <w:t>valuation</w:t>
      </w:r>
      <w:bookmarkEnd w:id="58"/>
      <w:bookmarkEnd w:id="59"/>
    </w:p>
    <w:p w14:paraId="060C3CF7" w14:textId="5AAB8C99" w:rsidR="00237A18" w:rsidRDefault="5A94E6EB" w:rsidP="00F428A9">
      <w:pPr>
        <w:pStyle w:val="MSACESParagraph"/>
        <w:rPr>
          <w:rFonts w:ascii="Franklin Gothic Book" w:hAnsi="Franklin Gothic Book"/>
          <w:sz w:val="22"/>
        </w:rPr>
      </w:pPr>
      <w:r w:rsidRPr="00F428A9">
        <w:rPr>
          <w:rFonts w:ascii="Franklin Gothic Book" w:hAnsi="Franklin Gothic Book"/>
          <w:sz w:val="22"/>
        </w:rPr>
        <w:t xml:space="preserve">The submission presented a cost-minimisation approach (CMA) </w:t>
      </w:r>
      <w:r w:rsidR="03D0FFEB" w:rsidRPr="00F428A9">
        <w:rPr>
          <w:rFonts w:ascii="Franklin Gothic Book" w:hAnsi="Franklin Gothic Book"/>
          <w:sz w:val="22"/>
        </w:rPr>
        <w:t xml:space="preserve">comparing </w:t>
      </w:r>
      <w:r w:rsidRPr="00F428A9">
        <w:rPr>
          <w:rFonts w:ascii="Franklin Gothic Book" w:hAnsi="Franklin Gothic Book"/>
          <w:sz w:val="22"/>
        </w:rPr>
        <w:t>zolbetuximab</w:t>
      </w:r>
      <w:r w:rsidR="34C9C7BE" w:rsidRPr="00F428A9">
        <w:rPr>
          <w:rFonts w:ascii="Franklin Gothic Book" w:hAnsi="Franklin Gothic Book"/>
          <w:sz w:val="22"/>
        </w:rPr>
        <w:t xml:space="preserve"> </w:t>
      </w:r>
      <w:r w:rsidRPr="00F428A9">
        <w:rPr>
          <w:rFonts w:ascii="Franklin Gothic Book" w:hAnsi="Franklin Gothic Book"/>
          <w:sz w:val="22"/>
        </w:rPr>
        <w:t xml:space="preserve">+ chemotherapy </w:t>
      </w:r>
      <w:r w:rsidR="03D0FFEB" w:rsidRPr="00F428A9">
        <w:rPr>
          <w:rFonts w:ascii="Franklin Gothic Book" w:hAnsi="Franklin Gothic Book"/>
          <w:sz w:val="22"/>
        </w:rPr>
        <w:t xml:space="preserve">with CLDN18 testing </w:t>
      </w:r>
      <w:r w:rsidRPr="00F428A9">
        <w:rPr>
          <w:rFonts w:ascii="Franklin Gothic Book" w:hAnsi="Franklin Gothic Book"/>
          <w:sz w:val="22"/>
        </w:rPr>
        <w:t>to nivolumab + chemotherapy</w:t>
      </w:r>
      <w:r w:rsidR="05553060" w:rsidRPr="00F428A9">
        <w:rPr>
          <w:rFonts w:ascii="Franklin Gothic Book" w:hAnsi="Franklin Gothic Book"/>
          <w:sz w:val="22"/>
        </w:rPr>
        <w:t xml:space="preserve"> with no testing, based on the claim of noninferior efficacy and </w:t>
      </w:r>
      <w:r w:rsidR="5DB21A08" w:rsidRPr="00F428A9">
        <w:rPr>
          <w:rFonts w:ascii="Franklin Gothic Book" w:hAnsi="Franklin Gothic Book"/>
          <w:sz w:val="22"/>
        </w:rPr>
        <w:t>safety</w:t>
      </w:r>
      <w:r w:rsidRPr="00F428A9">
        <w:rPr>
          <w:rFonts w:ascii="Franklin Gothic Book" w:hAnsi="Franklin Gothic Book"/>
          <w:sz w:val="22"/>
        </w:rPr>
        <w:t xml:space="preserve">. </w:t>
      </w:r>
      <w:r w:rsidR="7B503948" w:rsidRPr="00F428A9">
        <w:rPr>
          <w:rFonts w:ascii="Franklin Gothic Book" w:hAnsi="Franklin Gothic Book"/>
          <w:sz w:val="22"/>
        </w:rPr>
        <w:t>The commentary considered that CMA is only appropriate if the following are accepted by the PBAC: (</w:t>
      </w:r>
      <w:proofErr w:type="spellStart"/>
      <w:r w:rsidR="7B503948" w:rsidRPr="00F428A9">
        <w:rPr>
          <w:rFonts w:ascii="Franklin Gothic Book" w:hAnsi="Franklin Gothic Book"/>
          <w:sz w:val="22"/>
        </w:rPr>
        <w:t>i</w:t>
      </w:r>
      <w:proofErr w:type="spellEnd"/>
      <w:r w:rsidR="7B503948" w:rsidRPr="00F428A9">
        <w:rPr>
          <w:rFonts w:ascii="Franklin Gothic Book" w:hAnsi="Franklin Gothic Book"/>
          <w:sz w:val="22"/>
        </w:rPr>
        <w:t>) the place in therapy of zolbetuximab + chemotherapy is first line for metastatic disease and (ii) the clinical claim of non-inferiority in terms of effectiveness and safety</w:t>
      </w:r>
      <w:r w:rsidR="22B98481" w:rsidRPr="00F428A9">
        <w:rPr>
          <w:rFonts w:ascii="Franklin Gothic Book" w:hAnsi="Franklin Gothic Book"/>
          <w:sz w:val="22"/>
        </w:rPr>
        <w:t>.</w:t>
      </w:r>
      <w:r w:rsidRPr="00F428A9">
        <w:rPr>
          <w:rFonts w:ascii="Franklin Gothic Book" w:hAnsi="Franklin Gothic Book"/>
          <w:sz w:val="22"/>
        </w:rPr>
        <w:t xml:space="preserve"> </w:t>
      </w:r>
      <w:r w:rsidR="34C9C7BE" w:rsidRPr="00F428A9">
        <w:rPr>
          <w:rFonts w:ascii="Franklin Gothic Book" w:hAnsi="Franklin Gothic Book"/>
          <w:sz w:val="22"/>
        </w:rPr>
        <w:t>A summary of the cost-minimisation economic evaluation is provided in</w:t>
      </w:r>
      <w:r w:rsidR="00F90736">
        <w:rPr>
          <w:rFonts w:ascii="Franklin Gothic Book" w:hAnsi="Franklin Gothic Book"/>
          <w:sz w:val="22"/>
        </w:rPr>
        <w:t xml:space="preserve"> </w:t>
      </w:r>
      <w:r w:rsidR="006276F3">
        <w:rPr>
          <w:rFonts w:ascii="Franklin Gothic Book" w:hAnsi="Franklin Gothic Book"/>
          <w:sz w:val="22"/>
        </w:rPr>
        <w:fldChar w:fldCharType="begin"/>
      </w:r>
      <w:r w:rsidR="006276F3">
        <w:rPr>
          <w:rFonts w:ascii="Franklin Gothic Book" w:hAnsi="Franklin Gothic Book"/>
          <w:sz w:val="22"/>
        </w:rPr>
        <w:instrText xml:space="preserve"> REF _Ref197009964  \* MERGEFORMAT </w:instrText>
      </w:r>
      <w:r w:rsidR="006276F3">
        <w:rPr>
          <w:rFonts w:ascii="Franklin Gothic Book" w:hAnsi="Franklin Gothic Book"/>
          <w:sz w:val="22"/>
        </w:rPr>
        <w:fldChar w:fldCharType="separate"/>
      </w:r>
      <w:r w:rsidR="00132950" w:rsidRPr="00132950">
        <w:rPr>
          <w:rFonts w:ascii="Franklin Gothic Book" w:hAnsi="Franklin Gothic Book"/>
          <w:sz w:val="22"/>
        </w:rPr>
        <w:t>Table 8</w:t>
      </w:r>
      <w:r w:rsidR="006276F3">
        <w:rPr>
          <w:rFonts w:ascii="Franklin Gothic Book" w:hAnsi="Franklin Gothic Book"/>
          <w:sz w:val="22"/>
        </w:rPr>
        <w:fldChar w:fldCharType="end"/>
      </w:r>
      <w:r w:rsidR="34C9C7BE" w:rsidRPr="00F428A9">
        <w:rPr>
          <w:rFonts w:ascii="Franklin Gothic Book" w:hAnsi="Franklin Gothic Book"/>
          <w:sz w:val="22"/>
        </w:rPr>
        <w:t>.</w:t>
      </w:r>
    </w:p>
    <w:p w14:paraId="31B326F8" w14:textId="63A33524" w:rsidR="00C31FA4" w:rsidRPr="00C31FA4" w:rsidRDefault="006276F3" w:rsidP="00C31FA4">
      <w:pPr>
        <w:pStyle w:val="Caption"/>
      </w:pPr>
      <w:bookmarkStart w:id="60" w:name="_Ref197009964"/>
      <w:r>
        <w:t xml:space="preserve">Table </w:t>
      </w:r>
      <w:r w:rsidR="004A65F6">
        <w:fldChar w:fldCharType="begin"/>
      </w:r>
      <w:r w:rsidR="004A65F6">
        <w:instrText xml:space="preserve"> SEQ Table \* ARABIC </w:instrText>
      </w:r>
      <w:r w:rsidR="004A65F6">
        <w:fldChar w:fldCharType="separate"/>
      </w:r>
      <w:r w:rsidR="00132950">
        <w:rPr>
          <w:noProof/>
        </w:rPr>
        <w:t>8</w:t>
      </w:r>
      <w:r w:rsidR="004A65F6">
        <w:rPr>
          <w:noProof/>
        </w:rPr>
        <w:fldChar w:fldCharType="end"/>
      </w:r>
      <w:bookmarkEnd w:id="60"/>
      <w:r w:rsidRPr="006276F3">
        <w:t xml:space="preserve"> </w:t>
      </w:r>
      <w:r w:rsidRPr="005C58E6">
        <w:t>Key components of the CMA provided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6412"/>
      </w:tblGrid>
      <w:tr w:rsidR="00E41328" w:rsidRPr="006F4D53" w14:paraId="71EE73A4" w14:textId="77777777" w:rsidTr="77D89277">
        <w:trPr>
          <w:trHeight w:val="211"/>
        </w:trPr>
        <w:tc>
          <w:tcPr>
            <w:tcW w:w="2604" w:type="dxa"/>
            <w:tcBorders>
              <w:top w:val="single" w:sz="4" w:space="0" w:color="auto"/>
              <w:left w:val="single" w:sz="4" w:space="0" w:color="auto"/>
              <w:bottom w:val="single" w:sz="4" w:space="0" w:color="auto"/>
              <w:right w:val="single" w:sz="4" w:space="0" w:color="auto"/>
            </w:tcBorders>
            <w:vAlign w:val="bottom"/>
            <w:hideMark/>
          </w:tcPr>
          <w:p w14:paraId="1E8B8528" w14:textId="77777777" w:rsidR="00237A18" w:rsidRPr="005C58E6" w:rsidRDefault="002921CD" w:rsidP="77D89277">
            <w:pPr>
              <w:pStyle w:val="TableText"/>
              <w:keepNext/>
              <w:spacing w:line="276" w:lineRule="auto"/>
              <w:jc w:val="both"/>
              <w:rPr>
                <w:b/>
                <w:bCs/>
                <w:kern w:val="2"/>
              </w:rPr>
            </w:pPr>
            <w:r w:rsidRPr="77D89277">
              <w:rPr>
                <w:b/>
                <w:bCs/>
                <w:kern w:val="2"/>
              </w:rPr>
              <w:t>Component</w:t>
            </w:r>
          </w:p>
        </w:tc>
        <w:tc>
          <w:tcPr>
            <w:tcW w:w="6412" w:type="dxa"/>
            <w:tcBorders>
              <w:top w:val="single" w:sz="4" w:space="0" w:color="auto"/>
              <w:left w:val="single" w:sz="4" w:space="0" w:color="auto"/>
              <w:bottom w:val="single" w:sz="4" w:space="0" w:color="auto"/>
              <w:right w:val="single" w:sz="4" w:space="0" w:color="auto"/>
            </w:tcBorders>
            <w:vAlign w:val="bottom"/>
            <w:hideMark/>
          </w:tcPr>
          <w:p w14:paraId="69801690" w14:textId="77777777" w:rsidR="00237A18" w:rsidRPr="005C58E6" w:rsidRDefault="00237A18" w:rsidP="0016579F">
            <w:pPr>
              <w:pStyle w:val="TableText"/>
              <w:keepNext/>
              <w:spacing w:line="276" w:lineRule="auto"/>
              <w:jc w:val="both"/>
              <w:rPr>
                <w:b/>
                <w:kern w:val="2"/>
              </w:rPr>
            </w:pPr>
            <w:r w:rsidRPr="005C58E6">
              <w:rPr>
                <w:b/>
                <w:kern w:val="2"/>
              </w:rPr>
              <w:t>Claim or assumption</w:t>
            </w:r>
          </w:p>
        </w:tc>
      </w:tr>
      <w:tr w:rsidR="00E41328" w:rsidRPr="006F4D53" w14:paraId="164DE462"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63D758E8" w14:textId="77777777" w:rsidR="00237A18" w:rsidRPr="005C58E6" w:rsidRDefault="00237A18" w:rsidP="0016579F">
            <w:pPr>
              <w:pStyle w:val="TableText"/>
              <w:keepNext/>
              <w:spacing w:line="276" w:lineRule="auto"/>
              <w:jc w:val="both"/>
              <w:rPr>
                <w:kern w:val="2"/>
              </w:rPr>
            </w:pPr>
            <w:r w:rsidRPr="005C58E6">
              <w:rPr>
                <w:kern w:val="2"/>
              </w:rPr>
              <w:t>Therapeutic claim: effectiveness</w:t>
            </w:r>
          </w:p>
        </w:tc>
        <w:tc>
          <w:tcPr>
            <w:tcW w:w="6412" w:type="dxa"/>
            <w:tcBorders>
              <w:top w:val="single" w:sz="4" w:space="0" w:color="auto"/>
              <w:left w:val="single" w:sz="4" w:space="0" w:color="auto"/>
              <w:bottom w:val="single" w:sz="4" w:space="0" w:color="auto"/>
              <w:right w:val="single" w:sz="4" w:space="0" w:color="auto"/>
            </w:tcBorders>
            <w:hideMark/>
          </w:tcPr>
          <w:p w14:paraId="577A9FB6" w14:textId="77777777" w:rsidR="00237A18" w:rsidRPr="005C58E6" w:rsidRDefault="00237A18" w:rsidP="0016579F">
            <w:pPr>
              <w:pStyle w:val="TableText"/>
              <w:keepNext/>
              <w:spacing w:line="276" w:lineRule="auto"/>
              <w:jc w:val="both"/>
              <w:rPr>
                <w:kern w:val="2"/>
              </w:rPr>
            </w:pPr>
            <w:r w:rsidRPr="005C58E6">
              <w:rPr>
                <w:kern w:val="2"/>
              </w:rPr>
              <w:t>Based on evidence presented in Section 2, effectiveness is assumed to be noninferior.</w:t>
            </w:r>
          </w:p>
        </w:tc>
      </w:tr>
      <w:tr w:rsidR="00E41328" w:rsidRPr="006F4D53" w14:paraId="699B063C"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453F4038" w14:textId="77777777" w:rsidR="00237A18" w:rsidRPr="005C58E6" w:rsidRDefault="00237A18" w:rsidP="0016579F">
            <w:pPr>
              <w:pStyle w:val="TableText"/>
              <w:keepNext/>
              <w:spacing w:line="276" w:lineRule="auto"/>
              <w:jc w:val="both"/>
              <w:rPr>
                <w:kern w:val="2"/>
              </w:rPr>
            </w:pPr>
            <w:r w:rsidRPr="005C58E6">
              <w:rPr>
                <w:kern w:val="2"/>
              </w:rPr>
              <w:t>Therapeutic claim: safety</w:t>
            </w:r>
          </w:p>
        </w:tc>
        <w:tc>
          <w:tcPr>
            <w:tcW w:w="6412" w:type="dxa"/>
            <w:tcBorders>
              <w:top w:val="single" w:sz="4" w:space="0" w:color="auto"/>
              <w:left w:val="single" w:sz="4" w:space="0" w:color="auto"/>
              <w:bottom w:val="single" w:sz="4" w:space="0" w:color="auto"/>
              <w:right w:val="single" w:sz="4" w:space="0" w:color="auto"/>
            </w:tcBorders>
            <w:hideMark/>
          </w:tcPr>
          <w:p w14:paraId="268F7C29" w14:textId="77777777" w:rsidR="00237A18" w:rsidRPr="005C58E6" w:rsidRDefault="00237A18" w:rsidP="0016579F">
            <w:pPr>
              <w:pStyle w:val="TableText"/>
              <w:keepNext/>
              <w:spacing w:line="276" w:lineRule="auto"/>
              <w:jc w:val="both"/>
              <w:rPr>
                <w:kern w:val="2"/>
              </w:rPr>
            </w:pPr>
            <w:r w:rsidRPr="005C58E6">
              <w:rPr>
                <w:kern w:val="2"/>
              </w:rPr>
              <w:t>Based on evidence presented in Section 2, safety is assumed to be noninferior.</w:t>
            </w:r>
          </w:p>
        </w:tc>
      </w:tr>
      <w:tr w:rsidR="00E41328" w:rsidRPr="006F4D53" w14:paraId="69A8852E"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7B4B27BA" w14:textId="77777777" w:rsidR="00237A18" w:rsidRPr="005C58E6" w:rsidRDefault="00237A18" w:rsidP="0016579F">
            <w:pPr>
              <w:pStyle w:val="TableText"/>
              <w:keepNext/>
              <w:spacing w:line="276" w:lineRule="auto"/>
              <w:jc w:val="both"/>
              <w:rPr>
                <w:kern w:val="2"/>
              </w:rPr>
            </w:pPr>
            <w:r w:rsidRPr="005C58E6">
              <w:rPr>
                <w:kern w:val="2"/>
              </w:rPr>
              <w:t>Evidence base</w:t>
            </w:r>
          </w:p>
        </w:tc>
        <w:tc>
          <w:tcPr>
            <w:tcW w:w="6412" w:type="dxa"/>
            <w:tcBorders>
              <w:top w:val="single" w:sz="4" w:space="0" w:color="auto"/>
              <w:left w:val="single" w:sz="4" w:space="0" w:color="auto"/>
              <w:bottom w:val="single" w:sz="4" w:space="0" w:color="auto"/>
              <w:right w:val="single" w:sz="4" w:space="0" w:color="auto"/>
            </w:tcBorders>
            <w:hideMark/>
          </w:tcPr>
          <w:p w14:paraId="0D3FF50C" w14:textId="77777777" w:rsidR="00237A18" w:rsidRPr="005C58E6" w:rsidRDefault="002921CD" w:rsidP="0016579F">
            <w:pPr>
              <w:pStyle w:val="TableText"/>
              <w:keepNext/>
              <w:spacing w:line="276" w:lineRule="auto"/>
              <w:jc w:val="both"/>
            </w:pPr>
            <w:r w:rsidRPr="77D89277">
              <w:rPr>
                <w:kern w:val="2"/>
              </w:rPr>
              <w:t xml:space="preserve">The main clinical comparison presented in the submission is an indirect comparison of four pivotal trials via network meta-analysis, SPOTLIGHT and GLOW for zolbetuximab and </w:t>
            </w:r>
            <w:proofErr w:type="spellStart"/>
            <w:r w:rsidRPr="77D89277">
              <w:rPr>
                <w:kern w:val="2"/>
              </w:rPr>
              <w:t>CheckMate</w:t>
            </w:r>
            <w:proofErr w:type="spellEnd"/>
            <w:r w:rsidRPr="77D89277">
              <w:rPr>
                <w:kern w:val="2"/>
              </w:rPr>
              <w:t xml:space="preserve"> 649 and ATTRACTION-4 for Nivolumab.</w:t>
            </w:r>
          </w:p>
        </w:tc>
      </w:tr>
      <w:tr w:rsidR="00E41328" w:rsidRPr="006F4D53" w14:paraId="02CB1B8C"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010A1BEB" w14:textId="77777777" w:rsidR="00237A18" w:rsidRPr="005C58E6" w:rsidRDefault="00237A18" w:rsidP="0016579F">
            <w:pPr>
              <w:pStyle w:val="TableText"/>
              <w:keepNext/>
              <w:spacing w:line="276" w:lineRule="auto"/>
              <w:jc w:val="both"/>
              <w:rPr>
                <w:kern w:val="2"/>
              </w:rPr>
            </w:pPr>
            <w:r w:rsidRPr="005C58E6">
              <w:rPr>
                <w:kern w:val="2"/>
              </w:rPr>
              <w:t>Equi-effective doses</w:t>
            </w:r>
          </w:p>
        </w:tc>
        <w:tc>
          <w:tcPr>
            <w:tcW w:w="6412" w:type="dxa"/>
            <w:tcBorders>
              <w:top w:val="single" w:sz="4" w:space="0" w:color="auto"/>
              <w:left w:val="single" w:sz="4" w:space="0" w:color="auto"/>
              <w:bottom w:val="single" w:sz="4" w:space="0" w:color="auto"/>
              <w:right w:val="single" w:sz="4" w:space="0" w:color="auto"/>
            </w:tcBorders>
            <w:hideMark/>
          </w:tcPr>
          <w:p w14:paraId="7BDDB08D" w14:textId="6EA2F5FF" w:rsidR="00237A18" w:rsidRPr="006B3A4D" w:rsidRDefault="00237A18" w:rsidP="0016579F">
            <w:pPr>
              <w:pStyle w:val="TableText"/>
              <w:keepNext/>
              <w:spacing w:line="276" w:lineRule="auto"/>
              <w:jc w:val="both"/>
            </w:pPr>
            <w:r w:rsidRPr="006B3A4D">
              <w:rPr>
                <w:kern w:val="2"/>
              </w:rPr>
              <w:t xml:space="preserve">The </w:t>
            </w:r>
            <w:proofErr w:type="spellStart"/>
            <w:r w:rsidRPr="006B3A4D">
              <w:rPr>
                <w:kern w:val="2"/>
              </w:rPr>
              <w:t>equi</w:t>
            </w:r>
            <w:proofErr w:type="spellEnd"/>
            <w:r w:rsidRPr="006B3A4D">
              <w:rPr>
                <w:kern w:val="2"/>
              </w:rPr>
              <w:t>-effective doses are: zolbetuximab 11,574.72 mg Q3W with CAPOX is equivalent to 5,400.00 mg nivolumab Q3W</w:t>
            </w:r>
            <w:r w:rsidR="00BD1F66" w:rsidRPr="006B3A4D">
              <w:rPr>
                <w:kern w:val="2"/>
              </w:rPr>
              <w:t xml:space="preserve"> with CAPOX</w:t>
            </w:r>
            <w:r w:rsidRPr="006B3A4D">
              <w:rPr>
                <w:kern w:val="2"/>
              </w:rPr>
              <w:t xml:space="preserve"> and zolbetuximab 15,659.91 mg with mFOLFOX6 Q2W is equivalent to 5,280.0 mg nivolumab Q2W</w:t>
            </w:r>
            <w:r w:rsidR="00BD1F66" w:rsidRPr="006B3A4D">
              <w:rPr>
                <w:kern w:val="2"/>
              </w:rPr>
              <w:t xml:space="preserve"> with mFOLFOX</w:t>
            </w:r>
            <w:r w:rsidR="008A1869" w:rsidRPr="006B3A4D">
              <w:rPr>
                <w:kern w:val="2"/>
              </w:rPr>
              <w:t>6</w:t>
            </w:r>
            <w:r w:rsidRPr="006B3A4D">
              <w:rPr>
                <w:kern w:val="2"/>
              </w:rPr>
              <w:t>.</w:t>
            </w:r>
          </w:p>
        </w:tc>
      </w:tr>
      <w:tr w:rsidR="00E41328" w:rsidRPr="006F4D53" w14:paraId="1632D045"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44EC6E59" w14:textId="77777777" w:rsidR="00237A18" w:rsidRPr="005C58E6" w:rsidRDefault="00237A18" w:rsidP="0016579F">
            <w:pPr>
              <w:pStyle w:val="TableText"/>
              <w:keepNext/>
              <w:spacing w:line="276" w:lineRule="auto"/>
              <w:jc w:val="both"/>
              <w:rPr>
                <w:kern w:val="2"/>
              </w:rPr>
            </w:pPr>
            <w:r w:rsidRPr="005C58E6">
              <w:rPr>
                <w:kern w:val="2"/>
              </w:rPr>
              <w:t>Direct drug costs</w:t>
            </w:r>
          </w:p>
        </w:tc>
        <w:tc>
          <w:tcPr>
            <w:tcW w:w="6412" w:type="dxa"/>
            <w:tcBorders>
              <w:top w:val="single" w:sz="4" w:space="0" w:color="auto"/>
              <w:left w:val="single" w:sz="4" w:space="0" w:color="auto"/>
              <w:bottom w:val="single" w:sz="4" w:space="0" w:color="auto"/>
              <w:right w:val="single" w:sz="4" w:space="0" w:color="auto"/>
            </w:tcBorders>
            <w:hideMark/>
          </w:tcPr>
          <w:p w14:paraId="3D5237C8" w14:textId="77777777" w:rsidR="00237A18" w:rsidRPr="005C58E6" w:rsidRDefault="00237A18" w:rsidP="0016579F">
            <w:pPr>
              <w:pStyle w:val="TableText"/>
              <w:keepNext/>
              <w:spacing w:line="276" w:lineRule="auto"/>
              <w:jc w:val="both"/>
            </w:pPr>
            <w:r w:rsidRPr="005C58E6">
              <w:rPr>
                <w:kern w:val="2"/>
              </w:rPr>
              <w:t>Published price for the twice and thrice weekly regimens of zolbetuximab + CAPOX/mFOLOX6 or nivolumab + CAPOX/mFOLOX6.</w:t>
            </w:r>
          </w:p>
        </w:tc>
      </w:tr>
      <w:tr w:rsidR="00237A18" w:rsidRPr="006F4D53" w14:paraId="1B673A1F" w14:textId="77777777" w:rsidTr="77D89277">
        <w:tc>
          <w:tcPr>
            <w:tcW w:w="2604" w:type="dxa"/>
            <w:tcBorders>
              <w:top w:val="single" w:sz="4" w:space="0" w:color="auto"/>
              <w:left w:val="single" w:sz="4" w:space="0" w:color="auto"/>
              <w:bottom w:val="single" w:sz="4" w:space="0" w:color="auto"/>
              <w:right w:val="single" w:sz="4" w:space="0" w:color="auto"/>
            </w:tcBorders>
            <w:hideMark/>
          </w:tcPr>
          <w:p w14:paraId="366CAE06" w14:textId="77777777" w:rsidR="00237A18" w:rsidRPr="005C58E6" w:rsidRDefault="00237A18" w:rsidP="0016579F">
            <w:pPr>
              <w:pStyle w:val="TableText"/>
              <w:keepNext/>
              <w:spacing w:line="276" w:lineRule="auto"/>
              <w:jc w:val="both"/>
              <w:rPr>
                <w:kern w:val="2"/>
              </w:rPr>
            </w:pPr>
            <w:r w:rsidRPr="005C58E6">
              <w:rPr>
                <w:kern w:val="2"/>
              </w:rPr>
              <w:t>Other costs or cost offsets</w:t>
            </w:r>
          </w:p>
        </w:tc>
        <w:tc>
          <w:tcPr>
            <w:tcW w:w="6412" w:type="dxa"/>
            <w:tcBorders>
              <w:top w:val="single" w:sz="4" w:space="0" w:color="auto"/>
              <w:left w:val="single" w:sz="4" w:space="0" w:color="auto"/>
              <w:bottom w:val="single" w:sz="4" w:space="0" w:color="auto"/>
              <w:right w:val="single" w:sz="4" w:space="0" w:color="auto"/>
            </w:tcBorders>
            <w:hideMark/>
          </w:tcPr>
          <w:p w14:paraId="025CF68C" w14:textId="77777777" w:rsidR="00237A18" w:rsidRPr="005C58E6" w:rsidRDefault="00237A18" w:rsidP="0016579F">
            <w:pPr>
              <w:pStyle w:val="TableText"/>
              <w:keepNext/>
              <w:spacing w:line="276" w:lineRule="auto"/>
              <w:jc w:val="both"/>
              <w:rPr>
                <w:kern w:val="2"/>
              </w:rPr>
            </w:pPr>
            <w:r w:rsidRPr="005C58E6">
              <w:rPr>
                <w:kern w:val="2"/>
              </w:rPr>
              <w:t>Yes.</w:t>
            </w:r>
          </w:p>
          <w:p w14:paraId="436B0E95" w14:textId="77777777" w:rsidR="00237A18" w:rsidRPr="005C58E6" w:rsidRDefault="00237A18" w:rsidP="0016579F">
            <w:pPr>
              <w:pStyle w:val="TableText"/>
              <w:keepNext/>
              <w:spacing w:line="276" w:lineRule="auto"/>
              <w:jc w:val="both"/>
            </w:pPr>
            <w:r w:rsidRPr="005C58E6">
              <w:rPr>
                <w:kern w:val="2"/>
              </w:rPr>
              <w:t>Infusion costs associated with zolbetuximab with CAPOX/mFOLFOX6 and nivolumab with CAPOX/mFOLFOX6 based on MBS item 13950, Fee: $123.05.</w:t>
            </w:r>
          </w:p>
          <w:p w14:paraId="7D1B4D08" w14:textId="67860D23" w:rsidR="00237A18" w:rsidRPr="005C58E6" w:rsidRDefault="00237A18" w:rsidP="0016579F">
            <w:pPr>
              <w:pStyle w:val="TableText"/>
              <w:keepNext/>
              <w:spacing w:line="276" w:lineRule="auto"/>
              <w:jc w:val="both"/>
            </w:pPr>
            <w:r w:rsidRPr="005C58E6">
              <w:rPr>
                <w:kern w:val="2"/>
              </w:rPr>
              <w:t xml:space="preserve">The cost for CLDN18 testing was included and estimated based on the proposed cost of </w:t>
            </w:r>
            <w:r w:rsidRPr="00D91095">
              <w:rPr>
                <w:kern w:val="2"/>
              </w:rPr>
              <w:t>$112 and a 38.</w:t>
            </w:r>
            <w:r w:rsidR="00DC4881" w:rsidRPr="00D91095">
              <w:rPr>
                <w:kern w:val="2"/>
              </w:rPr>
              <w:t>38</w:t>
            </w:r>
            <w:r w:rsidRPr="00D91095">
              <w:rPr>
                <w:kern w:val="2"/>
              </w:rPr>
              <w:t>%</w:t>
            </w:r>
            <w:r w:rsidRPr="005C58E6">
              <w:rPr>
                <w:kern w:val="2"/>
              </w:rPr>
              <w:t xml:space="preserve"> positive expression for patients receiving zolbetuximab only.</w:t>
            </w:r>
          </w:p>
        </w:tc>
      </w:tr>
    </w:tbl>
    <w:p w14:paraId="622D87CF" w14:textId="302A65A0" w:rsidR="00237A18" w:rsidRPr="005C58E6" w:rsidRDefault="00237A18" w:rsidP="00237A18">
      <w:pPr>
        <w:pStyle w:val="TableFooter"/>
        <w:rPr>
          <w14:ligatures w14:val="standardContextual"/>
        </w:rPr>
      </w:pPr>
      <w:r w:rsidRPr="005C58E6">
        <w:t>Source: Table 3-1, p145</w:t>
      </w:r>
      <w:r w:rsidR="00D417AB" w:rsidRPr="005C58E6">
        <w:t xml:space="preserve"> </w:t>
      </w:r>
      <w:r w:rsidR="00553548" w:rsidRPr="005C58E6">
        <w:t xml:space="preserve">and </w:t>
      </w:r>
      <w:r w:rsidR="00D417AB" w:rsidRPr="005C58E6">
        <w:t>Section 3.2.1, p147 of the submission</w:t>
      </w:r>
      <w:r w:rsidR="00552EA9" w:rsidRPr="005C58E6">
        <w:t>.</w:t>
      </w:r>
    </w:p>
    <w:p w14:paraId="07BFF428" w14:textId="42041E94" w:rsidR="00237A18" w:rsidRPr="005C58E6" w:rsidRDefault="00237A18" w:rsidP="00237A18">
      <w:pPr>
        <w:pStyle w:val="TableFooter"/>
      </w:pPr>
      <w:r w:rsidRPr="005C58E6">
        <w:t>CAPOX = capecitabine and oxaliplatin; CLDN18.2 = Claudin 18.2;</w:t>
      </w:r>
      <w:r w:rsidR="00552EA9" w:rsidRPr="005C58E6">
        <w:t xml:space="preserve"> CMA = cost-minimisation approach; </w:t>
      </w:r>
      <w:r w:rsidRPr="005C58E6">
        <w:t>mFOLFOX6 = fluorouracil, leucovorin, and oxaliplatin; MBS = Medicare Benefits Schedule; Q2W = once in two weeks; Q3W = once in three weeks.</w:t>
      </w:r>
    </w:p>
    <w:p w14:paraId="1C3208C2" w14:textId="59627916" w:rsidR="00E849A5" w:rsidRPr="00F428A9" w:rsidRDefault="40C2678C" w:rsidP="00F428A9">
      <w:pPr>
        <w:pStyle w:val="MSACESParagraph"/>
        <w:spacing w:before="240"/>
        <w:rPr>
          <w:rFonts w:ascii="Franklin Gothic Book" w:hAnsi="Franklin Gothic Book"/>
          <w:sz w:val="22"/>
        </w:rPr>
      </w:pPr>
      <w:r w:rsidRPr="00F428A9">
        <w:rPr>
          <w:rFonts w:ascii="Franklin Gothic Book" w:hAnsi="Franklin Gothic Book"/>
          <w:sz w:val="22"/>
        </w:rPr>
        <w:t xml:space="preserve">The submission estimated the cost for CLDN18 testing based on the weighted proportion of patients (38.38%) in SPOTLIGHT and GLOW trials who tested positive for CLDN18.2 expression (defined as ≥75% of tumour cells demonstrating moderate-to-strong membranous CLDN18 staining) and a unit cost of </w:t>
      </w:r>
      <w:r w:rsidRPr="00D91095">
        <w:rPr>
          <w:rFonts w:ascii="Franklin Gothic Book" w:hAnsi="Franklin Gothic Book"/>
          <w:sz w:val="22"/>
        </w:rPr>
        <w:t>$112 per test. Consequently, the estimated cost to detect one patient with CLDN18.2+ expression was $291.78</w:t>
      </w:r>
      <w:r w:rsidR="07A0DD14" w:rsidRPr="00D77EAB">
        <w:rPr>
          <w:rFonts w:ascii="Franklin Gothic Book" w:hAnsi="Franklin Gothic Book"/>
          <w:sz w:val="22"/>
        </w:rPr>
        <w:t xml:space="preserve">. This was </w:t>
      </w:r>
      <w:r w:rsidR="3AE59706" w:rsidRPr="00D77EAB">
        <w:rPr>
          <w:rFonts w:ascii="Franklin Gothic Book" w:hAnsi="Franklin Gothic Book"/>
          <w:sz w:val="22"/>
        </w:rPr>
        <w:t xml:space="preserve">considered uncertain </w:t>
      </w:r>
      <w:r w:rsidR="635E21F5" w:rsidRPr="00D77EAB">
        <w:rPr>
          <w:rFonts w:ascii="Franklin Gothic Book" w:hAnsi="Franklin Gothic Book"/>
          <w:sz w:val="22"/>
        </w:rPr>
        <w:t xml:space="preserve">pending </w:t>
      </w:r>
      <w:r w:rsidR="42C57BC4" w:rsidRPr="00D77EAB">
        <w:rPr>
          <w:rFonts w:ascii="Franklin Gothic Book" w:hAnsi="Franklin Gothic Book"/>
          <w:sz w:val="22"/>
        </w:rPr>
        <w:t>MSAC advice</w:t>
      </w:r>
      <w:r w:rsidR="3AE59706" w:rsidRPr="00D77EAB">
        <w:rPr>
          <w:rFonts w:ascii="Franklin Gothic Book" w:hAnsi="Franklin Gothic Book"/>
          <w:sz w:val="22"/>
        </w:rPr>
        <w:t xml:space="preserve"> given that the proposed </w:t>
      </w:r>
      <w:r w:rsidR="0C6DEC3B" w:rsidRPr="00D77EAB">
        <w:rPr>
          <w:rFonts w:ascii="Franklin Gothic Book" w:hAnsi="Franklin Gothic Book"/>
          <w:sz w:val="22"/>
        </w:rPr>
        <w:t>fee of $112</w:t>
      </w:r>
      <w:r w:rsidR="42C57BC4" w:rsidRPr="00D77EAB">
        <w:rPr>
          <w:rFonts w:ascii="Franklin Gothic Book" w:hAnsi="Franklin Gothic Book"/>
          <w:sz w:val="22"/>
        </w:rPr>
        <w:t xml:space="preserve"> per test was </w:t>
      </w:r>
      <w:r w:rsidR="43B1A72C" w:rsidRPr="00D77EAB">
        <w:rPr>
          <w:rFonts w:ascii="Franklin Gothic Book" w:hAnsi="Franklin Gothic Book"/>
          <w:sz w:val="22"/>
        </w:rPr>
        <w:t>based on analogous I</w:t>
      </w:r>
      <w:r w:rsidR="78E9C5D3" w:rsidRPr="00D77EAB">
        <w:rPr>
          <w:rFonts w:ascii="Franklin Gothic Book" w:hAnsi="Franklin Gothic Book"/>
          <w:sz w:val="22"/>
        </w:rPr>
        <w:t>HC test</w:t>
      </w:r>
      <w:r w:rsidR="654B0B74" w:rsidRPr="00D77EAB">
        <w:rPr>
          <w:rFonts w:ascii="Franklin Gothic Book" w:hAnsi="Franklin Gothic Book"/>
          <w:sz w:val="22"/>
        </w:rPr>
        <w:t xml:space="preserve">s and remains higher than </w:t>
      </w:r>
      <w:r w:rsidR="0E4AAD76" w:rsidRPr="00D77EAB">
        <w:rPr>
          <w:rFonts w:ascii="Franklin Gothic Book" w:hAnsi="Franklin Gothic Book"/>
          <w:sz w:val="22"/>
        </w:rPr>
        <w:t>the fees for comparable MBS items (i.e.</w:t>
      </w:r>
      <w:r w:rsidR="003A39A3" w:rsidRPr="00D77EAB">
        <w:rPr>
          <w:rFonts w:ascii="Franklin Gothic Book" w:hAnsi="Franklin Gothic Book"/>
          <w:sz w:val="22"/>
        </w:rPr>
        <w:t>,</w:t>
      </w:r>
      <w:r w:rsidR="0E4AAD76" w:rsidRPr="00D77EAB">
        <w:rPr>
          <w:rFonts w:ascii="Franklin Gothic Book" w:hAnsi="Franklin Gothic Book"/>
          <w:sz w:val="22"/>
        </w:rPr>
        <w:t xml:space="preserve"> </w:t>
      </w:r>
      <w:r w:rsidR="2EAEA5E3" w:rsidRPr="00D77EAB">
        <w:rPr>
          <w:rFonts w:ascii="Franklin Gothic Book" w:hAnsi="Franklin Gothic Book"/>
          <w:sz w:val="22"/>
        </w:rPr>
        <w:t>$</w:t>
      </w:r>
      <w:r w:rsidR="0E4AAD76" w:rsidRPr="00D77EAB">
        <w:rPr>
          <w:rFonts w:ascii="Franklin Gothic Book" w:hAnsi="Franklin Gothic Book"/>
          <w:sz w:val="22"/>
        </w:rPr>
        <w:t xml:space="preserve">59.60 for generic IHC </w:t>
      </w:r>
      <w:r w:rsidR="2EAEA5E3" w:rsidRPr="00D77EAB">
        <w:rPr>
          <w:rFonts w:ascii="Franklin Gothic Book" w:hAnsi="Franklin Gothic Book"/>
          <w:sz w:val="22"/>
        </w:rPr>
        <w:t>examination</w:t>
      </w:r>
      <w:r w:rsidR="4369685D" w:rsidRPr="00D77EAB">
        <w:rPr>
          <w:rFonts w:ascii="Franklin Gothic Book" w:hAnsi="Franklin Gothic Book"/>
          <w:sz w:val="22"/>
        </w:rPr>
        <w:t xml:space="preserve"> [MBS item 72846]</w:t>
      </w:r>
      <w:r w:rsidR="2EAEA5E3" w:rsidRPr="00D77EAB">
        <w:rPr>
          <w:rFonts w:ascii="Franklin Gothic Book" w:hAnsi="Franklin Gothic Book"/>
          <w:sz w:val="22"/>
        </w:rPr>
        <w:t>;</w:t>
      </w:r>
      <w:r w:rsidR="0E4AAD76" w:rsidRPr="00D77EAB">
        <w:rPr>
          <w:rFonts w:ascii="Franklin Gothic Book" w:hAnsi="Franklin Gothic Book"/>
          <w:sz w:val="22"/>
        </w:rPr>
        <w:t xml:space="preserve"> $74.50 for IHC testing to determine HER2</w:t>
      </w:r>
      <w:r w:rsidR="4369685D" w:rsidRPr="00D77EAB">
        <w:rPr>
          <w:rFonts w:ascii="Franklin Gothic Book" w:hAnsi="Franklin Gothic Book"/>
          <w:sz w:val="22"/>
        </w:rPr>
        <w:t xml:space="preserve"> [MBS item 72848]</w:t>
      </w:r>
      <w:r w:rsidR="0E4AAD76" w:rsidRPr="00D77EAB">
        <w:rPr>
          <w:rFonts w:ascii="Franklin Gothic Book" w:hAnsi="Franklin Gothic Book"/>
          <w:sz w:val="22"/>
        </w:rPr>
        <w:t>;</w:t>
      </w:r>
      <w:r w:rsidR="4369685D" w:rsidRPr="00D77EAB">
        <w:rPr>
          <w:rFonts w:ascii="Franklin Gothic Book" w:hAnsi="Franklin Gothic Book"/>
          <w:sz w:val="22"/>
        </w:rPr>
        <w:t xml:space="preserve"> </w:t>
      </w:r>
      <w:r w:rsidR="0E4AAD76" w:rsidRPr="00D77EAB">
        <w:rPr>
          <w:rFonts w:ascii="Franklin Gothic Book" w:hAnsi="Franklin Gothic Book"/>
          <w:sz w:val="22"/>
        </w:rPr>
        <w:t>$74.50 for IHC testing to determine PD-L1 status</w:t>
      </w:r>
      <w:r w:rsidR="4369685D" w:rsidRPr="00D77EAB">
        <w:rPr>
          <w:rFonts w:ascii="Franklin Gothic Book" w:hAnsi="Franklin Gothic Book"/>
          <w:sz w:val="22"/>
        </w:rPr>
        <w:t xml:space="preserve"> [MBS item 72814])</w:t>
      </w:r>
      <w:r w:rsidR="0E4AAD76" w:rsidRPr="00D77EAB">
        <w:rPr>
          <w:rFonts w:ascii="Franklin Gothic Book" w:hAnsi="Franklin Gothic Book"/>
          <w:sz w:val="22"/>
        </w:rPr>
        <w:t>.</w:t>
      </w:r>
    </w:p>
    <w:p w14:paraId="0ECCD762" w14:textId="5A4EDEAF" w:rsidR="00F90736" w:rsidRPr="00F428A9" w:rsidRDefault="40C2678C" w:rsidP="00F428A9">
      <w:pPr>
        <w:pStyle w:val="MSACESParagraph"/>
        <w:rPr>
          <w:rFonts w:ascii="Franklin Gothic Book" w:hAnsi="Franklin Gothic Book"/>
          <w:sz w:val="22"/>
        </w:rPr>
      </w:pPr>
      <w:r w:rsidRPr="00F428A9">
        <w:rPr>
          <w:rFonts w:ascii="Franklin Gothic Book" w:hAnsi="Franklin Gothic Book"/>
          <w:sz w:val="22"/>
        </w:rPr>
        <w:t>The CMA was conducted to determine the approved ex-manufacturer price (AEMP) of zolbetuximab ensuring that the total cost</w:t>
      </w:r>
      <w:r w:rsidR="0305998D" w:rsidRPr="00F428A9">
        <w:rPr>
          <w:rFonts w:ascii="Franklin Gothic Book" w:hAnsi="Franklin Gothic Book"/>
          <w:sz w:val="22"/>
        </w:rPr>
        <w:t xml:space="preserve"> of</w:t>
      </w:r>
      <w:r w:rsidRPr="00F428A9">
        <w:rPr>
          <w:rFonts w:ascii="Franklin Gothic Book" w:hAnsi="Franklin Gothic Book"/>
          <w:sz w:val="22"/>
        </w:rPr>
        <w:t xml:space="preserve"> </w:t>
      </w:r>
      <w:r w:rsidR="0305998D" w:rsidRPr="00F428A9">
        <w:rPr>
          <w:rFonts w:ascii="Franklin Gothic Book" w:hAnsi="Franklin Gothic Book"/>
          <w:sz w:val="22"/>
        </w:rPr>
        <w:t xml:space="preserve">treatment with </w:t>
      </w:r>
      <w:r w:rsidRPr="00F428A9">
        <w:rPr>
          <w:rFonts w:ascii="Franklin Gothic Book" w:hAnsi="Franklin Gothic Book"/>
          <w:sz w:val="22"/>
        </w:rPr>
        <w:t>zolbetuximab + chemotherapy, including the cost of CLDN18 testing, is equivalent to the total cost of</w:t>
      </w:r>
      <w:r w:rsidR="0305998D" w:rsidRPr="00F428A9">
        <w:rPr>
          <w:rFonts w:ascii="Franklin Gothic Book" w:hAnsi="Franklin Gothic Book"/>
          <w:sz w:val="22"/>
        </w:rPr>
        <w:t xml:space="preserve"> treatment with</w:t>
      </w:r>
      <w:r w:rsidRPr="00F428A9">
        <w:rPr>
          <w:rFonts w:ascii="Franklin Gothic Book" w:hAnsi="Franklin Gothic Book"/>
          <w:sz w:val="22"/>
        </w:rPr>
        <w:t xml:space="preserve"> nivolumab + chemotherapy. As noted by the commentary, the zero-dollar difference in the total treatment cost was based on the </w:t>
      </w:r>
      <w:r w:rsidR="36FEE400" w:rsidRPr="00F428A9">
        <w:rPr>
          <w:rFonts w:ascii="Franklin Gothic Book" w:hAnsi="Franklin Gothic Book"/>
          <w:sz w:val="22"/>
        </w:rPr>
        <w:t>dispensed price for maximum amount (</w:t>
      </w:r>
      <w:r w:rsidRPr="00F428A9">
        <w:rPr>
          <w:rFonts w:ascii="Franklin Gothic Book" w:hAnsi="Franklin Gothic Book"/>
          <w:sz w:val="22"/>
        </w:rPr>
        <w:t>DPMA</w:t>
      </w:r>
      <w:r w:rsidR="36FEE400" w:rsidRPr="00F428A9">
        <w:rPr>
          <w:rFonts w:ascii="Franklin Gothic Book" w:hAnsi="Franklin Gothic Book"/>
          <w:sz w:val="22"/>
        </w:rPr>
        <w:t>)</w:t>
      </w:r>
      <w:r w:rsidRPr="00F428A9">
        <w:rPr>
          <w:rFonts w:ascii="Franklin Gothic Book" w:hAnsi="Franklin Gothic Book"/>
          <w:sz w:val="22"/>
        </w:rPr>
        <w:t xml:space="preserve"> rather than the </w:t>
      </w:r>
      <w:r w:rsidR="36FEE400" w:rsidRPr="00F428A9">
        <w:rPr>
          <w:rFonts w:ascii="Franklin Gothic Book" w:hAnsi="Franklin Gothic Book"/>
          <w:sz w:val="22"/>
        </w:rPr>
        <w:t>approved ex-manufacturer price (</w:t>
      </w:r>
      <w:r w:rsidRPr="00F428A9">
        <w:rPr>
          <w:rFonts w:ascii="Franklin Gothic Book" w:hAnsi="Franklin Gothic Book"/>
          <w:sz w:val="22"/>
        </w:rPr>
        <w:t>AEMP</w:t>
      </w:r>
      <w:r w:rsidR="36FEE400" w:rsidRPr="00F428A9">
        <w:rPr>
          <w:rFonts w:ascii="Franklin Gothic Book" w:hAnsi="Franklin Gothic Book"/>
          <w:sz w:val="22"/>
        </w:rPr>
        <w:t>)</w:t>
      </w:r>
      <w:r w:rsidRPr="00F428A9">
        <w:rPr>
          <w:rFonts w:ascii="Franklin Gothic Book" w:hAnsi="Franklin Gothic Book"/>
          <w:sz w:val="22"/>
        </w:rPr>
        <w:t xml:space="preserve">; however, </w:t>
      </w:r>
      <w:r w:rsidR="6F270CE6" w:rsidRPr="00F428A9">
        <w:rPr>
          <w:rFonts w:ascii="Franklin Gothic Book" w:hAnsi="Franklin Gothic Book"/>
          <w:sz w:val="22"/>
        </w:rPr>
        <w:t xml:space="preserve">adjusting the total cost to achieve a $0 difference using the AEMP resulted in a negligible price increase </w:t>
      </w:r>
      <w:r w:rsidR="6F270CE6" w:rsidRPr="00D77EAB">
        <w:rPr>
          <w:rFonts w:ascii="Franklin Gothic Book" w:hAnsi="Franklin Gothic Book"/>
          <w:sz w:val="22"/>
        </w:rPr>
        <w:t>(&lt;1%)</w:t>
      </w:r>
      <w:r w:rsidRPr="00D77EAB">
        <w:rPr>
          <w:rFonts w:ascii="Franklin Gothic Book" w:hAnsi="Franklin Gothic Book"/>
          <w:sz w:val="22"/>
        </w:rPr>
        <w:t>.</w:t>
      </w:r>
      <w:r w:rsidRPr="00F428A9">
        <w:rPr>
          <w:rFonts w:ascii="Franklin Gothic Book" w:hAnsi="Franklin Gothic Book"/>
          <w:sz w:val="22"/>
        </w:rPr>
        <w:t xml:space="preserve"> </w:t>
      </w:r>
      <w:r w:rsidR="006276F3">
        <w:rPr>
          <w:rFonts w:ascii="Franklin Gothic Book" w:hAnsi="Franklin Gothic Book"/>
          <w:sz w:val="22"/>
        </w:rPr>
        <w:fldChar w:fldCharType="begin"/>
      </w:r>
      <w:r w:rsidR="006276F3">
        <w:rPr>
          <w:rFonts w:ascii="Franklin Gothic Book" w:hAnsi="Franklin Gothic Book"/>
          <w:sz w:val="22"/>
        </w:rPr>
        <w:instrText xml:space="preserve"> REF _Ref197010004  \* MERGEFORMAT </w:instrText>
      </w:r>
      <w:r w:rsidR="006276F3">
        <w:rPr>
          <w:rFonts w:ascii="Franklin Gothic Book" w:hAnsi="Franklin Gothic Book"/>
          <w:sz w:val="22"/>
        </w:rPr>
        <w:fldChar w:fldCharType="separate"/>
      </w:r>
      <w:r w:rsidR="00132950" w:rsidRPr="00132950">
        <w:rPr>
          <w:rFonts w:ascii="Franklin Gothic Book" w:hAnsi="Franklin Gothic Book"/>
          <w:sz w:val="22"/>
        </w:rPr>
        <w:t>Table 9</w:t>
      </w:r>
      <w:r w:rsidR="006276F3">
        <w:rPr>
          <w:rFonts w:ascii="Franklin Gothic Book" w:hAnsi="Franklin Gothic Book"/>
          <w:sz w:val="22"/>
        </w:rPr>
        <w:fldChar w:fldCharType="end"/>
      </w:r>
      <w:r w:rsidR="002921CD" w:rsidRPr="00F428A9">
        <w:rPr>
          <w:rFonts w:ascii="Franklin Gothic Book" w:hAnsi="Franklin Gothic Book"/>
          <w:sz w:val="22"/>
        </w:rPr>
        <w:t xml:space="preserve"> presents the results of the cost-minimisation results.</w:t>
      </w:r>
    </w:p>
    <w:p w14:paraId="6E1CAE9F" w14:textId="3D2E1B46" w:rsidR="00237A18" w:rsidRPr="005C58E6" w:rsidRDefault="006276F3" w:rsidP="0041001B">
      <w:pPr>
        <w:pStyle w:val="Caption"/>
      </w:pPr>
      <w:bookmarkStart w:id="61" w:name="_Ref197010004"/>
      <w:bookmarkStart w:id="62" w:name="_Ref183700324"/>
      <w:r>
        <w:t xml:space="preserve">Table </w:t>
      </w:r>
      <w:r w:rsidR="004A65F6">
        <w:fldChar w:fldCharType="begin"/>
      </w:r>
      <w:r w:rsidR="004A65F6">
        <w:instrText xml:space="preserve"> SEQ Table \* ARABIC </w:instrText>
      </w:r>
      <w:r w:rsidR="004A65F6">
        <w:fldChar w:fldCharType="separate"/>
      </w:r>
      <w:r w:rsidR="00132950">
        <w:rPr>
          <w:noProof/>
        </w:rPr>
        <w:t>9</w:t>
      </w:r>
      <w:r w:rsidR="004A65F6">
        <w:rPr>
          <w:noProof/>
        </w:rPr>
        <w:fldChar w:fldCharType="end"/>
      </w:r>
      <w:bookmarkEnd w:id="61"/>
      <w:r w:rsidRPr="006276F3">
        <w:t xml:space="preserve"> </w:t>
      </w:r>
      <w:r w:rsidRPr="005C58E6">
        <w:t>Cost minimisation results</w:t>
      </w:r>
      <w:bookmarkEnd w:id="62"/>
    </w:p>
    <w:tbl>
      <w:tblPr>
        <w:tblStyle w:val="PBACTableStyle"/>
        <w:tblW w:w="5000" w:type="pct"/>
        <w:tblLook w:val="04A0" w:firstRow="1" w:lastRow="0" w:firstColumn="1" w:lastColumn="0" w:noHBand="0" w:noVBand="1"/>
      </w:tblPr>
      <w:tblGrid>
        <w:gridCol w:w="3172"/>
        <w:gridCol w:w="1176"/>
        <w:gridCol w:w="857"/>
        <w:gridCol w:w="1167"/>
        <w:gridCol w:w="1322"/>
        <w:gridCol w:w="1322"/>
      </w:tblGrid>
      <w:tr w:rsidR="003C4131" w:rsidRPr="006F4D53" w14:paraId="2F13FF33" w14:textId="77777777" w:rsidTr="00896E4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759" w:type="pct"/>
            <w:hideMark/>
          </w:tcPr>
          <w:p w14:paraId="77190017" w14:textId="77777777" w:rsidR="00FD5319" w:rsidRPr="005C58E6" w:rsidRDefault="00FD5319" w:rsidP="00A54DF9">
            <w:pPr>
              <w:pStyle w:val="TableText"/>
              <w:keepNext/>
              <w:keepLines/>
              <w:rPr>
                <w:b w:val="0"/>
                <w:color w:val="auto"/>
                <w:lang w:val="en-AU"/>
              </w:rPr>
            </w:pPr>
            <w:r w:rsidRPr="005C58E6">
              <w:t>Treatment</w:t>
            </w:r>
          </w:p>
        </w:tc>
        <w:tc>
          <w:tcPr>
            <w:tcW w:w="652" w:type="pct"/>
            <w:hideMark/>
          </w:tcPr>
          <w:p w14:paraId="152568E5" w14:textId="1C021B86" w:rsidR="00FD5319" w:rsidRPr="005C58E6" w:rsidRDefault="00FD5319" w:rsidP="00A54DF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5C58E6">
              <w:t>Split between CAPOX and mFOLFOX6</w:t>
            </w:r>
          </w:p>
        </w:tc>
        <w:tc>
          <w:tcPr>
            <w:tcW w:w="475" w:type="pct"/>
            <w:hideMark/>
          </w:tcPr>
          <w:p w14:paraId="5735DA74" w14:textId="77777777" w:rsidR="00FD5319" w:rsidRPr="005C58E6" w:rsidRDefault="00FD5319" w:rsidP="00A54DF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5C58E6">
              <w:t>Testing Cost ($)</w:t>
            </w:r>
          </w:p>
        </w:tc>
        <w:tc>
          <w:tcPr>
            <w:tcW w:w="647" w:type="pct"/>
            <w:hideMark/>
          </w:tcPr>
          <w:p w14:paraId="480A75FF" w14:textId="77777777" w:rsidR="00FD5319" w:rsidRPr="005C58E6" w:rsidRDefault="00FD5319" w:rsidP="00A54DF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5C58E6">
              <w:t>Total Acquisition and Admin Cost (DPMA $)</w:t>
            </w:r>
          </w:p>
        </w:tc>
        <w:tc>
          <w:tcPr>
            <w:tcW w:w="733" w:type="pct"/>
            <w:vAlign w:val="top"/>
            <w:hideMark/>
          </w:tcPr>
          <w:p w14:paraId="545D9A04" w14:textId="2F57C539" w:rsidR="00FD5319" w:rsidRPr="005C58E6" w:rsidRDefault="00FD5319" w:rsidP="00A54DF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5C58E6">
              <w:t xml:space="preserve">Resulting AEMP of </w:t>
            </w:r>
            <w:proofErr w:type="spellStart"/>
            <w:r w:rsidRPr="005C58E6">
              <w:t>zolbetuximab</w:t>
            </w:r>
            <w:proofErr w:type="spellEnd"/>
            <w:r w:rsidRPr="005C58E6">
              <w:t xml:space="preserve"> if the cost difference is $0 based on DPMA</w:t>
            </w:r>
          </w:p>
        </w:tc>
        <w:tc>
          <w:tcPr>
            <w:tcW w:w="733" w:type="pct"/>
            <w:vAlign w:val="top"/>
          </w:tcPr>
          <w:p w14:paraId="25EA7840" w14:textId="6EB1EB1F" w:rsidR="00FD5319" w:rsidRPr="005C58E6" w:rsidRDefault="00FD5319" w:rsidP="00A54DF9">
            <w:pPr>
              <w:pStyle w:val="TableText"/>
              <w:keepNext/>
              <w:keepLines/>
              <w:jc w:val="center"/>
              <w:cnfStyle w:val="100000000000" w:firstRow="1" w:lastRow="0" w:firstColumn="0" w:lastColumn="0" w:oddVBand="0" w:evenVBand="0" w:oddHBand="0" w:evenHBand="0" w:firstRowFirstColumn="0" w:firstRowLastColumn="0" w:lastRowFirstColumn="0" w:lastRowLastColumn="0"/>
              <w:rPr>
                <w:i/>
                <w:color w:val="auto"/>
                <w:lang w:val="en-AU"/>
              </w:rPr>
            </w:pPr>
            <w:r w:rsidRPr="005C58E6">
              <w:t xml:space="preserve">Resulting AEMP of </w:t>
            </w:r>
            <w:proofErr w:type="spellStart"/>
            <w:r w:rsidRPr="005C58E6">
              <w:t>zolbetuximab</w:t>
            </w:r>
            <w:proofErr w:type="spellEnd"/>
            <w:r w:rsidRPr="005C58E6">
              <w:t xml:space="preserve"> if the cost difference is $0 based on AEMP </w:t>
            </w:r>
          </w:p>
        </w:tc>
      </w:tr>
      <w:tr w:rsidR="003C4131" w:rsidRPr="006F4D53" w14:paraId="53686693" w14:textId="37B7BB95" w:rsidTr="00BA35FE">
        <w:trPr>
          <w:trHeight w:val="197"/>
        </w:trPr>
        <w:tc>
          <w:tcPr>
            <w:cnfStyle w:val="001000000000" w:firstRow="0" w:lastRow="0" w:firstColumn="1" w:lastColumn="0" w:oddVBand="0" w:evenVBand="0" w:oddHBand="0" w:evenHBand="0" w:firstRowFirstColumn="0" w:firstRowLastColumn="0" w:lastRowFirstColumn="0" w:lastRowLastColumn="0"/>
            <w:tcW w:w="1759" w:type="pct"/>
            <w:noWrap/>
            <w:hideMark/>
          </w:tcPr>
          <w:p w14:paraId="47470649" w14:textId="5224F7AD" w:rsidR="00C942B7" w:rsidRPr="005C58E6" w:rsidRDefault="00C942B7" w:rsidP="00377A46">
            <w:pPr>
              <w:pStyle w:val="TableText"/>
              <w:keepNext/>
              <w:keepLines/>
              <w:rPr>
                <w:color w:val="auto"/>
                <w:lang w:val="en-AU"/>
              </w:rPr>
            </w:pPr>
            <w:proofErr w:type="spellStart"/>
            <w:r w:rsidRPr="005C58E6">
              <w:t>Zolbetuximab</w:t>
            </w:r>
            <w:proofErr w:type="spellEnd"/>
            <w:r w:rsidRPr="005C58E6">
              <w:t xml:space="preserve"> + CAPOX</w:t>
            </w:r>
          </w:p>
        </w:tc>
        <w:tc>
          <w:tcPr>
            <w:tcW w:w="652" w:type="pct"/>
            <w:noWrap/>
            <w:hideMark/>
          </w:tcPr>
          <w:p w14:paraId="597CC3A5" w14:textId="6328FA45" w:rsidR="00C942B7" w:rsidRPr="00D77EAB" w:rsidRDefault="00C942B7" w:rsidP="00896E4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50%</w:t>
            </w:r>
          </w:p>
        </w:tc>
        <w:tc>
          <w:tcPr>
            <w:tcW w:w="475" w:type="pct"/>
            <w:vMerge w:val="restart"/>
            <w:noWrap/>
          </w:tcPr>
          <w:p w14:paraId="226A871B" w14:textId="42CB94E7" w:rsidR="00C942B7" w:rsidRPr="00D77EAB"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$292</w:t>
            </w:r>
          </w:p>
        </w:tc>
        <w:tc>
          <w:tcPr>
            <w:tcW w:w="647" w:type="pct"/>
            <w:vMerge w:val="restart"/>
          </w:tcPr>
          <w:p w14:paraId="6BCDDB71" w14:textId="6D510BBA" w:rsidR="00C942B7" w:rsidRPr="00D77EAB"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i/>
                <w:color w:val="auto"/>
                <w:lang w:val="en-AU"/>
              </w:rPr>
            </w:pPr>
            <w:r w:rsidRPr="00D77EAB">
              <w:t>$108,369</w:t>
            </w:r>
          </w:p>
        </w:tc>
        <w:tc>
          <w:tcPr>
            <w:tcW w:w="733" w:type="pct"/>
            <w:vMerge w:val="restart"/>
          </w:tcPr>
          <w:p w14:paraId="3BD8ACE0" w14:textId="16CB7724" w:rsidR="00C942B7" w:rsidRPr="00D77EAB"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i/>
                <w:lang w:val="en-AU"/>
              </w:rPr>
            </w:pPr>
            <w:r w:rsidRPr="00D77EAB">
              <w:t>$773.27</w:t>
            </w:r>
          </w:p>
        </w:tc>
        <w:tc>
          <w:tcPr>
            <w:tcW w:w="733" w:type="pct"/>
            <w:vMerge w:val="restart"/>
          </w:tcPr>
          <w:p w14:paraId="1EA41122" w14:textId="6F00E3F0" w:rsidR="00C942B7" w:rsidRPr="00D77EAB"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i/>
                <w:lang w:val="en-AU"/>
              </w:rPr>
            </w:pPr>
            <w:r w:rsidRPr="00D77EAB">
              <w:t>$773.93</w:t>
            </w:r>
          </w:p>
        </w:tc>
      </w:tr>
      <w:tr w:rsidR="003C4131" w:rsidRPr="006F4D53" w14:paraId="4DB3E431" w14:textId="77777777" w:rsidTr="00BA35FE">
        <w:trPr>
          <w:trHeight w:val="197"/>
        </w:trPr>
        <w:tc>
          <w:tcPr>
            <w:cnfStyle w:val="001000000000" w:firstRow="0" w:lastRow="0" w:firstColumn="1" w:lastColumn="0" w:oddVBand="0" w:evenVBand="0" w:oddHBand="0" w:evenHBand="0" w:firstRowFirstColumn="0" w:firstRowLastColumn="0" w:lastRowFirstColumn="0" w:lastRowLastColumn="0"/>
            <w:tcW w:w="1759" w:type="pct"/>
            <w:noWrap/>
            <w:hideMark/>
          </w:tcPr>
          <w:p w14:paraId="6733FE3A" w14:textId="77777777" w:rsidR="00C942B7" w:rsidRPr="005C58E6" w:rsidRDefault="00C942B7" w:rsidP="00896E49">
            <w:pPr>
              <w:pStyle w:val="TableText"/>
              <w:keepNext/>
              <w:keepLines/>
              <w:rPr>
                <w:color w:val="auto"/>
                <w:lang w:val="en-AU"/>
              </w:rPr>
            </w:pPr>
            <w:proofErr w:type="spellStart"/>
            <w:r w:rsidRPr="005C58E6">
              <w:t>Zolbetuximab</w:t>
            </w:r>
            <w:proofErr w:type="spellEnd"/>
            <w:r w:rsidRPr="005C58E6">
              <w:t xml:space="preserve"> + mFOLFOX6</w:t>
            </w:r>
          </w:p>
        </w:tc>
        <w:tc>
          <w:tcPr>
            <w:tcW w:w="652" w:type="pct"/>
            <w:noWrap/>
            <w:hideMark/>
          </w:tcPr>
          <w:p w14:paraId="50ACD554" w14:textId="77777777" w:rsidR="00C942B7" w:rsidRPr="00D77EAB" w:rsidRDefault="00C942B7" w:rsidP="00896E4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50%</w:t>
            </w:r>
          </w:p>
        </w:tc>
        <w:tc>
          <w:tcPr>
            <w:tcW w:w="475" w:type="pct"/>
            <w:vMerge/>
            <w:hideMark/>
          </w:tcPr>
          <w:p w14:paraId="1180E4B0" w14:textId="77777777" w:rsidR="00C942B7" w:rsidRPr="005C58E6"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647" w:type="pct"/>
            <w:vMerge/>
            <w:hideMark/>
          </w:tcPr>
          <w:p w14:paraId="18D2005E" w14:textId="77777777" w:rsidR="00C942B7" w:rsidRPr="005C58E6"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33" w:type="pct"/>
            <w:vMerge/>
            <w:hideMark/>
          </w:tcPr>
          <w:p w14:paraId="4B64D41D" w14:textId="77777777" w:rsidR="00C942B7" w:rsidRPr="005C58E6"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33" w:type="pct"/>
            <w:vMerge/>
          </w:tcPr>
          <w:p w14:paraId="762A3EB0" w14:textId="77777777" w:rsidR="00C942B7" w:rsidRPr="005C58E6" w:rsidRDefault="00C942B7"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3C4131" w:rsidRPr="006F4D53" w14:paraId="34C7A123" w14:textId="77777777" w:rsidTr="00BA35FE">
        <w:trPr>
          <w:trHeight w:val="197"/>
        </w:trPr>
        <w:tc>
          <w:tcPr>
            <w:cnfStyle w:val="001000000000" w:firstRow="0" w:lastRow="0" w:firstColumn="1" w:lastColumn="0" w:oddVBand="0" w:evenVBand="0" w:oddHBand="0" w:evenHBand="0" w:firstRowFirstColumn="0" w:firstRowLastColumn="0" w:lastRowFirstColumn="0" w:lastRowLastColumn="0"/>
            <w:tcW w:w="1759" w:type="pct"/>
            <w:noWrap/>
            <w:hideMark/>
          </w:tcPr>
          <w:p w14:paraId="09460831" w14:textId="77777777" w:rsidR="00896E49" w:rsidRPr="005C58E6" w:rsidRDefault="00896E49" w:rsidP="00896E49">
            <w:pPr>
              <w:pStyle w:val="TableText"/>
              <w:keepNext/>
              <w:keepLines/>
              <w:rPr>
                <w:color w:val="auto"/>
                <w:lang w:val="en-AU"/>
              </w:rPr>
            </w:pPr>
            <w:r w:rsidRPr="005C58E6">
              <w:t>Nivolumab + CAPOX</w:t>
            </w:r>
          </w:p>
        </w:tc>
        <w:tc>
          <w:tcPr>
            <w:tcW w:w="652" w:type="pct"/>
            <w:noWrap/>
            <w:hideMark/>
          </w:tcPr>
          <w:p w14:paraId="5EB4F1DA" w14:textId="77777777" w:rsidR="00896E49" w:rsidRPr="00D77EAB" w:rsidRDefault="00896E49" w:rsidP="00896E4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50%</w:t>
            </w:r>
          </w:p>
        </w:tc>
        <w:tc>
          <w:tcPr>
            <w:tcW w:w="475" w:type="pct"/>
            <w:vMerge w:val="restart"/>
            <w:noWrap/>
            <w:hideMark/>
          </w:tcPr>
          <w:p w14:paraId="5EAF1EEC" w14:textId="77777777" w:rsidR="00896E49" w:rsidRPr="00D77EAB" w:rsidRDefault="00896E49"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$0</w:t>
            </w:r>
          </w:p>
        </w:tc>
        <w:tc>
          <w:tcPr>
            <w:tcW w:w="647" w:type="pct"/>
            <w:vMerge w:val="restart"/>
            <w:noWrap/>
            <w:hideMark/>
          </w:tcPr>
          <w:p w14:paraId="26A08023" w14:textId="314F3A25" w:rsidR="00896E49" w:rsidRPr="00D77EAB" w:rsidRDefault="00896E49"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$108,661</w:t>
            </w:r>
          </w:p>
        </w:tc>
        <w:tc>
          <w:tcPr>
            <w:tcW w:w="733" w:type="pct"/>
            <w:vMerge w:val="restart"/>
            <w:hideMark/>
          </w:tcPr>
          <w:p w14:paraId="766080B9" w14:textId="77777777" w:rsidR="00896E49" w:rsidRPr="005C58E6" w:rsidRDefault="00896E49"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33" w:type="pct"/>
            <w:vMerge w:val="restart"/>
          </w:tcPr>
          <w:p w14:paraId="6F373A61" w14:textId="77777777" w:rsidR="00896E49" w:rsidRPr="005C58E6" w:rsidRDefault="00896E49" w:rsidP="00BA35F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3C4131" w:rsidRPr="006F4D53" w14:paraId="5C83E2FC" w14:textId="77777777" w:rsidTr="00896E49">
        <w:trPr>
          <w:trHeight w:val="197"/>
        </w:trPr>
        <w:tc>
          <w:tcPr>
            <w:cnfStyle w:val="001000000000" w:firstRow="0" w:lastRow="0" w:firstColumn="1" w:lastColumn="0" w:oddVBand="0" w:evenVBand="0" w:oddHBand="0" w:evenHBand="0" w:firstRowFirstColumn="0" w:firstRowLastColumn="0" w:lastRowFirstColumn="0" w:lastRowLastColumn="0"/>
            <w:tcW w:w="1759" w:type="pct"/>
            <w:noWrap/>
            <w:hideMark/>
          </w:tcPr>
          <w:p w14:paraId="697D85F7" w14:textId="77777777" w:rsidR="00896E49" w:rsidRPr="005C58E6" w:rsidRDefault="00896E49" w:rsidP="00896E49">
            <w:pPr>
              <w:pStyle w:val="TableText"/>
              <w:keepNext/>
              <w:keepLines/>
              <w:rPr>
                <w:color w:val="auto"/>
                <w:lang w:val="en-AU"/>
              </w:rPr>
            </w:pPr>
            <w:r w:rsidRPr="005C58E6">
              <w:t>Nivolumab + mFOLFOX6</w:t>
            </w:r>
          </w:p>
        </w:tc>
        <w:tc>
          <w:tcPr>
            <w:tcW w:w="652" w:type="pct"/>
            <w:noWrap/>
            <w:hideMark/>
          </w:tcPr>
          <w:p w14:paraId="0F895529" w14:textId="77777777" w:rsidR="00896E49" w:rsidRPr="00450DCF" w:rsidRDefault="00896E49" w:rsidP="00896E4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D77EAB">
              <w:t>50%</w:t>
            </w:r>
          </w:p>
        </w:tc>
        <w:tc>
          <w:tcPr>
            <w:tcW w:w="475" w:type="pct"/>
            <w:vMerge/>
            <w:hideMark/>
          </w:tcPr>
          <w:p w14:paraId="2294C61C" w14:textId="77777777" w:rsidR="00896E49" w:rsidRPr="005C58E6" w:rsidRDefault="00896E49" w:rsidP="00896E4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647" w:type="pct"/>
            <w:vMerge/>
            <w:hideMark/>
          </w:tcPr>
          <w:p w14:paraId="4080ED33" w14:textId="77777777" w:rsidR="00896E49" w:rsidRPr="005C58E6" w:rsidRDefault="00896E49" w:rsidP="00896E4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733" w:type="pct"/>
            <w:vMerge/>
            <w:hideMark/>
          </w:tcPr>
          <w:p w14:paraId="2D188CE1" w14:textId="77777777" w:rsidR="00896E49" w:rsidRPr="005C58E6" w:rsidRDefault="00896E49" w:rsidP="00896E4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733" w:type="pct"/>
            <w:vMerge/>
          </w:tcPr>
          <w:p w14:paraId="21E154EE" w14:textId="77777777" w:rsidR="00896E49" w:rsidRPr="005C58E6" w:rsidRDefault="00896E49" w:rsidP="00896E4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r>
    </w:tbl>
    <w:p w14:paraId="4AA7C40C" w14:textId="77777777" w:rsidR="00237A18" w:rsidRPr="005C58E6" w:rsidRDefault="00237A18" w:rsidP="00A54DF9">
      <w:pPr>
        <w:pStyle w:val="FooterTableFigure"/>
        <w:keepNext/>
        <w:keepLines/>
      </w:pPr>
      <w:r w:rsidRPr="005C58E6">
        <w:t>Source: Table 3-11, p155 of the submission.</w:t>
      </w:r>
    </w:p>
    <w:p w14:paraId="50F7B8F2" w14:textId="2BE6E439" w:rsidR="00E849A5" w:rsidRPr="005C58E6" w:rsidRDefault="40C2678C" w:rsidP="00A54DF9">
      <w:pPr>
        <w:pStyle w:val="FooterTableFigure"/>
        <w:keepNext/>
        <w:keepLines/>
      </w:pPr>
      <w:r w:rsidRPr="77D89277">
        <w:t xml:space="preserve">AEMP = approved ex-manufacturer price; </w:t>
      </w:r>
      <w:r w:rsidR="002921CD" w:rsidRPr="77D89277">
        <w:t>DPMA = dispensed price for maximum amoun</w:t>
      </w:r>
      <w:r w:rsidRPr="77D89277">
        <w:t xml:space="preserve">t; </w:t>
      </w:r>
      <w:bookmarkStart w:id="63" w:name="_Hlk187054223"/>
      <w:r w:rsidRPr="77D89277">
        <w:t>CAPOX = capecitabine and oxaliplatin; mFOLFOX6 = fluorouracil, leucovorin, and oxaliplatin</w:t>
      </w:r>
    </w:p>
    <w:bookmarkEnd w:id="63"/>
    <w:p w14:paraId="54408820" w14:textId="40274E5B" w:rsidR="00237A18" w:rsidRPr="005C58E6" w:rsidRDefault="002921CD" w:rsidP="77D89277">
      <w:pPr>
        <w:pStyle w:val="FooterTableFigure"/>
        <w:rPr>
          <w:i/>
          <w:iCs/>
        </w:rPr>
      </w:pPr>
      <w:r w:rsidRPr="77D89277">
        <w:rPr>
          <w:i/>
          <w:iCs/>
        </w:rPr>
        <w:t xml:space="preserve">Italics added during evaluation using the ‘Attachment 10- VYLOY-CLDN </w:t>
      </w:r>
      <w:proofErr w:type="spellStart"/>
      <w:r w:rsidRPr="77D89277">
        <w:rPr>
          <w:i/>
          <w:iCs/>
        </w:rPr>
        <w:t>Australia_Cost-min_Section</w:t>
      </w:r>
      <w:proofErr w:type="spellEnd"/>
      <w:r w:rsidRPr="77D89277">
        <w:rPr>
          <w:i/>
          <w:iCs/>
        </w:rPr>
        <w:t xml:space="preserve"> 3-Final.xslx’ to the submission.</w:t>
      </w:r>
    </w:p>
    <w:p w14:paraId="50BCAB1E" w14:textId="44FEF0D8" w:rsidR="00E849A5" w:rsidRPr="00F428A9" w:rsidRDefault="286A82A0" w:rsidP="00F428A9">
      <w:pPr>
        <w:pStyle w:val="MSACESParagraph"/>
        <w:rPr>
          <w:rFonts w:ascii="Franklin Gothic Book" w:hAnsi="Franklin Gothic Book"/>
          <w:sz w:val="22"/>
        </w:rPr>
      </w:pPr>
      <w:r w:rsidRPr="00F428A9">
        <w:rPr>
          <w:rFonts w:ascii="Franklin Gothic Book" w:hAnsi="Franklin Gothic Book"/>
          <w:sz w:val="22"/>
        </w:rPr>
        <w:t>As</w:t>
      </w:r>
      <w:r w:rsidR="4F56E49A" w:rsidRPr="00F428A9">
        <w:rPr>
          <w:rFonts w:ascii="Franklin Gothic Book" w:hAnsi="Franklin Gothic Book"/>
          <w:sz w:val="22"/>
        </w:rPr>
        <w:t xml:space="preserve"> </w:t>
      </w:r>
      <w:r w:rsidR="53D60E33" w:rsidRPr="00F428A9">
        <w:rPr>
          <w:rFonts w:ascii="Franklin Gothic Book" w:hAnsi="Franklin Gothic Book"/>
          <w:sz w:val="22"/>
        </w:rPr>
        <w:t>discussed above</w:t>
      </w:r>
      <w:r w:rsidR="4F56E49A" w:rsidRPr="00F428A9">
        <w:rPr>
          <w:rFonts w:ascii="Franklin Gothic Book" w:hAnsi="Franklin Gothic Book"/>
          <w:sz w:val="22"/>
        </w:rPr>
        <w:t xml:space="preserve">, the actual proportion of CLDN18.2+ expression in the Australian population remains uncertain. </w:t>
      </w:r>
      <w:r w:rsidR="4F56E49A" w:rsidRPr="00450DCF">
        <w:rPr>
          <w:rFonts w:ascii="Franklin Gothic Book" w:hAnsi="Franklin Gothic Book"/>
          <w:sz w:val="22"/>
        </w:rPr>
        <w:t>A s</w:t>
      </w:r>
      <w:r w:rsidR="73366FFC" w:rsidRPr="00450DCF">
        <w:rPr>
          <w:rFonts w:ascii="Franklin Gothic Book" w:hAnsi="Franklin Gothic Book"/>
          <w:sz w:val="22"/>
        </w:rPr>
        <w:t>ensitivity</w:t>
      </w:r>
      <w:r w:rsidR="4F56E49A" w:rsidRPr="00450DCF">
        <w:rPr>
          <w:rFonts w:ascii="Franklin Gothic Book" w:hAnsi="Franklin Gothic Book"/>
          <w:sz w:val="22"/>
        </w:rPr>
        <w:t xml:space="preserve"> analysis varying the proportion of patients with CLDN18.2+ by ±10% </w:t>
      </w:r>
      <w:r w:rsidR="2540FE8C" w:rsidRPr="00450DCF">
        <w:rPr>
          <w:rFonts w:ascii="Franklin Gothic Book" w:hAnsi="Franklin Gothic Book"/>
          <w:sz w:val="22"/>
        </w:rPr>
        <w:t xml:space="preserve">(i.e. 34.5-42.2%) </w:t>
      </w:r>
      <w:r w:rsidR="4F56E49A" w:rsidRPr="00450DCF">
        <w:rPr>
          <w:rFonts w:ascii="Franklin Gothic Book" w:hAnsi="Franklin Gothic Book"/>
          <w:sz w:val="22"/>
        </w:rPr>
        <w:t>was conducted by the submission. Increasing</w:t>
      </w:r>
      <w:r w:rsidR="08422320" w:rsidRPr="00450DCF">
        <w:rPr>
          <w:rFonts w:ascii="Franklin Gothic Book" w:hAnsi="Franklin Gothic Book"/>
          <w:sz w:val="22"/>
        </w:rPr>
        <w:t xml:space="preserve"> or reducing</w:t>
      </w:r>
      <w:r w:rsidR="4F56E49A" w:rsidRPr="00450DCF">
        <w:rPr>
          <w:rFonts w:ascii="Franklin Gothic Book" w:hAnsi="Franklin Gothic Book"/>
          <w:sz w:val="22"/>
        </w:rPr>
        <w:t xml:space="preserve"> the proportion of patients testing positive for CLDN18.2 expression</w:t>
      </w:r>
      <w:r w:rsidR="08422320" w:rsidRPr="00450DCF">
        <w:rPr>
          <w:rFonts w:ascii="Franklin Gothic Book" w:hAnsi="Franklin Gothic Book"/>
          <w:sz w:val="22"/>
        </w:rPr>
        <w:t xml:space="preserve"> </w:t>
      </w:r>
      <w:r w:rsidR="3ADBB78C" w:rsidRPr="00450DCF">
        <w:rPr>
          <w:rFonts w:ascii="Franklin Gothic Book" w:hAnsi="Franklin Gothic Book"/>
          <w:sz w:val="22"/>
        </w:rPr>
        <w:t xml:space="preserve">by 10% </w:t>
      </w:r>
      <w:r w:rsidR="08422320" w:rsidRPr="00450DCF">
        <w:rPr>
          <w:rFonts w:ascii="Franklin Gothic Book" w:hAnsi="Franklin Gothic Book"/>
          <w:sz w:val="22"/>
        </w:rPr>
        <w:t xml:space="preserve">did not significantly change the price for zolbetuximab. </w:t>
      </w:r>
      <w:r w:rsidR="2540FE8C" w:rsidRPr="00450DCF">
        <w:rPr>
          <w:rFonts w:ascii="Franklin Gothic Book" w:hAnsi="Franklin Gothic Book"/>
          <w:sz w:val="22"/>
        </w:rPr>
        <w:t xml:space="preserve">Also, </w:t>
      </w:r>
      <w:r w:rsidR="1120F659" w:rsidRPr="00450DCF">
        <w:rPr>
          <w:rFonts w:ascii="Franklin Gothic Book" w:hAnsi="Franklin Gothic Book"/>
          <w:sz w:val="22"/>
        </w:rPr>
        <w:t>adjusting</w:t>
      </w:r>
      <w:r w:rsidR="2540FE8C" w:rsidRPr="00450DCF">
        <w:rPr>
          <w:rFonts w:ascii="Franklin Gothic Book" w:hAnsi="Franklin Gothic Book"/>
          <w:sz w:val="22"/>
        </w:rPr>
        <w:t xml:space="preserve"> the proportion of patients with CLDN18.2+ based on prevalence data (i.e.</w:t>
      </w:r>
      <w:r w:rsidR="1120F659" w:rsidRPr="00450DCF">
        <w:rPr>
          <w:rFonts w:ascii="Franklin Gothic Book" w:hAnsi="Franklin Gothic Book"/>
          <w:sz w:val="22"/>
        </w:rPr>
        <w:t>,</w:t>
      </w:r>
      <w:r w:rsidR="2540FE8C" w:rsidRPr="00450DCF">
        <w:rPr>
          <w:rFonts w:ascii="Franklin Gothic Book" w:hAnsi="Franklin Gothic Book"/>
          <w:sz w:val="22"/>
        </w:rPr>
        <w:t xml:space="preserve"> 24-44%) did not </w:t>
      </w:r>
      <w:r w:rsidR="1120F659" w:rsidRPr="00450DCF">
        <w:rPr>
          <w:rFonts w:ascii="Franklin Gothic Book" w:hAnsi="Franklin Gothic Book"/>
          <w:sz w:val="22"/>
        </w:rPr>
        <w:t>impact</w:t>
      </w:r>
      <w:r w:rsidR="2540FE8C" w:rsidRPr="00450DCF">
        <w:rPr>
          <w:rFonts w:ascii="Franklin Gothic Book" w:hAnsi="Franklin Gothic Book"/>
          <w:sz w:val="22"/>
        </w:rPr>
        <w:t xml:space="preserve"> the </w:t>
      </w:r>
      <w:r w:rsidR="1120F659" w:rsidRPr="00450DCF">
        <w:rPr>
          <w:rFonts w:ascii="Franklin Gothic Book" w:hAnsi="Franklin Gothic Book"/>
          <w:sz w:val="22"/>
        </w:rPr>
        <w:t xml:space="preserve">derived </w:t>
      </w:r>
      <w:r w:rsidR="2540FE8C" w:rsidRPr="00450DCF">
        <w:rPr>
          <w:rFonts w:ascii="Franklin Gothic Book" w:hAnsi="Franklin Gothic Book"/>
          <w:sz w:val="22"/>
        </w:rPr>
        <w:t>price for zolbetuximab</w:t>
      </w:r>
      <w:r w:rsidR="2540FE8C">
        <w:rPr>
          <w:rFonts w:ascii="Franklin Gothic Book" w:hAnsi="Franklin Gothic Book"/>
          <w:sz w:val="22"/>
        </w:rPr>
        <w:t>.</w:t>
      </w:r>
    </w:p>
    <w:p w14:paraId="3AAB8608" w14:textId="4A358B64" w:rsidR="009D1FE5" w:rsidRPr="0041001B" w:rsidRDefault="009D1FE5" w:rsidP="00F428A9">
      <w:pPr>
        <w:pStyle w:val="MSACESParagraph"/>
        <w:rPr>
          <w:rFonts w:ascii="Franklin Gothic Book" w:hAnsi="Franklin Gothic Book"/>
          <w:sz w:val="22"/>
        </w:rPr>
      </w:pPr>
      <w:r w:rsidRPr="00902E69">
        <w:rPr>
          <w:rFonts w:ascii="Franklin Gothic Book" w:hAnsi="Franklin Gothic Book"/>
          <w:sz w:val="22"/>
        </w:rPr>
        <w:t xml:space="preserve">The </w:t>
      </w:r>
      <w:r w:rsidR="00E657AF" w:rsidRPr="00902E69">
        <w:rPr>
          <w:rFonts w:ascii="Franklin Gothic Book" w:hAnsi="Franklin Gothic Book"/>
          <w:sz w:val="22"/>
        </w:rPr>
        <w:t>post-ESC updated</w:t>
      </w:r>
      <w:r w:rsidRPr="00902E69">
        <w:rPr>
          <w:rFonts w:ascii="Franklin Gothic Book" w:hAnsi="Franklin Gothic Book"/>
          <w:sz w:val="22"/>
        </w:rPr>
        <w:t xml:space="preserve"> results of the CMA based on the published price of nivolumab + chemotherapy and ESC-supported MBS fee of $74.50 for CLDN18 testing is presented in</w:t>
      </w:r>
      <w:r w:rsidR="000769BB" w:rsidRPr="00902E69">
        <w:rPr>
          <w:rFonts w:ascii="Franklin Gothic Book" w:hAnsi="Franklin Gothic Book"/>
          <w:sz w:val="22"/>
        </w:rPr>
        <w:t xml:space="preserve"> </w:t>
      </w:r>
      <w:r w:rsidR="006276F3">
        <w:rPr>
          <w:rFonts w:ascii="Franklin Gothic Book" w:hAnsi="Franklin Gothic Book"/>
          <w:sz w:val="22"/>
        </w:rPr>
        <w:fldChar w:fldCharType="begin"/>
      </w:r>
      <w:r w:rsidR="006276F3">
        <w:rPr>
          <w:rFonts w:ascii="Franklin Gothic Book" w:hAnsi="Franklin Gothic Book"/>
          <w:sz w:val="22"/>
        </w:rPr>
        <w:instrText xml:space="preserve"> REF _Ref197010034  \* MERGEFORMAT </w:instrText>
      </w:r>
      <w:r w:rsidR="006276F3">
        <w:rPr>
          <w:rFonts w:ascii="Franklin Gothic Book" w:hAnsi="Franklin Gothic Book"/>
          <w:sz w:val="22"/>
        </w:rPr>
        <w:fldChar w:fldCharType="separate"/>
      </w:r>
      <w:r w:rsidR="00132950" w:rsidRPr="00132950">
        <w:rPr>
          <w:rFonts w:ascii="Franklin Gothic Book" w:hAnsi="Franklin Gothic Book"/>
          <w:sz w:val="22"/>
        </w:rPr>
        <w:t>Table</w:t>
      </w:r>
      <w:r w:rsidR="00132950">
        <w:t xml:space="preserve"> </w:t>
      </w:r>
      <w:r w:rsidR="00132950">
        <w:rPr>
          <w:noProof/>
        </w:rPr>
        <w:t>10</w:t>
      </w:r>
      <w:r w:rsidR="006276F3">
        <w:rPr>
          <w:rFonts w:ascii="Franklin Gothic Book" w:hAnsi="Franklin Gothic Book"/>
          <w:sz w:val="22"/>
        </w:rPr>
        <w:fldChar w:fldCharType="end"/>
      </w:r>
      <w:r w:rsidR="006276F3">
        <w:rPr>
          <w:rFonts w:ascii="Franklin Gothic Book" w:hAnsi="Franklin Gothic Book"/>
          <w:sz w:val="22"/>
        </w:rPr>
        <w:t>.</w:t>
      </w:r>
      <w:r w:rsidR="002A4ADC" w:rsidRPr="0041001B">
        <w:rPr>
          <w:rFonts w:ascii="Franklin Gothic Book" w:hAnsi="Franklin Gothic Book"/>
          <w:sz w:val="22"/>
        </w:rPr>
        <w:t xml:space="preserve"> </w:t>
      </w:r>
    </w:p>
    <w:p w14:paraId="19F24362" w14:textId="2D40E96A" w:rsidR="0025575F" w:rsidRPr="00C750F7" w:rsidRDefault="006276F3" w:rsidP="0041001B">
      <w:pPr>
        <w:pStyle w:val="Caption"/>
        <w:rPr>
          <w:szCs w:val="20"/>
        </w:rPr>
      </w:pPr>
      <w:bookmarkStart w:id="64" w:name="_Ref197010034"/>
      <w:bookmarkStart w:id="65" w:name="_Ref191466408"/>
      <w:r>
        <w:t xml:space="preserve">Table </w:t>
      </w:r>
      <w:r w:rsidR="004A65F6">
        <w:fldChar w:fldCharType="begin"/>
      </w:r>
      <w:r w:rsidR="004A65F6">
        <w:instrText xml:space="preserve"> SEQ Table \* ARABIC </w:instrText>
      </w:r>
      <w:r w:rsidR="004A65F6">
        <w:fldChar w:fldCharType="separate"/>
      </w:r>
      <w:r w:rsidR="00132950">
        <w:rPr>
          <w:noProof/>
        </w:rPr>
        <w:t>10</w:t>
      </w:r>
      <w:r w:rsidR="004A65F6">
        <w:rPr>
          <w:noProof/>
        </w:rPr>
        <w:fldChar w:fldCharType="end"/>
      </w:r>
      <w:bookmarkEnd w:id="64"/>
      <w:r w:rsidRPr="006276F3">
        <w:rPr>
          <w:szCs w:val="20"/>
        </w:rPr>
        <w:t xml:space="preserve"> </w:t>
      </w:r>
      <w:r w:rsidRPr="00C750F7">
        <w:rPr>
          <w:szCs w:val="20"/>
        </w:rPr>
        <w:t>Cost minimisation results – post-ESC updated analysis</w:t>
      </w:r>
      <w:bookmarkEnd w:id="65"/>
    </w:p>
    <w:tbl>
      <w:tblPr>
        <w:tblW w:w="5000" w:type="pct"/>
        <w:tblLook w:val="04A0" w:firstRow="1" w:lastRow="0" w:firstColumn="1" w:lastColumn="0" w:noHBand="0" w:noVBand="1"/>
      </w:tblPr>
      <w:tblGrid>
        <w:gridCol w:w="2272"/>
        <w:gridCol w:w="1119"/>
        <w:gridCol w:w="800"/>
        <w:gridCol w:w="1851"/>
        <w:gridCol w:w="1265"/>
        <w:gridCol w:w="1709"/>
      </w:tblGrid>
      <w:tr w:rsidR="00C750F7" w:rsidRPr="00C750F7" w14:paraId="6A9A0C3D" w14:textId="77777777" w:rsidTr="00EB21E4">
        <w:trPr>
          <w:trHeight w:val="788"/>
        </w:trPr>
        <w:tc>
          <w:tcPr>
            <w:tcW w:w="1106" w:type="pct"/>
            <w:tcBorders>
              <w:top w:val="single" w:sz="4" w:space="0" w:color="auto"/>
              <w:left w:val="single" w:sz="4" w:space="0" w:color="auto"/>
              <w:bottom w:val="single" w:sz="4" w:space="0" w:color="auto"/>
              <w:right w:val="single" w:sz="4" w:space="0" w:color="auto"/>
            </w:tcBorders>
            <w:hideMark/>
          </w:tcPr>
          <w:p w14:paraId="01A3E47C" w14:textId="77777777" w:rsidR="00EB21E4" w:rsidRPr="00881BA8" w:rsidRDefault="00EB21E4" w:rsidP="00F102E5">
            <w:pPr>
              <w:pStyle w:val="MSACESParagraph"/>
              <w:spacing w:after="0"/>
              <w:jc w:val="both"/>
              <w:rPr>
                <w:rFonts w:ascii="Arial Narrow" w:hAnsi="Arial Narrow" w:cstheme="minorHAnsi"/>
                <w:i/>
                <w:sz w:val="20"/>
                <w:szCs w:val="20"/>
                <w:lang w:val="en-US"/>
              </w:rPr>
            </w:pPr>
            <w:r w:rsidRPr="00881BA8">
              <w:rPr>
                <w:rFonts w:ascii="Arial Narrow" w:hAnsi="Arial Narrow" w:cstheme="minorHAnsi"/>
                <w:b/>
                <w:i/>
                <w:sz w:val="20"/>
                <w:szCs w:val="20"/>
                <w:lang w:val="en-US"/>
              </w:rPr>
              <w:t>Treatment</w:t>
            </w:r>
          </w:p>
        </w:tc>
        <w:tc>
          <w:tcPr>
            <w:tcW w:w="581" w:type="pct"/>
            <w:tcBorders>
              <w:top w:val="single" w:sz="4" w:space="0" w:color="auto"/>
              <w:left w:val="single" w:sz="4" w:space="0" w:color="auto"/>
              <w:bottom w:val="single" w:sz="4" w:space="0" w:color="auto"/>
              <w:right w:val="single" w:sz="4" w:space="0" w:color="auto"/>
            </w:tcBorders>
            <w:hideMark/>
          </w:tcPr>
          <w:p w14:paraId="0781296A" w14:textId="77777777" w:rsidR="00EB21E4" w:rsidRPr="00881BA8" w:rsidRDefault="00EB21E4" w:rsidP="00F102E5">
            <w:pPr>
              <w:pStyle w:val="MSACESParagraph"/>
              <w:spacing w:after="0"/>
              <w:jc w:val="both"/>
              <w:rPr>
                <w:rFonts w:ascii="Arial Narrow" w:hAnsi="Arial Narrow" w:cstheme="minorHAnsi"/>
                <w:i/>
                <w:sz w:val="20"/>
                <w:szCs w:val="20"/>
                <w:lang w:val="en-US"/>
              </w:rPr>
            </w:pPr>
            <w:r w:rsidRPr="00881BA8">
              <w:rPr>
                <w:rFonts w:ascii="Arial Narrow" w:hAnsi="Arial Narrow" w:cstheme="minorHAnsi"/>
                <w:b/>
                <w:i/>
                <w:sz w:val="20"/>
                <w:szCs w:val="20"/>
                <w:lang w:val="en-US"/>
              </w:rPr>
              <w:t>Split between CAPOX and mFOLFOX6</w:t>
            </w:r>
          </w:p>
        </w:tc>
        <w:tc>
          <w:tcPr>
            <w:tcW w:w="512" w:type="pct"/>
            <w:tcBorders>
              <w:top w:val="single" w:sz="4" w:space="0" w:color="auto"/>
              <w:left w:val="single" w:sz="4" w:space="0" w:color="auto"/>
              <w:bottom w:val="single" w:sz="4" w:space="0" w:color="auto"/>
              <w:right w:val="single" w:sz="4" w:space="0" w:color="auto"/>
            </w:tcBorders>
            <w:hideMark/>
          </w:tcPr>
          <w:p w14:paraId="011E7C1D" w14:textId="77777777" w:rsidR="00EB21E4" w:rsidRPr="00881BA8" w:rsidRDefault="00EB21E4" w:rsidP="00F102E5">
            <w:pPr>
              <w:pStyle w:val="MSACESParagraph"/>
              <w:spacing w:after="0"/>
              <w:jc w:val="both"/>
              <w:rPr>
                <w:rFonts w:ascii="Arial Narrow" w:hAnsi="Arial Narrow" w:cstheme="minorHAnsi"/>
                <w:i/>
                <w:sz w:val="20"/>
                <w:szCs w:val="20"/>
                <w:lang w:val="en-US"/>
              </w:rPr>
            </w:pPr>
            <w:r w:rsidRPr="00881BA8">
              <w:rPr>
                <w:rFonts w:ascii="Arial Narrow" w:hAnsi="Arial Narrow" w:cstheme="minorHAnsi"/>
                <w:b/>
                <w:i/>
                <w:sz w:val="20"/>
                <w:szCs w:val="20"/>
                <w:lang w:val="en-US"/>
              </w:rPr>
              <w:t>Testing Cost ($)</w:t>
            </w:r>
          </w:p>
        </w:tc>
        <w:tc>
          <w:tcPr>
            <w:tcW w:w="1121" w:type="pct"/>
            <w:tcBorders>
              <w:top w:val="single" w:sz="4" w:space="0" w:color="auto"/>
              <w:left w:val="single" w:sz="4" w:space="0" w:color="auto"/>
              <w:bottom w:val="single" w:sz="4" w:space="0" w:color="auto"/>
              <w:right w:val="single" w:sz="4" w:space="0" w:color="auto"/>
            </w:tcBorders>
            <w:hideMark/>
          </w:tcPr>
          <w:p w14:paraId="098C10C9" w14:textId="77777777" w:rsidR="00EB21E4" w:rsidRPr="00881BA8" w:rsidRDefault="00EB21E4" w:rsidP="00F102E5">
            <w:pPr>
              <w:pStyle w:val="MSACESParagraph"/>
              <w:spacing w:after="0"/>
              <w:jc w:val="both"/>
              <w:rPr>
                <w:rFonts w:ascii="Arial Narrow" w:hAnsi="Arial Narrow" w:cstheme="minorHAnsi"/>
                <w:i/>
                <w:sz w:val="20"/>
                <w:szCs w:val="20"/>
                <w:lang w:val="en-US"/>
              </w:rPr>
            </w:pPr>
            <w:r w:rsidRPr="00881BA8">
              <w:rPr>
                <w:rFonts w:ascii="Arial Narrow" w:hAnsi="Arial Narrow" w:cstheme="minorHAnsi"/>
                <w:b/>
                <w:i/>
                <w:sz w:val="20"/>
                <w:szCs w:val="20"/>
                <w:lang w:val="en-US"/>
              </w:rPr>
              <w:t>Total Acquisition and Admin Cost based on DPMA ($)</w:t>
            </w:r>
          </w:p>
        </w:tc>
        <w:tc>
          <w:tcPr>
            <w:tcW w:w="651" w:type="pct"/>
            <w:tcBorders>
              <w:top w:val="single" w:sz="4" w:space="0" w:color="auto"/>
              <w:left w:val="single" w:sz="4" w:space="0" w:color="auto"/>
              <w:bottom w:val="single" w:sz="4" w:space="0" w:color="auto"/>
              <w:right w:val="single" w:sz="4" w:space="0" w:color="auto"/>
            </w:tcBorders>
            <w:hideMark/>
          </w:tcPr>
          <w:p w14:paraId="5D6C993E" w14:textId="77777777" w:rsidR="00EB21E4" w:rsidRPr="00881BA8" w:rsidRDefault="00EB21E4" w:rsidP="00F102E5">
            <w:pPr>
              <w:pStyle w:val="MSACESParagraph"/>
              <w:spacing w:after="0"/>
              <w:jc w:val="both"/>
              <w:rPr>
                <w:rFonts w:ascii="Arial Narrow" w:hAnsi="Arial Narrow" w:cstheme="minorHAnsi"/>
                <w:i/>
                <w:sz w:val="20"/>
                <w:szCs w:val="20"/>
                <w:lang w:val="en-US"/>
              </w:rPr>
            </w:pPr>
            <w:r w:rsidRPr="00881BA8">
              <w:rPr>
                <w:rFonts w:ascii="Arial Narrow" w:hAnsi="Arial Narrow" w:cstheme="minorHAnsi"/>
                <w:b/>
                <w:i/>
                <w:sz w:val="20"/>
                <w:szCs w:val="20"/>
                <w:lang w:val="en-US"/>
              </w:rPr>
              <w:t xml:space="preserve">Resulting AEMP of </w:t>
            </w:r>
            <w:proofErr w:type="spellStart"/>
            <w:r w:rsidRPr="00881BA8">
              <w:rPr>
                <w:rFonts w:ascii="Arial Narrow" w:hAnsi="Arial Narrow" w:cstheme="minorHAnsi"/>
                <w:b/>
                <w:i/>
                <w:sz w:val="20"/>
                <w:szCs w:val="20"/>
                <w:lang w:val="en-US"/>
              </w:rPr>
              <w:t>zolbetuximab</w:t>
            </w:r>
            <w:proofErr w:type="spellEnd"/>
            <w:r w:rsidRPr="00881BA8">
              <w:rPr>
                <w:rFonts w:ascii="Arial Narrow" w:hAnsi="Arial Narrow" w:cstheme="minorHAnsi"/>
                <w:b/>
                <w:i/>
                <w:sz w:val="20"/>
                <w:szCs w:val="20"/>
                <w:lang w:val="en-US"/>
              </w:rPr>
              <w:t xml:space="preserve"> if the cost difference is $0 based on DPMA</w:t>
            </w:r>
          </w:p>
        </w:tc>
        <w:tc>
          <w:tcPr>
            <w:tcW w:w="1030" w:type="pct"/>
            <w:tcBorders>
              <w:top w:val="single" w:sz="4" w:space="0" w:color="auto"/>
              <w:left w:val="single" w:sz="4" w:space="0" w:color="auto"/>
              <w:bottom w:val="single" w:sz="4" w:space="0" w:color="auto"/>
              <w:right w:val="single" w:sz="4" w:space="0" w:color="auto"/>
            </w:tcBorders>
            <w:hideMark/>
          </w:tcPr>
          <w:p w14:paraId="2A3FBF49" w14:textId="77777777" w:rsidR="00EB21E4" w:rsidRPr="00881BA8" w:rsidRDefault="00EB21E4" w:rsidP="00F102E5">
            <w:pPr>
              <w:pStyle w:val="MSACESParagraph"/>
              <w:spacing w:after="0"/>
              <w:jc w:val="both"/>
              <w:rPr>
                <w:rFonts w:ascii="Arial Narrow" w:hAnsi="Arial Narrow" w:cstheme="minorHAnsi"/>
                <w:b/>
                <w:i/>
                <w:sz w:val="20"/>
                <w:szCs w:val="20"/>
                <w:lang w:val="en-US"/>
              </w:rPr>
            </w:pPr>
            <w:r w:rsidRPr="00881BA8">
              <w:rPr>
                <w:rFonts w:ascii="Arial Narrow" w:hAnsi="Arial Narrow" w:cstheme="minorHAnsi"/>
                <w:b/>
                <w:i/>
                <w:sz w:val="20"/>
                <w:szCs w:val="20"/>
                <w:lang w:val="en-US"/>
              </w:rPr>
              <w:t xml:space="preserve">Resulting AEMP of </w:t>
            </w:r>
            <w:proofErr w:type="spellStart"/>
            <w:r w:rsidRPr="00881BA8">
              <w:rPr>
                <w:rFonts w:ascii="Arial Narrow" w:hAnsi="Arial Narrow" w:cstheme="minorHAnsi"/>
                <w:b/>
                <w:i/>
                <w:sz w:val="20"/>
                <w:szCs w:val="20"/>
                <w:lang w:val="en-US"/>
              </w:rPr>
              <w:t>zolbetuximab</w:t>
            </w:r>
            <w:proofErr w:type="spellEnd"/>
            <w:r w:rsidRPr="00881BA8">
              <w:rPr>
                <w:rFonts w:ascii="Arial Narrow" w:hAnsi="Arial Narrow" w:cstheme="minorHAnsi"/>
                <w:b/>
                <w:i/>
                <w:sz w:val="20"/>
                <w:szCs w:val="20"/>
                <w:lang w:val="en-US"/>
              </w:rPr>
              <w:t xml:space="preserve"> if the cost difference is $0 based on AEMP </w:t>
            </w:r>
          </w:p>
        </w:tc>
      </w:tr>
      <w:tr w:rsidR="00C750F7" w:rsidRPr="00C750F7" w14:paraId="7D84BA03" w14:textId="77777777" w:rsidTr="00EB21E4">
        <w:trPr>
          <w:trHeight w:val="197"/>
        </w:trPr>
        <w:tc>
          <w:tcPr>
            <w:tcW w:w="1106" w:type="pct"/>
            <w:tcBorders>
              <w:top w:val="single" w:sz="4" w:space="0" w:color="auto"/>
              <w:left w:val="single" w:sz="4" w:space="0" w:color="auto"/>
              <w:bottom w:val="single" w:sz="4" w:space="0" w:color="auto"/>
              <w:right w:val="single" w:sz="4" w:space="0" w:color="auto"/>
            </w:tcBorders>
            <w:noWrap/>
            <w:hideMark/>
          </w:tcPr>
          <w:p w14:paraId="32D46D42" w14:textId="77777777" w:rsidR="00EB21E4" w:rsidRPr="00881BA8" w:rsidRDefault="00EB21E4" w:rsidP="00F102E5">
            <w:pPr>
              <w:pStyle w:val="MSACESParagraph"/>
              <w:spacing w:after="0"/>
              <w:jc w:val="both"/>
              <w:rPr>
                <w:rFonts w:ascii="Arial Narrow" w:hAnsi="Arial Narrow" w:cstheme="minorHAnsi"/>
                <w:i/>
                <w:sz w:val="20"/>
                <w:szCs w:val="20"/>
                <w:lang w:val="en-US"/>
              </w:rPr>
            </w:pPr>
            <w:proofErr w:type="spellStart"/>
            <w:r w:rsidRPr="00881BA8">
              <w:rPr>
                <w:rFonts w:ascii="Arial Narrow" w:hAnsi="Arial Narrow" w:cstheme="minorHAnsi"/>
                <w:i/>
                <w:sz w:val="20"/>
                <w:szCs w:val="20"/>
                <w:lang w:val="en-US"/>
              </w:rPr>
              <w:t>Zolbetuximab</w:t>
            </w:r>
            <w:proofErr w:type="spellEnd"/>
            <w:r w:rsidRPr="00881BA8">
              <w:rPr>
                <w:rFonts w:ascii="Arial Narrow" w:hAnsi="Arial Narrow" w:cstheme="minorHAnsi"/>
                <w:i/>
                <w:sz w:val="20"/>
                <w:szCs w:val="20"/>
                <w:lang w:val="en-US"/>
              </w:rPr>
              <w:t xml:space="preserve"> + CAPOX</w:t>
            </w:r>
          </w:p>
        </w:tc>
        <w:tc>
          <w:tcPr>
            <w:tcW w:w="581" w:type="pct"/>
            <w:tcBorders>
              <w:top w:val="single" w:sz="4" w:space="0" w:color="auto"/>
              <w:left w:val="single" w:sz="4" w:space="0" w:color="auto"/>
              <w:bottom w:val="single" w:sz="4" w:space="0" w:color="auto"/>
              <w:right w:val="single" w:sz="4" w:space="0" w:color="auto"/>
            </w:tcBorders>
            <w:noWrap/>
            <w:hideMark/>
          </w:tcPr>
          <w:p w14:paraId="1A704270"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50%</w:t>
            </w:r>
          </w:p>
        </w:tc>
        <w:tc>
          <w:tcPr>
            <w:tcW w:w="512" w:type="pct"/>
            <w:vMerge w:val="restart"/>
            <w:tcBorders>
              <w:top w:val="single" w:sz="4" w:space="0" w:color="auto"/>
              <w:left w:val="single" w:sz="4" w:space="0" w:color="auto"/>
              <w:bottom w:val="single" w:sz="4" w:space="0" w:color="auto"/>
              <w:right w:val="single" w:sz="4" w:space="0" w:color="auto"/>
            </w:tcBorders>
            <w:noWrap/>
            <w:hideMark/>
          </w:tcPr>
          <w:p w14:paraId="5FB184C6"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$194</w:t>
            </w:r>
          </w:p>
        </w:tc>
        <w:tc>
          <w:tcPr>
            <w:tcW w:w="1121" w:type="pct"/>
            <w:vMerge w:val="restart"/>
            <w:tcBorders>
              <w:top w:val="single" w:sz="4" w:space="0" w:color="auto"/>
              <w:left w:val="single" w:sz="4" w:space="0" w:color="auto"/>
              <w:bottom w:val="single" w:sz="4" w:space="0" w:color="auto"/>
              <w:right w:val="single" w:sz="4" w:space="0" w:color="auto"/>
            </w:tcBorders>
            <w:noWrap/>
            <w:hideMark/>
          </w:tcPr>
          <w:p w14:paraId="383F81B6"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$108,466</w:t>
            </w:r>
          </w:p>
        </w:tc>
        <w:tc>
          <w:tcPr>
            <w:tcW w:w="651" w:type="pct"/>
            <w:vMerge w:val="restart"/>
            <w:tcBorders>
              <w:top w:val="single" w:sz="4" w:space="0" w:color="auto"/>
              <w:left w:val="single" w:sz="4" w:space="0" w:color="auto"/>
              <w:bottom w:val="single" w:sz="4" w:space="0" w:color="auto"/>
              <w:right w:val="single" w:sz="4" w:space="0" w:color="auto"/>
            </w:tcBorders>
            <w:noWrap/>
            <w:hideMark/>
          </w:tcPr>
          <w:p w14:paraId="775FFE87"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$774.03</w:t>
            </w:r>
          </w:p>
        </w:tc>
        <w:tc>
          <w:tcPr>
            <w:tcW w:w="1030" w:type="pct"/>
            <w:vMerge w:val="restart"/>
            <w:tcBorders>
              <w:top w:val="single" w:sz="4" w:space="0" w:color="auto"/>
              <w:left w:val="single" w:sz="4" w:space="0" w:color="auto"/>
              <w:bottom w:val="single" w:sz="4" w:space="0" w:color="auto"/>
              <w:right w:val="single" w:sz="4" w:space="0" w:color="auto"/>
            </w:tcBorders>
            <w:hideMark/>
          </w:tcPr>
          <w:p w14:paraId="38B471F6"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$774.70</w:t>
            </w:r>
          </w:p>
        </w:tc>
      </w:tr>
      <w:tr w:rsidR="00C750F7" w:rsidRPr="00C750F7" w14:paraId="54A292DC" w14:textId="77777777" w:rsidTr="00EB21E4">
        <w:trPr>
          <w:trHeight w:val="197"/>
        </w:trPr>
        <w:tc>
          <w:tcPr>
            <w:tcW w:w="1106" w:type="pct"/>
            <w:tcBorders>
              <w:top w:val="single" w:sz="4" w:space="0" w:color="auto"/>
              <w:left w:val="single" w:sz="4" w:space="0" w:color="auto"/>
              <w:bottom w:val="single" w:sz="4" w:space="0" w:color="auto"/>
              <w:right w:val="single" w:sz="4" w:space="0" w:color="auto"/>
            </w:tcBorders>
            <w:noWrap/>
            <w:hideMark/>
          </w:tcPr>
          <w:p w14:paraId="67E10883" w14:textId="77777777" w:rsidR="00EB21E4" w:rsidRPr="00881BA8" w:rsidRDefault="00EB21E4" w:rsidP="00F102E5">
            <w:pPr>
              <w:pStyle w:val="MSACESParagraph"/>
              <w:spacing w:after="0"/>
              <w:jc w:val="both"/>
              <w:rPr>
                <w:rFonts w:ascii="Arial Narrow" w:hAnsi="Arial Narrow" w:cstheme="minorHAnsi"/>
                <w:i/>
                <w:sz w:val="20"/>
                <w:szCs w:val="20"/>
                <w:lang w:val="en-US"/>
              </w:rPr>
            </w:pPr>
            <w:proofErr w:type="spellStart"/>
            <w:r w:rsidRPr="00881BA8">
              <w:rPr>
                <w:rFonts w:ascii="Arial Narrow" w:hAnsi="Arial Narrow" w:cstheme="minorHAnsi"/>
                <w:i/>
                <w:sz w:val="20"/>
                <w:szCs w:val="20"/>
                <w:lang w:val="en-US"/>
              </w:rPr>
              <w:t>Zolbetuximab</w:t>
            </w:r>
            <w:proofErr w:type="spellEnd"/>
            <w:r w:rsidRPr="00881BA8">
              <w:rPr>
                <w:rFonts w:ascii="Arial Narrow" w:hAnsi="Arial Narrow" w:cstheme="minorHAnsi"/>
                <w:i/>
                <w:sz w:val="20"/>
                <w:szCs w:val="20"/>
                <w:lang w:val="en-US"/>
              </w:rPr>
              <w:t xml:space="preserve"> + mFOLFOX6</w:t>
            </w:r>
          </w:p>
        </w:tc>
        <w:tc>
          <w:tcPr>
            <w:tcW w:w="581" w:type="pct"/>
            <w:tcBorders>
              <w:top w:val="single" w:sz="4" w:space="0" w:color="auto"/>
              <w:left w:val="single" w:sz="4" w:space="0" w:color="auto"/>
              <w:bottom w:val="single" w:sz="4" w:space="0" w:color="auto"/>
              <w:right w:val="single" w:sz="4" w:space="0" w:color="auto"/>
            </w:tcBorders>
            <w:noWrap/>
            <w:hideMark/>
          </w:tcPr>
          <w:p w14:paraId="3F107A82" w14:textId="77777777" w:rsidR="00EB21E4" w:rsidRPr="00450DCF" w:rsidRDefault="00EB21E4" w:rsidP="00F102E5">
            <w:pPr>
              <w:pStyle w:val="MSACESParagraph"/>
              <w:spacing w:after="0"/>
              <w:jc w:val="both"/>
              <w:rPr>
                <w:rFonts w:ascii="Arial Narrow" w:hAnsi="Arial Narrow" w:cstheme="minorHAnsi"/>
                <w:i/>
                <w:sz w:val="20"/>
                <w:szCs w:val="20"/>
                <w:lang w:val="en-US"/>
              </w:rPr>
            </w:pPr>
            <w:r w:rsidRPr="00450DCF">
              <w:rPr>
                <w:rFonts w:ascii="Arial Narrow" w:hAnsi="Arial Narrow" w:cstheme="minorHAnsi"/>
                <w:i/>
                <w:sz w:val="20"/>
                <w:szCs w:val="20"/>
                <w:lang w:val="en-US"/>
              </w:rPr>
              <w:t>50%</w:t>
            </w:r>
          </w:p>
        </w:tc>
        <w:tc>
          <w:tcPr>
            <w:tcW w:w="0" w:type="auto"/>
            <w:vMerge/>
            <w:tcBorders>
              <w:top w:val="single" w:sz="4" w:space="0" w:color="auto"/>
              <w:left w:val="single" w:sz="4" w:space="0" w:color="auto"/>
              <w:bottom w:val="single" w:sz="4" w:space="0" w:color="auto"/>
              <w:right w:val="single" w:sz="4" w:space="0" w:color="auto"/>
            </w:tcBorders>
            <w:hideMark/>
          </w:tcPr>
          <w:p w14:paraId="76389CCC"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74E43A90"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72A79B46"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22FCBB1A"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r>
      <w:tr w:rsidR="00C750F7" w:rsidRPr="00C750F7" w14:paraId="6758518F" w14:textId="77777777" w:rsidTr="00EB21E4">
        <w:trPr>
          <w:trHeight w:val="197"/>
        </w:trPr>
        <w:tc>
          <w:tcPr>
            <w:tcW w:w="1106" w:type="pct"/>
            <w:tcBorders>
              <w:top w:val="single" w:sz="4" w:space="0" w:color="auto"/>
              <w:left w:val="single" w:sz="4" w:space="0" w:color="auto"/>
              <w:bottom w:val="single" w:sz="4" w:space="0" w:color="auto"/>
              <w:right w:val="single" w:sz="4" w:space="0" w:color="auto"/>
            </w:tcBorders>
            <w:noWrap/>
            <w:hideMark/>
          </w:tcPr>
          <w:p w14:paraId="7BE8E785" w14:textId="77777777" w:rsidR="00EB21E4" w:rsidRPr="00881BA8" w:rsidRDefault="00EB21E4" w:rsidP="00F102E5">
            <w:pPr>
              <w:pStyle w:val="MSACESParagraph"/>
              <w:spacing w:after="0"/>
              <w:jc w:val="both"/>
              <w:rPr>
                <w:rFonts w:ascii="Arial Narrow" w:hAnsi="Arial Narrow" w:cstheme="minorHAnsi"/>
                <w:sz w:val="20"/>
                <w:szCs w:val="20"/>
                <w:lang w:val="en-US"/>
              </w:rPr>
            </w:pPr>
            <w:r w:rsidRPr="00881BA8">
              <w:rPr>
                <w:rFonts w:ascii="Arial Narrow" w:hAnsi="Arial Narrow" w:cstheme="minorHAnsi"/>
                <w:sz w:val="20"/>
                <w:szCs w:val="20"/>
                <w:lang w:val="en-US"/>
              </w:rPr>
              <w:t>Nivolumab + CAPOX</w:t>
            </w:r>
          </w:p>
        </w:tc>
        <w:tc>
          <w:tcPr>
            <w:tcW w:w="581" w:type="pct"/>
            <w:tcBorders>
              <w:top w:val="single" w:sz="4" w:space="0" w:color="auto"/>
              <w:left w:val="single" w:sz="4" w:space="0" w:color="auto"/>
              <w:bottom w:val="single" w:sz="4" w:space="0" w:color="auto"/>
              <w:right w:val="single" w:sz="4" w:space="0" w:color="auto"/>
            </w:tcBorders>
            <w:noWrap/>
            <w:hideMark/>
          </w:tcPr>
          <w:p w14:paraId="3106E535" w14:textId="77777777" w:rsidR="00EB21E4" w:rsidRPr="00450DCF" w:rsidRDefault="00EB21E4" w:rsidP="00F102E5">
            <w:pPr>
              <w:pStyle w:val="MSACESParagraph"/>
              <w:spacing w:after="0"/>
              <w:jc w:val="both"/>
              <w:rPr>
                <w:rFonts w:ascii="Arial Narrow" w:hAnsi="Arial Narrow" w:cstheme="minorHAnsi"/>
                <w:sz w:val="20"/>
                <w:szCs w:val="20"/>
                <w:lang w:val="en-US"/>
              </w:rPr>
            </w:pPr>
            <w:r w:rsidRPr="00450DCF">
              <w:rPr>
                <w:rFonts w:ascii="Arial Narrow" w:hAnsi="Arial Narrow" w:cstheme="minorHAnsi"/>
                <w:sz w:val="20"/>
                <w:szCs w:val="20"/>
                <w:lang w:val="en-US"/>
              </w:rPr>
              <w:t>50%</w:t>
            </w:r>
          </w:p>
        </w:tc>
        <w:tc>
          <w:tcPr>
            <w:tcW w:w="512" w:type="pct"/>
            <w:vMerge w:val="restart"/>
            <w:tcBorders>
              <w:top w:val="single" w:sz="4" w:space="0" w:color="auto"/>
              <w:left w:val="single" w:sz="4" w:space="0" w:color="auto"/>
              <w:bottom w:val="single" w:sz="4" w:space="0" w:color="auto"/>
              <w:right w:val="single" w:sz="4" w:space="0" w:color="auto"/>
            </w:tcBorders>
            <w:noWrap/>
            <w:hideMark/>
          </w:tcPr>
          <w:p w14:paraId="709400E3" w14:textId="77777777" w:rsidR="00EB21E4" w:rsidRPr="00450DCF" w:rsidRDefault="00EB21E4" w:rsidP="00F102E5">
            <w:pPr>
              <w:pStyle w:val="MSACESParagraph"/>
              <w:spacing w:after="0"/>
              <w:jc w:val="both"/>
              <w:rPr>
                <w:rFonts w:ascii="Arial Narrow" w:hAnsi="Arial Narrow" w:cstheme="minorHAnsi"/>
                <w:sz w:val="20"/>
                <w:szCs w:val="20"/>
                <w:lang w:val="en-US"/>
              </w:rPr>
            </w:pPr>
            <w:r w:rsidRPr="00450DCF">
              <w:rPr>
                <w:rFonts w:ascii="Arial Narrow" w:hAnsi="Arial Narrow" w:cstheme="minorHAnsi"/>
                <w:sz w:val="20"/>
                <w:szCs w:val="20"/>
                <w:lang w:val="en-US"/>
              </w:rPr>
              <w:t>$0</w:t>
            </w:r>
          </w:p>
        </w:tc>
        <w:tc>
          <w:tcPr>
            <w:tcW w:w="1121" w:type="pct"/>
            <w:vMerge w:val="restart"/>
            <w:tcBorders>
              <w:top w:val="single" w:sz="4" w:space="0" w:color="auto"/>
              <w:left w:val="single" w:sz="4" w:space="0" w:color="auto"/>
              <w:bottom w:val="single" w:sz="4" w:space="0" w:color="auto"/>
              <w:right w:val="single" w:sz="4" w:space="0" w:color="auto"/>
            </w:tcBorders>
            <w:noWrap/>
            <w:hideMark/>
          </w:tcPr>
          <w:p w14:paraId="78F2EE1C" w14:textId="77777777" w:rsidR="00EB21E4" w:rsidRPr="00450DCF" w:rsidRDefault="00EB21E4" w:rsidP="00F102E5">
            <w:pPr>
              <w:pStyle w:val="MSACESParagraph"/>
              <w:spacing w:after="0"/>
              <w:jc w:val="both"/>
              <w:rPr>
                <w:rFonts w:ascii="Arial Narrow" w:hAnsi="Arial Narrow" w:cstheme="minorHAnsi"/>
                <w:sz w:val="20"/>
                <w:szCs w:val="20"/>
                <w:lang w:val="en-US"/>
              </w:rPr>
            </w:pPr>
            <w:r w:rsidRPr="00450DCF">
              <w:rPr>
                <w:rFonts w:ascii="Arial Narrow" w:hAnsi="Arial Narrow" w:cstheme="minorHAnsi"/>
                <w:sz w:val="20"/>
                <w:szCs w:val="20"/>
                <w:lang w:val="en-US"/>
              </w:rPr>
              <w:t>$108,661</w:t>
            </w:r>
          </w:p>
        </w:tc>
        <w:tc>
          <w:tcPr>
            <w:tcW w:w="0" w:type="auto"/>
            <w:vMerge/>
            <w:tcBorders>
              <w:top w:val="single" w:sz="4" w:space="0" w:color="auto"/>
              <w:left w:val="single" w:sz="4" w:space="0" w:color="auto"/>
              <w:bottom w:val="single" w:sz="4" w:space="0" w:color="auto"/>
              <w:right w:val="single" w:sz="4" w:space="0" w:color="auto"/>
            </w:tcBorders>
            <w:hideMark/>
          </w:tcPr>
          <w:p w14:paraId="1AA5ACDF"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60E5B4DC"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r>
      <w:tr w:rsidR="00C750F7" w:rsidRPr="00C750F7" w14:paraId="732624E9" w14:textId="77777777" w:rsidTr="00EB21E4">
        <w:trPr>
          <w:trHeight w:val="197"/>
        </w:trPr>
        <w:tc>
          <w:tcPr>
            <w:tcW w:w="1106" w:type="pct"/>
            <w:tcBorders>
              <w:top w:val="single" w:sz="4" w:space="0" w:color="auto"/>
              <w:left w:val="single" w:sz="4" w:space="0" w:color="auto"/>
              <w:bottom w:val="single" w:sz="4" w:space="0" w:color="auto"/>
              <w:right w:val="single" w:sz="4" w:space="0" w:color="auto"/>
            </w:tcBorders>
            <w:noWrap/>
            <w:hideMark/>
          </w:tcPr>
          <w:p w14:paraId="423DBB88" w14:textId="77777777" w:rsidR="00EB21E4" w:rsidRPr="00881BA8" w:rsidRDefault="00EB21E4" w:rsidP="00F102E5">
            <w:pPr>
              <w:pStyle w:val="MSACESParagraph"/>
              <w:spacing w:after="0"/>
              <w:jc w:val="both"/>
              <w:rPr>
                <w:rFonts w:ascii="Arial Narrow" w:hAnsi="Arial Narrow" w:cstheme="minorHAnsi"/>
                <w:sz w:val="20"/>
                <w:szCs w:val="20"/>
                <w:lang w:val="en-US"/>
              </w:rPr>
            </w:pPr>
            <w:r w:rsidRPr="00881BA8">
              <w:rPr>
                <w:rFonts w:ascii="Arial Narrow" w:hAnsi="Arial Narrow" w:cstheme="minorHAnsi"/>
                <w:sz w:val="20"/>
                <w:szCs w:val="20"/>
                <w:lang w:val="en-US"/>
              </w:rPr>
              <w:t>Nivolumab + mFOLFOX6</w:t>
            </w:r>
          </w:p>
        </w:tc>
        <w:tc>
          <w:tcPr>
            <w:tcW w:w="581" w:type="pct"/>
            <w:tcBorders>
              <w:top w:val="single" w:sz="4" w:space="0" w:color="auto"/>
              <w:left w:val="single" w:sz="4" w:space="0" w:color="auto"/>
              <w:bottom w:val="single" w:sz="4" w:space="0" w:color="auto"/>
              <w:right w:val="single" w:sz="4" w:space="0" w:color="auto"/>
            </w:tcBorders>
            <w:noWrap/>
            <w:hideMark/>
          </w:tcPr>
          <w:p w14:paraId="55502F6A" w14:textId="77777777" w:rsidR="00EB21E4" w:rsidRPr="00450DCF" w:rsidRDefault="00EB21E4" w:rsidP="00F102E5">
            <w:pPr>
              <w:pStyle w:val="MSACESParagraph"/>
              <w:spacing w:after="0"/>
              <w:jc w:val="both"/>
              <w:rPr>
                <w:rFonts w:ascii="Arial Narrow" w:hAnsi="Arial Narrow" w:cstheme="minorHAnsi"/>
                <w:sz w:val="20"/>
                <w:szCs w:val="20"/>
                <w:lang w:val="en-US"/>
              </w:rPr>
            </w:pPr>
            <w:r w:rsidRPr="00450DCF">
              <w:rPr>
                <w:rFonts w:ascii="Arial Narrow" w:hAnsi="Arial Narrow" w:cstheme="minorHAnsi"/>
                <w:sz w:val="20"/>
                <w:szCs w:val="20"/>
                <w:lang w:val="en-US"/>
              </w:rPr>
              <w:t>50%</w:t>
            </w:r>
          </w:p>
        </w:tc>
        <w:tc>
          <w:tcPr>
            <w:tcW w:w="0" w:type="auto"/>
            <w:vMerge/>
            <w:tcBorders>
              <w:top w:val="single" w:sz="4" w:space="0" w:color="auto"/>
              <w:left w:val="single" w:sz="4" w:space="0" w:color="auto"/>
              <w:bottom w:val="single" w:sz="4" w:space="0" w:color="auto"/>
              <w:right w:val="single" w:sz="4" w:space="0" w:color="auto"/>
            </w:tcBorders>
            <w:hideMark/>
          </w:tcPr>
          <w:p w14:paraId="0037DBA4"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79F1C5CB"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4B3DE4D3"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hideMark/>
          </w:tcPr>
          <w:p w14:paraId="2080400E" w14:textId="77777777" w:rsidR="00EB21E4" w:rsidRPr="00881BA8" w:rsidRDefault="00EB21E4" w:rsidP="00F102E5">
            <w:pPr>
              <w:pStyle w:val="MSACESParagraph"/>
              <w:spacing w:after="0"/>
              <w:jc w:val="both"/>
              <w:rPr>
                <w:rFonts w:ascii="Arial Narrow" w:hAnsi="Arial Narrow" w:cstheme="minorHAnsi"/>
                <w:i/>
                <w:sz w:val="20"/>
                <w:szCs w:val="20"/>
                <w:lang w:val="en-US"/>
              </w:rPr>
            </w:pPr>
          </w:p>
        </w:tc>
      </w:tr>
    </w:tbl>
    <w:p w14:paraId="7A7AB715" w14:textId="6DFB11E6" w:rsidR="00494603" w:rsidRPr="00881BA8" w:rsidRDefault="176A06A4" w:rsidP="77D89277">
      <w:pPr>
        <w:pStyle w:val="MSACESParagraph"/>
        <w:spacing w:after="0"/>
        <w:rPr>
          <w:rFonts w:ascii="Arial Narrow" w:hAnsi="Arial Narrow"/>
          <w:i/>
          <w:iCs/>
          <w:sz w:val="18"/>
          <w:szCs w:val="18"/>
        </w:rPr>
      </w:pPr>
      <w:r w:rsidRPr="00881BA8">
        <w:rPr>
          <w:rFonts w:ascii="Arial Narrow" w:hAnsi="Arial Narrow"/>
          <w:i/>
          <w:iCs/>
          <w:sz w:val="18"/>
          <w:szCs w:val="18"/>
        </w:rPr>
        <w:t xml:space="preserve">Source: Table 3-11, p155 of the submission and ‘Attachment 10- VYLOY-CLDN </w:t>
      </w:r>
      <w:proofErr w:type="spellStart"/>
      <w:r w:rsidRPr="00881BA8">
        <w:rPr>
          <w:rFonts w:ascii="Arial Narrow" w:hAnsi="Arial Narrow"/>
          <w:i/>
          <w:iCs/>
          <w:sz w:val="18"/>
          <w:szCs w:val="18"/>
        </w:rPr>
        <w:t>Australia_Cost-min_Section</w:t>
      </w:r>
      <w:proofErr w:type="spellEnd"/>
      <w:r w:rsidRPr="00881BA8">
        <w:rPr>
          <w:rFonts w:ascii="Arial Narrow" w:hAnsi="Arial Narrow"/>
          <w:i/>
          <w:iCs/>
          <w:sz w:val="18"/>
          <w:szCs w:val="18"/>
        </w:rPr>
        <w:t xml:space="preserve"> 3-Final.xslx’ to the submission.</w:t>
      </w:r>
      <w:r w:rsidR="49EF30F0" w:rsidRPr="00881BA8">
        <w:rPr>
          <w:rFonts w:ascii="Arial Narrow" w:hAnsi="Arial Narrow"/>
          <w:i/>
          <w:iCs/>
          <w:sz w:val="18"/>
          <w:szCs w:val="18"/>
        </w:rPr>
        <w:t xml:space="preserve"> </w:t>
      </w:r>
    </w:p>
    <w:p w14:paraId="04CF287B" w14:textId="58DEB680" w:rsidR="00EB21E4" w:rsidRPr="00881BA8" w:rsidRDefault="176A06A4" w:rsidP="77D89277">
      <w:pPr>
        <w:pStyle w:val="MSACESParagraph"/>
        <w:spacing w:after="0"/>
        <w:rPr>
          <w:rFonts w:ascii="Arial Narrow" w:hAnsi="Arial Narrow"/>
          <w:i/>
          <w:iCs/>
          <w:sz w:val="18"/>
          <w:szCs w:val="18"/>
        </w:rPr>
      </w:pPr>
      <w:r w:rsidRPr="00881BA8">
        <w:rPr>
          <w:rFonts w:ascii="Arial Narrow" w:hAnsi="Arial Narrow"/>
          <w:i/>
          <w:iCs/>
          <w:sz w:val="18"/>
          <w:szCs w:val="18"/>
        </w:rPr>
        <w:t>AEMP = approved ex-manufacturer price; CAPOX = capecitabine and oxaliplatin; DPMA = dispensed price for maximum amount; mFOLFOX6 = fluorouracil, leucovorin, and oxaliplatin.</w:t>
      </w:r>
    </w:p>
    <w:p w14:paraId="1A50AC2F" w14:textId="09F562BC" w:rsidR="00EB21E4" w:rsidRPr="00881BA8" w:rsidRDefault="176A06A4" w:rsidP="77D89277">
      <w:pPr>
        <w:pStyle w:val="MSACESParagraph"/>
        <w:rPr>
          <w:rFonts w:ascii="Arial Narrow" w:hAnsi="Arial Narrow"/>
          <w:i/>
          <w:iCs/>
          <w:sz w:val="18"/>
          <w:szCs w:val="18"/>
        </w:rPr>
      </w:pPr>
      <w:r w:rsidRPr="00881BA8">
        <w:rPr>
          <w:rFonts w:ascii="Arial Narrow" w:hAnsi="Arial Narrow"/>
          <w:i/>
          <w:iCs/>
          <w:sz w:val="18"/>
          <w:szCs w:val="18"/>
        </w:rPr>
        <w:t xml:space="preserve">Italics </w:t>
      </w:r>
      <w:r w:rsidR="2F15640D" w:rsidRPr="00881BA8">
        <w:rPr>
          <w:rFonts w:ascii="Arial Narrow" w:hAnsi="Arial Narrow"/>
          <w:i/>
          <w:iCs/>
          <w:sz w:val="18"/>
          <w:szCs w:val="18"/>
        </w:rPr>
        <w:t>indicate</w:t>
      </w:r>
      <w:r w:rsidRPr="00881BA8">
        <w:rPr>
          <w:rFonts w:ascii="Arial Narrow" w:hAnsi="Arial Narrow"/>
          <w:i/>
          <w:iCs/>
          <w:sz w:val="18"/>
          <w:szCs w:val="18"/>
        </w:rPr>
        <w:t xml:space="preserve"> </w:t>
      </w:r>
      <w:r w:rsidR="6FD049A6" w:rsidRPr="00881BA8">
        <w:rPr>
          <w:rFonts w:ascii="Arial Narrow" w:hAnsi="Arial Narrow"/>
          <w:i/>
          <w:iCs/>
          <w:sz w:val="18"/>
          <w:szCs w:val="18"/>
        </w:rPr>
        <w:t xml:space="preserve">post-ESC </w:t>
      </w:r>
      <w:r w:rsidR="08D65D24" w:rsidRPr="00881BA8">
        <w:rPr>
          <w:rFonts w:ascii="Arial Narrow" w:hAnsi="Arial Narrow"/>
          <w:i/>
          <w:iCs/>
          <w:sz w:val="18"/>
          <w:szCs w:val="18"/>
        </w:rPr>
        <w:t xml:space="preserve">updates </w:t>
      </w:r>
      <w:r w:rsidR="56F0CBD2" w:rsidRPr="00881BA8">
        <w:rPr>
          <w:rFonts w:ascii="Arial Narrow" w:hAnsi="Arial Narrow"/>
          <w:i/>
          <w:iCs/>
          <w:sz w:val="18"/>
          <w:szCs w:val="18"/>
        </w:rPr>
        <w:t>by</w:t>
      </w:r>
      <w:r w:rsidRPr="00881BA8">
        <w:rPr>
          <w:rFonts w:ascii="Arial Narrow" w:hAnsi="Arial Narrow"/>
          <w:i/>
          <w:iCs/>
          <w:sz w:val="18"/>
          <w:szCs w:val="18"/>
        </w:rPr>
        <w:t xml:space="preserve"> evaluation</w:t>
      </w:r>
      <w:r w:rsidR="56F0CBD2" w:rsidRPr="00881BA8">
        <w:rPr>
          <w:rFonts w:ascii="Arial Narrow" w:hAnsi="Arial Narrow"/>
          <w:i/>
          <w:iCs/>
          <w:sz w:val="18"/>
          <w:szCs w:val="18"/>
        </w:rPr>
        <w:t xml:space="preserve"> group</w:t>
      </w:r>
      <w:r w:rsidRPr="00881BA8">
        <w:rPr>
          <w:rFonts w:ascii="Arial Narrow" w:hAnsi="Arial Narrow"/>
          <w:i/>
          <w:iCs/>
          <w:sz w:val="18"/>
          <w:szCs w:val="18"/>
        </w:rPr>
        <w:t>.</w:t>
      </w:r>
    </w:p>
    <w:p w14:paraId="2948932C" w14:textId="77777777" w:rsidR="00EE5014" w:rsidRPr="003A793E" w:rsidRDefault="00EE5014"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66" w:name="_Toc187863737"/>
      <w:bookmarkStart w:id="67" w:name="_Toc188441221"/>
      <w:r w:rsidRPr="003A793E">
        <w:rPr>
          <w:rFonts w:ascii="Franklin Gothic Medium" w:hAnsi="Franklin Gothic Medium"/>
          <w:b w:val="0"/>
          <w:i w:val="0"/>
          <w:snapToGrid/>
          <w:color w:val="000000" w:themeColor="text1"/>
          <w:sz w:val="32"/>
          <w:szCs w:val="26"/>
        </w:rPr>
        <w:t>Financial/budgetary impacts</w:t>
      </w:r>
      <w:bookmarkEnd w:id="66"/>
      <w:bookmarkEnd w:id="67"/>
    </w:p>
    <w:p w14:paraId="080D7503" w14:textId="59598C7E" w:rsidR="00046FAB" w:rsidRPr="00F428A9" w:rsidRDefault="0054127C" w:rsidP="00F428A9">
      <w:pPr>
        <w:pStyle w:val="MSACESParagraph"/>
        <w:rPr>
          <w:rFonts w:ascii="Franklin Gothic Book" w:hAnsi="Franklin Gothic Book"/>
          <w:sz w:val="22"/>
        </w:rPr>
      </w:pPr>
      <w:r w:rsidRPr="00F428A9">
        <w:rPr>
          <w:rFonts w:ascii="Franklin Gothic Book" w:hAnsi="Franklin Gothic Book"/>
          <w:sz w:val="22"/>
        </w:rPr>
        <w:t>The submission used an epidemiological approach to estimate the use and costs of CLDN18 testing</w:t>
      </w:r>
      <w:r w:rsidR="008D0146" w:rsidRPr="00F428A9">
        <w:rPr>
          <w:rFonts w:ascii="Franklin Gothic Book" w:hAnsi="Franklin Gothic Book"/>
          <w:sz w:val="22"/>
        </w:rPr>
        <w:t xml:space="preserve"> and zolbetuximab treatment</w:t>
      </w:r>
      <w:r w:rsidR="00046FAB" w:rsidRPr="00F428A9">
        <w:rPr>
          <w:rFonts w:ascii="Franklin Gothic Book" w:hAnsi="Franklin Gothic Book"/>
          <w:sz w:val="22"/>
        </w:rPr>
        <w:t xml:space="preserve">. The commentary considered the estimated cost </w:t>
      </w:r>
      <w:r w:rsidR="00044DC0" w:rsidRPr="00F428A9">
        <w:rPr>
          <w:rFonts w:ascii="Franklin Gothic Book" w:hAnsi="Franklin Gothic Book"/>
          <w:sz w:val="22"/>
        </w:rPr>
        <w:t>to</w:t>
      </w:r>
      <w:r w:rsidR="008D0146" w:rsidRPr="00F428A9">
        <w:rPr>
          <w:rFonts w:ascii="Franklin Gothic Book" w:hAnsi="Franklin Gothic Book"/>
          <w:sz w:val="22"/>
        </w:rPr>
        <w:t xml:space="preserve"> </w:t>
      </w:r>
      <w:r w:rsidR="00046FAB" w:rsidRPr="00F428A9">
        <w:rPr>
          <w:rFonts w:ascii="Franklin Gothic Book" w:hAnsi="Franklin Gothic Book"/>
          <w:sz w:val="22"/>
        </w:rPr>
        <w:t xml:space="preserve">the MBS </w:t>
      </w:r>
      <w:r w:rsidR="00F95C70" w:rsidRPr="00F428A9">
        <w:rPr>
          <w:rFonts w:ascii="Franklin Gothic Book" w:hAnsi="Franklin Gothic Book"/>
          <w:sz w:val="22"/>
        </w:rPr>
        <w:t>was</w:t>
      </w:r>
      <w:r w:rsidR="00046FAB" w:rsidRPr="00F428A9">
        <w:rPr>
          <w:rFonts w:ascii="Franklin Gothic Book" w:hAnsi="Franklin Gothic Book"/>
          <w:sz w:val="22"/>
        </w:rPr>
        <w:t xml:space="preserve"> uncertain </w:t>
      </w:r>
      <w:r w:rsidR="001410A7" w:rsidRPr="00F428A9">
        <w:rPr>
          <w:rFonts w:ascii="Franklin Gothic Book" w:hAnsi="Franklin Gothic Book"/>
          <w:sz w:val="22"/>
        </w:rPr>
        <w:t>due to the following reasons</w:t>
      </w:r>
      <w:r w:rsidR="00046FAB" w:rsidRPr="00F428A9">
        <w:rPr>
          <w:rFonts w:ascii="Franklin Gothic Book" w:hAnsi="Franklin Gothic Book"/>
          <w:sz w:val="22"/>
        </w:rPr>
        <w:t>:</w:t>
      </w:r>
    </w:p>
    <w:p w14:paraId="6B10CEF8" w14:textId="550FDDED" w:rsidR="0047577C" w:rsidRPr="00F428A9" w:rsidRDefault="3B96B537" w:rsidP="00B50C3D">
      <w:pPr>
        <w:pStyle w:val="MSACESParagraph"/>
        <w:numPr>
          <w:ilvl w:val="0"/>
          <w:numId w:val="21"/>
        </w:numPr>
        <w:rPr>
          <w:rFonts w:ascii="Franklin Gothic Book" w:hAnsi="Franklin Gothic Book"/>
          <w:sz w:val="22"/>
        </w:rPr>
      </w:pPr>
      <w:r w:rsidRPr="00F428A9">
        <w:rPr>
          <w:rFonts w:ascii="Franklin Gothic Book" w:hAnsi="Franklin Gothic Book"/>
          <w:sz w:val="22"/>
        </w:rPr>
        <w:t>T</w:t>
      </w:r>
      <w:r w:rsidR="1BC1D6FD" w:rsidRPr="00F428A9">
        <w:rPr>
          <w:rFonts w:ascii="Franklin Gothic Book" w:hAnsi="Franklin Gothic Book"/>
          <w:sz w:val="22"/>
        </w:rPr>
        <w:t xml:space="preserve">he submission estimated the cost to detect one patient with CLDN18.2+ expression to be $291.78, based on a weighted proportion of CLDN18.2+ patients in the key clinical trials (38.38%) and proposed MBS item fee for CLDN18 test ($112). This cost was then applied to patients who were deemed eligible for zolbetuximab. However, </w:t>
      </w:r>
      <w:r w:rsidRPr="00F428A9">
        <w:rPr>
          <w:rFonts w:ascii="Franklin Gothic Book" w:hAnsi="Franklin Gothic Book"/>
          <w:sz w:val="22"/>
        </w:rPr>
        <w:t xml:space="preserve">the commentary noted that </w:t>
      </w:r>
      <w:r w:rsidR="1BC1D6FD" w:rsidRPr="00F428A9">
        <w:rPr>
          <w:rFonts w:ascii="Franklin Gothic Book" w:hAnsi="Franklin Gothic Book"/>
          <w:sz w:val="22"/>
        </w:rPr>
        <w:t>this approach underestimated the actual number of patients likely to undergo the CLDN18 testing</w:t>
      </w:r>
      <w:r w:rsidR="470AED5F" w:rsidRPr="00F428A9">
        <w:rPr>
          <w:rFonts w:ascii="Franklin Gothic Book" w:hAnsi="Franklin Gothic Book"/>
          <w:sz w:val="22"/>
        </w:rPr>
        <w:t xml:space="preserve"> if </w:t>
      </w:r>
      <w:r w:rsidR="51841C15" w:rsidRPr="00F428A9">
        <w:rPr>
          <w:rFonts w:ascii="Franklin Gothic Book" w:hAnsi="Franklin Gothic Book"/>
          <w:sz w:val="22"/>
        </w:rPr>
        <w:t>HER2 and CLDN18 are</w:t>
      </w:r>
      <w:r w:rsidR="21AC5C2C" w:rsidRPr="00F428A9">
        <w:rPr>
          <w:rFonts w:ascii="Franklin Gothic Book" w:hAnsi="Franklin Gothic Book"/>
          <w:sz w:val="22"/>
        </w:rPr>
        <w:t xml:space="preserve"> </w:t>
      </w:r>
      <w:r w:rsidR="51841C15" w:rsidRPr="00F428A9">
        <w:rPr>
          <w:rFonts w:ascii="Franklin Gothic Book" w:hAnsi="Franklin Gothic Book"/>
          <w:sz w:val="22"/>
        </w:rPr>
        <w:t>tested</w:t>
      </w:r>
      <w:r w:rsidR="21AC5C2C" w:rsidRPr="00F428A9">
        <w:rPr>
          <w:rFonts w:ascii="Franklin Gothic Book" w:hAnsi="Franklin Gothic Book"/>
          <w:sz w:val="22"/>
        </w:rPr>
        <w:t xml:space="preserve"> together</w:t>
      </w:r>
      <w:r w:rsidR="1BC1D6FD" w:rsidRPr="00F428A9">
        <w:rPr>
          <w:rFonts w:ascii="Franklin Gothic Book" w:hAnsi="Franklin Gothic Book"/>
          <w:sz w:val="22"/>
        </w:rPr>
        <w:t xml:space="preserve">. </w:t>
      </w:r>
      <w:r w:rsidR="7BFD1946" w:rsidRPr="00F428A9">
        <w:rPr>
          <w:rFonts w:ascii="Franklin Gothic Book" w:hAnsi="Franklin Gothic Book"/>
          <w:sz w:val="22"/>
        </w:rPr>
        <w:t>Consistent with the testing population, t</w:t>
      </w:r>
      <w:r w:rsidR="0C0B5DCF" w:rsidRPr="00F428A9">
        <w:rPr>
          <w:rFonts w:ascii="Franklin Gothic Book" w:hAnsi="Franklin Gothic Book"/>
          <w:sz w:val="22"/>
        </w:rPr>
        <w:t xml:space="preserve">he commentary considered that MBS item fee of $112 per test should be applied to all </w:t>
      </w:r>
      <w:r w:rsidR="7BFD1946" w:rsidRPr="00F428A9">
        <w:rPr>
          <w:rFonts w:ascii="Franklin Gothic Book" w:hAnsi="Franklin Gothic Book"/>
          <w:sz w:val="22"/>
        </w:rPr>
        <w:t xml:space="preserve">eligible </w:t>
      </w:r>
      <w:r w:rsidR="0C0B5DCF" w:rsidRPr="00F428A9">
        <w:rPr>
          <w:rFonts w:ascii="Franklin Gothic Book" w:hAnsi="Franklin Gothic Book"/>
          <w:sz w:val="22"/>
        </w:rPr>
        <w:t>patients with advanced GC/GOJ</w:t>
      </w:r>
      <w:r w:rsidR="7BFD1946" w:rsidRPr="00F428A9">
        <w:rPr>
          <w:rFonts w:ascii="Franklin Gothic Book" w:hAnsi="Franklin Gothic Book"/>
          <w:sz w:val="22"/>
        </w:rPr>
        <w:t>.</w:t>
      </w:r>
      <w:r w:rsidR="0C0B5DCF" w:rsidRPr="00F428A9">
        <w:rPr>
          <w:rFonts w:ascii="Franklin Gothic Book" w:hAnsi="Franklin Gothic Book"/>
          <w:sz w:val="22"/>
        </w:rPr>
        <w:t xml:space="preserve"> </w:t>
      </w:r>
    </w:p>
    <w:p w14:paraId="55151819" w14:textId="7F92C97D" w:rsidR="00046FAB" w:rsidRPr="00F428A9" w:rsidRDefault="48D932CA" w:rsidP="00B50C3D">
      <w:pPr>
        <w:pStyle w:val="MSACESParagraph"/>
        <w:numPr>
          <w:ilvl w:val="0"/>
          <w:numId w:val="21"/>
        </w:numPr>
        <w:rPr>
          <w:rFonts w:ascii="Franklin Gothic Book" w:hAnsi="Franklin Gothic Book"/>
          <w:sz w:val="22"/>
        </w:rPr>
      </w:pPr>
      <w:r w:rsidRPr="00F428A9">
        <w:rPr>
          <w:rFonts w:ascii="Franklin Gothic Book" w:hAnsi="Franklin Gothic Book"/>
          <w:sz w:val="22"/>
        </w:rPr>
        <w:t>The commentary noted that t</w:t>
      </w:r>
      <w:r w:rsidR="5A70BBDE" w:rsidRPr="00F428A9">
        <w:rPr>
          <w:rFonts w:ascii="Franklin Gothic Book" w:hAnsi="Franklin Gothic Book"/>
          <w:sz w:val="22"/>
        </w:rPr>
        <w:t xml:space="preserve">he financial analysis did not </w:t>
      </w:r>
      <w:r w:rsidR="6A3D2D75" w:rsidRPr="00F428A9">
        <w:rPr>
          <w:rFonts w:ascii="Franklin Gothic Book" w:hAnsi="Franklin Gothic Book"/>
          <w:sz w:val="22"/>
        </w:rPr>
        <w:t>consider</w:t>
      </w:r>
      <w:r w:rsidR="5A70BBDE" w:rsidRPr="00F428A9">
        <w:rPr>
          <w:rFonts w:ascii="Franklin Gothic Book" w:hAnsi="Franklin Gothic Book"/>
          <w:sz w:val="22"/>
        </w:rPr>
        <w:t xml:space="preserve"> the MBS costs associated with intravenous infusions of chemotherapy (MBS item 13950; $123.05) for both zolbetuximab and nivolumab. Given the duration of treatment is longer with nivolumab compared to zolbetuximab, this would result in a higher number of infusions for nivolumab, potentially leading to a cost-offset for the MBS item related to IV administration.</w:t>
      </w:r>
    </w:p>
    <w:p w14:paraId="254A4E60" w14:textId="50968108" w:rsidR="00046FAB" w:rsidRPr="00F428A9" w:rsidRDefault="00046FAB" w:rsidP="00B50C3D">
      <w:pPr>
        <w:pStyle w:val="ListParagraph"/>
        <w:numPr>
          <w:ilvl w:val="0"/>
          <w:numId w:val="21"/>
        </w:numPr>
        <w:jc w:val="left"/>
        <w:rPr>
          <w:rFonts w:ascii="Franklin Gothic Book" w:hAnsi="Franklin Gothic Book" w:cstheme="minorHAnsi"/>
          <w:color w:val="auto"/>
          <w:sz w:val="22"/>
        </w:rPr>
      </w:pPr>
      <w:r w:rsidRPr="00F428A9">
        <w:rPr>
          <w:rFonts w:ascii="Franklin Gothic Book" w:hAnsi="Franklin Gothic Book" w:cstheme="minorHAnsi"/>
          <w:color w:val="auto"/>
          <w:sz w:val="22"/>
        </w:rPr>
        <w:t xml:space="preserve">In the submission, </w:t>
      </w:r>
      <w:r w:rsidRPr="00450DCF">
        <w:rPr>
          <w:rFonts w:ascii="Franklin Gothic Book" w:hAnsi="Franklin Gothic Book" w:cstheme="minorHAnsi"/>
          <w:color w:val="auto"/>
          <w:sz w:val="22"/>
        </w:rPr>
        <w:t>80%</w:t>
      </w:r>
      <w:r w:rsidRPr="00F428A9">
        <w:rPr>
          <w:rFonts w:ascii="Franklin Gothic Book" w:hAnsi="Franklin Gothic Book" w:cstheme="minorHAnsi"/>
          <w:color w:val="auto"/>
          <w:sz w:val="22"/>
        </w:rPr>
        <w:t xml:space="preserve"> benefit was assumed for CLDN18 testing to estimate the financial implications to the MBS. </w:t>
      </w:r>
      <w:r w:rsidR="009D48A1" w:rsidRPr="00F428A9">
        <w:rPr>
          <w:rFonts w:ascii="Franklin Gothic Book" w:hAnsi="Franklin Gothic Book" w:cstheme="minorHAnsi"/>
          <w:color w:val="auto"/>
          <w:sz w:val="22"/>
        </w:rPr>
        <w:t>The commentary noted that f</w:t>
      </w:r>
      <w:r w:rsidRPr="00F428A9">
        <w:rPr>
          <w:rFonts w:ascii="Franklin Gothic Book" w:hAnsi="Franklin Gothic Book" w:cstheme="minorHAnsi"/>
          <w:color w:val="auto"/>
          <w:sz w:val="22"/>
        </w:rPr>
        <w:t xml:space="preserve">or out of hospital services, the benefit should be </w:t>
      </w:r>
      <w:r w:rsidRPr="00450DCF">
        <w:rPr>
          <w:rFonts w:ascii="Franklin Gothic Book" w:hAnsi="Franklin Gothic Book" w:cstheme="minorHAnsi"/>
          <w:color w:val="auto"/>
          <w:sz w:val="22"/>
        </w:rPr>
        <w:t>85%</w:t>
      </w:r>
      <w:r w:rsidRPr="00F428A9">
        <w:rPr>
          <w:rFonts w:ascii="Franklin Gothic Book" w:hAnsi="Franklin Gothic Book" w:cstheme="minorHAnsi"/>
          <w:color w:val="auto"/>
          <w:sz w:val="22"/>
        </w:rPr>
        <w:t xml:space="preserve"> of the MBS Schedule fee.</w:t>
      </w:r>
    </w:p>
    <w:bookmarkStart w:id="68" w:name="_Hlk190848555"/>
    <w:p w14:paraId="13109400" w14:textId="4A9859AB" w:rsidR="00046FAB" w:rsidRPr="00F428A9" w:rsidRDefault="006276F3" w:rsidP="00F428A9">
      <w:pPr>
        <w:jc w:val="left"/>
        <w:rPr>
          <w:rFonts w:ascii="Franklin Gothic Book" w:hAnsi="Franklin Gothic Book"/>
          <w:sz w:val="22"/>
        </w:rPr>
      </w:pPr>
      <w:r>
        <w:rPr>
          <w:rFonts w:ascii="Franklin Gothic Book" w:hAnsi="Franklin Gothic Book" w:cstheme="minorHAnsi"/>
          <w:sz w:val="22"/>
        </w:rPr>
        <w:fldChar w:fldCharType="begin"/>
      </w:r>
      <w:r>
        <w:rPr>
          <w:rFonts w:ascii="Franklin Gothic Book" w:hAnsi="Franklin Gothic Book" w:cstheme="minorHAnsi"/>
          <w:sz w:val="22"/>
        </w:rPr>
        <w:instrText xml:space="preserve"> REF _Ref197010071  \* MERGEFORMAT </w:instrText>
      </w:r>
      <w:r>
        <w:rPr>
          <w:rFonts w:ascii="Franklin Gothic Book" w:hAnsi="Franklin Gothic Book" w:cstheme="minorHAnsi"/>
          <w:sz w:val="22"/>
        </w:rPr>
        <w:fldChar w:fldCharType="separate"/>
      </w:r>
      <w:r w:rsidR="00132950" w:rsidRPr="00132950">
        <w:rPr>
          <w:rFonts w:ascii="Franklin Gothic Book" w:hAnsi="Franklin Gothic Book" w:cstheme="minorHAnsi"/>
          <w:sz w:val="22"/>
        </w:rPr>
        <w:t>Table 11</w:t>
      </w:r>
      <w:r>
        <w:rPr>
          <w:rFonts w:ascii="Franklin Gothic Book" w:hAnsi="Franklin Gothic Book" w:cstheme="minorHAnsi"/>
          <w:sz w:val="22"/>
        </w:rPr>
        <w:fldChar w:fldCharType="end"/>
      </w:r>
      <w:bookmarkEnd w:id="68"/>
      <w:r w:rsidR="00046FAB" w:rsidRPr="00F428A9">
        <w:rPr>
          <w:rFonts w:ascii="Franklin Gothic Book" w:hAnsi="Franklin Gothic Book" w:cstheme="minorHAnsi"/>
          <w:sz w:val="22"/>
        </w:rPr>
        <w:t xml:space="preserve"> summarises the </w:t>
      </w:r>
      <w:r w:rsidR="00935473" w:rsidRPr="00F428A9">
        <w:rPr>
          <w:rFonts w:ascii="Franklin Gothic Book" w:hAnsi="Franklin Gothic Book" w:cstheme="minorHAnsi"/>
          <w:sz w:val="22"/>
        </w:rPr>
        <w:t xml:space="preserve">net implications to the MBS as presented in the submission, with revisions made during the commentary. </w:t>
      </w:r>
    </w:p>
    <w:p w14:paraId="71BBC015" w14:textId="1325CCD7" w:rsidR="002A4A59" w:rsidRPr="005C58E6" w:rsidRDefault="006276F3" w:rsidP="006276F3">
      <w:pPr>
        <w:pStyle w:val="Caption"/>
      </w:pPr>
      <w:bookmarkStart w:id="69" w:name="_Ref197010071"/>
      <w:bookmarkStart w:id="70" w:name="_Ref183533301"/>
      <w:r>
        <w:t xml:space="preserve">Table </w:t>
      </w:r>
      <w:r w:rsidR="004A65F6">
        <w:fldChar w:fldCharType="begin"/>
      </w:r>
      <w:r w:rsidR="004A65F6">
        <w:instrText xml:space="preserve"> SEQ Table \* ARABIC </w:instrText>
      </w:r>
      <w:r w:rsidR="004A65F6">
        <w:fldChar w:fldCharType="separate"/>
      </w:r>
      <w:r w:rsidR="00132950">
        <w:rPr>
          <w:noProof/>
        </w:rPr>
        <w:t>11</w:t>
      </w:r>
      <w:r w:rsidR="004A65F6">
        <w:rPr>
          <w:noProof/>
        </w:rPr>
        <w:fldChar w:fldCharType="end"/>
      </w:r>
      <w:bookmarkEnd w:id="69"/>
      <w:r w:rsidRPr="006276F3">
        <w:t xml:space="preserve"> </w:t>
      </w:r>
      <w:r w:rsidRPr="005C58E6">
        <w:t>Estimated use and financial implications</w:t>
      </w:r>
      <w:bookmarkEnd w:id="70"/>
      <w:r w:rsidR="002A4A59" w:rsidRPr="005C58E6">
        <w:tab/>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2"/>
        <w:gridCol w:w="1111"/>
        <w:gridCol w:w="1112"/>
        <w:gridCol w:w="1114"/>
        <w:gridCol w:w="1112"/>
        <w:gridCol w:w="1112"/>
        <w:gridCol w:w="1114"/>
      </w:tblGrid>
      <w:tr w:rsidR="00E41328" w:rsidRPr="006F4D53" w14:paraId="18019D2B" w14:textId="77777777" w:rsidTr="77D89277">
        <w:trPr>
          <w:tblHeader/>
        </w:trPr>
        <w:tc>
          <w:tcPr>
            <w:tcW w:w="1266" w:type="pct"/>
            <w:vAlign w:val="center"/>
          </w:tcPr>
          <w:p w14:paraId="4087776E" w14:textId="77777777" w:rsidR="002A4A59" w:rsidRPr="005C58E6" w:rsidRDefault="002A4A59" w:rsidP="0016579F">
            <w:pPr>
              <w:pStyle w:val="TableText"/>
              <w:keepNext/>
              <w:jc w:val="center"/>
              <w:rPr>
                <w:b/>
              </w:rPr>
            </w:pPr>
          </w:p>
        </w:tc>
        <w:tc>
          <w:tcPr>
            <w:tcW w:w="622" w:type="pct"/>
            <w:vAlign w:val="center"/>
          </w:tcPr>
          <w:p w14:paraId="27FDA0C3" w14:textId="77777777" w:rsidR="002A4A59" w:rsidRPr="005C58E6" w:rsidRDefault="002A4A59" w:rsidP="0016579F">
            <w:pPr>
              <w:pStyle w:val="TableText"/>
              <w:keepNext/>
              <w:jc w:val="center"/>
              <w:rPr>
                <w:b/>
              </w:rPr>
            </w:pPr>
            <w:r w:rsidRPr="005C58E6">
              <w:rPr>
                <w:b/>
              </w:rPr>
              <w:t>Year 1</w:t>
            </w:r>
          </w:p>
        </w:tc>
        <w:tc>
          <w:tcPr>
            <w:tcW w:w="622" w:type="pct"/>
            <w:vAlign w:val="center"/>
          </w:tcPr>
          <w:p w14:paraId="480D1E99" w14:textId="77777777" w:rsidR="002A4A59" w:rsidRPr="005C58E6" w:rsidRDefault="002A4A59" w:rsidP="0016579F">
            <w:pPr>
              <w:pStyle w:val="TableText"/>
              <w:keepNext/>
              <w:jc w:val="center"/>
              <w:rPr>
                <w:b/>
              </w:rPr>
            </w:pPr>
            <w:r w:rsidRPr="005C58E6">
              <w:rPr>
                <w:b/>
              </w:rPr>
              <w:t>Year 2</w:t>
            </w:r>
          </w:p>
        </w:tc>
        <w:tc>
          <w:tcPr>
            <w:tcW w:w="623" w:type="pct"/>
            <w:vAlign w:val="center"/>
          </w:tcPr>
          <w:p w14:paraId="3A5BB18B" w14:textId="77777777" w:rsidR="002A4A59" w:rsidRPr="005C58E6" w:rsidRDefault="002A4A59" w:rsidP="0016579F">
            <w:pPr>
              <w:pStyle w:val="TableText"/>
              <w:keepNext/>
              <w:jc w:val="center"/>
              <w:rPr>
                <w:b/>
              </w:rPr>
            </w:pPr>
            <w:r w:rsidRPr="005C58E6">
              <w:rPr>
                <w:b/>
              </w:rPr>
              <w:t>Year 3</w:t>
            </w:r>
          </w:p>
        </w:tc>
        <w:tc>
          <w:tcPr>
            <w:tcW w:w="622" w:type="pct"/>
            <w:vAlign w:val="center"/>
          </w:tcPr>
          <w:p w14:paraId="6AB6F2CA" w14:textId="77777777" w:rsidR="002A4A59" w:rsidRPr="005C58E6" w:rsidRDefault="002A4A59" w:rsidP="0016579F">
            <w:pPr>
              <w:pStyle w:val="TableText"/>
              <w:keepNext/>
              <w:jc w:val="center"/>
              <w:rPr>
                <w:b/>
              </w:rPr>
            </w:pPr>
            <w:r w:rsidRPr="005C58E6">
              <w:rPr>
                <w:b/>
              </w:rPr>
              <w:t>Year 4</w:t>
            </w:r>
          </w:p>
        </w:tc>
        <w:tc>
          <w:tcPr>
            <w:tcW w:w="622" w:type="pct"/>
            <w:vAlign w:val="center"/>
          </w:tcPr>
          <w:p w14:paraId="078D32A9" w14:textId="77777777" w:rsidR="002A4A59" w:rsidRPr="005C58E6" w:rsidRDefault="002A4A59" w:rsidP="0016579F">
            <w:pPr>
              <w:pStyle w:val="TableText"/>
              <w:keepNext/>
              <w:jc w:val="center"/>
              <w:rPr>
                <w:b/>
              </w:rPr>
            </w:pPr>
            <w:r w:rsidRPr="005C58E6">
              <w:rPr>
                <w:b/>
              </w:rPr>
              <w:t>Year 5</w:t>
            </w:r>
          </w:p>
        </w:tc>
        <w:tc>
          <w:tcPr>
            <w:tcW w:w="623" w:type="pct"/>
          </w:tcPr>
          <w:p w14:paraId="4EDD39DC" w14:textId="77777777" w:rsidR="002A4A59" w:rsidRPr="005C58E6" w:rsidRDefault="002A4A59" w:rsidP="0016579F">
            <w:pPr>
              <w:pStyle w:val="TableText"/>
              <w:keepNext/>
              <w:jc w:val="center"/>
              <w:rPr>
                <w:b/>
              </w:rPr>
            </w:pPr>
            <w:r w:rsidRPr="005C58E6">
              <w:rPr>
                <w:b/>
              </w:rPr>
              <w:t>Year 6</w:t>
            </w:r>
          </w:p>
        </w:tc>
      </w:tr>
      <w:tr w:rsidR="00E41328" w:rsidRPr="006F4D53" w14:paraId="76400049" w14:textId="77777777" w:rsidTr="77D89277">
        <w:tc>
          <w:tcPr>
            <w:tcW w:w="5000" w:type="pct"/>
            <w:gridSpan w:val="7"/>
            <w:vAlign w:val="center"/>
          </w:tcPr>
          <w:p w14:paraId="10F731D9" w14:textId="77777777" w:rsidR="002A4A59" w:rsidRPr="005C58E6" w:rsidRDefault="002A4A59" w:rsidP="0016579F">
            <w:pPr>
              <w:pStyle w:val="TableText"/>
              <w:keepNext/>
              <w:rPr>
                <w:b/>
              </w:rPr>
            </w:pPr>
            <w:r w:rsidRPr="005C58E6">
              <w:rPr>
                <w:b/>
              </w:rPr>
              <w:t>Estimated extent of use of CLDN18 test</w:t>
            </w:r>
          </w:p>
        </w:tc>
      </w:tr>
      <w:tr w:rsidR="00BF49C0" w:rsidRPr="006F4D53" w14:paraId="55045ECF" w14:textId="77777777" w:rsidTr="77D89277">
        <w:tc>
          <w:tcPr>
            <w:tcW w:w="1266" w:type="pct"/>
            <w:vAlign w:val="center"/>
          </w:tcPr>
          <w:p w14:paraId="1057E20A" w14:textId="77777777" w:rsidR="00BF49C0" w:rsidRPr="005C58E6" w:rsidRDefault="00BF49C0" w:rsidP="00BF49C0">
            <w:pPr>
              <w:pStyle w:val="TableText"/>
              <w:keepNext/>
            </w:pPr>
            <w:r w:rsidRPr="005C58E6">
              <w:t>Number of patients tested</w:t>
            </w:r>
          </w:p>
        </w:tc>
        <w:tc>
          <w:tcPr>
            <w:tcW w:w="622" w:type="pct"/>
            <w:vAlign w:val="center"/>
          </w:tcPr>
          <w:p w14:paraId="1687544E" w14:textId="72920FA9" w:rsidR="00BF49C0" w:rsidRPr="00785011" w:rsidRDefault="00BF49C0" w:rsidP="00BF49C0">
            <w:pPr>
              <w:pStyle w:val="TableNumber"/>
              <w:keepNext/>
              <w:rPr>
                <w:strike/>
                <w:vertAlign w:val="superscript"/>
              </w:rPr>
            </w:pPr>
            <w:r w:rsidRPr="00B541B0">
              <w:rPr>
                <w:b/>
                <w:bCs/>
              </w:rPr>
              <w:t>R</w:t>
            </w:r>
            <w:r w:rsidRPr="00BF49C0">
              <w:rPr>
                <w:b/>
                <w:bCs/>
              </w:rPr>
              <w:t>edacted</w:t>
            </w:r>
            <w:r>
              <w:rPr>
                <w:b/>
                <w:bCs/>
                <w:vertAlign w:val="superscript"/>
              </w:rPr>
              <w:t>1</w:t>
            </w:r>
          </w:p>
        </w:tc>
        <w:tc>
          <w:tcPr>
            <w:tcW w:w="622" w:type="pct"/>
            <w:vAlign w:val="center"/>
          </w:tcPr>
          <w:p w14:paraId="60B9F06D" w14:textId="4F8BD35E" w:rsidR="00BF49C0" w:rsidRPr="00B541B0" w:rsidRDefault="00BF49C0"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c>
          <w:tcPr>
            <w:tcW w:w="623" w:type="pct"/>
            <w:vAlign w:val="center"/>
          </w:tcPr>
          <w:p w14:paraId="5849795C" w14:textId="1BBB1C3C" w:rsidR="00BF49C0" w:rsidRPr="00B541B0" w:rsidRDefault="003E6BB2"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c>
          <w:tcPr>
            <w:tcW w:w="622" w:type="pct"/>
            <w:vAlign w:val="center"/>
          </w:tcPr>
          <w:p w14:paraId="15C1B09E" w14:textId="0F7AB6F6" w:rsidR="00BF49C0" w:rsidRPr="00B541B0" w:rsidRDefault="003E6BB2"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c>
          <w:tcPr>
            <w:tcW w:w="622" w:type="pct"/>
            <w:vAlign w:val="center"/>
          </w:tcPr>
          <w:p w14:paraId="42A149FB" w14:textId="5A0EFA29" w:rsidR="00BF49C0" w:rsidRPr="00B541B0" w:rsidRDefault="003E6BB2"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c>
          <w:tcPr>
            <w:tcW w:w="623" w:type="pct"/>
            <w:vAlign w:val="center"/>
          </w:tcPr>
          <w:p w14:paraId="409FFEF2" w14:textId="52F973FC" w:rsidR="00BF49C0" w:rsidRPr="00B541B0" w:rsidRDefault="008A51AB"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r>
      <w:tr w:rsidR="00BF49C0" w:rsidRPr="006F4D53" w14:paraId="5F20FA17" w14:textId="77777777" w:rsidTr="77D89277">
        <w:tc>
          <w:tcPr>
            <w:tcW w:w="1266" w:type="pct"/>
            <w:vAlign w:val="center"/>
          </w:tcPr>
          <w:p w14:paraId="23B5FD53" w14:textId="27264651" w:rsidR="00BF49C0" w:rsidRPr="005C58E6" w:rsidRDefault="00BF49C0" w:rsidP="00BF49C0">
            <w:pPr>
              <w:pStyle w:val="TableText"/>
              <w:keepNext/>
              <w:rPr>
                <w:i/>
                <w:iCs/>
              </w:rPr>
            </w:pPr>
            <w:r w:rsidRPr="77D89277">
              <w:rPr>
                <w:i/>
                <w:iCs/>
              </w:rPr>
              <w:t xml:space="preserve">Revised number of patients </w:t>
            </w:r>
            <w:proofErr w:type="spellStart"/>
            <w:r w:rsidRPr="77D89277">
              <w:rPr>
                <w:i/>
                <w:iCs/>
              </w:rPr>
              <w:t>tested</w:t>
            </w:r>
            <w:r w:rsidRPr="77D89277">
              <w:rPr>
                <w:i/>
                <w:iCs/>
                <w:vertAlign w:val="superscript"/>
              </w:rPr>
              <w:t>a</w:t>
            </w:r>
            <w:proofErr w:type="spellEnd"/>
          </w:p>
        </w:tc>
        <w:tc>
          <w:tcPr>
            <w:tcW w:w="622" w:type="pct"/>
          </w:tcPr>
          <w:p w14:paraId="17C40FA1" w14:textId="0D065A92" w:rsidR="00BF49C0" w:rsidRPr="00116622" w:rsidRDefault="008A51AB" w:rsidP="00BF49C0">
            <w:pPr>
              <w:pStyle w:val="TableNumber"/>
              <w:keepNext/>
              <w:rPr>
                <w:i/>
              </w:rPr>
            </w:pPr>
            <w:r w:rsidRPr="00305B51">
              <w:rPr>
                <w:b/>
                <w:bCs/>
                <w:i/>
                <w:iCs/>
              </w:rPr>
              <w:t>Redacted</w:t>
            </w:r>
            <w:r w:rsidRPr="00305B51">
              <w:rPr>
                <w:b/>
                <w:bCs/>
                <w:i/>
                <w:iCs/>
                <w:vertAlign w:val="superscript"/>
              </w:rPr>
              <w:t>1</w:t>
            </w:r>
          </w:p>
        </w:tc>
        <w:tc>
          <w:tcPr>
            <w:tcW w:w="622" w:type="pct"/>
          </w:tcPr>
          <w:p w14:paraId="579848FC" w14:textId="761EAAA6" w:rsidR="00BF49C0" w:rsidRPr="00116622" w:rsidRDefault="008A51AB" w:rsidP="00BF49C0">
            <w:pPr>
              <w:pStyle w:val="TableText"/>
              <w:keepNext/>
              <w:tabs>
                <w:tab w:val="decimal" w:pos="396"/>
              </w:tabs>
              <w:jc w:val="center"/>
              <w:rPr>
                <w:i/>
              </w:rPr>
            </w:pPr>
            <w:r w:rsidRPr="00305B51">
              <w:rPr>
                <w:b/>
                <w:bCs/>
                <w:i/>
                <w:iCs/>
              </w:rPr>
              <w:t>Redacted</w:t>
            </w:r>
            <w:r w:rsidRPr="00305B51">
              <w:rPr>
                <w:b/>
                <w:bCs/>
                <w:i/>
                <w:iCs/>
                <w:vertAlign w:val="superscript"/>
              </w:rPr>
              <w:t>1</w:t>
            </w:r>
          </w:p>
        </w:tc>
        <w:tc>
          <w:tcPr>
            <w:tcW w:w="623" w:type="pct"/>
          </w:tcPr>
          <w:p w14:paraId="0834DFEA" w14:textId="5360A773" w:rsidR="00BF49C0" w:rsidRPr="00116622" w:rsidRDefault="008A51AB" w:rsidP="00BF49C0">
            <w:pPr>
              <w:pStyle w:val="TableText"/>
              <w:keepNext/>
              <w:tabs>
                <w:tab w:val="decimal" w:pos="396"/>
              </w:tabs>
              <w:jc w:val="center"/>
              <w:rPr>
                <w:i/>
              </w:rPr>
            </w:pPr>
            <w:r w:rsidRPr="00305B51">
              <w:rPr>
                <w:b/>
                <w:bCs/>
                <w:i/>
                <w:iCs/>
              </w:rPr>
              <w:t>Redacted</w:t>
            </w:r>
            <w:r w:rsidRPr="00305B51">
              <w:rPr>
                <w:b/>
                <w:bCs/>
                <w:i/>
                <w:iCs/>
                <w:vertAlign w:val="superscript"/>
              </w:rPr>
              <w:t>1</w:t>
            </w:r>
          </w:p>
        </w:tc>
        <w:tc>
          <w:tcPr>
            <w:tcW w:w="622" w:type="pct"/>
          </w:tcPr>
          <w:p w14:paraId="6F7ECADA" w14:textId="2E4C6B01" w:rsidR="00BF49C0" w:rsidRPr="00116622" w:rsidRDefault="008A51AB" w:rsidP="00BF49C0">
            <w:pPr>
              <w:pStyle w:val="TableText"/>
              <w:keepNext/>
              <w:tabs>
                <w:tab w:val="decimal" w:pos="396"/>
              </w:tabs>
              <w:jc w:val="center"/>
              <w:rPr>
                <w:i/>
                <w:strike/>
              </w:rPr>
            </w:pPr>
            <w:r w:rsidRPr="00305B51">
              <w:rPr>
                <w:b/>
                <w:bCs/>
                <w:i/>
                <w:iCs/>
              </w:rPr>
              <w:t>Redacted</w:t>
            </w:r>
            <w:r w:rsidRPr="00305B51">
              <w:rPr>
                <w:b/>
                <w:bCs/>
                <w:i/>
                <w:iCs/>
                <w:vertAlign w:val="superscript"/>
              </w:rPr>
              <w:t>1</w:t>
            </w:r>
          </w:p>
        </w:tc>
        <w:tc>
          <w:tcPr>
            <w:tcW w:w="622" w:type="pct"/>
          </w:tcPr>
          <w:p w14:paraId="6E390BE6" w14:textId="06EC98C6" w:rsidR="00BF49C0" w:rsidRPr="00116622" w:rsidRDefault="008A51AB" w:rsidP="00BF49C0">
            <w:pPr>
              <w:pStyle w:val="TableText"/>
              <w:keepNext/>
              <w:tabs>
                <w:tab w:val="decimal" w:pos="396"/>
              </w:tabs>
              <w:jc w:val="center"/>
              <w:rPr>
                <w:i/>
                <w:strike/>
              </w:rPr>
            </w:pPr>
            <w:r w:rsidRPr="00305B51">
              <w:rPr>
                <w:b/>
                <w:bCs/>
                <w:i/>
                <w:iCs/>
              </w:rPr>
              <w:t>Redacted</w:t>
            </w:r>
            <w:r w:rsidRPr="00305B51">
              <w:rPr>
                <w:b/>
                <w:bCs/>
                <w:i/>
                <w:iCs/>
                <w:vertAlign w:val="superscript"/>
              </w:rPr>
              <w:t>1</w:t>
            </w:r>
          </w:p>
        </w:tc>
        <w:tc>
          <w:tcPr>
            <w:tcW w:w="623" w:type="pct"/>
          </w:tcPr>
          <w:p w14:paraId="1D8A5664" w14:textId="486D1035" w:rsidR="00BF49C0" w:rsidRPr="00116622" w:rsidRDefault="008A51AB" w:rsidP="00BF49C0">
            <w:pPr>
              <w:pStyle w:val="TableText"/>
              <w:keepNext/>
              <w:tabs>
                <w:tab w:val="decimal" w:pos="396"/>
              </w:tabs>
              <w:jc w:val="center"/>
              <w:rPr>
                <w:i/>
                <w:strike/>
              </w:rPr>
            </w:pPr>
            <w:r w:rsidRPr="00305B51">
              <w:rPr>
                <w:b/>
                <w:bCs/>
                <w:i/>
                <w:iCs/>
              </w:rPr>
              <w:t>Redacted</w:t>
            </w:r>
            <w:r w:rsidRPr="00305B51">
              <w:rPr>
                <w:b/>
                <w:bCs/>
                <w:i/>
                <w:iCs/>
                <w:vertAlign w:val="superscript"/>
              </w:rPr>
              <w:t>1</w:t>
            </w:r>
          </w:p>
        </w:tc>
      </w:tr>
      <w:tr w:rsidR="00BF49C0" w:rsidRPr="006F4D53" w14:paraId="448A39B2" w14:textId="77777777" w:rsidTr="77D89277">
        <w:tc>
          <w:tcPr>
            <w:tcW w:w="1266" w:type="pct"/>
            <w:vAlign w:val="center"/>
          </w:tcPr>
          <w:p w14:paraId="0F27344D" w14:textId="77777777" w:rsidR="00BF49C0" w:rsidRPr="005C58E6" w:rsidRDefault="00BF49C0" w:rsidP="00BF49C0">
            <w:pPr>
              <w:pStyle w:val="TableText"/>
              <w:keepNext/>
            </w:pPr>
            <w:r w:rsidRPr="005C58E6">
              <w:t>Number of patients likely to receive a positive test result</w:t>
            </w:r>
          </w:p>
        </w:tc>
        <w:tc>
          <w:tcPr>
            <w:tcW w:w="622" w:type="pct"/>
            <w:vAlign w:val="center"/>
          </w:tcPr>
          <w:p w14:paraId="6E0E2FAF" w14:textId="2999DD30" w:rsidR="00BF49C0" w:rsidRPr="009E3815" w:rsidRDefault="00981C93" w:rsidP="00BF49C0">
            <w:pPr>
              <w:pStyle w:val="TableNumber"/>
              <w:keepNext/>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314831E1" w14:textId="0FB3FC92" w:rsidR="00BF49C0" w:rsidRPr="009E3815" w:rsidRDefault="00981C93" w:rsidP="00BF49C0">
            <w:pPr>
              <w:pStyle w:val="TableText"/>
              <w:keepNext/>
              <w:tabs>
                <w:tab w:val="decimal" w:pos="396"/>
              </w:tabs>
              <w:jc w:val="center"/>
              <w:rPr>
                <w:strike/>
              </w:rPr>
            </w:pPr>
            <w:r w:rsidRPr="00B541B0">
              <w:rPr>
                <w:b/>
                <w:bCs/>
              </w:rPr>
              <w:t>R</w:t>
            </w:r>
            <w:r w:rsidRPr="00BF49C0">
              <w:rPr>
                <w:b/>
                <w:bCs/>
              </w:rPr>
              <w:t>edacted</w:t>
            </w:r>
            <w:r>
              <w:rPr>
                <w:b/>
                <w:bCs/>
                <w:vertAlign w:val="superscript"/>
              </w:rPr>
              <w:t>2</w:t>
            </w:r>
          </w:p>
        </w:tc>
        <w:tc>
          <w:tcPr>
            <w:tcW w:w="623" w:type="pct"/>
            <w:vAlign w:val="center"/>
          </w:tcPr>
          <w:p w14:paraId="39AE4E65" w14:textId="5546D41F" w:rsidR="00BF49C0" w:rsidRPr="009E3815" w:rsidRDefault="00981C93" w:rsidP="00BF49C0">
            <w:pPr>
              <w:pStyle w:val="TableText"/>
              <w:keepNext/>
              <w:tabs>
                <w:tab w:val="decimal" w:pos="396"/>
              </w:tabs>
              <w:jc w:val="center"/>
              <w:rPr>
                <w:strike/>
              </w:rPr>
            </w:pPr>
            <w:r w:rsidRPr="00B541B0">
              <w:rPr>
                <w:b/>
                <w:bCs/>
              </w:rPr>
              <w:t>R</w:t>
            </w:r>
            <w:r w:rsidRPr="00BF49C0">
              <w:rPr>
                <w:b/>
                <w:bCs/>
              </w:rPr>
              <w:t>edacted</w:t>
            </w:r>
            <w:r>
              <w:rPr>
                <w:b/>
                <w:bCs/>
                <w:vertAlign w:val="superscript"/>
              </w:rPr>
              <w:t>2</w:t>
            </w:r>
          </w:p>
        </w:tc>
        <w:tc>
          <w:tcPr>
            <w:tcW w:w="622" w:type="pct"/>
            <w:vAlign w:val="center"/>
          </w:tcPr>
          <w:p w14:paraId="6F02415F" w14:textId="7374D8FA" w:rsidR="00BF49C0" w:rsidRPr="009E3815" w:rsidRDefault="00981C93" w:rsidP="00BF49C0">
            <w:pPr>
              <w:pStyle w:val="TableText"/>
              <w:keepNext/>
              <w:tabs>
                <w:tab w:val="decimal" w:pos="396"/>
              </w:tabs>
              <w:jc w:val="center"/>
              <w:rPr>
                <w:strike/>
              </w:rPr>
            </w:pPr>
            <w:r w:rsidRPr="00B541B0">
              <w:rPr>
                <w:b/>
                <w:bCs/>
              </w:rPr>
              <w:t>R</w:t>
            </w:r>
            <w:r w:rsidRPr="00BF49C0">
              <w:rPr>
                <w:b/>
                <w:bCs/>
              </w:rPr>
              <w:t>edacted</w:t>
            </w:r>
            <w:r>
              <w:rPr>
                <w:b/>
                <w:bCs/>
                <w:vertAlign w:val="superscript"/>
              </w:rPr>
              <w:t>2</w:t>
            </w:r>
          </w:p>
        </w:tc>
        <w:tc>
          <w:tcPr>
            <w:tcW w:w="622" w:type="pct"/>
            <w:vAlign w:val="center"/>
          </w:tcPr>
          <w:p w14:paraId="4492BAB2" w14:textId="4E06278C" w:rsidR="00BF49C0" w:rsidRPr="009E3815" w:rsidRDefault="00981C93" w:rsidP="00BF49C0">
            <w:pPr>
              <w:pStyle w:val="TableText"/>
              <w:keepNext/>
              <w:tabs>
                <w:tab w:val="decimal" w:pos="396"/>
              </w:tabs>
              <w:jc w:val="center"/>
              <w:rPr>
                <w:strike/>
                <w:vertAlign w:val="superscript"/>
              </w:rPr>
            </w:pPr>
            <w:r w:rsidRPr="00B541B0">
              <w:rPr>
                <w:b/>
                <w:bCs/>
              </w:rPr>
              <w:t>R</w:t>
            </w:r>
            <w:r w:rsidRPr="00BF49C0">
              <w:rPr>
                <w:b/>
                <w:bCs/>
              </w:rPr>
              <w:t>edacted</w:t>
            </w:r>
            <w:r>
              <w:rPr>
                <w:b/>
                <w:bCs/>
                <w:vertAlign w:val="superscript"/>
              </w:rPr>
              <w:t>1</w:t>
            </w:r>
          </w:p>
        </w:tc>
        <w:tc>
          <w:tcPr>
            <w:tcW w:w="623" w:type="pct"/>
            <w:vAlign w:val="center"/>
          </w:tcPr>
          <w:p w14:paraId="4C1108C5" w14:textId="6FBFD294" w:rsidR="00BF49C0" w:rsidRPr="009E3815" w:rsidRDefault="00981C93" w:rsidP="00BF49C0">
            <w:pPr>
              <w:pStyle w:val="TableText"/>
              <w:keepNext/>
              <w:tabs>
                <w:tab w:val="decimal" w:pos="396"/>
              </w:tabs>
              <w:jc w:val="center"/>
              <w:rPr>
                <w:strike/>
              </w:rPr>
            </w:pPr>
            <w:r w:rsidRPr="00B541B0">
              <w:rPr>
                <w:b/>
                <w:bCs/>
              </w:rPr>
              <w:t>R</w:t>
            </w:r>
            <w:r w:rsidRPr="00BF49C0">
              <w:rPr>
                <w:b/>
                <w:bCs/>
              </w:rPr>
              <w:t>edacted</w:t>
            </w:r>
            <w:r>
              <w:rPr>
                <w:b/>
                <w:bCs/>
                <w:vertAlign w:val="superscript"/>
              </w:rPr>
              <w:t>1</w:t>
            </w:r>
          </w:p>
        </w:tc>
      </w:tr>
      <w:tr w:rsidR="00BF49C0" w:rsidRPr="006F4D53" w14:paraId="64EB4CA5" w14:textId="77777777" w:rsidTr="77D89277">
        <w:tc>
          <w:tcPr>
            <w:tcW w:w="5000" w:type="pct"/>
            <w:gridSpan w:val="7"/>
            <w:vAlign w:val="center"/>
          </w:tcPr>
          <w:p w14:paraId="10068364" w14:textId="6C7D1E2E" w:rsidR="00BF49C0" w:rsidRPr="005C58E6" w:rsidRDefault="00BF49C0" w:rsidP="00BF49C0">
            <w:pPr>
              <w:pStyle w:val="TableText"/>
              <w:keepNext/>
              <w:rPr>
                <w:b/>
              </w:rPr>
            </w:pPr>
            <w:r w:rsidRPr="005C58E6">
              <w:rPr>
                <w:b/>
              </w:rPr>
              <w:t>Estimated net financial implications of the CLDN18 test to the MBS</w:t>
            </w:r>
          </w:p>
        </w:tc>
      </w:tr>
      <w:tr w:rsidR="00BF49C0" w:rsidRPr="006F4D53" w14:paraId="65AC2035" w14:textId="77777777" w:rsidTr="77D89277">
        <w:tc>
          <w:tcPr>
            <w:tcW w:w="1266" w:type="pct"/>
            <w:vAlign w:val="center"/>
          </w:tcPr>
          <w:p w14:paraId="31E8546C" w14:textId="6BE0F81F" w:rsidR="00BF49C0" w:rsidRPr="005C58E6" w:rsidRDefault="00BF49C0" w:rsidP="00BF49C0">
            <w:pPr>
              <w:pStyle w:val="TableText"/>
              <w:keepNext/>
            </w:pPr>
            <w:r w:rsidRPr="005C58E6">
              <w:t>Cost to the MBS less copayments (</w:t>
            </w:r>
            <w:r w:rsidRPr="005119EA">
              <w:t>80</w:t>
            </w:r>
            <w:r w:rsidRPr="005C58E6">
              <w:t>% of the proposed MBS schedule fee)</w:t>
            </w:r>
          </w:p>
        </w:tc>
        <w:tc>
          <w:tcPr>
            <w:tcW w:w="622" w:type="pct"/>
            <w:vAlign w:val="center"/>
          </w:tcPr>
          <w:p w14:paraId="38FB7E17" w14:textId="494E08E6" w:rsidR="00BF49C0" w:rsidRPr="005119EA" w:rsidRDefault="00602E98" w:rsidP="00BF49C0">
            <w:pPr>
              <w:pStyle w:val="TableText"/>
              <w:keepNext/>
              <w:jc w:val="center"/>
            </w:pPr>
            <w:r w:rsidRPr="00B541B0">
              <w:rPr>
                <w:b/>
                <w:bCs/>
              </w:rPr>
              <w:t>R</w:t>
            </w:r>
            <w:r w:rsidRPr="00BF49C0">
              <w:rPr>
                <w:b/>
                <w:bCs/>
              </w:rPr>
              <w:t>edacted</w:t>
            </w:r>
            <w:r>
              <w:rPr>
                <w:b/>
                <w:bCs/>
                <w:vertAlign w:val="superscript"/>
              </w:rPr>
              <w:t>3</w:t>
            </w:r>
          </w:p>
        </w:tc>
        <w:tc>
          <w:tcPr>
            <w:tcW w:w="622" w:type="pct"/>
            <w:vAlign w:val="center"/>
          </w:tcPr>
          <w:p w14:paraId="2320FD71" w14:textId="6FBFC2FA" w:rsidR="00BF49C0" w:rsidRPr="009E3815" w:rsidRDefault="00602E98" w:rsidP="00BF49C0">
            <w:pPr>
              <w:pStyle w:val="TableText"/>
              <w:keepNext/>
              <w:jc w:val="center"/>
              <w:rPr>
                <w:strike/>
              </w:rPr>
            </w:pPr>
            <w:r w:rsidRPr="00B541B0">
              <w:rPr>
                <w:b/>
                <w:bCs/>
              </w:rPr>
              <w:t>R</w:t>
            </w:r>
            <w:r w:rsidRPr="00BF49C0">
              <w:rPr>
                <w:b/>
                <w:bCs/>
              </w:rPr>
              <w:t>edacted</w:t>
            </w:r>
            <w:r>
              <w:rPr>
                <w:b/>
                <w:bCs/>
                <w:vertAlign w:val="superscript"/>
              </w:rPr>
              <w:t>3</w:t>
            </w:r>
          </w:p>
        </w:tc>
        <w:tc>
          <w:tcPr>
            <w:tcW w:w="623" w:type="pct"/>
            <w:vAlign w:val="center"/>
          </w:tcPr>
          <w:p w14:paraId="43A79DA9" w14:textId="771D2264" w:rsidR="00BF49C0" w:rsidRPr="009E3815" w:rsidRDefault="00602E98" w:rsidP="00BF49C0">
            <w:pPr>
              <w:pStyle w:val="TableText"/>
              <w:keepNext/>
              <w:jc w:val="center"/>
              <w:rPr>
                <w:strike/>
              </w:rPr>
            </w:pPr>
            <w:r w:rsidRPr="00B541B0">
              <w:rPr>
                <w:b/>
                <w:bCs/>
              </w:rPr>
              <w:t>R</w:t>
            </w:r>
            <w:r w:rsidRPr="00BF49C0">
              <w:rPr>
                <w:b/>
                <w:bCs/>
              </w:rPr>
              <w:t>edacted</w:t>
            </w:r>
            <w:r>
              <w:rPr>
                <w:b/>
                <w:bCs/>
                <w:vertAlign w:val="superscript"/>
              </w:rPr>
              <w:t>3</w:t>
            </w:r>
          </w:p>
        </w:tc>
        <w:tc>
          <w:tcPr>
            <w:tcW w:w="622" w:type="pct"/>
            <w:vAlign w:val="center"/>
          </w:tcPr>
          <w:p w14:paraId="10582C6C" w14:textId="3A8FD82E" w:rsidR="00BF49C0" w:rsidRPr="009E3815" w:rsidRDefault="00602E98" w:rsidP="00BF49C0">
            <w:pPr>
              <w:pStyle w:val="TableText"/>
              <w:keepNext/>
              <w:jc w:val="center"/>
              <w:rPr>
                <w:strike/>
              </w:rPr>
            </w:pPr>
            <w:r w:rsidRPr="00B541B0">
              <w:rPr>
                <w:b/>
                <w:bCs/>
              </w:rPr>
              <w:t>R</w:t>
            </w:r>
            <w:r w:rsidRPr="00BF49C0">
              <w:rPr>
                <w:b/>
                <w:bCs/>
              </w:rPr>
              <w:t>edacted</w:t>
            </w:r>
            <w:r>
              <w:rPr>
                <w:b/>
                <w:bCs/>
                <w:vertAlign w:val="superscript"/>
              </w:rPr>
              <w:t>3</w:t>
            </w:r>
          </w:p>
        </w:tc>
        <w:tc>
          <w:tcPr>
            <w:tcW w:w="622" w:type="pct"/>
            <w:vAlign w:val="center"/>
          </w:tcPr>
          <w:p w14:paraId="21ACDE6A" w14:textId="2CFADB1E" w:rsidR="00BF49C0" w:rsidRPr="009E3815" w:rsidRDefault="00602E98" w:rsidP="00BF49C0">
            <w:pPr>
              <w:pStyle w:val="TableText"/>
              <w:keepNext/>
              <w:jc w:val="center"/>
              <w:rPr>
                <w:strike/>
              </w:rPr>
            </w:pPr>
            <w:r w:rsidRPr="00B541B0">
              <w:rPr>
                <w:b/>
                <w:bCs/>
              </w:rPr>
              <w:t>R</w:t>
            </w:r>
            <w:r w:rsidRPr="00BF49C0">
              <w:rPr>
                <w:b/>
                <w:bCs/>
              </w:rPr>
              <w:t>edacted</w:t>
            </w:r>
            <w:r>
              <w:rPr>
                <w:b/>
                <w:bCs/>
                <w:vertAlign w:val="superscript"/>
              </w:rPr>
              <w:t>3</w:t>
            </w:r>
          </w:p>
        </w:tc>
        <w:tc>
          <w:tcPr>
            <w:tcW w:w="623" w:type="pct"/>
            <w:vAlign w:val="center"/>
          </w:tcPr>
          <w:p w14:paraId="7FDD3E4E" w14:textId="6ACF6A7D" w:rsidR="00BF49C0" w:rsidRPr="009E3815" w:rsidRDefault="00602E98" w:rsidP="00BF49C0">
            <w:pPr>
              <w:pStyle w:val="TableText"/>
              <w:keepNext/>
              <w:jc w:val="center"/>
              <w:rPr>
                <w:strike/>
              </w:rPr>
            </w:pPr>
            <w:r w:rsidRPr="00B541B0">
              <w:rPr>
                <w:b/>
                <w:bCs/>
              </w:rPr>
              <w:t>R</w:t>
            </w:r>
            <w:r w:rsidRPr="00BF49C0">
              <w:rPr>
                <w:b/>
                <w:bCs/>
              </w:rPr>
              <w:t>edacted</w:t>
            </w:r>
            <w:r>
              <w:rPr>
                <w:b/>
                <w:bCs/>
                <w:vertAlign w:val="superscript"/>
              </w:rPr>
              <w:t>3</w:t>
            </w:r>
          </w:p>
        </w:tc>
      </w:tr>
      <w:tr w:rsidR="00BF49C0" w:rsidRPr="006F4D53" w14:paraId="4843AE62" w14:textId="77777777" w:rsidTr="77D89277">
        <w:tc>
          <w:tcPr>
            <w:tcW w:w="1266" w:type="pct"/>
            <w:vAlign w:val="center"/>
          </w:tcPr>
          <w:p w14:paraId="175C846C" w14:textId="3FD4A28B" w:rsidR="00BF49C0" w:rsidRPr="005C58E6" w:rsidRDefault="00BF49C0" w:rsidP="00BF49C0">
            <w:pPr>
              <w:pStyle w:val="TableText"/>
              <w:keepNext/>
              <w:ind w:left="106"/>
              <w:rPr>
                <w:i/>
                <w:iCs/>
              </w:rPr>
            </w:pPr>
            <w:r w:rsidRPr="77D89277">
              <w:rPr>
                <w:i/>
                <w:iCs/>
              </w:rPr>
              <w:t xml:space="preserve">Revised assuming </w:t>
            </w:r>
            <w:r w:rsidRPr="005119EA">
              <w:rPr>
                <w:i/>
              </w:rPr>
              <w:t>85</w:t>
            </w:r>
            <w:r w:rsidRPr="77D89277">
              <w:rPr>
                <w:i/>
                <w:iCs/>
              </w:rPr>
              <w:t xml:space="preserve">% schedule </w:t>
            </w:r>
            <w:proofErr w:type="spellStart"/>
            <w:r w:rsidRPr="77D89277">
              <w:rPr>
                <w:i/>
                <w:iCs/>
              </w:rPr>
              <w:t>fee</w:t>
            </w:r>
            <w:r w:rsidRPr="77D89277">
              <w:rPr>
                <w:i/>
                <w:iCs/>
                <w:vertAlign w:val="superscript"/>
              </w:rPr>
              <w:t>b</w:t>
            </w:r>
            <w:proofErr w:type="spellEnd"/>
            <w:r w:rsidRPr="77D89277">
              <w:rPr>
                <w:i/>
                <w:iCs/>
              </w:rPr>
              <w:t xml:space="preserve"> </w:t>
            </w:r>
          </w:p>
        </w:tc>
        <w:tc>
          <w:tcPr>
            <w:tcW w:w="622" w:type="pct"/>
            <w:vAlign w:val="center"/>
          </w:tcPr>
          <w:p w14:paraId="5350DDAD" w14:textId="64406C6E"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c>
          <w:tcPr>
            <w:tcW w:w="622" w:type="pct"/>
            <w:vAlign w:val="center"/>
          </w:tcPr>
          <w:p w14:paraId="605529C3" w14:textId="2E87E02F"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c>
          <w:tcPr>
            <w:tcW w:w="623" w:type="pct"/>
            <w:vAlign w:val="center"/>
          </w:tcPr>
          <w:p w14:paraId="3E2FF79B" w14:textId="5A7C62C7"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c>
          <w:tcPr>
            <w:tcW w:w="622" w:type="pct"/>
            <w:vAlign w:val="center"/>
          </w:tcPr>
          <w:p w14:paraId="513AC003" w14:textId="50AC8F07"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c>
          <w:tcPr>
            <w:tcW w:w="622" w:type="pct"/>
            <w:vAlign w:val="center"/>
          </w:tcPr>
          <w:p w14:paraId="55E51099" w14:textId="6CFF5A69"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c>
          <w:tcPr>
            <w:tcW w:w="623" w:type="pct"/>
            <w:vAlign w:val="center"/>
          </w:tcPr>
          <w:p w14:paraId="4FBAB1CC" w14:textId="75150419" w:rsidR="00BF49C0" w:rsidRPr="00116622" w:rsidRDefault="00602E98" w:rsidP="00BF49C0">
            <w:pPr>
              <w:pStyle w:val="TableText"/>
              <w:keepNext/>
              <w:jc w:val="center"/>
              <w:rPr>
                <w:i/>
              </w:rPr>
            </w:pPr>
            <w:r w:rsidRPr="00305B51">
              <w:rPr>
                <w:b/>
                <w:bCs/>
                <w:i/>
                <w:iCs/>
              </w:rPr>
              <w:t>Redacted</w:t>
            </w:r>
            <w:r w:rsidRPr="00305B51">
              <w:rPr>
                <w:b/>
                <w:bCs/>
                <w:i/>
                <w:iCs/>
                <w:vertAlign w:val="superscript"/>
              </w:rPr>
              <w:t>3</w:t>
            </w:r>
          </w:p>
        </w:tc>
      </w:tr>
      <w:tr w:rsidR="00BF49C0" w:rsidRPr="006F4D53" w14:paraId="52FF8BC1" w14:textId="77777777" w:rsidTr="77D89277">
        <w:tc>
          <w:tcPr>
            <w:tcW w:w="1266" w:type="pct"/>
            <w:vAlign w:val="center"/>
          </w:tcPr>
          <w:p w14:paraId="6785C62F" w14:textId="04DCB1A4" w:rsidR="00BF49C0" w:rsidRPr="005C58E6" w:rsidRDefault="00BF49C0" w:rsidP="00BF49C0">
            <w:pPr>
              <w:pStyle w:val="TableText"/>
              <w:keepNext/>
              <w:ind w:left="106"/>
              <w:rPr>
                <w:i/>
                <w:iCs/>
              </w:rPr>
            </w:pPr>
            <w:r w:rsidRPr="77D89277">
              <w:rPr>
                <w:i/>
                <w:iCs/>
              </w:rPr>
              <w:t xml:space="preserve">Revised using revised number of patients tested, </w:t>
            </w:r>
            <w:r w:rsidR="00DC3329" w:rsidRPr="00CA1D86">
              <w:rPr>
                <w:b/>
                <w:bCs/>
                <w:i/>
              </w:rPr>
              <w:t>r</w:t>
            </w:r>
            <w:r w:rsidR="00DC3329" w:rsidRPr="00305B51">
              <w:rPr>
                <w:b/>
                <w:bCs/>
                <w:i/>
              </w:rPr>
              <w:t>edacted</w:t>
            </w:r>
            <w:r w:rsidR="4FA809CB" w:rsidRPr="77D89277">
              <w:rPr>
                <w:i/>
                <w:iCs/>
              </w:rPr>
              <w:t xml:space="preserve">% </w:t>
            </w:r>
            <w:r w:rsidRPr="77D89277">
              <w:rPr>
                <w:i/>
                <w:iCs/>
              </w:rPr>
              <w:t xml:space="preserve">uptake rate and </w:t>
            </w:r>
            <w:r w:rsidRPr="005119EA">
              <w:rPr>
                <w:i/>
              </w:rPr>
              <w:t>85</w:t>
            </w:r>
            <w:r w:rsidRPr="77D89277">
              <w:rPr>
                <w:i/>
                <w:iCs/>
              </w:rPr>
              <w:t xml:space="preserve">% schedule </w:t>
            </w:r>
            <w:proofErr w:type="spellStart"/>
            <w:r w:rsidRPr="77D89277">
              <w:rPr>
                <w:i/>
                <w:iCs/>
              </w:rPr>
              <w:t>fee</w:t>
            </w:r>
            <w:r w:rsidRPr="77D89277">
              <w:rPr>
                <w:i/>
                <w:iCs/>
                <w:vertAlign w:val="superscript"/>
              </w:rPr>
              <w:t>c</w:t>
            </w:r>
            <w:proofErr w:type="spellEnd"/>
          </w:p>
        </w:tc>
        <w:tc>
          <w:tcPr>
            <w:tcW w:w="622" w:type="pct"/>
            <w:vAlign w:val="center"/>
          </w:tcPr>
          <w:p w14:paraId="1210D816" w14:textId="403163AB"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2B3E83C2" w14:textId="66251460"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3" w:type="pct"/>
            <w:vAlign w:val="center"/>
          </w:tcPr>
          <w:p w14:paraId="1851730F" w14:textId="01EEEEF4"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07B7C82A" w14:textId="47191130"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3086B233" w14:textId="6CAA5F91"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3" w:type="pct"/>
            <w:vAlign w:val="center"/>
          </w:tcPr>
          <w:p w14:paraId="3A6F182F" w14:textId="1977F0AD"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r>
      <w:tr w:rsidR="00BF49C0" w:rsidRPr="006F4D53" w14:paraId="621B4489" w14:textId="77777777" w:rsidTr="77D89277">
        <w:tc>
          <w:tcPr>
            <w:tcW w:w="1266" w:type="pct"/>
            <w:vAlign w:val="center"/>
          </w:tcPr>
          <w:p w14:paraId="0853B54F" w14:textId="48B26D1C" w:rsidR="00BF49C0" w:rsidRPr="005C58E6" w:rsidRDefault="00BF49C0" w:rsidP="00BF49C0">
            <w:pPr>
              <w:pStyle w:val="TableText"/>
              <w:keepNext/>
              <w:ind w:left="106"/>
              <w:rPr>
                <w:i/>
                <w:iCs/>
              </w:rPr>
            </w:pPr>
            <w:r w:rsidRPr="77D89277">
              <w:rPr>
                <w:i/>
                <w:iCs/>
              </w:rPr>
              <w:t xml:space="preserve">Revised using revised number of patients tested, </w:t>
            </w:r>
            <w:r w:rsidR="00DC3329" w:rsidRPr="00DD571D">
              <w:rPr>
                <w:b/>
                <w:bCs/>
                <w:i/>
              </w:rPr>
              <w:t>redacted</w:t>
            </w:r>
            <w:r w:rsidR="4FA809CB" w:rsidRPr="77D89277">
              <w:rPr>
                <w:i/>
                <w:iCs/>
              </w:rPr>
              <w:t>%</w:t>
            </w:r>
            <w:r w:rsidRPr="77D89277">
              <w:rPr>
                <w:i/>
                <w:iCs/>
              </w:rPr>
              <w:t xml:space="preserve"> uptake rate and </w:t>
            </w:r>
            <w:r w:rsidRPr="005119EA">
              <w:rPr>
                <w:i/>
              </w:rPr>
              <w:t>85</w:t>
            </w:r>
            <w:r w:rsidRPr="77D89277">
              <w:rPr>
                <w:i/>
                <w:iCs/>
              </w:rPr>
              <w:t xml:space="preserve">% schedule </w:t>
            </w:r>
            <w:proofErr w:type="spellStart"/>
            <w:r w:rsidRPr="77D89277">
              <w:rPr>
                <w:i/>
                <w:iCs/>
              </w:rPr>
              <w:t>fee</w:t>
            </w:r>
            <w:r w:rsidRPr="77D89277">
              <w:rPr>
                <w:i/>
                <w:iCs/>
                <w:vertAlign w:val="superscript"/>
              </w:rPr>
              <w:t>c</w:t>
            </w:r>
            <w:proofErr w:type="spellEnd"/>
          </w:p>
        </w:tc>
        <w:tc>
          <w:tcPr>
            <w:tcW w:w="622" w:type="pct"/>
            <w:vAlign w:val="center"/>
          </w:tcPr>
          <w:p w14:paraId="0E5F458F" w14:textId="1D8BDDA5"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77FC38B7" w14:textId="62AE210F"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3" w:type="pct"/>
            <w:vAlign w:val="center"/>
          </w:tcPr>
          <w:p w14:paraId="2218C669" w14:textId="5A91CAAD"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2B805C6C" w14:textId="2FAD88ED"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2" w:type="pct"/>
            <w:vAlign w:val="center"/>
          </w:tcPr>
          <w:p w14:paraId="76667080" w14:textId="2EF8F132"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c>
          <w:tcPr>
            <w:tcW w:w="623" w:type="pct"/>
            <w:vAlign w:val="center"/>
          </w:tcPr>
          <w:p w14:paraId="52F6D376" w14:textId="6FAF96DF" w:rsidR="00BF49C0" w:rsidRPr="00116622" w:rsidRDefault="00720F6E" w:rsidP="00BF49C0">
            <w:pPr>
              <w:pStyle w:val="TableText"/>
              <w:keepNext/>
              <w:jc w:val="center"/>
              <w:rPr>
                <w:i/>
              </w:rPr>
            </w:pPr>
            <w:r w:rsidRPr="00B10CC2">
              <w:rPr>
                <w:b/>
                <w:bCs/>
                <w:i/>
                <w:iCs/>
              </w:rPr>
              <w:t>Redacted</w:t>
            </w:r>
            <w:r w:rsidRPr="00B10CC2">
              <w:rPr>
                <w:b/>
                <w:bCs/>
                <w:i/>
                <w:iCs/>
                <w:vertAlign w:val="superscript"/>
              </w:rPr>
              <w:t>3</w:t>
            </w:r>
          </w:p>
        </w:tc>
      </w:tr>
    </w:tbl>
    <w:p w14:paraId="56E041FE" w14:textId="73F66557" w:rsidR="002A4A59" w:rsidRPr="005C58E6" w:rsidRDefault="6918B8D0" w:rsidP="002A4A59">
      <w:pPr>
        <w:pStyle w:val="FooterTableFigure"/>
      </w:pPr>
      <w:r w:rsidRPr="77D89277">
        <w:t>Source: Table 4-2, p163</w:t>
      </w:r>
      <w:r w:rsidR="77DB710A" w:rsidRPr="77D89277">
        <w:t xml:space="preserve"> and </w:t>
      </w:r>
      <w:r w:rsidRPr="77D89277">
        <w:t>Table 4-16, p175</w:t>
      </w:r>
      <w:r w:rsidR="77DB710A" w:rsidRPr="77D89277">
        <w:t xml:space="preserve"> of the submission</w:t>
      </w:r>
      <w:r w:rsidRPr="77D89277">
        <w:t xml:space="preserve">; and Attachment 11 – VYLOY CoDep Submission S4 </w:t>
      </w:r>
      <w:proofErr w:type="spellStart"/>
      <w:r w:rsidRPr="77D89277">
        <w:t>model_Final</w:t>
      </w:r>
      <w:proofErr w:type="spellEnd"/>
      <w:r w:rsidRPr="77D89277">
        <w:t>’ workbook to the submission.</w:t>
      </w:r>
    </w:p>
    <w:p w14:paraId="7EDB3449" w14:textId="23440F12" w:rsidR="00BC2613" w:rsidRPr="005C58E6" w:rsidRDefault="00BC2613" w:rsidP="002A4A59">
      <w:pPr>
        <w:pStyle w:val="FooterTableFigure"/>
      </w:pPr>
      <w:r w:rsidRPr="005C58E6">
        <w:t xml:space="preserve">CLDN18 = Claudin 18; MBS = Medicare Benefits Schedule. </w:t>
      </w:r>
    </w:p>
    <w:p w14:paraId="74508B75" w14:textId="46101F08" w:rsidR="002A4A59" w:rsidRPr="005C58E6" w:rsidRDefault="6918B8D0" w:rsidP="77D89277">
      <w:pPr>
        <w:pStyle w:val="FooterTableFigure"/>
        <w:rPr>
          <w:i/>
          <w:iCs/>
        </w:rPr>
      </w:pPr>
      <w:proofErr w:type="spellStart"/>
      <w:proofErr w:type="gramStart"/>
      <w:r w:rsidRPr="77D89277">
        <w:rPr>
          <w:i/>
          <w:iCs/>
          <w:vertAlign w:val="superscript"/>
        </w:rPr>
        <w:t>a</w:t>
      </w:r>
      <w:proofErr w:type="spellEnd"/>
      <w:proofErr w:type="gramEnd"/>
      <w:r w:rsidRPr="77D89277">
        <w:rPr>
          <w:i/>
          <w:iCs/>
        </w:rPr>
        <w:t xml:space="preserve"> Actual number of patients that would be undergoing CLDN18 test based</w:t>
      </w:r>
      <w:r w:rsidRPr="77D89277">
        <w:rPr>
          <w:i/>
          <w:iCs/>
          <w:vertAlign w:val="superscript"/>
        </w:rPr>
        <w:t xml:space="preserve"> </w:t>
      </w:r>
      <w:r w:rsidRPr="77D89277">
        <w:rPr>
          <w:i/>
          <w:iCs/>
        </w:rPr>
        <w:t>on PASC advice that CLDN18 testing will be done in all patients with locally advanced unresectable or metastatic G/GOJ adenocarcinoma irrespective of HER2 status. (p17, MSAC Application 1767 Ratified PICO Confirmation, April 2024 PASC Meeting).</w:t>
      </w:r>
    </w:p>
    <w:p w14:paraId="7D7FB2EC" w14:textId="55EE14CF" w:rsidR="002A4A59" w:rsidRPr="005C58E6" w:rsidRDefault="00046FAB" w:rsidP="002A4A59">
      <w:pPr>
        <w:pStyle w:val="FooterTableFigure"/>
        <w:rPr>
          <w:i/>
        </w:rPr>
      </w:pPr>
      <w:r w:rsidRPr="005C58E6">
        <w:rPr>
          <w:i/>
          <w:vertAlign w:val="superscript"/>
        </w:rPr>
        <w:t>b</w:t>
      </w:r>
      <w:r w:rsidR="002A4A59" w:rsidRPr="005C58E6">
        <w:rPr>
          <w:i/>
          <w:vertAlign w:val="superscript"/>
        </w:rPr>
        <w:t xml:space="preserve"> </w:t>
      </w:r>
      <w:r w:rsidR="002A4A59" w:rsidRPr="005C58E6">
        <w:rPr>
          <w:i/>
        </w:rPr>
        <w:t xml:space="preserve">Revised by assuming </w:t>
      </w:r>
      <w:r w:rsidR="002A4A59" w:rsidRPr="005119EA">
        <w:rPr>
          <w:i/>
        </w:rPr>
        <w:t>85</w:t>
      </w:r>
      <w:r w:rsidR="002A4A59" w:rsidRPr="005C58E6">
        <w:rPr>
          <w:i/>
        </w:rPr>
        <w:t>% MBS benefit as for out of hospital services.</w:t>
      </w:r>
    </w:p>
    <w:p w14:paraId="270013ED" w14:textId="7B4CF036" w:rsidR="002A4A59" w:rsidRPr="005C58E6" w:rsidRDefault="00046FAB" w:rsidP="002A4A59">
      <w:pPr>
        <w:pStyle w:val="FooterTableFigure"/>
        <w:rPr>
          <w:i/>
        </w:rPr>
      </w:pPr>
      <w:r w:rsidRPr="005C58E6">
        <w:rPr>
          <w:i/>
          <w:vertAlign w:val="superscript"/>
        </w:rPr>
        <w:t xml:space="preserve">c </w:t>
      </w:r>
      <w:r w:rsidR="002A4A59" w:rsidRPr="005C58E6">
        <w:rPr>
          <w:i/>
        </w:rPr>
        <w:t xml:space="preserve">Revised by using updated number of patients with advanced or metastatic G/GOJ adenocarcinoma with ECOG PS of 0-1 as estimated by the submission and assuming </w:t>
      </w:r>
      <w:r w:rsidR="00602F77" w:rsidRPr="00305B51">
        <w:rPr>
          <w:b/>
          <w:bCs/>
          <w:i/>
        </w:rPr>
        <w:t>redacted</w:t>
      </w:r>
      <w:r w:rsidR="002A4A59" w:rsidRPr="005C58E6">
        <w:rPr>
          <w:i/>
        </w:rPr>
        <w:t>% uptake rate</w:t>
      </w:r>
      <w:r w:rsidR="00B8219E" w:rsidRPr="005C58E6">
        <w:rPr>
          <w:i/>
        </w:rPr>
        <w:t xml:space="preserve"> for the CLDN18 test</w:t>
      </w:r>
      <w:r w:rsidR="002A4A59" w:rsidRPr="005C58E6">
        <w:rPr>
          <w:i/>
        </w:rPr>
        <w:t xml:space="preserve"> and </w:t>
      </w:r>
      <w:r w:rsidR="002A4A59" w:rsidRPr="005119EA">
        <w:rPr>
          <w:i/>
        </w:rPr>
        <w:t>85</w:t>
      </w:r>
      <w:r w:rsidR="002A4A59" w:rsidRPr="005C58E6">
        <w:rPr>
          <w:i/>
        </w:rPr>
        <w:t>% MBS benefit.</w:t>
      </w:r>
    </w:p>
    <w:p w14:paraId="67EB8CD6" w14:textId="0010A5FD" w:rsidR="00A851AD" w:rsidRPr="005C58E6" w:rsidRDefault="00A851AD" w:rsidP="00A851AD">
      <w:pPr>
        <w:pStyle w:val="FooterTableFigure"/>
        <w:rPr>
          <w:i/>
        </w:rPr>
      </w:pPr>
      <w:r w:rsidRPr="005C58E6">
        <w:rPr>
          <w:i/>
          <w:vertAlign w:val="superscript"/>
        </w:rPr>
        <w:t xml:space="preserve">d </w:t>
      </w:r>
      <w:r w:rsidRPr="005C58E6">
        <w:rPr>
          <w:i/>
        </w:rPr>
        <w:t xml:space="preserve">Revised by using updated number of patients with advanced or metastatic G/GOJ adenocarcinoma with ECOG PS of 0-1 as estimated by the submission and assuming </w:t>
      </w:r>
      <w:r w:rsidR="00602F77" w:rsidRPr="00B10CC2">
        <w:rPr>
          <w:b/>
          <w:bCs/>
          <w:i/>
        </w:rPr>
        <w:t>redacted</w:t>
      </w:r>
      <w:r w:rsidRPr="005C58E6">
        <w:rPr>
          <w:i/>
        </w:rPr>
        <w:t xml:space="preserve">% uptake rate for the CLDN18 test and </w:t>
      </w:r>
      <w:r w:rsidRPr="005119EA">
        <w:rPr>
          <w:i/>
        </w:rPr>
        <w:t>85%</w:t>
      </w:r>
      <w:r w:rsidRPr="005C58E6">
        <w:rPr>
          <w:i/>
        </w:rPr>
        <w:t xml:space="preserve"> MBS benefit.</w:t>
      </w:r>
    </w:p>
    <w:p w14:paraId="3E5B6546" w14:textId="6C5FD806" w:rsidR="009D48A1" w:rsidRPr="005C58E6" w:rsidRDefault="009D48A1" w:rsidP="002A4A59">
      <w:pPr>
        <w:pStyle w:val="FooterTableFigure"/>
        <w:rPr>
          <w:i/>
        </w:rPr>
      </w:pPr>
      <w:r w:rsidRPr="005C58E6">
        <w:rPr>
          <w:i/>
        </w:rPr>
        <w:t xml:space="preserve">Italics revised during evaluation. </w:t>
      </w:r>
    </w:p>
    <w:p w14:paraId="336D1A8D" w14:textId="77777777" w:rsidR="008F7D5B" w:rsidRPr="00B341E1" w:rsidRDefault="008F7D5B" w:rsidP="008F7D5B">
      <w:pPr>
        <w:pStyle w:val="FooterTableFigure"/>
        <w:keepNext/>
        <w:keepLines/>
        <w:rPr>
          <w:i/>
          <w:iCs/>
        </w:rPr>
      </w:pPr>
      <w:r w:rsidRPr="00B341E1">
        <w:rPr>
          <w:i/>
          <w:iCs/>
        </w:rPr>
        <w:t xml:space="preserve">The redacted values correspond to the following ranges: </w:t>
      </w:r>
    </w:p>
    <w:p w14:paraId="7BA050E3" w14:textId="77777777" w:rsidR="008F7D5B" w:rsidRPr="00B341E1" w:rsidRDefault="008F7D5B" w:rsidP="008F7D5B">
      <w:pPr>
        <w:pStyle w:val="FooterTableFigure"/>
        <w:keepNext/>
        <w:keepLines/>
        <w:rPr>
          <w:i/>
          <w:iCs/>
        </w:rPr>
      </w:pPr>
      <w:r w:rsidRPr="00B341E1">
        <w:rPr>
          <w:i/>
          <w:iCs/>
          <w:vertAlign w:val="superscript"/>
        </w:rPr>
        <w:t>1</w:t>
      </w:r>
      <w:r w:rsidRPr="00B341E1">
        <w:rPr>
          <w:i/>
          <w:iCs/>
        </w:rPr>
        <w:t xml:space="preserve"> 500 to &lt; 5,000 </w:t>
      </w:r>
    </w:p>
    <w:p w14:paraId="504C011C" w14:textId="77777777" w:rsidR="008F7D5B" w:rsidRPr="00B341E1" w:rsidRDefault="008F7D5B" w:rsidP="008F7D5B">
      <w:pPr>
        <w:pStyle w:val="FooterTableFigure"/>
        <w:keepNext/>
        <w:keepLines/>
        <w:rPr>
          <w:i/>
          <w:iCs/>
        </w:rPr>
      </w:pPr>
      <w:r w:rsidRPr="00B341E1">
        <w:rPr>
          <w:i/>
          <w:iCs/>
          <w:vertAlign w:val="superscript"/>
        </w:rPr>
        <w:t>2</w:t>
      </w:r>
      <w:r w:rsidRPr="00B341E1">
        <w:rPr>
          <w:i/>
          <w:iCs/>
        </w:rPr>
        <w:t xml:space="preserve"> &lt;500 </w:t>
      </w:r>
    </w:p>
    <w:p w14:paraId="11991C26" w14:textId="295F4EC7" w:rsidR="00A95A7C" w:rsidRDefault="008F7D5B" w:rsidP="008F7D5B">
      <w:pPr>
        <w:pStyle w:val="FooterTableFigure"/>
        <w:keepNext/>
        <w:keepLines/>
        <w:rPr>
          <w:i/>
          <w:iCs/>
          <w:vertAlign w:val="superscript"/>
        </w:rPr>
      </w:pPr>
      <w:r w:rsidRPr="00B341E1">
        <w:rPr>
          <w:i/>
          <w:iCs/>
          <w:vertAlign w:val="superscript"/>
        </w:rPr>
        <w:t xml:space="preserve">3 </w:t>
      </w:r>
      <w:r w:rsidR="00735FE3" w:rsidRPr="00B341E1">
        <w:rPr>
          <w:i/>
          <w:iCs/>
        </w:rPr>
        <w:t>$0 to &lt; $10 million</w:t>
      </w:r>
    </w:p>
    <w:p w14:paraId="5AF6A221" w14:textId="59EFE436" w:rsidR="00CD13B0" w:rsidRPr="00F428A9" w:rsidRDefault="4AC08968" w:rsidP="00F428A9">
      <w:pPr>
        <w:spacing w:before="240"/>
        <w:jc w:val="left"/>
        <w:rPr>
          <w:rFonts w:ascii="Franklin Gothic Book" w:hAnsi="Franklin Gothic Book"/>
          <w:sz w:val="22"/>
        </w:rPr>
      </w:pPr>
      <w:r w:rsidRPr="00F428A9">
        <w:rPr>
          <w:rFonts w:ascii="Franklin Gothic Book" w:hAnsi="Franklin Gothic Book"/>
          <w:sz w:val="22"/>
        </w:rPr>
        <w:t xml:space="preserve">According to the </w:t>
      </w:r>
      <w:r w:rsidR="32AD906C" w:rsidRPr="00F428A9">
        <w:rPr>
          <w:rFonts w:ascii="Franklin Gothic Book" w:hAnsi="Franklin Gothic Book"/>
          <w:sz w:val="22"/>
        </w:rPr>
        <w:t xml:space="preserve">proposed </w:t>
      </w:r>
      <w:r w:rsidRPr="00F428A9">
        <w:rPr>
          <w:rFonts w:ascii="Franklin Gothic Book" w:hAnsi="Franklin Gothic Book"/>
          <w:sz w:val="22"/>
        </w:rPr>
        <w:t xml:space="preserve">updated MBS item descriptor, which includes a practice note specifying that CLDN18 testing </w:t>
      </w:r>
      <w:r w:rsidR="32AD906C" w:rsidRPr="00F428A9">
        <w:rPr>
          <w:rFonts w:ascii="Franklin Gothic Book" w:hAnsi="Franklin Gothic Book"/>
          <w:sz w:val="22"/>
        </w:rPr>
        <w:t>should be</w:t>
      </w:r>
      <w:r w:rsidRPr="00F428A9">
        <w:rPr>
          <w:rFonts w:ascii="Franklin Gothic Book" w:hAnsi="Franklin Gothic Book"/>
          <w:sz w:val="22"/>
        </w:rPr>
        <w:t xml:space="preserve"> pathologist determinable, CLDN18 testing may be performed following a negative HER2 test. The financial impact to the MBS estimated by the commentary may be overestimated if CLDN18 tests are </w:t>
      </w:r>
      <w:r w:rsidR="32AD906C" w:rsidRPr="00F428A9">
        <w:rPr>
          <w:rFonts w:ascii="Franklin Gothic Book" w:hAnsi="Franklin Gothic Book"/>
          <w:sz w:val="22"/>
        </w:rPr>
        <w:t>performed</w:t>
      </w:r>
      <w:r w:rsidRPr="00F428A9">
        <w:rPr>
          <w:rFonts w:ascii="Franklin Gothic Book" w:hAnsi="Franklin Gothic Book"/>
          <w:sz w:val="22"/>
        </w:rPr>
        <w:t xml:space="preserve"> following a negative HER2 test, resulting in a cost of </w:t>
      </w:r>
      <w:r w:rsidRPr="001B5167">
        <w:rPr>
          <w:rFonts w:ascii="Franklin Gothic Book" w:hAnsi="Franklin Gothic Book"/>
          <w:b/>
          <w:sz w:val="22"/>
        </w:rPr>
        <w:t>$</w:t>
      </w:r>
      <w:r w:rsidR="00CA4E08" w:rsidRPr="001B5167">
        <w:rPr>
          <w:rFonts w:ascii="Franklin Gothic Book" w:hAnsi="Franklin Gothic Book"/>
          <w:b/>
          <w:sz w:val="22"/>
        </w:rPr>
        <w:t>0</w:t>
      </w:r>
      <w:r w:rsidR="00653766" w:rsidRPr="001B5167">
        <w:rPr>
          <w:rFonts w:ascii="Franklin Gothic Book" w:hAnsi="Franklin Gothic Book"/>
          <w:b/>
          <w:sz w:val="22"/>
        </w:rPr>
        <w:t xml:space="preserve"> to &lt; $10 million</w:t>
      </w:r>
      <w:r w:rsidR="00653766" w:rsidRPr="00653766" w:rsidDel="00653766">
        <w:rPr>
          <w:rFonts w:ascii="Franklin Gothic Book" w:hAnsi="Franklin Gothic Book"/>
          <w:sz w:val="22"/>
        </w:rPr>
        <w:t xml:space="preserve"> </w:t>
      </w:r>
      <w:r w:rsidRPr="00F428A9">
        <w:rPr>
          <w:rFonts w:ascii="Franklin Gothic Book" w:hAnsi="Franklin Gothic Book"/>
          <w:sz w:val="22"/>
        </w:rPr>
        <w:t xml:space="preserve">to the MBS over six years of listing, compared to </w:t>
      </w:r>
      <w:r w:rsidR="008055E4">
        <w:rPr>
          <w:rFonts w:ascii="Franklin Gothic Book" w:hAnsi="Franklin Gothic Book"/>
          <w:sz w:val="22"/>
        </w:rPr>
        <w:br/>
      </w:r>
      <w:r w:rsidRPr="0013318B">
        <w:rPr>
          <w:rFonts w:ascii="Franklin Gothic Book" w:hAnsi="Franklin Gothic Book"/>
          <w:b/>
          <w:sz w:val="22"/>
        </w:rPr>
        <w:t>$</w:t>
      </w:r>
      <w:r w:rsidR="00B73A13" w:rsidRPr="0013318B">
        <w:rPr>
          <w:rFonts w:ascii="Franklin Gothic Book" w:hAnsi="Franklin Gothic Book"/>
          <w:b/>
          <w:sz w:val="22"/>
        </w:rPr>
        <w:t>0 to &lt; $10 million</w:t>
      </w:r>
      <w:r w:rsidRPr="00F428A9">
        <w:rPr>
          <w:rFonts w:ascii="Franklin Gothic Book" w:hAnsi="Franklin Gothic Book"/>
          <w:sz w:val="22"/>
        </w:rPr>
        <w:t xml:space="preserve"> if all eligible patients with advanced G/GOJ are tested for both HER2 and CLDN18. </w:t>
      </w:r>
    </w:p>
    <w:bookmarkStart w:id="71" w:name="_Toc187863630"/>
    <w:bookmarkEnd w:id="71"/>
    <w:p w14:paraId="1EF15F62" w14:textId="688F5134" w:rsidR="00BA7CC2" w:rsidRPr="00F428A9" w:rsidRDefault="006276F3" w:rsidP="00F428A9">
      <w:pPr>
        <w:pStyle w:val="ListParagraph"/>
        <w:ind w:hanging="11"/>
        <w:jc w:val="left"/>
        <w:rPr>
          <w:rFonts w:ascii="Franklin Gothic Book" w:hAnsi="Franklin Gothic Book"/>
          <w:bCs/>
          <w:i/>
          <w:iCs/>
          <w:sz w:val="22"/>
        </w:rPr>
      </w:pPr>
      <w:r>
        <w:rPr>
          <w:rFonts w:ascii="Franklin Gothic Book" w:hAnsi="Franklin Gothic Book"/>
          <w:sz w:val="22"/>
        </w:rPr>
        <w:fldChar w:fldCharType="begin"/>
      </w:r>
      <w:r>
        <w:rPr>
          <w:rFonts w:ascii="Franklin Gothic Book" w:hAnsi="Franklin Gothic Book"/>
          <w:sz w:val="22"/>
        </w:rPr>
        <w:instrText xml:space="preserve"> REF _Ref197010105  \* MERGEFORMAT </w:instrText>
      </w:r>
      <w:r>
        <w:rPr>
          <w:rFonts w:ascii="Franklin Gothic Book" w:hAnsi="Franklin Gothic Book"/>
          <w:sz w:val="22"/>
        </w:rPr>
        <w:fldChar w:fldCharType="separate"/>
      </w:r>
      <w:r w:rsidR="00132950" w:rsidRPr="00132950">
        <w:rPr>
          <w:rFonts w:ascii="Franklin Gothic Book" w:hAnsi="Franklin Gothic Book"/>
          <w:sz w:val="22"/>
        </w:rPr>
        <w:t>Table 12</w:t>
      </w:r>
      <w:r>
        <w:rPr>
          <w:rFonts w:ascii="Franklin Gothic Book" w:hAnsi="Franklin Gothic Book"/>
          <w:sz w:val="22"/>
        </w:rPr>
        <w:fldChar w:fldCharType="end"/>
      </w:r>
      <w:r w:rsidR="00881BA8" w:rsidRPr="00902E69">
        <w:rPr>
          <w:rFonts w:ascii="Franklin Gothic Book" w:hAnsi="Franklin Gothic Book"/>
          <w:sz w:val="22"/>
        </w:rPr>
        <w:t xml:space="preserve"> </w:t>
      </w:r>
      <w:r w:rsidR="55644C5A" w:rsidRPr="00902E69">
        <w:rPr>
          <w:rFonts w:ascii="Franklin Gothic Book" w:hAnsi="Franklin Gothic Book"/>
          <w:sz w:val="22"/>
        </w:rPr>
        <w:t xml:space="preserve">presents the estimated use and financial implications in the submission and revised financial implications using the </w:t>
      </w:r>
      <w:r w:rsidR="4A9276B0" w:rsidRPr="00902E69">
        <w:rPr>
          <w:rFonts w:ascii="Franklin Gothic Book" w:hAnsi="Franklin Gothic Book"/>
          <w:sz w:val="22"/>
        </w:rPr>
        <w:t xml:space="preserve">post-ESC </w:t>
      </w:r>
      <w:r w:rsidR="55644C5A" w:rsidRPr="00902E69">
        <w:rPr>
          <w:rFonts w:ascii="Franklin Gothic Book" w:hAnsi="Franklin Gothic Book"/>
          <w:sz w:val="22"/>
        </w:rPr>
        <w:t xml:space="preserve">calculated cost-minimised AEMP of </w:t>
      </w:r>
      <w:r w:rsidR="55644C5A" w:rsidRPr="000637A0">
        <w:rPr>
          <w:rFonts w:ascii="Franklin Gothic Book" w:hAnsi="Franklin Gothic Book"/>
          <w:sz w:val="22"/>
        </w:rPr>
        <w:t>$774.03</w:t>
      </w:r>
      <w:r w:rsidR="55644C5A" w:rsidRPr="00902E69">
        <w:rPr>
          <w:rFonts w:ascii="Franklin Gothic Book" w:hAnsi="Franklin Gothic Book"/>
          <w:sz w:val="22"/>
        </w:rPr>
        <w:t xml:space="preserve"> for zolbetuximab and </w:t>
      </w:r>
      <w:r w:rsidR="55644C5A" w:rsidRPr="00902E69">
        <w:rPr>
          <w:rFonts w:ascii="Franklin Gothic Book" w:eastAsia="Calibri" w:hAnsi="Franklin Gothic Book"/>
          <w:sz w:val="22"/>
        </w:rPr>
        <w:t xml:space="preserve">ESC-supported MBS fee of </w:t>
      </w:r>
      <w:r w:rsidR="55644C5A" w:rsidRPr="000637A0">
        <w:rPr>
          <w:rFonts w:ascii="Franklin Gothic Book" w:eastAsia="Calibri" w:hAnsi="Franklin Gothic Book"/>
          <w:sz w:val="22"/>
        </w:rPr>
        <w:t>$74.50</w:t>
      </w:r>
      <w:r w:rsidR="55644C5A" w:rsidRPr="00902E69">
        <w:rPr>
          <w:rFonts w:ascii="Franklin Gothic Book" w:eastAsia="Calibri" w:hAnsi="Franklin Gothic Book"/>
          <w:sz w:val="22"/>
        </w:rPr>
        <w:t xml:space="preserve"> for CLDN18 testing</w:t>
      </w:r>
      <w:r w:rsidR="55644C5A" w:rsidRPr="00F428A9">
        <w:rPr>
          <w:rFonts w:ascii="Franklin Gothic Book" w:eastAsia="Calibri" w:hAnsi="Franklin Gothic Book"/>
          <w:bCs/>
          <w:i/>
          <w:iCs/>
          <w:sz w:val="22"/>
        </w:rPr>
        <w:t>.</w:t>
      </w:r>
    </w:p>
    <w:p w14:paraId="2CE4FD02" w14:textId="0013A61A" w:rsidR="00BA7CC2" w:rsidRPr="00E41328" w:rsidRDefault="006276F3" w:rsidP="00BA7CC2">
      <w:pPr>
        <w:pStyle w:val="Caption"/>
      </w:pPr>
      <w:bookmarkStart w:id="72" w:name="_Ref197010105"/>
      <w:bookmarkStart w:id="73" w:name="_Ref191465988"/>
      <w:r>
        <w:t xml:space="preserve">Table </w:t>
      </w:r>
      <w:r w:rsidR="004A65F6">
        <w:fldChar w:fldCharType="begin"/>
      </w:r>
      <w:r w:rsidR="004A65F6">
        <w:instrText xml:space="preserve"> SEQ Table \* ARABIC </w:instrText>
      </w:r>
      <w:r w:rsidR="004A65F6">
        <w:fldChar w:fldCharType="separate"/>
      </w:r>
      <w:r w:rsidR="00132950">
        <w:rPr>
          <w:noProof/>
        </w:rPr>
        <w:t>12</w:t>
      </w:r>
      <w:r w:rsidR="004A65F6">
        <w:rPr>
          <w:noProof/>
        </w:rPr>
        <w:fldChar w:fldCharType="end"/>
      </w:r>
      <w:bookmarkEnd w:id="72"/>
      <w:r w:rsidRPr="006276F3">
        <w:t xml:space="preserve"> </w:t>
      </w:r>
      <w:r w:rsidRPr="005C58E6">
        <w:t xml:space="preserve">Estimated </w:t>
      </w:r>
      <w:r w:rsidRPr="00B76918">
        <w:t>use and financial implications</w:t>
      </w:r>
      <w:r>
        <w:t>- post-ESC updated analysis</w:t>
      </w:r>
      <w:bookmarkEnd w:id="73"/>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2"/>
        <w:gridCol w:w="1111"/>
        <w:gridCol w:w="1112"/>
        <w:gridCol w:w="1114"/>
        <w:gridCol w:w="1112"/>
        <w:gridCol w:w="1112"/>
        <w:gridCol w:w="1114"/>
      </w:tblGrid>
      <w:tr w:rsidR="00734F0E" w:rsidRPr="00734F0E" w14:paraId="3DED87CF" w14:textId="77777777" w:rsidTr="77D89277">
        <w:trPr>
          <w:tblHeader/>
        </w:trPr>
        <w:tc>
          <w:tcPr>
            <w:tcW w:w="1266" w:type="pct"/>
            <w:vAlign w:val="center"/>
          </w:tcPr>
          <w:p w14:paraId="67CAF75D" w14:textId="77777777" w:rsidR="00BA7CC2" w:rsidRPr="00881BA8" w:rsidRDefault="00BA7CC2">
            <w:pPr>
              <w:pStyle w:val="TableText"/>
              <w:jc w:val="center"/>
              <w:rPr>
                <w:b/>
              </w:rPr>
            </w:pPr>
          </w:p>
        </w:tc>
        <w:tc>
          <w:tcPr>
            <w:tcW w:w="622" w:type="pct"/>
            <w:vAlign w:val="center"/>
          </w:tcPr>
          <w:p w14:paraId="7080891E" w14:textId="77777777" w:rsidR="00BA7CC2" w:rsidRPr="00881BA8" w:rsidRDefault="00BA7CC2">
            <w:pPr>
              <w:pStyle w:val="TableText"/>
              <w:jc w:val="center"/>
              <w:rPr>
                <w:b/>
              </w:rPr>
            </w:pPr>
            <w:r w:rsidRPr="00881BA8">
              <w:rPr>
                <w:b/>
              </w:rPr>
              <w:t>Year 1</w:t>
            </w:r>
          </w:p>
        </w:tc>
        <w:tc>
          <w:tcPr>
            <w:tcW w:w="622" w:type="pct"/>
            <w:vAlign w:val="center"/>
          </w:tcPr>
          <w:p w14:paraId="0E19380A" w14:textId="77777777" w:rsidR="00BA7CC2" w:rsidRPr="00881BA8" w:rsidRDefault="00BA7CC2">
            <w:pPr>
              <w:pStyle w:val="TableText"/>
              <w:jc w:val="center"/>
              <w:rPr>
                <w:b/>
              </w:rPr>
            </w:pPr>
            <w:r w:rsidRPr="00881BA8">
              <w:rPr>
                <w:b/>
              </w:rPr>
              <w:t>Year 2</w:t>
            </w:r>
          </w:p>
        </w:tc>
        <w:tc>
          <w:tcPr>
            <w:tcW w:w="623" w:type="pct"/>
            <w:vAlign w:val="center"/>
          </w:tcPr>
          <w:p w14:paraId="7887A016" w14:textId="77777777" w:rsidR="00BA7CC2" w:rsidRPr="00881BA8" w:rsidRDefault="00BA7CC2">
            <w:pPr>
              <w:pStyle w:val="TableText"/>
              <w:jc w:val="center"/>
              <w:rPr>
                <w:b/>
              </w:rPr>
            </w:pPr>
            <w:r w:rsidRPr="00881BA8">
              <w:rPr>
                <w:b/>
              </w:rPr>
              <w:t>Year 3</w:t>
            </w:r>
          </w:p>
        </w:tc>
        <w:tc>
          <w:tcPr>
            <w:tcW w:w="622" w:type="pct"/>
            <w:vAlign w:val="center"/>
          </w:tcPr>
          <w:p w14:paraId="06155EA3" w14:textId="77777777" w:rsidR="00BA7CC2" w:rsidRPr="00881BA8" w:rsidRDefault="00BA7CC2">
            <w:pPr>
              <w:pStyle w:val="TableText"/>
              <w:jc w:val="center"/>
              <w:rPr>
                <w:b/>
              </w:rPr>
            </w:pPr>
            <w:r w:rsidRPr="00881BA8">
              <w:rPr>
                <w:b/>
              </w:rPr>
              <w:t>Year 4</w:t>
            </w:r>
          </w:p>
        </w:tc>
        <w:tc>
          <w:tcPr>
            <w:tcW w:w="622" w:type="pct"/>
            <w:vAlign w:val="center"/>
          </w:tcPr>
          <w:p w14:paraId="7CDC4364" w14:textId="77777777" w:rsidR="00BA7CC2" w:rsidRPr="00881BA8" w:rsidRDefault="00BA7CC2">
            <w:pPr>
              <w:pStyle w:val="TableText"/>
              <w:jc w:val="center"/>
              <w:rPr>
                <w:b/>
              </w:rPr>
            </w:pPr>
            <w:r w:rsidRPr="00881BA8">
              <w:rPr>
                <w:b/>
              </w:rPr>
              <w:t>Year 5</w:t>
            </w:r>
          </w:p>
        </w:tc>
        <w:tc>
          <w:tcPr>
            <w:tcW w:w="623" w:type="pct"/>
          </w:tcPr>
          <w:p w14:paraId="29124BAA" w14:textId="77777777" w:rsidR="00BA7CC2" w:rsidRPr="00881BA8" w:rsidRDefault="00BA7CC2">
            <w:pPr>
              <w:pStyle w:val="TableText"/>
              <w:jc w:val="center"/>
              <w:rPr>
                <w:b/>
              </w:rPr>
            </w:pPr>
            <w:r w:rsidRPr="00881BA8">
              <w:rPr>
                <w:b/>
              </w:rPr>
              <w:t>Year 6</w:t>
            </w:r>
          </w:p>
        </w:tc>
      </w:tr>
      <w:tr w:rsidR="00734F0E" w:rsidRPr="00734F0E" w14:paraId="30230BC0" w14:textId="77777777" w:rsidTr="77D89277">
        <w:tc>
          <w:tcPr>
            <w:tcW w:w="5000" w:type="pct"/>
            <w:gridSpan w:val="7"/>
            <w:vAlign w:val="center"/>
          </w:tcPr>
          <w:p w14:paraId="5C7FDBE0" w14:textId="77777777" w:rsidR="00BA7CC2" w:rsidRPr="00881BA8" w:rsidRDefault="00BA7CC2">
            <w:pPr>
              <w:pStyle w:val="TableText"/>
              <w:rPr>
                <w:b/>
              </w:rPr>
            </w:pPr>
            <w:r w:rsidRPr="00881BA8">
              <w:rPr>
                <w:b/>
              </w:rPr>
              <w:t>Estimated extent of use of CLDN18 test</w:t>
            </w:r>
          </w:p>
        </w:tc>
      </w:tr>
      <w:tr w:rsidR="00734F0E" w:rsidRPr="00734F0E" w14:paraId="16B5C3F5" w14:textId="77777777" w:rsidTr="77D89277">
        <w:tc>
          <w:tcPr>
            <w:tcW w:w="1266" w:type="pct"/>
            <w:vAlign w:val="center"/>
          </w:tcPr>
          <w:p w14:paraId="4B868364" w14:textId="77777777" w:rsidR="00BA7CC2" w:rsidRPr="00881BA8" w:rsidRDefault="00BA7CC2">
            <w:pPr>
              <w:pStyle w:val="TableText"/>
            </w:pPr>
            <w:r w:rsidRPr="00881BA8">
              <w:t>Number of patients tested</w:t>
            </w:r>
          </w:p>
        </w:tc>
        <w:tc>
          <w:tcPr>
            <w:tcW w:w="622" w:type="pct"/>
            <w:vAlign w:val="center"/>
          </w:tcPr>
          <w:p w14:paraId="026B677A" w14:textId="7AF778E0" w:rsidR="00BA7CC2" w:rsidRPr="009E3815" w:rsidRDefault="008A51AB">
            <w:pPr>
              <w:pStyle w:val="TableNumber"/>
              <w:rPr>
                <w:strike/>
                <w:vertAlign w:val="superscript"/>
              </w:rPr>
            </w:pPr>
            <w:r w:rsidRPr="00B541B0">
              <w:rPr>
                <w:b/>
                <w:bCs/>
              </w:rPr>
              <w:t>R</w:t>
            </w:r>
            <w:r w:rsidRPr="00BF49C0">
              <w:rPr>
                <w:b/>
                <w:bCs/>
              </w:rPr>
              <w:t>edacted</w:t>
            </w:r>
            <w:r>
              <w:rPr>
                <w:b/>
                <w:bCs/>
                <w:vertAlign w:val="superscript"/>
              </w:rPr>
              <w:t>1</w:t>
            </w:r>
          </w:p>
        </w:tc>
        <w:tc>
          <w:tcPr>
            <w:tcW w:w="622" w:type="pct"/>
            <w:vAlign w:val="center"/>
          </w:tcPr>
          <w:p w14:paraId="6D6D661F" w14:textId="525B7070" w:rsidR="00BA7CC2" w:rsidRPr="009E3815" w:rsidRDefault="008A51AB">
            <w:pPr>
              <w:pStyle w:val="TableText"/>
              <w:tabs>
                <w:tab w:val="decimal" w:pos="396"/>
              </w:tabs>
              <w:jc w:val="center"/>
              <w:rPr>
                <w:strike/>
                <w:vertAlign w:val="superscript"/>
              </w:rPr>
            </w:pPr>
            <w:r w:rsidRPr="00B541B0">
              <w:rPr>
                <w:b/>
                <w:bCs/>
              </w:rPr>
              <w:t>R</w:t>
            </w:r>
            <w:r w:rsidRPr="00BF49C0">
              <w:rPr>
                <w:b/>
                <w:bCs/>
              </w:rPr>
              <w:t>edacted</w:t>
            </w:r>
            <w:r>
              <w:rPr>
                <w:b/>
                <w:bCs/>
                <w:vertAlign w:val="superscript"/>
              </w:rPr>
              <w:t>1</w:t>
            </w:r>
          </w:p>
        </w:tc>
        <w:tc>
          <w:tcPr>
            <w:tcW w:w="623" w:type="pct"/>
            <w:vAlign w:val="center"/>
          </w:tcPr>
          <w:p w14:paraId="18F392F3" w14:textId="46DCD779" w:rsidR="00BA7CC2" w:rsidRPr="009E3815" w:rsidRDefault="008A51AB">
            <w:pPr>
              <w:pStyle w:val="TableText"/>
              <w:tabs>
                <w:tab w:val="decimal" w:pos="396"/>
              </w:tabs>
              <w:jc w:val="center"/>
              <w:rPr>
                <w:strike/>
                <w:vertAlign w:val="superscript"/>
              </w:rPr>
            </w:pPr>
            <w:r w:rsidRPr="00B541B0">
              <w:rPr>
                <w:b/>
                <w:bCs/>
              </w:rPr>
              <w:t>R</w:t>
            </w:r>
            <w:r w:rsidRPr="00BF49C0">
              <w:rPr>
                <w:b/>
                <w:bCs/>
              </w:rPr>
              <w:t>edacted</w:t>
            </w:r>
            <w:r>
              <w:rPr>
                <w:b/>
                <w:bCs/>
                <w:vertAlign w:val="superscript"/>
              </w:rPr>
              <w:t>1</w:t>
            </w:r>
          </w:p>
        </w:tc>
        <w:tc>
          <w:tcPr>
            <w:tcW w:w="622" w:type="pct"/>
            <w:vAlign w:val="center"/>
          </w:tcPr>
          <w:p w14:paraId="53593D08" w14:textId="507A2021" w:rsidR="00BA7CC2" w:rsidRPr="009E3815" w:rsidRDefault="008A51AB">
            <w:pPr>
              <w:pStyle w:val="TableText"/>
              <w:tabs>
                <w:tab w:val="decimal" w:pos="396"/>
              </w:tabs>
              <w:jc w:val="center"/>
              <w:rPr>
                <w:strike/>
                <w:vertAlign w:val="superscript"/>
              </w:rPr>
            </w:pPr>
            <w:r w:rsidRPr="00B541B0">
              <w:rPr>
                <w:b/>
                <w:bCs/>
              </w:rPr>
              <w:t>R</w:t>
            </w:r>
            <w:r w:rsidRPr="00BF49C0">
              <w:rPr>
                <w:b/>
                <w:bCs/>
              </w:rPr>
              <w:t>edacted</w:t>
            </w:r>
            <w:r>
              <w:rPr>
                <w:b/>
                <w:bCs/>
                <w:vertAlign w:val="superscript"/>
              </w:rPr>
              <w:t>1</w:t>
            </w:r>
          </w:p>
        </w:tc>
        <w:tc>
          <w:tcPr>
            <w:tcW w:w="622" w:type="pct"/>
            <w:vAlign w:val="center"/>
          </w:tcPr>
          <w:p w14:paraId="2187440F" w14:textId="5164B1DD" w:rsidR="00BA7CC2" w:rsidRPr="009E3815" w:rsidRDefault="008A51AB">
            <w:pPr>
              <w:pStyle w:val="TableText"/>
              <w:tabs>
                <w:tab w:val="decimal" w:pos="396"/>
              </w:tabs>
              <w:jc w:val="center"/>
              <w:rPr>
                <w:strike/>
                <w:vertAlign w:val="superscript"/>
              </w:rPr>
            </w:pPr>
            <w:r w:rsidRPr="00B541B0">
              <w:rPr>
                <w:b/>
                <w:bCs/>
              </w:rPr>
              <w:t>R</w:t>
            </w:r>
            <w:r w:rsidRPr="00BF49C0">
              <w:rPr>
                <w:b/>
                <w:bCs/>
              </w:rPr>
              <w:t>edacted</w:t>
            </w:r>
            <w:r>
              <w:rPr>
                <w:b/>
                <w:bCs/>
                <w:vertAlign w:val="superscript"/>
              </w:rPr>
              <w:t>1</w:t>
            </w:r>
          </w:p>
        </w:tc>
        <w:tc>
          <w:tcPr>
            <w:tcW w:w="623" w:type="pct"/>
            <w:vAlign w:val="center"/>
          </w:tcPr>
          <w:p w14:paraId="5D4AB95B" w14:textId="1CA99EC8" w:rsidR="00BA7CC2" w:rsidRPr="009E3815" w:rsidRDefault="008A51AB">
            <w:pPr>
              <w:pStyle w:val="TableText"/>
              <w:tabs>
                <w:tab w:val="decimal" w:pos="396"/>
              </w:tabs>
              <w:jc w:val="center"/>
              <w:rPr>
                <w:strike/>
                <w:vertAlign w:val="superscript"/>
              </w:rPr>
            </w:pPr>
            <w:r w:rsidRPr="00B541B0">
              <w:rPr>
                <w:b/>
                <w:bCs/>
              </w:rPr>
              <w:t>R</w:t>
            </w:r>
            <w:r w:rsidRPr="00BF49C0">
              <w:rPr>
                <w:b/>
                <w:bCs/>
              </w:rPr>
              <w:t>edacted</w:t>
            </w:r>
            <w:r>
              <w:rPr>
                <w:b/>
                <w:bCs/>
                <w:vertAlign w:val="superscript"/>
              </w:rPr>
              <w:t>1</w:t>
            </w:r>
          </w:p>
        </w:tc>
      </w:tr>
      <w:tr w:rsidR="00734F0E" w:rsidRPr="00734F0E" w14:paraId="26D40B5A" w14:textId="77777777" w:rsidTr="77D89277">
        <w:tc>
          <w:tcPr>
            <w:tcW w:w="1266" w:type="pct"/>
            <w:vAlign w:val="center"/>
          </w:tcPr>
          <w:p w14:paraId="562B570F" w14:textId="77777777" w:rsidR="00BA7CC2" w:rsidRPr="00881BA8" w:rsidRDefault="00BA7CC2">
            <w:pPr>
              <w:pStyle w:val="TableText"/>
            </w:pPr>
            <w:r w:rsidRPr="00881BA8">
              <w:t>Number of patients likely to receive a positive test result (38.38% positivity rate)</w:t>
            </w:r>
          </w:p>
        </w:tc>
        <w:tc>
          <w:tcPr>
            <w:tcW w:w="622" w:type="pct"/>
            <w:vAlign w:val="center"/>
          </w:tcPr>
          <w:p w14:paraId="57B7B81C" w14:textId="38876DA2"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3E1EE5F6" w14:textId="27579955"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2</w:t>
            </w:r>
          </w:p>
        </w:tc>
        <w:tc>
          <w:tcPr>
            <w:tcW w:w="623" w:type="pct"/>
            <w:vAlign w:val="center"/>
          </w:tcPr>
          <w:p w14:paraId="4268D566" w14:textId="3AC40DB6"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4ACF8B63" w14:textId="73423EF9"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17232CEF" w14:textId="0B44C709"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1</w:t>
            </w:r>
          </w:p>
        </w:tc>
        <w:tc>
          <w:tcPr>
            <w:tcW w:w="623" w:type="pct"/>
            <w:vAlign w:val="center"/>
          </w:tcPr>
          <w:p w14:paraId="3B7F89BE" w14:textId="1F1F1EBE" w:rsidR="00BA7CC2" w:rsidRPr="009E3815" w:rsidRDefault="00276839">
            <w:pPr>
              <w:pStyle w:val="TableText"/>
              <w:jc w:val="center"/>
              <w:rPr>
                <w:strike/>
                <w:vertAlign w:val="superscript"/>
              </w:rPr>
            </w:pPr>
            <w:r w:rsidRPr="00B541B0">
              <w:rPr>
                <w:b/>
                <w:bCs/>
              </w:rPr>
              <w:t>R</w:t>
            </w:r>
            <w:r w:rsidRPr="00BF49C0">
              <w:rPr>
                <w:b/>
                <w:bCs/>
              </w:rPr>
              <w:t>edacted</w:t>
            </w:r>
            <w:r>
              <w:rPr>
                <w:b/>
                <w:bCs/>
                <w:vertAlign w:val="superscript"/>
              </w:rPr>
              <w:t>1</w:t>
            </w:r>
          </w:p>
        </w:tc>
      </w:tr>
      <w:tr w:rsidR="00734F0E" w:rsidRPr="00734F0E" w14:paraId="16ED5EA8" w14:textId="77777777" w:rsidTr="77D89277">
        <w:tc>
          <w:tcPr>
            <w:tcW w:w="5000" w:type="pct"/>
            <w:gridSpan w:val="7"/>
            <w:vAlign w:val="center"/>
          </w:tcPr>
          <w:p w14:paraId="2FC4408E" w14:textId="207FEEE8" w:rsidR="00BA7CC2" w:rsidRPr="00FB62C6" w:rsidRDefault="55644C5A" w:rsidP="43B696FE">
            <w:pPr>
              <w:pStyle w:val="TableText"/>
              <w:rPr>
                <w:b/>
                <w:bCs/>
              </w:rPr>
            </w:pPr>
            <w:r w:rsidRPr="00FB62C6">
              <w:rPr>
                <w:b/>
                <w:bCs/>
              </w:rPr>
              <w:t>Estimated extent of use of zolbetuximab</w:t>
            </w:r>
          </w:p>
        </w:tc>
      </w:tr>
      <w:tr w:rsidR="00734F0E" w:rsidRPr="00734F0E" w14:paraId="38596F0A" w14:textId="77777777" w:rsidTr="77D89277">
        <w:tc>
          <w:tcPr>
            <w:tcW w:w="1266" w:type="pct"/>
            <w:vAlign w:val="center"/>
          </w:tcPr>
          <w:p w14:paraId="2B55090E" w14:textId="77777777" w:rsidR="00BA7CC2" w:rsidRPr="00881BA8" w:rsidRDefault="00BA7CC2">
            <w:pPr>
              <w:pStyle w:val="TableText"/>
              <w:rPr>
                <w:rFonts w:ascii="Times" w:eastAsia="Times New Roman" w:hAnsi="Times" w:cs="Times New Roman"/>
              </w:rPr>
            </w:pPr>
            <w:r w:rsidRPr="00881BA8">
              <w:t>Number of patients likely to be treated with proposed drug</w:t>
            </w:r>
          </w:p>
        </w:tc>
        <w:tc>
          <w:tcPr>
            <w:tcW w:w="622" w:type="pct"/>
            <w:vAlign w:val="center"/>
          </w:tcPr>
          <w:p w14:paraId="78493680" w14:textId="5CD4C92D"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2BBCB33A" w14:textId="4D24C181"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2</w:t>
            </w:r>
          </w:p>
        </w:tc>
        <w:tc>
          <w:tcPr>
            <w:tcW w:w="623" w:type="pct"/>
            <w:vAlign w:val="center"/>
          </w:tcPr>
          <w:p w14:paraId="0134931D" w14:textId="710D7E29"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58FC673F" w14:textId="09B188B1"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2</w:t>
            </w:r>
          </w:p>
        </w:tc>
        <w:tc>
          <w:tcPr>
            <w:tcW w:w="622" w:type="pct"/>
            <w:vAlign w:val="center"/>
          </w:tcPr>
          <w:p w14:paraId="6611C011" w14:textId="733453CD"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2</w:t>
            </w:r>
          </w:p>
        </w:tc>
        <w:tc>
          <w:tcPr>
            <w:tcW w:w="623" w:type="pct"/>
            <w:vAlign w:val="center"/>
          </w:tcPr>
          <w:p w14:paraId="52022BDC" w14:textId="35DC4E1F" w:rsidR="00BA7CC2" w:rsidRPr="009E3815" w:rsidRDefault="00981C93">
            <w:pPr>
              <w:pStyle w:val="TableText"/>
              <w:jc w:val="center"/>
              <w:rPr>
                <w:strike/>
                <w:vertAlign w:val="superscript"/>
              </w:rPr>
            </w:pPr>
            <w:r w:rsidRPr="00B541B0">
              <w:rPr>
                <w:b/>
                <w:bCs/>
              </w:rPr>
              <w:t>R</w:t>
            </w:r>
            <w:r w:rsidRPr="00BF49C0">
              <w:rPr>
                <w:b/>
                <w:bCs/>
              </w:rPr>
              <w:t>edacted</w:t>
            </w:r>
            <w:r>
              <w:rPr>
                <w:b/>
                <w:bCs/>
                <w:vertAlign w:val="superscript"/>
              </w:rPr>
              <w:t>1</w:t>
            </w:r>
          </w:p>
        </w:tc>
      </w:tr>
      <w:tr w:rsidR="00734F0E" w:rsidRPr="00734F0E" w14:paraId="75E191B5" w14:textId="77777777" w:rsidTr="77D89277">
        <w:tc>
          <w:tcPr>
            <w:tcW w:w="1266" w:type="pct"/>
            <w:vAlign w:val="center"/>
          </w:tcPr>
          <w:p w14:paraId="5A059D7C" w14:textId="77777777" w:rsidR="00BA7CC2" w:rsidRPr="00881BA8" w:rsidRDefault="00BA7CC2">
            <w:pPr>
              <w:pStyle w:val="TableText"/>
              <w:rPr>
                <w:rFonts w:ascii="Times" w:eastAsia="Times New Roman" w:hAnsi="Times" w:cs="Times New Roman"/>
              </w:rPr>
            </w:pPr>
            <w:r w:rsidRPr="00881BA8">
              <w:t>Number of scripts dispensed</w:t>
            </w:r>
          </w:p>
        </w:tc>
        <w:tc>
          <w:tcPr>
            <w:tcW w:w="622" w:type="pct"/>
            <w:vAlign w:val="center"/>
          </w:tcPr>
          <w:p w14:paraId="2477897F" w14:textId="5EFD213E"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c>
          <w:tcPr>
            <w:tcW w:w="622" w:type="pct"/>
            <w:vAlign w:val="center"/>
          </w:tcPr>
          <w:p w14:paraId="18E292BF" w14:textId="50CA9C42"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c>
          <w:tcPr>
            <w:tcW w:w="623" w:type="pct"/>
            <w:vAlign w:val="center"/>
          </w:tcPr>
          <w:p w14:paraId="47247969" w14:textId="3BABDDDD"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c>
          <w:tcPr>
            <w:tcW w:w="622" w:type="pct"/>
            <w:vAlign w:val="center"/>
          </w:tcPr>
          <w:p w14:paraId="5D528AAF" w14:textId="6D189582"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c>
          <w:tcPr>
            <w:tcW w:w="622" w:type="pct"/>
            <w:vAlign w:val="center"/>
          </w:tcPr>
          <w:p w14:paraId="429F37BC" w14:textId="418E18E1"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c>
          <w:tcPr>
            <w:tcW w:w="623" w:type="pct"/>
            <w:vAlign w:val="center"/>
          </w:tcPr>
          <w:p w14:paraId="712A112B" w14:textId="2A8F3EF3"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3</w:t>
            </w:r>
          </w:p>
        </w:tc>
      </w:tr>
      <w:tr w:rsidR="00734F0E" w:rsidRPr="00734F0E" w14:paraId="0A2CA8DD" w14:textId="77777777" w:rsidTr="77D89277">
        <w:tc>
          <w:tcPr>
            <w:tcW w:w="1266" w:type="pct"/>
            <w:vAlign w:val="center"/>
          </w:tcPr>
          <w:p w14:paraId="699FCCF4" w14:textId="77777777" w:rsidR="00BA7CC2" w:rsidRPr="00881BA8" w:rsidRDefault="00BA7CC2">
            <w:pPr>
              <w:pStyle w:val="TableText"/>
            </w:pPr>
            <w:r w:rsidRPr="00881BA8">
              <w:t>Number of scripts dispensed offset</w:t>
            </w:r>
          </w:p>
        </w:tc>
        <w:tc>
          <w:tcPr>
            <w:tcW w:w="622" w:type="pct"/>
            <w:vAlign w:val="center"/>
          </w:tcPr>
          <w:p w14:paraId="3286A4C0" w14:textId="25FA463E" w:rsidR="00BA7CC2" w:rsidRPr="009E3815" w:rsidRDefault="000E6E31">
            <w:pPr>
              <w:pStyle w:val="TableText"/>
              <w:jc w:val="center"/>
              <w:rPr>
                <w:strike/>
                <w:vertAlign w:val="superscript"/>
              </w:rPr>
            </w:pPr>
            <w:r w:rsidRPr="00B541B0">
              <w:rPr>
                <w:b/>
                <w:bCs/>
              </w:rPr>
              <w:t>R</w:t>
            </w:r>
            <w:r w:rsidRPr="00BF49C0">
              <w:rPr>
                <w:b/>
                <w:bCs/>
              </w:rPr>
              <w:t>edacted</w:t>
            </w:r>
          </w:p>
        </w:tc>
        <w:tc>
          <w:tcPr>
            <w:tcW w:w="622" w:type="pct"/>
            <w:vAlign w:val="center"/>
          </w:tcPr>
          <w:p w14:paraId="726B3A1B" w14:textId="09C96598" w:rsidR="00BA7CC2" w:rsidRPr="009E3815" w:rsidRDefault="000E6E31">
            <w:pPr>
              <w:pStyle w:val="TableText"/>
              <w:jc w:val="center"/>
              <w:rPr>
                <w:strike/>
                <w:vertAlign w:val="superscript"/>
              </w:rPr>
            </w:pPr>
            <w:r w:rsidRPr="00B541B0">
              <w:rPr>
                <w:b/>
                <w:bCs/>
              </w:rPr>
              <w:t>R</w:t>
            </w:r>
            <w:r w:rsidRPr="00BF49C0">
              <w:rPr>
                <w:b/>
                <w:bCs/>
              </w:rPr>
              <w:t>edacted</w:t>
            </w:r>
          </w:p>
        </w:tc>
        <w:tc>
          <w:tcPr>
            <w:tcW w:w="623" w:type="pct"/>
            <w:vAlign w:val="center"/>
          </w:tcPr>
          <w:p w14:paraId="16A10E47" w14:textId="6920C7CB" w:rsidR="00BA7CC2" w:rsidRPr="009E3815" w:rsidRDefault="000E6E31">
            <w:pPr>
              <w:pStyle w:val="TableText"/>
              <w:jc w:val="center"/>
              <w:rPr>
                <w:strike/>
                <w:vertAlign w:val="superscript"/>
              </w:rPr>
            </w:pPr>
            <w:r w:rsidRPr="00B541B0">
              <w:rPr>
                <w:b/>
                <w:bCs/>
              </w:rPr>
              <w:t>R</w:t>
            </w:r>
            <w:r w:rsidRPr="00BF49C0">
              <w:rPr>
                <w:b/>
                <w:bCs/>
              </w:rPr>
              <w:t>edacted</w:t>
            </w:r>
          </w:p>
        </w:tc>
        <w:tc>
          <w:tcPr>
            <w:tcW w:w="622" w:type="pct"/>
            <w:vAlign w:val="center"/>
          </w:tcPr>
          <w:p w14:paraId="3BAD85FF" w14:textId="299DB2AE" w:rsidR="00BA7CC2" w:rsidRPr="009E3815" w:rsidRDefault="000E6E31">
            <w:pPr>
              <w:pStyle w:val="TableText"/>
              <w:jc w:val="center"/>
              <w:rPr>
                <w:strike/>
                <w:vertAlign w:val="superscript"/>
              </w:rPr>
            </w:pPr>
            <w:r w:rsidRPr="00B541B0">
              <w:rPr>
                <w:b/>
                <w:bCs/>
              </w:rPr>
              <w:t>R</w:t>
            </w:r>
            <w:r w:rsidRPr="00BF49C0">
              <w:rPr>
                <w:b/>
                <w:bCs/>
              </w:rPr>
              <w:t>edacted</w:t>
            </w:r>
          </w:p>
        </w:tc>
        <w:tc>
          <w:tcPr>
            <w:tcW w:w="622" w:type="pct"/>
            <w:vAlign w:val="center"/>
          </w:tcPr>
          <w:p w14:paraId="0AFA5710" w14:textId="21DC8153" w:rsidR="00BA7CC2" w:rsidRPr="009E3815" w:rsidRDefault="000E6E31">
            <w:pPr>
              <w:pStyle w:val="TableText"/>
              <w:jc w:val="center"/>
              <w:rPr>
                <w:strike/>
                <w:vertAlign w:val="superscript"/>
              </w:rPr>
            </w:pPr>
            <w:r w:rsidRPr="00B541B0">
              <w:rPr>
                <w:b/>
                <w:bCs/>
              </w:rPr>
              <w:t>R</w:t>
            </w:r>
            <w:r w:rsidRPr="00BF49C0">
              <w:rPr>
                <w:b/>
                <w:bCs/>
              </w:rPr>
              <w:t>edacted</w:t>
            </w:r>
          </w:p>
        </w:tc>
        <w:tc>
          <w:tcPr>
            <w:tcW w:w="623" w:type="pct"/>
            <w:vAlign w:val="center"/>
          </w:tcPr>
          <w:p w14:paraId="40EAC8F8" w14:textId="235A04E7" w:rsidR="00BA7CC2" w:rsidRPr="009E3815" w:rsidRDefault="000E6E31">
            <w:pPr>
              <w:pStyle w:val="TableText"/>
              <w:jc w:val="center"/>
              <w:rPr>
                <w:strike/>
                <w:vertAlign w:val="superscript"/>
              </w:rPr>
            </w:pPr>
            <w:r w:rsidRPr="00B541B0">
              <w:rPr>
                <w:b/>
                <w:bCs/>
              </w:rPr>
              <w:t>R</w:t>
            </w:r>
            <w:r w:rsidRPr="00BF49C0">
              <w:rPr>
                <w:b/>
                <w:bCs/>
              </w:rPr>
              <w:t>edacted</w:t>
            </w:r>
          </w:p>
        </w:tc>
      </w:tr>
      <w:tr w:rsidR="00734F0E" w:rsidRPr="00734F0E" w14:paraId="16E10903" w14:textId="77777777" w:rsidTr="77D89277">
        <w:tc>
          <w:tcPr>
            <w:tcW w:w="5000" w:type="pct"/>
            <w:gridSpan w:val="7"/>
            <w:vAlign w:val="center"/>
          </w:tcPr>
          <w:p w14:paraId="6E56E6CC" w14:textId="2E567FC7" w:rsidR="00BA7CC2" w:rsidRPr="00881BA8" w:rsidRDefault="55644C5A" w:rsidP="43B696FE">
            <w:pPr>
              <w:pStyle w:val="TableText"/>
              <w:rPr>
                <w:b/>
                <w:bCs/>
              </w:rPr>
            </w:pPr>
            <w:r w:rsidRPr="00881BA8">
              <w:rPr>
                <w:b/>
                <w:bCs/>
              </w:rPr>
              <w:t>Estimated financial implications of zolbetuximab to the PBS/RPBS</w:t>
            </w:r>
          </w:p>
        </w:tc>
      </w:tr>
      <w:tr w:rsidR="00734F0E" w:rsidRPr="00734F0E" w14:paraId="17D86B9D" w14:textId="77777777" w:rsidTr="77D89277">
        <w:tc>
          <w:tcPr>
            <w:tcW w:w="1266" w:type="pct"/>
            <w:vAlign w:val="center"/>
          </w:tcPr>
          <w:p w14:paraId="522376F4" w14:textId="77777777" w:rsidR="00BA7CC2" w:rsidRPr="00881BA8" w:rsidRDefault="00BA7CC2">
            <w:pPr>
              <w:pStyle w:val="TableText"/>
            </w:pPr>
            <w:r w:rsidRPr="00881BA8">
              <w:t>Cost to PBS/RPBS less copayments</w:t>
            </w:r>
          </w:p>
        </w:tc>
        <w:tc>
          <w:tcPr>
            <w:tcW w:w="622" w:type="pct"/>
            <w:vAlign w:val="center"/>
          </w:tcPr>
          <w:p w14:paraId="359757B1" w14:textId="39C577F9"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4</w:t>
            </w:r>
          </w:p>
        </w:tc>
        <w:tc>
          <w:tcPr>
            <w:tcW w:w="622" w:type="pct"/>
            <w:vAlign w:val="center"/>
          </w:tcPr>
          <w:p w14:paraId="0A0BEE1B" w14:textId="24A6568A"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4</w:t>
            </w:r>
          </w:p>
        </w:tc>
        <w:tc>
          <w:tcPr>
            <w:tcW w:w="623" w:type="pct"/>
            <w:vAlign w:val="center"/>
          </w:tcPr>
          <w:p w14:paraId="06BA3C42" w14:textId="6FC26EA6"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4</w:t>
            </w:r>
          </w:p>
        </w:tc>
        <w:tc>
          <w:tcPr>
            <w:tcW w:w="622" w:type="pct"/>
            <w:vAlign w:val="center"/>
          </w:tcPr>
          <w:p w14:paraId="31A6572A" w14:textId="34F753DE" w:rsidR="00BA7CC2" w:rsidRPr="009E3815" w:rsidRDefault="00720F6E">
            <w:pPr>
              <w:pStyle w:val="TableText"/>
              <w:jc w:val="center"/>
              <w:rPr>
                <w:strike/>
                <w:vertAlign w:val="superscript"/>
              </w:rPr>
            </w:pPr>
            <w:r w:rsidRPr="00B541B0">
              <w:rPr>
                <w:b/>
                <w:bCs/>
              </w:rPr>
              <w:t>R</w:t>
            </w:r>
            <w:r w:rsidRPr="00BF49C0">
              <w:rPr>
                <w:b/>
                <w:bCs/>
              </w:rPr>
              <w:t>edacted</w:t>
            </w:r>
            <w:r>
              <w:rPr>
                <w:b/>
                <w:bCs/>
                <w:vertAlign w:val="superscript"/>
              </w:rPr>
              <w:t>5</w:t>
            </w:r>
          </w:p>
        </w:tc>
        <w:tc>
          <w:tcPr>
            <w:tcW w:w="622" w:type="pct"/>
            <w:vAlign w:val="center"/>
          </w:tcPr>
          <w:p w14:paraId="556AC005" w14:textId="57B4071F" w:rsidR="00BA7CC2" w:rsidRPr="009E3815" w:rsidRDefault="00720F6E">
            <w:pPr>
              <w:pStyle w:val="TableText"/>
              <w:jc w:val="center"/>
              <w:rPr>
                <w:strike/>
                <w:vertAlign w:val="superscript"/>
              </w:rPr>
            </w:pPr>
            <w:r w:rsidRPr="00B541B0">
              <w:rPr>
                <w:b/>
                <w:bCs/>
              </w:rPr>
              <w:t>R</w:t>
            </w:r>
            <w:r w:rsidRPr="00BF49C0">
              <w:rPr>
                <w:b/>
                <w:bCs/>
              </w:rPr>
              <w:t>edacted</w:t>
            </w:r>
            <w:r w:rsidR="00EB0846">
              <w:rPr>
                <w:b/>
                <w:bCs/>
                <w:vertAlign w:val="superscript"/>
              </w:rPr>
              <w:t>5</w:t>
            </w:r>
          </w:p>
        </w:tc>
        <w:tc>
          <w:tcPr>
            <w:tcW w:w="623" w:type="pct"/>
            <w:vAlign w:val="center"/>
          </w:tcPr>
          <w:p w14:paraId="7B5570E1" w14:textId="06E74356" w:rsidR="00BA7CC2" w:rsidRPr="009E3815" w:rsidRDefault="00720F6E">
            <w:pPr>
              <w:pStyle w:val="TableText"/>
              <w:jc w:val="center"/>
              <w:rPr>
                <w:strike/>
                <w:vertAlign w:val="superscript"/>
              </w:rPr>
            </w:pPr>
            <w:r w:rsidRPr="00B541B0">
              <w:rPr>
                <w:b/>
                <w:bCs/>
              </w:rPr>
              <w:t>R</w:t>
            </w:r>
            <w:r w:rsidRPr="00BF49C0">
              <w:rPr>
                <w:b/>
                <w:bCs/>
              </w:rPr>
              <w:t>edacted</w:t>
            </w:r>
            <w:r w:rsidR="00EB0846">
              <w:rPr>
                <w:b/>
                <w:bCs/>
                <w:vertAlign w:val="superscript"/>
              </w:rPr>
              <w:t>5</w:t>
            </w:r>
          </w:p>
        </w:tc>
      </w:tr>
      <w:tr w:rsidR="00734F0E" w:rsidRPr="00734F0E" w14:paraId="6EAEE11F" w14:textId="77777777" w:rsidTr="77D89277">
        <w:tc>
          <w:tcPr>
            <w:tcW w:w="1266" w:type="pct"/>
            <w:vAlign w:val="center"/>
          </w:tcPr>
          <w:p w14:paraId="64A533E2" w14:textId="6A10D568" w:rsidR="00BA7CC2" w:rsidRPr="00881BA8" w:rsidRDefault="55644C5A" w:rsidP="43B696FE">
            <w:pPr>
              <w:pStyle w:val="TableText"/>
              <w:ind w:left="253"/>
              <w:rPr>
                <w:i/>
                <w:iCs/>
              </w:rPr>
            </w:pPr>
            <w:r w:rsidRPr="00881BA8">
              <w:rPr>
                <w:i/>
                <w:iCs/>
              </w:rPr>
              <w:t>Revised by using the AEMP of $</w:t>
            </w:r>
            <w:r w:rsidRPr="006350E2">
              <w:rPr>
                <w:i/>
              </w:rPr>
              <w:t>774.03</w:t>
            </w:r>
            <w:r w:rsidRPr="00881BA8">
              <w:rPr>
                <w:i/>
                <w:iCs/>
              </w:rPr>
              <w:t xml:space="preserve"> for zolbetuximab</w:t>
            </w:r>
          </w:p>
        </w:tc>
        <w:tc>
          <w:tcPr>
            <w:tcW w:w="622" w:type="pct"/>
            <w:vAlign w:val="center"/>
          </w:tcPr>
          <w:p w14:paraId="30C45ABD" w14:textId="2F2AB43D" w:rsidR="00BA7CC2" w:rsidRPr="00524A38" w:rsidRDefault="00EB0846">
            <w:pPr>
              <w:pStyle w:val="TableText"/>
              <w:jc w:val="center"/>
              <w:rPr>
                <w:i/>
              </w:rPr>
            </w:pPr>
            <w:r w:rsidRPr="00305B51">
              <w:rPr>
                <w:b/>
                <w:bCs/>
                <w:i/>
                <w:iCs/>
              </w:rPr>
              <w:t>Redacted</w:t>
            </w:r>
            <w:r w:rsidRPr="00305B51">
              <w:rPr>
                <w:b/>
                <w:bCs/>
                <w:i/>
                <w:iCs/>
                <w:vertAlign w:val="superscript"/>
              </w:rPr>
              <w:t>4</w:t>
            </w:r>
          </w:p>
        </w:tc>
        <w:tc>
          <w:tcPr>
            <w:tcW w:w="622" w:type="pct"/>
            <w:vAlign w:val="center"/>
          </w:tcPr>
          <w:p w14:paraId="77D9E53D" w14:textId="0C60EE45" w:rsidR="00BA7CC2" w:rsidRPr="00524A38" w:rsidRDefault="00EB0846">
            <w:pPr>
              <w:pStyle w:val="TableText"/>
              <w:jc w:val="center"/>
              <w:rPr>
                <w:i/>
              </w:rPr>
            </w:pPr>
            <w:r w:rsidRPr="00305B51">
              <w:rPr>
                <w:b/>
                <w:bCs/>
                <w:i/>
                <w:iCs/>
              </w:rPr>
              <w:t>Redacted</w:t>
            </w:r>
            <w:r w:rsidRPr="00305B51">
              <w:rPr>
                <w:b/>
                <w:bCs/>
                <w:i/>
                <w:iCs/>
                <w:vertAlign w:val="superscript"/>
              </w:rPr>
              <w:t>4</w:t>
            </w:r>
          </w:p>
        </w:tc>
        <w:tc>
          <w:tcPr>
            <w:tcW w:w="623" w:type="pct"/>
            <w:vAlign w:val="center"/>
          </w:tcPr>
          <w:p w14:paraId="7D3C5A87" w14:textId="388F2D70" w:rsidR="00BA7CC2" w:rsidRPr="00524A38" w:rsidRDefault="00EB0846">
            <w:pPr>
              <w:pStyle w:val="TableText"/>
              <w:jc w:val="center"/>
              <w:rPr>
                <w:i/>
              </w:rPr>
            </w:pPr>
            <w:r w:rsidRPr="00305B51">
              <w:rPr>
                <w:b/>
                <w:bCs/>
                <w:i/>
                <w:iCs/>
              </w:rPr>
              <w:t>Redacted</w:t>
            </w:r>
            <w:r w:rsidRPr="00305B51">
              <w:rPr>
                <w:b/>
                <w:bCs/>
                <w:i/>
                <w:iCs/>
                <w:vertAlign w:val="superscript"/>
              </w:rPr>
              <w:t>4</w:t>
            </w:r>
          </w:p>
        </w:tc>
        <w:tc>
          <w:tcPr>
            <w:tcW w:w="622" w:type="pct"/>
            <w:vAlign w:val="center"/>
          </w:tcPr>
          <w:p w14:paraId="0F69F989" w14:textId="0BF2EBF1" w:rsidR="00BA7CC2" w:rsidRPr="00524A38" w:rsidRDefault="00EB0846">
            <w:pPr>
              <w:pStyle w:val="TableText"/>
              <w:jc w:val="center"/>
              <w:rPr>
                <w:i/>
              </w:rPr>
            </w:pPr>
            <w:r w:rsidRPr="00305B51">
              <w:rPr>
                <w:b/>
                <w:bCs/>
                <w:i/>
                <w:iCs/>
              </w:rPr>
              <w:t>Redacted</w:t>
            </w:r>
            <w:r w:rsidRPr="00305B51">
              <w:rPr>
                <w:b/>
                <w:bCs/>
                <w:i/>
                <w:iCs/>
                <w:vertAlign w:val="superscript"/>
              </w:rPr>
              <w:t>5</w:t>
            </w:r>
          </w:p>
        </w:tc>
        <w:tc>
          <w:tcPr>
            <w:tcW w:w="622" w:type="pct"/>
            <w:vAlign w:val="center"/>
          </w:tcPr>
          <w:p w14:paraId="6F96C66C" w14:textId="485CD5F9" w:rsidR="00BA7CC2" w:rsidRPr="00524A38" w:rsidRDefault="00EB0846">
            <w:pPr>
              <w:pStyle w:val="TableText"/>
              <w:jc w:val="center"/>
              <w:rPr>
                <w:i/>
              </w:rPr>
            </w:pPr>
            <w:r w:rsidRPr="00305B51">
              <w:rPr>
                <w:b/>
                <w:bCs/>
                <w:i/>
                <w:iCs/>
              </w:rPr>
              <w:t>Redacted</w:t>
            </w:r>
            <w:r w:rsidRPr="00305B51">
              <w:rPr>
                <w:b/>
                <w:bCs/>
                <w:i/>
                <w:iCs/>
                <w:vertAlign w:val="superscript"/>
              </w:rPr>
              <w:t>5</w:t>
            </w:r>
          </w:p>
        </w:tc>
        <w:tc>
          <w:tcPr>
            <w:tcW w:w="623" w:type="pct"/>
            <w:vAlign w:val="center"/>
          </w:tcPr>
          <w:p w14:paraId="06470C48" w14:textId="362FE309" w:rsidR="00BA7CC2" w:rsidRPr="00524A38" w:rsidRDefault="00EB0846">
            <w:pPr>
              <w:pStyle w:val="TableText"/>
              <w:jc w:val="center"/>
              <w:rPr>
                <w:i/>
                <w:strike/>
                <w:vertAlign w:val="superscript"/>
              </w:rPr>
            </w:pPr>
            <w:r w:rsidRPr="00305B51">
              <w:rPr>
                <w:b/>
                <w:bCs/>
                <w:i/>
                <w:iCs/>
              </w:rPr>
              <w:t>Redacted</w:t>
            </w:r>
            <w:r w:rsidRPr="00305B51">
              <w:rPr>
                <w:b/>
                <w:bCs/>
                <w:i/>
                <w:iCs/>
                <w:vertAlign w:val="superscript"/>
              </w:rPr>
              <w:t>5</w:t>
            </w:r>
          </w:p>
        </w:tc>
      </w:tr>
      <w:tr w:rsidR="00734F0E" w:rsidRPr="00734F0E" w14:paraId="71296448" w14:textId="77777777" w:rsidTr="77D89277">
        <w:tc>
          <w:tcPr>
            <w:tcW w:w="5000" w:type="pct"/>
            <w:gridSpan w:val="7"/>
            <w:vAlign w:val="center"/>
          </w:tcPr>
          <w:p w14:paraId="45FF6097" w14:textId="77777777" w:rsidR="00BA7CC2" w:rsidRPr="00881BA8" w:rsidRDefault="00BA7CC2">
            <w:pPr>
              <w:pStyle w:val="TableText"/>
              <w:rPr>
                <w:b/>
              </w:rPr>
            </w:pPr>
            <w:r w:rsidRPr="00881BA8">
              <w:rPr>
                <w:b/>
              </w:rPr>
              <w:t>Estimated financial implications for nivolumab to the PBS/RPBS</w:t>
            </w:r>
          </w:p>
        </w:tc>
      </w:tr>
      <w:tr w:rsidR="00734F0E" w:rsidRPr="00734F0E" w14:paraId="4553138A" w14:textId="77777777" w:rsidTr="77D89277">
        <w:tc>
          <w:tcPr>
            <w:tcW w:w="1266" w:type="pct"/>
            <w:vAlign w:val="center"/>
          </w:tcPr>
          <w:p w14:paraId="5BF91FC8" w14:textId="77777777" w:rsidR="00BA7CC2" w:rsidRPr="00881BA8" w:rsidRDefault="00BA7CC2">
            <w:pPr>
              <w:pStyle w:val="TableText"/>
            </w:pPr>
            <w:r w:rsidRPr="00881BA8">
              <w:t>Cost to PBS/RPBS less copayments</w:t>
            </w:r>
          </w:p>
        </w:tc>
        <w:tc>
          <w:tcPr>
            <w:tcW w:w="622" w:type="pct"/>
            <w:vAlign w:val="center"/>
          </w:tcPr>
          <w:p w14:paraId="7F451EC8" w14:textId="038C2B30"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c>
          <w:tcPr>
            <w:tcW w:w="622" w:type="pct"/>
            <w:vAlign w:val="center"/>
          </w:tcPr>
          <w:p w14:paraId="19BAEAC6" w14:textId="40112E0A"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c>
          <w:tcPr>
            <w:tcW w:w="623" w:type="pct"/>
            <w:vAlign w:val="center"/>
          </w:tcPr>
          <w:p w14:paraId="32CD7B2F" w14:textId="5E2E5DFE"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c>
          <w:tcPr>
            <w:tcW w:w="622" w:type="pct"/>
            <w:vAlign w:val="center"/>
          </w:tcPr>
          <w:p w14:paraId="0FFB77F8" w14:textId="5D56A5BF"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c>
          <w:tcPr>
            <w:tcW w:w="622" w:type="pct"/>
            <w:vAlign w:val="center"/>
          </w:tcPr>
          <w:p w14:paraId="3D3619EB" w14:textId="6B3BD8B9"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c>
          <w:tcPr>
            <w:tcW w:w="623" w:type="pct"/>
            <w:vAlign w:val="center"/>
          </w:tcPr>
          <w:p w14:paraId="5F8D2862" w14:textId="2E3B469A"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6</w:t>
            </w:r>
          </w:p>
        </w:tc>
      </w:tr>
      <w:tr w:rsidR="00734F0E" w:rsidRPr="00734F0E" w14:paraId="5FF04089" w14:textId="77777777" w:rsidTr="77D89277">
        <w:tc>
          <w:tcPr>
            <w:tcW w:w="5000" w:type="pct"/>
            <w:gridSpan w:val="7"/>
            <w:vAlign w:val="center"/>
          </w:tcPr>
          <w:p w14:paraId="1F216A1B" w14:textId="19E34F97" w:rsidR="00BA7CC2" w:rsidRPr="00881BA8" w:rsidRDefault="00BA7CC2">
            <w:pPr>
              <w:pStyle w:val="TableText"/>
              <w:rPr>
                <w:b/>
              </w:rPr>
            </w:pPr>
            <w:r w:rsidRPr="00881BA8">
              <w:rPr>
                <w:b/>
              </w:rPr>
              <w:t xml:space="preserve">Estimated financial implications to the MBS (assuming </w:t>
            </w:r>
            <w:r>
              <w:rPr>
                <w:b/>
              </w:rPr>
              <w:t>80</w:t>
            </w:r>
            <w:r w:rsidRPr="00881BA8">
              <w:rPr>
                <w:b/>
              </w:rPr>
              <w:t>% benefit)</w:t>
            </w:r>
          </w:p>
        </w:tc>
      </w:tr>
      <w:tr w:rsidR="00734F0E" w:rsidRPr="00734F0E" w14:paraId="46CC410C" w14:textId="77777777" w:rsidTr="77D89277">
        <w:tc>
          <w:tcPr>
            <w:tcW w:w="1266" w:type="pct"/>
            <w:vAlign w:val="center"/>
          </w:tcPr>
          <w:p w14:paraId="1EE8A07D" w14:textId="77777777" w:rsidR="00BA7CC2" w:rsidRPr="00881BA8" w:rsidRDefault="00BA7CC2">
            <w:pPr>
              <w:pStyle w:val="TableText"/>
            </w:pPr>
            <w:r w:rsidRPr="00881BA8">
              <w:t xml:space="preserve">Cost to the MBS less copayments for CLDN18 test </w:t>
            </w:r>
          </w:p>
        </w:tc>
        <w:tc>
          <w:tcPr>
            <w:tcW w:w="622" w:type="pct"/>
            <w:vAlign w:val="center"/>
          </w:tcPr>
          <w:p w14:paraId="5D619148" w14:textId="02D2FA42"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030F6801" w14:textId="60BC13E2"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c>
          <w:tcPr>
            <w:tcW w:w="623" w:type="pct"/>
            <w:vAlign w:val="center"/>
          </w:tcPr>
          <w:p w14:paraId="0115909C" w14:textId="675E1A31"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33596487" w14:textId="4A9977C4"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07724DD5" w14:textId="397AA2D2"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c>
          <w:tcPr>
            <w:tcW w:w="623" w:type="pct"/>
            <w:vAlign w:val="center"/>
          </w:tcPr>
          <w:p w14:paraId="47208CF4" w14:textId="1DDE48E0" w:rsidR="00BA7CC2" w:rsidRPr="009E3815" w:rsidRDefault="00EB0846">
            <w:pPr>
              <w:pStyle w:val="TableText"/>
              <w:jc w:val="center"/>
              <w:rPr>
                <w:strike/>
                <w:vertAlign w:val="superscript"/>
              </w:rPr>
            </w:pPr>
            <w:r w:rsidRPr="00B541B0">
              <w:rPr>
                <w:b/>
                <w:bCs/>
              </w:rPr>
              <w:t>R</w:t>
            </w:r>
            <w:r w:rsidRPr="00BF49C0">
              <w:rPr>
                <w:b/>
                <w:bCs/>
              </w:rPr>
              <w:t>edacted</w:t>
            </w:r>
            <w:r>
              <w:rPr>
                <w:b/>
                <w:bCs/>
                <w:vertAlign w:val="superscript"/>
              </w:rPr>
              <w:t>7</w:t>
            </w:r>
          </w:p>
        </w:tc>
      </w:tr>
      <w:tr w:rsidR="00734F0E" w:rsidRPr="00734F0E" w14:paraId="423850A3" w14:textId="77777777" w:rsidTr="77D89277">
        <w:tc>
          <w:tcPr>
            <w:tcW w:w="1266" w:type="pct"/>
            <w:vAlign w:val="center"/>
          </w:tcPr>
          <w:p w14:paraId="24E847C5" w14:textId="77AC7BE3" w:rsidR="00BA7CC2" w:rsidRPr="00881BA8" w:rsidRDefault="0320E047" w:rsidP="77D89277">
            <w:pPr>
              <w:pStyle w:val="TableText"/>
              <w:ind w:left="253"/>
              <w:rPr>
                <w:i/>
                <w:iCs/>
              </w:rPr>
            </w:pPr>
            <w:r w:rsidRPr="00881BA8">
              <w:rPr>
                <w:i/>
                <w:iCs/>
              </w:rPr>
              <w:t>Revised by using a</w:t>
            </w:r>
            <w:r w:rsidR="00F31F70" w:rsidRPr="00881BA8">
              <w:rPr>
                <w:i/>
                <w:iCs/>
              </w:rPr>
              <w:t>n</w:t>
            </w:r>
            <w:r w:rsidRPr="00881BA8">
              <w:rPr>
                <w:i/>
                <w:iCs/>
              </w:rPr>
              <w:t xml:space="preserve"> ESC-supported MBS fee of </w:t>
            </w:r>
            <w:r>
              <w:rPr>
                <w:i/>
              </w:rPr>
              <w:t>$74.50</w:t>
            </w:r>
            <w:r w:rsidRPr="00881BA8">
              <w:rPr>
                <w:i/>
                <w:iCs/>
              </w:rPr>
              <w:t xml:space="preserve"> for CLDN18 testing</w:t>
            </w:r>
          </w:p>
        </w:tc>
        <w:tc>
          <w:tcPr>
            <w:tcW w:w="622" w:type="pct"/>
            <w:vAlign w:val="center"/>
          </w:tcPr>
          <w:p w14:paraId="7E16254F" w14:textId="0B634F10"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c>
          <w:tcPr>
            <w:tcW w:w="622" w:type="pct"/>
            <w:vAlign w:val="center"/>
          </w:tcPr>
          <w:p w14:paraId="32A23240" w14:textId="63256711"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c>
          <w:tcPr>
            <w:tcW w:w="623" w:type="pct"/>
            <w:vAlign w:val="center"/>
          </w:tcPr>
          <w:p w14:paraId="136E801E" w14:textId="0A123705"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c>
          <w:tcPr>
            <w:tcW w:w="622" w:type="pct"/>
            <w:vAlign w:val="center"/>
          </w:tcPr>
          <w:p w14:paraId="1135C196" w14:textId="54C3A496"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c>
          <w:tcPr>
            <w:tcW w:w="622" w:type="pct"/>
            <w:vAlign w:val="center"/>
          </w:tcPr>
          <w:p w14:paraId="5650644B" w14:textId="0FDA4DC3"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c>
          <w:tcPr>
            <w:tcW w:w="623" w:type="pct"/>
            <w:vAlign w:val="center"/>
          </w:tcPr>
          <w:p w14:paraId="6524720D" w14:textId="40CF3ACA" w:rsidR="00BA7CC2" w:rsidRPr="00A46160" w:rsidRDefault="000E6E31">
            <w:pPr>
              <w:pStyle w:val="TableText"/>
              <w:jc w:val="center"/>
              <w:rPr>
                <w:i/>
                <w:strike/>
                <w:vertAlign w:val="superscript"/>
              </w:rPr>
            </w:pPr>
            <w:r w:rsidRPr="00305B51">
              <w:rPr>
                <w:b/>
                <w:bCs/>
                <w:i/>
                <w:iCs/>
              </w:rPr>
              <w:t>Redacted</w:t>
            </w:r>
            <w:r w:rsidRPr="00305B51">
              <w:rPr>
                <w:b/>
                <w:bCs/>
                <w:i/>
                <w:iCs/>
                <w:vertAlign w:val="superscript"/>
              </w:rPr>
              <w:t>7</w:t>
            </w:r>
          </w:p>
        </w:tc>
      </w:tr>
      <w:tr w:rsidR="00734F0E" w:rsidRPr="00734F0E" w14:paraId="6453CA69" w14:textId="77777777" w:rsidTr="77D89277">
        <w:tc>
          <w:tcPr>
            <w:tcW w:w="1266" w:type="pct"/>
            <w:vAlign w:val="center"/>
          </w:tcPr>
          <w:p w14:paraId="057A56FC" w14:textId="77777777" w:rsidR="00BA7CC2" w:rsidRPr="00881BA8" w:rsidRDefault="00BA7CC2">
            <w:pPr>
              <w:pStyle w:val="TableText"/>
            </w:pPr>
            <w:r w:rsidRPr="00881BA8">
              <w:t xml:space="preserve">Cost to the MBS less copayments for IV administration </w:t>
            </w:r>
          </w:p>
        </w:tc>
        <w:tc>
          <w:tcPr>
            <w:tcW w:w="622" w:type="pct"/>
            <w:vAlign w:val="center"/>
          </w:tcPr>
          <w:p w14:paraId="4167A5E3" w14:textId="42425238"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4053D2FA" w14:textId="45D4EB24"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3" w:type="pct"/>
            <w:vAlign w:val="center"/>
          </w:tcPr>
          <w:p w14:paraId="6AD18EAB" w14:textId="7F1224AA"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045B2BC3" w14:textId="30D4CC11"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38AA9236" w14:textId="5EAD62CC"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3" w:type="pct"/>
            <w:vAlign w:val="center"/>
          </w:tcPr>
          <w:p w14:paraId="02B7E834" w14:textId="61A58954" w:rsidR="00BA7CC2"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r>
      <w:tr w:rsidR="00734F0E" w:rsidRPr="00734F0E" w14:paraId="5D0F43EE" w14:textId="77777777" w:rsidTr="77D89277">
        <w:tc>
          <w:tcPr>
            <w:tcW w:w="1266" w:type="pct"/>
            <w:vAlign w:val="center"/>
          </w:tcPr>
          <w:p w14:paraId="7D890ED6" w14:textId="267EBEA9" w:rsidR="00BA7CC2" w:rsidRPr="00881BA8" w:rsidRDefault="55644C5A" w:rsidP="43B696FE">
            <w:pPr>
              <w:pStyle w:val="TableText"/>
              <w:ind w:left="253"/>
              <w:rPr>
                <w:i/>
                <w:iCs/>
              </w:rPr>
            </w:pPr>
            <w:r w:rsidRPr="00881BA8">
              <w:rPr>
                <w:i/>
                <w:iCs/>
              </w:rPr>
              <w:t>Revised to include the MBS cost associated with IV infusion for both zolbetuximab and nivolumab.</w:t>
            </w:r>
          </w:p>
        </w:tc>
        <w:tc>
          <w:tcPr>
            <w:tcW w:w="622" w:type="pct"/>
            <w:vAlign w:val="center"/>
          </w:tcPr>
          <w:p w14:paraId="0E0B1FC8" w14:textId="4B3634D1" w:rsidR="00BA7CC2" w:rsidRPr="00FE7F66" w:rsidRDefault="000E6E31">
            <w:pPr>
              <w:pStyle w:val="TableText"/>
              <w:jc w:val="center"/>
              <w:rPr>
                <w:i/>
                <w:strike/>
                <w:vertAlign w:val="superscript"/>
              </w:rPr>
            </w:pPr>
            <w:r w:rsidRPr="00305B51">
              <w:rPr>
                <w:b/>
                <w:bCs/>
                <w:i/>
                <w:iCs/>
              </w:rPr>
              <w:t>Redacted</w:t>
            </w:r>
            <w:r w:rsidRPr="00305B51">
              <w:rPr>
                <w:b/>
                <w:bCs/>
                <w:i/>
                <w:iCs/>
                <w:vertAlign w:val="superscript"/>
              </w:rPr>
              <w:t>6</w:t>
            </w:r>
          </w:p>
        </w:tc>
        <w:tc>
          <w:tcPr>
            <w:tcW w:w="622" w:type="pct"/>
            <w:vAlign w:val="center"/>
          </w:tcPr>
          <w:p w14:paraId="5BCEEED5" w14:textId="68119249" w:rsidR="00BA7CC2" w:rsidRPr="00FE7F66" w:rsidRDefault="000E6E31">
            <w:pPr>
              <w:pStyle w:val="TableText"/>
              <w:jc w:val="center"/>
              <w:rPr>
                <w:i/>
                <w:strike/>
              </w:rPr>
            </w:pPr>
            <w:r w:rsidRPr="00305B51">
              <w:rPr>
                <w:b/>
                <w:bCs/>
                <w:i/>
                <w:iCs/>
              </w:rPr>
              <w:t>Redacted</w:t>
            </w:r>
            <w:r w:rsidRPr="00305B51">
              <w:rPr>
                <w:b/>
                <w:bCs/>
                <w:i/>
                <w:iCs/>
                <w:vertAlign w:val="superscript"/>
              </w:rPr>
              <w:t>6</w:t>
            </w:r>
          </w:p>
        </w:tc>
        <w:tc>
          <w:tcPr>
            <w:tcW w:w="623" w:type="pct"/>
            <w:vAlign w:val="center"/>
          </w:tcPr>
          <w:p w14:paraId="2CAD3D8B" w14:textId="198405C0" w:rsidR="00BA7CC2" w:rsidRPr="00FE7F66" w:rsidRDefault="000E6E31">
            <w:pPr>
              <w:pStyle w:val="TableText"/>
              <w:jc w:val="center"/>
              <w:rPr>
                <w:i/>
                <w:strike/>
              </w:rPr>
            </w:pPr>
            <w:r w:rsidRPr="00305B51">
              <w:rPr>
                <w:b/>
                <w:bCs/>
                <w:i/>
                <w:iCs/>
              </w:rPr>
              <w:t>Redacted</w:t>
            </w:r>
            <w:r w:rsidRPr="00305B51">
              <w:rPr>
                <w:b/>
                <w:bCs/>
                <w:i/>
                <w:iCs/>
                <w:vertAlign w:val="superscript"/>
              </w:rPr>
              <w:t>6</w:t>
            </w:r>
          </w:p>
        </w:tc>
        <w:tc>
          <w:tcPr>
            <w:tcW w:w="622" w:type="pct"/>
            <w:vAlign w:val="center"/>
          </w:tcPr>
          <w:p w14:paraId="0D1EC103" w14:textId="5C13A923" w:rsidR="00BA7CC2" w:rsidRPr="00FE7F66" w:rsidRDefault="000E6E31">
            <w:pPr>
              <w:pStyle w:val="TableText"/>
              <w:jc w:val="center"/>
              <w:rPr>
                <w:i/>
                <w:strike/>
              </w:rPr>
            </w:pPr>
            <w:r w:rsidRPr="00305B51">
              <w:rPr>
                <w:b/>
                <w:bCs/>
                <w:i/>
                <w:iCs/>
              </w:rPr>
              <w:t>Redacted</w:t>
            </w:r>
            <w:r w:rsidRPr="00305B51">
              <w:rPr>
                <w:b/>
                <w:bCs/>
                <w:i/>
                <w:iCs/>
                <w:vertAlign w:val="superscript"/>
              </w:rPr>
              <w:t>6</w:t>
            </w:r>
          </w:p>
        </w:tc>
        <w:tc>
          <w:tcPr>
            <w:tcW w:w="622" w:type="pct"/>
            <w:vAlign w:val="center"/>
          </w:tcPr>
          <w:p w14:paraId="6FDF3673" w14:textId="0A2857D8" w:rsidR="00BA7CC2" w:rsidRPr="00FE7F66" w:rsidRDefault="000E6E31">
            <w:pPr>
              <w:pStyle w:val="TableText"/>
              <w:jc w:val="center"/>
              <w:rPr>
                <w:i/>
                <w:strike/>
              </w:rPr>
            </w:pPr>
            <w:r w:rsidRPr="00305B51">
              <w:rPr>
                <w:b/>
                <w:bCs/>
                <w:i/>
                <w:iCs/>
              </w:rPr>
              <w:t>Redacted</w:t>
            </w:r>
            <w:r w:rsidRPr="00305B51">
              <w:rPr>
                <w:b/>
                <w:bCs/>
                <w:i/>
                <w:iCs/>
                <w:vertAlign w:val="superscript"/>
              </w:rPr>
              <w:t>6</w:t>
            </w:r>
          </w:p>
        </w:tc>
        <w:tc>
          <w:tcPr>
            <w:tcW w:w="623" w:type="pct"/>
            <w:vAlign w:val="center"/>
          </w:tcPr>
          <w:p w14:paraId="6138D9FA" w14:textId="5499219F" w:rsidR="00BA7CC2" w:rsidRPr="00FE7F66" w:rsidRDefault="000E6E31">
            <w:pPr>
              <w:pStyle w:val="TableText"/>
              <w:jc w:val="center"/>
              <w:rPr>
                <w:i/>
                <w:strike/>
              </w:rPr>
            </w:pPr>
            <w:r w:rsidRPr="00305B51">
              <w:rPr>
                <w:b/>
                <w:bCs/>
                <w:i/>
                <w:iCs/>
              </w:rPr>
              <w:t>Redacted</w:t>
            </w:r>
            <w:r w:rsidRPr="00305B51">
              <w:rPr>
                <w:b/>
                <w:bCs/>
                <w:i/>
                <w:iCs/>
                <w:vertAlign w:val="superscript"/>
              </w:rPr>
              <w:t>6</w:t>
            </w:r>
          </w:p>
        </w:tc>
      </w:tr>
      <w:tr w:rsidR="00734F0E" w:rsidRPr="00734F0E" w14:paraId="02BCFF66" w14:textId="77777777" w:rsidTr="77D89277">
        <w:tc>
          <w:tcPr>
            <w:tcW w:w="5000" w:type="pct"/>
            <w:gridSpan w:val="7"/>
            <w:vAlign w:val="center"/>
          </w:tcPr>
          <w:p w14:paraId="2DADE1D2" w14:textId="77777777" w:rsidR="00BA7CC2" w:rsidRPr="00881BA8" w:rsidRDefault="00BA7CC2">
            <w:pPr>
              <w:pStyle w:val="TableText"/>
              <w:rPr>
                <w:b/>
              </w:rPr>
            </w:pPr>
            <w:r w:rsidRPr="00881BA8">
              <w:rPr>
                <w:b/>
              </w:rPr>
              <w:t xml:space="preserve">Net financial implications </w:t>
            </w:r>
          </w:p>
        </w:tc>
      </w:tr>
      <w:tr w:rsidR="00734F0E" w:rsidRPr="00734F0E" w14:paraId="439BDAE9" w14:textId="77777777">
        <w:tc>
          <w:tcPr>
            <w:tcW w:w="1266" w:type="pct"/>
            <w:vAlign w:val="center"/>
          </w:tcPr>
          <w:p w14:paraId="279E91D2" w14:textId="77777777" w:rsidR="00BA7CC2" w:rsidRPr="00881BA8" w:rsidRDefault="00BA7CC2">
            <w:pPr>
              <w:pStyle w:val="TableText"/>
            </w:pPr>
            <w:r w:rsidRPr="00881BA8">
              <w:t>Net cost to PBS/RPBS</w:t>
            </w:r>
          </w:p>
        </w:tc>
        <w:tc>
          <w:tcPr>
            <w:tcW w:w="622" w:type="pct"/>
            <w:vAlign w:val="center"/>
          </w:tcPr>
          <w:p w14:paraId="094CEDC0" w14:textId="5EE327E3" w:rsidR="00976507" w:rsidRPr="009E3815" w:rsidRDefault="000E6E31">
            <w:pPr>
              <w:pStyle w:val="TableText"/>
              <w:jc w:val="center"/>
              <w:rPr>
                <w:strike/>
                <w:vertAlign w:val="superscript"/>
              </w:rPr>
            </w:pPr>
            <w:r w:rsidRPr="00B541B0">
              <w:rPr>
                <w:b/>
                <w:bCs/>
              </w:rPr>
              <w:t>R</w:t>
            </w:r>
            <w:r w:rsidRPr="00BF49C0">
              <w:rPr>
                <w:b/>
                <w:bCs/>
              </w:rPr>
              <w:t>edacted</w:t>
            </w:r>
            <w:r>
              <w:rPr>
                <w:b/>
                <w:bCs/>
                <w:vertAlign w:val="superscript"/>
              </w:rPr>
              <w:t>7</w:t>
            </w:r>
          </w:p>
        </w:tc>
        <w:tc>
          <w:tcPr>
            <w:tcW w:w="622" w:type="pct"/>
            <w:vAlign w:val="center"/>
          </w:tcPr>
          <w:p w14:paraId="67499BAA" w14:textId="3CD32B89"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0DE5BC73" w14:textId="26C36307"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417B4CA3" w14:textId="0AE8B47E"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3237E048" w14:textId="52015E7F"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24A4068B" w14:textId="37FC3B20"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r>
      <w:tr w:rsidR="00734F0E" w:rsidRPr="00734F0E" w14:paraId="29F9D85A" w14:textId="77777777">
        <w:tc>
          <w:tcPr>
            <w:tcW w:w="1266" w:type="pct"/>
            <w:vAlign w:val="center"/>
          </w:tcPr>
          <w:p w14:paraId="4D2A035F" w14:textId="77777777" w:rsidR="00BA7CC2" w:rsidRPr="00881BA8" w:rsidRDefault="00BA7CC2">
            <w:pPr>
              <w:pStyle w:val="TableText"/>
              <w:ind w:left="253"/>
              <w:rPr>
                <w:i/>
              </w:rPr>
            </w:pPr>
            <w:r w:rsidRPr="00881BA8">
              <w:rPr>
                <w:i/>
              </w:rPr>
              <w:t>Revised net cost to PBS/RPBS</w:t>
            </w:r>
          </w:p>
        </w:tc>
        <w:tc>
          <w:tcPr>
            <w:tcW w:w="622" w:type="pct"/>
            <w:vAlign w:val="center"/>
          </w:tcPr>
          <w:p w14:paraId="5FD02E79" w14:textId="53A2E996" w:rsidR="00BA7CC2" w:rsidRPr="00C24441"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5093C56D" w14:textId="000404A5" w:rsidR="00BA7CC2" w:rsidRPr="00C24441"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5009CEE6" w14:textId="7DCD62B8" w:rsidR="00BA7CC2" w:rsidRPr="00C24441"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23532167" w14:textId="04890397" w:rsidR="00BA7CC2" w:rsidRPr="00C24441"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473529B6" w14:textId="2AF4B940" w:rsidR="00BA7CC2" w:rsidRPr="00C24441"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5D8DF4EC" w14:textId="2FACEC19" w:rsidR="00BA7CC2" w:rsidRPr="00C24441" w:rsidRDefault="000E6E31">
            <w:pPr>
              <w:pStyle w:val="TableText"/>
              <w:jc w:val="center"/>
              <w:rPr>
                <w:i/>
                <w:strike/>
              </w:rPr>
            </w:pPr>
            <w:r w:rsidRPr="00305B51">
              <w:rPr>
                <w:b/>
                <w:bCs/>
                <w:i/>
                <w:iCs/>
              </w:rPr>
              <w:t>Redacted</w:t>
            </w:r>
            <w:r w:rsidRPr="00305B51">
              <w:rPr>
                <w:b/>
                <w:bCs/>
                <w:i/>
                <w:iCs/>
                <w:vertAlign w:val="superscript"/>
              </w:rPr>
              <w:t>7</w:t>
            </w:r>
          </w:p>
        </w:tc>
      </w:tr>
      <w:tr w:rsidR="00734F0E" w:rsidRPr="00734F0E" w14:paraId="4862879F" w14:textId="77777777">
        <w:tc>
          <w:tcPr>
            <w:tcW w:w="1266" w:type="pct"/>
            <w:vAlign w:val="center"/>
          </w:tcPr>
          <w:p w14:paraId="70EDCDA2" w14:textId="77777777" w:rsidR="00BA7CC2" w:rsidRPr="00881BA8" w:rsidRDefault="00BA7CC2">
            <w:pPr>
              <w:pStyle w:val="TableText"/>
              <w:rPr>
                <w:rFonts w:ascii="Times" w:eastAsia="Times New Roman" w:hAnsi="Times" w:cs="Times New Roman"/>
              </w:rPr>
            </w:pPr>
            <w:r w:rsidRPr="00881BA8">
              <w:t>Net cost to MBS</w:t>
            </w:r>
          </w:p>
        </w:tc>
        <w:tc>
          <w:tcPr>
            <w:tcW w:w="622" w:type="pct"/>
            <w:vAlign w:val="center"/>
          </w:tcPr>
          <w:p w14:paraId="6DF6B0FE" w14:textId="721793CF"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2BF0E4E7" w14:textId="2988CF33"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538A49A8" w14:textId="06F4BD90"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7B38A6C4" w14:textId="34DA7E11"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4762AD41" w14:textId="08FAAB87"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2F9D80CA" w14:textId="096990CA"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r>
      <w:tr w:rsidR="00734F0E" w:rsidRPr="00734F0E" w14:paraId="71EB3CF4" w14:textId="77777777">
        <w:tc>
          <w:tcPr>
            <w:tcW w:w="1266" w:type="pct"/>
            <w:vAlign w:val="center"/>
          </w:tcPr>
          <w:p w14:paraId="06F9A81F" w14:textId="77777777" w:rsidR="00BA7CC2" w:rsidRPr="00881BA8" w:rsidRDefault="00BA7CC2">
            <w:pPr>
              <w:pStyle w:val="TableText"/>
              <w:ind w:left="253"/>
            </w:pPr>
            <w:r w:rsidRPr="00881BA8">
              <w:rPr>
                <w:i/>
              </w:rPr>
              <w:t>Revised net cost to MBS</w:t>
            </w:r>
          </w:p>
        </w:tc>
        <w:tc>
          <w:tcPr>
            <w:tcW w:w="622" w:type="pct"/>
            <w:vAlign w:val="center"/>
          </w:tcPr>
          <w:p w14:paraId="32B35A12" w14:textId="1C61C1E4"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25932FD8" w14:textId="66530E59"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1A9F3A00" w14:textId="726DCA34"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980E53E" w14:textId="23078FA0"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10E77429" w14:textId="3133B3C5"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1A600D4F" w14:textId="1E4AEA98" w:rsidR="00BA7CC2" w:rsidRPr="00903818" w:rsidRDefault="000E6E31">
            <w:pPr>
              <w:pStyle w:val="TableText"/>
              <w:jc w:val="center"/>
              <w:rPr>
                <w:i/>
                <w:strike/>
              </w:rPr>
            </w:pPr>
            <w:r w:rsidRPr="00305B51">
              <w:rPr>
                <w:b/>
                <w:bCs/>
                <w:i/>
                <w:iCs/>
              </w:rPr>
              <w:t>Redacted</w:t>
            </w:r>
            <w:r w:rsidRPr="00305B51">
              <w:rPr>
                <w:b/>
                <w:bCs/>
                <w:i/>
                <w:iCs/>
                <w:vertAlign w:val="superscript"/>
              </w:rPr>
              <w:t>7</w:t>
            </w:r>
          </w:p>
        </w:tc>
      </w:tr>
      <w:tr w:rsidR="00734F0E" w:rsidRPr="00734F0E" w14:paraId="76493AA8" w14:textId="77777777" w:rsidTr="77D89277">
        <w:tc>
          <w:tcPr>
            <w:tcW w:w="1266" w:type="pct"/>
            <w:vAlign w:val="center"/>
          </w:tcPr>
          <w:p w14:paraId="688E51C0" w14:textId="77777777" w:rsidR="00BA7CC2" w:rsidRPr="00881BA8" w:rsidRDefault="00BA7CC2">
            <w:pPr>
              <w:pStyle w:val="TableText"/>
            </w:pPr>
            <w:r w:rsidRPr="00881BA8">
              <w:t>Net cost to PBS/RPBS/MBS</w:t>
            </w:r>
          </w:p>
        </w:tc>
        <w:tc>
          <w:tcPr>
            <w:tcW w:w="622" w:type="pct"/>
            <w:vAlign w:val="center"/>
          </w:tcPr>
          <w:p w14:paraId="36E32F5B" w14:textId="72AAAE8A"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449C9285" w14:textId="50F91C21"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45ADD7B3" w14:textId="766CED28"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3938D0A2" w14:textId="7D9589C8"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2" w:type="pct"/>
            <w:vAlign w:val="center"/>
          </w:tcPr>
          <w:p w14:paraId="53A8B230" w14:textId="0F3EF418"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c>
          <w:tcPr>
            <w:tcW w:w="623" w:type="pct"/>
            <w:vAlign w:val="center"/>
          </w:tcPr>
          <w:p w14:paraId="09C8C564" w14:textId="58C58C40" w:rsidR="00BA7CC2" w:rsidRPr="009E3815" w:rsidRDefault="000E6E31">
            <w:pPr>
              <w:pStyle w:val="TableText"/>
              <w:jc w:val="center"/>
              <w:rPr>
                <w:strike/>
              </w:rPr>
            </w:pPr>
            <w:r w:rsidRPr="00B541B0">
              <w:rPr>
                <w:b/>
                <w:bCs/>
              </w:rPr>
              <w:t>R</w:t>
            </w:r>
            <w:r w:rsidRPr="00BF49C0">
              <w:rPr>
                <w:b/>
                <w:bCs/>
              </w:rPr>
              <w:t>edacted</w:t>
            </w:r>
            <w:r>
              <w:rPr>
                <w:b/>
                <w:bCs/>
                <w:vertAlign w:val="superscript"/>
              </w:rPr>
              <w:t>7</w:t>
            </w:r>
          </w:p>
        </w:tc>
      </w:tr>
      <w:tr w:rsidR="00734F0E" w:rsidRPr="00734F0E" w14:paraId="150CFD77" w14:textId="77777777" w:rsidTr="77D89277">
        <w:tc>
          <w:tcPr>
            <w:tcW w:w="1266" w:type="pct"/>
            <w:vAlign w:val="center"/>
          </w:tcPr>
          <w:p w14:paraId="725C3B1C" w14:textId="77777777" w:rsidR="00BA7CC2" w:rsidRPr="00881BA8" w:rsidRDefault="00BA7CC2">
            <w:pPr>
              <w:pStyle w:val="TableText"/>
              <w:ind w:left="253"/>
              <w:rPr>
                <w:i/>
              </w:rPr>
            </w:pPr>
            <w:r w:rsidRPr="00881BA8">
              <w:rPr>
                <w:i/>
              </w:rPr>
              <w:t>Revised net cost to PBS/RPBS/MBS</w:t>
            </w:r>
          </w:p>
        </w:tc>
        <w:tc>
          <w:tcPr>
            <w:tcW w:w="622" w:type="pct"/>
            <w:vAlign w:val="center"/>
          </w:tcPr>
          <w:p w14:paraId="57549995" w14:textId="4834A8DA"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394BF12" w14:textId="270894AF"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5C72FC7D" w14:textId="282CFCB4"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424D3747" w14:textId="2617F94C"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274E7FE7" w14:textId="6E513B11" w:rsidR="00BA7CC2" w:rsidRPr="00903818" w:rsidRDefault="000E6E31">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098D83FC" w14:textId="59D9D5C8" w:rsidR="00BA7CC2" w:rsidRPr="00903818" w:rsidRDefault="000E6E31">
            <w:pPr>
              <w:pStyle w:val="TableText"/>
              <w:jc w:val="center"/>
              <w:rPr>
                <w:i/>
                <w:strike/>
              </w:rPr>
            </w:pPr>
            <w:r w:rsidRPr="00305B51">
              <w:rPr>
                <w:b/>
                <w:bCs/>
                <w:i/>
                <w:iCs/>
              </w:rPr>
              <w:t>Redacted</w:t>
            </w:r>
            <w:r w:rsidRPr="00305B51">
              <w:rPr>
                <w:b/>
                <w:bCs/>
                <w:i/>
                <w:iCs/>
                <w:vertAlign w:val="superscript"/>
              </w:rPr>
              <w:t>7</w:t>
            </w:r>
          </w:p>
        </w:tc>
      </w:tr>
      <w:tr w:rsidR="00734F0E" w:rsidRPr="00734F0E" w14:paraId="621F93BF" w14:textId="77777777" w:rsidTr="77D89277">
        <w:tc>
          <w:tcPr>
            <w:tcW w:w="5000" w:type="pct"/>
            <w:gridSpan w:val="7"/>
            <w:vAlign w:val="center"/>
          </w:tcPr>
          <w:p w14:paraId="2E648A6F" w14:textId="77777777" w:rsidR="00BA7CC2" w:rsidRPr="00881BA8" w:rsidRDefault="00BA7CC2">
            <w:pPr>
              <w:pStyle w:val="TableText"/>
              <w:rPr>
                <w:b/>
              </w:rPr>
            </w:pPr>
            <w:r w:rsidRPr="00881BA8">
              <w:rPr>
                <w:b/>
              </w:rPr>
              <w:t>Sensitivity Analyses</w:t>
            </w:r>
          </w:p>
        </w:tc>
      </w:tr>
      <w:tr w:rsidR="00734F0E" w:rsidRPr="00734F0E" w14:paraId="2B873F0D" w14:textId="77777777" w:rsidTr="77D89277">
        <w:tc>
          <w:tcPr>
            <w:tcW w:w="5000" w:type="pct"/>
            <w:gridSpan w:val="7"/>
            <w:vAlign w:val="center"/>
          </w:tcPr>
          <w:p w14:paraId="7073F4E7" w14:textId="61425C41" w:rsidR="00BA7CC2" w:rsidRPr="00881BA8" w:rsidRDefault="0320E047" w:rsidP="77D89277">
            <w:pPr>
              <w:pStyle w:val="TableText"/>
              <w:rPr>
                <w:b/>
                <w:bCs/>
              </w:rPr>
            </w:pPr>
            <w:r w:rsidRPr="00881BA8">
              <w:rPr>
                <w:b/>
                <w:bCs/>
              </w:rPr>
              <w:t xml:space="preserve">Assuming </w:t>
            </w:r>
            <w:r w:rsidRPr="001F5DFD">
              <w:rPr>
                <w:b/>
              </w:rPr>
              <w:t>43.38</w:t>
            </w:r>
            <w:r w:rsidRPr="00881BA8">
              <w:rPr>
                <w:b/>
                <w:bCs/>
              </w:rPr>
              <w:t xml:space="preserve">% of patients are CLDN18.2+ (base case: </w:t>
            </w:r>
            <w:r w:rsidRPr="001F5DFD">
              <w:rPr>
                <w:b/>
              </w:rPr>
              <w:t>38.38</w:t>
            </w:r>
            <w:proofErr w:type="gramStart"/>
            <w:r w:rsidRPr="00881BA8">
              <w:rPr>
                <w:b/>
                <w:bCs/>
              </w:rPr>
              <w:t>%)</w:t>
            </w:r>
            <w:r w:rsidRPr="00881BA8">
              <w:rPr>
                <w:b/>
                <w:bCs/>
                <w:vertAlign w:val="superscript"/>
              </w:rPr>
              <w:t>a</w:t>
            </w:r>
            <w:proofErr w:type="gramEnd"/>
          </w:p>
        </w:tc>
      </w:tr>
      <w:tr w:rsidR="00734F0E" w:rsidRPr="00734F0E" w14:paraId="6BB793DE" w14:textId="77777777">
        <w:tc>
          <w:tcPr>
            <w:tcW w:w="1266" w:type="pct"/>
            <w:vAlign w:val="center"/>
          </w:tcPr>
          <w:p w14:paraId="7E8A9662" w14:textId="77777777" w:rsidR="00BA7CC2" w:rsidRPr="00881BA8" w:rsidRDefault="00BA7CC2">
            <w:pPr>
              <w:pStyle w:val="TableText"/>
            </w:pPr>
            <w:r w:rsidRPr="00881BA8">
              <w:t>Net cost to PBS/RPBS</w:t>
            </w:r>
          </w:p>
        </w:tc>
        <w:tc>
          <w:tcPr>
            <w:tcW w:w="622" w:type="pct"/>
            <w:vAlign w:val="center"/>
          </w:tcPr>
          <w:p w14:paraId="25B82471" w14:textId="6C4BD2C3"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c>
          <w:tcPr>
            <w:tcW w:w="622" w:type="pct"/>
            <w:vAlign w:val="center"/>
          </w:tcPr>
          <w:p w14:paraId="245AB9D3" w14:textId="6D41F09B"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c>
          <w:tcPr>
            <w:tcW w:w="623" w:type="pct"/>
            <w:vAlign w:val="center"/>
          </w:tcPr>
          <w:p w14:paraId="4797A506" w14:textId="5C8DAFEC"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c>
          <w:tcPr>
            <w:tcW w:w="622" w:type="pct"/>
            <w:vAlign w:val="center"/>
          </w:tcPr>
          <w:p w14:paraId="1FA2BB10" w14:textId="7C67425F"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c>
          <w:tcPr>
            <w:tcW w:w="622" w:type="pct"/>
            <w:vAlign w:val="center"/>
          </w:tcPr>
          <w:p w14:paraId="40EF0D29" w14:textId="22B6DF34"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c>
          <w:tcPr>
            <w:tcW w:w="623" w:type="pct"/>
            <w:vAlign w:val="center"/>
          </w:tcPr>
          <w:p w14:paraId="2DD8A826" w14:textId="220B5E3A" w:rsidR="00BA7CC2" w:rsidRPr="001F5DFD" w:rsidRDefault="00932D82">
            <w:pPr>
              <w:pStyle w:val="TableText"/>
              <w:jc w:val="center"/>
              <w:rPr>
                <w:i/>
              </w:rPr>
            </w:pPr>
            <w:r w:rsidRPr="00B541B0">
              <w:rPr>
                <w:b/>
                <w:bCs/>
              </w:rPr>
              <w:t>R</w:t>
            </w:r>
            <w:r w:rsidRPr="00BF49C0">
              <w:rPr>
                <w:b/>
                <w:bCs/>
              </w:rPr>
              <w:t>edacted</w:t>
            </w:r>
            <w:r>
              <w:rPr>
                <w:b/>
                <w:bCs/>
                <w:vertAlign w:val="superscript"/>
              </w:rPr>
              <w:t>7</w:t>
            </w:r>
          </w:p>
        </w:tc>
      </w:tr>
      <w:tr w:rsidR="00734F0E" w:rsidRPr="00734F0E" w14:paraId="6D064B63" w14:textId="77777777">
        <w:tc>
          <w:tcPr>
            <w:tcW w:w="1266" w:type="pct"/>
            <w:vAlign w:val="center"/>
          </w:tcPr>
          <w:p w14:paraId="7CB09239" w14:textId="77777777" w:rsidR="00BA7CC2" w:rsidRPr="00881BA8" w:rsidRDefault="00BA7CC2">
            <w:pPr>
              <w:pStyle w:val="TableText"/>
            </w:pPr>
            <w:r w:rsidRPr="00881BA8">
              <w:t>Net cost to MBS</w:t>
            </w:r>
          </w:p>
        </w:tc>
        <w:tc>
          <w:tcPr>
            <w:tcW w:w="622" w:type="pct"/>
            <w:vAlign w:val="center"/>
          </w:tcPr>
          <w:p w14:paraId="1CE6882D" w14:textId="63002CC6" w:rsidR="00BA7CC2" w:rsidRPr="001F5DFD" w:rsidRDefault="00932D82">
            <w:pPr>
              <w:pStyle w:val="TableText"/>
              <w:jc w:val="center"/>
              <w:rPr>
                <w:i/>
              </w:rPr>
            </w:pPr>
            <w:r w:rsidRPr="00B541B0">
              <w:rPr>
                <w:b/>
                <w:bCs/>
              </w:rPr>
              <w:t>R</w:t>
            </w:r>
            <w:r w:rsidRPr="00BF49C0">
              <w:rPr>
                <w:b/>
                <w:bCs/>
              </w:rPr>
              <w:t>edacted</w:t>
            </w:r>
            <w:r>
              <w:rPr>
                <w:b/>
                <w:bCs/>
                <w:vertAlign w:val="superscript"/>
              </w:rPr>
              <w:t>6</w:t>
            </w:r>
          </w:p>
        </w:tc>
        <w:tc>
          <w:tcPr>
            <w:tcW w:w="622" w:type="pct"/>
            <w:vAlign w:val="center"/>
          </w:tcPr>
          <w:p w14:paraId="5302D660" w14:textId="7E711541" w:rsidR="00BA7CC2" w:rsidRPr="001F5DFD" w:rsidRDefault="00932D82">
            <w:pPr>
              <w:pStyle w:val="TableText"/>
              <w:jc w:val="center"/>
              <w:rPr>
                <w:i/>
              </w:rPr>
            </w:pPr>
            <w:r w:rsidRPr="00B541B0">
              <w:rPr>
                <w:b/>
                <w:bCs/>
              </w:rPr>
              <w:t>R</w:t>
            </w:r>
            <w:r w:rsidRPr="00BF49C0">
              <w:rPr>
                <w:b/>
                <w:bCs/>
              </w:rPr>
              <w:t>edacted</w:t>
            </w:r>
            <w:r>
              <w:rPr>
                <w:b/>
                <w:bCs/>
                <w:vertAlign w:val="superscript"/>
              </w:rPr>
              <w:t>6</w:t>
            </w:r>
          </w:p>
        </w:tc>
        <w:tc>
          <w:tcPr>
            <w:tcW w:w="623" w:type="pct"/>
            <w:vAlign w:val="center"/>
          </w:tcPr>
          <w:p w14:paraId="2EE70B46" w14:textId="3EE73F32" w:rsidR="00BA7CC2" w:rsidRPr="001F5DFD" w:rsidRDefault="00932D82">
            <w:pPr>
              <w:pStyle w:val="TableText"/>
              <w:jc w:val="center"/>
              <w:rPr>
                <w:i/>
              </w:rPr>
            </w:pPr>
            <w:r w:rsidRPr="00B541B0">
              <w:rPr>
                <w:b/>
                <w:bCs/>
              </w:rPr>
              <w:t>R</w:t>
            </w:r>
            <w:r w:rsidRPr="00BF49C0">
              <w:rPr>
                <w:b/>
                <w:bCs/>
              </w:rPr>
              <w:t>edacted</w:t>
            </w:r>
            <w:r>
              <w:rPr>
                <w:b/>
                <w:bCs/>
                <w:vertAlign w:val="superscript"/>
              </w:rPr>
              <w:t>6</w:t>
            </w:r>
          </w:p>
        </w:tc>
        <w:tc>
          <w:tcPr>
            <w:tcW w:w="622" w:type="pct"/>
            <w:vAlign w:val="center"/>
          </w:tcPr>
          <w:p w14:paraId="70A85392" w14:textId="142A0BD3" w:rsidR="00BA7CC2" w:rsidRPr="001F5DFD" w:rsidRDefault="00932D82">
            <w:pPr>
              <w:pStyle w:val="TableText"/>
              <w:jc w:val="center"/>
              <w:rPr>
                <w:i/>
              </w:rPr>
            </w:pPr>
            <w:r w:rsidRPr="00B541B0">
              <w:rPr>
                <w:b/>
                <w:bCs/>
              </w:rPr>
              <w:t>R</w:t>
            </w:r>
            <w:r w:rsidRPr="00BF49C0">
              <w:rPr>
                <w:b/>
                <w:bCs/>
              </w:rPr>
              <w:t>edacted</w:t>
            </w:r>
            <w:r>
              <w:rPr>
                <w:b/>
                <w:bCs/>
                <w:vertAlign w:val="superscript"/>
              </w:rPr>
              <w:t>6</w:t>
            </w:r>
          </w:p>
        </w:tc>
        <w:tc>
          <w:tcPr>
            <w:tcW w:w="622" w:type="pct"/>
            <w:vAlign w:val="center"/>
          </w:tcPr>
          <w:p w14:paraId="049AEB66" w14:textId="2242931F" w:rsidR="00BA7CC2" w:rsidRPr="009E3815" w:rsidRDefault="00932D82">
            <w:pPr>
              <w:pStyle w:val="TableText"/>
              <w:jc w:val="center"/>
              <w:rPr>
                <w:i/>
                <w:strike/>
              </w:rPr>
            </w:pPr>
            <w:r w:rsidRPr="00B541B0">
              <w:rPr>
                <w:b/>
                <w:bCs/>
              </w:rPr>
              <w:t>R</w:t>
            </w:r>
            <w:r w:rsidRPr="00BF49C0">
              <w:rPr>
                <w:b/>
                <w:bCs/>
              </w:rPr>
              <w:t>edacted</w:t>
            </w:r>
            <w:r>
              <w:rPr>
                <w:b/>
                <w:bCs/>
                <w:vertAlign w:val="superscript"/>
              </w:rPr>
              <w:t>6</w:t>
            </w:r>
          </w:p>
        </w:tc>
        <w:tc>
          <w:tcPr>
            <w:tcW w:w="623" w:type="pct"/>
            <w:vAlign w:val="center"/>
          </w:tcPr>
          <w:p w14:paraId="46455623" w14:textId="3D7DA565" w:rsidR="00BA7CC2" w:rsidRPr="009E3815" w:rsidRDefault="00932D82">
            <w:pPr>
              <w:pStyle w:val="TableText"/>
              <w:jc w:val="center"/>
              <w:rPr>
                <w:i/>
                <w:strike/>
              </w:rPr>
            </w:pPr>
            <w:r w:rsidRPr="00B541B0">
              <w:rPr>
                <w:b/>
                <w:bCs/>
              </w:rPr>
              <w:t>R</w:t>
            </w:r>
            <w:r w:rsidRPr="00BF49C0">
              <w:rPr>
                <w:b/>
                <w:bCs/>
              </w:rPr>
              <w:t>edacted</w:t>
            </w:r>
            <w:r>
              <w:rPr>
                <w:b/>
                <w:bCs/>
                <w:vertAlign w:val="superscript"/>
              </w:rPr>
              <w:t>6</w:t>
            </w:r>
          </w:p>
        </w:tc>
      </w:tr>
      <w:tr w:rsidR="00734F0E" w:rsidRPr="00734F0E" w14:paraId="71BC5448" w14:textId="77777777">
        <w:tc>
          <w:tcPr>
            <w:tcW w:w="1266" w:type="pct"/>
            <w:vAlign w:val="center"/>
          </w:tcPr>
          <w:p w14:paraId="25870A87" w14:textId="77777777" w:rsidR="00BA7CC2" w:rsidRPr="00881BA8" w:rsidRDefault="00BA7CC2">
            <w:pPr>
              <w:pStyle w:val="TableText"/>
            </w:pPr>
            <w:r w:rsidRPr="00881BA8">
              <w:t>Net cost to PBS/RPBS/MBS</w:t>
            </w:r>
          </w:p>
        </w:tc>
        <w:tc>
          <w:tcPr>
            <w:tcW w:w="622" w:type="pct"/>
            <w:vAlign w:val="center"/>
          </w:tcPr>
          <w:p w14:paraId="48ABB6BB" w14:textId="06E40C2D"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7E8E0E07" w14:textId="0E3C65B5"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2ABD2A8A" w14:textId="00C49E25"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3615BDAF" w14:textId="4A2A6722"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7B1ABC56" w14:textId="7AF0D88F"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4BB8204F" w14:textId="0DFF2002" w:rsidR="00BA7CC2" w:rsidRPr="009E3815" w:rsidRDefault="00932D82">
            <w:pPr>
              <w:pStyle w:val="TableText"/>
              <w:jc w:val="center"/>
              <w:rPr>
                <w:i/>
                <w:strike/>
              </w:rPr>
            </w:pPr>
            <w:r w:rsidRPr="00B541B0">
              <w:rPr>
                <w:b/>
                <w:bCs/>
              </w:rPr>
              <w:t>R</w:t>
            </w:r>
            <w:r w:rsidRPr="00BF49C0">
              <w:rPr>
                <w:b/>
                <w:bCs/>
              </w:rPr>
              <w:t>edacted</w:t>
            </w:r>
            <w:r>
              <w:rPr>
                <w:b/>
                <w:bCs/>
                <w:vertAlign w:val="superscript"/>
              </w:rPr>
              <w:t>7</w:t>
            </w:r>
          </w:p>
        </w:tc>
      </w:tr>
      <w:tr w:rsidR="00734F0E" w:rsidRPr="00734F0E" w14:paraId="7CDC59C1" w14:textId="77777777" w:rsidTr="77D89277">
        <w:tc>
          <w:tcPr>
            <w:tcW w:w="5000" w:type="pct"/>
            <w:gridSpan w:val="7"/>
            <w:vAlign w:val="center"/>
          </w:tcPr>
          <w:p w14:paraId="60FA4956" w14:textId="4EDE0EB2" w:rsidR="00BA7CC2" w:rsidRPr="00881BA8" w:rsidRDefault="00BA7CC2">
            <w:pPr>
              <w:pStyle w:val="TableText"/>
              <w:rPr>
                <w:b/>
              </w:rPr>
            </w:pPr>
            <w:r w:rsidRPr="00881BA8">
              <w:rPr>
                <w:b/>
              </w:rPr>
              <w:t>Assuming</w:t>
            </w:r>
            <w:r w:rsidR="00732FB4">
              <w:rPr>
                <w:b/>
              </w:rPr>
              <w:t>33</w:t>
            </w:r>
            <w:r>
              <w:rPr>
                <w:b/>
              </w:rPr>
              <w:t>.38</w:t>
            </w:r>
            <w:r w:rsidRPr="00881BA8">
              <w:rPr>
                <w:b/>
              </w:rPr>
              <w:t xml:space="preserve">% of patients are CLDN18.2+ (base case </w:t>
            </w:r>
            <w:r>
              <w:rPr>
                <w:b/>
              </w:rPr>
              <w:t>38.38</w:t>
            </w:r>
            <w:r w:rsidRPr="00881BA8">
              <w:rPr>
                <w:b/>
              </w:rPr>
              <w:t>%)</w:t>
            </w:r>
          </w:p>
        </w:tc>
      </w:tr>
      <w:tr w:rsidR="00734F0E" w:rsidRPr="00734F0E" w14:paraId="5974340E" w14:textId="77777777">
        <w:tc>
          <w:tcPr>
            <w:tcW w:w="1266" w:type="pct"/>
            <w:vAlign w:val="center"/>
          </w:tcPr>
          <w:p w14:paraId="2C6C486F" w14:textId="77777777" w:rsidR="00BA7CC2" w:rsidRPr="00881BA8" w:rsidRDefault="00BA7CC2">
            <w:pPr>
              <w:pStyle w:val="TableText"/>
            </w:pPr>
            <w:r w:rsidRPr="00881BA8">
              <w:t>Net cost to PBS/RPBS</w:t>
            </w:r>
          </w:p>
        </w:tc>
        <w:tc>
          <w:tcPr>
            <w:tcW w:w="622" w:type="pct"/>
            <w:vAlign w:val="center"/>
          </w:tcPr>
          <w:p w14:paraId="5123A5F6" w14:textId="5FA6DB52" w:rsidR="00BA7CC2" w:rsidRPr="009E3815"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5FA2ADD3" w14:textId="5DB955B1" w:rsidR="00BA7CC2" w:rsidRPr="009E3815"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7EF36139" w14:textId="29712AE2" w:rsidR="00BA7CC2" w:rsidRPr="009E3815"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59E5C549" w14:textId="566EA160" w:rsidR="00BA7CC2" w:rsidRPr="009E3815"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5ECE6BD7" w14:textId="2B4649C5" w:rsidR="00BA7CC2" w:rsidRPr="009E3815"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300C0DA5" w14:textId="167BD4CE"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r>
      <w:tr w:rsidR="00734F0E" w:rsidRPr="00734F0E" w14:paraId="600143A9" w14:textId="77777777">
        <w:tc>
          <w:tcPr>
            <w:tcW w:w="1266" w:type="pct"/>
            <w:vAlign w:val="center"/>
          </w:tcPr>
          <w:p w14:paraId="59FDD101" w14:textId="77777777" w:rsidR="00BA7CC2" w:rsidRPr="00881BA8" w:rsidRDefault="00BA7CC2">
            <w:pPr>
              <w:pStyle w:val="TableText"/>
            </w:pPr>
            <w:r w:rsidRPr="00881BA8">
              <w:t>Net cost to MBS</w:t>
            </w:r>
          </w:p>
        </w:tc>
        <w:tc>
          <w:tcPr>
            <w:tcW w:w="622" w:type="pct"/>
            <w:vAlign w:val="center"/>
          </w:tcPr>
          <w:p w14:paraId="7947FDFC" w14:textId="309589E4"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59E79898" w14:textId="36388FA0"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24D5D65D" w14:textId="71AC5CBF"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3A8D6AC7" w14:textId="4B5BAEC2"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5E462896" w14:textId="5DB39BC5"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448FE998" w14:textId="17057B50"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r>
      <w:tr w:rsidR="00734F0E" w:rsidRPr="00734F0E" w14:paraId="028EC255" w14:textId="77777777">
        <w:tc>
          <w:tcPr>
            <w:tcW w:w="1266" w:type="pct"/>
            <w:vAlign w:val="center"/>
          </w:tcPr>
          <w:p w14:paraId="2B8D8343" w14:textId="77777777" w:rsidR="00BA7CC2" w:rsidRPr="00881BA8" w:rsidRDefault="00BA7CC2">
            <w:pPr>
              <w:pStyle w:val="TableText"/>
            </w:pPr>
            <w:r w:rsidRPr="00881BA8">
              <w:t>Net cost to PBS/RPBS/MBS</w:t>
            </w:r>
          </w:p>
        </w:tc>
        <w:tc>
          <w:tcPr>
            <w:tcW w:w="622" w:type="pct"/>
            <w:vAlign w:val="center"/>
          </w:tcPr>
          <w:p w14:paraId="6EF16526" w14:textId="04F3992A"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3DC24B68" w14:textId="2745CA97"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61D39E22" w14:textId="47C1E7A3" w:rsidR="00BA7CC2" w:rsidRPr="00732FB4" w:rsidRDefault="001F5DFD">
            <w:pPr>
              <w:pStyle w:val="TableText"/>
              <w:jc w:val="center"/>
              <w:rPr>
                <w:i/>
                <w:strike/>
                <w:vertAlign w:val="superscript"/>
              </w:rPr>
            </w:pPr>
            <w:r w:rsidRPr="00B541B0">
              <w:rPr>
                <w:b/>
                <w:bCs/>
              </w:rPr>
              <w:t>R</w:t>
            </w:r>
            <w:r w:rsidRPr="00BF49C0">
              <w:rPr>
                <w:b/>
                <w:bCs/>
              </w:rPr>
              <w:t>edacted</w:t>
            </w:r>
            <w:r>
              <w:rPr>
                <w:b/>
                <w:bCs/>
                <w:vertAlign w:val="superscript"/>
              </w:rPr>
              <w:t>7</w:t>
            </w:r>
          </w:p>
        </w:tc>
        <w:tc>
          <w:tcPr>
            <w:tcW w:w="622" w:type="pct"/>
            <w:vAlign w:val="center"/>
          </w:tcPr>
          <w:p w14:paraId="0E6677E3" w14:textId="57631AF7"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2" w:type="pct"/>
            <w:vAlign w:val="center"/>
          </w:tcPr>
          <w:p w14:paraId="0C120AC5" w14:textId="10E9DBE3"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c>
          <w:tcPr>
            <w:tcW w:w="623" w:type="pct"/>
            <w:vAlign w:val="center"/>
          </w:tcPr>
          <w:p w14:paraId="2B33F019" w14:textId="3C9CA8DD" w:rsidR="00BA7CC2" w:rsidRPr="00732FB4" w:rsidRDefault="001F5DFD">
            <w:pPr>
              <w:pStyle w:val="TableText"/>
              <w:jc w:val="center"/>
              <w:rPr>
                <w:i/>
                <w:strike/>
              </w:rPr>
            </w:pPr>
            <w:r w:rsidRPr="00B541B0">
              <w:rPr>
                <w:b/>
                <w:bCs/>
              </w:rPr>
              <w:t>R</w:t>
            </w:r>
            <w:r w:rsidRPr="00BF49C0">
              <w:rPr>
                <w:b/>
                <w:bCs/>
              </w:rPr>
              <w:t>edacted</w:t>
            </w:r>
            <w:r>
              <w:rPr>
                <w:b/>
                <w:bCs/>
                <w:vertAlign w:val="superscript"/>
              </w:rPr>
              <w:t>7</w:t>
            </w:r>
          </w:p>
        </w:tc>
      </w:tr>
      <w:tr w:rsidR="00734F0E" w:rsidRPr="00734F0E" w14:paraId="5E2623CB" w14:textId="77777777" w:rsidTr="77D89277">
        <w:tc>
          <w:tcPr>
            <w:tcW w:w="5000" w:type="pct"/>
            <w:gridSpan w:val="7"/>
            <w:vAlign w:val="center"/>
          </w:tcPr>
          <w:p w14:paraId="39C1E2CA" w14:textId="77777777" w:rsidR="00BA7CC2" w:rsidRPr="00881BA8" w:rsidRDefault="00BA7CC2">
            <w:pPr>
              <w:pStyle w:val="TableText"/>
              <w:rPr>
                <w:b/>
              </w:rPr>
            </w:pPr>
            <w:r w:rsidRPr="00881BA8">
              <w:rPr>
                <w:b/>
              </w:rPr>
              <w:t>Assuming 5% of patients tested undergo re-biopsy and re-testing (base case: no re-testing or re-biopsy)</w:t>
            </w:r>
          </w:p>
        </w:tc>
      </w:tr>
      <w:tr w:rsidR="00734F0E" w:rsidRPr="00734F0E" w14:paraId="1396A4B5" w14:textId="77777777">
        <w:tc>
          <w:tcPr>
            <w:tcW w:w="1266" w:type="pct"/>
            <w:vAlign w:val="center"/>
          </w:tcPr>
          <w:p w14:paraId="78380D5E" w14:textId="77777777" w:rsidR="00BA7CC2" w:rsidRPr="00881BA8" w:rsidRDefault="00BA7CC2">
            <w:pPr>
              <w:pStyle w:val="TableText"/>
              <w:rPr>
                <w:i/>
              </w:rPr>
            </w:pPr>
            <w:r w:rsidRPr="00881BA8">
              <w:rPr>
                <w:i/>
              </w:rPr>
              <w:t>Net cost to PBS/RPBS</w:t>
            </w:r>
          </w:p>
        </w:tc>
        <w:tc>
          <w:tcPr>
            <w:tcW w:w="622" w:type="pct"/>
            <w:vAlign w:val="center"/>
          </w:tcPr>
          <w:p w14:paraId="1965BB33" w14:textId="1D64393E"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ECB444E" w14:textId="4FD70969"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070847B2" w14:textId="5CF9B286"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3B325BE" w14:textId="047C82F8"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ABBDF0F" w14:textId="52799155"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44693803" w14:textId="7031FBC6" w:rsidR="00BA7CC2" w:rsidRPr="00C45E1F" w:rsidRDefault="001F5DFD">
            <w:pPr>
              <w:pStyle w:val="TableText"/>
              <w:jc w:val="center"/>
              <w:rPr>
                <w:i/>
                <w:strike/>
              </w:rPr>
            </w:pPr>
            <w:r w:rsidRPr="00305B51">
              <w:rPr>
                <w:b/>
                <w:bCs/>
                <w:i/>
                <w:iCs/>
              </w:rPr>
              <w:t>Redacted</w:t>
            </w:r>
            <w:r w:rsidRPr="00305B51">
              <w:rPr>
                <w:b/>
                <w:bCs/>
                <w:i/>
                <w:iCs/>
                <w:vertAlign w:val="superscript"/>
              </w:rPr>
              <w:t>7</w:t>
            </w:r>
          </w:p>
        </w:tc>
      </w:tr>
      <w:tr w:rsidR="00734F0E" w:rsidRPr="00734F0E" w14:paraId="3A989CB6" w14:textId="77777777">
        <w:tc>
          <w:tcPr>
            <w:tcW w:w="1266" w:type="pct"/>
            <w:vAlign w:val="center"/>
          </w:tcPr>
          <w:p w14:paraId="15397086" w14:textId="77777777" w:rsidR="00BA7CC2" w:rsidRPr="00881BA8" w:rsidRDefault="00BA7CC2">
            <w:pPr>
              <w:pStyle w:val="TableText"/>
              <w:rPr>
                <w:i/>
              </w:rPr>
            </w:pPr>
            <w:r w:rsidRPr="00881BA8">
              <w:rPr>
                <w:i/>
              </w:rPr>
              <w:t>Net cost to MBS</w:t>
            </w:r>
          </w:p>
        </w:tc>
        <w:tc>
          <w:tcPr>
            <w:tcW w:w="622" w:type="pct"/>
            <w:vAlign w:val="center"/>
          </w:tcPr>
          <w:p w14:paraId="579E8411" w14:textId="0D12ADDE"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773D73A3" w14:textId="6DF4AA6C"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0B8A30E6" w14:textId="16DA0106"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4F82A49F" w14:textId="1ADECCBA"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61F24306" w14:textId="48EE881C"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26022029" w14:textId="4B4A84B2" w:rsidR="00BA7CC2" w:rsidRPr="00C45E1F" w:rsidRDefault="001F5DFD">
            <w:pPr>
              <w:pStyle w:val="TableText"/>
              <w:jc w:val="center"/>
              <w:rPr>
                <w:i/>
                <w:strike/>
              </w:rPr>
            </w:pPr>
            <w:r w:rsidRPr="00305B51">
              <w:rPr>
                <w:b/>
                <w:bCs/>
                <w:i/>
                <w:iCs/>
              </w:rPr>
              <w:t>Redacted</w:t>
            </w:r>
            <w:r w:rsidRPr="00305B51">
              <w:rPr>
                <w:b/>
                <w:bCs/>
                <w:i/>
                <w:iCs/>
                <w:vertAlign w:val="superscript"/>
              </w:rPr>
              <w:t>7</w:t>
            </w:r>
          </w:p>
        </w:tc>
      </w:tr>
      <w:tr w:rsidR="00734F0E" w:rsidRPr="00734F0E" w14:paraId="2BF8A32E" w14:textId="77777777">
        <w:tc>
          <w:tcPr>
            <w:tcW w:w="1266" w:type="pct"/>
            <w:vAlign w:val="center"/>
          </w:tcPr>
          <w:p w14:paraId="0BC0C777" w14:textId="77777777" w:rsidR="00BA7CC2" w:rsidRPr="00881BA8" w:rsidRDefault="00BA7CC2">
            <w:pPr>
              <w:pStyle w:val="TableText"/>
              <w:ind w:left="253"/>
              <w:rPr>
                <w:i/>
              </w:rPr>
            </w:pPr>
            <w:r w:rsidRPr="00881BA8">
              <w:rPr>
                <w:i/>
              </w:rPr>
              <w:t>Cost of re-testing and re-biopsy</w:t>
            </w:r>
          </w:p>
        </w:tc>
        <w:tc>
          <w:tcPr>
            <w:tcW w:w="622" w:type="pct"/>
            <w:vAlign w:val="center"/>
          </w:tcPr>
          <w:p w14:paraId="7DB0CF6F" w14:textId="746F42DC"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0312BFCD" w14:textId="1BF41894"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0154D34C" w14:textId="3486B132"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2E3ACA74" w14:textId="33E3698E"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20758553" w14:textId="7D22FBCE"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578888E5" w14:textId="55DE6761" w:rsidR="00BA7CC2" w:rsidRPr="00C45E1F" w:rsidRDefault="001F5DFD">
            <w:pPr>
              <w:pStyle w:val="TableText"/>
              <w:jc w:val="center"/>
              <w:rPr>
                <w:i/>
                <w:strike/>
              </w:rPr>
            </w:pPr>
            <w:r w:rsidRPr="00305B51">
              <w:rPr>
                <w:b/>
                <w:bCs/>
                <w:i/>
                <w:iCs/>
              </w:rPr>
              <w:t>Redacted</w:t>
            </w:r>
            <w:r w:rsidRPr="00305B51">
              <w:rPr>
                <w:b/>
                <w:bCs/>
                <w:i/>
                <w:iCs/>
                <w:vertAlign w:val="superscript"/>
              </w:rPr>
              <w:t>7</w:t>
            </w:r>
          </w:p>
        </w:tc>
      </w:tr>
      <w:tr w:rsidR="00734F0E" w:rsidRPr="00734F0E" w14:paraId="17578755" w14:textId="77777777">
        <w:tc>
          <w:tcPr>
            <w:tcW w:w="1266" w:type="pct"/>
            <w:vAlign w:val="center"/>
          </w:tcPr>
          <w:p w14:paraId="7C98DFBE" w14:textId="77777777" w:rsidR="00BA7CC2" w:rsidRPr="00881BA8" w:rsidRDefault="00BA7CC2">
            <w:pPr>
              <w:pStyle w:val="TableText"/>
              <w:rPr>
                <w:i/>
              </w:rPr>
            </w:pPr>
            <w:r w:rsidRPr="00881BA8">
              <w:rPr>
                <w:i/>
              </w:rPr>
              <w:t>Net cost to PBS/RPBS/MBS</w:t>
            </w:r>
          </w:p>
        </w:tc>
        <w:tc>
          <w:tcPr>
            <w:tcW w:w="622" w:type="pct"/>
            <w:vAlign w:val="center"/>
          </w:tcPr>
          <w:p w14:paraId="0FCC7988" w14:textId="220777E4"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325F1379" w14:textId="789BBF86"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047AE439" w14:textId="0DEA1143"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79921B52" w14:textId="405A9CDC"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2" w:type="pct"/>
            <w:vAlign w:val="center"/>
          </w:tcPr>
          <w:p w14:paraId="752F16F7" w14:textId="1902C98E" w:rsidR="00BA7CC2" w:rsidRPr="00C45E1F" w:rsidRDefault="001F5DFD">
            <w:pPr>
              <w:pStyle w:val="TableText"/>
              <w:jc w:val="center"/>
              <w:rPr>
                <w:i/>
                <w:strike/>
              </w:rPr>
            </w:pPr>
            <w:r w:rsidRPr="00305B51">
              <w:rPr>
                <w:b/>
                <w:bCs/>
                <w:i/>
                <w:iCs/>
              </w:rPr>
              <w:t>Redacted</w:t>
            </w:r>
            <w:r w:rsidRPr="00305B51">
              <w:rPr>
                <w:b/>
                <w:bCs/>
                <w:i/>
                <w:iCs/>
                <w:vertAlign w:val="superscript"/>
              </w:rPr>
              <w:t>7</w:t>
            </w:r>
          </w:p>
        </w:tc>
        <w:tc>
          <w:tcPr>
            <w:tcW w:w="623" w:type="pct"/>
            <w:vAlign w:val="center"/>
          </w:tcPr>
          <w:p w14:paraId="2A90FD70" w14:textId="2E6007E5" w:rsidR="00BA7CC2" w:rsidRPr="00C45E1F" w:rsidRDefault="001F5DFD">
            <w:pPr>
              <w:pStyle w:val="TableText"/>
              <w:jc w:val="center"/>
              <w:rPr>
                <w:i/>
                <w:strike/>
              </w:rPr>
            </w:pPr>
            <w:r w:rsidRPr="00305B51">
              <w:rPr>
                <w:b/>
                <w:bCs/>
                <w:i/>
                <w:iCs/>
              </w:rPr>
              <w:t>Redacted</w:t>
            </w:r>
            <w:r w:rsidRPr="00305B51">
              <w:rPr>
                <w:b/>
                <w:bCs/>
                <w:i/>
                <w:iCs/>
                <w:vertAlign w:val="superscript"/>
              </w:rPr>
              <w:t>7</w:t>
            </w:r>
          </w:p>
        </w:tc>
      </w:tr>
    </w:tbl>
    <w:p w14:paraId="13EF92F6" w14:textId="01255397" w:rsidR="00BA7CC2" w:rsidRPr="00881BA8" w:rsidRDefault="0320E047" w:rsidP="77D89277">
      <w:pPr>
        <w:pStyle w:val="FooterTableFigure"/>
        <w:spacing w:after="0"/>
        <w:rPr>
          <w:i/>
          <w:iCs/>
        </w:rPr>
      </w:pPr>
      <w:r w:rsidRPr="00881BA8">
        <w:rPr>
          <w:i/>
          <w:iCs/>
        </w:rPr>
        <w:t xml:space="preserve">Source: Attachment 11 – VYLOY CoDep Submission S4 </w:t>
      </w:r>
      <w:proofErr w:type="spellStart"/>
      <w:r w:rsidRPr="00881BA8">
        <w:rPr>
          <w:i/>
          <w:iCs/>
        </w:rPr>
        <w:t>model_Final</w:t>
      </w:r>
      <w:proofErr w:type="spellEnd"/>
      <w:r w:rsidRPr="00881BA8">
        <w:rPr>
          <w:i/>
          <w:iCs/>
        </w:rPr>
        <w:t>’ workbook to the submission.</w:t>
      </w:r>
    </w:p>
    <w:p w14:paraId="68E59AFE" w14:textId="77777777" w:rsidR="00BA7CC2" w:rsidRPr="00881BA8" w:rsidRDefault="00BA7CC2" w:rsidP="00BA7CC2">
      <w:pPr>
        <w:pStyle w:val="TableFigureFooter"/>
        <w:rPr>
          <w:rFonts w:ascii="Calibri" w:eastAsia="Calibri" w:hAnsi="Calibri" w:cs="Calibri"/>
        </w:rPr>
      </w:pPr>
      <w:r w:rsidRPr="00881BA8">
        <w:t>AEMP = Approved Ex-Manufacturer Price; CLDN18.2 = Claudin 18.2; MBS = Medicare Benefits Schedule; PBS = Pharmaceutical Benefits Scheme; RPBS = Repatriation Pharmaceutical Benefits Scheme.</w:t>
      </w:r>
    </w:p>
    <w:p w14:paraId="4B77E1E2" w14:textId="783AFBF6" w:rsidR="00BA7CC2" w:rsidRPr="00881BA8" w:rsidRDefault="0320E047" w:rsidP="77D89277">
      <w:pPr>
        <w:pStyle w:val="FooterTableFigure"/>
        <w:rPr>
          <w:i/>
          <w:iCs/>
        </w:rPr>
      </w:pPr>
      <w:proofErr w:type="spellStart"/>
      <w:r w:rsidRPr="00881BA8">
        <w:rPr>
          <w:i/>
          <w:iCs/>
          <w:vertAlign w:val="superscript"/>
        </w:rPr>
        <w:t>a</w:t>
      </w:r>
      <w:proofErr w:type="spellEnd"/>
      <w:r w:rsidRPr="00881BA8">
        <w:rPr>
          <w:i/>
          <w:iCs/>
        </w:rPr>
        <w:t xml:space="preserve"> </w:t>
      </w:r>
      <w:proofErr w:type="gramStart"/>
      <w:r w:rsidRPr="00881BA8">
        <w:rPr>
          <w:i/>
          <w:iCs/>
        </w:rPr>
        <w:t>The</w:t>
      </w:r>
      <w:proofErr w:type="gramEnd"/>
      <w:r w:rsidRPr="00881BA8">
        <w:rPr>
          <w:i/>
          <w:iCs/>
        </w:rPr>
        <w:t xml:space="preserve"> cost-minimised AEMP of zolbetuximab changed from $</w:t>
      </w:r>
      <w:r w:rsidRPr="005119EA">
        <w:rPr>
          <w:i/>
        </w:rPr>
        <w:t>774.03 to $774.20</w:t>
      </w:r>
      <w:r w:rsidRPr="00881BA8">
        <w:rPr>
          <w:i/>
          <w:iCs/>
        </w:rPr>
        <w:t xml:space="preserve"> when using the upper bound of prevalence rate (</w:t>
      </w:r>
      <w:r w:rsidRPr="005119EA">
        <w:rPr>
          <w:i/>
        </w:rPr>
        <w:t>43.38%</w:t>
      </w:r>
      <w:r w:rsidRPr="00881BA8">
        <w:rPr>
          <w:i/>
          <w:iCs/>
        </w:rPr>
        <w:t>)</w:t>
      </w:r>
    </w:p>
    <w:p w14:paraId="51216C40" w14:textId="671C42FC" w:rsidR="00BA7CC2" w:rsidRPr="00881BA8" w:rsidRDefault="0320E047" w:rsidP="77D89277">
      <w:pPr>
        <w:pStyle w:val="FooterTableFigure"/>
        <w:rPr>
          <w:i/>
          <w:iCs/>
        </w:rPr>
      </w:pPr>
      <w:r w:rsidRPr="00881BA8">
        <w:rPr>
          <w:i/>
          <w:iCs/>
          <w:vertAlign w:val="superscript"/>
        </w:rPr>
        <w:t xml:space="preserve">b </w:t>
      </w:r>
      <w:proofErr w:type="gramStart"/>
      <w:r w:rsidRPr="00881BA8">
        <w:rPr>
          <w:i/>
          <w:iCs/>
        </w:rPr>
        <w:t>The</w:t>
      </w:r>
      <w:proofErr w:type="gramEnd"/>
      <w:r w:rsidRPr="00881BA8">
        <w:rPr>
          <w:i/>
          <w:iCs/>
        </w:rPr>
        <w:t xml:space="preserve"> cost-minimised AEMP of zolbetuximab changed from $</w:t>
      </w:r>
      <w:r w:rsidRPr="005119EA">
        <w:rPr>
          <w:i/>
        </w:rPr>
        <w:t>774.03 to $773.81</w:t>
      </w:r>
      <w:r w:rsidRPr="00881BA8">
        <w:rPr>
          <w:i/>
          <w:iCs/>
        </w:rPr>
        <w:t xml:space="preserve"> when using the lower bound of prevalence rate (</w:t>
      </w:r>
      <w:r w:rsidRPr="005119EA">
        <w:rPr>
          <w:i/>
        </w:rPr>
        <w:t>33.38%)</w:t>
      </w:r>
    </w:p>
    <w:p w14:paraId="0A42A23A" w14:textId="7D5F16C4" w:rsidR="00BA7CC2" w:rsidRPr="00881BA8" w:rsidRDefault="0320E047" w:rsidP="77D89277">
      <w:pPr>
        <w:pStyle w:val="FooterTableFigure"/>
        <w:rPr>
          <w:i/>
          <w:iCs/>
        </w:rPr>
      </w:pPr>
      <w:r w:rsidRPr="00881BA8">
        <w:rPr>
          <w:i/>
          <w:iCs/>
          <w:vertAlign w:val="superscript"/>
        </w:rPr>
        <w:t xml:space="preserve">c </w:t>
      </w:r>
      <w:proofErr w:type="gramStart"/>
      <w:r w:rsidRPr="00881BA8">
        <w:rPr>
          <w:i/>
          <w:iCs/>
        </w:rPr>
        <w:t>The</w:t>
      </w:r>
      <w:proofErr w:type="gramEnd"/>
      <w:r w:rsidRPr="00881BA8">
        <w:rPr>
          <w:i/>
          <w:iCs/>
        </w:rPr>
        <w:t xml:space="preserve"> cost of re-biopsy was based on MBS item 30694 (</w:t>
      </w:r>
      <w:r w:rsidRPr="005119EA">
        <w:rPr>
          <w:i/>
        </w:rPr>
        <w:t>100% fee: $641.80</w:t>
      </w:r>
      <w:r w:rsidRPr="00881BA8">
        <w:rPr>
          <w:i/>
          <w:iCs/>
        </w:rPr>
        <w:t>)</w:t>
      </w:r>
    </w:p>
    <w:p w14:paraId="14A2E1BE" w14:textId="32E2103F" w:rsidR="00452F48" w:rsidRDefault="0320E047" w:rsidP="00F428A9">
      <w:pPr>
        <w:pStyle w:val="FooterTableFigure"/>
        <w:rPr>
          <w:i/>
          <w:iCs/>
        </w:rPr>
      </w:pPr>
      <w:r w:rsidRPr="00881BA8">
        <w:rPr>
          <w:i/>
          <w:iCs/>
        </w:rPr>
        <w:t xml:space="preserve">Italics </w:t>
      </w:r>
      <w:r w:rsidR="10CB45E3" w:rsidRPr="00881BA8">
        <w:rPr>
          <w:i/>
          <w:iCs/>
        </w:rPr>
        <w:t>indicate</w:t>
      </w:r>
      <w:r w:rsidRPr="00881BA8">
        <w:rPr>
          <w:i/>
          <w:iCs/>
        </w:rPr>
        <w:t xml:space="preserve"> </w:t>
      </w:r>
      <w:r w:rsidR="137BC87C" w:rsidRPr="00881BA8">
        <w:rPr>
          <w:i/>
          <w:iCs/>
        </w:rPr>
        <w:t>post-ESC</w:t>
      </w:r>
      <w:r w:rsidR="10CB45E3" w:rsidRPr="00881BA8">
        <w:rPr>
          <w:i/>
          <w:iCs/>
        </w:rPr>
        <w:t xml:space="preserve"> </w:t>
      </w:r>
      <w:r w:rsidR="2F15640D" w:rsidRPr="00881BA8">
        <w:rPr>
          <w:i/>
          <w:iCs/>
        </w:rPr>
        <w:t>analysis</w:t>
      </w:r>
      <w:r w:rsidR="137BC87C" w:rsidRPr="00881BA8">
        <w:rPr>
          <w:i/>
          <w:iCs/>
        </w:rPr>
        <w:t xml:space="preserve"> by </w:t>
      </w:r>
      <w:r w:rsidRPr="00881BA8">
        <w:rPr>
          <w:i/>
          <w:iCs/>
        </w:rPr>
        <w:t>evaluation</w:t>
      </w:r>
      <w:r w:rsidR="137BC87C" w:rsidRPr="00881BA8">
        <w:rPr>
          <w:i/>
          <w:iCs/>
        </w:rPr>
        <w:t xml:space="preserve"> group</w:t>
      </w:r>
      <w:r w:rsidRPr="00881BA8">
        <w:rPr>
          <w:i/>
          <w:iCs/>
        </w:rPr>
        <w:t xml:space="preserve">. </w:t>
      </w:r>
    </w:p>
    <w:p w14:paraId="7A61D9B4" w14:textId="77777777" w:rsidR="00DC3C74" w:rsidRPr="00B341E1" w:rsidRDefault="00DC3C74" w:rsidP="00DC3C74">
      <w:pPr>
        <w:pStyle w:val="FooterTableFigure"/>
        <w:keepNext/>
        <w:keepLines/>
        <w:rPr>
          <w:i/>
          <w:iCs/>
        </w:rPr>
      </w:pPr>
      <w:r w:rsidRPr="00B341E1">
        <w:rPr>
          <w:i/>
          <w:iCs/>
        </w:rPr>
        <w:t xml:space="preserve">The redacted values correspond to the following ranges: </w:t>
      </w:r>
    </w:p>
    <w:p w14:paraId="16E9B558" w14:textId="77777777" w:rsidR="00DC3C74" w:rsidRPr="00B341E1" w:rsidRDefault="00DC3C74" w:rsidP="00DC3C74">
      <w:pPr>
        <w:pStyle w:val="FooterTableFigure"/>
        <w:keepNext/>
        <w:keepLines/>
        <w:rPr>
          <w:i/>
          <w:iCs/>
        </w:rPr>
      </w:pPr>
      <w:r w:rsidRPr="00B341E1">
        <w:rPr>
          <w:i/>
          <w:iCs/>
          <w:vertAlign w:val="superscript"/>
        </w:rPr>
        <w:t>1</w:t>
      </w:r>
      <w:r w:rsidRPr="00B341E1">
        <w:rPr>
          <w:i/>
          <w:iCs/>
        </w:rPr>
        <w:t xml:space="preserve"> 500 to &lt; 5,000 </w:t>
      </w:r>
    </w:p>
    <w:p w14:paraId="1EDEBAA0" w14:textId="77777777" w:rsidR="00DC3C74" w:rsidRPr="00B341E1" w:rsidRDefault="00DC3C74" w:rsidP="00DC3C74">
      <w:pPr>
        <w:pStyle w:val="FooterTableFigure"/>
        <w:keepNext/>
        <w:keepLines/>
        <w:rPr>
          <w:i/>
          <w:iCs/>
        </w:rPr>
      </w:pPr>
      <w:r w:rsidRPr="00B341E1">
        <w:rPr>
          <w:i/>
          <w:iCs/>
          <w:vertAlign w:val="superscript"/>
        </w:rPr>
        <w:t>2</w:t>
      </w:r>
      <w:r w:rsidRPr="00B341E1">
        <w:rPr>
          <w:i/>
          <w:iCs/>
        </w:rPr>
        <w:t xml:space="preserve"> &lt;500 </w:t>
      </w:r>
    </w:p>
    <w:p w14:paraId="61AA54CE" w14:textId="77777777" w:rsidR="00DC3C74" w:rsidRPr="00B341E1" w:rsidRDefault="00DC3C74" w:rsidP="00DC3C74">
      <w:pPr>
        <w:pStyle w:val="FooterTableFigure"/>
        <w:keepNext/>
        <w:keepLines/>
        <w:rPr>
          <w:i/>
          <w:iCs/>
        </w:rPr>
      </w:pPr>
      <w:r w:rsidRPr="00B341E1">
        <w:rPr>
          <w:i/>
          <w:iCs/>
          <w:vertAlign w:val="superscript"/>
        </w:rPr>
        <w:t xml:space="preserve">3 </w:t>
      </w:r>
      <w:r w:rsidRPr="00B341E1">
        <w:rPr>
          <w:i/>
          <w:iCs/>
        </w:rPr>
        <w:t xml:space="preserve">5,000 to &lt; 10,000 </w:t>
      </w:r>
    </w:p>
    <w:p w14:paraId="5E844404" w14:textId="77777777" w:rsidR="00DC3C74" w:rsidRPr="00B341E1" w:rsidRDefault="00DC3C74" w:rsidP="00DC3C74">
      <w:pPr>
        <w:pStyle w:val="FooterTableFigure"/>
        <w:keepNext/>
        <w:keepLines/>
        <w:rPr>
          <w:i/>
          <w:iCs/>
        </w:rPr>
      </w:pPr>
      <w:r w:rsidRPr="005119EA">
        <w:rPr>
          <w:i/>
          <w:vertAlign w:val="superscript"/>
        </w:rPr>
        <w:t>4</w:t>
      </w:r>
      <w:r w:rsidRPr="00B341E1">
        <w:rPr>
          <w:i/>
          <w:iCs/>
        </w:rPr>
        <w:t xml:space="preserve"> $40 million to &lt; $50 million</w:t>
      </w:r>
    </w:p>
    <w:p w14:paraId="13323DD9" w14:textId="77777777" w:rsidR="00DC3C74" w:rsidRPr="00B341E1" w:rsidRDefault="00DC3C74" w:rsidP="00DC3C74">
      <w:pPr>
        <w:pStyle w:val="FooterTableFigure"/>
        <w:keepNext/>
        <w:keepLines/>
        <w:rPr>
          <w:i/>
          <w:iCs/>
        </w:rPr>
      </w:pPr>
      <w:r w:rsidRPr="00B341E1">
        <w:rPr>
          <w:i/>
          <w:iCs/>
          <w:vertAlign w:val="superscript"/>
        </w:rPr>
        <w:t xml:space="preserve">5 </w:t>
      </w:r>
      <w:r w:rsidRPr="00B341E1">
        <w:rPr>
          <w:i/>
          <w:iCs/>
        </w:rPr>
        <w:t xml:space="preserve">$50 million to &lt; $60 million </w:t>
      </w:r>
    </w:p>
    <w:p w14:paraId="097B72FF" w14:textId="77777777" w:rsidR="00DC3C74" w:rsidRPr="00B341E1" w:rsidRDefault="00DC3C74" w:rsidP="00DC3C74">
      <w:pPr>
        <w:pStyle w:val="FooterTableFigure"/>
        <w:keepNext/>
        <w:keepLines/>
        <w:rPr>
          <w:i/>
          <w:iCs/>
        </w:rPr>
      </w:pPr>
      <w:r w:rsidRPr="00B341E1">
        <w:rPr>
          <w:i/>
          <w:iCs/>
          <w:vertAlign w:val="superscript"/>
        </w:rPr>
        <w:t xml:space="preserve">6 </w:t>
      </w:r>
      <w:r w:rsidRPr="00B341E1">
        <w:rPr>
          <w:i/>
          <w:iCs/>
        </w:rPr>
        <w:t>net cost saving</w:t>
      </w:r>
    </w:p>
    <w:p w14:paraId="0DD32F76" w14:textId="0D49DBD9" w:rsidR="00782689" w:rsidRDefault="00DC3C74" w:rsidP="00DC3C74">
      <w:pPr>
        <w:pStyle w:val="FooterTableFigure"/>
        <w:rPr>
          <w:i/>
          <w:iCs/>
        </w:rPr>
      </w:pPr>
      <w:r w:rsidRPr="00B341E1">
        <w:rPr>
          <w:i/>
          <w:iCs/>
          <w:vertAlign w:val="superscript"/>
        </w:rPr>
        <w:t>7</w:t>
      </w:r>
      <w:r w:rsidR="00E85AEA">
        <w:rPr>
          <w:i/>
          <w:iCs/>
        </w:rPr>
        <w:t xml:space="preserve"> </w:t>
      </w:r>
      <w:r w:rsidRPr="00B341E1">
        <w:rPr>
          <w:i/>
          <w:iCs/>
        </w:rPr>
        <w:t>$0 to &lt; $10 million</w:t>
      </w:r>
    </w:p>
    <w:p w14:paraId="50172123" w14:textId="77777777" w:rsidR="00452F48" w:rsidRPr="003A793E" w:rsidRDefault="00452F48"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74" w:name="_Toc69491427"/>
      <w:r w:rsidRPr="003A793E">
        <w:rPr>
          <w:rFonts w:ascii="Franklin Gothic Medium" w:hAnsi="Franklin Gothic Medium"/>
          <w:b w:val="0"/>
          <w:i w:val="0"/>
          <w:snapToGrid/>
          <w:color w:val="000000" w:themeColor="text1"/>
          <w:sz w:val="32"/>
          <w:szCs w:val="26"/>
        </w:rPr>
        <w:t xml:space="preserve">Other relevant </w:t>
      </w:r>
      <w:bookmarkEnd w:id="74"/>
      <w:r w:rsidRPr="003A793E">
        <w:rPr>
          <w:rFonts w:ascii="Franklin Gothic Medium" w:hAnsi="Franklin Gothic Medium"/>
          <w:b w:val="0"/>
          <w:i w:val="0"/>
          <w:snapToGrid/>
          <w:color w:val="000000" w:themeColor="text1"/>
          <w:sz w:val="32"/>
          <w:szCs w:val="26"/>
        </w:rPr>
        <w:t>information</w:t>
      </w:r>
    </w:p>
    <w:p w14:paraId="6C067DDB" w14:textId="2595FDF5" w:rsidR="00452F48" w:rsidRPr="00452F48" w:rsidRDefault="00452F48" w:rsidP="00452F48">
      <w:pPr>
        <w:pStyle w:val="Tablenotes0"/>
        <w:spacing w:after="120"/>
        <w:contextualSpacing w:val="0"/>
        <w:rPr>
          <w:rFonts w:ascii="Franklin Gothic Book" w:hAnsi="Franklin Gothic Book"/>
          <w:sz w:val="22"/>
        </w:rPr>
      </w:pPr>
      <w:r w:rsidRPr="001B421A">
        <w:rPr>
          <w:rFonts w:ascii="Franklin Gothic Book" w:hAnsi="Franklin Gothic Book"/>
          <w:sz w:val="22"/>
        </w:rPr>
        <w:t xml:space="preserve">Nil. </w:t>
      </w:r>
    </w:p>
    <w:p w14:paraId="57234173" w14:textId="755DBA79" w:rsidR="0079515E" w:rsidRDefault="0079515E"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Committee-In-Confidence information</w:t>
      </w:r>
    </w:p>
    <w:p w14:paraId="688146D0" w14:textId="64E787F6" w:rsidR="0097150A" w:rsidRPr="00305B51" w:rsidRDefault="0097150A" w:rsidP="004C2820">
      <w:pPr>
        <w:pStyle w:val="Tablenotes0"/>
        <w:spacing w:after="120"/>
        <w:contextualSpacing w:val="0"/>
        <w:rPr>
          <w:rFonts w:ascii="Franklin Gothic Book" w:hAnsi="Franklin Gothic Book"/>
          <w:b/>
          <w:sz w:val="22"/>
        </w:rPr>
      </w:pPr>
      <w:r w:rsidRPr="00305B51">
        <w:rPr>
          <w:rFonts w:ascii="Franklin Gothic Book" w:hAnsi="Franklin Gothic Book"/>
          <w:b/>
          <w:sz w:val="22"/>
        </w:rPr>
        <w:t>REDACTED</w:t>
      </w:r>
    </w:p>
    <w:p w14:paraId="5F25C843" w14:textId="73A8A716" w:rsidR="00F428A9" w:rsidRPr="003A793E" w:rsidRDefault="00F428A9"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75" w:name="_Toc145678765"/>
      <w:bookmarkStart w:id="76" w:name="_Toc150172410"/>
      <w:bookmarkStart w:id="77" w:name="_Toc153462785"/>
      <w:bookmarkStart w:id="78" w:name="_Ref184065624"/>
      <w:bookmarkStart w:id="79" w:name="_Ref184639571"/>
      <w:r w:rsidRPr="003A793E">
        <w:rPr>
          <w:rFonts w:ascii="Franklin Gothic Medium" w:hAnsi="Franklin Gothic Medium"/>
          <w:b w:val="0"/>
          <w:i w:val="0"/>
          <w:snapToGrid/>
          <w:color w:val="000000" w:themeColor="text1"/>
          <w:sz w:val="32"/>
          <w:szCs w:val="26"/>
        </w:rPr>
        <w:t>Key issues from ESC to MSAC</w:t>
      </w:r>
    </w:p>
    <w:tbl>
      <w:tblPr>
        <w:tblStyle w:val="TableGrid"/>
        <w:tblW w:w="9120" w:type="dxa"/>
        <w:tblLayout w:type="fixed"/>
        <w:tblLook w:val="06A0" w:firstRow="1" w:lastRow="0" w:firstColumn="1" w:lastColumn="0" w:noHBand="1" w:noVBand="1"/>
      </w:tblPr>
      <w:tblGrid>
        <w:gridCol w:w="9120"/>
      </w:tblGrid>
      <w:tr w:rsidR="00333EDF" w14:paraId="7CCCBC62" w14:textId="77777777" w:rsidTr="00F428A9">
        <w:trPr>
          <w:cnfStyle w:val="100000000000" w:firstRow="1" w:lastRow="0" w:firstColumn="0" w:lastColumn="0" w:oddVBand="0" w:evenVBand="0" w:oddHBand="0" w:evenHBand="0" w:firstRowFirstColumn="0" w:firstRowLastColumn="0" w:lastRowFirstColumn="0" w:lastRowLastColumn="0"/>
          <w:trHeight w:val="300"/>
        </w:trPr>
        <w:tc>
          <w:tcPr>
            <w:tcW w:w="9120" w:type="dxa"/>
          </w:tcPr>
          <w:bookmarkEnd w:id="75"/>
          <w:bookmarkEnd w:id="76"/>
          <w:bookmarkEnd w:id="77"/>
          <w:p w14:paraId="7A7D2117" w14:textId="0F10A25A" w:rsidR="00F428A9" w:rsidRPr="00F428A9" w:rsidRDefault="00F428A9" w:rsidP="00275B43">
            <w:pPr>
              <w:rPr>
                <w:rFonts w:ascii="Franklin Gothic Book" w:hAnsi="Franklin Gothic Book"/>
                <w:b w:val="0"/>
              </w:rPr>
            </w:pPr>
            <w:r w:rsidRPr="00F428A9">
              <w:rPr>
                <w:rFonts w:ascii="Franklin Gothic Book" w:hAnsi="Franklin Gothic Book"/>
              </w:rPr>
              <w:t xml:space="preserve">Main issues for MSAC consideration </w:t>
            </w:r>
          </w:p>
          <w:p w14:paraId="2215AA68" w14:textId="61C26A83" w:rsidR="00333EDF" w:rsidRPr="001820FC" w:rsidRDefault="00333EDF" w:rsidP="00275B43">
            <w:pPr>
              <w:rPr>
                <w:rStyle w:val="InstructionalTextChar"/>
                <w:rFonts w:ascii="Calibri" w:hAnsi="Calibri"/>
                <w:b w:val="0"/>
                <w:color w:val="auto"/>
                <w:lang w:val="en-AU"/>
              </w:rPr>
            </w:pPr>
            <w:r w:rsidRPr="00F428A9">
              <w:rPr>
                <w:rFonts w:ascii="Franklin Gothic Book" w:hAnsi="Franklin Gothic Book"/>
              </w:rPr>
              <w:t>Clinical issues</w:t>
            </w:r>
          </w:p>
          <w:p w14:paraId="34370F3B" w14:textId="6C345956" w:rsidR="00333EDF" w:rsidRPr="00F428A9" w:rsidRDefault="00333EDF" w:rsidP="00B50C3D">
            <w:pPr>
              <w:pStyle w:val="TableText"/>
              <w:numPr>
                <w:ilvl w:val="0"/>
                <w:numId w:val="17"/>
              </w:numPr>
              <w:rPr>
                <w:rStyle w:val="InstructionalTextChar"/>
                <w:rFonts w:ascii="Franklin Gothic Book" w:hAnsi="Franklin Gothic Book"/>
                <w:b w:val="0"/>
                <w:bCs/>
                <w:color w:val="auto"/>
                <w:sz w:val="22"/>
                <w:lang w:val="en-AU"/>
              </w:rPr>
            </w:pPr>
            <w:r w:rsidRPr="00F428A9">
              <w:rPr>
                <w:rStyle w:val="InstructionalTextChar"/>
                <w:rFonts w:ascii="Franklin Gothic Book" w:hAnsi="Franklin Gothic Book"/>
                <w:b w:val="0"/>
                <w:color w:val="auto"/>
                <w:sz w:val="22"/>
              </w:rPr>
              <w:t xml:space="preserve">CLDN18.2 expression may have </w:t>
            </w:r>
            <w:proofErr w:type="gramStart"/>
            <w:r w:rsidRPr="00F428A9">
              <w:rPr>
                <w:rStyle w:val="InstructionalTextChar"/>
                <w:rFonts w:ascii="Franklin Gothic Book" w:hAnsi="Franklin Gothic Book"/>
                <w:b w:val="0"/>
                <w:color w:val="auto"/>
                <w:sz w:val="22"/>
              </w:rPr>
              <w:t>prognostic</w:t>
            </w:r>
            <w:proofErr w:type="gramEnd"/>
            <w:r w:rsidRPr="00F428A9">
              <w:rPr>
                <w:rStyle w:val="InstructionalTextChar"/>
                <w:rFonts w:ascii="Franklin Gothic Book" w:hAnsi="Franklin Gothic Book"/>
                <w:b w:val="0"/>
                <w:color w:val="auto"/>
                <w:sz w:val="22"/>
              </w:rPr>
              <w:t xml:space="preserve"> impact on gastric cancer. This</w:t>
            </w:r>
            <w:r w:rsidRPr="00F428A9" w:rsidDel="00A667C9">
              <w:rPr>
                <w:rStyle w:val="InstructionalTextChar"/>
                <w:rFonts w:ascii="Franklin Gothic Book" w:hAnsi="Franklin Gothic Book"/>
                <w:b w:val="0"/>
                <w:color w:val="auto"/>
                <w:sz w:val="22"/>
              </w:rPr>
              <w:t xml:space="preserve"> affects the comparison between</w:t>
            </w:r>
            <w:r w:rsidRPr="00F428A9">
              <w:rPr>
                <w:rStyle w:val="InstructionalTextChar"/>
                <w:rFonts w:ascii="Franklin Gothic Book" w:hAnsi="Franklin Gothic Book"/>
                <w:b w:val="0"/>
                <w:color w:val="auto"/>
                <w:sz w:val="22"/>
              </w:rPr>
              <w:t xml:space="preserve"> the</w:t>
            </w:r>
            <w:r w:rsidRPr="00F428A9" w:rsidDel="00A667C9">
              <w:rPr>
                <w:rStyle w:val="InstructionalTextChar"/>
                <w:rFonts w:ascii="Franklin Gothic Book" w:hAnsi="Franklin Gothic Book"/>
                <w:b w:val="0"/>
                <w:color w:val="auto"/>
                <w:sz w:val="22"/>
              </w:rPr>
              <w:t xml:space="preserve"> nivolumab </w:t>
            </w:r>
            <w:r w:rsidRPr="00F428A9">
              <w:rPr>
                <w:rStyle w:val="InstructionalTextChar"/>
                <w:rFonts w:ascii="Franklin Gothic Book" w:hAnsi="Franklin Gothic Book"/>
                <w:b w:val="0"/>
                <w:color w:val="auto"/>
                <w:sz w:val="22"/>
              </w:rPr>
              <w:t xml:space="preserve">trial (unknown </w:t>
            </w:r>
            <w:r w:rsidRPr="00F428A9" w:rsidDel="00A667C9">
              <w:rPr>
                <w:rStyle w:val="InstructionalTextChar"/>
                <w:rFonts w:ascii="Franklin Gothic Book" w:hAnsi="Franklin Gothic Book"/>
                <w:b w:val="0"/>
                <w:color w:val="auto"/>
                <w:sz w:val="22"/>
              </w:rPr>
              <w:t>CLDN18.2</w:t>
            </w:r>
            <w:r w:rsidRPr="00F428A9">
              <w:rPr>
                <w:rStyle w:val="InstructionalTextChar"/>
                <w:rFonts w:ascii="Franklin Gothic Book" w:hAnsi="Franklin Gothic Book"/>
                <w:b w:val="0"/>
                <w:color w:val="auto"/>
                <w:sz w:val="22"/>
              </w:rPr>
              <w:t xml:space="preserve"> status)</w:t>
            </w:r>
            <w:r w:rsidRPr="00F428A9" w:rsidDel="00A667C9">
              <w:rPr>
                <w:rStyle w:val="InstructionalTextChar"/>
                <w:rFonts w:ascii="Franklin Gothic Book" w:hAnsi="Franklin Gothic Book"/>
                <w:b w:val="0"/>
                <w:color w:val="auto"/>
                <w:sz w:val="22"/>
              </w:rPr>
              <w:t xml:space="preserve"> and </w:t>
            </w:r>
            <w:r w:rsidRPr="00F428A9">
              <w:rPr>
                <w:rStyle w:val="InstructionalTextChar"/>
                <w:rFonts w:ascii="Franklin Gothic Book" w:hAnsi="Franklin Gothic Book"/>
                <w:b w:val="0"/>
                <w:color w:val="auto"/>
                <w:sz w:val="22"/>
              </w:rPr>
              <w:t>the</w:t>
            </w:r>
            <w:r w:rsidRPr="00F428A9" w:rsidDel="00A667C9">
              <w:rPr>
                <w:rStyle w:val="InstructionalTextChar"/>
                <w:rFonts w:ascii="Franklin Gothic Book" w:hAnsi="Franklin Gothic Book"/>
                <w:b w:val="0"/>
                <w:color w:val="auto"/>
                <w:sz w:val="22"/>
              </w:rPr>
              <w:t xml:space="preserve"> </w:t>
            </w:r>
            <w:proofErr w:type="spellStart"/>
            <w:r w:rsidRPr="00F428A9" w:rsidDel="00A667C9">
              <w:rPr>
                <w:rStyle w:val="InstructionalTextChar"/>
                <w:rFonts w:ascii="Franklin Gothic Book" w:hAnsi="Franklin Gothic Book"/>
                <w:b w:val="0"/>
                <w:color w:val="auto"/>
                <w:sz w:val="22"/>
              </w:rPr>
              <w:t>zolbetuximab</w:t>
            </w:r>
            <w:proofErr w:type="spellEnd"/>
            <w:r w:rsidRPr="00F428A9" w:rsidDel="00A667C9">
              <w:rPr>
                <w:rStyle w:val="InstructionalTextChar"/>
                <w:rFonts w:ascii="Franklin Gothic Book" w:hAnsi="Franklin Gothic Book"/>
                <w:b w:val="0"/>
                <w:color w:val="auto"/>
                <w:sz w:val="22"/>
              </w:rPr>
              <w:t xml:space="preserve"> </w:t>
            </w:r>
            <w:r w:rsidRPr="00F428A9">
              <w:rPr>
                <w:rStyle w:val="InstructionalTextChar"/>
                <w:rFonts w:ascii="Franklin Gothic Book" w:hAnsi="Franklin Gothic Book"/>
                <w:b w:val="0"/>
                <w:color w:val="auto"/>
                <w:sz w:val="22"/>
              </w:rPr>
              <w:t>trial (</w:t>
            </w:r>
            <w:r w:rsidRPr="00F428A9" w:rsidDel="00A667C9">
              <w:rPr>
                <w:rStyle w:val="InstructionalTextChar"/>
                <w:rFonts w:ascii="Franklin Gothic Book" w:hAnsi="Franklin Gothic Book"/>
                <w:b w:val="0"/>
                <w:color w:val="auto"/>
                <w:sz w:val="22"/>
              </w:rPr>
              <w:t>in CLDN18.2 – positive patients</w:t>
            </w:r>
            <w:r w:rsidRPr="00F428A9">
              <w:rPr>
                <w:rStyle w:val="InstructionalTextChar"/>
                <w:rFonts w:ascii="Franklin Gothic Book" w:hAnsi="Franklin Gothic Book"/>
                <w:b w:val="0"/>
                <w:color w:val="auto"/>
                <w:sz w:val="22"/>
              </w:rPr>
              <w:t>). A recent systematic review and meta-analysis by Moraes et al. (2024) concluded that, CLDN18.2 expression is a negative prognostic indicator for overall survival in gastric cancer patients. Other studies on the prognostic impact of CLDN18.2 expression were based on small, retrospective, single-institution studies without a validation cohort. In addition, the e</w:t>
            </w:r>
            <w:r w:rsidRPr="00F428A9">
              <w:rPr>
                <w:rFonts w:ascii="Franklin Gothic Book" w:hAnsi="Franklin Gothic Book" w:cstheme="minorHAnsi"/>
                <w:b w:val="0"/>
                <w:sz w:val="22"/>
              </w:rPr>
              <w:t xml:space="preserve">vidence supporting the efficacy and safety of </w:t>
            </w:r>
            <w:proofErr w:type="spellStart"/>
            <w:r w:rsidRPr="00F428A9">
              <w:rPr>
                <w:rFonts w:ascii="Franklin Gothic Book" w:hAnsi="Franklin Gothic Book" w:cstheme="minorHAnsi"/>
                <w:b w:val="0"/>
                <w:sz w:val="22"/>
              </w:rPr>
              <w:t>zolbetuximab</w:t>
            </w:r>
            <w:proofErr w:type="spellEnd"/>
            <w:r w:rsidRPr="00F428A9">
              <w:rPr>
                <w:rFonts w:ascii="Franklin Gothic Book" w:hAnsi="Franklin Gothic Book" w:cstheme="minorHAnsi"/>
                <w:b w:val="0"/>
                <w:sz w:val="22"/>
              </w:rPr>
              <w:t xml:space="preserve"> was limited to patients with CLDN18.2-positive (CLDN18.2+) </w:t>
            </w:r>
            <w:proofErr w:type="spellStart"/>
            <w:r w:rsidRPr="00F428A9">
              <w:rPr>
                <w:rFonts w:ascii="Franklin Gothic Book" w:hAnsi="Franklin Gothic Book" w:cstheme="minorHAnsi"/>
                <w:b w:val="0"/>
                <w:iCs/>
                <w:sz w:val="22"/>
              </w:rPr>
              <w:t>tumour</w:t>
            </w:r>
            <w:r w:rsidRPr="00F428A9">
              <w:rPr>
                <w:rFonts w:ascii="Franklin Gothic Book" w:hAnsi="Franklin Gothic Book" w:cstheme="minorHAnsi"/>
                <w:b w:val="0"/>
                <w:i/>
                <w:sz w:val="22"/>
              </w:rPr>
              <w:t>s</w:t>
            </w:r>
            <w:proofErr w:type="spellEnd"/>
            <w:r w:rsidRPr="00F428A9" w:rsidDel="00473040">
              <w:rPr>
                <w:rFonts w:ascii="Franklin Gothic Book" w:hAnsi="Franklin Gothic Book" w:cstheme="minorHAnsi"/>
                <w:b w:val="0"/>
                <w:sz w:val="22"/>
              </w:rPr>
              <w:t>,</w:t>
            </w:r>
            <w:r w:rsidRPr="00F428A9" w:rsidDel="00192B57">
              <w:rPr>
                <w:rFonts w:ascii="Franklin Gothic Book" w:hAnsi="Franklin Gothic Book" w:cstheme="minorHAnsi"/>
                <w:b w:val="0"/>
                <w:sz w:val="22"/>
              </w:rPr>
              <w:t xml:space="preserve"> </w:t>
            </w:r>
            <w:r w:rsidRPr="00F428A9">
              <w:rPr>
                <w:rFonts w:ascii="Franklin Gothic Book" w:hAnsi="Franklin Gothic Book" w:cstheme="minorHAnsi"/>
                <w:b w:val="0"/>
                <w:sz w:val="22"/>
              </w:rPr>
              <w:t xml:space="preserve">whereas CLDN18.2 expression status was not assessed in the nivolumab trials. </w:t>
            </w:r>
          </w:p>
          <w:p w14:paraId="3F500DCB" w14:textId="294BDE00" w:rsidR="00333EDF" w:rsidRPr="00F428A9" w:rsidRDefault="00333EDF" w:rsidP="007C3B0C">
            <w:pPr>
              <w:pStyle w:val="ListParagraph"/>
              <w:numPr>
                <w:ilvl w:val="0"/>
                <w:numId w:val="26"/>
              </w:numPr>
              <w:spacing w:after="720"/>
              <w:ind w:left="714" w:hanging="357"/>
              <w:jc w:val="left"/>
              <w:rPr>
                <w:rStyle w:val="InstructionalTextChar"/>
                <w:rFonts w:ascii="Franklin Gothic Book" w:hAnsi="Franklin Gothic Book"/>
                <w:b w:val="0"/>
                <w:color w:val="auto"/>
                <w:sz w:val="22"/>
                <w:lang w:val="en-AU"/>
              </w:rPr>
            </w:pPr>
            <w:r w:rsidRPr="00F428A9">
              <w:rPr>
                <w:rStyle w:val="InstructionalTextChar"/>
                <w:rFonts w:ascii="Franklin Gothic Book" w:hAnsi="Franklin Gothic Book"/>
                <w:b w:val="0"/>
                <w:bCs/>
                <w:color w:val="auto"/>
                <w:sz w:val="22"/>
              </w:rPr>
              <w:t xml:space="preserve">SPOTLIGHT and GLOW key trials only included patients who were positive for CLDN18.2 at a threshold of ≥75% of </w:t>
            </w:r>
            <w:proofErr w:type="spellStart"/>
            <w:r w:rsidRPr="00F428A9">
              <w:rPr>
                <w:rStyle w:val="InstructionalTextChar"/>
                <w:rFonts w:ascii="Franklin Gothic Book" w:hAnsi="Franklin Gothic Book"/>
                <w:b w:val="0"/>
                <w:bCs/>
                <w:color w:val="auto"/>
                <w:sz w:val="22"/>
              </w:rPr>
              <w:t>tumour</w:t>
            </w:r>
            <w:proofErr w:type="spellEnd"/>
            <w:r w:rsidRPr="00F428A9">
              <w:rPr>
                <w:rStyle w:val="InstructionalTextChar"/>
                <w:rFonts w:ascii="Franklin Gothic Book" w:hAnsi="Franklin Gothic Book"/>
                <w:b w:val="0"/>
                <w:bCs/>
                <w:color w:val="auto"/>
                <w:sz w:val="22"/>
              </w:rPr>
              <w:t xml:space="preserve"> cells with moderate-to-strong membranous CLDN18 </w:t>
            </w:r>
            <w:r w:rsidRPr="00F428A9">
              <w:rPr>
                <w:rStyle w:val="InstructionalTextChar"/>
                <w:rFonts w:ascii="Franklin Gothic Book" w:hAnsi="Franklin Gothic Book"/>
                <w:b w:val="0"/>
                <w:bCs/>
                <w:color w:val="auto"/>
                <w:sz w:val="22"/>
                <w:lang w:val="en-AU"/>
              </w:rPr>
              <w:t>immunohistochemistry (</w:t>
            </w:r>
            <w:r w:rsidRPr="00F428A9">
              <w:rPr>
                <w:rStyle w:val="InstructionalTextChar"/>
                <w:rFonts w:ascii="Franklin Gothic Book" w:hAnsi="Franklin Gothic Book"/>
                <w:b w:val="0"/>
                <w:bCs/>
                <w:color w:val="auto"/>
                <w:sz w:val="22"/>
              </w:rPr>
              <w:t>IHC</w:t>
            </w:r>
            <w:r w:rsidRPr="00F428A9">
              <w:rPr>
                <w:rStyle w:val="InstructionalTextChar"/>
                <w:rFonts w:ascii="Franklin Gothic Book" w:hAnsi="Franklin Gothic Book"/>
                <w:b w:val="0"/>
                <w:bCs/>
                <w:color w:val="auto"/>
                <w:sz w:val="22"/>
                <w:lang w:val="en-AU"/>
              </w:rPr>
              <w:t>)</w:t>
            </w:r>
            <w:r w:rsidRPr="00F428A9">
              <w:rPr>
                <w:rStyle w:val="InstructionalTextChar"/>
                <w:rFonts w:ascii="Franklin Gothic Book" w:hAnsi="Franklin Gothic Book"/>
                <w:b w:val="0"/>
                <w:bCs/>
                <w:color w:val="auto"/>
                <w:sz w:val="22"/>
              </w:rPr>
              <w:t xml:space="preserve"> staining. </w:t>
            </w:r>
          </w:p>
          <w:p w14:paraId="7D2E09E5" w14:textId="77777777" w:rsidR="00333EDF" w:rsidRPr="00F428A9" w:rsidRDefault="00333EDF" w:rsidP="00F428A9">
            <w:pPr>
              <w:rPr>
                <w:rFonts w:ascii="Franklin Gothic Book" w:hAnsi="Franklin Gothic Book"/>
              </w:rPr>
            </w:pPr>
            <w:r w:rsidRPr="00F428A9">
              <w:rPr>
                <w:rFonts w:ascii="Franklin Gothic Book" w:hAnsi="Franklin Gothic Book"/>
              </w:rPr>
              <w:t>Economic issues</w:t>
            </w:r>
          </w:p>
          <w:p w14:paraId="6A3E9EA2" w14:textId="5E908010" w:rsidR="00333EDF" w:rsidRPr="00F428A9" w:rsidRDefault="00333EDF" w:rsidP="00B50C3D">
            <w:pPr>
              <w:pStyle w:val="InstructionBulletpoint"/>
              <w:numPr>
                <w:ilvl w:val="0"/>
                <w:numId w:val="26"/>
              </w:numPr>
              <w:spacing w:before="120"/>
              <w:rPr>
                <w:rStyle w:val="InstructionalTextChar"/>
                <w:rFonts w:ascii="Franklin Gothic Book" w:hAnsi="Franklin Gothic Book"/>
                <w:b w:val="0"/>
                <w:color w:val="auto"/>
                <w:sz w:val="22"/>
                <w:lang w:val="en-AU"/>
              </w:rPr>
            </w:pPr>
            <w:r w:rsidRPr="00F428A9">
              <w:rPr>
                <w:rStyle w:val="InstructionalTextChar"/>
                <w:rFonts w:ascii="Franklin Gothic Book" w:hAnsi="Franklin Gothic Book"/>
                <w:b w:val="0"/>
                <w:color w:val="auto"/>
                <w:sz w:val="22"/>
              </w:rPr>
              <w:t>A cost-</w:t>
            </w:r>
            <w:proofErr w:type="spellStart"/>
            <w:r w:rsidRPr="00F428A9">
              <w:rPr>
                <w:rStyle w:val="InstructionalTextChar"/>
                <w:rFonts w:ascii="Franklin Gothic Book" w:hAnsi="Franklin Gothic Book"/>
                <w:b w:val="0"/>
                <w:color w:val="auto"/>
                <w:sz w:val="22"/>
              </w:rPr>
              <w:t>minimisation</w:t>
            </w:r>
            <w:proofErr w:type="spellEnd"/>
            <w:r w:rsidRPr="00F428A9">
              <w:rPr>
                <w:rStyle w:val="InstructionalTextChar"/>
                <w:rFonts w:ascii="Franklin Gothic Book" w:hAnsi="Franklin Gothic Book"/>
                <w:b w:val="0"/>
                <w:color w:val="auto"/>
                <w:sz w:val="22"/>
              </w:rPr>
              <w:t xml:space="preserve"> approach is appropriate if PBAC accepts that </w:t>
            </w:r>
            <w:proofErr w:type="spellStart"/>
            <w:r w:rsidRPr="00F428A9">
              <w:rPr>
                <w:rStyle w:val="InstructionalTextChar"/>
                <w:rFonts w:ascii="Franklin Gothic Book" w:hAnsi="Franklin Gothic Book"/>
                <w:b w:val="0"/>
                <w:color w:val="auto"/>
                <w:sz w:val="22"/>
              </w:rPr>
              <w:t>zolbetuximab</w:t>
            </w:r>
            <w:proofErr w:type="spellEnd"/>
            <w:r w:rsidRPr="00F428A9">
              <w:rPr>
                <w:rStyle w:val="InstructionalTextChar"/>
                <w:rFonts w:ascii="Franklin Gothic Book" w:hAnsi="Franklin Gothic Book"/>
                <w:b w:val="0"/>
                <w:color w:val="auto"/>
                <w:sz w:val="22"/>
              </w:rPr>
              <w:t xml:space="preserve"> in combination with chemotherapy as a first line treatment for patients with</w:t>
            </w:r>
            <w:r w:rsidRPr="00F428A9">
              <w:rPr>
                <w:rStyle w:val="InstructionalTextChar"/>
                <w:rFonts w:ascii="Franklin Gothic Book" w:hAnsi="Franklin Gothic Book"/>
                <w:b w:val="0"/>
                <w:bCs/>
                <w:color w:val="auto"/>
                <w:sz w:val="22"/>
              </w:rPr>
              <w:t xml:space="preserve"> G/GOJ adenocarcinoma who test positive for CLDN18.2 expression has </w:t>
            </w:r>
            <w:r w:rsidRPr="00F428A9">
              <w:rPr>
                <w:rStyle w:val="InstructionalTextChar"/>
                <w:rFonts w:ascii="Franklin Gothic Book" w:hAnsi="Franklin Gothic Book"/>
                <w:b w:val="0"/>
                <w:color w:val="auto"/>
                <w:sz w:val="22"/>
              </w:rPr>
              <w:t>noninferior efficacy and safety</w:t>
            </w:r>
            <w:r w:rsidRPr="00F428A9">
              <w:rPr>
                <w:rStyle w:val="InstructionalTextChar"/>
                <w:rFonts w:ascii="Franklin Gothic Book" w:hAnsi="Franklin Gothic Book"/>
                <w:b w:val="0"/>
                <w:bCs/>
                <w:color w:val="auto"/>
                <w:sz w:val="22"/>
              </w:rPr>
              <w:t>.</w:t>
            </w:r>
          </w:p>
          <w:p w14:paraId="7F58A435" w14:textId="77777777" w:rsidR="00333EDF" w:rsidRPr="00F428A9" w:rsidRDefault="00333EDF" w:rsidP="00F428A9">
            <w:pPr>
              <w:rPr>
                <w:rFonts w:ascii="Franklin Gothic Book" w:hAnsi="Franklin Gothic Book"/>
              </w:rPr>
            </w:pPr>
            <w:r w:rsidRPr="00F428A9">
              <w:rPr>
                <w:rFonts w:ascii="Franklin Gothic Book" w:hAnsi="Franklin Gothic Book"/>
              </w:rPr>
              <w:t>Financial issues</w:t>
            </w:r>
          </w:p>
          <w:p w14:paraId="06A09306" w14:textId="3A9023BA" w:rsidR="00333EDF" w:rsidRPr="00F428A9" w:rsidRDefault="00333EDF" w:rsidP="00B50C3D">
            <w:pPr>
              <w:pStyle w:val="ListParagraph"/>
              <w:numPr>
                <w:ilvl w:val="0"/>
                <w:numId w:val="26"/>
              </w:numPr>
              <w:jc w:val="left"/>
              <w:rPr>
                <w:rFonts w:ascii="Franklin Gothic Book" w:hAnsi="Franklin Gothic Book" w:cstheme="minorHAnsi"/>
                <w:b w:val="0"/>
                <w:color w:val="auto"/>
                <w:sz w:val="22"/>
                <w:lang w:val="en-AU"/>
              </w:rPr>
            </w:pPr>
            <w:r w:rsidRPr="00F428A9">
              <w:rPr>
                <w:rFonts w:ascii="Franklin Gothic Book" w:hAnsi="Franklin Gothic Book"/>
                <w:b w:val="0"/>
                <w:bCs/>
                <w:sz w:val="22"/>
              </w:rPr>
              <w:t xml:space="preserve">The estimated cost to the </w:t>
            </w:r>
            <w:r w:rsidRPr="00F428A9">
              <w:rPr>
                <w:rFonts w:ascii="Franklin Gothic Book" w:hAnsi="Franklin Gothic Book"/>
                <w:b w:val="0"/>
                <w:bCs/>
                <w:sz w:val="22"/>
                <w:lang w:val="en-AU"/>
              </w:rPr>
              <w:t>Medicare Benefits Schedule (</w:t>
            </w:r>
            <w:r w:rsidRPr="00F428A9">
              <w:rPr>
                <w:rFonts w:ascii="Franklin Gothic Book" w:hAnsi="Franklin Gothic Book"/>
                <w:b w:val="0"/>
                <w:bCs/>
                <w:sz w:val="22"/>
              </w:rPr>
              <w:t>MBS</w:t>
            </w:r>
            <w:r w:rsidRPr="00F428A9">
              <w:rPr>
                <w:rFonts w:ascii="Franklin Gothic Book" w:hAnsi="Franklin Gothic Book"/>
                <w:b w:val="0"/>
                <w:bCs/>
                <w:sz w:val="22"/>
                <w:lang w:val="en-AU"/>
              </w:rPr>
              <w:t>)</w:t>
            </w:r>
            <w:r w:rsidRPr="00F428A9">
              <w:rPr>
                <w:rFonts w:ascii="Franklin Gothic Book" w:hAnsi="Franklin Gothic Book"/>
                <w:b w:val="0"/>
                <w:bCs/>
                <w:sz w:val="22"/>
              </w:rPr>
              <w:t xml:space="preserve"> was uncertain </w:t>
            </w:r>
            <w:r w:rsidRPr="00F428A9">
              <w:rPr>
                <w:rFonts w:ascii="Franklin Gothic Book" w:hAnsi="Franklin Gothic Book"/>
                <w:b w:val="0"/>
                <w:bCs/>
                <w:color w:val="auto"/>
                <w:sz w:val="22"/>
              </w:rPr>
              <w:t>due to</w:t>
            </w:r>
            <w:r w:rsidRPr="00F428A9">
              <w:rPr>
                <w:rFonts w:ascii="Franklin Gothic Book" w:hAnsi="Franklin Gothic Book"/>
                <w:b w:val="0"/>
                <w:bCs/>
                <w:sz w:val="22"/>
              </w:rPr>
              <w:t xml:space="preserve"> </w:t>
            </w:r>
            <w:r w:rsidRPr="00F428A9">
              <w:rPr>
                <w:rStyle w:val="InstructionalTextChar"/>
                <w:rFonts w:ascii="Franklin Gothic Book" w:hAnsi="Franklin Gothic Book"/>
                <w:b w:val="0"/>
                <w:bCs/>
                <w:color w:val="auto"/>
                <w:sz w:val="22"/>
              </w:rPr>
              <w:t xml:space="preserve">uncertainty regarding the prevalence of patients with G/GOJ adenocarcinoma who test positive for CLDN18.2 expression in Australia, potential </w:t>
            </w:r>
            <w:r w:rsidRPr="00F428A9">
              <w:rPr>
                <w:rFonts w:ascii="Franklin Gothic Book" w:hAnsi="Franklin Gothic Book"/>
                <w:b w:val="0"/>
                <w:bCs/>
                <w:color w:val="auto"/>
                <w:sz w:val="22"/>
              </w:rPr>
              <w:t>underestimation of testing uptake,</w:t>
            </w:r>
            <w:r w:rsidRPr="00F428A9">
              <w:rPr>
                <w:rFonts w:ascii="Franklin Gothic Book" w:hAnsi="Franklin Gothic Book"/>
                <w:b w:val="0"/>
                <w:bCs/>
                <w:sz w:val="22"/>
              </w:rPr>
              <w:t xml:space="preserve"> and </w:t>
            </w:r>
            <w:r w:rsidRPr="00F428A9">
              <w:rPr>
                <w:rFonts w:ascii="Franklin Gothic Book" w:hAnsi="Franklin Gothic Book" w:cstheme="minorHAnsi"/>
                <w:b w:val="0"/>
                <w:bCs/>
                <w:color w:val="auto"/>
                <w:sz w:val="22"/>
              </w:rPr>
              <w:t xml:space="preserve">exclusion of chemotherapy infusion and adverse event costs. The updated analysis demonstrates potential impact to be likely low; however, uncertainty regarding additional costs </w:t>
            </w:r>
            <w:proofErr w:type="gramStart"/>
            <w:r w:rsidRPr="00F428A9">
              <w:rPr>
                <w:rFonts w:ascii="Franklin Gothic Book" w:hAnsi="Franklin Gothic Book" w:cstheme="minorHAnsi"/>
                <w:b w:val="0"/>
                <w:bCs/>
                <w:color w:val="auto"/>
                <w:sz w:val="22"/>
              </w:rPr>
              <w:t>remain</w:t>
            </w:r>
            <w:proofErr w:type="gramEnd"/>
            <w:r w:rsidRPr="00F428A9">
              <w:rPr>
                <w:rFonts w:ascii="Franklin Gothic Book" w:hAnsi="Franklin Gothic Book" w:cstheme="minorHAnsi"/>
                <w:b w:val="0"/>
                <w:bCs/>
                <w:color w:val="auto"/>
                <w:sz w:val="22"/>
              </w:rPr>
              <w:t xml:space="preserve">. </w:t>
            </w:r>
          </w:p>
          <w:p w14:paraId="5934F3C4" w14:textId="77777777" w:rsidR="00333EDF" w:rsidRPr="00F428A9" w:rsidRDefault="00333EDF" w:rsidP="00F428A9">
            <w:pPr>
              <w:rPr>
                <w:rFonts w:ascii="Franklin Gothic Book" w:hAnsi="Franklin Gothic Book"/>
              </w:rPr>
            </w:pPr>
            <w:r w:rsidRPr="00F428A9">
              <w:rPr>
                <w:rFonts w:ascii="Franklin Gothic Book" w:hAnsi="Franklin Gothic Book"/>
              </w:rPr>
              <w:t>Other issues</w:t>
            </w:r>
          </w:p>
          <w:p w14:paraId="5F7894F2" w14:textId="31F12F62" w:rsidR="00333EDF" w:rsidRPr="00F428A9" w:rsidRDefault="00333EDF" w:rsidP="00B50C3D">
            <w:pPr>
              <w:pStyle w:val="InstructionBulletpoint"/>
              <w:numPr>
                <w:ilvl w:val="0"/>
                <w:numId w:val="26"/>
              </w:numPr>
              <w:spacing w:before="120"/>
              <w:rPr>
                <w:rFonts w:ascii="Franklin Gothic Book" w:hAnsi="Franklin Gothic Book"/>
                <w:b w:val="0"/>
                <w:color w:val="auto"/>
                <w:sz w:val="22"/>
                <w:lang w:val="en-AU"/>
              </w:rPr>
            </w:pPr>
            <w:r w:rsidRPr="00F428A9">
              <w:rPr>
                <w:rFonts w:ascii="Franklin Gothic Book" w:hAnsi="Franklin Gothic Book"/>
                <w:b w:val="0"/>
                <w:bCs/>
                <w:color w:val="auto"/>
                <w:sz w:val="22"/>
              </w:rPr>
              <w:t xml:space="preserve">There was insufficient justification of the proposed fee of $112. Given that comparable MBS listed IHC tests for PD-L1 and HER2, which use similar methodology to the proposed CLDN18 test, have a fee of $74.50 </w:t>
            </w:r>
            <w:r w:rsidRPr="00F428A9">
              <w:rPr>
                <w:rFonts w:ascii="Franklin Gothic Book" w:hAnsi="Franklin Gothic Book"/>
                <w:b w:val="0"/>
                <w:color w:val="auto"/>
                <w:sz w:val="22"/>
                <w:lang w:val="en-AU"/>
              </w:rPr>
              <w:t xml:space="preserve">and </w:t>
            </w:r>
            <w:r w:rsidRPr="00F428A9">
              <w:rPr>
                <w:rFonts w:ascii="Franklin Gothic Book" w:hAnsi="Franklin Gothic Book"/>
                <w:b w:val="0"/>
                <w:bCs/>
                <w:color w:val="auto"/>
                <w:sz w:val="22"/>
                <w:lang w:val="en-AU"/>
              </w:rPr>
              <w:t>the submission provided insufficient rationale for the CLDN18 test to have a higher fee than PD-L1 and HER2 IHC tests</w:t>
            </w:r>
            <w:r w:rsidRPr="00F428A9">
              <w:rPr>
                <w:rFonts w:ascii="Franklin Gothic Book" w:hAnsi="Franklin Gothic Book"/>
                <w:b w:val="0"/>
                <w:bCs/>
                <w:color w:val="auto"/>
                <w:sz w:val="22"/>
              </w:rPr>
              <w:t xml:space="preserve">.  The ESCs advised that aligning the fee to $74.50 would be appropriate.  </w:t>
            </w:r>
          </w:p>
          <w:p w14:paraId="2FF6F396" w14:textId="77777777" w:rsidR="00333EDF" w:rsidRPr="00F428A9" w:rsidRDefault="00333EDF" w:rsidP="00B50C3D">
            <w:pPr>
              <w:pStyle w:val="TableText"/>
              <w:numPr>
                <w:ilvl w:val="0"/>
                <w:numId w:val="26"/>
              </w:numPr>
              <w:rPr>
                <w:rFonts w:ascii="Franklin Gothic Book" w:hAnsi="Franklin Gothic Book" w:cstheme="minorHAnsi"/>
                <w:b w:val="0"/>
                <w:sz w:val="22"/>
                <w:lang w:val="en-AU"/>
              </w:rPr>
            </w:pPr>
            <w:r w:rsidRPr="00F428A9">
              <w:rPr>
                <w:rStyle w:val="InstructionalTextChar"/>
                <w:rFonts w:ascii="Franklin Gothic Book" w:hAnsi="Franklin Gothic Book"/>
                <w:b w:val="0"/>
                <w:bCs/>
                <w:color w:val="auto"/>
                <w:sz w:val="22"/>
              </w:rPr>
              <w:t xml:space="preserve">The proposed test and clinical utility standard, Ventana® CLDN18 (43-14A) </w:t>
            </w:r>
            <w:proofErr w:type="spellStart"/>
            <w:r w:rsidRPr="00F428A9">
              <w:rPr>
                <w:rStyle w:val="InstructionalTextChar"/>
                <w:rFonts w:ascii="Franklin Gothic Book" w:hAnsi="Franklin Gothic Book"/>
                <w:b w:val="0"/>
                <w:bCs/>
                <w:color w:val="auto"/>
                <w:sz w:val="22"/>
              </w:rPr>
              <w:t>RxDx</w:t>
            </w:r>
            <w:proofErr w:type="spellEnd"/>
            <w:r w:rsidRPr="00F428A9">
              <w:rPr>
                <w:rStyle w:val="InstructionalTextChar"/>
                <w:rFonts w:ascii="Franklin Gothic Book" w:hAnsi="Franklin Gothic Book"/>
                <w:b w:val="0"/>
                <w:bCs/>
                <w:color w:val="auto"/>
                <w:sz w:val="22"/>
              </w:rPr>
              <w:t xml:space="preserve"> assay is not listed on the Australian Register of Therapeutic Goods (ARTG), and no registration details or update were provided in the submission. Additionally, in its pre-ESC response, applicant stated that </w:t>
            </w:r>
            <w:r w:rsidRPr="00F428A9">
              <w:rPr>
                <w:rFonts w:ascii="Franklin Gothic Book" w:hAnsi="Franklin Gothic Book" w:cstheme="minorHAnsi"/>
                <w:b w:val="0"/>
                <w:bCs/>
                <w:sz w:val="22"/>
                <w:lang w:val="en-AU"/>
              </w:rPr>
              <w:t>the Therapeutic Goods Administration (TGA) has approved the assay but is awaiting registration of zolbetuximab prior to the assay being listed on the ARTG.</w:t>
            </w:r>
            <w:r w:rsidRPr="00F428A9">
              <w:rPr>
                <w:rFonts w:ascii="Franklin Gothic Book" w:hAnsi="Franklin Gothic Book" w:cs="Segoe UI"/>
                <w:b w:val="0"/>
                <w:sz w:val="22"/>
                <w:lang w:val="en-AU"/>
              </w:rPr>
              <w:t xml:space="preserve"> </w:t>
            </w:r>
            <w:r w:rsidRPr="00F428A9">
              <w:rPr>
                <w:rFonts w:ascii="Franklin Gothic Book" w:hAnsi="Franklin Gothic Book" w:cstheme="minorHAnsi"/>
                <w:b w:val="0"/>
                <w:bCs/>
                <w:sz w:val="22"/>
                <w:lang w:val="en-AU"/>
              </w:rPr>
              <w:t>The applicant is requested to provide an update on registration in its pre-MSAC response. </w:t>
            </w:r>
          </w:p>
          <w:p w14:paraId="2FEB9C02" w14:textId="77777777" w:rsidR="00333EDF" w:rsidRPr="00784B5A" w:rsidRDefault="00333EDF" w:rsidP="00B50C3D">
            <w:pPr>
              <w:pStyle w:val="InstructionBulletpoint"/>
              <w:numPr>
                <w:ilvl w:val="0"/>
                <w:numId w:val="26"/>
              </w:numPr>
              <w:spacing w:before="120"/>
              <w:rPr>
                <w:rFonts w:asciiTheme="minorHAnsi" w:hAnsiTheme="minorHAnsi"/>
                <w:b w:val="0"/>
                <w:color w:val="auto"/>
                <w:lang w:val="en-AU"/>
              </w:rPr>
            </w:pPr>
            <w:r w:rsidRPr="00F428A9">
              <w:rPr>
                <w:rFonts w:ascii="Franklin Gothic Book" w:hAnsi="Franklin Gothic Book"/>
                <w:b w:val="0"/>
                <w:bCs/>
                <w:color w:val="auto"/>
                <w:sz w:val="22"/>
                <w:lang w:val="en-AU"/>
              </w:rPr>
              <w:t>Appropriate</w:t>
            </w:r>
            <w:r w:rsidRPr="00F428A9">
              <w:rPr>
                <w:rFonts w:ascii="Franklin Gothic Book" w:hAnsi="Franklin Gothic Book"/>
                <w:b w:val="0"/>
                <w:bCs/>
                <w:color w:val="auto"/>
                <w:sz w:val="22"/>
              </w:rPr>
              <w:t xml:space="preserve"> pathologist training and quality assurance programs for diagnostic tests targeting the CLDN18.2</w:t>
            </w:r>
            <w:r w:rsidRPr="00F428A9">
              <w:rPr>
                <w:rFonts w:ascii="Franklin Gothic Book" w:hAnsi="Franklin Gothic Book"/>
                <w:b w:val="0"/>
                <w:bCs/>
                <w:color w:val="auto"/>
                <w:sz w:val="22"/>
                <w:lang w:val="en-AU"/>
              </w:rPr>
              <w:t xml:space="preserve"> will be required.</w:t>
            </w:r>
          </w:p>
        </w:tc>
      </w:tr>
    </w:tbl>
    <w:p w14:paraId="5563FCA1" w14:textId="77777777" w:rsidR="00333EDF" w:rsidRPr="0017318B" w:rsidRDefault="00333EDF" w:rsidP="0017318B">
      <w:pPr>
        <w:pStyle w:val="Heading4"/>
        <w:spacing w:after="120"/>
        <w:ind w:left="1298" w:hanging="1298"/>
        <w:rPr>
          <w:rFonts w:ascii="Franklin Gothic Book" w:hAnsi="Franklin Gothic Book"/>
          <w:color w:val="auto"/>
          <w:szCs w:val="24"/>
        </w:rPr>
      </w:pPr>
      <w:r w:rsidRPr="0017318B">
        <w:rPr>
          <w:rFonts w:ascii="Franklin Gothic Book" w:hAnsi="Franklin Gothic Book"/>
          <w:color w:val="auto"/>
          <w:szCs w:val="24"/>
        </w:rPr>
        <w:t>ESCs discussion</w:t>
      </w:r>
    </w:p>
    <w:p w14:paraId="77DF7E3B"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that the integrated codependent application sought Medicare Benefits Schedule (MBS) listing of immunohistochemistry (IHC</w:t>
      </w:r>
      <w:r w:rsidRPr="00F428A9" w:rsidDel="00CE198C">
        <w:rPr>
          <w:rFonts w:ascii="Franklin Gothic Book" w:hAnsi="Franklin Gothic Book"/>
          <w:sz w:val="22"/>
        </w:rPr>
        <w:t>)</w:t>
      </w:r>
      <w:r w:rsidRPr="00F428A9">
        <w:rPr>
          <w:rFonts w:ascii="Franklin Gothic Book" w:hAnsi="Franklin Gothic Book"/>
          <w:sz w:val="22"/>
        </w:rPr>
        <w:t xml:space="preserve"> testing for the evaluation of Claudin 18.2 (CLDN18.2) expression to</w:t>
      </w:r>
      <w:r w:rsidRPr="00F428A9" w:rsidDel="007C0FF8">
        <w:rPr>
          <w:rFonts w:ascii="Franklin Gothic Book" w:hAnsi="Franklin Gothic Book"/>
          <w:sz w:val="22"/>
        </w:rPr>
        <w:t xml:space="preserve"> </w:t>
      </w:r>
      <w:r w:rsidRPr="00F428A9">
        <w:rPr>
          <w:rFonts w:ascii="Franklin Gothic Book" w:hAnsi="Franklin Gothic Book"/>
          <w:sz w:val="22"/>
        </w:rPr>
        <w:t xml:space="preserve">determine  patient eligibility for zolbetuximab (VYLOY®) in combination with chemotherapy on the Pharmaceutical Benefits Scheme (PBS) for patients with locally advanced unresectable or metastatic </w:t>
      </w:r>
      <w:r w:rsidRPr="00F428A9" w:rsidDel="00CD0693">
        <w:rPr>
          <w:rFonts w:ascii="Franklin Gothic Book" w:hAnsi="Franklin Gothic Book"/>
          <w:sz w:val="22"/>
        </w:rPr>
        <w:t xml:space="preserve">human epidermal growth factor receptor 2 (HER2)-negative </w:t>
      </w:r>
      <w:r w:rsidRPr="00F428A9">
        <w:rPr>
          <w:rFonts w:ascii="Franklin Gothic Book" w:hAnsi="Franklin Gothic Book"/>
          <w:sz w:val="22"/>
        </w:rPr>
        <w:t>gastric or gastro-oesophageal junction (G/GOJ) adenocarcinoma.</w:t>
      </w:r>
    </w:p>
    <w:p w14:paraId="53FAA427"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and welcomed public consultation feedback from two professional organisations and one consumer organisation. ESC noted the feedback from Royal College of Pathologists of Australasia (RCPA) that supported the proposed fee. The feedback highlighted that stringent assay validations along with pathologist training and ongoing quality control requirements contribute to higher test costs.  </w:t>
      </w:r>
    </w:p>
    <w:p w14:paraId="51785CC9" w14:textId="77777777" w:rsidR="00333EDF" w:rsidRPr="00F428A9" w:rsidRDefault="00333EDF" w:rsidP="00F428A9">
      <w:pPr>
        <w:pStyle w:val="MSACESParagraph"/>
        <w:rPr>
          <w:rFonts w:ascii="Franklin Gothic Book" w:hAnsi="Franklin Gothic Book"/>
          <w:sz w:val="22"/>
        </w:rPr>
      </w:pPr>
      <w:r w:rsidRPr="00ED38FC">
        <w:rPr>
          <w:rStyle w:val="InstructionalTextChar"/>
          <w:rFonts w:ascii="Franklin Gothic Book" w:hAnsi="Franklin Gothic Book"/>
          <w:color w:val="auto"/>
          <w:sz w:val="22"/>
        </w:rPr>
        <w:t xml:space="preserve">The ESCs noted that the proposed test and clinical utility standard, Ventana® CLDN18 (43-14A) </w:t>
      </w:r>
      <w:proofErr w:type="spellStart"/>
      <w:r w:rsidRPr="00ED38FC">
        <w:rPr>
          <w:rStyle w:val="InstructionalTextChar"/>
          <w:rFonts w:ascii="Franklin Gothic Book" w:hAnsi="Franklin Gothic Book"/>
          <w:color w:val="auto"/>
          <w:sz w:val="22"/>
        </w:rPr>
        <w:t>RxDx</w:t>
      </w:r>
      <w:proofErr w:type="spellEnd"/>
      <w:r w:rsidRPr="00ED38FC">
        <w:rPr>
          <w:rStyle w:val="InstructionalTextChar"/>
          <w:rFonts w:ascii="Franklin Gothic Book" w:hAnsi="Franklin Gothic Book"/>
          <w:color w:val="auto"/>
          <w:sz w:val="22"/>
        </w:rPr>
        <w:t xml:space="preserve"> assay, is not yet listed on the Australian Register of Therapeutic Goods (ARTG), and no registration details or update were provided in the submission. The ESCs further noted the </w:t>
      </w:r>
      <w:r w:rsidRPr="00ED38FC">
        <w:rPr>
          <w:rFonts w:ascii="Franklin Gothic Book" w:hAnsi="Franklin Gothic Book"/>
          <w:sz w:val="22"/>
        </w:rPr>
        <w:t>applicant’s pre-ESC response confirmed that the Therapeutic Goods Administration (TGA) has approved the assay but is awaiting zolbetuximab registration before listing it on the ARTG.</w:t>
      </w:r>
      <w:r w:rsidRPr="00F428A9">
        <w:rPr>
          <w:rFonts w:ascii="Franklin Gothic Book" w:hAnsi="Franklin Gothic Book"/>
          <w:sz w:val="22"/>
        </w:rPr>
        <w:t xml:space="preserve"> </w:t>
      </w:r>
    </w:p>
    <w:p w14:paraId="118C6516"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the population, intervention, comparator and outcomes (PICO) that had been ratified by the PICO Advisory Subcommittee. The ESCs acknowledged the applicant’s pre-ESC response, which confirmed that the proposed target population for both testing and treatment includes patients with locally advanced unresectable or metastatic HER2-negative G/GOJ adenocarcinoma and excludes patients with oesophageal adenocarcinoma. The ESCs noted that this population is consistent with the pivotal trials. The ESCs further noted that patients who are found to be HER2-negative and CLDN18.2-positive advanced G/GOJ adenocarcinoma will have an additional treatment option with zolbetuximab in combination with fluoropyrimidine- and platinum-containing chemotherapy as a novel first</w:t>
      </w:r>
      <w:r w:rsidRPr="00F428A9">
        <w:rPr>
          <w:rFonts w:ascii="Franklin Gothic Book" w:hAnsi="Franklin Gothic Book"/>
          <w:sz w:val="22"/>
        </w:rPr>
        <w:noBreakHyphen/>
        <w:t>line therapy.</w:t>
      </w:r>
    </w:p>
    <w:p w14:paraId="520EBD34"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the proposed MBS item descriptor and the proposed fee. The ESCs agreed that the proposed MBS item should be pathologist-determinable, and that the item descriptor should specify ‘specialists and consultant physicians’ as requestors. </w:t>
      </w:r>
      <w:r w:rsidRPr="00ED38FC">
        <w:rPr>
          <w:rFonts w:ascii="Franklin Gothic Book" w:hAnsi="Franklin Gothic Book"/>
          <w:sz w:val="22"/>
        </w:rPr>
        <w:t xml:space="preserve">The ESCs considered it is appropriate to test CLDN18.2 in parallel with HER2 using IHC/ </w:t>
      </w:r>
      <w:r w:rsidRPr="00ED38FC">
        <w:rPr>
          <w:rFonts w:ascii="Franklin Gothic Book" w:hAnsi="Franklin Gothic Book"/>
          <w:i/>
          <w:sz w:val="22"/>
        </w:rPr>
        <w:t>in situ</w:t>
      </w:r>
      <w:r w:rsidRPr="00ED38FC">
        <w:rPr>
          <w:rFonts w:ascii="Franklin Gothic Book" w:hAnsi="Franklin Gothic Book"/>
          <w:sz w:val="22"/>
        </w:rPr>
        <w:t xml:space="preserve"> hybridization (ISH) testing methods as it minimises the need for additional biopsy samples.</w:t>
      </w:r>
      <w:r w:rsidRPr="00F428A9">
        <w:rPr>
          <w:rFonts w:ascii="Franklin Gothic Book" w:hAnsi="Franklin Gothic Book"/>
          <w:sz w:val="22"/>
        </w:rPr>
        <w:t xml:space="preserve"> </w:t>
      </w:r>
    </w:p>
    <w:p w14:paraId="1A7D6748" w14:textId="025785B9" w:rsidR="00333EDF" w:rsidRPr="00F428A9" w:rsidRDefault="00333EDF" w:rsidP="00F428A9">
      <w:pPr>
        <w:pStyle w:val="MSACESParagraph"/>
        <w:rPr>
          <w:rFonts w:ascii="Franklin Gothic Book" w:hAnsi="Franklin Gothic Book"/>
          <w:sz w:val="22"/>
          <w:lang w:val="en-GB"/>
        </w:rPr>
      </w:pPr>
      <w:r w:rsidRPr="00F428A9">
        <w:rPr>
          <w:rFonts w:ascii="Franklin Gothic Book" w:hAnsi="Franklin Gothic Book"/>
          <w:sz w:val="22"/>
          <w:lang w:val="en-GB"/>
        </w:rPr>
        <w:t xml:space="preserve">The ESCs noted the comparable existing MBS listings for IHC tests such as program death-ligand 1 (PD-L1) and acknowledged that the proposed test would use a similar methodology in processing, staining and scoring of the specimen. Given that the existing MBS listed IHC tests of PD-L1 have a fee of $74.50 and that the CLDN18.2 test uses similar methodology, the ESCs considered the proposed fee of $112.00 to be high. Consequently, the ESCs considered a fee with $74.50 would be more appropriate. Further to this, the ESCs noted that existing generic MBS items, such as 72846, 72847, 72849 and 72850, could be used to claim CLDN18.2 IHC testing in addition to HER2 IHC as add-on tests. However, the ESCs noted the current application was requesting a separate MBS item for CLDN18 IHC testing. </w:t>
      </w:r>
    </w:p>
    <w:p w14:paraId="57F00481"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the clinical evidence suggested adding zolbetuximab to standard chemotherapy for CLDN18.2-positive patients improves survival by 2.2–2.7 months compared to chemotherapy alone.</w:t>
      </w:r>
      <w:r w:rsidRPr="00F428A9" w:rsidDel="00091477">
        <w:rPr>
          <w:rFonts w:ascii="Franklin Gothic Book" w:hAnsi="Franklin Gothic Book"/>
          <w:sz w:val="22"/>
        </w:rPr>
        <w:t xml:space="preserve"> </w:t>
      </w:r>
    </w:p>
    <w:p w14:paraId="2DE9B06A"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considered that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IHC assay demonstrated good to excellent analytical performance with high sensitivity (94%) and specificity (97%). The ESCs considered the analytical performance of Ventana® CLDN18 testing demonstrating high reproducibility across reagent lots, instruments, between days, laboratory sites, and pathologist interpretations. In addition, the ESCs noted clinical performance of the assay showed 96% accuracy and a high positive predictive value of 96%. However, the ESCs noted that the semi-quantitative nature of IHC testing and the potential for subjective interpretation, meant that performance metrics are reliant on consistent IHC interpretation across pathologists. Therefore, the ESCs emphasised the importance of appropriate pathologist training in semi-quantitative IHC interpretation and the establishment of an external quality assurance program (EQAP). The ESCs noted that different antibodies (e.g., Ventana, </w:t>
      </w:r>
      <w:proofErr w:type="spellStart"/>
      <w:r w:rsidRPr="00F428A9">
        <w:rPr>
          <w:rFonts w:ascii="Franklin Gothic Book" w:hAnsi="Franklin Gothic Book"/>
          <w:sz w:val="22"/>
        </w:rPr>
        <w:t>LSBio</w:t>
      </w:r>
      <w:proofErr w:type="spellEnd"/>
      <w:r w:rsidRPr="00F428A9">
        <w:rPr>
          <w:rFonts w:ascii="Franklin Gothic Book" w:hAnsi="Franklin Gothic Book"/>
          <w:sz w:val="22"/>
        </w:rPr>
        <w:t xml:space="preserve">, Novus) and platforms (e.g., Dako, Ventana) are commercially available and can be used to perform IHC staining for evaluation of CLDN18.2 status in gastric cancer tissues. The ESCs further noted that performance differences across platforms exist. Therefore, the ESCs highlighted the importance of validating protocols for specific antibody-platform combinations. The ESCs noted that IHC testing is well established in Australia and considered, regardless of the assay or platform used in Australian laboratories, a high degree of correlation with the clinical utility standard could be expected. </w:t>
      </w:r>
    </w:p>
    <w:p w14:paraId="7921AD65" w14:textId="366402B3"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no data was provided to establish stability of CLDN18.2 in formalin-fixed paraffin-embedded (FFPE) tissue blocks or tissue microarray (TMA) sections, except for 3-month stability as demonstrated in the Global Ring study</w:t>
      </w:r>
      <w:r w:rsidR="00A528D8">
        <w:rPr>
          <w:rFonts w:ascii="Franklin Gothic Book" w:hAnsi="Franklin Gothic Book"/>
          <w:sz w:val="22"/>
        </w:rPr>
        <w:t xml:space="preserve"> (Jasani et al 2024)</w:t>
      </w:r>
      <w:r w:rsidRPr="00F428A9">
        <w:rPr>
          <w:rFonts w:ascii="Franklin Gothic Book" w:hAnsi="Franklin Gothic Book"/>
          <w:sz w:val="22"/>
        </w:rPr>
        <w:t>.</w:t>
      </w:r>
      <w:r w:rsidRPr="00F428A9" w:rsidDel="003571B9">
        <w:rPr>
          <w:rFonts w:ascii="Franklin Gothic Book" w:hAnsi="Franklin Gothic Book"/>
          <w:sz w:val="22"/>
        </w:rPr>
        <w:t xml:space="preserve"> </w:t>
      </w:r>
      <w:r w:rsidRPr="00F428A9">
        <w:rPr>
          <w:rFonts w:ascii="Franklin Gothic Book" w:hAnsi="Franklin Gothic Book"/>
          <w:sz w:val="22"/>
        </w:rPr>
        <w:t>However, the ESCs considered it reasonable to expect limited loss of CLDN18 antigenicity when being preserved for up to a year.</w:t>
      </w:r>
    </w:p>
    <w:p w14:paraId="1C05E232"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the study by Kim et al., 2024</w:t>
      </w:r>
      <w:r w:rsidRPr="00F428A9">
        <w:rPr>
          <w:rStyle w:val="FootnoteReference"/>
          <w:rFonts w:ascii="Franklin Gothic Book" w:hAnsi="Franklin Gothic Book"/>
          <w:sz w:val="22"/>
        </w:rPr>
        <w:footnoteReference w:id="20"/>
      </w:r>
      <w:r w:rsidRPr="00F428A9">
        <w:rPr>
          <w:rFonts w:ascii="Franklin Gothic Book" w:hAnsi="Franklin Gothic Book"/>
          <w:sz w:val="22"/>
        </w:rPr>
        <w:t xml:space="preserve"> reported that intratumor heterogeneity in CLDN18.2 expression exists, which could be addressed by testing multiple biopsies from the same tumour to improve sensitivity. Furthermore, the ESCs noted that it is standard practice in Australian laboratories performing IHC testing to test 2-8 biopsies, particularly as endoscopic biopsies may not fully represent the entire tumour. </w:t>
      </w:r>
    </w:p>
    <w:p w14:paraId="28C35E39" w14:textId="253C7BD9"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that zolbetuximab is a monoclonal antibody that targets and binds to the CLDN18.2 protein. However, the proposed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does not target specific isoforms of CLDN18. Therefore, both CLDN18.1 (mainly expressed in lung tissue) and CLDN18.2 (mainly expressed in gastric tissue) are detected by this test. The submission stated that testing of gastric tissue with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would produce a result that is reflective of the CLDN18.2 level. However, the ESCs noted that is unclear to what extent CLDN18.1 is expressed in gastric tissue and therefore the CLDN18.2 level has the potential to be overestimated. The ESCs noted one study (Sahin et al., 2008)</w:t>
      </w:r>
      <w:r w:rsidR="00EC65D7">
        <w:rPr>
          <w:rFonts w:ascii="Franklin Gothic Book" w:hAnsi="Franklin Gothic Book"/>
          <w:sz w:val="22"/>
        </w:rPr>
        <w:t xml:space="preserve"> </w:t>
      </w:r>
      <w:r w:rsidRPr="00F428A9">
        <w:rPr>
          <w:rFonts w:ascii="Franklin Gothic Book" w:hAnsi="Franklin Gothic Book"/>
          <w:sz w:val="22"/>
        </w:rPr>
        <w:t xml:space="preserve">that suggested CLDN18.2 is a lineage-specific marker that is highly selective for short-lived gastric epithelial cells and is absent from healthy tissues, meanwhile CLDN18.1 is predominantly expressed in lung tissue. Therefore, the ESCs considered that the CLDN18.2 is a highly selective gastric lineage marker expressed in short-lived differentiated cells but not in the stem cell zone of the stomach mucosa. The ESCs concluded that it is likely that the results following testing of gastric tissue using the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would be reflective of the CLDN18.2 expression level and would therefore appropriately select patients for zolbetuximab treatment. </w:t>
      </w:r>
    </w:p>
    <w:p w14:paraId="6A02842D"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the submission presented retrospective studies across which CLDN18.2 expression levels were not reliably prognostic of overall survival (OS) outcomes. However, the commentary presented a recent systematic review and meta-analysis by Moraes et al. (2024,) which concluded that CLDN18.2 expression is a negative prognostic indicator for OS in these patients. The ESCs noted that the Moraes analysis showed a non-significant effect on progression-free survival (PFS) and included in the meta-analysis had varying definitions of a modest effect on OS (Hazard ratio (HR) for prolonged OS for CLDN18.2 negative status: 1.20; 95% CI: 1.07-1.34; p&lt;0.01). The study looked specifically at CLDN18.2 negative status, rather than the predictive effect of a high CLD18.2 positivity. Overall, the ESCs concluded that the available evidence suggests that expressing CLDN18.2 is possibly prognostic of poorer health outcomes in gastric cancer, but the quality and applicability of this evidence to the proposed Australian clinical population is uncertain. </w:t>
      </w:r>
    </w:p>
    <w:p w14:paraId="7D959985"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that the Ring study (Jasani et al 2024), which used Ventana® CLDN18 (43-14A) </w:t>
      </w:r>
      <w:proofErr w:type="spellStart"/>
      <w:r w:rsidRPr="00F428A9">
        <w:rPr>
          <w:rFonts w:ascii="Franklin Gothic Book" w:hAnsi="Franklin Gothic Book"/>
          <w:sz w:val="22"/>
        </w:rPr>
        <w:t>RxDx</w:t>
      </w:r>
      <w:proofErr w:type="spellEnd"/>
      <w:r w:rsidRPr="00F428A9">
        <w:rPr>
          <w:rFonts w:ascii="Franklin Gothic Book" w:hAnsi="Franklin Gothic Book"/>
          <w:sz w:val="22"/>
        </w:rPr>
        <w:t xml:space="preserve"> assay, defined a positive result for CLDN18.2 as ≥75% of tumour cells showing moderate-to-strong membranous staining above the background level. The ESCs also noted that the SPOTLIGHT and GLOW trials included only patients who were positive for CLDN18.2 at a threshold of ≥75% of tumour cells with moderate to strong membranous CLDN18.2 IHC staining. </w:t>
      </w:r>
    </w:p>
    <w:p w14:paraId="6F2F8816"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The ESCs noted the claim of non-inferior safety for the test compared to no testing. As CLDN18.2 testing is conducted alongside HER2 IHC/ISH as part of the standard diagnostic process, it does not introduce extra safety burdens. The ESCs considered that the test posed no additional safety concerns and that adverse events related to testing were minimal. Overall, the ESCs concluded that the claim of non-inferior safety compared to no testing was appropriate.</w:t>
      </w:r>
    </w:p>
    <w:p w14:paraId="0D84AF1A"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the economic model was based on a cost minimisation analysis (CMA) approach comparing zolbetuximab in combination with chemotherapy with CLDN18 testing, to nivolumab in combination with chemotherapy with no testing based on the noninferiority claim of efficacy and safety. The ESCs agreed with the commentary that a CMA would be appropriate if the claims of noninferior efficacy and safety are accepted and that zolbetuximab plus chemotherapy is indicated as a first line of treatment for patients with metastatic disease. The ESCs further noted the applicant’s updated analysis which suggested the test costs would have minimal impact. However, the ESCs advised that there were </w:t>
      </w:r>
      <w:proofErr w:type="gramStart"/>
      <w:r w:rsidRPr="00F428A9">
        <w:rPr>
          <w:rFonts w:ascii="Franklin Gothic Book" w:hAnsi="Franklin Gothic Book"/>
          <w:sz w:val="22"/>
        </w:rPr>
        <w:t>a number of</w:t>
      </w:r>
      <w:proofErr w:type="gramEnd"/>
      <w:r w:rsidRPr="00F428A9">
        <w:rPr>
          <w:rFonts w:ascii="Franklin Gothic Book" w:hAnsi="Franklin Gothic Book"/>
          <w:sz w:val="22"/>
        </w:rPr>
        <w:t xml:space="preserve"> issues to be resolved that will have an impact on the results of the CMA. </w:t>
      </w:r>
    </w:p>
    <w:p w14:paraId="363E3CB5" w14:textId="77777777" w:rsidR="00333EDF" w:rsidRPr="00F428A9" w:rsidRDefault="00333EDF" w:rsidP="00F428A9">
      <w:pPr>
        <w:pStyle w:val="MSACESParagraph"/>
        <w:rPr>
          <w:rFonts w:ascii="Franklin Gothic Book" w:hAnsi="Franklin Gothic Book"/>
          <w:sz w:val="22"/>
        </w:rPr>
      </w:pPr>
      <w:r w:rsidRPr="00F428A9">
        <w:rPr>
          <w:rFonts w:ascii="Franklin Gothic Book" w:hAnsi="Franklin Gothic Book"/>
          <w:sz w:val="22"/>
        </w:rPr>
        <w:t xml:space="preserve">The ESCs noted the financial implications were based on an incidence-based epidemiological approach. However, the ESCs noted several limitations, including uncertainty around the prevalence of patients with G/GOJ adenocarcinoma, </w:t>
      </w:r>
      <w:r w:rsidRPr="00035B8B">
        <w:rPr>
          <w:rFonts w:ascii="Franklin Gothic Book" w:hAnsi="Franklin Gothic Book"/>
          <w:sz w:val="22"/>
        </w:rPr>
        <w:t xml:space="preserve">potential underestimation of the number of patients undergoing CLDN 18 testing and re-testing, exclusion of costs associated with intravenous infusions of chemotherapy and assumed lower rebate. While the ESCs acknowledged the updated financial analysis provided in the pre-ESC response, which addressed some of the concerns, they advised that a revision of the financial analysis would be required to address the </w:t>
      </w:r>
      <w:proofErr w:type="gramStart"/>
      <w:r w:rsidRPr="00035B8B">
        <w:rPr>
          <w:rFonts w:ascii="Franklin Gothic Book" w:hAnsi="Franklin Gothic Book"/>
          <w:sz w:val="22"/>
        </w:rPr>
        <w:t>aforementioned uncertainties</w:t>
      </w:r>
      <w:proofErr w:type="gramEnd"/>
      <w:r w:rsidRPr="00035B8B">
        <w:rPr>
          <w:rFonts w:ascii="Franklin Gothic Book" w:hAnsi="Franklin Gothic Book"/>
          <w:sz w:val="22"/>
        </w:rPr>
        <w:t xml:space="preserve"> </w:t>
      </w:r>
      <w:proofErr w:type="gramStart"/>
      <w:r w:rsidRPr="00035B8B">
        <w:rPr>
          <w:rFonts w:ascii="Franklin Gothic Book" w:hAnsi="Franklin Gothic Book"/>
          <w:sz w:val="22"/>
        </w:rPr>
        <w:t>and also</w:t>
      </w:r>
      <w:proofErr w:type="gramEnd"/>
      <w:r w:rsidRPr="00035B8B">
        <w:rPr>
          <w:rFonts w:ascii="Franklin Gothic Book" w:hAnsi="Franklin Gothic Book"/>
          <w:sz w:val="22"/>
        </w:rPr>
        <w:t xml:space="preserve"> to </w:t>
      </w:r>
      <w:proofErr w:type="gramStart"/>
      <w:r w:rsidRPr="00035B8B">
        <w:rPr>
          <w:rFonts w:ascii="Franklin Gothic Book" w:hAnsi="Franklin Gothic Book"/>
          <w:sz w:val="22"/>
        </w:rPr>
        <w:t>take into account</w:t>
      </w:r>
      <w:proofErr w:type="gramEnd"/>
      <w:r w:rsidRPr="00035B8B">
        <w:rPr>
          <w:rFonts w:ascii="Franklin Gothic Book" w:hAnsi="Franklin Gothic Book"/>
          <w:sz w:val="22"/>
        </w:rPr>
        <w:t xml:space="preserve"> the ESC supported test fee of $74.50 (Table MSAC.11 presents updated post-ESC analysis).</w:t>
      </w:r>
      <w:r w:rsidRPr="00F428A9">
        <w:rPr>
          <w:rFonts w:ascii="Franklin Gothic Book" w:hAnsi="Franklin Gothic Book"/>
          <w:sz w:val="22"/>
        </w:rPr>
        <w:t xml:space="preserve"> </w:t>
      </w:r>
      <w:r w:rsidRPr="00035B8B">
        <w:rPr>
          <w:rFonts w:ascii="Franklin Gothic Book" w:hAnsi="Franklin Gothic Book"/>
          <w:sz w:val="22"/>
        </w:rPr>
        <w:t>The ESCs further noted that the financials will still be an underestimate given the model could have been structured to better account for cost of adverse events.</w:t>
      </w:r>
    </w:p>
    <w:p w14:paraId="29737AB5" w14:textId="7EAFF177" w:rsidR="00F428A9" w:rsidRPr="003A793E" w:rsidRDefault="00F428A9"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bookmarkStart w:id="80" w:name="_Hlk193984667"/>
      <w:r w:rsidRPr="003A793E">
        <w:rPr>
          <w:rFonts w:ascii="Franklin Gothic Medium" w:hAnsi="Franklin Gothic Medium"/>
          <w:b w:val="0"/>
          <w:i w:val="0"/>
          <w:snapToGrid/>
          <w:color w:val="000000" w:themeColor="text1"/>
          <w:sz w:val="32"/>
          <w:szCs w:val="26"/>
        </w:rPr>
        <w:t>Applicant comments on MSAC’s Public Summary Document</w:t>
      </w:r>
    </w:p>
    <w:p w14:paraId="3C8C839A" w14:textId="22B1F979" w:rsidR="00910EE6" w:rsidRPr="009E3815" w:rsidRDefault="007E1C45" w:rsidP="00910EE6">
      <w:pPr>
        <w:spacing w:after="240" w:line="259" w:lineRule="auto"/>
        <w:jc w:val="left"/>
        <w:rPr>
          <w:rFonts w:ascii="Franklin Gothic Book" w:hAnsi="Franklin Gothic Book"/>
          <w:sz w:val="22"/>
        </w:rPr>
      </w:pPr>
      <w:r w:rsidRPr="009E3815">
        <w:rPr>
          <w:rFonts w:ascii="Franklin Gothic Book" w:hAnsi="Franklin Gothic Book"/>
          <w:sz w:val="22"/>
        </w:rPr>
        <w:t xml:space="preserve">The applicant acknowledges MSAC’s support for the co-dependent listing of zolbetuximab and CLDN18 IHC testing. We agree with MSAC’s interpretation of the clinical and economic evidence, including the biological rationale for co-dependence. We also note the importance of implementation support, including quality assurance and pathologist training, to ensure accurate and consistent testing across pathology centres. </w:t>
      </w:r>
    </w:p>
    <w:p w14:paraId="38F4880F" w14:textId="4E082EDE" w:rsidR="00F428A9" w:rsidRPr="003A793E" w:rsidRDefault="00F428A9" w:rsidP="00B50C3D">
      <w:pPr>
        <w:pStyle w:val="Heading2"/>
        <w:numPr>
          <w:ilvl w:val="0"/>
          <w:numId w:val="27"/>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Further information on MSAC</w:t>
      </w:r>
    </w:p>
    <w:p w14:paraId="7295F832" w14:textId="28CD490D" w:rsidR="00BA06AA" w:rsidRPr="007C3B0C" w:rsidRDefault="00F428A9" w:rsidP="00F428A9">
      <w:pPr>
        <w:pStyle w:val="BodyText"/>
      </w:pPr>
      <w:r w:rsidRPr="00F309FA">
        <w:rPr>
          <w:rFonts w:ascii="Franklin Gothic Book" w:hAnsi="Franklin Gothic Book"/>
          <w:bCs/>
          <w:iCs/>
          <w:sz w:val="22"/>
        </w:rPr>
        <w:t xml:space="preserve">MSAC Terms of Reference and other information are available on the MSAC Website: </w:t>
      </w:r>
      <w:hyperlink r:id="rId12" w:tooltip="Link to the MSAC website" w:history="1">
        <w:r w:rsidRPr="000D2098">
          <w:rPr>
            <w:rStyle w:val="Hyperlink"/>
            <w:rFonts w:ascii="Franklin Gothic Book" w:hAnsi="Franklin Gothic Book"/>
            <w:iCs/>
            <w:color w:val="007BB8"/>
            <w:sz w:val="22"/>
          </w:rPr>
          <w:t>visit the MSAC website</w:t>
        </w:r>
      </w:hyperlink>
      <w:bookmarkEnd w:id="78"/>
      <w:bookmarkEnd w:id="79"/>
      <w:bookmarkEnd w:id="80"/>
    </w:p>
    <w:sectPr w:rsidR="00BA06AA" w:rsidRPr="007C3B0C" w:rsidSect="00333E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8A30" w14:textId="77777777" w:rsidR="004B40D3" w:rsidRDefault="004B40D3" w:rsidP="00BA3306">
      <w:pPr>
        <w:spacing w:before="0" w:after="0"/>
      </w:pPr>
      <w:r>
        <w:separator/>
      </w:r>
    </w:p>
    <w:p w14:paraId="58241A78" w14:textId="77777777" w:rsidR="004B40D3" w:rsidRDefault="004B40D3"/>
  </w:endnote>
  <w:endnote w:type="continuationSeparator" w:id="0">
    <w:p w14:paraId="4B98B210" w14:textId="77777777" w:rsidR="004B40D3" w:rsidRDefault="004B40D3" w:rsidP="00BA3306">
      <w:pPr>
        <w:spacing w:before="0" w:after="0"/>
      </w:pPr>
      <w:r>
        <w:continuationSeparator/>
      </w:r>
    </w:p>
    <w:p w14:paraId="3BF3F33E" w14:textId="77777777" w:rsidR="004B40D3" w:rsidRDefault="004B40D3"/>
  </w:endnote>
  <w:endnote w:type="continuationNotice" w:id="1">
    <w:p w14:paraId="35A53E00" w14:textId="77777777" w:rsidR="004B40D3" w:rsidRDefault="004B40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80526"/>
      <w:docPartObj>
        <w:docPartGallery w:val="Page Numbers (Bottom of Page)"/>
        <w:docPartUnique/>
      </w:docPartObj>
    </w:sdtPr>
    <w:sdtEndPr>
      <w:rPr>
        <w:noProof/>
      </w:rPr>
    </w:sdtEndPr>
    <w:sdtContent>
      <w:p w14:paraId="12DEBC2A" w14:textId="775BC332" w:rsidR="004C2820" w:rsidRDefault="004C2820" w:rsidP="004C28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EBCD" w14:textId="77777777" w:rsidR="004B40D3" w:rsidRDefault="004B40D3" w:rsidP="00BA3306">
      <w:pPr>
        <w:spacing w:before="0" w:after="0"/>
      </w:pPr>
      <w:r>
        <w:separator/>
      </w:r>
    </w:p>
    <w:p w14:paraId="3AA8F74E" w14:textId="77777777" w:rsidR="004B40D3" w:rsidRDefault="004B40D3"/>
  </w:footnote>
  <w:footnote w:type="continuationSeparator" w:id="0">
    <w:p w14:paraId="2F532BF1" w14:textId="77777777" w:rsidR="004B40D3" w:rsidRDefault="004B40D3" w:rsidP="00BA3306">
      <w:pPr>
        <w:spacing w:before="0" w:after="0"/>
      </w:pPr>
      <w:r>
        <w:continuationSeparator/>
      </w:r>
    </w:p>
    <w:p w14:paraId="24C98276" w14:textId="77777777" w:rsidR="004B40D3" w:rsidRDefault="004B40D3"/>
  </w:footnote>
  <w:footnote w:type="continuationNotice" w:id="1">
    <w:p w14:paraId="1F956E7A" w14:textId="77777777" w:rsidR="004B40D3" w:rsidRDefault="004B40D3">
      <w:pPr>
        <w:spacing w:before="0" w:after="0"/>
      </w:pPr>
    </w:p>
  </w:footnote>
  <w:footnote w:id="2">
    <w:p w14:paraId="1BD91E33" w14:textId="6794E37D" w:rsidR="00403B19" w:rsidRDefault="00403B19">
      <w:pPr>
        <w:pStyle w:val="FootnoteText"/>
      </w:pPr>
      <w:r>
        <w:rPr>
          <w:rStyle w:val="FootnoteReference"/>
        </w:rPr>
        <w:footnoteRef/>
      </w:r>
      <w:r>
        <w:t xml:space="preserve"> ESMO Gastric Cancer Living Guideline, V1.4 Sept 2024, </w:t>
      </w:r>
      <w:hyperlink r:id="rId1" w:history="1">
        <w:r w:rsidRPr="00F7037E">
          <w:rPr>
            <w:rStyle w:val="Hyperlink"/>
            <w:color w:val="007BB8"/>
          </w:rPr>
          <w:t>https://www.esmo.org/living-guidelines/esmo-gastric-cancer-living-guideline/metastatic-disease/metastatic-disease/first-line-her2-negative</w:t>
        </w:r>
      </w:hyperlink>
    </w:p>
    <w:p w14:paraId="442C3195" w14:textId="77777777" w:rsidR="00403B19" w:rsidRDefault="00403B19">
      <w:pPr>
        <w:pStyle w:val="FootnoteText"/>
      </w:pPr>
    </w:p>
  </w:footnote>
  <w:footnote w:id="3">
    <w:p w14:paraId="01E56200" w14:textId="51341EDA" w:rsidR="00403B19" w:rsidRDefault="00403B19">
      <w:pPr>
        <w:pStyle w:val="FootnoteText"/>
      </w:pPr>
      <w:r>
        <w:rPr>
          <w:rStyle w:val="FootnoteReference"/>
        </w:rPr>
        <w:footnoteRef/>
      </w:r>
      <w:r>
        <w:t xml:space="preserve"> NCCN Gastric Cancer Guidelines (Version 5.2024),</w:t>
      </w:r>
      <w:r w:rsidRPr="00834B02">
        <w:t xml:space="preserve"> </w:t>
      </w:r>
      <w:hyperlink r:id="rId2" w:history="1">
        <w:r w:rsidRPr="00F7037E">
          <w:rPr>
            <w:rStyle w:val="Hyperlink"/>
            <w:color w:val="007BB8"/>
          </w:rPr>
          <w:t>https://www.nccn.org/professionals/physician_gls/pdf/gastric.pdf</w:t>
        </w:r>
      </w:hyperlink>
    </w:p>
  </w:footnote>
  <w:footnote w:id="4">
    <w:p w14:paraId="259D290C" w14:textId="497FA6F1" w:rsidR="00403B19" w:rsidRDefault="00403B19">
      <w:pPr>
        <w:pStyle w:val="FootnoteText"/>
      </w:pPr>
      <w:r>
        <w:rPr>
          <w:rStyle w:val="FootnoteReference"/>
        </w:rPr>
        <w:footnoteRef/>
      </w:r>
      <w:r>
        <w:t xml:space="preserve"> </w:t>
      </w:r>
      <w:r w:rsidRPr="006C73D8">
        <w:t>US food and drug administration, FDA approves zolbetuximab-</w:t>
      </w:r>
      <w:proofErr w:type="spellStart"/>
      <w:r w:rsidRPr="006C73D8">
        <w:t>clzb</w:t>
      </w:r>
      <w:proofErr w:type="spellEnd"/>
      <w:r w:rsidRPr="006C73D8">
        <w:t xml:space="preserve"> with chemotherapy for gastric or gastroesophageal junction adenocarcinoma</w:t>
      </w:r>
      <w:r>
        <w:t>,</w:t>
      </w:r>
      <w:r w:rsidRPr="006C73D8">
        <w:t xml:space="preserve"> </w:t>
      </w:r>
      <w:hyperlink r:id="rId3" w:history="1">
        <w:r w:rsidRPr="000D2098">
          <w:rPr>
            <w:rStyle w:val="Hyperlink"/>
            <w:color w:val="007BB8"/>
          </w:rPr>
          <w:t>https://www.fda.gov/drugs/resources-information-approved-drugs/fda-approves-zolbetuximab-clzb-chemotherapy-gastric-or-gastroesophageal-junction-adenocarcinoma</w:t>
        </w:r>
      </w:hyperlink>
      <w:r>
        <w:t xml:space="preserve">, </w:t>
      </w:r>
      <w:r w:rsidRPr="006C73D8">
        <w:t>Accessed on 11th Nov 2024.</w:t>
      </w:r>
    </w:p>
  </w:footnote>
  <w:footnote w:id="5">
    <w:p w14:paraId="5A223201" w14:textId="5DF66774" w:rsidR="00403B19" w:rsidRDefault="00403B19" w:rsidP="004C4E7B">
      <w:pPr>
        <w:pStyle w:val="FootnoteText"/>
      </w:pPr>
      <w:r>
        <w:rPr>
          <w:rStyle w:val="FootnoteReference"/>
        </w:rPr>
        <w:footnoteRef/>
      </w:r>
      <w:r>
        <w:t xml:space="preserve"> </w:t>
      </w:r>
      <w:r w:rsidRPr="009E2A8C">
        <w:t>Pellino</w:t>
      </w:r>
      <w:r>
        <w:t>,</w:t>
      </w:r>
      <w:r w:rsidRPr="009E2A8C">
        <w:t xml:space="preserve"> A</w:t>
      </w:r>
      <w:r>
        <w:t>.</w:t>
      </w:r>
      <w:r w:rsidRPr="009E2A8C">
        <w:t>, et al.</w:t>
      </w:r>
      <w:r>
        <w:t>, (2021),</w:t>
      </w:r>
      <w:r w:rsidRPr="009E2A8C">
        <w:t xml:space="preserve"> </w:t>
      </w:r>
      <w:r>
        <w:t>‘</w:t>
      </w:r>
      <w:r w:rsidRPr="009E2A8C">
        <w:t>Association of CLDN18 Protein Expression with Clinicopathological Features and Prognosis in Advanced Gastric and Gastroesophageal Junction Adenocarcinomas</w:t>
      </w:r>
      <w:r>
        <w:t>’,</w:t>
      </w:r>
      <w:r w:rsidRPr="009E2A8C">
        <w:t xml:space="preserve"> </w:t>
      </w:r>
      <w:r w:rsidRPr="009E2A8C">
        <w:rPr>
          <w:i/>
          <w:iCs/>
        </w:rPr>
        <w:t>J Pers Med</w:t>
      </w:r>
      <w:r>
        <w:rPr>
          <w:i/>
          <w:iCs/>
        </w:rPr>
        <w:t xml:space="preserve">, </w:t>
      </w:r>
      <w:r w:rsidRPr="009E2A8C">
        <w:t>11(11):1095</w:t>
      </w:r>
      <w:r>
        <w:t xml:space="preserve">, </w:t>
      </w:r>
      <w:hyperlink r:id="rId4" w:history="1">
        <w:r w:rsidRPr="000D2098">
          <w:rPr>
            <w:rStyle w:val="Hyperlink"/>
            <w:color w:val="007BB8"/>
          </w:rPr>
          <w:t>https://pubmed.ncbi.nlm.nih.gov/34834447/</w:t>
        </w:r>
      </w:hyperlink>
      <w:r>
        <w:t xml:space="preserve"> </w:t>
      </w:r>
    </w:p>
  </w:footnote>
  <w:footnote w:id="6">
    <w:p w14:paraId="6CE52687" w14:textId="621233E0" w:rsidR="00403B19" w:rsidRDefault="00403B19" w:rsidP="004C4E7B">
      <w:pPr>
        <w:pStyle w:val="FootnoteText"/>
      </w:pPr>
      <w:r>
        <w:rPr>
          <w:rStyle w:val="FootnoteReference"/>
        </w:rPr>
        <w:footnoteRef/>
      </w:r>
      <w:r>
        <w:t xml:space="preserve"> </w:t>
      </w:r>
      <w:r w:rsidRPr="00CF2F45">
        <w:t>Kubota</w:t>
      </w:r>
      <w:r>
        <w:t>,</w:t>
      </w:r>
      <w:r w:rsidRPr="00CF2F45">
        <w:t xml:space="preserve"> Y</w:t>
      </w:r>
      <w:r>
        <w:t>.</w:t>
      </w:r>
      <w:r w:rsidRPr="00CF2F45">
        <w:t>, et al.</w:t>
      </w:r>
      <w:r>
        <w:t>,</w:t>
      </w:r>
      <w:r w:rsidRPr="00CF2F45">
        <w:t xml:space="preserve"> </w:t>
      </w:r>
      <w:r>
        <w:t>(2023), ‘</w:t>
      </w:r>
      <w:r w:rsidRPr="00CF2F45">
        <w:t>Comprehensive clinical and molecular characterization of claudin 18.2 expression in advanced gastric or gastroesophageal junction cancer</w:t>
      </w:r>
      <w:r>
        <w:t>’,</w:t>
      </w:r>
      <w:r w:rsidRPr="00CF2F45">
        <w:t xml:space="preserve"> </w:t>
      </w:r>
      <w:r w:rsidRPr="00CF2F45">
        <w:rPr>
          <w:i/>
          <w:iCs/>
        </w:rPr>
        <w:t>ESMO Open</w:t>
      </w:r>
      <w:r>
        <w:t xml:space="preserve">, </w:t>
      </w:r>
      <w:r w:rsidRPr="000D2098">
        <w:rPr>
          <w:rStyle w:val="Hyperlink"/>
          <w:color w:val="007BB8"/>
        </w:rPr>
        <w:t>https://doi.org:10.1016/j.esmoop.2022.100762</w:t>
      </w:r>
      <w:r>
        <w:t xml:space="preserve"> </w:t>
      </w:r>
    </w:p>
  </w:footnote>
  <w:footnote w:id="7">
    <w:p w14:paraId="2E0404E7" w14:textId="0A8F0C90" w:rsidR="00403B19" w:rsidRDefault="00403B19" w:rsidP="004C4E7B">
      <w:pPr>
        <w:pStyle w:val="FootnoteText"/>
      </w:pPr>
      <w:r>
        <w:rPr>
          <w:rStyle w:val="FootnoteReference"/>
        </w:rPr>
        <w:footnoteRef/>
      </w:r>
      <w:r>
        <w:t xml:space="preserve"> </w:t>
      </w:r>
      <w:r w:rsidRPr="00ED18BA">
        <w:t>Waters</w:t>
      </w:r>
      <w:r>
        <w:t>,</w:t>
      </w:r>
      <w:r w:rsidRPr="00ED18BA">
        <w:t xml:space="preserve"> R., et al.</w:t>
      </w:r>
      <w:r>
        <w:t>, (2024), ‘</w:t>
      </w:r>
      <w:r w:rsidRPr="00ED18BA">
        <w:t>Retrospective Study of Claudin 18 Isoform 2 Prevalence and Prognostic Association in Gastric and Gastroesophageal Junction Adenocarcinoma</w:t>
      </w:r>
      <w:r>
        <w:t>’,</w:t>
      </w:r>
      <w:r w:rsidRPr="00ED18BA">
        <w:t xml:space="preserve"> </w:t>
      </w:r>
      <w:r w:rsidRPr="00ED18BA">
        <w:rPr>
          <w:i/>
          <w:iCs/>
        </w:rPr>
        <w:t>JCO Precision Oncology</w:t>
      </w:r>
      <w:r w:rsidRPr="00A84472">
        <w:t xml:space="preserve">, </w:t>
      </w:r>
      <w:r w:rsidRPr="00ED18BA">
        <w:t>8,</w:t>
      </w:r>
      <w:r>
        <w:t xml:space="preserve"> </w:t>
      </w:r>
      <w:hyperlink r:id="rId5" w:history="1">
        <w:r w:rsidRPr="000D2098">
          <w:rPr>
            <w:rStyle w:val="Hyperlink"/>
            <w:color w:val="007BB8"/>
          </w:rPr>
          <w:t>https://ascopubs.org/doi/10.1200/PO.23.00543</w:t>
        </w:r>
      </w:hyperlink>
      <w:r w:rsidRPr="00ED18BA">
        <w:t xml:space="preserve"> </w:t>
      </w:r>
    </w:p>
  </w:footnote>
  <w:footnote w:id="8">
    <w:p w14:paraId="5C27C9E4" w14:textId="090DD1B1" w:rsidR="00403B19" w:rsidRDefault="00403B19">
      <w:pPr>
        <w:pStyle w:val="FootnoteText"/>
      </w:pPr>
      <w:r>
        <w:rPr>
          <w:rStyle w:val="FootnoteReference"/>
        </w:rPr>
        <w:footnoteRef/>
      </w:r>
      <w:r>
        <w:t xml:space="preserve"> </w:t>
      </w:r>
      <w:r w:rsidRPr="0010462B">
        <w:t>Jasani B</w:t>
      </w:r>
      <w:r>
        <w:t>.</w:t>
      </w:r>
      <w:r w:rsidRPr="0010462B">
        <w:t xml:space="preserve">, </w:t>
      </w:r>
      <w:r>
        <w:t>et al (2024)</w:t>
      </w:r>
      <w:r w:rsidRPr="0010462B">
        <w:t xml:space="preserve">; </w:t>
      </w:r>
      <w:r>
        <w:t>‘</w:t>
      </w:r>
      <w:r w:rsidRPr="0010462B">
        <w:t>CLDN Study Group; Dodson A. Global Ring Study to Investigate the Comparability of Total Assay Performance of Commercial Claudin 18 Antibodies for Evaluation in Gastric Cancer</w:t>
      </w:r>
      <w:r>
        <w:t>’,</w:t>
      </w:r>
      <w:r w:rsidRPr="0010462B">
        <w:t xml:space="preserve"> </w:t>
      </w:r>
      <w:r w:rsidRPr="00D870A0">
        <w:rPr>
          <w:i/>
          <w:iCs/>
        </w:rPr>
        <w:t>Lab Invest</w:t>
      </w:r>
      <w:r w:rsidRPr="0010462B">
        <w:t>;104(1):100284.</w:t>
      </w:r>
    </w:p>
  </w:footnote>
  <w:footnote w:id="9">
    <w:p w14:paraId="5E888B97" w14:textId="623E9A87" w:rsidR="00403B19" w:rsidRDefault="00403B19" w:rsidP="0080584A">
      <w:pPr>
        <w:pStyle w:val="FootnoteText"/>
      </w:pPr>
      <w:r>
        <w:rPr>
          <w:rStyle w:val="FootnoteReference"/>
        </w:rPr>
        <w:footnoteRef/>
      </w:r>
      <w:r>
        <w:t xml:space="preserve"> S</w:t>
      </w:r>
      <w:r w:rsidRPr="00F005B0">
        <w:t>tratton</w:t>
      </w:r>
      <w:r>
        <w:t xml:space="preserve">, S., </w:t>
      </w:r>
      <w:r w:rsidRPr="00F005B0">
        <w:t>et al.</w:t>
      </w:r>
      <w:r>
        <w:t>, (2023),</w:t>
      </w:r>
      <w:r w:rsidRPr="00F005B0">
        <w:t xml:space="preserve"> </w:t>
      </w:r>
      <w:r>
        <w:t>‘</w:t>
      </w:r>
      <w:r w:rsidRPr="00F005B0">
        <w:t xml:space="preserve">Analytical and Clinical Performance of the VENTANA CLDN18 (43-14A) </w:t>
      </w:r>
      <w:proofErr w:type="spellStart"/>
      <w:r w:rsidRPr="00F005B0">
        <w:t>RxDx</w:t>
      </w:r>
      <w:proofErr w:type="spellEnd"/>
      <w:r w:rsidRPr="00F005B0">
        <w:t xml:space="preserve"> Assay in Gastric and Gastroesophageal Junction Adenocarcinoma Tissue Samples for Patient Identification in Two Phase 3 Trials of Zolbetuximab</w:t>
      </w:r>
      <w:r>
        <w:t xml:space="preserve">’, </w:t>
      </w:r>
      <w:r w:rsidRPr="00F005B0">
        <w:t>Poster:</w:t>
      </w:r>
      <w:hyperlink r:id="rId6" w:history="1">
        <w:r w:rsidRPr="000D2098">
          <w:rPr>
            <w:rStyle w:val="Hyperlink"/>
            <w:color w:val="007BB8"/>
          </w:rPr>
          <w:t>https://medically.roche.com/content/dam/pdmahub/restricted/oncology/ecp-2023/ECP-2023-poster-stratton-analytical-and-clinical-performance-of-the-VENTANA-CLDN18.pdf</w:t>
        </w:r>
      </w:hyperlink>
    </w:p>
  </w:footnote>
  <w:footnote w:id="10">
    <w:p w14:paraId="33D10726" w14:textId="01D7203E" w:rsidR="00403B19" w:rsidRDefault="00403B19" w:rsidP="00EF729D">
      <w:pPr>
        <w:pStyle w:val="FootnoteText"/>
      </w:pPr>
      <w:r>
        <w:rPr>
          <w:rStyle w:val="FootnoteReference"/>
        </w:rPr>
        <w:footnoteRef/>
      </w:r>
      <w:r>
        <w:t xml:space="preserve"> </w:t>
      </w:r>
      <w:r w:rsidRPr="00A82FEC">
        <w:t>Goldsmith</w:t>
      </w:r>
      <w:r>
        <w:t>, J.</w:t>
      </w:r>
      <w:r w:rsidRPr="00A82FEC">
        <w:t xml:space="preserve">, </w:t>
      </w:r>
      <w:r>
        <w:t>et al., (2024),</w:t>
      </w:r>
      <w:r w:rsidRPr="00A82FEC">
        <w:t xml:space="preserve"> </w:t>
      </w:r>
      <w:r>
        <w:t>‘</w:t>
      </w:r>
      <w:r w:rsidRPr="00A82FEC">
        <w:t>Principles of Analytic Validation of Immunohistochemical Assays: Guideline Update</w:t>
      </w:r>
      <w:r>
        <w:t>’,</w:t>
      </w:r>
      <w:r w:rsidRPr="00A82FEC">
        <w:t xml:space="preserve"> </w:t>
      </w:r>
      <w:r w:rsidRPr="008730CF">
        <w:rPr>
          <w:i/>
          <w:iCs/>
        </w:rPr>
        <w:t xml:space="preserve">Arch </w:t>
      </w:r>
      <w:proofErr w:type="spellStart"/>
      <w:r w:rsidRPr="008730CF">
        <w:rPr>
          <w:i/>
          <w:iCs/>
        </w:rPr>
        <w:t>Pathol</w:t>
      </w:r>
      <w:proofErr w:type="spellEnd"/>
      <w:r w:rsidRPr="008730CF">
        <w:rPr>
          <w:i/>
          <w:iCs/>
        </w:rPr>
        <w:t xml:space="preserve"> Lab Med</w:t>
      </w:r>
      <w:r>
        <w:t xml:space="preserve">, </w:t>
      </w:r>
      <w:r w:rsidRPr="00A82FEC">
        <w:t>148 (6): e111–e153</w:t>
      </w:r>
      <w:r>
        <w:t>,</w:t>
      </w:r>
      <w:r w:rsidRPr="00A82FEC">
        <w:t xml:space="preserve"> </w:t>
      </w:r>
      <w:hyperlink r:id="rId7" w:history="1">
        <w:r w:rsidRPr="000D2098">
          <w:rPr>
            <w:rStyle w:val="Hyperlink"/>
            <w:color w:val="007BB8"/>
          </w:rPr>
          <w:t>https://doi.org/10.5858/arpa.2023-0483-CP</w:t>
        </w:r>
      </w:hyperlink>
      <w:r>
        <w:t xml:space="preserve"> </w:t>
      </w:r>
    </w:p>
  </w:footnote>
  <w:footnote w:id="11">
    <w:p w14:paraId="0B404DE0" w14:textId="0E2F412A" w:rsidR="00403B19" w:rsidRDefault="00403B19">
      <w:pPr>
        <w:pStyle w:val="FootnoteText"/>
      </w:pPr>
      <w:r>
        <w:rPr>
          <w:rStyle w:val="FootnoteReference"/>
        </w:rPr>
        <w:footnoteRef/>
      </w:r>
      <w:r>
        <w:t xml:space="preserve"> </w:t>
      </w:r>
      <w:r w:rsidRPr="00732838">
        <w:t>Shitara</w:t>
      </w:r>
      <w:r>
        <w:t>,</w:t>
      </w:r>
      <w:r w:rsidRPr="00732838">
        <w:t xml:space="preserve"> K</w:t>
      </w:r>
      <w:r>
        <w:t>.</w:t>
      </w:r>
      <w:r w:rsidRPr="00732838">
        <w:t>, et al.</w:t>
      </w:r>
      <w:r>
        <w:t>, (2024), ‘</w:t>
      </w:r>
      <w:r w:rsidRPr="00732838">
        <w:t>Global prevalence of claudin 18 isoform 2 in tumours of patients with locally advanced unresectable or metastatic gastric or gastroesophageal junction adenocarcinoma</w:t>
      </w:r>
      <w:r>
        <w:t>’,</w:t>
      </w:r>
      <w:r w:rsidRPr="00732838">
        <w:t xml:space="preserve"> </w:t>
      </w:r>
      <w:r w:rsidRPr="002B0475">
        <w:rPr>
          <w:i/>
          <w:iCs/>
        </w:rPr>
        <w:t>Gastric Cancer</w:t>
      </w:r>
      <w:r>
        <w:rPr>
          <w:i/>
          <w:iCs/>
        </w:rPr>
        <w:t xml:space="preserve">, </w:t>
      </w:r>
      <w:r w:rsidRPr="002B0475">
        <w:t>27(5):</w:t>
      </w:r>
      <w:r w:rsidRPr="00732838">
        <w:t xml:space="preserve">1058-1068. </w:t>
      </w:r>
      <w:hyperlink r:id="rId8" w:history="1">
        <w:r w:rsidRPr="000D2098">
          <w:rPr>
            <w:rStyle w:val="Hyperlink"/>
            <w:color w:val="007BB8"/>
          </w:rPr>
          <w:t>https://link.springer.com/article/10.1007/s10120-024-01518-1</w:t>
        </w:r>
      </w:hyperlink>
      <w:r>
        <w:t xml:space="preserve"> </w:t>
      </w:r>
    </w:p>
  </w:footnote>
  <w:footnote w:id="12">
    <w:p w14:paraId="3FE94162" w14:textId="45E3A360" w:rsidR="00403B19" w:rsidRPr="006F5B21" w:rsidRDefault="00403B19" w:rsidP="004D7781">
      <w:pPr>
        <w:pStyle w:val="FootnoteText"/>
        <w:tabs>
          <w:tab w:val="left" w:pos="701"/>
        </w:tabs>
        <w:rPr>
          <w:i/>
          <w:iCs/>
        </w:rPr>
      </w:pPr>
      <w:r>
        <w:rPr>
          <w:rStyle w:val="FootnoteReference"/>
        </w:rPr>
        <w:footnoteRef/>
      </w:r>
      <w:r>
        <w:t xml:space="preserve"> </w:t>
      </w:r>
      <w:r w:rsidRPr="00C35AD0">
        <w:t>Coati, I., et al.</w:t>
      </w:r>
      <w:r>
        <w:t>, (2019),</w:t>
      </w:r>
      <w:r w:rsidRPr="00C35AD0">
        <w:t xml:space="preserve"> </w:t>
      </w:r>
      <w:r>
        <w:t>‘</w:t>
      </w:r>
      <w:r w:rsidRPr="00C35AD0">
        <w:t>Claudin-18 expression in esophagogastric adenocarcinomas: a tissue microarray study of 523 molecularly profiled cases</w:t>
      </w:r>
      <w:r>
        <w:t>’,</w:t>
      </w:r>
      <w:r w:rsidRPr="00C35AD0">
        <w:t xml:space="preserve"> </w:t>
      </w:r>
      <w:r w:rsidRPr="00C35AD0">
        <w:rPr>
          <w:i/>
          <w:iCs/>
        </w:rPr>
        <w:t>Br J Cancer</w:t>
      </w:r>
      <w:r>
        <w:rPr>
          <w:i/>
          <w:iCs/>
        </w:rPr>
        <w:t>,</w:t>
      </w:r>
      <w:r w:rsidRPr="00C35AD0">
        <w:t xml:space="preserve"> 121, 257–263</w:t>
      </w:r>
      <w:r>
        <w:t>,</w:t>
      </w:r>
      <w:r w:rsidRPr="00C35AD0">
        <w:t xml:space="preserve"> </w:t>
      </w:r>
      <w:hyperlink r:id="rId9" w:history="1">
        <w:r w:rsidRPr="000D2098">
          <w:rPr>
            <w:rStyle w:val="Hyperlink"/>
            <w:color w:val="007BB8"/>
          </w:rPr>
          <w:t>https://doi.org/10.1038/s41416-019-0508-4</w:t>
        </w:r>
      </w:hyperlink>
      <w:r>
        <w:t xml:space="preserve"> </w:t>
      </w:r>
      <w:r>
        <w:tab/>
      </w:r>
    </w:p>
  </w:footnote>
  <w:footnote w:id="13">
    <w:p w14:paraId="29EECE24" w14:textId="1CF7632D" w:rsidR="00403B19" w:rsidRDefault="00403B19">
      <w:pPr>
        <w:pStyle w:val="FootnoteText"/>
      </w:pPr>
      <w:r>
        <w:rPr>
          <w:rStyle w:val="FootnoteReference"/>
        </w:rPr>
        <w:footnoteRef/>
      </w:r>
      <w:r>
        <w:t xml:space="preserve"> Kim, S., et al., (2023), </w:t>
      </w:r>
      <w:r w:rsidRPr="006B16FD">
        <w:t xml:space="preserve">‘Clinicopathologic features and prognostic value of claudin 18.2 overexpression in patients with </w:t>
      </w:r>
      <w:proofErr w:type="spellStart"/>
      <w:r w:rsidRPr="006B16FD">
        <w:t>resectable</w:t>
      </w:r>
      <w:proofErr w:type="spellEnd"/>
      <w:r w:rsidRPr="006B16FD">
        <w:t xml:space="preserve"> gastric cancer’, Sci Rep, 13:20047, </w:t>
      </w:r>
      <w:r w:rsidRPr="000D2098">
        <w:rPr>
          <w:rStyle w:val="Hyperlink"/>
          <w:color w:val="007BB8"/>
        </w:rPr>
        <w:t>https://doi.org:10.1038/s41598-023-47178-6</w:t>
      </w:r>
      <w:r>
        <w:t xml:space="preserve"> </w:t>
      </w:r>
    </w:p>
  </w:footnote>
  <w:footnote w:id="14">
    <w:p w14:paraId="5009D971" w14:textId="0CD5D056" w:rsidR="00403B19" w:rsidRPr="00D13BCD" w:rsidRDefault="00403B19">
      <w:pPr>
        <w:pStyle w:val="FootnoteText"/>
      </w:pPr>
      <w:r>
        <w:rPr>
          <w:rStyle w:val="FootnoteReference"/>
        </w:rPr>
        <w:footnoteRef/>
      </w:r>
      <w:r>
        <w:t xml:space="preserve"> </w:t>
      </w:r>
      <w:proofErr w:type="spellStart"/>
      <w:r>
        <w:t>Angerilli</w:t>
      </w:r>
      <w:proofErr w:type="spellEnd"/>
      <w:r>
        <w:t xml:space="preserve"> V., et al., (2024), ‘</w:t>
      </w:r>
      <w:r w:rsidRPr="0031377C">
        <w:t>Claudin-18.2 testing and its impact in the therapeutic management of patients with gastric and gastroesophageal adenocarcinomas: A literature review with expert opinion</w:t>
      </w:r>
      <w:r>
        <w:t xml:space="preserve">’, </w:t>
      </w:r>
      <w:proofErr w:type="spellStart"/>
      <w:r>
        <w:rPr>
          <w:i/>
          <w:iCs/>
        </w:rPr>
        <w:t>Pathol</w:t>
      </w:r>
      <w:proofErr w:type="spellEnd"/>
      <w:r>
        <w:rPr>
          <w:i/>
          <w:iCs/>
        </w:rPr>
        <w:t xml:space="preserve"> Res </w:t>
      </w:r>
      <w:proofErr w:type="spellStart"/>
      <w:r>
        <w:rPr>
          <w:i/>
          <w:iCs/>
        </w:rPr>
        <w:t>Pract</w:t>
      </w:r>
      <w:proofErr w:type="spellEnd"/>
      <w:r>
        <w:rPr>
          <w:i/>
          <w:iCs/>
        </w:rPr>
        <w:t>,</w:t>
      </w:r>
      <w:r>
        <w:t xml:space="preserve"> </w:t>
      </w:r>
      <w:r w:rsidRPr="00D13BCD">
        <w:t>254:155145</w:t>
      </w:r>
      <w:r>
        <w:t xml:space="preserve">, </w:t>
      </w:r>
      <w:hyperlink r:id="rId10" w:history="1">
        <w:r w:rsidRPr="000D2098">
          <w:rPr>
            <w:rStyle w:val="Hyperlink"/>
            <w:color w:val="007BB8"/>
          </w:rPr>
          <w:t>https://www.sciencedirect.com/science/article/pii/S0344033824000566?via%3Dihub</w:t>
        </w:r>
      </w:hyperlink>
      <w:r>
        <w:t xml:space="preserve"> </w:t>
      </w:r>
    </w:p>
  </w:footnote>
  <w:footnote w:id="15">
    <w:p w14:paraId="654106E2" w14:textId="36A1AA33" w:rsidR="00403B19" w:rsidRDefault="00403B19" w:rsidP="00296EC6">
      <w:pPr>
        <w:pStyle w:val="FootnoteText"/>
      </w:pPr>
      <w:r>
        <w:rPr>
          <w:rStyle w:val="FootnoteReference"/>
        </w:rPr>
        <w:footnoteRef/>
      </w:r>
      <w:r>
        <w:t xml:space="preserve"> </w:t>
      </w:r>
      <w:r w:rsidRPr="004322D9">
        <w:t>Mathias-Machado</w:t>
      </w:r>
      <w:r>
        <w:t>,</w:t>
      </w:r>
      <w:r w:rsidRPr="004322D9">
        <w:t xml:space="preserve"> M</w:t>
      </w:r>
      <w:r>
        <w:t>.</w:t>
      </w:r>
      <w:r w:rsidRPr="004322D9">
        <w:t xml:space="preserve">, </w:t>
      </w:r>
      <w:r>
        <w:t>et al., (2024), ‘</w:t>
      </w:r>
      <w:r w:rsidRPr="004322D9">
        <w:t xml:space="preserve">Claudin 18.2 as a New Biomarker in Gastric Cancer—What Should We </w:t>
      </w:r>
      <w:proofErr w:type="gramStart"/>
      <w:r w:rsidRPr="004322D9">
        <w:t>Know?</w:t>
      </w:r>
      <w:r>
        <w:t>,</w:t>
      </w:r>
      <w:proofErr w:type="gramEnd"/>
      <w:r w:rsidRPr="004322D9">
        <w:t xml:space="preserve"> </w:t>
      </w:r>
      <w:r w:rsidRPr="00390A5C">
        <w:rPr>
          <w:i/>
          <w:iCs/>
        </w:rPr>
        <w:t>Cancers</w:t>
      </w:r>
      <w:r>
        <w:t xml:space="preserve">, </w:t>
      </w:r>
      <w:r w:rsidRPr="004322D9">
        <w:t xml:space="preserve">16(3):679. </w:t>
      </w:r>
      <w:hyperlink r:id="rId11" w:history="1">
        <w:r w:rsidRPr="000D2098">
          <w:rPr>
            <w:rStyle w:val="Hyperlink"/>
            <w:color w:val="007BB8"/>
          </w:rPr>
          <w:t>https://doi.org/10.3390/cancers16030679</w:t>
        </w:r>
      </w:hyperlink>
      <w:r>
        <w:t xml:space="preserve"> </w:t>
      </w:r>
    </w:p>
  </w:footnote>
  <w:footnote w:id="16">
    <w:p w14:paraId="41123783" w14:textId="56833E27" w:rsidR="00403B19" w:rsidRDefault="00403B19" w:rsidP="00296EC6">
      <w:pPr>
        <w:pStyle w:val="FootnoteText"/>
      </w:pPr>
      <w:r>
        <w:rPr>
          <w:rStyle w:val="FootnoteReference"/>
        </w:rPr>
        <w:footnoteRef/>
      </w:r>
      <w:r>
        <w:t xml:space="preserve"> </w:t>
      </w:r>
      <w:r w:rsidRPr="003C6FC8">
        <w:t>Ungureanu</w:t>
      </w:r>
      <w:r>
        <w:t>,</w:t>
      </w:r>
      <w:r w:rsidRPr="003C6FC8">
        <w:t xml:space="preserve"> B</w:t>
      </w:r>
      <w:r>
        <w:t>.</w:t>
      </w:r>
      <w:r w:rsidRPr="003C6FC8">
        <w:t xml:space="preserve">, </w:t>
      </w:r>
      <w:r>
        <w:t>et al., (2021),</w:t>
      </w:r>
      <w:r w:rsidRPr="003C6FC8">
        <w:t xml:space="preserve"> </w:t>
      </w:r>
      <w:r>
        <w:t>‘</w:t>
      </w:r>
      <w:r w:rsidRPr="003C6FC8">
        <w:t>Clinicopathologic Relevance of Claudin 18.2 Expression in Gastric Cancer: A Meta-Analysis.</w:t>
      </w:r>
      <w:r>
        <w:t>’</w:t>
      </w:r>
      <w:r w:rsidRPr="00FA2D6A">
        <w:rPr>
          <w:rFonts w:ascii="Segoe UI" w:hAnsi="Segoe UI" w:cs="Segoe UI"/>
          <w:color w:val="212121"/>
          <w:sz w:val="24"/>
          <w:szCs w:val="22"/>
          <w:shd w:val="clear" w:color="auto" w:fill="FFFFFF"/>
        </w:rPr>
        <w:t xml:space="preserve"> </w:t>
      </w:r>
      <w:r w:rsidRPr="00844A1C">
        <w:rPr>
          <w:i/>
        </w:rPr>
        <w:t>Front Oncol</w:t>
      </w:r>
      <w:r>
        <w:rPr>
          <w:i/>
          <w:iCs/>
        </w:rPr>
        <w:t>,</w:t>
      </w:r>
      <w:r w:rsidRPr="003C6FC8">
        <w:t>11:643872</w:t>
      </w:r>
      <w:r>
        <w:t xml:space="preserve">, </w:t>
      </w:r>
      <w:hyperlink r:id="rId12" w:history="1">
        <w:r w:rsidRPr="000D2098">
          <w:rPr>
            <w:rStyle w:val="Hyperlink"/>
            <w:color w:val="007BB8"/>
          </w:rPr>
          <w:t>https://pubmed.ncbi.nlm.nih.gov/33747967/</w:t>
        </w:r>
      </w:hyperlink>
      <w:r>
        <w:t xml:space="preserve"> </w:t>
      </w:r>
    </w:p>
  </w:footnote>
  <w:footnote w:id="17">
    <w:p w14:paraId="4B75A588" w14:textId="4DAA98A7" w:rsidR="00403B19" w:rsidRDefault="00403B19" w:rsidP="00700C5D">
      <w:pPr>
        <w:pStyle w:val="FootnoteText"/>
      </w:pPr>
      <w:r>
        <w:rPr>
          <w:rStyle w:val="FootnoteReference"/>
        </w:rPr>
        <w:footnoteRef/>
      </w:r>
      <w:r>
        <w:t xml:space="preserve"> </w:t>
      </w:r>
      <w:r w:rsidRPr="00875380">
        <w:t>Sanada</w:t>
      </w:r>
      <w:r>
        <w:t>,</w:t>
      </w:r>
      <w:r w:rsidRPr="00875380">
        <w:t xml:space="preserve"> Y</w:t>
      </w:r>
      <w:r>
        <w:t>.</w:t>
      </w:r>
      <w:r w:rsidRPr="00875380">
        <w:t xml:space="preserve">,  </w:t>
      </w:r>
      <w:r>
        <w:t>et al., (2006),</w:t>
      </w:r>
      <w:r w:rsidRPr="00875380">
        <w:t xml:space="preserve"> </w:t>
      </w:r>
      <w:r>
        <w:t>‘</w:t>
      </w:r>
      <w:r w:rsidRPr="00875380">
        <w:t>Down-regulation of the claudin-18 gene, identified through serial analysis of gene expression data analysis, in gastric cancer with an intestinal phenotype</w:t>
      </w:r>
      <w:r>
        <w:t xml:space="preserve">’, </w:t>
      </w:r>
      <w:r w:rsidRPr="00875380">
        <w:rPr>
          <w:i/>
          <w:iCs/>
        </w:rPr>
        <w:t xml:space="preserve">J </w:t>
      </w:r>
      <w:proofErr w:type="spellStart"/>
      <w:r w:rsidRPr="00875380">
        <w:rPr>
          <w:i/>
          <w:iCs/>
        </w:rPr>
        <w:t>Pathol</w:t>
      </w:r>
      <w:proofErr w:type="spellEnd"/>
      <w:r>
        <w:rPr>
          <w:i/>
          <w:iCs/>
        </w:rPr>
        <w:t xml:space="preserve">, </w:t>
      </w:r>
      <w:r w:rsidRPr="00875380">
        <w:t>208(5):633-42</w:t>
      </w:r>
      <w:r>
        <w:t xml:space="preserve">, </w:t>
      </w:r>
      <w:hyperlink r:id="rId13" w:history="1">
        <w:r w:rsidRPr="000D2098">
          <w:rPr>
            <w:rStyle w:val="Hyperlink"/>
            <w:color w:val="007BB8"/>
          </w:rPr>
          <w:t>https://pubmed.ncbi.nlm.nih.gov/16435283/</w:t>
        </w:r>
      </w:hyperlink>
      <w:r>
        <w:t xml:space="preserve">   </w:t>
      </w:r>
    </w:p>
  </w:footnote>
  <w:footnote w:id="18">
    <w:p w14:paraId="3CA5C556" w14:textId="19E4F4D7" w:rsidR="00403B19" w:rsidRDefault="00403B19">
      <w:pPr>
        <w:pStyle w:val="FootnoteText"/>
      </w:pPr>
      <w:r>
        <w:rPr>
          <w:rStyle w:val="FootnoteReference"/>
        </w:rPr>
        <w:footnoteRef/>
      </w:r>
      <w:r>
        <w:t xml:space="preserve"> </w:t>
      </w:r>
      <w:r w:rsidRPr="00805D56">
        <w:t>Moraes</w:t>
      </w:r>
      <w:r w:rsidRPr="00CE7062">
        <w:t xml:space="preserve"> FCA</w:t>
      </w:r>
      <w:r>
        <w:t>., et al</w:t>
      </w:r>
      <w:r w:rsidRPr="00CE7062">
        <w:t>.</w:t>
      </w:r>
      <w:r>
        <w:t>, (</w:t>
      </w:r>
      <w:r w:rsidRPr="00805D56">
        <w:t>2024</w:t>
      </w:r>
      <w:r>
        <w:t>), ‘</w:t>
      </w:r>
      <w:r w:rsidRPr="00805D56">
        <w:t>The role of CLDN18.2 in gastric cancer prognosis: a systematic review and meta-analysis</w:t>
      </w:r>
      <w:r>
        <w:t>’,</w:t>
      </w:r>
      <w:r w:rsidRPr="00CE7062">
        <w:t xml:space="preserve"> </w:t>
      </w:r>
      <w:r w:rsidRPr="00D870A0">
        <w:rPr>
          <w:i/>
        </w:rPr>
        <w:t>Biomarkers.</w:t>
      </w:r>
      <w:r w:rsidRPr="00CE7062">
        <w:t>;</w:t>
      </w:r>
      <w:r w:rsidRPr="00805D56">
        <w:t>29</w:t>
      </w:r>
      <w:r w:rsidRPr="00CE7062">
        <w:t>(</w:t>
      </w:r>
      <w:r w:rsidRPr="00805D56">
        <w:t>8</w:t>
      </w:r>
      <w:r w:rsidRPr="00CE7062">
        <w:t>):</w:t>
      </w:r>
      <w:r w:rsidRPr="00805D56">
        <w:t>528-538</w:t>
      </w:r>
    </w:p>
  </w:footnote>
  <w:footnote w:id="19">
    <w:p w14:paraId="3210E8CF" w14:textId="26990472" w:rsidR="00403B19" w:rsidRDefault="00403B19">
      <w:pPr>
        <w:pStyle w:val="FootnoteText"/>
      </w:pPr>
      <w:r>
        <w:rPr>
          <w:rStyle w:val="FootnoteReference"/>
        </w:rPr>
        <w:footnoteRef/>
      </w:r>
      <w:r>
        <w:t xml:space="preserve"> </w:t>
      </w:r>
      <w:r w:rsidRPr="00476D3E">
        <w:t>Sahin</w:t>
      </w:r>
      <w:r>
        <w:t xml:space="preserve"> U., et al., (2008),</w:t>
      </w:r>
      <w:r w:rsidRPr="00476D3E">
        <w:t xml:space="preserve"> </w:t>
      </w:r>
      <w:r>
        <w:t>‘</w:t>
      </w:r>
      <w:r w:rsidRPr="00476D3E">
        <w:t>Claudin-18 Splice Variant 2 Is a Pan-Cancer Target Suitable for Therapeutic Antibody Development</w:t>
      </w:r>
      <w:r>
        <w:t>’,</w:t>
      </w:r>
      <w:r w:rsidRPr="00476D3E">
        <w:t> </w:t>
      </w:r>
      <w:r w:rsidRPr="00476D3E">
        <w:rPr>
          <w:i/>
          <w:iCs/>
        </w:rPr>
        <w:t>Clin Cancer Res</w:t>
      </w:r>
      <w:r w:rsidRPr="00476D3E">
        <w:t>;14 (23): 7624–7634.</w:t>
      </w:r>
    </w:p>
  </w:footnote>
  <w:footnote w:id="20">
    <w:p w14:paraId="1DFEA4A2" w14:textId="77777777" w:rsidR="00403B19" w:rsidRDefault="00403B19" w:rsidP="00333EDF">
      <w:pPr>
        <w:pStyle w:val="FootnoteText"/>
      </w:pPr>
      <w:r>
        <w:rPr>
          <w:rStyle w:val="FootnoteReference"/>
        </w:rPr>
        <w:footnoteRef/>
      </w:r>
      <w:r>
        <w:t xml:space="preserve"> Kim T.-Y et al (2024), Clinicopathological analysis of claudin 18.2 focusing on </w:t>
      </w:r>
      <w:proofErr w:type="spellStart"/>
      <w:r>
        <w:t>intratumoral</w:t>
      </w:r>
      <w:proofErr w:type="spellEnd"/>
      <w:r>
        <w:t xml:space="preserve"> heterogeneity and survival in patients with metastatic or unresectable gastric cancer. </w:t>
      </w:r>
      <w:r w:rsidRPr="001B50CF">
        <w:rPr>
          <w:i/>
          <w:iCs/>
        </w:rPr>
        <w:t>ESMO Open</w:t>
      </w:r>
      <w:r>
        <w:t>;9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9F81" w14:textId="77777777" w:rsidR="00403B19" w:rsidRDefault="00403B19" w:rsidP="00C31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F624B1C"/>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A0E5C"/>
    <w:multiLevelType w:val="hybridMultilevel"/>
    <w:tmpl w:val="FFFFFFFF"/>
    <w:lvl w:ilvl="0" w:tplc="0F86F14C">
      <w:start w:val="1"/>
      <w:numFmt w:val="bullet"/>
      <w:lvlText w:val=""/>
      <w:lvlJc w:val="left"/>
      <w:pPr>
        <w:ind w:left="360" w:hanging="360"/>
      </w:pPr>
      <w:rPr>
        <w:rFonts w:ascii="Symbol" w:hAnsi="Symbol" w:hint="default"/>
      </w:rPr>
    </w:lvl>
    <w:lvl w:ilvl="1" w:tplc="B9C0849E">
      <w:start w:val="1"/>
      <w:numFmt w:val="bullet"/>
      <w:lvlText w:val="o"/>
      <w:lvlJc w:val="left"/>
      <w:pPr>
        <w:ind w:left="1440" w:hanging="360"/>
      </w:pPr>
      <w:rPr>
        <w:rFonts w:ascii="Courier New" w:hAnsi="Courier New" w:hint="default"/>
      </w:rPr>
    </w:lvl>
    <w:lvl w:ilvl="2" w:tplc="429CBD62">
      <w:start w:val="1"/>
      <w:numFmt w:val="bullet"/>
      <w:lvlText w:val=""/>
      <w:lvlJc w:val="left"/>
      <w:pPr>
        <w:ind w:left="2160" w:hanging="360"/>
      </w:pPr>
      <w:rPr>
        <w:rFonts w:ascii="Wingdings" w:hAnsi="Wingdings" w:hint="default"/>
      </w:rPr>
    </w:lvl>
    <w:lvl w:ilvl="3" w:tplc="F5623C9A">
      <w:start w:val="1"/>
      <w:numFmt w:val="bullet"/>
      <w:lvlText w:val=""/>
      <w:lvlJc w:val="left"/>
      <w:pPr>
        <w:ind w:left="2880" w:hanging="360"/>
      </w:pPr>
      <w:rPr>
        <w:rFonts w:ascii="Symbol" w:hAnsi="Symbol" w:hint="default"/>
      </w:rPr>
    </w:lvl>
    <w:lvl w:ilvl="4" w:tplc="5358D350">
      <w:start w:val="1"/>
      <w:numFmt w:val="bullet"/>
      <w:lvlText w:val="o"/>
      <w:lvlJc w:val="left"/>
      <w:pPr>
        <w:ind w:left="3600" w:hanging="360"/>
      </w:pPr>
      <w:rPr>
        <w:rFonts w:ascii="Courier New" w:hAnsi="Courier New" w:hint="default"/>
      </w:rPr>
    </w:lvl>
    <w:lvl w:ilvl="5" w:tplc="4386EA2E">
      <w:start w:val="1"/>
      <w:numFmt w:val="bullet"/>
      <w:lvlText w:val=""/>
      <w:lvlJc w:val="left"/>
      <w:pPr>
        <w:ind w:left="4320" w:hanging="360"/>
      </w:pPr>
      <w:rPr>
        <w:rFonts w:ascii="Wingdings" w:hAnsi="Wingdings" w:hint="default"/>
      </w:rPr>
    </w:lvl>
    <w:lvl w:ilvl="6" w:tplc="8CEA7CAA">
      <w:start w:val="1"/>
      <w:numFmt w:val="bullet"/>
      <w:lvlText w:val=""/>
      <w:lvlJc w:val="left"/>
      <w:pPr>
        <w:ind w:left="5040" w:hanging="360"/>
      </w:pPr>
      <w:rPr>
        <w:rFonts w:ascii="Symbol" w:hAnsi="Symbol" w:hint="default"/>
      </w:rPr>
    </w:lvl>
    <w:lvl w:ilvl="7" w:tplc="1EF4EA0E">
      <w:start w:val="1"/>
      <w:numFmt w:val="bullet"/>
      <w:lvlText w:val="o"/>
      <w:lvlJc w:val="left"/>
      <w:pPr>
        <w:ind w:left="5760" w:hanging="360"/>
      </w:pPr>
      <w:rPr>
        <w:rFonts w:ascii="Courier New" w:hAnsi="Courier New" w:hint="default"/>
      </w:rPr>
    </w:lvl>
    <w:lvl w:ilvl="8" w:tplc="DDE063D8">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2EC0CD32"/>
    <w:lvl w:ilvl="0">
      <w:start w:val="1"/>
      <w:numFmt w:val="bullet"/>
      <w:pStyle w:val="MainBodyBulletPoint"/>
      <w:lvlText w:val=""/>
      <w:lvlJc w:val="left"/>
      <w:pPr>
        <w:ind w:left="720" w:hanging="360"/>
      </w:pPr>
      <w:rPr>
        <w:rFonts w:ascii="Symbol" w:hAnsi="Symbol" w:hint="default"/>
      </w:rPr>
    </w:lvl>
    <w:lvl w:ilvl="1">
      <w:start w:val="1"/>
      <w:numFmt w:val="bullet"/>
      <w:lvlText w:val="o"/>
      <w:lvlJc w:val="left"/>
      <w:pPr>
        <w:ind w:left="132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1720A"/>
    <w:multiLevelType w:val="hybridMultilevel"/>
    <w:tmpl w:val="96DE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7072181"/>
    <w:multiLevelType w:val="hybridMultilevel"/>
    <w:tmpl w:val="72605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7575C58"/>
    <w:multiLevelType w:val="multilevel"/>
    <w:tmpl w:val="CBC2638A"/>
    <w:lvl w:ilvl="0">
      <w:start w:val="1"/>
      <w:numFmt w:val="bullet"/>
      <w:pStyle w:val="InstructionBulletpoint"/>
      <w:lvlText w:val=""/>
      <w:lvlJc w:val="left"/>
      <w:pPr>
        <w:ind w:left="720" w:hanging="360"/>
      </w:pPr>
      <w:rPr>
        <w:rFonts w:ascii="Symbol" w:hAnsi="Symbol" w:hint="default"/>
      </w:rPr>
    </w:lvl>
    <w:lvl w:ilvl="1">
      <w:start w:val="1"/>
      <w:numFmt w:val="bullet"/>
      <w:lvlText w:val="o"/>
      <w:lvlJc w:val="left"/>
      <w:pPr>
        <w:ind w:left="132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E64BC5"/>
    <w:multiLevelType w:val="hybridMultilevel"/>
    <w:tmpl w:val="01964B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7C9B9"/>
    <w:multiLevelType w:val="hybridMultilevel"/>
    <w:tmpl w:val="FFFFFFFF"/>
    <w:lvl w:ilvl="0" w:tplc="D1345930">
      <w:start w:val="6"/>
      <w:numFmt w:val="bullet"/>
      <w:lvlText w:val=""/>
      <w:lvlJc w:val="left"/>
      <w:pPr>
        <w:ind w:left="720" w:hanging="360"/>
      </w:pPr>
      <w:rPr>
        <w:rFonts w:ascii="Symbol" w:hAnsi="Symbol" w:hint="default"/>
      </w:rPr>
    </w:lvl>
    <w:lvl w:ilvl="1" w:tplc="F65601E2">
      <w:start w:val="1"/>
      <w:numFmt w:val="bullet"/>
      <w:lvlText w:val="o"/>
      <w:lvlJc w:val="left"/>
      <w:pPr>
        <w:ind w:left="1440" w:hanging="360"/>
      </w:pPr>
      <w:rPr>
        <w:rFonts w:ascii="Courier New" w:hAnsi="Courier New" w:hint="default"/>
      </w:rPr>
    </w:lvl>
    <w:lvl w:ilvl="2" w:tplc="9DECF5A0">
      <w:start w:val="1"/>
      <w:numFmt w:val="bullet"/>
      <w:lvlText w:val=""/>
      <w:lvlJc w:val="left"/>
      <w:pPr>
        <w:ind w:left="2160" w:hanging="360"/>
      </w:pPr>
      <w:rPr>
        <w:rFonts w:ascii="Wingdings" w:hAnsi="Wingdings" w:hint="default"/>
      </w:rPr>
    </w:lvl>
    <w:lvl w:ilvl="3" w:tplc="A5B231CE">
      <w:start w:val="1"/>
      <w:numFmt w:val="bullet"/>
      <w:lvlText w:val=""/>
      <w:lvlJc w:val="left"/>
      <w:pPr>
        <w:ind w:left="2880" w:hanging="360"/>
      </w:pPr>
      <w:rPr>
        <w:rFonts w:ascii="Symbol" w:hAnsi="Symbol" w:hint="default"/>
      </w:rPr>
    </w:lvl>
    <w:lvl w:ilvl="4" w:tplc="0720D72E">
      <w:start w:val="1"/>
      <w:numFmt w:val="bullet"/>
      <w:lvlText w:val="o"/>
      <w:lvlJc w:val="left"/>
      <w:pPr>
        <w:ind w:left="3600" w:hanging="360"/>
      </w:pPr>
      <w:rPr>
        <w:rFonts w:ascii="Courier New" w:hAnsi="Courier New" w:hint="default"/>
      </w:rPr>
    </w:lvl>
    <w:lvl w:ilvl="5" w:tplc="C1D4897A">
      <w:start w:val="1"/>
      <w:numFmt w:val="bullet"/>
      <w:lvlText w:val=""/>
      <w:lvlJc w:val="left"/>
      <w:pPr>
        <w:ind w:left="4320" w:hanging="360"/>
      </w:pPr>
      <w:rPr>
        <w:rFonts w:ascii="Wingdings" w:hAnsi="Wingdings" w:hint="default"/>
      </w:rPr>
    </w:lvl>
    <w:lvl w:ilvl="6" w:tplc="9B9E7A5C">
      <w:start w:val="1"/>
      <w:numFmt w:val="bullet"/>
      <w:lvlText w:val=""/>
      <w:lvlJc w:val="left"/>
      <w:pPr>
        <w:ind w:left="5040" w:hanging="360"/>
      </w:pPr>
      <w:rPr>
        <w:rFonts w:ascii="Symbol" w:hAnsi="Symbol" w:hint="default"/>
      </w:rPr>
    </w:lvl>
    <w:lvl w:ilvl="7" w:tplc="B9DEEDEE">
      <w:start w:val="1"/>
      <w:numFmt w:val="bullet"/>
      <w:lvlText w:val="o"/>
      <w:lvlJc w:val="left"/>
      <w:pPr>
        <w:ind w:left="5760" w:hanging="360"/>
      </w:pPr>
      <w:rPr>
        <w:rFonts w:ascii="Courier New" w:hAnsi="Courier New" w:hint="default"/>
      </w:rPr>
    </w:lvl>
    <w:lvl w:ilvl="8" w:tplc="7BA49E42">
      <w:start w:val="1"/>
      <w:numFmt w:val="bullet"/>
      <w:lvlText w:val=""/>
      <w:lvlJc w:val="left"/>
      <w:pPr>
        <w:ind w:left="6480" w:hanging="360"/>
      </w:pPr>
      <w:rPr>
        <w:rFonts w:ascii="Wingdings" w:hAnsi="Wingdings" w:hint="default"/>
      </w:rPr>
    </w:lvl>
  </w:abstractNum>
  <w:abstractNum w:abstractNumId="13" w15:restartNumberingAfterBreak="0">
    <w:nsid w:val="35EAD87B"/>
    <w:multiLevelType w:val="hybridMultilevel"/>
    <w:tmpl w:val="FFFFFFFF"/>
    <w:lvl w:ilvl="0" w:tplc="B3D0D452">
      <w:start w:val="1"/>
      <w:numFmt w:val="bullet"/>
      <w:lvlText w:val=""/>
      <w:lvlJc w:val="left"/>
      <w:pPr>
        <w:ind w:left="360" w:hanging="360"/>
      </w:pPr>
      <w:rPr>
        <w:rFonts w:ascii="Symbol" w:hAnsi="Symbol" w:hint="default"/>
      </w:rPr>
    </w:lvl>
    <w:lvl w:ilvl="1" w:tplc="E74CD432">
      <w:start w:val="1"/>
      <w:numFmt w:val="bullet"/>
      <w:lvlText w:val="o"/>
      <w:lvlJc w:val="left"/>
      <w:pPr>
        <w:ind w:left="1440" w:hanging="360"/>
      </w:pPr>
      <w:rPr>
        <w:rFonts w:ascii="Courier New" w:hAnsi="Courier New" w:hint="default"/>
      </w:rPr>
    </w:lvl>
    <w:lvl w:ilvl="2" w:tplc="18F4BB1E">
      <w:start w:val="1"/>
      <w:numFmt w:val="bullet"/>
      <w:lvlText w:val=""/>
      <w:lvlJc w:val="left"/>
      <w:pPr>
        <w:ind w:left="2160" w:hanging="360"/>
      </w:pPr>
      <w:rPr>
        <w:rFonts w:ascii="Wingdings" w:hAnsi="Wingdings" w:hint="default"/>
      </w:rPr>
    </w:lvl>
    <w:lvl w:ilvl="3" w:tplc="E42C2C5C">
      <w:start w:val="1"/>
      <w:numFmt w:val="bullet"/>
      <w:lvlText w:val=""/>
      <w:lvlJc w:val="left"/>
      <w:pPr>
        <w:ind w:left="2880" w:hanging="360"/>
      </w:pPr>
      <w:rPr>
        <w:rFonts w:ascii="Symbol" w:hAnsi="Symbol" w:hint="default"/>
      </w:rPr>
    </w:lvl>
    <w:lvl w:ilvl="4" w:tplc="1C44AE6E">
      <w:start w:val="1"/>
      <w:numFmt w:val="bullet"/>
      <w:lvlText w:val="o"/>
      <w:lvlJc w:val="left"/>
      <w:pPr>
        <w:ind w:left="3600" w:hanging="360"/>
      </w:pPr>
      <w:rPr>
        <w:rFonts w:ascii="Courier New" w:hAnsi="Courier New" w:hint="default"/>
      </w:rPr>
    </w:lvl>
    <w:lvl w:ilvl="5" w:tplc="4F3E70CA">
      <w:start w:val="1"/>
      <w:numFmt w:val="bullet"/>
      <w:lvlText w:val=""/>
      <w:lvlJc w:val="left"/>
      <w:pPr>
        <w:ind w:left="4320" w:hanging="360"/>
      </w:pPr>
      <w:rPr>
        <w:rFonts w:ascii="Wingdings" w:hAnsi="Wingdings" w:hint="default"/>
      </w:rPr>
    </w:lvl>
    <w:lvl w:ilvl="6" w:tplc="664E3570">
      <w:start w:val="1"/>
      <w:numFmt w:val="bullet"/>
      <w:lvlText w:val=""/>
      <w:lvlJc w:val="left"/>
      <w:pPr>
        <w:ind w:left="5040" w:hanging="360"/>
      </w:pPr>
      <w:rPr>
        <w:rFonts w:ascii="Symbol" w:hAnsi="Symbol" w:hint="default"/>
      </w:rPr>
    </w:lvl>
    <w:lvl w:ilvl="7" w:tplc="704232E8">
      <w:start w:val="1"/>
      <w:numFmt w:val="bullet"/>
      <w:lvlText w:val="o"/>
      <w:lvlJc w:val="left"/>
      <w:pPr>
        <w:ind w:left="5760" w:hanging="360"/>
      </w:pPr>
      <w:rPr>
        <w:rFonts w:ascii="Courier New" w:hAnsi="Courier New" w:hint="default"/>
      </w:rPr>
    </w:lvl>
    <w:lvl w:ilvl="8" w:tplc="455ADDF4">
      <w:start w:val="1"/>
      <w:numFmt w:val="bullet"/>
      <w:lvlText w:val=""/>
      <w:lvlJc w:val="left"/>
      <w:pPr>
        <w:ind w:left="6480" w:hanging="360"/>
      </w:pPr>
      <w:rPr>
        <w:rFonts w:ascii="Wingdings" w:hAnsi="Wingdings" w:hint="default"/>
      </w:rPr>
    </w:lvl>
  </w:abstractNum>
  <w:abstractNum w:abstractNumId="14"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6469E5"/>
    <w:multiLevelType w:val="hybridMultilevel"/>
    <w:tmpl w:val="E8E40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76C72"/>
    <w:multiLevelType w:val="hybridMultilevel"/>
    <w:tmpl w:val="37B6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31A4CCB"/>
    <w:multiLevelType w:val="hybridMultilevel"/>
    <w:tmpl w:val="BB6813D2"/>
    <w:lvl w:ilvl="0" w:tplc="A6DCDB14">
      <w:start w:val="1"/>
      <w:numFmt w:val="bullet"/>
      <w:lvlText w:val=""/>
      <w:lvlJc w:val="left"/>
      <w:pPr>
        <w:ind w:left="1440" w:hanging="360"/>
      </w:pPr>
      <w:rPr>
        <w:rFonts w:ascii="Symbol" w:hAnsi="Symbol"/>
      </w:rPr>
    </w:lvl>
    <w:lvl w:ilvl="1" w:tplc="3948CC18">
      <w:start w:val="1"/>
      <w:numFmt w:val="bullet"/>
      <w:lvlText w:val=""/>
      <w:lvlJc w:val="left"/>
      <w:pPr>
        <w:ind w:left="1440" w:hanging="360"/>
      </w:pPr>
      <w:rPr>
        <w:rFonts w:ascii="Symbol" w:hAnsi="Symbol"/>
      </w:rPr>
    </w:lvl>
    <w:lvl w:ilvl="2" w:tplc="6D9A100C">
      <w:start w:val="1"/>
      <w:numFmt w:val="bullet"/>
      <w:lvlText w:val=""/>
      <w:lvlJc w:val="left"/>
      <w:pPr>
        <w:ind w:left="1440" w:hanging="360"/>
      </w:pPr>
      <w:rPr>
        <w:rFonts w:ascii="Symbol" w:hAnsi="Symbol"/>
      </w:rPr>
    </w:lvl>
    <w:lvl w:ilvl="3" w:tplc="D75C8F18">
      <w:start w:val="1"/>
      <w:numFmt w:val="bullet"/>
      <w:lvlText w:val=""/>
      <w:lvlJc w:val="left"/>
      <w:pPr>
        <w:ind w:left="1440" w:hanging="360"/>
      </w:pPr>
      <w:rPr>
        <w:rFonts w:ascii="Symbol" w:hAnsi="Symbol"/>
      </w:rPr>
    </w:lvl>
    <w:lvl w:ilvl="4" w:tplc="1B4EDDA2">
      <w:start w:val="1"/>
      <w:numFmt w:val="bullet"/>
      <w:lvlText w:val=""/>
      <w:lvlJc w:val="left"/>
      <w:pPr>
        <w:ind w:left="1440" w:hanging="360"/>
      </w:pPr>
      <w:rPr>
        <w:rFonts w:ascii="Symbol" w:hAnsi="Symbol"/>
      </w:rPr>
    </w:lvl>
    <w:lvl w:ilvl="5" w:tplc="1ECE4720">
      <w:start w:val="1"/>
      <w:numFmt w:val="bullet"/>
      <w:lvlText w:val=""/>
      <w:lvlJc w:val="left"/>
      <w:pPr>
        <w:ind w:left="1440" w:hanging="360"/>
      </w:pPr>
      <w:rPr>
        <w:rFonts w:ascii="Symbol" w:hAnsi="Symbol"/>
      </w:rPr>
    </w:lvl>
    <w:lvl w:ilvl="6" w:tplc="121E5D58">
      <w:start w:val="1"/>
      <w:numFmt w:val="bullet"/>
      <w:lvlText w:val=""/>
      <w:lvlJc w:val="left"/>
      <w:pPr>
        <w:ind w:left="1440" w:hanging="360"/>
      </w:pPr>
      <w:rPr>
        <w:rFonts w:ascii="Symbol" w:hAnsi="Symbol"/>
      </w:rPr>
    </w:lvl>
    <w:lvl w:ilvl="7" w:tplc="569051F4">
      <w:start w:val="1"/>
      <w:numFmt w:val="bullet"/>
      <w:lvlText w:val=""/>
      <w:lvlJc w:val="left"/>
      <w:pPr>
        <w:ind w:left="1440" w:hanging="360"/>
      </w:pPr>
      <w:rPr>
        <w:rFonts w:ascii="Symbol" w:hAnsi="Symbol"/>
      </w:rPr>
    </w:lvl>
    <w:lvl w:ilvl="8" w:tplc="67B06C78">
      <w:start w:val="1"/>
      <w:numFmt w:val="bullet"/>
      <w:lvlText w:val=""/>
      <w:lvlJc w:val="left"/>
      <w:pPr>
        <w:ind w:left="1440" w:hanging="360"/>
      </w:pPr>
      <w:rPr>
        <w:rFonts w:ascii="Symbol" w:hAnsi="Symbol"/>
      </w:rPr>
    </w:lvl>
  </w:abstractNum>
  <w:abstractNum w:abstractNumId="2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42762D"/>
    <w:multiLevelType w:val="hybridMultilevel"/>
    <w:tmpl w:val="4B9ADDA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140E57"/>
    <w:multiLevelType w:val="hybridMultilevel"/>
    <w:tmpl w:val="D97AA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4AC6EB7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b w:val="0"/>
        <w:bCs/>
        <w:i w:val="0"/>
        <w:iCs w:val="0"/>
        <w:color w:val="auto"/>
        <w:sz w:val="24"/>
        <w:szCs w:val="24"/>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5AEFA2"/>
    <w:multiLevelType w:val="hybridMultilevel"/>
    <w:tmpl w:val="FFFFFFFF"/>
    <w:lvl w:ilvl="0" w:tplc="AAB8F734">
      <w:start w:val="6"/>
      <w:numFmt w:val="bullet"/>
      <w:lvlText w:val=""/>
      <w:lvlJc w:val="left"/>
      <w:pPr>
        <w:ind w:left="720" w:hanging="360"/>
      </w:pPr>
      <w:rPr>
        <w:rFonts w:ascii="Symbol" w:hAnsi="Symbol" w:hint="default"/>
      </w:rPr>
    </w:lvl>
    <w:lvl w:ilvl="1" w:tplc="183C0C2C">
      <w:start w:val="1"/>
      <w:numFmt w:val="bullet"/>
      <w:lvlText w:val="o"/>
      <w:lvlJc w:val="left"/>
      <w:pPr>
        <w:ind w:left="1440" w:hanging="360"/>
      </w:pPr>
      <w:rPr>
        <w:rFonts w:ascii="Courier New" w:hAnsi="Courier New" w:hint="default"/>
      </w:rPr>
    </w:lvl>
    <w:lvl w:ilvl="2" w:tplc="5EB0FCB2">
      <w:start w:val="1"/>
      <w:numFmt w:val="bullet"/>
      <w:lvlText w:val=""/>
      <w:lvlJc w:val="left"/>
      <w:pPr>
        <w:ind w:left="2160" w:hanging="360"/>
      </w:pPr>
      <w:rPr>
        <w:rFonts w:ascii="Wingdings" w:hAnsi="Wingdings" w:hint="default"/>
      </w:rPr>
    </w:lvl>
    <w:lvl w:ilvl="3" w:tplc="C78271A4">
      <w:start w:val="1"/>
      <w:numFmt w:val="bullet"/>
      <w:lvlText w:val=""/>
      <w:lvlJc w:val="left"/>
      <w:pPr>
        <w:ind w:left="2880" w:hanging="360"/>
      </w:pPr>
      <w:rPr>
        <w:rFonts w:ascii="Symbol" w:hAnsi="Symbol" w:hint="default"/>
      </w:rPr>
    </w:lvl>
    <w:lvl w:ilvl="4" w:tplc="37F4052C">
      <w:start w:val="1"/>
      <w:numFmt w:val="bullet"/>
      <w:lvlText w:val="o"/>
      <w:lvlJc w:val="left"/>
      <w:pPr>
        <w:ind w:left="3600" w:hanging="360"/>
      </w:pPr>
      <w:rPr>
        <w:rFonts w:ascii="Courier New" w:hAnsi="Courier New" w:hint="default"/>
      </w:rPr>
    </w:lvl>
    <w:lvl w:ilvl="5" w:tplc="BA2E2E4A">
      <w:start w:val="1"/>
      <w:numFmt w:val="bullet"/>
      <w:lvlText w:val=""/>
      <w:lvlJc w:val="left"/>
      <w:pPr>
        <w:ind w:left="4320" w:hanging="360"/>
      </w:pPr>
      <w:rPr>
        <w:rFonts w:ascii="Wingdings" w:hAnsi="Wingdings" w:hint="default"/>
      </w:rPr>
    </w:lvl>
    <w:lvl w:ilvl="6" w:tplc="1BCCCEC2">
      <w:start w:val="1"/>
      <w:numFmt w:val="bullet"/>
      <w:lvlText w:val=""/>
      <w:lvlJc w:val="left"/>
      <w:pPr>
        <w:ind w:left="5040" w:hanging="360"/>
      </w:pPr>
      <w:rPr>
        <w:rFonts w:ascii="Symbol" w:hAnsi="Symbol" w:hint="default"/>
      </w:rPr>
    </w:lvl>
    <w:lvl w:ilvl="7" w:tplc="864ED3EE">
      <w:start w:val="1"/>
      <w:numFmt w:val="bullet"/>
      <w:lvlText w:val="o"/>
      <w:lvlJc w:val="left"/>
      <w:pPr>
        <w:ind w:left="5760" w:hanging="360"/>
      </w:pPr>
      <w:rPr>
        <w:rFonts w:ascii="Courier New" w:hAnsi="Courier New" w:hint="default"/>
      </w:rPr>
    </w:lvl>
    <w:lvl w:ilvl="8" w:tplc="05BC6BD4">
      <w:start w:val="1"/>
      <w:numFmt w:val="bullet"/>
      <w:lvlText w:val=""/>
      <w:lvlJc w:val="left"/>
      <w:pPr>
        <w:ind w:left="6480" w:hanging="360"/>
      </w:pPr>
      <w:rPr>
        <w:rFonts w:ascii="Wingdings" w:hAnsi="Wingdings" w:hint="default"/>
      </w:rPr>
    </w:lvl>
  </w:abstractNum>
  <w:num w:numId="1" w16cid:durableId="2118669791">
    <w:abstractNumId w:val="13"/>
  </w:num>
  <w:num w:numId="2" w16cid:durableId="873351993">
    <w:abstractNumId w:val="26"/>
  </w:num>
  <w:num w:numId="3" w16cid:durableId="521667010">
    <w:abstractNumId w:val="2"/>
  </w:num>
  <w:num w:numId="4" w16cid:durableId="703484206">
    <w:abstractNumId w:val="12"/>
  </w:num>
  <w:num w:numId="5" w16cid:durableId="995955560">
    <w:abstractNumId w:val="10"/>
  </w:num>
  <w:num w:numId="6" w16cid:durableId="311058073">
    <w:abstractNumId w:val="8"/>
  </w:num>
  <w:num w:numId="7" w16cid:durableId="717124974">
    <w:abstractNumId w:val="6"/>
  </w:num>
  <w:num w:numId="8" w16cid:durableId="871646421">
    <w:abstractNumId w:val="24"/>
  </w:num>
  <w:num w:numId="9" w16cid:durableId="1347708661">
    <w:abstractNumId w:val="19"/>
  </w:num>
  <w:num w:numId="10" w16cid:durableId="100027658">
    <w:abstractNumId w:val="3"/>
  </w:num>
  <w:num w:numId="11" w16cid:durableId="720905120">
    <w:abstractNumId w:val="9"/>
  </w:num>
  <w:num w:numId="12" w16cid:durableId="1322005147">
    <w:abstractNumId w:val="21"/>
  </w:num>
  <w:num w:numId="13" w16cid:durableId="1809473411">
    <w:abstractNumId w:val="1"/>
  </w:num>
  <w:num w:numId="14" w16cid:durableId="520044875">
    <w:abstractNumId w:val="25"/>
  </w:num>
  <w:num w:numId="15" w16cid:durableId="1352991795">
    <w:abstractNumId w:val="14"/>
  </w:num>
  <w:num w:numId="16" w16cid:durableId="1442804027">
    <w:abstractNumId w:val="18"/>
  </w:num>
  <w:num w:numId="17" w16cid:durableId="1556087174">
    <w:abstractNumId w:val="16"/>
  </w:num>
  <w:num w:numId="18" w16cid:durableId="1165583269">
    <w:abstractNumId w:val="4"/>
  </w:num>
  <w:num w:numId="19" w16cid:durableId="579944683">
    <w:abstractNumId w:val="17"/>
  </w:num>
  <w:num w:numId="20" w16cid:durableId="1523781510">
    <w:abstractNumId w:val="23"/>
  </w:num>
  <w:num w:numId="21" w16cid:durableId="954335932">
    <w:abstractNumId w:val="11"/>
  </w:num>
  <w:num w:numId="22" w16cid:durableId="237596003">
    <w:abstractNumId w:val="5"/>
  </w:num>
  <w:num w:numId="23" w16cid:durableId="436363923">
    <w:abstractNumId w:val="22"/>
  </w:num>
  <w:num w:numId="24" w16cid:durableId="727337221">
    <w:abstractNumId w:val="0"/>
  </w:num>
  <w:num w:numId="25" w16cid:durableId="2127431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5708277">
    <w:abstractNumId w:val="7"/>
  </w:num>
  <w:num w:numId="27" w16cid:durableId="2015181999">
    <w:abstractNumId w:val="15"/>
  </w:num>
  <w:num w:numId="28" w16cid:durableId="119577445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6" w:nlCheck="1" w:checkStyle="1"/>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2"/>
    <w:rsid w:val="000000F7"/>
    <w:rsid w:val="0000031E"/>
    <w:rsid w:val="0000055E"/>
    <w:rsid w:val="000006A0"/>
    <w:rsid w:val="000006AC"/>
    <w:rsid w:val="00001005"/>
    <w:rsid w:val="00001101"/>
    <w:rsid w:val="00001116"/>
    <w:rsid w:val="000011EF"/>
    <w:rsid w:val="0000181F"/>
    <w:rsid w:val="0000183A"/>
    <w:rsid w:val="00001AB4"/>
    <w:rsid w:val="00001C30"/>
    <w:rsid w:val="00001F74"/>
    <w:rsid w:val="00002294"/>
    <w:rsid w:val="00002346"/>
    <w:rsid w:val="0000248C"/>
    <w:rsid w:val="000026D8"/>
    <w:rsid w:val="00002A41"/>
    <w:rsid w:val="00002AFE"/>
    <w:rsid w:val="00002BE8"/>
    <w:rsid w:val="00002ED8"/>
    <w:rsid w:val="00002FE3"/>
    <w:rsid w:val="00003430"/>
    <w:rsid w:val="0000360B"/>
    <w:rsid w:val="000036FB"/>
    <w:rsid w:val="000037D9"/>
    <w:rsid w:val="0000387F"/>
    <w:rsid w:val="00003AF2"/>
    <w:rsid w:val="00003EC8"/>
    <w:rsid w:val="00004081"/>
    <w:rsid w:val="00004501"/>
    <w:rsid w:val="0000450C"/>
    <w:rsid w:val="000048A8"/>
    <w:rsid w:val="000049BA"/>
    <w:rsid w:val="0000520E"/>
    <w:rsid w:val="00005A42"/>
    <w:rsid w:val="00005DA6"/>
    <w:rsid w:val="000060EA"/>
    <w:rsid w:val="000062E0"/>
    <w:rsid w:val="00006407"/>
    <w:rsid w:val="0000688C"/>
    <w:rsid w:val="00006E22"/>
    <w:rsid w:val="000073B0"/>
    <w:rsid w:val="000074C1"/>
    <w:rsid w:val="0000762E"/>
    <w:rsid w:val="000076AE"/>
    <w:rsid w:val="00007765"/>
    <w:rsid w:val="000079B8"/>
    <w:rsid w:val="00007A32"/>
    <w:rsid w:val="00007A9B"/>
    <w:rsid w:val="00007B49"/>
    <w:rsid w:val="00007DFD"/>
    <w:rsid w:val="00010348"/>
    <w:rsid w:val="00010376"/>
    <w:rsid w:val="0001066F"/>
    <w:rsid w:val="000108F6"/>
    <w:rsid w:val="00010B29"/>
    <w:rsid w:val="00010BBC"/>
    <w:rsid w:val="00010C2F"/>
    <w:rsid w:val="00010C5E"/>
    <w:rsid w:val="00010C83"/>
    <w:rsid w:val="00010E68"/>
    <w:rsid w:val="00010F5E"/>
    <w:rsid w:val="00011191"/>
    <w:rsid w:val="0001143D"/>
    <w:rsid w:val="000117A3"/>
    <w:rsid w:val="000119A5"/>
    <w:rsid w:val="00011F78"/>
    <w:rsid w:val="00011FDF"/>
    <w:rsid w:val="00012238"/>
    <w:rsid w:val="0001231A"/>
    <w:rsid w:val="000124E6"/>
    <w:rsid w:val="00012588"/>
    <w:rsid w:val="00012603"/>
    <w:rsid w:val="000127F8"/>
    <w:rsid w:val="0001281E"/>
    <w:rsid w:val="000128CC"/>
    <w:rsid w:val="000129DF"/>
    <w:rsid w:val="000129FA"/>
    <w:rsid w:val="00012A6E"/>
    <w:rsid w:val="000131A4"/>
    <w:rsid w:val="000131C9"/>
    <w:rsid w:val="00013222"/>
    <w:rsid w:val="0001368D"/>
    <w:rsid w:val="00013723"/>
    <w:rsid w:val="00013987"/>
    <w:rsid w:val="00013A42"/>
    <w:rsid w:val="00013A5B"/>
    <w:rsid w:val="00013A6A"/>
    <w:rsid w:val="00013BD8"/>
    <w:rsid w:val="00013D51"/>
    <w:rsid w:val="00013E19"/>
    <w:rsid w:val="00014031"/>
    <w:rsid w:val="000142C1"/>
    <w:rsid w:val="000144BF"/>
    <w:rsid w:val="0001450E"/>
    <w:rsid w:val="00014672"/>
    <w:rsid w:val="000147C2"/>
    <w:rsid w:val="000147D5"/>
    <w:rsid w:val="00015290"/>
    <w:rsid w:val="0001548D"/>
    <w:rsid w:val="000154FE"/>
    <w:rsid w:val="00015561"/>
    <w:rsid w:val="00015787"/>
    <w:rsid w:val="00015837"/>
    <w:rsid w:val="00015A66"/>
    <w:rsid w:val="00015A69"/>
    <w:rsid w:val="00015BCE"/>
    <w:rsid w:val="00015D7B"/>
    <w:rsid w:val="00015E75"/>
    <w:rsid w:val="000162B2"/>
    <w:rsid w:val="00016585"/>
    <w:rsid w:val="0001677D"/>
    <w:rsid w:val="0001683D"/>
    <w:rsid w:val="0001689F"/>
    <w:rsid w:val="00016C01"/>
    <w:rsid w:val="00016CEA"/>
    <w:rsid w:val="00017068"/>
    <w:rsid w:val="000170E1"/>
    <w:rsid w:val="00017245"/>
    <w:rsid w:val="0001728F"/>
    <w:rsid w:val="000174A1"/>
    <w:rsid w:val="000174BF"/>
    <w:rsid w:val="00017C36"/>
    <w:rsid w:val="00017D85"/>
    <w:rsid w:val="00017E0C"/>
    <w:rsid w:val="00017FF6"/>
    <w:rsid w:val="000201F7"/>
    <w:rsid w:val="00020450"/>
    <w:rsid w:val="00020829"/>
    <w:rsid w:val="000208F0"/>
    <w:rsid w:val="0002095B"/>
    <w:rsid w:val="00020A75"/>
    <w:rsid w:val="00020E71"/>
    <w:rsid w:val="00020F5B"/>
    <w:rsid w:val="00020F68"/>
    <w:rsid w:val="000211A1"/>
    <w:rsid w:val="000215C4"/>
    <w:rsid w:val="0002178F"/>
    <w:rsid w:val="0002186E"/>
    <w:rsid w:val="00021979"/>
    <w:rsid w:val="000219D5"/>
    <w:rsid w:val="000221D7"/>
    <w:rsid w:val="00022238"/>
    <w:rsid w:val="00022249"/>
    <w:rsid w:val="00022395"/>
    <w:rsid w:val="000224C0"/>
    <w:rsid w:val="00022A44"/>
    <w:rsid w:val="00022A78"/>
    <w:rsid w:val="00022BA8"/>
    <w:rsid w:val="00023039"/>
    <w:rsid w:val="00023139"/>
    <w:rsid w:val="0002325A"/>
    <w:rsid w:val="00023578"/>
    <w:rsid w:val="00023898"/>
    <w:rsid w:val="00023909"/>
    <w:rsid w:val="00023942"/>
    <w:rsid w:val="000239BE"/>
    <w:rsid w:val="00023A49"/>
    <w:rsid w:val="00023BE6"/>
    <w:rsid w:val="00023C86"/>
    <w:rsid w:val="00023C95"/>
    <w:rsid w:val="00024039"/>
    <w:rsid w:val="0002420B"/>
    <w:rsid w:val="000246EA"/>
    <w:rsid w:val="00024899"/>
    <w:rsid w:val="000248F6"/>
    <w:rsid w:val="00024953"/>
    <w:rsid w:val="00024AD6"/>
    <w:rsid w:val="00024D04"/>
    <w:rsid w:val="00024F42"/>
    <w:rsid w:val="00024F58"/>
    <w:rsid w:val="00024FA0"/>
    <w:rsid w:val="0002501A"/>
    <w:rsid w:val="0002513D"/>
    <w:rsid w:val="000253CA"/>
    <w:rsid w:val="0002593D"/>
    <w:rsid w:val="00025964"/>
    <w:rsid w:val="00025A6E"/>
    <w:rsid w:val="00025B1B"/>
    <w:rsid w:val="00025B49"/>
    <w:rsid w:val="00025DD4"/>
    <w:rsid w:val="00025F25"/>
    <w:rsid w:val="0002608D"/>
    <w:rsid w:val="00026247"/>
    <w:rsid w:val="00026438"/>
    <w:rsid w:val="000265D0"/>
    <w:rsid w:val="000265E4"/>
    <w:rsid w:val="00026F69"/>
    <w:rsid w:val="0002711E"/>
    <w:rsid w:val="0002716F"/>
    <w:rsid w:val="00027358"/>
    <w:rsid w:val="000275EA"/>
    <w:rsid w:val="00027C0D"/>
    <w:rsid w:val="00027DB1"/>
    <w:rsid w:val="00027E58"/>
    <w:rsid w:val="0002B617"/>
    <w:rsid w:val="00030019"/>
    <w:rsid w:val="00030020"/>
    <w:rsid w:val="00030128"/>
    <w:rsid w:val="0003033B"/>
    <w:rsid w:val="000304E2"/>
    <w:rsid w:val="0003094D"/>
    <w:rsid w:val="00030A66"/>
    <w:rsid w:val="00030D9F"/>
    <w:rsid w:val="000312BC"/>
    <w:rsid w:val="000312CB"/>
    <w:rsid w:val="000313C8"/>
    <w:rsid w:val="000317E2"/>
    <w:rsid w:val="00031B1A"/>
    <w:rsid w:val="00031FB3"/>
    <w:rsid w:val="00031FC0"/>
    <w:rsid w:val="00032284"/>
    <w:rsid w:val="00032538"/>
    <w:rsid w:val="000325F7"/>
    <w:rsid w:val="00032704"/>
    <w:rsid w:val="0003274C"/>
    <w:rsid w:val="000327AB"/>
    <w:rsid w:val="00032F35"/>
    <w:rsid w:val="00032F46"/>
    <w:rsid w:val="00033313"/>
    <w:rsid w:val="00033407"/>
    <w:rsid w:val="000336D3"/>
    <w:rsid w:val="000339DD"/>
    <w:rsid w:val="00033AB3"/>
    <w:rsid w:val="00033B2D"/>
    <w:rsid w:val="00033CE1"/>
    <w:rsid w:val="00033EF3"/>
    <w:rsid w:val="00033F52"/>
    <w:rsid w:val="00034260"/>
    <w:rsid w:val="0003431E"/>
    <w:rsid w:val="000343CE"/>
    <w:rsid w:val="00034404"/>
    <w:rsid w:val="00034572"/>
    <w:rsid w:val="00034727"/>
    <w:rsid w:val="00034949"/>
    <w:rsid w:val="0003497C"/>
    <w:rsid w:val="00034A32"/>
    <w:rsid w:val="00034A6F"/>
    <w:rsid w:val="00034C46"/>
    <w:rsid w:val="00034C83"/>
    <w:rsid w:val="00034D3C"/>
    <w:rsid w:val="00034D95"/>
    <w:rsid w:val="00034FA5"/>
    <w:rsid w:val="00035576"/>
    <w:rsid w:val="000357C9"/>
    <w:rsid w:val="000359BA"/>
    <w:rsid w:val="000359E7"/>
    <w:rsid w:val="00035B8B"/>
    <w:rsid w:val="000365E3"/>
    <w:rsid w:val="000366B6"/>
    <w:rsid w:val="00036889"/>
    <w:rsid w:val="0003695B"/>
    <w:rsid w:val="00036C0D"/>
    <w:rsid w:val="00037368"/>
    <w:rsid w:val="000378C7"/>
    <w:rsid w:val="000379DC"/>
    <w:rsid w:val="00037A4C"/>
    <w:rsid w:val="00037F28"/>
    <w:rsid w:val="00037F8B"/>
    <w:rsid w:val="0004000F"/>
    <w:rsid w:val="0004002B"/>
    <w:rsid w:val="00040603"/>
    <w:rsid w:val="00041278"/>
    <w:rsid w:val="0004135E"/>
    <w:rsid w:val="000415D5"/>
    <w:rsid w:val="00041794"/>
    <w:rsid w:val="00041867"/>
    <w:rsid w:val="000419A2"/>
    <w:rsid w:val="000419B9"/>
    <w:rsid w:val="00041BD1"/>
    <w:rsid w:val="00041C75"/>
    <w:rsid w:val="00041D90"/>
    <w:rsid w:val="00041DAE"/>
    <w:rsid w:val="00041F22"/>
    <w:rsid w:val="00042212"/>
    <w:rsid w:val="0004226C"/>
    <w:rsid w:val="0004234B"/>
    <w:rsid w:val="000425E8"/>
    <w:rsid w:val="000429FF"/>
    <w:rsid w:val="00042A02"/>
    <w:rsid w:val="00043118"/>
    <w:rsid w:val="0004339F"/>
    <w:rsid w:val="00043567"/>
    <w:rsid w:val="00043856"/>
    <w:rsid w:val="00043C05"/>
    <w:rsid w:val="00044212"/>
    <w:rsid w:val="0004441D"/>
    <w:rsid w:val="00044522"/>
    <w:rsid w:val="000447AC"/>
    <w:rsid w:val="00044C34"/>
    <w:rsid w:val="00044CE6"/>
    <w:rsid w:val="00044D51"/>
    <w:rsid w:val="00044DC0"/>
    <w:rsid w:val="00044DC8"/>
    <w:rsid w:val="00044ECD"/>
    <w:rsid w:val="00045524"/>
    <w:rsid w:val="00045ABD"/>
    <w:rsid w:val="00045E11"/>
    <w:rsid w:val="00045F22"/>
    <w:rsid w:val="00046080"/>
    <w:rsid w:val="000461CF"/>
    <w:rsid w:val="0004638C"/>
    <w:rsid w:val="00046992"/>
    <w:rsid w:val="00046AEC"/>
    <w:rsid w:val="00046BE5"/>
    <w:rsid w:val="00046C99"/>
    <w:rsid w:val="00046D05"/>
    <w:rsid w:val="00046FAB"/>
    <w:rsid w:val="000470C7"/>
    <w:rsid w:val="0004758F"/>
    <w:rsid w:val="00047593"/>
    <w:rsid w:val="00047859"/>
    <w:rsid w:val="00047867"/>
    <w:rsid w:val="00047916"/>
    <w:rsid w:val="0004794B"/>
    <w:rsid w:val="00047D04"/>
    <w:rsid w:val="00047D3C"/>
    <w:rsid w:val="0005032A"/>
    <w:rsid w:val="0005053C"/>
    <w:rsid w:val="00050D33"/>
    <w:rsid w:val="00050E50"/>
    <w:rsid w:val="00050F0A"/>
    <w:rsid w:val="00051021"/>
    <w:rsid w:val="00051361"/>
    <w:rsid w:val="00051639"/>
    <w:rsid w:val="00051761"/>
    <w:rsid w:val="00051819"/>
    <w:rsid w:val="00051C24"/>
    <w:rsid w:val="00051C62"/>
    <w:rsid w:val="00051F20"/>
    <w:rsid w:val="00051F81"/>
    <w:rsid w:val="000522EE"/>
    <w:rsid w:val="00052461"/>
    <w:rsid w:val="00052494"/>
    <w:rsid w:val="00052638"/>
    <w:rsid w:val="00052B27"/>
    <w:rsid w:val="00052BCD"/>
    <w:rsid w:val="00052C81"/>
    <w:rsid w:val="00052FC5"/>
    <w:rsid w:val="00052FCD"/>
    <w:rsid w:val="000530FB"/>
    <w:rsid w:val="000531EE"/>
    <w:rsid w:val="000533ED"/>
    <w:rsid w:val="0005351F"/>
    <w:rsid w:val="000536F5"/>
    <w:rsid w:val="00053700"/>
    <w:rsid w:val="00053DA7"/>
    <w:rsid w:val="00053E87"/>
    <w:rsid w:val="00054099"/>
    <w:rsid w:val="00054171"/>
    <w:rsid w:val="0005429F"/>
    <w:rsid w:val="000542BD"/>
    <w:rsid w:val="0005434E"/>
    <w:rsid w:val="0005455E"/>
    <w:rsid w:val="00054725"/>
    <w:rsid w:val="00054975"/>
    <w:rsid w:val="00054B1B"/>
    <w:rsid w:val="00054BDC"/>
    <w:rsid w:val="00054F28"/>
    <w:rsid w:val="0005523E"/>
    <w:rsid w:val="000552E0"/>
    <w:rsid w:val="0005533C"/>
    <w:rsid w:val="00055527"/>
    <w:rsid w:val="000555E9"/>
    <w:rsid w:val="00055620"/>
    <w:rsid w:val="00055671"/>
    <w:rsid w:val="00055713"/>
    <w:rsid w:val="0005592F"/>
    <w:rsid w:val="000559D3"/>
    <w:rsid w:val="00055A2B"/>
    <w:rsid w:val="00055C58"/>
    <w:rsid w:val="00055D69"/>
    <w:rsid w:val="00055DCD"/>
    <w:rsid w:val="0005602E"/>
    <w:rsid w:val="00056083"/>
    <w:rsid w:val="00056384"/>
    <w:rsid w:val="0005650A"/>
    <w:rsid w:val="0005665E"/>
    <w:rsid w:val="00056757"/>
    <w:rsid w:val="00056793"/>
    <w:rsid w:val="000567FA"/>
    <w:rsid w:val="00056F6A"/>
    <w:rsid w:val="000570E4"/>
    <w:rsid w:val="00057207"/>
    <w:rsid w:val="00057402"/>
    <w:rsid w:val="000576D3"/>
    <w:rsid w:val="0005772E"/>
    <w:rsid w:val="000578D9"/>
    <w:rsid w:val="0005798E"/>
    <w:rsid w:val="000579EF"/>
    <w:rsid w:val="00057F71"/>
    <w:rsid w:val="000601BD"/>
    <w:rsid w:val="0006039F"/>
    <w:rsid w:val="00061296"/>
    <w:rsid w:val="000612C2"/>
    <w:rsid w:val="000612D2"/>
    <w:rsid w:val="000613E0"/>
    <w:rsid w:val="000614EF"/>
    <w:rsid w:val="00061552"/>
    <w:rsid w:val="00061653"/>
    <w:rsid w:val="000617A6"/>
    <w:rsid w:val="000617F3"/>
    <w:rsid w:val="00061911"/>
    <w:rsid w:val="00062018"/>
    <w:rsid w:val="00062067"/>
    <w:rsid w:val="000620B9"/>
    <w:rsid w:val="000620EE"/>
    <w:rsid w:val="000624D3"/>
    <w:rsid w:val="0006287B"/>
    <w:rsid w:val="00062AFC"/>
    <w:rsid w:val="00062C8D"/>
    <w:rsid w:val="00062D07"/>
    <w:rsid w:val="00062D10"/>
    <w:rsid w:val="00062DE7"/>
    <w:rsid w:val="00062FD8"/>
    <w:rsid w:val="000630AC"/>
    <w:rsid w:val="00063222"/>
    <w:rsid w:val="000633F4"/>
    <w:rsid w:val="000636AE"/>
    <w:rsid w:val="000637A0"/>
    <w:rsid w:val="00063CF9"/>
    <w:rsid w:val="00063D36"/>
    <w:rsid w:val="00063ED4"/>
    <w:rsid w:val="00063F86"/>
    <w:rsid w:val="000643E4"/>
    <w:rsid w:val="000643FA"/>
    <w:rsid w:val="0006442F"/>
    <w:rsid w:val="00064724"/>
    <w:rsid w:val="000647A1"/>
    <w:rsid w:val="00064A54"/>
    <w:rsid w:val="00064BE0"/>
    <w:rsid w:val="00064C98"/>
    <w:rsid w:val="00064D04"/>
    <w:rsid w:val="00064D53"/>
    <w:rsid w:val="00064DDB"/>
    <w:rsid w:val="00065575"/>
    <w:rsid w:val="00065758"/>
    <w:rsid w:val="00065919"/>
    <w:rsid w:val="00065A9D"/>
    <w:rsid w:val="00065C62"/>
    <w:rsid w:val="00065CD4"/>
    <w:rsid w:val="00065CDE"/>
    <w:rsid w:val="00065F4A"/>
    <w:rsid w:val="00065F78"/>
    <w:rsid w:val="000661EB"/>
    <w:rsid w:val="000662CC"/>
    <w:rsid w:val="00066624"/>
    <w:rsid w:val="00066914"/>
    <w:rsid w:val="00066990"/>
    <w:rsid w:val="00066C3D"/>
    <w:rsid w:val="00067144"/>
    <w:rsid w:val="000676E5"/>
    <w:rsid w:val="00067733"/>
    <w:rsid w:val="000677DE"/>
    <w:rsid w:val="00067873"/>
    <w:rsid w:val="00067E0A"/>
    <w:rsid w:val="000700C9"/>
    <w:rsid w:val="00070298"/>
    <w:rsid w:val="00070304"/>
    <w:rsid w:val="0007037D"/>
    <w:rsid w:val="0007063B"/>
    <w:rsid w:val="00070722"/>
    <w:rsid w:val="000708AA"/>
    <w:rsid w:val="000708ED"/>
    <w:rsid w:val="000709B3"/>
    <w:rsid w:val="00070C76"/>
    <w:rsid w:val="00070D2D"/>
    <w:rsid w:val="00070D75"/>
    <w:rsid w:val="00070E7D"/>
    <w:rsid w:val="00070F2E"/>
    <w:rsid w:val="000710B2"/>
    <w:rsid w:val="000711CB"/>
    <w:rsid w:val="000715B9"/>
    <w:rsid w:val="000716B6"/>
    <w:rsid w:val="00071BF9"/>
    <w:rsid w:val="00071E91"/>
    <w:rsid w:val="00071EAD"/>
    <w:rsid w:val="00072045"/>
    <w:rsid w:val="0007214F"/>
    <w:rsid w:val="0007215D"/>
    <w:rsid w:val="000721FB"/>
    <w:rsid w:val="00072425"/>
    <w:rsid w:val="0007244F"/>
    <w:rsid w:val="00072855"/>
    <w:rsid w:val="00072A81"/>
    <w:rsid w:val="00072ADC"/>
    <w:rsid w:val="00072B54"/>
    <w:rsid w:val="00072DEB"/>
    <w:rsid w:val="00072EAD"/>
    <w:rsid w:val="00073166"/>
    <w:rsid w:val="0007329C"/>
    <w:rsid w:val="000732F0"/>
    <w:rsid w:val="0007331B"/>
    <w:rsid w:val="000733B9"/>
    <w:rsid w:val="000735BB"/>
    <w:rsid w:val="00073806"/>
    <w:rsid w:val="00073ACA"/>
    <w:rsid w:val="00073EF2"/>
    <w:rsid w:val="00073F6B"/>
    <w:rsid w:val="000740A8"/>
    <w:rsid w:val="00074178"/>
    <w:rsid w:val="0007447F"/>
    <w:rsid w:val="00074779"/>
    <w:rsid w:val="00074A38"/>
    <w:rsid w:val="00074A73"/>
    <w:rsid w:val="00074C12"/>
    <w:rsid w:val="00074C52"/>
    <w:rsid w:val="00074DCB"/>
    <w:rsid w:val="00074F75"/>
    <w:rsid w:val="00075063"/>
    <w:rsid w:val="000750ED"/>
    <w:rsid w:val="0007532E"/>
    <w:rsid w:val="0007585E"/>
    <w:rsid w:val="00075882"/>
    <w:rsid w:val="000758A6"/>
    <w:rsid w:val="0007597B"/>
    <w:rsid w:val="00075B13"/>
    <w:rsid w:val="00075C50"/>
    <w:rsid w:val="00075CCF"/>
    <w:rsid w:val="00075DBE"/>
    <w:rsid w:val="000762C2"/>
    <w:rsid w:val="0007631C"/>
    <w:rsid w:val="000769BB"/>
    <w:rsid w:val="00076A3F"/>
    <w:rsid w:val="00076C6D"/>
    <w:rsid w:val="00076D51"/>
    <w:rsid w:val="00076E4A"/>
    <w:rsid w:val="00077023"/>
    <w:rsid w:val="000770C0"/>
    <w:rsid w:val="0007721B"/>
    <w:rsid w:val="00077321"/>
    <w:rsid w:val="000773B9"/>
    <w:rsid w:val="000773CE"/>
    <w:rsid w:val="00077A89"/>
    <w:rsid w:val="00077B53"/>
    <w:rsid w:val="00077F1E"/>
    <w:rsid w:val="000801AF"/>
    <w:rsid w:val="0008026D"/>
    <w:rsid w:val="00080409"/>
    <w:rsid w:val="00080813"/>
    <w:rsid w:val="00080C61"/>
    <w:rsid w:val="00080D9C"/>
    <w:rsid w:val="00080FF3"/>
    <w:rsid w:val="000810E5"/>
    <w:rsid w:val="000816DF"/>
    <w:rsid w:val="00081931"/>
    <w:rsid w:val="00081982"/>
    <w:rsid w:val="00081A58"/>
    <w:rsid w:val="00081D6E"/>
    <w:rsid w:val="00081DCC"/>
    <w:rsid w:val="00081E33"/>
    <w:rsid w:val="00081F89"/>
    <w:rsid w:val="00082422"/>
    <w:rsid w:val="000825EF"/>
    <w:rsid w:val="00082690"/>
    <w:rsid w:val="000826C0"/>
    <w:rsid w:val="00082868"/>
    <w:rsid w:val="000829C4"/>
    <w:rsid w:val="000829F7"/>
    <w:rsid w:val="00083026"/>
    <w:rsid w:val="000832B5"/>
    <w:rsid w:val="0008362B"/>
    <w:rsid w:val="0008372F"/>
    <w:rsid w:val="0008374F"/>
    <w:rsid w:val="00083834"/>
    <w:rsid w:val="00083955"/>
    <w:rsid w:val="00083A2F"/>
    <w:rsid w:val="00083D88"/>
    <w:rsid w:val="00083DB7"/>
    <w:rsid w:val="00084130"/>
    <w:rsid w:val="000842F2"/>
    <w:rsid w:val="000847FE"/>
    <w:rsid w:val="000849A2"/>
    <w:rsid w:val="00084B18"/>
    <w:rsid w:val="00084E49"/>
    <w:rsid w:val="00084F57"/>
    <w:rsid w:val="00085378"/>
    <w:rsid w:val="000857EC"/>
    <w:rsid w:val="0008583C"/>
    <w:rsid w:val="00085BB8"/>
    <w:rsid w:val="00085D18"/>
    <w:rsid w:val="00086133"/>
    <w:rsid w:val="0008614F"/>
    <w:rsid w:val="00086373"/>
    <w:rsid w:val="00086A67"/>
    <w:rsid w:val="00086B3E"/>
    <w:rsid w:val="00086BCB"/>
    <w:rsid w:val="00086C48"/>
    <w:rsid w:val="00086CBF"/>
    <w:rsid w:val="00086D29"/>
    <w:rsid w:val="00086D57"/>
    <w:rsid w:val="00086ED4"/>
    <w:rsid w:val="000871CA"/>
    <w:rsid w:val="0008720C"/>
    <w:rsid w:val="00087268"/>
    <w:rsid w:val="00087460"/>
    <w:rsid w:val="00087517"/>
    <w:rsid w:val="0009005B"/>
    <w:rsid w:val="00090216"/>
    <w:rsid w:val="000903C6"/>
    <w:rsid w:val="00090500"/>
    <w:rsid w:val="00090B53"/>
    <w:rsid w:val="00090BEB"/>
    <w:rsid w:val="00090E50"/>
    <w:rsid w:val="00090E68"/>
    <w:rsid w:val="00090F87"/>
    <w:rsid w:val="0009109B"/>
    <w:rsid w:val="00091390"/>
    <w:rsid w:val="00091477"/>
    <w:rsid w:val="000915A2"/>
    <w:rsid w:val="000916C6"/>
    <w:rsid w:val="00091705"/>
    <w:rsid w:val="00091C7A"/>
    <w:rsid w:val="00091F71"/>
    <w:rsid w:val="00091FDD"/>
    <w:rsid w:val="00092272"/>
    <w:rsid w:val="0009261C"/>
    <w:rsid w:val="00092727"/>
    <w:rsid w:val="00092945"/>
    <w:rsid w:val="00092CE7"/>
    <w:rsid w:val="00092DD7"/>
    <w:rsid w:val="00092E3A"/>
    <w:rsid w:val="0009311E"/>
    <w:rsid w:val="00093277"/>
    <w:rsid w:val="000932C3"/>
    <w:rsid w:val="00093603"/>
    <w:rsid w:val="00093638"/>
    <w:rsid w:val="0009431B"/>
    <w:rsid w:val="000943B0"/>
    <w:rsid w:val="00094445"/>
    <w:rsid w:val="0009450D"/>
    <w:rsid w:val="000945BD"/>
    <w:rsid w:val="00094AAD"/>
    <w:rsid w:val="00094BA0"/>
    <w:rsid w:val="00094CDE"/>
    <w:rsid w:val="00094F13"/>
    <w:rsid w:val="00095350"/>
    <w:rsid w:val="000955B9"/>
    <w:rsid w:val="000956BE"/>
    <w:rsid w:val="000959E7"/>
    <w:rsid w:val="00095A0E"/>
    <w:rsid w:val="00095AB5"/>
    <w:rsid w:val="00095E34"/>
    <w:rsid w:val="0009605B"/>
    <w:rsid w:val="0009651E"/>
    <w:rsid w:val="0009688E"/>
    <w:rsid w:val="000968B3"/>
    <w:rsid w:val="00096BCD"/>
    <w:rsid w:val="00096C43"/>
    <w:rsid w:val="00096C95"/>
    <w:rsid w:val="00096F50"/>
    <w:rsid w:val="0009704D"/>
    <w:rsid w:val="00097073"/>
    <w:rsid w:val="0009709A"/>
    <w:rsid w:val="0009721E"/>
    <w:rsid w:val="000975CF"/>
    <w:rsid w:val="0009770D"/>
    <w:rsid w:val="000979BA"/>
    <w:rsid w:val="00097C31"/>
    <w:rsid w:val="00097D5D"/>
    <w:rsid w:val="00097E03"/>
    <w:rsid w:val="00097FD8"/>
    <w:rsid w:val="000A0195"/>
    <w:rsid w:val="000A0213"/>
    <w:rsid w:val="000A027E"/>
    <w:rsid w:val="000A0333"/>
    <w:rsid w:val="000A03ED"/>
    <w:rsid w:val="000A05F6"/>
    <w:rsid w:val="000A0641"/>
    <w:rsid w:val="000A07E2"/>
    <w:rsid w:val="000A0984"/>
    <w:rsid w:val="000A0A32"/>
    <w:rsid w:val="000A0A63"/>
    <w:rsid w:val="000A0BCA"/>
    <w:rsid w:val="000A0C73"/>
    <w:rsid w:val="000A0C79"/>
    <w:rsid w:val="000A0F18"/>
    <w:rsid w:val="000A0F5C"/>
    <w:rsid w:val="000A1059"/>
    <w:rsid w:val="000A1099"/>
    <w:rsid w:val="000A10A6"/>
    <w:rsid w:val="000A120D"/>
    <w:rsid w:val="000A1370"/>
    <w:rsid w:val="000A1377"/>
    <w:rsid w:val="000A1387"/>
    <w:rsid w:val="000A1BFE"/>
    <w:rsid w:val="000A1E25"/>
    <w:rsid w:val="000A1EDE"/>
    <w:rsid w:val="000A1F51"/>
    <w:rsid w:val="000A1F7B"/>
    <w:rsid w:val="000A237C"/>
    <w:rsid w:val="000A2649"/>
    <w:rsid w:val="000A2694"/>
    <w:rsid w:val="000A2897"/>
    <w:rsid w:val="000A2C64"/>
    <w:rsid w:val="000A2ECA"/>
    <w:rsid w:val="000A2EF1"/>
    <w:rsid w:val="000A2FCA"/>
    <w:rsid w:val="000A3190"/>
    <w:rsid w:val="000A3195"/>
    <w:rsid w:val="000A3233"/>
    <w:rsid w:val="000A32B4"/>
    <w:rsid w:val="000A358B"/>
    <w:rsid w:val="000A36AE"/>
    <w:rsid w:val="000A37E4"/>
    <w:rsid w:val="000A3837"/>
    <w:rsid w:val="000A3927"/>
    <w:rsid w:val="000A3A3E"/>
    <w:rsid w:val="000A3A9B"/>
    <w:rsid w:val="000A3C0D"/>
    <w:rsid w:val="000A3C14"/>
    <w:rsid w:val="000A3D99"/>
    <w:rsid w:val="000A3F4C"/>
    <w:rsid w:val="000A41C8"/>
    <w:rsid w:val="000A42C8"/>
    <w:rsid w:val="000A435C"/>
    <w:rsid w:val="000A4562"/>
    <w:rsid w:val="000A46E9"/>
    <w:rsid w:val="000A4813"/>
    <w:rsid w:val="000A49F3"/>
    <w:rsid w:val="000A4A35"/>
    <w:rsid w:val="000A500E"/>
    <w:rsid w:val="000A50AE"/>
    <w:rsid w:val="000A50DE"/>
    <w:rsid w:val="000A51BB"/>
    <w:rsid w:val="000A5288"/>
    <w:rsid w:val="000A52E4"/>
    <w:rsid w:val="000A53DF"/>
    <w:rsid w:val="000A5A79"/>
    <w:rsid w:val="000A5AF3"/>
    <w:rsid w:val="000A5BA6"/>
    <w:rsid w:val="000A5C2B"/>
    <w:rsid w:val="000A5D44"/>
    <w:rsid w:val="000A5D92"/>
    <w:rsid w:val="000A5E12"/>
    <w:rsid w:val="000A5E1A"/>
    <w:rsid w:val="000A5F76"/>
    <w:rsid w:val="000A696C"/>
    <w:rsid w:val="000A6A62"/>
    <w:rsid w:val="000A6C0E"/>
    <w:rsid w:val="000A6DBC"/>
    <w:rsid w:val="000A6FBD"/>
    <w:rsid w:val="000A7026"/>
    <w:rsid w:val="000A7333"/>
    <w:rsid w:val="000A7518"/>
    <w:rsid w:val="000A7A69"/>
    <w:rsid w:val="000A7B20"/>
    <w:rsid w:val="000A7D5C"/>
    <w:rsid w:val="000A7EA5"/>
    <w:rsid w:val="000A7F69"/>
    <w:rsid w:val="000A7F9C"/>
    <w:rsid w:val="000AFED4"/>
    <w:rsid w:val="000B00BD"/>
    <w:rsid w:val="000B0328"/>
    <w:rsid w:val="000B06DE"/>
    <w:rsid w:val="000B0793"/>
    <w:rsid w:val="000B0B51"/>
    <w:rsid w:val="000B0C39"/>
    <w:rsid w:val="000B0D6E"/>
    <w:rsid w:val="000B0F7E"/>
    <w:rsid w:val="000B111E"/>
    <w:rsid w:val="000B139B"/>
    <w:rsid w:val="000B1456"/>
    <w:rsid w:val="000B1550"/>
    <w:rsid w:val="000B1725"/>
    <w:rsid w:val="000B1B22"/>
    <w:rsid w:val="000B228E"/>
    <w:rsid w:val="000B25ED"/>
    <w:rsid w:val="000B29E7"/>
    <w:rsid w:val="000B2AEA"/>
    <w:rsid w:val="000B2B4A"/>
    <w:rsid w:val="000B2B4E"/>
    <w:rsid w:val="000B2BAD"/>
    <w:rsid w:val="000B2BE3"/>
    <w:rsid w:val="000B2CBA"/>
    <w:rsid w:val="000B2DE8"/>
    <w:rsid w:val="000B2EDA"/>
    <w:rsid w:val="000B2F50"/>
    <w:rsid w:val="000B2F6F"/>
    <w:rsid w:val="000B30AD"/>
    <w:rsid w:val="000B311B"/>
    <w:rsid w:val="000B34FD"/>
    <w:rsid w:val="000B359B"/>
    <w:rsid w:val="000B35EA"/>
    <w:rsid w:val="000B366F"/>
    <w:rsid w:val="000B38BB"/>
    <w:rsid w:val="000B3931"/>
    <w:rsid w:val="000B3934"/>
    <w:rsid w:val="000B3C47"/>
    <w:rsid w:val="000B3E2E"/>
    <w:rsid w:val="000B4030"/>
    <w:rsid w:val="000B4156"/>
    <w:rsid w:val="000B4330"/>
    <w:rsid w:val="000B4B27"/>
    <w:rsid w:val="000B4B52"/>
    <w:rsid w:val="000B4E81"/>
    <w:rsid w:val="000B5200"/>
    <w:rsid w:val="000B5374"/>
    <w:rsid w:val="000B54E4"/>
    <w:rsid w:val="000B562D"/>
    <w:rsid w:val="000B56CD"/>
    <w:rsid w:val="000B5987"/>
    <w:rsid w:val="000B5AB7"/>
    <w:rsid w:val="000B5B5E"/>
    <w:rsid w:val="000B5FDA"/>
    <w:rsid w:val="000B60F2"/>
    <w:rsid w:val="000B63AE"/>
    <w:rsid w:val="000B679F"/>
    <w:rsid w:val="000B6804"/>
    <w:rsid w:val="000B6862"/>
    <w:rsid w:val="000B68FA"/>
    <w:rsid w:val="000B6B69"/>
    <w:rsid w:val="000B6C1F"/>
    <w:rsid w:val="000B6C44"/>
    <w:rsid w:val="000B6C91"/>
    <w:rsid w:val="000B6D35"/>
    <w:rsid w:val="000B6E2D"/>
    <w:rsid w:val="000B7247"/>
    <w:rsid w:val="000B77E3"/>
    <w:rsid w:val="000B79BF"/>
    <w:rsid w:val="000B7A1C"/>
    <w:rsid w:val="000B7AED"/>
    <w:rsid w:val="000B7CB0"/>
    <w:rsid w:val="000B7E83"/>
    <w:rsid w:val="000B7FB6"/>
    <w:rsid w:val="000C009B"/>
    <w:rsid w:val="000C0128"/>
    <w:rsid w:val="000C0142"/>
    <w:rsid w:val="000C0448"/>
    <w:rsid w:val="000C05FE"/>
    <w:rsid w:val="000C0842"/>
    <w:rsid w:val="000C0AF0"/>
    <w:rsid w:val="000C0BF0"/>
    <w:rsid w:val="000C0FDE"/>
    <w:rsid w:val="000C11CC"/>
    <w:rsid w:val="000C1539"/>
    <w:rsid w:val="000C192B"/>
    <w:rsid w:val="000C1A06"/>
    <w:rsid w:val="000C1BD0"/>
    <w:rsid w:val="000C1C85"/>
    <w:rsid w:val="000C1EA3"/>
    <w:rsid w:val="000C1FBD"/>
    <w:rsid w:val="000C2845"/>
    <w:rsid w:val="000C2853"/>
    <w:rsid w:val="000C2879"/>
    <w:rsid w:val="000C2D54"/>
    <w:rsid w:val="000C3044"/>
    <w:rsid w:val="000C3484"/>
    <w:rsid w:val="000C3BF9"/>
    <w:rsid w:val="000C3D71"/>
    <w:rsid w:val="000C3D74"/>
    <w:rsid w:val="000C40AB"/>
    <w:rsid w:val="000C415E"/>
    <w:rsid w:val="000C4185"/>
    <w:rsid w:val="000C4225"/>
    <w:rsid w:val="000C433D"/>
    <w:rsid w:val="000C435F"/>
    <w:rsid w:val="000C4450"/>
    <w:rsid w:val="000C44C5"/>
    <w:rsid w:val="000C4547"/>
    <w:rsid w:val="000C49B0"/>
    <w:rsid w:val="000C4AB0"/>
    <w:rsid w:val="000C4E5A"/>
    <w:rsid w:val="000C5036"/>
    <w:rsid w:val="000C52FC"/>
    <w:rsid w:val="000C5368"/>
    <w:rsid w:val="000C5745"/>
    <w:rsid w:val="000C57DF"/>
    <w:rsid w:val="000C5A1F"/>
    <w:rsid w:val="000C5B86"/>
    <w:rsid w:val="000C5CF7"/>
    <w:rsid w:val="000C5EA6"/>
    <w:rsid w:val="000C5EE4"/>
    <w:rsid w:val="000C6197"/>
    <w:rsid w:val="000C63C1"/>
    <w:rsid w:val="000C6656"/>
    <w:rsid w:val="000C668E"/>
    <w:rsid w:val="000C66BA"/>
    <w:rsid w:val="000C66F2"/>
    <w:rsid w:val="000C6848"/>
    <w:rsid w:val="000C6A40"/>
    <w:rsid w:val="000C6DCE"/>
    <w:rsid w:val="000C6E09"/>
    <w:rsid w:val="000C6ED9"/>
    <w:rsid w:val="000C7455"/>
    <w:rsid w:val="000C75CB"/>
    <w:rsid w:val="000C7704"/>
    <w:rsid w:val="000C7883"/>
    <w:rsid w:val="000C793A"/>
    <w:rsid w:val="000C7B1E"/>
    <w:rsid w:val="000C7FD0"/>
    <w:rsid w:val="000D0023"/>
    <w:rsid w:val="000D00FA"/>
    <w:rsid w:val="000D017E"/>
    <w:rsid w:val="000D030C"/>
    <w:rsid w:val="000D0333"/>
    <w:rsid w:val="000D0382"/>
    <w:rsid w:val="000D048A"/>
    <w:rsid w:val="000D07A7"/>
    <w:rsid w:val="000D08AA"/>
    <w:rsid w:val="000D0A6B"/>
    <w:rsid w:val="000D0A81"/>
    <w:rsid w:val="000D0B38"/>
    <w:rsid w:val="000D0B84"/>
    <w:rsid w:val="000D0BDD"/>
    <w:rsid w:val="000D0F20"/>
    <w:rsid w:val="000D1093"/>
    <w:rsid w:val="000D10D5"/>
    <w:rsid w:val="000D1182"/>
    <w:rsid w:val="000D150D"/>
    <w:rsid w:val="000D169F"/>
    <w:rsid w:val="000D1786"/>
    <w:rsid w:val="000D192E"/>
    <w:rsid w:val="000D1979"/>
    <w:rsid w:val="000D1A22"/>
    <w:rsid w:val="000D1AB4"/>
    <w:rsid w:val="000D1B7E"/>
    <w:rsid w:val="000D1C35"/>
    <w:rsid w:val="000D1E05"/>
    <w:rsid w:val="000D1FB5"/>
    <w:rsid w:val="000D2098"/>
    <w:rsid w:val="000D25A0"/>
    <w:rsid w:val="000D2BC8"/>
    <w:rsid w:val="000D2C51"/>
    <w:rsid w:val="000D2CCD"/>
    <w:rsid w:val="000D2F88"/>
    <w:rsid w:val="000D2FC4"/>
    <w:rsid w:val="000D315E"/>
    <w:rsid w:val="000D316D"/>
    <w:rsid w:val="000D3330"/>
    <w:rsid w:val="000D35F2"/>
    <w:rsid w:val="000D39EF"/>
    <w:rsid w:val="000D3AA9"/>
    <w:rsid w:val="000D3B2E"/>
    <w:rsid w:val="000D41FB"/>
    <w:rsid w:val="000D4202"/>
    <w:rsid w:val="000D4343"/>
    <w:rsid w:val="000D43BB"/>
    <w:rsid w:val="000D4516"/>
    <w:rsid w:val="000D4793"/>
    <w:rsid w:val="000D479F"/>
    <w:rsid w:val="000D47AA"/>
    <w:rsid w:val="000D4892"/>
    <w:rsid w:val="000D4AC5"/>
    <w:rsid w:val="000D4B4A"/>
    <w:rsid w:val="000D4EA2"/>
    <w:rsid w:val="000D4FD0"/>
    <w:rsid w:val="000D509E"/>
    <w:rsid w:val="000D5325"/>
    <w:rsid w:val="000D5375"/>
    <w:rsid w:val="000D5502"/>
    <w:rsid w:val="000D55DF"/>
    <w:rsid w:val="000D5FE3"/>
    <w:rsid w:val="000D631C"/>
    <w:rsid w:val="000D6709"/>
    <w:rsid w:val="000D67B7"/>
    <w:rsid w:val="000D695F"/>
    <w:rsid w:val="000D6B7D"/>
    <w:rsid w:val="000D736A"/>
    <w:rsid w:val="000D74D3"/>
    <w:rsid w:val="000D763E"/>
    <w:rsid w:val="000D7654"/>
    <w:rsid w:val="000D76DF"/>
    <w:rsid w:val="000D779B"/>
    <w:rsid w:val="000D7A9C"/>
    <w:rsid w:val="000D7BDF"/>
    <w:rsid w:val="000D7CB0"/>
    <w:rsid w:val="000D7CC6"/>
    <w:rsid w:val="000D7EF2"/>
    <w:rsid w:val="000E0062"/>
    <w:rsid w:val="000E00B3"/>
    <w:rsid w:val="000E0135"/>
    <w:rsid w:val="000E06E5"/>
    <w:rsid w:val="000E075E"/>
    <w:rsid w:val="000E07CD"/>
    <w:rsid w:val="000E083A"/>
    <w:rsid w:val="000E0A3A"/>
    <w:rsid w:val="000E0A9B"/>
    <w:rsid w:val="000E0BDF"/>
    <w:rsid w:val="000E0CF4"/>
    <w:rsid w:val="000E0E6C"/>
    <w:rsid w:val="000E0E92"/>
    <w:rsid w:val="000E12A0"/>
    <w:rsid w:val="000E1487"/>
    <w:rsid w:val="000E1535"/>
    <w:rsid w:val="000E1565"/>
    <w:rsid w:val="000E1696"/>
    <w:rsid w:val="000E17D0"/>
    <w:rsid w:val="000E18C4"/>
    <w:rsid w:val="000E1902"/>
    <w:rsid w:val="000E1A53"/>
    <w:rsid w:val="000E1DC1"/>
    <w:rsid w:val="000E1FB1"/>
    <w:rsid w:val="000E21C7"/>
    <w:rsid w:val="000E21CB"/>
    <w:rsid w:val="000E26A2"/>
    <w:rsid w:val="000E26CB"/>
    <w:rsid w:val="000E271A"/>
    <w:rsid w:val="000E2904"/>
    <w:rsid w:val="000E2B03"/>
    <w:rsid w:val="000E3013"/>
    <w:rsid w:val="000E3025"/>
    <w:rsid w:val="000E308D"/>
    <w:rsid w:val="000E30F4"/>
    <w:rsid w:val="000E33EA"/>
    <w:rsid w:val="000E34AB"/>
    <w:rsid w:val="000E38BF"/>
    <w:rsid w:val="000E3A3D"/>
    <w:rsid w:val="000E3D73"/>
    <w:rsid w:val="000E4565"/>
    <w:rsid w:val="000E45DB"/>
    <w:rsid w:val="000E46A3"/>
    <w:rsid w:val="000E47F0"/>
    <w:rsid w:val="000E4DF5"/>
    <w:rsid w:val="000E50B1"/>
    <w:rsid w:val="000E5447"/>
    <w:rsid w:val="000E5622"/>
    <w:rsid w:val="000E5780"/>
    <w:rsid w:val="000E5898"/>
    <w:rsid w:val="000E58F2"/>
    <w:rsid w:val="000E62D5"/>
    <w:rsid w:val="000E6301"/>
    <w:rsid w:val="000E6387"/>
    <w:rsid w:val="000E6757"/>
    <w:rsid w:val="000E68E0"/>
    <w:rsid w:val="000E6CB4"/>
    <w:rsid w:val="000E6E31"/>
    <w:rsid w:val="000E7019"/>
    <w:rsid w:val="000E7298"/>
    <w:rsid w:val="000E731E"/>
    <w:rsid w:val="000E75F7"/>
    <w:rsid w:val="000E76E4"/>
    <w:rsid w:val="000E77C1"/>
    <w:rsid w:val="000E7C2F"/>
    <w:rsid w:val="000F04A3"/>
    <w:rsid w:val="000F0541"/>
    <w:rsid w:val="000F06F8"/>
    <w:rsid w:val="000F0740"/>
    <w:rsid w:val="000F0848"/>
    <w:rsid w:val="000F08AD"/>
    <w:rsid w:val="000F097B"/>
    <w:rsid w:val="000F0A35"/>
    <w:rsid w:val="000F0E72"/>
    <w:rsid w:val="000F1052"/>
    <w:rsid w:val="000F109A"/>
    <w:rsid w:val="000F1213"/>
    <w:rsid w:val="000F1429"/>
    <w:rsid w:val="000F18B1"/>
    <w:rsid w:val="000F1EDA"/>
    <w:rsid w:val="000F2189"/>
    <w:rsid w:val="000F2291"/>
    <w:rsid w:val="000F235C"/>
    <w:rsid w:val="000F241A"/>
    <w:rsid w:val="000F243A"/>
    <w:rsid w:val="000F24C0"/>
    <w:rsid w:val="000F2534"/>
    <w:rsid w:val="000F2548"/>
    <w:rsid w:val="000F28DA"/>
    <w:rsid w:val="000F2927"/>
    <w:rsid w:val="000F2B1B"/>
    <w:rsid w:val="000F2BA6"/>
    <w:rsid w:val="000F2D6A"/>
    <w:rsid w:val="000F2E9C"/>
    <w:rsid w:val="000F2EF5"/>
    <w:rsid w:val="000F300D"/>
    <w:rsid w:val="000F313A"/>
    <w:rsid w:val="000F313E"/>
    <w:rsid w:val="000F31EA"/>
    <w:rsid w:val="000F3272"/>
    <w:rsid w:val="000F33D2"/>
    <w:rsid w:val="000F361E"/>
    <w:rsid w:val="000F3652"/>
    <w:rsid w:val="000F36E1"/>
    <w:rsid w:val="000F37FF"/>
    <w:rsid w:val="000F3BE3"/>
    <w:rsid w:val="000F3C1E"/>
    <w:rsid w:val="000F3EB4"/>
    <w:rsid w:val="000F4471"/>
    <w:rsid w:val="000F448E"/>
    <w:rsid w:val="000F4BE5"/>
    <w:rsid w:val="000F4C01"/>
    <w:rsid w:val="000F5080"/>
    <w:rsid w:val="000F51BC"/>
    <w:rsid w:val="000F59D8"/>
    <w:rsid w:val="000F5A43"/>
    <w:rsid w:val="000F5D57"/>
    <w:rsid w:val="000F5DEA"/>
    <w:rsid w:val="000F5E49"/>
    <w:rsid w:val="000F5E64"/>
    <w:rsid w:val="000F5E98"/>
    <w:rsid w:val="000F609D"/>
    <w:rsid w:val="000F60F6"/>
    <w:rsid w:val="000F6382"/>
    <w:rsid w:val="000F63A9"/>
    <w:rsid w:val="000F6462"/>
    <w:rsid w:val="000F654A"/>
    <w:rsid w:val="000F6ACD"/>
    <w:rsid w:val="000F6B1D"/>
    <w:rsid w:val="000F6B9F"/>
    <w:rsid w:val="000F6C2D"/>
    <w:rsid w:val="000F6C62"/>
    <w:rsid w:val="000F6FB2"/>
    <w:rsid w:val="000F7007"/>
    <w:rsid w:val="000F70D1"/>
    <w:rsid w:val="000F713F"/>
    <w:rsid w:val="000F7207"/>
    <w:rsid w:val="000F7324"/>
    <w:rsid w:val="000F7423"/>
    <w:rsid w:val="000F747C"/>
    <w:rsid w:val="000F74E0"/>
    <w:rsid w:val="000F7540"/>
    <w:rsid w:val="000F7DBC"/>
    <w:rsid w:val="000F7FBE"/>
    <w:rsid w:val="0010002A"/>
    <w:rsid w:val="001006E2"/>
    <w:rsid w:val="0010086D"/>
    <w:rsid w:val="0010086F"/>
    <w:rsid w:val="001008F4"/>
    <w:rsid w:val="001009CD"/>
    <w:rsid w:val="00100C1D"/>
    <w:rsid w:val="0010114D"/>
    <w:rsid w:val="0010158A"/>
    <w:rsid w:val="001017FE"/>
    <w:rsid w:val="001018A8"/>
    <w:rsid w:val="001018B5"/>
    <w:rsid w:val="00101A0F"/>
    <w:rsid w:val="00101AA6"/>
    <w:rsid w:val="00102241"/>
    <w:rsid w:val="001024E7"/>
    <w:rsid w:val="001025A6"/>
    <w:rsid w:val="00102840"/>
    <w:rsid w:val="00102B03"/>
    <w:rsid w:val="00102BAE"/>
    <w:rsid w:val="00102C3C"/>
    <w:rsid w:val="00102FF2"/>
    <w:rsid w:val="00103074"/>
    <w:rsid w:val="001031EC"/>
    <w:rsid w:val="00103221"/>
    <w:rsid w:val="00103577"/>
    <w:rsid w:val="001035B2"/>
    <w:rsid w:val="00103617"/>
    <w:rsid w:val="001037E5"/>
    <w:rsid w:val="0010399A"/>
    <w:rsid w:val="00103B5C"/>
    <w:rsid w:val="00103C33"/>
    <w:rsid w:val="00103D41"/>
    <w:rsid w:val="00103F17"/>
    <w:rsid w:val="00103FCD"/>
    <w:rsid w:val="00104181"/>
    <w:rsid w:val="0010430C"/>
    <w:rsid w:val="00104619"/>
    <w:rsid w:val="0010462B"/>
    <w:rsid w:val="001046B9"/>
    <w:rsid w:val="00104A1D"/>
    <w:rsid w:val="00104B64"/>
    <w:rsid w:val="00104C9E"/>
    <w:rsid w:val="00104CCA"/>
    <w:rsid w:val="00104FAB"/>
    <w:rsid w:val="00105025"/>
    <w:rsid w:val="001050AD"/>
    <w:rsid w:val="0010536B"/>
    <w:rsid w:val="0010545C"/>
    <w:rsid w:val="001054F7"/>
    <w:rsid w:val="0010567C"/>
    <w:rsid w:val="001056C5"/>
    <w:rsid w:val="001059D6"/>
    <w:rsid w:val="00105A5D"/>
    <w:rsid w:val="00105AEC"/>
    <w:rsid w:val="00105B97"/>
    <w:rsid w:val="00105DD3"/>
    <w:rsid w:val="00105ED0"/>
    <w:rsid w:val="00105FB7"/>
    <w:rsid w:val="001060EA"/>
    <w:rsid w:val="00106428"/>
    <w:rsid w:val="0010642D"/>
    <w:rsid w:val="0010662A"/>
    <w:rsid w:val="001069A7"/>
    <w:rsid w:val="00106A12"/>
    <w:rsid w:val="00106C4E"/>
    <w:rsid w:val="00106CB9"/>
    <w:rsid w:val="001070BC"/>
    <w:rsid w:val="0010716C"/>
    <w:rsid w:val="0010724C"/>
    <w:rsid w:val="001073E3"/>
    <w:rsid w:val="00107408"/>
    <w:rsid w:val="001077C8"/>
    <w:rsid w:val="001102D6"/>
    <w:rsid w:val="001103C6"/>
    <w:rsid w:val="001104B0"/>
    <w:rsid w:val="001104CE"/>
    <w:rsid w:val="001105A8"/>
    <w:rsid w:val="00110695"/>
    <w:rsid w:val="00110715"/>
    <w:rsid w:val="001108A5"/>
    <w:rsid w:val="00110FD6"/>
    <w:rsid w:val="00111259"/>
    <w:rsid w:val="001113AE"/>
    <w:rsid w:val="00111431"/>
    <w:rsid w:val="001115C8"/>
    <w:rsid w:val="00111667"/>
    <w:rsid w:val="00111710"/>
    <w:rsid w:val="001118AB"/>
    <w:rsid w:val="00111951"/>
    <w:rsid w:val="00111FC2"/>
    <w:rsid w:val="0011249C"/>
    <w:rsid w:val="00112AA8"/>
    <w:rsid w:val="00112D7F"/>
    <w:rsid w:val="00112E8D"/>
    <w:rsid w:val="00112F1A"/>
    <w:rsid w:val="00113003"/>
    <w:rsid w:val="00113163"/>
    <w:rsid w:val="001136A7"/>
    <w:rsid w:val="00113738"/>
    <w:rsid w:val="001139E2"/>
    <w:rsid w:val="00113D47"/>
    <w:rsid w:val="00113E52"/>
    <w:rsid w:val="00113F5A"/>
    <w:rsid w:val="001141A2"/>
    <w:rsid w:val="001142FB"/>
    <w:rsid w:val="0011438E"/>
    <w:rsid w:val="00114CF9"/>
    <w:rsid w:val="00114E5E"/>
    <w:rsid w:val="00115267"/>
    <w:rsid w:val="00115A76"/>
    <w:rsid w:val="00115D20"/>
    <w:rsid w:val="00115E46"/>
    <w:rsid w:val="00115F1F"/>
    <w:rsid w:val="00116622"/>
    <w:rsid w:val="00116803"/>
    <w:rsid w:val="001168DC"/>
    <w:rsid w:val="00116BA8"/>
    <w:rsid w:val="00116BE0"/>
    <w:rsid w:val="00116D2A"/>
    <w:rsid w:val="00116FEE"/>
    <w:rsid w:val="001172AF"/>
    <w:rsid w:val="00117349"/>
    <w:rsid w:val="001174A0"/>
    <w:rsid w:val="0011781C"/>
    <w:rsid w:val="00117963"/>
    <w:rsid w:val="00117C3B"/>
    <w:rsid w:val="00117CDA"/>
    <w:rsid w:val="00117D02"/>
    <w:rsid w:val="00117E03"/>
    <w:rsid w:val="001200BD"/>
    <w:rsid w:val="0012018F"/>
    <w:rsid w:val="00120582"/>
    <w:rsid w:val="00120713"/>
    <w:rsid w:val="00120725"/>
    <w:rsid w:val="00120A75"/>
    <w:rsid w:val="00120EB7"/>
    <w:rsid w:val="00121015"/>
    <w:rsid w:val="0012122E"/>
    <w:rsid w:val="00121419"/>
    <w:rsid w:val="00121447"/>
    <w:rsid w:val="00121593"/>
    <w:rsid w:val="001217E8"/>
    <w:rsid w:val="00121B1D"/>
    <w:rsid w:val="00121F69"/>
    <w:rsid w:val="001221C9"/>
    <w:rsid w:val="001223A2"/>
    <w:rsid w:val="00122460"/>
    <w:rsid w:val="0012248C"/>
    <w:rsid w:val="00122ABE"/>
    <w:rsid w:val="00122C04"/>
    <w:rsid w:val="00122C93"/>
    <w:rsid w:val="00122E2F"/>
    <w:rsid w:val="00122F19"/>
    <w:rsid w:val="00122FCE"/>
    <w:rsid w:val="001230DB"/>
    <w:rsid w:val="00123110"/>
    <w:rsid w:val="0012318E"/>
    <w:rsid w:val="00123650"/>
    <w:rsid w:val="00123854"/>
    <w:rsid w:val="00123865"/>
    <w:rsid w:val="001239B3"/>
    <w:rsid w:val="00123D1D"/>
    <w:rsid w:val="00123E81"/>
    <w:rsid w:val="00123E86"/>
    <w:rsid w:val="00123EC4"/>
    <w:rsid w:val="00123FE0"/>
    <w:rsid w:val="00124293"/>
    <w:rsid w:val="001242C0"/>
    <w:rsid w:val="001244C9"/>
    <w:rsid w:val="00124748"/>
    <w:rsid w:val="00124996"/>
    <w:rsid w:val="00124A85"/>
    <w:rsid w:val="00124A89"/>
    <w:rsid w:val="00124EB4"/>
    <w:rsid w:val="00124FCB"/>
    <w:rsid w:val="0012508B"/>
    <w:rsid w:val="0012523C"/>
    <w:rsid w:val="001253B6"/>
    <w:rsid w:val="0012551F"/>
    <w:rsid w:val="00125673"/>
    <w:rsid w:val="00125889"/>
    <w:rsid w:val="00125984"/>
    <w:rsid w:val="00125DCE"/>
    <w:rsid w:val="00126159"/>
    <w:rsid w:val="00126183"/>
    <w:rsid w:val="001266F0"/>
    <w:rsid w:val="00126884"/>
    <w:rsid w:val="00126CAB"/>
    <w:rsid w:val="00126DC5"/>
    <w:rsid w:val="0012701F"/>
    <w:rsid w:val="00127149"/>
    <w:rsid w:val="00127355"/>
    <w:rsid w:val="00127632"/>
    <w:rsid w:val="001279AE"/>
    <w:rsid w:val="00130137"/>
    <w:rsid w:val="00130237"/>
    <w:rsid w:val="001302FA"/>
    <w:rsid w:val="00130573"/>
    <w:rsid w:val="00130775"/>
    <w:rsid w:val="00130866"/>
    <w:rsid w:val="00130885"/>
    <w:rsid w:val="00130E54"/>
    <w:rsid w:val="00130FE0"/>
    <w:rsid w:val="00131089"/>
    <w:rsid w:val="001311DE"/>
    <w:rsid w:val="001312C2"/>
    <w:rsid w:val="00131791"/>
    <w:rsid w:val="001317CD"/>
    <w:rsid w:val="00131ACB"/>
    <w:rsid w:val="00131BF9"/>
    <w:rsid w:val="00131E0D"/>
    <w:rsid w:val="00131E9E"/>
    <w:rsid w:val="00131F3E"/>
    <w:rsid w:val="0013223E"/>
    <w:rsid w:val="0013234F"/>
    <w:rsid w:val="001323D6"/>
    <w:rsid w:val="00132402"/>
    <w:rsid w:val="00132560"/>
    <w:rsid w:val="00132569"/>
    <w:rsid w:val="0013258D"/>
    <w:rsid w:val="00132685"/>
    <w:rsid w:val="00132719"/>
    <w:rsid w:val="00132950"/>
    <w:rsid w:val="00132A18"/>
    <w:rsid w:val="00132CB0"/>
    <w:rsid w:val="00132CCF"/>
    <w:rsid w:val="00133075"/>
    <w:rsid w:val="0013318B"/>
    <w:rsid w:val="00133194"/>
    <w:rsid w:val="0013340E"/>
    <w:rsid w:val="001334FD"/>
    <w:rsid w:val="00133B1C"/>
    <w:rsid w:val="00133CA7"/>
    <w:rsid w:val="00133D15"/>
    <w:rsid w:val="00133D63"/>
    <w:rsid w:val="001340EA"/>
    <w:rsid w:val="001341A2"/>
    <w:rsid w:val="0013434C"/>
    <w:rsid w:val="001343EC"/>
    <w:rsid w:val="00134493"/>
    <w:rsid w:val="001345D0"/>
    <w:rsid w:val="001346BC"/>
    <w:rsid w:val="00134A72"/>
    <w:rsid w:val="00134AF1"/>
    <w:rsid w:val="00134B87"/>
    <w:rsid w:val="00134D36"/>
    <w:rsid w:val="00134DEF"/>
    <w:rsid w:val="00134E1C"/>
    <w:rsid w:val="00134ED1"/>
    <w:rsid w:val="00135010"/>
    <w:rsid w:val="00135050"/>
    <w:rsid w:val="0013509A"/>
    <w:rsid w:val="001351E3"/>
    <w:rsid w:val="001354C4"/>
    <w:rsid w:val="001356A6"/>
    <w:rsid w:val="00135769"/>
    <w:rsid w:val="0013580D"/>
    <w:rsid w:val="00135D83"/>
    <w:rsid w:val="00135EDE"/>
    <w:rsid w:val="00135F7A"/>
    <w:rsid w:val="0013608A"/>
    <w:rsid w:val="0013614B"/>
    <w:rsid w:val="00136157"/>
    <w:rsid w:val="00136399"/>
    <w:rsid w:val="001365A7"/>
    <w:rsid w:val="00136A9E"/>
    <w:rsid w:val="00136AAB"/>
    <w:rsid w:val="00136BC4"/>
    <w:rsid w:val="00136C60"/>
    <w:rsid w:val="00136CB6"/>
    <w:rsid w:val="00136DD1"/>
    <w:rsid w:val="00136E76"/>
    <w:rsid w:val="00136ECC"/>
    <w:rsid w:val="00136F0F"/>
    <w:rsid w:val="00136F21"/>
    <w:rsid w:val="001377E1"/>
    <w:rsid w:val="001378F1"/>
    <w:rsid w:val="00137952"/>
    <w:rsid w:val="00137CD1"/>
    <w:rsid w:val="00137E44"/>
    <w:rsid w:val="00137FF7"/>
    <w:rsid w:val="0013A65C"/>
    <w:rsid w:val="001404F6"/>
    <w:rsid w:val="0014052C"/>
    <w:rsid w:val="001407F1"/>
    <w:rsid w:val="001409C2"/>
    <w:rsid w:val="00140A20"/>
    <w:rsid w:val="00140DAA"/>
    <w:rsid w:val="00141050"/>
    <w:rsid w:val="001410A7"/>
    <w:rsid w:val="00141102"/>
    <w:rsid w:val="0014115A"/>
    <w:rsid w:val="001412E0"/>
    <w:rsid w:val="0014136D"/>
    <w:rsid w:val="00141692"/>
    <w:rsid w:val="00141959"/>
    <w:rsid w:val="00141B8C"/>
    <w:rsid w:val="00141D18"/>
    <w:rsid w:val="00141DE7"/>
    <w:rsid w:val="00141EFB"/>
    <w:rsid w:val="00141F7C"/>
    <w:rsid w:val="001423BF"/>
    <w:rsid w:val="00142712"/>
    <w:rsid w:val="00142984"/>
    <w:rsid w:val="00142B06"/>
    <w:rsid w:val="00142CD7"/>
    <w:rsid w:val="0014303E"/>
    <w:rsid w:val="0014315A"/>
    <w:rsid w:val="00143237"/>
    <w:rsid w:val="001432BF"/>
    <w:rsid w:val="001435BE"/>
    <w:rsid w:val="00143686"/>
    <w:rsid w:val="0014368A"/>
    <w:rsid w:val="001436AC"/>
    <w:rsid w:val="0014389F"/>
    <w:rsid w:val="00143AA6"/>
    <w:rsid w:val="00143B7D"/>
    <w:rsid w:val="00143BAD"/>
    <w:rsid w:val="00143C80"/>
    <w:rsid w:val="00143D85"/>
    <w:rsid w:val="00143D88"/>
    <w:rsid w:val="00143EEC"/>
    <w:rsid w:val="00143F4F"/>
    <w:rsid w:val="00144188"/>
    <w:rsid w:val="0014423E"/>
    <w:rsid w:val="0014425E"/>
    <w:rsid w:val="001442E7"/>
    <w:rsid w:val="00144311"/>
    <w:rsid w:val="00144492"/>
    <w:rsid w:val="001448D9"/>
    <w:rsid w:val="001449AC"/>
    <w:rsid w:val="00144ABE"/>
    <w:rsid w:val="00144E60"/>
    <w:rsid w:val="0014504B"/>
    <w:rsid w:val="0014510B"/>
    <w:rsid w:val="00145163"/>
    <w:rsid w:val="0014520C"/>
    <w:rsid w:val="00145243"/>
    <w:rsid w:val="0014528F"/>
    <w:rsid w:val="0014538C"/>
    <w:rsid w:val="001453F0"/>
    <w:rsid w:val="00145866"/>
    <w:rsid w:val="001458B2"/>
    <w:rsid w:val="00145A8F"/>
    <w:rsid w:val="00145E5D"/>
    <w:rsid w:val="00146081"/>
    <w:rsid w:val="00146299"/>
    <w:rsid w:val="001462ED"/>
    <w:rsid w:val="00146535"/>
    <w:rsid w:val="001468C6"/>
    <w:rsid w:val="00146C3A"/>
    <w:rsid w:val="00146C47"/>
    <w:rsid w:val="00146F4E"/>
    <w:rsid w:val="00147055"/>
    <w:rsid w:val="00147514"/>
    <w:rsid w:val="00147547"/>
    <w:rsid w:val="0014764A"/>
    <w:rsid w:val="001477B1"/>
    <w:rsid w:val="001477B6"/>
    <w:rsid w:val="00147A66"/>
    <w:rsid w:val="00147C11"/>
    <w:rsid w:val="00147DC2"/>
    <w:rsid w:val="00147DE4"/>
    <w:rsid w:val="00147EB8"/>
    <w:rsid w:val="00150006"/>
    <w:rsid w:val="00150265"/>
    <w:rsid w:val="0015079A"/>
    <w:rsid w:val="0015095E"/>
    <w:rsid w:val="00150999"/>
    <w:rsid w:val="00150D3D"/>
    <w:rsid w:val="00150F24"/>
    <w:rsid w:val="00151178"/>
    <w:rsid w:val="001511D2"/>
    <w:rsid w:val="001513EF"/>
    <w:rsid w:val="0015150F"/>
    <w:rsid w:val="00151519"/>
    <w:rsid w:val="001516E3"/>
    <w:rsid w:val="001516E9"/>
    <w:rsid w:val="00151A98"/>
    <w:rsid w:val="00151D79"/>
    <w:rsid w:val="00151E4B"/>
    <w:rsid w:val="00152160"/>
    <w:rsid w:val="0015221B"/>
    <w:rsid w:val="00152231"/>
    <w:rsid w:val="0015247C"/>
    <w:rsid w:val="00152635"/>
    <w:rsid w:val="0015283D"/>
    <w:rsid w:val="00152B77"/>
    <w:rsid w:val="00152E9D"/>
    <w:rsid w:val="0015320F"/>
    <w:rsid w:val="00153480"/>
    <w:rsid w:val="00153541"/>
    <w:rsid w:val="0015366A"/>
    <w:rsid w:val="001537AA"/>
    <w:rsid w:val="00153A1B"/>
    <w:rsid w:val="00153A3C"/>
    <w:rsid w:val="00153B97"/>
    <w:rsid w:val="00153E0E"/>
    <w:rsid w:val="00154039"/>
    <w:rsid w:val="00154735"/>
    <w:rsid w:val="00154CA3"/>
    <w:rsid w:val="00154D0B"/>
    <w:rsid w:val="00154EFD"/>
    <w:rsid w:val="00155295"/>
    <w:rsid w:val="001552BF"/>
    <w:rsid w:val="001552DD"/>
    <w:rsid w:val="00155851"/>
    <w:rsid w:val="0015592E"/>
    <w:rsid w:val="0015599A"/>
    <w:rsid w:val="00155A02"/>
    <w:rsid w:val="00155ADD"/>
    <w:rsid w:val="00155D94"/>
    <w:rsid w:val="00155FB0"/>
    <w:rsid w:val="001563C1"/>
    <w:rsid w:val="001566AC"/>
    <w:rsid w:val="0015687F"/>
    <w:rsid w:val="001568C7"/>
    <w:rsid w:val="00156975"/>
    <w:rsid w:val="001571B2"/>
    <w:rsid w:val="001572C9"/>
    <w:rsid w:val="00157598"/>
    <w:rsid w:val="001575EB"/>
    <w:rsid w:val="00157931"/>
    <w:rsid w:val="00157AA8"/>
    <w:rsid w:val="0016019E"/>
    <w:rsid w:val="001604D8"/>
    <w:rsid w:val="0016063D"/>
    <w:rsid w:val="00160842"/>
    <w:rsid w:val="0016088B"/>
    <w:rsid w:val="001609A4"/>
    <w:rsid w:val="00160FEE"/>
    <w:rsid w:val="001610FF"/>
    <w:rsid w:val="00161323"/>
    <w:rsid w:val="0016139A"/>
    <w:rsid w:val="001613B1"/>
    <w:rsid w:val="001613EF"/>
    <w:rsid w:val="0016154E"/>
    <w:rsid w:val="001617DA"/>
    <w:rsid w:val="00161895"/>
    <w:rsid w:val="00161B2F"/>
    <w:rsid w:val="00161B37"/>
    <w:rsid w:val="00161C54"/>
    <w:rsid w:val="00161FF2"/>
    <w:rsid w:val="00162106"/>
    <w:rsid w:val="0016218F"/>
    <w:rsid w:val="00162274"/>
    <w:rsid w:val="001624D4"/>
    <w:rsid w:val="0016252C"/>
    <w:rsid w:val="00162544"/>
    <w:rsid w:val="001626A9"/>
    <w:rsid w:val="00162756"/>
    <w:rsid w:val="00162927"/>
    <w:rsid w:val="00162B79"/>
    <w:rsid w:val="00162B7D"/>
    <w:rsid w:val="00162BC1"/>
    <w:rsid w:val="00162C3E"/>
    <w:rsid w:val="00162E87"/>
    <w:rsid w:val="0016316C"/>
    <w:rsid w:val="00163549"/>
    <w:rsid w:val="00163598"/>
    <w:rsid w:val="00164014"/>
    <w:rsid w:val="001640C6"/>
    <w:rsid w:val="001640EA"/>
    <w:rsid w:val="0016434F"/>
    <w:rsid w:val="001644A5"/>
    <w:rsid w:val="00164B58"/>
    <w:rsid w:val="00164C63"/>
    <w:rsid w:val="00164DB0"/>
    <w:rsid w:val="00164FF0"/>
    <w:rsid w:val="00165350"/>
    <w:rsid w:val="00165628"/>
    <w:rsid w:val="001656A2"/>
    <w:rsid w:val="0016579F"/>
    <w:rsid w:val="00165865"/>
    <w:rsid w:val="001659E9"/>
    <w:rsid w:val="00165A49"/>
    <w:rsid w:val="00165AA7"/>
    <w:rsid w:val="00165AE5"/>
    <w:rsid w:val="00165BEC"/>
    <w:rsid w:val="00165C37"/>
    <w:rsid w:val="00166117"/>
    <w:rsid w:val="001662E1"/>
    <w:rsid w:val="001663A8"/>
    <w:rsid w:val="0016670F"/>
    <w:rsid w:val="001667A9"/>
    <w:rsid w:val="00166C12"/>
    <w:rsid w:val="00166E22"/>
    <w:rsid w:val="00167123"/>
    <w:rsid w:val="00167126"/>
    <w:rsid w:val="0016723F"/>
    <w:rsid w:val="0016730B"/>
    <w:rsid w:val="00167601"/>
    <w:rsid w:val="0016761B"/>
    <w:rsid w:val="00167630"/>
    <w:rsid w:val="0016766B"/>
    <w:rsid w:val="001676FF"/>
    <w:rsid w:val="00167A24"/>
    <w:rsid w:val="00167AC7"/>
    <w:rsid w:val="00167AD0"/>
    <w:rsid w:val="00167AE0"/>
    <w:rsid w:val="00167D1D"/>
    <w:rsid w:val="00167E2F"/>
    <w:rsid w:val="00167F76"/>
    <w:rsid w:val="0017023A"/>
    <w:rsid w:val="0017025C"/>
    <w:rsid w:val="0017038F"/>
    <w:rsid w:val="00170593"/>
    <w:rsid w:val="001705C3"/>
    <w:rsid w:val="001709D4"/>
    <w:rsid w:val="00170E65"/>
    <w:rsid w:val="00170F17"/>
    <w:rsid w:val="001710FE"/>
    <w:rsid w:val="00171261"/>
    <w:rsid w:val="0017137C"/>
    <w:rsid w:val="0017138F"/>
    <w:rsid w:val="00171424"/>
    <w:rsid w:val="00171876"/>
    <w:rsid w:val="00171A7A"/>
    <w:rsid w:val="0017278D"/>
    <w:rsid w:val="001727B9"/>
    <w:rsid w:val="0017295C"/>
    <w:rsid w:val="00172C1F"/>
    <w:rsid w:val="00172DDF"/>
    <w:rsid w:val="00172E9E"/>
    <w:rsid w:val="00173134"/>
    <w:rsid w:val="0017318B"/>
    <w:rsid w:val="001731DA"/>
    <w:rsid w:val="0017329C"/>
    <w:rsid w:val="001733B6"/>
    <w:rsid w:val="00173577"/>
    <w:rsid w:val="001736A2"/>
    <w:rsid w:val="00173842"/>
    <w:rsid w:val="001738A1"/>
    <w:rsid w:val="00173BEA"/>
    <w:rsid w:val="00173C97"/>
    <w:rsid w:val="00173DE0"/>
    <w:rsid w:val="00173E55"/>
    <w:rsid w:val="00174058"/>
    <w:rsid w:val="00174100"/>
    <w:rsid w:val="00174AD9"/>
    <w:rsid w:val="001750DB"/>
    <w:rsid w:val="0017538B"/>
    <w:rsid w:val="001753A3"/>
    <w:rsid w:val="0017564E"/>
    <w:rsid w:val="00175ABA"/>
    <w:rsid w:val="00175EC7"/>
    <w:rsid w:val="0017631B"/>
    <w:rsid w:val="00176597"/>
    <w:rsid w:val="00176627"/>
    <w:rsid w:val="00176658"/>
    <w:rsid w:val="00176834"/>
    <w:rsid w:val="00176890"/>
    <w:rsid w:val="001769E7"/>
    <w:rsid w:val="00176AA5"/>
    <w:rsid w:val="00176ABE"/>
    <w:rsid w:val="00176BB1"/>
    <w:rsid w:val="00176C46"/>
    <w:rsid w:val="00176F7E"/>
    <w:rsid w:val="001770A7"/>
    <w:rsid w:val="001770E4"/>
    <w:rsid w:val="001771A2"/>
    <w:rsid w:val="0017720E"/>
    <w:rsid w:val="0017726B"/>
    <w:rsid w:val="001772AA"/>
    <w:rsid w:val="001772CC"/>
    <w:rsid w:val="00177893"/>
    <w:rsid w:val="001778EF"/>
    <w:rsid w:val="00177AFB"/>
    <w:rsid w:val="00177BE8"/>
    <w:rsid w:val="00177F0D"/>
    <w:rsid w:val="00177F0F"/>
    <w:rsid w:val="00180217"/>
    <w:rsid w:val="00180515"/>
    <w:rsid w:val="001806B7"/>
    <w:rsid w:val="001807D6"/>
    <w:rsid w:val="0018089B"/>
    <w:rsid w:val="00180B77"/>
    <w:rsid w:val="00180CF1"/>
    <w:rsid w:val="00180EB3"/>
    <w:rsid w:val="00180EEA"/>
    <w:rsid w:val="00180F4B"/>
    <w:rsid w:val="00180F6C"/>
    <w:rsid w:val="00180FB9"/>
    <w:rsid w:val="00181059"/>
    <w:rsid w:val="001810C7"/>
    <w:rsid w:val="001812EB"/>
    <w:rsid w:val="001813A0"/>
    <w:rsid w:val="001813FF"/>
    <w:rsid w:val="0018141A"/>
    <w:rsid w:val="00181466"/>
    <w:rsid w:val="00181503"/>
    <w:rsid w:val="00181853"/>
    <w:rsid w:val="00181912"/>
    <w:rsid w:val="00181A24"/>
    <w:rsid w:val="00181DEB"/>
    <w:rsid w:val="00182004"/>
    <w:rsid w:val="001820FC"/>
    <w:rsid w:val="0018249F"/>
    <w:rsid w:val="001825DB"/>
    <w:rsid w:val="00182630"/>
    <w:rsid w:val="00182652"/>
    <w:rsid w:val="00182683"/>
    <w:rsid w:val="0018279E"/>
    <w:rsid w:val="0018290B"/>
    <w:rsid w:val="00182D63"/>
    <w:rsid w:val="00182ED1"/>
    <w:rsid w:val="00182F05"/>
    <w:rsid w:val="0018306D"/>
    <w:rsid w:val="0018330F"/>
    <w:rsid w:val="0018352E"/>
    <w:rsid w:val="00183568"/>
    <w:rsid w:val="0018373E"/>
    <w:rsid w:val="001837D0"/>
    <w:rsid w:val="00183915"/>
    <w:rsid w:val="00183974"/>
    <w:rsid w:val="001839C0"/>
    <w:rsid w:val="00183A87"/>
    <w:rsid w:val="00183B09"/>
    <w:rsid w:val="00183D13"/>
    <w:rsid w:val="0018421F"/>
    <w:rsid w:val="00184221"/>
    <w:rsid w:val="0018443E"/>
    <w:rsid w:val="00184598"/>
    <w:rsid w:val="00184885"/>
    <w:rsid w:val="001848E3"/>
    <w:rsid w:val="00184C58"/>
    <w:rsid w:val="00184CA3"/>
    <w:rsid w:val="00185199"/>
    <w:rsid w:val="001854B1"/>
    <w:rsid w:val="00185846"/>
    <w:rsid w:val="00185BC2"/>
    <w:rsid w:val="00185C35"/>
    <w:rsid w:val="0018616B"/>
    <w:rsid w:val="00186307"/>
    <w:rsid w:val="001863F7"/>
    <w:rsid w:val="0018647D"/>
    <w:rsid w:val="0018653C"/>
    <w:rsid w:val="001865D4"/>
    <w:rsid w:val="001865FE"/>
    <w:rsid w:val="00186745"/>
    <w:rsid w:val="001868CD"/>
    <w:rsid w:val="00186B56"/>
    <w:rsid w:val="00186EBC"/>
    <w:rsid w:val="001870EB"/>
    <w:rsid w:val="001871EA"/>
    <w:rsid w:val="001875CA"/>
    <w:rsid w:val="00187673"/>
    <w:rsid w:val="0019008D"/>
    <w:rsid w:val="0019031D"/>
    <w:rsid w:val="001904BD"/>
    <w:rsid w:val="001908C2"/>
    <w:rsid w:val="00190947"/>
    <w:rsid w:val="001909C2"/>
    <w:rsid w:val="00190A79"/>
    <w:rsid w:val="00190CBB"/>
    <w:rsid w:val="00190D84"/>
    <w:rsid w:val="00191362"/>
    <w:rsid w:val="00191370"/>
    <w:rsid w:val="00191381"/>
    <w:rsid w:val="00191482"/>
    <w:rsid w:val="0019151C"/>
    <w:rsid w:val="001915CE"/>
    <w:rsid w:val="00191699"/>
    <w:rsid w:val="001916C0"/>
    <w:rsid w:val="001919C7"/>
    <w:rsid w:val="001919DC"/>
    <w:rsid w:val="00191AA2"/>
    <w:rsid w:val="00191AC5"/>
    <w:rsid w:val="00191B1A"/>
    <w:rsid w:val="00191B60"/>
    <w:rsid w:val="001921AE"/>
    <w:rsid w:val="001922F7"/>
    <w:rsid w:val="00192458"/>
    <w:rsid w:val="00192560"/>
    <w:rsid w:val="001925F9"/>
    <w:rsid w:val="001926C2"/>
    <w:rsid w:val="00192723"/>
    <w:rsid w:val="001929D0"/>
    <w:rsid w:val="00192B57"/>
    <w:rsid w:val="00192C00"/>
    <w:rsid w:val="00192E07"/>
    <w:rsid w:val="00192EBE"/>
    <w:rsid w:val="00193155"/>
    <w:rsid w:val="00193433"/>
    <w:rsid w:val="00193563"/>
    <w:rsid w:val="001935E7"/>
    <w:rsid w:val="001936F0"/>
    <w:rsid w:val="0019383D"/>
    <w:rsid w:val="00193ACC"/>
    <w:rsid w:val="00193F02"/>
    <w:rsid w:val="00193F1C"/>
    <w:rsid w:val="001940F8"/>
    <w:rsid w:val="001941D5"/>
    <w:rsid w:val="00194614"/>
    <w:rsid w:val="0019499E"/>
    <w:rsid w:val="00194E09"/>
    <w:rsid w:val="001950D2"/>
    <w:rsid w:val="001952BB"/>
    <w:rsid w:val="001958D2"/>
    <w:rsid w:val="00195B3C"/>
    <w:rsid w:val="00195BF1"/>
    <w:rsid w:val="00195DA4"/>
    <w:rsid w:val="00195DD9"/>
    <w:rsid w:val="00195E18"/>
    <w:rsid w:val="00195EE1"/>
    <w:rsid w:val="00196089"/>
    <w:rsid w:val="001961E7"/>
    <w:rsid w:val="001968B0"/>
    <w:rsid w:val="00196A30"/>
    <w:rsid w:val="00196FDE"/>
    <w:rsid w:val="001976BB"/>
    <w:rsid w:val="001978BA"/>
    <w:rsid w:val="00197D31"/>
    <w:rsid w:val="00197EF1"/>
    <w:rsid w:val="00197F30"/>
    <w:rsid w:val="001A0142"/>
    <w:rsid w:val="001A0703"/>
    <w:rsid w:val="001A0735"/>
    <w:rsid w:val="001A094B"/>
    <w:rsid w:val="001A0CA6"/>
    <w:rsid w:val="001A0D6E"/>
    <w:rsid w:val="001A0FD3"/>
    <w:rsid w:val="001A1251"/>
    <w:rsid w:val="001A15DF"/>
    <w:rsid w:val="001A18FB"/>
    <w:rsid w:val="001A1C8A"/>
    <w:rsid w:val="001A1D79"/>
    <w:rsid w:val="001A20DC"/>
    <w:rsid w:val="001A2668"/>
    <w:rsid w:val="001A2704"/>
    <w:rsid w:val="001A2941"/>
    <w:rsid w:val="001A2A07"/>
    <w:rsid w:val="001A31E8"/>
    <w:rsid w:val="001A3540"/>
    <w:rsid w:val="001A354A"/>
    <w:rsid w:val="001A38F9"/>
    <w:rsid w:val="001A3BE2"/>
    <w:rsid w:val="001A3CA4"/>
    <w:rsid w:val="001A3DC9"/>
    <w:rsid w:val="001A3F1A"/>
    <w:rsid w:val="001A49B0"/>
    <w:rsid w:val="001A4BA0"/>
    <w:rsid w:val="001A4FF9"/>
    <w:rsid w:val="001A52B2"/>
    <w:rsid w:val="001A52BC"/>
    <w:rsid w:val="001A5784"/>
    <w:rsid w:val="001A5789"/>
    <w:rsid w:val="001A5A8D"/>
    <w:rsid w:val="001A5CBE"/>
    <w:rsid w:val="001A5E19"/>
    <w:rsid w:val="001A5E9F"/>
    <w:rsid w:val="001A5EA8"/>
    <w:rsid w:val="001A6412"/>
    <w:rsid w:val="001A66CA"/>
    <w:rsid w:val="001A6FE2"/>
    <w:rsid w:val="001A75E4"/>
    <w:rsid w:val="001A779D"/>
    <w:rsid w:val="001A79F5"/>
    <w:rsid w:val="001A7A57"/>
    <w:rsid w:val="001A7AB8"/>
    <w:rsid w:val="001A7E64"/>
    <w:rsid w:val="001A7E84"/>
    <w:rsid w:val="001A7EA4"/>
    <w:rsid w:val="001B0061"/>
    <w:rsid w:val="001B00CE"/>
    <w:rsid w:val="001B02AF"/>
    <w:rsid w:val="001B0464"/>
    <w:rsid w:val="001B051B"/>
    <w:rsid w:val="001B073F"/>
    <w:rsid w:val="001B07ED"/>
    <w:rsid w:val="001B08DB"/>
    <w:rsid w:val="001B0A29"/>
    <w:rsid w:val="001B0D14"/>
    <w:rsid w:val="001B0E33"/>
    <w:rsid w:val="001B0EA3"/>
    <w:rsid w:val="001B118D"/>
    <w:rsid w:val="001B12A9"/>
    <w:rsid w:val="001B1493"/>
    <w:rsid w:val="001B157E"/>
    <w:rsid w:val="001B15A8"/>
    <w:rsid w:val="001B166B"/>
    <w:rsid w:val="001B1ADF"/>
    <w:rsid w:val="001B1AE1"/>
    <w:rsid w:val="001B1BD8"/>
    <w:rsid w:val="001B1DDA"/>
    <w:rsid w:val="001B1E93"/>
    <w:rsid w:val="001B2117"/>
    <w:rsid w:val="001B21B6"/>
    <w:rsid w:val="001B220A"/>
    <w:rsid w:val="001B2429"/>
    <w:rsid w:val="001B28D4"/>
    <w:rsid w:val="001B2B30"/>
    <w:rsid w:val="001B2F3B"/>
    <w:rsid w:val="001B2F97"/>
    <w:rsid w:val="001B3006"/>
    <w:rsid w:val="001B31B9"/>
    <w:rsid w:val="001B3452"/>
    <w:rsid w:val="001B34DA"/>
    <w:rsid w:val="001B36BF"/>
    <w:rsid w:val="001B36D9"/>
    <w:rsid w:val="001B3727"/>
    <w:rsid w:val="001B3CC9"/>
    <w:rsid w:val="001B3D56"/>
    <w:rsid w:val="001B3DB8"/>
    <w:rsid w:val="001B423F"/>
    <w:rsid w:val="001B433C"/>
    <w:rsid w:val="001B461C"/>
    <w:rsid w:val="001B4A3B"/>
    <w:rsid w:val="001B4B3F"/>
    <w:rsid w:val="001B4C35"/>
    <w:rsid w:val="001B4C44"/>
    <w:rsid w:val="001B4CAA"/>
    <w:rsid w:val="001B4EB0"/>
    <w:rsid w:val="001B502C"/>
    <w:rsid w:val="001B50CF"/>
    <w:rsid w:val="001B5167"/>
    <w:rsid w:val="001B520B"/>
    <w:rsid w:val="001B548C"/>
    <w:rsid w:val="001B552C"/>
    <w:rsid w:val="001B55D6"/>
    <w:rsid w:val="001B5962"/>
    <w:rsid w:val="001B5A3A"/>
    <w:rsid w:val="001B5B6B"/>
    <w:rsid w:val="001B5D05"/>
    <w:rsid w:val="001B5D20"/>
    <w:rsid w:val="001B5EA6"/>
    <w:rsid w:val="001B5FC4"/>
    <w:rsid w:val="001B62C4"/>
    <w:rsid w:val="001B6303"/>
    <w:rsid w:val="001B6378"/>
    <w:rsid w:val="001B6389"/>
    <w:rsid w:val="001B68EC"/>
    <w:rsid w:val="001B6911"/>
    <w:rsid w:val="001B6996"/>
    <w:rsid w:val="001B6BE7"/>
    <w:rsid w:val="001B6BE9"/>
    <w:rsid w:val="001B6C15"/>
    <w:rsid w:val="001B6FA0"/>
    <w:rsid w:val="001B7134"/>
    <w:rsid w:val="001B7510"/>
    <w:rsid w:val="001B76A6"/>
    <w:rsid w:val="001B7804"/>
    <w:rsid w:val="001B787E"/>
    <w:rsid w:val="001B7A45"/>
    <w:rsid w:val="001B7A86"/>
    <w:rsid w:val="001B7BFF"/>
    <w:rsid w:val="001B7E5E"/>
    <w:rsid w:val="001B7F6C"/>
    <w:rsid w:val="001C001A"/>
    <w:rsid w:val="001C04CC"/>
    <w:rsid w:val="001C04FA"/>
    <w:rsid w:val="001C051E"/>
    <w:rsid w:val="001C0553"/>
    <w:rsid w:val="001C06AA"/>
    <w:rsid w:val="001C0776"/>
    <w:rsid w:val="001C0A0E"/>
    <w:rsid w:val="001C0B12"/>
    <w:rsid w:val="001C0FC1"/>
    <w:rsid w:val="001C1289"/>
    <w:rsid w:val="001C1385"/>
    <w:rsid w:val="001C1537"/>
    <w:rsid w:val="001C1597"/>
    <w:rsid w:val="001C191D"/>
    <w:rsid w:val="001C1941"/>
    <w:rsid w:val="001C1953"/>
    <w:rsid w:val="001C1F0E"/>
    <w:rsid w:val="001C216D"/>
    <w:rsid w:val="001C261C"/>
    <w:rsid w:val="001C296D"/>
    <w:rsid w:val="001C31EC"/>
    <w:rsid w:val="001C3396"/>
    <w:rsid w:val="001C35BE"/>
    <w:rsid w:val="001C364E"/>
    <w:rsid w:val="001C37C2"/>
    <w:rsid w:val="001C3913"/>
    <w:rsid w:val="001C3AD4"/>
    <w:rsid w:val="001C3E19"/>
    <w:rsid w:val="001C40A1"/>
    <w:rsid w:val="001C41CB"/>
    <w:rsid w:val="001C4251"/>
    <w:rsid w:val="001C47BE"/>
    <w:rsid w:val="001C4852"/>
    <w:rsid w:val="001C48DB"/>
    <w:rsid w:val="001C4934"/>
    <w:rsid w:val="001C4B29"/>
    <w:rsid w:val="001C4BB9"/>
    <w:rsid w:val="001C4CAE"/>
    <w:rsid w:val="001C4CCE"/>
    <w:rsid w:val="001C4D86"/>
    <w:rsid w:val="001C4FC7"/>
    <w:rsid w:val="001C5085"/>
    <w:rsid w:val="001C521D"/>
    <w:rsid w:val="001C52D2"/>
    <w:rsid w:val="001C532C"/>
    <w:rsid w:val="001C54B3"/>
    <w:rsid w:val="001C56CB"/>
    <w:rsid w:val="001C576C"/>
    <w:rsid w:val="001C5A21"/>
    <w:rsid w:val="001C5A66"/>
    <w:rsid w:val="001C5E6E"/>
    <w:rsid w:val="001C624A"/>
    <w:rsid w:val="001C6336"/>
    <w:rsid w:val="001C66B8"/>
    <w:rsid w:val="001C6994"/>
    <w:rsid w:val="001C69D7"/>
    <w:rsid w:val="001C6A42"/>
    <w:rsid w:val="001C6AED"/>
    <w:rsid w:val="001C6CE7"/>
    <w:rsid w:val="001C6D04"/>
    <w:rsid w:val="001C6E64"/>
    <w:rsid w:val="001C7154"/>
    <w:rsid w:val="001C72A0"/>
    <w:rsid w:val="001C72C6"/>
    <w:rsid w:val="001C7497"/>
    <w:rsid w:val="001C7561"/>
    <w:rsid w:val="001C796E"/>
    <w:rsid w:val="001C7D17"/>
    <w:rsid w:val="001C7D1B"/>
    <w:rsid w:val="001C7DF5"/>
    <w:rsid w:val="001C7E64"/>
    <w:rsid w:val="001C7ECD"/>
    <w:rsid w:val="001D0030"/>
    <w:rsid w:val="001D02B5"/>
    <w:rsid w:val="001D04C1"/>
    <w:rsid w:val="001D0583"/>
    <w:rsid w:val="001D0633"/>
    <w:rsid w:val="001D0662"/>
    <w:rsid w:val="001D0986"/>
    <w:rsid w:val="001D0A35"/>
    <w:rsid w:val="001D0AB7"/>
    <w:rsid w:val="001D0AC5"/>
    <w:rsid w:val="001D0C3C"/>
    <w:rsid w:val="001D0EF0"/>
    <w:rsid w:val="001D13D9"/>
    <w:rsid w:val="001D14B3"/>
    <w:rsid w:val="001D16E2"/>
    <w:rsid w:val="001D1874"/>
    <w:rsid w:val="001D194E"/>
    <w:rsid w:val="001D197A"/>
    <w:rsid w:val="001D1C61"/>
    <w:rsid w:val="001D259F"/>
    <w:rsid w:val="001D26B4"/>
    <w:rsid w:val="001D2841"/>
    <w:rsid w:val="001D28D7"/>
    <w:rsid w:val="001D29C8"/>
    <w:rsid w:val="001D2AB4"/>
    <w:rsid w:val="001D2E03"/>
    <w:rsid w:val="001D31E9"/>
    <w:rsid w:val="001D34C1"/>
    <w:rsid w:val="001D3512"/>
    <w:rsid w:val="001D373A"/>
    <w:rsid w:val="001D37E6"/>
    <w:rsid w:val="001D3D1F"/>
    <w:rsid w:val="001D3E97"/>
    <w:rsid w:val="001D3F88"/>
    <w:rsid w:val="001D470F"/>
    <w:rsid w:val="001D49CA"/>
    <w:rsid w:val="001D4ACA"/>
    <w:rsid w:val="001D518A"/>
    <w:rsid w:val="001D5379"/>
    <w:rsid w:val="001D5646"/>
    <w:rsid w:val="001D568B"/>
    <w:rsid w:val="001D569A"/>
    <w:rsid w:val="001D57D6"/>
    <w:rsid w:val="001D5960"/>
    <w:rsid w:val="001D59A0"/>
    <w:rsid w:val="001D5D47"/>
    <w:rsid w:val="001D5DE3"/>
    <w:rsid w:val="001D5E81"/>
    <w:rsid w:val="001D5F22"/>
    <w:rsid w:val="001D5FF2"/>
    <w:rsid w:val="001D64CE"/>
    <w:rsid w:val="001D6558"/>
    <w:rsid w:val="001D6633"/>
    <w:rsid w:val="001D6950"/>
    <w:rsid w:val="001D697C"/>
    <w:rsid w:val="001D6E9B"/>
    <w:rsid w:val="001D6F1D"/>
    <w:rsid w:val="001D6F5D"/>
    <w:rsid w:val="001D7082"/>
    <w:rsid w:val="001D77D4"/>
    <w:rsid w:val="001D788C"/>
    <w:rsid w:val="001D7B2D"/>
    <w:rsid w:val="001D7CF1"/>
    <w:rsid w:val="001D7D13"/>
    <w:rsid w:val="001D7DAE"/>
    <w:rsid w:val="001D7DE3"/>
    <w:rsid w:val="001D7DF9"/>
    <w:rsid w:val="001D7F96"/>
    <w:rsid w:val="001E023F"/>
    <w:rsid w:val="001E0606"/>
    <w:rsid w:val="001E06B9"/>
    <w:rsid w:val="001E06FE"/>
    <w:rsid w:val="001E0889"/>
    <w:rsid w:val="001E089F"/>
    <w:rsid w:val="001E0994"/>
    <w:rsid w:val="001E0B0D"/>
    <w:rsid w:val="001E0D23"/>
    <w:rsid w:val="001E0E0A"/>
    <w:rsid w:val="001E0FCF"/>
    <w:rsid w:val="001E0FDD"/>
    <w:rsid w:val="001E14D9"/>
    <w:rsid w:val="001E1517"/>
    <w:rsid w:val="001E15AA"/>
    <w:rsid w:val="001E1665"/>
    <w:rsid w:val="001E17E3"/>
    <w:rsid w:val="001E1827"/>
    <w:rsid w:val="001E18A8"/>
    <w:rsid w:val="001E1DC7"/>
    <w:rsid w:val="001E1E7A"/>
    <w:rsid w:val="001E1F98"/>
    <w:rsid w:val="001E1FFB"/>
    <w:rsid w:val="001E21F8"/>
    <w:rsid w:val="001E25EC"/>
    <w:rsid w:val="001E29A4"/>
    <w:rsid w:val="001E2ED8"/>
    <w:rsid w:val="001E3165"/>
    <w:rsid w:val="001E35B7"/>
    <w:rsid w:val="001E3764"/>
    <w:rsid w:val="001E380F"/>
    <w:rsid w:val="001E38A3"/>
    <w:rsid w:val="001E38DE"/>
    <w:rsid w:val="001E3D37"/>
    <w:rsid w:val="001E4187"/>
    <w:rsid w:val="001E435E"/>
    <w:rsid w:val="001E43FD"/>
    <w:rsid w:val="001E44BA"/>
    <w:rsid w:val="001E451E"/>
    <w:rsid w:val="001E49E9"/>
    <w:rsid w:val="001E4E98"/>
    <w:rsid w:val="001E4F34"/>
    <w:rsid w:val="001E4F6B"/>
    <w:rsid w:val="001E502A"/>
    <w:rsid w:val="001E50FB"/>
    <w:rsid w:val="001E54B4"/>
    <w:rsid w:val="001E57E8"/>
    <w:rsid w:val="001E5896"/>
    <w:rsid w:val="001E5918"/>
    <w:rsid w:val="001E5AFD"/>
    <w:rsid w:val="001E5C9B"/>
    <w:rsid w:val="001E5CEF"/>
    <w:rsid w:val="001E602A"/>
    <w:rsid w:val="001E60F1"/>
    <w:rsid w:val="001E6468"/>
    <w:rsid w:val="001E651E"/>
    <w:rsid w:val="001E665E"/>
    <w:rsid w:val="001E6CB8"/>
    <w:rsid w:val="001E6E73"/>
    <w:rsid w:val="001E707A"/>
    <w:rsid w:val="001E7559"/>
    <w:rsid w:val="001E7622"/>
    <w:rsid w:val="001E7AF0"/>
    <w:rsid w:val="001E7CFA"/>
    <w:rsid w:val="001E7D28"/>
    <w:rsid w:val="001E7E32"/>
    <w:rsid w:val="001E7E5F"/>
    <w:rsid w:val="001F020B"/>
    <w:rsid w:val="001F041A"/>
    <w:rsid w:val="001F073C"/>
    <w:rsid w:val="001F09E6"/>
    <w:rsid w:val="001F0BB1"/>
    <w:rsid w:val="001F0D0A"/>
    <w:rsid w:val="001F0EF3"/>
    <w:rsid w:val="001F1339"/>
    <w:rsid w:val="001F14DB"/>
    <w:rsid w:val="001F192F"/>
    <w:rsid w:val="001F1B84"/>
    <w:rsid w:val="001F1BA3"/>
    <w:rsid w:val="001F1DF1"/>
    <w:rsid w:val="001F1F72"/>
    <w:rsid w:val="001F22B3"/>
    <w:rsid w:val="001F23EB"/>
    <w:rsid w:val="001F2412"/>
    <w:rsid w:val="001F2423"/>
    <w:rsid w:val="001F24E2"/>
    <w:rsid w:val="001F25D6"/>
    <w:rsid w:val="001F27F8"/>
    <w:rsid w:val="001F290B"/>
    <w:rsid w:val="001F2912"/>
    <w:rsid w:val="001F2F06"/>
    <w:rsid w:val="001F2F47"/>
    <w:rsid w:val="001F30DE"/>
    <w:rsid w:val="001F32F0"/>
    <w:rsid w:val="001F33D7"/>
    <w:rsid w:val="001F363E"/>
    <w:rsid w:val="001F393E"/>
    <w:rsid w:val="001F3B05"/>
    <w:rsid w:val="001F3C3C"/>
    <w:rsid w:val="001F3CA4"/>
    <w:rsid w:val="001F418F"/>
    <w:rsid w:val="001F4221"/>
    <w:rsid w:val="001F429E"/>
    <w:rsid w:val="001F43BA"/>
    <w:rsid w:val="001F4526"/>
    <w:rsid w:val="001F4555"/>
    <w:rsid w:val="001F4854"/>
    <w:rsid w:val="001F48A5"/>
    <w:rsid w:val="001F494D"/>
    <w:rsid w:val="001F4A81"/>
    <w:rsid w:val="001F4B7F"/>
    <w:rsid w:val="001F4BD5"/>
    <w:rsid w:val="001F4C01"/>
    <w:rsid w:val="001F5016"/>
    <w:rsid w:val="001F520C"/>
    <w:rsid w:val="001F5309"/>
    <w:rsid w:val="001F53C6"/>
    <w:rsid w:val="001F5448"/>
    <w:rsid w:val="001F5453"/>
    <w:rsid w:val="001F5895"/>
    <w:rsid w:val="001F5A4E"/>
    <w:rsid w:val="001F5DFD"/>
    <w:rsid w:val="001F6067"/>
    <w:rsid w:val="001F6255"/>
    <w:rsid w:val="001F63C4"/>
    <w:rsid w:val="001F6805"/>
    <w:rsid w:val="001F6844"/>
    <w:rsid w:val="001F6896"/>
    <w:rsid w:val="001F68D2"/>
    <w:rsid w:val="001F6948"/>
    <w:rsid w:val="001F69C8"/>
    <w:rsid w:val="001F6B5C"/>
    <w:rsid w:val="001F6F15"/>
    <w:rsid w:val="001F6F17"/>
    <w:rsid w:val="001F70BD"/>
    <w:rsid w:val="001F70BF"/>
    <w:rsid w:val="001F7175"/>
    <w:rsid w:val="001F71AB"/>
    <w:rsid w:val="001F74AB"/>
    <w:rsid w:val="001F7536"/>
    <w:rsid w:val="001F7577"/>
    <w:rsid w:val="001F763C"/>
    <w:rsid w:val="001F76E2"/>
    <w:rsid w:val="001F77BB"/>
    <w:rsid w:val="001F77CC"/>
    <w:rsid w:val="001F7BFE"/>
    <w:rsid w:val="001F7C7F"/>
    <w:rsid w:val="001FDE2F"/>
    <w:rsid w:val="00200296"/>
    <w:rsid w:val="002002AF"/>
    <w:rsid w:val="002004D3"/>
    <w:rsid w:val="002005F5"/>
    <w:rsid w:val="00200DF6"/>
    <w:rsid w:val="00201187"/>
    <w:rsid w:val="00201614"/>
    <w:rsid w:val="00201669"/>
    <w:rsid w:val="00201ADB"/>
    <w:rsid w:val="00201B8A"/>
    <w:rsid w:val="00201EC0"/>
    <w:rsid w:val="00201EDC"/>
    <w:rsid w:val="002023A7"/>
    <w:rsid w:val="002024DE"/>
    <w:rsid w:val="0020275A"/>
    <w:rsid w:val="00202948"/>
    <w:rsid w:val="00202BEA"/>
    <w:rsid w:val="00202C19"/>
    <w:rsid w:val="00202D75"/>
    <w:rsid w:val="00202F27"/>
    <w:rsid w:val="002030D6"/>
    <w:rsid w:val="002035CD"/>
    <w:rsid w:val="0020365B"/>
    <w:rsid w:val="00203788"/>
    <w:rsid w:val="002039D7"/>
    <w:rsid w:val="00203D45"/>
    <w:rsid w:val="00203D8B"/>
    <w:rsid w:val="00203F2A"/>
    <w:rsid w:val="00204037"/>
    <w:rsid w:val="002040FA"/>
    <w:rsid w:val="00204379"/>
    <w:rsid w:val="00204465"/>
    <w:rsid w:val="002045F1"/>
    <w:rsid w:val="0020462D"/>
    <w:rsid w:val="00204706"/>
    <w:rsid w:val="00204984"/>
    <w:rsid w:val="00204B6C"/>
    <w:rsid w:val="00204B73"/>
    <w:rsid w:val="00204BB2"/>
    <w:rsid w:val="00204D5B"/>
    <w:rsid w:val="00204F91"/>
    <w:rsid w:val="00205030"/>
    <w:rsid w:val="0020518B"/>
    <w:rsid w:val="002053CB"/>
    <w:rsid w:val="00205511"/>
    <w:rsid w:val="0020551D"/>
    <w:rsid w:val="002058E5"/>
    <w:rsid w:val="00205F41"/>
    <w:rsid w:val="002061CE"/>
    <w:rsid w:val="002063C5"/>
    <w:rsid w:val="002064EE"/>
    <w:rsid w:val="00206E53"/>
    <w:rsid w:val="00206E77"/>
    <w:rsid w:val="0020707A"/>
    <w:rsid w:val="002072B5"/>
    <w:rsid w:val="002072F0"/>
    <w:rsid w:val="002073DF"/>
    <w:rsid w:val="00207562"/>
    <w:rsid w:val="0020769B"/>
    <w:rsid w:val="0020776D"/>
    <w:rsid w:val="00207FA9"/>
    <w:rsid w:val="00210111"/>
    <w:rsid w:val="0021021F"/>
    <w:rsid w:val="002105D7"/>
    <w:rsid w:val="00210858"/>
    <w:rsid w:val="00210AB3"/>
    <w:rsid w:val="00210CA6"/>
    <w:rsid w:val="00210CD9"/>
    <w:rsid w:val="00210D40"/>
    <w:rsid w:val="00210D61"/>
    <w:rsid w:val="00210F70"/>
    <w:rsid w:val="00210FAA"/>
    <w:rsid w:val="0021122E"/>
    <w:rsid w:val="00211340"/>
    <w:rsid w:val="002113D2"/>
    <w:rsid w:val="00211604"/>
    <w:rsid w:val="00211665"/>
    <w:rsid w:val="002119E0"/>
    <w:rsid w:val="002119E7"/>
    <w:rsid w:val="00211E30"/>
    <w:rsid w:val="00211F51"/>
    <w:rsid w:val="00212134"/>
    <w:rsid w:val="002121A7"/>
    <w:rsid w:val="002124DA"/>
    <w:rsid w:val="00212652"/>
    <w:rsid w:val="00212944"/>
    <w:rsid w:val="00212FEC"/>
    <w:rsid w:val="002130AA"/>
    <w:rsid w:val="00213193"/>
    <w:rsid w:val="00213375"/>
    <w:rsid w:val="002133BE"/>
    <w:rsid w:val="0021351C"/>
    <w:rsid w:val="00213890"/>
    <w:rsid w:val="002138E8"/>
    <w:rsid w:val="00213A2F"/>
    <w:rsid w:val="00213CA8"/>
    <w:rsid w:val="00213F19"/>
    <w:rsid w:val="00214073"/>
    <w:rsid w:val="002142E1"/>
    <w:rsid w:val="0021430D"/>
    <w:rsid w:val="00214438"/>
    <w:rsid w:val="00214854"/>
    <w:rsid w:val="00214A8C"/>
    <w:rsid w:val="00214CFF"/>
    <w:rsid w:val="00214D86"/>
    <w:rsid w:val="00214E4E"/>
    <w:rsid w:val="002150D4"/>
    <w:rsid w:val="002152B1"/>
    <w:rsid w:val="00215336"/>
    <w:rsid w:val="00215787"/>
    <w:rsid w:val="00215B7F"/>
    <w:rsid w:val="00215CCB"/>
    <w:rsid w:val="00215F43"/>
    <w:rsid w:val="00216327"/>
    <w:rsid w:val="0021639C"/>
    <w:rsid w:val="00216449"/>
    <w:rsid w:val="00216816"/>
    <w:rsid w:val="00216A7A"/>
    <w:rsid w:val="00216C92"/>
    <w:rsid w:val="00216D77"/>
    <w:rsid w:val="00216D88"/>
    <w:rsid w:val="00216DD0"/>
    <w:rsid w:val="002170A9"/>
    <w:rsid w:val="002170B3"/>
    <w:rsid w:val="00217883"/>
    <w:rsid w:val="00217896"/>
    <w:rsid w:val="00217C71"/>
    <w:rsid w:val="00220455"/>
    <w:rsid w:val="002204BF"/>
    <w:rsid w:val="002205EB"/>
    <w:rsid w:val="002206A1"/>
    <w:rsid w:val="00220A5C"/>
    <w:rsid w:val="00220AE4"/>
    <w:rsid w:val="00220BC5"/>
    <w:rsid w:val="00220E03"/>
    <w:rsid w:val="00220FE5"/>
    <w:rsid w:val="0022112C"/>
    <w:rsid w:val="00221272"/>
    <w:rsid w:val="0022160C"/>
    <w:rsid w:val="00221AA6"/>
    <w:rsid w:val="00221BC6"/>
    <w:rsid w:val="00221CB3"/>
    <w:rsid w:val="00221E26"/>
    <w:rsid w:val="00222053"/>
    <w:rsid w:val="00222081"/>
    <w:rsid w:val="0022222A"/>
    <w:rsid w:val="002223C2"/>
    <w:rsid w:val="0022254D"/>
    <w:rsid w:val="00222832"/>
    <w:rsid w:val="002229DB"/>
    <w:rsid w:val="00222A44"/>
    <w:rsid w:val="00222BD9"/>
    <w:rsid w:val="00222C06"/>
    <w:rsid w:val="00222C3E"/>
    <w:rsid w:val="00222E9D"/>
    <w:rsid w:val="00222FA0"/>
    <w:rsid w:val="002231FC"/>
    <w:rsid w:val="0022322B"/>
    <w:rsid w:val="002234A6"/>
    <w:rsid w:val="002234F9"/>
    <w:rsid w:val="00223527"/>
    <w:rsid w:val="00223596"/>
    <w:rsid w:val="00223669"/>
    <w:rsid w:val="002236CA"/>
    <w:rsid w:val="002236F3"/>
    <w:rsid w:val="002241F0"/>
    <w:rsid w:val="0022431E"/>
    <w:rsid w:val="002244BC"/>
    <w:rsid w:val="0022469A"/>
    <w:rsid w:val="00224A11"/>
    <w:rsid w:val="00224BF1"/>
    <w:rsid w:val="00224DE5"/>
    <w:rsid w:val="00224EDD"/>
    <w:rsid w:val="002250C2"/>
    <w:rsid w:val="002252D8"/>
    <w:rsid w:val="002252FE"/>
    <w:rsid w:val="0022545B"/>
    <w:rsid w:val="0022576E"/>
    <w:rsid w:val="00225998"/>
    <w:rsid w:val="00225D37"/>
    <w:rsid w:val="00225E52"/>
    <w:rsid w:val="00225F5D"/>
    <w:rsid w:val="00225FCB"/>
    <w:rsid w:val="00226380"/>
    <w:rsid w:val="00226446"/>
    <w:rsid w:val="002267E5"/>
    <w:rsid w:val="00226C77"/>
    <w:rsid w:val="00226D1D"/>
    <w:rsid w:val="00226DF3"/>
    <w:rsid w:val="00226EC9"/>
    <w:rsid w:val="002271D0"/>
    <w:rsid w:val="00227A14"/>
    <w:rsid w:val="00227C0C"/>
    <w:rsid w:val="00227D10"/>
    <w:rsid w:val="00227FA9"/>
    <w:rsid w:val="00227FBB"/>
    <w:rsid w:val="00227FEC"/>
    <w:rsid w:val="00230184"/>
    <w:rsid w:val="00230188"/>
    <w:rsid w:val="00230422"/>
    <w:rsid w:val="00230461"/>
    <w:rsid w:val="00230533"/>
    <w:rsid w:val="002306F6"/>
    <w:rsid w:val="00230829"/>
    <w:rsid w:val="00230BF3"/>
    <w:rsid w:val="00231057"/>
    <w:rsid w:val="00231085"/>
    <w:rsid w:val="002313BC"/>
    <w:rsid w:val="0023155D"/>
    <w:rsid w:val="002316AD"/>
    <w:rsid w:val="002317DB"/>
    <w:rsid w:val="002319FA"/>
    <w:rsid w:val="00231ACB"/>
    <w:rsid w:val="00231BDF"/>
    <w:rsid w:val="00232087"/>
    <w:rsid w:val="00232168"/>
    <w:rsid w:val="0023298C"/>
    <w:rsid w:val="002329BD"/>
    <w:rsid w:val="00232A62"/>
    <w:rsid w:val="00232A6D"/>
    <w:rsid w:val="00232B0D"/>
    <w:rsid w:val="00232BA0"/>
    <w:rsid w:val="00232EB0"/>
    <w:rsid w:val="00232FB2"/>
    <w:rsid w:val="00233223"/>
    <w:rsid w:val="00233296"/>
    <w:rsid w:val="002333F3"/>
    <w:rsid w:val="002334D8"/>
    <w:rsid w:val="002334E1"/>
    <w:rsid w:val="00233571"/>
    <w:rsid w:val="00233714"/>
    <w:rsid w:val="0023373F"/>
    <w:rsid w:val="0023374C"/>
    <w:rsid w:val="00233759"/>
    <w:rsid w:val="002338F6"/>
    <w:rsid w:val="00233A57"/>
    <w:rsid w:val="00233B8E"/>
    <w:rsid w:val="00233D76"/>
    <w:rsid w:val="00233E21"/>
    <w:rsid w:val="00233E2C"/>
    <w:rsid w:val="00234032"/>
    <w:rsid w:val="0023411A"/>
    <w:rsid w:val="00234161"/>
    <w:rsid w:val="00234259"/>
    <w:rsid w:val="002342DE"/>
    <w:rsid w:val="00234308"/>
    <w:rsid w:val="00234871"/>
    <w:rsid w:val="0023493F"/>
    <w:rsid w:val="00234973"/>
    <w:rsid w:val="002349B3"/>
    <w:rsid w:val="00234C53"/>
    <w:rsid w:val="00234E03"/>
    <w:rsid w:val="00234F21"/>
    <w:rsid w:val="00235777"/>
    <w:rsid w:val="00235792"/>
    <w:rsid w:val="0023582A"/>
    <w:rsid w:val="002358DB"/>
    <w:rsid w:val="002359BD"/>
    <w:rsid w:val="002359C2"/>
    <w:rsid w:val="00235B26"/>
    <w:rsid w:val="00235B73"/>
    <w:rsid w:val="00235D5B"/>
    <w:rsid w:val="00235FDA"/>
    <w:rsid w:val="00236156"/>
    <w:rsid w:val="00236190"/>
    <w:rsid w:val="00236281"/>
    <w:rsid w:val="002363E9"/>
    <w:rsid w:val="00236402"/>
    <w:rsid w:val="002368E7"/>
    <w:rsid w:val="00236939"/>
    <w:rsid w:val="00236CEE"/>
    <w:rsid w:val="00236DA3"/>
    <w:rsid w:val="002372CD"/>
    <w:rsid w:val="002375AE"/>
    <w:rsid w:val="002378B1"/>
    <w:rsid w:val="002379F4"/>
    <w:rsid w:val="00237A18"/>
    <w:rsid w:val="00240018"/>
    <w:rsid w:val="002400A4"/>
    <w:rsid w:val="00240482"/>
    <w:rsid w:val="0024074C"/>
    <w:rsid w:val="00240896"/>
    <w:rsid w:val="002408F8"/>
    <w:rsid w:val="00240AA3"/>
    <w:rsid w:val="00240C21"/>
    <w:rsid w:val="00240C69"/>
    <w:rsid w:val="00241033"/>
    <w:rsid w:val="00241360"/>
    <w:rsid w:val="0024144E"/>
    <w:rsid w:val="00241770"/>
    <w:rsid w:val="00241A1F"/>
    <w:rsid w:val="00241C01"/>
    <w:rsid w:val="00242087"/>
    <w:rsid w:val="002420D5"/>
    <w:rsid w:val="002420FD"/>
    <w:rsid w:val="002421C3"/>
    <w:rsid w:val="00242285"/>
    <w:rsid w:val="0024235A"/>
    <w:rsid w:val="002425EA"/>
    <w:rsid w:val="00242943"/>
    <w:rsid w:val="00242B1C"/>
    <w:rsid w:val="00242D29"/>
    <w:rsid w:val="00242D33"/>
    <w:rsid w:val="00242D47"/>
    <w:rsid w:val="00242D81"/>
    <w:rsid w:val="00242EA0"/>
    <w:rsid w:val="00242EB0"/>
    <w:rsid w:val="0024307C"/>
    <w:rsid w:val="00243685"/>
    <w:rsid w:val="00243E2D"/>
    <w:rsid w:val="00243F24"/>
    <w:rsid w:val="0024431F"/>
    <w:rsid w:val="0024459C"/>
    <w:rsid w:val="002445A5"/>
    <w:rsid w:val="002445DE"/>
    <w:rsid w:val="002446FF"/>
    <w:rsid w:val="00244D86"/>
    <w:rsid w:val="00244F18"/>
    <w:rsid w:val="00244F72"/>
    <w:rsid w:val="0024517E"/>
    <w:rsid w:val="00245380"/>
    <w:rsid w:val="002454E8"/>
    <w:rsid w:val="0024553A"/>
    <w:rsid w:val="00245642"/>
    <w:rsid w:val="002456A1"/>
    <w:rsid w:val="002458D3"/>
    <w:rsid w:val="00245AD1"/>
    <w:rsid w:val="00245AD9"/>
    <w:rsid w:val="00245BA4"/>
    <w:rsid w:val="00245BB7"/>
    <w:rsid w:val="00245CAD"/>
    <w:rsid w:val="00245CBB"/>
    <w:rsid w:val="00245F13"/>
    <w:rsid w:val="00246158"/>
    <w:rsid w:val="0024677E"/>
    <w:rsid w:val="00246823"/>
    <w:rsid w:val="00246938"/>
    <w:rsid w:val="00246A83"/>
    <w:rsid w:val="00246BDF"/>
    <w:rsid w:val="00246EA6"/>
    <w:rsid w:val="00246EBC"/>
    <w:rsid w:val="002470BB"/>
    <w:rsid w:val="00247237"/>
    <w:rsid w:val="0024740D"/>
    <w:rsid w:val="00247A89"/>
    <w:rsid w:val="00247F45"/>
    <w:rsid w:val="00250898"/>
    <w:rsid w:val="00250A43"/>
    <w:rsid w:val="00250BEA"/>
    <w:rsid w:val="00250DAA"/>
    <w:rsid w:val="00250ECD"/>
    <w:rsid w:val="00250FCC"/>
    <w:rsid w:val="002510F0"/>
    <w:rsid w:val="00251220"/>
    <w:rsid w:val="002512E9"/>
    <w:rsid w:val="0025152F"/>
    <w:rsid w:val="002516C3"/>
    <w:rsid w:val="002518D4"/>
    <w:rsid w:val="00251AA2"/>
    <w:rsid w:val="00251AB7"/>
    <w:rsid w:val="00251B07"/>
    <w:rsid w:val="00251B6D"/>
    <w:rsid w:val="00251C84"/>
    <w:rsid w:val="00251E39"/>
    <w:rsid w:val="00251F68"/>
    <w:rsid w:val="0025237B"/>
    <w:rsid w:val="002525EC"/>
    <w:rsid w:val="00252786"/>
    <w:rsid w:val="00252824"/>
    <w:rsid w:val="00252A9E"/>
    <w:rsid w:val="00252BC7"/>
    <w:rsid w:val="00252D61"/>
    <w:rsid w:val="002530E7"/>
    <w:rsid w:val="002532B4"/>
    <w:rsid w:val="0025335B"/>
    <w:rsid w:val="00253A1B"/>
    <w:rsid w:val="00253AD0"/>
    <w:rsid w:val="00254301"/>
    <w:rsid w:val="00254435"/>
    <w:rsid w:val="002544E4"/>
    <w:rsid w:val="002545FF"/>
    <w:rsid w:val="00254637"/>
    <w:rsid w:val="002547FD"/>
    <w:rsid w:val="0025487C"/>
    <w:rsid w:val="00254AB6"/>
    <w:rsid w:val="00254AE2"/>
    <w:rsid w:val="00254B36"/>
    <w:rsid w:val="00254BF7"/>
    <w:rsid w:val="00254EEB"/>
    <w:rsid w:val="002550A0"/>
    <w:rsid w:val="002550D5"/>
    <w:rsid w:val="0025520A"/>
    <w:rsid w:val="00255397"/>
    <w:rsid w:val="0025541E"/>
    <w:rsid w:val="0025575F"/>
    <w:rsid w:val="00255B21"/>
    <w:rsid w:val="00255B26"/>
    <w:rsid w:val="00255EBE"/>
    <w:rsid w:val="00255EE3"/>
    <w:rsid w:val="00256034"/>
    <w:rsid w:val="0025611E"/>
    <w:rsid w:val="0025613F"/>
    <w:rsid w:val="002561C6"/>
    <w:rsid w:val="00256256"/>
    <w:rsid w:val="00256741"/>
    <w:rsid w:val="00256937"/>
    <w:rsid w:val="00256A02"/>
    <w:rsid w:val="00256E04"/>
    <w:rsid w:val="0025701D"/>
    <w:rsid w:val="00257033"/>
    <w:rsid w:val="002571C4"/>
    <w:rsid w:val="00257499"/>
    <w:rsid w:val="00257818"/>
    <w:rsid w:val="0025790D"/>
    <w:rsid w:val="00257961"/>
    <w:rsid w:val="00257C43"/>
    <w:rsid w:val="00257D0D"/>
    <w:rsid w:val="00257F3F"/>
    <w:rsid w:val="00257F91"/>
    <w:rsid w:val="00260332"/>
    <w:rsid w:val="002604BB"/>
    <w:rsid w:val="00260520"/>
    <w:rsid w:val="0026056E"/>
    <w:rsid w:val="00260583"/>
    <w:rsid w:val="00260AD9"/>
    <w:rsid w:val="00260CC6"/>
    <w:rsid w:val="00260D50"/>
    <w:rsid w:val="00260ED2"/>
    <w:rsid w:val="00260F84"/>
    <w:rsid w:val="002610E8"/>
    <w:rsid w:val="00261138"/>
    <w:rsid w:val="0026120E"/>
    <w:rsid w:val="00261228"/>
    <w:rsid w:val="00261338"/>
    <w:rsid w:val="002616A2"/>
    <w:rsid w:val="002617FD"/>
    <w:rsid w:val="00261934"/>
    <w:rsid w:val="00261BB6"/>
    <w:rsid w:val="00261DC6"/>
    <w:rsid w:val="00261F3A"/>
    <w:rsid w:val="00262195"/>
    <w:rsid w:val="002625F3"/>
    <w:rsid w:val="0026298C"/>
    <w:rsid w:val="00262AA5"/>
    <w:rsid w:val="00262C13"/>
    <w:rsid w:val="00262F63"/>
    <w:rsid w:val="00263166"/>
    <w:rsid w:val="00263442"/>
    <w:rsid w:val="002635D4"/>
    <w:rsid w:val="0026368F"/>
    <w:rsid w:val="0026373F"/>
    <w:rsid w:val="00263840"/>
    <w:rsid w:val="00263989"/>
    <w:rsid w:val="00263A45"/>
    <w:rsid w:val="00263A4A"/>
    <w:rsid w:val="00263D0E"/>
    <w:rsid w:val="002641E2"/>
    <w:rsid w:val="0026442C"/>
    <w:rsid w:val="00264568"/>
    <w:rsid w:val="00264623"/>
    <w:rsid w:val="002646B7"/>
    <w:rsid w:val="00264773"/>
    <w:rsid w:val="002649B7"/>
    <w:rsid w:val="00264BC6"/>
    <w:rsid w:val="00264E29"/>
    <w:rsid w:val="00264E52"/>
    <w:rsid w:val="002650B7"/>
    <w:rsid w:val="00265100"/>
    <w:rsid w:val="00265291"/>
    <w:rsid w:val="002653B4"/>
    <w:rsid w:val="002656F3"/>
    <w:rsid w:val="0026573D"/>
    <w:rsid w:val="0026583A"/>
    <w:rsid w:val="0026593E"/>
    <w:rsid w:val="00265AF2"/>
    <w:rsid w:val="00265D9E"/>
    <w:rsid w:val="0026621D"/>
    <w:rsid w:val="00266297"/>
    <w:rsid w:val="002663C7"/>
    <w:rsid w:val="002667ED"/>
    <w:rsid w:val="0026680A"/>
    <w:rsid w:val="0026683C"/>
    <w:rsid w:val="00266C35"/>
    <w:rsid w:val="00266C4A"/>
    <w:rsid w:val="00266EDD"/>
    <w:rsid w:val="00266EF9"/>
    <w:rsid w:val="00266F6E"/>
    <w:rsid w:val="002672BA"/>
    <w:rsid w:val="0026758B"/>
    <w:rsid w:val="00267826"/>
    <w:rsid w:val="00267947"/>
    <w:rsid w:val="002679DB"/>
    <w:rsid w:val="00267B6A"/>
    <w:rsid w:val="00267C32"/>
    <w:rsid w:val="00267D31"/>
    <w:rsid w:val="00267FEA"/>
    <w:rsid w:val="00270097"/>
    <w:rsid w:val="002700E1"/>
    <w:rsid w:val="0027056B"/>
    <w:rsid w:val="00270585"/>
    <w:rsid w:val="00270BBC"/>
    <w:rsid w:val="00270DD8"/>
    <w:rsid w:val="00270F6F"/>
    <w:rsid w:val="002715A9"/>
    <w:rsid w:val="002715E5"/>
    <w:rsid w:val="00271763"/>
    <w:rsid w:val="00271B25"/>
    <w:rsid w:val="00271F65"/>
    <w:rsid w:val="00271FCC"/>
    <w:rsid w:val="00272197"/>
    <w:rsid w:val="002723D1"/>
    <w:rsid w:val="00272653"/>
    <w:rsid w:val="00272793"/>
    <w:rsid w:val="002727BE"/>
    <w:rsid w:val="00272893"/>
    <w:rsid w:val="002728C7"/>
    <w:rsid w:val="00272995"/>
    <w:rsid w:val="00272ADD"/>
    <w:rsid w:val="00272B29"/>
    <w:rsid w:val="00272D3C"/>
    <w:rsid w:val="00272E28"/>
    <w:rsid w:val="00272F05"/>
    <w:rsid w:val="00272FFE"/>
    <w:rsid w:val="0027331C"/>
    <w:rsid w:val="00273915"/>
    <w:rsid w:val="00274467"/>
    <w:rsid w:val="00274660"/>
    <w:rsid w:val="002748A5"/>
    <w:rsid w:val="00274C5E"/>
    <w:rsid w:val="00275217"/>
    <w:rsid w:val="00275558"/>
    <w:rsid w:val="00275565"/>
    <w:rsid w:val="00275622"/>
    <w:rsid w:val="002756D7"/>
    <w:rsid w:val="0027575E"/>
    <w:rsid w:val="002757A9"/>
    <w:rsid w:val="00275AF2"/>
    <w:rsid w:val="00275B43"/>
    <w:rsid w:val="00275BA6"/>
    <w:rsid w:val="00275DB4"/>
    <w:rsid w:val="0027622B"/>
    <w:rsid w:val="00276556"/>
    <w:rsid w:val="002767D7"/>
    <w:rsid w:val="00276839"/>
    <w:rsid w:val="00276879"/>
    <w:rsid w:val="00276BDC"/>
    <w:rsid w:val="00276C8A"/>
    <w:rsid w:val="00276C8F"/>
    <w:rsid w:val="00276CBE"/>
    <w:rsid w:val="00276CC1"/>
    <w:rsid w:val="00276DF4"/>
    <w:rsid w:val="00276F52"/>
    <w:rsid w:val="00276F77"/>
    <w:rsid w:val="00277132"/>
    <w:rsid w:val="002771B4"/>
    <w:rsid w:val="00277586"/>
    <w:rsid w:val="00277772"/>
    <w:rsid w:val="002779FD"/>
    <w:rsid w:val="00277B3B"/>
    <w:rsid w:val="00277C63"/>
    <w:rsid w:val="00277D40"/>
    <w:rsid w:val="00280198"/>
    <w:rsid w:val="002801F4"/>
    <w:rsid w:val="002802C9"/>
    <w:rsid w:val="00280321"/>
    <w:rsid w:val="00280647"/>
    <w:rsid w:val="00280674"/>
    <w:rsid w:val="00280684"/>
    <w:rsid w:val="002809BA"/>
    <w:rsid w:val="00280AFA"/>
    <w:rsid w:val="00280B49"/>
    <w:rsid w:val="00280B5B"/>
    <w:rsid w:val="00280D4E"/>
    <w:rsid w:val="00280D8D"/>
    <w:rsid w:val="00280DAA"/>
    <w:rsid w:val="00280FA6"/>
    <w:rsid w:val="002812A1"/>
    <w:rsid w:val="002813D1"/>
    <w:rsid w:val="00281494"/>
    <w:rsid w:val="002814E2"/>
    <w:rsid w:val="00281699"/>
    <w:rsid w:val="00281708"/>
    <w:rsid w:val="002817F2"/>
    <w:rsid w:val="002817F5"/>
    <w:rsid w:val="00281B65"/>
    <w:rsid w:val="00281DCF"/>
    <w:rsid w:val="00281FF6"/>
    <w:rsid w:val="002823CC"/>
    <w:rsid w:val="00282A22"/>
    <w:rsid w:val="00282AAD"/>
    <w:rsid w:val="00282C5B"/>
    <w:rsid w:val="00282C8E"/>
    <w:rsid w:val="00282DCB"/>
    <w:rsid w:val="0028306A"/>
    <w:rsid w:val="00283109"/>
    <w:rsid w:val="0028351A"/>
    <w:rsid w:val="002836DF"/>
    <w:rsid w:val="0028379A"/>
    <w:rsid w:val="002838E5"/>
    <w:rsid w:val="0028399E"/>
    <w:rsid w:val="00283A5D"/>
    <w:rsid w:val="00283ADF"/>
    <w:rsid w:val="00283B12"/>
    <w:rsid w:val="00283EE1"/>
    <w:rsid w:val="00283F80"/>
    <w:rsid w:val="002841EC"/>
    <w:rsid w:val="002841F6"/>
    <w:rsid w:val="0028423E"/>
    <w:rsid w:val="00284259"/>
    <w:rsid w:val="00284339"/>
    <w:rsid w:val="00284551"/>
    <w:rsid w:val="0028480D"/>
    <w:rsid w:val="002849F7"/>
    <w:rsid w:val="00284BE4"/>
    <w:rsid w:val="00284E18"/>
    <w:rsid w:val="00284E67"/>
    <w:rsid w:val="002850DF"/>
    <w:rsid w:val="002851A1"/>
    <w:rsid w:val="00285265"/>
    <w:rsid w:val="002855FC"/>
    <w:rsid w:val="00285846"/>
    <w:rsid w:val="00285886"/>
    <w:rsid w:val="00285914"/>
    <w:rsid w:val="00285ACB"/>
    <w:rsid w:val="00285BF8"/>
    <w:rsid w:val="00285E6D"/>
    <w:rsid w:val="00285F29"/>
    <w:rsid w:val="00285F3E"/>
    <w:rsid w:val="002861AB"/>
    <w:rsid w:val="0028621F"/>
    <w:rsid w:val="002863EA"/>
    <w:rsid w:val="00286495"/>
    <w:rsid w:val="00286582"/>
    <w:rsid w:val="0028672C"/>
    <w:rsid w:val="0028678E"/>
    <w:rsid w:val="00286BEC"/>
    <w:rsid w:val="00287021"/>
    <w:rsid w:val="002870CF"/>
    <w:rsid w:val="00287453"/>
    <w:rsid w:val="00287515"/>
    <w:rsid w:val="00287596"/>
    <w:rsid w:val="002875CA"/>
    <w:rsid w:val="0028760C"/>
    <w:rsid w:val="0028777E"/>
    <w:rsid w:val="00287971"/>
    <w:rsid w:val="002879A4"/>
    <w:rsid w:val="00287A86"/>
    <w:rsid w:val="00287AEF"/>
    <w:rsid w:val="00287B0D"/>
    <w:rsid w:val="00287C9C"/>
    <w:rsid w:val="00287CAD"/>
    <w:rsid w:val="00287E1E"/>
    <w:rsid w:val="00287F30"/>
    <w:rsid w:val="00290059"/>
    <w:rsid w:val="002903E1"/>
    <w:rsid w:val="00290487"/>
    <w:rsid w:val="0029064E"/>
    <w:rsid w:val="0029075B"/>
    <w:rsid w:val="0029080A"/>
    <w:rsid w:val="00290A3E"/>
    <w:rsid w:val="00290A9F"/>
    <w:rsid w:val="00290C7B"/>
    <w:rsid w:val="00290FD9"/>
    <w:rsid w:val="00291261"/>
    <w:rsid w:val="00291928"/>
    <w:rsid w:val="00291A3E"/>
    <w:rsid w:val="00292177"/>
    <w:rsid w:val="002921CD"/>
    <w:rsid w:val="002923DF"/>
    <w:rsid w:val="00292576"/>
    <w:rsid w:val="0029273F"/>
    <w:rsid w:val="0029274B"/>
    <w:rsid w:val="00292880"/>
    <w:rsid w:val="0029289C"/>
    <w:rsid w:val="002928A1"/>
    <w:rsid w:val="002928F4"/>
    <w:rsid w:val="00292AE3"/>
    <w:rsid w:val="00292BC3"/>
    <w:rsid w:val="00292BED"/>
    <w:rsid w:val="00292C64"/>
    <w:rsid w:val="00292CE4"/>
    <w:rsid w:val="00292D4C"/>
    <w:rsid w:val="00292E44"/>
    <w:rsid w:val="00292EA3"/>
    <w:rsid w:val="00292ECD"/>
    <w:rsid w:val="0029344D"/>
    <w:rsid w:val="00293696"/>
    <w:rsid w:val="002939B5"/>
    <w:rsid w:val="00293A1D"/>
    <w:rsid w:val="00293A3E"/>
    <w:rsid w:val="00293B80"/>
    <w:rsid w:val="00293BB7"/>
    <w:rsid w:val="00293CC9"/>
    <w:rsid w:val="00293DBB"/>
    <w:rsid w:val="00293F69"/>
    <w:rsid w:val="00294063"/>
    <w:rsid w:val="002940B5"/>
    <w:rsid w:val="00294402"/>
    <w:rsid w:val="002946A8"/>
    <w:rsid w:val="0029472E"/>
    <w:rsid w:val="00294813"/>
    <w:rsid w:val="00294B66"/>
    <w:rsid w:val="00294C2F"/>
    <w:rsid w:val="00294C58"/>
    <w:rsid w:val="00295113"/>
    <w:rsid w:val="00295172"/>
    <w:rsid w:val="00295407"/>
    <w:rsid w:val="00295410"/>
    <w:rsid w:val="00295458"/>
    <w:rsid w:val="0029550F"/>
    <w:rsid w:val="00295875"/>
    <w:rsid w:val="0029589C"/>
    <w:rsid w:val="002962E7"/>
    <w:rsid w:val="0029639E"/>
    <w:rsid w:val="002965BC"/>
    <w:rsid w:val="00296A7B"/>
    <w:rsid w:val="00296B97"/>
    <w:rsid w:val="00296E26"/>
    <w:rsid w:val="00296EC6"/>
    <w:rsid w:val="00296F38"/>
    <w:rsid w:val="00296FCA"/>
    <w:rsid w:val="002976AD"/>
    <w:rsid w:val="002976B4"/>
    <w:rsid w:val="00297752"/>
    <w:rsid w:val="0029793E"/>
    <w:rsid w:val="00297BF3"/>
    <w:rsid w:val="002A0129"/>
    <w:rsid w:val="002A04F5"/>
    <w:rsid w:val="002A05B5"/>
    <w:rsid w:val="002A05D1"/>
    <w:rsid w:val="002A0846"/>
    <w:rsid w:val="002A09E9"/>
    <w:rsid w:val="002A0AF5"/>
    <w:rsid w:val="002A0B28"/>
    <w:rsid w:val="002A0C1C"/>
    <w:rsid w:val="002A0D25"/>
    <w:rsid w:val="002A1124"/>
    <w:rsid w:val="002A1143"/>
    <w:rsid w:val="002A1391"/>
    <w:rsid w:val="002A14A6"/>
    <w:rsid w:val="002A1840"/>
    <w:rsid w:val="002A18A1"/>
    <w:rsid w:val="002A1CAA"/>
    <w:rsid w:val="002A20C6"/>
    <w:rsid w:val="002A25CB"/>
    <w:rsid w:val="002A26B7"/>
    <w:rsid w:val="002A26FD"/>
    <w:rsid w:val="002A294C"/>
    <w:rsid w:val="002A2A17"/>
    <w:rsid w:val="002A2A1E"/>
    <w:rsid w:val="002A2A63"/>
    <w:rsid w:val="002A2BCD"/>
    <w:rsid w:val="002A2C50"/>
    <w:rsid w:val="002A2CB5"/>
    <w:rsid w:val="002A2E2E"/>
    <w:rsid w:val="002A31EF"/>
    <w:rsid w:val="002A3473"/>
    <w:rsid w:val="002A3637"/>
    <w:rsid w:val="002A366B"/>
    <w:rsid w:val="002A38E8"/>
    <w:rsid w:val="002A391F"/>
    <w:rsid w:val="002A3A3B"/>
    <w:rsid w:val="002A3BA6"/>
    <w:rsid w:val="002A3BC5"/>
    <w:rsid w:val="002A3D5C"/>
    <w:rsid w:val="002A3EE1"/>
    <w:rsid w:val="002A44B6"/>
    <w:rsid w:val="002A4503"/>
    <w:rsid w:val="002A47FE"/>
    <w:rsid w:val="002A4A59"/>
    <w:rsid w:val="002A4ADC"/>
    <w:rsid w:val="002A4CAE"/>
    <w:rsid w:val="002A5151"/>
    <w:rsid w:val="002A5A12"/>
    <w:rsid w:val="002A5C7A"/>
    <w:rsid w:val="002A5C7C"/>
    <w:rsid w:val="002A5D8C"/>
    <w:rsid w:val="002A6017"/>
    <w:rsid w:val="002A61AB"/>
    <w:rsid w:val="002A65A0"/>
    <w:rsid w:val="002A67A6"/>
    <w:rsid w:val="002A686B"/>
    <w:rsid w:val="002A688F"/>
    <w:rsid w:val="002A6893"/>
    <w:rsid w:val="002A68DA"/>
    <w:rsid w:val="002A68E8"/>
    <w:rsid w:val="002A6B5F"/>
    <w:rsid w:val="002A6BA3"/>
    <w:rsid w:val="002A6D69"/>
    <w:rsid w:val="002A6E77"/>
    <w:rsid w:val="002A6FEF"/>
    <w:rsid w:val="002A72CE"/>
    <w:rsid w:val="002A73CF"/>
    <w:rsid w:val="002A7488"/>
    <w:rsid w:val="002A75B0"/>
    <w:rsid w:val="002A7693"/>
    <w:rsid w:val="002A7897"/>
    <w:rsid w:val="002A78B9"/>
    <w:rsid w:val="002A78C8"/>
    <w:rsid w:val="002A796F"/>
    <w:rsid w:val="002A7D01"/>
    <w:rsid w:val="002A7D84"/>
    <w:rsid w:val="002B0202"/>
    <w:rsid w:val="002B0475"/>
    <w:rsid w:val="002B04FF"/>
    <w:rsid w:val="002B0596"/>
    <w:rsid w:val="002B05B8"/>
    <w:rsid w:val="002B0605"/>
    <w:rsid w:val="002B0643"/>
    <w:rsid w:val="002B07FA"/>
    <w:rsid w:val="002B0896"/>
    <w:rsid w:val="002B08E1"/>
    <w:rsid w:val="002B0B85"/>
    <w:rsid w:val="002B0C56"/>
    <w:rsid w:val="002B0C86"/>
    <w:rsid w:val="002B0D6F"/>
    <w:rsid w:val="002B0DFF"/>
    <w:rsid w:val="002B12F4"/>
    <w:rsid w:val="002B15F1"/>
    <w:rsid w:val="002B1719"/>
    <w:rsid w:val="002B17AB"/>
    <w:rsid w:val="002B1B27"/>
    <w:rsid w:val="002B1F9E"/>
    <w:rsid w:val="002B2165"/>
    <w:rsid w:val="002B2243"/>
    <w:rsid w:val="002B2832"/>
    <w:rsid w:val="002B2881"/>
    <w:rsid w:val="002B2994"/>
    <w:rsid w:val="002B2A07"/>
    <w:rsid w:val="002B2A83"/>
    <w:rsid w:val="002B2F2E"/>
    <w:rsid w:val="002B2F9D"/>
    <w:rsid w:val="002B3036"/>
    <w:rsid w:val="002B30E9"/>
    <w:rsid w:val="002B316F"/>
    <w:rsid w:val="002B3239"/>
    <w:rsid w:val="002B3316"/>
    <w:rsid w:val="002B37E4"/>
    <w:rsid w:val="002B392F"/>
    <w:rsid w:val="002B396D"/>
    <w:rsid w:val="002B3A96"/>
    <w:rsid w:val="002B3F7F"/>
    <w:rsid w:val="002B42B5"/>
    <w:rsid w:val="002B4342"/>
    <w:rsid w:val="002B43F9"/>
    <w:rsid w:val="002B4493"/>
    <w:rsid w:val="002B45FC"/>
    <w:rsid w:val="002B4785"/>
    <w:rsid w:val="002B4941"/>
    <w:rsid w:val="002B4B8B"/>
    <w:rsid w:val="002B4BFB"/>
    <w:rsid w:val="002B4CCE"/>
    <w:rsid w:val="002B4E6F"/>
    <w:rsid w:val="002B553E"/>
    <w:rsid w:val="002B5AD1"/>
    <w:rsid w:val="002B5B9A"/>
    <w:rsid w:val="002B5BE1"/>
    <w:rsid w:val="002B5D74"/>
    <w:rsid w:val="002B5ED8"/>
    <w:rsid w:val="002B5F09"/>
    <w:rsid w:val="002B6150"/>
    <w:rsid w:val="002B6491"/>
    <w:rsid w:val="002B67CA"/>
    <w:rsid w:val="002B6817"/>
    <w:rsid w:val="002B68B7"/>
    <w:rsid w:val="002B6A2B"/>
    <w:rsid w:val="002B6C70"/>
    <w:rsid w:val="002B6E66"/>
    <w:rsid w:val="002B71B6"/>
    <w:rsid w:val="002B71F3"/>
    <w:rsid w:val="002B755B"/>
    <w:rsid w:val="002B7622"/>
    <w:rsid w:val="002B7716"/>
    <w:rsid w:val="002B7A92"/>
    <w:rsid w:val="002B7ADB"/>
    <w:rsid w:val="002B7B0C"/>
    <w:rsid w:val="002B7CF6"/>
    <w:rsid w:val="002B7D64"/>
    <w:rsid w:val="002B7FC4"/>
    <w:rsid w:val="002C00F5"/>
    <w:rsid w:val="002C02DD"/>
    <w:rsid w:val="002C02E9"/>
    <w:rsid w:val="002C03AE"/>
    <w:rsid w:val="002C0980"/>
    <w:rsid w:val="002C0B22"/>
    <w:rsid w:val="002C0C0D"/>
    <w:rsid w:val="002C0E44"/>
    <w:rsid w:val="002C0F55"/>
    <w:rsid w:val="002C1435"/>
    <w:rsid w:val="002C14EC"/>
    <w:rsid w:val="002C1543"/>
    <w:rsid w:val="002C162F"/>
    <w:rsid w:val="002C16E8"/>
    <w:rsid w:val="002C1741"/>
    <w:rsid w:val="002C1751"/>
    <w:rsid w:val="002C17C7"/>
    <w:rsid w:val="002C1B2B"/>
    <w:rsid w:val="002C1C9A"/>
    <w:rsid w:val="002C1D2F"/>
    <w:rsid w:val="002C1DDD"/>
    <w:rsid w:val="002C1EC1"/>
    <w:rsid w:val="002C2004"/>
    <w:rsid w:val="002C21B2"/>
    <w:rsid w:val="002C24F0"/>
    <w:rsid w:val="002C284C"/>
    <w:rsid w:val="002C2CF2"/>
    <w:rsid w:val="002C2F85"/>
    <w:rsid w:val="002C310E"/>
    <w:rsid w:val="002C349E"/>
    <w:rsid w:val="002C353B"/>
    <w:rsid w:val="002C363A"/>
    <w:rsid w:val="002C37AF"/>
    <w:rsid w:val="002C3911"/>
    <w:rsid w:val="002C3AF7"/>
    <w:rsid w:val="002C3C37"/>
    <w:rsid w:val="002C3CE4"/>
    <w:rsid w:val="002C4493"/>
    <w:rsid w:val="002C4576"/>
    <w:rsid w:val="002C45E6"/>
    <w:rsid w:val="002C469A"/>
    <w:rsid w:val="002C46DF"/>
    <w:rsid w:val="002C4CCB"/>
    <w:rsid w:val="002C4D57"/>
    <w:rsid w:val="002C4E00"/>
    <w:rsid w:val="002C528A"/>
    <w:rsid w:val="002C54BD"/>
    <w:rsid w:val="002C54FD"/>
    <w:rsid w:val="002C5547"/>
    <w:rsid w:val="002C576E"/>
    <w:rsid w:val="002C5AA3"/>
    <w:rsid w:val="002C5AAD"/>
    <w:rsid w:val="002C5C39"/>
    <w:rsid w:val="002C5F3B"/>
    <w:rsid w:val="002C6787"/>
    <w:rsid w:val="002C67A2"/>
    <w:rsid w:val="002C6C47"/>
    <w:rsid w:val="002C6DBF"/>
    <w:rsid w:val="002C6F31"/>
    <w:rsid w:val="002C719E"/>
    <w:rsid w:val="002C7394"/>
    <w:rsid w:val="002C766E"/>
    <w:rsid w:val="002C76F0"/>
    <w:rsid w:val="002C794B"/>
    <w:rsid w:val="002C794C"/>
    <w:rsid w:val="002C7BF2"/>
    <w:rsid w:val="002C7C13"/>
    <w:rsid w:val="002C7CE2"/>
    <w:rsid w:val="002C7DB0"/>
    <w:rsid w:val="002D0089"/>
    <w:rsid w:val="002D02EE"/>
    <w:rsid w:val="002D03DF"/>
    <w:rsid w:val="002D0525"/>
    <w:rsid w:val="002D075F"/>
    <w:rsid w:val="002D07E4"/>
    <w:rsid w:val="002D080B"/>
    <w:rsid w:val="002D08AE"/>
    <w:rsid w:val="002D09ED"/>
    <w:rsid w:val="002D0ADF"/>
    <w:rsid w:val="002D0B73"/>
    <w:rsid w:val="002D0BCB"/>
    <w:rsid w:val="002D0CF1"/>
    <w:rsid w:val="002D0EF2"/>
    <w:rsid w:val="002D0F46"/>
    <w:rsid w:val="002D11F5"/>
    <w:rsid w:val="002D1242"/>
    <w:rsid w:val="002D12D2"/>
    <w:rsid w:val="002D1505"/>
    <w:rsid w:val="002D1760"/>
    <w:rsid w:val="002D1AE3"/>
    <w:rsid w:val="002D1B3D"/>
    <w:rsid w:val="002D2052"/>
    <w:rsid w:val="002D2081"/>
    <w:rsid w:val="002D23D3"/>
    <w:rsid w:val="002D23E6"/>
    <w:rsid w:val="002D2459"/>
    <w:rsid w:val="002D24AC"/>
    <w:rsid w:val="002D2649"/>
    <w:rsid w:val="002D2678"/>
    <w:rsid w:val="002D28EF"/>
    <w:rsid w:val="002D2924"/>
    <w:rsid w:val="002D2AC1"/>
    <w:rsid w:val="002D2DAF"/>
    <w:rsid w:val="002D2F32"/>
    <w:rsid w:val="002D2F39"/>
    <w:rsid w:val="002D2F90"/>
    <w:rsid w:val="002D2FCA"/>
    <w:rsid w:val="002D3080"/>
    <w:rsid w:val="002D312A"/>
    <w:rsid w:val="002D3258"/>
    <w:rsid w:val="002D3374"/>
    <w:rsid w:val="002D37CF"/>
    <w:rsid w:val="002D37E8"/>
    <w:rsid w:val="002D3832"/>
    <w:rsid w:val="002D38D5"/>
    <w:rsid w:val="002D3941"/>
    <w:rsid w:val="002D3DBB"/>
    <w:rsid w:val="002D3DF8"/>
    <w:rsid w:val="002D3F43"/>
    <w:rsid w:val="002D400A"/>
    <w:rsid w:val="002D45E6"/>
    <w:rsid w:val="002D4746"/>
    <w:rsid w:val="002D4979"/>
    <w:rsid w:val="002D49A1"/>
    <w:rsid w:val="002D49AC"/>
    <w:rsid w:val="002D4C92"/>
    <w:rsid w:val="002D4F37"/>
    <w:rsid w:val="002D514D"/>
    <w:rsid w:val="002D5777"/>
    <w:rsid w:val="002D57F1"/>
    <w:rsid w:val="002D5925"/>
    <w:rsid w:val="002D5998"/>
    <w:rsid w:val="002D5AC0"/>
    <w:rsid w:val="002D5AC2"/>
    <w:rsid w:val="002D5AE3"/>
    <w:rsid w:val="002D5BA3"/>
    <w:rsid w:val="002D5E1A"/>
    <w:rsid w:val="002D5E38"/>
    <w:rsid w:val="002D5F93"/>
    <w:rsid w:val="002D6743"/>
    <w:rsid w:val="002D6889"/>
    <w:rsid w:val="002D692E"/>
    <w:rsid w:val="002D6AD8"/>
    <w:rsid w:val="002D753A"/>
    <w:rsid w:val="002D7568"/>
    <w:rsid w:val="002D77D8"/>
    <w:rsid w:val="002D7823"/>
    <w:rsid w:val="002D79FD"/>
    <w:rsid w:val="002D7F0F"/>
    <w:rsid w:val="002D7FEA"/>
    <w:rsid w:val="002E01FC"/>
    <w:rsid w:val="002E03C6"/>
    <w:rsid w:val="002E06CA"/>
    <w:rsid w:val="002E0765"/>
    <w:rsid w:val="002E0DF0"/>
    <w:rsid w:val="002E0FE3"/>
    <w:rsid w:val="002E133F"/>
    <w:rsid w:val="002E1461"/>
    <w:rsid w:val="002E14B6"/>
    <w:rsid w:val="002E14EB"/>
    <w:rsid w:val="002E1735"/>
    <w:rsid w:val="002E176D"/>
    <w:rsid w:val="002E17B5"/>
    <w:rsid w:val="002E18A4"/>
    <w:rsid w:val="002E1916"/>
    <w:rsid w:val="002E1A76"/>
    <w:rsid w:val="002E2076"/>
    <w:rsid w:val="002E23BC"/>
    <w:rsid w:val="002E2719"/>
    <w:rsid w:val="002E27F6"/>
    <w:rsid w:val="002E2B15"/>
    <w:rsid w:val="002E2CFF"/>
    <w:rsid w:val="002E2D53"/>
    <w:rsid w:val="002E2D78"/>
    <w:rsid w:val="002E3106"/>
    <w:rsid w:val="002E332C"/>
    <w:rsid w:val="002E34DC"/>
    <w:rsid w:val="002E378B"/>
    <w:rsid w:val="002E389F"/>
    <w:rsid w:val="002E3911"/>
    <w:rsid w:val="002E3973"/>
    <w:rsid w:val="002E3B2F"/>
    <w:rsid w:val="002E3D6D"/>
    <w:rsid w:val="002E421E"/>
    <w:rsid w:val="002E4290"/>
    <w:rsid w:val="002E4293"/>
    <w:rsid w:val="002E4342"/>
    <w:rsid w:val="002E43AE"/>
    <w:rsid w:val="002E4575"/>
    <w:rsid w:val="002E4591"/>
    <w:rsid w:val="002E47CF"/>
    <w:rsid w:val="002E4B5D"/>
    <w:rsid w:val="002E4BB4"/>
    <w:rsid w:val="002E4C2D"/>
    <w:rsid w:val="002E4C49"/>
    <w:rsid w:val="002E4D28"/>
    <w:rsid w:val="002E4F05"/>
    <w:rsid w:val="002E5084"/>
    <w:rsid w:val="002E5097"/>
    <w:rsid w:val="002E514F"/>
    <w:rsid w:val="002E5285"/>
    <w:rsid w:val="002E5507"/>
    <w:rsid w:val="002E55B2"/>
    <w:rsid w:val="002E5AD9"/>
    <w:rsid w:val="002E5CF0"/>
    <w:rsid w:val="002E5DEA"/>
    <w:rsid w:val="002E5EEB"/>
    <w:rsid w:val="002E6029"/>
    <w:rsid w:val="002E628C"/>
    <w:rsid w:val="002E6313"/>
    <w:rsid w:val="002E63C0"/>
    <w:rsid w:val="002E64B6"/>
    <w:rsid w:val="002E64E5"/>
    <w:rsid w:val="002E6640"/>
    <w:rsid w:val="002E67F9"/>
    <w:rsid w:val="002E6928"/>
    <w:rsid w:val="002E69DB"/>
    <w:rsid w:val="002E6A57"/>
    <w:rsid w:val="002E6DA7"/>
    <w:rsid w:val="002E70A0"/>
    <w:rsid w:val="002E7146"/>
    <w:rsid w:val="002E71BB"/>
    <w:rsid w:val="002E724A"/>
    <w:rsid w:val="002E755D"/>
    <w:rsid w:val="002E7679"/>
    <w:rsid w:val="002E79B5"/>
    <w:rsid w:val="002E7D61"/>
    <w:rsid w:val="002E7F01"/>
    <w:rsid w:val="002E7F89"/>
    <w:rsid w:val="002E7F9F"/>
    <w:rsid w:val="002F0044"/>
    <w:rsid w:val="002F01E7"/>
    <w:rsid w:val="002F063B"/>
    <w:rsid w:val="002F078A"/>
    <w:rsid w:val="002F0CFE"/>
    <w:rsid w:val="002F0DD9"/>
    <w:rsid w:val="002F0E48"/>
    <w:rsid w:val="002F0F66"/>
    <w:rsid w:val="002F0FDE"/>
    <w:rsid w:val="002F100D"/>
    <w:rsid w:val="002F1120"/>
    <w:rsid w:val="002F120D"/>
    <w:rsid w:val="002F14C3"/>
    <w:rsid w:val="002F1607"/>
    <w:rsid w:val="002F2054"/>
    <w:rsid w:val="002F232E"/>
    <w:rsid w:val="002F24EA"/>
    <w:rsid w:val="002F26DE"/>
    <w:rsid w:val="002F26E5"/>
    <w:rsid w:val="002F26E6"/>
    <w:rsid w:val="002F28F6"/>
    <w:rsid w:val="002F2BB5"/>
    <w:rsid w:val="002F2E07"/>
    <w:rsid w:val="002F311E"/>
    <w:rsid w:val="002F313A"/>
    <w:rsid w:val="002F3140"/>
    <w:rsid w:val="002F31DF"/>
    <w:rsid w:val="002F323B"/>
    <w:rsid w:val="002F345B"/>
    <w:rsid w:val="002F3706"/>
    <w:rsid w:val="002F3965"/>
    <w:rsid w:val="002F3D63"/>
    <w:rsid w:val="002F4061"/>
    <w:rsid w:val="002F40AF"/>
    <w:rsid w:val="002F4119"/>
    <w:rsid w:val="002F42DE"/>
    <w:rsid w:val="002F4515"/>
    <w:rsid w:val="002F452D"/>
    <w:rsid w:val="002F459A"/>
    <w:rsid w:val="002F4E16"/>
    <w:rsid w:val="002F4F02"/>
    <w:rsid w:val="002F4FDD"/>
    <w:rsid w:val="002F52C8"/>
    <w:rsid w:val="002F54B4"/>
    <w:rsid w:val="002F5765"/>
    <w:rsid w:val="002F57E6"/>
    <w:rsid w:val="002F5BD1"/>
    <w:rsid w:val="002F5FEC"/>
    <w:rsid w:val="002F60FF"/>
    <w:rsid w:val="002F6160"/>
    <w:rsid w:val="002F631E"/>
    <w:rsid w:val="002F6508"/>
    <w:rsid w:val="002F65EB"/>
    <w:rsid w:val="002F67BD"/>
    <w:rsid w:val="002F68EB"/>
    <w:rsid w:val="002F6A64"/>
    <w:rsid w:val="002F6DB1"/>
    <w:rsid w:val="002F6F47"/>
    <w:rsid w:val="002F712A"/>
    <w:rsid w:val="002F71B8"/>
    <w:rsid w:val="002F71F4"/>
    <w:rsid w:val="002F749D"/>
    <w:rsid w:val="002F74D1"/>
    <w:rsid w:val="002F75B2"/>
    <w:rsid w:val="002F75E2"/>
    <w:rsid w:val="002F779D"/>
    <w:rsid w:val="002F7833"/>
    <w:rsid w:val="002F79F1"/>
    <w:rsid w:val="002F7AF1"/>
    <w:rsid w:val="002F7F07"/>
    <w:rsid w:val="002F7FDE"/>
    <w:rsid w:val="00300304"/>
    <w:rsid w:val="003004AD"/>
    <w:rsid w:val="00300718"/>
    <w:rsid w:val="00300976"/>
    <w:rsid w:val="00300A08"/>
    <w:rsid w:val="00300B60"/>
    <w:rsid w:val="00300B81"/>
    <w:rsid w:val="00300E07"/>
    <w:rsid w:val="003010F3"/>
    <w:rsid w:val="00301222"/>
    <w:rsid w:val="00301435"/>
    <w:rsid w:val="003015B1"/>
    <w:rsid w:val="00301789"/>
    <w:rsid w:val="00301A24"/>
    <w:rsid w:val="00301B72"/>
    <w:rsid w:val="00301D5C"/>
    <w:rsid w:val="00301DC1"/>
    <w:rsid w:val="00301EA1"/>
    <w:rsid w:val="00301EDD"/>
    <w:rsid w:val="00301F26"/>
    <w:rsid w:val="0030217B"/>
    <w:rsid w:val="003021F6"/>
    <w:rsid w:val="003026A3"/>
    <w:rsid w:val="00302937"/>
    <w:rsid w:val="00302A60"/>
    <w:rsid w:val="00302CC1"/>
    <w:rsid w:val="00302FCC"/>
    <w:rsid w:val="00303627"/>
    <w:rsid w:val="0030364E"/>
    <w:rsid w:val="003038A3"/>
    <w:rsid w:val="00303976"/>
    <w:rsid w:val="00303BDC"/>
    <w:rsid w:val="00303C24"/>
    <w:rsid w:val="00303E9D"/>
    <w:rsid w:val="00303F18"/>
    <w:rsid w:val="00304170"/>
    <w:rsid w:val="003041AB"/>
    <w:rsid w:val="00304729"/>
    <w:rsid w:val="0030481D"/>
    <w:rsid w:val="003049E8"/>
    <w:rsid w:val="00304AA5"/>
    <w:rsid w:val="00304D4E"/>
    <w:rsid w:val="00304F97"/>
    <w:rsid w:val="00305015"/>
    <w:rsid w:val="00305408"/>
    <w:rsid w:val="0030558F"/>
    <w:rsid w:val="003057CB"/>
    <w:rsid w:val="00305835"/>
    <w:rsid w:val="00305B51"/>
    <w:rsid w:val="00305C40"/>
    <w:rsid w:val="00306003"/>
    <w:rsid w:val="00306016"/>
    <w:rsid w:val="003061BE"/>
    <w:rsid w:val="00306224"/>
    <w:rsid w:val="003062AE"/>
    <w:rsid w:val="0030652E"/>
    <w:rsid w:val="00306565"/>
    <w:rsid w:val="003067CF"/>
    <w:rsid w:val="003068FA"/>
    <w:rsid w:val="00306BE8"/>
    <w:rsid w:val="00306C47"/>
    <w:rsid w:val="00306DF9"/>
    <w:rsid w:val="00306EEC"/>
    <w:rsid w:val="00307024"/>
    <w:rsid w:val="0030702B"/>
    <w:rsid w:val="00307041"/>
    <w:rsid w:val="003071BE"/>
    <w:rsid w:val="00307313"/>
    <w:rsid w:val="003073F7"/>
    <w:rsid w:val="00307704"/>
    <w:rsid w:val="00307710"/>
    <w:rsid w:val="00307738"/>
    <w:rsid w:val="00307DA0"/>
    <w:rsid w:val="003100A4"/>
    <w:rsid w:val="003100D6"/>
    <w:rsid w:val="00310141"/>
    <w:rsid w:val="003102C5"/>
    <w:rsid w:val="0031033B"/>
    <w:rsid w:val="003103F1"/>
    <w:rsid w:val="00310562"/>
    <w:rsid w:val="0031074B"/>
    <w:rsid w:val="003107AE"/>
    <w:rsid w:val="00310863"/>
    <w:rsid w:val="00310894"/>
    <w:rsid w:val="00310C5E"/>
    <w:rsid w:val="00310C81"/>
    <w:rsid w:val="00310E37"/>
    <w:rsid w:val="00310F89"/>
    <w:rsid w:val="003110E3"/>
    <w:rsid w:val="00311125"/>
    <w:rsid w:val="00311199"/>
    <w:rsid w:val="00311258"/>
    <w:rsid w:val="003116A6"/>
    <w:rsid w:val="003117DB"/>
    <w:rsid w:val="0031197F"/>
    <w:rsid w:val="00311B78"/>
    <w:rsid w:val="00311BB6"/>
    <w:rsid w:val="00311F52"/>
    <w:rsid w:val="00312235"/>
    <w:rsid w:val="003122AA"/>
    <w:rsid w:val="00312350"/>
    <w:rsid w:val="00312422"/>
    <w:rsid w:val="00312531"/>
    <w:rsid w:val="003128BF"/>
    <w:rsid w:val="00312BFD"/>
    <w:rsid w:val="00312DE8"/>
    <w:rsid w:val="00312E09"/>
    <w:rsid w:val="00312F1E"/>
    <w:rsid w:val="00312F38"/>
    <w:rsid w:val="003130E8"/>
    <w:rsid w:val="00313231"/>
    <w:rsid w:val="0031336D"/>
    <w:rsid w:val="0031377C"/>
    <w:rsid w:val="0031399D"/>
    <w:rsid w:val="00314302"/>
    <w:rsid w:val="00314496"/>
    <w:rsid w:val="003144F8"/>
    <w:rsid w:val="0031480D"/>
    <w:rsid w:val="00314810"/>
    <w:rsid w:val="00314858"/>
    <w:rsid w:val="00314BFC"/>
    <w:rsid w:val="00315514"/>
    <w:rsid w:val="003155F8"/>
    <w:rsid w:val="00315643"/>
    <w:rsid w:val="0031572B"/>
    <w:rsid w:val="00315744"/>
    <w:rsid w:val="00315770"/>
    <w:rsid w:val="003157B5"/>
    <w:rsid w:val="003162EB"/>
    <w:rsid w:val="00316338"/>
    <w:rsid w:val="00316399"/>
    <w:rsid w:val="003164B4"/>
    <w:rsid w:val="00316535"/>
    <w:rsid w:val="0031668F"/>
    <w:rsid w:val="00316831"/>
    <w:rsid w:val="00316855"/>
    <w:rsid w:val="0031695B"/>
    <w:rsid w:val="00316C21"/>
    <w:rsid w:val="00316C6E"/>
    <w:rsid w:val="00317421"/>
    <w:rsid w:val="0031748E"/>
    <w:rsid w:val="0031773F"/>
    <w:rsid w:val="00317892"/>
    <w:rsid w:val="003179A2"/>
    <w:rsid w:val="00317B98"/>
    <w:rsid w:val="00317CD4"/>
    <w:rsid w:val="00317CDA"/>
    <w:rsid w:val="00317DB9"/>
    <w:rsid w:val="00317E18"/>
    <w:rsid w:val="00317E96"/>
    <w:rsid w:val="00317EC4"/>
    <w:rsid w:val="00317F9E"/>
    <w:rsid w:val="00320067"/>
    <w:rsid w:val="0032052B"/>
    <w:rsid w:val="003206BC"/>
    <w:rsid w:val="003208AE"/>
    <w:rsid w:val="00320A9D"/>
    <w:rsid w:val="00320C6F"/>
    <w:rsid w:val="00320C7F"/>
    <w:rsid w:val="0032100C"/>
    <w:rsid w:val="00321116"/>
    <w:rsid w:val="00321337"/>
    <w:rsid w:val="0032141C"/>
    <w:rsid w:val="003214DE"/>
    <w:rsid w:val="00321647"/>
    <w:rsid w:val="0032164F"/>
    <w:rsid w:val="00321662"/>
    <w:rsid w:val="0032169D"/>
    <w:rsid w:val="00321CB0"/>
    <w:rsid w:val="00321F02"/>
    <w:rsid w:val="00322363"/>
    <w:rsid w:val="003223AE"/>
    <w:rsid w:val="0032267D"/>
    <w:rsid w:val="00322AC9"/>
    <w:rsid w:val="00322D53"/>
    <w:rsid w:val="00322DF8"/>
    <w:rsid w:val="00322E4C"/>
    <w:rsid w:val="003231F2"/>
    <w:rsid w:val="00323238"/>
    <w:rsid w:val="003232E0"/>
    <w:rsid w:val="003232EC"/>
    <w:rsid w:val="00323395"/>
    <w:rsid w:val="003235BB"/>
    <w:rsid w:val="00323741"/>
    <w:rsid w:val="00323786"/>
    <w:rsid w:val="00323CDD"/>
    <w:rsid w:val="00323E74"/>
    <w:rsid w:val="00323FE4"/>
    <w:rsid w:val="00324141"/>
    <w:rsid w:val="00324424"/>
    <w:rsid w:val="003245BA"/>
    <w:rsid w:val="00324B79"/>
    <w:rsid w:val="00324C4F"/>
    <w:rsid w:val="00324EAB"/>
    <w:rsid w:val="003251DC"/>
    <w:rsid w:val="00325240"/>
    <w:rsid w:val="003252A9"/>
    <w:rsid w:val="0032545B"/>
    <w:rsid w:val="00325653"/>
    <w:rsid w:val="003256B4"/>
    <w:rsid w:val="003257AF"/>
    <w:rsid w:val="00325903"/>
    <w:rsid w:val="00325E02"/>
    <w:rsid w:val="00325F71"/>
    <w:rsid w:val="00326652"/>
    <w:rsid w:val="0032671B"/>
    <w:rsid w:val="00326979"/>
    <w:rsid w:val="00326A5E"/>
    <w:rsid w:val="00326F72"/>
    <w:rsid w:val="0032706E"/>
    <w:rsid w:val="003270E9"/>
    <w:rsid w:val="0032752F"/>
    <w:rsid w:val="003275FE"/>
    <w:rsid w:val="0032767D"/>
    <w:rsid w:val="0032778C"/>
    <w:rsid w:val="003278C4"/>
    <w:rsid w:val="003279D9"/>
    <w:rsid w:val="00327B33"/>
    <w:rsid w:val="00327BB2"/>
    <w:rsid w:val="00327C0C"/>
    <w:rsid w:val="00327D4E"/>
    <w:rsid w:val="00327D97"/>
    <w:rsid w:val="00327F83"/>
    <w:rsid w:val="00330006"/>
    <w:rsid w:val="00330121"/>
    <w:rsid w:val="003308A5"/>
    <w:rsid w:val="00330D0C"/>
    <w:rsid w:val="00330DD1"/>
    <w:rsid w:val="00330EB4"/>
    <w:rsid w:val="003315F7"/>
    <w:rsid w:val="00331649"/>
    <w:rsid w:val="003316CE"/>
    <w:rsid w:val="00331A16"/>
    <w:rsid w:val="00331A57"/>
    <w:rsid w:val="00331CAF"/>
    <w:rsid w:val="00331D6A"/>
    <w:rsid w:val="00331DB8"/>
    <w:rsid w:val="003322ED"/>
    <w:rsid w:val="003324FB"/>
    <w:rsid w:val="00332641"/>
    <w:rsid w:val="0033280A"/>
    <w:rsid w:val="00332869"/>
    <w:rsid w:val="00332D15"/>
    <w:rsid w:val="003331C5"/>
    <w:rsid w:val="0033329F"/>
    <w:rsid w:val="0033351A"/>
    <w:rsid w:val="00333575"/>
    <w:rsid w:val="00333C84"/>
    <w:rsid w:val="00333C98"/>
    <w:rsid w:val="00333DA4"/>
    <w:rsid w:val="00333EDF"/>
    <w:rsid w:val="0033451E"/>
    <w:rsid w:val="0033453D"/>
    <w:rsid w:val="0033454B"/>
    <w:rsid w:val="00334740"/>
    <w:rsid w:val="0033484C"/>
    <w:rsid w:val="0033491A"/>
    <w:rsid w:val="0033496B"/>
    <w:rsid w:val="00334A5F"/>
    <w:rsid w:val="00334ACF"/>
    <w:rsid w:val="00334E00"/>
    <w:rsid w:val="00334E72"/>
    <w:rsid w:val="00334EF9"/>
    <w:rsid w:val="00335016"/>
    <w:rsid w:val="003351D8"/>
    <w:rsid w:val="00335764"/>
    <w:rsid w:val="003357C7"/>
    <w:rsid w:val="00335972"/>
    <w:rsid w:val="00335B76"/>
    <w:rsid w:val="00335F6A"/>
    <w:rsid w:val="00336024"/>
    <w:rsid w:val="0033614E"/>
    <w:rsid w:val="00336288"/>
    <w:rsid w:val="00336476"/>
    <w:rsid w:val="003364C5"/>
    <w:rsid w:val="003365EB"/>
    <w:rsid w:val="003367BE"/>
    <w:rsid w:val="0033693D"/>
    <w:rsid w:val="00336C65"/>
    <w:rsid w:val="00336CEB"/>
    <w:rsid w:val="00336E9E"/>
    <w:rsid w:val="00337502"/>
    <w:rsid w:val="0033753F"/>
    <w:rsid w:val="0033768E"/>
    <w:rsid w:val="00337B55"/>
    <w:rsid w:val="00337B8A"/>
    <w:rsid w:val="00337CD8"/>
    <w:rsid w:val="00337CE6"/>
    <w:rsid w:val="00337D08"/>
    <w:rsid w:val="00337E76"/>
    <w:rsid w:val="00337EE9"/>
    <w:rsid w:val="00337F84"/>
    <w:rsid w:val="00340128"/>
    <w:rsid w:val="0034044B"/>
    <w:rsid w:val="00340514"/>
    <w:rsid w:val="00340568"/>
    <w:rsid w:val="00340719"/>
    <w:rsid w:val="00340742"/>
    <w:rsid w:val="00340DFC"/>
    <w:rsid w:val="003410D4"/>
    <w:rsid w:val="003412EA"/>
    <w:rsid w:val="00341314"/>
    <w:rsid w:val="003413C4"/>
    <w:rsid w:val="003414EA"/>
    <w:rsid w:val="003415DC"/>
    <w:rsid w:val="0034168D"/>
    <w:rsid w:val="0034170D"/>
    <w:rsid w:val="00341811"/>
    <w:rsid w:val="003418DE"/>
    <w:rsid w:val="003419BB"/>
    <w:rsid w:val="00341A14"/>
    <w:rsid w:val="00341D94"/>
    <w:rsid w:val="00341D96"/>
    <w:rsid w:val="003421CC"/>
    <w:rsid w:val="0034229E"/>
    <w:rsid w:val="00342377"/>
    <w:rsid w:val="0034252F"/>
    <w:rsid w:val="00342666"/>
    <w:rsid w:val="00342841"/>
    <w:rsid w:val="0034297E"/>
    <w:rsid w:val="003429D1"/>
    <w:rsid w:val="003429F8"/>
    <w:rsid w:val="00342CFC"/>
    <w:rsid w:val="00342D49"/>
    <w:rsid w:val="00342E73"/>
    <w:rsid w:val="003432ED"/>
    <w:rsid w:val="003433EB"/>
    <w:rsid w:val="0034352D"/>
    <w:rsid w:val="00343662"/>
    <w:rsid w:val="00343CC8"/>
    <w:rsid w:val="003441F2"/>
    <w:rsid w:val="003446DF"/>
    <w:rsid w:val="00344968"/>
    <w:rsid w:val="0034497A"/>
    <w:rsid w:val="00344B88"/>
    <w:rsid w:val="003453ED"/>
    <w:rsid w:val="003453EF"/>
    <w:rsid w:val="00345428"/>
    <w:rsid w:val="003459E4"/>
    <w:rsid w:val="00345C2C"/>
    <w:rsid w:val="00345CA5"/>
    <w:rsid w:val="00345E01"/>
    <w:rsid w:val="00345EE5"/>
    <w:rsid w:val="00345EEA"/>
    <w:rsid w:val="00345F6D"/>
    <w:rsid w:val="00345FC6"/>
    <w:rsid w:val="00345FCA"/>
    <w:rsid w:val="00346093"/>
    <w:rsid w:val="0034627A"/>
    <w:rsid w:val="00346293"/>
    <w:rsid w:val="00346441"/>
    <w:rsid w:val="0034659F"/>
    <w:rsid w:val="0034662E"/>
    <w:rsid w:val="00346771"/>
    <w:rsid w:val="00346777"/>
    <w:rsid w:val="00346E6A"/>
    <w:rsid w:val="00346F69"/>
    <w:rsid w:val="003471A3"/>
    <w:rsid w:val="0034730E"/>
    <w:rsid w:val="003476AC"/>
    <w:rsid w:val="00347747"/>
    <w:rsid w:val="003479DD"/>
    <w:rsid w:val="00347C40"/>
    <w:rsid w:val="00347CE2"/>
    <w:rsid w:val="00350311"/>
    <w:rsid w:val="00350313"/>
    <w:rsid w:val="003503EC"/>
    <w:rsid w:val="0035045D"/>
    <w:rsid w:val="00350541"/>
    <w:rsid w:val="00350878"/>
    <w:rsid w:val="003508DD"/>
    <w:rsid w:val="00350915"/>
    <w:rsid w:val="00351166"/>
    <w:rsid w:val="0035129E"/>
    <w:rsid w:val="003512FB"/>
    <w:rsid w:val="00351381"/>
    <w:rsid w:val="00351A6A"/>
    <w:rsid w:val="00351A94"/>
    <w:rsid w:val="00351AC2"/>
    <w:rsid w:val="00351B70"/>
    <w:rsid w:val="00351F35"/>
    <w:rsid w:val="003520B1"/>
    <w:rsid w:val="00352627"/>
    <w:rsid w:val="00352CC2"/>
    <w:rsid w:val="00352E12"/>
    <w:rsid w:val="00353044"/>
    <w:rsid w:val="003530A6"/>
    <w:rsid w:val="00353137"/>
    <w:rsid w:val="00353178"/>
    <w:rsid w:val="00353350"/>
    <w:rsid w:val="0035349C"/>
    <w:rsid w:val="00353517"/>
    <w:rsid w:val="00353627"/>
    <w:rsid w:val="003536F4"/>
    <w:rsid w:val="00353771"/>
    <w:rsid w:val="00353918"/>
    <w:rsid w:val="00353E95"/>
    <w:rsid w:val="003544F8"/>
    <w:rsid w:val="00354697"/>
    <w:rsid w:val="00354973"/>
    <w:rsid w:val="00354B6F"/>
    <w:rsid w:val="00355204"/>
    <w:rsid w:val="00355532"/>
    <w:rsid w:val="00355773"/>
    <w:rsid w:val="0035589E"/>
    <w:rsid w:val="003559EF"/>
    <w:rsid w:val="00355C1F"/>
    <w:rsid w:val="00355DF1"/>
    <w:rsid w:val="00355F72"/>
    <w:rsid w:val="003561E9"/>
    <w:rsid w:val="0035629C"/>
    <w:rsid w:val="0035637B"/>
    <w:rsid w:val="00356501"/>
    <w:rsid w:val="003566E0"/>
    <w:rsid w:val="003569FE"/>
    <w:rsid w:val="00356B5A"/>
    <w:rsid w:val="00356B8E"/>
    <w:rsid w:val="00356C00"/>
    <w:rsid w:val="00356C1C"/>
    <w:rsid w:val="00356C9E"/>
    <w:rsid w:val="00356CB3"/>
    <w:rsid w:val="00356CFC"/>
    <w:rsid w:val="00356F8B"/>
    <w:rsid w:val="003571B9"/>
    <w:rsid w:val="00357251"/>
    <w:rsid w:val="00357296"/>
    <w:rsid w:val="0035744E"/>
    <w:rsid w:val="0035751A"/>
    <w:rsid w:val="00357657"/>
    <w:rsid w:val="00357C92"/>
    <w:rsid w:val="00357DCD"/>
    <w:rsid w:val="00357E32"/>
    <w:rsid w:val="00357E72"/>
    <w:rsid w:val="003601A2"/>
    <w:rsid w:val="00360382"/>
    <w:rsid w:val="00360505"/>
    <w:rsid w:val="0036075E"/>
    <w:rsid w:val="00360883"/>
    <w:rsid w:val="0036091A"/>
    <w:rsid w:val="0036099D"/>
    <w:rsid w:val="00360B54"/>
    <w:rsid w:val="00360E28"/>
    <w:rsid w:val="00360FB8"/>
    <w:rsid w:val="0036126E"/>
    <w:rsid w:val="0036153F"/>
    <w:rsid w:val="003615F9"/>
    <w:rsid w:val="0036191B"/>
    <w:rsid w:val="003619B7"/>
    <w:rsid w:val="00361A87"/>
    <w:rsid w:val="00361D0F"/>
    <w:rsid w:val="00361DC4"/>
    <w:rsid w:val="00362075"/>
    <w:rsid w:val="003621BB"/>
    <w:rsid w:val="003623E2"/>
    <w:rsid w:val="00362442"/>
    <w:rsid w:val="003627C4"/>
    <w:rsid w:val="003627D6"/>
    <w:rsid w:val="00362A07"/>
    <w:rsid w:val="00362B43"/>
    <w:rsid w:val="00362BF2"/>
    <w:rsid w:val="00362C83"/>
    <w:rsid w:val="0036300D"/>
    <w:rsid w:val="003630D6"/>
    <w:rsid w:val="00363452"/>
    <w:rsid w:val="00363487"/>
    <w:rsid w:val="0036363A"/>
    <w:rsid w:val="0036387D"/>
    <w:rsid w:val="00363977"/>
    <w:rsid w:val="003639A6"/>
    <w:rsid w:val="00363DB4"/>
    <w:rsid w:val="00363DCE"/>
    <w:rsid w:val="00363EF0"/>
    <w:rsid w:val="00364133"/>
    <w:rsid w:val="003645D5"/>
    <w:rsid w:val="00364644"/>
    <w:rsid w:val="003649DA"/>
    <w:rsid w:val="00364D42"/>
    <w:rsid w:val="00364EA1"/>
    <w:rsid w:val="00364EFE"/>
    <w:rsid w:val="00364F88"/>
    <w:rsid w:val="00364FE7"/>
    <w:rsid w:val="00365302"/>
    <w:rsid w:val="00365397"/>
    <w:rsid w:val="00365743"/>
    <w:rsid w:val="003657C0"/>
    <w:rsid w:val="00365C9A"/>
    <w:rsid w:val="00365CB2"/>
    <w:rsid w:val="00365DC2"/>
    <w:rsid w:val="00365DC4"/>
    <w:rsid w:val="00365F6B"/>
    <w:rsid w:val="00365FC0"/>
    <w:rsid w:val="003661B7"/>
    <w:rsid w:val="00366384"/>
    <w:rsid w:val="00366755"/>
    <w:rsid w:val="00366990"/>
    <w:rsid w:val="003669FD"/>
    <w:rsid w:val="00366DA1"/>
    <w:rsid w:val="00366F1D"/>
    <w:rsid w:val="0036703D"/>
    <w:rsid w:val="003671F2"/>
    <w:rsid w:val="00367215"/>
    <w:rsid w:val="003675B6"/>
    <w:rsid w:val="00367765"/>
    <w:rsid w:val="003677AF"/>
    <w:rsid w:val="00367850"/>
    <w:rsid w:val="003679AE"/>
    <w:rsid w:val="00367B69"/>
    <w:rsid w:val="00367CCA"/>
    <w:rsid w:val="00370058"/>
    <w:rsid w:val="00370212"/>
    <w:rsid w:val="00370277"/>
    <w:rsid w:val="00370297"/>
    <w:rsid w:val="00370472"/>
    <w:rsid w:val="0037059E"/>
    <w:rsid w:val="00370688"/>
    <w:rsid w:val="0037069B"/>
    <w:rsid w:val="0037095F"/>
    <w:rsid w:val="003709AB"/>
    <w:rsid w:val="00370AF6"/>
    <w:rsid w:val="00370EBA"/>
    <w:rsid w:val="00370FAC"/>
    <w:rsid w:val="0037124D"/>
    <w:rsid w:val="00371342"/>
    <w:rsid w:val="00371396"/>
    <w:rsid w:val="00371461"/>
    <w:rsid w:val="003714BA"/>
    <w:rsid w:val="003717EC"/>
    <w:rsid w:val="003717EF"/>
    <w:rsid w:val="003718C1"/>
    <w:rsid w:val="003718F6"/>
    <w:rsid w:val="00371913"/>
    <w:rsid w:val="00371DC9"/>
    <w:rsid w:val="00372015"/>
    <w:rsid w:val="003722D6"/>
    <w:rsid w:val="0037241D"/>
    <w:rsid w:val="00372557"/>
    <w:rsid w:val="0037255C"/>
    <w:rsid w:val="00372A81"/>
    <w:rsid w:val="0037308D"/>
    <w:rsid w:val="00373151"/>
    <w:rsid w:val="00373285"/>
    <w:rsid w:val="0037331C"/>
    <w:rsid w:val="00373AD1"/>
    <w:rsid w:val="00373CF6"/>
    <w:rsid w:val="00373EFF"/>
    <w:rsid w:val="0037425F"/>
    <w:rsid w:val="003742A5"/>
    <w:rsid w:val="003742AD"/>
    <w:rsid w:val="003747ED"/>
    <w:rsid w:val="003749C6"/>
    <w:rsid w:val="0037530E"/>
    <w:rsid w:val="003757B5"/>
    <w:rsid w:val="003759BA"/>
    <w:rsid w:val="003759E2"/>
    <w:rsid w:val="00375B4F"/>
    <w:rsid w:val="00375C4E"/>
    <w:rsid w:val="00375DB0"/>
    <w:rsid w:val="00375E53"/>
    <w:rsid w:val="003760DA"/>
    <w:rsid w:val="00376372"/>
    <w:rsid w:val="00376A83"/>
    <w:rsid w:val="00376C8F"/>
    <w:rsid w:val="00376FF1"/>
    <w:rsid w:val="003770C9"/>
    <w:rsid w:val="00377120"/>
    <w:rsid w:val="0037716E"/>
    <w:rsid w:val="003772F7"/>
    <w:rsid w:val="0037749A"/>
    <w:rsid w:val="003774F4"/>
    <w:rsid w:val="0037751D"/>
    <w:rsid w:val="00377563"/>
    <w:rsid w:val="00377820"/>
    <w:rsid w:val="0037792C"/>
    <w:rsid w:val="0037797A"/>
    <w:rsid w:val="003779F5"/>
    <w:rsid w:val="00377A46"/>
    <w:rsid w:val="00377C6B"/>
    <w:rsid w:val="00377F26"/>
    <w:rsid w:val="0038004D"/>
    <w:rsid w:val="003802AE"/>
    <w:rsid w:val="00380727"/>
    <w:rsid w:val="00380809"/>
    <w:rsid w:val="00380E50"/>
    <w:rsid w:val="0038103C"/>
    <w:rsid w:val="00381086"/>
    <w:rsid w:val="00381133"/>
    <w:rsid w:val="00381259"/>
    <w:rsid w:val="00381393"/>
    <w:rsid w:val="00381525"/>
    <w:rsid w:val="00381A6E"/>
    <w:rsid w:val="00381C39"/>
    <w:rsid w:val="00381DCC"/>
    <w:rsid w:val="00381F10"/>
    <w:rsid w:val="0038206E"/>
    <w:rsid w:val="0038252A"/>
    <w:rsid w:val="00382586"/>
    <w:rsid w:val="0038281C"/>
    <w:rsid w:val="0038289C"/>
    <w:rsid w:val="003829C3"/>
    <w:rsid w:val="00382C8E"/>
    <w:rsid w:val="00382F85"/>
    <w:rsid w:val="003830E2"/>
    <w:rsid w:val="00383358"/>
    <w:rsid w:val="003837C7"/>
    <w:rsid w:val="00383900"/>
    <w:rsid w:val="003839E2"/>
    <w:rsid w:val="00383D6A"/>
    <w:rsid w:val="00383EC7"/>
    <w:rsid w:val="003840F7"/>
    <w:rsid w:val="00384331"/>
    <w:rsid w:val="0038462A"/>
    <w:rsid w:val="003849A0"/>
    <w:rsid w:val="00384C8D"/>
    <w:rsid w:val="00384F61"/>
    <w:rsid w:val="00385068"/>
    <w:rsid w:val="0038516B"/>
    <w:rsid w:val="003854B7"/>
    <w:rsid w:val="003854C7"/>
    <w:rsid w:val="00385515"/>
    <w:rsid w:val="0038564B"/>
    <w:rsid w:val="003856C1"/>
    <w:rsid w:val="003856E3"/>
    <w:rsid w:val="003857C8"/>
    <w:rsid w:val="00385A2B"/>
    <w:rsid w:val="00385A64"/>
    <w:rsid w:val="00385AEA"/>
    <w:rsid w:val="00385BE4"/>
    <w:rsid w:val="00385E41"/>
    <w:rsid w:val="003861F3"/>
    <w:rsid w:val="003861FC"/>
    <w:rsid w:val="0038632C"/>
    <w:rsid w:val="003865AC"/>
    <w:rsid w:val="00386A00"/>
    <w:rsid w:val="00386CA7"/>
    <w:rsid w:val="00386D1A"/>
    <w:rsid w:val="00386DDD"/>
    <w:rsid w:val="00386E25"/>
    <w:rsid w:val="003873C9"/>
    <w:rsid w:val="0038740D"/>
    <w:rsid w:val="00387497"/>
    <w:rsid w:val="00387631"/>
    <w:rsid w:val="00387666"/>
    <w:rsid w:val="0038773F"/>
    <w:rsid w:val="00387792"/>
    <w:rsid w:val="00387970"/>
    <w:rsid w:val="00387A87"/>
    <w:rsid w:val="00387DD3"/>
    <w:rsid w:val="003901BE"/>
    <w:rsid w:val="003902F9"/>
    <w:rsid w:val="0039039C"/>
    <w:rsid w:val="0039045D"/>
    <w:rsid w:val="00390545"/>
    <w:rsid w:val="0039065A"/>
    <w:rsid w:val="00390810"/>
    <w:rsid w:val="00390A5C"/>
    <w:rsid w:val="00390E57"/>
    <w:rsid w:val="00390ED3"/>
    <w:rsid w:val="00391164"/>
    <w:rsid w:val="00391479"/>
    <w:rsid w:val="00391610"/>
    <w:rsid w:val="00391781"/>
    <w:rsid w:val="0039182E"/>
    <w:rsid w:val="00391A15"/>
    <w:rsid w:val="00391C1C"/>
    <w:rsid w:val="00391C4F"/>
    <w:rsid w:val="0039213E"/>
    <w:rsid w:val="003922E1"/>
    <w:rsid w:val="003924B0"/>
    <w:rsid w:val="003926E8"/>
    <w:rsid w:val="00392B9A"/>
    <w:rsid w:val="00392EB7"/>
    <w:rsid w:val="003931A2"/>
    <w:rsid w:val="00393367"/>
    <w:rsid w:val="003933FE"/>
    <w:rsid w:val="0039342B"/>
    <w:rsid w:val="00393449"/>
    <w:rsid w:val="003934FE"/>
    <w:rsid w:val="003935A2"/>
    <w:rsid w:val="00393645"/>
    <w:rsid w:val="00393A5C"/>
    <w:rsid w:val="00393AC2"/>
    <w:rsid w:val="00393AFD"/>
    <w:rsid w:val="00393C06"/>
    <w:rsid w:val="00393CB8"/>
    <w:rsid w:val="00393F87"/>
    <w:rsid w:val="0039414D"/>
    <w:rsid w:val="003941FC"/>
    <w:rsid w:val="00394977"/>
    <w:rsid w:val="00394C83"/>
    <w:rsid w:val="00394D80"/>
    <w:rsid w:val="0039517B"/>
    <w:rsid w:val="00395191"/>
    <w:rsid w:val="003953AD"/>
    <w:rsid w:val="0039576C"/>
    <w:rsid w:val="003957A8"/>
    <w:rsid w:val="00395C0E"/>
    <w:rsid w:val="00395E6B"/>
    <w:rsid w:val="00395FCF"/>
    <w:rsid w:val="00396233"/>
    <w:rsid w:val="003962C1"/>
    <w:rsid w:val="00396318"/>
    <w:rsid w:val="00396339"/>
    <w:rsid w:val="003964A6"/>
    <w:rsid w:val="003964F9"/>
    <w:rsid w:val="0039658B"/>
    <w:rsid w:val="0039658D"/>
    <w:rsid w:val="0039669A"/>
    <w:rsid w:val="00396734"/>
    <w:rsid w:val="00396779"/>
    <w:rsid w:val="003968AF"/>
    <w:rsid w:val="003968E6"/>
    <w:rsid w:val="00396C2A"/>
    <w:rsid w:val="00397170"/>
    <w:rsid w:val="0039718B"/>
    <w:rsid w:val="003972CB"/>
    <w:rsid w:val="0039737A"/>
    <w:rsid w:val="003973C4"/>
    <w:rsid w:val="00397996"/>
    <w:rsid w:val="003979D9"/>
    <w:rsid w:val="00397A2D"/>
    <w:rsid w:val="00397AED"/>
    <w:rsid w:val="00397D93"/>
    <w:rsid w:val="00397EC1"/>
    <w:rsid w:val="003A0301"/>
    <w:rsid w:val="003A04B8"/>
    <w:rsid w:val="003A079D"/>
    <w:rsid w:val="003A0921"/>
    <w:rsid w:val="003A096A"/>
    <w:rsid w:val="003A0BBD"/>
    <w:rsid w:val="003A0C0D"/>
    <w:rsid w:val="003A0E9D"/>
    <w:rsid w:val="003A16D2"/>
    <w:rsid w:val="003A1809"/>
    <w:rsid w:val="003A1852"/>
    <w:rsid w:val="003A22E2"/>
    <w:rsid w:val="003A27F3"/>
    <w:rsid w:val="003A29C9"/>
    <w:rsid w:val="003A2CCF"/>
    <w:rsid w:val="003A31A0"/>
    <w:rsid w:val="003A3433"/>
    <w:rsid w:val="003A35BD"/>
    <w:rsid w:val="003A3602"/>
    <w:rsid w:val="003A39A3"/>
    <w:rsid w:val="003A39C4"/>
    <w:rsid w:val="003A3E0F"/>
    <w:rsid w:val="003A3F19"/>
    <w:rsid w:val="003A4001"/>
    <w:rsid w:val="003A41E7"/>
    <w:rsid w:val="003A4309"/>
    <w:rsid w:val="003A4589"/>
    <w:rsid w:val="003A4657"/>
    <w:rsid w:val="003A4753"/>
    <w:rsid w:val="003A476E"/>
    <w:rsid w:val="003A48DF"/>
    <w:rsid w:val="003A4927"/>
    <w:rsid w:val="003A4CC5"/>
    <w:rsid w:val="003A4DDA"/>
    <w:rsid w:val="003A4F7E"/>
    <w:rsid w:val="003A50AD"/>
    <w:rsid w:val="003A52BA"/>
    <w:rsid w:val="003A537E"/>
    <w:rsid w:val="003A5684"/>
    <w:rsid w:val="003A5699"/>
    <w:rsid w:val="003A56E4"/>
    <w:rsid w:val="003A57A6"/>
    <w:rsid w:val="003A5B3E"/>
    <w:rsid w:val="003A5BF6"/>
    <w:rsid w:val="003A5D8E"/>
    <w:rsid w:val="003A6365"/>
    <w:rsid w:val="003A63A8"/>
    <w:rsid w:val="003A63E9"/>
    <w:rsid w:val="003A65ED"/>
    <w:rsid w:val="003A660F"/>
    <w:rsid w:val="003A693E"/>
    <w:rsid w:val="003A69BF"/>
    <w:rsid w:val="003A6DAE"/>
    <w:rsid w:val="003A6F4A"/>
    <w:rsid w:val="003A706C"/>
    <w:rsid w:val="003A71FE"/>
    <w:rsid w:val="003A72C6"/>
    <w:rsid w:val="003A73F7"/>
    <w:rsid w:val="003A740E"/>
    <w:rsid w:val="003A7595"/>
    <w:rsid w:val="003A75DF"/>
    <w:rsid w:val="003A7784"/>
    <w:rsid w:val="003A77B0"/>
    <w:rsid w:val="003A7888"/>
    <w:rsid w:val="003A793E"/>
    <w:rsid w:val="003A79A4"/>
    <w:rsid w:val="003A7A08"/>
    <w:rsid w:val="003A7A30"/>
    <w:rsid w:val="003A7B6F"/>
    <w:rsid w:val="003A7CCF"/>
    <w:rsid w:val="003B00F9"/>
    <w:rsid w:val="003B095E"/>
    <w:rsid w:val="003B0C66"/>
    <w:rsid w:val="003B114A"/>
    <w:rsid w:val="003B14E8"/>
    <w:rsid w:val="003B157F"/>
    <w:rsid w:val="003B1596"/>
    <w:rsid w:val="003B15D1"/>
    <w:rsid w:val="003B1964"/>
    <w:rsid w:val="003B1AC2"/>
    <w:rsid w:val="003B1E2D"/>
    <w:rsid w:val="003B224E"/>
    <w:rsid w:val="003B2438"/>
    <w:rsid w:val="003B2501"/>
    <w:rsid w:val="003B2529"/>
    <w:rsid w:val="003B25AC"/>
    <w:rsid w:val="003B267B"/>
    <w:rsid w:val="003B277B"/>
    <w:rsid w:val="003B277E"/>
    <w:rsid w:val="003B2A83"/>
    <w:rsid w:val="003B2C11"/>
    <w:rsid w:val="003B2CD9"/>
    <w:rsid w:val="003B2D6B"/>
    <w:rsid w:val="003B2E05"/>
    <w:rsid w:val="003B2E95"/>
    <w:rsid w:val="003B33CC"/>
    <w:rsid w:val="003B3493"/>
    <w:rsid w:val="003B375B"/>
    <w:rsid w:val="003B3989"/>
    <w:rsid w:val="003B3C35"/>
    <w:rsid w:val="003B3C81"/>
    <w:rsid w:val="003B3FD3"/>
    <w:rsid w:val="003B43D9"/>
    <w:rsid w:val="003B4534"/>
    <w:rsid w:val="003B459E"/>
    <w:rsid w:val="003B4714"/>
    <w:rsid w:val="003B4742"/>
    <w:rsid w:val="003B47A7"/>
    <w:rsid w:val="003B47B3"/>
    <w:rsid w:val="003B4890"/>
    <w:rsid w:val="003B48E4"/>
    <w:rsid w:val="003B4A7B"/>
    <w:rsid w:val="003B4AC3"/>
    <w:rsid w:val="003B4C89"/>
    <w:rsid w:val="003B50CF"/>
    <w:rsid w:val="003B524C"/>
    <w:rsid w:val="003B53D4"/>
    <w:rsid w:val="003B542F"/>
    <w:rsid w:val="003B54BE"/>
    <w:rsid w:val="003B5E9D"/>
    <w:rsid w:val="003B611C"/>
    <w:rsid w:val="003B61EF"/>
    <w:rsid w:val="003B655C"/>
    <w:rsid w:val="003B65CE"/>
    <w:rsid w:val="003B6765"/>
    <w:rsid w:val="003B6906"/>
    <w:rsid w:val="003B6C3B"/>
    <w:rsid w:val="003B6CA7"/>
    <w:rsid w:val="003B6D0A"/>
    <w:rsid w:val="003B6DB0"/>
    <w:rsid w:val="003B6E4D"/>
    <w:rsid w:val="003B6FA2"/>
    <w:rsid w:val="003B7140"/>
    <w:rsid w:val="003B71C1"/>
    <w:rsid w:val="003B7303"/>
    <w:rsid w:val="003B7587"/>
    <w:rsid w:val="003B7656"/>
    <w:rsid w:val="003B772F"/>
    <w:rsid w:val="003B79D7"/>
    <w:rsid w:val="003B7D32"/>
    <w:rsid w:val="003C0127"/>
    <w:rsid w:val="003C01B6"/>
    <w:rsid w:val="003C0362"/>
    <w:rsid w:val="003C055D"/>
    <w:rsid w:val="003C08C9"/>
    <w:rsid w:val="003C0D13"/>
    <w:rsid w:val="003C0EAF"/>
    <w:rsid w:val="003C0F01"/>
    <w:rsid w:val="003C10AA"/>
    <w:rsid w:val="003C10AB"/>
    <w:rsid w:val="003C1175"/>
    <w:rsid w:val="003C1231"/>
    <w:rsid w:val="003C13BB"/>
    <w:rsid w:val="003C160D"/>
    <w:rsid w:val="003C163E"/>
    <w:rsid w:val="003C167D"/>
    <w:rsid w:val="003C16B2"/>
    <w:rsid w:val="003C182A"/>
    <w:rsid w:val="003C1864"/>
    <w:rsid w:val="003C187B"/>
    <w:rsid w:val="003C1A11"/>
    <w:rsid w:val="003C1A9F"/>
    <w:rsid w:val="003C1B61"/>
    <w:rsid w:val="003C1C81"/>
    <w:rsid w:val="003C1CAE"/>
    <w:rsid w:val="003C1D68"/>
    <w:rsid w:val="003C1E7F"/>
    <w:rsid w:val="003C2427"/>
    <w:rsid w:val="003C2635"/>
    <w:rsid w:val="003C2902"/>
    <w:rsid w:val="003C2A47"/>
    <w:rsid w:val="003C2BCE"/>
    <w:rsid w:val="003C2BEA"/>
    <w:rsid w:val="003C2E3F"/>
    <w:rsid w:val="003C2F48"/>
    <w:rsid w:val="003C30F5"/>
    <w:rsid w:val="003C3251"/>
    <w:rsid w:val="003C32D8"/>
    <w:rsid w:val="003C3467"/>
    <w:rsid w:val="003C35A4"/>
    <w:rsid w:val="003C3604"/>
    <w:rsid w:val="003C365F"/>
    <w:rsid w:val="003C394D"/>
    <w:rsid w:val="003C3D2D"/>
    <w:rsid w:val="003C3DAA"/>
    <w:rsid w:val="003C3EED"/>
    <w:rsid w:val="003C3F2F"/>
    <w:rsid w:val="003C3FA6"/>
    <w:rsid w:val="003C4131"/>
    <w:rsid w:val="003C41EE"/>
    <w:rsid w:val="003C41F2"/>
    <w:rsid w:val="003C41FC"/>
    <w:rsid w:val="003C497A"/>
    <w:rsid w:val="003C4C55"/>
    <w:rsid w:val="003C4C58"/>
    <w:rsid w:val="003C4D9C"/>
    <w:rsid w:val="003C4E25"/>
    <w:rsid w:val="003C53CF"/>
    <w:rsid w:val="003C53EF"/>
    <w:rsid w:val="003C549A"/>
    <w:rsid w:val="003C54D2"/>
    <w:rsid w:val="003C55EB"/>
    <w:rsid w:val="003C5699"/>
    <w:rsid w:val="003C5716"/>
    <w:rsid w:val="003C59AC"/>
    <w:rsid w:val="003C5A1C"/>
    <w:rsid w:val="003C5C3B"/>
    <w:rsid w:val="003C5E61"/>
    <w:rsid w:val="003C6129"/>
    <w:rsid w:val="003C651B"/>
    <w:rsid w:val="003C6A73"/>
    <w:rsid w:val="003C6FC8"/>
    <w:rsid w:val="003C7534"/>
    <w:rsid w:val="003C756C"/>
    <w:rsid w:val="003C777C"/>
    <w:rsid w:val="003C777E"/>
    <w:rsid w:val="003C7A68"/>
    <w:rsid w:val="003C8FA1"/>
    <w:rsid w:val="003D0007"/>
    <w:rsid w:val="003D042B"/>
    <w:rsid w:val="003D0886"/>
    <w:rsid w:val="003D08B1"/>
    <w:rsid w:val="003D0BDB"/>
    <w:rsid w:val="003D0D47"/>
    <w:rsid w:val="003D102F"/>
    <w:rsid w:val="003D11A9"/>
    <w:rsid w:val="003D1451"/>
    <w:rsid w:val="003D1657"/>
    <w:rsid w:val="003D169C"/>
    <w:rsid w:val="003D171D"/>
    <w:rsid w:val="003D1771"/>
    <w:rsid w:val="003D18BE"/>
    <w:rsid w:val="003D1904"/>
    <w:rsid w:val="003D1A68"/>
    <w:rsid w:val="003D1C27"/>
    <w:rsid w:val="003D1D17"/>
    <w:rsid w:val="003D1E41"/>
    <w:rsid w:val="003D1F0C"/>
    <w:rsid w:val="003D1F72"/>
    <w:rsid w:val="003D1FB3"/>
    <w:rsid w:val="003D2069"/>
    <w:rsid w:val="003D2145"/>
    <w:rsid w:val="003D21B6"/>
    <w:rsid w:val="003D2231"/>
    <w:rsid w:val="003D26F3"/>
    <w:rsid w:val="003D29CF"/>
    <w:rsid w:val="003D2A37"/>
    <w:rsid w:val="003D2F90"/>
    <w:rsid w:val="003D333B"/>
    <w:rsid w:val="003D357D"/>
    <w:rsid w:val="003D38EC"/>
    <w:rsid w:val="003D3C00"/>
    <w:rsid w:val="003D3C7D"/>
    <w:rsid w:val="003D3DB9"/>
    <w:rsid w:val="003D3E6A"/>
    <w:rsid w:val="003D3EFE"/>
    <w:rsid w:val="003D4079"/>
    <w:rsid w:val="003D44A0"/>
    <w:rsid w:val="003D4660"/>
    <w:rsid w:val="003D4996"/>
    <w:rsid w:val="003D499D"/>
    <w:rsid w:val="003D4C43"/>
    <w:rsid w:val="003D4F17"/>
    <w:rsid w:val="003D510E"/>
    <w:rsid w:val="003D525B"/>
    <w:rsid w:val="003D5303"/>
    <w:rsid w:val="003D5658"/>
    <w:rsid w:val="003D5994"/>
    <w:rsid w:val="003D5C99"/>
    <w:rsid w:val="003D5F13"/>
    <w:rsid w:val="003D5F58"/>
    <w:rsid w:val="003D60AA"/>
    <w:rsid w:val="003D6107"/>
    <w:rsid w:val="003D6145"/>
    <w:rsid w:val="003D626D"/>
    <w:rsid w:val="003D69EF"/>
    <w:rsid w:val="003D6C9C"/>
    <w:rsid w:val="003D6E22"/>
    <w:rsid w:val="003D7482"/>
    <w:rsid w:val="003D7516"/>
    <w:rsid w:val="003D75A3"/>
    <w:rsid w:val="003D79CB"/>
    <w:rsid w:val="003E051D"/>
    <w:rsid w:val="003E06AE"/>
    <w:rsid w:val="003E06F3"/>
    <w:rsid w:val="003E072E"/>
    <w:rsid w:val="003E09D5"/>
    <w:rsid w:val="003E0D03"/>
    <w:rsid w:val="003E0D6F"/>
    <w:rsid w:val="003E0DE9"/>
    <w:rsid w:val="003E0E09"/>
    <w:rsid w:val="003E0EDB"/>
    <w:rsid w:val="003E12DB"/>
    <w:rsid w:val="003E1509"/>
    <w:rsid w:val="003E16E7"/>
    <w:rsid w:val="003E170E"/>
    <w:rsid w:val="003E1946"/>
    <w:rsid w:val="003E1A6E"/>
    <w:rsid w:val="003E1E0E"/>
    <w:rsid w:val="003E1E42"/>
    <w:rsid w:val="003E280F"/>
    <w:rsid w:val="003E283F"/>
    <w:rsid w:val="003E2B2E"/>
    <w:rsid w:val="003E2DC9"/>
    <w:rsid w:val="003E316F"/>
    <w:rsid w:val="003E31F8"/>
    <w:rsid w:val="003E3507"/>
    <w:rsid w:val="003E39AC"/>
    <w:rsid w:val="003E3FAA"/>
    <w:rsid w:val="003E4210"/>
    <w:rsid w:val="003E4630"/>
    <w:rsid w:val="003E49C4"/>
    <w:rsid w:val="003E4B00"/>
    <w:rsid w:val="003E4B77"/>
    <w:rsid w:val="003E4FCE"/>
    <w:rsid w:val="003E50CD"/>
    <w:rsid w:val="003E5355"/>
    <w:rsid w:val="003E53A3"/>
    <w:rsid w:val="003E561B"/>
    <w:rsid w:val="003E56EF"/>
    <w:rsid w:val="003E56F5"/>
    <w:rsid w:val="003E572F"/>
    <w:rsid w:val="003E5765"/>
    <w:rsid w:val="003E57B6"/>
    <w:rsid w:val="003E5A24"/>
    <w:rsid w:val="003E5C66"/>
    <w:rsid w:val="003E5C9F"/>
    <w:rsid w:val="003E5E03"/>
    <w:rsid w:val="003E5F28"/>
    <w:rsid w:val="003E6081"/>
    <w:rsid w:val="003E6196"/>
    <w:rsid w:val="003E6475"/>
    <w:rsid w:val="003E6543"/>
    <w:rsid w:val="003E6565"/>
    <w:rsid w:val="003E691E"/>
    <w:rsid w:val="003E6BB2"/>
    <w:rsid w:val="003E6DBD"/>
    <w:rsid w:val="003E6E86"/>
    <w:rsid w:val="003E6F2D"/>
    <w:rsid w:val="003E6F55"/>
    <w:rsid w:val="003E6FC6"/>
    <w:rsid w:val="003E7049"/>
    <w:rsid w:val="003E7096"/>
    <w:rsid w:val="003E7112"/>
    <w:rsid w:val="003E744F"/>
    <w:rsid w:val="003E749D"/>
    <w:rsid w:val="003E75EA"/>
    <w:rsid w:val="003E76BE"/>
    <w:rsid w:val="003E7A49"/>
    <w:rsid w:val="003E7BED"/>
    <w:rsid w:val="003E7C9C"/>
    <w:rsid w:val="003E7E5D"/>
    <w:rsid w:val="003E7E7F"/>
    <w:rsid w:val="003F004B"/>
    <w:rsid w:val="003F019E"/>
    <w:rsid w:val="003F0293"/>
    <w:rsid w:val="003F06A3"/>
    <w:rsid w:val="003F0881"/>
    <w:rsid w:val="003F0A94"/>
    <w:rsid w:val="003F0D21"/>
    <w:rsid w:val="003F0F53"/>
    <w:rsid w:val="003F105A"/>
    <w:rsid w:val="003F12C8"/>
    <w:rsid w:val="003F12F6"/>
    <w:rsid w:val="003F1333"/>
    <w:rsid w:val="003F14BF"/>
    <w:rsid w:val="003F1A0E"/>
    <w:rsid w:val="003F1E71"/>
    <w:rsid w:val="003F20D4"/>
    <w:rsid w:val="003F2510"/>
    <w:rsid w:val="003F26D4"/>
    <w:rsid w:val="003F27F6"/>
    <w:rsid w:val="003F28E7"/>
    <w:rsid w:val="003F2AD8"/>
    <w:rsid w:val="003F2CC6"/>
    <w:rsid w:val="003F2D05"/>
    <w:rsid w:val="003F2F58"/>
    <w:rsid w:val="003F2F6D"/>
    <w:rsid w:val="003F31D4"/>
    <w:rsid w:val="003F3237"/>
    <w:rsid w:val="003F32B5"/>
    <w:rsid w:val="003F35A6"/>
    <w:rsid w:val="003F36EE"/>
    <w:rsid w:val="003F3951"/>
    <w:rsid w:val="003F3973"/>
    <w:rsid w:val="003F3C29"/>
    <w:rsid w:val="003F3D99"/>
    <w:rsid w:val="003F3FA1"/>
    <w:rsid w:val="003F4058"/>
    <w:rsid w:val="003F4100"/>
    <w:rsid w:val="003F435C"/>
    <w:rsid w:val="003F4499"/>
    <w:rsid w:val="003F44EA"/>
    <w:rsid w:val="003F48CD"/>
    <w:rsid w:val="003F4DA7"/>
    <w:rsid w:val="003F4E8A"/>
    <w:rsid w:val="003F53C8"/>
    <w:rsid w:val="003F5492"/>
    <w:rsid w:val="003F56E0"/>
    <w:rsid w:val="003F575F"/>
    <w:rsid w:val="003F57E6"/>
    <w:rsid w:val="003F5AC8"/>
    <w:rsid w:val="003F5B7D"/>
    <w:rsid w:val="003F5D37"/>
    <w:rsid w:val="003F5D9B"/>
    <w:rsid w:val="003F5E55"/>
    <w:rsid w:val="003F5E60"/>
    <w:rsid w:val="003F607C"/>
    <w:rsid w:val="003F611E"/>
    <w:rsid w:val="003F6199"/>
    <w:rsid w:val="003F6233"/>
    <w:rsid w:val="003F649C"/>
    <w:rsid w:val="003F65AB"/>
    <w:rsid w:val="003F6719"/>
    <w:rsid w:val="003F6740"/>
    <w:rsid w:val="003F6822"/>
    <w:rsid w:val="003F6A03"/>
    <w:rsid w:val="003F6E34"/>
    <w:rsid w:val="003F6F2A"/>
    <w:rsid w:val="003F6FF4"/>
    <w:rsid w:val="003F7157"/>
    <w:rsid w:val="003F71B1"/>
    <w:rsid w:val="003F7233"/>
    <w:rsid w:val="003F724C"/>
    <w:rsid w:val="003F734A"/>
    <w:rsid w:val="003F76AE"/>
    <w:rsid w:val="003F76FA"/>
    <w:rsid w:val="003F79A5"/>
    <w:rsid w:val="003F7AEA"/>
    <w:rsid w:val="00400121"/>
    <w:rsid w:val="004001F3"/>
    <w:rsid w:val="0040039C"/>
    <w:rsid w:val="004009A6"/>
    <w:rsid w:val="00400A93"/>
    <w:rsid w:val="00400B8A"/>
    <w:rsid w:val="00400BAE"/>
    <w:rsid w:val="004011D9"/>
    <w:rsid w:val="00401331"/>
    <w:rsid w:val="00401336"/>
    <w:rsid w:val="00401376"/>
    <w:rsid w:val="00401482"/>
    <w:rsid w:val="00401612"/>
    <w:rsid w:val="00401756"/>
    <w:rsid w:val="00401835"/>
    <w:rsid w:val="004019B7"/>
    <w:rsid w:val="004019BE"/>
    <w:rsid w:val="00401AB5"/>
    <w:rsid w:val="00401AE2"/>
    <w:rsid w:val="00401AF6"/>
    <w:rsid w:val="00401C17"/>
    <w:rsid w:val="00401DE0"/>
    <w:rsid w:val="00401E77"/>
    <w:rsid w:val="00401EB3"/>
    <w:rsid w:val="00401F14"/>
    <w:rsid w:val="00401F4B"/>
    <w:rsid w:val="00401FD2"/>
    <w:rsid w:val="00402461"/>
    <w:rsid w:val="00402981"/>
    <w:rsid w:val="00402D36"/>
    <w:rsid w:val="00402DE8"/>
    <w:rsid w:val="004032AA"/>
    <w:rsid w:val="004032C1"/>
    <w:rsid w:val="004033BF"/>
    <w:rsid w:val="004034B3"/>
    <w:rsid w:val="00403935"/>
    <w:rsid w:val="00403B19"/>
    <w:rsid w:val="00403B60"/>
    <w:rsid w:val="00403C05"/>
    <w:rsid w:val="00403C6C"/>
    <w:rsid w:val="00403E33"/>
    <w:rsid w:val="00403F48"/>
    <w:rsid w:val="004040DE"/>
    <w:rsid w:val="004044F2"/>
    <w:rsid w:val="0040453B"/>
    <w:rsid w:val="00404683"/>
    <w:rsid w:val="00404911"/>
    <w:rsid w:val="0040498A"/>
    <w:rsid w:val="00404A49"/>
    <w:rsid w:val="00404A92"/>
    <w:rsid w:val="00404B7C"/>
    <w:rsid w:val="00404C10"/>
    <w:rsid w:val="00404C3E"/>
    <w:rsid w:val="00404CE6"/>
    <w:rsid w:val="00404E44"/>
    <w:rsid w:val="00404E45"/>
    <w:rsid w:val="00404F3A"/>
    <w:rsid w:val="00404F64"/>
    <w:rsid w:val="0040503D"/>
    <w:rsid w:val="00405160"/>
    <w:rsid w:val="004057B3"/>
    <w:rsid w:val="004057E0"/>
    <w:rsid w:val="00405B38"/>
    <w:rsid w:val="00405FE0"/>
    <w:rsid w:val="0040607B"/>
    <w:rsid w:val="004062E3"/>
    <w:rsid w:val="00406303"/>
    <w:rsid w:val="00406737"/>
    <w:rsid w:val="004067E0"/>
    <w:rsid w:val="00406909"/>
    <w:rsid w:val="00406AB9"/>
    <w:rsid w:val="00406BCD"/>
    <w:rsid w:val="00406BF9"/>
    <w:rsid w:val="00407143"/>
    <w:rsid w:val="00407267"/>
    <w:rsid w:val="00407371"/>
    <w:rsid w:val="004073DC"/>
    <w:rsid w:val="00407655"/>
    <w:rsid w:val="0040796F"/>
    <w:rsid w:val="00407ABD"/>
    <w:rsid w:val="00407ACA"/>
    <w:rsid w:val="00407B14"/>
    <w:rsid w:val="00407B48"/>
    <w:rsid w:val="00407DD5"/>
    <w:rsid w:val="0040F765"/>
    <w:rsid w:val="0041001B"/>
    <w:rsid w:val="0041015E"/>
    <w:rsid w:val="0041028F"/>
    <w:rsid w:val="004102EC"/>
    <w:rsid w:val="0041049E"/>
    <w:rsid w:val="0041092A"/>
    <w:rsid w:val="00410940"/>
    <w:rsid w:val="00410FD1"/>
    <w:rsid w:val="00411077"/>
    <w:rsid w:val="0041111B"/>
    <w:rsid w:val="00411172"/>
    <w:rsid w:val="004111D0"/>
    <w:rsid w:val="004112C2"/>
    <w:rsid w:val="00411796"/>
    <w:rsid w:val="0041193C"/>
    <w:rsid w:val="0041198A"/>
    <w:rsid w:val="00411D0E"/>
    <w:rsid w:val="00411F1F"/>
    <w:rsid w:val="00411F2D"/>
    <w:rsid w:val="004120C6"/>
    <w:rsid w:val="0041269E"/>
    <w:rsid w:val="004129DB"/>
    <w:rsid w:val="00412E29"/>
    <w:rsid w:val="00412EC3"/>
    <w:rsid w:val="004133DA"/>
    <w:rsid w:val="004133FF"/>
    <w:rsid w:val="004135D2"/>
    <w:rsid w:val="004135EE"/>
    <w:rsid w:val="0041376F"/>
    <w:rsid w:val="00413773"/>
    <w:rsid w:val="004137B3"/>
    <w:rsid w:val="00413E64"/>
    <w:rsid w:val="00413FDA"/>
    <w:rsid w:val="00413FE6"/>
    <w:rsid w:val="00413FFE"/>
    <w:rsid w:val="0041404D"/>
    <w:rsid w:val="004140B4"/>
    <w:rsid w:val="00414222"/>
    <w:rsid w:val="004142B7"/>
    <w:rsid w:val="004144B5"/>
    <w:rsid w:val="004145C8"/>
    <w:rsid w:val="00414755"/>
    <w:rsid w:val="0041498A"/>
    <w:rsid w:val="00414A60"/>
    <w:rsid w:val="00414FDC"/>
    <w:rsid w:val="00415122"/>
    <w:rsid w:val="004152FC"/>
    <w:rsid w:val="004153E9"/>
    <w:rsid w:val="004158B9"/>
    <w:rsid w:val="00415B49"/>
    <w:rsid w:val="00415E31"/>
    <w:rsid w:val="00416047"/>
    <w:rsid w:val="00416479"/>
    <w:rsid w:val="0041685C"/>
    <w:rsid w:val="004168E4"/>
    <w:rsid w:val="004168F8"/>
    <w:rsid w:val="00416A38"/>
    <w:rsid w:val="00416D2F"/>
    <w:rsid w:val="00416F8C"/>
    <w:rsid w:val="0041776C"/>
    <w:rsid w:val="00417804"/>
    <w:rsid w:val="004178AD"/>
    <w:rsid w:val="00417B19"/>
    <w:rsid w:val="00417F31"/>
    <w:rsid w:val="00420047"/>
    <w:rsid w:val="004204FD"/>
    <w:rsid w:val="00420540"/>
    <w:rsid w:val="00420714"/>
    <w:rsid w:val="00420728"/>
    <w:rsid w:val="004209C9"/>
    <w:rsid w:val="00420A2C"/>
    <w:rsid w:val="00420A58"/>
    <w:rsid w:val="00420AB1"/>
    <w:rsid w:val="00420C99"/>
    <w:rsid w:val="00420D25"/>
    <w:rsid w:val="00420DF7"/>
    <w:rsid w:val="00420EB6"/>
    <w:rsid w:val="00420FC5"/>
    <w:rsid w:val="00421295"/>
    <w:rsid w:val="00421398"/>
    <w:rsid w:val="00421450"/>
    <w:rsid w:val="00421828"/>
    <w:rsid w:val="004218E5"/>
    <w:rsid w:val="00421982"/>
    <w:rsid w:val="00421D21"/>
    <w:rsid w:val="004222FB"/>
    <w:rsid w:val="004223E9"/>
    <w:rsid w:val="0042269F"/>
    <w:rsid w:val="004226B0"/>
    <w:rsid w:val="00422C24"/>
    <w:rsid w:val="00422F23"/>
    <w:rsid w:val="00422F2E"/>
    <w:rsid w:val="004232EE"/>
    <w:rsid w:val="00423458"/>
    <w:rsid w:val="004234B3"/>
    <w:rsid w:val="00423515"/>
    <w:rsid w:val="0042352E"/>
    <w:rsid w:val="00423688"/>
    <w:rsid w:val="0042386D"/>
    <w:rsid w:val="0042398B"/>
    <w:rsid w:val="00423BD7"/>
    <w:rsid w:val="00423BE8"/>
    <w:rsid w:val="00423DA7"/>
    <w:rsid w:val="00423E87"/>
    <w:rsid w:val="00423F3A"/>
    <w:rsid w:val="00423FF6"/>
    <w:rsid w:val="00424014"/>
    <w:rsid w:val="0042418F"/>
    <w:rsid w:val="004241FB"/>
    <w:rsid w:val="004243BE"/>
    <w:rsid w:val="00424802"/>
    <w:rsid w:val="00424A9B"/>
    <w:rsid w:val="00424C42"/>
    <w:rsid w:val="00424C97"/>
    <w:rsid w:val="00424CB5"/>
    <w:rsid w:val="00424D3F"/>
    <w:rsid w:val="00424D5F"/>
    <w:rsid w:val="00424F26"/>
    <w:rsid w:val="00425029"/>
    <w:rsid w:val="00425075"/>
    <w:rsid w:val="004250E0"/>
    <w:rsid w:val="0042518A"/>
    <w:rsid w:val="00425426"/>
    <w:rsid w:val="004256F7"/>
    <w:rsid w:val="004257AE"/>
    <w:rsid w:val="00425985"/>
    <w:rsid w:val="00425EBB"/>
    <w:rsid w:val="00426090"/>
    <w:rsid w:val="004263A0"/>
    <w:rsid w:val="0042642B"/>
    <w:rsid w:val="004265F7"/>
    <w:rsid w:val="004266FF"/>
    <w:rsid w:val="00426871"/>
    <w:rsid w:val="004269D9"/>
    <w:rsid w:val="00426A81"/>
    <w:rsid w:val="00426B3A"/>
    <w:rsid w:val="00426C29"/>
    <w:rsid w:val="00426C3C"/>
    <w:rsid w:val="00426CD0"/>
    <w:rsid w:val="00426CF2"/>
    <w:rsid w:val="00426D21"/>
    <w:rsid w:val="00426F3A"/>
    <w:rsid w:val="00426F99"/>
    <w:rsid w:val="004273AD"/>
    <w:rsid w:val="004275ED"/>
    <w:rsid w:val="00427652"/>
    <w:rsid w:val="004277ED"/>
    <w:rsid w:val="004278A9"/>
    <w:rsid w:val="00427942"/>
    <w:rsid w:val="00427B0B"/>
    <w:rsid w:val="00427BB2"/>
    <w:rsid w:val="00427C90"/>
    <w:rsid w:val="00427E55"/>
    <w:rsid w:val="0043002C"/>
    <w:rsid w:val="004300C4"/>
    <w:rsid w:val="0043011D"/>
    <w:rsid w:val="00430228"/>
    <w:rsid w:val="00430269"/>
    <w:rsid w:val="00430381"/>
    <w:rsid w:val="0043064F"/>
    <w:rsid w:val="00430A52"/>
    <w:rsid w:val="00430F92"/>
    <w:rsid w:val="00431467"/>
    <w:rsid w:val="00431875"/>
    <w:rsid w:val="00431C5E"/>
    <w:rsid w:val="00431D38"/>
    <w:rsid w:val="00431EE9"/>
    <w:rsid w:val="00432241"/>
    <w:rsid w:val="004322A6"/>
    <w:rsid w:val="004322D9"/>
    <w:rsid w:val="004324A7"/>
    <w:rsid w:val="0043299C"/>
    <w:rsid w:val="004329A8"/>
    <w:rsid w:val="00432AA2"/>
    <w:rsid w:val="00432B08"/>
    <w:rsid w:val="00432CD2"/>
    <w:rsid w:val="00432D04"/>
    <w:rsid w:val="004332A3"/>
    <w:rsid w:val="004333A3"/>
    <w:rsid w:val="0043343F"/>
    <w:rsid w:val="00433447"/>
    <w:rsid w:val="00433821"/>
    <w:rsid w:val="004339A6"/>
    <w:rsid w:val="00433A57"/>
    <w:rsid w:val="0043405E"/>
    <w:rsid w:val="00434201"/>
    <w:rsid w:val="004342CA"/>
    <w:rsid w:val="004344C9"/>
    <w:rsid w:val="00434A66"/>
    <w:rsid w:val="00434BF1"/>
    <w:rsid w:val="00434BF2"/>
    <w:rsid w:val="004352B9"/>
    <w:rsid w:val="0043543C"/>
    <w:rsid w:val="004354BC"/>
    <w:rsid w:val="004357E9"/>
    <w:rsid w:val="00435D58"/>
    <w:rsid w:val="004363D3"/>
    <w:rsid w:val="00436465"/>
    <w:rsid w:val="004364CD"/>
    <w:rsid w:val="00436859"/>
    <w:rsid w:val="00437131"/>
    <w:rsid w:val="0043741C"/>
    <w:rsid w:val="00437693"/>
    <w:rsid w:val="00437985"/>
    <w:rsid w:val="004379E8"/>
    <w:rsid w:val="00437A1D"/>
    <w:rsid w:val="00437BB5"/>
    <w:rsid w:val="00437BFD"/>
    <w:rsid w:val="004400AA"/>
    <w:rsid w:val="00440251"/>
    <w:rsid w:val="0044025B"/>
    <w:rsid w:val="00440500"/>
    <w:rsid w:val="004406F6"/>
    <w:rsid w:val="00440724"/>
    <w:rsid w:val="00440EC9"/>
    <w:rsid w:val="004410FE"/>
    <w:rsid w:val="004411EC"/>
    <w:rsid w:val="004414E9"/>
    <w:rsid w:val="0044180B"/>
    <w:rsid w:val="0044194F"/>
    <w:rsid w:val="00441962"/>
    <w:rsid w:val="00441A8F"/>
    <w:rsid w:val="00441CD9"/>
    <w:rsid w:val="00441FAD"/>
    <w:rsid w:val="004421D5"/>
    <w:rsid w:val="004421F9"/>
    <w:rsid w:val="00442895"/>
    <w:rsid w:val="00442A30"/>
    <w:rsid w:val="00442A75"/>
    <w:rsid w:val="00442CB8"/>
    <w:rsid w:val="00442DF8"/>
    <w:rsid w:val="00442E38"/>
    <w:rsid w:val="004431B3"/>
    <w:rsid w:val="0044378F"/>
    <w:rsid w:val="004437BC"/>
    <w:rsid w:val="004437CF"/>
    <w:rsid w:val="004437F8"/>
    <w:rsid w:val="00443A49"/>
    <w:rsid w:val="00443BB1"/>
    <w:rsid w:val="00443C59"/>
    <w:rsid w:val="00443CC8"/>
    <w:rsid w:val="00443F2C"/>
    <w:rsid w:val="0044402F"/>
    <w:rsid w:val="0044443C"/>
    <w:rsid w:val="0044483D"/>
    <w:rsid w:val="004449EA"/>
    <w:rsid w:val="00444DD1"/>
    <w:rsid w:val="004451CD"/>
    <w:rsid w:val="004453E1"/>
    <w:rsid w:val="00445562"/>
    <w:rsid w:val="004458AC"/>
    <w:rsid w:val="004458B4"/>
    <w:rsid w:val="00445940"/>
    <w:rsid w:val="0044599C"/>
    <w:rsid w:val="00445A56"/>
    <w:rsid w:val="00445B82"/>
    <w:rsid w:val="00445B93"/>
    <w:rsid w:val="00445C0A"/>
    <w:rsid w:val="00445C4A"/>
    <w:rsid w:val="0044608B"/>
    <w:rsid w:val="00446094"/>
    <w:rsid w:val="00446209"/>
    <w:rsid w:val="00446241"/>
    <w:rsid w:val="00446550"/>
    <w:rsid w:val="00446551"/>
    <w:rsid w:val="00446629"/>
    <w:rsid w:val="004466AD"/>
    <w:rsid w:val="00446812"/>
    <w:rsid w:val="004468B6"/>
    <w:rsid w:val="00446928"/>
    <w:rsid w:val="00446BA6"/>
    <w:rsid w:val="00446F96"/>
    <w:rsid w:val="004471D8"/>
    <w:rsid w:val="004474B7"/>
    <w:rsid w:val="00447579"/>
    <w:rsid w:val="00447831"/>
    <w:rsid w:val="0044791A"/>
    <w:rsid w:val="004479CD"/>
    <w:rsid w:val="00447C54"/>
    <w:rsid w:val="00447CD5"/>
    <w:rsid w:val="00447D99"/>
    <w:rsid w:val="00447E30"/>
    <w:rsid w:val="00450132"/>
    <w:rsid w:val="004504BA"/>
    <w:rsid w:val="00450883"/>
    <w:rsid w:val="00450DCF"/>
    <w:rsid w:val="004511A3"/>
    <w:rsid w:val="00451502"/>
    <w:rsid w:val="004518FB"/>
    <w:rsid w:val="00451912"/>
    <w:rsid w:val="00451D1A"/>
    <w:rsid w:val="00451D61"/>
    <w:rsid w:val="00451D82"/>
    <w:rsid w:val="00451E83"/>
    <w:rsid w:val="00452083"/>
    <w:rsid w:val="0045209E"/>
    <w:rsid w:val="004520FD"/>
    <w:rsid w:val="00452168"/>
    <w:rsid w:val="004522B9"/>
    <w:rsid w:val="00452475"/>
    <w:rsid w:val="00452485"/>
    <w:rsid w:val="004527A1"/>
    <w:rsid w:val="00452AAF"/>
    <w:rsid w:val="00452C43"/>
    <w:rsid w:val="00452DD0"/>
    <w:rsid w:val="00452E58"/>
    <w:rsid w:val="00452F48"/>
    <w:rsid w:val="00453022"/>
    <w:rsid w:val="0045326C"/>
    <w:rsid w:val="0045334F"/>
    <w:rsid w:val="0045389C"/>
    <w:rsid w:val="004538AA"/>
    <w:rsid w:val="00453BAE"/>
    <w:rsid w:val="00453C47"/>
    <w:rsid w:val="00453D4B"/>
    <w:rsid w:val="00453D59"/>
    <w:rsid w:val="00453E24"/>
    <w:rsid w:val="00454548"/>
    <w:rsid w:val="004548E9"/>
    <w:rsid w:val="00454910"/>
    <w:rsid w:val="00454945"/>
    <w:rsid w:val="0045496E"/>
    <w:rsid w:val="00454B25"/>
    <w:rsid w:val="00454C08"/>
    <w:rsid w:val="00454EBF"/>
    <w:rsid w:val="00455116"/>
    <w:rsid w:val="0045520B"/>
    <w:rsid w:val="0045587E"/>
    <w:rsid w:val="00455C07"/>
    <w:rsid w:val="004560CE"/>
    <w:rsid w:val="004561D2"/>
    <w:rsid w:val="00456242"/>
    <w:rsid w:val="00456288"/>
    <w:rsid w:val="0045643B"/>
    <w:rsid w:val="00456440"/>
    <w:rsid w:val="004565F0"/>
    <w:rsid w:val="004566BF"/>
    <w:rsid w:val="00456A08"/>
    <w:rsid w:val="00456BBE"/>
    <w:rsid w:val="00456F44"/>
    <w:rsid w:val="00456F65"/>
    <w:rsid w:val="0045718C"/>
    <w:rsid w:val="00457194"/>
    <w:rsid w:val="004571DB"/>
    <w:rsid w:val="004572B5"/>
    <w:rsid w:val="00457542"/>
    <w:rsid w:val="00457684"/>
    <w:rsid w:val="004576C2"/>
    <w:rsid w:val="0045778D"/>
    <w:rsid w:val="00457947"/>
    <w:rsid w:val="00457A88"/>
    <w:rsid w:val="00457BC2"/>
    <w:rsid w:val="00457E52"/>
    <w:rsid w:val="004600BE"/>
    <w:rsid w:val="00460361"/>
    <w:rsid w:val="00460769"/>
    <w:rsid w:val="00460AE1"/>
    <w:rsid w:val="00460B6A"/>
    <w:rsid w:val="00460BCD"/>
    <w:rsid w:val="00460DDB"/>
    <w:rsid w:val="00460EDD"/>
    <w:rsid w:val="00460EEB"/>
    <w:rsid w:val="00460F4C"/>
    <w:rsid w:val="00461271"/>
    <w:rsid w:val="00461347"/>
    <w:rsid w:val="004615F7"/>
    <w:rsid w:val="00461706"/>
    <w:rsid w:val="004617D4"/>
    <w:rsid w:val="00461846"/>
    <w:rsid w:val="004619BB"/>
    <w:rsid w:val="00461A21"/>
    <w:rsid w:val="00461BF5"/>
    <w:rsid w:val="0046225A"/>
    <w:rsid w:val="004622F2"/>
    <w:rsid w:val="00462607"/>
    <w:rsid w:val="00462B35"/>
    <w:rsid w:val="00462BD2"/>
    <w:rsid w:val="00462BEA"/>
    <w:rsid w:val="00462F2B"/>
    <w:rsid w:val="00463602"/>
    <w:rsid w:val="004636E3"/>
    <w:rsid w:val="00463B86"/>
    <w:rsid w:val="00463C38"/>
    <w:rsid w:val="00463DC6"/>
    <w:rsid w:val="00463E04"/>
    <w:rsid w:val="00463E6F"/>
    <w:rsid w:val="00463F2D"/>
    <w:rsid w:val="004640B0"/>
    <w:rsid w:val="0046411F"/>
    <w:rsid w:val="004643E6"/>
    <w:rsid w:val="00464719"/>
    <w:rsid w:val="00464D7A"/>
    <w:rsid w:val="00464F70"/>
    <w:rsid w:val="004654D7"/>
    <w:rsid w:val="00465653"/>
    <w:rsid w:val="0046567F"/>
    <w:rsid w:val="00465A19"/>
    <w:rsid w:val="00465B84"/>
    <w:rsid w:val="00465D3F"/>
    <w:rsid w:val="00465E82"/>
    <w:rsid w:val="00465E90"/>
    <w:rsid w:val="0046600B"/>
    <w:rsid w:val="004660A1"/>
    <w:rsid w:val="0046621E"/>
    <w:rsid w:val="004663D0"/>
    <w:rsid w:val="004663EB"/>
    <w:rsid w:val="0046650D"/>
    <w:rsid w:val="004665E8"/>
    <w:rsid w:val="00466AD0"/>
    <w:rsid w:val="00466FF4"/>
    <w:rsid w:val="00467023"/>
    <w:rsid w:val="0046702F"/>
    <w:rsid w:val="004673D2"/>
    <w:rsid w:val="004677DD"/>
    <w:rsid w:val="00467810"/>
    <w:rsid w:val="004679E5"/>
    <w:rsid w:val="00467B00"/>
    <w:rsid w:val="00467D74"/>
    <w:rsid w:val="00470234"/>
    <w:rsid w:val="0047078D"/>
    <w:rsid w:val="004708BE"/>
    <w:rsid w:val="0047097E"/>
    <w:rsid w:val="0047099B"/>
    <w:rsid w:val="00470AA2"/>
    <w:rsid w:val="00470ADC"/>
    <w:rsid w:val="00470D69"/>
    <w:rsid w:val="00470F6F"/>
    <w:rsid w:val="00471013"/>
    <w:rsid w:val="00471109"/>
    <w:rsid w:val="00471364"/>
    <w:rsid w:val="00471587"/>
    <w:rsid w:val="00471698"/>
    <w:rsid w:val="004719C1"/>
    <w:rsid w:val="00471A14"/>
    <w:rsid w:val="00471E07"/>
    <w:rsid w:val="00471E9E"/>
    <w:rsid w:val="00472166"/>
    <w:rsid w:val="00472396"/>
    <w:rsid w:val="004724BD"/>
    <w:rsid w:val="0047268F"/>
    <w:rsid w:val="0047295B"/>
    <w:rsid w:val="00472C98"/>
    <w:rsid w:val="00472D4D"/>
    <w:rsid w:val="00473040"/>
    <w:rsid w:val="00473128"/>
    <w:rsid w:val="004732AF"/>
    <w:rsid w:val="004732CA"/>
    <w:rsid w:val="00473C2A"/>
    <w:rsid w:val="00473FD3"/>
    <w:rsid w:val="00474126"/>
    <w:rsid w:val="00474295"/>
    <w:rsid w:val="0047445A"/>
    <w:rsid w:val="004744A2"/>
    <w:rsid w:val="004746CE"/>
    <w:rsid w:val="004746E0"/>
    <w:rsid w:val="00474705"/>
    <w:rsid w:val="00474A9A"/>
    <w:rsid w:val="00474B54"/>
    <w:rsid w:val="00474DA1"/>
    <w:rsid w:val="00475459"/>
    <w:rsid w:val="00475607"/>
    <w:rsid w:val="00475667"/>
    <w:rsid w:val="00475734"/>
    <w:rsid w:val="0047577C"/>
    <w:rsid w:val="00475D2A"/>
    <w:rsid w:val="00475D34"/>
    <w:rsid w:val="00475E1D"/>
    <w:rsid w:val="00476106"/>
    <w:rsid w:val="00476598"/>
    <w:rsid w:val="004766A1"/>
    <w:rsid w:val="00476719"/>
    <w:rsid w:val="00476825"/>
    <w:rsid w:val="00476C77"/>
    <w:rsid w:val="00476D3E"/>
    <w:rsid w:val="00476E49"/>
    <w:rsid w:val="004771CB"/>
    <w:rsid w:val="0047750B"/>
    <w:rsid w:val="0047793E"/>
    <w:rsid w:val="004802E7"/>
    <w:rsid w:val="00480344"/>
    <w:rsid w:val="0048058D"/>
    <w:rsid w:val="00480609"/>
    <w:rsid w:val="00480A32"/>
    <w:rsid w:val="00480B06"/>
    <w:rsid w:val="00480CAB"/>
    <w:rsid w:val="004811C4"/>
    <w:rsid w:val="00481315"/>
    <w:rsid w:val="00481445"/>
    <w:rsid w:val="00481508"/>
    <w:rsid w:val="00481549"/>
    <w:rsid w:val="00481861"/>
    <w:rsid w:val="00481950"/>
    <w:rsid w:val="004819DD"/>
    <w:rsid w:val="00481C80"/>
    <w:rsid w:val="00481D6F"/>
    <w:rsid w:val="00481DC8"/>
    <w:rsid w:val="004820F0"/>
    <w:rsid w:val="00482279"/>
    <w:rsid w:val="00482290"/>
    <w:rsid w:val="0048237A"/>
    <w:rsid w:val="004823E7"/>
    <w:rsid w:val="004825A9"/>
    <w:rsid w:val="004826EB"/>
    <w:rsid w:val="004827AB"/>
    <w:rsid w:val="004828DB"/>
    <w:rsid w:val="00482906"/>
    <w:rsid w:val="00482C26"/>
    <w:rsid w:val="00482CEA"/>
    <w:rsid w:val="004830E7"/>
    <w:rsid w:val="00483191"/>
    <w:rsid w:val="004832C2"/>
    <w:rsid w:val="0048341C"/>
    <w:rsid w:val="004836FC"/>
    <w:rsid w:val="0048375F"/>
    <w:rsid w:val="004837E9"/>
    <w:rsid w:val="0048384D"/>
    <w:rsid w:val="00483856"/>
    <w:rsid w:val="0048386C"/>
    <w:rsid w:val="00483892"/>
    <w:rsid w:val="00483AAD"/>
    <w:rsid w:val="00483B7D"/>
    <w:rsid w:val="00483E05"/>
    <w:rsid w:val="00483E48"/>
    <w:rsid w:val="00484297"/>
    <w:rsid w:val="004843DC"/>
    <w:rsid w:val="0048450F"/>
    <w:rsid w:val="0048478C"/>
    <w:rsid w:val="00484827"/>
    <w:rsid w:val="004848BF"/>
    <w:rsid w:val="00484BE8"/>
    <w:rsid w:val="00484C9A"/>
    <w:rsid w:val="00484CA5"/>
    <w:rsid w:val="00484CFE"/>
    <w:rsid w:val="00484DDA"/>
    <w:rsid w:val="00484F8E"/>
    <w:rsid w:val="00485298"/>
    <w:rsid w:val="004853BF"/>
    <w:rsid w:val="004853C5"/>
    <w:rsid w:val="00485807"/>
    <w:rsid w:val="00485B1D"/>
    <w:rsid w:val="00485B75"/>
    <w:rsid w:val="00485E41"/>
    <w:rsid w:val="00485F07"/>
    <w:rsid w:val="0048623A"/>
    <w:rsid w:val="00486396"/>
    <w:rsid w:val="00486A73"/>
    <w:rsid w:val="00486ACA"/>
    <w:rsid w:val="00486B39"/>
    <w:rsid w:val="00486BEB"/>
    <w:rsid w:val="00486CA8"/>
    <w:rsid w:val="00486EC9"/>
    <w:rsid w:val="00486F24"/>
    <w:rsid w:val="004871B9"/>
    <w:rsid w:val="0048744A"/>
    <w:rsid w:val="004875DA"/>
    <w:rsid w:val="0048761C"/>
    <w:rsid w:val="0048763E"/>
    <w:rsid w:val="00487676"/>
    <w:rsid w:val="004878D4"/>
    <w:rsid w:val="00487B4A"/>
    <w:rsid w:val="00487C5C"/>
    <w:rsid w:val="00487C6E"/>
    <w:rsid w:val="00490260"/>
    <w:rsid w:val="00490268"/>
    <w:rsid w:val="00490521"/>
    <w:rsid w:val="00490680"/>
    <w:rsid w:val="004906D4"/>
    <w:rsid w:val="004908B7"/>
    <w:rsid w:val="00490A71"/>
    <w:rsid w:val="00490B9A"/>
    <w:rsid w:val="00490E55"/>
    <w:rsid w:val="004911F1"/>
    <w:rsid w:val="0049182F"/>
    <w:rsid w:val="004918A7"/>
    <w:rsid w:val="0049193F"/>
    <w:rsid w:val="00491990"/>
    <w:rsid w:val="004919DD"/>
    <w:rsid w:val="00491B88"/>
    <w:rsid w:val="00491BC5"/>
    <w:rsid w:val="00491F27"/>
    <w:rsid w:val="00491F82"/>
    <w:rsid w:val="004920A2"/>
    <w:rsid w:val="0049229A"/>
    <w:rsid w:val="0049251C"/>
    <w:rsid w:val="0049252E"/>
    <w:rsid w:val="00492D09"/>
    <w:rsid w:val="00492D4A"/>
    <w:rsid w:val="00492FB4"/>
    <w:rsid w:val="00492FCA"/>
    <w:rsid w:val="004931D7"/>
    <w:rsid w:val="00493330"/>
    <w:rsid w:val="00493513"/>
    <w:rsid w:val="004935EF"/>
    <w:rsid w:val="004939D7"/>
    <w:rsid w:val="00493A55"/>
    <w:rsid w:val="00493D4A"/>
    <w:rsid w:val="00494147"/>
    <w:rsid w:val="004941D8"/>
    <w:rsid w:val="004943A5"/>
    <w:rsid w:val="0049444D"/>
    <w:rsid w:val="00494456"/>
    <w:rsid w:val="00494603"/>
    <w:rsid w:val="00494645"/>
    <w:rsid w:val="004946F8"/>
    <w:rsid w:val="0049479D"/>
    <w:rsid w:val="0049493F"/>
    <w:rsid w:val="00494D03"/>
    <w:rsid w:val="00494DB5"/>
    <w:rsid w:val="00494F7C"/>
    <w:rsid w:val="0049530A"/>
    <w:rsid w:val="004954C7"/>
    <w:rsid w:val="004954CC"/>
    <w:rsid w:val="00495740"/>
    <w:rsid w:val="0049591F"/>
    <w:rsid w:val="00495BD1"/>
    <w:rsid w:val="00495E38"/>
    <w:rsid w:val="00495F0D"/>
    <w:rsid w:val="0049602C"/>
    <w:rsid w:val="00496362"/>
    <w:rsid w:val="00496368"/>
    <w:rsid w:val="0049654F"/>
    <w:rsid w:val="00496816"/>
    <w:rsid w:val="00496E50"/>
    <w:rsid w:val="0049736F"/>
    <w:rsid w:val="00497482"/>
    <w:rsid w:val="00497605"/>
    <w:rsid w:val="004977DA"/>
    <w:rsid w:val="004978F3"/>
    <w:rsid w:val="00497AE5"/>
    <w:rsid w:val="00497AEE"/>
    <w:rsid w:val="00497BE1"/>
    <w:rsid w:val="00497CFD"/>
    <w:rsid w:val="00497D2A"/>
    <w:rsid w:val="00497E81"/>
    <w:rsid w:val="004A002D"/>
    <w:rsid w:val="004A05D2"/>
    <w:rsid w:val="004A05E0"/>
    <w:rsid w:val="004A0665"/>
    <w:rsid w:val="004A0921"/>
    <w:rsid w:val="004A0B17"/>
    <w:rsid w:val="004A0B69"/>
    <w:rsid w:val="004A0C6D"/>
    <w:rsid w:val="004A0F51"/>
    <w:rsid w:val="004A108C"/>
    <w:rsid w:val="004A122E"/>
    <w:rsid w:val="004A151B"/>
    <w:rsid w:val="004A1566"/>
    <w:rsid w:val="004A17F5"/>
    <w:rsid w:val="004A1A17"/>
    <w:rsid w:val="004A1A3F"/>
    <w:rsid w:val="004A1B49"/>
    <w:rsid w:val="004A1D05"/>
    <w:rsid w:val="004A25C5"/>
    <w:rsid w:val="004A298F"/>
    <w:rsid w:val="004A2DF5"/>
    <w:rsid w:val="004A2E68"/>
    <w:rsid w:val="004A3091"/>
    <w:rsid w:val="004A30A2"/>
    <w:rsid w:val="004A314E"/>
    <w:rsid w:val="004A329A"/>
    <w:rsid w:val="004A3436"/>
    <w:rsid w:val="004A38AA"/>
    <w:rsid w:val="004A39A1"/>
    <w:rsid w:val="004A3C00"/>
    <w:rsid w:val="004A431E"/>
    <w:rsid w:val="004A46D4"/>
    <w:rsid w:val="004A47CE"/>
    <w:rsid w:val="004A47D4"/>
    <w:rsid w:val="004A47DD"/>
    <w:rsid w:val="004A4EF3"/>
    <w:rsid w:val="004A4F99"/>
    <w:rsid w:val="004A5203"/>
    <w:rsid w:val="004A52B2"/>
    <w:rsid w:val="004A5531"/>
    <w:rsid w:val="004A555E"/>
    <w:rsid w:val="004A5746"/>
    <w:rsid w:val="004A5854"/>
    <w:rsid w:val="004A5903"/>
    <w:rsid w:val="004A5B79"/>
    <w:rsid w:val="004A60C4"/>
    <w:rsid w:val="004A6219"/>
    <w:rsid w:val="004A6278"/>
    <w:rsid w:val="004A6292"/>
    <w:rsid w:val="004A64E3"/>
    <w:rsid w:val="004A6594"/>
    <w:rsid w:val="004A65F6"/>
    <w:rsid w:val="004A6A0A"/>
    <w:rsid w:val="004A6B33"/>
    <w:rsid w:val="004A6DBE"/>
    <w:rsid w:val="004A6F14"/>
    <w:rsid w:val="004A6FA4"/>
    <w:rsid w:val="004A7068"/>
    <w:rsid w:val="004A716B"/>
    <w:rsid w:val="004A7714"/>
    <w:rsid w:val="004A7804"/>
    <w:rsid w:val="004A7B24"/>
    <w:rsid w:val="004B010F"/>
    <w:rsid w:val="004B029D"/>
    <w:rsid w:val="004B04AD"/>
    <w:rsid w:val="004B07DF"/>
    <w:rsid w:val="004B0FD3"/>
    <w:rsid w:val="004B10E0"/>
    <w:rsid w:val="004B117B"/>
    <w:rsid w:val="004B1279"/>
    <w:rsid w:val="004B16BF"/>
    <w:rsid w:val="004B1787"/>
    <w:rsid w:val="004B1DC2"/>
    <w:rsid w:val="004B20B0"/>
    <w:rsid w:val="004B25B9"/>
    <w:rsid w:val="004B270C"/>
    <w:rsid w:val="004B2853"/>
    <w:rsid w:val="004B28BC"/>
    <w:rsid w:val="004B2A28"/>
    <w:rsid w:val="004B2CA7"/>
    <w:rsid w:val="004B2D0E"/>
    <w:rsid w:val="004B308D"/>
    <w:rsid w:val="004B30D0"/>
    <w:rsid w:val="004B3165"/>
    <w:rsid w:val="004B31E1"/>
    <w:rsid w:val="004B321B"/>
    <w:rsid w:val="004B36CC"/>
    <w:rsid w:val="004B3769"/>
    <w:rsid w:val="004B376C"/>
    <w:rsid w:val="004B3825"/>
    <w:rsid w:val="004B3B5F"/>
    <w:rsid w:val="004B3C00"/>
    <w:rsid w:val="004B3C5E"/>
    <w:rsid w:val="004B3F6B"/>
    <w:rsid w:val="004B40D3"/>
    <w:rsid w:val="004B4338"/>
    <w:rsid w:val="004B450E"/>
    <w:rsid w:val="004B4AF9"/>
    <w:rsid w:val="004B52CF"/>
    <w:rsid w:val="004B52F9"/>
    <w:rsid w:val="004B53CF"/>
    <w:rsid w:val="004B54A3"/>
    <w:rsid w:val="004B5739"/>
    <w:rsid w:val="004B5885"/>
    <w:rsid w:val="004B5A86"/>
    <w:rsid w:val="004B5ADC"/>
    <w:rsid w:val="004B5BB6"/>
    <w:rsid w:val="004B5E45"/>
    <w:rsid w:val="004B60F5"/>
    <w:rsid w:val="004B63CB"/>
    <w:rsid w:val="004B6538"/>
    <w:rsid w:val="004B6598"/>
    <w:rsid w:val="004B664E"/>
    <w:rsid w:val="004B6963"/>
    <w:rsid w:val="004B6D4E"/>
    <w:rsid w:val="004B6ECC"/>
    <w:rsid w:val="004B6F3C"/>
    <w:rsid w:val="004B7301"/>
    <w:rsid w:val="004B758A"/>
    <w:rsid w:val="004B76C0"/>
    <w:rsid w:val="004B799A"/>
    <w:rsid w:val="004B7A8D"/>
    <w:rsid w:val="004B7AB9"/>
    <w:rsid w:val="004B7C88"/>
    <w:rsid w:val="004B7D80"/>
    <w:rsid w:val="004B7FC8"/>
    <w:rsid w:val="004C000E"/>
    <w:rsid w:val="004C023B"/>
    <w:rsid w:val="004C05AF"/>
    <w:rsid w:val="004C0777"/>
    <w:rsid w:val="004C0C7A"/>
    <w:rsid w:val="004C0DF5"/>
    <w:rsid w:val="004C1231"/>
    <w:rsid w:val="004C123C"/>
    <w:rsid w:val="004C1415"/>
    <w:rsid w:val="004C157F"/>
    <w:rsid w:val="004C18C6"/>
    <w:rsid w:val="004C1D0C"/>
    <w:rsid w:val="004C216F"/>
    <w:rsid w:val="004C23C0"/>
    <w:rsid w:val="004C2416"/>
    <w:rsid w:val="004C2641"/>
    <w:rsid w:val="004C2642"/>
    <w:rsid w:val="004C2739"/>
    <w:rsid w:val="004C2820"/>
    <w:rsid w:val="004C2960"/>
    <w:rsid w:val="004C2A01"/>
    <w:rsid w:val="004C2C77"/>
    <w:rsid w:val="004C2E8B"/>
    <w:rsid w:val="004C2ED1"/>
    <w:rsid w:val="004C2FC5"/>
    <w:rsid w:val="004C2FF3"/>
    <w:rsid w:val="004C30C5"/>
    <w:rsid w:val="004C3187"/>
    <w:rsid w:val="004C34F1"/>
    <w:rsid w:val="004C37B3"/>
    <w:rsid w:val="004C380C"/>
    <w:rsid w:val="004C3ADD"/>
    <w:rsid w:val="004C3B63"/>
    <w:rsid w:val="004C3FF8"/>
    <w:rsid w:val="004C445C"/>
    <w:rsid w:val="004C462E"/>
    <w:rsid w:val="004C468C"/>
    <w:rsid w:val="004C4924"/>
    <w:rsid w:val="004C498E"/>
    <w:rsid w:val="004C4A48"/>
    <w:rsid w:val="004C4B9F"/>
    <w:rsid w:val="004C4C1F"/>
    <w:rsid w:val="004C4C75"/>
    <w:rsid w:val="004C4D76"/>
    <w:rsid w:val="004C4E7B"/>
    <w:rsid w:val="004C4F9C"/>
    <w:rsid w:val="004C5011"/>
    <w:rsid w:val="004C5063"/>
    <w:rsid w:val="004C50B8"/>
    <w:rsid w:val="004C513E"/>
    <w:rsid w:val="004C559B"/>
    <w:rsid w:val="004C5617"/>
    <w:rsid w:val="004C56EF"/>
    <w:rsid w:val="004C58F9"/>
    <w:rsid w:val="004C5900"/>
    <w:rsid w:val="004C5954"/>
    <w:rsid w:val="004C5AD6"/>
    <w:rsid w:val="004C5D67"/>
    <w:rsid w:val="004C5E18"/>
    <w:rsid w:val="004C5F1A"/>
    <w:rsid w:val="004C5F62"/>
    <w:rsid w:val="004C5FA0"/>
    <w:rsid w:val="004C5FED"/>
    <w:rsid w:val="004C61CC"/>
    <w:rsid w:val="004C6222"/>
    <w:rsid w:val="004C653E"/>
    <w:rsid w:val="004C6552"/>
    <w:rsid w:val="004C6776"/>
    <w:rsid w:val="004C6953"/>
    <w:rsid w:val="004C6990"/>
    <w:rsid w:val="004C7262"/>
    <w:rsid w:val="004C73E6"/>
    <w:rsid w:val="004C76A6"/>
    <w:rsid w:val="004C76A7"/>
    <w:rsid w:val="004C7727"/>
    <w:rsid w:val="004C78A5"/>
    <w:rsid w:val="004C793C"/>
    <w:rsid w:val="004C7B10"/>
    <w:rsid w:val="004C7B97"/>
    <w:rsid w:val="004C7BD0"/>
    <w:rsid w:val="004C7C7B"/>
    <w:rsid w:val="004C7CB1"/>
    <w:rsid w:val="004D0072"/>
    <w:rsid w:val="004D0383"/>
    <w:rsid w:val="004D060B"/>
    <w:rsid w:val="004D0757"/>
    <w:rsid w:val="004D0A80"/>
    <w:rsid w:val="004D0C93"/>
    <w:rsid w:val="004D0D81"/>
    <w:rsid w:val="004D0FB8"/>
    <w:rsid w:val="004D1006"/>
    <w:rsid w:val="004D137D"/>
    <w:rsid w:val="004D17F4"/>
    <w:rsid w:val="004D1890"/>
    <w:rsid w:val="004D1CE4"/>
    <w:rsid w:val="004D1DD2"/>
    <w:rsid w:val="004D1DD5"/>
    <w:rsid w:val="004D1FCF"/>
    <w:rsid w:val="004D2774"/>
    <w:rsid w:val="004D2A95"/>
    <w:rsid w:val="004D2B38"/>
    <w:rsid w:val="004D2B6F"/>
    <w:rsid w:val="004D2E5F"/>
    <w:rsid w:val="004D2ECF"/>
    <w:rsid w:val="004D2FB3"/>
    <w:rsid w:val="004D3222"/>
    <w:rsid w:val="004D34BA"/>
    <w:rsid w:val="004D377B"/>
    <w:rsid w:val="004D39C8"/>
    <w:rsid w:val="004D3A5F"/>
    <w:rsid w:val="004D3B63"/>
    <w:rsid w:val="004D3BDE"/>
    <w:rsid w:val="004D3C8B"/>
    <w:rsid w:val="004D3DC8"/>
    <w:rsid w:val="004D4037"/>
    <w:rsid w:val="004D4120"/>
    <w:rsid w:val="004D449E"/>
    <w:rsid w:val="004D4560"/>
    <w:rsid w:val="004D458A"/>
    <w:rsid w:val="004D45DF"/>
    <w:rsid w:val="004D45E7"/>
    <w:rsid w:val="004D4742"/>
    <w:rsid w:val="004D47A9"/>
    <w:rsid w:val="004D4922"/>
    <w:rsid w:val="004D4C03"/>
    <w:rsid w:val="004D4D42"/>
    <w:rsid w:val="004D4E6E"/>
    <w:rsid w:val="004D5431"/>
    <w:rsid w:val="004D5466"/>
    <w:rsid w:val="004D54C1"/>
    <w:rsid w:val="004D56AE"/>
    <w:rsid w:val="004D5A81"/>
    <w:rsid w:val="004D5C4B"/>
    <w:rsid w:val="004D5E9F"/>
    <w:rsid w:val="004D5EF1"/>
    <w:rsid w:val="004D610D"/>
    <w:rsid w:val="004D6357"/>
    <w:rsid w:val="004D656D"/>
    <w:rsid w:val="004D6663"/>
    <w:rsid w:val="004D6755"/>
    <w:rsid w:val="004D67E6"/>
    <w:rsid w:val="004D69AC"/>
    <w:rsid w:val="004D6C80"/>
    <w:rsid w:val="004D72F3"/>
    <w:rsid w:val="004D7376"/>
    <w:rsid w:val="004D7449"/>
    <w:rsid w:val="004D745B"/>
    <w:rsid w:val="004D7781"/>
    <w:rsid w:val="004D778B"/>
    <w:rsid w:val="004D7873"/>
    <w:rsid w:val="004D7882"/>
    <w:rsid w:val="004D78D3"/>
    <w:rsid w:val="004D78D8"/>
    <w:rsid w:val="004D7CE8"/>
    <w:rsid w:val="004D7E3A"/>
    <w:rsid w:val="004D7F30"/>
    <w:rsid w:val="004D7F54"/>
    <w:rsid w:val="004E01FD"/>
    <w:rsid w:val="004E0C0B"/>
    <w:rsid w:val="004E0C50"/>
    <w:rsid w:val="004E0CF9"/>
    <w:rsid w:val="004E0EF8"/>
    <w:rsid w:val="004E10D7"/>
    <w:rsid w:val="004E1781"/>
    <w:rsid w:val="004E18B5"/>
    <w:rsid w:val="004E1AD8"/>
    <w:rsid w:val="004E1B4C"/>
    <w:rsid w:val="004E1EF8"/>
    <w:rsid w:val="004E2125"/>
    <w:rsid w:val="004E23A0"/>
    <w:rsid w:val="004E24C1"/>
    <w:rsid w:val="004E28D4"/>
    <w:rsid w:val="004E2B24"/>
    <w:rsid w:val="004E31E8"/>
    <w:rsid w:val="004E3395"/>
    <w:rsid w:val="004E340D"/>
    <w:rsid w:val="004E346E"/>
    <w:rsid w:val="004E36D5"/>
    <w:rsid w:val="004E38E6"/>
    <w:rsid w:val="004E3CD2"/>
    <w:rsid w:val="004E3DB4"/>
    <w:rsid w:val="004E3F2D"/>
    <w:rsid w:val="004E3F70"/>
    <w:rsid w:val="004E41B5"/>
    <w:rsid w:val="004E42A5"/>
    <w:rsid w:val="004E4431"/>
    <w:rsid w:val="004E45A3"/>
    <w:rsid w:val="004E45E9"/>
    <w:rsid w:val="004E45EC"/>
    <w:rsid w:val="004E46D2"/>
    <w:rsid w:val="004E47BE"/>
    <w:rsid w:val="004E47D9"/>
    <w:rsid w:val="004E4956"/>
    <w:rsid w:val="004E4A65"/>
    <w:rsid w:val="004E4CA4"/>
    <w:rsid w:val="004E4FE8"/>
    <w:rsid w:val="004E5243"/>
    <w:rsid w:val="004E54B0"/>
    <w:rsid w:val="004E54CE"/>
    <w:rsid w:val="004E579E"/>
    <w:rsid w:val="004E59DE"/>
    <w:rsid w:val="004E59E5"/>
    <w:rsid w:val="004E5B40"/>
    <w:rsid w:val="004E5BA4"/>
    <w:rsid w:val="004E5C69"/>
    <w:rsid w:val="004E5DAC"/>
    <w:rsid w:val="004E5F05"/>
    <w:rsid w:val="004E5F8F"/>
    <w:rsid w:val="004E6037"/>
    <w:rsid w:val="004E604B"/>
    <w:rsid w:val="004E6338"/>
    <w:rsid w:val="004E63AB"/>
    <w:rsid w:val="004E65B7"/>
    <w:rsid w:val="004E6604"/>
    <w:rsid w:val="004E695F"/>
    <w:rsid w:val="004E6AEB"/>
    <w:rsid w:val="004E6AEF"/>
    <w:rsid w:val="004E6B67"/>
    <w:rsid w:val="004E6CFF"/>
    <w:rsid w:val="004E6D75"/>
    <w:rsid w:val="004E71F0"/>
    <w:rsid w:val="004E7527"/>
    <w:rsid w:val="004E7758"/>
    <w:rsid w:val="004E7AD4"/>
    <w:rsid w:val="004E7C58"/>
    <w:rsid w:val="004E7EB2"/>
    <w:rsid w:val="004F0F83"/>
    <w:rsid w:val="004F0FC3"/>
    <w:rsid w:val="004F10D6"/>
    <w:rsid w:val="004F1190"/>
    <w:rsid w:val="004F13FF"/>
    <w:rsid w:val="004F1802"/>
    <w:rsid w:val="004F18E5"/>
    <w:rsid w:val="004F19AD"/>
    <w:rsid w:val="004F19DC"/>
    <w:rsid w:val="004F1C0F"/>
    <w:rsid w:val="004F1FB2"/>
    <w:rsid w:val="004F201E"/>
    <w:rsid w:val="004F21AC"/>
    <w:rsid w:val="004F2248"/>
    <w:rsid w:val="004F2349"/>
    <w:rsid w:val="004F24CE"/>
    <w:rsid w:val="004F2608"/>
    <w:rsid w:val="004F2847"/>
    <w:rsid w:val="004F28C2"/>
    <w:rsid w:val="004F2925"/>
    <w:rsid w:val="004F29A5"/>
    <w:rsid w:val="004F2B08"/>
    <w:rsid w:val="004F2D09"/>
    <w:rsid w:val="004F3217"/>
    <w:rsid w:val="004F3413"/>
    <w:rsid w:val="004F358A"/>
    <w:rsid w:val="004F35C5"/>
    <w:rsid w:val="004F35DA"/>
    <w:rsid w:val="004F3688"/>
    <w:rsid w:val="004F36DB"/>
    <w:rsid w:val="004F36E8"/>
    <w:rsid w:val="004F3814"/>
    <w:rsid w:val="004F3AAE"/>
    <w:rsid w:val="004F3ADF"/>
    <w:rsid w:val="004F3C26"/>
    <w:rsid w:val="004F4253"/>
    <w:rsid w:val="004F434F"/>
    <w:rsid w:val="004F43E2"/>
    <w:rsid w:val="004F4AD7"/>
    <w:rsid w:val="004F4B78"/>
    <w:rsid w:val="004F4B87"/>
    <w:rsid w:val="004F4BDE"/>
    <w:rsid w:val="004F4D6F"/>
    <w:rsid w:val="004F4E08"/>
    <w:rsid w:val="004F50F7"/>
    <w:rsid w:val="004F5339"/>
    <w:rsid w:val="004F53F8"/>
    <w:rsid w:val="004F561F"/>
    <w:rsid w:val="004F56DB"/>
    <w:rsid w:val="004F5A42"/>
    <w:rsid w:val="004F5B1B"/>
    <w:rsid w:val="004F5F28"/>
    <w:rsid w:val="004F5FC2"/>
    <w:rsid w:val="004F6277"/>
    <w:rsid w:val="004F62C7"/>
    <w:rsid w:val="004F68DE"/>
    <w:rsid w:val="004F6967"/>
    <w:rsid w:val="004F6A58"/>
    <w:rsid w:val="004F7142"/>
    <w:rsid w:val="004F730C"/>
    <w:rsid w:val="004F7636"/>
    <w:rsid w:val="004F7793"/>
    <w:rsid w:val="004F79E3"/>
    <w:rsid w:val="004F7CAC"/>
    <w:rsid w:val="004F7EA2"/>
    <w:rsid w:val="004F7F6F"/>
    <w:rsid w:val="00500213"/>
    <w:rsid w:val="00500372"/>
    <w:rsid w:val="00500AAE"/>
    <w:rsid w:val="00500B40"/>
    <w:rsid w:val="00500BA4"/>
    <w:rsid w:val="00500E28"/>
    <w:rsid w:val="00501048"/>
    <w:rsid w:val="005010BB"/>
    <w:rsid w:val="005010D1"/>
    <w:rsid w:val="005015DE"/>
    <w:rsid w:val="0050175A"/>
    <w:rsid w:val="005017C1"/>
    <w:rsid w:val="005018B7"/>
    <w:rsid w:val="0050197F"/>
    <w:rsid w:val="00501A8F"/>
    <w:rsid w:val="00501CB3"/>
    <w:rsid w:val="00501D07"/>
    <w:rsid w:val="00501D27"/>
    <w:rsid w:val="00501E06"/>
    <w:rsid w:val="00502229"/>
    <w:rsid w:val="0050251E"/>
    <w:rsid w:val="005027F5"/>
    <w:rsid w:val="00502F58"/>
    <w:rsid w:val="00502F72"/>
    <w:rsid w:val="0050322C"/>
    <w:rsid w:val="0050329A"/>
    <w:rsid w:val="005038DF"/>
    <w:rsid w:val="00503E41"/>
    <w:rsid w:val="00503E77"/>
    <w:rsid w:val="005042D2"/>
    <w:rsid w:val="005045E4"/>
    <w:rsid w:val="005049DA"/>
    <w:rsid w:val="00504AB9"/>
    <w:rsid w:val="00504B94"/>
    <w:rsid w:val="00504DA3"/>
    <w:rsid w:val="00504E5F"/>
    <w:rsid w:val="00505345"/>
    <w:rsid w:val="00505362"/>
    <w:rsid w:val="00505844"/>
    <w:rsid w:val="00505CB5"/>
    <w:rsid w:val="00506073"/>
    <w:rsid w:val="0050620D"/>
    <w:rsid w:val="0050651E"/>
    <w:rsid w:val="00506A80"/>
    <w:rsid w:val="00506B4D"/>
    <w:rsid w:val="00506B51"/>
    <w:rsid w:val="00506B6C"/>
    <w:rsid w:val="00506D05"/>
    <w:rsid w:val="0050764E"/>
    <w:rsid w:val="00507747"/>
    <w:rsid w:val="00507C80"/>
    <w:rsid w:val="00507DB1"/>
    <w:rsid w:val="00507F6E"/>
    <w:rsid w:val="005100CE"/>
    <w:rsid w:val="0051025E"/>
    <w:rsid w:val="005103CE"/>
    <w:rsid w:val="00510536"/>
    <w:rsid w:val="005107FD"/>
    <w:rsid w:val="00510952"/>
    <w:rsid w:val="00510A76"/>
    <w:rsid w:val="00510DB2"/>
    <w:rsid w:val="00511320"/>
    <w:rsid w:val="005113E5"/>
    <w:rsid w:val="0051154B"/>
    <w:rsid w:val="00511567"/>
    <w:rsid w:val="005119C9"/>
    <w:rsid w:val="005119EA"/>
    <w:rsid w:val="00511D98"/>
    <w:rsid w:val="00511DD8"/>
    <w:rsid w:val="00511E08"/>
    <w:rsid w:val="005123DB"/>
    <w:rsid w:val="00512610"/>
    <w:rsid w:val="005126E4"/>
    <w:rsid w:val="00512997"/>
    <w:rsid w:val="00512AA6"/>
    <w:rsid w:val="00512AA7"/>
    <w:rsid w:val="00512D6F"/>
    <w:rsid w:val="00512DDA"/>
    <w:rsid w:val="00512EC9"/>
    <w:rsid w:val="00512FB1"/>
    <w:rsid w:val="00513692"/>
    <w:rsid w:val="005137B7"/>
    <w:rsid w:val="00513939"/>
    <w:rsid w:val="00513AE3"/>
    <w:rsid w:val="00513BA1"/>
    <w:rsid w:val="00513CD3"/>
    <w:rsid w:val="00513F14"/>
    <w:rsid w:val="00513FC6"/>
    <w:rsid w:val="00513FD9"/>
    <w:rsid w:val="00514378"/>
    <w:rsid w:val="005143F9"/>
    <w:rsid w:val="0051480C"/>
    <w:rsid w:val="00514896"/>
    <w:rsid w:val="0051489A"/>
    <w:rsid w:val="00514B15"/>
    <w:rsid w:val="00514CF8"/>
    <w:rsid w:val="00514D01"/>
    <w:rsid w:val="00514D97"/>
    <w:rsid w:val="00514E56"/>
    <w:rsid w:val="00515206"/>
    <w:rsid w:val="00515368"/>
    <w:rsid w:val="005155E1"/>
    <w:rsid w:val="00515633"/>
    <w:rsid w:val="00515705"/>
    <w:rsid w:val="00515C0E"/>
    <w:rsid w:val="00515D4D"/>
    <w:rsid w:val="00515D79"/>
    <w:rsid w:val="00515E53"/>
    <w:rsid w:val="00515EE0"/>
    <w:rsid w:val="0051606E"/>
    <w:rsid w:val="0051621A"/>
    <w:rsid w:val="00516566"/>
    <w:rsid w:val="0051656D"/>
    <w:rsid w:val="005165B4"/>
    <w:rsid w:val="005167DB"/>
    <w:rsid w:val="00516886"/>
    <w:rsid w:val="00516A6D"/>
    <w:rsid w:val="00516E46"/>
    <w:rsid w:val="00517451"/>
    <w:rsid w:val="0051772A"/>
    <w:rsid w:val="005178C2"/>
    <w:rsid w:val="00517B35"/>
    <w:rsid w:val="00517B4C"/>
    <w:rsid w:val="00517DA7"/>
    <w:rsid w:val="00517EFE"/>
    <w:rsid w:val="00517F42"/>
    <w:rsid w:val="00520012"/>
    <w:rsid w:val="00520352"/>
    <w:rsid w:val="00520353"/>
    <w:rsid w:val="00520541"/>
    <w:rsid w:val="005207B4"/>
    <w:rsid w:val="00520ABD"/>
    <w:rsid w:val="00520F8F"/>
    <w:rsid w:val="00521123"/>
    <w:rsid w:val="005218C3"/>
    <w:rsid w:val="00521C1F"/>
    <w:rsid w:val="00521DC0"/>
    <w:rsid w:val="005220E8"/>
    <w:rsid w:val="00522121"/>
    <w:rsid w:val="00522221"/>
    <w:rsid w:val="00522294"/>
    <w:rsid w:val="00522E2A"/>
    <w:rsid w:val="005230E1"/>
    <w:rsid w:val="00523438"/>
    <w:rsid w:val="005236E0"/>
    <w:rsid w:val="00523700"/>
    <w:rsid w:val="00523739"/>
    <w:rsid w:val="005239D2"/>
    <w:rsid w:val="00523D4C"/>
    <w:rsid w:val="00523DD0"/>
    <w:rsid w:val="00523E70"/>
    <w:rsid w:val="00523EAF"/>
    <w:rsid w:val="00523EB2"/>
    <w:rsid w:val="00524260"/>
    <w:rsid w:val="0052494B"/>
    <w:rsid w:val="00524A38"/>
    <w:rsid w:val="00524B07"/>
    <w:rsid w:val="00524B6D"/>
    <w:rsid w:val="00525242"/>
    <w:rsid w:val="005253AD"/>
    <w:rsid w:val="00525773"/>
    <w:rsid w:val="00525DA6"/>
    <w:rsid w:val="00525E71"/>
    <w:rsid w:val="00526045"/>
    <w:rsid w:val="00526059"/>
    <w:rsid w:val="0052656B"/>
    <w:rsid w:val="00526C05"/>
    <w:rsid w:val="00526D80"/>
    <w:rsid w:val="005273B3"/>
    <w:rsid w:val="0052758B"/>
    <w:rsid w:val="005275AF"/>
    <w:rsid w:val="0052763C"/>
    <w:rsid w:val="0052768E"/>
    <w:rsid w:val="005278B7"/>
    <w:rsid w:val="00527A73"/>
    <w:rsid w:val="00527C54"/>
    <w:rsid w:val="00527D3A"/>
    <w:rsid w:val="00527FB3"/>
    <w:rsid w:val="005301AD"/>
    <w:rsid w:val="00530900"/>
    <w:rsid w:val="00530C08"/>
    <w:rsid w:val="00531010"/>
    <w:rsid w:val="0053122C"/>
    <w:rsid w:val="005313D9"/>
    <w:rsid w:val="005315FB"/>
    <w:rsid w:val="00531666"/>
    <w:rsid w:val="00531690"/>
    <w:rsid w:val="0053193D"/>
    <w:rsid w:val="00531B46"/>
    <w:rsid w:val="00531B7A"/>
    <w:rsid w:val="00531C11"/>
    <w:rsid w:val="00531EF3"/>
    <w:rsid w:val="00531FCD"/>
    <w:rsid w:val="00531FFC"/>
    <w:rsid w:val="0053211C"/>
    <w:rsid w:val="0053222A"/>
    <w:rsid w:val="0053232B"/>
    <w:rsid w:val="00532409"/>
    <w:rsid w:val="005326BA"/>
    <w:rsid w:val="0053276C"/>
    <w:rsid w:val="00532863"/>
    <w:rsid w:val="00532B34"/>
    <w:rsid w:val="00532D50"/>
    <w:rsid w:val="00532D6A"/>
    <w:rsid w:val="00532D7A"/>
    <w:rsid w:val="00532E82"/>
    <w:rsid w:val="00532FAA"/>
    <w:rsid w:val="0053301B"/>
    <w:rsid w:val="0053333A"/>
    <w:rsid w:val="005334C6"/>
    <w:rsid w:val="0053350B"/>
    <w:rsid w:val="00533559"/>
    <w:rsid w:val="0053370C"/>
    <w:rsid w:val="00533777"/>
    <w:rsid w:val="00533787"/>
    <w:rsid w:val="00533D1E"/>
    <w:rsid w:val="00533E05"/>
    <w:rsid w:val="00533E24"/>
    <w:rsid w:val="00533E61"/>
    <w:rsid w:val="00534251"/>
    <w:rsid w:val="00534370"/>
    <w:rsid w:val="005344F1"/>
    <w:rsid w:val="0053494E"/>
    <w:rsid w:val="00534A20"/>
    <w:rsid w:val="00534AFE"/>
    <w:rsid w:val="00534BF1"/>
    <w:rsid w:val="00534D05"/>
    <w:rsid w:val="00534EB0"/>
    <w:rsid w:val="0053526D"/>
    <w:rsid w:val="00535498"/>
    <w:rsid w:val="00535714"/>
    <w:rsid w:val="005358AA"/>
    <w:rsid w:val="00535982"/>
    <w:rsid w:val="005359FD"/>
    <w:rsid w:val="00535C74"/>
    <w:rsid w:val="00536011"/>
    <w:rsid w:val="005361AB"/>
    <w:rsid w:val="0053691A"/>
    <w:rsid w:val="00536BFC"/>
    <w:rsid w:val="00536E48"/>
    <w:rsid w:val="00536E6E"/>
    <w:rsid w:val="0053734F"/>
    <w:rsid w:val="00537495"/>
    <w:rsid w:val="00537547"/>
    <w:rsid w:val="00537AC5"/>
    <w:rsid w:val="00537B93"/>
    <w:rsid w:val="00537C76"/>
    <w:rsid w:val="00537E59"/>
    <w:rsid w:val="0053FEB1"/>
    <w:rsid w:val="00540816"/>
    <w:rsid w:val="00540944"/>
    <w:rsid w:val="00540AAA"/>
    <w:rsid w:val="00540B96"/>
    <w:rsid w:val="00540C23"/>
    <w:rsid w:val="00540CDF"/>
    <w:rsid w:val="00540D1E"/>
    <w:rsid w:val="00540E16"/>
    <w:rsid w:val="00540E59"/>
    <w:rsid w:val="00540F8F"/>
    <w:rsid w:val="0054104D"/>
    <w:rsid w:val="00541133"/>
    <w:rsid w:val="00541184"/>
    <w:rsid w:val="005411FF"/>
    <w:rsid w:val="0054127C"/>
    <w:rsid w:val="005414D2"/>
    <w:rsid w:val="0054151F"/>
    <w:rsid w:val="005416CF"/>
    <w:rsid w:val="00541877"/>
    <w:rsid w:val="005418E5"/>
    <w:rsid w:val="005418FA"/>
    <w:rsid w:val="0054196D"/>
    <w:rsid w:val="00541B3B"/>
    <w:rsid w:val="00541D43"/>
    <w:rsid w:val="00541E73"/>
    <w:rsid w:val="00542068"/>
    <w:rsid w:val="00542169"/>
    <w:rsid w:val="00542424"/>
    <w:rsid w:val="00542578"/>
    <w:rsid w:val="00542887"/>
    <w:rsid w:val="00542999"/>
    <w:rsid w:val="00542BC7"/>
    <w:rsid w:val="00542DB7"/>
    <w:rsid w:val="00543405"/>
    <w:rsid w:val="00543439"/>
    <w:rsid w:val="005437D7"/>
    <w:rsid w:val="005439E5"/>
    <w:rsid w:val="00543AF9"/>
    <w:rsid w:val="00543D25"/>
    <w:rsid w:val="00543D95"/>
    <w:rsid w:val="00543F14"/>
    <w:rsid w:val="00543F38"/>
    <w:rsid w:val="00544001"/>
    <w:rsid w:val="005442D1"/>
    <w:rsid w:val="005443E7"/>
    <w:rsid w:val="005444AE"/>
    <w:rsid w:val="0054469A"/>
    <w:rsid w:val="005448C1"/>
    <w:rsid w:val="005449A5"/>
    <w:rsid w:val="00544A11"/>
    <w:rsid w:val="00544A3F"/>
    <w:rsid w:val="00544C1F"/>
    <w:rsid w:val="00544C5C"/>
    <w:rsid w:val="00544C74"/>
    <w:rsid w:val="00544CA9"/>
    <w:rsid w:val="00544DE1"/>
    <w:rsid w:val="005452AA"/>
    <w:rsid w:val="00545355"/>
    <w:rsid w:val="0054554F"/>
    <w:rsid w:val="00545978"/>
    <w:rsid w:val="00545BAB"/>
    <w:rsid w:val="00545C37"/>
    <w:rsid w:val="00545DEE"/>
    <w:rsid w:val="00545E30"/>
    <w:rsid w:val="00545E42"/>
    <w:rsid w:val="00545FA8"/>
    <w:rsid w:val="00546168"/>
    <w:rsid w:val="005461F6"/>
    <w:rsid w:val="005462DA"/>
    <w:rsid w:val="0054638B"/>
    <w:rsid w:val="0054653B"/>
    <w:rsid w:val="00546701"/>
    <w:rsid w:val="00546A63"/>
    <w:rsid w:val="00546B78"/>
    <w:rsid w:val="00546CF9"/>
    <w:rsid w:val="00546FD4"/>
    <w:rsid w:val="0054765A"/>
    <w:rsid w:val="00547931"/>
    <w:rsid w:val="005479AA"/>
    <w:rsid w:val="00547B97"/>
    <w:rsid w:val="00547CD2"/>
    <w:rsid w:val="00547CD4"/>
    <w:rsid w:val="00547EC8"/>
    <w:rsid w:val="00547FC0"/>
    <w:rsid w:val="0055030E"/>
    <w:rsid w:val="005503BE"/>
    <w:rsid w:val="005504EC"/>
    <w:rsid w:val="0055072B"/>
    <w:rsid w:val="00550928"/>
    <w:rsid w:val="00550B0E"/>
    <w:rsid w:val="00550D79"/>
    <w:rsid w:val="00551135"/>
    <w:rsid w:val="00551208"/>
    <w:rsid w:val="005516FE"/>
    <w:rsid w:val="00551C26"/>
    <w:rsid w:val="00551DCF"/>
    <w:rsid w:val="00551E86"/>
    <w:rsid w:val="00551EB6"/>
    <w:rsid w:val="00551F24"/>
    <w:rsid w:val="00552033"/>
    <w:rsid w:val="0055211D"/>
    <w:rsid w:val="0055219D"/>
    <w:rsid w:val="00552279"/>
    <w:rsid w:val="00552428"/>
    <w:rsid w:val="00552A35"/>
    <w:rsid w:val="00552B31"/>
    <w:rsid w:val="00552C4D"/>
    <w:rsid w:val="00552CA9"/>
    <w:rsid w:val="00552EA9"/>
    <w:rsid w:val="0055323C"/>
    <w:rsid w:val="00553277"/>
    <w:rsid w:val="005532FE"/>
    <w:rsid w:val="00553548"/>
    <w:rsid w:val="005535A0"/>
    <w:rsid w:val="0055360D"/>
    <w:rsid w:val="00553782"/>
    <w:rsid w:val="00553C40"/>
    <w:rsid w:val="00553E03"/>
    <w:rsid w:val="00553E5E"/>
    <w:rsid w:val="00553EAD"/>
    <w:rsid w:val="00553F8A"/>
    <w:rsid w:val="0055400E"/>
    <w:rsid w:val="00554481"/>
    <w:rsid w:val="00554691"/>
    <w:rsid w:val="005546C7"/>
    <w:rsid w:val="00554745"/>
    <w:rsid w:val="005547DA"/>
    <w:rsid w:val="00554A50"/>
    <w:rsid w:val="00554BBC"/>
    <w:rsid w:val="00554DE8"/>
    <w:rsid w:val="00554E2C"/>
    <w:rsid w:val="00554FAA"/>
    <w:rsid w:val="005550A4"/>
    <w:rsid w:val="0055532F"/>
    <w:rsid w:val="0055560C"/>
    <w:rsid w:val="00555884"/>
    <w:rsid w:val="00555892"/>
    <w:rsid w:val="005558A9"/>
    <w:rsid w:val="0055595D"/>
    <w:rsid w:val="005559C6"/>
    <w:rsid w:val="00555AF2"/>
    <w:rsid w:val="00555E21"/>
    <w:rsid w:val="005560DD"/>
    <w:rsid w:val="00556262"/>
    <w:rsid w:val="005564C8"/>
    <w:rsid w:val="005567F2"/>
    <w:rsid w:val="00556DF3"/>
    <w:rsid w:val="00557108"/>
    <w:rsid w:val="005573E2"/>
    <w:rsid w:val="00557628"/>
    <w:rsid w:val="00557690"/>
    <w:rsid w:val="00557723"/>
    <w:rsid w:val="0055780A"/>
    <w:rsid w:val="00557A41"/>
    <w:rsid w:val="00557B41"/>
    <w:rsid w:val="00557E22"/>
    <w:rsid w:val="00560033"/>
    <w:rsid w:val="0056033F"/>
    <w:rsid w:val="0056063D"/>
    <w:rsid w:val="005606BB"/>
    <w:rsid w:val="005607C6"/>
    <w:rsid w:val="005608AF"/>
    <w:rsid w:val="00560AA8"/>
    <w:rsid w:val="00560AD9"/>
    <w:rsid w:val="00560B4A"/>
    <w:rsid w:val="00560BC3"/>
    <w:rsid w:val="00560C7E"/>
    <w:rsid w:val="00560D73"/>
    <w:rsid w:val="00560EB2"/>
    <w:rsid w:val="0056118B"/>
    <w:rsid w:val="0056138F"/>
    <w:rsid w:val="005617C3"/>
    <w:rsid w:val="005617DF"/>
    <w:rsid w:val="005619A4"/>
    <w:rsid w:val="00561A3D"/>
    <w:rsid w:val="00561D24"/>
    <w:rsid w:val="00561DFC"/>
    <w:rsid w:val="00561E02"/>
    <w:rsid w:val="00561E27"/>
    <w:rsid w:val="00561E9B"/>
    <w:rsid w:val="00562004"/>
    <w:rsid w:val="005620A3"/>
    <w:rsid w:val="00562274"/>
    <w:rsid w:val="0056232E"/>
    <w:rsid w:val="0056236F"/>
    <w:rsid w:val="005623A5"/>
    <w:rsid w:val="005629EB"/>
    <w:rsid w:val="00562A59"/>
    <w:rsid w:val="00562AEC"/>
    <w:rsid w:val="00562B5C"/>
    <w:rsid w:val="00562CCE"/>
    <w:rsid w:val="00562FF7"/>
    <w:rsid w:val="00563157"/>
    <w:rsid w:val="005632F4"/>
    <w:rsid w:val="00563419"/>
    <w:rsid w:val="00563A29"/>
    <w:rsid w:val="00564092"/>
    <w:rsid w:val="005640F8"/>
    <w:rsid w:val="0056429D"/>
    <w:rsid w:val="005644C1"/>
    <w:rsid w:val="005644F8"/>
    <w:rsid w:val="0056454C"/>
    <w:rsid w:val="00564718"/>
    <w:rsid w:val="00564810"/>
    <w:rsid w:val="00564A21"/>
    <w:rsid w:val="00564A92"/>
    <w:rsid w:val="00564B9A"/>
    <w:rsid w:val="00564E75"/>
    <w:rsid w:val="0056501E"/>
    <w:rsid w:val="00565022"/>
    <w:rsid w:val="00565047"/>
    <w:rsid w:val="005652B7"/>
    <w:rsid w:val="005655E2"/>
    <w:rsid w:val="0056561F"/>
    <w:rsid w:val="00565A06"/>
    <w:rsid w:val="00565A56"/>
    <w:rsid w:val="00565B3A"/>
    <w:rsid w:val="00565BC3"/>
    <w:rsid w:val="00565C1B"/>
    <w:rsid w:val="00565CF6"/>
    <w:rsid w:val="00565F55"/>
    <w:rsid w:val="005664C0"/>
    <w:rsid w:val="00566599"/>
    <w:rsid w:val="00566926"/>
    <w:rsid w:val="00566954"/>
    <w:rsid w:val="00566A07"/>
    <w:rsid w:val="00566A5F"/>
    <w:rsid w:val="00566A84"/>
    <w:rsid w:val="00566B8C"/>
    <w:rsid w:val="00566BB4"/>
    <w:rsid w:val="0056736E"/>
    <w:rsid w:val="00567389"/>
    <w:rsid w:val="005673A2"/>
    <w:rsid w:val="0056758B"/>
    <w:rsid w:val="005676EA"/>
    <w:rsid w:val="0056774A"/>
    <w:rsid w:val="005677C5"/>
    <w:rsid w:val="00567816"/>
    <w:rsid w:val="005679C9"/>
    <w:rsid w:val="0057010B"/>
    <w:rsid w:val="0057050A"/>
    <w:rsid w:val="005705FF"/>
    <w:rsid w:val="0057063E"/>
    <w:rsid w:val="005707B0"/>
    <w:rsid w:val="0057090A"/>
    <w:rsid w:val="005709F7"/>
    <w:rsid w:val="00570DC4"/>
    <w:rsid w:val="00570E3C"/>
    <w:rsid w:val="00570F90"/>
    <w:rsid w:val="00571338"/>
    <w:rsid w:val="0057169A"/>
    <w:rsid w:val="005716A1"/>
    <w:rsid w:val="00571890"/>
    <w:rsid w:val="00571950"/>
    <w:rsid w:val="005719A7"/>
    <w:rsid w:val="00571B21"/>
    <w:rsid w:val="00571D72"/>
    <w:rsid w:val="00571DD2"/>
    <w:rsid w:val="0057219B"/>
    <w:rsid w:val="005722D2"/>
    <w:rsid w:val="00572429"/>
    <w:rsid w:val="00572467"/>
    <w:rsid w:val="005724E8"/>
    <w:rsid w:val="0057269E"/>
    <w:rsid w:val="005726C1"/>
    <w:rsid w:val="00572A71"/>
    <w:rsid w:val="00572C3F"/>
    <w:rsid w:val="00572E1A"/>
    <w:rsid w:val="005731A0"/>
    <w:rsid w:val="0057324A"/>
    <w:rsid w:val="00573315"/>
    <w:rsid w:val="005733DB"/>
    <w:rsid w:val="005733DD"/>
    <w:rsid w:val="0057342A"/>
    <w:rsid w:val="005734B3"/>
    <w:rsid w:val="005738A6"/>
    <w:rsid w:val="00573B4D"/>
    <w:rsid w:val="00573E2F"/>
    <w:rsid w:val="0057434B"/>
    <w:rsid w:val="00574369"/>
    <w:rsid w:val="00574A54"/>
    <w:rsid w:val="00574AD8"/>
    <w:rsid w:val="00574BE5"/>
    <w:rsid w:val="00574FE8"/>
    <w:rsid w:val="005752A1"/>
    <w:rsid w:val="00575488"/>
    <w:rsid w:val="00575764"/>
    <w:rsid w:val="00575A49"/>
    <w:rsid w:val="00575BAD"/>
    <w:rsid w:val="00575C14"/>
    <w:rsid w:val="00575FEC"/>
    <w:rsid w:val="00576297"/>
    <w:rsid w:val="005768B3"/>
    <w:rsid w:val="00576ADE"/>
    <w:rsid w:val="00576B5C"/>
    <w:rsid w:val="00576B9C"/>
    <w:rsid w:val="00576C16"/>
    <w:rsid w:val="00576E60"/>
    <w:rsid w:val="00576EB9"/>
    <w:rsid w:val="005770BA"/>
    <w:rsid w:val="005770EE"/>
    <w:rsid w:val="0057712B"/>
    <w:rsid w:val="0057717B"/>
    <w:rsid w:val="00577726"/>
    <w:rsid w:val="00577CA4"/>
    <w:rsid w:val="00577CFD"/>
    <w:rsid w:val="00577DEF"/>
    <w:rsid w:val="0057AA3E"/>
    <w:rsid w:val="0058001D"/>
    <w:rsid w:val="00580055"/>
    <w:rsid w:val="00580232"/>
    <w:rsid w:val="00580322"/>
    <w:rsid w:val="0058095E"/>
    <w:rsid w:val="00581622"/>
    <w:rsid w:val="005816FD"/>
    <w:rsid w:val="00581829"/>
    <w:rsid w:val="00581A00"/>
    <w:rsid w:val="00581A6D"/>
    <w:rsid w:val="00581BD2"/>
    <w:rsid w:val="00581CA3"/>
    <w:rsid w:val="005828DF"/>
    <w:rsid w:val="00582A6F"/>
    <w:rsid w:val="00582B87"/>
    <w:rsid w:val="00582D05"/>
    <w:rsid w:val="00582F96"/>
    <w:rsid w:val="00583103"/>
    <w:rsid w:val="00583278"/>
    <w:rsid w:val="005832AA"/>
    <w:rsid w:val="005835FE"/>
    <w:rsid w:val="00583A7B"/>
    <w:rsid w:val="00583B13"/>
    <w:rsid w:val="00583D6E"/>
    <w:rsid w:val="00584776"/>
    <w:rsid w:val="00584869"/>
    <w:rsid w:val="005850BD"/>
    <w:rsid w:val="00585644"/>
    <w:rsid w:val="005858FA"/>
    <w:rsid w:val="00585A51"/>
    <w:rsid w:val="00585CF6"/>
    <w:rsid w:val="00585D0A"/>
    <w:rsid w:val="00585E44"/>
    <w:rsid w:val="005862EF"/>
    <w:rsid w:val="0058643B"/>
    <w:rsid w:val="00586529"/>
    <w:rsid w:val="005865EA"/>
    <w:rsid w:val="005865F0"/>
    <w:rsid w:val="00586754"/>
    <w:rsid w:val="00586C34"/>
    <w:rsid w:val="00586CC0"/>
    <w:rsid w:val="00586CC4"/>
    <w:rsid w:val="00586CF3"/>
    <w:rsid w:val="0058710A"/>
    <w:rsid w:val="00587B3F"/>
    <w:rsid w:val="00587C3B"/>
    <w:rsid w:val="0059007C"/>
    <w:rsid w:val="00590409"/>
    <w:rsid w:val="00590493"/>
    <w:rsid w:val="005907FF"/>
    <w:rsid w:val="0059097C"/>
    <w:rsid w:val="005913B6"/>
    <w:rsid w:val="005914A0"/>
    <w:rsid w:val="00591BA5"/>
    <w:rsid w:val="005920C6"/>
    <w:rsid w:val="0059223A"/>
    <w:rsid w:val="005922D6"/>
    <w:rsid w:val="00592311"/>
    <w:rsid w:val="00592442"/>
    <w:rsid w:val="00592479"/>
    <w:rsid w:val="00592FC3"/>
    <w:rsid w:val="00593196"/>
    <w:rsid w:val="00593307"/>
    <w:rsid w:val="0059333E"/>
    <w:rsid w:val="0059344D"/>
    <w:rsid w:val="00593BDB"/>
    <w:rsid w:val="00593C66"/>
    <w:rsid w:val="005942F8"/>
    <w:rsid w:val="00594363"/>
    <w:rsid w:val="0059448B"/>
    <w:rsid w:val="0059451E"/>
    <w:rsid w:val="0059473A"/>
    <w:rsid w:val="00594904"/>
    <w:rsid w:val="005949DD"/>
    <w:rsid w:val="00594B9E"/>
    <w:rsid w:val="00594DEC"/>
    <w:rsid w:val="00594E17"/>
    <w:rsid w:val="005951FF"/>
    <w:rsid w:val="005956B4"/>
    <w:rsid w:val="005957FE"/>
    <w:rsid w:val="00595861"/>
    <w:rsid w:val="00595933"/>
    <w:rsid w:val="00595A0D"/>
    <w:rsid w:val="00595D0C"/>
    <w:rsid w:val="00595D14"/>
    <w:rsid w:val="00595E8C"/>
    <w:rsid w:val="00595F3B"/>
    <w:rsid w:val="00595FF6"/>
    <w:rsid w:val="00596248"/>
    <w:rsid w:val="005963FD"/>
    <w:rsid w:val="0059666A"/>
    <w:rsid w:val="005966F2"/>
    <w:rsid w:val="00596964"/>
    <w:rsid w:val="00596BB4"/>
    <w:rsid w:val="00596D34"/>
    <w:rsid w:val="00596F93"/>
    <w:rsid w:val="0059718F"/>
    <w:rsid w:val="005974DF"/>
    <w:rsid w:val="005976C6"/>
    <w:rsid w:val="00597791"/>
    <w:rsid w:val="005978D5"/>
    <w:rsid w:val="00597972"/>
    <w:rsid w:val="00597AEF"/>
    <w:rsid w:val="00597CE6"/>
    <w:rsid w:val="00597CF5"/>
    <w:rsid w:val="00597EE0"/>
    <w:rsid w:val="00597FAB"/>
    <w:rsid w:val="005A03F3"/>
    <w:rsid w:val="005A0632"/>
    <w:rsid w:val="005A0A5C"/>
    <w:rsid w:val="005A100C"/>
    <w:rsid w:val="005A12DE"/>
    <w:rsid w:val="005A15A0"/>
    <w:rsid w:val="005A1667"/>
    <w:rsid w:val="005A1751"/>
    <w:rsid w:val="005A178D"/>
    <w:rsid w:val="005A17FF"/>
    <w:rsid w:val="005A199B"/>
    <w:rsid w:val="005A1A1B"/>
    <w:rsid w:val="005A1CB5"/>
    <w:rsid w:val="005A1DF7"/>
    <w:rsid w:val="005A2001"/>
    <w:rsid w:val="005A21ED"/>
    <w:rsid w:val="005A2714"/>
    <w:rsid w:val="005A2854"/>
    <w:rsid w:val="005A2A4A"/>
    <w:rsid w:val="005A2A52"/>
    <w:rsid w:val="005A2AD2"/>
    <w:rsid w:val="005A2D93"/>
    <w:rsid w:val="005A2F55"/>
    <w:rsid w:val="005A3056"/>
    <w:rsid w:val="005A3132"/>
    <w:rsid w:val="005A3238"/>
    <w:rsid w:val="005A3281"/>
    <w:rsid w:val="005A35BF"/>
    <w:rsid w:val="005A3720"/>
    <w:rsid w:val="005A3834"/>
    <w:rsid w:val="005A3A53"/>
    <w:rsid w:val="005A3D4D"/>
    <w:rsid w:val="005A3D5B"/>
    <w:rsid w:val="005A41F1"/>
    <w:rsid w:val="005A4285"/>
    <w:rsid w:val="005A43CE"/>
    <w:rsid w:val="005A43ED"/>
    <w:rsid w:val="005A4473"/>
    <w:rsid w:val="005A4787"/>
    <w:rsid w:val="005A48F9"/>
    <w:rsid w:val="005A4C43"/>
    <w:rsid w:val="005A4CD5"/>
    <w:rsid w:val="005A507F"/>
    <w:rsid w:val="005A50C7"/>
    <w:rsid w:val="005A542A"/>
    <w:rsid w:val="005A54CC"/>
    <w:rsid w:val="005A557D"/>
    <w:rsid w:val="005A56FC"/>
    <w:rsid w:val="005A59DC"/>
    <w:rsid w:val="005A5BF2"/>
    <w:rsid w:val="005A63B3"/>
    <w:rsid w:val="005A6509"/>
    <w:rsid w:val="005A66DB"/>
    <w:rsid w:val="005A675C"/>
    <w:rsid w:val="005A694B"/>
    <w:rsid w:val="005A6951"/>
    <w:rsid w:val="005A6B3A"/>
    <w:rsid w:val="005A6C46"/>
    <w:rsid w:val="005A6DBC"/>
    <w:rsid w:val="005A7054"/>
    <w:rsid w:val="005A70D2"/>
    <w:rsid w:val="005A70DA"/>
    <w:rsid w:val="005A7125"/>
    <w:rsid w:val="005A713E"/>
    <w:rsid w:val="005A745D"/>
    <w:rsid w:val="005A76A4"/>
    <w:rsid w:val="005A7781"/>
    <w:rsid w:val="005A7831"/>
    <w:rsid w:val="005A79A3"/>
    <w:rsid w:val="005A7B3E"/>
    <w:rsid w:val="005A7B6D"/>
    <w:rsid w:val="005A7D52"/>
    <w:rsid w:val="005A7DFE"/>
    <w:rsid w:val="005AA78C"/>
    <w:rsid w:val="005B0067"/>
    <w:rsid w:val="005B01E8"/>
    <w:rsid w:val="005B0697"/>
    <w:rsid w:val="005B07EF"/>
    <w:rsid w:val="005B08B9"/>
    <w:rsid w:val="005B0975"/>
    <w:rsid w:val="005B0CCE"/>
    <w:rsid w:val="005B0FD5"/>
    <w:rsid w:val="005B0FE7"/>
    <w:rsid w:val="005B104C"/>
    <w:rsid w:val="005B141C"/>
    <w:rsid w:val="005B19F5"/>
    <w:rsid w:val="005B1B86"/>
    <w:rsid w:val="005B1CE2"/>
    <w:rsid w:val="005B1DDC"/>
    <w:rsid w:val="005B1F6B"/>
    <w:rsid w:val="005B2696"/>
    <w:rsid w:val="005B26B2"/>
    <w:rsid w:val="005B26E8"/>
    <w:rsid w:val="005B26E9"/>
    <w:rsid w:val="005B2B19"/>
    <w:rsid w:val="005B2D3E"/>
    <w:rsid w:val="005B2F6B"/>
    <w:rsid w:val="005B31CD"/>
    <w:rsid w:val="005B3207"/>
    <w:rsid w:val="005B3239"/>
    <w:rsid w:val="005B326E"/>
    <w:rsid w:val="005B3FE2"/>
    <w:rsid w:val="005B41ED"/>
    <w:rsid w:val="005B43C4"/>
    <w:rsid w:val="005B4F41"/>
    <w:rsid w:val="005B4F91"/>
    <w:rsid w:val="005B50E2"/>
    <w:rsid w:val="005B531B"/>
    <w:rsid w:val="005B54DD"/>
    <w:rsid w:val="005B57DB"/>
    <w:rsid w:val="005B5DED"/>
    <w:rsid w:val="005B5EA5"/>
    <w:rsid w:val="005B615F"/>
    <w:rsid w:val="005B61A0"/>
    <w:rsid w:val="005B61EA"/>
    <w:rsid w:val="005B6315"/>
    <w:rsid w:val="005B64C8"/>
    <w:rsid w:val="005B6648"/>
    <w:rsid w:val="005B6928"/>
    <w:rsid w:val="005B6D5F"/>
    <w:rsid w:val="005B744A"/>
    <w:rsid w:val="005B75DF"/>
    <w:rsid w:val="005B77C4"/>
    <w:rsid w:val="005B78C9"/>
    <w:rsid w:val="005B793C"/>
    <w:rsid w:val="005B7A67"/>
    <w:rsid w:val="005B7BAF"/>
    <w:rsid w:val="005B7BDD"/>
    <w:rsid w:val="005B7C32"/>
    <w:rsid w:val="005B7E1F"/>
    <w:rsid w:val="005C064E"/>
    <w:rsid w:val="005C0954"/>
    <w:rsid w:val="005C0A3B"/>
    <w:rsid w:val="005C0E7A"/>
    <w:rsid w:val="005C109C"/>
    <w:rsid w:val="005C12A9"/>
    <w:rsid w:val="005C13CA"/>
    <w:rsid w:val="005C16CE"/>
    <w:rsid w:val="005C16EA"/>
    <w:rsid w:val="005C16FB"/>
    <w:rsid w:val="005C1729"/>
    <w:rsid w:val="005C186A"/>
    <w:rsid w:val="005C1956"/>
    <w:rsid w:val="005C1967"/>
    <w:rsid w:val="005C19DC"/>
    <w:rsid w:val="005C1B9D"/>
    <w:rsid w:val="005C1E12"/>
    <w:rsid w:val="005C1EB0"/>
    <w:rsid w:val="005C2085"/>
    <w:rsid w:val="005C21BA"/>
    <w:rsid w:val="005C2572"/>
    <w:rsid w:val="005C2650"/>
    <w:rsid w:val="005C2B9B"/>
    <w:rsid w:val="005C2E89"/>
    <w:rsid w:val="005C2F8F"/>
    <w:rsid w:val="005C3368"/>
    <w:rsid w:val="005C3453"/>
    <w:rsid w:val="005C3849"/>
    <w:rsid w:val="005C38B0"/>
    <w:rsid w:val="005C3A10"/>
    <w:rsid w:val="005C3A48"/>
    <w:rsid w:val="005C3B3A"/>
    <w:rsid w:val="005C3B83"/>
    <w:rsid w:val="005C3C85"/>
    <w:rsid w:val="005C3D39"/>
    <w:rsid w:val="005C3E71"/>
    <w:rsid w:val="005C3F1C"/>
    <w:rsid w:val="005C407E"/>
    <w:rsid w:val="005C408B"/>
    <w:rsid w:val="005C42D4"/>
    <w:rsid w:val="005C4341"/>
    <w:rsid w:val="005C447F"/>
    <w:rsid w:val="005C473F"/>
    <w:rsid w:val="005C4817"/>
    <w:rsid w:val="005C493D"/>
    <w:rsid w:val="005C495A"/>
    <w:rsid w:val="005C4A93"/>
    <w:rsid w:val="005C4CF9"/>
    <w:rsid w:val="005C4EDD"/>
    <w:rsid w:val="005C513A"/>
    <w:rsid w:val="005C53B6"/>
    <w:rsid w:val="005C5403"/>
    <w:rsid w:val="005C572A"/>
    <w:rsid w:val="005C57A3"/>
    <w:rsid w:val="005C58E6"/>
    <w:rsid w:val="005C59ED"/>
    <w:rsid w:val="005C5C0E"/>
    <w:rsid w:val="005C5E17"/>
    <w:rsid w:val="005C5F14"/>
    <w:rsid w:val="005C5F43"/>
    <w:rsid w:val="005C62E1"/>
    <w:rsid w:val="005C6434"/>
    <w:rsid w:val="005C650D"/>
    <w:rsid w:val="005C6647"/>
    <w:rsid w:val="005C685C"/>
    <w:rsid w:val="005C68D7"/>
    <w:rsid w:val="005C698A"/>
    <w:rsid w:val="005C6A66"/>
    <w:rsid w:val="005C6C92"/>
    <w:rsid w:val="005C6DBD"/>
    <w:rsid w:val="005C7059"/>
    <w:rsid w:val="005C70BB"/>
    <w:rsid w:val="005C7187"/>
    <w:rsid w:val="005C7486"/>
    <w:rsid w:val="005C74E5"/>
    <w:rsid w:val="005C78F1"/>
    <w:rsid w:val="005C793C"/>
    <w:rsid w:val="005C798D"/>
    <w:rsid w:val="005C7EDC"/>
    <w:rsid w:val="005C7FA5"/>
    <w:rsid w:val="005D0469"/>
    <w:rsid w:val="005D0548"/>
    <w:rsid w:val="005D08B4"/>
    <w:rsid w:val="005D0956"/>
    <w:rsid w:val="005D0BC0"/>
    <w:rsid w:val="005D0BC9"/>
    <w:rsid w:val="005D0BDF"/>
    <w:rsid w:val="005D0D21"/>
    <w:rsid w:val="005D0DCF"/>
    <w:rsid w:val="005D0E60"/>
    <w:rsid w:val="005D0F22"/>
    <w:rsid w:val="005D17BA"/>
    <w:rsid w:val="005D1BEC"/>
    <w:rsid w:val="005D1D8C"/>
    <w:rsid w:val="005D1FFF"/>
    <w:rsid w:val="005D2087"/>
    <w:rsid w:val="005D212D"/>
    <w:rsid w:val="005D22F8"/>
    <w:rsid w:val="005D23B7"/>
    <w:rsid w:val="005D23C0"/>
    <w:rsid w:val="005D2568"/>
    <w:rsid w:val="005D2829"/>
    <w:rsid w:val="005D282C"/>
    <w:rsid w:val="005D2AC5"/>
    <w:rsid w:val="005D2EE2"/>
    <w:rsid w:val="005D2FA0"/>
    <w:rsid w:val="005D354E"/>
    <w:rsid w:val="005D3580"/>
    <w:rsid w:val="005D37E5"/>
    <w:rsid w:val="005D3A8E"/>
    <w:rsid w:val="005D3AF1"/>
    <w:rsid w:val="005D3B8C"/>
    <w:rsid w:val="005D3BE3"/>
    <w:rsid w:val="005D3E75"/>
    <w:rsid w:val="005D3FE9"/>
    <w:rsid w:val="005D406C"/>
    <w:rsid w:val="005D4567"/>
    <w:rsid w:val="005D472B"/>
    <w:rsid w:val="005D480B"/>
    <w:rsid w:val="005D4BC7"/>
    <w:rsid w:val="005D4EC8"/>
    <w:rsid w:val="005D4F74"/>
    <w:rsid w:val="005D5119"/>
    <w:rsid w:val="005D5134"/>
    <w:rsid w:val="005D521D"/>
    <w:rsid w:val="005D599F"/>
    <w:rsid w:val="005D5B43"/>
    <w:rsid w:val="005D5BA1"/>
    <w:rsid w:val="005D5DD6"/>
    <w:rsid w:val="005D604B"/>
    <w:rsid w:val="005D6068"/>
    <w:rsid w:val="005D60DA"/>
    <w:rsid w:val="005D6244"/>
    <w:rsid w:val="005D63C7"/>
    <w:rsid w:val="005D65B7"/>
    <w:rsid w:val="005D6893"/>
    <w:rsid w:val="005D68CE"/>
    <w:rsid w:val="005D697E"/>
    <w:rsid w:val="005D6B81"/>
    <w:rsid w:val="005D6D12"/>
    <w:rsid w:val="005D6D1C"/>
    <w:rsid w:val="005D72D5"/>
    <w:rsid w:val="005D75D2"/>
    <w:rsid w:val="005D7605"/>
    <w:rsid w:val="005D768F"/>
    <w:rsid w:val="005D797A"/>
    <w:rsid w:val="005D79A8"/>
    <w:rsid w:val="005D79E8"/>
    <w:rsid w:val="005D7C5C"/>
    <w:rsid w:val="005D7E9C"/>
    <w:rsid w:val="005D7F48"/>
    <w:rsid w:val="005D7F84"/>
    <w:rsid w:val="005D7FA8"/>
    <w:rsid w:val="005E04EB"/>
    <w:rsid w:val="005E073C"/>
    <w:rsid w:val="005E094C"/>
    <w:rsid w:val="005E0BC4"/>
    <w:rsid w:val="005E142B"/>
    <w:rsid w:val="005E1514"/>
    <w:rsid w:val="005E1540"/>
    <w:rsid w:val="005E166B"/>
    <w:rsid w:val="005E183B"/>
    <w:rsid w:val="005E18C0"/>
    <w:rsid w:val="005E18CC"/>
    <w:rsid w:val="005E18FD"/>
    <w:rsid w:val="005E19CA"/>
    <w:rsid w:val="005E1AF2"/>
    <w:rsid w:val="005E1DA2"/>
    <w:rsid w:val="005E1FE4"/>
    <w:rsid w:val="005E235B"/>
    <w:rsid w:val="005E2578"/>
    <w:rsid w:val="005E299C"/>
    <w:rsid w:val="005E2C2A"/>
    <w:rsid w:val="005E2C8A"/>
    <w:rsid w:val="005E3174"/>
    <w:rsid w:val="005E3383"/>
    <w:rsid w:val="005E33CE"/>
    <w:rsid w:val="005E3499"/>
    <w:rsid w:val="005E35CC"/>
    <w:rsid w:val="005E3744"/>
    <w:rsid w:val="005E39BC"/>
    <w:rsid w:val="005E3A6B"/>
    <w:rsid w:val="005E3BD5"/>
    <w:rsid w:val="005E3D5C"/>
    <w:rsid w:val="005E3F65"/>
    <w:rsid w:val="005E44FE"/>
    <w:rsid w:val="005E45FE"/>
    <w:rsid w:val="005E4632"/>
    <w:rsid w:val="005E49B2"/>
    <w:rsid w:val="005E4A52"/>
    <w:rsid w:val="005E4B11"/>
    <w:rsid w:val="005E4B22"/>
    <w:rsid w:val="005E4BB9"/>
    <w:rsid w:val="005E50DD"/>
    <w:rsid w:val="005E573F"/>
    <w:rsid w:val="005E57BD"/>
    <w:rsid w:val="005E5902"/>
    <w:rsid w:val="005E596C"/>
    <w:rsid w:val="005E5BB7"/>
    <w:rsid w:val="005E5D1F"/>
    <w:rsid w:val="005E5D54"/>
    <w:rsid w:val="005E5E21"/>
    <w:rsid w:val="005E5EFC"/>
    <w:rsid w:val="005E62A8"/>
    <w:rsid w:val="005E6358"/>
    <w:rsid w:val="005E6522"/>
    <w:rsid w:val="005E676E"/>
    <w:rsid w:val="005E6902"/>
    <w:rsid w:val="005E696D"/>
    <w:rsid w:val="005E69B1"/>
    <w:rsid w:val="005E6F89"/>
    <w:rsid w:val="005E72EA"/>
    <w:rsid w:val="005E747E"/>
    <w:rsid w:val="005E7591"/>
    <w:rsid w:val="005E75B9"/>
    <w:rsid w:val="005E76C7"/>
    <w:rsid w:val="005E796A"/>
    <w:rsid w:val="005E7A76"/>
    <w:rsid w:val="005E7CF7"/>
    <w:rsid w:val="005E7DAB"/>
    <w:rsid w:val="005E7E9C"/>
    <w:rsid w:val="005E7FE7"/>
    <w:rsid w:val="005F00DC"/>
    <w:rsid w:val="005F029C"/>
    <w:rsid w:val="005F0389"/>
    <w:rsid w:val="005F07EE"/>
    <w:rsid w:val="005F096E"/>
    <w:rsid w:val="005F09EB"/>
    <w:rsid w:val="005F0A04"/>
    <w:rsid w:val="005F0AE8"/>
    <w:rsid w:val="005F0DCA"/>
    <w:rsid w:val="005F13D6"/>
    <w:rsid w:val="005F1554"/>
    <w:rsid w:val="005F1763"/>
    <w:rsid w:val="005F1C34"/>
    <w:rsid w:val="005F1FD6"/>
    <w:rsid w:val="005F2138"/>
    <w:rsid w:val="005F2331"/>
    <w:rsid w:val="005F24B5"/>
    <w:rsid w:val="005F24F3"/>
    <w:rsid w:val="005F2515"/>
    <w:rsid w:val="005F28D9"/>
    <w:rsid w:val="005F2A6B"/>
    <w:rsid w:val="005F30BC"/>
    <w:rsid w:val="005F3366"/>
    <w:rsid w:val="005F33A5"/>
    <w:rsid w:val="005F34FB"/>
    <w:rsid w:val="005F3644"/>
    <w:rsid w:val="005F3860"/>
    <w:rsid w:val="005F38CB"/>
    <w:rsid w:val="005F3B0D"/>
    <w:rsid w:val="005F3B46"/>
    <w:rsid w:val="005F4076"/>
    <w:rsid w:val="005F40C1"/>
    <w:rsid w:val="005F41A7"/>
    <w:rsid w:val="005F4256"/>
    <w:rsid w:val="005F4586"/>
    <w:rsid w:val="005F461E"/>
    <w:rsid w:val="005F4620"/>
    <w:rsid w:val="005F4943"/>
    <w:rsid w:val="005F4965"/>
    <w:rsid w:val="005F4B71"/>
    <w:rsid w:val="005F4BD1"/>
    <w:rsid w:val="005F4D37"/>
    <w:rsid w:val="005F4F81"/>
    <w:rsid w:val="005F5352"/>
    <w:rsid w:val="005F5401"/>
    <w:rsid w:val="005F573F"/>
    <w:rsid w:val="005F57F5"/>
    <w:rsid w:val="005F59B5"/>
    <w:rsid w:val="005F5A14"/>
    <w:rsid w:val="005F5A73"/>
    <w:rsid w:val="005F5A84"/>
    <w:rsid w:val="005F5AA8"/>
    <w:rsid w:val="005F5AAF"/>
    <w:rsid w:val="005F5B91"/>
    <w:rsid w:val="005F5C77"/>
    <w:rsid w:val="005F5EE8"/>
    <w:rsid w:val="005F61CD"/>
    <w:rsid w:val="005F62F2"/>
    <w:rsid w:val="005F63A1"/>
    <w:rsid w:val="005F64FD"/>
    <w:rsid w:val="005F6934"/>
    <w:rsid w:val="005F7109"/>
    <w:rsid w:val="005F71FC"/>
    <w:rsid w:val="005F72FA"/>
    <w:rsid w:val="005F7361"/>
    <w:rsid w:val="005F7829"/>
    <w:rsid w:val="005F785B"/>
    <w:rsid w:val="005F7A84"/>
    <w:rsid w:val="005F7F78"/>
    <w:rsid w:val="0060003E"/>
    <w:rsid w:val="0060021F"/>
    <w:rsid w:val="00600332"/>
    <w:rsid w:val="00600351"/>
    <w:rsid w:val="0060088C"/>
    <w:rsid w:val="006008D9"/>
    <w:rsid w:val="006008E0"/>
    <w:rsid w:val="00600A39"/>
    <w:rsid w:val="00600C81"/>
    <w:rsid w:val="0060102D"/>
    <w:rsid w:val="0060144F"/>
    <w:rsid w:val="006014F5"/>
    <w:rsid w:val="006016D2"/>
    <w:rsid w:val="006016F2"/>
    <w:rsid w:val="00601967"/>
    <w:rsid w:val="006019D9"/>
    <w:rsid w:val="00601DAF"/>
    <w:rsid w:val="00601EE5"/>
    <w:rsid w:val="0060208F"/>
    <w:rsid w:val="006020BC"/>
    <w:rsid w:val="006024D3"/>
    <w:rsid w:val="00602596"/>
    <w:rsid w:val="00602649"/>
    <w:rsid w:val="00602A4A"/>
    <w:rsid w:val="00602B2B"/>
    <w:rsid w:val="00602C32"/>
    <w:rsid w:val="00602C87"/>
    <w:rsid w:val="00602E27"/>
    <w:rsid w:val="00602E98"/>
    <w:rsid w:val="00602F77"/>
    <w:rsid w:val="006030AF"/>
    <w:rsid w:val="0060310B"/>
    <w:rsid w:val="0060315E"/>
    <w:rsid w:val="00603259"/>
    <w:rsid w:val="0060343B"/>
    <w:rsid w:val="00603A26"/>
    <w:rsid w:val="00603B6F"/>
    <w:rsid w:val="00603C04"/>
    <w:rsid w:val="00603CF0"/>
    <w:rsid w:val="00603DEF"/>
    <w:rsid w:val="0060403C"/>
    <w:rsid w:val="0060470A"/>
    <w:rsid w:val="00604D4E"/>
    <w:rsid w:val="00604E2A"/>
    <w:rsid w:val="006050FC"/>
    <w:rsid w:val="006054EB"/>
    <w:rsid w:val="00605829"/>
    <w:rsid w:val="00606114"/>
    <w:rsid w:val="00606560"/>
    <w:rsid w:val="00606580"/>
    <w:rsid w:val="006067B8"/>
    <w:rsid w:val="0060688C"/>
    <w:rsid w:val="00606BBB"/>
    <w:rsid w:val="00606CA1"/>
    <w:rsid w:val="00606EF9"/>
    <w:rsid w:val="00606F81"/>
    <w:rsid w:val="00606FF8"/>
    <w:rsid w:val="0060706A"/>
    <w:rsid w:val="006070FF"/>
    <w:rsid w:val="00607382"/>
    <w:rsid w:val="00607552"/>
    <w:rsid w:val="00607758"/>
    <w:rsid w:val="00607B1F"/>
    <w:rsid w:val="00607C81"/>
    <w:rsid w:val="00607DE5"/>
    <w:rsid w:val="0061012C"/>
    <w:rsid w:val="00610476"/>
    <w:rsid w:val="006104C2"/>
    <w:rsid w:val="00610582"/>
    <w:rsid w:val="00610674"/>
    <w:rsid w:val="00610675"/>
    <w:rsid w:val="0061093A"/>
    <w:rsid w:val="006109E3"/>
    <w:rsid w:val="00610BDC"/>
    <w:rsid w:val="00610D5E"/>
    <w:rsid w:val="00610DB9"/>
    <w:rsid w:val="006110E8"/>
    <w:rsid w:val="006112E3"/>
    <w:rsid w:val="00611869"/>
    <w:rsid w:val="00611A07"/>
    <w:rsid w:val="00611DF6"/>
    <w:rsid w:val="0061211B"/>
    <w:rsid w:val="0061224F"/>
    <w:rsid w:val="00612715"/>
    <w:rsid w:val="00612BB4"/>
    <w:rsid w:val="00612C4F"/>
    <w:rsid w:val="00612FE3"/>
    <w:rsid w:val="00613467"/>
    <w:rsid w:val="00613504"/>
    <w:rsid w:val="00613512"/>
    <w:rsid w:val="00613983"/>
    <w:rsid w:val="00613ABB"/>
    <w:rsid w:val="00613AE1"/>
    <w:rsid w:val="00613E26"/>
    <w:rsid w:val="00613F08"/>
    <w:rsid w:val="00613F33"/>
    <w:rsid w:val="00613FC6"/>
    <w:rsid w:val="0061429B"/>
    <w:rsid w:val="006142B5"/>
    <w:rsid w:val="006148EB"/>
    <w:rsid w:val="00614B32"/>
    <w:rsid w:val="00614B83"/>
    <w:rsid w:val="00614BAE"/>
    <w:rsid w:val="00614D8B"/>
    <w:rsid w:val="006154FD"/>
    <w:rsid w:val="00615925"/>
    <w:rsid w:val="006159FD"/>
    <w:rsid w:val="00615B90"/>
    <w:rsid w:val="0061632B"/>
    <w:rsid w:val="006166C6"/>
    <w:rsid w:val="00616843"/>
    <w:rsid w:val="00616953"/>
    <w:rsid w:val="00616A13"/>
    <w:rsid w:val="00616C56"/>
    <w:rsid w:val="00616DBC"/>
    <w:rsid w:val="00616DBF"/>
    <w:rsid w:val="00616FE3"/>
    <w:rsid w:val="00617144"/>
    <w:rsid w:val="0061739E"/>
    <w:rsid w:val="00617518"/>
    <w:rsid w:val="00617566"/>
    <w:rsid w:val="00617777"/>
    <w:rsid w:val="00617DC1"/>
    <w:rsid w:val="0061C0C9"/>
    <w:rsid w:val="0062027A"/>
    <w:rsid w:val="006206D3"/>
    <w:rsid w:val="00620745"/>
    <w:rsid w:val="00620A56"/>
    <w:rsid w:val="00620DD5"/>
    <w:rsid w:val="00621A36"/>
    <w:rsid w:val="00621B77"/>
    <w:rsid w:val="00621DF4"/>
    <w:rsid w:val="006221A9"/>
    <w:rsid w:val="006221EC"/>
    <w:rsid w:val="006222AF"/>
    <w:rsid w:val="00622948"/>
    <w:rsid w:val="00622B06"/>
    <w:rsid w:val="00622B36"/>
    <w:rsid w:val="00622B44"/>
    <w:rsid w:val="00622BEF"/>
    <w:rsid w:val="00623092"/>
    <w:rsid w:val="00623454"/>
    <w:rsid w:val="00623649"/>
    <w:rsid w:val="00623760"/>
    <w:rsid w:val="00623807"/>
    <w:rsid w:val="00623862"/>
    <w:rsid w:val="00623894"/>
    <w:rsid w:val="0062391A"/>
    <w:rsid w:val="0062398E"/>
    <w:rsid w:val="00623CBF"/>
    <w:rsid w:val="00623D17"/>
    <w:rsid w:val="00623F20"/>
    <w:rsid w:val="00624014"/>
    <w:rsid w:val="006240A7"/>
    <w:rsid w:val="00624152"/>
    <w:rsid w:val="006241A9"/>
    <w:rsid w:val="00624315"/>
    <w:rsid w:val="006245AB"/>
    <w:rsid w:val="006246B7"/>
    <w:rsid w:val="00624778"/>
    <w:rsid w:val="0062477F"/>
    <w:rsid w:val="00624849"/>
    <w:rsid w:val="006249C1"/>
    <w:rsid w:val="00624AA8"/>
    <w:rsid w:val="00624AF1"/>
    <w:rsid w:val="00624DF7"/>
    <w:rsid w:val="00625082"/>
    <w:rsid w:val="00625185"/>
    <w:rsid w:val="006252F8"/>
    <w:rsid w:val="00625358"/>
    <w:rsid w:val="00625456"/>
    <w:rsid w:val="0062545B"/>
    <w:rsid w:val="006254A4"/>
    <w:rsid w:val="0062552A"/>
    <w:rsid w:val="0062586C"/>
    <w:rsid w:val="00625B31"/>
    <w:rsid w:val="00625FCC"/>
    <w:rsid w:val="006261C6"/>
    <w:rsid w:val="0062628B"/>
    <w:rsid w:val="00626329"/>
    <w:rsid w:val="006264E2"/>
    <w:rsid w:val="006268E2"/>
    <w:rsid w:val="00626903"/>
    <w:rsid w:val="00626C96"/>
    <w:rsid w:val="00627241"/>
    <w:rsid w:val="0062726F"/>
    <w:rsid w:val="00627388"/>
    <w:rsid w:val="006276F3"/>
    <w:rsid w:val="00627703"/>
    <w:rsid w:val="0062799E"/>
    <w:rsid w:val="00627C1F"/>
    <w:rsid w:val="00627CBC"/>
    <w:rsid w:val="00627CBD"/>
    <w:rsid w:val="00627CE9"/>
    <w:rsid w:val="00627D9A"/>
    <w:rsid w:val="00627E58"/>
    <w:rsid w:val="0062E310"/>
    <w:rsid w:val="006301C5"/>
    <w:rsid w:val="00630283"/>
    <w:rsid w:val="00630496"/>
    <w:rsid w:val="006306FC"/>
    <w:rsid w:val="00630887"/>
    <w:rsid w:val="00631137"/>
    <w:rsid w:val="00631267"/>
    <w:rsid w:val="006312A7"/>
    <w:rsid w:val="00631969"/>
    <w:rsid w:val="0063232D"/>
    <w:rsid w:val="0063234E"/>
    <w:rsid w:val="00632509"/>
    <w:rsid w:val="00632749"/>
    <w:rsid w:val="006327DA"/>
    <w:rsid w:val="006329A5"/>
    <w:rsid w:val="00632D27"/>
    <w:rsid w:val="0063305B"/>
    <w:rsid w:val="0063323B"/>
    <w:rsid w:val="006332BE"/>
    <w:rsid w:val="006333C5"/>
    <w:rsid w:val="00633474"/>
    <w:rsid w:val="006336B2"/>
    <w:rsid w:val="006338BE"/>
    <w:rsid w:val="006339F4"/>
    <w:rsid w:val="00633CF0"/>
    <w:rsid w:val="00633DE1"/>
    <w:rsid w:val="00633EE7"/>
    <w:rsid w:val="00633F4E"/>
    <w:rsid w:val="00633F70"/>
    <w:rsid w:val="0063400C"/>
    <w:rsid w:val="00634043"/>
    <w:rsid w:val="00634045"/>
    <w:rsid w:val="00634069"/>
    <w:rsid w:val="006341CD"/>
    <w:rsid w:val="006346F0"/>
    <w:rsid w:val="006347A8"/>
    <w:rsid w:val="006348E7"/>
    <w:rsid w:val="00634E59"/>
    <w:rsid w:val="006350D7"/>
    <w:rsid w:val="006350E2"/>
    <w:rsid w:val="0063516C"/>
    <w:rsid w:val="006351BD"/>
    <w:rsid w:val="006351C6"/>
    <w:rsid w:val="00635315"/>
    <w:rsid w:val="0063541F"/>
    <w:rsid w:val="0063554C"/>
    <w:rsid w:val="006355F9"/>
    <w:rsid w:val="00635678"/>
    <w:rsid w:val="00635CF5"/>
    <w:rsid w:val="00635EC6"/>
    <w:rsid w:val="00635F01"/>
    <w:rsid w:val="00635FD0"/>
    <w:rsid w:val="00636355"/>
    <w:rsid w:val="006364D1"/>
    <w:rsid w:val="00636519"/>
    <w:rsid w:val="0063678E"/>
    <w:rsid w:val="0063679D"/>
    <w:rsid w:val="00636B5B"/>
    <w:rsid w:val="00636CF2"/>
    <w:rsid w:val="00636D4D"/>
    <w:rsid w:val="00636D54"/>
    <w:rsid w:val="00636D93"/>
    <w:rsid w:val="00636F08"/>
    <w:rsid w:val="00636FFF"/>
    <w:rsid w:val="00637171"/>
    <w:rsid w:val="00637240"/>
    <w:rsid w:val="006374D6"/>
    <w:rsid w:val="006377D0"/>
    <w:rsid w:val="00637980"/>
    <w:rsid w:val="00637AF2"/>
    <w:rsid w:val="00637B31"/>
    <w:rsid w:val="00637C5B"/>
    <w:rsid w:val="00637D71"/>
    <w:rsid w:val="00640093"/>
    <w:rsid w:val="006408C3"/>
    <w:rsid w:val="00640BCA"/>
    <w:rsid w:val="00640D30"/>
    <w:rsid w:val="00640DC0"/>
    <w:rsid w:val="00640E65"/>
    <w:rsid w:val="00641166"/>
    <w:rsid w:val="006412A6"/>
    <w:rsid w:val="006413C6"/>
    <w:rsid w:val="00641486"/>
    <w:rsid w:val="0064151C"/>
    <w:rsid w:val="0064171D"/>
    <w:rsid w:val="00641885"/>
    <w:rsid w:val="006419F8"/>
    <w:rsid w:val="00641A1A"/>
    <w:rsid w:val="00641AC2"/>
    <w:rsid w:val="00641DA9"/>
    <w:rsid w:val="00641F9D"/>
    <w:rsid w:val="00641FF4"/>
    <w:rsid w:val="0064213F"/>
    <w:rsid w:val="006422CE"/>
    <w:rsid w:val="006427B2"/>
    <w:rsid w:val="006427C1"/>
    <w:rsid w:val="006427CF"/>
    <w:rsid w:val="006428AF"/>
    <w:rsid w:val="0064290C"/>
    <w:rsid w:val="006429D8"/>
    <w:rsid w:val="00642B84"/>
    <w:rsid w:val="00642BD0"/>
    <w:rsid w:val="00642DCA"/>
    <w:rsid w:val="00643242"/>
    <w:rsid w:val="0064344A"/>
    <w:rsid w:val="006436B7"/>
    <w:rsid w:val="006440E9"/>
    <w:rsid w:val="00644247"/>
    <w:rsid w:val="006442C2"/>
    <w:rsid w:val="006448B0"/>
    <w:rsid w:val="006448C0"/>
    <w:rsid w:val="00644A72"/>
    <w:rsid w:val="00644A74"/>
    <w:rsid w:val="00644B00"/>
    <w:rsid w:val="00644B1E"/>
    <w:rsid w:val="00644CAD"/>
    <w:rsid w:val="0064503F"/>
    <w:rsid w:val="006450DE"/>
    <w:rsid w:val="00645107"/>
    <w:rsid w:val="006454BB"/>
    <w:rsid w:val="00645504"/>
    <w:rsid w:val="0064553A"/>
    <w:rsid w:val="0064555A"/>
    <w:rsid w:val="006455D6"/>
    <w:rsid w:val="00645AB3"/>
    <w:rsid w:val="00645B8F"/>
    <w:rsid w:val="00645C8A"/>
    <w:rsid w:val="00645FCF"/>
    <w:rsid w:val="0064611A"/>
    <w:rsid w:val="006461B1"/>
    <w:rsid w:val="006461FD"/>
    <w:rsid w:val="0064620D"/>
    <w:rsid w:val="00646355"/>
    <w:rsid w:val="00646488"/>
    <w:rsid w:val="0064653D"/>
    <w:rsid w:val="006465E6"/>
    <w:rsid w:val="006467F5"/>
    <w:rsid w:val="0064681B"/>
    <w:rsid w:val="00646B51"/>
    <w:rsid w:val="00646B54"/>
    <w:rsid w:val="00646F1A"/>
    <w:rsid w:val="00646FD7"/>
    <w:rsid w:val="0064719A"/>
    <w:rsid w:val="00647463"/>
    <w:rsid w:val="00647547"/>
    <w:rsid w:val="00647940"/>
    <w:rsid w:val="00647A15"/>
    <w:rsid w:val="00647B41"/>
    <w:rsid w:val="00647B86"/>
    <w:rsid w:val="00647CB6"/>
    <w:rsid w:val="006500B1"/>
    <w:rsid w:val="006504FE"/>
    <w:rsid w:val="006508D9"/>
    <w:rsid w:val="00650A74"/>
    <w:rsid w:val="00650D01"/>
    <w:rsid w:val="00650D22"/>
    <w:rsid w:val="00650FF8"/>
    <w:rsid w:val="0065111C"/>
    <w:rsid w:val="0065138C"/>
    <w:rsid w:val="006515DA"/>
    <w:rsid w:val="0065160C"/>
    <w:rsid w:val="00651850"/>
    <w:rsid w:val="006519DF"/>
    <w:rsid w:val="00651E63"/>
    <w:rsid w:val="00651FCA"/>
    <w:rsid w:val="0065226B"/>
    <w:rsid w:val="0065228C"/>
    <w:rsid w:val="006522D2"/>
    <w:rsid w:val="0065274A"/>
    <w:rsid w:val="006528CF"/>
    <w:rsid w:val="006528EC"/>
    <w:rsid w:val="006529A1"/>
    <w:rsid w:val="00652C2A"/>
    <w:rsid w:val="00652CB5"/>
    <w:rsid w:val="00652F53"/>
    <w:rsid w:val="00652F58"/>
    <w:rsid w:val="00652F5C"/>
    <w:rsid w:val="006534C7"/>
    <w:rsid w:val="00653766"/>
    <w:rsid w:val="0065392C"/>
    <w:rsid w:val="00653990"/>
    <w:rsid w:val="00653B41"/>
    <w:rsid w:val="00653EB0"/>
    <w:rsid w:val="006542FF"/>
    <w:rsid w:val="006545E6"/>
    <w:rsid w:val="00654DB3"/>
    <w:rsid w:val="00654E27"/>
    <w:rsid w:val="00654E4E"/>
    <w:rsid w:val="00654ECE"/>
    <w:rsid w:val="00654F0F"/>
    <w:rsid w:val="00654FA6"/>
    <w:rsid w:val="00655122"/>
    <w:rsid w:val="00655158"/>
    <w:rsid w:val="006551F9"/>
    <w:rsid w:val="00655229"/>
    <w:rsid w:val="006553C8"/>
    <w:rsid w:val="00655482"/>
    <w:rsid w:val="006559AD"/>
    <w:rsid w:val="00655CEE"/>
    <w:rsid w:val="00655E1F"/>
    <w:rsid w:val="006563D6"/>
    <w:rsid w:val="00656534"/>
    <w:rsid w:val="00656644"/>
    <w:rsid w:val="006567A1"/>
    <w:rsid w:val="006568AF"/>
    <w:rsid w:val="006569E1"/>
    <w:rsid w:val="00656A27"/>
    <w:rsid w:val="00656C0C"/>
    <w:rsid w:val="00656CFF"/>
    <w:rsid w:val="00657156"/>
    <w:rsid w:val="006572DE"/>
    <w:rsid w:val="00657685"/>
    <w:rsid w:val="00657754"/>
    <w:rsid w:val="00657F3A"/>
    <w:rsid w:val="006601AB"/>
    <w:rsid w:val="00660354"/>
    <w:rsid w:val="006604E8"/>
    <w:rsid w:val="00660709"/>
    <w:rsid w:val="00660838"/>
    <w:rsid w:val="0066097F"/>
    <w:rsid w:val="00660A39"/>
    <w:rsid w:val="00660A8E"/>
    <w:rsid w:val="00660AA2"/>
    <w:rsid w:val="00660D7E"/>
    <w:rsid w:val="006610A0"/>
    <w:rsid w:val="00661395"/>
    <w:rsid w:val="006616CA"/>
    <w:rsid w:val="006618AA"/>
    <w:rsid w:val="00661AFC"/>
    <w:rsid w:val="00661B7C"/>
    <w:rsid w:val="00661F09"/>
    <w:rsid w:val="006624E8"/>
    <w:rsid w:val="00662A7B"/>
    <w:rsid w:val="00662C80"/>
    <w:rsid w:val="00662C91"/>
    <w:rsid w:val="00662CC3"/>
    <w:rsid w:val="00662D3B"/>
    <w:rsid w:val="00662D98"/>
    <w:rsid w:val="00662DFF"/>
    <w:rsid w:val="00662F4B"/>
    <w:rsid w:val="00663005"/>
    <w:rsid w:val="006638FC"/>
    <w:rsid w:val="006639E4"/>
    <w:rsid w:val="00663C57"/>
    <w:rsid w:val="00663FB8"/>
    <w:rsid w:val="00663FEC"/>
    <w:rsid w:val="006640E8"/>
    <w:rsid w:val="006641CA"/>
    <w:rsid w:val="006642EB"/>
    <w:rsid w:val="00664356"/>
    <w:rsid w:val="00664587"/>
    <w:rsid w:val="00664EBB"/>
    <w:rsid w:val="006653B4"/>
    <w:rsid w:val="0066555E"/>
    <w:rsid w:val="006656B4"/>
    <w:rsid w:val="00665963"/>
    <w:rsid w:val="00665C3D"/>
    <w:rsid w:val="00665CD9"/>
    <w:rsid w:val="00665D12"/>
    <w:rsid w:val="00665E0B"/>
    <w:rsid w:val="00665FC6"/>
    <w:rsid w:val="00666336"/>
    <w:rsid w:val="00666421"/>
    <w:rsid w:val="006665AF"/>
    <w:rsid w:val="00666B8D"/>
    <w:rsid w:val="00666C4A"/>
    <w:rsid w:val="00666CE9"/>
    <w:rsid w:val="00666E27"/>
    <w:rsid w:val="00666E50"/>
    <w:rsid w:val="00666EB4"/>
    <w:rsid w:val="00667098"/>
    <w:rsid w:val="00667104"/>
    <w:rsid w:val="00667171"/>
    <w:rsid w:val="006672B4"/>
    <w:rsid w:val="006673DE"/>
    <w:rsid w:val="00667642"/>
    <w:rsid w:val="00667B00"/>
    <w:rsid w:val="00667CBF"/>
    <w:rsid w:val="00667ECD"/>
    <w:rsid w:val="00670197"/>
    <w:rsid w:val="006702C9"/>
    <w:rsid w:val="006703E8"/>
    <w:rsid w:val="00670454"/>
    <w:rsid w:val="006706DF"/>
    <w:rsid w:val="00670B1E"/>
    <w:rsid w:val="0067102D"/>
    <w:rsid w:val="0067110E"/>
    <w:rsid w:val="0067118D"/>
    <w:rsid w:val="0067120F"/>
    <w:rsid w:val="006713D5"/>
    <w:rsid w:val="0067169D"/>
    <w:rsid w:val="00671705"/>
    <w:rsid w:val="006717E1"/>
    <w:rsid w:val="006718A3"/>
    <w:rsid w:val="00671936"/>
    <w:rsid w:val="00671B65"/>
    <w:rsid w:val="00671C3F"/>
    <w:rsid w:val="00671E72"/>
    <w:rsid w:val="00671F0A"/>
    <w:rsid w:val="00672120"/>
    <w:rsid w:val="00672285"/>
    <w:rsid w:val="00672540"/>
    <w:rsid w:val="006727C8"/>
    <w:rsid w:val="00672B16"/>
    <w:rsid w:val="00672B25"/>
    <w:rsid w:val="00672BE4"/>
    <w:rsid w:val="00672CF8"/>
    <w:rsid w:val="0067327D"/>
    <w:rsid w:val="00673352"/>
    <w:rsid w:val="00673843"/>
    <w:rsid w:val="00673909"/>
    <w:rsid w:val="0067391F"/>
    <w:rsid w:val="0067394E"/>
    <w:rsid w:val="00673963"/>
    <w:rsid w:val="0067396B"/>
    <w:rsid w:val="00673C56"/>
    <w:rsid w:val="00673FC9"/>
    <w:rsid w:val="006740E0"/>
    <w:rsid w:val="0067414F"/>
    <w:rsid w:val="00674551"/>
    <w:rsid w:val="00674E44"/>
    <w:rsid w:val="00674E5C"/>
    <w:rsid w:val="00674F9E"/>
    <w:rsid w:val="00674F9F"/>
    <w:rsid w:val="0067505D"/>
    <w:rsid w:val="006757EF"/>
    <w:rsid w:val="00675909"/>
    <w:rsid w:val="0067596C"/>
    <w:rsid w:val="006759B2"/>
    <w:rsid w:val="00675B7B"/>
    <w:rsid w:val="00675DAF"/>
    <w:rsid w:val="00675E35"/>
    <w:rsid w:val="00675E6F"/>
    <w:rsid w:val="00675EC8"/>
    <w:rsid w:val="00675EF2"/>
    <w:rsid w:val="00675FBE"/>
    <w:rsid w:val="006760C3"/>
    <w:rsid w:val="00676490"/>
    <w:rsid w:val="006765D0"/>
    <w:rsid w:val="00676935"/>
    <w:rsid w:val="00676D83"/>
    <w:rsid w:val="00676E15"/>
    <w:rsid w:val="00676FB6"/>
    <w:rsid w:val="00676FEE"/>
    <w:rsid w:val="00677020"/>
    <w:rsid w:val="006770D5"/>
    <w:rsid w:val="006773FF"/>
    <w:rsid w:val="006774A5"/>
    <w:rsid w:val="00677672"/>
    <w:rsid w:val="00677702"/>
    <w:rsid w:val="00677893"/>
    <w:rsid w:val="00677928"/>
    <w:rsid w:val="00677962"/>
    <w:rsid w:val="00677B1A"/>
    <w:rsid w:val="00677E46"/>
    <w:rsid w:val="0068032F"/>
    <w:rsid w:val="0068037E"/>
    <w:rsid w:val="006803A6"/>
    <w:rsid w:val="006807F2"/>
    <w:rsid w:val="00680B6C"/>
    <w:rsid w:val="00680CBA"/>
    <w:rsid w:val="00680CCE"/>
    <w:rsid w:val="00681025"/>
    <w:rsid w:val="0068137F"/>
    <w:rsid w:val="00681403"/>
    <w:rsid w:val="0068163E"/>
    <w:rsid w:val="0068180B"/>
    <w:rsid w:val="00681811"/>
    <w:rsid w:val="006819C7"/>
    <w:rsid w:val="00681C5B"/>
    <w:rsid w:val="00681D03"/>
    <w:rsid w:val="00681ECB"/>
    <w:rsid w:val="00681EED"/>
    <w:rsid w:val="00681FAB"/>
    <w:rsid w:val="006821AD"/>
    <w:rsid w:val="006824D6"/>
    <w:rsid w:val="00682754"/>
    <w:rsid w:val="006829F9"/>
    <w:rsid w:val="00682D77"/>
    <w:rsid w:val="00682D96"/>
    <w:rsid w:val="00682E5F"/>
    <w:rsid w:val="00683546"/>
    <w:rsid w:val="0068368C"/>
    <w:rsid w:val="00683B0E"/>
    <w:rsid w:val="00683B33"/>
    <w:rsid w:val="00683C7A"/>
    <w:rsid w:val="00683E42"/>
    <w:rsid w:val="00683F83"/>
    <w:rsid w:val="0068401D"/>
    <w:rsid w:val="00684121"/>
    <w:rsid w:val="0068413A"/>
    <w:rsid w:val="00684291"/>
    <w:rsid w:val="0068446B"/>
    <w:rsid w:val="00684718"/>
    <w:rsid w:val="00684825"/>
    <w:rsid w:val="00684852"/>
    <w:rsid w:val="0068491D"/>
    <w:rsid w:val="00684B1B"/>
    <w:rsid w:val="00684F4B"/>
    <w:rsid w:val="006856EB"/>
    <w:rsid w:val="006858A6"/>
    <w:rsid w:val="0068650C"/>
    <w:rsid w:val="00686A53"/>
    <w:rsid w:val="00686A71"/>
    <w:rsid w:val="00686B40"/>
    <w:rsid w:val="00686FE3"/>
    <w:rsid w:val="00687047"/>
    <w:rsid w:val="00687076"/>
    <w:rsid w:val="006871A1"/>
    <w:rsid w:val="00687334"/>
    <w:rsid w:val="00687351"/>
    <w:rsid w:val="006874DB"/>
    <w:rsid w:val="006876E1"/>
    <w:rsid w:val="00687941"/>
    <w:rsid w:val="00687B21"/>
    <w:rsid w:val="00687EB6"/>
    <w:rsid w:val="00687ECA"/>
    <w:rsid w:val="00687FCD"/>
    <w:rsid w:val="00687FD6"/>
    <w:rsid w:val="00690633"/>
    <w:rsid w:val="00690A4B"/>
    <w:rsid w:val="00690D59"/>
    <w:rsid w:val="00690EC9"/>
    <w:rsid w:val="00690F17"/>
    <w:rsid w:val="00691019"/>
    <w:rsid w:val="0069110A"/>
    <w:rsid w:val="00691198"/>
    <w:rsid w:val="006911CC"/>
    <w:rsid w:val="00691211"/>
    <w:rsid w:val="0069123E"/>
    <w:rsid w:val="0069153C"/>
    <w:rsid w:val="00691913"/>
    <w:rsid w:val="006919E8"/>
    <w:rsid w:val="00692204"/>
    <w:rsid w:val="00692317"/>
    <w:rsid w:val="00692416"/>
    <w:rsid w:val="00692475"/>
    <w:rsid w:val="006924CD"/>
    <w:rsid w:val="0069266D"/>
    <w:rsid w:val="0069268B"/>
    <w:rsid w:val="0069296B"/>
    <w:rsid w:val="00692CF5"/>
    <w:rsid w:val="00692EB9"/>
    <w:rsid w:val="006931F0"/>
    <w:rsid w:val="00693251"/>
    <w:rsid w:val="006932ED"/>
    <w:rsid w:val="00693399"/>
    <w:rsid w:val="00693486"/>
    <w:rsid w:val="0069385D"/>
    <w:rsid w:val="006939F5"/>
    <w:rsid w:val="00693B7E"/>
    <w:rsid w:val="00693B89"/>
    <w:rsid w:val="00693EDF"/>
    <w:rsid w:val="00693F86"/>
    <w:rsid w:val="00694233"/>
    <w:rsid w:val="0069433D"/>
    <w:rsid w:val="00694434"/>
    <w:rsid w:val="00694445"/>
    <w:rsid w:val="00694503"/>
    <w:rsid w:val="00694597"/>
    <w:rsid w:val="0069459C"/>
    <w:rsid w:val="006947C4"/>
    <w:rsid w:val="00694937"/>
    <w:rsid w:val="00694956"/>
    <w:rsid w:val="00694C38"/>
    <w:rsid w:val="00694C4A"/>
    <w:rsid w:val="00694C7A"/>
    <w:rsid w:val="00695045"/>
    <w:rsid w:val="006955B8"/>
    <w:rsid w:val="006955E0"/>
    <w:rsid w:val="00695669"/>
    <w:rsid w:val="006956E6"/>
    <w:rsid w:val="0069583F"/>
    <w:rsid w:val="00695AC6"/>
    <w:rsid w:val="00695E4F"/>
    <w:rsid w:val="00695E6B"/>
    <w:rsid w:val="00695F4E"/>
    <w:rsid w:val="00695F82"/>
    <w:rsid w:val="00696164"/>
    <w:rsid w:val="00696572"/>
    <w:rsid w:val="00696578"/>
    <w:rsid w:val="006965F7"/>
    <w:rsid w:val="0069664E"/>
    <w:rsid w:val="0069681D"/>
    <w:rsid w:val="006968B3"/>
    <w:rsid w:val="00696F95"/>
    <w:rsid w:val="006971E7"/>
    <w:rsid w:val="006974F9"/>
    <w:rsid w:val="00697619"/>
    <w:rsid w:val="00697935"/>
    <w:rsid w:val="00697B9A"/>
    <w:rsid w:val="00697D8D"/>
    <w:rsid w:val="00697DC4"/>
    <w:rsid w:val="00697FD2"/>
    <w:rsid w:val="006A03B5"/>
    <w:rsid w:val="006A0849"/>
    <w:rsid w:val="006A0B37"/>
    <w:rsid w:val="006A0C1B"/>
    <w:rsid w:val="006A0C3B"/>
    <w:rsid w:val="006A0CD8"/>
    <w:rsid w:val="006A0DD1"/>
    <w:rsid w:val="006A10AD"/>
    <w:rsid w:val="006A119E"/>
    <w:rsid w:val="006A138B"/>
    <w:rsid w:val="006A1569"/>
    <w:rsid w:val="006A15A5"/>
    <w:rsid w:val="006A15B9"/>
    <w:rsid w:val="006A1882"/>
    <w:rsid w:val="006A18A6"/>
    <w:rsid w:val="006A19E3"/>
    <w:rsid w:val="006A1F5D"/>
    <w:rsid w:val="006A20B8"/>
    <w:rsid w:val="006A215D"/>
    <w:rsid w:val="006A239A"/>
    <w:rsid w:val="006A23E5"/>
    <w:rsid w:val="006A23FA"/>
    <w:rsid w:val="006A2541"/>
    <w:rsid w:val="006A2841"/>
    <w:rsid w:val="006A2F22"/>
    <w:rsid w:val="006A3168"/>
    <w:rsid w:val="006A32C1"/>
    <w:rsid w:val="006A349B"/>
    <w:rsid w:val="006A34E6"/>
    <w:rsid w:val="006A3AC9"/>
    <w:rsid w:val="006A3ACD"/>
    <w:rsid w:val="006A3B3E"/>
    <w:rsid w:val="006A3C4C"/>
    <w:rsid w:val="006A3DF8"/>
    <w:rsid w:val="006A4494"/>
    <w:rsid w:val="006A461D"/>
    <w:rsid w:val="006A475F"/>
    <w:rsid w:val="006A4872"/>
    <w:rsid w:val="006A4A12"/>
    <w:rsid w:val="006A5002"/>
    <w:rsid w:val="006A522E"/>
    <w:rsid w:val="006A52CA"/>
    <w:rsid w:val="006A5341"/>
    <w:rsid w:val="006A550B"/>
    <w:rsid w:val="006A5618"/>
    <w:rsid w:val="006A572A"/>
    <w:rsid w:val="006A58BA"/>
    <w:rsid w:val="006A5C53"/>
    <w:rsid w:val="006A5D4D"/>
    <w:rsid w:val="006A5DC6"/>
    <w:rsid w:val="006A5EC4"/>
    <w:rsid w:val="006A5FA3"/>
    <w:rsid w:val="006A5FF3"/>
    <w:rsid w:val="006A607A"/>
    <w:rsid w:val="006A615D"/>
    <w:rsid w:val="006A6423"/>
    <w:rsid w:val="006A680E"/>
    <w:rsid w:val="006A6BDD"/>
    <w:rsid w:val="006A6F13"/>
    <w:rsid w:val="006A723A"/>
    <w:rsid w:val="006A7386"/>
    <w:rsid w:val="006A7451"/>
    <w:rsid w:val="006A7496"/>
    <w:rsid w:val="006A7752"/>
    <w:rsid w:val="006A7C65"/>
    <w:rsid w:val="006A7C89"/>
    <w:rsid w:val="006B02D5"/>
    <w:rsid w:val="006B03DB"/>
    <w:rsid w:val="006B0480"/>
    <w:rsid w:val="006B0567"/>
    <w:rsid w:val="006B09BA"/>
    <w:rsid w:val="006B0C97"/>
    <w:rsid w:val="006B10E4"/>
    <w:rsid w:val="006B12C1"/>
    <w:rsid w:val="006B140A"/>
    <w:rsid w:val="006B1473"/>
    <w:rsid w:val="006B16FD"/>
    <w:rsid w:val="006B17A5"/>
    <w:rsid w:val="006B189F"/>
    <w:rsid w:val="006B1AA8"/>
    <w:rsid w:val="006B1FCE"/>
    <w:rsid w:val="006B21A7"/>
    <w:rsid w:val="006B2513"/>
    <w:rsid w:val="006B26C0"/>
    <w:rsid w:val="006B29EA"/>
    <w:rsid w:val="006B2B3E"/>
    <w:rsid w:val="006B2B44"/>
    <w:rsid w:val="006B2D28"/>
    <w:rsid w:val="006B3202"/>
    <w:rsid w:val="006B32AD"/>
    <w:rsid w:val="006B3327"/>
    <w:rsid w:val="006B33E6"/>
    <w:rsid w:val="006B3405"/>
    <w:rsid w:val="006B3693"/>
    <w:rsid w:val="006B39E9"/>
    <w:rsid w:val="006B39FF"/>
    <w:rsid w:val="006B3A28"/>
    <w:rsid w:val="006B3A4D"/>
    <w:rsid w:val="006B3AD8"/>
    <w:rsid w:val="006B3D0E"/>
    <w:rsid w:val="006B3DF7"/>
    <w:rsid w:val="006B3F47"/>
    <w:rsid w:val="006B42CD"/>
    <w:rsid w:val="006B4423"/>
    <w:rsid w:val="006B44D0"/>
    <w:rsid w:val="006B45E7"/>
    <w:rsid w:val="006B4707"/>
    <w:rsid w:val="006B495C"/>
    <w:rsid w:val="006B4A01"/>
    <w:rsid w:val="006B4B90"/>
    <w:rsid w:val="006B4C68"/>
    <w:rsid w:val="006B4C86"/>
    <w:rsid w:val="006B53A7"/>
    <w:rsid w:val="006B53BC"/>
    <w:rsid w:val="006B5483"/>
    <w:rsid w:val="006B5568"/>
    <w:rsid w:val="006B59E6"/>
    <w:rsid w:val="006B5A0B"/>
    <w:rsid w:val="006B5A1E"/>
    <w:rsid w:val="006B5A1F"/>
    <w:rsid w:val="006B5C43"/>
    <w:rsid w:val="006B5C72"/>
    <w:rsid w:val="006B5C7A"/>
    <w:rsid w:val="006B5CC6"/>
    <w:rsid w:val="006B5D29"/>
    <w:rsid w:val="006B6044"/>
    <w:rsid w:val="006B651F"/>
    <w:rsid w:val="006B665C"/>
    <w:rsid w:val="006B687D"/>
    <w:rsid w:val="006B68D1"/>
    <w:rsid w:val="006B6BD6"/>
    <w:rsid w:val="006B6D3B"/>
    <w:rsid w:val="006B6DDC"/>
    <w:rsid w:val="006B6DE4"/>
    <w:rsid w:val="006B71FE"/>
    <w:rsid w:val="006B73C5"/>
    <w:rsid w:val="006B74D2"/>
    <w:rsid w:val="006B75D6"/>
    <w:rsid w:val="006B783D"/>
    <w:rsid w:val="006B7BEA"/>
    <w:rsid w:val="006B7FCF"/>
    <w:rsid w:val="006C014A"/>
    <w:rsid w:val="006C0581"/>
    <w:rsid w:val="006C0862"/>
    <w:rsid w:val="006C0974"/>
    <w:rsid w:val="006C0BE7"/>
    <w:rsid w:val="006C0FB8"/>
    <w:rsid w:val="006C1158"/>
    <w:rsid w:val="006C13C4"/>
    <w:rsid w:val="006C145B"/>
    <w:rsid w:val="006C16D8"/>
    <w:rsid w:val="006C1842"/>
    <w:rsid w:val="006C18A2"/>
    <w:rsid w:val="006C1D16"/>
    <w:rsid w:val="006C1F60"/>
    <w:rsid w:val="006C2102"/>
    <w:rsid w:val="006C2114"/>
    <w:rsid w:val="006C245A"/>
    <w:rsid w:val="006C2524"/>
    <w:rsid w:val="006C2612"/>
    <w:rsid w:val="006C2990"/>
    <w:rsid w:val="006C2A4F"/>
    <w:rsid w:val="006C2D6B"/>
    <w:rsid w:val="006C2F0E"/>
    <w:rsid w:val="006C2F57"/>
    <w:rsid w:val="006C34D1"/>
    <w:rsid w:val="006C356F"/>
    <w:rsid w:val="006C3714"/>
    <w:rsid w:val="006C39FC"/>
    <w:rsid w:val="006C3E0C"/>
    <w:rsid w:val="006C3EC2"/>
    <w:rsid w:val="006C40D2"/>
    <w:rsid w:val="006C4251"/>
    <w:rsid w:val="006C43E1"/>
    <w:rsid w:val="006C4449"/>
    <w:rsid w:val="006C4707"/>
    <w:rsid w:val="006C4906"/>
    <w:rsid w:val="006C49C8"/>
    <w:rsid w:val="006C4AE6"/>
    <w:rsid w:val="006C4CB6"/>
    <w:rsid w:val="006C504B"/>
    <w:rsid w:val="006C5192"/>
    <w:rsid w:val="006C521E"/>
    <w:rsid w:val="006C529B"/>
    <w:rsid w:val="006C546F"/>
    <w:rsid w:val="006C54AF"/>
    <w:rsid w:val="006C559A"/>
    <w:rsid w:val="006C5756"/>
    <w:rsid w:val="006C5919"/>
    <w:rsid w:val="006C5B4C"/>
    <w:rsid w:val="006C5C67"/>
    <w:rsid w:val="006C5C8B"/>
    <w:rsid w:val="006C5CC2"/>
    <w:rsid w:val="006C6243"/>
    <w:rsid w:val="006C661D"/>
    <w:rsid w:val="006C6AA6"/>
    <w:rsid w:val="006C6BB9"/>
    <w:rsid w:val="006C6E97"/>
    <w:rsid w:val="006C711C"/>
    <w:rsid w:val="006C73D8"/>
    <w:rsid w:val="006C7598"/>
    <w:rsid w:val="006C77B8"/>
    <w:rsid w:val="006C78BF"/>
    <w:rsid w:val="006C7C87"/>
    <w:rsid w:val="006D03AE"/>
    <w:rsid w:val="006D08CB"/>
    <w:rsid w:val="006D08CD"/>
    <w:rsid w:val="006D0E39"/>
    <w:rsid w:val="006D0EB6"/>
    <w:rsid w:val="006D0F8A"/>
    <w:rsid w:val="006D10E0"/>
    <w:rsid w:val="006D1234"/>
    <w:rsid w:val="006D1249"/>
    <w:rsid w:val="006D12EA"/>
    <w:rsid w:val="006D164E"/>
    <w:rsid w:val="006D1A39"/>
    <w:rsid w:val="006D2480"/>
    <w:rsid w:val="006D259B"/>
    <w:rsid w:val="006D2C3D"/>
    <w:rsid w:val="006D2C88"/>
    <w:rsid w:val="006D2CEF"/>
    <w:rsid w:val="006D2CFC"/>
    <w:rsid w:val="006D2F56"/>
    <w:rsid w:val="006D3271"/>
    <w:rsid w:val="006D3324"/>
    <w:rsid w:val="006D33C5"/>
    <w:rsid w:val="006D346F"/>
    <w:rsid w:val="006D3743"/>
    <w:rsid w:val="006D3842"/>
    <w:rsid w:val="006D3986"/>
    <w:rsid w:val="006D3A72"/>
    <w:rsid w:val="006D3C90"/>
    <w:rsid w:val="006D43F2"/>
    <w:rsid w:val="006D495D"/>
    <w:rsid w:val="006D4BCE"/>
    <w:rsid w:val="006D4D1E"/>
    <w:rsid w:val="006D4D6A"/>
    <w:rsid w:val="006D4E1F"/>
    <w:rsid w:val="006D506D"/>
    <w:rsid w:val="006D511D"/>
    <w:rsid w:val="006D529C"/>
    <w:rsid w:val="006D53DA"/>
    <w:rsid w:val="006D5426"/>
    <w:rsid w:val="006D560D"/>
    <w:rsid w:val="006D59D5"/>
    <w:rsid w:val="006D5ACE"/>
    <w:rsid w:val="006D5BFA"/>
    <w:rsid w:val="006D5D03"/>
    <w:rsid w:val="006D5E50"/>
    <w:rsid w:val="006D5F43"/>
    <w:rsid w:val="006D63C6"/>
    <w:rsid w:val="006D656A"/>
    <w:rsid w:val="006D6A3C"/>
    <w:rsid w:val="006D6CD0"/>
    <w:rsid w:val="006D6E5F"/>
    <w:rsid w:val="006D6ED5"/>
    <w:rsid w:val="006D70E7"/>
    <w:rsid w:val="006D71B7"/>
    <w:rsid w:val="006D7363"/>
    <w:rsid w:val="006D75C3"/>
    <w:rsid w:val="006D77E8"/>
    <w:rsid w:val="006D7BAE"/>
    <w:rsid w:val="006D7D25"/>
    <w:rsid w:val="006D7D63"/>
    <w:rsid w:val="006D7DD8"/>
    <w:rsid w:val="006D7DE0"/>
    <w:rsid w:val="006D7E74"/>
    <w:rsid w:val="006D7EA0"/>
    <w:rsid w:val="006D7FEF"/>
    <w:rsid w:val="006D7FF7"/>
    <w:rsid w:val="006E0B8F"/>
    <w:rsid w:val="006E0DC1"/>
    <w:rsid w:val="006E0EDC"/>
    <w:rsid w:val="006E1234"/>
    <w:rsid w:val="006E1313"/>
    <w:rsid w:val="006E137A"/>
    <w:rsid w:val="006E13D9"/>
    <w:rsid w:val="006E157C"/>
    <w:rsid w:val="006E1598"/>
    <w:rsid w:val="006E15AD"/>
    <w:rsid w:val="006E166E"/>
    <w:rsid w:val="006E17AC"/>
    <w:rsid w:val="006E1CF8"/>
    <w:rsid w:val="006E1E35"/>
    <w:rsid w:val="006E21CF"/>
    <w:rsid w:val="006E21DA"/>
    <w:rsid w:val="006E2A2A"/>
    <w:rsid w:val="006E2B3F"/>
    <w:rsid w:val="006E30FB"/>
    <w:rsid w:val="006E33BF"/>
    <w:rsid w:val="006E388E"/>
    <w:rsid w:val="006E3A23"/>
    <w:rsid w:val="006E3A68"/>
    <w:rsid w:val="006E3B38"/>
    <w:rsid w:val="006E3C5C"/>
    <w:rsid w:val="006E3CAE"/>
    <w:rsid w:val="006E426F"/>
    <w:rsid w:val="006E4326"/>
    <w:rsid w:val="006E43A9"/>
    <w:rsid w:val="006E440A"/>
    <w:rsid w:val="006E4482"/>
    <w:rsid w:val="006E4749"/>
    <w:rsid w:val="006E47D2"/>
    <w:rsid w:val="006E4B3A"/>
    <w:rsid w:val="006E4CA3"/>
    <w:rsid w:val="006E4CC9"/>
    <w:rsid w:val="006E4D76"/>
    <w:rsid w:val="006E4F94"/>
    <w:rsid w:val="006E5159"/>
    <w:rsid w:val="006E5515"/>
    <w:rsid w:val="006E58A2"/>
    <w:rsid w:val="006E5A53"/>
    <w:rsid w:val="006E5B28"/>
    <w:rsid w:val="006E5C5E"/>
    <w:rsid w:val="006E5CD3"/>
    <w:rsid w:val="006E5F6C"/>
    <w:rsid w:val="006E6360"/>
    <w:rsid w:val="006E66D9"/>
    <w:rsid w:val="006E679E"/>
    <w:rsid w:val="006E68E5"/>
    <w:rsid w:val="006E68FC"/>
    <w:rsid w:val="006E6C1D"/>
    <w:rsid w:val="006E6DB6"/>
    <w:rsid w:val="006E72EC"/>
    <w:rsid w:val="006E7302"/>
    <w:rsid w:val="006E73FF"/>
    <w:rsid w:val="006E7668"/>
    <w:rsid w:val="006E77BD"/>
    <w:rsid w:val="006E77C9"/>
    <w:rsid w:val="006E7CBD"/>
    <w:rsid w:val="006F030F"/>
    <w:rsid w:val="006F0385"/>
    <w:rsid w:val="006F04AA"/>
    <w:rsid w:val="006F0564"/>
    <w:rsid w:val="006F07C3"/>
    <w:rsid w:val="006F07F0"/>
    <w:rsid w:val="006F092A"/>
    <w:rsid w:val="006F0A10"/>
    <w:rsid w:val="006F0B41"/>
    <w:rsid w:val="006F0D5A"/>
    <w:rsid w:val="006F0E8B"/>
    <w:rsid w:val="006F0EDB"/>
    <w:rsid w:val="006F1030"/>
    <w:rsid w:val="006F10E4"/>
    <w:rsid w:val="006F128C"/>
    <w:rsid w:val="006F1364"/>
    <w:rsid w:val="006F1474"/>
    <w:rsid w:val="006F161E"/>
    <w:rsid w:val="006F179D"/>
    <w:rsid w:val="006F1AD9"/>
    <w:rsid w:val="006F1B01"/>
    <w:rsid w:val="006F1BB3"/>
    <w:rsid w:val="006F21CC"/>
    <w:rsid w:val="006F2322"/>
    <w:rsid w:val="006F2571"/>
    <w:rsid w:val="006F25AD"/>
    <w:rsid w:val="006F2727"/>
    <w:rsid w:val="006F2A49"/>
    <w:rsid w:val="006F2AB8"/>
    <w:rsid w:val="006F2B55"/>
    <w:rsid w:val="006F301B"/>
    <w:rsid w:val="006F30F5"/>
    <w:rsid w:val="006F345D"/>
    <w:rsid w:val="006F345F"/>
    <w:rsid w:val="006F34F3"/>
    <w:rsid w:val="006F350A"/>
    <w:rsid w:val="006F355D"/>
    <w:rsid w:val="006F3BC3"/>
    <w:rsid w:val="006F3CFB"/>
    <w:rsid w:val="006F3D68"/>
    <w:rsid w:val="006F3FCB"/>
    <w:rsid w:val="006F4230"/>
    <w:rsid w:val="006F4355"/>
    <w:rsid w:val="006F473D"/>
    <w:rsid w:val="006F4D13"/>
    <w:rsid w:val="006F4D53"/>
    <w:rsid w:val="006F524B"/>
    <w:rsid w:val="006F546D"/>
    <w:rsid w:val="006F5769"/>
    <w:rsid w:val="006F5996"/>
    <w:rsid w:val="006F5A42"/>
    <w:rsid w:val="006F5A9C"/>
    <w:rsid w:val="006F5B21"/>
    <w:rsid w:val="006F5C9D"/>
    <w:rsid w:val="006F5D0E"/>
    <w:rsid w:val="006F5F0C"/>
    <w:rsid w:val="006F6398"/>
    <w:rsid w:val="006F653B"/>
    <w:rsid w:val="006F6566"/>
    <w:rsid w:val="006F66EA"/>
    <w:rsid w:val="006F66F3"/>
    <w:rsid w:val="006F69DC"/>
    <w:rsid w:val="006F6BA5"/>
    <w:rsid w:val="006F6E62"/>
    <w:rsid w:val="006F6E72"/>
    <w:rsid w:val="006F71AD"/>
    <w:rsid w:val="006F7A2E"/>
    <w:rsid w:val="006F7C82"/>
    <w:rsid w:val="006F7EC8"/>
    <w:rsid w:val="006F7F34"/>
    <w:rsid w:val="0070056B"/>
    <w:rsid w:val="00700582"/>
    <w:rsid w:val="007007E7"/>
    <w:rsid w:val="00700C5D"/>
    <w:rsid w:val="00700CBC"/>
    <w:rsid w:val="00700DC2"/>
    <w:rsid w:val="00700E71"/>
    <w:rsid w:val="00700FE7"/>
    <w:rsid w:val="00701499"/>
    <w:rsid w:val="007018FF"/>
    <w:rsid w:val="00701BD8"/>
    <w:rsid w:val="00701EA4"/>
    <w:rsid w:val="00701FED"/>
    <w:rsid w:val="007021D5"/>
    <w:rsid w:val="0070234D"/>
    <w:rsid w:val="00702406"/>
    <w:rsid w:val="00702656"/>
    <w:rsid w:val="0070277E"/>
    <w:rsid w:val="00702992"/>
    <w:rsid w:val="00702BCB"/>
    <w:rsid w:val="00702E69"/>
    <w:rsid w:val="00703418"/>
    <w:rsid w:val="007035F9"/>
    <w:rsid w:val="0070362A"/>
    <w:rsid w:val="00703727"/>
    <w:rsid w:val="007038C5"/>
    <w:rsid w:val="007039EE"/>
    <w:rsid w:val="00703C19"/>
    <w:rsid w:val="00703D37"/>
    <w:rsid w:val="00703ED3"/>
    <w:rsid w:val="007041FF"/>
    <w:rsid w:val="0070421E"/>
    <w:rsid w:val="00704285"/>
    <w:rsid w:val="007042B9"/>
    <w:rsid w:val="00704500"/>
    <w:rsid w:val="0070456D"/>
    <w:rsid w:val="0070459F"/>
    <w:rsid w:val="0070461E"/>
    <w:rsid w:val="00704741"/>
    <w:rsid w:val="00704885"/>
    <w:rsid w:val="00704960"/>
    <w:rsid w:val="00704AD3"/>
    <w:rsid w:val="00704B07"/>
    <w:rsid w:val="00704D7C"/>
    <w:rsid w:val="00704D90"/>
    <w:rsid w:val="007050CB"/>
    <w:rsid w:val="00705384"/>
    <w:rsid w:val="0070543F"/>
    <w:rsid w:val="0070598E"/>
    <w:rsid w:val="00705A9E"/>
    <w:rsid w:val="00705B82"/>
    <w:rsid w:val="007061AA"/>
    <w:rsid w:val="007063D3"/>
    <w:rsid w:val="007066B4"/>
    <w:rsid w:val="00706866"/>
    <w:rsid w:val="007069BC"/>
    <w:rsid w:val="00706EEB"/>
    <w:rsid w:val="007074F2"/>
    <w:rsid w:val="00707CEF"/>
    <w:rsid w:val="00707E2C"/>
    <w:rsid w:val="0071003C"/>
    <w:rsid w:val="00710051"/>
    <w:rsid w:val="0071033F"/>
    <w:rsid w:val="00710485"/>
    <w:rsid w:val="0071051D"/>
    <w:rsid w:val="0071072E"/>
    <w:rsid w:val="00710977"/>
    <w:rsid w:val="00710979"/>
    <w:rsid w:val="007109D8"/>
    <w:rsid w:val="0071125D"/>
    <w:rsid w:val="0071149C"/>
    <w:rsid w:val="00711555"/>
    <w:rsid w:val="007115E8"/>
    <w:rsid w:val="00711A23"/>
    <w:rsid w:val="00711CA1"/>
    <w:rsid w:val="00711CBD"/>
    <w:rsid w:val="00711D0A"/>
    <w:rsid w:val="00711E12"/>
    <w:rsid w:val="00711E18"/>
    <w:rsid w:val="00711E9E"/>
    <w:rsid w:val="00711ED0"/>
    <w:rsid w:val="00712060"/>
    <w:rsid w:val="00712531"/>
    <w:rsid w:val="00712549"/>
    <w:rsid w:val="007126C6"/>
    <w:rsid w:val="007126FB"/>
    <w:rsid w:val="007126FC"/>
    <w:rsid w:val="00712715"/>
    <w:rsid w:val="0071272A"/>
    <w:rsid w:val="00712BB6"/>
    <w:rsid w:val="00712C73"/>
    <w:rsid w:val="00712CA5"/>
    <w:rsid w:val="007134BD"/>
    <w:rsid w:val="0071362E"/>
    <w:rsid w:val="0071381B"/>
    <w:rsid w:val="00713910"/>
    <w:rsid w:val="0071392D"/>
    <w:rsid w:val="007139FE"/>
    <w:rsid w:val="00713A51"/>
    <w:rsid w:val="00713AB4"/>
    <w:rsid w:val="00713ACB"/>
    <w:rsid w:val="00713AE5"/>
    <w:rsid w:val="00713BB6"/>
    <w:rsid w:val="00713DB0"/>
    <w:rsid w:val="00714077"/>
    <w:rsid w:val="00714535"/>
    <w:rsid w:val="007145B2"/>
    <w:rsid w:val="0071474F"/>
    <w:rsid w:val="00714ADC"/>
    <w:rsid w:val="00714AEC"/>
    <w:rsid w:val="00714BFF"/>
    <w:rsid w:val="00714C67"/>
    <w:rsid w:val="00714E0D"/>
    <w:rsid w:val="00714F9D"/>
    <w:rsid w:val="00714FE3"/>
    <w:rsid w:val="00714FF7"/>
    <w:rsid w:val="00715033"/>
    <w:rsid w:val="0071513A"/>
    <w:rsid w:val="007151BF"/>
    <w:rsid w:val="0071532B"/>
    <w:rsid w:val="00715388"/>
    <w:rsid w:val="00715460"/>
    <w:rsid w:val="007155ED"/>
    <w:rsid w:val="00715791"/>
    <w:rsid w:val="007157B3"/>
    <w:rsid w:val="00715A23"/>
    <w:rsid w:val="00715BE3"/>
    <w:rsid w:val="00715C28"/>
    <w:rsid w:val="00716325"/>
    <w:rsid w:val="0071691C"/>
    <w:rsid w:val="00716973"/>
    <w:rsid w:val="00716A06"/>
    <w:rsid w:val="00716D66"/>
    <w:rsid w:val="0071717A"/>
    <w:rsid w:val="007175EA"/>
    <w:rsid w:val="0071791E"/>
    <w:rsid w:val="00717C8E"/>
    <w:rsid w:val="00717D70"/>
    <w:rsid w:val="00717DF4"/>
    <w:rsid w:val="0072019E"/>
    <w:rsid w:val="007203A8"/>
    <w:rsid w:val="0072048C"/>
    <w:rsid w:val="0072093D"/>
    <w:rsid w:val="00720E05"/>
    <w:rsid w:val="00720E59"/>
    <w:rsid w:val="00720F05"/>
    <w:rsid w:val="00720F4E"/>
    <w:rsid w:val="00720F6E"/>
    <w:rsid w:val="00721007"/>
    <w:rsid w:val="00721511"/>
    <w:rsid w:val="00721551"/>
    <w:rsid w:val="007215AB"/>
    <w:rsid w:val="0072175F"/>
    <w:rsid w:val="007217D1"/>
    <w:rsid w:val="00721CDD"/>
    <w:rsid w:val="00721FD6"/>
    <w:rsid w:val="00722081"/>
    <w:rsid w:val="00722107"/>
    <w:rsid w:val="00722446"/>
    <w:rsid w:val="0072248F"/>
    <w:rsid w:val="007225CA"/>
    <w:rsid w:val="00722805"/>
    <w:rsid w:val="0072282F"/>
    <w:rsid w:val="007228F5"/>
    <w:rsid w:val="00722C89"/>
    <w:rsid w:val="00722CD6"/>
    <w:rsid w:val="00722D83"/>
    <w:rsid w:val="00722F7F"/>
    <w:rsid w:val="0072329E"/>
    <w:rsid w:val="00723535"/>
    <w:rsid w:val="00723698"/>
    <w:rsid w:val="00723747"/>
    <w:rsid w:val="0072379F"/>
    <w:rsid w:val="00723A98"/>
    <w:rsid w:val="00723DE4"/>
    <w:rsid w:val="00723E1E"/>
    <w:rsid w:val="00723E5A"/>
    <w:rsid w:val="00723ECB"/>
    <w:rsid w:val="00724133"/>
    <w:rsid w:val="0072423B"/>
    <w:rsid w:val="007243BE"/>
    <w:rsid w:val="00724591"/>
    <w:rsid w:val="007245AA"/>
    <w:rsid w:val="00724868"/>
    <w:rsid w:val="007249AB"/>
    <w:rsid w:val="00724A0C"/>
    <w:rsid w:val="00724A0D"/>
    <w:rsid w:val="00724BAD"/>
    <w:rsid w:val="00724D9A"/>
    <w:rsid w:val="00724DAB"/>
    <w:rsid w:val="007250A1"/>
    <w:rsid w:val="007250BC"/>
    <w:rsid w:val="007251B6"/>
    <w:rsid w:val="0072577B"/>
    <w:rsid w:val="007257B1"/>
    <w:rsid w:val="007257C1"/>
    <w:rsid w:val="0072586C"/>
    <w:rsid w:val="007258DD"/>
    <w:rsid w:val="007259E7"/>
    <w:rsid w:val="00725B65"/>
    <w:rsid w:val="00725B76"/>
    <w:rsid w:val="00725F41"/>
    <w:rsid w:val="00725FF5"/>
    <w:rsid w:val="00726433"/>
    <w:rsid w:val="00726497"/>
    <w:rsid w:val="007266DE"/>
    <w:rsid w:val="007267C0"/>
    <w:rsid w:val="00726804"/>
    <w:rsid w:val="0072685C"/>
    <w:rsid w:val="007268D0"/>
    <w:rsid w:val="00726A2C"/>
    <w:rsid w:val="00726CBA"/>
    <w:rsid w:val="00726DC3"/>
    <w:rsid w:val="00726DF3"/>
    <w:rsid w:val="00726F52"/>
    <w:rsid w:val="00726FF4"/>
    <w:rsid w:val="00727017"/>
    <w:rsid w:val="007272C6"/>
    <w:rsid w:val="0072733D"/>
    <w:rsid w:val="00727739"/>
    <w:rsid w:val="007277D2"/>
    <w:rsid w:val="00727AE4"/>
    <w:rsid w:val="00727AF9"/>
    <w:rsid w:val="007300C2"/>
    <w:rsid w:val="0073021F"/>
    <w:rsid w:val="007305BD"/>
    <w:rsid w:val="0073085C"/>
    <w:rsid w:val="00730D7F"/>
    <w:rsid w:val="00730FA6"/>
    <w:rsid w:val="00731285"/>
    <w:rsid w:val="00731722"/>
    <w:rsid w:val="00731B84"/>
    <w:rsid w:val="00731C1C"/>
    <w:rsid w:val="00731DF4"/>
    <w:rsid w:val="00732138"/>
    <w:rsid w:val="0073223B"/>
    <w:rsid w:val="007323C0"/>
    <w:rsid w:val="007323EC"/>
    <w:rsid w:val="007324D1"/>
    <w:rsid w:val="00732838"/>
    <w:rsid w:val="0073293E"/>
    <w:rsid w:val="007329D2"/>
    <w:rsid w:val="00732AFC"/>
    <w:rsid w:val="00732B84"/>
    <w:rsid w:val="00732FB4"/>
    <w:rsid w:val="00733051"/>
    <w:rsid w:val="0073305D"/>
    <w:rsid w:val="0073318E"/>
    <w:rsid w:val="00733191"/>
    <w:rsid w:val="00733429"/>
    <w:rsid w:val="0073348E"/>
    <w:rsid w:val="007338E4"/>
    <w:rsid w:val="00733E46"/>
    <w:rsid w:val="00733E92"/>
    <w:rsid w:val="00734020"/>
    <w:rsid w:val="00734027"/>
    <w:rsid w:val="00734062"/>
    <w:rsid w:val="00734214"/>
    <w:rsid w:val="00734505"/>
    <w:rsid w:val="00734AD4"/>
    <w:rsid w:val="00734BAC"/>
    <w:rsid w:val="00734F0E"/>
    <w:rsid w:val="007350B9"/>
    <w:rsid w:val="0073561E"/>
    <w:rsid w:val="007356F8"/>
    <w:rsid w:val="00735846"/>
    <w:rsid w:val="00735904"/>
    <w:rsid w:val="00735AF8"/>
    <w:rsid w:val="00735D16"/>
    <w:rsid w:val="00735D1E"/>
    <w:rsid w:val="00735FE3"/>
    <w:rsid w:val="00736422"/>
    <w:rsid w:val="00736613"/>
    <w:rsid w:val="007366F4"/>
    <w:rsid w:val="00736ADE"/>
    <w:rsid w:val="00736E32"/>
    <w:rsid w:val="00737279"/>
    <w:rsid w:val="0073736A"/>
    <w:rsid w:val="007376D2"/>
    <w:rsid w:val="007379D7"/>
    <w:rsid w:val="00737C7C"/>
    <w:rsid w:val="00740158"/>
    <w:rsid w:val="0074029C"/>
    <w:rsid w:val="007402C9"/>
    <w:rsid w:val="007408D1"/>
    <w:rsid w:val="007408F2"/>
    <w:rsid w:val="00740A54"/>
    <w:rsid w:val="00740AC2"/>
    <w:rsid w:val="00740BE9"/>
    <w:rsid w:val="0074103D"/>
    <w:rsid w:val="007410AB"/>
    <w:rsid w:val="007411BE"/>
    <w:rsid w:val="00741256"/>
    <w:rsid w:val="0074125C"/>
    <w:rsid w:val="0074127B"/>
    <w:rsid w:val="0074132E"/>
    <w:rsid w:val="0074143E"/>
    <w:rsid w:val="007416A8"/>
    <w:rsid w:val="00741700"/>
    <w:rsid w:val="00741729"/>
    <w:rsid w:val="00741918"/>
    <w:rsid w:val="00741A84"/>
    <w:rsid w:val="00741CEC"/>
    <w:rsid w:val="00741D27"/>
    <w:rsid w:val="00741E3E"/>
    <w:rsid w:val="00741F5F"/>
    <w:rsid w:val="0074202B"/>
    <w:rsid w:val="00742084"/>
    <w:rsid w:val="007425D6"/>
    <w:rsid w:val="00742B75"/>
    <w:rsid w:val="00742DB0"/>
    <w:rsid w:val="00742E40"/>
    <w:rsid w:val="0074305D"/>
    <w:rsid w:val="007430FF"/>
    <w:rsid w:val="007431E2"/>
    <w:rsid w:val="007433E5"/>
    <w:rsid w:val="0074340F"/>
    <w:rsid w:val="00743568"/>
    <w:rsid w:val="0074377D"/>
    <w:rsid w:val="007437C5"/>
    <w:rsid w:val="007438A3"/>
    <w:rsid w:val="00743B3D"/>
    <w:rsid w:val="00743B80"/>
    <w:rsid w:val="00743BC8"/>
    <w:rsid w:val="00743E47"/>
    <w:rsid w:val="007442E0"/>
    <w:rsid w:val="00744331"/>
    <w:rsid w:val="00744446"/>
    <w:rsid w:val="0074452A"/>
    <w:rsid w:val="00744C62"/>
    <w:rsid w:val="00744E17"/>
    <w:rsid w:val="00744F51"/>
    <w:rsid w:val="0074524F"/>
    <w:rsid w:val="0074527B"/>
    <w:rsid w:val="007452CB"/>
    <w:rsid w:val="007455F6"/>
    <w:rsid w:val="0074569E"/>
    <w:rsid w:val="0074578C"/>
    <w:rsid w:val="007458D7"/>
    <w:rsid w:val="00745999"/>
    <w:rsid w:val="00745B40"/>
    <w:rsid w:val="00745BB5"/>
    <w:rsid w:val="0074651C"/>
    <w:rsid w:val="007469BA"/>
    <w:rsid w:val="00746B14"/>
    <w:rsid w:val="00746E3E"/>
    <w:rsid w:val="007470AA"/>
    <w:rsid w:val="00747380"/>
    <w:rsid w:val="00747400"/>
    <w:rsid w:val="00747B4E"/>
    <w:rsid w:val="00747C80"/>
    <w:rsid w:val="00747CB9"/>
    <w:rsid w:val="00747D36"/>
    <w:rsid w:val="007501E0"/>
    <w:rsid w:val="0075037E"/>
    <w:rsid w:val="007503C5"/>
    <w:rsid w:val="00750420"/>
    <w:rsid w:val="007505CE"/>
    <w:rsid w:val="007505EA"/>
    <w:rsid w:val="00750704"/>
    <w:rsid w:val="0075082C"/>
    <w:rsid w:val="007508DB"/>
    <w:rsid w:val="00750930"/>
    <w:rsid w:val="007509A6"/>
    <w:rsid w:val="00750B5A"/>
    <w:rsid w:val="00750BC7"/>
    <w:rsid w:val="00750C29"/>
    <w:rsid w:val="00750C64"/>
    <w:rsid w:val="00750E14"/>
    <w:rsid w:val="00750E7D"/>
    <w:rsid w:val="00750EA8"/>
    <w:rsid w:val="00750F03"/>
    <w:rsid w:val="0075114D"/>
    <w:rsid w:val="00751150"/>
    <w:rsid w:val="00751232"/>
    <w:rsid w:val="00751349"/>
    <w:rsid w:val="00751361"/>
    <w:rsid w:val="0075178B"/>
    <w:rsid w:val="00751A5D"/>
    <w:rsid w:val="00751C15"/>
    <w:rsid w:val="00751C6B"/>
    <w:rsid w:val="00751F15"/>
    <w:rsid w:val="00751FD4"/>
    <w:rsid w:val="0075218E"/>
    <w:rsid w:val="00752613"/>
    <w:rsid w:val="007526C9"/>
    <w:rsid w:val="00752771"/>
    <w:rsid w:val="007527EB"/>
    <w:rsid w:val="00752ADD"/>
    <w:rsid w:val="00752AED"/>
    <w:rsid w:val="00752BF8"/>
    <w:rsid w:val="00752D14"/>
    <w:rsid w:val="00752E1D"/>
    <w:rsid w:val="00752F83"/>
    <w:rsid w:val="00753431"/>
    <w:rsid w:val="007536D3"/>
    <w:rsid w:val="007537EC"/>
    <w:rsid w:val="00753893"/>
    <w:rsid w:val="00753B84"/>
    <w:rsid w:val="00753BAC"/>
    <w:rsid w:val="00753C71"/>
    <w:rsid w:val="00753D36"/>
    <w:rsid w:val="00753F2B"/>
    <w:rsid w:val="00753FC9"/>
    <w:rsid w:val="0075415B"/>
    <w:rsid w:val="0075426D"/>
    <w:rsid w:val="00754465"/>
    <w:rsid w:val="007545BB"/>
    <w:rsid w:val="0075460C"/>
    <w:rsid w:val="007549EA"/>
    <w:rsid w:val="00754B43"/>
    <w:rsid w:val="00754D2F"/>
    <w:rsid w:val="00754E85"/>
    <w:rsid w:val="007552DC"/>
    <w:rsid w:val="00755442"/>
    <w:rsid w:val="007555D7"/>
    <w:rsid w:val="007558C8"/>
    <w:rsid w:val="007558FA"/>
    <w:rsid w:val="007558FC"/>
    <w:rsid w:val="0075596B"/>
    <w:rsid w:val="00755C8D"/>
    <w:rsid w:val="00755CCD"/>
    <w:rsid w:val="00755DAA"/>
    <w:rsid w:val="00755F44"/>
    <w:rsid w:val="0075603C"/>
    <w:rsid w:val="007561A0"/>
    <w:rsid w:val="007561FE"/>
    <w:rsid w:val="0075626A"/>
    <w:rsid w:val="00756385"/>
    <w:rsid w:val="00756528"/>
    <w:rsid w:val="00756837"/>
    <w:rsid w:val="00756AD4"/>
    <w:rsid w:val="00756C0D"/>
    <w:rsid w:val="00757222"/>
    <w:rsid w:val="00757239"/>
    <w:rsid w:val="00757275"/>
    <w:rsid w:val="00757368"/>
    <w:rsid w:val="007574B4"/>
    <w:rsid w:val="00757603"/>
    <w:rsid w:val="007577B7"/>
    <w:rsid w:val="00757FE7"/>
    <w:rsid w:val="0076008C"/>
    <w:rsid w:val="00760115"/>
    <w:rsid w:val="007601BC"/>
    <w:rsid w:val="00760494"/>
    <w:rsid w:val="00760630"/>
    <w:rsid w:val="00760779"/>
    <w:rsid w:val="00760AB2"/>
    <w:rsid w:val="00760B60"/>
    <w:rsid w:val="00760DB5"/>
    <w:rsid w:val="00760E14"/>
    <w:rsid w:val="00760E57"/>
    <w:rsid w:val="00761078"/>
    <w:rsid w:val="00761215"/>
    <w:rsid w:val="00761349"/>
    <w:rsid w:val="00761727"/>
    <w:rsid w:val="00761743"/>
    <w:rsid w:val="007617B8"/>
    <w:rsid w:val="00761EA8"/>
    <w:rsid w:val="00762373"/>
    <w:rsid w:val="0076251E"/>
    <w:rsid w:val="00762BD7"/>
    <w:rsid w:val="00762D39"/>
    <w:rsid w:val="00762DCA"/>
    <w:rsid w:val="00762DD7"/>
    <w:rsid w:val="00762FA8"/>
    <w:rsid w:val="007634CB"/>
    <w:rsid w:val="00763613"/>
    <w:rsid w:val="007636F5"/>
    <w:rsid w:val="00763781"/>
    <w:rsid w:val="00763C9E"/>
    <w:rsid w:val="00763D9B"/>
    <w:rsid w:val="00763EC1"/>
    <w:rsid w:val="00764022"/>
    <w:rsid w:val="0076446C"/>
    <w:rsid w:val="0076471F"/>
    <w:rsid w:val="0076493D"/>
    <w:rsid w:val="00765186"/>
    <w:rsid w:val="00765301"/>
    <w:rsid w:val="00765533"/>
    <w:rsid w:val="007655D7"/>
    <w:rsid w:val="00765617"/>
    <w:rsid w:val="007658D4"/>
    <w:rsid w:val="00765A17"/>
    <w:rsid w:val="00765C26"/>
    <w:rsid w:val="00765DAD"/>
    <w:rsid w:val="00765F18"/>
    <w:rsid w:val="0076607B"/>
    <w:rsid w:val="0076694E"/>
    <w:rsid w:val="00766AA8"/>
    <w:rsid w:val="00766C37"/>
    <w:rsid w:val="0076708F"/>
    <w:rsid w:val="00767780"/>
    <w:rsid w:val="00767809"/>
    <w:rsid w:val="007679F9"/>
    <w:rsid w:val="00767AB7"/>
    <w:rsid w:val="00767AFE"/>
    <w:rsid w:val="00767BB4"/>
    <w:rsid w:val="00767CCE"/>
    <w:rsid w:val="0076EBCC"/>
    <w:rsid w:val="0077003B"/>
    <w:rsid w:val="00770067"/>
    <w:rsid w:val="00770399"/>
    <w:rsid w:val="0077047D"/>
    <w:rsid w:val="0077065F"/>
    <w:rsid w:val="007708DF"/>
    <w:rsid w:val="00770966"/>
    <w:rsid w:val="00770B81"/>
    <w:rsid w:val="00770EB1"/>
    <w:rsid w:val="007711F6"/>
    <w:rsid w:val="007712C4"/>
    <w:rsid w:val="00771658"/>
    <w:rsid w:val="007716E5"/>
    <w:rsid w:val="007717BF"/>
    <w:rsid w:val="00771ABD"/>
    <w:rsid w:val="007724F1"/>
    <w:rsid w:val="00772638"/>
    <w:rsid w:val="00772B71"/>
    <w:rsid w:val="00772B94"/>
    <w:rsid w:val="00772C08"/>
    <w:rsid w:val="00772C70"/>
    <w:rsid w:val="00772D01"/>
    <w:rsid w:val="00772D45"/>
    <w:rsid w:val="0077302E"/>
    <w:rsid w:val="007730C0"/>
    <w:rsid w:val="007734E5"/>
    <w:rsid w:val="007735DD"/>
    <w:rsid w:val="007737B1"/>
    <w:rsid w:val="00773A0D"/>
    <w:rsid w:val="00773B2C"/>
    <w:rsid w:val="00773CCD"/>
    <w:rsid w:val="00773EC6"/>
    <w:rsid w:val="00774589"/>
    <w:rsid w:val="007746A8"/>
    <w:rsid w:val="00774928"/>
    <w:rsid w:val="0077493E"/>
    <w:rsid w:val="00774AA3"/>
    <w:rsid w:val="007751A4"/>
    <w:rsid w:val="0077526E"/>
    <w:rsid w:val="007753B0"/>
    <w:rsid w:val="007753BC"/>
    <w:rsid w:val="0077548D"/>
    <w:rsid w:val="00775572"/>
    <w:rsid w:val="00775B15"/>
    <w:rsid w:val="00776013"/>
    <w:rsid w:val="0077607A"/>
    <w:rsid w:val="00776946"/>
    <w:rsid w:val="00776FA8"/>
    <w:rsid w:val="00777259"/>
    <w:rsid w:val="00777469"/>
    <w:rsid w:val="0077759C"/>
    <w:rsid w:val="00777757"/>
    <w:rsid w:val="007777CD"/>
    <w:rsid w:val="0077784A"/>
    <w:rsid w:val="00777B9E"/>
    <w:rsid w:val="00777C0D"/>
    <w:rsid w:val="0077B2EE"/>
    <w:rsid w:val="007808AA"/>
    <w:rsid w:val="0078097D"/>
    <w:rsid w:val="007809A9"/>
    <w:rsid w:val="007809C4"/>
    <w:rsid w:val="00780A0B"/>
    <w:rsid w:val="00780AE3"/>
    <w:rsid w:val="00780EA6"/>
    <w:rsid w:val="0078126E"/>
    <w:rsid w:val="007816EF"/>
    <w:rsid w:val="00781726"/>
    <w:rsid w:val="0078174A"/>
    <w:rsid w:val="00781777"/>
    <w:rsid w:val="00781951"/>
    <w:rsid w:val="00781A14"/>
    <w:rsid w:val="00781AB8"/>
    <w:rsid w:val="00781CA9"/>
    <w:rsid w:val="00781EC7"/>
    <w:rsid w:val="00781F4B"/>
    <w:rsid w:val="0078218C"/>
    <w:rsid w:val="007821DB"/>
    <w:rsid w:val="007823EE"/>
    <w:rsid w:val="007825ED"/>
    <w:rsid w:val="00782689"/>
    <w:rsid w:val="00782CFE"/>
    <w:rsid w:val="00782DD2"/>
    <w:rsid w:val="00782ED7"/>
    <w:rsid w:val="00782F1B"/>
    <w:rsid w:val="00783239"/>
    <w:rsid w:val="007832AE"/>
    <w:rsid w:val="00783386"/>
    <w:rsid w:val="00783391"/>
    <w:rsid w:val="007839C6"/>
    <w:rsid w:val="00783AAD"/>
    <w:rsid w:val="00783C33"/>
    <w:rsid w:val="00783D2D"/>
    <w:rsid w:val="00783DEF"/>
    <w:rsid w:val="007841F1"/>
    <w:rsid w:val="007841F9"/>
    <w:rsid w:val="00784356"/>
    <w:rsid w:val="00784359"/>
    <w:rsid w:val="007847FA"/>
    <w:rsid w:val="00784AEA"/>
    <w:rsid w:val="00784B5A"/>
    <w:rsid w:val="00784C3B"/>
    <w:rsid w:val="00784F0D"/>
    <w:rsid w:val="00784F3F"/>
    <w:rsid w:val="00785011"/>
    <w:rsid w:val="00785210"/>
    <w:rsid w:val="007853A4"/>
    <w:rsid w:val="00785529"/>
    <w:rsid w:val="0078559C"/>
    <w:rsid w:val="00785818"/>
    <w:rsid w:val="007858B4"/>
    <w:rsid w:val="00785909"/>
    <w:rsid w:val="0078594D"/>
    <w:rsid w:val="00785E4D"/>
    <w:rsid w:val="00785EC1"/>
    <w:rsid w:val="00786243"/>
    <w:rsid w:val="007862F2"/>
    <w:rsid w:val="00786514"/>
    <w:rsid w:val="007865F8"/>
    <w:rsid w:val="00786B70"/>
    <w:rsid w:val="00786C0A"/>
    <w:rsid w:val="00786DB6"/>
    <w:rsid w:val="00786F18"/>
    <w:rsid w:val="007870E6"/>
    <w:rsid w:val="00787272"/>
    <w:rsid w:val="00787332"/>
    <w:rsid w:val="00787347"/>
    <w:rsid w:val="0078744D"/>
    <w:rsid w:val="007876BE"/>
    <w:rsid w:val="00787818"/>
    <w:rsid w:val="00787E85"/>
    <w:rsid w:val="00787FD4"/>
    <w:rsid w:val="007902A6"/>
    <w:rsid w:val="0079039F"/>
    <w:rsid w:val="00790510"/>
    <w:rsid w:val="007907C9"/>
    <w:rsid w:val="00790910"/>
    <w:rsid w:val="007909C5"/>
    <w:rsid w:val="00790C20"/>
    <w:rsid w:val="00790CBA"/>
    <w:rsid w:val="00790D03"/>
    <w:rsid w:val="00790EC6"/>
    <w:rsid w:val="00791220"/>
    <w:rsid w:val="0079130B"/>
    <w:rsid w:val="00791496"/>
    <w:rsid w:val="007915BB"/>
    <w:rsid w:val="00791748"/>
    <w:rsid w:val="00791A48"/>
    <w:rsid w:val="00791A84"/>
    <w:rsid w:val="00791ADA"/>
    <w:rsid w:val="00791DE1"/>
    <w:rsid w:val="00791F62"/>
    <w:rsid w:val="00792D49"/>
    <w:rsid w:val="00792D94"/>
    <w:rsid w:val="00792EE1"/>
    <w:rsid w:val="007934EC"/>
    <w:rsid w:val="00793718"/>
    <w:rsid w:val="0079375E"/>
    <w:rsid w:val="0079377D"/>
    <w:rsid w:val="00793850"/>
    <w:rsid w:val="0079403A"/>
    <w:rsid w:val="00794285"/>
    <w:rsid w:val="007943D9"/>
    <w:rsid w:val="007945EC"/>
    <w:rsid w:val="00794987"/>
    <w:rsid w:val="007949C1"/>
    <w:rsid w:val="00794A2D"/>
    <w:rsid w:val="00794BF1"/>
    <w:rsid w:val="00794FA1"/>
    <w:rsid w:val="0079515E"/>
    <w:rsid w:val="00795808"/>
    <w:rsid w:val="0079586C"/>
    <w:rsid w:val="0079648E"/>
    <w:rsid w:val="00796670"/>
    <w:rsid w:val="0079679B"/>
    <w:rsid w:val="00796DCF"/>
    <w:rsid w:val="00796ECF"/>
    <w:rsid w:val="00797447"/>
    <w:rsid w:val="00797475"/>
    <w:rsid w:val="0079774F"/>
    <w:rsid w:val="007978A9"/>
    <w:rsid w:val="00797A1C"/>
    <w:rsid w:val="00797BB2"/>
    <w:rsid w:val="00797C3B"/>
    <w:rsid w:val="00797C64"/>
    <w:rsid w:val="00797D36"/>
    <w:rsid w:val="00797E61"/>
    <w:rsid w:val="00797EF1"/>
    <w:rsid w:val="0079CE97"/>
    <w:rsid w:val="007A02B8"/>
    <w:rsid w:val="007A046C"/>
    <w:rsid w:val="007A05E7"/>
    <w:rsid w:val="007A0667"/>
    <w:rsid w:val="007A0719"/>
    <w:rsid w:val="007A0C94"/>
    <w:rsid w:val="007A0D38"/>
    <w:rsid w:val="007A0FF5"/>
    <w:rsid w:val="007A11EE"/>
    <w:rsid w:val="007A121F"/>
    <w:rsid w:val="007A12DE"/>
    <w:rsid w:val="007A13B4"/>
    <w:rsid w:val="007A13ED"/>
    <w:rsid w:val="007A15B8"/>
    <w:rsid w:val="007A1702"/>
    <w:rsid w:val="007A17A7"/>
    <w:rsid w:val="007A1999"/>
    <w:rsid w:val="007A1AAA"/>
    <w:rsid w:val="007A1AEB"/>
    <w:rsid w:val="007A1BA2"/>
    <w:rsid w:val="007A1DD2"/>
    <w:rsid w:val="007A1E53"/>
    <w:rsid w:val="007A1EB1"/>
    <w:rsid w:val="007A21AA"/>
    <w:rsid w:val="007A2238"/>
    <w:rsid w:val="007A25E9"/>
    <w:rsid w:val="007A2766"/>
    <w:rsid w:val="007A27B3"/>
    <w:rsid w:val="007A295F"/>
    <w:rsid w:val="007A2961"/>
    <w:rsid w:val="007A29C5"/>
    <w:rsid w:val="007A2B37"/>
    <w:rsid w:val="007A2BC3"/>
    <w:rsid w:val="007A2C95"/>
    <w:rsid w:val="007A3103"/>
    <w:rsid w:val="007A321D"/>
    <w:rsid w:val="007A33BB"/>
    <w:rsid w:val="007A3739"/>
    <w:rsid w:val="007A37EA"/>
    <w:rsid w:val="007A3A65"/>
    <w:rsid w:val="007A3A8C"/>
    <w:rsid w:val="007A3E87"/>
    <w:rsid w:val="007A425B"/>
    <w:rsid w:val="007A42BD"/>
    <w:rsid w:val="007A42FF"/>
    <w:rsid w:val="007A4474"/>
    <w:rsid w:val="007A4499"/>
    <w:rsid w:val="007A4500"/>
    <w:rsid w:val="007A4846"/>
    <w:rsid w:val="007A4965"/>
    <w:rsid w:val="007A4B8C"/>
    <w:rsid w:val="007A4EC3"/>
    <w:rsid w:val="007A4F8C"/>
    <w:rsid w:val="007A4FBA"/>
    <w:rsid w:val="007A550E"/>
    <w:rsid w:val="007A5692"/>
    <w:rsid w:val="007A5D5B"/>
    <w:rsid w:val="007A5D8B"/>
    <w:rsid w:val="007A5E20"/>
    <w:rsid w:val="007A5EBD"/>
    <w:rsid w:val="007A5FB6"/>
    <w:rsid w:val="007A6254"/>
    <w:rsid w:val="007A65C6"/>
    <w:rsid w:val="007A65E2"/>
    <w:rsid w:val="007A65E9"/>
    <w:rsid w:val="007A66C6"/>
    <w:rsid w:val="007A6B22"/>
    <w:rsid w:val="007A71C4"/>
    <w:rsid w:val="007A7229"/>
    <w:rsid w:val="007A726D"/>
    <w:rsid w:val="007A7346"/>
    <w:rsid w:val="007A7483"/>
    <w:rsid w:val="007A74B6"/>
    <w:rsid w:val="007A7786"/>
    <w:rsid w:val="007A77B4"/>
    <w:rsid w:val="007A77C0"/>
    <w:rsid w:val="007A77DF"/>
    <w:rsid w:val="007A7E9D"/>
    <w:rsid w:val="007B00D1"/>
    <w:rsid w:val="007B01CB"/>
    <w:rsid w:val="007B01F6"/>
    <w:rsid w:val="007B02ED"/>
    <w:rsid w:val="007B02F3"/>
    <w:rsid w:val="007B055C"/>
    <w:rsid w:val="007B06EB"/>
    <w:rsid w:val="007B0713"/>
    <w:rsid w:val="007B083A"/>
    <w:rsid w:val="007B0852"/>
    <w:rsid w:val="007B0C86"/>
    <w:rsid w:val="007B0E0C"/>
    <w:rsid w:val="007B14A9"/>
    <w:rsid w:val="007B1720"/>
    <w:rsid w:val="007B1A9C"/>
    <w:rsid w:val="007B1AF2"/>
    <w:rsid w:val="007B1D59"/>
    <w:rsid w:val="007B1E99"/>
    <w:rsid w:val="007B1F6C"/>
    <w:rsid w:val="007B20D7"/>
    <w:rsid w:val="007B2110"/>
    <w:rsid w:val="007B2154"/>
    <w:rsid w:val="007B23AF"/>
    <w:rsid w:val="007B2696"/>
    <w:rsid w:val="007B29CA"/>
    <w:rsid w:val="007B2ADE"/>
    <w:rsid w:val="007B2AF8"/>
    <w:rsid w:val="007B2BE4"/>
    <w:rsid w:val="007B2D47"/>
    <w:rsid w:val="007B2D75"/>
    <w:rsid w:val="007B2D93"/>
    <w:rsid w:val="007B2E6E"/>
    <w:rsid w:val="007B2EC5"/>
    <w:rsid w:val="007B3038"/>
    <w:rsid w:val="007B3745"/>
    <w:rsid w:val="007B37C0"/>
    <w:rsid w:val="007B3A03"/>
    <w:rsid w:val="007B3ADD"/>
    <w:rsid w:val="007B3CB8"/>
    <w:rsid w:val="007B3FAA"/>
    <w:rsid w:val="007B41C9"/>
    <w:rsid w:val="007B44EC"/>
    <w:rsid w:val="007B4531"/>
    <w:rsid w:val="007B4600"/>
    <w:rsid w:val="007B468A"/>
    <w:rsid w:val="007B477B"/>
    <w:rsid w:val="007B4DA7"/>
    <w:rsid w:val="007B4DBF"/>
    <w:rsid w:val="007B4EBF"/>
    <w:rsid w:val="007B4F88"/>
    <w:rsid w:val="007B548F"/>
    <w:rsid w:val="007B56DC"/>
    <w:rsid w:val="007B5944"/>
    <w:rsid w:val="007B5E17"/>
    <w:rsid w:val="007B5ED5"/>
    <w:rsid w:val="007B6299"/>
    <w:rsid w:val="007B643A"/>
    <w:rsid w:val="007B6943"/>
    <w:rsid w:val="007B6B94"/>
    <w:rsid w:val="007B6D63"/>
    <w:rsid w:val="007B6F48"/>
    <w:rsid w:val="007B6F9D"/>
    <w:rsid w:val="007B7142"/>
    <w:rsid w:val="007B71D5"/>
    <w:rsid w:val="007B786A"/>
    <w:rsid w:val="007B7988"/>
    <w:rsid w:val="007B79C5"/>
    <w:rsid w:val="007B7BF3"/>
    <w:rsid w:val="007C02FB"/>
    <w:rsid w:val="007C037F"/>
    <w:rsid w:val="007C03FC"/>
    <w:rsid w:val="007C04E8"/>
    <w:rsid w:val="007C0686"/>
    <w:rsid w:val="007C06D4"/>
    <w:rsid w:val="007C0796"/>
    <w:rsid w:val="007C0931"/>
    <w:rsid w:val="007C09BD"/>
    <w:rsid w:val="007C0D0E"/>
    <w:rsid w:val="007C0EEE"/>
    <w:rsid w:val="007C0FF8"/>
    <w:rsid w:val="007C1072"/>
    <w:rsid w:val="007C108C"/>
    <w:rsid w:val="007C123C"/>
    <w:rsid w:val="007C1332"/>
    <w:rsid w:val="007C1537"/>
    <w:rsid w:val="007C1B09"/>
    <w:rsid w:val="007C215F"/>
    <w:rsid w:val="007C26E5"/>
    <w:rsid w:val="007C2803"/>
    <w:rsid w:val="007C29F6"/>
    <w:rsid w:val="007C2E67"/>
    <w:rsid w:val="007C3265"/>
    <w:rsid w:val="007C32AC"/>
    <w:rsid w:val="007C34E1"/>
    <w:rsid w:val="007C3910"/>
    <w:rsid w:val="007C3B0C"/>
    <w:rsid w:val="007C3BE7"/>
    <w:rsid w:val="007C3C5C"/>
    <w:rsid w:val="007C3E8F"/>
    <w:rsid w:val="007C3F49"/>
    <w:rsid w:val="007C40A0"/>
    <w:rsid w:val="007C43BB"/>
    <w:rsid w:val="007C46A3"/>
    <w:rsid w:val="007C477B"/>
    <w:rsid w:val="007C4DD4"/>
    <w:rsid w:val="007C519D"/>
    <w:rsid w:val="007C5313"/>
    <w:rsid w:val="007C5378"/>
    <w:rsid w:val="007C5720"/>
    <w:rsid w:val="007C5B21"/>
    <w:rsid w:val="007C5B3C"/>
    <w:rsid w:val="007C5CC8"/>
    <w:rsid w:val="007C5ED4"/>
    <w:rsid w:val="007C649D"/>
    <w:rsid w:val="007C64D0"/>
    <w:rsid w:val="007C6557"/>
    <w:rsid w:val="007C682B"/>
    <w:rsid w:val="007C6B1D"/>
    <w:rsid w:val="007C6D61"/>
    <w:rsid w:val="007C6DCF"/>
    <w:rsid w:val="007C712E"/>
    <w:rsid w:val="007C720A"/>
    <w:rsid w:val="007C72FF"/>
    <w:rsid w:val="007C7499"/>
    <w:rsid w:val="007C7636"/>
    <w:rsid w:val="007C763D"/>
    <w:rsid w:val="007D0331"/>
    <w:rsid w:val="007D0492"/>
    <w:rsid w:val="007D057B"/>
    <w:rsid w:val="007D063B"/>
    <w:rsid w:val="007D08DE"/>
    <w:rsid w:val="007D0A60"/>
    <w:rsid w:val="007D0BCD"/>
    <w:rsid w:val="007D0C41"/>
    <w:rsid w:val="007D0D7C"/>
    <w:rsid w:val="007D0DEA"/>
    <w:rsid w:val="007D0EAD"/>
    <w:rsid w:val="007D1092"/>
    <w:rsid w:val="007D1162"/>
    <w:rsid w:val="007D118C"/>
    <w:rsid w:val="007D14BA"/>
    <w:rsid w:val="007D172C"/>
    <w:rsid w:val="007D17C0"/>
    <w:rsid w:val="007D1924"/>
    <w:rsid w:val="007D1996"/>
    <w:rsid w:val="007D1D93"/>
    <w:rsid w:val="007D1F1E"/>
    <w:rsid w:val="007D209A"/>
    <w:rsid w:val="007D214B"/>
    <w:rsid w:val="007D2388"/>
    <w:rsid w:val="007D23DC"/>
    <w:rsid w:val="007D2621"/>
    <w:rsid w:val="007D29C3"/>
    <w:rsid w:val="007D2A39"/>
    <w:rsid w:val="007D2A78"/>
    <w:rsid w:val="007D2F26"/>
    <w:rsid w:val="007D328D"/>
    <w:rsid w:val="007D32C4"/>
    <w:rsid w:val="007D32FC"/>
    <w:rsid w:val="007D345D"/>
    <w:rsid w:val="007D34A6"/>
    <w:rsid w:val="007D3606"/>
    <w:rsid w:val="007D36F5"/>
    <w:rsid w:val="007D3786"/>
    <w:rsid w:val="007D38C3"/>
    <w:rsid w:val="007D3BFB"/>
    <w:rsid w:val="007D3C75"/>
    <w:rsid w:val="007D3DAD"/>
    <w:rsid w:val="007D3DFD"/>
    <w:rsid w:val="007D3F8C"/>
    <w:rsid w:val="007D41F8"/>
    <w:rsid w:val="007D422C"/>
    <w:rsid w:val="007D4462"/>
    <w:rsid w:val="007D45FB"/>
    <w:rsid w:val="007D4846"/>
    <w:rsid w:val="007D49BA"/>
    <w:rsid w:val="007D4BA2"/>
    <w:rsid w:val="007D4E38"/>
    <w:rsid w:val="007D4FB9"/>
    <w:rsid w:val="007D50EE"/>
    <w:rsid w:val="007D5166"/>
    <w:rsid w:val="007D51D4"/>
    <w:rsid w:val="007D52AE"/>
    <w:rsid w:val="007D5337"/>
    <w:rsid w:val="007D5416"/>
    <w:rsid w:val="007D55B5"/>
    <w:rsid w:val="007D5837"/>
    <w:rsid w:val="007D5BB4"/>
    <w:rsid w:val="007D5CA8"/>
    <w:rsid w:val="007D5DAB"/>
    <w:rsid w:val="007D62A8"/>
    <w:rsid w:val="007D631E"/>
    <w:rsid w:val="007D64B3"/>
    <w:rsid w:val="007D6A9E"/>
    <w:rsid w:val="007D6B11"/>
    <w:rsid w:val="007D6B9E"/>
    <w:rsid w:val="007D6BAD"/>
    <w:rsid w:val="007D6E2F"/>
    <w:rsid w:val="007D6EA5"/>
    <w:rsid w:val="007D70D3"/>
    <w:rsid w:val="007D7120"/>
    <w:rsid w:val="007D72A4"/>
    <w:rsid w:val="007D7797"/>
    <w:rsid w:val="007D77A3"/>
    <w:rsid w:val="007D7825"/>
    <w:rsid w:val="007D787D"/>
    <w:rsid w:val="007D7A1D"/>
    <w:rsid w:val="007D7C3C"/>
    <w:rsid w:val="007E0066"/>
    <w:rsid w:val="007E0488"/>
    <w:rsid w:val="007E07BF"/>
    <w:rsid w:val="007E0837"/>
    <w:rsid w:val="007E08E2"/>
    <w:rsid w:val="007E0982"/>
    <w:rsid w:val="007E0B6C"/>
    <w:rsid w:val="007E0CAF"/>
    <w:rsid w:val="007E0CEA"/>
    <w:rsid w:val="007E0EFE"/>
    <w:rsid w:val="007E10FD"/>
    <w:rsid w:val="007E119F"/>
    <w:rsid w:val="007E1215"/>
    <w:rsid w:val="007E13C1"/>
    <w:rsid w:val="007E163A"/>
    <w:rsid w:val="007E17B9"/>
    <w:rsid w:val="007E1A86"/>
    <w:rsid w:val="007E1AE2"/>
    <w:rsid w:val="007E1BA8"/>
    <w:rsid w:val="007E1BD0"/>
    <w:rsid w:val="007E1C45"/>
    <w:rsid w:val="007E2308"/>
    <w:rsid w:val="007E2349"/>
    <w:rsid w:val="007E234A"/>
    <w:rsid w:val="007E238C"/>
    <w:rsid w:val="007E2477"/>
    <w:rsid w:val="007E25A5"/>
    <w:rsid w:val="007E2648"/>
    <w:rsid w:val="007E2BEA"/>
    <w:rsid w:val="007E2E0C"/>
    <w:rsid w:val="007E2E7E"/>
    <w:rsid w:val="007E2E9C"/>
    <w:rsid w:val="007E2F09"/>
    <w:rsid w:val="007E300C"/>
    <w:rsid w:val="007E30A6"/>
    <w:rsid w:val="007E30EF"/>
    <w:rsid w:val="007E30FF"/>
    <w:rsid w:val="007E321A"/>
    <w:rsid w:val="007E327E"/>
    <w:rsid w:val="007E3572"/>
    <w:rsid w:val="007E3621"/>
    <w:rsid w:val="007E37C5"/>
    <w:rsid w:val="007E3943"/>
    <w:rsid w:val="007E3CC9"/>
    <w:rsid w:val="007E3E46"/>
    <w:rsid w:val="007E3F94"/>
    <w:rsid w:val="007E3FED"/>
    <w:rsid w:val="007E40E8"/>
    <w:rsid w:val="007E428D"/>
    <w:rsid w:val="007E435A"/>
    <w:rsid w:val="007E44B6"/>
    <w:rsid w:val="007E46D9"/>
    <w:rsid w:val="007E49C3"/>
    <w:rsid w:val="007E49E0"/>
    <w:rsid w:val="007E4C9F"/>
    <w:rsid w:val="007E4F5C"/>
    <w:rsid w:val="007E51C6"/>
    <w:rsid w:val="007E545F"/>
    <w:rsid w:val="007E5896"/>
    <w:rsid w:val="007E58EB"/>
    <w:rsid w:val="007E5956"/>
    <w:rsid w:val="007E59E8"/>
    <w:rsid w:val="007E6016"/>
    <w:rsid w:val="007E6114"/>
    <w:rsid w:val="007E61D5"/>
    <w:rsid w:val="007E6283"/>
    <w:rsid w:val="007E62A9"/>
    <w:rsid w:val="007E653E"/>
    <w:rsid w:val="007E6D31"/>
    <w:rsid w:val="007E6E3A"/>
    <w:rsid w:val="007E7368"/>
    <w:rsid w:val="007E7570"/>
    <w:rsid w:val="007E7661"/>
    <w:rsid w:val="007E78BD"/>
    <w:rsid w:val="007E78C8"/>
    <w:rsid w:val="007E7B02"/>
    <w:rsid w:val="007E7C8E"/>
    <w:rsid w:val="007E7EDB"/>
    <w:rsid w:val="007F02D8"/>
    <w:rsid w:val="007F034D"/>
    <w:rsid w:val="007F066D"/>
    <w:rsid w:val="007F0715"/>
    <w:rsid w:val="007F08CA"/>
    <w:rsid w:val="007F0B91"/>
    <w:rsid w:val="007F0CE5"/>
    <w:rsid w:val="007F0F6C"/>
    <w:rsid w:val="007F0FB8"/>
    <w:rsid w:val="007F16C8"/>
    <w:rsid w:val="007F1925"/>
    <w:rsid w:val="007F19AA"/>
    <w:rsid w:val="007F1A09"/>
    <w:rsid w:val="007F1A58"/>
    <w:rsid w:val="007F1B91"/>
    <w:rsid w:val="007F1D7D"/>
    <w:rsid w:val="007F1F28"/>
    <w:rsid w:val="007F1FEE"/>
    <w:rsid w:val="007F2250"/>
    <w:rsid w:val="007F2408"/>
    <w:rsid w:val="007F241C"/>
    <w:rsid w:val="007F2572"/>
    <w:rsid w:val="007F2611"/>
    <w:rsid w:val="007F26A7"/>
    <w:rsid w:val="007F2884"/>
    <w:rsid w:val="007F2A0D"/>
    <w:rsid w:val="007F2BFE"/>
    <w:rsid w:val="007F2D5A"/>
    <w:rsid w:val="007F32BB"/>
    <w:rsid w:val="007F37E4"/>
    <w:rsid w:val="007F390A"/>
    <w:rsid w:val="007F3A38"/>
    <w:rsid w:val="007F3B6E"/>
    <w:rsid w:val="007F3C14"/>
    <w:rsid w:val="007F3D28"/>
    <w:rsid w:val="007F3E93"/>
    <w:rsid w:val="007F3EEC"/>
    <w:rsid w:val="007F40B4"/>
    <w:rsid w:val="007F42B6"/>
    <w:rsid w:val="007F44C8"/>
    <w:rsid w:val="007F477B"/>
    <w:rsid w:val="007F47BD"/>
    <w:rsid w:val="007F4A27"/>
    <w:rsid w:val="007F4D5F"/>
    <w:rsid w:val="007F509E"/>
    <w:rsid w:val="007F530B"/>
    <w:rsid w:val="007F55C7"/>
    <w:rsid w:val="007F5816"/>
    <w:rsid w:val="007F58FE"/>
    <w:rsid w:val="007F5C1C"/>
    <w:rsid w:val="007F5FC5"/>
    <w:rsid w:val="007F632F"/>
    <w:rsid w:val="007F64D3"/>
    <w:rsid w:val="007F678B"/>
    <w:rsid w:val="007F67D6"/>
    <w:rsid w:val="007F6E05"/>
    <w:rsid w:val="007F6E5E"/>
    <w:rsid w:val="007F6ED2"/>
    <w:rsid w:val="007F6F10"/>
    <w:rsid w:val="007F7056"/>
    <w:rsid w:val="007F7158"/>
    <w:rsid w:val="007F74BC"/>
    <w:rsid w:val="007F75F5"/>
    <w:rsid w:val="007F7894"/>
    <w:rsid w:val="007F7A74"/>
    <w:rsid w:val="007F7AC2"/>
    <w:rsid w:val="007F7C2A"/>
    <w:rsid w:val="00800029"/>
    <w:rsid w:val="00800064"/>
    <w:rsid w:val="00800436"/>
    <w:rsid w:val="0080065F"/>
    <w:rsid w:val="00800F69"/>
    <w:rsid w:val="0080118F"/>
    <w:rsid w:val="0080121F"/>
    <w:rsid w:val="0080129F"/>
    <w:rsid w:val="00801300"/>
    <w:rsid w:val="0080137A"/>
    <w:rsid w:val="008019C0"/>
    <w:rsid w:val="00801C5C"/>
    <w:rsid w:val="00801C77"/>
    <w:rsid w:val="00801F04"/>
    <w:rsid w:val="00801F40"/>
    <w:rsid w:val="008020B2"/>
    <w:rsid w:val="008023F2"/>
    <w:rsid w:val="008026C9"/>
    <w:rsid w:val="00802AFA"/>
    <w:rsid w:val="00802B63"/>
    <w:rsid w:val="00802B97"/>
    <w:rsid w:val="00802C67"/>
    <w:rsid w:val="00802CAB"/>
    <w:rsid w:val="00802D0B"/>
    <w:rsid w:val="00802DF8"/>
    <w:rsid w:val="00802F42"/>
    <w:rsid w:val="00803083"/>
    <w:rsid w:val="0080353E"/>
    <w:rsid w:val="0080354E"/>
    <w:rsid w:val="00803700"/>
    <w:rsid w:val="00803785"/>
    <w:rsid w:val="00803807"/>
    <w:rsid w:val="00803976"/>
    <w:rsid w:val="00803A3D"/>
    <w:rsid w:val="00803AD5"/>
    <w:rsid w:val="00803C80"/>
    <w:rsid w:val="00803E72"/>
    <w:rsid w:val="00803F05"/>
    <w:rsid w:val="008043B7"/>
    <w:rsid w:val="0080468D"/>
    <w:rsid w:val="00804AF1"/>
    <w:rsid w:val="00804BDD"/>
    <w:rsid w:val="00804CCC"/>
    <w:rsid w:val="00804F79"/>
    <w:rsid w:val="008051A4"/>
    <w:rsid w:val="0080527B"/>
    <w:rsid w:val="008053CA"/>
    <w:rsid w:val="008055E4"/>
    <w:rsid w:val="0080562E"/>
    <w:rsid w:val="00805635"/>
    <w:rsid w:val="00805762"/>
    <w:rsid w:val="0080584A"/>
    <w:rsid w:val="00805D56"/>
    <w:rsid w:val="008060D4"/>
    <w:rsid w:val="008061C4"/>
    <w:rsid w:val="008063DE"/>
    <w:rsid w:val="0080641C"/>
    <w:rsid w:val="00806434"/>
    <w:rsid w:val="00806480"/>
    <w:rsid w:val="0080676D"/>
    <w:rsid w:val="00806D6B"/>
    <w:rsid w:val="00806E3E"/>
    <w:rsid w:val="00806EA8"/>
    <w:rsid w:val="00806FD6"/>
    <w:rsid w:val="008071E5"/>
    <w:rsid w:val="0080748A"/>
    <w:rsid w:val="00807559"/>
    <w:rsid w:val="00807988"/>
    <w:rsid w:val="00810297"/>
    <w:rsid w:val="00810565"/>
    <w:rsid w:val="00810922"/>
    <w:rsid w:val="00810F5C"/>
    <w:rsid w:val="008115BF"/>
    <w:rsid w:val="008115C2"/>
    <w:rsid w:val="0081160A"/>
    <w:rsid w:val="00811675"/>
    <w:rsid w:val="00811779"/>
    <w:rsid w:val="008117BF"/>
    <w:rsid w:val="008119DD"/>
    <w:rsid w:val="00811AC1"/>
    <w:rsid w:val="00811B03"/>
    <w:rsid w:val="008120FF"/>
    <w:rsid w:val="008122B7"/>
    <w:rsid w:val="008127AA"/>
    <w:rsid w:val="00812D1A"/>
    <w:rsid w:val="00812F12"/>
    <w:rsid w:val="00813288"/>
    <w:rsid w:val="00813383"/>
    <w:rsid w:val="00813689"/>
    <w:rsid w:val="00813736"/>
    <w:rsid w:val="00813A65"/>
    <w:rsid w:val="00813BC8"/>
    <w:rsid w:val="00813C0C"/>
    <w:rsid w:val="00813C17"/>
    <w:rsid w:val="00813FB9"/>
    <w:rsid w:val="008140BF"/>
    <w:rsid w:val="0081416F"/>
    <w:rsid w:val="008143E8"/>
    <w:rsid w:val="0081444A"/>
    <w:rsid w:val="008144F7"/>
    <w:rsid w:val="00814578"/>
    <w:rsid w:val="00814787"/>
    <w:rsid w:val="00814835"/>
    <w:rsid w:val="0081491F"/>
    <w:rsid w:val="00814DE2"/>
    <w:rsid w:val="00814F3A"/>
    <w:rsid w:val="00814FF6"/>
    <w:rsid w:val="00815270"/>
    <w:rsid w:val="00815351"/>
    <w:rsid w:val="008156ED"/>
    <w:rsid w:val="0081574B"/>
    <w:rsid w:val="0081598E"/>
    <w:rsid w:val="008159A2"/>
    <w:rsid w:val="00815D70"/>
    <w:rsid w:val="00815E3B"/>
    <w:rsid w:val="00815EE7"/>
    <w:rsid w:val="008160AA"/>
    <w:rsid w:val="008161C2"/>
    <w:rsid w:val="00816200"/>
    <w:rsid w:val="008164F6"/>
    <w:rsid w:val="00816844"/>
    <w:rsid w:val="008168EF"/>
    <w:rsid w:val="00816AFB"/>
    <w:rsid w:val="00816C1C"/>
    <w:rsid w:val="00816CEE"/>
    <w:rsid w:val="00816D04"/>
    <w:rsid w:val="00817071"/>
    <w:rsid w:val="008171D0"/>
    <w:rsid w:val="00817447"/>
    <w:rsid w:val="00817684"/>
    <w:rsid w:val="008176C6"/>
    <w:rsid w:val="00817A1C"/>
    <w:rsid w:val="00817C1C"/>
    <w:rsid w:val="00817C2A"/>
    <w:rsid w:val="00817CCC"/>
    <w:rsid w:val="00820162"/>
    <w:rsid w:val="00820196"/>
    <w:rsid w:val="00820215"/>
    <w:rsid w:val="008202FF"/>
    <w:rsid w:val="0082044A"/>
    <w:rsid w:val="00820768"/>
    <w:rsid w:val="008208E4"/>
    <w:rsid w:val="0082112E"/>
    <w:rsid w:val="008212C0"/>
    <w:rsid w:val="008214C8"/>
    <w:rsid w:val="00821583"/>
    <w:rsid w:val="0082160C"/>
    <w:rsid w:val="008216C8"/>
    <w:rsid w:val="00821912"/>
    <w:rsid w:val="008219B1"/>
    <w:rsid w:val="00821A1D"/>
    <w:rsid w:val="00821A29"/>
    <w:rsid w:val="00821D2A"/>
    <w:rsid w:val="00821EA4"/>
    <w:rsid w:val="00822600"/>
    <w:rsid w:val="008227A5"/>
    <w:rsid w:val="008227FF"/>
    <w:rsid w:val="00822A40"/>
    <w:rsid w:val="00822AE8"/>
    <w:rsid w:val="0082302F"/>
    <w:rsid w:val="00823233"/>
    <w:rsid w:val="008235BA"/>
    <w:rsid w:val="00823805"/>
    <w:rsid w:val="0082389D"/>
    <w:rsid w:val="00823C0A"/>
    <w:rsid w:val="00823C4C"/>
    <w:rsid w:val="00823DDF"/>
    <w:rsid w:val="00823F0A"/>
    <w:rsid w:val="00823F71"/>
    <w:rsid w:val="008241B3"/>
    <w:rsid w:val="008241BD"/>
    <w:rsid w:val="008243F6"/>
    <w:rsid w:val="00824426"/>
    <w:rsid w:val="008246BC"/>
    <w:rsid w:val="00824943"/>
    <w:rsid w:val="00824B0E"/>
    <w:rsid w:val="00824C9D"/>
    <w:rsid w:val="00824CA7"/>
    <w:rsid w:val="00825057"/>
    <w:rsid w:val="008257D1"/>
    <w:rsid w:val="0082587B"/>
    <w:rsid w:val="00825A1A"/>
    <w:rsid w:val="00825DAA"/>
    <w:rsid w:val="00825EF7"/>
    <w:rsid w:val="008260B8"/>
    <w:rsid w:val="008260D7"/>
    <w:rsid w:val="00826105"/>
    <w:rsid w:val="00826131"/>
    <w:rsid w:val="0082613A"/>
    <w:rsid w:val="0082614C"/>
    <w:rsid w:val="0082628E"/>
    <w:rsid w:val="0082630D"/>
    <w:rsid w:val="008263F9"/>
    <w:rsid w:val="00826811"/>
    <w:rsid w:val="008268E2"/>
    <w:rsid w:val="00826AB7"/>
    <w:rsid w:val="00826E9D"/>
    <w:rsid w:val="0082700F"/>
    <w:rsid w:val="00827126"/>
    <w:rsid w:val="0082758B"/>
    <w:rsid w:val="00827A05"/>
    <w:rsid w:val="00827ED1"/>
    <w:rsid w:val="0083023D"/>
    <w:rsid w:val="00830340"/>
    <w:rsid w:val="008303C3"/>
    <w:rsid w:val="008303DB"/>
    <w:rsid w:val="0083050A"/>
    <w:rsid w:val="00830580"/>
    <w:rsid w:val="00830597"/>
    <w:rsid w:val="0083094B"/>
    <w:rsid w:val="008309B8"/>
    <w:rsid w:val="00830C19"/>
    <w:rsid w:val="00830E52"/>
    <w:rsid w:val="00831087"/>
    <w:rsid w:val="0083120E"/>
    <w:rsid w:val="0083123D"/>
    <w:rsid w:val="00831730"/>
    <w:rsid w:val="008317DE"/>
    <w:rsid w:val="00831FB0"/>
    <w:rsid w:val="00831FCC"/>
    <w:rsid w:val="0083233F"/>
    <w:rsid w:val="008324E3"/>
    <w:rsid w:val="00832741"/>
    <w:rsid w:val="00832940"/>
    <w:rsid w:val="00832966"/>
    <w:rsid w:val="00832C3B"/>
    <w:rsid w:val="0083307C"/>
    <w:rsid w:val="008331B9"/>
    <w:rsid w:val="008331BA"/>
    <w:rsid w:val="008333FE"/>
    <w:rsid w:val="00833421"/>
    <w:rsid w:val="00833699"/>
    <w:rsid w:val="008339CA"/>
    <w:rsid w:val="00833A7C"/>
    <w:rsid w:val="00833A7E"/>
    <w:rsid w:val="00833B9F"/>
    <w:rsid w:val="00833E59"/>
    <w:rsid w:val="008346AA"/>
    <w:rsid w:val="008346F1"/>
    <w:rsid w:val="0083470B"/>
    <w:rsid w:val="0083484F"/>
    <w:rsid w:val="00834A48"/>
    <w:rsid w:val="00834A79"/>
    <w:rsid w:val="00834A80"/>
    <w:rsid w:val="00834B02"/>
    <w:rsid w:val="00834EBF"/>
    <w:rsid w:val="00834EFC"/>
    <w:rsid w:val="00834FDF"/>
    <w:rsid w:val="00835168"/>
    <w:rsid w:val="008352D9"/>
    <w:rsid w:val="00835434"/>
    <w:rsid w:val="00835700"/>
    <w:rsid w:val="00835AEB"/>
    <w:rsid w:val="00835BAD"/>
    <w:rsid w:val="00836279"/>
    <w:rsid w:val="00836BC6"/>
    <w:rsid w:val="00836C99"/>
    <w:rsid w:val="00836DC6"/>
    <w:rsid w:val="00836E24"/>
    <w:rsid w:val="00836E8D"/>
    <w:rsid w:val="00836E98"/>
    <w:rsid w:val="00836EB5"/>
    <w:rsid w:val="008370B6"/>
    <w:rsid w:val="008377F2"/>
    <w:rsid w:val="0083786A"/>
    <w:rsid w:val="008378F0"/>
    <w:rsid w:val="008379BB"/>
    <w:rsid w:val="00837BBC"/>
    <w:rsid w:val="00837CAC"/>
    <w:rsid w:val="00837CFC"/>
    <w:rsid w:val="00837EF5"/>
    <w:rsid w:val="0084065D"/>
    <w:rsid w:val="00840685"/>
    <w:rsid w:val="00840778"/>
    <w:rsid w:val="008407F1"/>
    <w:rsid w:val="008409C0"/>
    <w:rsid w:val="008411EA"/>
    <w:rsid w:val="00841281"/>
    <w:rsid w:val="0084146C"/>
    <w:rsid w:val="008414E6"/>
    <w:rsid w:val="00841968"/>
    <w:rsid w:val="00841A43"/>
    <w:rsid w:val="00841A83"/>
    <w:rsid w:val="00841AC1"/>
    <w:rsid w:val="00841AD8"/>
    <w:rsid w:val="00841BAF"/>
    <w:rsid w:val="00841F47"/>
    <w:rsid w:val="008420A5"/>
    <w:rsid w:val="00842212"/>
    <w:rsid w:val="00842AAB"/>
    <w:rsid w:val="00842EE3"/>
    <w:rsid w:val="0084353B"/>
    <w:rsid w:val="008435B7"/>
    <w:rsid w:val="0084371A"/>
    <w:rsid w:val="00843887"/>
    <w:rsid w:val="00843AAD"/>
    <w:rsid w:val="00843BF3"/>
    <w:rsid w:val="00843DAF"/>
    <w:rsid w:val="008440C3"/>
    <w:rsid w:val="008442A8"/>
    <w:rsid w:val="00844347"/>
    <w:rsid w:val="0084437F"/>
    <w:rsid w:val="00844394"/>
    <w:rsid w:val="008443AB"/>
    <w:rsid w:val="00844729"/>
    <w:rsid w:val="00844791"/>
    <w:rsid w:val="00844871"/>
    <w:rsid w:val="0084488C"/>
    <w:rsid w:val="008448D2"/>
    <w:rsid w:val="00844975"/>
    <w:rsid w:val="00844A1C"/>
    <w:rsid w:val="00844C6A"/>
    <w:rsid w:val="008450F3"/>
    <w:rsid w:val="00845210"/>
    <w:rsid w:val="008452AC"/>
    <w:rsid w:val="0084532D"/>
    <w:rsid w:val="00845395"/>
    <w:rsid w:val="00845946"/>
    <w:rsid w:val="00845982"/>
    <w:rsid w:val="008459ED"/>
    <w:rsid w:val="00845A85"/>
    <w:rsid w:val="00845B1F"/>
    <w:rsid w:val="00845D71"/>
    <w:rsid w:val="0084603C"/>
    <w:rsid w:val="008461D5"/>
    <w:rsid w:val="00846330"/>
    <w:rsid w:val="00846341"/>
    <w:rsid w:val="008463F2"/>
    <w:rsid w:val="00846954"/>
    <w:rsid w:val="008469DB"/>
    <w:rsid w:val="00846AB1"/>
    <w:rsid w:val="00846AFC"/>
    <w:rsid w:val="00846B4C"/>
    <w:rsid w:val="00846BC6"/>
    <w:rsid w:val="00846BD2"/>
    <w:rsid w:val="00847015"/>
    <w:rsid w:val="008470E6"/>
    <w:rsid w:val="00847188"/>
    <w:rsid w:val="0084728E"/>
    <w:rsid w:val="00847366"/>
    <w:rsid w:val="0084746B"/>
    <w:rsid w:val="00847696"/>
    <w:rsid w:val="008476A0"/>
    <w:rsid w:val="008476E2"/>
    <w:rsid w:val="00847935"/>
    <w:rsid w:val="00847E27"/>
    <w:rsid w:val="0085020D"/>
    <w:rsid w:val="008502A5"/>
    <w:rsid w:val="0085031A"/>
    <w:rsid w:val="0085041B"/>
    <w:rsid w:val="008505F9"/>
    <w:rsid w:val="00850652"/>
    <w:rsid w:val="0085072D"/>
    <w:rsid w:val="00850731"/>
    <w:rsid w:val="008507BE"/>
    <w:rsid w:val="008508A6"/>
    <w:rsid w:val="008509E0"/>
    <w:rsid w:val="00850A8B"/>
    <w:rsid w:val="00850AAE"/>
    <w:rsid w:val="00850D4E"/>
    <w:rsid w:val="00851128"/>
    <w:rsid w:val="00851431"/>
    <w:rsid w:val="0085147C"/>
    <w:rsid w:val="00851561"/>
    <w:rsid w:val="00851692"/>
    <w:rsid w:val="0085185A"/>
    <w:rsid w:val="008519E2"/>
    <w:rsid w:val="00851B18"/>
    <w:rsid w:val="00851C5E"/>
    <w:rsid w:val="00851DC2"/>
    <w:rsid w:val="00851E27"/>
    <w:rsid w:val="00851F84"/>
    <w:rsid w:val="00852359"/>
    <w:rsid w:val="00852557"/>
    <w:rsid w:val="008527FA"/>
    <w:rsid w:val="00852DCA"/>
    <w:rsid w:val="00852E76"/>
    <w:rsid w:val="00852E9A"/>
    <w:rsid w:val="00852F38"/>
    <w:rsid w:val="00852F50"/>
    <w:rsid w:val="0085310A"/>
    <w:rsid w:val="0085346B"/>
    <w:rsid w:val="00853881"/>
    <w:rsid w:val="00853898"/>
    <w:rsid w:val="00853C52"/>
    <w:rsid w:val="00853E72"/>
    <w:rsid w:val="008540A4"/>
    <w:rsid w:val="0085434B"/>
    <w:rsid w:val="0085444F"/>
    <w:rsid w:val="008545CF"/>
    <w:rsid w:val="0085461C"/>
    <w:rsid w:val="0085490A"/>
    <w:rsid w:val="0085496B"/>
    <w:rsid w:val="00854B87"/>
    <w:rsid w:val="00854D43"/>
    <w:rsid w:val="00854EF0"/>
    <w:rsid w:val="00854F43"/>
    <w:rsid w:val="00854FB5"/>
    <w:rsid w:val="00855059"/>
    <w:rsid w:val="00855307"/>
    <w:rsid w:val="00855409"/>
    <w:rsid w:val="00855761"/>
    <w:rsid w:val="00855879"/>
    <w:rsid w:val="00855BD4"/>
    <w:rsid w:val="00855F04"/>
    <w:rsid w:val="00855F51"/>
    <w:rsid w:val="00855F78"/>
    <w:rsid w:val="00855F7E"/>
    <w:rsid w:val="008560C2"/>
    <w:rsid w:val="008564D5"/>
    <w:rsid w:val="008567C4"/>
    <w:rsid w:val="00856C34"/>
    <w:rsid w:val="0085716B"/>
    <w:rsid w:val="008571EB"/>
    <w:rsid w:val="008574DF"/>
    <w:rsid w:val="0085753A"/>
    <w:rsid w:val="00857D7E"/>
    <w:rsid w:val="00860165"/>
    <w:rsid w:val="00860294"/>
    <w:rsid w:val="008602BF"/>
    <w:rsid w:val="00860552"/>
    <w:rsid w:val="008605AA"/>
    <w:rsid w:val="00860763"/>
    <w:rsid w:val="00860CF3"/>
    <w:rsid w:val="0086103B"/>
    <w:rsid w:val="0086114B"/>
    <w:rsid w:val="00861195"/>
    <w:rsid w:val="008612BB"/>
    <w:rsid w:val="0086181C"/>
    <w:rsid w:val="00861932"/>
    <w:rsid w:val="00861A00"/>
    <w:rsid w:val="00861A2A"/>
    <w:rsid w:val="00861CB7"/>
    <w:rsid w:val="00861FAD"/>
    <w:rsid w:val="008621C6"/>
    <w:rsid w:val="008622A8"/>
    <w:rsid w:val="008624A3"/>
    <w:rsid w:val="008627FC"/>
    <w:rsid w:val="0086294A"/>
    <w:rsid w:val="00862B2A"/>
    <w:rsid w:val="00862B69"/>
    <w:rsid w:val="00862CBC"/>
    <w:rsid w:val="00862E59"/>
    <w:rsid w:val="00862E8A"/>
    <w:rsid w:val="00862FED"/>
    <w:rsid w:val="00863152"/>
    <w:rsid w:val="008631B5"/>
    <w:rsid w:val="008637A0"/>
    <w:rsid w:val="008637F9"/>
    <w:rsid w:val="00863C7C"/>
    <w:rsid w:val="00863E51"/>
    <w:rsid w:val="00863E95"/>
    <w:rsid w:val="00864049"/>
    <w:rsid w:val="0086431F"/>
    <w:rsid w:val="00864345"/>
    <w:rsid w:val="008643D4"/>
    <w:rsid w:val="0086451D"/>
    <w:rsid w:val="00864559"/>
    <w:rsid w:val="00864676"/>
    <w:rsid w:val="008647B7"/>
    <w:rsid w:val="008648D5"/>
    <w:rsid w:val="00864962"/>
    <w:rsid w:val="00864AEE"/>
    <w:rsid w:val="00864D46"/>
    <w:rsid w:val="00864DAB"/>
    <w:rsid w:val="00864F19"/>
    <w:rsid w:val="00865546"/>
    <w:rsid w:val="0086592F"/>
    <w:rsid w:val="0086594D"/>
    <w:rsid w:val="00865BAC"/>
    <w:rsid w:val="00865DC1"/>
    <w:rsid w:val="00865F45"/>
    <w:rsid w:val="0086607F"/>
    <w:rsid w:val="008664FA"/>
    <w:rsid w:val="008668AF"/>
    <w:rsid w:val="00866C38"/>
    <w:rsid w:val="00866C40"/>
    <w:rsid w:val="00866FD6"/>
    <w:rsid w:val="00867198"/>
    <w:rsid w:val="00867223"/>
    <w:rsid w:val="00867264"/>
    <w:rsid w:val="00867267"/>
    <w:rsid w:val="00867288"/>
    <w:rsid w:val="00867447"/>
    <w:rsid w:val="00867449"/>
    <w:rsid w:val="008676EB"/>
    <w:rsid w:val="00867AE4"/>
    <w:rsid w:val="00867B15"/>
    <w:rsid w:val="00867D83"/>
    <w:rsid w:val="00867DAB"/>
    <w:rsid w:val="00867E67"/>
    <w:rsid w:val="00870112"/>
    <w:rsid w:val="00870165"/>
    <w:rsid w:val="008703DF"/>
    <w:rsid w:val="00870405"/>
    <w:rsid w:val="0087052C"/>
    <w:rsid w:val="0087056C"/>
    <w:rsid w:val="00870757"/>
    <w:rsid w:val="008709C2"/>
    <w:rsid w:val="00870C8E"/>
    <w:rsid w:val="00870E16"/>
    <w:rsid w:val="00870F51"/>
    <w:rsid w:val="008710D9"/>
    <w:rsid w:val="00871155"/>
    <w:rsid w:val="00871213"/>
    <w:rsid w:val="00871243"/>
    <w:rsid w:val="0087139E"/>
    <w:rsid w:val="008713E4"/>
    <w:rsid w:val="008714A1"/>
    <w:rsid w:val="008717BA"/>
    <w:rsid w:val="00871AA0"/>
    <w:rsid w:val="00871E46"/>
    <w:rsid w:val="008728BE"/>
    <w:rsid w:val="00872952"/>
    <w:rsid w:val="0087295E"/>
    <w:rsid w:val="00872BA8"/>
    <w:rsid w:val="00872D63"/>
    <w:rsid w:val="00872D92"/>
    <w:rsid w:val="00872D97"/>
    <w:rsid w:val="00872FE6"/>
    <w:rsid w:val="008730A1"/>
    <w:rsid w:val="008730CF"/>
    <w:rsid w:val="008732F1"/>
    <w:rsid w:val="0087340B"/>
    <w:rsid w:val="008734B1"/>
    <w:rsid w:val="008734F7"/>
    <w:rsid w:val="0087365A"/>
    <w:rsid w:val="00873907"/>
    <w:rsid w:val="00873920"/>
    <w:rsid w:val="00873A65"/>
    <w:rsid w:val="00873B26"/>
    <w:rsid w:val="00873E50"/>
    <w:rsid w:val="008743C7"/>
    <w:rsid w:val="00874400"/>
    <w:rsid w:val="0087468C"/>
    <w:rsid w:val="008746E8"/>
    <w:rsid w:val="008747DB"/>
    <w:rsid w:val="008747EC"/>
    <w:rsid w:val="00874854"/>
    <w:rsid w:val="00874944"/>
    <w:rsid w:val="00874BB9"/>
    <w:rsid w:val="00874C05"/>
    <w:rsid w:val="00874E99"/>
    <w:rsid w:val="008750F9"/>
    <w:rsid w:val="008750FF"/>
    <w:rsid w:val="00875341"/>
    <w:rsid w:val="0087536E"/>
    <w:rsid w:val="0087536F"/>
    <w:rsid w:val="00875380"/>
    <w:rsid w:val="008754AF"/>
    <w:rsid w:val="008754C8"/>
    <w:rsid w:val="00875729"/>
    <w:rsid w:val="00876018"/>
    <w:rsid w:val="00876CD4"/>
    <w:rsid w:val="00876CFE"/>
    <w:rsid w:val="00876E68"/>
    <w:rsid w:val="00876E93"/>
    <w:rsid w:val="00877093"/>
    <w:rsid w:val="0087725A"/>
    <w:rsid w:val="008773CC"/>
    <w:rsid w:val="00877678"/>
    <w:rsid w:val="00877727"/>
    <w:rsid w:val="00877972"/>
    <w:rsid w:val="00877C2C"/>
    <w:rsid w:val="00877D46"/>
    <w:rsid w:val="00877EAB"/>
    <w:rsid w:val="00877EED"/>
    <w:rsid w:val="0087B7E6"/>
    <w:rsid w:val="0087F4AD"/>
    <w:rsid w:val="00880351"/>
    <w:rsid w:val="00880645"/>
    <w:rsid w:val="00880723"/>
    <w:rsid w:val="00880783"/>
    <w:rsid w:val="008809A7"/>
    <w:rsid w:val="00880A40"/>
    <w:rsid w:val="00880A63"/>
    <w:rsid w:val="00880F3A"/>
    <w:rsid w:val="00881093"/>
    <w:rsid w:val="008810DB"/>
    <w:rsid w:val="00881229"/>
    <w:rsid w:val="008816F5"/>
    <w:rsid w:val="0088172C"/>
    <w:rsid w:val="00881BA8"/>
    <w:rsid w:val="00881C81"/>
    <w:rsid w:val="00881E16"/>
    <w:rsid w:val="00882A90"/>
    <w:rsid w:val="00882AF0"/>
    <w:rsid w:val="00882C06"/>
    <w:rsid w:val="00882CC7"/>
    <w:rsid w:val="00882CE0"/>
    <w:rsid w:val="00882D81"/>
    <w:rsid w:val="008831E7"/>
    <w:rsid w:val="0088326F"/>
    <w:rsid w:val="00883715"/>
    <w:rsid w:val="008837B2"/>
    <w:rsid w:val="00883829"/>
    <w:rsid w:val="0088388D"/>
    <w:rsid w:val="00883896"/>
    <w:rsid w:val="00883A25"/>
    <w:rsid w:val="00883A88"/>
    <w:rsid w:val="00883CC3"/>
    <w:rsid w:val="00883DD1"/>
    <w:rsid w:val="00883EC9"/>
    <w:rsid w:val="00883F00"/>
    <w:rsid w:val="0088436E"/>
    <w:rsid w:val="0088461E"/>
    <w:rsid w:val="0088463A"/>
    <w:rsid w:val="008847BB"/>
    <w:rsid w:val="008847BD"/>
    <w:rsid w:val="008847CA"/>
    <w:rsid w:val="008849D7"/>
    <w:rsid w:val="00884A25"/>
    <w:rsid w:val="00884A55"/>
    <w:rsid w:val="00884D4A"/>
    <w:rsid w:val="0088521F"/>
    <w:rsid w:val="008852CC"/>
    <w:rsid w:val="00885895"/>
    <w:rsid w:val="0088594A"/>
    <w:rsid w:val="00885B6D"/>
    <w:rsid w:val="00885BFB"/>
    <w:rsid w:val="008861FD"/>
    <w:rsid w:val="00886224"/>
    <w:rsid w:val="0088643C"/>
    <w:rsid w:val="00886469"/>
    <w:rsid w:val="00886664"/>
    <w:rsid w:val="008866DF"/>
    <w:rsid w:val="008869F4"/>
    <w:rsid w:val="00886CA3"/>
    <w:rsid w:val="00886DED"/>
    <w:rsid w:val="00887309"/>
    <w:rsid w:val="00887503"/>
    <w:rsid w:val="00887595"/>
    <w:rsid w:val="008876EC"/>
    <w:rsid w:val="00887848"/>
    <w:rsid w:val="00887A84"/>
    <w:rsid w:val="00887BB2"/>
    <w:rsid w:val="00887CE2"/>
    <w:rsid w:val="00887EA3"/>
    <w:rsid w:val="00887EE4"/>
    <w:rsid w:val="0088A7EA"/>
    <w:rsid w:val="008900AB"/>
    <w:rsid w:val="00890949"/>
    <w:rsid w:val="00890AD4"/>
    <w:rsid w:val="00890BF5"/>
    <w:rsid w:val="00890C88"/>
    <w:rsid w:val="00890D46"/>
    <w:rsid w:val="00890F94"/>
    <w:rsid w:val="0089106A"/>
    <w:rsid w:val="00891070"/>
    <w:rsid w:val="00891193"/>
    <w:rsid w:val="008911CB"/>
    <w:rsid w:val="008911FA"/>
    <w:rsid w:val="00891214"/>
    <w:rsid w:val="00891271"/>
    <w:rsid w:val="00891324"/>
    <w:rsid w:val="008913D3"/>
    <w:rsid w:val="00891838"/>
    <w:rsid w:val="0089199C"/>
    <w:rsid w:val="00891C17"/>
    <w:rsid w:val="00891E92"/>
    <w:rsid w:val="0089219E"/>
    <w:rsid w:val="0089246A"/>
    <w:rsid w:val="00892544"/>
    <w:rsid w:val="0089274E"/>
    <w:rsid w:val="00892A4F"/>
    <w:rsid w:val="00892D55"/>
    <w:rsid w:val="00892F42"/>
    <w:rsid w:val="008931D3"/>
    <w:rsid w:val="008931F7"/>
    <w:rsid w:val="008933D9"/>
    <w:rsid w:val="00893460"/>
    <w:rsid w:val="0089363A"/>
    <w:rsid w:val="00893819"/>
    <w:rsid w:val="0089384E"/>
    <w:rsid w:val="0089392F"/>
    <w:rsid w:val="00893988"/>
    <w:rsid w:val="00893B30"/>
    <w:rsid w:val="00893CA6"/>
    <w:rsid w:val="00893D6F"/>
    <w:rsid w:val="00893EEF"/>
    <w:rsid w:val="00893F87"/>
    <w:rsid w:val="0089417C"/>
    <w:rsid w:val="008944D5"/>
    <w:rsid w:val="00894AAC"/>
    <w:rsid w:val="00894B19"/>
    <w:rsid w:val="00894D6B"/>
    <w:rsid w:val="00894F81"/>
    <w:rsid w:val="00894FCF"/>
    <w:rsid w:val="0089551D"/>
    <w:rsid w:val="00895540"/>
    <w:rsid w:val="00895555"/>
    <w:rsid w:val="00895939"/>
    <w:rsid w:val="008959D3"/>
    <w:rsid w:val="00895A17"/>
    <w:rsid w:val="00895A9B"/>
    <w:rsid w:val="00895D38"/>
    <w:rsid w:val="00895D4B"/>
    <w:rsid w:val="00895EDF"/>
    <w:rsid w:val="00895F4C"/>
    <w:rsid w:val="008962F1"/>
    <w:rsid w:val="00896360"/>
    <w:rsid w:val="00896930"/>
    <w:rsid w:val="00896E49"/>
    <w:rsid w:val="00896E6B"/>
    <w:rsid w:val="00896EE9"/>
    <w:rsid w:val="008971BE"/>
    <w:rsid w:val="008971C7"/>
    <w:rsid w:val="008975A2"/>
    <w:rsid w:val="00897839"/>
    <w:rsid w:val="0089791C"/>
    <w:rsid w:val="00897B51"/>
    <w:rsid w:val="00897BD0"/>
    <w:rsid w:val="00897C75"/>
    <w:rsid w:val="008A01F1"/>
    <w:rsid w:val="008A0638"/>
    <w:rsid w:val="008A0698"/>
    <w:rsid w:val="008A0AD8"/>
    <w:rsid w:val="008A0BC5"/>
    <w:rsid w:val="008A0F8A"/>
    <w:rsid w:val="008A0FD6"/>
    <w:rsid w:val="008A12B3"/>
    <w:rsid w:val="008A1381"/>
    <w:rsid w:val="008A14CB"/>
    <w:rsid w:val="008A16A3"/>
    <w:rsid w:val="008A16A6"/>
    <w:rsid w:val="008A16F1"/>
    <w:rsid w:val="008A175D"/>
    <w:rsid w:val="008A184F"/>
    <w:rsid w:val="008A1859"/>
    <w:rsid w:val="008A1869"/>
    <w:rsid w:val="008A1C2C"/>
    <w:rsid w:val="008A1D6B"/>
    <w:rsid w:val="008A1F19"/>
    <w:rsid w:val="008A2046"/>
    <w:rsid w:val="008A2516"/>
    <w:rsid w:val="008A27FF"/>
    <w:rsid w:val="008A2843"/>
    <w:rsid w:val="008A28E2"/>
    <w:rsid w:val="008A2B76"/>
    <w:rsid w:val="008A2C72"/>
    <w:rsid w:val="008A328B"/>
    <w:rsid w:val="008A3425"/>
    <w:rsid w:val="008A34B6"/>
    <w:rsid w:val="008A3530"/>
    <w:rsid w:val="008A35C7"/>
    <w:rsid w:val="008A362E"/>
    <w:rsid w:val="008A370D"/>
    <w:rsid w:val="008A395B"/>
    <w:rsid w:val="008A3AB0"/>
    <w:rsid w:val="008A3ADD"/>
    <w:rsid w:val="008A3B7A"/>
    <w:rsid w:val="008A3BCD"/>
    <w:rsid w:val="008A3E1B"/>
    <w:rsid w:val="008A3F5A"/>
    <w:rsid w:val="008A4022"/>
    <w:rsid w:val="008A40BC"/>
    <w:rsid w:val="008A40DD"/>
    <w:rsid w:val="008A41CD"/>
    <w:rsid w:val="008A4863"/>
    <w:rsid w:val="008A4880"/>
    <w:rsid w:val="008A4931"/>
    <w:rsid w:val="008A4AC7"/>
    <w:rsid w:val="008A4E7B"/>
    <w:rsid w:val="008A4F66"/>
    <w:rsid w:val="008A5152"/>
    <w:rsid w:val="008A5159"/>
    <w:rsid w:val="008A51AB"/>
    <w:rsid w:val="008A51BA"/>
    <w:rsid w:val="008A5289"/>
    <w:rsid w:val="008A52B1"/>
    <w:rsid w:val="008A5754"/>
    <w:rsid w:val="008A5765"/>
    <w:rsid w:val="008A5A0F"/>
    <w:rsid w:val="008A5AA7"/>
    <w:rsid w:val="008A5B28"/>
    <w:rsid w:val="008A5C17"/>
    <w:rsid w:val="008A5E0E"/>
    <w:rsid w:val="008A5E1D"/>
    <w:rsid w:val="008A5FFE"/>
    <w:rsid w:val="008A6396"/>
    <w:rsid w:val="008A63C7"/>
    <w:rsid w:val="008A63E1"/>
    <w:rsid w:val="008A6680"/>
    <w:rsid w:val="008A6709"/>
    <w:rsid w:val="008A6976"/>
    <w:rsid w:val="008A6ACD"/>
    <w:rsid w:val="008A6E12"/>
    <w:rsid w:val="008A6E25"/>
    <w:rsid w:val="008A6F3F"/>
    <w:rsid w:val="008A7983"/>
    <w:rsid w:val="008A7A81"/>
    <w:rsid w:val="008A7E19"/>
    <w:rsid w:val="008A7F7C"/>
    <w:rsid w:val="008A7FA7"/>
    <w:rsid w:val="008B01E1"/>
    <w:rsid w:val="008B0436"/>
    <w:rsid w:val="008B08EA"/>
    <w:rsid w:val="008B09B8"/>
    <w:rsid w:val="008B0A83"/>
    <w:rsid w:val="008B0C53"/>
    <w:rsid w:val="008B0C89"/>
    <w:rsid w:val="008B0CE6"/>
    <w:rsid w:val="008B0E44"/>
    <w:rsid w:val="008B12B5"/>
    <w:rsid w:val="008B1382"/>
    <w:rsid w:val="008B1568"/>
    <w:rsid w:val="008B15A4"/>
    <w:rsid w:val="008B160B"/>
    <w:rsid w:val="008B1FFD"/>
    <w:rsid w:val="008B2287"/>
    <w:rsid w:val="008B24A5"/>
    <w:rsid w:val="008B2616"/>
    <w:rsid w:val="008B26E1"/>
    <w:rsid w:val="008B2A28"/>
    <w:rsid w:val="008B2AAB"/>
    <w:rsid w:val="008B2B3B"/>
    <w:rsid w:val="008B2C31"/>
    <w:rsid w:val="008B2E71"/>
    <w:rsid w:val="008B3142"/>
    <w:rsid w:val="008B31AE"/>
    <w:rsid w:val="008B346F"/>
    <w:rsid w:val="008B348B"/>
    <w:rsid w:val="008B35B2"/>
    <w:rsid w:val="008B35D1"/>
    <w:rsid w:val="008B3746"/>
    <w:rsid w:val="008B3926"/>
    <w:rsid w:val="008B3AFE"/>
    <w:rsid w:val="008B3B9E"/>
    <w:rsid w:val="008B3ED0"/>
    <w:rsid w:val="008B3F65"/>
    <w:rsid w:val="008B4557"/>
    <w:rsid w:val="008B4B1F"/>
    <w:rsid w:val="008B4EA4"/>
    <w:rsid w:val="008B5290"/>
    <w:rsid w:val="008B544F"/>
    <w:rsid w:val="008B570B"/>
    <w:rsid w:val="008B5737"/>
    <w:rsid w:val="008B5767"/>
    <w:rsid w:val="008B580D"/>
    <w:rsid w:val="008B58AB"/>
    <w:rsid w:val="008B58BB"/>
    <w:rsid w:val="008B5969"/>
    <w:rsid w:val="008B5B32"/>
    <w:rsid w:val="008B5B8F"/>
    <w:rsid w:val="008B6437"/>
    <w:rsid w:val="008B6727"/>
    <w:rsid w:val="008B691B"/>
    <w:rsid w:val="008B6AA7"/>
    <w:rsid w:val="008B6C93"/>
    <w:rsid w:val="008B6DC5"/>
    <w:rsid w:val="008B702B"/>
    <w:rsid w:val="008B70F4"/>
    <w:rsid w:val="008B747A"/>
    <w:rsid w:val="008B756A"/>
    <w:rsid w:val="008B78C2"/>
    <w:rsid w:val="008B7B91"/>
    <w:rsid w:val="008C00CF"/>
    <w:rsid w:val="008C013F"/>
    <w:rsid w:val="008C0144"/>
    <w:rsid w:val="008C03B0"/>
    <w:rsid w:val="008C03C3"/>
    <w:rsid w:val="008C0891"/>
    <w:rsid w:val="008C09B5"/>
    <w:rsid w:val="008C09E8"/>
    <w:rsid w:val="008C0CAA"/>
    <w:rsid w:val="008C1612"/>
    <w:rsid w:val="008C171B"/>
    <w:rsid w:val="008C1839"/>
    <w:rsid w:val="008C1DB5"/>
    <w:rsid w:val="008C1ED3"/>
    <w:rsid w:val="008C1FE2"/>
    <w:rsid w:val="008C211F"/>
    <w:rsid w:val="008C22BA"/>
    <w:rsid w:val="008C22BF"/>
    <w:rsid w:val="008C25F9"/>
    <w:rsid w:val="008C2989"/>
    <w:rsid w:val="008C2A5A"/>
    <w:rsid w:val="008C2E79"/>
    <w:rsid w:val="008C2E95"/>
    <w:rsid w:val="008C3372"/>
    <w:rsid w:val="008C3447"/>
    <w:rsid w:val="008C34E0"/>
    <w:rsid w:val="008C3552"/>
    <w:rsid w:val="008C3625"/>
    <w:rsid w:val="008C3747"/>
    <w:rsid w:val="008C38D3"/>
    <w:rsid w:val="008C39A1"/>
    <w:rsid w:val="008C39DE"/>
    <w:rsid w:val="008C3A2E"/>
    <w:rsid w:val="008C3A73"/>
    <w:rsid w:val="008C3D0F"/>
    <w:rsid w:val="008C3FD5"/>
    <w:rsid w:val="008C4074"/>
    <w:rsid w:val="008C4155"/>
    <w:rsid w:val="008C435C"/>
    <w:rsid w:val="008C43A3"/>
    <w:rsid w:val="008C460D"/>
    <w:rsid w:val="008C4644"/>
    <w:rsid w:val="008C4686"/>
    <w:rsid w:val="008C4AAA"/>
    <w:rsid w:val="008C4DE1"/>
    <w:rsid w:val="008C50EB"/>
    <w:rsid w:val="008C52DB"/>
    <w:rsid w:val="008C5339"/>
    <w:rsid w:val="008C5871"/>
    <w:rsid w:val="008C5978"/>
    <w:rsid w:val="008C5AB2"/>
    <w:rsid w:val="008C5B66"/>
    <w:rsid w:val="008C5B96"/>
    <w:rsid w:val="008C5CA0"/>
    <w:rsid w:val="008C5E00"/>
    <w:rsid w:val="008C6339"/>
    <w:rsid w:val="008C6516"/>
    <w:rsid w:val="008C6655"/>
    <w:rsid w:val="008C67E8"/>
    <w:rsid w:val="008C6805"/>
    <w:rsid w:val="008C68DF"/>
    <w:rsid w:val="008C68ED"/>
    <w:rsid w:val="008C69C5"/>
    <w:rsid w:val="008C6CBC"/>
    <w:rsid w:val="008C6CF1"/>
    <w:rsid w:val="008C6E68"/>
    <w:rsid w:val="008C6E9C"/>
    <w:rsid w:val="008C6EC4"/>
    <w:rsid w:val="008C6F3B"/>
    <w:rsid w:val="008C76A7"/>
    <w:rsid w:val="008C7891"/>
    <w:rsid w:val="008C7961"/>
    <w:rsid w:val="008C79CC"/>
    <w:rsid w:val="008C7BFF"/>
    <w:rsid w:val="008C7CCA"/>
    <w:rsid w:val="008CBB0C"/>
    <w:rsid w:val="008D0146"/>
    <w:rsid w:val="008D0215"/>
    <w:rsid w:val="008D032D"/>
    <w:rsid w:val="008D09DD"/>
    <w:rsid w:val="008D0A63"/>
    <w:rsid w:val="008D0C3D"/>
    <w:rsid w:val="008D119F"/>
    <w:rsid w:val="008D1201"/>
    <w:rsid w:val="008D12D9"/>
    <w:rsid w:val="008D1491"/>
    <w:rsid w:val="008D1784"/>
    <w:rsid w:val="008D1808"/>
    <w:rsid w:val="008D1937"/>
    <w:rsid w:val="008D1A21"/>
    <w:rsid w:val="008D1B61"/>
    <w:rsid w:val="008D1D41"/>
    <w:rsid w:val="008D1D9E"/>
    <w:rsid w:val="008D1F71"/>
    <w:rsid w:val="008D24F1"/>
    <w:rsid w:val="008D2564"/>
    <w:rsid w:val="008D269A"/>
    <w:rsid w:val="008D26D5"/>
    <w:rsid w:val="008D2C4B"/>
    <w:rsid w:val="008D2E69"/>
    <w:rsid w:val="008D3054"/>
    <w:rsid w:val="008D3168"/>
    <w:rsid w:val="008D32E3"/>
    <w:rsid w:val="008D3332"/>
    <w:rsid w:val="008D3452"/>
    <w:rsid w:val="008D34EE"/>
    <w:rsid w:val="008D3847"/>
    <w:rsid w:val="008D3A7E"/>
    <w:rsid w:val="008D3B23"/>
    <w:rsid w:val="008D3B7D"/>
    <w:rsid w:val="008D3C31"/>
    <w:rsid w:val="008D3F58"/>
    <w:rsid w:val="008D4271"/>
    <w:rsid w:val="008D42E7"/>
    <w:rsid w:val="008D434D"/>
    <w:rsid w:val="008D475B"/>
    <w:rsid w:val="008D4811"/>
    <w:rsid w:val="008D4AB5"/>
    <w:rsid w:val="008D4DDB"/>
    <w:rsid w:val="008D528E"/>
    <w:rsid w:val="008D529F"/>
    <w:rsid w:val="008D52CC"/>
    <w:rsid w:val="008D5421"/>
    <w:rsid w:val="008D5481"/>
    <w:rsid w:val="008D552B"/>
    <w:rsid w:val="008D57D1"/>
    <w:rsid w:val="008D5A85"/>
    <w:rsid w:val="008D5B9C"/>
    <w:rsid w:val="008D5FF1"/>
    <w:rsid w:val="008D605C"/>
    <w:rsid w:val="008D60A7"/>
    <w:rsid w:val="008D60E3"/>
    <w:rsid w:val="008D6297"/>
    <w:rsid w:val="008D649D"/>
    <w:rsid w:val="008D66E7"/>
    <w:rsid w:val="008D685E"/>
    <w:rsid w:val="008D78FF"/>
    <w:rsid w:val="008D7940"/>
    <w:rsid w:val="008D7BF5"/>
    <w:rsid w:val="008D7D78"/>
    <w:rsid w:val="008D7DB3"/>
    <w:rsid w:val="008D7DB6"/>
    <w:rsid w:val="008E013A"/>
    <w:rsid w:val="008E0494"/>
    <w:rsid w:val="008E04F4"/>
    <w:rsid w:val="008E053B"/>
    <w:rsid w:val="008E05E3"/>
    <w:rsid w:val="008E0862"/>
    <w:rsid w:val="008E0BFA"/>
    <w:rsid w:val="008E0F20"/>
    <w:rsid w:val="008E123D"/>
    <w:rsid w:val="008E13CA"/>
    <w:rsid w:val="008E1B2E"/>
    <w:rsid w:val="008E2063"/>
    <w:rsid w:val="008E221D"/>
    <w:rsid w:val="008E229D"/>
    <w:rsid w:val="008E24F8"/>
    <w:rsid w:val="008E2637"/>
    <w:rsid w:val="008E27D5"/>
    <w:rsid w:val="008E2A66"/>
    <w:rsid w:val="008E2B7E"/>
    <w:rsid w:val="008E2BCE"/>
    <w:rsid w:val="008E2D5A"/>
    <w:rsid w:val="008E2EB5"/>
    <w:rsid w:val="008E3170"/>
    <w:rsid w:val="008E3239"/>
    <w:rsid w:val="008E3438"/>
    <w:rsid w:val="008E35B0"/>
    <w:rsid w:val="008E39D7"/>
    <w:rsid w:val="008E3A42"/>
    <w:rsid w:val="008E3B02"/>
    <w:rsid w:val="008E3CF0"/>
    <w:rsid w:val="008E3CFD"/>
    <w:rsid w:val="008E4016"/>
    <w:rsid w:val="008E40F1"/>
    <w:rsid w:val="008E419B"/>
    <w:rsid w:val="008E4212"/>
    <w:rsid w:val="008E424C"/>
    <w:rsid w:val="008E4509"/>
    <w:rsid w:val="008E46C8"/>
    <w:rsid w:val="008E4958"/>
    <w:rsid w:val="008E49D5"/>
    <w:rsid w:val="008E4C87"/>
    <w:rsid w:val="008E4E6A"/>
    <w:rsid w:val="008E4FF0"/>
    <w:rsid w:val="008E5231"/>
    <w:rsid w:val="008E533F"/>
    <w:rsid w:val="008E5510"/>
    <w:rsid w:val="008E5595"/>
    <w:rsid w:val="008E573A"/>
    <w:rsid w:val="008E5910"/>
    <w:rsid w:val="008E5A19"/>
    <w:rsid w:val="008E5A80"/>
    <w:rsid w:val="008E6744"/>
    <w:rsid w:val="008E6C1A"/>
    <w:rsid w:val="008E6FD4"/>
    <w:rsid w:val="008E70F8"/>
    <w:rsid w:val="008E710A"/>
    <w:rsid w:val="008E727D"/>
    <w:rsid w:val="008E740F"/>
    <w:rsid w:val="008E7597"/>
    <w:rsid w:val="008E7716"/>
    <w:rsid w:val="008E7763"/>
    <w:rsid w:val="008E7938"/>
    <w:rsid w:val="008E7C39"/>
    <w:rsid w:val="008E7C8F"/>
    <w:rsid w:val="008E7CB2"/>
    <w:rsid w:val="008F008D"/>
    <w:rsid w:val="008F00CE"/>
    <w:rsid w:val="008F043D"/>
    <w:rsid w:val="008F04AC"/>
    <w:rsid w:val="008F05C4"/>
    <w:rsid w:val="008F07FC"/>
    <w:rsid w:val="008F0C33"/>
    <w:rsid w:val="008F0DF2"/>
    <w:rsid w:val="008F0DF6"/>
    <w:rsid w:val="008F0FA7"/>
    <w:rsid w:val="008F1123"/>
    <w:rsid w:val="008F1906"/>
    <w:rsid w:val="008F19B6"/>
    <w:rsid w:val="008F1A04"/>
    <w:rsid w:val="008F1B70"/>
    <w:rsid w:val="008F1FDB"/>
    <w:rsid w:val="008F2039"/>
    <w:rsid w:val="008F2041"/>
    <w:rsid w:val="008F2431"/>
    <w:rsid w:val="008F273A"/>
    <w:rsid w:val="008F2906"/>
    <w:rsid w:val="008F2A35"/>
    <w:rsid w:val="008F2AFE"/>
    <w:rsid w:val="008F2D5F"/>
    <w:rsid w:val="008F2EED"/>
    <w:rsid w:val="008F3034"/>
    <w:rsid w:val="008F3519"/>
    <w:rsid w:val="008F36AD"/>
    <w:rsid w:val="008F39C9"/>
    <w:rsid w:val="008F3CB7"/>
    <w:rsid w:val="008F3DC5"/>
    <w:rsid w:val="008F41D8"/>
    <w:rsid w:val="008F43EC"/>
    <w:rsid w:val="008F445F"/>
    <w:rsid w:val="008F4A64"/>
    <w:rsid w:val="008F4A7E"/>
    <w:rsid w:val="008F4E27"/>
    <w:rsid w:val="008F4FA0"/>
    <w:rsid w:val="008F518B"/>
    <w:rsid w:val="008F5299"/>
    <w:rsid w:val="008F5341"/>
    <w:rsid w:val="008F5359"/>
    <w:rsid w:val="008F5551"/>
    <w:rsid w:val="008F579F"/>
    <w:rsid w:val="008F57F9"/>
    <w:rsid w:val="008F5878"/>
    <w:rsid w:val="008F5AF1"/>
    <w:rsid w:val="008F5E79"/>
    <w:rsid w:val="008F5FE8"/>
    <w:rsid w:val="008F60F4"/>
    <w:rsid w:val="008F616B"/>
    <w:rsid w:val="008F6264"/>
    <w:rsid w:val="008F6D39"/>
    <w:rsid w:val="008F703E"/>
    <w:rsid w:val="008F7176"/>
    <w:rsid w:val="008F7647"/>
    <w:rsid w:val="008F7919"/>
    <w:rsid w:val="008F79E4"/>
    <w:rsid w:val="008F7B06"/>
    <w:rsid w:val="008F7C9A"/>
    <w:rsid w:val="008F7D5B"/>
    <w:rsid w:val="008F7F8C"/>
    <w:rsid w:val="009000D1"/>
    <w:rsid w:val="00900174"/>
    <w:rsid w:val="009001EC"/>
    <w:rsid w:val="009003BE"/>
    <w:rsid w:val="00900483"/>
    <w:rsid w:val="0090075A"/>
    <w:rsid w:val="009008EA"/>
    <w:rsid w:val="00900A9D"/>
    <w:rsid w:val="00901089"/>
    <w:rsid w:val="009010F5"/>
    <w:rsid w:val="00901195"/>
    <w:rsid w:val="00901346"/>
    <w:rsid w:val="009015C4"/>
    <w:rsid w:val="009017DC"/>
    <w:rsid w:val="00901C26"/>
    <w:rsid w:val="00901E61"/>
    <w:rsid w:val="00901FDD"/>
    <w:rsid w:val="009023B3"/>
    <w:rsid w:val="00902646"/>
    <w:rsid w:val="00902720"/>
    <w:rsid w:val="0090284A"/>
    <w:rsid w:val="009028DB"/>
    <w:rsid w:val="00902B33"/>
    <w:rsid w:val="00902E69"/>
    <w:rsid w:val="00902ECC"/>
    <w:rsid w:val="00903042"/>
    <w:rsid w:val="009030F6"/>
    <w:rsid w:val="0090359D"/>
    <w:rsid w:val="00903818"/>
    <w:rsid w:val="00903D0D"/>
    <w:rsid w:val="00903F33"/>
    <w:rsid w:val="0090425E"/>
    <w:rsid w:val="009045AC"/>
    <w:rsid w:val="00904628"/>
    <w:rsid w:val="009046EB"/>
    <w:rsid w:val="00904920"/>
    <w:rsid w:val="00904B22"/>
    <w:rsid w:val="00904E8B"/>
    <w:rsid w:val="009051B2"/>
    <w:rsid w:val="009052F5"/>
    <w:rsid w:val="0090557F"/>
    <w:rsid w:val="0090567A"/>
    <w:rsid w:val="00905A32"/>
    <w:rsid w:val="00905C12"/>
    <w:rsid w:val="00905C8D"/>
    <w:rsid w:val="00905D73"/>
    <w:rsid w:val="00905D94"/>
    <w:rsid w:val="00905E83"/>
    <w:rsid w:val="00905F86"/>
    <w:rsid w:val="00905FFE"/>
    <w:rsid w:val="00906029"/>
    <w:rsid w:val="00906263"/>
    <w:rsid w:val="009064B7"/>
    <w:rsid w:val="009066E8"/>
    <w:rsid w:val="0090675D"/>
    <w:rsid w:val="00906A78"/>
    <w:rsid w:val="00906C2F"/>
    <w:rsid w:val="00906C7F"/>
    <w:rsid w:val="00906C93"/>
    <w:rsid w:val="00907240"/>
    <w:rsid w:val="009072A1"/>
    <w:rsid w:val="0090734D"/>
    <w:rsid w:val="009073F4"/>
    <w:rsid w:val="00907508"/>
    <w:rsid w:val="00907684"/>
    <w:rsid w:val="0090771F"/>
    <w:rsid w:val="00907899"/>
    <w:rsid w:val="00907B3C"/>
    <w:rsid w:val="00907C09"/>
    <w:rsid w:val="0090EE2F"/>
    <w:rsid w:val="009100CF"/>
    <w:rsid w:val="009102E4"/>
    <w:rsid w:val="00910822"/>
    <w:rsid w:val="00910D88"/>
    <w:rsid w:val="00910EE6"/>
    <w:rsid w:val="00911309"/>
    <w:rsid w:val="0091155A"/>
    <w:rsid w:val="009116BF"/>
    <w:rsid w:val="00911721"/>
    <w:rsid w:val="009117A4"/>
    <w:rsid w:val="00911A1A"/>
    <w:rsid w:val="00911BAB"/>
    <w:rsid w:val="00911E20"/>
    <w:rsid w:val="00911FA9"/>
    <w:rsid w:val="009121AC"/>
    <w:rsid w:val="0091238F"/>
    <w:rsid w:val="009124ED"/>
    <w:rsid w:val="0091283E"/>
    <w:rsid w:val="00912882"/>
    <w:rsid w:val="00912925"/>
    <w:rsid w:val="00912A41"/>
    <w:rsid w:val="00912A76"/>
    <w:rsid w:val="00912B34"/>
    <w:rsid w:val="00912DB3"/>
    <w:rsid w:val="00912F77"/>
    <w:rsid w:val="009133F4"/>
    <w:rsid w:val="0091344F"/>
    <w:rsid w:val="009134E3"/>
    <w:rsid w:val="00913C05"/>
    <w:rsid w:val="00913C91"/>
    <w:rsid w:val="00913CFF"/>
    <w:rsid w:val="00913D12"/>
    <w:rsid w:val="00913D14"/>
    <w:rsid w:val="0091402D"/>
    <w:rsid w:val="00914240"/>
    <w:rsid w:val="009143EC"/>
    <w:rsid w:val="009146EF"/>
    <w:rsid w:val="0091481F"/>
    <w:rsid w:val="009148D1"/>
    <w:rsid w:val="009149B3"/>
    <w:rsid w:val="00914A82"/>
    <w:rsid w:val="00914DA7"/>
    <w:rsid w:val="009151DB"/>
    <w:rsid w:val="009152BC"/>
    <w:rsid w:val="009154B3"/>
    <w:rsid w:val="009157F9"/>
    <w:rsid w:val="009158A1"/>
    <w:rsid w:val="00915AE0"/>
    <w:rsid w:val="00915BF8"/>
    <w:rsid w:val="00915CD2"/>
    <w:rsid w:val="00915EEB"/>
    <w:rsid w:val="00915F63"/>
    <w:rsid w:val="00915FD3"/>
    <w:rsid w:val="009160F7"/>
    <w:rsid w:val="009162B5"/>
    <w:rsid w:val="0091668E"/>
    <w:rsid w:val="00916886"/>
    <w:rsid w:val="009168D8"/>
    <w:rsid w:val="00916A6A"/>
    <w:rsid w:val="00916A6F"/>
    <w:rsid w:val="00916AFA"/>
    <w:rsid w:val="00916B4A"/>
    <w:rsid w:val="00916BCC"/>
    <w:rsid w:val="00916F46"/>
    <w:rsid w:val="00916FB3"/>
    <w:rsid w:val="00917295"/>
    <w:rsid w:val="0091729D"/>
    <w:rsid w:val="00917368"/>
    <w:rsid w:val="0091747F"/>
    <w:rsid w:val="0091766A"/>
    <w:rsid w:val="009176ED"/>
    <w:rsid w:val="009177E9"/>
    <w:rsid w:val="00917856"/>
    <w:rsid w:val="009178F5"/>
    <w:rsid w:val="0091796D"/>
    <w:rsid w:val="009179CD"/>
    <w:rsid w:val="009179DF"/>
    <w:rsid w:val="00917CD1"/>
    <w:rsid w:val="00917E3B"/>
    <w:rsid w:val="00920050"/>
    <w:rsid w:val="00920188"/>
    <w:rsid w:val="009201C3"/>
    <w:rsid w:val="009204A0"/>
    <w:rsid w:val="009204A7"/>
    <w:rsid w:val="00920656"/>
    <w:rsid w:val="009207CC"/>
    <w:rsid w:val="009208CD"/>
    <w:rsid w:val="009209D9"/>
    <w:rsid w:val="00920F83"/>
    <w:rsid w:val="009210E7"/>
    <w:rsid w:val="009211F9"/>
    <w:rsid w:val="009212A7"/>
    <w:rsid w:val="0092134F"/>
    <w:rsid w:val="0092139D"/>
    <w:rsid w:val="009213CB"/>
    <w:rsid w:val="0092149F"/>
    <w:rsid w:val="0092183B"/>
    <w:rsid w:val="00921B45"/>
    <w:rsid w:val="00921EA1"/>
    <w:rsid w:val="009221AD"/>
    <w:rsid w:val="0092222C"/>
    <w:rsid w:val="009226CC"/>
    <w:rsid w:val="00922716"/>
    <w:rsid w:val="009227C2"/>
    <w:rsid w:val="009227F8"/>
    <w:rsid w:val="00922ACA"/>
    <w:rsid w:val="00922BB8"/>
    <w:rsid w:val="0092321A"/>
    <w:rsid w:val="00923366"/>
    <w:rsid w:val="009233EE"/>
    <w:rsid w:val="00923782"/>
    <w:rsid w:val="009238F0"/>
    <w:rsid w:val="00923969"/>
    <w:rsid w:val="00923AEC"/>
    <w:rsid w:val="00923B72"/>
    <w:rsid w:val="00923DE7"/>
    <w:rsid w:val="009240B7"/>
    <w:rsid w:val="00924214"/>
    <w:rsid w:val="0092437C"/>
    <w:rsid w:val="009246FE"/>
    <w:rsid w:val="009248C6"/>
    <w:rsid w:val="00924D44"/>
    <w:rsid w:val="00924D6F"/>
    <w:rsid w:val="0092515B"/>
    <w:rsid w:val="00925203"/>
    <w:rsid w:val="009253C6"/>
    <w:rsid w:val="009255EB"/>
    <w:rsid w:val="00925788"/>
    <w:rsid w:val="00925931"/>
    <w:rsid w:val="00925D62"/>
    <w:rsid w:val="0092600B"/>
    <w:rsid w:val="00926025"/>
    <w:rsid w:val="009265C7"/>
    <w:rsid w:val="00926627"/>
    <w:rsid w:val="009266E4"/>
    <w:rsid w:val="0092694F"/>
    <w:rsid w:val="00926C40"/>
    <w:rsid w:val="0092768C"/>
    <w:rsid w:val="00927926"/>
    <w:rsid w:val="00927A14"/>
    <w:rsid w:val="00927B23"/>
    <w:rsid w:val="00927CB1"/>
    <w:rsid w:val="009281F0"/>
    <w:rsid w:val="009303CE"/>
    <w:rsid w:val="009304F1"/>
    <w:rsid w:val="00930698"/>
    <w:rsid w:val="00930D09"/>
    <w:rsid w:val="00930F8A"/>
    <w:rsid w:val="009310AC"/>
    <w:rsid w:val="009310AF"/>
    <w:rsid w:val="00931229"/>
    <w:rsid w:val="009312A3"/>
    <w:rsid w:val="00931536"/>
    <w:rsid w:val="0093156C"/>
    <w:rsid w:val="00932142"/>
    <w:rsid w:val="00932143"/>
    <w:rsid w:val="0093242F"/>
    <w:rsid w:val="00932625"/>
    <w:rsid w:val="009326AA"/>
    <w:rsid w:val="009328C9"/>
    <w:rsid w:val="00932996"/>
    <w:rsid w:val="00932D82"/>
    <w:rsid w:val="009331CF"/>
    <w:rsid w:val="0093326C"/>
    <w:rsid w:val="0093331F"/>
    <w:rsid w:val="00933327"/>
    <w:rsid w:val="009334AC"/>
    <w:rsid w:val="009337D4"/>
    <w:rsid w:val="00933A41"/>
    <w:rsid w:val="00933ABB"/>
    <w:rsid w:val="00933C1D"/>
    <w:rsid w:val="00933FCD"/>
    <w:rsid w:val="00934060"/>
    <w:rsid w:val="009340AC"/>
    <w:rsid w:val="0093415D"/>
    <w:rsid w:val="009342BF"/>
    <w:rsid w:val="009342C6"/>
    <w:rsid w:val="00934305"/>
    <w:rsid w:val="0093430F"/>
    <w:rsid w:val="00934564"/>
    <w:rsid w:val="00934622"/>
    <w:rsid w:val="00934734"/>
    <w:rsid w:val="0093474D"/>
    <w:rsid w:val="0093486C"/>
    <w:rsid w:val="009348C9"/>
    <w:rsid w:val="00934939"/>
    <w:rsid w:val="00934B9B"/>
    <w:rsid w:val="00934DCF"/>
    <w:rsid w:val="00935473"/>
    <w:rsid w:val="009356BB"/>
    <w:rsid w:val="00935777"/>
    <w:rsid w:val="00935CAC"/>
    <w:rsid w:val="00935CD8"/>
    <w:rsid w:val="00935E03"/>
    <w:rsid w:val="0093615F"/>
    <w:rsid w:val="009362B1"/>
    <w:rsid w:val="00936530"/>
    <w:rsid w:val="009369EA"/>
    <w:rsid w:val="00936A49"/>
    <w:rsid w:val="00936B24"/>
    <w:rsid w:val="00936CBC"/>
    <w:rsid w:val="00937086"/>
    <w:rsid w:val="00937244"/>
    <w:rsid w:val="00937391"/>
    <w:rsid w:val="0093760E"/>
    <w:rsid w:val="009378E4"/>
    <w:rsid w:val="00937A24"/>
    <w:rsid w:val="00937DDA"/>
    <w:rsid w:val="00937E53"/>
    <w:rsid w:val="009400AF"/>
    <w:rsid w:val="00940249"/>
    <w:rsid w:val="00940315"/>
    <w:rsid w:val="0094059E"/>
    <w:rsid w:val="009405E2"/>
    <w:rsid w:val="009408E1"/>
    <w:rsid w:val="00940944"/>
    <w:rsid w:val="0094096D"/>
    <w:rsid w:val="00940A87"/>
    <w:rsid w:val="00940E7A"/>
    <w:rsid w:val="0094109C"/>
    <w:rsid w:val="0094146D"/>
    <w:rsid w:val="00941538"/>
    <w:rsid w:val="00941657"/>
    <w:rsid w:val="009416BF"/>
    <w:rsid w:val="00941A22"/>
    <w:rsid w:val="00941A54"/>
    <w:rsid w:val="00941DDC"/>
    <w:rsid w:val="00941E77"/>
    <w:rsid w:val="00941ED9"/>
    <w:rsid w:val="00941F71"/>
    <w:rsid w:val="00941FA7"/>
    <w:rsid w:val="00942010"/>
    <w:rsid w:val="0094215B"/>
    <w:rsid w:val="009421D3"/>
    <w:rsid w:val="00942229"/>
    <w:rsid w:val="00942648"/>
    <w:rsid w:val="00942700"/>
    <w:rsid w:val="00942922"/>
    <w:rsid w:val="00942946"/>
    <w:rsid w:val="00942A73"/>
    <w:rsid w:val="00942E91"/>
    <w:rsid w:val="00942FB7"/>
    <w:rsid w:val="0094320A"/>
    <w:rsid w:val="00943284"/>
    <w:rsid w:val="00943446"/>
    <w:rsid w:val="00943784"/>
    <w:rsid w:val="00943B01"/>
    <w:rsid w:val="00943B7A"/>
    <w:rsid w:val="00943CC8"/>
    <w:rsid w:val="00943D4B"/>
    <w:rsid w:val="009441B0"/>
    <w:rsid w:val="00944331"/>
    <w:rsid w:val="00944526"/>
    <w:rsid w:val="00944923"/>
    <w:rsid w:val="00944926"/>
    <w:rsid w:val="00944933"/>
    <w:rsid w:val="00944B53"/>
    <w:rsid w:val="00944DA1"/>
    <w:rsid w:val="00944F0E"/>
    <w:rsid w:val="00944F54"/>
    <w:rsid w:val="00945776"/>
    <w:rsid w:val="009457EC"/>
    <w:rsid w:val="0094581C"/>
    <w:rsid w:val="00945A89"/>
    <w:rsid w:val="00945B81"/>
    <w:rsid w:val="00945F40"/>
    <w:rsid w:val="009462B7"/>
    <w:rsid w:val="0094639F"/>
    <w:rsid w:val="00946572"/>
    <w:rsid w:val="0094668A"/>
    <w:rsid w:val="0094681A"/>
    <w:rsid w:val="0094694E"/>
    <w:rsid w:val="0094697D"/>
    <w:rsid w:val="00946B4A"/>
    <w:rsid w:val="00946E4C"/>
    <w:rsid w:val="0094702C"/>
    <w:rsid w:val="0094702F"/>
    <w:rsid w:val="00947416"/>
    <w:rsid w:val="00947667"/>
    <w:rsid w:val="00947872"/>
    <w:rsid w:val="009478F5"/>
    <w:rsid w:val="0094793A"/>
    <w:rsid w:val="00947AF6"/>
    <w:rsid w:val="00947C27"/>
    <w:rsid w:val="00947EFF"/>
    <w:rsid w:val="0095016E"/>
    <w:rsid w:val="00950188"/>
    <w:rsid w:val="009501D5"/>
    <w:rsid w:val="00950976"/>
    <w:rsid w:val="009509C9"/>
    <w:rsid w:val="00950B3F"/>
    <w:rsid w:val="00950EAF"/>
    <w:rsid w:val="00951131"/>
    <w:rsid w:val="0095136C"/>
    <w:rsid w:val="0095170D"/>
    <w:rsid w:val="0095177D"/>
    <w:rsid w:val="00951920"/>
    <w:rsid w:val="0095197E"/>
    <w:rsid w:val="009519E6"/>
    <w:rsid w:val="00951A27"/>
    <w:rsid w:val="00951A5A"/>
    <w:rsid w:val="00952359"/>
    <w:rsid w:val="009524E8"/>
    <w:rsid w:val="00952632"/>
    <w:rsid w:val="009527AE"/>
    <w:rsid w:val="009528F7"/>
    <w:rsid w:val="009529D3"/>
    <w:rsid w:val="00952AC7"/>
    <w:rsid w:val="00952D39"/>
    <w:rsid w:val="00952EB7"/>
    <w:rsid w:val="00953064"/>
    <w:rsid w:val="0095307F"/>
    <w:rsid w:val="00953109"/>
    <w:rsid w:val="00953268"/>
    <w:rsid w:val="009532F2"/>
    <w:rsid w:val="0095384D"/>
    <w:rsid w:val="00953C81"/>
    <w:rsid w:val="00953D1E"/>
    <w:rsid w:val="00954064"/>
    <w:rsid w:val="00954412"/>
    <w:rsid w:val="00954482"/>
    <w:rsid w:val="00954718"/>
    <w:rsid w:val="009547AC"/>
    <w:rsid w:val="0095488E"/>
    <w:rsid w:val="0095489A"/>
    <w:rsid w:val="009548FF"/>
    <w:rsid w:val="00954E8A"/>
    <w:rsid w:val="00954F23"/>
    <w:rsid w:val="00955068"/>
    <w:rsid w:val="0095531A"/>
    <w:rsid w:val="00955526"/>
    <w:rsid w:val="00955ABB"/>
    <w:rsid w:val="00955B97"/>
    <w:rsid w:val="00955BCE"/>
    <w:rsid w:val="00955C27"/>
    <w:rsid w:val="00955F1D"/>
    <w:rsid w:val="009562A2"/>
    <w:rsid w:val="009562F6"/>
    <w:rsid w:val="00956532"/>
    <w:rsid w:val="00956BBF"/>
    <w:rsid w:val="00956D4A"/>
    <w:rsid w:val="0095714F"/>
    <w:rsid w:val="00957562"/>
    <w:rsid w:val="00957706"/>
    <w:rsid w:val="00957AB6"/>
    <w:rsid w:val="00957E02"/>
    <w:rsid w:val="00957FD5"/>
    <w:rsid w:val="00960379"/>
    <w:rsid w:val="009608EB"/>
    <w:rsid w:val="00960A01"/>
    <w:rsid w:val="00960A60"/>
    <w:rsid w:val="00960C4F"/>
    <w:rsid w:val="00961082"/>
    <w:rsid w:val="00961410"/>
    <w:rsid w:val="0096163D"/>
    <w:rsid w:val="0096180E"/>
    <w:rsid w:val="0096181B"/>
    <w:rsid w:val="00961854"/>
    <w:rsid w:val="009618BB"/>
    <w:rsid w:val="00961A17"/>
    <w:rsid w:val="00961A21"/>
    <w:rsid w:val="00961CD2"/>
    <w:rsid w:val="00961E05"/>
    <w:rsid w:val="00961F5A"/>
    <w:rsid w:val="00961F7D"/>
    <w:rsid w:val="0096201B"/>
    <w:rsid w:val="00962046"/>
    <w:rsid w:val="009620B0"/>
    <w:rsid w:val="009620D6"/>
    <w:rsid w:val="00962478"/>
    <w:rsid w:val="009624F6"/>
    <w:rsid w:val="00962538"/>
    <w:rsid w:val="00962589"/>
    <w:rsid w:val="009626E0"/>
    <w:rsid w:val="0096297B"/>
    <w:rsid w:val="00962A22"/>
    <w:rsid w:val="00962B0C"/>
    <w:rsid w:val="00962BC6"/>
    <w:rsid w:val="00962D46"/>
    <w:rsid w:val="00962D8F"/>
    <w:rsid w:val="00962FD0"/>
    <w:rsid w:val="00963215"/>
    <w:rsid w:val="0096323A"/>
    <w:rsid w:val="009633A4"/>
    <w:rsid w:val="00963511"/>
    <w:rsid w:val="009635BF"/>
    <w:rsid w:val="00963BBF"/>
    <w:rsid w:val="00963C01"/>
    <w:rsid w:val="00963E15"/>
    <w:rsid w:val="0096406D"/>
    <w:rsid w:val="009640D4"/>
    <w:rsid w:val="0096461B"/>
    <w:rsid w:val="00964624"/>
    <w:rsid w:val="0096476B"/>
    <w:rsid w:val="00964955"/>
    <w:rsid w:val="00964997"/>
    <w:rsid w:val="00964A43"/>
    <w:rsid w:val="00964B77"/>
    <w:rsid w:val="00964E49"/>
    <w:rsid w:val="00964FF5"/>
    <w:rsid w:val="00965054"/>
    <w:rsid w:val="009651D3"/>
    <w:rsid w:val="00965269"/>
    <w:rsid w:val="00965295"/>
    <w:rsid w:val="009654F5"/>
    <w:rsid w:val="00965550"/>
    <w:rsid w:val="00965650"/>
    <w:rsid w:val="00965726"/>
    <w:rsid w:val="009657DA"/>
    <w:rsid w:val="00965B3B"/>
    <w:rsid w:val="00965FB8"/>
    <w:rsid w:val="009660C4"/>
    <w:rsid w:val="0096611E"/>
    <w:rsid w:val="0096614E"/>
    <w:rsid w:val="0096663F"/>
    <w:rsid w:val="0096686D"/>
    <w:rsid w:val="0096688B"/>
    <w:rsid w:val="009668FE"/>
    <w:rsid w:val="00966C09"/>
    <w:rsid w:val="00966CD0"/>
    <w:rsid w:val="00966EAE"/>
    <w:rsid w:val="00966F2E"/>
    <w:rsid w:val="00966F82"/>
    <w:rsid w:val="00966FB7"/>
    <w:rsid w:val="009670C9"/>
    <w:rsid w:val="009671CC"/>
    <w:rsid w:val="00967241"/>
    <w:rsid w:val="0096736B"/>
    <w:rsid w:val="009674E2"/>
    <w:rsid w:val="0096766A"/>
    <w:rsid w:val="009678A8"/>
    <w:rsid w:val="009678EB"/>
    <w:rsid w:val="00967ACE"/>
    <w:rsid w:val="00967B7E"/>
    <w:rsid w:val="00967B8A"/>
    <w:rsid w:val="00967CE3"/>
    <w:rsid w:val="009700E8"/>
    <w:rsid w:val="0097024B"/>
    <w:rsid w:val="0097029C"/>
    <w:rsid w:val="009703E8"/>
    <w:rsid w:val="009707D0"/>
    <w:rsid w:val="00970A21"/>
    <w:rsid w:val="00970CA7"/>
    <w:rsid w:val="00970CE2"/>
    <w:rsid w:val="00970D2E"/>
    <w:rsid w:val="00970D85"/>
    <w:rsid w:val="00970D9A"/>
    <w:rsid w:val="009710CB"/>
    <w:rsid w:val="009710CD"/>
    <w:rsid w:val="009714EC"/>
    <w:rsid w:val="0097150A"/>
    <w:rsid w:val="009718F6"/>
    <w:rsid w:val="00971B14"/>
    <w:rsid w:val="00971D09"/>
    <w:rsid w:val="00971EC5"/>
    <w:rsid w:val="009721EC"/>
    <w:rsid w:val="0097229D"/>
    <w:rsid w:val="009722E3"/>
    <w:rsid w:val="00972469"/>
    <w:rsid w:val="009729A2"/>
    <w:rsid w:val="00972B5C"/>
    <w:rsid w:val="00972C88"/>
    <w:rsid w:val="00972F40"/>
    <w:rsid w:val="00973068"/>
    <w:rsid w:val="009732E6"/>
    <w:rsid w:val="00973649"/>
    <w:rsid w:val="0097375D"/>
    <w:rsid w:val="0097397C"/>
    <w:rsid w:val="00973A9D"/>
    <w:rsid w:val="00973DEF"/>
    <w:rsid w:val="00973E9B"/>
    <w:rsid w:val="00974047"/>
    <w:rsid w:val="00974104"/>
    <w:rsid w:val="00974232"/>
    <w:rsid w:val="009745B4"/>
    <w:rsid w:val="009749FD"/>
    <w:rsid w:val="00974C05"/>
    <w:rsid w:val="00974E52"/>
    <w:rsid w:val="00974FC5"/>
    <w:rsid w:val="00975096"/>
    <w:rsid w:val="009750C5"/>
    <w:rsid w:val="009752F5"/>
    <w:rsid w:val="0097566D"/>
    <w:rsid w:val="00975817"/>
    <w:rsid w:val="00975877"/>
    <w:rsid w:val="0097594B"/>
    <w:rsid w:val="00975A73"/>
    <w:rsid w:val="00976217"/>
    <w:rsid w:val="00976507"/>
    <w:rsid w:val="0097651E"/>
    <w:rsid w:val="0097670E"/>
    <w:rsid w:val="00976855"/>
    <w:rsid w:val="009768D2"/>
    <w:rsid w:val="00976ECA"/>
    <w:rsid w:val="00977486"/>
    <w:rsid w:val="00977666"/>
    <w:rsid w:val="009776DC"/>
    <w:rsid w:val="00977704"/>
    <w:rsid w:val="009779EF"/>
    <w:rsid w:val="00977B85"/>
    <w:rsid w:val="00977CAF"/>
    <w:rsid w:val="00977CB4"/>
    <w:rsid w:val="00977E1A"/>
    <w:rsid w:val="00977EEE"/>
    <w:rsid w:val="009800E0"/>
    <w:rsid w:val="009803AC"/>
    <w:rsid w:val="00980659"/>
    <w:rsid w:val="00980690"/>
    <w:rsid w:val="00980969"/>
    <w:rsid w:val="00980A65"/>
    <w:rsid w:val="00980E30"/>
    <w:rsid w:val="00980EE0"/>
    <w:rsid w:val="00980F87"/>
    <w:rsid w:val="00981005"/>
    <w:rsid w:val="009810BB"/>
    <w:rsid w:val="00981427"/>
    <w:rsid w:val="00981467"/>
    <w:rsid w:val="0098158B"/>
    <w:rsid w:val="009815A2"/>
    <w:rsid w:val="009815CC"/>
    <w:rsid w:val="009817BE"/>
    <w:rsid w:val="00981B6F"/>
    <w:rsid w:val="00981C5A"/>
    <w:rsid w:val="00981C93"/>
    <w:rsid w:val="0098229C"/>
    <w:rsid w:val="009822B1"/>
    <w:rsid w:val="009822BA"/>
    <w:rsid w:val="0098237E"/>
    <w:rsid w:val="0098268D"/>
    <w:rsid w:val="00982751"/>
    <w:rsid w:val="00982A3D"/>
    <w:rsid w:val="00982C26"/>
    <w:rsid w:val="00982F69"/>
    <w:rsid w:val="00983123"/>
    <w:rsid w:val="009832F2"/>
    <w:rsid w:val="00983544"/>
    <w:rsid w:val="00983584"/>
    <w:rsid w:val="00983980"/>
    <w:rsid w:val="00983AB7"/>
    <w:rsid w:val="00983BD9"/>
    <w:rsid w:val="00983E15"/>
    <w:rsid w:val="00983ED3"/>
    <w:rsid w:val="00984065"/>
    <w:rsid w:val="0098424F"/>
    <w:rsid w:val="00984441"/>
    <w:rsid w:val="009844CF"/>
    <w:rsid w:val="009846B2"/>
    <w:rsid w:val="009849E6"/>
    <w:rsid w:val="00984C19"/>
    <w:rsid w:val="00984CDE"/>
    <w:rsid w:val="00984DD8"/>
    <w:rsid w:val="009850A1"/>
    <w:rsid w:val="00985341"/>
    <w:rsid w:val="00985347"/>
    <w:rsid w:val="009853B7"/>
    <w:rsid w:val="00985677"/>
    <w:rsid w:val="00985858"/>
    <w:rsid w:val="00985929"/>
    <w:rsid w:val="00985A47"/>
    <w:rsid w:val="00985B90"/>
    <w:rsid w:val="00985C6A"/>
    <w:rsid w:val="00985FFA"/>
    <w:rsid w:val="00985FFE"/>
    <w:rsid w:val="00986090"/>
    <w:rsid w:val="009862F0"/>
    <w:rsid w:val="009864B6"/>
    <w:rsid w:val="00986793"/>
    <w:rsid w:val="00986D58"/>
    <w:rsid w:val="00986F7C"/>
    <w:rsid w:val="00987008"/>
    <w:rsid w:val="0098719C"/>
    <w:rsid w:val="00987488"/>
    <w:rsid w:val="009874CF"/>
    <w:rsid w:val="00987615"/>
    <w:rsid w:val="009876CC"/>
    <w:rsid w:val="009879CA"/>
    <w:rsid w:val="00987A4A"/>
    <w:rsid w:val="00987F08"/>
    <w:rsid w:val="00987F4B"/>
    <w:rsid w:val="00987F93"/>
    <w:rsid w:val="00990020"/>
    <w:rsid w:val="00990035"/>
    <w:rsid w:val="0099085F"/>
    <w:rsid w:val="00990D64"/>
    <w:rsid w:val="009917AC"/>
    <w:rsid w:val="00991B21"/>
    <w:rsid w:val="00991C03"/>
    <w:rsid w:val="00991D15"/>
    <w:rsid w:val="00991F4B"/>
    <w:rsid w:val="00991F74"/>
    <w:rsid w:val="009921D9"/>
    <w:rsid w:val="00992317"/>
    <w:rsid w:val="009923BA"/>
    <w:rsid w:val="009923FC"/>
    <w:rsid w:val="009925DB"/>
    <w:rsid w:val="00992736"/>
    <w:rsid w:val="00992B7A"/>
    <w:rsid w:val="00992EFF"/>
    <w:rsid w:val="00992F71"/>
    <w:rsid w:val="0099300E"/>
    <w:rsid w:val="009930BE"/>
    <w:rsid w:val="00993114"/>
    <w:rsid w:val="0099311A"/>
    <w:rsid w:val="00993161"/>
    <w:rsid w:val="00993338"/>
    <w:rsid w:val="00993374"/>
    <w:rsid w:val="009936B1"/>
    <w:rsid w:val="00993998"/>
    <w:rsid w:val="00993B72"/>
    <w:rsid w:val="00993CC9"/>
    <w:rsid w:val="00993DBA"/>
    <w:rsid w:val="00993DC7"/>
    <w:rsid w:val="00993FAE"/>
    <w:rsid w:val="009940A4"/>
    <w:rsid w:val="0099412D"/>
    <w:rsid w:val="0099448E"/>
    <w:rsid w:val="00994507"/>
    <w:rsid w:val="00994663"/>
    <w:rsid w:val="00994792"/>
    <w:rsid w:val="0099494A"/>
    <w:rsid w:val="0099495A"/>
    <w:rsid w:val="009949CF"/>
    <w:rsid w:val="00994A3E"/>
    <w:rsid w:val="00994A6B"/>
    <w:rsid w:val="00994AFD"/>
    <w:rsid w:val="00994D91"/>
    <w:rsid w:val="00995131"/>
    <w:rsid w:val="009952B4"/>
    <w:rsid w:val="009953DB"/>
    <w:rsid w:val="00995635"/>
    <w:rsid w:val="009956A5"/>
    <w:rsid w:val="00995AD7"/>
    <w:rsid w:val="00995AE0"/>
    <w:rsid w:val="00995B3C"/>
    <w:rsid w:val="00995BA0"/>
    <w:rsid w:val="00995E43"/>
    <w:rsid w:val="00995EAC"/>
    <w:rsid w:val="00995FAC"/>
    <w:rsid w:val="009962E6"/>
    <w:rsid w:val="009969B1"/>
    <w:rsid w:val="00996A9D"/>
    <w:rsid w:val="00996B66"/>
    <w:rsid w:val="00996BCD"/>
    <w:rsid w:val="00996F6B"/>
    <w:rsid w:val="00996FC5"/>
    <w:rsid w:val="009970E7"/>
    <w:rsid w:val="00997216"/>
    <w:rsid w:val="00997431"/>
    <w:rsid w:val="009974D2"/>
    <w:rsid w:val="00997528"/>
    <w:rsid w:val="009975D9"/>
    <w:rsid w:val="009977BF"/>
    <w:rsid w:val="00997AC5"/>
    <w:rsid w:val="00997BB3"/>
    <w:rsid w:val="00997CBC"/>
    <w:rsid w:val="00997DC4"/>
    <w:rsid w:val="009A0196"/>
    <w:rsid w:val="009A0456"/>
    <w:rsid w:val="009A0728"/>
    <w:rsid w:val="009A0836"/>
    <w:rsid w:val="009A0A50"/>
    <w:rsid w:val="009A0A8E"/>
    <w:rsid w:val="009A0B1A"/>
    <w:rsid w:val="009A0B75"/>
    <w:rsid w:val="009A0C75"/>
    <w:rsid w:val="009A0D27"/>
    <w:rsid w:val="009A0E75"/>
    <w:rsid w:val="009A0E85"/>
    <w:rsid w:val="009A0EC8"/>
    <w:rsid w:val="009A1038"/>
    <w:rsid w:val="009A1166"/>
    <w:rsid w:val="009A1460"/>
    <w:rsid w:val="009A15CC"/>
    <w:rsid w:val="009A172D"/>
    <w:rsid w:val="009A1740"/>
    <w:rsid w:val="009A1B22"/>
    <w:rsid w:val="009A1C28"/>
    <w:rsid w:val="009A1C5F"/>
    <w:rsid w:val="009A1D2B"/>
    <w:rsid w:val="009A1DF4"/>
    <w:rsid w:val="009A1E38"/>
    <w:rsid w:val="009A1F03"/>
    <w:rsid w:val="009A1F7C"/>
    <w:rsid w:val="009A1FF3"/>
    <w:rsid w:val="009A2047"/>
    <w:rsid w:val="009A2132"/>
    <w:rsid w:val="009A221E"/>
    <w:rsid w:val="009A2313"/>
    <w:rsid w:val="009A23CB"/>
    <w:rsid w:val="009A23D7"/>
    <w:rsid w:val="009A2405"/>
    <w:rsid w:val="009A2508"/>
    <w:rsid w:val="009A256E"/>
    <w:rsid w:val="009A26F0"/>
    <w:rsid w:val="009A27E6"/>
    <w:rsid w:val="009A284C"/>
    <w:rsid w:val="009A2EED"/>
    <w:rsid w:val="009A314A"/>
    <w:rsid w:val="009A31D6"/>
    <w:rsid w:val="009A3309"/>
    <w:rsid w:val="009A3568"/>
    <w:rsid w:val="009A373D"/>
    <w:rsid w:val="009A37C0"/>
    <w:rsid w:val="009A3B89"/>
    <w:rsid w:val="009A3C75"/>
    <w:rsid w:val="009A3CCD"/>
    <w:rsid w:val="009A3CF5"/>
    <w:rsid w:val="009A3E3E"/>
    <w:rsid w:val="009A3E7C"/>
    <w:rsid w:val="009A3EFC"/>
    <w:rsid w:val="009A3F6C"/>
    <w:rsid w:val="009A42DF"/>
    <w:rsid w:val="009A4305"/>
    <w:rsid w:val="009A44F0"/>
    <w:rsid w:val="009A4683"/>
    <w:rsid w:val="009A4775"/>
    <w:rsid w:val="009A4CA3"/>
    <w:rsid w:val="009A4FDC"/>
    <w:rsid w:val="009A512E"/>
    <w:rsid w:val="009A5242"/>
    <w:rsid w:val="009A54CC"/>
    <w:rsid w:val="009A5540"/>
    <w:rsid w:val="009A5554"/>
    <w:rsid w:val="009A580E"/>
    <w:rsid w:val="009A5979"/>
    <w:rsid w:val="009A5ADC"/>
    <w:rsid w:val="009A5C4F"/>
    <w:rsid w:val="009A5C56"/>
    <w:rsid w:val="009A60D9"/>
    <w:rsid w:val="009A627A"/>
    <w:rsid w:val="009A627E"/>
    <w:rsid w:val="009A6A4D"/>
    <w:rsid w:val="009A6B33"/>
    <w:rsid w:val="009A6CC0"/>
    <w:rsid w:val="009A6D80"/>
    <w:rsid w:val="009A6F74"/>
    <w:rsid w:val="009A6FCE"/>
    <w:rsid w:val="009A72B0"/>
    <w:rsid w:val="009A7671"/>
    <w:rsid w:val="009A7694"/>
    <w:rsid w:val="009A7813"/>
    <w:rsid w:val="009A799F"/>
    <w:rsid w:val="009A7AA1"/>
    <w:rsid w:val="009A7BA5"/>
    <w:rsid w:val="009A7CA7"/>
    <w:rsid w:val="009B0608"/>
    <w:rsid w:val="009B0768"/>
    <w:rsid w:val="009B0932"/>
    <w:rsid w:val="009B097D"/>
    <w:rsid w:val="009B0996"/>
    <w:rsid w:val="009B0E13"/>
    <w:rsid w:val="009B1079"/>
    <w:rsid w:val="009B1371"/>
    <w:rsid w:val="009B15CD"/>
    <w:rsid w:val="009B19DE"/>
    <w:rsid w:val="009B1A17"/>
    <w:rsid w:val="009B1BEF"/>
    <w:rsid w:val="009B211D"/>
    <w:rsid w:val="009B2138"/>
    <w:rsid w:val="009B227A"/>
    <w:rsid w:val="009B2577"/>
    <w:rsid w:val="009B2F50"/>
    <w:rsid w:val="009B310F"/>
    <w:rsid w:val="009B31FD"/>
    <w:rsid w:val="009B33BA"/>
    <w:rsid w:val="009B3414"/>
    <w:rsid w:val="009B34D3"/>
    <w:rsid w:val="009B353A"/>
    <w:rsid w:val="009B3752"/>
    <w:rsid w:val="009B38C5"/>
    <w:rsid w:val="009B38E9"/>
    <w:rsid w:val="009B3A95"/>
    <w:rsid w:val="009B3C2C"/>
    <w:rsid w:val="009B3F3C"/>
    <w:rsid w:val="009B40C5"/>
    <w:rsid w:val="009B4257"/>
    <w:rsid w:val="009B45F3"/>
    <w:rsid w:val="009B477E"/>
    <w:rsid w:val="009B491A"/>
    <w:rsid w:val="009B4983"/>
    <w:rsid w:val="009B4FD9"/>
    <w:rsid w:val="009B520B"/>
    <w:rsid w:val="009B5231"/>
    <w:rsid w:val="009B541D"/>
    <w:rsid w:val="009B553A"/>
    <w:rsid w:val="009B5591"/>
    <w:rsid w:val="009B56F6"/>
    <w:rsid w:val="009B5714"/>
    <w:rsid w:val="009B59F5"/>
    <w:rsid w:val="009B5A3C"/>
    <w:rsid w:val="009B5AC4"/>
    <w:rsid w:val="009B5C61"/>
    <w:rsid w:val="009B5E62"/>
    <w:rsid w:val="009B5E98"/>
    <w:rsid w:val="009B5F21"/>
    <w:rsid w:val="009B62CD"/>
    <w:rsid w:val="009B6321"/>
    <w:rsid w:val="009B6A39"/>
    <w:rsid w:val="009B6A97"/>
    <w:rsid w:val="009B6C01"/>
    <w:rsid w:val="009B73E9"/>
    <w:rsid w:val="009B75AC"/>
    <w:rsid w:val="009B7797"/>
    <w:rsid w:val="009B791D"/>
    <w:rsid w:val="009B7A46"/>
    <w:rsid w:val="009C0BAC"/>
    <w:rsid w:val="009C0CC4"/>
    <w:rsid w:val="009C0E3B"/>
    <w:rsid w:val="009C0EAD"/>
    <w:rsid w:val="009C0F03"/>
    <w:rsid w:val="009C0F65"/>
    <w:rsid w:val="009C1760"/>
    <w:rsid w:val="009C1C2D"/>
    <w:rsid w:val="009C1D19"/>
    <w:rsid w:val="009C1E46"/>
    <w:rsid w:val="009C1F3F"/>
    <w:rsid w:val="009C2205"/>
    <w:rsid w:val="009C2294"/>
    <w:rsid w:val="009C2554"/>
    <w:rsid w:val="009C266C"/>
    <w:rsid w:val="009C2729"/>
    <w:rsid w:val="009C27A9"/>
    <w:rsid w:val="009C293A"/>
    <w:rsid w:val="009C2BEE"/>
    <w:rsid w:val="009C2E6F"/>
    <w:rsid w:val="009C2EED"/>
    <w:rsid w:val="009C3207"/>
    <w:rsid w:val="009C3323"/>
    <w:rsid w:val="009C33B5"/>
    <w:rsid w:val="009C36D5"/>
    <w:rsid w:val="009C37E4"/>
    <w:rsid w:val="009C38C3"/>
    <w:rsid w:val="009C3C47"/>
    <w:rsid w:val="009C3D70"/>
    <w:rsid w:val="009C3E3D"/>
    <w:rsid w:val="009C3F45"/>
    <w:rsid w:val="009C4051"/>
    <w:rsid w:val="009C417A"/>
    <w:rsid w:val="009C41EE"/>
    <w:rsid w:val="009C443A"/>
    <w:rsid w:val="009C44FC"/>
    <w:rsid w:val="009C4583"/>
    <w:rsid w:val="009C462D"/>
    <w:rsid w:val="009C4631"/>
    <w:rsid w:val="009C48A2"/>
    <w:rsid w:val="009C48F3"/>
    <w:rsid w:val="009C4BF2"/>
    <w:rsid w:val="009C4CB6"/>
    <w:rsid w:val="009C4D08"/>
    <w:rsid w:val="009C4D27"/>
    <w:rsid w:val="009C4E47"/>
    <w:rsid w:val="009C4E7D"/>
    <w:rsid w:val="009C4F22"/>
    <w:rsid w:val="009C50DF"/>
    <w:rsid w:val="009C50E5"/>
    <w:rsid w:val="009C5216"/>
    <w:rsid w:val="009C52FB"/>
    <w:rsid w:val="009C54F5"/>
    <w:rsid w:val="009C5A4D"/>
    <w:rsid w:val="009C5DFD"/>
    <w:rsid w:val="009C5EC3"/>
    <w:rsid w:val="009C5F25"/>
    <w:rsid w:val="009C6003"/>
    <w:rsid w:val="009C60FC"/>
    <w:rsid w:val="009C637F"/>
    <w:rsid w:val="009C63D2"/>
    <w:rsid w:val="009C6529"/>
    <w:rsid w:val="009C68B6"/>
    <w:rsid w:val="009C6BFD"/>
    <w:rsid w:val="009C6E53"/>
    <w:rsid w:val="009C7064"/>
    <w:rsid w:val="009C70BD"/>
    <w:rsid w:val="009C72C7"/>
    <w:rsid w:val="009C7305"/>
    <w:rsid w:val="009C748D"/>
    <w:rsid w:val="009C74DA"/>
    <w:rsid w:val="009C74FC"/>
    <w:rsid w:val="009C7530"/>
    <w:rsid w:val="009C76D5"/>
    <w:rsid w:val="009C79C0"/>
    <w:rsid w:val="009C7EEF"/>
    <w:rsid w:val="009D006E"/>
    <w:rsid w:val="009D014D"/>
    <w:rsid w:val="009D038B"/>
    <w:rsid w:val="009D0451"/>
    <w:rsid w:val="009D0453"/>
    <w:rsid w:val="009D07E5"/>
    <w:rsid w:val="009D0811"/>
    <w:rsid w:val="009D0983"/>
    <w:rsid w:val="009D099B"/>
    <w:rsid w:val="009D0A54"/>
    <w:rsid w:val="009D0A69"/>
    <w:rsid w:val="009D0B1F"/>
    <w:rsid w:val="009D0B96"/>
    <w:rsid w:val="009D0BCD"/>
    <w:rsid w:val="009D0C33"/>
    <w:rsid w:val="009D0D01"/>
    <w:rsid w:val="009D0F55"/>
    <w:rsid w:val="009D0F5E"/>
    <w:rsid w:val="009D0FE7"/>
    <w:rsid w:val="009D11B6"/>
    <w:rsid w:val="009D1238"/>
    <w:rsid w:val="009D14FC"/>
    <w:rsid w:val="009D166F"/>
    <w:rsid w:val="009D1C84"/>
    <w:rsid w:val="009D1F48"/>
    <w:rsid w:val="009D1FE5"/>
    <w:rsid w:val="009D23A5"/>
    <w:rsid w:val="009D2425"/>
    <w:rsid w:val="009D2591"/>
    <w:rsid w:val="009D25A7"/>
    <w:rsid w:val="009D2770"/>
    <w:rsid w:val="009D28A3"/>
    <w:rsid w:val="009D2A05"/>
    <w:rsid w:val="009D2AC2"/>
    <w:rsid w:val="009D2BBD"/>
    <w:rsid w:val="009D2D6E"/>
    <w:rsid w:val="009D2D91"/>
    <w:rsid w:val="009D2F5E"/>
    <w:rsid w:val="009D30BA"/>
    <w:rsid w:val="009D315A"/>
    <w:rsid w:val="009D3237"/>
    <w:rsid w:val="009D3328"/>
    <w:rsid w:val="009D347F"/>
    <w:rsid w:val="009D34DA"/>
    <w:rsid w:val="009D360C"/>
    <w:rsid w:val="009D3628"/>
    <w:rsid w:val="009D37A2"/>
    <w:rsid w:val="009D3AEE"/>
    <w:rsid w:val="009D3BA0"/>
    <w:rsid w:val="009D3BE6"/>
    <w:rsid w:val="009D3E2B"/>
    <w:rsid w:val="009D3F18"/>
    <w:rsid w:val="009D3F46"/>
    <w:rsid w:val="009D3F94"/>
    <w:rsid w:val="009D4236"/>
    <w:rsid w:val="009D4269"/>
    <w:rsid w:val="009D4270"/>
    <w:rsid w:val="009D42DA"/>
    <w:rsid w:val="009D4306"/>
    <w:rsid w:val="009D46C3"/>
    <w:rsid w:val="009D48A1"/>
    <w:rsid w:val="009D4C2A"/>
    <w:rsid w:val="009D4CAE"/>
    <w:rsid w:val="009D546F"/>
    <w:rsid w:val="009D54FA"/>
    <w:rsid w:val="009D560F"/>
    <w:rsid w:val="009D5839"/>
    <w:rsid w:val="009D59F3"/>
    <w:rsid w:val="009D5E4A"/>
    <w:rsid w:val="009D627D"/>
    <w:rsid w:val="009D640E"/>
    <w:rsid w:val="009D6472"/>
    <w:rsid w:val="009D64B6"/>
    <w:rsid w:val="009D6507"/>
    <w:rsid w:val="009D688C"/>
    <w:rsid w:val="009D6914"/>
    <w:rsid w:val="009D6EF4"/>
    <w:rsid w:val="009D7119"/>
    <w:rsid w:val="009D72E8"/>
    <w:rsid w:val="009D7427"/>
    <w:rsid w:val="009D75B7"/>
    <w:rsid w:val="009D75F3"/>
    <w:rsid w:val="009D77AB"/>
    <w:rsid w:val="009D7966"/>
    <w:rsid w:val="009D7CB5"/>
    <w:rsid w:val="009D7E17"/>
    <w:rsid w:val="009D7E39"/>
    <w:rsid w:val="009DC226"/>
    <w:rsid w:val="009DD1E2"/>
    <w:rsid w:val="009E0010"/>
    <w:rsid w:val="009E0048"/>
    <w:rsid w:val="009E02F1"/>
    <w:rsid w:val="009E03F7"/>
    <w:rsid w:val="009E0579"/>
    <w:rsid w:val="009E06FF"/>
    <w:rsid w:val="009E0711"/>
    <w:rsid w:val="009E07B2"/>
    <w:rsid w:val="009E08FB"/>
    <w:rsid w:val="009E0ACA"/>
    <w:rsid w:val="009E114E"/>
    <w:rsid w:val="009E132A"/>
    <w:rsid w:val="009E15C2"/>
    <w:rsid w:val="009E17A2"/>
    <w:rsid w:val="009E19AB"/>
    <w:rsid w:val="009E1A3C"/>
    <w:rsid w:val="009E1C22"/>
    <w:rsid w:val="009E20C8"/>
    <w:rsid w:val="009E2286"/>
    <w:rsid w:val="009E2481"/>
    <w:rsid w:val="009E250C"/>
    <w:rsid w:val="009E255A"/>
    <w:rsid w:val="009E261C"/>
    <w:rsid w:val="009E2636"/>
    <w:rsid w:val="009E2713"/>
    <w:rsid w:val="009E2A8C"/>
    <w:rsid w:val="009E2C22"/>
    <w:rsid w:val="009E3175"/>
    <w:rsid w:val="009E3226"/>
    <w:rsid w:val="009E327E"/>
    <w:rsid w:val="009E3317"/>
    <w:rsid w:val="009E3606"/>
    <w:rsid w:val="009E36D5"/>
    <w:rsid w:val="009E3753"/>
    <w:rsid w:val="009E37E4"/>
    <w:rsid w:val="009E3815"/>
    <w:rsid w:val="009E393C"/>
    <w:rsid w:val="009E3C7E"/>
    <w:rsid w:val="009E3EC3"/>
    <w:rsid w:val="009E3F2F"/>
    <w:rsid w:val="009E3F46"/>
    <w:rsid w:val="009E41BE"/>
    <w:rsid w:val="009E432B"/>
    <w:rsid w:val="009E43E8"/>
    <w:rsid w:val="009E4907"/>
    <w:rsid w:val="009E4912"/>
    <w:rsid w:val="009E4ABC"/>
    <w:rsid w:val="009E4B20"/>
    <w:rsid w:val="009E4B5D"/>
    <w:rsid w:val="009E4BBB"/>
    <w:rsid w:val="009E4C70"/>
    <w:rsid w:val="009E4E7C"/>
    <w:rsid w:val="009E50E8"/>
    <w:rsid w:val="009E5285"/>
    <w:rsid w:val="009E54C4"/>
    <w:rsid w:val="009E54EA"/>
    <w:rsid w:val="009E55FF"/>
    <w:rsid w:val="009E5AAC"/>
    <w:rsid w:val="009E5D95"/>
    <w:rsid w:val="009E5E96"/>
    <w:rsid w:val="009E5FF9"/>
    <w:rsid w:val="009E61CF"/>
    <w:rsid w:val="009E631C"/>
    <w:rsid w:val="009E6479"/>
    <w:rsid w:val="009E65D9"/>
    <w:rsid w:val="009E6A5F"/>
    <w:rsid w:val="009E6A8D"/>
    <w:rsid w:val="009E6D6C"/>
    <w:rsid w:val="009E6E04"/>
    <w:rsid w:val="009E6E47"/>
    <w:rsid w:val="009E6E5E"/>
    <w:rsid w:val="009E7538"/>
    <w:rsid w:val="009E7696"/>
    <w:rsid w:val="009E7819"/>
    <w:rsid w:val="009E79C4"/>
    <w:rsid w:val="009E79D1"/>
    <w:rsid w:val="009E7A04"/>
    <w:rsid w:val="009E7A06"/>
    <w:rsid w:val="009E7CC6"/>
    <w:rsid w:val="009E7E13"/>
    <w:rsid w:val="009E7F08"/>
    <w:rsid w:val="009E7F5C"/>
    <w:rsid w:val="009F000A"/>
    <w:rsid w:val="009F0381"/>
    <w:rsid w:val="009F0888"/>
    <w:rsid w:val="009F0ACC"/>
    <w:rsid w:val="009F0C64"/>
    <w:rsid w:val="009F0DB6"/>
    <w:rsid w:val="009F0E86"/>
    <w:rsid w:val="009F0E91"/>
    <w:rsid w:val="009F11E0"/>
    <w:rsid w:val="009F1281"/>
    <w:rsid w:val="009F1325"/>
    <w:rsid w:val="009F13F4"/>
    <w:rsid w:val="009F1463"/>
    <w:rsid w:val="009F172A"/>
    <w:rsid w:val="009F1763"/>
    <w:rsid w:val="009F193A"/>
    <w:rsid w:val="009F19BD"/>
    <w:rsid w:val="009F1A56"/>
    <w:rsid w:val="009F1E7D"/>
    <w:rsid w:val="009F2181"/>
    <w:rsid w:val="009F271D"/>
    <w:rsid w:val="009F29F0"/>
    <w:rsid w:val="009F2C8C"/>
    <w:rsid w:val="009F2E4D"/>
    <w:rsid w:val="009F30B7"/>
    <w:rsid w:val="009F3177"/>
    <w:rsid w:val="009F31A7"/>
    <w:rsid w:val="009F31D4"/>
    <w:rsid w:val="009F32E6"/>
    <w:rsid w:val="009F3631"/>
    <w:rsid w:val="009F363C"/>
    <w:rsid w:val="009F36BD"/>
    <w:rsid w:val="009F3710"/>
    <w:rsid w:val="009F3790"/>
    <w:rsid w:val="009F3C08"/>
    <w:rsid w:val="009F406D"/>
    <w:rsid w:val="009F429F"/>
    <w:rsid w:val="009F4323"/>
    <w:rsid w:val="009F476C"/>
    <w:rsid w:val="009F4883"/>
    <w:rsid w:val="009F4959"/>
    <w:rsid w:val="009F49A8"/>
    <w:rsid w:val="009F4B06"/>
    <w:rsid w:val="009F4B35"/>
    <w:rsid w:val="009F4B83"/>
    <w:rsid w:val="009F4BFC"/>
    <w:rsid w:val="009F4D97"/>
    <w:rsid w:val="009F52E4"/>
    <w:rsid w:val="009F53FC"/>
    <w:rsid w:val="009F586C"/>
    <w:rsid w:val="009F5B84"/>
    <w:rsid w:val="009F5BF3"/>
    <w:rsid w:val="009F5D30"/>
    <w:rsid w:val="009F6135"/>
    <w:rsid w:val="009F64AB"/>
    <w:rsid w:val="009F668E"/>
    <w:rsid w:val="009F6B45"/>
    <w:rsid w:val="009F7088"/>
    <w:rsid w:val="009F75E2"/>
    <w:rsid w:val="009F79CA"/>
    <w:rsid w:val="009F7A7B"/>
    <w:rsid w:val="009F7A90"/>
    <w:rsid w:val="009F7B6F"/>
    <w:rsid w:val="009F7BAF"/>
    <w:rsid w:val="009F7CEB"/>
    <w:rsid w:val="009F7E25"/>
    <w:rsid w:val="00A000AD"/>
    <w:rsid w:val="00A00132"/>
    <w:rsid w:val="00A00594"/>
    <w:rsid w:val="00A00670"/>
    <w:rsid w:val="00A00D38"/>
    <w:rsid w:val="00A00DC1"/>
    <w:rsid w:val="00A010B7"/>
    <w:rsid w:val="00A013C0"/>
    <w:rsid w:val="00A01685"/>
    <w:rsid w:val="00A0189B"/>
    <w:rsid w:val="00A01BA4"/>
    <w:rsid w:val="00A01CC8"/>
    <w:rsid w:val="00A01F26"/>
    <w:rsid w:val="00A02111"/>
    <w:rsid w:val="00A02262"/>
    <w:rsid w:val="00A022A9"/>
    <w:rsid w:val="00A022F9"/>
    <w:rsid w:val="00A023DC"/>
    <w:rsid w:val="00A023F4"/>
    <w:rsid w:val="00A025BB"/>
    <w:rsid w:val="00A02878"/>
    <w:rsid w:val="00A02CD6"/>
    <w:rsid w:val="00A03058"/>
    <w:rsid w:val="00A03256"/>
    <w:rsid w:val="00A03258"/>
    <w:rsid w:val="00A0344F"/>
    <w:rsid w:val="00A0370A"/>
    <w:rsid w:val="00A03755"/>
    <w:rsid w:val="00A0389B"/>
    <w:rsid w:val="00A03A3D"/>
    <w:rsid w:val="00A03B21"/>
    <w:rsid w:val="00A03E3E"/>
    <w:rsid w:val="00A03E5D"/>
    <w:rsid w:val="00A03F68"/>
    <w:rsid w:val="00A04018"/>
    <w:rsid w:val="00A040FD"/>
    <w:rsid w:val="00A0426A"/>
    <w:rsid w:val="00A045C7"/>
    <w:rsid w:val="00A047F4"/>
    <w:rsid w:val="00A04969"/>
    <w:rsid w:val="00A04C0D"/>
    <w:rsid w:val="00A050C1"/>
    <w:rsid w:val="00A053F9"/>
    <w:rsid w:val="00A05688"/>
    <w:rsid w:val="00A0590D"/>
    <w:rsid w:val="00A05A64"/>
    <w:rsid w:val="00A05CEF"/>
    <w:rsid w:val="00A05F34"/>
    <w:rsid w:val="00A0667A"/>
    <w:rsid w:val="00A067F9"/>
    <w:rsid w:val="00A06923"/>
    <w:rsid w:val="00A06BF5"/>
    <w:rsid w:val="00A06E26"/>
    <w:rsid w:val="00A06F47"/>
    <w:rsid w:val="00A071CC"/>
    <w:rsid w:val="00A0721F"/>
    <w:rsid w:val="00A07327"/>
    <w:rsid w:val="00A07C2F"/>
    <w:rsid w:val="00A07FF6"/>
    <w:rsid w:val="00A1036D"/>
    <w:rsid w:val="00A1059F"/>
    <w:rsid w:val="00A1077D"/>
    <w:rsid w:val="00A107EF"/>
    <w:rsid w:val="00A10D47"/>
    <w:rsid w:val="00A10FBF"/>
    <w:rsid w:val="00A11368"/>
    <w:rsid w:val="00A115EF"/>
    <w:rsid w:val="00A1172A"/>
    <w:rsid w:val="00A11911"/>
    <w:rsid w:val="00A119E9"/>
    <w:rsid w:val="00A11A3A"/>
    <w:rsid w:val="00A11B3D"/>
    <w:rsid w:val="00A11B59"/>
    <w:rsid w:val="00A11B5A"/>
    <w:rsid w:val="00A11E62"/>
    <w:rsid w:val="00A12018"/>
    <w:rsid w:val="00A1203B"/>
    <w:rsid w:val="00A121A5"/>
    <w:rsid w:val="00A124C1"/>
    <w:rsid w:val="00A1262B"/>
    <w:rsid w:val="00A1269E"/>
    <w:rsid w:val="00A12764"/>
    <w:rsid w:val="00A12A44"/>
    <w:rsid w:val="00A12CF9"/>
    <w:rsid w:val="00A12D64"/>
    <w:rsid w:val="00A130A6"/>
    <w:rsid w:val="00A13257"/>
    <w:rsid w:val="00A133FC"/>
    <w:rsid w:val="00A135B7"/>
    <w:rsid w:val="00A13D07"/>
    <w:rsid w:val="00A13E67"/>
    <w:rsid w:val="00A14609"/>
    <w:rsid w:val="00A14847"/>
    <w:rsid w:val="00A14C02"/>
    <w:rsid w:val="00A14EEE"/>
    <w:rsid w:val="00A1540D"/>
    <w:rsid w:val="00A1544F"/>
    <w:rsid w:val="00A15468"/>
    <w:rsid w:val="00A15679"/>
    <w:rsid w:val="00A15762"/>
    <w:rsid w:val="00A15793"/>
    <w:rsid w:val="00A159BB"/>
    <w:rsid w:val="00A15A60"/>
    <w:rsid w:val="00A15C11"/>
    <w:rsid w:val="00A15DA2"/>
    <w:rsid w:val="00A15F62"/>
    <w:rsid w:val="00A15F80"/>
    <w:rsid w:val="00A162A2"/>
    <w:rsid w:val="00A1644A"/>
    <w:rsid w:val="00A1645F"/>
    <w:rsid w:val="00A16530"/>
    <w:rsid w:val="00A1656F"/>
    <w:rsid w:val="00A16638"/>
    <w:rsid w:val="00A1696E"/>
    <w:rsid w:val="00A169CB"/>
    <w:rsid w:val="00A16A03"/>
    <w:rsid w:val="00A16B00"/>
    <w:rsid w:val="00A16C3F"/>
    <w:rsid w:val="00A16C56"/>
    <w:rsid w:val="00A16C9C"/>
    <w:rsid w:val="00A16D0A"/>
    <w:rsid w:val="00A16F25"/>
    <w:rsid w:val="00A170B9"/>
    <w:rsid w:val="00A1723A"/>
    <w:rsid w:val="00A17334"/>
    <w:rsid w:val="00A17490"/>
    <w:rsid w:val="00A174A9"/>
    <w:rsid w:val="00A175D3"/>
    <w:rsid w:val="00A17727"/>
    <w:rsid w:val="00A178BD"/>
    <w:rsid w:val="00A179C8"/>
    <w:rsid w:val="00A17A57"/>
    <w:rsid w:val="00A17AC9"/>
    <w:rsid w:val="00A17E58"/>
    <w:rsid w:val="00A17EB5"/>
    <w:rsid w:val="00A20047"/>
    <w:rsid w:val="00A2015B"/>
    <w:rsid w:val="00A203AD"/>
    <w:rsid w:val="00A205F8"/>
    <w:rsid w:val="00A207F8"/>
    <w:rsid w:val="00A20B1A"/>
    <w:rsid w:val="00A20E64"/>
    <w:rsid w:val="00A20F40"/>
    <w:rsid w:val="00A20F8C"/>
    <w:rsid w:val="00A2100F"/>
    <w:rsid w:val="00A21326"/>
    <w:rsid w:val="00A2140C"/>
    <w:rsid w:val="00A216C8"/>
    <w:rsid w:val="00A216F9"/>
    <w:rsid w:val="00A219E4"/>
    <w:rsid w:val="00A21ACB"/>
    <w:rsid w:val="00A21B6D"/>
    <w:rsid w:val="00A21DB2"/>
    <w:rsid w:val="00A21E92"/>
    <w:rsid w:val="00A222E9"/>
    <w:rsid w:val="00A22406"/>
    <w:rsid w:val="00A22748"/>
    <w:rsid w:val="00A22870"/>
    <w:rsid w:val="00A2295B"/>
    <w:rsid w:val="00A22A39"/>
    <w:rsid w:val="00A22C04"/>
    <w:rsid w:val="00A22D27"/>
    <w:rsid w:val="00A22FC9"/>
    <w:rsid w:val="00A22FFB"/>
    <w:rsid w:val="00A230DC"/>
    <w:rsid w:val="00A2315A"/>
    <w:rsid w:val="00A23325"/>
    <w:rsid w:val="00A23544"/>
    <w:rsid w:val="00A23652"/>
    <w:rsid w:val="00A23AA1"/>
    <w:rsid w:val="00A23B4B"/>
    <w:rsid w:val="00A23CDD"/>
    <w:rsid w:val="00A23D5F"/>
    <w:rsid w:val="00A2408A"/>
    <w:rsid w:val="00A241F1"/>
    <w:rsid w:val="00A24360"/>
    <w:rsid w:val="00A24414"/>
    <w:rsid w:val="00A2443E"/>
    <w:rsid w:val="00A2451C"/>
    <w:rsid w:val="00A245FF"/>
    <w:rsid w:val="00A24764"/>
    <w:rsid w:val="00A248A3"/>
    <w:rsid w:val="00A24A7D"/>
    <w:rsid w:val="00A24E90"/>
    <w:rsid w:val="00A24EB7"/>
    <w:rsid w:val="00A25066"/>
    <w:rsid w:val="00A25350"/>
    <w:rsid w:val="00A257B5"/>
    <w:rsid w:val="00A262D7"/>
    <w:rsid w:val="00A26332"/>
    <w:rsid w:val="00A2672F"/>
    <w:rsid w:val="00A26756"/>
    <w:rsid w:val="00A2696E"/>
    <w:rsid w:val="00A26AE6"/>
    <w:rsid w:val="00A26CEF"/>
    <w:rsid w:val="00A26E4A"/>
    <w:rsid w:val="00A26E7A"/>
    <w:rsid w:val="00A26F33"/>
    <w:rsid w:val="00A270CE"/>
    <w:rsid w:val="00A27139"/>
    <w:rsid w:val="00A271CC"/>
    <w:rsid w:val="00A27251"/>
    <w:rsid w:val="00A2728B"/>
    <w:rsid w:val="00A275D1"/>
    <w:rsid w:val="00A27652"/>
    <w:rsid w:val="00A2768D"/>
    <w:rsid w:val="00A277F9"/>
    <w:rsid w:val="00A27E12"/>
    <w:rsid w:val="00A27F43"/>
    <w:rsid w:val="00A3004B"/>
    <w:rsid w:val="00A303EC"/>
    <w:rsid w:val="00A3091A"/>
    <w:rsid w:val="00A30AF6"/>
    <w:rsid w:val="00A30B66"/>
    <w:rsid w:val="00A30CA8"/>
    <w:rsid w:val="00A30FB7"/>
    <w:rsid w:val="00A31227"/>
    <w:rsid w:val="00A31516"/>
    <w:rsid w:val="00A3160A"/>
    <w:rsid w:val="00A31797"/>
    <w:rsid w:val="00A31A2A"/>
    <w:rsid w:val="00A31A49"/>
    <w:rsid w:val="00A31C02"/>
    <w:rsid w:val="00A31DB6"/>
    <w:rsid w:val="00A32171"/>
    <w:rsid w:val="00A321F3"/>
    <w:rsid w:val="00A323FD"/>
    <w:rsid w:val="00A32438"/>
    <w:rsid w:val="00A324FC"/>
    <w:rsid w:val="00A32846"/>
    <w:rsid w:val="00A32928"/>
    <w:rsid w:val="00A3295F"/>
    <w:rsid w:val="00A32A0D"/>
    <w:rsid w:val="00A32BC2"/>
    <w:rsid w:val="00A32CB9"/>
    <w:rsid w:val="00A32DFA"/>
    <w:rsid w:val="00A32E06"/>
    <w:rsid w:val="00A331D6"/>
    <w:rsid w:val="00A3350A"/>
    <w:rsid w:val="00A335AF"/>
    <w:rsid w:val="00A33967"/>
    <w:rsid w:val="00A33B9A"/>
    <w:rsid w:val="00A33C7C"/>
    <w:rsid w:val="00A33D31"/>
    <w:rsid w:val="00A34222"/>
    <w:rsid w:val="00A3436F"/>
    <w:rsid w:val="00A34436"/>
    <w:rsid w:val="00A34480"/>
    <w:rsid w:val="00A347B9"/>
    <w:rsid w:val="00A347CD"/>
    <w:rsid w:val="00A34852"/>
    <w:rsid w:val="00A35C21"/>
    <w:rsid w:val="00A361D0"/>
    <w:rsid w:val="00A361E4"/>
    <w:rsid w:val="00A362C0"/>
    <w:rsid w:val="00A362D5"/>
    <w:rsid w:val="00A364E7"/>
    <w:rsid w:val="00A36509"/>
    <w:rsid w:val="00A36603"/>
    <w:rsid w:val="00A3663D"/>
    <w:rsid w:val="00A36809"/>
    <w:rsid w:val="00A36CB2"/>
    <w:rsid w:val="00A36D2D"/>
    <w:rsid w:val="00A36E9B"/>
    <w:rsid w:val="00A36FA5"/>
    <w:rsid w:val="00A370F3"/>
    <w:rsid w:val="00A37452"/>
    <w:rsid w:val="00A37572"/>
    <w:rsid w:val="00A377CC"/>
    <w:rsid w:val="00A37845"/>
    <w:rsid w:val="00A37C42"/>
    <w:rsid w:val="00A37D17"/>
    <w:rsid w:val="00A4000A"/>
    <w:rsid w:val="00A40599"/>
    <w:rsid w:val="00A40722"/>
    <w:rsid w:val="00A407A9"/>
    <w:rsid w:val="00A40935"/>
    <w:rsid w:val="00A40940"/>
    <w:rsid w:val="00A40A71"/>
    <w:rsid w:val="00A40B2C"/>
    <w:rsid w:val="00A411D0"/>
    <w:rsid w:val="00A41221"/>
    <w:rsid w:val="00A41338"/>
    <w:rsid w:val="00A4136D"/>
    <w:rsid w:val="00A41435"/>
    <w:rsid w:val="00A41540"/>
    <w:rsid w:val="00A4171F"/>
    <w:rsid w:val="00A4172E"/>
    <w:rsid w:val="00A4199C"/>
    <w:rsid w:val="00A419E2"/>
    <w:rsid w:val="00A41BE8"/>
    <w:rsid w:val="00A41E5D"/>
    <w:rsid w:val="00A42219"/>
    <w:rsid w:val="00A42433"/>
    <w:rsid w:val="00A424B3"/>
    <w:rsid w:val="00A42658"/>
    <w:rsid w:val="00A4295D"/>
    <w:rsid w:val="00A42BF3"/>
    <w:rsid w:val="00A42CAC"/>
    <w:rsid w:val="00A42D6B"/>
    <w:rsid w:val="00A42D6C"/>
    <w:rsid w:val="00A42ED0"/>
    <w:rsid w:val="00A42F1A"/>
    <w:rsid w:val="00A43001"/>
    <w:rsid w:val="00A4335B"/>
    <w:rsid w:val="00A43533"/>
    <w:rsid w:val="00A436CA"/>
    <w:rsid w:val="00A43737"/>
    <w:rsid w:val="00A4389D"/>
    <w:rsid w:val="00A44257"/>
    <w:rsid w:val="00A4460A"/>
    <w:rsid w:val="00A446DC"/>
    <w:rsid w:val="00A44773"/>
    <w:rsid w:val="00A44778"/>
    <w:rsid w:val="00A447A3"/>
    <w:rsid w:val="00A44844"/>
    <w:rsid w:val="00A449F3"/>
    <w:rsid w:val="00A44B92"/>
    <w:rsid w:val="00A44FDA"/>
    <w:rsid w:val="00A45200"/>
    <w:rsid w:val="00A4528A"/>
    <w:rsid w:val="00A45331"/>
    <w:rsid w:val="00A45378"/>
    <w:rsid w:val="00A457E7"/>
    <w:rsid w:val="00A458C9"/>
    <w:rsid w:val="00A45983"/>
    <w:rsid w:val="00A459E5"/>
    <w:rsid w:val="00A45AEE"/>
    <w:rsid w:val="00A45B05"/>
    <w:rsid w:val="00A460B0"/>
    <w:rsid w:val="00A46160"/>
    <w:rsid w:val="00A46206"/>
    <w:rsid w:val="00A46275"/>
    <w:rsid w:val="00A46368"/>
    <w:rsid w:val="00A463CE"/>
    <w:rsid w:val="00A46711"/>
    <w:rsid w:val="00A4691F"/>
    <w:rsid w:val="00A471F9"/>
    <w:rsid w:val="00A476DA"/>
    <w:rsid w:val="00A4772A"/>
    <w:rsid w:val="00A4775D"/>
    <w:rsid w:val="00A477E4"/>
    <w:rsid w:val="00A4787C"/>
    <w:rsid w:val="00A478F1"/>
    <w:rsid w:val="00A47C60"/>
    <w:rsid w:val="00A47E24"/>
    <w:rsid w:val="00A47FA6"/>
    <w:rsid w:val="00A50391"/>
    <w:rsid w:val="00A5043A"/>
    <w:rsid w:val="00A5077E"/>
    <w:rsid w:val="00A508CE"/>
    <w:rsid w:val="00A50A08"/>
    <w:rsid w:val="00A50A54"/>
    <w:rsid w:val="00A50C56"/>
    <w:rsid w:val="00A50D5E"/>
    <w:rsid w:val="00A50F6F"/>
    <w:rsid w:val="00A510DE"/>
    <w:rsid w:val="00A51207"/>
    <w:rsid w:val="00A513BA"/>
    <w:rsid w:val="00A51F43"/>
    <w:rsid w:val="00A52032"/>
    <w:rsid w:val="00A521EE"/>
    <w:rsid w:val="00A52427"/>
    <w:rsid w:val="00A52443"/>
    <w:rsid w:val="00A5289B"/>
    <w:rsid w:val="00A528D8"/>
    <w:rsid w:val="00A52BF7"/>
    <w:rsid w:val="00A52F32"/>
    <w:rsid w:val="00A530A2"/>
    <w:rsid w:val="00A53513"/>
    <w:rsid w:val="00A535FB"/>
    <w:rsid w:val="00A53A1E"/>
    <w:rsid w:val="00A53A4B"/>
    <w:rsid w:val="00A53BCF"/>
    <w:rsid w:val="00A53E5C"/>
    <w:rsid w:val="00A53EB1"/>
    <w:rsid w:val="00A53F22"/>
    <w:rsid w:val="00A53FA8"/>
    <w:rsid w:val="00A542E2"/>
    <w:rsid w:val="00A5433C"/>
    <w:rsid w:val="00A5434D"/>
    <w:rsid w:val="00A5436D"/>
    <w:rsid w:val="00A543DF"/>
    <w:rsid w:val="00A5449D"/>
    <w:rsid w:val="00A5453C"/>
    <w:rsid w:val="00A54901"/>
    <w:rsid w:val="00A54AD6"/>
    <w:rsid w:val="00A54B0C"/>
    <w:rsid w:val="00A54C34"/>
    <w:rsid w:val="00A54DF9"/>
    <w:rsid w:val="00A54ED7"/>
    <w:rsid w:val="00A54F0D"/>
    <w:rsid w:val="00A550AE"/>
    <w:rsid w:val="00A5535C"/>
    <w:rsid w:val="00A55452"/>
    <w:rsid w:val="00A55469"/>
    <w:rsid w:val="00A55610"/>
    <w:rsid w:val="00A5562D"/>
    <w:rsid w:val="00A557FE"/>
    <w:rsid w:val="00A55D66"/>
    <w:rsid w:val="00A56022"/>
    <w:rsid w:val="00A5607D"/>
    <w:rsid w:val="00A5620C"/>
    <w:rsid w:val="00A563FB"/>
    <w:rsid w:val="00A564AC"/>
    <w:rsid w:val="00A564DA"/>
    <w:rsid w:val="00A56CC3"/>
    <w:rsid w:val="00A56DDA"/>
    <w:rsid w:val="00A56E38"/>
    <w:rsid w:val="00A56EC6"/>
    <w:rsid w:val="00A56F95"/>
    <w:rsid w:val="00A57130"/>
    <w:rsid w:val="00A571F7"/>
    <w:rsid w:val="00A575CA"/>
    <w:rsid w:val="00A57619"/>
    <w:rsid w:val="00A577FC"/>
    <w:rsid w:val="00A579A6"/>
    <w:rsid w:val="00A579FD"/>
    <w:rsid w:val="00A57B62"/>
    <w:rsid w:val="00A57B71"/>
    <w:rsid w:val="00A6009F"/>
    <w:rsid w:val="00A60364"/>
    <w:rsid w:val="00A603B1"/>
    <w:rsid w:val="00A603BA"/>
    <w:rsid w:val="00A603CC"/>
    <w:rsid w:val="00A606FB"/>
    <w:rsid w:val="00A609C8"/>
    <w:rsid w:val="00A609FB"/>
    <w:rsid w:val="00A60B99"/>
    <w:rsid w:val="00A60C73"/>
    <w:rsid w:val="00A60DA3"/>
    <w:rsid w:val="00A614AC"/>
    <w:rsid w:val="00A61601"/>
    <w:rsid w:val="00A6168C"/>
    <w:rsid w:val="00A61726"/>
    <w:rsid w:val="00A6173E"/>
    <w:rsid w:val="00A617EC"/>
    <w:rsid w:val="00A6198C"/>
    <w:rsid w:val="00A619D9"/>
    <w:rsid w:val="00A61A58"/>
    <w:rsid w:val="00A61A6F"/>
    <w:rsid w:val="00A61B06"/>
    <w:rsid w:val="00A61ECE"/>
    <w:rsid w:val="00A61F99"/>
    <w:rsid w:val="00A620B1"/>
    <w:rsid w:val="00A62127"/>
    <w:rsid w:val="00A6214B"/>
    <w:rsid w:val="00A621FC"/>
    <w:rsid w:val="00A62398"/>
    <w:rsid w:val="00A62942"/>
    <w:rsid w:val="00A62A08"/>
    <w:rsid w:val="00A62E60"/>
    <w:rsid w:val="00A63202"/>
    <w:rsid w:val="00A63501"/>
    <w:rsid w:val="00A635BB"/>
    <w:rsid w:val="00A635E4"/>
    <w:rsid w:val="00A63630"/>
    <w:rsid w:val="00A63699"/>
    <w:rsid w:val="00A63736"/>
    <w:rsid w:val="00A6374D"/>
    <w:rsid w:val="00A638DD"/>
    <w:rsid w:val="00A638E1"/>
    <w:rsid w:val="00A6390F"/>
    <w:rsid w:val="00A63A3D"/>
    <w:rsid w:val="00A63BEC"/>
    <w:rsid w:val="00A63C67"/>
    <w:rsid w:val="00A63DE6"/>
    <w:rsid w:val="00A64035"/>
    <w:rsid w:val="00A6444E"/>
    <w:rsid w:val="00A6450E"/>
    <w:rsid w:val="00A6458C"/>
    <w:rsid w:val="00A64659"/>
    <w:rsid w:val="00A64856"/>
    <w:rsid w:val="00A6485D"/>
    <w:rsid w:val="00A64995"/>
    <w:rsid w:val="00A64B79"/>
    <w:rsid w:val="00A65002"/>
    <w:rsid w:val="00A65051"/>
    <w:rsid w:val="00A65128"/>
    <w:rsid w:val="00A6517D"/>
    <w:rsid w:val="00A65197"/>
    <w:rsid w:val="00A65211"/>
    <w:rsid w:val="00A653D1"/>
    <w:rsid w:val="00A653E4"/>
    <w:rsid w:val="00A654DC"/>
    <w:rsid w:val="00A657C1"/>
    <w:rsid w:val="00A65938"/>
    <w:rsid w:val="00A659AC"/>
    <w:rsid w:val="00A65B15"/>
    <w:rsid w:val="00A65C1F"/>
    <w:rsid w:val="00A65D39"/>
    <w:rsid w:val="00A65ED2"/>
    <w:rsid w:val="00A66037"/>
    <w:rsid w:val="00A6603E"/>
    <w:rsid w:val="00A66063"/>
    <w:rsid w:val="00A66295"/>
    <w:rsid w:val="00A663A0"/>
    <w:rsid w:val="00A667C9"/>
    <w:rsid w:val="00A667CF"/>
    <w:rsid w:val="00A667D5"/>
    <w:rsid w:val="00A6683E"/>
    <w:rsid w:val="00A668FB"/>
    <w:rsid w:val="00A6694D"/>
    <w:rsid w:val="00A66CCC"/>
    <w:rsid w:val="00A66D17"/>
    <w:rsid w:val="00A67076"/>
    <w:rsid w:val="00A672B9"/>
    <w:rsid w:val="00A67447"/>
    <w:rsid w:val="00A674E5"/>
    <w:rsid w:val="00A679AC"/>
    <w:rsid w:val="00A67C2B"/>
    <w:rsid w:val="00A67DBF"/>
    <w:rsid w:val="00A67E8A"/>
    <w:rsid w:val="00A6B833"/>
    <w:rsid w:val="00A7013C"/>
    <w:rsid w:val="00A70471"/>
    <w:rsid w:val="00A70A2A"/>
    <w:rsid w:val="00A70CC7"/>
    <w:rsid w:val="00A70F20"/>
    <w:rsid w:val="00A71505"/>
    <w:rsid w:val="00A71554"/>
    <w:rsid w:val="00A7159D"/>
    <w:rsid w:val="00A715DF"/>
    <w:rsid w:val="00A7180C"/>
    <w:rsid w:val="00A718B0"/>
    <w:rsid w:val="00A71A5F"/>
    <w:rsid w:val="00A71ADB"/>
    <w:rsid w:val="00A71CDD"/>
    <w:rsid w:val="00A71F63"/>
    <w:rsid w:val="00A72640"/>
    <w:rsid w:val="00A72986"/>
    <w:rsid w:val="00A72CF1"/>
    <w:rsid w:val="00A72CFF"/>
    <w:rsid w:val="00A72D8A"/>
    <w:rsid w:val="00A72FC5"/>
    <w:rsid w:val="00A730AB"/>
    <w:rsid w:val="00A73152"/>
    <w:rsid w:val="00A732CB"/>
    <w:rsid w:val="00A7344C"/>
    <w:rsid w:val="00A73517"/>
    <w:rsid w:val="00A73701"/>
    <w:rsid w:val="00A73A9C"/>
    <w:rsid w:val="00A73B36"/>
    <w:rsid w:val="00A73BF8"/>
    <w:rsid w:val="00A73C9F"/>
    <w:rsid w:val="00A73D12"/>
    <w:rsid w:val="00A73E2A"/>
    <w:rsid w:val="00A73E80"/>
    <w:rsid w:val="00A73FC6"/>
    <w:rsid w:val="00A7400D"/>
    <w:rsid w:val="00A740DA"/>
    <w:rsid w:val="00A74192"/>
    <w:rsid w:val="00A7420F"/>
    <w:rsid w:val="00A74417"/>
    <w:rsid w:val="00A744B7"/>
    <w:rsid w:val="00A745B1"/>
    <w:rsid w:val="00A745BE"/>
    <w:rsid w:val="00A7476F"/>
    <w:rsid w:val="00A747AA"/>
    <w:rsid w:val="00A749A6"/>
    <w:rsid w:val="00A74A42"/>
    <w:rsid w:val="00A74C42"/>
    <w:rsid w:val="00A74D1B"/>
    <w:rsid w:val="00A74D37"/>
    <w:rsid w:val="00A74F66"/>
    <w:rsid w:val="00A75112"/>
    <w:rsid w:val="00A756A5"/>
    <w:rsid w:val="00A75709"/>
    <w:rsid w:val="00A757DE"/>
    <w:rsid w:val="00A75B14"/>
    <w:rsid w:val="00A75C1A"/>
    <w:rsid w:val="00A75DA1"/>
    <w:rsid w:val="00A75DD6"/>
    <w:rsid w:val="00A761F3"/>
    <w:rsid w:val="00A765B6"/>
    <w:rsid w:val="00A7681C"/>
    <w:rsid w:val="00A7695E"/>
    <w:rsid w:val="00A76996"/>
    <w:rsid w:val="00A76B6F"/>
    <w:rsid w:val="00A76B70"/>
    <w:rsid w:val="00A76C13"/>
    <w:rsid w:val="00A76DDF"/>
    <w:rsid w:val="00A76EA4"/>
    <w:rsid w:val="00A77192"/>
    <w:rsid w:val="00A77222"/>
    <w:rsid w:val="00A7722E"/>
    <w:rsid w:val="00A772A9"/>
    <w:rsid w:val="00A7773A"/>
    <w:rsid w:val="00A77871"/>
    <w:rsid w:val="00A779AC"/>
    <w:rsid w:val="00A77B87"/>
    <w:rsid w:val="00A77BDE"/>
    <w:rsid w:val="00A77CBB"/>
    <w:rsid w:val="00A77F64"/>
    <w:rsid w:val="00A80646"/>
    <w:rsid w:val="00A8078D"/>
    <w:rsid w:val="00A807FC"/>
    <w:rsid w:val="00A80C98"/>
    <w:rsid w:val="00A80E9C"/>
    <w:rsid w:val="00A8124B"/>
    <w:rsid w:val="00A81300"/>
    <w:rsid w:val="00A814D2"/>
    <w:rsid w:val="00A81613"/>
    <w:rsid w:val="00A8164E"/>
    <w:rsid w:val="00A81B0D"/>
    <w:rsid w:val="00A81B6F"/>
    <w:rsid w:val="00A81BD1"/>
    <w:rsid w:val="00A81BE0"/>
    <w:rsid w:val="00A81ECF"/>
    <w:rsid w:val="00A81F82"/>
    <w:rsid w:val="00A82076"/>
    <w:rsid w:val="00A82131"/>
    <w:rsid w:val="00A8222E"/>
    <w:rsid w:val="00A82238"/>
    <w:rsid w:val="00A82437"/>
    <w:rsid w:val="00A8253C"/>
    <w:rsid w:val="00A826A5"/>
    <w:rsid w:val="00A827FE"/>
    <w:rsid w:val="00A82885"/>
    <w:rsid w:val="00A82A0A"/>
    <w:rsid w:val="00A82A6A"/>
    <w:rsid w:val="00A82B37"/>
    <w:rsid w:val="00A830B9"/>
    <w:rsid w:val="00A83221"/>
    <w:rsid w:val="00A8371C"/>
    <w:rsid w:val="00A83861"/>
    <w:rsid w:val="00A838E0"/>
    <w:rsid w:val="00A8394F"/>
    <w:rsid w:val="00A83987"/>
    <w:rsid w:val="00A83A32"/>
    <w:rsid w:val="00A83A62"/>
    <w:rsid w:val="00A83CC6"/>
    <w:rsid w:val="00A83DD8"/>
    <w:rsid w:val="00A83E4F"/>
    <w:rsid w:val="00A841B0"/>
    <w:rsid w:val="00A84308"/>
    <w:rsid w:val="00A84472"/>
    <w:rsid w:val="00A8449B"/>
    <w:rsid w:val="00A845C3"/>
    <w:rsid w:val="00A84653"/>
    <w:rsid w:val="00A8497C"/>
    <w:rsid w:val="00A84A33"/>
    <w:rsid w:val="00A84ACA"/>
    <w:rsid w:val="00A84B12"/>
    <w:rsid w:val="00A84C4E"/>
    <w:rsid w:val="00A84E72"/>
    <w:rsid w:val="00A84EAA"/>
    <w:rsid w:val="00A84FC2"/>
    <w:rsid w:val="00A851AD"/>
    <w:rsid w:val="00A85651"/>
    <w:rsid w:val="00A856EA"/>
    <w:rsid w:val="00A85912"/>
    <w:rsid w:val="00A8592A"/>
    <w:rsid w:val="00A85A2B"/>
    <w:rsid w:val="00A85F19"/>
    <w:rsid w:val="00A86148"/>
    <w:rsid w:val="00A86259"/>
    <w:rsid w:val="00A86450"/>
    <w:rsid w:val="00A865A1"/>
    <w:rsid w:val="00A86A46"/>
    <w:rsid w:val="00A86BB5"/>
    <w:rsid w:val="00A86BD8"/>
    <w:rsid w:val="00A86D22"/>
    <w:rsid w:val="00A86D29"/>
    <w:rsid w:val="00A8750C"/>
    <w:rsid w:val="00A875D5"/>
    <w:rsid w:val="00A87624"/>
    <w:rsid w:val="00A8789B"/>
    <w:rsid w:val="00A879CC"/>
    <w:rsid w:val="00A87AC6"/>
    <w:rsid w:val="00A87D57"/>
    <w:rsid w:val="00A87D58"/>
    <w:rsid w:val="00A87E35"/>
    <w:rsid w:val="00A87F81"/>
    <w:rsid w:val="00A901C9"/>
    <w:rsid w:val="00A90293"/>
    <w:rsid w:val="00A90640"/>
    <w:rsid w:val="00A9077A"/>
    <w:rsid w:val="00A908FB"/>
    <w:rsid w:val="00A90A78"/>
    <w:rsid w:val="00A90EFF"/>
    <w:rsid w:val="00A91111"/>
    <w:rsid w:val="00A918DA"/>
    <w:rsid w:val="00A91C08"/>
    <w:rsid w:val="00A91D90"/>
    <w:rsid w:val="00A91EF2"/>
    <w:rsid w:val="00A91FF0"/>
    <w:rsid w:val="00A920AF"/>
    <w:rsid w:val="00A9279E"/>
    <w:rsid w:val="00A9282B"/>
    <w:rsid w:val="00A9284F"/>
    <w:rsid w:val="00A92AF6"/>
    <w:rsid w:val="00A92B76"/>
    <w:rsid w:val="00A92E3C"/>
    <w:rsid w:val="00A93055"/>
    <w:rsid w:val="00A9306D"/>
    <w:rsid w:val="00A930E9"/>
    <w:rsid w:val="00A93169"/>
    <w:rsid w:val="00A93257"/>
    <w:rsid w:val="00A933DA"/>
    <w:rsid w:val="00A93543"/>
    <w:rsid w:val="00A93596"/>
    <w:rsid w:val="00A936CC"/>
    <w:rsid w:val="00A93838"/>
    <w:rsid w:val="00A9395F"/>
    <w:rsid w:val="00A93BAE"/>
    <w:rsid w:val="00A93E0A"/>
    <w:rsid w:val="00A93F16"/>
    <w:rsid w:val="00A93F6B"/>
    <w:rsid w:val="00A943AD"/>
    <w:rsid w:val="00A94439"/>
    <w:rsid w:val="00A946F7"/>
    <w:rsid w:val="00A94806"/>
    <w:rsid w:val="00A94A13"/>
    <w:rsid w:val="00A94AAD"/>
    <w:rsid w:val="00A94C9F"/>
    <w:rsid w:val="00A94CF0"/>
    <w:rsid w:val="00A94DD6"/>
    <w:rsid w:val="00A94EC9"/>
    <w:rsid w:val="00A94EFC"/>
    <w:rsid w:val="00A950D1"/>
    <w:rsid w:val="00A950D2"/>
    <w:rsid w:val="00A956C7"/>
    <w:rsid w:val="00A95991"/>
    <w:rsid w:val="00A95A7C"/>
    <w:rsid w:val="00A95C02"/>
    <w:rsid w:val="00A95CC8"/>
    <w:rsid w:val="00A95D1F"/>
    <w:rsid w:val="00A95DB4"/>
    <w:rsid w:val="00A95E68"/>
    <w:rsid w:val="00A95F26"/>
    <w:rsid w:val="00A963DD"/>
    <w:rsid w:val="00A9644D"/>
    <w:rsid w:val="00A9646F"/>
    <w:rsid w:val="00A96472"/>
    <w:rsid w:val="00A9649E"/>
    <w:rsid w:val="00A96898"/>
    <w:rsid w:val="00A968D0"/>
    <w:rsid w:val="00A96996"/>
    <w:rsid w:val="00A96AAF"/>
    <w:rsid w:val="00A96AFA"/>
    <w:rsid w:val="00A96B2E"/>
    <w:rsid w:val="00A96B6F"/>
    <w:rsid w:val="00A96BE9"/>
    <w:rsid w:val="00A96C11"/>
    <w:rsid w:val="00A96DFC"/>
    <w:rsid w:val="00A9714D"/>
    <w:rsid w:val="00A972EB"/>
    <w:rsid w:val="00A977E6"/>
    <w:rsid w:val="00A97881"/>
    <w:rsid w:val="00A97999"/>
    <w:rsid w:val="00A97A24"/>
    <w:rsid w:val="00A97A9A"/>
    <w:rsid w:val="00A97BF9"/>
    <w:rsid w:val="00A97C58"/>
    <w:rsid w:val="00A97CF6"/>
    <w:rsid w:val="00A97D30"/>
    <w:rsid w:val="00A97E2E"/>
    <w:rsid w:val="00A97E70"/>
    <w:rsid w:val="00A97F66"/>
    <w:rsid w:val="00AA00D6"/>
    <w:rsid w:val="00AA00D9"/>
    <w:rsid w:val="00AA00E2"/>
    <w:rsid w:val="00AA03D1"/>
    <w:rsid w:val="00AA07C1"/>
    <w:rsid w:val="00AA091A"/>
    <w:rsid w:val="00AA0DCF"/>
    <w:rsid w:val="00AA1026"/>
    <w:rsid w:val="00AA1044"/>
    <w:rsid w:val="00AA1681"/>
    <w:rsid w:val="00AA17DD"/>
    <w:rsid w:val="00AA186A"/>
    <w:rsid w:val="00AA1975"/>
    <w:rsid w:val="00AA1A68"/>
    <w:rsid w:val="00AA1A74"/>
    <w:rsid w:val="00AA1B72"/>
    <w:rsid w:val="00AA1C7E"/>
    <w:rsid w:val="00AA1CEE"/>
    <w:rsid w:val="00AA1DB5"/>
    <w:rsid w:val="00AA1E9F"/>
    <w:rsid w:val="00AA229C"/>
    <w:rsid w:val="00AA22E8"/>
    <w:rsid w:val="00AA23CB"/>
    <w:rsid w:val="00AA2472"/>
    <w:rsid w:val="00AA2899"/>
    <w:rsid w:val="00AA2955"/>
    <w:rsid w:val="00AA2DD3"/>
    <w:rsid w:val="00AA2EAF"/>
    <w:rsid w:val="00AA2FA1"/>
    <w:rsid w:val="00AA2FD3"/>
    <w:rsid w:val="00AA30E1"/>
    <w:rsid w:val="00AA3C48"/>
    <w:rsid w:val="00AA3D52"/>
    <w:rsid w:val="00AA3F87"/>
    <w:rsid w:val="00AA4121"/>
    <w:rsid w:val="00AA4174"/>
    <w:rsid w:val="00AA4640"/>
    <w:rsid w:val="00AA47EB"/>
    <w:rsid w:val="00AA4883"/>
    <w:rsid w:val="00AA4A0F"/>
    <w:rsid w:val="00AA4EBC"/>
    <w:rsid w:val="00AA51C1"/>
    <w:rsid w:val="00AA5AF9"/>
    <w:rsid w:val="00AA5B9A"/>
    <w:rsid w:val="00AA5CA9"/>
    <w:rsid w:val="00AA5E6A"/>
    <w:rsid w:val="00AA602F"/>
    <w:rsid w:val="00AA6156"/>
    <w:rsid w:val="00AA6357"/>
    <w:rsid w:val="00AA64C5"/>
    <w:rsid w:val="00AA6610"/>
    <w:rsid w:val="00AA6D95"/>
    <w:rsid w:val="00AA6DB6"/>
    <w:rsid w:val="00AA6F3E"/>
    <w:rsid w:val="00AA71A4"/>
    <w:rsid w:val="00AA7249"/>
    <w:rsid w:val="00AA7397"/>
    <w:rsid w:val="00AA73AC"/>
    <w:rsid w:val="00AA7658"/>
    <w:rsid w:val="00AA7742"/>
    <w:rsid w:val="00AA79A9"/>
    <w:rsid w:val="00AA7A00"/>
    <w:rsid w:val="00AA7B77"/>
    <w:rsid w:val="00AA7BEE"/>
    <w:rsid w:val="00AA7D08"/>
    <w:rsid w:val="00AA7E9B"/>
    <w:rsid w:val="00AB0011"/>
    <w:rsid w:val="00AB00C7"/>
    <w:rsid w:val="00AB00C8"/>
    <w:rsid w:val="00AB01DC"/>
    <w:rsid w:val="00AB041E"/>
    <w:rsid w:val="00AB06FF"/>
    <w:rsid w:val="00AB074C"/>
    <w:rsid w:val="00AB0ABC"/>
    <w:rsid w:val="00AB0CE9"/>
    <w:rsid w:val="00AB0DF8"/>
    <w:rsid w:val="00AB0EF0"/>
    <w:rsid w:val="00AB1443"/>
    <w:rsid w:val="00AB1722"/>
    <w:rsid w:val="00AB1837"/>
    <w:rsid w:val="00AB184B"/>
    <w:rsid w:val="00AB187A"/>
    <w:rsid w:val="00AB18D7"/>
    <w:rsid w:val="00AB1E41"/>
    <w:rsid w:val="00AB1EBC"/>
    <w:rsid w:val="00AB1ECE"/>
    <w:rsid w:val="00AB1FCA"/>
    <w:rsid w:val="00AB2006"/>
    <w:rsid w:val="00AB20FA"/>
    <w:rsid w:val="00AB2A9E"/>
    <w:rsid w:val="00AB2C88"/>
    <w:rsid w:val="00AB2DEF"/>
    <w:rsid w:val="00AB2F20"/>
    <w:rsid w:val="00AB2FB8"/>
    <w:rsid w:val="00AB2FCD"/>
    <w:rsid w:val="00AB3169"/>
    <w:rsid w:val="00AB336C"/>
    <w:rsid w:val="00AB3978"/>
    <w:rsid w:val="00AB3C3E"/>
    <w:rsid w:val="00AB3CE7"/>
    <w:rsid w:val="00AB42FC"/>
    <w:rsid w:val="00AB495F"/>
    <w:rsid w:val="00AB49C2"/>
    <w:rsid w:val="00AB4A49"/>
    <w:rsid w:val="00AB4BF9"/>
    <w:rsid w:val="00AB4CB9"/>
    <w:rsid w:val="00AB4DD1"/>
    <w:rsid w:val="00AB4E6A"/>
    <w:rsid w:val="00AB514A"/>
    <w:rsid w:val="00AB5312"/>
    <w:rsid w:val="00AB544F"/>
    <w:rsid w:val="00AB56E4"/>
    <w:rsid w:val="00AB57A2"/>
    <w:rsid w:val="00AB57BD"/>
    <w:rsid w:val="00AB5D8D"/>
    <w:rsid w:val="00AB5F97"/>
    <w:rsid w:val="00AB6240"/>
    <w:rsid w:val="00AB62F8"/>
    <w:rsid w:val="00AB6503"/>
    <w:rsid w:val="00AB65A9"/>
    <w:rsid w:val="00AB66FA"/>
    <w:rsid w:val="00AB68CF"/>
    <w:rsid w:val="00AB6AAD"/>
    <w:rsid w:val="00AB6C96"/>
    <w:rsid w:val="00AB6D21"/>
    <w:rsid w:val="00AB6D34"/>
    <w:rsid w:val="00AB6D64"/>
    <w:rsid w:val="00AB6EEF"/>
    <w:rsid w:val="00AB6F47"/>
    <w:rsid w:val="00AB6FAA"/>
    <w:rsid w:val="00AB7700"/>
    <w:rsid w:val="00AB7702"/>
    <w:rsid w:val="00AB7805"/>
    <w:rsid w:val="00AB78D8"/>
    <w:rsid w:val="00AB7A7D"/>
    <w:rsid w:val="00AB7D16"/>
    <w:rsid w:val="00AB7FF9"/>
    <w:rsid w:val="00AC0082"/>
    <w:rsid w:val="00AC0083"/>
    <w:rsid w:val="00AC01AD"/>
    <w:rsid w:val="00AC032C"/>
    <w:rsid w:val="00AC03C4"/>
    <w:rsid w:val="00AC0541"/>
    <w:rsid w:val="00AC05FE"/>
    <w:rsid w:val="00AC0BA0"/>
    <w:rsid w:val="00AC0D4B"/>
    <w:rsid w:val="00AC17FD"/>
    <w:rsid w:val="00AC1857"/>
    <w:rsid w:val="00AC1867"/>
    <w:rsid w:val="00AC1E12"/>
    <w:rsid w:val="00AC229E"/>
    <w:rsid w:val="00AC252B"/>
    <w:rsid w:val="00AC276C"/>
    <w:rsid w:val="00AC2801"/>
    <w:rsid w:val="00AC2B8D"/>
    <w:rsid w:val="00AC2D2E"/>
    <w:rsid w:val="00AC2E5C"/>
    <w:rsid w:val="00AC30F7"/>
    <w:rsid w:val="00AC31A7"/>
    <w:rsid w:val="00AC32A7"/>
    <w:rsid w:val="00AC33DB"/>
    <w:rsid w:val="00AC3519"/>
    <w:rsid w:val="00AC3AE1"/>
    <w:rsid w:val="00AC3B34"/>
    <w:rsid w:val="00AC3CF2"/>
    <w:rsid w:val="00AC3EDC"/>
    <w:rsid w:val="00AC4810"/>
    <w:rsid w:val="00AC4907"/>
    <w:rsid w:val="00AC49F5"/>
    <w:rsid w:val="00AC4C6B"/>
    <w:rsid w:val="00AC4CEE"/>
    <w:rsid w:val="00AC4D91"/>
    <w:rsid w:val="00AC4E6F"/>
    <w:rsid w:val="00AC504C"/>
    <w:rsid w:val="00AC50E3"/>
    <w:rsid w:val="00AC5127"/>
    <w:rsid w:val="00AC512D"/>
    <w:rsid w:val="00AC5530"/>
    <w:rsid w:val="00AC554F"/>
    <w:rsid w:val="00AC567A"/>
    <w:rsid w:val="00AC56D7"/>
    <w:rsid w:val="00AC5737"/>
    <w:rsid w:val="00AC5776"/>
    <w:rsid w:val="00AC59CF"/>
    <w:rsid w:val="00AC5B50"/>
    <w:rsid w:val="00AC5BF6"/>
    <w:rsid w:val="00AC5DB0"/>
    <w:rsid w:val="00AC5DC6"/>
    <w:rsid w:val="00AC6198"/>
    <w:rsid w:val="00AC6260"/>
    <w:rsid w:val="00AC6447"/>
    <w:rsid w:val="00AC6500"/>
    <w:rsid w:val="00AC6556"/>
    <w:rsid w:val="00AC6819"/>
    <w:rsid w:val="00AC6AC6"/>
    <w:rsid w:val="00AC6DF4"/>
    <w:rsid w:val="00AC6E3B"/>
    <w:rsid w:val="00AC6F25"/>
    <w:rsid w:val="00AC71C6"/>
    <w:rsid w:val="00AC71CC"/>
    <w:rsid w:val="00AC76A8"/>
    <w:rsid w:val="00AC7816"/>
    <w:rsid w:val="00AC7CF9"/>
    <w:rsid w:val="00AC7D76"/>
    <w:rsid w:val="00AC7E62"/>
    <w:rsid w:val="00AD01D0"/>
    <w:rsid w:val="00AD0495"/>
    <w:rsid w:val="00AD057E"/>
    <w:rsid w:val="00AD05EC"/>
    <w:rsid w:val="00AD068D"/>
    <w:rsid w:val="00AD0709"/>
    <w:rsid w:val="00AD07F5"/>
    <w:rsid w:val="00AD08FB"/>
    <w:rsid w:val="00AD0AFC"/>
    <w:rsid w:val="00AD0EDC"/>
    <w:rsid w:val="00AD1063"/>
    <w:rsid w:val="00AD1147"/>
    <w:rsid w:val="00AD11B0"/>
    <w:rsid w:val="00AD12C7"/>
    <w:rsid w:val="00AD145E"/>
    <w:rsid w:val="00AD15EA"/>
    <w:rsid w:val="00AD1867"/>
    <w:rsid w:val="00AD19AC"/>
    <w:rsid w:val="00AD1CA3"/>
    <w:rsid w:val="00AD1DC5"/>
    <w:rsid w:val="00AD211A"/>
    <w:rsid w:val="00AD2148"/>
    <w:rsid w:val="00AD2167"/>
    <w:rsid w:val="00AD2895"/>
    <w:rsid w:val="00AD2B41"/>
    <w:rsid w:val="00AD2BA7"/>
    <w:rsid w:val="00AD2C01"/>
    <w:rsid w:val="00AD2E34"/>
    <w:rsid w:val="00AD2E49"/>
    <w:rsid w:val="00AD32A6"/>
    <w:rsid w:val="00AD350F"/>
    <w:rsid w:val="00AD35BC"/>
    <w:rsid w:val="00AD396F"/>
    <w:rsid w:val="00AD3A54"/>
    <w:rsid w:val="00AD3B89"/>
    <w:rsid w:val="00AD3B8B"/>
    <w:rsid w:val="00AD3E70"/>
    <w:rsid w:val="00AD3ED5"/>
    <w:rsid w:val="00AD4613"/>
    <w:rsid w:val="00AD4652"/>
    <w:rsid w:val="00AD46A1"/>
    <w:rsid w:val="00AD4730"/>
    <w:rsid w:val="00AD481E"/>
    <w:rsid w:val="00AD4B88"/>
    <w:rsid w:val="00AD4C02"/>
    <w:rsid w:val="00AD4CFE"/>
    <w:rsid w:val="00AD51C9"/>
    <w:rsid w:val="00AD5386"/>
    <w:rsid w:val="00AD53BD"/>
    <w:rsid w:val="00AD542F"/>
    <w:rsid w:val="00AD54D1"/>
    <w:rsid w:val="00AD5816"/>
    <w:rsid w:val="00AD58F3"/>
    <w:rsid w:val="00AD5B78"/>
    <w:rsid w:val="00AD5EB5"/>
    <w:rsid w:val="00AD5EB8"/>
    <w:rsid w:val="00AD5EE8"/>
    <w:rsid w:val="00AD5FBD"/>
    <w:rsid w:val="00AD60AA"/>
    <w:rsid w:val="00AD62F2"/>
    <w:rsid w:val="00AD63A8"/>
    <w:rsid w:val="00AD64CD"/>
    <w:rsid w:val="00AD6515"/>
    <w:rsid w:val="00AD659D"/>
    <w:rsid w:val="00AD70E8"/>
    <w:rsid w:val="00AD769A"/>
    <w:rsid w:val="00AD7743"/>
    <w:rsid w:val="00AD7C60"/>
    <w:rsid w:val="00AD7F13"/>
    <w:rsid w:val="00AD7FFD"/>
    <w:rsid w:val="00AE058A"/>
    <w:rsid w:val="00AE07B4"/>
    <w:rsid w:val="00AE0EEC"/>
    <w:rsid w:val="00AE0F58"/>
    <w:rsid w:val="00AE102A"/>
    <w:rsid w:val="00AE10EF"/>
    <w:rsid w:val="00AE1902"/>
    <w:rsid w:val="00AE1D0D"/>
    <w:rsid w:val="00AE1DBF"/>
    <w:rsid w:val="00AE2A68"/>
    <w:rsid w:val="00AE3630"/>
    <w:rsid w:val="00AE36AC"/>
    <w:rsid w:val="00AE37B4"/>
    <w:rsid w:val="00AE3A06"/>
    <w:rsid w:val="00AE3A5A"/>
    <w:rsid w:val="00AE3BF6"/>
    <w:rsid w:val="00AE3DB7"/>
    <w:rsid w:val="00AE3E04"/>
    <w:rsid w:val="00AE40A9"/>
    <w:rsid w:val="00AE418A"/>
    <w:rsid w:val="00AE4195"/>
    <w:rsid w:val="00AE445E"/>
    <w:rsid w:val="00AE45AA"/>
    <w:rsid w:val="00AE4642"/>
    <w:rsid w:val="00AE4B42"/>
    <w:rsid w:val="00AE4BFE"/>
    <w:rsid w:val="00AE4D6B"/>
    <w:rsid w:val="00AE4E4D"/>
    <w:rsid w:val="00AE4F5E"/>
    <w:rsid w:val="00AE51D1"/>
    <w:rsid w:val="00AE5313"/>
    <w:rsid w:val="00AE573D"/>
    <w:rsid w:val="00AE5AC3"/>
    <w:rsid w:val="00AE5AE3"/>
    <w:rsid w:val="00AE5DB9"/>
    <w:rsid w:val="00AE613C"/>
    <w:rsid w:val="00AE63FE"/>
    <w:rsid w:val="00AE6421"/>
    <w:rsid w:val="00AE64D4"/>
    <w:rsid w:val="00AE64F3"/>
    <w:rsid w:val="00AE6725"/>
    <w:rsid w:val="00AE6963"/>
    <w:rsid w:val="00AE6AEA"/>
    <w:rsid w:val="00AE6CA8"/>
    <w:rsid w:val="00AE6D2A"/>
    <w:rsid w:val="00AE6F2D"/>
    <w:rsid w:val="00AE72A4"/>
    <w:rsid w:val="00AE76D1"/>
    <w:rsid w:val="00AE772D"/>
    <w:rsid w:val="00AE7A1A"/>
    <w:rsid w:val="00AE7CA7"/>
    <w:rsid w:val="00AE7F82"/>
    <w:rsid w:val="00AF049A"/>
    <w:rsid w:val="00AF04E2"/>
    <w:rsid w:val="00AF0671"/>
    <w:rsid w:val="00AF08BA"/>
    <w:rsid w:val="00AF0A48"/>
    <w:rsid w:val="00AF0D89"/>
    <w:rsid w:val="00AF0DA9"/>
    <w:rsid w:val="00AF0DF9"/>
    <w:rsid w:val="00AF0EA9"/>
    <w:rsid w:val="00AF0F48"/>
    <w:rsid w:val="00AF0FD2"/>
    <w:rsid w:val="00AF1286"/>
    <w:rsid w:val="00AF163F"/>
    <w:rsid w:val="00AF168B"/>
    <w:rsid w:val="00AF197A"/>
    <w:rsid w:val="00AF1A88"/>
    <w:rsid w:val="00AF1BF1"/>
    <w:rsid w:val="00AF1D6E"/>
    <w:rsid w:val="00AF1F22"/>
    <w:rsid w:val="00AF1F79"/>
    <w:rsid w:val="00AF2319"/>
    <w:rsid w:val="00AF231A"/>
    <w:rsid w:val="00AF2584"/>
    <w:rsid w:val="00AF2D84"/>
    <w:rsid w:val="00AF313E"/>
    <w:rsid w:val="00AF31A4"/>
    <w:rsid w:val="00AF32D5"/>
    <w:rsid w:val="00AF33ED"/>
    <w:rsid w:val="00AF3568"/>
    <w:rsid w:val="00AF38EF"/>
    <w:rsid w:val="00AF3980"/>
    <w:rsid w:val="00AF3989"/>
    <w:rsid w:val="00AF3ABB"/>
    <w:rsid w:val="00AF3BE0"/>
    <w:rsid w:val="00AF3F1C"/>
    <w:rsid w:val="00AF42AA"/>
    <w:rsid w:val="00AF45CF"/>
    <w:rsid w:val="00AF45E9"/>
    <w:rsid w:val="00AF475D"/>
    <w:rsid w:val="00AF4A6D"/>
    <w:rsid w:val="00AF4BE4"/>
    <w:rsid w:val="00AF4C16"/>
    <w:rsid w:val="00AF4DD9"/>
    <w:rsid w:val="00AF4E35"/>
    <w:rsid w:val="00AF522E"/>
    <w:rsid w:val="00AF582A"/>
    <w:rsid w:val="00AF59AC"/>
    <w:rsid w:val="00AF59E1"/>
    <w:rsid w:val="00AF5BDC"/>
    <w:rsid w:val="00AF5D4B"/>
    <w:rsid w:val="00AF5ED8"/>
    <w:rsid w:val="00AF5F44"/>
    <w:rsid w:val="00AF60CB"/>
    <w:rsid w:val="00AF6294"/>
    <w:rsid w:val="00AF62A5"/>
    <w:rsid w:val="00AF6326"/>
    <w:rsid w:val="00AF6412"/>
    <w:rsid w:val="00AF6801"/>
    <w:rsid w:val="00AF68CC"/>
    <w:rsid w:val="00AF69EA"/>
    <w:rsid w:val="00AF6B77"/>
    <w:rsid w:val="00AF6E37"/>
    <w:rsid w:val="00AF6F9F"/>
    <w:rsid w:val="00AF7016"/>
    <w:rsid w:val="00AF7178"/>
    <w:rsid w:val="00AF7274"/>
    <w:rsid w:val="00AF7383"/>
    <w:rsid w:val="00AF73C7"/>
    <w:rsid w:val="00AF7449"/>
    <w:rsid w:val="00AF75EA"/>
    <w:rsid w:val="00AF7703"/>
    <w:rsid w:val="00AF7CEA"/>
    <w:rsid w:val="00AF7D62"/>
    <w:rsid w:val="00AF7D68"/>
    <w:rsid w:val="00AF7EAB"/>
    <w:rsid w:val="00AF7F01"/>
    <w:rsid w:val="00B002A4"/>
    <w:rsid w:val="00B0031A"/>
    <w:rsid w:val="00B00345"/>
    <w:rsid w:val="00B00B0C"/>
    <w:rsid w:val="00B00C54"/>
    <w:rsid w:val="00B00DC9"/>
    <w:rsid w:val="00B00E30"/>
    <w:rsid w:val="00B00F27"/>
    <w:rsid w:val="00B00F81"/>
    <w:rsid w:val="00B01149"/>
    <w:rsid w:val="00B01170"/>
    <w:rsid w:val="00B0118E"/>
    <w:rsid w:val="00B01B40"/>
    <w:rsid w:val="00B01B71"/>
    <w:rsid w:val="00B01B80"/>
    <w:rsid w:val="00B01BBE"/>
    <w:rsid w:val="00B01C3D"/>
    <w:rsid w:val="00B01FD1"/>
    <w:rsid w:val="00B0230D"/>
    <w:rsid w:val="00B023B9"/>
    <w:rsid w:val="00B02447"/>
    <w:rsid w:val="00B02505"/>
    <w:rsid w:val="00B02A0C"/>
    <w:rsid w:val="00B02B57"/>
    <w:rsid w:val="00B02FD3"/>
    <w:rsid w:val="00B0328E"/>
    <w:rsid w:val="00B033F3"/>
    <w:rsid w:val="00B03BEA"/>
    <w:rsid w:val="00B03C1F"/>
    <w:rsid w:val="00B03EC2"/>
    <w:rsid w:val="00B040BA"/>
    <w:rsid w:val="00B042B7"/>
    <w:rsid w:val="00B04344"/>
    <w:rsid w:val="00B04490"/>
    <w:rsid w:val="00B04500"/>
    <w:rsid w:val="00B04653"/>
    <w:rsid w:val="00B0492E"/>
    <w:rsid w:val="00B04B62"/>
    <w:rsid w:val="00B04CB6"/>
    <w:rsid w:val="00B04D64"/>
    <w:rsid w:val="00B0522C"/>
    <w:rsid w:val="00B0527B"/>
    <w:rsid w:val="00B0529B"/>
    <w:rsid w:val="00B0537D"/>
    <w:rsid w:val="00B0548A"/>
    <w:rsid w:val="00B0557D"/>
    <w:rsid w:val="00B055CC"/>
    <w:rsid w:val="00B0560C"/>
    <w:rsid w:val="00B05A6C"/>
    <w:rsid w:val="00B05CD6"/>
    <w:rsid w:val="00B05E21"/>
    <w:rsid w:val="00B05FD4"/>
    <w:rsid w:val="00B06046"/>
    <w:rsid w:val="00B0613C"/>
    <w:rsid w:val="00B0658A"/>
    <w:rsid w:val="00B067B2"/>
    <w:rsid w:val="00B0695A"/>
    <w:rsid w:val="00B06CE8"/>
    <w:rsid w:val="00B06D18"/>
    <w:rsid w:val="00B06E68"/>
    <w:rsid w:val="00B06F73"/>
    <w:rsid w:val="00B07272"/>
    <w:rsid w:val="00B07553"/>
    <w:rsid w:val="00B078B2"/>
    <w:rsid w:val="00B07935"/>
    <w:rsid w:val="00B07A2F"/>
    <w:rsid w:val="00B07AEC"/>
    <w:rsid w:val="00B07BEF"/>
    <w:rsid w:val="00B07CFB"/>
    <w:rsid w:val="00B0CF91"/>
    <w:rsid w:val="00B0D56A"/>
    <w:rsid w:val="00B0DE6F"/>
    <w:rsid w:val="00B100BC"/>
    <w:rsid w:val="00B10316"/>
    <w:rsid w:val="00B1055E"/>
    <w:rsid w:val="00B10646"/>
    <w:rsid w:val="00B10750"/>
    <w:rsid w:val="00B1080A"/>
    <w:rsid w:val="00B1082A"/>
    <w:rsid w:val="00B10BA3"/>
    <w:rsid w:val="00B10CC2"/>
    <w:rsid w:val="00B10E0C"/>
    <w:rsid w:val="00B111AE"/>
    <w:rsid w:val="00B11216"/>
    <w:rsid w:val="00B1123B"/>
    <w:rsid w:val="00B11424"/>
    <w:rsid w:val="00B11456"/>
    <w:rsid w:val="00B116A3"/>
    <w:rsid w:val="00B1171D"/>
    <w:rsid w:val="00B119CD"/>
    <w:rsid w:val="00B11C84"/>
    <w:rsid w:val="00B11D89"/>
    <w:rsid w:val="00B11EA0"/>
    <w:rsid w:val="00B11FC6"/>
    <w:rsid w:val="00B121DC"/>
    <w:rsid w:val="00B1235F"/>
    <w:rsid w:val="00B12501"/>
    <w:rsid w:val="00B127D9"/>
    <w:rsid w:val="00B12802"/>
    <w:rsid w:val="00B12A91"/>
    <w:rsid w:val="00B12BFF"/>
    <w:rsid w:val="00B12CF0"/>
    <w:rsid w:val="00B12F4A"/>
    <w:rsid w:val="00B12FB9"/>
    <w:rsid w:val="00B1305F"/>
    <w:rsid w:val="00B132AA"/>
    <w:rsid w:val="00B13338"/>
    <w:rsid w:val="00B1339D"/>
    <w:rsid w:val="00B13515"/>
    <w:rsid w:val="00B136CC"/>
    <w:rsid w:val="00B1374F"/>
    <w:rsid w:val="00B1382F"/>
    <w:rsid w:val="00B13906"/>
    <w:rsid w:val="00B13FC5"/>
    <w:rsid w:val="00B14327"/>
    <w:rsid w:val="00B143B9"/>
    <w:rsid w:val="00B148D3"/>
    <w:rsid w:val="00B14BC7"/>
    <w:rsid w:val="00B14DC3"/>
    <w:rsid w:val="00B151F9"/>
    <w:rsid w:val="00B1542E"/>
    <w:rsid w:val="00B15489"/>
    <w:rsid w:val="00B1567D"/>
    <w:rsid w:val="00B15792"/>
    <w:rsid w:val="00B15A46"/>
    <w:rsid w:val="00B15A8B"/>
    <w:rsid w:val="00B15DBF"/>
    <w:rsid w:val="00B15EA5"/>
    <w:rsid w:val="00B162B6"/>
    <w:rsid w:val="00B16597"/>
    <w:rsid w:val="00B16679"/>
    <w:rsid w:val="00B167AE"/>
    <w:rsid w:val="00B168E9"/>
    <w:rsid w:val="00B16E7E"/>
    <w:rsid w:val="00B16E95"/>
    <w:rsid w:val="00B1735D"/>
    <w:rsid w:val="00B174B3"/>
    <w:rsid w:val="00B1762E"/>
    <w:rsid w:val="00B17FB8"/>
    <w:rsid w:val="00B17FDB"/>
    <w:rsid w:val="00B200F2"/>
    <w:rsid w:val="00B200F8"/>
    <w:rsid w:val="00B20691"/>
    <w:rsid w:val="00B20941"/>
    <w:rsid w:val="00B21009"/>
    <w:rsid w:val="00B210A9"/>
    <w:rsid w:val="00B2138A"/>
    <w:rsid w:val="00B2189C"/>
    <w:rsid w:val="00B219CA"/>
    <w:rsid w:val="00B219E2"/>
    <w:rsid w:val="00B21BB1"/>
    <w:rsid w:val="00B21E71"/>
    <w:rsid w:val="00B22005"/>
    <w:rsid w:val="00B22352"/>
    <w:rsid w:val="00B223C1"/>
    <w:rsid w:val="00B225C3"/>
    <w:rsid w:val="00B225D0"/>
    <w:rsid w:val="00B22866"/>
    <w:rsid w:val="00B22A72"/>
    <w:rsid w:val="00B22AF0"/>
    <w:rsid w:val="00B22AFC"/>
    <w:rsid w:val="00B22B67"/>
    <w:rsid w:val="00B22BBD"/>
    <w:rsid w:val="00B22E4C"/>
    <w:rsid w:val="00B2302B"/>
    <w:rsid w:val="00B2312A"/>
    <w:rsid w:val="00B2345F"/>
    <w:rsid w:val="00B235C9"/>
    <w:rsid w:val="00B23714"/>
    <w:rsid w:val="00B2384B"/>
    <w:rsid w:val="00B23AF6"/>
    <w:rsid w:val="00B23D1C"/>
    <w:rsid w:val="00B23F30"/>
    <w:rsid w:val="00B24018"/>
    <w:rsid w:val="00B241A7"/>
    <w:rsid w:val="00B241D4"/>
    <w:rsid w:val="00B2445C"/>
    <w:rsid w:val="00B24562"/>
    <w:rsid w:val="00B245EF"/>
    <w:rsid w:val="00B24603"/>
    <w:rsid w:val="00B24895"/>
    <w:rsid w:val="00B24929"/>
    <w:rsid w:val="00B24999"/>
    <w:rsid w:val="00B24B8C"/>
    <w:rsid w:val="00B24C68"/>
    <w:rsid w:val="00B24CB5"/>
    <w:rsid w:val="00B24D2D"/>
    <w:rsid w:val="00B24DD7"/>
    <w:rsid w:val="00B24E22"/>
    <w:rsid w:val="00B24FBB"/>
    <w:rsid w:val="00B25161"/>
    <w:rsid w:val="00B25189"/>
    <w:rsid w:val="00B25312"/>
    <w:rsid w:val="00B253B4"/>
    <w:rsid w:val="00B257D8"/>
    <w:rsid w:val="00B259DF"/>
    <w:rsid w:val="00B25C2B"/>
    <w:rsid w:val="00B25D68"/>
    <w:rsid w:val="00B260BF"/>
    <w:rsid w:val="00B264EB"/>
    <w:rsid w:val="00B265E0"/>
    <w:rsid w:val="00B2677B"/>
    <w:rsid w:val="00B26E1D"/>
    <w:rsid w:val="00B26EB0"/>
    <w:rsid w:val="00B26F1C"/>
    <w:rsid w:val="00B26FC2"/>
    <w:rsid w:val="00B271F3"/>
    <w:rsid w:val="00B27400"/>
    <w:rsid w:val="00B2757B"/>
    <w:rsid w:val="00B2777B"/>
    <w:rsid w:val="00B27C05"/>
    <w:rsid w:val="00B27E15"/>
    <w:rsid w:val="00B30120"/>
    <w:rsid w:val="00B3018B"/>
    <w:rsid w:val="00B302B3"/>
    <w:rsid w:val="00B306F7"/>
    <w:rsid w:val="00B3070E"/>
    <w:rsid w:val="00B3082A"/>
    <w:rsid w:val="00B30AD6"/>
    <w:rsid w:val="00B30AF3"/>
    <w:rsid w:val="00B30BE5"/>
    <w:rsid w:val="00B30C79"/>
    <w:rsid w:val="00B30D73"/>
    <w:rsid w:val="00B30F10"/>
    <w:rsid w:val="00B30F4D"/>
    <w:rsid w:val="00B30FCE"/>
    <w:rsid w:val="00B31022"/>
    <w:rsid w:val="00B312F3"/>
    <w:rsid w:val="00B315D6"/>
    <w:rsid w:val="00B31818"/>
    <w:rsid w:val="00B31E3C"/>
    <w:rsid w:val="00B31F99"/>
    <w:rsid w:val="00B31FF0"/>
    <w:rsid w:val="00B320EA"/>
    <w:rsid w:val="00B32203"/>
    <w:rsid w:val="00B32521"/>
    <w:rsid w:val="00B32562"/>
    <w:rsid w:val="00B329D7"/>
    <w:rsid w:val="00B32CFE"/>
    <w:rsid w:val="00B32DB6"/>
    <w:rsid w:val="00B32EB3"/>
    <w:rsid w:val="00B33225"/>
    <w:rsid w:val="00B3329F"/>
    <w:rsid w:val="00B33560"/>
    <w:rsid w:val="00B33914"/>
    <w:rsid w:val="00B33C62"/>
    <w:rsid w:val="00B33D16"/>
    <w:rsid w:val="00B33D70"/>
    <w:rsid w:val="00B33DBC"/>
    <w:rsid w:val="00B33DBE"/>
    <w:rsid w:val="00B34216"/>
    <w:rsid w:val="00B34264"/>
    <w:rsid w:val="00B34506"/>
    <w:rsid w:val="00B34925"/>
    <w:rsid w:val="00B34C7F"/>
    <w:rsid w:val="00B34D12"/>
    <w:rsid w:val="00B34DAD"/>
    <w:rsid w:val="00B34FDE"/>
    <w:rsid w:val="00B35272"/>
    <w:rsid w:val="00B35335"/>
    <w:rsid w:val="00B355F1"/>
    <w:rsid w:val="00B356AC"/>
    <w:rsid w:val="00B35D2B"/>
    <w:rsid w:val="00B35F6B"/>
    <w:rsid w:val="00B35FC2"/>
    <w:rsid w:val="00B360D1"/>
    <w:rsid w:val="00B36598"/>
    <w:rsid w:val="00B3659B"/>
    <w:rsid w:val="00B3667D"/>
    <w:rsid w:val="00B367E2"/>
    <w:rsid w:val="00B36AFE"/>
    <w:rsid w:val="00B36C69"/>
    <w:rsid w:val="00B36D3A"/>
    <w:rsid w:val="00B36E8F"/>
    <w:rsid w:val="00B37236"/>
    <w:rsid w:val="00B3734F"/>
    <w:rsid w:val="00B376E2"/>
    <w:rsid w:val="00B37ADC"/>
    <w:rsid w:val="00B40425"/>
    <w:rsid w:val="00B40704"/>
    <w:rsid w:val="00B4078C"/>
    <w:rsid w:val="00B407C3"/>
    <w:rsid w:val="00B407C8"/>
    <w:rsid w:val="00B4132A"/>
    <w:rsid w:val="00B4149F"/>
    <w:rsid w:val="00B4155B"/>
    <w:rsid w:val="00B4162D"/>
    <w:rsid w:val="00B417E0"/>
    <w:rsid w:val="00B41AB6"/>
    <w:rsid w:val="00B420A9"/>
    <w:rsid w:val="00B4220C"/>
    <w:rsid w:val="00B42557"/>
    <w:rsid w:val="00B42629"/>
    <w:rsid w:val="00B42ECF"/>
    <w:rsid w:val="00B42FA1"/>
    <w:rsid w:val="00B43121"/>
    <w:rsid w:val="00B43172"/>
    <w:rsid w:val="00B43384"/>
    <w:rsid w:val="00B433B7"/>
    <w:rsid w:val="00B437AC"/>
    <w:rsid w:val="00B43961"/>
    <w:rsid w:val="00B43B1C"/>
    <w:rsid w:val="00B43C39"/>
    <w:rsid w:val="00B441C7"/>
    <w:rsid w:val="00B442F2"/>
    <w:rsid w:val="00B44550"/>
    <w:rsid w:val="00B446C2"/>
    <w:rsid w:val="00B44B16"/>
    <w:rsid w:val="00B44BCA"/>
    <w:rsid w:val="00B44D38"/>
    <w:rsid w:val="00B44EEF"/>
    <w:rsid w:val="00B44F37"/>
    <w:rsid w:val="00B450AB"/>
    <w:rsid w:val="00B45184"/>
    <w:rsid w:val="00B452EE"/>
    <w:rsid w:val="00B4542F"/>
    <w:rsid w:val="00B454BD"/>
    <w:rsid w:val="00B454EA"/>
    <w:rsid w:val="00B45761"/>
    <w:rsid w:val="00B45764"/>
    <w:rsid w:val="00B45852"/>
    <w:rsid w:val="00B45E22"/>
    <w:rsid w:val="00B45F6F"/>
    <w:rsid w:val="00B46087"/>
    <w:rsid w:val="00B46389"/>
    <w:rsid w:val="00B4656A"/>
    <w:rsid w:val="00B467FA"/>
    <w:rsid w:val="00B46BE8"/>
    <w:rsid w:val="00B46E77"/>
    <w:rsid w:val="00B46F06"/>
    <w:rsid w:val="00B46F41"/>
    <w:rsid w:val="00B4708C"/>
    <w:rsid w:val="00B470ED"/>
    <w:rsid w:val="00B47134"/>
    <w:rsid w:val="00B47140"/>
    <w:rsid w:val="00B471DF"/>
    <w:rsid w:val="00B47367"/>
    <w:rsid w:val="00B47631"/>
    <w:rsid w:val="00B477B7"/>
    <w:rsid w:val="00B47B0C"/>
    <w:rsid w:val="00B47C6C"/>
    <w:rsid w:val="00B47F77"/>
    <w:rsid w:val="00B47F8F"/>
    <w:rsid w:val="00B4F734"/>
    <w:rsid w:val="00B50231"/>
    <w:rsid w:val="00B5073F"/>
    <w:rsid w:val="00B50745"/>
    <w:rsid w:val="00B50BD5"/>
    <w:rsid w:val="00B50C3D"/>
    <w:rsid w:val="00B50EEA"/>
    <w:rsid w:val="00B5119A"/>
    <w:rsid w:val="00B51226"/>
    <w:rsid w:val="00B5128D"/>
    <w:rsid w:val="00B51714"/>
    <w:rsid w:val="00B5190C"/>
    <w:rsid w:val="00B5195D"/>
    <w:rsid w:val="00B51E42"/>
    <w:rsid w:val="00B51FBE"/>
    <w:rsid w:val="00B52695"/>
    <w:rsid w:val="00B52962"/>
    <w:rsid w:val="00B52AA9"/>
    <w:rsid w:val="00B52C7E"/>
    <w:rsid w:val="00B52D11"/>
    <w:rsid w:val="00B52D99"/>
    <w:rsid w:val="00B52DC9"/>
    <w:rsid w:val="00B52F85"/>
    <w:rsid w:val="00B537E5"/>
    <w:rsid w:val="00B53AC2"/>
    <w:rsid w:val="00B53DFC"/>
    <w:rsid w:val="00B54187"/>
    <w:rsid w:val="00B541B0"/>
    <w:rsid w:val="00B541C1"/>
    <w:rsid w:val="00B54238"/>
    <w:rsid w:val="00B542C1"/>
    <w:rsid w:val="00B54456"/>
    <w:rsid w:val="00B545CB"/>
    <w:rsid w:val="00B54659"/>
    <w:rsid w:val="00B550E0"/>
    <w:rsid w:val="00B550EC"/>
    <w:rsid w:val="00B55351"/>
    <w:rsid w:val="00B55489"/>
    <w:rsid w:val="00B554B9"/>
    <w:rsid w:val="00B55725"/>
    <w:rsid w:val="00B557CF"/>
    <w:rsid w:val="00B55833"/>
    <w:rsid w:val="00B55887"/>
    <w:rsid w:val="00B55B96"/>
    <w:rsid w:val="00B55C69"/>
    <w:rsid w:val="00B55CAC"/>
    <w:rsid w:val="00B55D43"/>
    <w:rsid w:val="00B55DA7"/>
    <w:rsid w:val="00B55E48"/>
    <w:rsid w:val="00B56195"/>
    <w:rsid w:val="00B5669D"/>
    <w:rsid w:val="00B56C47"/>
    <w:rsid w:val="00B56D6A"/>
    <w:rsid w:val="00B5713C"/>
    <w:rsid w:val="00B57418"/>
    <w:rsid w:val="00B57707"/>
    <w:rsid w:val="00B578A3"/>
    <w:rsid w:val="00B57973"/>
    <w:rsid w:val="00B57997"/>
    <w:rsid w:val="00B57F16"/>
    <w:rsid w:val="00B6075F"/>
    <w:rsid w:val="00B609E7"/>
    <w:rsid w:val="00B60B11"/>
    <w:rsid w:val="00B60B5B"/>
    <w:rsid w:val="00B60E66"/>
    <w:rsid w:val="00B610B9"/>
    <w:rsid w:val="00B612D3"/>
    <w:rsid w:val="00B613ED"/>
    <w:rsid w:val="00B613FE"/>
    <w:rsid w:val="00B61824"/>
    <w:rsid w:val="00B6189E"/>
    <w:rsid w:val="00B61A49"/>
    <w:rsid w:val="00B62186"/>
    <w:rsid w:val="00B621A6"/>
    <w:rsid w:val="00B62298"/>
    <w:rsid w:val="00B62360"/>
    <w:rsid w:val="00B62437"/>
    <w:rsid w:val="00B62A8E"/>
    <w:rsid w:val="00B62ACE"/>
    <w:rsid w:val="00B62EF5"/>
    <w:rsid w:val="00B62F5C"/>
    <w:rsid w:val="00B63385"/>
    <w:rsid w:val="00B63460"/>
    <w:rsid w:val="00B634BC"/>
    <w:rsid w:val="00B63736"/>
    <w:rsid w:val="00B63A51"/>
    <w:rsid w:val="00B63AF1"/>
    <w:rsid w:val="00B63BD5"/>
    <w:rsid w:val="00B63D0D"/>
    <w:rsid w:val="00B63E47"/>
    <w:rsid w:val="00B6457B"/>
    <w:rsid w:val="00B64919"/>
    <w:rsid w:val="00B64C95"/>
    <w:rsid w:val="00B64F6D"/>
    <w:rsid w:val="00B6502A"/>
    <w:rsid w:val="00B65C65"/>
    <w:rsid w:val="00B65E42"/>
    <w:rsid w:val="00B65FF2"/>
    <w:rsid w:val="00B662A7"/>
    <w:rsid w:val="00B6650F"/>
    <w:rsid w:val="00B6665E"/>
    <w:rsid w:val="00B667F6"/>
    <w:rsid w:val="00B6696E"/>
    <w:rsid w:val="00B66A0E"/>
    <w:rsid w:val="00B66C04"/>
    <w:rsid w:val="00B66C37"/>
    <w:rsid w:val="00B66CC9"/>
    <w:rsid w:val="00B66E4D"/>
    <w:rsid w:val="00B67119"/>
    <w:rsid w:val="00B671D9"/>
    <w:rsid w:val="00B672C3"/>
    <w:rsid w:val="00B674A7"/>
    <w:rsid w:val="00B6775E"/>
    <w:rsid w:val="00B67944"/>
    <w:rsid w:val="00B67BC9"/>
    <w:rsid w:val="00B70272"/>
    <w:rsid w:val="00B7031D"/>
    <w:rsid w:val="00B703B7"/>
    <w:rsid w:val="00B70417"/>
    <w:rsid w:val="00B70496"/>
    <w:rsid w:val="00B70522"/>
    <w:rsid w:val="00B70679"/>
    <w:rsid w:val="00B70923"/>
    <w:rsid w:val="00B7097A"/>
    <w:rsid w:val="00B70F1B"/>
    <w:rsid w:val="00B70F26"/>
    <w:rsid w:val="00B70FB4"/>
    <w:rsid w:val="00B711EB"/>
    <w:rsid w:val="00B71229"/>
    <w:rsid w:val="00B713F7"/>
    <w:rsid w:val="00B71675"/>
    <w:rsid w:val="00B71921"/>
    <w:rsid w:val="00B71AC2"/>
    <w:rsid w:val="00B71B62"/>
    <w:rsid w:val="00B71B88"/>
    <w:rsid w:val="00B71E84"/>
    <w:rsid w:val="00B71EA8"/>
    <w:rsid w:val="00B71EFC"/>
    <w:rsid w:val="00B7206F"/>
    <w:rsid w:val="00B72177"/>
    <w:rsid w:val="00B721CA"/>
    <w:rsid w:val="00B7274B"/>
    <w:rsid w:val="00B7286C"/>
    <w:rsid w:val="00B72880"/>
    <w:rsid w:val="00B72889"/>
    <w:rsid w:val="00B72A02"/>
    <w:rsid w:val="00B72B27"/>
    <w:rsid w:val="00B72F81"/>
    <w:rsid w:val="00B732DE"/>
    <w:rsid w:val="00B733D8"/>
    <w:rsid w:val="00B733FA"/>
    <w:rsid w:val="00B73755"/>
    <w:rsid w:val="00B7399C"/>
    <w:rsid w:val="00B73A13"/>
    <w:rsid w:val="00B73A8D"/>
    <w:rsid w:val="00B73AE0"/>
    <w:rsid w:val="00B73C99"/>
    <w:rsid w:val="00B73CAF"/>
    <w:rsid w:val="00B74123"/>
    <w:rsid w:val="00B74559"/>
    <w:rsid w:val="00B74724"/>
    <w:rsid w:val="00B74797"/>
    <w:rsid w:val="00B74C49"/>
    <w:rsid w:val="00B74FA1"/>
    <w:rsid w:val="00B750F5"/>
    <w:rsid w:val="00B75218"/>
    <w:rsid w:val="00B754ED"/>
    <w:rsid w:val="00B757D9"/>
    <w:rsid w:val="00B75821"/>
    <w:rsid w:val="00B759E0"/>
    <w:rsid w:val="00B75BC0"/>
    <w:rsid w:val="00B75BC7"/>
    <w:rsid w:val="00B75E34"/>
    <w:rsid w:val="00B75E78"/>
    <w:rsid w:val="00B75FCD"/>
    <w:rsid w:val="00B7636B"/>
    <w:rsid w:val="00B76492"/>
    <w:rsid w:val="00B76499"/>
    <w:rsid w:val="00B76569"/>
    <w:rsid w:val="00B7680E"/>
    <w:rsid w:val="00B76822"/>
    <w:rsid w:val="00B76918"/>
    <w:rsid w:val="00B76923"/>
    <w:rsid w:val="00B76992"/>
    <w:rsid w:val="00B769A2"/>
    <w:rsid w:val="00B7719A"/>
    <w:rsid w:val="00B771F2"/>
    <w:rsid w:val="00B772CA"/>
    <w:rsid w:val="00B77535"/>
    <w:rsid w:val="00B7755B"/>
    <w:rsid w:val="00B776BC"/>
    <w:rsid w:val="00B7796D"/>
    <w:rsid w:val="00B77B6D"/>
    <w:rsid w:val="00B77D23"/>
    <w:rsid w:val="00B77DC4"/>
    <w:rsid w:val="00B77DCC"/>
    <w:rsid w:val="00B77E90"/>
    <w:rsid w:val="00B77FAD"/>
    <w:rsid w:val="00B800CA"/>
    <w:rsid w:val="00B80137"/>
    <w:rsid w:val="00B8020C"/>
    <w:rsid w:val="00B803D0"/>
    <w:rsid w:val="00B803F9"/>
    <w:rsid w:val="00B80437"/>
    <w:rsid w:val="00B80B83"/>
    <w:rsid w:val="00B80BE0"/>
    <w:rsid w:val="00B80C15"/>
    <w:rsid w:val="00B80E7F"/>
    <w:rsid w:val="00B80EE6"/>
    <w:rsid w:val="00B813B4"/>
    <w:rsid w:val="00B813CC"/>
    <w:rsid w:val="00B81453"/>
    <w:rsid w:val="00B814B7"/>
    <w:rsid w:val="00B814E3"/>
    <w:rsid w:val="00B81619"/>
    <w:rsid w:val="00B81C61"/>
    <w:rsid w:val="00B81D63"/>
    <w:rsid w:val="00B81F01"/>
    <w:rsid w:val="00B8201F"/>
    <w:rsid w:val="00B82062"/>
    <w:rsid w:val="00B82084"/>
    <w:rsid w:val="00B820EF"/>
    <w:rsid w:val="00B82171"/>
    <w:rsid w:val="00B8219E"/>
    <w:rsid w:val="00B82347"/>
    <w:rsid w:val="00B8254D"/>
    <w:rsid w:val="00B82634"/>
    <w:rsid w:val="00B82694"/>
    <w:rsid w:val="00B82756"/>
    <w:rsid w:val="00B8291C"/>
    <w:rsid w:val="00B829C1"/>
    <w:rsid w:val="00B82A1A"/>
    <w:rsid w:val="00B82A4B"/>
    <w:rsid w:val="00B83132"/>
    <w:rsid w:val="00B8324B"/>
    <w:rsid w:val="00B832DD"/>
    <w:rsid w:val="00B83300"/>
    <w:rsid w:val="00B83B96"/>
    <w:rsid w:val="00B83F58"/>
    <w:rsid w:val="00B83F75"/>
    <w:rsid w:val="00B83FA8"/>
    <w:rsid w:val="00B840A4"/>
    <w:rsid w:val="00B84302"/>
    <w:rsid w:val="00B84403"/>
    <w:rsid w:val="00B84606"/>
    <w:rsid w:val="00B84653"/>
    <w:rsid w:val="00B846DD"/>
    <w:rsid w:val="00B8486F"/>
    <w:rsid w:val="00B84A13"/>
    <w:rsid w:val="00B84C0B"/>
    <w:rsid w:val="00B84EA1"/>
    <w:rsid w:val="00B84FD4"/>
    <w:rsid w:val="00B8560C"/>
    <w:rsid w:val="00B85BF0"/>
    <w:rsid w:val="00B86161"/>
    <w:rsid w:val="00B863A0"/>
    <w:rsid w:val="00B864F3"/>
    <w:rsid w:val="00B86961"/>
    <w:rsid w:val="00B869CD"/>
    <w:rsid w:val="00B86A24"/>
    <w:rsid w:val="00B86D0C"/>
    <w:rsid w:val="00B86EF9"/>
    <w:rsid w:val="00B86FEA"/>
    <w:rsid w:val="00B870F3"/>
    <w:rsid w:val="00B8714E"/>
    <w:rsid w:val="00B8715B"/>
    <w:rsid w:val="00B87687"/>
    <w:rsid w:val="00B8774A"/>
    <w:rsid w:val="00B8791A"/>
    <w:rsid w:val="00B87C66"/>
    <w:rsid w:val="00B87CEE"/>
    <w:rsid w:val="00B87D07"/>
    <w:rsid w:val="00B87F28"/>
    <w:rsid w:val="00B87F91"/>
    <w:rsid w:val="00B90076"/>
    <w:rsid w:val="00B90156"/>
    <w:rsid w:val="00B9015A"/>
    <w:rsid w:val="00B903AB"/>
    <w:rsid w:val="00B904E4"/>
    <w:rsid w:val="00B90651"/>
    <w:rsid w:val="00B9075D"/>
    <w:rsid w:val="00B9079B"/>
    <w:rsid w:val="00B90AA7"/>
    <w:rsid w:val="00B90B2F"/>
    <w:rsid w:val="00B90B37"/>
    <w:rsid w:val="00B90BD3"/>
    <w:rsid w:val="00B90C62"/>
    <w:rsid w:val="00B90DC6"/>
    <w:rsid w:val="00B90EE8"/>
    <w:rsid w:val="00B90F18"/>
    <w:rsid w:val="00B90F40"/>
    <w:rsid w:val="00B90FD6"/>
    <w:rsid w:val="00B9115D"/>
    <w:rsid w:val="00B91337"/>
    <w:rsid w:val="00B914E9"/>
    <w:rsid w:val="00B91E75"/>
    <w:rsid w:val="00B92024"/>
    <w:rsid w:val="00B92182"/>
    <w:rsid w:val="00B92725"/>
    <w:rsid w:val="00B9277C"/>
    <w:rsid w:val="00B9277F"/>
    <w:rsid w:val="00B92849"/>
    <w:rsid w:val="00B928D3"/>
    <w:rsid w:val="00B92A1D"/>
    <w:rsid w:val="00B92FB3"/>
    <w:rsid w:val="00B93119"/>
    <w:rsid w:val="00B931F2"/>
    <w:rsid w:val="00B93491"/>
    <w:rsid w:val="00B934A4"/>
    <w:rsid w:val="00B9358A"/>
    <w:rsid w:val="00B9362D"/>
    <w:rsid w:val="00B937F4"/>
    <w:rsid w:val="00B93858"/>
    <w:rsid w:val="00B9385B"/>
    <w:rsid w:val="00B93988"/>
    <w:rsid w:val="00B93CCD"/>
    <w:rsid w:val="00B93E84"/>
    <w:rsid w:val="00B9401D"/>
    <w:rsid w:val="00B94215"/>
    <w:rsid w:val="00B94322"/>
    <w:rsid w:val="00B9437A"/>
    <w:rsid w:val="00B94820"/>
    <w:rsid w:val="00B94D03"/>
    <w:rsid w:val="00B94E83"/>
    <w:rsid w:val="00B95266"/>
    <w:rsid w:val="00B958AD"/>
    <w:rsid w:val="00B959C8"/>
    <w:rsid w:val="00B95AC2"/>
    <w:rsid w:val="00B95B21"/>
    <w:rsid w:val="00B95F15"/>
    <w:rsid w:val="00B962CC"/>
    <w:rsid w:val="00B96346"/>
    <w:rsid w:val="00B96358"/>
    <w:rsid w:val="00B96846"/>
    <w:rsid w:val="00B96A11"/>
    <w:rsid w:val="00B96CEE"/>
    <w:rsid w:val="00B96E56"/>
    <w:rsid w:val="00B9700B"/>
    <w:rsid w:val="00B97168"/>
    <w:rsid w:val="00B9723A"/>
    <w:rsid w:val="00B9735C"/>
    <w:rsid w:val="00B973E4"/>
    <w:rsid w:val="00B974C2"/>
    <w:rsid w:val="00B9762B"/>
    <w:rsid w:val="00B97695"/>
    <w:rsid w:val="00B9770C"/>
    <w:rsid w:val="00B9772D"/>
    <w:rsid w:val="00B97836"/>
    <w:rsid w:val="00B97C06"/>
    <w:rsid w:val="00B97C79"/>
    <w:rsid w:val="00BA01AB"/>
    <w:rsid w:val="00BA065D"/>
    <w:rsid w:val="00BA06AA"/>
    <w:rsid w:val="00BA0766"/>
    <w:rsid w:val="00BA0985"/>
    <w:rsid w:val="00BA0A76"/>
    <w:rsid w:val="00BA0B00"/>
    <w:rsid w:val="00BA0B36"/>
    <w:rsid w:val="00BA0DDE"/>
    <w:rsid w:val="00BA0F6C"/>
    <w:rsid w:val="00BA15B9"/>
    <w:rsid w:val="00BA1721"/>
    <w:rsid w:val="00BA1910"/>
    <w:rsid w:val="00BA1B4C"/>
    <w:rsid w:val="00BA1DCD"/>
    <w:rsid w:val="00BA20A0"/>
    <w:rsid w:val="00BA20B9"/>
    <w:rsid w:val="00BA222C"/>
    <w:rsid w:val="00BA2375"/>
    <w:rsid w:val="00BA23D4"/>
    <w:rsid w:val="00BA2589"/>
    <w:rsid w:val="00BA295E"/>
    <w:rsid w:val="00BA29E4"/>
    <w:rsid w:val="00BA2C27"/>
    <w:rsid w:val="00BA2E13"/>
    <w:rsid w:val="00BA2F5A"/>
    <w:rsid w:val="00BA2FC7"/>
    <w:rsid w:val="00BA312E"/>
    <w:rsid w:val="00BA3287"/>
    <w:rsid w:val="00BA3303"/>
    <w:rsid w:val="00BA3306"/>
    <w:rsid w:val="00BA35FE"/>
    <w:rsid w:val="00BA3690"/>
    <w:rsid w:val="00BA3723"/>
    <w:rsid w:val="00BA3758"/>
    <w:rsid w:val="00BA3966"/>
    <w:rsid w:val="00BA3A80"/>
    <w:rsid w:val="00BA3B0E"/>
    <w:rsid w:val="00BA3BEC"/>
    <w:rsid w:val="00BA3D70"/>
    <w:rsid w:val="00BA4240"/>
    <w:rsid w:val="00BA43D9"/>
    <w:rsid w:val="00BA43DD"/>
    <w:rsid w:val="00BA43EA"/>
    <w:rsid w:val="00BA465C"/>
    <w:rsid w:val="00BA4764"/>
    <w:rsid w:val="00BA4940"/>
    <w:rsid w:val="00BA4D31"/>
    <w:rsid w:val="00BA4D8C"/>
    <w:rsid w:val="00BA52D3"/>
    <w:rsid w:val="00BA5431"/>
    <w:rsid w:val="00BA5724"/>
    <w:rsid w:val="00BA586E"/>
    <w:rsid w:val="00BA5886"/>
    <w:rsid w:val="00BA5CC1"/>
    <w:rsid w:val="00BA5DE1"/>
    <w:rsid w:val="00BA5FE7"/>
    <w:rsid w:val="00BA602E"/>
    <w:rsid w:val="00BA6047"/>
    <w:rsid w:val="00BA6121"/>
    <w:rsid w:val="00BA63E0"/>
    <w:rsid w:val="00BA6537"/>
    <w:rsid w:val="00BA66B3"/>
    <w:rsid w:val="00BA671B"/>
    <w:rsid w:val="00BA678B"/>
    <w:rsid w:val="00BA6AC4"/>
    <w:rsid w:val="00BA6C89"/>
    <w:rsid w:val="00BA6F91"/>
    <w:rsid w:val="00BA7131"/>
    <w:rsid w:val="00BA7391"/>
    <w:rsid w:val="00BA73EE"/>
    <w:rsid w:val="00BA752B"/>
    <w:rsid w:val="00BA7702"/>
    <w:rsid w:val="00BA7B97"/>
    <w:rsid w:val="00BA7C24"/>
    <w:rsid w:val="00BA7CC2"/>
    <w:rsid w:val="00BA7E28"/>
    <w:rsid w:val="00BA7F98"/>
    <w:rsid w:val="00BB023B"/>
    <w:rsid w:val="00BB0305"/>
    <w:rsid w:val="00BB0625"/>
    <w:rsid w:val="00BB0897"/>
    <w:rsid w:val="00BB0B3B"/>
    <w:rsid w:val="00BB0C91"/>
    <w:rsid w:val="00BB0E85"/>
    <w:rsid w:val="00BB103E"/>
    <w:rsid w:val="00BB1044"/>
    <w:rsid w:val="00BB139D"/>
    <w:rsid w:val="00BB15AB"/>
    <w:rsid w:val="00BB16D2"/>
    <w:rsid w:val="00BB173E"/>
    <w:rsid w:val="00BB192C"/>
    <w:rsid w:val="00BB19DF"/>
    <w:rsid w:val="00BB1A5C"/>
    <w:rsid w:val="00BB2116"/>
    <w:rsid w:val="00BB2236"/>
    <w:rsid w:val="00BB2329"/>
    <w:rsid w:val="00BB242E"/>
    <w:rsid w:val="00BB2627"/>
    <w:rsid w:val="00BB2B70"/>
    <w:rsid w:val="00BB2E3A"/>
    <w:rsid w:val="00BB2F82"/>
    <w:rsid w:val="00BB3110"/>
    <w:rsid w:val="00BB35BE"/>
    <w:rsid w:val="00BB37B5"/>
    <w:rsid w:val="00BB3B21"/>
    <w:rsid w:val="00BB3E2B"/>
    <w:rsid w:val="00BB3F82"/>
    <w:rsid w:val="00BB3F9A"/>
    <w:rsid w:val="00BB415D"/>
    <w:rsid w:val="00BB416C"/>
    <w:rsid w:val="00BB44CC"/>
    <w:rsid w:val="00BB4599"/>
    <w:rsid w:val="00BB4697"/>
    <w:rsid w:val="00BB4894"/>
    <w:rsid w:val="00BB48AA"/>
    <w:rsid w:val="00BB4930"/>
    <w:rsid w:val="00BB49E9"/>
    <w:rsid w:val="00BB4C2B"/>
    <w:rsid w:val="00BB4F84"/>
    <w:rsid w:val="00BB502D"/>
    <w:rsid w:val="00BB5134"/>
    <w:rsid w:val="00BB514A"/>
    <w:rsid w:val="00BB5163"/>
    <w:rsid w:val="00BB5257"/>
    <w:rsid w:val="00BB54A6"/>
    <w:rsid w:val="00BB5707"/>
    <w:rsid w:val="00BB5733"/>
    <w:rsid w:val="00BB5836"/>
    <w:rsid w:val="00BB5907"/>
    <w:rsid w:val="00BB5FF9"/>
    <w:rsid w:val="00BB60C7"/>
    <w:rsid w:val="00BB6424"/>
    <w:rsid w:val="00BB64FC"/>
    <w:rsid w:val="00BB6739"/>
    <w:rsid w:val="00BB6875"/>
    <w:rsid w:val="00BB6920"/>
    <w:rsid w:val="00BB696D"/>
    <w:rsid w:val="00BB6978"/>
    <w:rsid w:val="00BB6A69"/>
    <w:rsid w:val="00BB6BEA"/>
    <w:rsid w:val="00BB6C46"/>
    <w:rsid w:val="00BB6E0B"/>
    <w:rsid w:val="00BB72D3"/>
    <w:rsid w:val="00BB7488"/>
    <w:rsid w:val="00BB75AD"/>
    <w:rsid w:val="00BB7630"/>
    <w:rsid w:val="00BB76FD"/>
    <w:rsid w:val="00BB7712"/>
    <w:rsid w:val="00BB7770"/>
    <w:rsid w:val="00BB7806"/>
    <w:rsid w:val="00BB78EA"/>
    <w:rsid w:val="00BB790D"/>
    <w:rsid w:val="00BC0305"/>
    <w:rsid w:val="00BC0359"/>
    <w:rsid w:val="00BC059C"/>
    <w:rsid w:val="00BC0780"/>
    <w:rsid w:val="00BC0E02"/>
    <w:rsid w:val="00BC1330"/>
    <w:rsid w:val="00BC19B1"/>
    <w:rsid w:val="00BC1C6F"/>
    <w:rsid w:val="00BC1CAF"/>
    <w:rsid w:val="00BC1D44"/>
    <w:rsid w:val="00BC1ECD"/>
    <w:rsid w:val="00BC1F0B"/>
    <w:rsid w:val="00BC218E"/>
    <w:rsid w:val="00BC2384"/>
    <w:rsid w:val="00BC2613"/>
    <w:rsid w:val="00BC26F5"/>
    <w:rsid w:val="00BC2B22"/>
    <w:rsid w:val="00BC2D96"/>
    <w:rsid w:val="00BC2EEB"/>
    <w:rsid w:val="00BC2FF1"/>
    <w:rsid w:val="00BC306E"/>
    <w:rsid w:val="00BC3151"/>
    <w:rsid w:val="00BC31E2"/>
    <w:rsid w:val="00BC3791"/>
    <w:rsid w:val="00BC37F9"/>
    <w:rsid w:val="00BC39F2"/>
    <w:rsid w:val="00BC3C51"/>
    <w:rsid w:val="00BC3D66"/>
    <w:rsid w:val="00BC3FEC"/>
    <w:rsid w:val="00BC42F1"/>
    <w:rsid w:val="00BC4397"/>
    <w:rsid w:val="00BC44DC"/>
    <w:rsid w:val="00BC458C"/>
    <w:rsid w:val="00BC47E9"/>
    <w:rsid w:val="00BC4914"/>
    <w:rsid w:val="00BC4942"/>
    <w:rsid w:val="00BC4E00"/>
    <w:rsid w:val="00BC4EB9"/>
    <w:rsid w:val="00BC4F16"/>
    <w:rsid w:val="00BC4F8D"/>
    <w:rsid w:val="00BC5026"/>
    <w:rsid w:val="00BC503C"/>
    <w:rsid w:val="00BC5144"/>
    <w:rsid w:val="00BC515C"/>
    <w:rsid w:val="00BC55BA"/>
    <w:rsid w:val="00BC55CF"/>
    <w:rsid w:val="00BC5629"/>
    <w:rsid w:val="00BC5965"/>
    <w:rsid w:val="00BC5ACA"/>
    <w:rsid w:val="00BC5C5E"/>
    <w:rsid w:val="00BC5F64"/>
    <w:rsid w:val="00BC5FC6"/>
    <w:rsid w:val="00BC6042"/>
    <w:rsid w:val="00BC6181"/>
    <w:rsid w:val="00BC61AE"/>
    <w:rsid w:val="00BC6420"/>
    <w:rsid w:val="00BC64B2"/>
    <w:rsid w:val="00BC6542"/>
    <w:rsid w:val="00BC6AAE"/>
    <w:rsid w:val="00BC7288"/>
    <w:rsid w:val="00BC75BB"/>
    <w:rsid w:val="00BC7830"/>
    <w:rsid w:val="00BC7B40"/>
    <w:rsid w:val="00BC7B8D"/>
    <w:rsid w:val="00BC7C58"/>
    <w:rsid w:val="00BC7D53"/>
    <w:rsid w:val="00BC7DE2"/>
    <w:rsid w:val="00BC7E62"/>
    <w:rsid w:val="00BC7FE8"/>
    <w:rsid w:val="00BD03EC"/>
    <w:rsid w:val="00BD074A"/>
    <w:rsid w:val="00BD07D3"/>
    <w:rsid w:val="00BD07F4"/>
    <w:rsid w:val="00BD0978"/>
    <w:rsid w:val="00BD098A"/>
    <w:rsid w:val="00BD0AE1"/>
    <w:rsid w:val="00BD0AE4"/>
    <w:rsid w:val="00BD0B05"/>
    <w:rsid w:val="00BD0C1A"/>
    <w:rsid w:val="00BD0C62"/>
    <w:rsid w:val="00BD0E4A"/>
    <w:rsid w:val="00BD0F6A"/>
    <w:rsid w:val="00BD0FE3"/>
    <w:rsid w:val="00BD120B"/>
    <w:rsid w:val="00BD131A"/>
    <w:rsid w:val="00BD1510"/>
    <w:rsid w:val="00BD1540"/>
    <w:rsid w:val="00BD169E"/>
    <w:rsid w:val="00BD17E8"/>
    <w:rsid w:val="00BD1E01"/>
    <w:rsid w:val="00BD1F66"/>
    <w:rsid w:val="00BD1FA5"/>
    <w:rsid w:val="00BD2024"/>
    <w:rsid w:val="00BD2289"/>
    <w:rsid w:val="00BD229D"/>
    <w:rsid w:val="00BD22AB"/>
    <w:rsid w:val="00BD235A"/>
    <w:rsid w:val="00BD245F"/>
    <w:rsid w:val="00BD2697"/>
    <w:rsid w:val="00BD2800"/>
    <w:rsid w:val="00BD2BC3"/>
    <w:rsid w:val="00BD2CB0"/>
    <w:rsid w:val="00BD2CF2"/>
    <w:rsid w:val="00BD2ECE"/>
    <w:rsid w:val="00BD3872"/>
    <w:rsid w:val="00BD3C6A"/>
    <w:rsid w:val="00BD3DD7"/>
    <w:rsid w:val="00BD3EF0"/>
    <w:rsid w:val="00BD3F48"/>
    <w:rsid w:val="00BD4092"/>
    <w:rsid w:val="00BD40D9"/>
    <w:rsid w:val="00BD4135"/>
    <w:rsid w:val="00BD4192"/>
    <w:rsid w:val="00BD43B9"/>
    <w:rsid w:val="00BD470C"/>
    <w:rsid w:val="00BD48E3"/>
    <w:rsid w:val="00BD4A66"/>
    <w:rsid w:val="00BD4C33"/>
    <w:rsid w:val="00BD4E13"/>
    <w:rsid w:val="00BD4F86"/>
    <w:rsid w:val="00BD50CE"/>
    <w:rsid w:val="00BD5226"/>
    <w:rsid w:val="00BD52F1"/>
    <w:rsid w:val="00BD5434"/>
    <w:rsid w:val="00BD590A"/>
    <w:rsid w:val="00BD591A"/>
    <w:rsid w:val="00BD5DC2"/>
    <w:rsid w:val="00BD5DC6"/>
    <w:rsid w:val="00BD5E44"/>
    <w:rsid w:val="00BD5E72"/>
    <w:rsid w:val="00BD5FC6"/>
    <w:rsid w:val="00BD60B0"/>
    <w:rsid w:val="00BD6781"/>
    <w:rsid w:val="00BD686D"/>
    <w:rsid w:val="00BD6A04"/>
    <w:rsid w:val="00BD6B84"/>
    <w:rsid w:val="00BD6F36"/>
    <w:rsid w:val="00BD71AE"/>
    <w:rsid w:val="00BD76A5"/>
    <w:rsid w:val="00BD7746"/>
    <w:rsid w:val="00BD7765"/>
    <w:rsid w:val="00BD79AD"/>
    <w:rsid w:val="00BD7A1B"/>
    <w:rsid w:val="00BD7A41"/>
    <w:rsid w:val="00BD7CB0"/>
    <w:rsid w:val="00BD7DEF"/>
    <w:rsid w:val="00BD7F06"/>
    <w:rsid w:val="00BD7F2E"/>
    <w:rsid w:val="00BE0094"/>
    <w:rsid w:val="00BE01C9"/>
    <w:rsid w:val="00BE0232"/>
    <w:rsid w:val="00BE027C"/>
    <w:rsid w:val="00BE0416"/>
    <w:rsid w:val="00BE0621"/>
    <w:rsid w:val="00BE0640"/>
    <w:rsid w:val="00BE06BD"/>
    <w:rsid w:val="00BE06FD"/>
    <w:rsid w:val="00BE0721"/>
    <w:rsid w:val="00BE07C5"/>
    <w:rsid w:val="00BE09E6"/>
    <w:rsid w:val="00BE0ADA"/>
    <w:rsid w:val="00BE0B8E"/>
    <w:rsid w:val="00BE0FC4"/>
    <w:rsid w:val="00BE10A5"/>
    <w:rsid w:val="00BE142D"/>
    <w:rsid w:val="00BE1463"/>
    <w:rsid w:val="00BE1479"/>
    <w:rsid w:val="00BE1606"/>
    <w:rsid w:val="00BE165F"/>
    <w:rsid w:val="00BE1A10"/>
    <w:rsid w:val="00BE1F8D"/>
    <w:rsid w:val="00BE2330"/>
    <w:rsid w:val="00BE23F5"/>
    <w:rsid w:val="00BE2AE5"/>
    <w:rsid w:val="00BE3113"/>
    <w:rsid w:val="00BE36A3"/>
    <w:rsid w:val="00BE36CF"/>
    <w:rsid w:val="00BE3717"/>
    <w:rsid w:val="00BE3751"/>
    <w:rsid w:val="00BE37E9"/>
    <w:rsid w:val="00BE3AE2"/>
    <w:rsid w:val="00BE3C5A"/>
    <w:rsid w:val="00BE3CAA"/>
    <w:rsid w:val="00BE3D49"/>
    <w:rsid w:val="00BE3E5F"/>
    <w:rsid w:val="00BE4385"/>
    <w:rsid w:val="00BE43C3"/>
    <w:rsid w:val="00BE49D8"/>
    <w:rsid w:val="00BE4CEF"/>
    <w:rsid w:val="00BE4D60"/>
    <w:rsid w:val="00BE4F79"/>
    <w:rsid w:val="00BE5050"/>
    <w:rsid w:val="00BE5120"/>
    <w:rsid w:val="00BE55CB"/>
    <w:rsid w:val="00BE57D9"/>
    <w:rsid w:val="00BE583A"/>
    <w:rsid w:val="00BE58A0"/>
    <w:rsid w:val="00BE58BA"/>
    <w:rsid w:val="00BE5925"/>
    <w:rsid w:val="00BE5AB6"/>
    <w:rsid w:val="00BE5B72"/>
    <w:rsid w:val="00BE5E07"/>
    <w:rsid w:val="00BE608B"/>
    <w:rsid w:val="00BE60F1"/>
    <w:rsid w:val="00BE613E"/>
    <w:rsid w:val="00BE65E7"/>
    <w:rsid w:val="00BE6943"/>
    <w:rsid w:val="00BE6A17"/>
    <w:rsid w:val="00BE6D19"/>
    <w:rsid w:val="00BE70CC"/>
    <w:rsid w:val="00BE7A38"/>
    <w:rsid w:val="00BE7A54"/>
    <w:rsid w:val="00BE7AE4"/>
    <w:rsid w:val="00BE7FC0"/>
    <w:rsid w:val="00BEEF9B"/>
    <w:rsid w:val="00BF0249"/>
    <w:rsid w:val="00BF07CC"/>
    <w:rsid w:val="00BF0B71"/>
    <w:rsid w:val="00BF0BA3"/>
    <w:rsid w:val="00BF0BEC"/>
    <w:rsid w:val="00BF0BF9"/>
    <w:rsid w:val="00BF0E79"/>
    <w:rsid w:val="00BF0F11"/>
    <w:rsid w:val="00BF10F5"/>
    <w:rsid w:val="00BF11CF"/>
    <w:rsid w:val="00BF1275"/>
    <w:rsid w:val="00BF127B"/>
    <w:rsid w:val="00BF1291"/>
    <w:rsid w:val="00BF12E1"/>
    <w:rsid w:val="00BF14FB"/>
    <w:rsid w:val="00BF159E"/>
    <w:rsid w:val="00BF1835"/>
    <w:rsid w:val="00BF185D"/>
    <w:rsid w:val="00BF1877"/>
    <w:rsid w:val="00BF1942"/>
    <w:rsid w:val="00BF1AE2"/>
    <w:rsid w:val="00BF1D59"/>
    <w:rsid w:val="00BF1E0C"/>
    <w:rsid w:val="00BF1E55"/>
    <w:rsid w:val="00BF1F6E"/>
    <w:rsid w:val="00BF206D"/>
    <w:rsid w:val="00BF24AA"/>
    <w:rsid w:val="00BF2B45"/>
    <w:rsid w:val="00BF2D48"/>
    <w:rsid w:val="00BF2FF5"/>
    <w:rsid w:val="00BF302F"/>
    <w:rsid w:val="00BF306B"/>
    <w:rsid w:val="00BF34CF"/>
    <w:rsid w:val="00BF35C4"/>
    <w:rsid w:val="00BF3793"/>
    <w:rsid w:val="00BF3979"/>
    <w:rsid w:val="00BF3A98"/>
    <w:rsid w:val="00BF3AE0"/>
    <w:rsid w:val="00BF3C6B"/>
    <w:rsid w:val="00BF3E29"/>
    <w:rsid w:val="00BF4787"/>
    <w:rsid w:val="00BF49C0"/>
    <w:rsid w:val="00BF50D8"/>
    <w:rsid w:val="00BF512B"/>
    <w:rsid w:val="00BF52B1"/>
    <w:rsid w:val="00BF5427"/>
    <w:rsid w:val="00BF546F"/>
    <w:rsid w:val="00BF5482"/>
    <w:rsid w:val="00BF5569"/>
    <w:rsid w:val="00BF5761"/>
    <w:rsid w:val="00BF5788"/>
    <w:rsid w:val="00BF57D1"/>
    <w:rsid w:val="00BF5AB3"/>
    <w:rsid w:val="00BF5E80"/>
    <w:rsid w:val="00BF5E82"/>
    <w:rsid w:val="00BF6074"/>
    <w:rsid w:val="00BF6307"/>
    <w:rsid w:val="00BF632A"/>
    <w:rsid w:val="00BF6355"/>
    <w:rsid w:val="00BF638F"/>
    <w:rsid w:val="00BF64E6"/>
    <w:rsid w:val="00BF6AA4"/>
    <w:rsid w:val="00BF6B89"/>
    <w:rsid w:val="00BF6D64"/>
    <w:rsid w:val="00BF6EDE"/>
    <w:rsid w:val="00BF6F69"/>
    <w:rsid w:val="00BF7222"/>
    <w:rsid w:val="00BF7702"/>
    <w:rsid w:val="00BF7740"/>
    <w:rsid w:val="00BF78EB"/>
    <w:rsid w:val="00BF79CF"/>
    <w:rsid w:val="00BF7A17"/>
    <w:rsid w:val="00BF7E30"/>
    <w:rsid w:val="00C004A4"/>
    <w:rsid w:val="00C00552"/>
    <w:rsid w:val="00C00605"/>
    <w:rsid w:val="00C006BD"/>
    <w:rsid w:val="00C0089D"/>
    <w:rsid w:val="00C00A0A"/>
    <w:rsid w:val="00C00DF3"/>
    <w:rsid w:val="00C00E08"/>
    <w:rsid w:val="00C00FE8"/>
    <w:rsid w:val="00C014FD"/>
    <w:rsid w:val="00C016C6"/>
    <w:rsid w:val="00C0178C"/>
    <w:rsid w:val="00C01851"/>
    <w:rsid w:val="00C01939"/>
    <w:rsid w:val="00C02112"/>
    <w:rsid w:val="00C02179"/>
    <w:rsid w:val="00C02214"/>
    <w:rsid w:val="00C02383"/>
    <w:rsid w:val="00C025B2"/>
    <w:rsid w:val="00C02B5A"/>
    <w:rsid w:val="00C02BB4"/>
    <w:rsid w:val="00C02D44"/>
    <w:rsid w:val="00C02DC6"/>
    <w:rsid w:val="00C031FA"/>
    <w:rsid w:val="00C03292"/>
    <w:rsid w:val="00C03559"/>
    <w:rsid w:val="00C03730"/>
    <w:rsid w:val="00C0377A"/>
    <w:rsid w:val="00C03860"/>
    <w:rsid w:val="00C03C5D"/>
    <w:rsid w:val="00C03C71"/>
    <w:rsid w:val="00C04071"/>
    <w:rsid w:val="00C0408D"/>
    <w:rsid w:val="00C046DF"/>
    <w:rsid w:val="00C048C2"/>
    <w:rsid w:val="00C0497E"/>
    <w:rsid w:val="00C04ACA"/>
    <w:rsid w:val="00C04FC2"/>
    <w:rsid w:val="00C053BC"/>
    <w:rsid w:val="00C05988"/>
    <w:rsid w:val="00C059AF"/>
    <w:rsid w:val="00C05B69"/>
    <w:rsid w:val="00C05C22"/>
    <w:rsid w:val="00C05D17"/>
    <w:rsid w:val="00C05EB4"/>
    <w:rsid w:val="00C06459"/>
    <w:rsid w:val="00C066C5"/>
    <w:rsid w:val="00C06C0A"/>
    <w:rsid w:val="00C06D4C"/>
    <w:rsid w:val="00C06ECF"/>
    <w:rsid w:val="00C06FCB"/>
    <w:rsid w:val="00C06FF7"/>
    <w:rsid w:val="00C07013"/>
    <w:rsid w:val="00C07417"/>
    <w:rsid w:val="00C0767B"/>
    <w:rsid w:val="00C07BBA"/>
    <w:rsid w:val="00C07C4C"/>
    <w:rsid w:val="00C07F2C"/>
    <w:rsid w:val="00C07FE4"/>
    <w:rsid w:val="00C10397"/>
    <w:rsid w:val="00C10407"/>
    <w:rsid w:val="00C10433"/>
    <w:rsid w:val="00C105C3"/>
    <w:rsid w:val="00C106AC"/>
    <w:rsid w:val="00C109B5"/>
    <w:rsid w:val="00C10A52"/>
    <w:rsid w:val="00C10A71"/>
    <w:rsid w:val="00C10ABD"/>
    <w:rsid w:val="00C10B07"/>
    <w:rsid w:val="00C10B0C"/>
    <w:rsid w:val="00C10B20"/>
    <w:rsid w:val="00C10B79"/>
    <w:rsid w:val="00C10B84"/>
    <w:rsid w:val="00C10CEC"/>
    <w:rsid w:val="00C10DA2"/>
    <w:rsid w:val="00C1118A"/>
    <w:rsid w:val="00C111BC"/>
    <w:rsid w:val="00C113AB"/>
    <w:rsid w:val="00C115F0"/>
    <w:rsid w:val="00C119A2"/>
    <w:rsid w:val="00C11A01"/>
    <w:rsid w:val="00C11D00"/>
    <w:rsid w:val="00C11D86"/>
    <w:rsid w:val="00C11DEE"/>
    <w:rsid w:val="00C12392"/>
    <w:rsid w:val="00C12402"/>
    <w:rsid w:val="00C124A0"/>
    <w:rsid w:val="00C124D1"/>
    <w:rsid w:val="00C126A7"/>
    <w:rsid w:val="00C127E1"/>
    <w:rsid w:val="00C12FAB"/>
    <w:rsid w:val="00C13093"/>
    <w:rsid w:val="00C1382C"/>
    <w:rsid w:val="00C13E97"/>
    <w:rsid w:val="00C14375"/>
    <w:rsid w:val="00C1446C"/>
    <w:rsid w:val="00C14695"/>
    <w:rsid w:val="00C149B3"/>
    <w:rsid w:val="00C14ADF"/>
    <w:rsid w:val="00C14BBE"/>
    <w:rsid w:val="00C150B7"/>
    <w:rsid w:val="00C150D9"/>
    <w:rsid w:val="00C15436"/>
    <w:rsid w:val="00C154F3"/>
    <w:rsid w:val="00C15E12"/>
    <w:rsid w:val="00C15EDC"/>
    <w:rsid w:val="00C15EE0"/>
    <w:rsid w:val="00C1606E"/>
    <w:rsid w:val="00C164A4"/>
    <w:rsid w:val="00C164D9"/>
    <w:rsid w:val="00C16653"/>
    <w:rsid w:val="00C166D5"/>
    <w:rsid w:val="00C16760"/>
    <w:rsid w:val="00C16778"/>
    <w:rsid w:val="00C16ACC"/>
    <w:rsid w:val="00C16E0F"/>
    <w:rsid w:val="00C16E1F"/>
    <w:rsid w:val="00C16F08"/>
    <w:rsid w:val="00C170FC"/>
    <w:rsid w:val="00C17105"/>
    <w:rsid w:val="00C1763A"/>
    <w:rsid w:val="00C1783B"/>
    <w:rsid w:val="00C17B83"/>
    <w:rsid w:val="00C17C2F"/>
    <w:rsid w:val="00C17D3F"/>
    <w:rsid w:val="00C2010E"/>
    <w:rsid w:val="00C20220"/>
    <w:rsid w:val="00C20553"/>
    <w:rsid w:val="00C206A1"/>
    <w:rsid w:val="00C206F1"/>
    <w:rsid w:val="00C20983"/>
    <w:rsid w:val="00C20AC3"/>
    <w:rsid w:val="00C20E61"/>
    <w:rsid w:val="00C20F7B"/>
    <w:rsid w:val="00C210EC"/>
    <w:rsid w:val="00C2133A"/>
    <w:rsid w:val="00C213F2"/>
    <w:rsid w:val="00C2162A"/>
    <w:rsid w:val="00C216DC"/>
    <w:rsid w:val="00C219D7"/>
    <w:rsid w:val="00C21F95"/>
    <w:rsid w:val="00C21FB5"/>
    <w:rsid w:val="00C22018"/>
    <w:rsid w:val="00C2201B"/>
    <w:rsid w:val="00C221BF"/>
    <w:rsid w:val="00C22271"/>
    <w:rsid w:val="00C2232B"/>
    <w:rsid w:val="00C22455"/>
    <w:rsid w:val="00C22E45"/>
    <w:rsid w:val="00C22E73"/>
    <w:rsid w:val="00C232ED"/>
    <w:rsid w:val="00C233AD"/>
    <w:rsid w:val="00C233B7"/>
    <w:rsid w:val="00C2367C"/>
    <w:rsid w:val="00C23E89"/>
    <w:rsid w:val="00C23F13"/>
    <w:rsid w:val="00C23FEA"/>
    <w:rsid w:val="00C240C3"/>
    <w:rsid w:val="00C24128"/>
    <w:rsid w:val="00C24345"/>
    <w:rsid w:val="00C24441"/>
    <w:rsid w:val="00C24453"/>
    <w:rsid w:val="00C24523"/>
    <w:rsid w:val="00C24EAC"/>
    <w:rsid w:val="00C2538A"/>
    <w:rsid w:val="00C25462"/>
    <w:rsid w:val="00C2582F"/>
    <w:rsid w:val="00C25B12"/>
    <w:rsid w:val="00C25B42"/>
    <w:rsid w:val="00C260DA"/>
    <w:rsid w:val="00C26232"/>
    <w:rsid w:val="00C262DC"/>
    <w:rsid w:val="00C264C7"/>
    <w:rsid w:val="00C26576"/>
    <w:rsid w:val="00C26798"/>
    <w:rsid w:val="00C268B9"/>
    <w:rsid w:val="00C268CF"/>
    <w:rsid w:val="00C268E3"/>
    <w:rsid w:val="00C26F45"/>
    <w:rsid w:val="00C270B6"/>
    <w:rsid w:val="00C27161"/>
    <w:rsid w:val="00C27221"/>
    <w:rsid w:val="00C2731A"/>
    <w:rsid w:val="00C273EA"/>
    <w:rsid w:val="00C2771E"/>
    <w:rsid w:val="00C27AD1"/>
    <w:rsid w:val="00C27B56"/>
    <w:rsid w:val="00C27E59"/>
    <w:rsid w:val="00C30036"/>
    <w:rsid w:val="00C30237"/>
    <w:rsid w:val="00C302E1"/>
    <w:rsid w:val="00C303F7"/>
    <w:rsid w:val="00C306C2"/>
    <w:rsid w:val="00C3084C"/>
    <w:rsid w:val="00C30A09"/>
    <w:rsid w:val="00C30A59"/>
    <w:rsid w:val="00C30AF8"/>
    <w:rsid w:val="00C30D55"/>
    <w:rsid w:val="00C30E18"/>
    <w:rsid w:val="00C30F25"/>
    <w:rsid w:val="00C312B5"/>
    <w:rsid w:val="00C3133A"/>
    <w:rsid w:val="00C31403"/>
    <w:rsid w:val="00C315CF"/>
    <w:rsid w:val="00C316B0"/>
    <w:rsid w:val="00C317F3"/>
    <w:rsid w:val="00C31FA4"/>
    <w:rsid w:val="00C3203A"/>
    <w:rsid w:val="00C32157"/>
    <w:rsid w:val="00C3218C"/>
    <w:rsid w:val="00C324CC"/>
    <w:rsid w:val="00C325DF"/>
    <w:rsid w:val="00C326A5"/>
    <w:rsid w:val="00C326A9"/>
    <w:rsid w:val="00C32BB2"/>
    <w:rsid w:val="00C3306B"/>
    <w:rsid w:val="00C332DF"/>
    <w:rsid w:val="00C3330D"/>
    <w:rsid w:val="00C334D7"/>
    <w:rsid w:val="00C3358A"/>
    <w:rsid w:val="00C33609"/>
    <w:rsid w:val="00C3364F"/>
    <w:rsid w:val="00C337A4"/>
    <w:rsid w:val="00C339CC"/>
    <w:rsid w:val="00C33A08"/>
    <w:rsid w:val="00C33B5C"/>
    <w:rsid w:val="00C33E09"/>
    <w:rsid w:val="00C33E49"/>
    <w:rsid w:val="00C33F61"/>
    <w:rsid w:val="00C3406B"/>
    <w:rsid w:val="00C341E1"/>
    <w:rsid w:val="00C3425E"/>
    <w:rsid w:val="00C3463B"/>
    <w:rsid w:val="00C34640"/>
    <w:rsid w:val="00C34686"/>
    <w:rsid w:val="00C34776"/>
    <w:rsid w:val="00C34846"/>
    <w:rsid w:val="00C349C2"/>
    <w:rsid w:val="00C34A05"/>
    <w:rsid w:val="00C34A9F"/>
    <w:rsid w:val="00C34BE7"/>
    <w:rsid w:val="00C34CCB"/>
    <w:rsid w:val="00C3504B"/>
    <w:rsid w:val="00C352A6"/>
    <w:rsid w:val="00C352A8"/>
    <w:rsid w:val="00C35A04"/>
    <w:rsid w:val="00C35AD0"/>
    <w:rsid w:val="00C35B1C"/>
    <w:rsid w:val="00C35B36"/>
    <w:rsid w:val="00C35CD5"/>
    <w:rsid w:val="00C35EC7"/>
    <w:rsid w:val="00C360CE"/>
    <w:rsid w:val="00C3614F"/>
    <w:rsid w:val="00C361F4"/>
    <w:rsid w:val="00C362BF"/>
    <w:rsid w:val="00C3656D"/>
    <w:rsid w:val="00C36582"/>
    <w:rsid w:val="00C369D5"/>
    <w:rsid w:val="00C36A27"/>
    <w:rsid w:val="00C36DC7"/>
    <w:rsid w:val="00C3708A"/>
    <w:rsid w:val="00C37206"/>
    <w:rsid w:val="00C372F5"/>
    <w:rsid w:val="00C375F1"/>
    <w:rsid w:val="00C3788D"/>
    <w:rsid w:val="00C378E4"/>
    <w:rsid w:val="00C37A17"/>
    <w:rsid w:val="00C40100"/>
    <w:rsid w:val="00C40260"/>
    <w:rsid w:val="00C404AE"/>
    <w:rsid w:val="00C40563"/>
    <w:rsid w:val="00C4056D"/>
    <w:rsid w:val="00C4073C"/>
    <w:rsid w:val="00C408EF"/>
    <w:rsid w:val="00C409BF"/>
    <w:rsid w:val="00C40A89"/>
    <w:rsid w:val="00C41001"/>
    <w:rsid w:val="00C4117F"/>
    <w:rsid w:val="00C411FC"/>
    <w:rsid w:val="00C41213"/>
    <w:rsid w:val="00C41416"/>
    <w:rsid w:val="00C4151A"/>
    <w:rsid w:val="00C416B8"/>
    <w:rsid w:val="00C41BBB"/>
    <w:rsid w:val="00C41CE2"/>
    <w:rsid w:val="00C41F2A"/>
    <w:rsid w:val="00C41F73"/>
    <w:rsid w:val="00C42018"/>
    <w:rsid w:val="00C4233F"/>
    <w:rsid w:val="00C423C5"/>
    <w:rsid w:val="00C42422"/>
    <w:rsid w:val="00C42450"/>
    <w:rsid w:val="00C42CF9"/>
    <w:rsid w:val="00C42D10"/>
    <w:rsid w:val="00C42E9F"/>
    <w:rsid w:val="00C42F0F"/>
    <w:rsid w:val="00C42FAB"/>
    <w:rsid w:val="00C430E5"/>
    <w:rsid w:val="00C431F3"/>
    <w:rsid w:val="00C4355C"/>
    <w:rsid w:val="00C436F9"/>
    <w:rsid w:val="00C437C7"/>
    <w:rsid w:val="00C43D01"/>
    <w:rsid w:val="00C43E76"/>
    <w:rsid w:val="00C43E7E"/>
    <w:rsid w:val="00C44264"/>
    <w:rsid w:val="00C4428A"/>
    <w:rsid w:val="00C444C9"/>
    <w:rsid w:val="00C44660"/>
    <w:rsid w:val="00C44863"/>
    <w:rsid w:val="00C44B38"/>
    <w:rsid w:val="00C44BE9"/>
    <w:rsid w:val="00C44C37"/>
    <w:rsid w:val="00C44CDF"/>
    <w:rsid w:val="00C44D8B"/>
    <w:rsid w:val="00C45282"/>
    <w:rsid w:val="00C45429"/>
    <w:rsid w:val="00C458E9"/>
    <w:rsid w:val="00C45BFE"/>
    <w:rsid w:val="00C45E1F"/>
    <w:rsid w:val="00C45F1E"/>
    <w:rsid w:val="00C4626E"/>
    <w:rsid w:val="00C464BC"/>
    <w:rsid w:val="00C46753"/>
    <w:rsid w:val="00C46771"/>
    <w:rsid w:val="00C4699E"/>
    <w:rsid w:val="00C46A9A"/>
    <w:rsid w:val="00C46AE5"/>
    <w:rsid w:val="00C46B4C"/>
    <w:rsid w:val="00C46B53"/>
    <w:rsid w:val="00C46B92"/>
    <w:rsid w:val="00C46DE8"/>
    <w:rsid w:val="00C46E86"/>
    <w:rsid w:val="00C4723E"/>
    <w:rsid w:val="00C47255"/>
    <w:rsid w:val="00C4734A"/>
    <w:rsid w:val="00C47654"/>
    <w:rsid w:val="00C4794A"/>
    <w:rsid w:val="00C479B7"/>
    <w:rsid w:val="00C47B40"/>
    <w:rsid w:val="00C47B94"/>
    <w:rsid w:val="00C47C75"/>
    <w:rsid w:val="00C47E70"/>
    <w:rsid w:val="00C50259"/>
    <w:rsid w:val="00C502F6"/>
    <w:rsid w:val="00C502FD"/>
    <w:rsid w:val="00C50380"/>
    <w:rsid w:val="00C50457"/>
    <w:rsid w:val="00C50551"/>
    <w:rsid w:val="00C51184"/>
    <w:rsid w:val="00C511F1"/>
    <w:rsid w:val="00C511FB"/>
    <w:rsid w:val="00C5131F"/>
    <w:rsid w:val="00C514A5"/>
    <w:rsid w:val="00C51689"/>
    <w:rsid w:val="00C5169C"/>
    <w:rsid w:val="00C516DE"/>
    <w:rsid w:val="00C518CD"/>
    <w:rsid w:val="00C519BF"/>
    <w:rsid w:val="00C519EA"/>
    <w:rsid w:val="00C51B17"/>
    <w:rsid w:val="00C51EAB"/>
    <w:rsid w:val="00C51EB3"/>
    <w:rsid w:val="00C51F4F"/>
    <w:rsid w:val="00C522A7"/>
    <w:rsid w:val="00C5242F"/>
    <w:rsid w:val="00C5245A"/>
    <w:rsid w:val="00C52BE0"/>
    <w:rsid w:val="00C52FD3"/>
    <w:rsid w:val="00C5301E"/>
    <w:rsid w:val="00C530CD"/>
    <w:rsid w:val="00C53392"/>
    <w:rsid w:val="00C533C6"/>
    <w:rsid w:val="00C535F0"/>
    <w:rsid w:val="00C53A1E"/>
    <w:rsid w:val="00C53C01"/>
    <w:rsid w:val="00C53C1A"/>
    <w:rsid w:val="00C53C9C"/>
    <w:rsid w:val="00C53E76"/>
    <w:rsid w:val="00C54254"/>
    <w:rsid w:val="00C5447A"/>
    <w:rsid w:val="00C54623"/>
    <w:rsid w:val="00C54639"/>
    <w:rsid w:val="00C547C4"/>
    <w:rsid w:val="00C547DA"/>
    <w:rsid w:val="00C54A41"/>
    <w:rsid w:val="00C55460"/>
    <w:rsid w:val="00C555B2"/>
    <w:rsid w:val="00C55679"/>
    <w:rsid w:val="00C55711"/>
    <w:rsid w:val="00C55A09"/>
    <w:rsid w:val="00C55D68"/>
    <w:rsid w:val="00C55E0C"/>
    <w:rsid w:val="00C55E79"/>
    <w:rsid w:val="00C56093"/>
    <w:rsid w:val="00C56134"/>
    <w:rsid w:val="00C562A2"/>
    <w:rsid w:val="00C562BE"/>
    <w:rsid w:val="00C562C6"/>
    <w:rsid w:val="00C568C2"/>
    <w:rsid w:val="00C56A6F"/>
    <w:rsid w:val="00C56B59"/>
    <w:rsid w:val="00C56C6D"/>
    <w:rsid w:val="00C56D76"/>
    <w:rsid w:val="00C56E6C"/>
    <w:rsid w:val="00C56E7B"/>
    <w:rsid w:val="00C56FB0"/>
    <w:rsid w:val="00C5702F"/>
    <w:rsid w:val="00C5738C"/>
    <w:rsid w:val="00C5759A"/>
    <w:rsid w:val="00C57AF6"/>
    <w:rsid w:val="00C57C5A"/>
    <w:rsid w:val="00C57E4D"/>
    <w:rsid w:val="00C57FC0"/>
    <w:rsid w:val="00C6005A"/>
    <w:rsid w:val="00C60293"/>
    <w:rsid w:val="00C6041A"/>
    <w:rsid w:val="00C60813"/>
    <w:rsid w:val="00C6089D"/>
    <w:rsid w:val="00C60B27"/>
    <w:rsid w:val="00C60B6E"/>
    <w:rsid w:val="00C60D47"/>
    <w:rsid w:val="00C60F8B"/>
    <w:rsid w:val="00C61327"/>
    <w:rsid w:val="00C61558"/>
    <w:rsid w:val="00C61948"/>
    <w:rsid w:val="00C61A3D"/>
    <w:rsid w:val="00C61A6C"/>
    <w:rsid w:val="00C61B06"/>
    <w:rsid w:val="00C61C52"/>
    <w:rsid w:val="00C61E4C"/>
    <w:rsid w:val="00C61ECB"/>
    <w:rsid w:val="00C622A3"/>
    <w:rsid w:val="00C622B7"/>
    <w:rsid w:val="00C62324"/>
    <w:rsid w:val="00C62424"/>
    <w:rsid w:val="00C626E2"/>
    <w:rsid w:val="00C6279E"/>
    <w:rsid w:val="00C62871"/>
    <w:rsid w:val="00C628C8"/>
    <w:rsid w:val="00C629DF"/>
    <w:rsid w:val="00C62A1F"/>
    <w:rsid w:val="00C62B7A"/>
    <w:rsid w:val="00C62C40"/>
    <w:rsid w:val="00C62E29"/>
    <w:rsid w:val="00C62E6A"/>
    <w:rsid w:val="00C632A0"/>
    <w:rsid w:val="00C63404"/>
    <w:rsid w:val="00C634D7"/>
    <w:rsid w:val="00C638DA"/>
    <w:rsid w:val="00C63B51"/>
    <w:rsid w:val="00C640F6"/>
    <w:rsid w:val="00C64197"/>
    <w:rsid w:val="00C642BE"/>
    <w:rsid w:val="00C64617"/>
    <w:rsid w:val="00C646C0"/>
    <w:rsid w:val="00C646F3"/>
    <w:rsid w:val="00C6490C"/>
    <w:rsid w:val="00C64975"/>
    <w:rsid w:val="00C6499E"/>
    <w:rsid w:val="00C64A41"/>
    <w:rsid w:val="00C64AFC"/>
    <w:rsid w:val="00C64D7C"/>
    <w:rsid w:val="00C65292"/>
    <w:rsid w:val="00C6542E"/>
    <w:rsid w:val="00C6546B"/>
    <w:rsid w:val="00C655A8"/>
    <w:rsid w:val="00C65BC0"/>
    <w:rsid w:val="00C65BEF"/>
    <w:rsid w:val="00C65F6F"/>
    <w:rsid w:val="00C6609F"/>
    <w:rsid w:val="00C66361"/>
    <w:rsid w:val="00C66446"/>
    <w:rsid w:val="00C66979"/>
    <w:rsid w:val="00C66CFC"/>
    <w:rsid w:val="00C66D57"/>
    <w:rsid w:val="00C66DBC"/>
    <w:rsid w:val="00C66E69"/>
    <w:rsid w:val="00C66FAD"/>
    <w:rsid w:val="00C6720D"/>
    <w:rsid w:val="00C673F8"/>
    <w:rsid w:val="00C674A9"/>
    <w:rsid w:val="00C674BC"/>
    <w:rsid w:val="00C67697"/>
    <w:rsid w:val="00C676CA"/>
    <w:rsid w:val="00C67B57"/>
    <w:rsid w:val="00C67B61"/>
    <w:rsid w:val="00C67E40"/>
    <w:rsid w:val="00C70301"/>
    <w:rsid w:val="00C70E01"/>
    <w:rsid w:val="00C70E7B"/>
    <w:rsid w:val="00C70E94"/>
    <w:rsid w:val="00C71434"/>
    <w:rsid w:val="00C715CA"/>
    <w:rsid w:val="00C71685"/>
    <w:rsid w:val="00C71987"/>
    <w:rsid w:val="00C719A7"/>
    <w:rsid w:val="00C71A5D"/>
    <w:rsid w:val="00C71FA4"/>
    <w:rsid w:val="00C72046"/>
    <w:rsid w:val="00C72055"/>
    <w:rsid w:val="00C721CC"/>
    <w:rsid w:val="00C721E4"/>
    <w:rsid w:val="00C721FE"/>
    <w:rsid w:val="00C72285"/>
    <w:rsid w:val="00C72620"/>
    <w:rsid w:val="00C727EE"/>
    <w:rsid w:val="00C72A99"/>
    <w:rsid w:val="00C72B21"/>
    <w:rsid w:val="00C72C36"/>
    <w:rsid w:val="00C72D5D"/>
    <w:rsid w:val="00C72D87"/>
    <w:rsid w:val="00C72EEC"/>
    <w:rsid w:val="00C73144"/>
    <w:rsid w:val="00C73340"/>
    <w:rsid w:val="00C73449"/>
    <w:rsid w:val="00C734F0"/>
    <w:rsid w:val="00C736E7"/>
    <w:rsid w:val="00C73E47"/>
    <w:rsid w:val="00C73E94"/>
    <w:rsid w:val="00C7440B"/>
    <w:rsid w:val="00C74431"/>
    <w:rsid w:val="00C74BA9"/>
    <w:rsid w:val="00C74C0D"/>
    <w:rsid w:val="00C74C33"/>
    <w:rsid w:val="00C74E85"/>
    <w:rsid w:val="00C74F15"/>
    <w:rsid w:val="00C7503B"/>
    <w:rsid w:val="00C750F7"/>
    <w:rsid w:val="00C7519E"/>
    <w:rsid w:val="00C75892"/>
    <w:rsid w:val="00C758A6"/>
    <w:rsid w:val="00C759DF"/>
    <w:rsid w:val="00C75CC5"/>
    <w:rsid w:val="00C75CE1"/>
    <w:rsid w:val="00C75D6E"/>
    <w:rsid w:val="00C761AC"/>
    <w:rsid w:val="00C76332"/>
    <w:rsid w:val="00C76612"/>
    <w:rsid w:val="00C76683"/>
    <w:rsid w:val="00C7673B"/>
    <w:rsid w:val="00C767E9"/>
    <w:rsid w:val="00C768D1"/>
    <w:rsid w:val="00C769A3"/>
    <w:rsid w:val="00C76AAB"/>
    <w:rsid w:val="00C76B4C"/>
    <w:rsid w:val="00C76C0B"/>
    <w:rsid w:val="00C7768E"/>
    <w:rsid w:val="00C77833"/>
    <w:rsid w:val="00C77A21"/>
    <w:rsid w:val="00C77BF4"/>
    <w:rsid w:val="00C77E3D"/>
    <w:rsid w:val="00C801BD"/>
    <w:rsid w:val="00C803C5"/>
    <w:rsid w:val="00C80AFF"/>
    <w:rsid w:val="00C80DE1"/>
    <w:rsid w:val="00C80E86"/>
    <w:rsid w:val="00C8107B"/>
    <w:rsid w:val="00C810A6"/>
    <w:rsid w:val="00C81459"/>
    <w:rsid w:val="00C81584"/>
    <w:rsid w:val="00C8188E"/>
    <w:rsid w:val="00C8196E"/>
    <w:rsid w:val="00C81A12"/>
    <w:rsid w:val="00C81BC6"/>
    <w:rsid w:val="00C81C3C"/>
    <w:rsid w:val="00C81CE6"/>
    <w:rsid w:val="00C81F22"/>
    <w:rsid w:val="00C81F94"/>
    <w:rsid w:val="00C81FCF"/>
    <w:rsid w:val="00C82261"/>
    <w:rsid w:val="00C8232C"/>
    <w:rsid w:val="00C82480"/>
    <w:rsid w:val="00C824E4"/>
    <w:rsid w:val="00C8255E"/>
    <w:rsid w:val="00C826A4"/>
    <w:rsid w:val="00C828DB"/>
    <w:rsid w:val="00C8296F"/>
    <w:rsid w:val="00C8298F"/>
    <w:rsid w:val="00C82AED"/>
    <w:rsid w:val="00C82AEE"/>
    <w:rsid w:val="00C82D42"/>
    <w:rsid w:val="00C82E65"/>
    <w:rsid w:val="00C82EE5"/>
    <w:rsid w:val="00C8354F"/>
    <w:rsid w:val="00C8369D"/>
    <w:rsid w:val="00C83902"/>
    <w:rsid w:val="00C839DA"/>
    <w:rsid w:val="00C83AAF"/>
    <w:rsid w:val="00C8401D"/>
    <w:rsid w:val="00C8414C"/>
    <w:rsid w:val="00C84203"/>
    <w:rsid w:val="00C84342"/>
    <w:rsid w:val="00C844AB"/>
    <w:rsid w:val="00C845A7"/>
    <w:rsid w:val="00C846BE"/>
    <w:rsid w:val="00C84816"/>
    <w:rsid w:val="00C8484B"/>
    <w:rsid w:val="00C84908"/>
    <w:rsid w:val="00C849CF"/>
    <w:rsid w:val="00C84B30"/>
    <w:rsid w:val="00C84C02"/>
    <w:rsid w:val="00C84E08"/>
    <w:rsid w:val="00C84F0F"/>
    <w:rsid w:val="00C852AA"/>
    <w:rsid w:val="00C853DF"/>
    <w:rsid w:val="00C85443"/>
    <w:rsid w:val="00C8596C"/>
    <w:rsid w:val="00C859B0"/>
    <w:rsid w:val="00C859D1"/>
    <w:rsid w:val="00C85A36"/>
    <w:rsid w:val="00C85C9C"/>
    <w:rsid w:val="00C85CEF"/>
    <w:rsid w:val="00C85E0B"/>
    <w:rsid w:val="00C85E6D"/>
    <w:rsid w:val="00C85ECC"/>
    <w:rsid w:val="00C8606C"/>
    <w:rsid w:val="00C86849"/>
    <w:rsid w:val="00C86854"/>
    <w:rsid w:val="00C86916"/>
    <w:rsid w:val="00C86934"/>
    <w:rsid w:val="00C86A89"/>
    <w:rsid w:val="00C86B0A"/>
    <w:rsid w:val="00C87120"/>
    <w:rsid w:val="00C876F1"/>
    <w:rsid w:val="00C876F6"/>
    <w:rsid w:val="00C87879"/>
    <w:rsid w:val="00C87AC6"/>
    <w:rsid w:val="00C87B80"/>
    <w:rsid w:val="00C87CC8"/>
    <w:rsid w:val="00C87D5A"/>
    <w:rsid w:val="00C87EB1"/>
    <w:rsid w:val="00C87F5E"/>
    <w:rsid w:val="00C9018F"/>
    <w:rsid w:val="00C902BA"/>
    <w:rsid w:val="00C90490"/>
    <w:rsid w:val="00C905BC"/>
    <w:rsid w:val="00C909EB"/>
    <w:rsid w:val="00C90A94"/>
    <w:rsid w:val="00C90B5D"/>
    <w:rsid w:val="00C90B93"/>
    <w:rsid w:val="00C90C04"/>
    <w:rsid w:val="00C90C2C"/>
    <w:rsid w:val="00C90C74"/>
    <w:rsid w:val="00C9126F"/>
    <w:rsid w:val="00C91583"/>
    <w:rsid w:val="00C915F8"/>
    <w:rsid w:val="00C9161F"/>
    <w:rsid w:val="00C918A6"/>
    <w:rsid w:val="00C91A10"/>
    <w:rsid w:val="00C920A1"/>
    <w:rsid w:val="00C922D6"/>
    <w:rsid w:val="00C92311"/>
    <w:rsid w:val="00C92394"/>
    <w:rsid w:val="00C92696"/>
    <w:rsid w:val="00C926CB"/>
    <w:rsid w:val="00C9275B"/>
    <w:rsid w:val="00C929DA"/>
    <w:rsid w:val="00C92BE8"/>
    <w:rsid w:val="00C92D57"/>
    <w:rsid w:val="00C92DBB"/>
    <w:rsid w:val="00C92DF4"/>
    <w:rsid w:val="00C92E46"/>
    <w:rsid w:val="00C9304A"/>
    <w:rsid w:val="00C930F3"/>
    <w:rsid w:val="00C931DE"/>
    <w:rsid w:val="00C933DE"/>
    <w:rsid w:val="00C93417"/>
    <w:rsid w:val="00C934DC"/>
    <w:rsid w:val="00C93787"/>
    <w:rsid w:val="00C93846"/>
    <w:rsid w:val="00C9393B"/>
    <w:rsid w:val="00C939CB"/>
    <w:rsid w:val="00C93E6C"/>
    <w:rsid w:val="00C9403C"/>
    <w:rsid w:val="00C9404C"/>
    <w:rsid w:val="00C9407C"/>
    <w:rsid w:val="00C94081"/>
    <w:rsid w:val="00C942B3"/>
    <w:rsid w:val="00C942B7"/>
    <w:rsid w:val="00C9466C"/>
    <w:rsid w:val="00C94B13"/>
    <w:rsid w:val="00C94B8B"/>
    <w:rsid w:val="00C94EDC"/>
    <w:rsid w:val="00C94F6B"/>
    <w:rsid w:val="00C9520A"/>
    <w:rsid w:val="00C95655"/>
    <w:rsid w:val="00C95835"/>
    <w:rsid w:val="00C958D1"/>
    <w:rsid w:val="00C959C1"/>
    <w:rsid w:val="00C959CA"/>
    <w:rsid w:val="00C95A1D"/>
    <w:rsid w:val="00C963DE"/>
    <w:rsid w:val="00C964CF"/>
    <w:rsid w:val="00C96671"/>
    <w:rsid w:val="00C969D4"/>
    <w:rsid w:val="00C96BE1"/>
    <w:rsid w:val="00C96FB6"/>
    <w:rsid w:val="00C97198"/>
    <w:rsid w:val="00C972D0"/>
    <w:rsid w:val="00C97631"/>
    <w:rsid w:val="00C978DC"/>
    <w:rsid w:val="00C97AF5"/>
    <w:rsid w:val="00C97F10"/>
    <w:rsid w:val="00CA0018"/>
    <w:rsid w:val="00CA002B"/>
    <w:rsid w:val="00CA0178"/>
    <w:rsid w:val="00CA055B"/>
    <w:rsid w:val="00CA056D"/>
    <w:rsid w:val="00CA059D"/>
    <w:rsid w:val="00CA06E7"/>
    <w:rsid w:val="00CA09D2"/>
    <w:rsid w:val="00CA09F9"/>
    <w:rsid w:val="00CA0C26"/>
    <w:rsid w:val="00CA0CE1"/>
    <w:rsid w:val="00CA0DAE"/>
    <w:rsid w:val="00CA0FE2"/>
    <w:rsid w:val="00CA0FF1"/>
    <w:rsid w:val="00CA10AB"/>
    <w:rsid w:val="00CA11B6"/>
    <w:rsid w:val="00CA11FC"/>
    <w:rsid w:val="00CA1291"/>
    <w:rsid w:val="00CA12C7"/>
    <w:rsid w:val="00CA1466"/>
    <w:rsid w:val="00CA148E"/>
    <w:rsid w:val="00CA15A7"/>
    <w:rsid w:val="00CA18C5"/>
    <w:rsid w:val="00CA1D86"/>
    <w:rsid w:val="00CA2181"/>
    <w:rsid w:val="00CA25AB"/>
    <w:rsid w:val="00CA260D"/>
    <w:rsid w:val="00CA2AA7"/>
    <w:rsid w:val="00CA2BDF"/>
    <w:rsid w:val="00CA2C9C"/>
    <w:rsid w:val="00CA2CFF"/>
    <w:rsid w:val="00CA2F28"/>
    <w:rsid w:val="00CA31F5"/>
    <w:rsid w:val="00CA366B"/>
    <w:rsid w:val="00CA3732"/>
    <w:rsid w:val="00CA3888"/>
    <w:rsid w:val="00CA3DBA"/>
    <w:rsid w:val="00CA3F7A"/>
    <w:rsid w:val="00CA3F9C"/>
    <w:rsid w:val="00CA42DC"/>
    <w:rsid w:val="00CA433E"/>
    <w:rsid w:val="00CA43DA"/>
    <w:rsid w:val="00CA4686"/>
    <w:rsid w:val="00CA47DF"/>
    <w:rsid w:val="00CA4839"/>
    <w:rsid w:val="00CA48BB"/>
    <w:rsid w:val="00CA4D6A"/>
    <w:rsid w:val="00CA4E08"/>
    <w:rsid w:val="00CA5352"/>
    <w:rsid w:val="00CA54C9"/>
    <w:rsid w:val="00CA5807"/>
    <w:rsid w:val="00CA5927"/>
    <w:rsid w:val="00CA5A0D"/>
    <w:rsid w:val="00CA5A83"/>
    <w:rsid w:val="00CA5AD1"/>
    <w:rsid w:val="00CA5E04"/>
    <w:rsid w:val="00CA6054"/>
    <w:rsid w:val="00CA63CB"/>
    <w:rsid w:val="00CA648A"/>
    <w:rsid w:val="00CA64E8"/>
    <w:rsid w:val="00CA64ED"/>
    <w:rsid w:val="00CA65CE"/>
    <w:rsid w:val="00CA66DD"/>
    <w:rsid w:val="00CA6753"/>
    <w:rsid w:val="00CA680A"/>
    <w:rsid w:val="00CA69AC"/>
    <w:rsid w:val="00CA69D8"/>
    <w:rsid w:val="00CA6A44"/>
    <w:rsid w:val="00CA6AAB"/>
    <w:rsid w:val="00CA6E94"/>
    <w:rsid w:val="00CA6F83"/>
    <w:rsid w:val="00CA7070"/>
    <w:rsid w:val="00CA71C6"/>
    <w:rsid w:val="00CA71D2"/>
    <w:rsid w:val="00CA71EC"/>
    <w:rsid w:val="00CA73ED"/>
    <w:rsid w:val="00CA750D"/>
    <w:rsid w:val="00CA75A0"/>
    <w:rsid w:val="00CA75B3"/>
    <w:rsid w:val="00CA787D"/>
    <w:rsid w:val="00CA7884"/>
    <w:rsid w:val="00CA789D"/>
    <w:rsid w:val="00CA78A4"/>
    <w:rsid w:val="00CA79EE"/>
    <w:rsid w:val="00CA7BF9"/>
    <w:rsid w:val="00CA7D4A"/>
    <w:rsid w:val="00CA7D7D"/>
    <w:rsid w:val="00CB01D6"/>
    <w:rsid w:val="00CB0343"/>
    <w:rsid w:val="00CB07A8"/>
    <w:rsid w:val="00CB08FC"/>
    <w:rsid w:val="00CB0977"/>
    <w:rsid w:val="00CB0EFC"/>
    <w:rsid w:val="00CB1027"/>
    <w:rsid w:val="00CB1291"/>
    <w:rsid w:val="00CB12DF"/>
    <w:rsid w:val="00CB13E9"/>
    <w:rsid w:val="00CB18C9"/>
    <w:rsid w:val="00CB1A26"/>
    <w:rsid w:val="00CB1BAF"/>
    <w:rsid w:val="00CB202B"/>
    <w:rsid w:val="00CB2072"/>
    <w:rsid w:val="00CB2821"/>
    <w:rsid w:val="00CB2908"/>
    <w:rsid w:val="00CB2AC3"/>
    <w:rsid w:val="00CB2B07"/>
    <w:rsid w:val="00CB2C26"/>
    <w:rsid w:val="00CB2C77"/>
    <w:rsid w:val="00CB2E5A"/>
    <w:rsid w:val="00CB32BF"/>
    <w:rsid w:val="00CB35FA"/>
    <w:rsid w:val="00CB3601"/>
    <w:rsid w:val="00CB375B"/>
    <w:rsid w:val="00CB375D"/>
    <w:rsid w:val="00CB37B9"/>
    <w:rsid w:val="00CB38A2"/>
    <w:rsid w:val="00CB398A"/>
    <w:rsid w:val="00CB3A45"/>
    <w:rsid w:val="00CB3BD1"/>
    <w:rsid w:val="00CB3C96"/>
    <w:rsid w:val="00CB3D42"/>
    <w:rsid w:val="00CB403A"/>
    <w:rsid w:val="00CB4334"/>
    <w:rsid w:val="00CB45F8"/>
    <w:rsid w:val="00CB467D"/>
    <w:rsid w:val="00CB46AA"/>
    <w:rsid w:val="00CB485A"/>
    <w:rsid w:val="00CB4865"/>
    <w:rsid w:val="00CB4941"/>
    <w:rsid w:val="00CB4EB5"/>
    <w:rsid w:val="00CB4F8C"/>
    <w:rsid w:val="00CB508B"/>
    <w:rsid w:val="00CB51EA"/>
    <w:rsid w:val="00CB5389"/>
    <w:rsid w:val="00CB53B6"/>
    <w:rsid w:val="00CB549E"/>
    <w:rsid w:val="00CB54A8"/>
    <w:rsid w:val="00CB556B"/>
    <w:rsid w:val="00CB57E5"/>
    <w:rsid w:val="00CB5849"/>
    <w:rsid w:val="00CB620B"/>
    <w:rsid w:val="00CB6583"/>
    <w:rsid w:val="00CB66C9"/>
    <w:rsid w:val="00CB6728"/>
    <w:rsid w:val="00CB6827"/>
    <w:rsid w:val="00CB6D75"/>
    <w:rsid w:val="00CB73AA"/>
    <w:rsid w:val="00CB77B3"/>
    <w:rsid w:val="00CB7944"/>
    <w:rsid w:val="00CB7B6F"/>
    <w:rsid w:val="00CB7C72"/>
    <w:rsid w:val="00CB7EA4"/>
    <w:rsid w:val="00CB7F8C"/>
    <w:rsid w:val="00CB7FC1"/>
    <w:rsid w:val="00CB8079"/>
    <w:rsid w:val="00CC036D"/>
    <w:rsid w:val="00CC06A7"/>
    <w:rsid w:val="00CC07B1"/>
    <w:rsid w:val="00CC0A50"/>
    <w:rsid w:val="00CC0ACE"/>
    <w:rsid w:val="00CC0B3B"/>
    <w:rsid w:val="00CC0E11"/>
    <w:rsid w:val="00CC10E1"/>
    <w:rsid w:val="00CC1122"/>
    <w:rsid w:val="00CC11F0"/>
    <w:rsid w:val="00CC1272"/>
    <w:rsid w:val="00CC13FD"/>
    <w:rsid w:val="00CC14F2"/>
    <w:rsid w:val="00CC1548"/>
    <w:rsid w:val="00CC16CB"/>
    <w:rsid w:val="00CC1A0A"/>
    <w:rsid w:val="00CC1CF0"/>
    <w:rsid w:val="00CC2114"/>
    <w:rsid w:val="00CC267D"/>
    <w:rsid w:val="00CC267F"/>
    <w:rsid w:val="00CC272D"/>
    <w:rsid w:val="00CC2CCB"/>
    <w:rsid w:val="00CC2E83"/>
    <w:rsid w:val="00CC2F66"/>
    <w:rsid w:val="00CC3174"/>
    <w:rsid w:val="00CC317A"/>
    <w:rsid w:val="00CC31DC"/>
    <w:rsid w:val="00CC342C"/>
    <w:rsid w:val="00CC3541"/>
    <w:rsid w:val="00CC3543"/>
    <w:rsid w:val="00CC3684"/>
    <w:rsid w:val="00CC39DB"/>
    <w:rsid w:val="00CC3BE5"/>
    <w:rsid w:val="00CC4201"/>
    <w:rsid w:val="00CC43AE"/>
    <w:rsid w:val="00CC4788"/>
    <w:rsid w:val="00CC47B2"/>
    <w:rsid w:val="00CC4F51"/>
    <w:rsid w:val="00CC4F73"/>
    <w:rsid w:val="00CC4FED"/>
    <w:rsid w:val="00CC52FC"/>
    <w:rsid w:val="00CC547E"/>
    <w:rsid w:val="00CC55A3"/>
    <w:rsid w:val="00CC5617"/>
    <w:rsid w:val="00CC59F5"/>
    <w:rsid w:val="00CC5A17"/>
    <w:rsid w:val="00CC5B52"/>
    <w:rsid w:val="00CC5C40"/>
    <w:rsid w:val="00CC5FD9"/>
    <w:rsid w:val="00CC62FD"/>
    <w:rsid w:val="00CC6829"/>
    <w:rsid w:val="00CC6849"/>
    <w:rsid w:val="00CC684A"/>
    <w:rsid w:val="00CC6AF8"/>
    <w:rsid w:val="00CC71D3"/>
    <w:rsid w:val="00CC7278"/>
    <w:rsid w:val="00CC72A2"/>
    <w:rsid w:val="00CC72B8"/>
    <w:rsid w:val="00CC72DD"/>
    <w:rsid w:val="00CC7313"/>
    <w:rsid w:val="00CC756D"/>
    <w:rsid w:val="00CC756F"/>
    <w:rsid w:val="00CC77E4"/>
    <w:rsid w:val="00CC789D"/>
    <w:rsid w:val="00CC79A7"/>
    <w:rsid w:val="00CC7A52"/>
    <w:rsid w:val="00CC7C08"/>
    <w:rsid w:val="00CC7F5F"/>
    <w:rsid w:val="00CC7F60"/>
    <w:rsid w:val="00CC7F9E"/>
    <w:rsid w:val="00CD000F"/>
    <w:rsid w:val="00CD03E6"/>
    <w:rsid w:val="00CD04CF"/>
    <w:rsid w:val="00CD061F"/>
    <w:rsid w:val="00CD0693"/>
    <w:rsid w:val="00CD06EC"/>
    <w:rsid w:val="00CD07D3"/>
    <w:rsid w:val="00CD11F8"/>
    <w:rsid w:val="00CD12E3"/>
    <w:rsid w:val="00CD13B0"/>
    <w:rsid w:val="00CD13BD"/>
    <w:rsid w:val="00CD1442"/>
    <w:rsid w:val="00CD1474"/>
    <w:rsid w:val="00CD1621"/>
    <w:rsid w:val="00CD17B9"/>
    <w:rsid w:val="00CD196D"/>
    <w:rsid w:val="00CD1AE0"/>
    <w:rsid w:val="00CD1D1A"/>
    <w:rsid w:val="00CD1DA0"/>
    <w:rsid w:val="00CD1F68"/>
    <w:rsid w:val="00CD2135"/>
    <w:rsid w:val="00CD269C"/>
    <w:rsid w:val="00CD274A"/>
    <w:rsid w:val="00CD2902"/>
    <w:rsid w:val="00CD2CC5"/>
    <w:rsid w:val="00CD2F62"/>
    <w:rsid w:val="00CD2F87"/>
    <w:rsid w:val="00CD3019"/>
    <w:rsid w:val="00CD30E6"/>
    <w:rsid w:val="00CD3112"/>
    <w:rsid w:val="00CD31B5"/>
    <w:rsid w:val="00CD3215"/>
    <w:rsid w:val="00CD3239"/>
    <w:rsid w:val="00CD33DB"/>
    <w:rsid w:val="00CD3472"/>
    <w:rsid w:val="00CD3934"/>
    <w:rsid w:val="00CD3A76"/>
    <w:rsid w:val="00CD3AD0"/>
    <w:rsid w:val="00CD3C44"/>
    <w:rsid w:val="00CD3C45"/>
    <w:rsid w:val="00CD405E"/>
    <w:rsid w:val="00CD4C7B"/>
    <w:rsid w:val="00CD517C"/>
    <w:rsid w:val="00CD52F2"/>
    <w:rsid w:val="00CD536A"/>
    <w:rsid w:val="00CD53CB"/>
    <w:rsid w:val="00CD570B"/>
    <w:rsid w:val="00CD5793"/>
    <w:rsid w:val="00CD5BEE"/>
    <w:rsid w:val="00CD5D4D"/>
    <w:rsid w:val="00CD5E0E"/>
    <w:rsid w:val="00CD5E1C"/>
    <w:rsid w:val="00CD5FE2"/>
    <w:rsid w:val="00CD601C"/>
    <w:rsid w:val="00CD60D5"/>
    <w:rsid w:val="00CD62D3"/>
    <w:rsid w:val="00CD62ED"/>
    <w:rsid w:val="00CD6327"/>
    <w:rsid w:val="00CD662B"/>
    <w:rsid w:val="00CD6AEB"/>
    <w:rsid w:val="00CD6FF0"/>
    <w:rsid w:val="00CD7445"/>
    <w:rsid w:val="00CD78AC"/>
    <w:rsid w:val="00CD78EA"/>
    <w:rsid w:val="00CD7A48"/>
    <w:rsid w:val="00CD7C95"/>
    <w:rsid w:val="00CE03B7"/>
    <w:rsid w:val="00CE0470"/>
    <w:rsid w:val="00CE0694"/>
    <w:rsid w:val="00CE07B4"/>
    <w:rsid w:val="00CE0F6C"/>
    <w:rsid w:val="00CE119E"/>
    <w:rsid w:val="00CE1277"/>
    <w:rsid w:val="00CE128D"/>
    <w:rsid w:val="00CE13F9"/>
    <w:rsid w:val="00CE1600"/>
    <w:rsid w:val="00CE181B"/>
    <w:rsid w:val="00CE198C"/>
    <w:rsid w:val="00CE1B30"/>
    <w:rsid w:val="00CE1BE6"/>
    <w:rsid w:val="00CE209B"/>
    <w:rsid w:val="00CE2549"/>
    <w:rsid w:val="00CE2690"/>
    <w:rsid w:val="00CE27C1"/>
    <w:rsid w:val="00CE29F8"/>
    <w:rsid w:val="00CE2A73"/>
    <w:rsid w:val="00CE2B16"/>
    <w:rsid w:val="00CE2B73"/>
    <w:rsid w:val="00CE2B78"/>
    <w:rsid w:val="00CE2CC5"/>
    <w:rsid w:val="00CE2DBA"/>
    <w:rsid w:val="00CE2F41"/>
    <w:rsid w:val="00CE325F"/>
    <w:rsid w:val="00CE353B"/>
    <w:rsid w:val="00CE3614"/>
    <w:rsid w:val="00CE3B08"/>
    <w:rsid w:val="00CE3DDC"/>
    <w:rsid w:val="00CE436D"/>
    <w:rsid w:val="00CE43A9"/>
    <w:rsid w:val="00CE4405"/>
    <w:rsid w:val="00CE4503"/>
    <w:rsid w:val="00CE463B"/>
    <w:rsid w:val="00CE47A9"/>
    <w:rsid w:val="00CE47CD"/>
    <w:rsid w:val="00CE4842"/>
    <w:rsid w:val="00CE4885"/>
    <w:rsid w:val="00CE4992"/>
    <w:rsid w:val="00CE4A93"/>
    <w:rsid w:val="00CE4C64"/>
    <w:rsid w:val="00CE4D5A"/>
    <w:rsid w:val="00CE4E2F"/>
    <w:rsid w:val="00CE51B2"/>
    <w:rsid w:val="00CE546F"/>
    <w:rsid w:val="00CE55F4"/>
    <w:rsid w:val="00CE56F3"/>
    <w:rsid w:val="00CE577C"/>
    <w:rsid w:val="00CE57E9"/>
    <w:rsid w:val="00CE5848"/>
    <w:rsid w:val="00CE5BAA"/>
    <w:rsid w:val="00CE5E7B"/>
    <w:rsid w:val="00CE6014"/>
    <w:rsid w:val="00CE601C"/>
    <w:rsid w:val="00CE6236"/>
    <w:rsid w:val="00CE62C2"/>
    <w:rsid w:val="00CE6526"/>
    <w:rsid w:val="00CE6C09"/>
    <w:rsid w:val="00CE6C1F"/>
    <w:rsid w:val="00CE6D1A"/>
    <w:rsid w:val="00CE702F"/>
    <w:rsid w:val="00CE7062"/>
    <w:rsid w:val="00CE732D"/>
    <w:rsid w:val="00CE73D4"/>
    <w:rsid w:val="00CE74A3"/>
    <w:rsid w:val="00CE7A3F"/>
    <w:rsid w:val="00CE7E46"/>
    <w:rsid w:val="00CE7F92"/>
    <w:rsid w:val="00CF03D7"/>
    <w:rsid w:val="00CF0583"/>
    <w:rsid w:val="00CF06C0"/>
    <w:rsid w:val="00CF0A8C"/>
    <w:rsid w:val="00CF0B30"/>
    <w:rsid w:val="00CF0D1A"/>
    <w:rsid w:val="00CF0D3D"/>
    <w:rsid w:val="00CF0DE7"/>
    <w:rsid w:val="00CF0F42"/>
    <w:rsid w:val="00CF1176"/>
    <w:rsid w:val="00CF1405"/>
    <w:rsid w:val="00CF14B9"/>
    <w:rsid w:val="00CF1670"/>
    <w:rsid w:val="00CF1729"/>
    <w:rsid w:val="00CF17A6"/>
    <w:rsid w:val="00CF1836"/>
    <w:rsid w:val="00CF1AA8"/>
    <w:rsid w:val="00CF1B83"/>
    <w:rsid w:val="00CF1CB4"/>
    <w:rsid w:val="00CF1E60"/>
    <w:rsid w:val="00CF1E93"/>
    <w:rsid w:val="00CF224F"/>
    <w:rsid w:val="00CF23FF"/>
    <w:rsid w:val="00CF2427"/>
    <w:rsid w:val="00CF28DC"/>
    <w:rsid w:val="00CF2981"/>
    <w:rsid w:val="00CF2B76"/>
    <w:rsid w:val="00CF2BB1"/>
    <w:rsid w:val="00CF2C91"/>
    <w:rsid w:val="00CF2E55"/>
    <w:rsid w:val="00CF2F45"/>
    <w:rsid w:val="00CF31AD"/>
    <w:rsid w:val="00CF3401"/>
    <w:rsid w:val="00CF34B9"/>
    <w:rsid w:val="00CF3654"/>
    <w:rsid w:val="00CF37E8"/>
    <w:rsid w:val="00CF39A3"/>
    <w:rsid w:val="00CF3EF8"/>
    <w:rsid w:val="00CF3FB1"/>
    <w:rsid w:val="00CF4240"/>
    <w:rsid w:val="00CF437B"/>
    <w:rsid w:val="00CF43F9"/>
    <w:rsid w:val="00CF44A0"/>
    <w:rsid w:val="00CF46E0"/>
    <w:rsid w:val="00CF4933"/>
    <w:rsid w:val="00CF499C"/>
    <w:rsid w:val="00CF4A47"/>
    <w:rsid w:val="00CF4AEE"/>
    <w:rsid w:val="00CF4DD0"/>
    <w:rsid w:val="00CF4E7D"/>
    <w:rsid w:val="00CF5678"/>
    <w:rsid w:val="00CF56DC"/>
    <w:rsid w:val="00CF5C2B"/>
    <w:rsid w:val="00CF5C40"/>
    <w:rsid w:val="00CF5EAD"/>
    <w:rsid w:val="00CF5FC7"/>
    <w:rsid w:val="00CF6485"/>
    <w:rsid w:val="00CF6545"/>
    <w:rsid w:val="00CF671E"/>
    <w:rsid w:val="00CF6884"/>
    <w:rsid w:val="00CF6A38"/>
    <w:rsid w:val="00CF6D89"/>
    <w:rsid w:val="00CF6EDD"/>
    <w:rsid w:val="00CF7301"/>
    <w:rsid w:val="00CF7ACD"/>
    <w:rsid w:val="00CF7BAC"/>
    <w:rsid w:val="00CF7E2F"/>
    <w:rsid w:val="00CF7F97"/>
    <w:rsid w:val="00CF7FA2"/>
    <w:rsid w:val="00CFF3FD"/>
    <w:rsid w:val="00D0015D"/>
    <w:rsid w:val="00D00359"/>
    <w:rsid w:val="00D00C66"/>
    <w:rsid w:val="00D0112F"/>
    <w:rsid w:val="00D017DB"/>
    <w:rsid w:val="00D019E1"/>
    <w:rsid w:val="00D01C86"/>
    <w:rsid w:val="00D01D00"/>
    <w:rsid w:val="00D01D6E"/>
    <w:rsid w:val="00D01F9F"/>
    <w:rsid w:val="00D021F9"/>
    <w:rsid w:val="00D0226A"/>
    <w:rsid w:val="00D026CF"/>
    <w:rsid w:val="00D026F7"/>
    <w:rsid w:val="00D02886"/>
    <w:rsid w:val="00D029FD"/>
    <w:rsid w:val="00D02AFD"/>
    <w:rsid w:val="00D02B2A"/>
    <w:rsid w:val="00D02E89"/>
    <w:rsid w:val="00D02F9E"/>
    <w:rsid w:val="00D034DD"/>
    <w:rsid w:val="00D0381B"/>
    <w:rsid w:val="00D03A29"/>
    <w:rsid w:val="00D03B21"/>
    <w:rsid w:val="00D03C18"/>
    <w:rsid w:val="00D03C71"/>
    <w:rsid w:val="00D03D75"/>
    <w:rsid w:val="00D04147"/>
    <w:rsid w:val="00D041DA"/>
    <w:rsid w:val="00D042D2"/>
    <w:rsid w:val="00D045E8"/>
    <w:rsid w:val="00D047B7"/>
    <w:rsid w:val="00D04952"/>
    <w:rsid w:val="00D04971"/>
    <w:rsid w:val="00D04A5F"/>
    <w:rsid w:val="00D04BF5"/>
    <w:rsid w:val="00D04D18"/>
    <w:rsid w:val="00D04DD4"/>
    <w:rsid w:val="00D04FE7"/>
    <w:rsid w:val="00D050BD"/>
    <w:rsid w:val="00D0570C"/>
    <w:rsid w:val="00D05769"/>
    <w:rsid w:val="00D05AC1"/>
    <w:rsid w:val="00D05BB9"/>
    <w:rsid w:val="00D05DCF"/>
    <w:rsid w:val="00D05E9D"/>
    <w:rsid w:val="00D060D5"/>
    <w:rsid w:val="00D062A5"/>
    <w:rsid w:val="00D062AD"/>
    <w:rsid w:val="00D06351"/>
    <w:rsid w:val="00D063BF"/>
    <w:rsid w:val="00D06447"/>
    <w:rsid w:val="00D0651B"/>
    <w:rsid w:val="00D065BC"/>
    <w:rsid w:val="00D06A16"/>
    <w:rsid w:val="00D06C59"/>
    <w:rsid w:val="00D06EAF"/>
    <w:rsid w:val="00D06FC3"/>
    <w:rsid w:val="00D0723C"/>
    <w:rsid w:val="00D073D9"/>
    <w:rsid w:val="00D0750B"/>
    <w:rsid w:val="00D07706"/>
    <w:rsid w:val="00D10167"/>
    <w:rsid w:val="00D1046D"/>
    <w:rsid w:val="00D105CB"/>
    <w:rsid w:val="00D1060F"/>
    <w:rsid w:val="00D10770"/>
    <w:rsid w:val="00D1078F"/>
    <w:rsid w:val="00D107DA"/>
    <w:rsid w:val="00D1085F"/>
    <w:rsid w:val="00D10B33"/>
    <w:rsid w:val="00D10B4F"/>
    <w:rsid w:val="00D10E22"/>
    <w:rsid w:val="00D10E60"/>
    <w:rsid w:val="00D10FE4"/>
    <w:rsid w:val="00D11242"/>
    <w:rsid w:val="00D112DC"/>
    <w:rsid w:val="00D1165E"/>
    <w:rsid w:val="00D11A24"/>
    <w:rsid w:val="00D11AFE"/>
    <w:rsid w:val="00D11CF7"/>
    <w:rsid w:val="00D11D32"/>
    <w:rsid w:val="00D11F11"/>
    <w:rsid w:val="00D12083"/>
    <w:rsid w:val="00D12263"/>
    <w:rsid w:val="00D12374"/>
    <w:rsid w:val="00D12550"/>
    <w:rsid w:val="00D12721"/>
    <w:rsid w:val="00D127BB"/>
    <w:rsid w:val="00D12A71"/>
    <w:rsid w:val="00D12B04"/>
    <w:rsid w:val="00D12B7B"/>
    <w:rsid w:val="00D12B7E"/>
    <w:rsid w:val="00D12CAF"/>
    <w:rsid w:val="00D12CD2"/>
    <w:rsid w:val="00D12CDF"/>
    <w:rsid w:val="00D12D39"/>
    <w:rsid w:val="00D12E01"/>
    <w:rsid w:val="00D12E51"/>
    <w:rsid w:val="00D1300D"/>
    <w:rsid w:val="00D1342A"/>
    <w:rsid w:val="00D13650"/>
    <w:rsid w:val="00D136A4"/>
    <w:rsid w:val="00D137CF"/>
    <w:rsid w:val="00D13966"/>
    <w:rsid w:val="00D13983"/>
    <w:rsid w:val="00D13BCD"/>
    <w:rsid w:val="00D13C25"/>
    <w:rsid w:val="00D13D0D"/>
    <w:rsid w:val="00D13D21"/>
    <w:rsid w:val="00D1410E"/>
    <w:rsid w:val="00D14172"/>
    <w:rsid w:val="00D14577"/>
    <w:rsid w:val="00D145DC"/>
    <w:rsid w:val="00D14884"/>
    <w:rsid w:val="00D14B1A"/>
    <w:rsid w:val="00D14C5B"/>
    <w:rsid w:val="00D14CAB"/>
    <w:rsid w:val="00D14D23"/>
    <w:rsid w:val="00D14F36"/>
    <w:rsid w:val="00D1502B"/>
    <w:rsid w:val="00D1506C"/>
    <w:rsid w:val="00D150A7"/>
    <w:rsid w:val="00D1543E"/>
    <w:rsid w:val="00D154ED"/>
    <w:rsid w:val="00D15645"/>
    <w:rsid w:val="00D15755"/>
    <w:rsid w:val="00D158BD"/>
    <w:rsid w:val="00D15975"/>
    <w:rsid w:val="00D1599C"/>
    <w:rsid w:val="00D15D8B"/>
    <w:rsid w:val="00D15D98"/>
    <w:rsid w:val="00D162C4"/>
    <w:rsid w:val="00D166F1"/>
    <w:rsid w:val="00D16BD7"/>
    <w:rsid w:val="00D16C56"/>
    <w:rsid w:val="00D16D6D"/>
    <w:rsid w:val="00D16FD7"/>
    <w:rsid w:val="00D17033"/>
    <w:rsid w:val="00D174CC"/>
    <w:rsid w:val="00D1752C"/>
    <w:rsid w:val="00D17633"/>
    <w:rsid w:val="00D177BD"/>
    <w:rsid w:val="00D17815"/>
    <w:rsid w:val="00D178C7"/>
    <w:rsid w:val="00D17984"/>
    <w:rsid w:val="00D17B25"/>
    <w:rsid w:val="00D17B2E"/>
    <w:rsid w:val="00D17C84"/>
    <w:rsid w:val="00D17E17"/>
    <w:rsid w:val="00D17F8E"/>
    <w:rsid w:val="00D2002B"/>
    <w:rsid w:val="00D200BE"/>
    <w:rsid w:val="00D20576"/>
    <w:rsid w:val="00D206A4"/>
    <w:rsid w:val="00D20720"/>
    <w:rsid w:val="00D208EA"/>
    <w:rsid w:val="00D20B05"/>
    <w:rsid w:val="00D20B87"/>
    <w:rsid w:val="00D20D82"/>
    <w:rsid w:val="00D20E3A"/>
    <w:rsid w:val="00D210E3"/>
    <w:rsid w:val="00D213A8"/>
    <w:rsid w:val="00D214DA"/>
    <w:rsid w:val="00D21655"/>
    <w:rsid w:val="00D219FD"/>
    <w:rsid w:val="00D21AE7"/>
    <w:rsid w:val="00D21B8E"/>
    <w:rsid w:val="00D21D1E"/>
    <w:rsid w:val="00D21DA7"/>
    <w:rsid w:val="00D21EDB"/>
    <w:rsid w:val="00D21F39"/>
    <w:rsid w:val="00D22260"/>
    <w:rsid w:val="00D2244D"/>
    <w:rsid w:val="00D22457"/>
    <w:rsid w:val="00D226D9"/>
    <w:rsid w:val="00D2272E"/>
    <w:rsid w:val="00D228EC"/>
    <w:rsid w:val="00D22A18"/>
    <w:rsid w:val="00D22A6D"/>
    <w:rsid w:val="00D22C85"/>
    <w:rsid w:val="00D22F94"/>
    <w:rsid w:val="00D23207"/>
    <w:rsid w:val="00D232E8"/>
    <w:rsid w:val="00D233E3"/>
    <w:rsid w:val="00D236C1"/>
    <w:rsid w:val="00D23751"/>
    <w:rsid w:val="00D23757"/>
    <w:rsid w:val="00D2389B"/>
    <w:rsid w:val="00D23A21"/>
    <w:rsid w:val="00D23ADA"/>
    <w:rsid w:val="00D23B78"/>
    <w:rsid w:val="00D23C08"/>
    <w:rsid w:val="00D23E9A"/>
    <w:rsid w:val="00D23FEB"/>
    <w:rsid w:val="00D23FF5"/>
    <w:rsid w:val="00D240FB"/>
    <w:rsid w:val="00D242F1"/>
    <w:rsid w:val="00D2436A"/>
    <w:rsid w:val="00D24441"/>
    <w:rsid w:val="00D244C2"/>
    <w:rsid w:val="00D24672"/>
    <w:rsid w:val="00D24812"/>
    <w:rsid w:val="00D24988"/>
    <w:rsid w:val="00D24D4B"/>
    <w:rsid w:val="00D24DAD"/>
    <w:rsid w:val="00D255D3"/>
    <w:rsid w:val="00D257F8"/>
    <w:rsid w:val="00D2581E"/>
    <w:rsid w:val="00D25916"/>
    <w:rsid w:val="00D25A01"/>
    <w:rsid w:val="00D25E97"/>
    <w:rsid w:val="00D25E9A"/>
    <w:rsid w:val="00D25EA8"/>
    <w:rsid w:val="00D25F71"/>
    <w:rsid w:val="00D26021"/>
    <w:rsid w:val="00D261FC"/>
    <w:rsid w:val="00D263E9"/>
    <w:rsid w:val="00D26456"/>
    <w:rsid w:val="00D26522"/>
    <w:rsid w:val="00D26721"/>
    <w:rsid w:val="00D268BA"/>
    <w:rsid w:val="00D26D69"/>
    <w:rsid w:val="00D26D97"/>
    <w:rsid w:val="00D26DEA"/>
    <w:rsid w:val="00D26E28"/>
    <w:rsid w:val="00D27034"/>
    <w:rsid w:val="00D27078"/>
    <w:rsid w:val="00D270B6"/>
    <w:rsid w:val="00D2718E"/>
    <w:rsid w:val="00D275A6"/>
    <w:rsid w:val="00D27710"/>
    <w:rsid w:val="00D27887"/>
    <w:rsid w:val="00D278B6"/>
    <w:rsid w:val="00D278BA"/>
    <w:rsid w:val="00D27A08"/>
    <w:rsid w:val="00D27A80"/>
    <w:rsid w:val="00D3012B"/>
    <w:rsid w:val="00D301EE"/>
    <w:rsid w:val="00D301F1"/>
    <w:rsid w:val="00D30203"/>
    <w:rsid w:val="00D3051C"/>
    <w:rsid w:val="00D30AA5"/>
    <w:rsid w:val="00D30CC3"/>
    <w:rsid w:val="00D30FFC"/>
    <w:rsid w:val="00D3167B"/>
    <w:rsid w:val="00D317C2"/>
    <w:rsid w:val="00D31A68"/>
    <w:rsid w:val="00D31A9A"/>
    <w:rsid w:val="00D31E62"/>
    <w:rsid w:val="00D31E81"/>
    <w:rsid w:val="00D31F07"/>
    <w:rsid w:val="00D326BB"/>
    <w:rsid w:val="00D32960"/>
    <w:rsid w:val="00D329E6"/>
    <w:rsid w:val="00D32A37"/>
    <w:rsid w:val="00D32A8B"/>
    <w:rsid w:val="00D32BDC"/>
    <w:rsid w:val="00D32F1C"/>
    <w:rsid w:val="00D331D1"/>
    <w:rsid w:val="00D33734"/>
    <w:rsid w:val="00D3389C"/>
    <w:rsid w:val="00D33934"/>
    <w:rsid w:val="00D33AA2"/>
    <w:rsid w:val="00D33B26"/>
    <w:rsid w:val="00D33B93"/>
    <w:rsid w:val="00D33E46"/>
    <w:rsid w:val="00D340C0"/>
    <w:rsid w:val="00D3413B"/>
    <w:rsid w:val="00D341A3"/>
    <w:rsid w:val="00D34264"/>
    <w:rsid w:val="00D34350"/>
    <w:rsid w:val="00D343C0"/>
    <w:rsid w:val="00D34743"/>
    <w:rsid w:val="00D347BF"/>
    <w:rsid w:val="00D349C3"/>
    <w:rsid w:val="00D34A90"/>
    <w:rsid w:val="00D34BEA"/>
    <w:rsid w:val="00D34C10"/>
    <w:rsid w:val="00D35061"/>
    <w:rsid w:val="00D35552"/>
    <w:rsid w:val="00D35A66"/>
    <w:rsid w:val="00D35AF5"/>
    <w:rsid w:val="00D35B6A"/>
    <w:rsid w:val="00D35C4F"/>
    <w:rsid w:val="00D35EC8"/>
    <w:rsid w:val="00D35F10"/>
    <w:rsid w:val="00D35FE5"/>
    <w:rsid w:val="00D362A3"/>
    <w:rsid w:val="00D365A6"/>
    <w:rsid w:val="00D366EA"/>
    <w:rsid w:val="00D3670F"/>
    <w:rsid w:val="00D36927"/>
    <w:rsid w:val="00D3696A"/>
    <w:rsid w:val="00D36999"/>
    <w:rsid w:val="00D36D83"/>
    <w:rsid w:val="00D36F18"/>
    <w:rsid w:val="00D37127"/>
    <w:rsid w:val="00D37153"/>
    <w:rsid w:val="00D371A7"/>
    <w:rsid w:val="00D3729A"/>
    <w:rsid w:val="00D37415"/>
    <w:rsid w:val="00D37489"/>
    <w:rsid w:val="00D3757B"/>
    <w:rsid w:val="00D377AD"/>
    <w:rsid w:val="00D37972"/>
    <w:rsid w:val="00D37A78"/>
    <w:rsid w:val="00D37C7B"/>
    <w:rsid w:val="00D37F62"/>
    <w:rsid w:val="00D3A8DA"/>
    <w:rsid w:val="00D40097"/>
    <w:rsid w:val="00D4020F"/>
    <w:rsid w:val="00D4038D"/>
    <w:rsid w:val="00D403CC"/>
    <w:rsid w:val="00D40684"/>
    <w:rsid w:val="00D40896"/>
    <w:rsid w:val="00D4089B"/>
    <w:rsid w:val="00D40CBC"/>
    <w:rsid w:val="00D40D64"/>
    <w:rsid w:val="00D40DBC"/>
    <w:rsid w:val="00D40ED7"/>
    <w:rsid w:val="00D4142E"/>
    <w:rsid w:val="00D41534"/>
    <w:rsid w:val="00D4155F"/>
    <w:rsid w:val="00D415CD"/>
    <w:rsid w:val="00D415D6"/>
    <w:rsid w:val="00D4177A"/>
    <w:rsid w:val="00D417AB"/>
    <w:rsid w:val="00D418C8"/>
    <w:rsid w:val="00D41A5B"/>
    <w:rsid w:val="00D41B0D"/>
    <w:rsid w:val="00D41B83"/>
    <w:rsid w:val="00D41BAA"/>
    <w:rsid w:val="00D41C53"/>
    <w:rsid w:val="00D41E88"/>
    <w:rsid w:val="00D422E1"/>
    <w:rsid w:val="00D42502"/>
    <w:rsid w:val="00D426CB"/>
    <w:rsid w:val="00D4271E"/>
    <w:rsid w:val="00D4272E"/>
    <w:rsid w:val="00D42961"/>
    <w:rsid w:val="00D429B2"/>
    <w:rsid w:val="00D42B22"/>
    <w:rsid w:val="00D42B3E"/>
    <w:rsid w:val="00D42CE3"/>
    <w:rsid w:val="00D42CE7"/>
    <w:rsid w:val="00D43121"/>
    <w:rsid w:val="00D4320F"/>
    <w:rsid w:val="00D43437"/>
    <w:rsid w:val="00D43548"/>
    <w:rsid w:val="00D43634"/>
    <w:rsid w:val="00D437A1"/>
    <w:rsid w:val="00D43B81"/>
    <w:rsid w:val="00D43C2D"/>
    <w:rsid w:val="00D43DE7"/>
    <w:rsid w:val="00D43E7C"/>
    <w:rsid w:val="00D43F2E"/>
    <w:rsid w:val="00D43F73"/>
    <w:rsid w:val="00D4404A"/>
    <w:rsid w:val="00D44356"/>
    <w:rsid w:val="00D4448C"/>
    <w:rsid w:val="00D445AE"/>
    <w:rsid w:val="00D44B59"/>
    <w:rsid w:val="00D44F2C"/>
    <w:rsid w:val="00D44F9B"/>
    <w:rsid w:val="00D44F9D"/>
    <w:rsid w:val="00D44FCF"/>
    <w:rsid w:val="00D45007"/>
    <w:rsid w:val="00D451FC"/>
    <w:rsid w:val="00D453D6"/>
    <w:rsid w:val="00D453E9"/>
    <w:rsid w:val="00D45404"/>
    <w:rsid w:val="00D45505"/>
    <w:rsid w:val="00D4567B"/>
    <w:rsid w:val="00D458B2"/>
    <w:rsid w:val="00D45C0B"/>
    <w:rsid w:val="00D45DFF"/>
    <w:rsid w:val="00D45EAC"/>
    <w:rsid w:val="00D461F2"/>
    <w:rsid w:val="00D46263"/>
    <w:rsid w:val="00D46325"/>
    <w:rsid w:val="00D465E4"/>
    <w:rsid w:val="00D46951"/>
    <w:rsid w:val="00D46975"/>
    <w:rsid w:val="00D46AF8"/>
    <w:rsid w:val="00D46B35"/>
    <w:rsid w:val="00D46C04"/>
    <w:rsid w:val="00D46D1D"/>
    <w:rsid w:val="00D46D71"/>
    <w:rsid w:val="00D46E2A"/>
    <w:rsid w:val="00D46EE4"/>
    <w:rsid w:val="00D46F30"/>
    <w:rsid w:val="00D471C3"/>
    <w:rsid w:val="00D4732D"/>
    <w:rsid w:val="00D4734F"/>
    <w:rsid w:val="00D47615"/>
    <w:rsid w:val="00D47742"/>
    <w:rsid w:val="00D47786"/>
    <w:rsid w:val="00D47973"/>
    <w:rsid w:val="00D47B3A"/>
    <w:rsid w:val="00D47CA5"/>
    <w:rsid w:val="00D47DA8"/>
    <w:rsid w:val="00D47FB6"/>
    <w:rsid w:val="00D47FF6"/>
    <w:rsid w:val="00D48803"/>
    <w:rsid w:val="00D5005A"/>
    <w:rsid w:val="00D50122"/>
    <w:rsid w:val="00D501A2"/>
    <w:rsid w:val="00D501FA"/>
    <w:rsid w:val="00D5051E"/>
    <w:rsid w:val="00D50803"/>
    <w:rsid w:val="00D5099B"/>
    <w:rsid w:val="00D50A90"/>
    <w:rsid w:val="00D50C3A"/>
    <w:rsid w:val="00D50CFA"/>
    <w:rsid w:val="00D50D30"/>
    <w:rsid w:val="00D50EAB"/>
    <w:rsid w:val="00D50ED9"/>
    <w:rsid w:val="00D50F47"/>
    <w:rsid w:val="00D50F4B"/>
    <w:rsid w:val="00D51175"/>
    <w:rsid w:val="00D51418"/>
    <w:rsid w:val="00D5161D"/>
    <w:rsid w:val="00D51837"/>
    <w:rsid w:val="00D51A84"/>
    <w:rsid w:val="00D51BCF"/>
    <w:rsid w:val="00D51E40"/>
    <w:rsid w:val="00D51E6D"/>
    <w:rsid w:val="00D5238F"/>
    <w:rsid w:val="00D52712"/>
    <w:rsid w:val="00D5291F"/>
    <w:rsid w:val="00D52BDF"/>
    <w:rsid w:val="00D52D86"/>
    <w:rsid w:val="00D5327B"/>
    <w:rsid w:val="00D532C1"/>
    <w:rsid w:val="00D53A56"/>
    <w:rsid w:val="00D53CDE"/>
    <w:rsid w:val="00D53F67"/>
    <w:rsid w:val="00D53F99"/>
    <w:rsid w:val="00D541AA"/>
    <w:rsid w:val="00D544BD"/>
    <w:rsid w:val="00D545F5"/>
    <w:rsid w:val="00D547D7"/>
    <w:rsid w:val="00D549E0"/>
    <w:rsid w:val="00D54F6B"/>
    <w:rsid w:val="00D552D7"/>
    <w:rsid w:val="00D55A04"/>
    <w:rsid w:val="00D55C62"/>
    <w:rsid w:val="00D55E0F"/>
    <w:rsid w:val="00D55E66"/>
    <w:rsid w:val="00D55EDD"/>
    <w:rsid w:val="00D56027"/>
    <w:rsid w:val="00D5614F"/>
    <w:rsid w:val="00D561C2"/>
    <w:rsid w:val="00D56403"/>
    <w:rsid w:val="00D564A2"/>
    <w:rsid w:val="00D56646"/>
    <w:rsid w:val="00D5682F"/>
    <w:rsid w:val="00D56856"/>
    <w:rsid w:val="00D56AB0"/>
    <w:rsid w:val="00D56B63"/>
    <w:rsid w:val="00D56C0E"/>
    <w:rsid w:val="00D56DC7"/>
    <w:rsid w:val="00D56EC9"/>
    <w:rsid w:val="00D5753E"/>
    <w:rsid w:val="00D57815"/>
    <w:rsid w:val="00D5792E"/>
    <w:rsid w:val="00D579FE"/>
    <w:rsid w:val="00D57D92"/>
    <w:rsid w:val="00D57D9F"/>
    <w:rsid w:val="00D6010A"/>
    <w:rsid w:val="00D6016B"/>
    <w:rsid w:val="00D604D6"/>
    <w:rsid w:val="00D6060D"/>
    <w:rsid w:val="00D60A0A"/>
    <w:rsid w:val="00D60AF5"/>
    <w:rsid w:val="00D60DC7"/>
    <w:rsid w:val="00D60E6F"/>
    <w:rsid w:val="00D611C8"/>
    <w:rsid w:val="00D619A9"/>
    <w:rsid w:val="00D61B82"/>
    <w:rsid w:val="00D61CD5"/>
    <w:rsid w:val="00D61F15"/>
    <w:rsid w:val="00D61F41"/>
    <w:rsid w:val="00D6213F"/>
    <w:rsid w:val="00D62576"/>
    <w:rsid w:val="00D62661"/>
    <w:rsid w:val="00D6269C"/>
    <w:rsid w:val="00D62AA2"/>
    <w:rsid w:val="00D62F7B"/>
    <w:rsid w:val="00D630A2"/>
    <w:rsid w:val="00D6333F"/>
    <w:rsid w:val="00D63359"/>
    <w:rsid w:val="00D6355E"/>
    <w:rsid w:val="00D6367B"/>
    <w:rsid w:val="00D63992"/>
    <w:rsid w:val="00D639B7"/>
    <w:rsid w:val="00D63BF2"/>
    <w:rsid w:val="00D63C48"/>
    <w:rsid w:val="00D63C78"/>
    <w:rsid w:val="00D63CA5"/>
    <w:rsid w:val="00D63ED8"/>
    <w:rsid w:val="00D64175"/>
    <w:rsid w:val="00D64289"/>
    <w:rsid w:val="00D644AB"/>
    <w:rsid w:val="00D646A1"/>
    <w:rsid w:val="00D64974"/>
    <w:rsid w:val="00D649BB"/>
    <w:rsid w:val="00D64A0B"/>
    <w:rsid w:val="00D64A1F"/>
    <w:rsid w:val="00D64B0A"/>
    <w:rsid w:val="00D64B41"/>
    <w:rsid w:val="00D64E04"/>
    <w:rsid w:val="00D64E31"/>
    <w:rsid w:val="00D65178"/>
    <w:rsid w:val="00D65289"/>
    <w:rsid w:val="00D655E9"/>
    <w:rsid w:val="00D65E60"/>
    <w:rsid w:val="00D6604A"/>
    <w:rsid w:val="00D662B1"/>
    <w:rsid w:val="00D6667B"/>
    <w:rsid w:val="00D66736"/>
    <w:rsid w:val="00D66801"/>
    <w:rsid w:val="00D66A9C"/>
    <w:rsid w:val="00D66B07"/>
    <w:rsid w:val="00D66B08"/>
    <w:rsid w:val="00D66B3A"/>
    <w:rsid w:val="00D67336"/>
    <w:rsid w:val="00D673C3"/>
    <w:rsid w:val="00D67451"/>
    <w:rsid w:val="00D6748C"/>
    <w:rsid w:val="00D6770C"/>
    <w:rsid w:val="00D677A2"/>
    <w:rsid w:val="00D677DE"/>
    <w:rsid w:val="00D679F9"/>
    <w:rsid w:val="00D67A69"/>
    <w:rsid w:val="00D67AC1"/>
    <w:rsid w:val="00D67C5F"/>
    <w:rsid w:val="00D67CEB"/>
    <w:rsid w:val="00D67E8E"/>
    <w:rsid w:val="00D67FFE"/>
    <w:rsid w:val="00D701C5"/>
    <w:rsid w:val="00D7022B"/>
    <w:rsid w:val="00D70497"/>
    <w:rsid w:val="00D7058E"/>
    <w:rsid w:val="00D7067C"/>
    <w:rsid w:val="00D706A2"/>
    <w:rsid w:val="00D70AD2"/>
    <w:rsid w:val="00D70DD2"/>
    <w:rsid w:val="00D71194"/>
    <w:rsid w:val="00D711E3"/>
    <w:rsid w:val="00D7129F"/>
    <w:rsid w:val="00D712DB"/>
    <w:rsid w:val="00D71400"/>
    <w:rsid w:val="00D71630"/>
    <w:rsid w:val="00D7174E"/>
    <w:rsid w:val="00D717C3"/>
    <w:rsid w:val="00D7192F"/>
    <w:rsid w:val="00D7199E"/>
    <w:rsid w:val="00D71A13"/>
    <w:rsid w:val="00D7207C"/>
    <w:rsid w:val="00D720EF"/>
    <w:rsid w:val="00D722A3"/>
    <w:rsid w:val="00D723C2"/>
    <w:rsid w:val="00D723C6"/>
    <w:rsid w:val="00D724A8"/>
    <w:rsid w:val="00D7280D"/>
    <w:rsid w:val="00D7296B"/>
    <w:rsid w:val="00D72BCE"/>
    <w:rsid w:val="00D72D10"/>
    <w:rsid w:val="00D72F29"/>
    <w:rsid w:val="00D72F96"/>
    <w:rsid w:val="00D73A13"/>
    <w:rsid w:val="00D73B04"/>
    <w:rsid w:val="00D73B63"/>
    <w:rsid w:val="00D73E42"/>
    <w:rsid w:val="00D7421E"/>
    <w:rsid w:val="00D743B3"/>
    <w:rsid w:val="00D7458F"/>
    <w:rsid w:val="00D7471B"/>
    <w:rsid w:val="00D74A33"/>
    <w:rsid w:val="00D74A47"/>
    <w:rsid w:val="00D74A49"/>
    <w:rsid w:val="00D74C0D"/>
    <w:rsid w:val="00D74F43"/>
    <w:rsid w:val="00D754FB"/>
    <w:rsid w:val="00D75772"/>
    <w:rsid w:val="00D75A2F"/>
    <w:rsid w:val="00D75C0A"/>
    <w:rsid w:val="00D75D30"/>
    <w:rsid w:val="00D75FB5"/>
    <w:rsid w:val="00D76138"/>
    <w:rsid w:val="00D762C0"/>
    <w:rsid w:val="00D763BE"/>
    <w:rsid w:val="00D76698"/>
    <w:rsid w:val="00D766C1"/>
    <w:rsid w:val="00D7679A"/>
    <w:rsid w:val="00D76936"/>
    <w:rsid w:val="00D76DBE"/>
    <w:rsid w:val="00D77006"/>
    <w:rsid w:val="00D77105"/>
    <w:rsid w:val="00D77B52"/>
    <w:rsid w:val="00D77EAB"/>
    <w:rsid w:val="00D77EC4"/>
    <w:rsid w:val="00D8003C"/>
    <w:rsid w:val="00D803A2"/>
    <w:rsid w:val="00D80934"/>
    <w:rsid w:val="00D809B2"/>
    <w:rsid w:val="00D80B3B"/>
    <w:rsid w:val="00D80E02"/>
    <w:rsid w:val="00D81172"/>
    <w:rsid w:val="00D818F3"/>
    <w:rsid w:val="00D81DB7"/>
    <w:rsid w:val="00D81E98"/>
    <w:rsid w:val="00D82083"/>
    <w:rsid w:val="00D822A6"/>
    <w:rsid w:val="00D824D7"/>
    <w:rsid w:val="00D826C2"/>
    <w:rsid w:val="00D82768"/>
    <w:rsid w:val="00D82C5D"/>
    <w:rsid w:val="00D82D12"/>
    <w:rsid w:val="00D82E6A"/>
    <w:rsid w:val="00D82E70"/>
    <w:rsid w:val="00D82FF3"/>
    <w:rsid w:val="00D830AD"/>
    <w:rsid w:val="00D830EF"/>
    <w:rsid w:val="00D8351D"/>
    <w:rsid w:val="00D83633"/>
    <w:rsid w:val="00D8366C"/>
    <w:rsid w:val="00D8381F"/>
    <w:rsid w:val="00D83AFA"/>
    <w:rsid w:val="00D83C26"/>
    <w:rsid w:val="00D83CE3"/>
    <w:rsid w:val="00D83E3F"/>
    <w:rsid w:val="00D8441F"/>
    <w:rsid w:val="00D844C8"/>
    <w:rsid w:val="00D84988"/>
    <w:rsid w:val="00D849FE"/>
    <w:rsid w:val="00D84A0B"/>
    <w:rsid w:val="00D84A5E"/>
    <w:rsid w:val="00D84B3D"/>
    <w:rsid w:val="00D84B6C"/>
    <w:rsid w:val="00D84E54"/>
    <w:rsid w:val="00D84F14"/>
    <w:rsid w:val="00D84FA9"/>
    <w:rsid w:val="00D850DD"/>
    <w:rsid w:val="00D85173"/>
    <w:rsid w:val="00D8518F"/>
    <w:rsid w:val="00D851FE"/>
    <w:rsid w:val="00D856EC"/>
    <w:rsid w:val="00D856FD"/>
    <w:rsid w:val="00D85B3F"/>
    <w:rsid w:val="00D85B4B"/>
    <w:rsid w:val="00D85E45"/>
    <w:rsid w:val="00D85F7A"/>
    <w:rsid w:val="00D86044"/>
    <w:rsid w:val="00D86088"/>
    <w:rsid w:val="00D861BE"/>
    <w:rsid w:val="00D864AA"/>
    <w:rsid w:val="00D866E6"/>
    <w:rsid w:val="00D86811"/>
    <w:rsid w:val="00D86C31"/>
    <w:rsid w:val="00D86C5E"/>
    <w:rsid w:val="00D86CBA"/>
    <w:rsid w:val="00D87010"/>
    <w:rsid w:val="00D870A0"/>
    <w:rsid w:val="00D870F2"/>
    <w:rsid w:val="00D87305"/>
    <w:rsid w:val="00D87420"/>
    <w:rsid w:val="00D8742D"/>
    <w:rsid w:val="00D87E03"/>
    <w:rsid w:val="00D87E65"/>
    <w:rsid w:val="00D87ED9"/>
    <w:rsid w:val="00D90128"/>
    <w:rsid w:val="00D902F5"/>
    <w:rsid w:val="00D905EE"/>
    <w:rsid w:val="00D90610"/>
    <w:rsid w:val="00D90865"/>
    <w:rsid w:val="00D90956"/>
    <w:rsid w:val="00D909F6"/>
    <w:rsid w:val="00D90D1F"/>
    <w:rsid w:val="00D90D8F"/>
    <w:rsid w:val="00D91069"/>
    <w:rsid w:val="00D91095"/>
    <w:rsid w:val="00D912B3"/>
    <w:rsid w:val="00D91464"/>
    <w:rsid w:val="00D915AD"/>
    <w:rsid w:val="00D915F1"/>
    <w:rsid w:val="00D91662"/>
    <w:rsid w:val="00D9171C"/>
    <w:rsid w:val="00D91848"/>
    <w:rsid w:val="00D919F9"/>
    <w:rsid w:val="00D91C77"/>
    <w:rsid w:val="00D91CDF"/>
    <w:rsid w:val="00D91D0D"/>
    <w:rsid w:val="00D920F2"/>
    <w:rsid w:val="00D92445"/>
    <w:rsid w:val="00D92563"/>
    <w:rsid w:val="00D9286D"/>
    <w:rsid w:val="00D92AD2"/>
    <w:rsid w:val="00D92B94"/>
    <w:rsid w:val="00D930B9"/>
    <w:rsid w:val="00D930E8"/>
    <w:rsid w:val="00D932DF"/>
    <w:rsid w:val="00D9339B"/>
    <w:rsid w:val="00D93461"/>
    <w:rsid w:val="00D935B4"/>
    <w:rsid w:val="00D93616"/>
    <w:rsid w:val="00D93937"/>
    <w:rsid w:val="00D93BF0"/>
    <w:rsid w:val="00D93D26"/>
    <w:rsid w:val="00D93D75"/>
    <w:rsid w:val="00D943B2"/>
    <w:rsid w:val="00D9440A"/>
    <w:rsid w:val="00D94B05"/>
    <w:rsid w:val="00D94FF8"/>
    <w:rsid w:val="00D952EB"/>
    <w:rsid w:val="00D95361"/>
    <w:rsid w:val="00D95394"/>
    <w:rsid w:val="00D954C1"/>
    <w:rsid w:val="00D95995"/>
    <w:rsid w:val="00D95F26"/>
    <w:rsid w:val="00D96027"/>
    <w:rsid w:val="00D964A3"/>
    <w:rsid w:val="00D967E9"/>
    <w:rsid w:val="00D96855"/>
    <w:rsid w:val="00D96D5B"/>
    <w:rsid w:val="00D96F26"/>
    <w:rsid w:val="00D96FB3"/>
    <w:rsid w:val="00D96FE7"/>
    <w:rsid w:val="00D96FFA"/>
    <w:rsid w:val="00D9703A"/>
    <w:rsid w:val="00D970E7"/>
    <w:rsid w:val="00D970E8"/>
    <w:rsid w:val="00D97194"/>
    <w:rsid w:val="00D973E2"/>
    <w:rsid w:val="00D973F5"/>
    <w:rsid w:val="00D97519"/>
    <w:rsid w:val="00D9759E"/>
    <w:rsid w:val="00D975DA"/>
    <w:rsid w:val="00D9762B"/>
    <w:rsid w:val="00D97BEC"/>
    <w:rsid w:val="00D97E15"/>
    <w:rsid w:val="00D97EE8"/>
    <w:rsid w:val="00D97FF3"/>
    <w:rsid w:val="00DA002B"/>
    <w:rsid w:val="00DA016C"/>
    <w:rsid w:val="00DA01E5"/>
    <w:rsid w:val="00DA032B"/>
    <w:rsid w:val="00DA0456"/>
    <w:rsid w:val="00DA05A4"/>
    <w:rsid w:val="00DA0A03"/>
    <w:rsid w:val="00DA0CE6"/>
    <w:rsid w:val="00DA0CF5"/>
    <w:rsid w:val="00DA0D86"/>
    <w:rsid w:val="00DA0EF1"/>
    <w:rsid w:val="00DA0FEF"/>
    <w:rsid w:val="00DA10BF"/>
    <w:rsid w:val="00DA15BF"/>
    <w:rsid w:val="00DA1A1E"/>
    <w:rsid w:val="00DA1BF4"/>
    <w:rsid w:val="00DA1D0E"/>
    <w:rsid w:val="00DA1DE8"/>
    <w:rsid w:val="00DA1F5C"/>
    <w:rsid w:val="00DA2143"/>
    <w:rsid w:val="00DA2201"/>
    <w:rsid w:val="00DA235B"/>
    <w:rsid w:val="00DA239C"/>
    <w:rsid w:val="00DA24B9"/>
    <w:rsid w:val="00DA259A"/>
    <w:rsid w:val="00DA271F"/>
    <w:rsid w:val="00DA2780"/>
    <w:rsid w:val="00DA27FF"/>
    <w:rsid w:val="00DA29AE"/>
    <w:rsid w:val="00DA2A4C"/>
    <w:rsid w:val="00DA2D30"/>
    <w:rsid w:val="00DA2D5E"/>
    <w:rsid w:val="00DA30AB"/>
    <w:rsid w:val="00DA340B"/>
    <w:rsid w:val="00DA35F3"/>
    <w:rsid w:val="00DA36FD"/>
    <w:rsid w:val="00DA3728"/>
    <w:rsid w:val="00DA3733"/>
    <w:rsid w:val="00DA39AA"/>
    <w:rsid w:val="00DA3A4E"/>
    <w:rsid w:val="00DA3D1A"/>
    <w:rsid w:val="00DA4512"/>
    <w:rsid w:val="00DA485C"/>
    <w:rsid w:val="00DA4884"/>
    <w:rsid w:val="00DA49C5"/>
    <w:rsid w:val="00DA4C8C"/>
    <w:rsid w:val="00DA5380"/>
    <w:rsid w:val="00DA5410"/>
    <w:rsid w:val="00DA55BB"/>
    <w:rsid w:val="00DA5629"/>
    <w:rsid w:val="00DA57D2"/>
    <w:rsid w:val="00DA5931"/>
    <w:rsid w:val="00DA59E8"/>
    <w:rsid w:val="00DA5DB3"/>
    <w:rsid w:val="00DA5EAF"/>
    <w:rsid w:val="00DA5EF8"/>
    <w:rsid w:val="00DA5F2C"/>
    <w:rsid w:val="00DA5FB5"/>
    <w:rsid w:val="00DA626A"/>
    <w:rsid w:val="00DA62D6"/>
    <w:rsid w:val="00DA62F3"/>
    <w:rsid w:val="00DA64C0"/>
    <w:rsid w:val="00DA6639"/>
    <w:rsid w:val="00DA6C32"/>
    <w:rsid w:val="00DA7068"/>
    <w:rsid w:val="00DA70B6"/>
    <w:rsid w:val="00DA7199"/>
    <w:rsid w:val="00DA71E0"/>
    <w:rsid w:val="00DA72BD"/>
    <w:rsid w:val="00DA73EE"/>
    <w:rsid w:val="00DA74EA"/>
    <w:rsid w:val="00DA7561"/>
    <w:rsid w:val="00DA77B0"/>
    <w:rsid w:val="00DA7B70"/>
    <w:rsid w:val="00DA7D94"/>
    <w:rsid w:val="00DB0791"/>
    <w:rsid w:val="00DB09FA"/>
    <w:rsid w:val="00DB0B17"/>
    <w:rsid w:val="00DB0B8A"/>
    <w:rsid w:val="00DB124B"/>
    <w:rsid w:val="00DB13B3"/>
    <w:rsid w:val="00DB1854"/>
    <w:rsid w:val="00DB18EA"/>
    <w:rsid w:val="00DB1965"/>
    <w:rsid w:val="00DB1C7B"/>
    <w:rsid w:val="00DB1D85"/>
    <w:rsid w:val="00DB1D9F"/>
    <w:rsid w:val="00DB1FBC"/>
    <w:rsid w:val="00DB2501"/>
    <w:rsid w:val="00DB2CE4"/>
    <w:rsid w:val="00DB2D04"/>
    <w:rsid w:val="00DB2D7A"/>
    <w:rsid w:val="00DB2DDD"/>
    <w:rsid w:val="00DB2F74"/>
    <w:rsid w:val="00DB33F9"/>
    <w:rsid w:val="00DB390D"/>
    <w:rsid w:val="00DB3ADF"/>
    <w:rsid w:val="00DB3AF2"/>
    <w:rsid w:val="00DB3D0F"/>
    <w:rsid w:val="00DB3F0B"/>
    <w:rsid w:val="00DB427C"/>
    <w:rsid w:val="00DB4473"/>
    <w:rsid w:val="00DB4632"/>
    <w:rsid w:val="00DB4866"/>
    <w:rsid w:val="00DB48DC"/>
    <w:rsid w:val="00DB4B57"/>
    <w:rsid w:val="00DB4E77"/>
    <w:rsid w:val="00DB4ED5"/>
    <w:rsid w:val="00DB529C"/>
    <w:rsid w:val="00DB540A"/>
    <w:rsid w:val="00DB593D"/>
    <w:rsid w:val="00DB5C59"/>
    <w:rsid w:val="00DB5CF1"/>
    <w:rsid w:val="00DB5E0E"/>
    <w:rsid w:val="00DB5E7D"/>
    <w:rsid w:val="00DB5F9A"/>
    <w:rsid w:val="00DB636A"/>
    <w:rsid w:val="00DB6426"/>
    <w:rsid w:val="00DB6432"/>
    <w:rsid w:val="00DB64BA"/>
    <w:rsid w:val="00DB6557"/>
    <w:rsid w:val="00DB65C8"/>
    <w:rsid w:val="00DB6844"/>
    <w:rsid w:val="00DB68A2"/>
    <w:rsid w:val="00DB68CA"/>
    <w:rsid w:val="00DB690B"/>
    <w:rsid w:val="00DB6985"/>
    <w:rsid w:val="00DB6BDA"/>
    <w:rsid w:val="00DB6EE6"/>
    <w:rsid w:val="00DB6FEE"/>
    <w:rsid w:val="00DB71C0"/>
    <w:rsid w:val="00DB722F"/>
    <w:rsid w:val="00DB74E2"/>
    <w:rsid w:val="00DB75E7"/>
    <w:rsid w:val="00DB7661"/>
    <w:rsid w:val="00DB76C7"/>
    <w:rsid w:val="00DB77D7"/>
    <w:rsid w:val="00DB77FA"/>
    <w:rsid w:val="00DB792A"/>
    <w:rsid w:val="00DB7A54"/>
    <w:rsid w:val="00DB7A6B"/>
    <w:rsid w:val="00DB7C0D"/>
    <w:rsid w:val="00DB7C75"/>
    <w:rsid w:val="00DB7CFD"/>
    <w:rsid w:val="00DB7DEA"/>
    <w:rsid w:val="00DB7E66"/>
    <w:rsid w:val="00DB7E82"/>
    <w:rsid w:val="00DB7F14"/>
    <w:rsid w:val="00DB7F27"/>
    <w:rsid w:val="00DB7F65"/>
    <w:rsid w:val="00DB7FB4"/>
    <w:rsid w:val="00DC000F"/>
    <w:rsid w:val="00DC004A"/>
    <w:rsid w:val="00DC03F2"/>
    <w:rsid w:val="00DC0430"/>
    <w:rsid w:val="00DC084D"/>
    <w:rsid w:val="00DC088B"/>
    <w:rsid w:val="00DC0972"/>
    <w:rsid w:val="00DC09BB"/>
    <w:rsid w:val="00DC0A2E"/>
    <w:rsid w:val="00DC0BDE"/>
    <w:rsid w:val="00DC0C36"/>
    <w:rsid w:val="00DC0D95"/>
    <w:rsid w:val="00DC1649"/>
    <w:rsid w:val="00DC1743"/>
    <w:rsid w:val="00DC1746"/>
    <w:rsid w:val="00DC1815"/>
    <w:rsid w:val="00DC188E"/>
    <w:rsid w:val="00DC1929"/>
    <w:rsid w:val="00DC1A9F"/>
    <w:rsid w:val="00DC1B28"/>
    <w:rsid w:val="00DC1E28"/>
    <w:rsid w:val="00DC2221"/>
    <w:rsid w:val="00DC2532"/>
    <w:rsid w:val="00DC2581"/>
    <w:rsid w:val="00DC26C9"/>
    <w:rsid w:val="00DC273B"/>
    <w:rsid w:val="00DC2740"/>
    <w:rsid w:val="00DC2900"/>
    <w:rsid w:val="00DC2912"/>
    <w:rsid w:val="00DC2921"/>
    <w:rsid w:val="00DC2E30"/>
    <w:rsid w:val="00DC2E62"/>
    <w:rsid w:val="00DC2ECF"/>
    <w:rsid w:val="00DC2FC9"/>
    <w:rsid w:val="00DC30A7"/>
    <w:rsid w:val="00DC330E"/>
    <w:rsid w:val="00DC3329"/>
    <w:rsid w:val="00DC3405"/>
    <w:rsid w:val="00DC35E7"/>
    <w:rsid w:val="00DC3839"/>
    <w:rsid w:val="00DC3841"/>
    <w:rsid w:val="00DC3A33"/>
    <w:rsid w:val="00DC3C74"/>
    <w:rsid w:val="00DC3E4B"/>
    <w:rsid w:val="00DC3EB6"/>
    <w:rsid w:val="00DC3EFA"/>
    <w:rsid w:val="00DC45BC"/>
    <w:rsid w:val="00DC4781"/>
    <w:rsid w:val="00DC4881"/>
    <w:rsid w:val="00DC490D"/>
    <w:rsid w:val="00DC4CC9"/>
    <w:rsid w:val="00DC4D8E"/>
    <w:rsid w:val="00DC4DBF"/>
    <w:rsid w:val="00DC50EF"/>
    <w:rsid w:val="00DC537C"/>
    <w:rsid w:val="00DC551D"/>
    <w:rsid w:val="00DC55FC"/>
    <w:rsid w:val="00DC5652"/>
    <w:rsid w:val="00DC567C"/>
    <w:rsid w:val="00DC572D"/>
    <w:rsid w:val="00DC5872"/>
    <w:rsid w:val="00DC5AC1"/>
    <w:rsid w:val="00DC5DF2"/>
    <w:rsid w:val="00DC5E17"/>
    <w:rsid w:val="00DC5F55"/>
    <w:rsid w:val="00DC6248"/>
    <w:rsid w:val="00DC65CF"/>
    <w:rsid w:val="00DC67FC"/>
    <w:rsid w:val="00DC6F32"/>
    <w:rsid w:val="00DC7104"/>
    <w:rsid w:val="00DC71D0"/>
    <w:rsid w:val="00DC72F6"/>
    <w:rsid w:val="00DC7309"/>
    <w:rsid w:val="00DC73F9"/>
    <w:rsid w:val="00DC7746"/>
    <w:rsid w:val="00DC78B2"/>
    <w:rsid w:val="00DC7999"/>
    <w:rsid w:val="00DC7AA5"/>
    <w:rsid w:val="00DC7B0A"/>
    <w:rsid w:val="00DC7C8C"/>
    <w:rsid w:val="00DC7F7A"/>
    <w:rsid w:val="00DC7F80"/>
    <w:rsid w:val="00DD0356"/>
    <w:rsid w:val="00DD03C0"/>
    <w:rsid w:val="00DD0427"/>
    <w:rsid w:val="00DD04B2"/>
    <w:rsid w:val="00DD060D"/>
    <w:rsid w:val="00DD0726"/>
    <w:rsid w:val="00DD077F"/>
    <w:rsid w:val="00DD090F"/>
    <w:rsid w:val="00DD092B"/>
    <w:rsid w:val="00DD09CA"/>
    <w:rsid w:val="00DD0B33"/>
    <w:rsid w:val="00DD0F28"/>
    <w:rsid w:val="00DD1129"/>
    <w:rsid w:val="00DD1315"/>
    <w:rsid w:val="00DD1335"/>
    <w:rsid w:val="00DD13F4"/>
    <w:rsid w:val="00DD1728"/>
    <w:rsid w:val="00DD1791"/>
    <w:rsid w:val="00DD1BBF"/>
    <w:rsid w:val="00DD1C3C"/>
    <w:rsid w:val="00DD1E40"/>
    <w:rsid w:val="00DD1F7D"/>
    <w:rsid w:val="00DD232B"/>
    <w:rsid w:val="00DD2365"/>
    <w:rsid w:val="00DD2409"/>
    <w:rsid w:val="00DD2432"/>
    <w:rsid w:val="00DD2445"/>
    <w:rsid w:val="00DD2B5D"/>
    <w:rsid w:val="00DD2CDD"/>
    <w:rsid w:val="00DD2DC1"/>
    <w:rsid w:val="00DD2DEA"/>
    <w:rsid w:val="00DD3049"/>
    <w:rsid w:val="00DD30CC"/>
    <w:rsid w:val="00DD314E"/>
    <w:rsid w:val="00DD34D9"/>
    <w:rsid w:val="00DD356E"/>
    <w:rsid w:val="00DD373C"/>
    <w:rsid w:val="00DD3DB9"/>
    <w:rsid w:val="00DD3DD4"/>
    <w:rsid w:val="00DD424E"/>
    <w:rsid w:val="00DD4645"/>
    <w:rsid w:val="00DD478D"/>
    <w:rsid w:val="00DD48FB"/>
    <w:rsid w:val="00DD4AB8"/>
    <w:rsid w:val="00DD537B"/>
    <w:rsid w:val="00DD562C"/>
    <w:rsid w:val="00DD570C"/>
    <w:rsid w:val="00DD5714"/>
    <w:rsid w:val="00DD5750"/>
    <w:rsid w:val="00DD5753"/>
    <w:rsid w:val="00DD577D"/>
    <w:rsid w:val="00DD57DE"/>
    <w:rsid w:val="00DD5956"/>
    <w:rsid w:val="00DD59F0"/>
    <w:rsid w:val="00DD5EFD"/>
    <w:rsid w:val="00DD6024"/>
    <w:rsid w:val="00DD624A"/>
    <w:rsid w:val="00DD62D4"/>
    <w:rsid w:val="00DD6457"/>
    <w:rsid w:val="00DD67CC"/>
    <w:rsid w:val="00DD6CAF"/>
    <w:rsid w:val="00DD6D1D"/>
    <w:rsid w:val="00DD6F4C"/>
    <w:rsid w:val="00DD7172"/>
    <w:rsid w:val="00DD74A8"/>
    <w:rsid w:val="00DD7640"/>
    <w:rsid w:val="00DD7812"/>
    <w:rsid w:val="00DD7B80"/>
    <w:rsid w:val="00DD7D29"/>
    <w:rsid w:val="00DD7E5A"/>
    <w:rsid w:val="00DD7EA6"/>
    <w:rsid w:val="00DD7EC9"/>
    <w:rsid w:val="00DD7F03"/>
    <w:rsid w:val="00DE03D9"/>
    <w:rsid w:val="00DE040B"/>
    <w:rsid w:val="00DE06F6"/>
    <w:rsid w:val="00DE074E"/>
    <w:rsid w:val="00DE0750"/>
    <w:rsid w:val="00DE07C0"/>
    <w:rsid w:val="00DE0852"/>
    <w:rsid w:val="00DE0DB8"/>
    <w:rsid w:val="00DE1432"/>
    <w:rsid w:val="00DE1557"/>
    <w:rsid w:val="00DE186B"/>
    <w:rsid w:val="00DE1BDE"/>
    <w:rsid w:val="00DE1C11"/>
    <w:rsid w:val="00DE1F52"/>
    <w:rsid w:val="00DE1FD1"/>
    <w:rsid w:val="00DE20CB"/>
    <w:rsid w:val="00DE2602"/>
    <w:rsid w:val="00DE2643"/>
    <w:rsid w:val="00DE26B7"/>
    <w:rsid w:val="00DE274D"/>
    <w:rsid w:val="00DE27E6"/>
    <w:rsid w:val="00DE2BB4"/>
    <w:rsid w:val="00DE2CF4"/>
    <w:rsid w:val="00DE2DB1"/>
    <w:rsid w:val="00DE2E20"/>
    <w:rsid w:val="00DE30C2"/>
    <w:rsid w:val="00DE30E2"/>
    <w:rsid w:val="00DE3158"/>
    <w:rsid w:val="00DE323F"/>
    <w:rsid w:val="00DE32F0"/>
    <w:rsid w:val="00DE340D"/>
    <w:rsid w:val="00DE393A"/>
    <w:rsid w:val="00DE3A9A"/>
    <w:rsid w:val="00DE3BE2"/>
    <w:rsid w:val="00DE3E65"/>
    <w:rsid w:val="00DE41C5"/>
    <w:rsid w:val="00DE4387"/>
    <w:rsid w:val="00DE48C8"/>
    <w:rsid w:val="00DE492A"/>
    <w:rsid w:val="00DE4ABE"/>
    <w:rsid w:val="00DE4E33"/>
    <w:rsid w:val="00DE4E7A"/>
    <w:rsid w:val="00DE513B"/>
    <w:rsid w:val="00DE55D4"/>
    <w:rsid w:val="00DE588D"/>
    <w:rsid w:val="00DE59C9"/>
    <w:rsid w:val="00DE5AA1"/>
    <w:rsid w:val="00DE5B7F"/>
    <w:rsid w:val="00DE5C31"/>
    <w:rsid w:val="00DE5FC3"/>
    <w:rsid w:val="00DE615C"/>
    <w:rsid w:val="00DE6421"/>
    <w:rsid w:val="00DE69A1"/>
    <w:rsid w:val="00DE6B77"/>
    <w:rsid w:val="00DE6DF8"/>
    <w:rsid w:val="00DE6EA4"/>
    <w:rsid w:val="00DE7063"/>
    <w:rsid w:val="00DE706B"/>
    <w:rsid w:val="00DE7146"/>
    <w:rsid w:val="00DE742C"/>
    <w:rsid w:val="00DE74A7"/>
    <w:rsid w:val="00DE7857"/>
    <w:rsid w:val="00DE7B9A"/>
    <w:rsid w:val="00DF0382"/>
    <w:rsid w:val="00DF05DC"/>
    <w:rsid w:val="00DF0679"/>
    <w:rsid w:val="00DF0689"/>
    <w:rsid w:val="00DF081A"/>
    <w:rsid w:val="00DF0E98"/>
    <w:rsid w:val="00DF0F10"/>
    <w:rsid w:val="00DF0F96"/>
    <w:rsid w:val="00DF1079"/>
    <w:rsid w:val="00DF10EF"/>
    <w:rsid w:val="00DF1647"/>
    <w:rsid w:val="00DF16C0"/>
    <w:rsid w:val="00DF1A90"/>
    <w:rsid w:val="00DF1D92"/>
    <w:rsid w:val="00DF21F9"/>
    <w:rsid w:val="00DF25E9"/>
    <w:rsid w:val="00DF28BD"/>
    <w:rsid w:val="00DF28C2"/>
    <w:rsid w:val="00DF2AF8"/>
    <w:rsid w:val="00DF2B73"/>
    <w:rsid w:val="00DF2D1A"/>
    <w:rsid w:val="00DF2D46"/>
    <w:rsid w:val="00DF2E8F"/>
    <w:rsid w:val="00DF3016"/>
    <w:rsid w:val="00DF31FF"/>
    <w:rsid w:val="00DF3282"/>
    <w:rsid w:val="00DF33C8"/>
    <w:rsid w:val="00DF34A4"/>
    <w:rsid w:val="00DF37DC"/>
    <w:rsid w:val="00DF38D6"/>
    <w:rsid w:val="00DF391F"/>
    <w:rsid w:val="00DF3A42"/>
    <w:rsid w:val="00DF3A7B"/>
    <w:rsid w:val="00DF3B71"/>
    <w:rsid w:val="00DF3E7B"/>
    <w:rsid w:val="00DF41D0"/>
    <w:rsid w:val="00DF48EB"/>
    <w:rsid w:val="00DF4D2C"/>
    <w:rsid w:val="00DF4F10"/>
    <w:rsid w:val="00DF4F58"/>
    <w:rsid w:val="00DF548B"/>
    <w:rsid w:val="00DF5836"/>
    <w:rsid w:val="00DF584A"/>
    <w:rsid w:val="00DF5C66"/>
    <w:rsid w:val="00DF615C"/>
    <w:rsid w:val="00DF6197"/>
    <w:rsid w:val="00DF62DB"/>
    <w:rsid w:val="00DF6570"/>
    <w:rsid w:val="00DF65EB"/>
    <w:rsid w:val="00DF6DAB"/>
    <w:rsid w:val="00DF70CC"/>
    <w:rsid w:val="00DF7663"/>
    <w:rsid w:val="00DF76D6"/>
    <w:rsid w:val="00DF77B9"/>
    <w:rsid w:val="00DF7895"/>
    <w:rsid w:val="00DF78B1"/>
    <w:rsid w:val="00DF7A83"/>
    <w:rsid w:val="00DF7B04"/>
    <w:rsid w:val="00E00435"/>
    <w:rsid w:val="00E00883"/>
    <w:rsid w:val="00E009A6"/>
    <w:rsid w:val="00E00A99"/>
    <w:rsid w:val="00E00B42"/>
    <w:rsid w:val="00E00B65"/>
    <w:rsid w:val="00E00B87"/>
    <w:rsid w:val="00E00D29"/>
    <w:rsid w:val="00E00DFD"/>
    <w:rsid w:val="00E00F3B"/>
    <w:rsid w:val="00E0117C"/>
    <w:rsid w:val="00E01465"/>
    <w:rsid w:val="00E01702"/>
    <w:rsid w:val="00E01A5D"/>
    <w:rsid w:val="00E01B4F"/>
    <w:rsid w:val="00E01C5E"/>
    <w:rsid w:val="00E01D22"/>
    <w:rsid w:val="00E01D54"/>
    <w:rsid w:val="00E0207C"/>
    <w:rsid w:val="00E02B72"/>
    <w:rsid w:val="00E02DD2"/>
    <w:rsid w:val="00E02ED9"/>
    <w:rsid w:val="00E034C0"/>
    <w:rsid w:val="00E03711"/>
    <w:rsid w:val="00E03A75"/>
    <w:rsid w:val="00E03D7B"/>
    <w:rsid w:val="00E03F86"/>
    <w:rsid w:val="00E040CC"/>
    <w:rsid w:val="00E041D8"/>
    <w:rsid w:val="00E041E4"/>
    <w:rsid w:val="00E04411"/>
    <w:rsid w:val="00E047A4"/>
    <w:rsid w:val="00E04B6E"/>
    <w:rsid w:val="00E04C08"/>
    <w:rsid w:val="00E04D8C"/>
    <w:rsid w:val="00E0510F"/>
    <w:rsid w:val="00E05753"/>
    <w:rsid w:val="00E05878"/>
    <w:rsid w:val="00E0598A"/>
    <w:rsid w:val="00E05FBC"/>
    <w:rsid w:val="00E06382"/>
    <w:rsid w:val="00E063C2"/>
    <w:rsid w:val="00E06632"/>
    <w:rsid w:val="00E067D0"/>
    <w:rsid w:val="00E06841"/>
    <w:rsid w:val="00E0687F"/>
    <w:rsid w:val="00E06ABB"/>
    <w:rsid w:val="00E06BBF"/>
    <w:rsid w:val="00E06C83"/>
    <w:rsid w:val="00E06E26"/>
    <w:rsid w:val="00E072D4"/>
    <w:rsid w:val="00E075EA"/>
    <w:rsid w:val="00E103E9"/>
    <w:rsid w:val="00E1057B"/>
    <w:rsid w:val="00E1061F"/>
    <w:rsid w:val="00E10695"/>
    <w:rsid w:val="00E10942"/>
    <w:rsid w:val="00E10B7D"/>
    <w:rsid w:val="00E10C9C"/>
    <w:rsid w:val="00E10ED7"/>
    <w:rsid w:val="00E10F9B"/>
    <w:rsid w:val="00E110E4"/>
    <w:rsid w:val="00E11156"/>
    <w:rsid w:val="00E111D6"/>
    <w:rsid w:val="00E11404"/>
    <w:rsid w:val="00E11769"/>
    <w:rsid w:val="00E11B2C"/>
    <w:rsid w:val="00E11F9B"/>
    <w:rsid w:val="00E12325"/>
    <w:rsid w:val="00E1235A"/>
    <w:rsid w:val="00E123DD"/>
    <w:rsid w:val="00E12593"/>
    <w:rsid w:val="00E1263B"/>
    <w:rsid w:val="00E126B4"/>
    <w:rsid w:val="00E12CD8"/>
    <w:rsid w:val="00E12D25"/>
    <w:rsid w:val="00E1305B"/>
    <w:rsid w:val="00E130FB"/>
    <w:rsid w:val="00E13113"/>
    <w:rsid w:val="00E1321E"/>
    <w:rsid w:val="00E1352E"/>
    <w:rsid w:val="00E136C8"/>
    <w:rsid w:val="00E13AB0"/>
    <w:rsid w:val="00E13B4D"/>
    <w:rsid w:val="00E13D31"/>
    <w:rsid w:val="00E13EA5"/>
    <w:rsid w:val="00E13FD1"/>
    <w:rsid w:val="00E144D2"/>
    <w:rsid w:val="00E144D3"/>
    <w:rsid w:val="00E145CB"/>
    <w:rsid w:val="00E147EC"/>
    <w:rsid w:val="00E14970"/>
    <w:rsid w:val="00E1497A"/>
    <w:rsid w:val="00E14AB6"/>
    <w:rsid w:val="00E14FD9"/>
    <w:rsid w:val="00E15050"/>
    <w:rsid w:val="00E1510C"/>
    <w:rsid w:val="00E151DE"/>
    <w:rsid w:val="00E153D8"/>
    <w:rsid w:val="00E154BD"/>
    <w:rsid w:val="00E154EC"/>
    <w:rsid w:val="00E15A1A"/>
    <w:rsid w:val="00E15B64"/>
    <w:rsid w:val="00E15D90"/>
    <w:rsid w:val="00E16118"/>
    <w:rsid w:val="00E1616A"/>
    <w:rsid w:val="00E16207"/>
    <w:rsid w:val="00E165E5"/>
    <w:rsid w:val="00E1675A"/>
    <w:rsid w:val="00E16805"/>
    <w:rsid w:val="00E16849"/>
    <w:rsid w:val="00E168AD"/>
    <w:rsid w:val="00E17750"/>
    <w:rsid w:val="00E17882"/>
    <w:rsid w:val="00E17CE7"/>
    <w:rsid w:val="00E17CEE"/>
    <w:rsid w:val="00E2018C"/>
    <w:rsid w:val="00E2035B"/>
    <w:rsid w:val="00E20551"/>
    <w:rsid w:val="00E20705"/>
    <w:rsid w:val="00E20ADD"/>
    <w:rsid w:val="00E20BA7"/>
    <w:rsid w:val="00E20C4C"/>
    <w:rsid w:val="00E20DAC"/>
    <w:rsid w:val="00E20DDD"/>
    <w:rsid w:val="00E212E3"/>
    <w:rsid w:val="00E21373"/>
    <w:rsid w:val="00E2145E"/>
    <w:rsid w:val="00E21628"/>
    <w:rsid w:val="00E21745"/>
    <w:rsid w:val="00E21847"/>
    <w:rsid w:val="00E21B33"/>
    <w:rsid w:val="00E21B7D"/>
    <w:rsid w:val="00E21C66"/>
    <w:rsid w:val="00E21CA3"/>
    <w:rsid w:val="00E21E1D"/>
    <w:rsid w:val="00E220AA"/>
    <w:rsid w:val="00E2267B"/>
    <w:rsid w:val="00E227EA"/>
    <w:rsid w:val="00E22D41"/>
    <w:rsid w:val="00E2301B"/>
    <w:rsid w:val="00E23239"/>
    <w:rsid w:val="00E23332"/>
    <w:rsid w:val="00E23426"/>
    <w:rsid w:val="00E234BD"/>
    <w:rsid w:val="00E23528"/>
    <w:rsid w:val="00E23574"/>
    <w:rsid w:val="00E235DC"/>
    <w:rsid w:val="00E23660"/>
    <w:rsid w:val="00E236E3"/>
    <w:rsid w:val="00E23708"/>
    <w:rsid w:val="00E23BE0"/>
    <w:rsid w:val="00E23C83"/>
    <w:rsid w:val="00E244BC"/>
    <w:rsid w:val="00E245BB"/>
    <w:rsid w:val="00E24667"/>
    <w:rsid w:val="00E2494B"/>
    <w:rsid w:val="00E24AEF"/>
    <w:rsid w:val="00E24FF2"/>
    <w:rsid w:val="00E2505A"/>
    <w:rsid w:val="00E25096"/>
    <w:rsid w:val="00E25257"/>
    <w:rsid w:val="00E255E1"/>
    <w:rsid w:val="00E256BE"/>
    <w:rsid w:val="00E259FF"/>
    <w:rsid w:val="00E25AA5"/>
    <w:rsid w:val="00E25D77"/>
    <w:rsid w:val="00E26058"/>
    <w:rsid w:val="00E2617B"/>
    <w:rsid w:val="00E26256"/>
    <w:rsid w:val="00E26267"/>
    <w:rsid w:val="00E26275"/>
    <w:rsid w:val="00E26310"/>
    <w:rsid w:val="00E2633B"/>
    <w:rsid w:val="00E2635A"/>
    <w:rsid w:val="00E264A6"/>
    <w:rsid w:val="00E2670E"/>
    <w:rsid w:val="00E2676C"/>
    <w:rsid w:val="00E268CB"/>
    <w:rsid w:val="00E26A99"/>
    <w:rsid w:val="00E26AF1"/>
    <w:rsid w:val="00E26E29"/>
    <w:rsid w:val="00E26ED2"/>
    <w:rsid w:val="00E26F2A"/>
    <w:rsid w:val="00E271FB"/>
    <w:rsid w:val="00E273BB"/>
    <w:rsid w:val="00E27410"/>
    <w:rsid w:val="00E275BC"/>
    <w:rsid w:val="00E2761D"/>
    <w:rsid w:val="00E2767E"/>
    <w:rsid w:val="00E27995"/>
    <w:rsid w:val="00E27C0E"/>
    <w:rsid w:val="00E27E43"/>
    <w:rsid w:val="00E301F3"/>
    <w:rsid w:val="00E3033F"/>
    <w:rsid w:val="00E30469"/>
    <w:rsid w:val="00E30532"/>
    <w:rsid w:val="00E3065C"/>
    <w:rsid w:val="00E307CF"/>
    <w:rsid w:val="00E30F40"/>
    <w:rsid w:val="00E3108A"/>
    <w:rsid w:val="00E31152"/>
    <w:rsid w:val="00E31249"/>
    <w:rsid w:val="00E31326"/>
    <w:rsid w:val="00E31476"/>
    <w:rsid w:val="00E3156C"/>
    <w:rsid w:val="00E318C2"/>
    <w:rsid w:val="00E3196B"/>
    <w:rsid w:val="00E31A1E"/>
    <w:rsid w:val="00E31B9C"/>
    <w:rsid w:val="00E31BCB"/>
    <w:rsid w:val="00E31C85"/>
    <w:rsid w:val="00E31CA1"/>
    <w:rsid w:val="00E31D48"/>
    <w:rsid w:val="00E31E55"/>
    <w:rsid w:val="00E31E63"/>
    <w:rsid w:val="00E32302"/>
    <w:rsid w:val="00E32406"/>
    <w:rsid w:val="00E32584"/>
    <w:rsid w:val="00E32588"/>
    <w:rsid w:val="00E329BB"/>
    <w:rsid w:val="00E329D5"/>
    <w:rsid w:val="00E32BC4"/>
    <w:rsid w:val="00E32BE9"/>
    <w:rsid w:val="00E32C18"/>
    <w:rsid w:val="00E32C8F"/>
    <w:rsid w:val="00E32DEA"/>
    <w:rsid w:val="00E33523"/>
    <w:rsid w:val="00E33E18"/>
    <w:rsid w:val="00E340B5"/>
    <w:rsid w:val="00E3410B"/>
    <w:rsid w:val="00E341B7"/>
    <w:rsid w:val="00E342E5"/>
    <w:rsid w:val="00E34484"/>
    <w:rsid w:val="00E345F3"/>
    <w:rsid w:val="00E349B6"/>
    <w:rsid w:val="00E34C55"/>
    <w:rsid w:val="00E34CE7"/>
    <w:rsid w:val="00E35277"/>
    <w:rsid w:val="00E35288"/>
    <w:rsid w:val="00E354DA"/>
    <w:rsid w:val="00E356EF"/>
    <w:rsid w:val="00E35795"/>
    <w:rsid w:val="00E35BB7"/>
    <w:rsid w:val="00E35FF2"/>
    <w:rsid w:val="00E36373"/>
    <w:rsid w:val="00E36525"/>
    <w:rsid w:val="00E365E7"/>
    <w:rsid w:val="00E3660D"/>
    <w:rsid w:val="00E36888"/>
    <w:rsid w:val="00E36989"/>
    <w:rsid w:val="00E369EA"/>
    <w:rsid w:val="00E36D8B"/>
    <w:rsid w:val="00E36DDD"/>
    <w:rsid w:val="00E37424"/>
    <w:rsid w:val="00E375B1"/>
    <w:rsid w:val="00E379F1"/>
    <w:rsid w:val="00E37A43"/>
    <w:rsid w:val="00E37A85"/>
    <w:rsid w:val="00E37C7C"/>
    <w:rsid w:val="00E37F0F"/>
    <w:rsid w:val="00E40212"/>
    <w:rsid w:val="00E402C6"/>
    <w:rsid w:val="00E40529"/>
    <w:rsid w:val="00E40541"/>
    <w:rsid w:val="00E406F1"/>
    <w:rsid w:val="00E40806"/>
    <w:rsid w:val="00E40971"/>
    <w:rsid w:val="00E40B3A"/>
    <w:rsid w:val="00E40BD0"/>
    <w:rsid w:val="00E40D27"/>
    <w:rsid w:val="00E40E1D"/>
    <w:rsid w:val="00E40E6E"/>
    <w:rsid w:val="00E4102D"/>
    <w:rsid w:val="00E41197"/>
    <w:rsid w:val="00E411AC"/>
    <w:rsid w:val="00E41328"/>
    <w:rsid w:val="00E413B6"/>
    <w:rsid w:val="00E41597"/>
    <w:rsid w:val="00E4168F"/>
    <w:rsid w:val="00E41849"/>
    <w:rsid w:val="00E41A7A"/>
    <w:rsid w:val="00E41B04"/>
    <w:rsid w:val="00E41E4C"/>
    <w:rsid w:val="00E41E9A"/>
    <w:rsid w:val="00E41F84"/>
    <w:rsid w:val="00E4231B"/>
    <w:rsid w:val="00E425A5"/>
    <w:rsid w:val="00E426CE"/>
    <w:rsid w:val="00E42876"/>
    <w:rsid w:val="00E428D9"/>
    <w:rsid w:val="00E429DC"/>
    <w:rsid w:val="00E429E3"/>
    <w:rsid w:val="00E42BE4"/>
    <w:rsid w:val="00E42D18"/>
    <w:rsid w:val="00E42E07"/>
    <w:rsid w:val="00E42F2C"/>
    <w:rsid w:val="00E431A3"/>
    <w:rsid w:val="00E431B8"/>
    <w:rsid w:val="00E43223"/>
    <w:rsid w:val="00E4330E"/>
    <w:rsid w:val="00E43524"/>
    <w:rsid w:val="00E43531"/>
    <w:rsid w:val="00E435C3"/>
    <w:rsid w:val="00E439E0"/>
    <w:rsid w:val="00E43A8B"/>
    <w:rsid w:val="00E43B4F"/>
    <w:rsid w:val="00E43C4C"/>
    <w:rsid w:val="00E4472D"/>
    <w:rsid w:val="00E44C0B"/>
    <w:rsid w:val="00E44C4F"/>
    <w:rsid w:val="00E44CE5"/>
    <w:rsid w:val="00E44D68"/>
    <w:rsid w:val="00E44E90"/>
    <w:rsid w:val="00E45180"/>
    <w:rsid w:val="00E4527E"/>
    <w:rsid w:val="00E45286"/>
    <w:rsid w:val="00E45297"/>
    <w:rsid w:val="00E452AD"/>
    <w:rsid w:val="00E45305"/>
    <w:rsid w:val="00E45366"/>
    <w:rsid w:val="00E456F5"/>
    <w:rsid w:val="00E45AC9"/>
    <w:rsid w:val="00E45B95"/>
    <w:rsid w:val="00E45BE7"/>
    <w:rsid w:val="00E45C0C"/>
    <w:rsid w:val="00E45C31"/>
    <w:rsid w:val="00E45E7E"/>
    <w:rsid w:val="00E46073"/>
    <w:rsid w:val="00E461B1"/>
    <w:rsid w:val="00E461D2"/>
    <w:rsid w:val="00E46205"/>
    <w:rsid w:val="00E46622"/>
    <w:rsid w:val="00E46671"/>
    <w:rsid w:val="00E466E9"/>
    <w:rsid w:val="00E46878"/>
    <w:rsid w:val="00E469B4"/>
    <w:rsid w:val="00E46AC9"/>
    <w:rsid w:val="00E46B2E"/>
    <w:rsid w:val="00E473A8"/>
    <w:rsid w:val="00E478AC"/>
    <w:rsid w:val="00E479AC"/>
    <w:rsid w:val="00E47AA4"/>
    <w:rsid w:val="00E47BBE"/>
    <w:rsid w:val="00E47D1A"/>
    <w:rsid w:val="00E4F796"/>
    <w:rsid w:val="00E502EB"/>
    <w:rsid w:val="00E5068E"/>
    <w:rsid w:val="00E50769"/>
    <w:rsid w:val="00E50A20"/>
    <w:rsid w:val="00E50AD7"/>
    <w:rsid w:val="00E510B9"/>
    <w:rsid w:val="00E5114B"/>
    <w:rsid w:val="00E51186"/>
    <w:rsid w:val="00E51474"/>
    <w:rsid w:val="00E5163F"/>
    <w:rsid w:val="00E519FD"/>
    <w:rsid w:val="00E51BFF"/>
    <w:rsid w:val="00E52026"/>
    <w:rsid w:val="00E526C2"/>
    <w:rsid w:val="00E527A1"/>
    <w:rsid w:val="00E52851"/>
    <w:rsid w:val="00E52C39"/>
    <w:rsid w:val="00E52C9F"/>
    <w:rsid w:val="00E52F8A"/>
    <w:rsid w:val="00E52FC3"/>
    <w:rsid w:val="00E5302E"/>
    <w:rsid w:val="00E53407"/>
    <w:rsid w:val="00E5354F"/>
    <w:rsid w:val="00E53822"/>
    <w:rsid w:val="00E53DB6"/>
    <w:rsid w:val="00E53DCF"/>
    <w:rsid w:val="00E53E47"/>
    <w:rsid w:val="00E54151"/>
    <w:rsid w:val="00E5429A"/>
    <w:rsid w:val="00E543B3"/>
    <w:rsid w:val="00E549A1"/>
    <w:rsid w:val="00E54A35"/>
    <w:rsid w:val="00E54ACA"/>
    <w:rsid w:val="00E54B18"/>
    <w:rsid w:val="00E54BFA"/>
    <w:rsid w:val="00E54C7B"/>
    <w:rsid w:val="00E54EDA"/>
    <w:rsid w:val="00E54FB3"/>
    <w:rsid w:val="00E5508E"/>
    <w:rsid w:val="00E55242"/>
    <w:rsid w:val="00E5529D"/>
    <w:rsid w:val="00E553F4"/>
    <w:rsid w:val="00E553F8"/>
    <w:rsid w:val="00E554F0"/>
    <w:rsid w:val="00E558E1"/>
    <w:rsid w:val="00E55904"/>
    <w:rsid w:val="00E55A8E"/>
    <w:rsid w:val="00E55B3A"/>
    <w:rsid w:val="00E55E72"/>
    <w:rsid w:val="00E55E86"/>
    <w:rsid w:val="00E56029"/>
    <w:rsid w:val="00E5634A"/>
    <w:rsid w:val="00E5663B"/>
    <w:rsid w:val="00E566EE"/>
    <w:rsid w:val="00E569BD"/>
    <w:rsid w:val="00E56C59"/>
    <w:rsid w:val="00E56FB5"/>
    <w:rsid w:val="00E570D8"/>
    <w:rsid w:val="00E57134"/>
    <w:rsid w:val="00E574FC"/>
    <w:rsid w:val="00E57521"/>
    <w:rsid w:val="00E57810"/>
    <w:rsid w:val="00E57878"/>
    <w:rsid w:val="00E57AE7"/>
    <w:rsid w:val="00E57C4A"/>
    <w:rsid w:val="00E57F01"/>
    <w:rsid w:val="00E57FB2"/>
    <w:rsid w:val="00E5F373"/>
    <w:rsid w:val="00E60005"/>
    <w:rsid w:val="00E60061"/>
    <w:rsid w:val="00E60068"/>
    <w:rsid w:val="00E60188"/>
    <w:rsid w:val="00E6034E"/>
    <w:rsid w:val="00E603D0"/>
    <w:rsid w:val="00E60616"/>
    <w:rsid w:val="00E60A1F"/>
    <w:rsid w:val="00E612BF"/>
    <w:rsid w:val="00E613EF"/>
    <w:rsid w:val="00E6157A"/>
    <w:rsid w:val="00E61606"/>
    <w:rsid w:val="00E61611"/>
    <w:rsid w:val="00E616B9"/>
    <w:rsid w:val="00E61742"/>
    <w:rsid w:val="00E617EA"/>
    <w:rsid w:val="00E6190D"/>
    <w:rsid w:val="00E61CBB"/>
    <w:rsid w:val="00E61DFE"/>
    <w:rsid w:val="00E62192"/>
    <w:rsid w:val="00E6258B"/>
    <w:rsid w:val="00E6275D"/>
    <w:rsid w:val="00E628DC"/>
    <w:rsid w:val="00E62933"/>
    <w:rsid w:val="00E629F4"/>
    <w:rsid w:val="00E62E72"/>
    <w:rsid w:val="00E6346D"/>
    <w:rsid w:val="00E634FF"/>
    <w:rsid w:val="00E635F2"/>
    <w:rsid w:val="00E63816"/>
    <w:rsid w:val="00E63DCC"/>
    <w:rsid w:val="00E63F0B"/>
    <w:rsid w:val="00E64002"/>
    <w:rsid w:val="00E640D3"/>
    <w:rsid w:val="00E64934"/>
    <w:rsid w:val="00E64D14"/>
    <w:rsid w:val="00E65024"/>
    <w:rsid w:val="00E65085"/>
    <w:rsid w:val="00E6528B"/>
    <w:rsid w:val="00E6556D"/>
    <w:rsid w:val="00E65775"/>
    <w:rsid w:val="00E657AF"/>
    <w:rsid w:val="00E65A7E"/>
    <w:rsid w:val="00E65B3A"/>
    <w:rsid w:val="00E65C6F"/>
    <w:rsid w:val="00E663CA"/>
    <w:rsid w:val="00E66412"/>
    <w:rsid w:val="00E664FA"/>
    <w:rsid w:val="00E66614"/>
    <w:rsid w:val="00E66924"/>
    <w:rsid w:val="00E66D75"/>
    <w:rsid w:val="00E66EFF"/>
    <w:rsid w:val="00E6703C"/>
    <w:rsid w:val="00E67120"/>
    <w:rsid w:val="00E67234"/>
    <w:rsid w:val="00E6724C"/>
    <w:rsid w:val="00E67361"/>
    <w:rsid w:val="00E67788"/>
    <w:rsid w:val="00E678E7"/>
    <w:rsid w:val="00E67D09"/>
    <w:rsid w:val="00E7019D"/>
    <w:rsid w:val="00E703EF"/>
    <w:rsid w:val="00E70531"/>
    <w:rsid w:val="00E70672"/>
    <w:rsid w:val="00E7096E"/>
    <w:rsid w:val="00E70978"/>
    <w:rsid w:val="00E7099C"/>
    <w:rsid w:val="00E70AC8"/>
    <w:rsid w:val="00E70D14"/>
    <w:rsid w:val="00E70DAB"/>
    <w:rsid w:val="00E70DBE"/>
    <w:rsid w:val="00E70E0A"/>
    <w:rsid w:val="00E71465"/>
    <w:rsid w:val="00E7150A"/>
    <w:rsid w:val="00E71520"/>
    <w:rsid w:val="00E71606"/>
    <w:rsid w:val="00E716D3"/>
    <w:rsid w:val="00E716ED"/>
    <w:rsid w:val="00E7176C"/>
    <w:rsid w:val="00E71A01"/>
    <w:rsid w:val="00E71CEB"/>
    <w:rsid w:val="00E71E03"/>
    <w:rsid w:val="00E71E44"/>
    <w:rsid w:val="00E71F1E"/>
    <w:rsid w:val="00E72111"/>
    <w:rsid w:val="00E7213A"/>
    <w:rsid w:val="00E72642"/>
    <w:rsid w:val="00E72A10"/>
    <w:rsid w:val="00E72C37"/>
    <w:rsid w:val="00E7318F"/>
    <w:rsid w:val="00E73430"/>
    <w:rsid w:val="00E73448"/>
    <w:rsid w:val="00E7398B"/>
    <w:rsid w:val="00E73B51"/>
    <w:rsid w:val="00E73CED"/>
    <w:rsid w:val="00E73D60"/>
    <w:rsid w:val="00E74154"/>
    <w:rsid w:val="00E7425F"/>
    <w:rsid w:val="00E745AC"/>
    <w:rsid w:val="00E74789"/>
    <w:rsid w:val="00E74FB7"/>
    <w:rsid w:val="00E750C0"/>
    <w:rsid w:val="00E75102"/>
    <w:rsid w:val="00E753C1"/>
    <w:rsid w:val="00E754F5"/>
    <w:rsid w:val="00E755FF"/>
    <w:rsid w:val="00E75867"/>
    <w:rsid w:val="00E758D4"/>
    <w:rsid w:val="00E75FFE"/>
    <w:rsid w:val="00E76000"/>
    <w:rsid w:val="00E762C0"/>
    <w:rsid w:val="00E76558"/>
    <w:rsid w:val="00E766AE"/>
    <w:rsid w:val="00E76740"/>
    <w:rsid w:val="00E76A74"/>
    <w:rsid w:val="00E76B77"/>
    <w:rsid w:val="00E76E11"/>
    <w:rsid w:val="00E76FA6"/>
    <w:rsid w:val="00E77015"/>
    <w:rsid w:val="00E770D4"/>
    <w:rsid w:val="00E771BC"/>
    <w:rsid w:val="00E772A3"/>
    <w:rsid w:val="00E77533"/>
    <w:rsid w:val="00E77534"/>
    <w:rsid w:val="00E77866"/>
    <w:rsid w:val="00E77C0C"/>
    <w:rsid w:val="00E77D15"/>
    <w:rsid w:val="00E77DA2"/>
    <w:rsid w:val="00E77DC8"/>
    <w:rsid w:val="00E77F83"/>
    <w:rsid w:val="00E80035"/>
    <w:rsid w:val="00E8006A"/>
    <w:rsid w:val="00E8010D"/>
    <w:rsid w:val="00E8041B"/>
    <w:rsid w:val="00E8049C"/>
    <w:rsid w:val="00E80619"/>
    <w:rsid w:val="00E80E3F"/>
    <w:rsid w:val="00E80EE7"/>
    <w:rsid w:val="00E80FBD"/>
    <w:rsid w:val="00E81218"/>
    <w:rsid w:val="00E812AE"/>
    <w:rsid w:val="00E812DD"/>
    <w:rsid w:val="00E816C2"/>
    <w:rsid w:val="00E81AAA"/>
    <w:rsid w:val="00E81B49"/>
    <w:rsid w:val="00E81C3C"/>
    <w:rsid w:val="00E81C6F"/>
    <w:rsid w:val="00E81E5B"/>
    <w:rsid w:val="00E82329"/>
    <w:rsid w:val="00E823A0"/>
    <w:rsid w:val="00E8264E"/>
    <w:rsid w:val="00E8269B"/>
    <w:rsid w:val="00E827E4"/>
    <w:rsid w:val="00E829B7"/>
    <w:rsid w:val="00E8304C"/>
    <w:rsid w:val="00E83E1B"/>
    <w:rsid w:val="00E83F33"/>
    <w:rsid w:val="00E83FC4"/>
    <w:rsid w:val="00E84115"/>
    <w:rsid w:val="00E8427B"/>
    <w:rsid w:val="00E842C5"/>
    <w:rsid w:val="00E84374"/>
    <w:rsid w:val="00E84556"/>
    <w:rsid w:val="00E845B3"/>
    <w:rsid w:val="00E84857"/>
    <w:rsid w:val="00E849A5"/>
    <w:rsid w:val="00E84ACF"/>
    <w:rsid w:val="00E84B23"/>
    <w:rsid w:val="00E84C99"/>
    <w:rsid w:val="00E84E00"/>
    <w:rsid w:val="00E85171"/>
    <w:rsid w:val="00E85566"/>
    <w:rsid w:val="00E857EA"/>
    <w:rsid w:val="00E85860"/>
    <w:rsid w:val="00E85AEA"/>
    <w:rsid w:val="00E862BA"/>
    <w:rsid w:val="00E864EB"/>
    <w:rsid w:val="00E8684A"/>
    <w:rsid w:val="00E86EF9"/>
    <w:rsid w:val="00E87086"/>
    <w:rsid w:val="00E8714B"/>
    <w:rsid w:val="00E871AB"/>
    <w:rsid w:val="00E872DB"/>
    <w:rsid w:val="00E875BD"/>
    <w:rsid w:val="00E8774F"/>
    <w:rsid w:val="00E87820"/>
    <w:rsid w:val="00E87894"/>
    <w:rsid w:val="00E87B8B"/>
    <w:rsid w:val="00E87C5B"/>
    <w:rsid w:val="00E87CE8"/>
    <w:rsid w:val="00E87E58"/>
    <w:rsid w:val="00E8F027"/>
    <w:rsid w:val="00E901AB"/>
    <w:rsid w:val="00E9049D"/>
    <w:rsid w:val="00E90949"/>
    <w:rsid w:val="00E90A15"/>
    <w:rsid w:val="00E90A85"/>
    <w:rsid w:val="00E90D1E"/>
    <w:rsid w:val="00E90E0F"/>
    <w:rsid w:val="00E912B0"/>
    <w:rsid w:val="00E912D4"/>
    <w:rsid w:val="00E9135B"/>
    <w:rsid w:val="00E913AE"/>
    <w:rsid w:val="00E915FC"/>
    <w:rsid w:val="00E91676"/>
    <w:rsid w:val="00E91733"/>
    <w:rsid w:val="00E91A4E"/>
    <w:rsid w:val="00E91D2D"/>
    <w:rsid w:val="00E91FF3"/>
    <w:rsid w:val="00E92171"/>
    <w:rsid w:val="00E922E7"/>
    <w:rsid w:val="00E92A83"/>
    <w:rsid w:val="00E92B30"/>
    <w:rsid w:val="00E92B4B"/>
    <w:rsid w:val="00E92CBE"/>
    <w:rsid w:val="00E9309C"/>
    <w:rsid w:val="00E930FA"/>
    <w:rsid w:val="00E93187"/>
    <w:rsid w:val="00E93202"/>
    <w:rsid w:val="00E9336B"/>
    <w:rsid w:val="00E93373"/>
    <w:rsid w:val="00E93A39"/>
    <w:rsid w:val="00E93B16"/>
    <w:rsid w:val="00E93B1D"/>
    <w:rsid w:val="00E93DD3"/>
    <w:rsid w:val="00E941D4"/>
    <w:rsid w:val="00E943D4"/>
    <w:rsid w:val="00E94509"/>
    <w:rsid w:val="00E94591"/>
    <w:rsid w:val="00E94CB3"/>
    <w:rsid w:val="00E94F92"/>
    <w:rsid w:val="00E9500B"/>
    <w:rsid w:val="00E95320"/>
    <w:rsid w:val="00E95376"/>
    <w:rsid w:val="00E95759"/>
    <w:rsid w:val="00E95787"/>
    <w:rsid w:val="00E9579C"/>
    <w:rsid w:val="00E959AE"/>
    <w:rsid w:val="00E95D69"/>
    <w:rsid w:val="00E95F85"/>
    <w:rsid w:val="00E960F9"/>
    <w:rsid w:val="00E961A8"/>
    <w:rsid w:val="00E969E7"/>
    <w:rsid w:val="00E96CFC"/>
    <w:rsid w:val="00E96DC7"/>
    <w:rsid w:val="00E96F38"/>
    <w:rsid w:val="00E971AA"/>
    <w:rsid w:val="00E971BF"/>
    <w:rsid w:val="00E97431"/>
    <w:rsid w:val="00E97532"/>
    <w:rsid w:val="00E975DE"/>
    <w:rsid w:val="00E975F2"/>
    <w:rsid w:val="00E976DF"/>
    <w:rsid w:val="00E97E48"/>
    <w:rsid w:val="00EA0039"/>
    <w:rsid w:val="00EA0048"/>
    <w:rsid w:val="00EA019F"/>
    <w:rsid w:val="00EA0347"/>
    <w:rsid w:val="00EA0624"/>
    <w:rsid w:val="00EA0734"/>
    <w:rsid w:val="00EA08F1"/>
    <w:rsid w:val="00EA0A5C"/>
    <w:rsid w:val="00EA0A66"/>
    <w:rsid w:val="00EA0AAE"/>
    <w:rsid w:val="00EA0B00"/>
    <w:rsid w:val="00EA0B5C"/>
    <w:rsid w:val="00EA0CE3"/>
    <w:rsid w:val="00EA0D37"/>
    <w:rsid w:val="00EA0D87"/>
    <w:rsid w:val="00EA0D94"/>
    <w:rsid w:val="00EA0F50"/>
    <w:rsid w:val="00EA1291"/>
    <w:rsid w:val="00EA1417"/>
    <w:rsid w:val="00EA1953"/>
    <w:rsid w:val="00EA1B10"/>
    <w:rsid w:val="00EA1B29"/>
    <w:rsid w:val="00EA1B44"/>
    <w:rsid w:val="00EA1BB2"/>
    <w:rsid w:val="00EA2004"/>
    <w:rsid w:val="00EA24CE"/>
    <w:rsid w:val="00EA250C"/>
    <w:rsid w:val="00EA26C9"/>
    <w:rsid w:val="00EA27B9"/>
    <w:rsid w:val="00EA290E"/>
    <w:rsid w:val="00EA2B07"/>
    <w:rsid w:val="00EA2DAA"/>
    <w:rsid w:val="00EA2E40"/>
    <w:rsid w:val="00EA2FEF"/>
    <w:rsid w:val="00EA3280"/>
    <w:rsid w:val="00EA344A"/>
    <w:rsid w:val="00EA34D1"/>
    <w:rsid w:val="00EA392B"/>
    <w:rsid w:val="00EA3E8C"/>
    <w:rsid w:val="00EA3F74"/>
    <w:rsid w:val="00EA421F"/>
    <w:rsid w:val="00EA44CC"/>
    <w:rsid w:val="00EA4550"/>
    <w:rsid w:val="00EA4570"/>
    <w:rsid w:val="00EA4630"/>
    <w:rsid w:val="00EA4BCB"/>
    <w:rsid w:val="00EA4C06"/>
    <w:rsid w:val="00EA4CAB"/>
    <w:rsid w:val="00EA4D52"/>
    <w:rsid w:val="00EA5552"/>
    <w:rsid w:val="00EA55A1"/>
    <w:rsid w:val="00EA5685"/>
    <w:rsid w:val="00EA56F9"/>
    <w:rsid w:val="00EA57F8"/>
    <w:rsid w:val="00EA5926"/>
    <w:rsid w:val="00EA5B17"/>
    <w:rsid w:val="00EA5B6A"/>
    <w:rsid w:val="00EA5ECC"/>
    <w:rsid w:val="00EA61B8"/>
    <w:rsid w:val="00EA6219"/>
    <w:rsid w:val="00EA63E0"/>
    <w:rsid w:val="00EA655D"/>
    <w:rsid w:val="00EA66E6"/>
    <w:rsid w:val="00EA6876"/>
    <w:rsid w:val="00EA6B14"/>
    <w:rsid w:val="00EA6D76"/>
    <w:rsid w:val="00EA701D"/>
    <w:rsid w:val="00EA70D8"/>
    <w:rsid w:val="00EA7566"/>
    <w:rsid w:val="00EA75AD"/>
    <w:rsid w:val="00EA7667"/>
    <w:rsid w:val="00EA76F7"/>
    <w:rsid w:val="00EA78AD"/>
    <w:rsid w:val="00EA7AE8"/>
    <w:rsid w:val="00EA7C34"/>
    <w:rsid w:val="00EA7F43"/>
    <w:rsid w:val="00EA7FCC"/>
    <w:rsid w:val="00EB034E"/>
    <w:rsid w:val="00EB047E"/>
    <w:rsid w:val="00EB06D8"/>
    <w:rsid w:val="00EB07E2"/>
    <w:rsid w:val="00EB0846"/>
    <w:rsid w:val="00EB0D05"/>
    <w:rsid w:val="00EB0DAE"/>
    <w:rsid w:val="00EB0E9F"/>
    <w:rsid w:val="00EB111E"/>
    <w:rsid w:val="00EB14E8"/>
    <w:rsid w:val="00EB15F2"/>
    <w:rsid w:val="00EB175E"/>
    <w:rsid w:val="00EB189A"/>
    <w:rsid w:val="00EB1929"/>
    <w:rsid w:val="00EB1977"/>
    <w:rsid w:val="00EB1C58"/>
    <w:rsid w:val="00EB1DAD"/>
    <w:rsid w:val="00EB215E"/>
    <w:rsid w:val="00EB21E4"/>
    <w:rsid w:val="00EB221D"/>
    <w:rsid w:val="00EB22A4"/>
    <w:rsid w:val="00EB22DA"/>
    <w:rsid w:val="00EB23BF"/>
    <w:rsid w:val="00EB2790"/>
    <w:rsid w:val="00EB295A"/>
    <w:rsid w:val="00EB31B3"/>
    <w:rsid w:val="00EB3253"/>
    <w:rsid w:val="00EB334A"/>
    <w:rsid w:val="00EB33B3"/>
    <w:rsid w:val="00EB360C"/>
    <w:rsid w:val="00EB3884"/>
    <w:rsid w:val="00EB38BE"/>
    <w:rsid w:val="00EB3A13"/>
    <w:rsid w:val="00EB3A15"/>
    <w:rsid w:val="00EB3EA2"/>
    <w:rsid w:val="00EB4015"/>
    <w:rsid w:val="00EB426B"/>
    <w:rsid w:val="00EB47B0"/>
    <w:rsid w:val="00EB49EA"/>
    <w:rsid w:val="00EB4A39"/>
    <w:rsid w:val="00EB4B58"/>
    <w:rsid w:val="00EB4CF0"/>
    <w:rsid w:val="00EB4E02"/>
    <w:rsid w:val="00EB4F9F"/>
    <w:rsid w:val="00EB511B"/>
    <w:rsid w:val="00EB5217"/>
    <w:rsid w:val="00EB5242"/>
    <w:rsid w:val="00EB545F"/>
    <w:rsid w:val="00EB552D"/>
    <w:rsid w:val="00EB5A56"/>
    <w:rsid w:val="00EB5B4D"/>
    <w:rsid w:val="00EB5E6D"/>
    <w:rsid w:val="00EB5EDC"/>
    <w:rsid w:val="00EB60E7"/>
    <w:rsid w:val="00EB61F2"/>
    <w:rsid w:val="00EB628B"/>
    <w:rsid w:val="00EB633A"/>
    <w:rsid w:val="00EB66B9"/>
    <w:rsid w:val="00EB66CC"/>
    <w:rsid w:val="00EB6855"/>
    <w:rsid w:val="00EB6E8B"/>
    <w:rsid w:val="00EB711B"/>
    <w:rsid w:val="00EB71C2"/>
    <w:rsid w:val="00EB7581"/>
    <w:rsid w:val="00EB76F7"/>
    <w:rsid w:val="00EB7A10"/>
    <w:rsid w:val="00EB7C4B"/>
    <w:rsid w:val="00EB7CE2"/>
    <w:rsid w:val="00EB7D05"/>
    <w:rsid w:val="00EB7D36"/>
    <w:rsid w:val="00EB7EAB"/>
    <w:rsid w:val="00EC02DF"/>
    <w:rsid w:val="00EC0401"/>
    <w:rsid w:val="00EC087A"/>
    <w:rsid w:val="00EC0D63"/>
    <w:rsid w:val="00EC0E2A"/>
    <w:rsid w:val="00EC1004"/>
    <w:rsid w:val="00EC1052"/>
    <w:rsid w:val="00EC109F"/>
    <w:rsid w:val="00EC11AC"/>
    <w:rsid w:val="00EC1952"/>
    <w:rsid w:val="00EC19B9"/>
    <w:rsid w:val="00EC1C4C"/>
    <w:rsid w:val="00EC1C53"/>
    <w:rsid w:val="00EC1EC4"/>
    <w:rsid w:val="00EC26B4"/>
    <w:rsid w:val="00EC27C1"/>
    <w:rsid w:val="00EC2938"/>
    <w:rsid w:val="00EC2993"/>
    <w:rsid w:val="00EC300D"/>
    <w:rsid w:val="00EC3102"/>
    <w:rsid w:val="00EC3168"/>
    <w:rsid w:val="00EC32A5"/>
    <w:rsid w:val="00EC32E0"/>
    <w:rsid w:val="00EC34D1"/>
    <w:rsid w:val="00EC34FD"/>
    <w:rsid w:val="00EC398D"/>
    <w:rsid w:val="00EC3A1B"/>
    <w:rsid w:val="00EC3CE8"/>
    <w:rsid w:val="00EC3D45"/>
    <w:rsid w:val="00EC4024"/>
    <w:rsid w:val="00EC42E0"/>
    <w:rsid w:val="00EC4529"/>
    <w:rsid w:val="00EC45E9"/>
    <w:rsid w:val="00EC4758"/>
    <w:rsid w:val="00EC4A06"/>
    <w:rsid w:val="00EC4CAF"/>
    <w:rsid w:val="00EC4D44"/>
    <w:rsid w:val="00EC4FE7"/>
    <w:rsid w:val="00EC51FB"/>
    <w:rsid w:val="00EC54B9"/>
    <w:rsid w:val="00EC562D"/>
    <w:rsid w:val="00EC57D3"/>
    <w:rsid w:val="00EC5ACB"/>
    <w:rsid w:val="00EC5BB6"/>
    <w:rsid w:val="00EC5CF0"/>
    <w:rsid w:val="00EC5D6B"/>
    <w:rsid w:val="00EC5EB6"/>
    <w:rsid w:val="00EC62CE"/>
    <w:rsid w:val="00EC65D7"/>
    <w:rsid w:val="00EC66F0"/>
    <w:rsid w:val="00EC6714"/>
    <w:rsid w:val="00EC6741"/>
    <w:rsid w:val="00EC6844"/>
    <w:rsid w:val="00EC6AA5"/>
    <w:rsid w:val="00EC6AC3"/>
    <w:rsid w:val="00EC6B6A"/>
    <w:rsid w:val="00EC6DCD"/>
    <w:rsid w:val="00EC6E4A"/>
    <w:rsid w:val="00EC6EDC"/>
    <w:rsid w:val="00EC6EE0"/>
    <w:rsid w:val="00EC710F"/>
    <w:rsid w:val="00EC71E6"/>
    <w:rsid w:val="00EC723D"/>
    <w:rsid w:val="00EC730B"/>
    <w:rsid w:val="00EC757D"/>
    <w:rsid w:val="00EC7581"/>
    <w:rsid w:val="00EC763E"/>
    <w:rsid w:val="00EC76DB"/>
    <w:rsid w:val="00EC7926"/>
    <w:rsid w:val="00EC7A15"/>
    <w:rsid w:val="00EC7ACC"/>
    <w:rsid w:val="00EC7B03"/>
    <w:rsid w:val="00EC7B6E"/>
    <w:rsid w:val="00EC7CC1"/>
    <w:rsid w:val="00EC7E7E"/>
    <w:rsid w:val="00EC7F0E"/>
    <w:rsid w:val="00ED0128"/>
    <w:rsid w:val="00ED03D3"/>
    <w:rsid w:val="00ED05CC"/>
    <w:rsid w:val="00ED05EB"/>
    <w:rsid w:val="00ED09E3"/>
    <w:rsid w:val="00ED0C86"/>
    <w:rsid w:val="00ED0EF9"/>
    <w:rsid w:val="00ED0F0F"/>
    <w:rsid w:val="00ED0F99"/>
    <w:rsid w:val="00ED10F7"/>
    <w:rsid w:val="00ED11FB"/>
    <w:rsid w:val="00ED123C"/>
    <w:rsid w:val="00ED132E"/>
    <w:rsid w:val="00ED13D8"/>
    <w:rsid w:val="00ED13F4"/>
    <w:rsid w:val="00ED1658"/>
    <w:rsid w:val="00ED181C"/>
    <w:rsid w:val="00ED18BA"/>
    <w:rsid w:val="00ED1B21"/>
    <w:rsid w:val="00ED1B88"/>
    <w:rsid w:val="00ED1C3E"/>
    <w:rsid w:val="00ED1E54"/>
    <w:rsid w:val="00ED1E7F"/>
    <w:rsid w:val="00ED2127"/>
    <w:rsid w:val="00ED213D"/>
    <w:rsid w:val="00ED214E"/>
    <w:rsid w:val="00ED23A7"/>
    <w:rsid w:val="00ED250D"/>
    <w:rsid w:val="00ED29A2"/>
    <w:rsid w:val="00ED2B1A"/>
    <w:rsid w:val="00ED2F8E"/>
    <w:rsid w:val="00ED2F9E"/>
    <w:rsid w:val="00ED3018"/>
    <w:rsid w:val="00ED3086"/>
    <w:rsid w:val="00ED30A1"/>
    <w:rsid w:val="00ED34FC"/>
    <w:rsid w:val="00ED3558"/>
    <w:rsid w:val="00ED3688"/>
    <w:rsid w:val="00ED38FC"/>
    <w:rsid w:val="00ED3A27"/>
    <w:rsid w:val="00ED419F"/>
    <w:rsid w:val="00ED43B1"/>
    <w:rsid w:val="00ED463B"/>
    <w:rsid w:val="00ED47E7"/>
    <w:rsid w:val="00ED487A"/>
    <w:rsid w:val="00ED4A5C"/>
    <w:rsid w:val="00ED4B95"/>
    <w:rsid w:val="00ED4D64"/>
    <w:rsid w:val="00ED4DE2"/>
    <w:rsid w:val="00ED5042"/>
    <w:rsid w:val="00ED50F3"/>
    <w:rsid w:val="00ED523C"/>
    <w:rsid w:val="00ED5334"/>
    <w:rsid w:val="00ED53B4"/>
    <w:rsid w:val="00ED56F9"/>
    <w:rsid w:val="00ED57CF"/>
    <w:rsid w:val="00ED5B6B"/>
    <w:rsid w:val="00ED5BB3"/>
    <w:rsid w:val="00ED5DC5"/>
    <w:rsid w:val="00ED5F80"/>
    <w:rsid w:val="00ED630B"/>
    <w:rsid w:val="00ED6338"/>
    <w:rsid w:val="00ED6550"/>
    <w:rsid w:val="00ED6B06"/>
    <w:rsid w:val="00ED6D62"/>
    <w:rsid w:val="00ED702A"/>
    <w:rsid w:val="00ED72E0"/>
    <w:rsid w:val="00ED7340"/>
    <w:rsid w:val="00ED7509"/>
    <w:rsid w:val="00ED76F7"/>
    <w:rsid w:val="00ED7869"/>
    <w:rsid w:val="00ED7997"/>
    <w:rsid w:val="00ED7D60"/>
    <w:rsid w:val="00ED7E32"/>
    <w:rsid w:val="00ED7F58"/>
    <w:rsid w:val="00ED7F97"/>
    <w:rsid w:val="00EDCE73"/>
    <w:rsid w:val="00EE0000"/>
    <w:rsid w:val="00EE0145"/>
    <w:rsid w:val="00EE01BA"/>
    <w:rsid w:val="00EE0389"/>
    <w:rsid w:val="00EE07BF"/>
    <w:rsid w:val="00EE0848"/>
    <w:rsid w:val="00EE0977"/>
    <w:rsid w:val="00EE0DAC"/>
    <w:rsid w:val="00EE10F8"/>
    <w:rsid w:val="00EE162D"/>
    <w:rsid w:val="00EE1A0E"/>
    <w:rsid w:val="00EE1BEE"/>
    <w:rsid w:val="00EE1D86"/>
    <w:rsid w:val="00EE1F6A"/>
    <w:rsid w:val="00EE2094"/>
    <w:rsid w:val="00EE2260"/>
    <w:rsid w:val="00EE233A"/>
    <w:rsid w:val="00EE242D"/>
    <w:rsid w:val="00EE24F7"/>
    <w:rsid w:val="00EE26CF"/>
    <w:rsid w:val="00EE2852"/>
    <w:rsid w:val="00EE28CF"/>
    <w:rsid w:val="00EE2991"/>
    <w:rsid w:val="00EE29B5"/>
    <w:rsid w:val="00EE2B04"/>
    <w:rsid w:val="00EE2CED"/>
    <w:rsid w:val="00EE2DCB"/>
    <w:rsid w:val="00EE2DEF"/>
    <w:rsid w:val="00EE2F07"/>
    <w:rsid w:val="00EE3587"/>
    <w:rsid w:val="00EE35C4"/>
    <w:rsid w:val="00EE3767"/>
    <w:rsid w:val="00EE38AC"/>
    <w:rsid w:val="00EE38D9"/>
    <w:rsid w:val="00EE39F5"/>
    <w:rsid w:val="00EE3AB0"/>
    <w:rsid w:val="00EE3B09"/>
    <w:rsid w:val="00EE3B3C"/>
    <w:rsid w:val="00EE3F2E"/>
    <w:rsid w:val="00EE4230"/>
    <w:rsid w:val="00EE44FF"/>
    <w:rsid w:val="00EE451C"/>
    <w:rsid w:val="00EE471B"/>
    <w:rsid w:val="00EE491B"/>
    <w:rsid w:val="00EE4A5E"/>
    <w:rsid w:val="00EE4AFE"/>
    <w:rsid w:val="00EE4AFF"/>
    <w:rsid w:val="00EE4E67"/>
    <w:rsid w:val="00EE4E85"/>
    <w:rsid w:val="00EE4FEE"/>
    <w:rsid w:val="00EE5014"/>
    <w:rsid w:val="00EE52A9"/>
    <w:rsid w:val="00EE54D1"/>
    <w:rsid w:val="00EE562F"/>
    <w:rsid w:val="00EE5632"/>
    <w:rsid w:val="00EE585C"/>
    <w:rsid w:val="00EE5A1A"/>
    <w:rsid w:val="00EE5DEE"/>
    <w:rsid w:val="00EE5F54"/>
    <w:rsid w:val="00EE6066"/>
    <w:rsid w:val="00EE617C"/>
    <w:rsid w:val="00EE647F"/>
    <w:rsid w:val="00EE65F2"/>
    <w:rsid w:val="00EE6B03"/>
    <w:rsid w:val="00EE6FA6"/>
    <w:rsid w:val="00EE718E"/>
    <w:rsid w:val="00EE71E9"/>
    <w:rsid w:val="00EE7208"/>
    <w:rsid w:val="00EE786E"/>
    <w:rsid w:val="00EE79BD"/>
    <w:rsid w:val="00EE7A7F"/>
    <w:rsid w:val="00EE7EE1"/>
    <w:rsid w:val="00EF0310"/>
    <w:rsid w:val="00EF0344"/>
    <w:rsid w:val="00EF050A"/>
    <w:rsid w:val="00EF087C"/>
    <w:rsid w:val="00EF08C1"/>
    <w:rsid w:val="00EF0C12"/>
    <w:rsid w:val="00EF16F7"/>
    <w:rsid w:val="00EF1960"/>
    <w:rsid w:val="00EF1AC6"/>
    <w:rsid w:val="00EF1CA8"/>
    <w:rsid w:val="00EF1D4E"/>
    <w:rsid w:val="00EF2095"/>
    <w:rsid w:val="00EF22A8"/>
    <w:rsid w:val="00EF237D"/>
    <w:rsid w:val="00EF23DD"/>
    <w:rsid w:val="00EF25A4"/>
    <w:rsid w:val="00EF25D0"/>
    <w:rsid w:val="00EF26FC"/>
    <w:rsid w:val="00EF27AA"/>
    <w:rsid w:val="00EF2A6C"/>
    <w:rsid w:val="00EF2ADB"/>
    <w:rsid w:val="00EF2E47"/>
    <w:rsid w:val="00EF301A"/>
    <w:rsid w:val="00EF325E"/>
    <w:rsid w:val="00EF3278"/>
    <w:rsid w:val="00EF3536"/>
    <w:rsid w:val="00EF36A2"/>
    <w:rsid w:val="00EF374A"/>
    <w:rsid w:val="00EF375B"/>
    <w:rsid w:val="00EF3794"/>
    <w:rsid w:val="00EF3874"/>
    <w:rsid w:val="00EF38E6"/>
    <w:rsid w:val="00EF3C10"/>
    <w:rsid w:val="00EF3E24"/>
    <w:rsid w:val="00EF3E8B"/>
    <w:rsid w:val="00EF4178"/>
    <w:rsid w:val="00EF41EC"/>
    <w:rsid w:val="00EF42D4"/>
    <w:rsid w:val="00EF470A"/>
    <w:rsid w:val="00EF4AA6"/>
    <w:rsid w:val="00EF4CAF"/>
    <w:rsid w:val="00EF516B"/>
    <w:rsid w:val="00EF5208"/>
    <w:rsid w:val="00EF526C"/>
    <w:rsid w:val="00EF53AA"/>
    <w:rsid w:val="00EF53BD"/>
    <w:rsid w:val="00EF55CE"/>
    <w:rsid w:val="00EF5630"/>
    <w:rsid w:val="00EF5884"/>
    <w:rsid w:val="00EF5B33"/>
    <w:rsid w:val="00EF5FFD"/>
    <w:rsid w:val="00EF617D"/>
    <w:rsid w:val="00EF6664"/>
    <w:rsid w:val="00EF67A7"/>
    <w:rsid w:val="00EF68A2"/>
    <w:rsid w:val="00EF6A8F"/>
    <w:rsid w:val="00EF6ACC"/>
    <w:rsid w:val="00EF727C"/>
    <w:rsid w:val="00EF729D"/>
    <w:rsid w:val="00EF72DF"/>
    <w:rsid w:val="00EF732C"/>
    <w:rsid w:val="00EF760D"/>
    <w:rsid w:val="00EF76B9"/>
    <w:rsid w:val="00EF7B4A"/>
    <w:rsid w:val="00EF7BB3"/>
    <w:rsid w:val="00EF7C46"/>
    <w:rsid w:val="00F00105"/>
    <w:rsid w:val="00F00438"/>
    <w:rsid w:val="00F005B0"/>
    <w:rsid w:val="00F005EE"/>
    <w:rsid w:val="00F00628"/>
    <w:rsid w:val="00F00678"/>
    <w:rsid w:val="00F00A61"/>
    <w:rsid w:val="00F00DB9"/>
    <w:rsid w:val="00F012A7"/>
    <w:rsid w:val="00F012B6"/>
    <w:rsid w:val="00F01514"/>
    <w:rsid w:val="00F0152D"/>
    <w:rsid w:val="00F01588"/>
    <w:rsid w:val="00F01670"/>
    <w:rsid w:val="00F01723"/>
    <w:rsid w:val="00F018C9"/>
    <w:rsid w:val="00F018CD"/>
    <w:rsid w:val="00F019AB"/>
    <w:rsid w:val="00F019B5"/>
    <w:rsid w:val="00F01A3C"/>
    <w:rsid w:val="00F01B0A"/>
    <w:rsid w:val="00F01BFD"/>
    <w:rsid w:val="00F01CCF"/>
    <w:rsid w:val="00F020CB"/>
    <w:rsid w:val="00F0211F"/>
    <w:rsid w:val="00F023AE"/>
    <w:rsid w:val="00F02862"/>
    <w:rsid w:val="00F028A2"/>
    <w:rsid w:val="00F02DA5"/>
    <w:rsid w:val="00F030E1"/>
    <w:rsid w:val="00F03178"/>
    <w:rsid w:val="00F03180"/>
    <w:rsid w:val="00F0373C"/>
    <w:rsid w:val="00F03943"/>
    <w:rsid w:val="00F03D67"/>
    <w:rsid w:val="00F03FBA"/>
    <w:rsid w:val="00F04032"/>
    <w:rsid w:val="00F040FF"/>
    <w:rsid w:val="00F044DD"/>
    <w:rsid w:val="00F049EC"/>
    <w:rsid w:val="00F04A18"/>
    <w:rsid w:val="00F04B1B"/>
    <w:rsid w:val="00F04D92"/>
    <w:rsid w:val="00F04F1F"/>
    <w:rsid w:val="00F05060"/>
    <w:rsid w:val="00F052CE"/>
    <w:rsid w:val="00F052DF"/>
    <w:rsid w:val="00F053D6"/>
    <w:rsid w:val="00F0542E"/>
    <w:rsid w:val="00F05926"/>
    <w:rsid w:val="00F05A13"/>
    <w:rsid w:val="00F05A6B"/>
    <w:rsid w:val="00F060E9"/>
    <w:rsid w:val="00F0614B"/>
    <w:rsid w:val="00F0619F"/>
    <w:rsid w:val="00F0645B"/>
    <w:rsid w:val="00F069F7"/>
    <w:rsid w:val="00F06BCB"/>
    <w:rsid w:val="00F06FAF"/>
    <w:rsid w:val="00F06FD9"/>
    <w:rsid w:val="00F07459"/>
    <w:rsid w:val="00F077AC"/>
    <w:rsid w:val="00F0790F"/>
    <w:rsid w:val="00F079AE"/>
    <w:rsid w:val="00F07A38"/>
    <w:rsid w:val="00F07A79"/>
    <w:rsid w:val="00F07B07"/>
    <w:rsid w:val="00F07C5D"/>
    <w:rsid w:val="00F07F55"/>
    <w:rsid w:val="00F10202"/>
    <w:rsid w:val="00F102E5"/>
    <w:rsid w:val="00F10371"/>
    <w:rsid w:val="00F1079E"/>
    <w:rsid w:val="00F108E5"/>
    <w:rsid w:val="00F10A0A"/>
    <w:rsid w:val="00F10AA3"/>
    <w:rsid w:val="00F10E8C"/>
    <w:rsid w:val="00F10EAA"/>
    <w:rsid w:val="00F1116E"/>
    <w:rsid w:val="00F111CF"/>
    <w:rsid w:val="00F1131A"/>
    <w:rsid w:val="00F1157B"/>
    <w:rsid w:val="00F116D5"/>
    <w:rsid w:val="00F1173B"/>
    <w:rsid w:val="00F11AED"/>
    <w:rsid w:val="00F11CC0"/>
    <w:rsid w:val="00F11DCA"/>
    <w:rsid w:val="00F11EA3"/>
    <w:rsid w:val="00F11EBF"/>
    <w:rsid w:val="00F121F6"/>
    <w:rsid w:val="00F12477"/>
    <w:rsid w:val="00F1275C"/>
    <w:rsid w:val="00F12A7C"/>
    <w:rsid w:val="00F12C22"/>
    <w:rsid w:val="00F12CBC"/>
    <w:rsid w:val="00F12CE7"/>
    <w:rsid w:val="00F12ED0"/>
    <w:rsid w:val="00F13073"/>
    <w:rsid w:val="00F13141"/>
    <w:rsid w:val="00F13549"/>
    <w:rsid w:val="00F135C6"/>
    <w:rsid w:val="00F135FF"/>
    <w:rsid w:val="00F1374C"/>
    <w:rsid w:val="00F137D6"/>
    <w:rsid w:val="00F1384A"/>
    <w:rsid w:val="00F13BAA"/>
    <w:rsid w:val="00F13BB3"/>
    <w:rsid w:val="00F13CFE"/>
    <w:rsid w:val="00F13D52"/>
    <w:rsid w:val="00F13E02"/>
    <w:rsid w:val="00F13F43"/>
    <w:rsid w:val="00F142A4"/>
    <w:rsid w:val="00F145A6"/>
    <w:rsid w:val="00F145AA"/>
    <w:rsid w:val="00F1490D"/>
    <w:rsid w:val="00F14ED6"/>
    <w:rsid w:val="00F15022"/>
    <w:rsid w:val="00F151B8"/>
    <w:rsid w:val="00F15218"/>
    <w:rsid w:val="00F1525C"/>
    <w:rsid w:val="00F1546C"/>
    <w:rsid w:val="00F1564C"/>
    <w:rsid w:val="00F15758"/>
    <w:rsid w:val="00F15A89"/>
    <w:rsid w:val="00F15C41"/>
    <w:rsid w:val="00F1612C"/>
    <w:rsid w:val="00F1641D"/>
    <w:rsid w:val="00F16677"/>
    <w:rsid w:val="00F16853"/>
    <w:rsid w:val="00F16A8C"/>
    <w:rsid w:val="00F16A8D"/>
    <w:rsid w:val="00F16AF9"/>
    <w:rsid w:val="00F17000"/>
    <w:rsid w:val="00F170E6"/>
    <w:rsid w:val="00F173C7"/>
    <w:rsid w:val="00F173E2"/>
    <w:rsid w:val="00F17500"/>
    <w:rsid w:val="00F17547"/>
    <w:rsid w:val="00F1759B"/>
    <w:rsid w:val="00F17A3F"/>
    <w:rsid w:val="00F20080"/>
    <w:rsid w:val="00F20375"/>
    <w:rsid w:val="00F2087D"/>
    <w:rsid w:val="00F20A88"/>
    <w:rsid w:val="00F20BF5"/>
    <w:rsid w:val="00F20E08"/>
    <w:rsid w:val="00F21112"/>
    <w:rsid w:val="00F21125"/>
    <w:rsid w:val="00F2130A"/>
    <w:rsid w:val="00F2146D"/>
    <w:rsid w:val="00F2154A"/>
    <w:rsid w:val="00F21569"/>
    <w:rsid w:val="00F21863"/>
    <w:rsid w:val="00F21BA0"/>
    <w:rsid w:val="00F22079"/>
    <w:rsid w:val="00F22216"/>
    <w:rsid w:val="00F22263"/>
    <w:rsid w:val="00F225F0"/>
    <w:rsid w:val="00F226A1"/>
    <w:rsid w:val="00F227FE"/>
    <w:rsid w:val="00F229E9"/>
    <w:rsid w:val="00F22B1C"/>
    <w:rsid w:val="00F22C87"/>
    <w:rsid w:val="00F2301C"/>
    <w:rsid w:val="00F23267"/>
    <w:rsid w:val="00F2373B"/>
    <w:rsid w:val="00F238C3"/>
    <w:rsid w:val="00F239B6"/>
    <w:rsid w:val="00F23DED"/>
    <w:rsid w:val="00F23E40"/>
    <w:rsid w:val="00F242EE"/>
    <w:rsid w:val="00F2430F"/>
    <w:rsid w:val="00F244FB"/>
    <w:rsid w:val="00F24765"/>
    <w:rsid w:val="00F24A47"/>
    <w:rsid w:val="00F25110"/>
    <w:rsid w:val="00F25374"/>
    <w:rsid w:val="00F2549C"/>
    <w:rsid w:val="00F254E1"/>
    <w:rsid w:val="00F255A1"/>
    <w:rsid w:val="00F2573E"/>
    <w:rsid w:val="00F257CA"/>
    <w:rsid w:val="00F25CAC"/>
    <w:rsid w:val="00F25D22"/>
    <w:rsid w:val="00F26024"/>
    <w:rsid w:val="00F2602B"/>
    <w:rsid w:val="00F26444"/>
    <w:rsid w:val="00F2667B"/>
    <w:rsid w:val="00F26740"/>
    <w:rsid w:val="00F269C3"/>
    <w:rsid w:val="00F269CC"/>
    <w:rsid w:val="00F26B4B"/>
    <w:rsid w:val="00F26DFE"/>
    <w:rsid w:val="00F26FFE"/>
    <w:rsid w:val="00F2706C"/>
    <w:rsid w:val="00F271F7"/>
    <w:rsid w:val="00F27390"/>
    <w:rsid w:val="00F274F0"/>
    <w:rsid w:val="00F27644"/>
    <w:rsid w:val="00F27826"/>
    <w:rsid w:val="00F27B9A"/>
    <w:rsid w:val="00F27BF7"/>
    <w:rsid w:val="00F27C16"/>
    <w:rsid w:val="00F27C21"/>
    <w:rsid w:val="00F27C60"/>
    <w:rsid w:val="00F27D44"/>
    <w:rsid w:val="00F27DC1"/>
    <w:rsid w:val="00F27F4B"/>
    <w:rsid w:val="00F27FE1"/>
    <w:rsid w:val="00F27FEB"/>
    <w:rsid w:val="00F30020"/>
    <w:rsid w:val="00F30126"/>
    <w:rsid w:val="00F30328"/>
    <w:rsid w:val="00F30372"/>
    <w:rsid w:val="00F307FB"/>
    <w:rsid w:val="00F3094A"/>
    <w:rsid w:val="00F30A68"/>
    <w:rsid w:val="00F30B60"/>
    <w:rsid w:val="00F30CA5"/>
    <w:rsid w:val="00F31200"/>
    <w:rsid w:val="00F31697"/>
    <w:rsid w:val="00F31A0F"/>
    <w:rsid w:val="00F31B2B"/>
    <w:rsid w:val="00F31B58"/>
    <w:rsid w:val="00F31F4E"/>
    <w:rsid w:val="00F31F70"/>
    <w:rsid w:val="00F31FEB"/>
    <w:rsid w:val="00F32104"/>
    <w:rsid w:val="00F324CB"/>
    <w:rsid w:val="00F32721"/>
    <w:rsid w:val="00F32764"/>
    <w:rsid w:val="00F32B17"/>
    <w:rsid w:val="00F32DD4"/>
    <w:rsid w:val="00F32F9F"/>
    <w:rsid w:val="00F33058"/>
    <w:rsid w:val="00F33390"/>
    <w:rsid w:val="00F33430"/>
    <w:rsid w:val="00F3356A"/>
    <w:rsid w:val="00F337FF"/>
    <w:rsid w:val="00F33916"/>
    <w:rsid w:val="00F339E3"/>
    <w:rsid w:val="00F33B35"/>
    <w:rsid w:val="00F33B92"/>
    <w:rsid w:val="00F33C50"/>
    <w:rsid w:val="00F33CBD"/>
    <w:rsid w:val="00F33CDE"/>
    <w:rsid w:val="00F34107"/>
    <w:rsid w:val="00F34180"/>
    <w:rsid w:val="00F34400"/>
    <w:rsid w:val="00F34BDF"/>
    <w:rsid w:val="00F34C1C"/>
    <w:rsid w:val="00F34DF3"/>
    <w:rsid w:val="00F34E30"/>
    <w:rsid w:val="00F34F12"/>
    <w:rsid w:val="00F35095"/>
    <w:rsid w:val="00F3518F"/>
    <w:rsid w:val="00F35311"/>
    <w:rsid w:val="00F35346"/>
    <w:rsid w:val="00F354F3"/>
    <w:rsid w:val="00F359DC"/>
    <w:rsid w:val="00F35A88"/>
    <w:rsid w:val="00F35E95"/>
    <w:rsid w:val="00F36277"/>
    <w:rsid w:val="00F36329"/>
    <w:rsid w:val="00F36331"/>
    <w:rsid w:val="00F3646A"/>
    <w:rsid w:val="00F364C6"/>
    <w:rsid w:val="00F36897"/>
    <w:rsid w:val="00F36B73"/>
    <w:rsid w:val="00F36E8D"/>
    <w:rsid w:val="00F37351"/>
    <w:rsid w:val="00F37648"/>
    <w:rsid w:val="00F37785"/>
    <w:rsid w:val="00F37864"/>
    <w:rsid w:val="00F37935"/>
    <w:rsid w:val="00F37967"/>
    <w:rsid w:val="00F3799C"/>
    <w:rsid w:val="00F37A01"/>
    <w:rsid w:val="00F37B53"/>
    <w:rsid w:val="00F37CBF"/>
    <w:rsid w:val="00F37D98"/>
    <w:rsid w:val="00F37DB6"/>
    <w:rsid w:val="00F40151"/>
    <w:rsid w:val="00F4026B"/>
    <w:rsid w:val="00F403F0"/>
    <w:rsid w:val="00F406AC"/>
    <w:rsid w:val="00F40702"/>
    <w:rsid w:val="00F4080A"/>
    <w:rsid w:val="00F40905"/>
    <w:rsid w:val="00F40BB9"/>
    <w:rsid w:val="00F40BDD"/>
    <w:rsid w:val="00F40D24"/>
    <w:rsid w:val="00F40F29"/>
    <w:rsid w:val="00F40FFE"/>
    <w:rsid w:val="00F4104D"/>
    <w:rsid w:val="00F411A8"/>
    <w:rsid w:val="00F411E7"/>
    <w:rsid w:val="00F41423"/>
    <w:rsid w:val="00F41909"/>
    <w:rsid w:val="00F41AAC"/>
    <w:rsid w:val="00F41EF2"/>
    <w:rsid w:val="00F41F21"/>
    <w:rsid w:val="00F41FD8"/>
    <w:rsid w:val="00F41FF9"/>
    <w:rsid w:val="00F42046"/>
    <w:rsid w:val="00F42095"/>
    <w:rsid w:val="00F421EC"/>
    <w:rsid w:val="00F42237"/>
    <w:rsid w:val="00F42305"/>
    <w:rsid w:val="00F42364"/>
    <w:rsid w:val="00F426CA"/>
    <w:rsid w:val="00F428A9"/>
    <w:rsid w:val="00F4299F"/>
    <w:rsid w:val="00F4320E"/>
    <w:rsid w:val="00F432FC"/>
    <w:rsid w:val="00F436D7"/>
    <w:rsid w:val="00F437F9"/>
    <w:rsid w:val="00F43831"/>
    <w:rsid w:val="00F43A02"/>
    <w:rsid w:val="00F43A69"/>
    <w:rsid w:val="00F43AC2"/>
    <w:rsid w:val="00F43AFA"/>
    <w:rsid w:val="00F43EBB"/>
    <w:rsid w:val="00F43FAF"/>
    <w:rsid w:val="00F440B6"/>
    <w:rsid w:val="00F443B1"/>
    <w:rsid w:val="00F4445A"/>
    <w:rsid w:val="00F4446B"/>
    <w:rsid w:val="00F446C1"/>
    <w:rsid w:val="00F4472E"/>
    <w:rsid w:val="00F44805"/>
    <w:rsid w:val="00F449FB"/>
    <w:rsid w:val="00F44B9C"/>
    <w:rsid w:val="00F44C8D"/>
    <w:rsid w:val="00F44D6E"/>
    <w:rsid w:val="00F44D8B"/>
    <w:rsid w:val="00F44DA3"/>
    <w:rsid w:val="00F45306"/>
    <w:rsid w:val="00F454EC"/>
    <w:rsid w:val="00F454F7"/>
    <w:rsid w:val="00F45651"/>
    <w:rsid w:val="00F4579C"/>
    <w:rsid w:val="00F45D3A"/>
    <w:rsid w:val="00F45DDC"/>
    <w:rsid w:val="00F45EF7"/>
    <w:rsid w:val="00F45F19"/>
    <w:rsid w:val="00F46127"/>
    <w:rsid w:val="00F461B1"/>
    <w:rsid w:val="00F466CA"/>
    <w:rsid w:val="00F46825"/>
    <w:rsid w:val="00F4691D"/>
    <w:rsid w:val="00F4699F"/>
    <w:rsid w:val="00F469B1"/>
    <w:rsid w:val="00F469FD"/>
    <w:rsid w:val="00F46D53"/>
    <w:rsid w:val="00F46FB5"/>
    <w:rsid w:val="00F46FCD"/>
    <w:rsid w:val="00F47329"/>
    <w:rsid w:val="00F47340"/>
    <w:rsid w:val="00F47391"/>
    <w:rsid w:val="00F47475"/>
    <w:rsid w:val="00F475BC"/>
    <w:rsid w:val="00F4781D"/>
    <w:rsid w:val="00F47B80"/>
    <w:rsid w:val="00F47B81"/>
    <w:rsid w:val="00F5016B"/>
    <w:rsid w:val="00F50BCA"/>
    <w:rsid w:val="00F50FF6"/>
    <w:rsid w:val="00F51109"/>
    <w:rsid w:val="00F512F7"/>
    <w:rsid w:val="00F51432"/>
    <w:rsid w:val="00F51484"/>
    <w:rsid w:val="00F5152C"/>
    <w:rsid w:val="00F51993"/>
    <w:rsid w:val="00F51DBB"/>
    <w:rsid w:val="00F51F9C"/>
    <w:rsid w:val="00F522B6"/>
    <w:rsid w:val="00F522C9"/>
    <w:rsid w:val="00F525E3"/>
    <w:rsid w:val="00F52B22"/>
    <w:rsid w:val="00F52D1E"/>
    <w:rsid w:val="00F52DAF"/>
    <w:rsid w:val="00F52FAD"/>
    <w:rsid w:val="00F52FB5"/>
    <w:rsid w:val="00F53741"/>
    <w:rsid w:val="00F539E6"/>
    <w:rsid w:val="00F53BE3"/>
    <w:rsid w:val="00F53ED6"/>
    <w:rsid w:val="00F53F1A"/>
    <w:rsid w:val="00F53F1C"/>
    <w:rsid w:val="00F54248"/>
    <w:rsid w:val="00F542A3"/>
    <w:rsid w:val="00F543CD"/>
    <w:rsid w:val="00F543D4"/>
    <w:rsid w:val="00F544DA"/>
    <w:rsid w:val="00F54844"/>
    <w:rsid w:val="00F54AB6"/>
    <w:rsid w:val="00F54AE5"/>
    <w:rsid w:val="00F54F13"/>
    <w:rsid w:val="00F550FB"/>
    <w:rsid w:val="00F551D6"/>
    <w:rsid w:val="00F55612"/>
    <w:rsid w:val="00F5576D"/>
    <w:rsid w:val="00F55CA9"/>
    <w:rsid w:val="00F56289"/>
    <w:rsid w:val="00F56314"/>
    <w:rsid w:val="00F564B7"/>
    <w:rsid w:val="00F566CB"/>
    <w:rsid w:val="00F5679D"/>
    <w:rsid w:val="00F56DFF"/>
    <w:rsid w:val="00F56E9A"/>
    <w:rsid w:val="00F56EE0"/>
    <w:rsid w:val="00F56FA7"/>
    <w:rsid w:val="00F57117"/>
    <w:rsid w:val="00F573E3"/>
    <w:rsid w:val="00F574EA"/>
    <w:rsid w:val="00F5762E"/>
    <w:rsid w:val="00F57683"/>
    <w:rsid w:val="00F57837"/>
    <w:rsid w:val="00F57B84"/>
    <w:rsid w:val="00F57C5F"/>
    <w:rsid w:val="00F57C93"/>
    <w:rsid w:val="00F57CB3"/>
    <w:rsid w:val="00F57EF8"/>
    <w:rsid w:val="00F600AB"/>
    <w:rsid w:val="00F606CC"/>
    <w:rsid w:val="00F6072F"/>
    <w:rsid w:val="00F608DA"/>
    <w:rsid w:val="00F60A82"/>
    <w:rsid w:val="00F60C7B"/>
    <w:rsid w:val="00F60E4F"/>
    <w:rsid w:val="00F60F0C"/>
    <w:rsid w:val="00F6148C"/>
    <w:rsid w:val="00F614A0"/>
    <w:rsid w:val="00F614A7"/>
    <w:rsid w:val="00F61504"/>
    <w:rsid w:val="00F6165C"/>
    <w:rsid w:val="00F6173B"/>
    <w:rsid w:val="00F6177B"/>
    <w:rsid w:val="00F61A0A"/>
    <w:rsid w:val="00F61AF6"/>
    <w:rsid w:val="00F61B02"/>
    <w:rsid w:val="00F61BD5"/>
    <w:rsid w:val="00F61BF9"/>
    <w:rsid w:val="00F61CED"/>
    <w:rsid w:val="00F61E03"/>
    <w:rsid w:val="00F61E38"/>
    <w:rsid w:val="00F61FB1"/>
    <w:rsid w:val="00F6231B"/>
    <w:rsid w:val="00F623A6"/>
    <w:rsid w:val="00F62414"/>
    <w:rsid w:val="00F624CB"/>
    <w:rsid w:val="00F624D1"/>
    <w:rsid w:val="00F625F2"/>
    <w:rsid w:val="00F62736"/>
    <w:rsid w:val="00F62C2C"/>
    <w:rsid w:val="00F62C37"/>
    <w:rsid w:val="00F62DBD"/>
    <w:rsid w:val="00F62E35"/>
    <w:rsid w:val="00F62F04"/>
    <w:rsid w:val="00F63098"/>
    <w:rsid w:val="00F630BC"/>
    <w:rsid w:val="00F630C9"/>
    <w:rsid w:val="00F635CC"/>
    <w:rsid w:val="00F637EF"/>
    <w:rsid w:val="00F6392C"/>
    <w:rsid w:val="00F63D7D"/>
    <w:rsid w:val="00F63E16"/>
    <w:rsid w:val="00F63FBE"/>
    <w:rsid w:val="00F6417E"/>
    <w:rsid w:val="00F6430E"/>
    <w:rsid w:val="00F644F3"/>
    <w:rsid w:val="00F64539"/>
    <w:rsid w:val="00F647CC"/>
    <w:rsid w:val="00F64861"/>
    <w:rsid w:val="00F64E5B"/>
    <w:rsid w:val="00F64FE9"/>
    <w:rsid w:val="00F6500D"/>
    <w:rsid w:val="00F65118"/>
    <w:rsid w:val="00F6545E"/>
    <w:rsid w:val="00F6549E"/>
    <w:rsid w:val="00F6551E"/>
    <w:rsid w:val="00F65521"/>
    <w:rsid w:val="00F65818"/>
    <w:rsid w:val="00F65974"/>
    <w:rsid w:val="00F65A76"/>
    <w:rsid w:val="00F65A79"/>
    <w:rsid w:val="00F65C30"/>
    <w:rsid w:val="00F65F46"/>
    <w:rsid w:val="00F660C7"/>
    <w:rsid w:val="00F66310"/>
    <w:rsid w:val="00F66322"/>
    <w:rsid w:val="00F663F9"/>
    <w:rsid w:val="00F6689A"/>
    <w:rsid w:val="00F66933"/>
    <w:rsid w:val="00F66B4F"/>
    <w:rsid w:val="00F66C71"/>
    <w:rsid w:val="00F670FA"/>
    <w:rsid w:val="00F671A8"/>
    <w:rsid w:val="00F67551"/>
    <w:rsid w:val="00F67614"/>
    <w:rsid w:val="00F6784F"/>
    <w:rsid w:val="00F678FB"/>
    <w:rsid w:val="00F6797F"/>
    <w:rsid w:val="00F67C44"/>
    <w:rsid w:val="00F67CFE"/>
    <w:rsid w:val="00F67D0C"/>
    <w:rsid w:val="00F67D3E"/>
    <w:rsid w:val="00F70114"/>
    <w:rsid w:val="00F70172"/>
    <w:rsid w:val="00F7034B"/>
    <w:rsid w:val="00F7037E"/>
    <w:rsid w:val="00F70400"/>
    <w:rsid w:val="00F7048F"/>
    <w:rsid w:val="00F704BF"/>
    <w:rsid w:val="00F70636"/>
    <w:rsid w:val="00F707D6"/>
    <w:rsid w:val="00F70916"/>
    <w:rsid w:val="00F70AB3"/>
    <w:rsid w:val="00F70E0D"/>
    <w:rsid w:val="00F70EF3"/>
    <w:rsid w:val="00F710E3"/>
    <w:rsid w:val="00F7141E"/>
    <w:rsid w:val="00F71686"/>
    <w:rsid w:val="00F71786"/>
    <w:rsid w:val="00F71B10"/>
    <w:rsid w:val="00F71F96"/>
    <w:rsid w:val="00F72715"/>
    <w:rsid w:val="00F72808"/>
    <w:rsid w:val="00F72B42"/>
    <w:rsid w:val="00F72BB2"/>
    <w:rsid w:val="00F72BF2"/>
    <w:rsid w:val="00F72BF3"/>
    <w:rsid w:val="00F730C9"/>
    <w:rsid w:val="00F731E1"/>
    <w:rsid w:val="00F73375"/>
    <w:rsid w:val="00F733F3"/>
    <w:rsid w:val="00F73636"/>
    <w:rsid w:val="00F73753"/>
    <w:rsid w:val="00F73A39"/>
    <w:rsid w:val="00F73DAA"/>
    <w:rsid w:val="00F73E47"/>
    <w:rsid w:val="00F73F47"/>
    <w:rsid w:val="00F7415D"/>
    <w:rsid w:val="00F741AD"/>
    <w:rsid w:val="00F744DE"/>
    <w:rsid w:val="00F74581"/>
    <w:rsid w:val="00F74AE1"/>
    <w:rsid w:val="00F74ED5"/>
    <w:rsid w:val="00F75030"/>
    <w:rsid w:val="00F75146"/>
    <w:rsid w:val="00F755C4"/>
    <w:rsid w:val="00F75679"/>
    <w:rsid w:val="00F758FF"/>
    <w:rsid w:val="00F759E2"/>
    <w:rsid w:val="00F75D3A"/>
    <w:rsid w:val="00F75DE8"/>
    <w:rsid w:val="00F75ECA"/>
    <w:rsid w:val="00F76032"/>
    <w:rsid w:val="00F7606E"/>
    <w:rsid w:val="00F76871"/>
    <w:rsid w:val="00F768EB"/>
    <w:rsid w:val="00F76A01"/>
    <w:rsid w:val="00F76A0F"/>
    <w:rsid w:val="00F76AC7"/>
    <w:rsid w:val="00F76C02"/>
    <w:rsid w:val="00F76C1A"/>
    <w:rsid w:val="00F76CF9"/>
    <w:rsid w:val="00F76E34"/>
    <w:rsid w:val="00F76EFE"/>
    <w:rsid w:val="00F770D2"/>
    <w:rsid w:val="00F771CC"/>
    <w:rsid w:val="00F776BC"/>
    <w:rsid w:val="00F77B78"/>
    <w:rsid w:val="00F80001"/>
    <w:rsid w:val="00F80139"/>
    <w:rsid w:val="00F8016A"/>
    <w:rsid w:val="00F801B9"/>
    <w:rsid w:val="00F8025E"/>
    <w:rsid w:val="00F802EA"/>
    <w:rsid w:val="00F80378"/>
    <w:rsid w:val="00F80405"/>
    <w:rsid w:val="00F80568"/>
    <w:rsid w:val="00F806AC"/>
    <w:rsid w:val="00F80944"/>
    <w:rsid w:val="00F80AE8"/>
    <w:rsid w:val="00F80B09"/>
    <w:rsid w:val="00F80F50"/>
    <w:rsid w:val="00F80F5A"/>
    <w:rsid w:val="00F81168"/>
    <w:rsid w:val="00F81282"/>
    <w:rsid w:val="00F81820"/>
    <w:rsid w:val="00F819F7"/>
    <w:rsid w:val="00F81C07"/>
    <w:rsid w:val="00F81C61"/>
    <w:rsid w:val="00F820B1"/>
    <w:rsid w:val="00F8226D"/>
    <w:rsid w:val="00F823AC"/>
    <w:rsid w:val="00F82459"/>
    <w:rsid w:val="00F824AB"/>
    <w:rsid w:val="00F825B5"/>
    <w:rsid w:val="00F825DC"/>
    <w:rsid w:val="00F82C1A"/>
    <w:rsid w:val="00F82C23"/>
    <w:rsid w:val="00F82CB3"/>
    <w:rsid w:val="00F82CD6"/>
    <w:rsid w:val="00F82EA5"/>
    <w:rsid w:val="00F83247"/>
    <w:rsid w:val="00F834B7"/>
    <w:rsid w:val="00F83513"/>
    <w:rsid w:val="00F83603"/>
    <w:rsid w:val="00F837CC"/>
    <w:rsid w:val="00F8396C"/>
    <w:rsid w:val="00F83A4B"/>
    <w:rsid w:val="00F83D1A"/>
    <w:rsid w:val="00F83DCE"/>
    <w:rsid w:val="00F83E7C"/>
    <w:rsid w:val="00F841CA"/>
    <w:rsid w:val="00F844F3"/>
    <w:rsid w:val="00F84699"/>
    <w:rsid w:val="00F8471A"/>
    <w:rsid w:val="00F84798"/>
    <w:rsid w:val="00F849BD"/>
    <w:rsid w:val="00F84AE6"/>
    <w:rsid w:val="00F84E65"/>
    <w:rsid w:val="00F84F01"/>
    <w:rsid w:val="00F84F93"/>
    <w:rsid w:val="00F85013"/>
    <w:rsid w:val="00F850B0"/>
    <w:rsid w:val="00F8528E"/>
    <w:rsid w:val="00F85446"/>
    <w:rsid w:val="00F8551D"/>
    <w:rsid w:val="00F85573"/>
    <w:rsid w:val="00F859AF"/>
    <w:rsid w:val="00F85A62"/>
    <w:rsid w:val="00F85AB7"/>
    <w:rsid w:val="00F863CC"/>
    <w:rsid w:val="00F8673A"/>
    <w:rsid w:val="00F86827"/>
    <w:rsid w:val="00F86DCF"/>
    <w:rsid w:val="00F86F6C"/>
    <w:rsid w:val="00F8767D"/>
    <w:rsid w:val="00F8770C"/>
    <w:rsid w:val="00F8774E"/>
    <w:rsid w:val="00F8787C"/>
    <w:rsid w:val="00F87929"/>
    <w:rsid w:val="00F879BE"/>
    <w:rsid w:val="00F87B47"/>
    <w:rsid w:val="00F87C31"/>
    <w:rsid w:val="00F87D1A"/>
    <w:rsid w:val="00F87D4C"/>
    <w:rsid w:val="00F87D7F"/>
    <w:rsid w:val="00F87F19"/>
    <w:rsid w:val="00F87F33"/>
    <w:rsid w:val="00F90114"/>
    <w:rsid w:val="00F901C5"/>
    <w:rsid w:val="00F901D7"/>
    <w:rsid w:val="00F902B7"/>
    <w:rsid w:val="00F9050A"/>
    <w:rsid w:val="00F9064A"/>
    <w:rsid w:val="00F90736"/>
    <w:rsid w:val="00F90927"/>
    <w:rsid w:val="00F90E03"/>
    <w:rsid w:val="00F91096"/>
    <w:rsid w:val="00F9111B"/>
    <w:rsid w:val="00F9135C"/>
    <w:rsid w:val="00F915F7"/>
    <w:rsid w:val="00F91B00"/>
    <w:rsid w:val="00F91B4C"/>
    <w:rsid w:val="00F91BFE"/>
    <w:rsid w:val="00F91C12"/>
    <w:rsid w:val="00F91D6D"/>
    <w:rsid w:val="00F91D6E"/>
    <w:rsid w:val="00F91E7D"/>
    <w:rsid w:val="00F9212E"/>
    <w:rsid w:val="00F9213D"/>
    <w:rsid w:val="00F925DC"/>
    <w:rsid w:val="00F92732"/>
    <w:rsid w:val="00F927A0"/>
    <w:rsid w:val="00F92960"/>
    <w:rsid w:val="00F92AD1"/>
    <w:rsid w:val="00F93045"/>
    <w:rsid w:val="00F93352"/>
    <w:rsid w:val="00F934F3"/>
    <w:rsid w:val="00F93502"/>
    <w:rsid w:val="00F935AF"/>
    <w:rsid w:val="00F935BB"/>
    <w:rsid w:val="00F93B2E"/>
    <w:rsid w:val="00F93B60"/>
    <w:rsid w:val="00F93ED2"/>
    <w:rsid w:val="00F942B2"/>
    <w:rsid w:val="00F942D1"/>
    <w:rsid w:val="00F9445F"/>
    <w:rsid w:val="00F948E6"/>
    <w:rsid w:val="00F949CA"/>
    <w:rsid w:val="00F94C03"/>
    <w:rsid w:val="00F94D2C"/>
    <w:rsid w:val="00F94DD8"/>
    <w:rsid w:val="00F9538E"/>
    <w:rsid w:val="00F95A0C"/>
    <w:rsid w:val="00F95C70"/>
    <w:rsid w:val="00F95DA5"/>
    <w:rsid w:val="00F95F0A"/>
    <w:rsid w:val="00F96375"/>
    <w:rsid w:val="00F96407"/>
    <w:rsid w:val="00F9654A"/>
    <w:rsid w:val="00F965A8"/>
    <w:rsid w:val="00F968EA"/>
    <w:rsid w:val="00F96BBD"/>
    <w:rsid w:val="00F96C2F"/>
    <w:rsid w:val="00F96E21"/>
    <w:rsid w:val="00F9703B"/>
    <w:rsid w:val="00F971C2"/>
    <w:rsid w:val="00F9730C"/>
    <w:rsid w:val="00F97334"/>
    <w:rsid w:val="00F97536"/>
    <w:rsid w:val="00F9786F"/>
    <w:rsid w:val="00F97895"/>
    <w:rsid w:val="00F979EB"/>
    <w:rsid w:val="00F97A8E"/>
    <w:rsid w:val="00F97DF8"/>
    <w:rsid w:val="00F97E21"/>
    <w:rsid w:val="00F97F83"/>
    <w:rsid w:val="00FA0041"/>
    <w:rsid w:val="00FA00D1"/>
    <w:rsid w:val="00FA0329"/>
    <w:rsid w:val="00FA045C"/>
    <w:rsid w:val="00FA0901"/>
    <w:rsid w:val="00FA0D38"/>
    <w:rsid w:val="00FA0F43"/>
    <w:rsid w:val="00FA0FAB"/>
    <w:rsid w:val="00FA141C"/>
    <w:rsid w:val="00FA14BA"/>
    <w:rsid w:val="00FA1A77"/>
    <w:rsid w:val="00FA1E80"/>
    <w:rsid w:val="00FA207A"/>
    <w:rsid w:val="00FA2526"/>
    <w:rsid w:val="00FA2A02"/>
    <w:rsid w:val="00FA2BA1"/>
    <w:rsid w:val="00FA2C9F"/>
    <w:rsid w:val="00FA2D0E"/>
    <w:rsid w:val="00FA2D30"/>
    <w:rsid w:val="00FA2D6A"/>
    <w:rsid w:val="00FA2F7E"/>
    <w:rsid w:val="00FA3064"/>
    <w:rsid w:val="00FA30B3"/>
    <w:rsid w:val="00FA3697"/>
    <w:rsid w:val="00FA3738"/>
    <w:rsid w:val="00FA3805"/>
    <w:rsid w:val="00FA39F2"/>
    <w:rsid w:val="00FA3B57"/>
    <w:rsid w:val="00FA42AE"/>
    <w:rsid w:val="00FA431B"/>
    <w:rsid w:val="00FA43C3"/>
    <w:rsid w:val="00FA4576"/>
    <w:rsid w:val="00FA47E8"/>
    <w:rsid w:val="00FA4A30"/>
    <w:rsid w:val="00FA4A7F"/>
    <w:rsid w:val="00FA4C84"/>
    <w:rsid w:val="00FA4D4B"/>
    <w:rsid w:val="00FA4E5E"/>
    <w:rsid w:val="00FA54AD"/>
    <w:rsid w:val="00FA5504"/>
    <w:rsid w:val="00FA5540"/>
    <w:rsid w:val="00FA55BF"/>
    <w:rsid w:val="00FA5648"/>
    <w:rsid w:val="00FA575E"/>
    <w:rsid w:val="00FA5A37"/>
    <w:rsid w:val="00FA5B44"/>
    <w:rsid w:val="00FA5B8F"/>
    <w:rsid w:val="00FA5B9E"/>
    <w:rsid w:val="00FA5BCE"/>
    <w:rsid w:val="00FA5C08"/>
    <w:rsid w:val="00FA5C64"/>
    <w:rsid w:val="00FA5C86"/>
    <w:rsid w:val="00FA5DBE"/>
    <w:rsid w:val="00FA5DDE"/>
    <w:rsid w:val="00FA5EBC"/>
    <w:rsid w:val="00FA6421"/>
    <w:rsid w:val="00FA6979"/>
    <w:rsid w:val="00FA6A64"/>
    <w:rsid w:val="00FA6B7E"/>
    <w:rsid w:val="00FA6FCE"/>
    <w:rsid w:val="00FA6FD7"/>
    <w:rsid w:val="00FA6FF5"/>
    <w:rsid w:val="00FA7560"/>
    <w:rsid w:val="00FA7607"/>
    <w:rsid w:val="00FA78FD"/>
    <w:rsid w:val="00FA7A1C"/>
    <w:rsid w:val="00FA7D6F"/>
    <w:rsid w:val="00FA7E82"/>
    <w:rsid w:val="00FA7FCA"/>
    <w:rsid w:val="00FB00D4"/>
    <w:rsid w:val="00FB0252"/>
    <w:rsid w:val="00FB039C"/>
    <w:rsid w:val="00FB04DA"/>
    <w:rsid w:val="00FB0918"/>
    <w:rsid w:val="00FB0F60"/>
    <w:rsid w:val="00FB1060"/>
    <w:rsid w:val="00FB114A"/>
    <w:rsid w:val="00FB12D4"/>
    <w:rsid w:val="00FB1401"/>
    <w:rsid w:val="00FB14DE"/>
    <w:rsid w:val="00FB15E8"/>
    <w:rsid w:val="00FB1BB6"/>
    <w:rsid w:val="00FB1E95"/>
    <w:rsid w:val="00FB1F52"/>
    <w:rsid w:val="00FB205F"/>
    <w:rsid w:val="00FB2256"/>
    <w:rsid w:val="00FB22F3"/>
    <w:rsid w:val="00FB2417"/>
    <w:rsid w:val="00FB24F0"/>
    <w:rsid w:val="00FB2507"/>
    <w:rsid w:val="00FB2867"/>
    <w:rsid w:val="00FB28B6"/>
    <w:rsid w:val="00FB2CD9"/>
    <w:rsid w:val="00FB2CF7"/>
    <w:rsid w:val="00FB2F4B"/>
    <w:rsid w:val="00FB2F4C"/>
    <w:rsid w:val="00FB2F6F"/>
    <w:rsid w:val="00FB2FB9"/>
    <w:rsid w:val="00FB3481"/>
    <w:rsid w:val="00FB396A"/>
    <w:rsid w:val="00FB3C0B"/>
    <w:rsid w:val="00FB3C42"/>
    <w:rsid w:val="00FB3DE0"/>
    <w:rsid w:val="00FB3F3B"/>
    <w:rsid w:val="00FB3F54"/>
    <w:rsid w:val="00FB4077"/>
    <w:rsid w:val="00FB40CB"/>
    <w:rsid w:val="00FB426D"/>
    <w:rsid w:val="00FB4368"/>
    <w:rsid w:val="00FB4505"/>
    <w:rsid w:val="00FB495B"/>
    <w:rsid w:val="00FB4A72"/>
    <w:rsid w:val="00FB4A85"/>
    <w:rsid w:val="00FB4ADB"/>
    <w:rsid w:val="00FB4CB0"/>
    <w:rsid w:val="00FB4D0D"/>
    <w:rsid w:val="00FB4D56"/>
    <w:rsid w:val="00FB4F92"/>
    <w:rsid w:val="00FB53D2"/>
    <w:rsid w:val="00FB55A5"/>
    <w:rsid w:val="00FB56AF"/>
    <w:rsid w:val="00FB57DB"/>
    <w:rsid w:val="00FB5890"/>
    <w:rsid w:val="00FB5F01"/>
    <w:rsid w:val="00FB6079"/>
    <w:rsid w:val="00FB60DB"/>
    <w:rsid w:val="00FB62C6"/>
    <w:rsid w:val="00FB6329"/>
    <w:rsid w:val="00FB6481"/>
    <w:rsid w:val="00FB65AF"/>
    <w:rsid w:val="00FB6669"/>
    <w:rsid w:val="00FB66C8"/>
    <w:rsid w:val="00FB67C9"/>
    <w:rsid w:val="00FB6895"/>
    <w:rsid w:val="00FB6C5E"/>
    <w:rsid w:val="00FB6CCA"/>
    <w:rsid w:val="00FB6D56"/>
    <w:rsid w:val="00FB6EA8"/>
    <w:rsid w:val="00FB7491"/>
    <w:rsid w:val="00FB7617"/>
    <w:rsid w:val="00FB7864"/>
    <w:rsid w:val="00FB7A19"/>
    <w:rsid w:val="00FB7A6B"/>
    <w:rsid w:val="00FB7B3E"/>
    <w:rsid w:val="00FB7B4C"/>
    <w:rsid w:val="00FB7B85"/>
    <w:rsid w:val="00FB7C83"/>
    <w:rsid w:val="00FB7D56"/>
    <w:rsid w:val="00FB7E1E"/>
    <w:rsid w:val="00FC0066"/>
    <w:rsid w:val="00FC06B8"/>
    <w:rsid w:val="00FC06E3"/>
    <w:rsid w:val="00FC0AF8"/>
    <w:rsid w:val="00FC0CD6"/>
    <w:rsid w:val="00FC10E1"/>
    <w:rsid w:val="00FC13F9"/>
    <w:rsid w:val="00FC1A91"/>
    <w:rsid w:val="00FC1C23"/>
    <w:rsid w:val="00FC1F1F"/>
    <w:rsid w:val="00FC2212"/>
    <w:rsid w:val="00FC228D"/>
    <w:rsid w:val="00FC22AB"/>
    <w:rsid w:val="00FC2383"/>
    <w:rsid w:val="00FC2478"/>
    <w:rsid w:val="00FC24FE"/>
    <w:rsid w:val="00FC272E"/>
    <w:rsid w:val="00FC28B7"/>
    <w:rsid w:val="00FC294A"/>
    <w:rsid w:val="00FC2BBB"/>
    <w:rsid w:val="00FC2D06"/>
    <w:rsid w:val="00FC30F3"/>
    <w:rsid w:val="00FC329C"/>
    <w:rsid w:val="00FC347F"/>
    <w:rsid w:val="00FC3C19"/>
    <w:rsid w:val="00FC3D0C"/>
    <w:rsid w:val="00FC3DA3"/>
    <w:rsid w:val="00FC3F4B"/>
    <w:rsid w:val="00FC4180"/>
    <w:rsid w:val="00FC4295"/>
    <w:rsid w:val="00FC43BA"/>
    <w:rsid w:val="00FC4452"/>
    <w:rsid w:val="00FC4475"/>
    <w:rsid w:val="00FC478C"/>
    <w:rsid w:val="00FC4D4D"/>
    <w:rsid w:val="00FC4DBD"/>
    <w:rsid w:val="00FC4DEA"/>
    <w:rsid w:val="00FC5194"/>
    <w:rsid w:val="00FC52AD"/>
    <w:rsid w:val="00FC555F"/>
    <w:rsid w:val="00FC5743"/>
    <w:rsid w:val="00FC594B"/>
    <w:rsid w:val="00FC5ADD"/>
    <w:rsid w:val="00FC5D77"/>
    <w:rsid w:val="00FC5EA5"/>
    <w:rsid w:val="00FC6015"/>
    <w:rsid w:val="00FC6039"/>
    <w:rsid w:val="00FC6178"/>
    <w:rsid w:val="00FC61CA"/>
    <w:rsid w:val="00FC6267"/>
    <w:rsid w:val="00FC63AE"/>
    <w:rsid w:val="00FC6752"/>
    <w:rsid w:val="00FC68D1"/>
    <w:rsid w:val="00FC6ACE"/>
    <w:rsid w:val="00FC6AED"/>
    <w:rsid w:val="00FC703E"/>
    <w:rsid w:val="00FC7161"/>
    <w:rsid w:val="00FC738B"/>
    <w:rsid w:val="00FC75F8"/>
    <w:rsid w:val="00FC76CA"/>
    <w:rsid w:val="00FC7923"/>
    <w:rsid w:val="00FC7B05"/>
    <w:rsid w:val="00FC7DDB"/>
    <w:rsid w:val="00FC7EF4"/>
    <w:rsid w:val="00FC7FE0"/>
    <w:rsid w:val="00FD03BB"/>
    <w:rsid w:val="00FD04FE"/>
    <w:rsid w:val="00FD0655"/>
    <w:rsid w:val="00FD06CE"/>
    <w:rsid w:val="00FD074F"/>
    <w:rsid w:val="00FD07C6"/>
    <w:rsid w:val="00FD0801"/>
    <w:rsid w:val="00FD0A0F"/>
    <w:rsid w:val="00FD0CA4"/>
    <w:rsid w:val="00FD0DA5"/>
    <w:rsid w:val="00FD0E46"/>
    <w:rsid w:val="00FD1088"/>
    <w:rsid w:val="00FD1186"/>
    <w:rsid w:val="00FD1759"/>
    <w:rsid w:val="00FD17EA"/>
    <w:rsid w:val="00FD19A4"/>
    <w:rsid w:val="00FD1AF8"/>
    <w:rsid w:val="00FD1B51"/>
    <w:rsid w:val="00FD1EA5"/>
    <w:rsid w:val="00FD208A"/>
    <w:rsid w:val="00FD20B6"/>
    <w:rsid w:val="00FD226A"/>
    <w:rsid w:val="00FD226E"/>
    <w:rsid w:val="00FD2394"/>
    <w:rsid w:val="00FD2435"/>
    <w:rsid w:val="00FD25B0"/>
    <w:rsid w:val="00FD2A13"/>
    <w:rsid w:val="00FD2E62"/>
    <w:rsid w:val="00FD346F"/>
    <w:rsid w:val="00FD385F"/>
    <w:rsid w:val="00FD394F"/>
    <w:rsid w:val="00FD397F"/>
    <w:rsid w:val="00FD39C6"/>
    <w:rsid w:val="00FD3C15"/>
    <w:rsid w:val="00FD4015"/>
    <w:rsid w:val="00FD4211"/>
    <w:rsid w:val="00FD4256"/>
    <w:rsid w:val="00FD44F9"/>
    <w:rsid w:val="00FD4654"/>
    <w:rsid w:val="00FD48BC"/>
    <w:rsid w:val="00FD48C3"/>
    <w:rsid w:val="00FD49CA"/>
    <w:rsid w:val="00FD4CBC"/>
    <w:rsid w:val="00FD4FAB"/>
    <w:rsid w:val="00FD51A9"/>
    <w:rsid w:val="00FD5319"/>
    <w:rsid w:val="00FD5726"/>
    <w:rsid w:val="00FD592D"/>
    <w:rsid w:val="00FD5986"/>
    <w:rsid w:val="00FD5B20"/>
    <w:rsid w:val="00FD5EBB"/>
    <w:rsid w:val="00FD5F47"/>
    <w:rsid w:val="00FD5FAA"/>
    <w:rsid w:val="00FD60F8"/>
    <w:rsid w:val="00FD6453"/>
    <w:rsid w:val="00FD6593"/>
    <w:rsid w:val="00FD65BD"/>
    <w:rsid w:val="00FD65DE"/>
    <w:rsid w:val="00FD6A59"/>
    <w:rsid w:val="00FD6AB6"/>
    <w:rsid w:val="00FD6B5C"/>
    <w:rsid w:val="00FD6BF3"/>
    <w:rsid w:val="00FD6C9E"/>
    <w:rsid w:val="00FD6ECA"/>
    <w:rsid w:val="00FD7251"/>
    <w:rsid w:val="00FD7304"/>
    <w:rsid w:val="00FD7841"/>
    <w:rsid w:val="00FD7850"/>
    <w:rsid w:val="00FD7D56"/>
    <w:rsid w:val="00FD7E1B"/>
    <w:rsid w:val="00FE001E"/>
    <w:rsid w:val="00FE0456"/>
    <w:rsid w:val="00FE092E"/>
    <w:rsid w:val="00FE0A50"/>
    <w:rsid w:val="00FE0AD0"/>
    <w:rsid w:val="00FE104B"/>
    <w:rsid w:val="00FE1085"/>
    <w:rsid w:val="00FE1133"/>
    <w:rsid w:val="00FE1359"/>
    <w:rsid w:val="00FE1679"/>
    <w:rsid w:val="00FE1B08"/>
    <w:rsid w:val="00FE1C68"/>
    <w:rsid w:val="00FE1DBF"/>
    <w:rsid w:val="00FE2153"/>
    <w:rsid w:val="00FE23F1"/>
    <w:rsid w:val="00FE2431"/>
    <w:rsid w:val="00FE2444"/>
    <w:rsid w:val="00FE2474"/>
    <w:rsid w:val="00FE2A0F"/>
    <w:rsid w:val="00FE2B0D"/>
    <w:rsid w:val="00FE2FFF"/>
    <w:rsid w:val="00FE3020"/>
    <w:rsid w:val="00FE35F5"/>
    <w:rsid w:val="00FE36B6"/>
    <w:rsid w:val="00FE4077"/>
    <w:rsid w:val="00FE40C5"/>
    <w:rsid w:val="00FE4296"/>
    <w:rsid w:val="00FE4497"/>
    <w:rsid w:val="00FE46DB"/>
    <w:rsid w:val="00FE472F"/>
    <w:rsid w:val="00FE47AC"/>
    <w:rsid w:val="00FE47C0"/>
    <w:rsid w:val="00FE48EA"/>
    <w:rsid w:val="00FE4C58"/>
    <w:rsid w:val="00FE4DDF"/>
    <w:rsid w:val="00FE4E11"/>
    <w:rsid w:val="00FE4FBD"/>
    <w:rsid w:val="00FE5261"/>
    <w:rsid w:val="00FE5481"/>
    <w:rsid w:val="00FE5559"/>
    <w:rsid w:val="00FE59DA"/>
    <w:rsid w:val="00FE5A68"/>
    <w:rsid w:val="00FE5B3A"/>
    <w:rsid w:val="00FE5B6C"/>
    <w:rsid w:val="00FE6190"/>
    <w:rsid w:val="00FE63E6"/>
    <w:rsid w:val="00FE650E"/>
    <w:rsid w:val="00FE6746"/>
    <w:rsid w:val="00FE6B2B"/>
    <w:rsid w:val="00FE6B98"/>
    <w:rsid w:val="00FE7815"/>
    <w:rsid w:val="00FE7A9A"/>
    <w:rsid w:val="00FE7EE9"/>
    <w:rsid w:val="00FE7F05"/>
    <w:rsid w:val="00FE7F66"/>
    <w:rsid w:val="00FF00A6"/>
    <w:rsid w:val="00FF018B"/>
    <w:rsid w:val="00FF044C"/>
    <w:rsid w:val="00FF06D4"/>
    <w:rsid w:val="00FF0807"/>
    <w:rsid w:val="00FF0854"/>
    <w:rsid w:val="00FF0A13"/>
    <w:rsid w:val="00FF0B20"/>
    <w:rsid w:val="00FF0B31"/>
    <w:rsid w:val="00FF0BA5"/>
    <w:rsid w:val="00FF0C83"/>
    <w:rsid w:val="00FF0F1B"/>
    <w:rsid w:val="00FF1806"/>
    <w:rsid w:val="00FF19E8"/>
    <w:rsid w:val="00FF20EE"/>
    <w:rsid w:val="00FF2293"/>
    <w:rsid w:val="00FF23A6"/>
    <w:rsid w:val="00FF2550"/>
    <w:rsid w:val="00FF260D"/>
    <w:rsid w:val="00FF264F"/>
    <w:rsid w:val="00FF2D71"/>
    <w:rsid w:val="00FF2F94"/>
    <w:rsid w:val="00FF2FAF"/>
    <w:rsid w:val="00FF2FEF"/>
    <w:rsid w:val="00FF30F2"/>
    <w:rsid w:val="00FF314A"/>
    <w:rsid w:val="00FF321A"/>
    <w:rsid w:val="00FF321F"/>
    <w:rsid w:val="00FF32D7"/>
    <w:rsid w:val="00FF3571"/>
    <w:rsid w:val="00FF3592"/>
    <w:rsid w:val="00FF3726"/>
    <w:rsid w:val="00FF3812"/>
    <w:rsid w:val="00FF397D"/>
    <w:rsid w:val="00FF3A26"/>
    <w:rsid w:val="00FF3C5A"/>
    <w:rsid w:val="00FF3C8B"/>
    <w:rsid w:val="00FF3D72"/>
    <w:rsid w:val="00FF3E24"/>
    <w:rsid w:val="00FF4157"/>
    <w:rsid w:val="00FF437A"/>
    <w:rsid w:val="00FF4469"/>
    <w:rsid w:val="00FF49BC"/>
    <w:rsid w:val="00FF49DF"/>
    <w:rsid w:val="00FF4BAB"/>
    <w:rsid w:val="00FF4E4D"/>
    <w:rsid w:val="00FF4ECD"/>
    <w:rsid w:val="00FF4F71"/>
    <w:rsid w:val="00FF4F82"/>
    <w:rsid w:val="00FF5299"/>
    <w:rsid w:val="00FF543E"/>
    <w:rsid w:val="00FF5911"/>
    <w:rsid w:val="00FF5ADA"/>
    <w:rsid w:val="00FF5C77"/>
    <w:rsid w:val="00FF5EB5"/>
    <w:rsid w:val="00FF610D"/>
    <w:rsid w:val="00FF632F"/>
    <w:rsid w:val="00FF66A2"/>
    <w:rsid w:val="00FF67AC"/>
    <w:rsid w:val="00FF6A6C"/>
    <w:rsid w:val="00FF6B58"/>
    <w:rsid w:val="00FF6D23"/>
    <w:rsid w:val="00FF6E5B"/>
    <w:rsid w:val="00FF6F8B"/>
    <w:rsid w:val="00FF7008"/>
    <w:rsid w:val="00FF7338"/>
    <w:rsid w:val="00FF74EE"/>
    <w:rsid w:val="00FF7B17"/>
    <w:rsid w:val="00FF7B48"/>
    <w:rsid w:val="00FF7F91"/>
    <w:rsid w:val="01033577"/>
    <w:rsid w:val="0104F921"/>
    <w:rsid w:val="010688DD"/>
    <w:rsid w:val="01098E18"/>
    <w:rsid w:val="010D1A4C"/>
    <w:rsid w:val="01104B9F"/>
    <w:rsid w:val="01108D6F"/>
    <w:rsid w:val="01111E56"/>
    <w:rsid w:val="0111DFBF"/>
    <w:rsid w:val="0112C777"/>
    <w:rsid w:val="011582AE"/>
    <w:rsid w:val="0119C2EE"/>
    <w:rsid w:val="011BCA16"/>
    <w:rsid w:val="011D20E9"/>
    <w:rsid w:val="011F1A03"/>
    <w:rsid w:val="01204A41"/>
    <w:rsid w:val="01205396"/>
    <w:rsid w:val="0123D2BA"/>
    <w:rsid w:val="0136B347"/>
    <w:rsid w:val="0138A855"/>
    <w:rsid w:val="013B80B4"/>
    <w:rsid w:val="013C6858"/>
    <w:rsid w:val="013CA772"/>
    <w:rsid w:val="013D6839"/>
    <w:rsid w:val="013E4EBD"/>
    <w:rsid w:val="013F2724"/>
    <w:rsid w:val="01499406"/>
    <w:rsid w:val="014B492B"/>
    <w:rsid w:val="014F7203"/>
    <w:rsid w:val="014FF1E6"/>
    <w:rsid w:val="015207D8"/>
    <w:rsid w:val="0159D335"/>
    <w:rsid w:val="015A2194"/>
    <w:rsid w:val="0165D79F"/>
    <w:rsid w:val="016AFA60"/>
    <w:rsid w:val="016CEF1C"/>
    <w:rsid w:val="016DEB79"/>
    <w:rsid w:val="016E3DC8"/>
    <w:rsid w:val="016E6810"/>
    <w:rsid w:val="0178EF48"/>
    <w:rsid w:val="017E6D13"/>
    <w:rsid w:val="0180FFB3"/>
    <w:rsid w:val="0181425D"/>
    <w:rsid w:val="0188FF67"/>
    <w:rsid w:val="018DA3AD"/>
    <w:rsid w:val="01935DC2"/>
    <w:rsid w:val="0199F262"/>
    <w:rsid w:val="019C4195"/>
    <w:rsid w:val="01A100C4"/>
    <w:rsid w:val="01A89EAE"/>
    <w:rsid w:val="01B67E8F"/>
    <w:rsid w:val="01B75A66"/>
    <w:rsid w:val="01B8361F"/>
    <w:rsid w:val="01BBA66C"/>
    <w:rsid w:val="01BCC4AB"/>
    <w:rsid w:val="01C13375"/>
    <w:rsid w:val="01C13E12"/>
    <w:rsid w:val="01C43558"/>
    <w:rsid w:val="01CD7C71"/>
    <w:rsid w:val="01D181E0"/>
    <w:rsid w:val="01D197A8"/>
    <w:rsid w:val="01D4DFAF"/>
    <w:rsid w:val="01D64E18"/>
    <w:rsid w:val="01D96BC1"/>
    <w:rsid w:val="01DE8CB7"/>
    <w:rsid w:val="01DF654D"/>
    <w:rsid w:val="01E132FF"/>
    <w:rsid w:val="01E44D69"/>
    <w:rsid w:val="01E4520A"/>
    <w:rsid w:val="01E7C3F4"/>
    <w:rsid w:val="01E928C9"/>
    <w:rsid w:val="01EA639E"/>
    <w:rsid w:val="01F1F112"/>
    <w:rsid w:val="01F541DC"/>
    <w:rsid w:val="01F5F00B"/>
    <w:rsid w:val="01F6FC98"/>
    <w:rsid w:val="01FB2431"/>
    <w:rsid w:val="01FCE1FC"/>
    <w:rsid w:val="01FE4BA6"/>
    <w:rsid w:val="02015F69"/>
    <w:rsid w:val="0207B290"/>
    <w:rsid w:val="0207BC53"/>
    <w:rsid w:val="0207D487"/>
    <w:rsid w:val="020932F8"/>
    <w:rsid w:val="0209539D"/>
    <w:rsid w:val="0209A49B"/>
    <w:rsid w:val="020C94C3"/>
    <w:rsid w:val="020D6998"/>
    <w:rsid w:val="02185025"/>
    <w:rsid w:val="021CADB2"/>
    <w:rsid w:val="021CC9DD"/>
    <w:rsid w:val="021DA9A4"/>
    <w:rsid w:val="021EC8EB"/>
    <w:rsid w:val="0220D340"/>
    <w:rsid w:val="0224AF28"/>
    <w:rsid w:val="02259B54"/>
    <w:rsid w:val="0226BAC4"/>
    <w:rsid w:val="022F4225"/>
    <w:rsid w:val="0236FEE9"/>
    <w:rsid w:val="023997F7"/>
    <w:rsid w:val="023A8977"/>
    <w:rsid w:val="023C2F2A"/>
    <w:rsid w:val="023D7D14"/>
    <w:rsid w:val="02409529"/>
    <w:rsid w:val="024147FD"/>
    <w:rsid w:val="024FEF5E"/>
    <w:rsid w:val="0252FA62"/>
    <w:rsid w:val="02566E4B"/>
    <w:rsid w:val="025F6D68"/>
    <w:rsid w:val="025F7FED"/>
    <w:rsid w:val="02628502"/>
    <w:rsid w:val="02639D41"/>
    <w:rsid w:val="02643AB7"/>
    <w:rsid w:val="02663506"/>
    <w:rsid w:val="026903CA"/>
    <w:rsid w:val="026A5D6D"/>
    <w:rsid w:val="026DE652"/>
    <w:rsid w:val="026F5F50"/>
    <w:rsid w:val="0272BA66"/>
    <w:rsid w:val="02754DE6"/>
    <w:rsid w:val="02776899"/>
    <w:rsid w:val="02778E59"/>
    <w:rsid w:val="028622E2"/>
    <w:rsid w:val="0287572C"/>
    <w:rsid w:val="0288C6E5"/>
    <w:rsid w:val="028C0E53"/>
    <w:rsid w:val="028D5DAD"/>
    <w:rsid w:val="028D773A"/>
    <w:rsid w:val="028F0EB9"/>
    <w:rsid w:val="02949454"/>
    <w:rsid w:val="0295DF2D"/>
    <w:rsid w:val="0296C3E5"/>
    <w:rsid w:val="02984471"/>
    <w:rsid w:val="02A25425"/>
    <w:rsid w:val="02ACA112"/>
    <w:rsid w:val="02B30845"/>
    <w:rsid w:val="02B50EEC"/>
    <w:rsid w:val="02B943F9"/>
    <w:rsid w:val="02BA71C5"/>
    <w:rsid w:val="02C206D0"/>
    <w:rsid w:val="02CB5278"/>
    <w:rsid w:val="02CDAA97"/>
    <w:rsid w:val="02D49207"/>
    <w:rsid w:val="02D8093D"/>
    <w:rsid w:val="02D86D68"/>
    <w:rsid w:val="02D8D8AC"/>
    <w:rsid w:val="02D95017"/>
    <w:rsid w:val="02E04D0E"/>
    <w:rsid w:val="02E8F85C"/>
    <w:rsid w:val="02EBEED6"/>
    <w:rsid w:val="02F23110"/>
    <w:rsid w:val="02F792E7"/>
    <w:rsid w:val="0302CFD1"/>
    <w:rsid w:val="030528CA"/>
    <w:rsid w:val="030583CE"/>
    <w:rsid w:val="0305998D"/>
    <w:rsid w:val="03096B50"/>
    <w:rsid w:val="0309CFC8"/>
    <w:rsid w:val="030C98AF"/>
    <w:rsid w:val="0314C280"/>
    <w:rsid w:val="031B5EA3"/>
    <w:rsid w:val="031C1446"/>
    <w:rsid w:val="031DD70C"/>
    <w:rsid w:val="031E667C"/>
    <w:rsid w:val="031F13D1"/>
    <w:rsid w:val="0320E047"/>
    <w:rsid w:val="032705E6"/>
    <w:rsid w:val="0334136E"/>
    <w:rsid w:val="033A148C"/>
    <w:rsid w:val="033A9B6B"/>
    <w:rsid w:val="033BF6A8"/>
    <w:rsid w:val="033ED363"/>
    <w:rsid w:val="034104A2"/>
    <w:rsid w:val="0346AA51"/>
    <w:rsid w:val="0348EEAF"/>
    <w:rsid w:val="034A8BE1"/>
    <w:rsid w:val="034FAE17"/>
    <w:rsid w:val="0358BC53"/>
    <w:rsid w:val="0358D8F5"/>
    <w:rsid w:val="035A254C"/>
    <w:rsid w:val="035CA09A"/>
    <w:rsid w:val="0361E288"/>
    <w:rsid w:val="0367AE92"/>
    <w:rsid w:val="036800A5"/>
    <w:rsid w:val="036906B9"/>
    <w:rsid w:val="036B77AB"/>
    <w:rsid w:val="03726C03"/>
    <w:rsid w:val="0373BB76"/>
    <w:rsid w:val="0373D427"/>
    <w:rsid w:val="037544C6"/>
    <w:rsid w:val="037667A9"/>
    <w:rsid w:val="0378FFBD"/>
    <w:rsid w:val="0379C746"/>
    <w:rsid w:val="0381F485"/>
    <w:rsid w:val="0382A92A"/>
    <w:rsid w:val="03873F68"/>
    <w:rsid w:val="038B0D3A"/>
    <w:rsid w:val="038F5110"/>
    <w:rsid w:val="0391351C"/>
    <w:rsid w:val="03960749"/>
    <w:rsid w:val="0398A5F9"/>
    <w:rsid w:val="039BCC47"/>
    <w:rsid w:val="039E30F1"/>
    <w:rsid w:val="03A1FDBC"/>
    <w:rsid w:val="03A5455C"/>
    <w:rsid w:val="03A67BCE"/>
    <w:rsid w:val="03A77FB7"/>
    <w:rsid w:val="03AA082B"/>
    <w:rsid w:val="03AEFC9E"/>
    <w:rsid w:val="03B05037"/>
    <w:rsid w:val="03B70874"/>
    <w:rsid w:val="03BC073D"/>
    <w:rsid w:val="03C01899"/>
    <w:rsid w:val="03C506EF"/>
    <w:rsid w:val="03CC05B3"/>
    <w:rsid w:val="03D01FDE"/>
    <w:rsid w:val="03D0FFEB"/>
    <w:rsid w:val="03D30795"/>
    <w:rsid w:val="03E28536"/>
    <w:rsid w:val="03E6043E"/>
    <w:rsid w:val="03E66A49"/>
    <w:rsid w:val="03ECE7DB"/>
    <w:rsid w:val="03ED235A"/>
    <w:rsid w:val="03F2D457"/>
    <w:rsid w:val="03F89896"/>
    <w:rsid w:val="03FD4014"/>
    <w:rsid w:val="03FFB289"/>
    <w:rsid w:val="040462DB"/>
    <w:rsid w:val="0410BBA0"/>
    <w:rsid w:val="041D2493"/>
    <w:rsid w:val="0426AD0B"/>
    <w:rsid w:val="042881CA"/>
    <w:rsid w:val="042D25C8"/>
    <w:rsid w:val="042D8D94"/>
    <w:rsid w:val="043A7683"/>
    <w:rsid w:val="043DFAEB"/>
    <w:rsid w:val="04401FCA"/>
    <w:rsid w:val="044A0A59"/>
    <w:rsid w:val="044CDCA4"/>
    <w:rsid w:val="044D543E"/>
    <w:rsid w:val="04531EE3"/>
    <w:rsid w:val="0453CC50"/>
    <w:rsid w:val="04567C8F"/>
    <w:rsid w:val="04575F4F"/>
    <w:rsid w:val="045C388F"/>
    <w:rsid w:val="045F0686"/>
    <w:rsid w:val="046126E4"/>
    <w:rsid w:val="04634B87"/>
    <w:rsid w:val="04642574"/>
    <w:rsid w:val="0468D680"/>
    <w:rsid w:val="046F4174"/>
    <w:rsid w:val="047EFDF8"/>
    <w:rsid w:val="047F8532"/>
    <w:rsid w:val="047FE67F"/>
    <w:rsid w:val="04805D22"/>
    <w:rsid w:val="04887BC8"/>
    <w:rsid w:val="048B72FB"/>
    <w:rsid w:val="0491F45D"/>
    <w:rsid w:val="049A5BB7"/>
    <w:rsid w:val="04A28EC9"/>
    <w:rsid w:val="04A2CA77"/>
    <w:rsid w:val="04A990FB"/>
    <w:rsid w:val="04AC8E28"/>
    <w:rsid w:val="04AED923"/>
    <w:rsid w:val="04AFE95F"/>
    <w:rsid w:val="04B494F8"/>
    <w:rsid w:val="04B7AC4F"/>
    <w:rsid w:val="04BD2720"/>
    <w:rsid w:val="04BEFD48"/>
    <w:rsid w:val="04BFD37F"/>
    <w:rsid w:val="04C08A57"/>
    <w:rsid w:val="04C2BC6E"/>
    <w:rsid w:val="04C4DC9F"/>
    <w:rsid w:val="04C579AA"/>
    <w:rsid w:val="04C67DDD"/>
    <w:rsid w:val="04C98CF4"/>
    <w:rsid w:val="04CA3ACE"/>
    <w:rsid w:val="04CDD896"/>
    <w:rsid w:val="04CF5F96"/>
    <w:rsid w:val="04D369CD"/>
    <w:rsid w:val="04DC7911"/>
    <w:rsid w:val="04DF6845"/>
    <w:rsid w:val="04E28F57"/>
    <w:rsid w:val="04EAA5A8"/>
    <w:rsid w:val="04EB8B89"/>
    <w:rsid w:val="04EC4C63"/>
    <w:rsid w:val="04EE7B3E"/>
    <w:rsid w:val="04F1927F"/>
    <w:rsid w:val="04F4D985"/>
    <w:rsid w:val="04FD4D33"/>
    <w:rsid w:val="04FD86F0"/>
    <w:rsid w:val="04FFA6CD"/>
    <w:rsid w:val="0500D1DE"/>
    <w:rsid w:val="0504362E"/>
    <w:rsid w:val="050886B2"/>
    <w:rsid w:val="0508C15E"/>
    <w:rsid w:val="050D23D5"/>
    <w:rsid w:val="051134C5"/>
    <w:rsid w:val="051866A8"/>
    <w:rsid w:val="051C104B"/>
    <w:rsid w:val="0525C077"/>
    <w:rsid w:val="0525C9E3"/>
    <w:rsid w:val="0527EC24"/>
    <w:rsid w:val="052B1C65"/>
    <w:rsid w:val="05342E23"/>
    <w:rsid w:val="0535E35D"/>
    <w:rsid w:val="0539A362"/>
    <w:rsid w:val="053B15FD"/>
    <w:rsid w:val="053C1028"/>
    <w:rsid w:val="053F8CD0"/>
    <w:rsid w:val="05407714"/>
    <w:rsid w:val="054522A5"/>
    <w:rsid w:val="0546615E"/>
    <w:rsid w:val="0546CB33"/>
    <w:rsid w:val="05477D09"/>
    <w:rsid w:val="054B78D2"/>
    <w:rsid w:val="0552D20C"/>
    <w:rsid w:val="0553ECBD"/>
    <w:rsid w:val="05551ECF"/>
    <w:rsid w:val="05553060"/>
    <w:rsid w:val="0556562A"/>
    <w:rsid w:val="055B5A52"/>
    <w:rsid w:val="055C59E9"/>
    <w:rsid w:val="055D91B7"/>
    <w:rsid w:val="056742F3"/>
    <w:rsid w:val="056D05A6"/>
    <w:rsid w:val="056E254B"/>
    <w:rsid w:val="0570F60A"/>
    <w:rsid w:val="0572AA52"/>
    <w:rsid w:val="0579F2C1"/>
    <w:rsid w:val="05822458"/>
    <w:rsid w:val="0582BEBE"/>
    <w:rsid w:val="058ED409"/>
    <w:rsid w:val="05923CE3"/>
    <w:rsid w:val="059632E8"/>
    <w:rsid w:val="05976EBE"/>
    <w:rsid w:val="05984868"/>
    <w:rsid w:val="059A2306"/>
    <w:rsid w:val="059A9B46"/>
    <w:rsid w:val="059B9DC2"/>
    <w:rsid w:val="059F3DF0"/>
    <w:rsid w:val="05A0EF20"/>
    <w:rsid w:val="05A35555"/>
    <w:rsid w:val="05A7EA0A"/>
    <w:rsid w:val="05A9C067"/>
    <w:rsid w:val="05AE0B01"/>
    <w:rsid w:val="05B30C4F"/>
    <w:rsid w:val="05B594EB"/>
    <w:rsid w:val="05B64A9B"/>
    <w:rsid w:val="05B6D7A7"/>
    <w:rsid w:val="05B9755F"/>
    <w:rsid w:val="05BDFDBF"/>
    <w:rsid w:val="05BE5989"/>
    <w:rsid w:val="05C2889F"/>
    <w:rsid w:val="05C69599"/>
    <w:rsid w:val="05C82D10"/>
    <w:rsid w:val="05CE67DB"/>
    <w:rsid w:val="05D41C7F"/>
    <w:rsid w:val="05D52E1B"/>
    <w:rsid w:val="05D6D1C9"/>
    <w:rsid w:val="05DA4BEE"/>
    <w:rsid w:val="05DABC48"/>
    <w:rsid w:val="05DCBB6F"/>
    <w:rsid w:val="05E10D9A"/>
    <w:rsid w:val="05E3988A"/>
    <w:rsid w:val="05E4BCF9"/>
    <w:rsid w:val="05E82F36"/>
    <w:rsid w:val="05EBF12C"/>
    <w:rsid w:val="05EE8629"/>
    <w:rsid w:val="05F078A4"/>
    <w:rsid w:val="05F0F70D"/>
    <w:rsid w:val="05F7A645"/>
    <w:rsid w:val="05FD6CC0"/>
    <w:rsid w:val="05FFC599"/>
    <w:rsid w:val="060306EA"/>
    <w:rsid w:val="06089869"/>
    <w:rsid w:val="0608CE53"/>
    <w:rsid w:val="060BD0EB"/>
    <w:rsid w:val="061040B6"/>
    <w:rsid w:val="06186418"/>
    <w:rsid w:val="061FE641"/>
    <w:rsid w:val="06230A07"/>
    <w:rsid w:val="0625D61E"/>
    <w:rsid w:val="062B2925"/>
    <w:rsid w:val="062BC286"/>
    <w:rsid w:val="062D7009"/>
    <w:rsid w:val="062FA36A"/>
    <w:rsid w:val="06331580"/>
    <w:rsid w:val="063C33F6"/>
    <w:rsid w:val="063C4C3D"/>
    <w:rsid w:val="0640A19B"/>
    <w:rsid w:val="0642A371"/>
    <w:rsid w:val="064DD81B"/>
    <w:rsid w:val="064FA6D6"/>
    <w:rsid w:val="065570FC"/>
    <w:rsid w:val="06559E73"/>
    <w:rsid w:val="0657A07E"/>
    <w:rsid w:val="06596A57"/>
    <w:rsid w:val="065CF286"/>
    <w:rsid w:val="065F0D96"/>
    <w:rsid w:val="0661AD08"/>
    <w:rsid w:val="066D35BA"/>
    <w:rsid w:val="066F7F09"/>
    <w:rsid w:val="066FCD78"/>
    <w:rsid w:val="0670FAC6"/>
    <w:rsid w:val="06804E20"/>
    <w:rsid w:val="06865576"/>
    <w:rsid w:val="068696FF"/>
    <w:rsid w:val="068B74BE"/>
    <w:rsid w:val="068D352A"/>
    <w:rsid w:val="068F4F69"/>
    <w:rsid w:val="068FEA96"/>
    <w:rsid w:val="06914E04"/>
    <w:rsid w:val="06962613"/>
    <w:rsid w:val="069AD18D"/>
    <w:rsid w:val="069B4CB8"/>
    <w:rsid w:val="069B635D"/>
    <w:rsid w:val="06AF1785"/>
    <w:rsid w:val="06B123DA"/>
    <w:rsid w:val="06B23765"/>
    <w:rsid w:val="06B3293D"/>
    <w:rsid w:val="06BAA9C8"/>
    <w:rsid w:val="06C542C9"/>
    <w:rsid w:val="06C648B5"/>
    <w:rsid w:val="06C736A1"/>
    <w:rsid w:val="06C8A4BF"/>
    <w:rsid w:val="06CA363B"/>
    <w:rsid w:val="06CFBD6E"/>
    <w:rsid w:val="06D037A1"/>
    <w:rsid w:val="06D79E33"/>
    <w:rsid w:val="06DBA524"/>
    <w:rsid w:val="06E210BD"/>
    <w:rsid w:val="06ECEE87"/>
    <w:rsid w:val="06EF8739"/>
    <w:rsid w:val="06F02499"/>
    <w:rsid w:val="06F1F277"/>
    <w:rsid w:val="06F3BB19"/>
    <w:rsid w:val="06F4681F"/>
    <w:rsid w:val="06F7B2E8"/>
    <w:rsid w:val="06FC34C4"/>
    <w:rsid w:val="06FE5F7E"/>
    <w:rsid w:val="06FFE73B"/>
    <w:rsid w:val="07016942"/>
    <w:rsid w:val="0701E131"/>
    <w:rsid w:val="07027C6F"/>
    <w:rsid w:val="07058092"/>
    <w:rsid w:val="0707161D"/>
    <w:rsid w:val="070823E8"/>
    <w:rsid w:val="070E422C"/>
    <w:rsid w:val="070F3FF9"/>
    <w:rsid w:val="0713715B"/>
    <w:rsid w:val="07194B98"/>
    <w:rsid w:val="071E696C"/>
    <w:rsid w:val="071EB7A5"/>
    <w:rsid w:val="07224632"/>
    <w:rsid w:val="0723D816"/>
    <w:rsid w:val="0726F426"/>
    <w:rsid w:val="072A5C77"/>
    <w:rsid w:val="072D0B13"/>
    <w:rsid w:val="073A9D1D"/>
    <w:rsid w:val="07421168"/>
    <w:rsid w:val="07494E23"/>
    <w:rsid w:val="074A3595"/>
    <w:rsid w:val="074D802E"/>
    <w:rsid w:val="074E4CFC"/>
    <w:rsid w:val="074F24F8"/>
    <w:rsid w:val="07533D8D"/>
    <w:rsid w:val="0755776C"/>
    <w:rsid w:val="075C55E0"/>
    <w:rsid w:val="075EC35C"/>
    <w:rsid w:val="07601666"/>
    <w:rsid w:val="07677244"/>
    <w:rsid w:val="07690EAE"/>
    <w:rsid w:val="07773AE1"/>
    <w:rsid w:val="077D327D"/>
    <w:rsid w:val="0781AB5A"/>
    <w:rsid w:val="07884B99"/>
    <w:rsid w:val="0789543E"/>
    <w:rsid w:val="078B0A02"/>
    <w:rsid w:val="078CF341"/>
    <w:rsid w:val="078D1208"/>
    <w:rsid w:val="07959367"/>
    <w:rsid w:val="079678F4"/>
    <w:rsid w:val="079F9AA7"/>
    <w:rsid w:val="07A0CDA0"/>
    <w:rsid w:val="07A0DD14"/>
    <w:rsid w:val="07A3CF81"/>
    <w:rsid w:val="07A7F5B3"/>
    <w:rsid w:val="07A9EB1E"/>
    <w:rsid w:val="07AA5E3E"/>
    <w:rsid w:val="07ACF532"/>
    <w:rsid w:val="07AFF1A4"/>
    <w:rsid w:val="07B4DC0C"/>
    <w:rsid w:val="07B50B00"/>
    <w:rsid w:val="07BBAF8E"/>
    <w:rsid w:val="07BD38A0"/>
    <w:rsid w:val="07C3539F"/>
    <w:rsid w:val="07CB2DDE"/>
    <w:rsid w:val="07CB8A2C"/>
    <w:rsid w:val="07CBA2C0"/>
    <w:rsid w:val="07CD8618"/>
    <w:rsid w:val="07CDA019"/>
    <w:rsid w:val="07D60A1D"/>
    <w:rsid w:val="07D82E65"/>
    <w:rsid w:val="07DCA2D4"/>
    <w:rsid w:val="07E0F7AF"/>
    <w:rsid w:val="07E1189F"/>
    <w:rsid w:val="07E374F7"/>
    <w:rsid w:val="07E4D718"/>
    <w:rsid w:val="07EA3A1E"/>
    <w:rsid w:val="07F07E8C"/>
    <w:rsid w:val="07F24024"/>
    <w:rsid w:val="07F7E80B"/>
    <w:rsid w:val="07F97F49"/>
    <w:rsid w:val="07FAD9D6"/>
    <w:rsid w:val="07FBA427"/>
    <w:rsid w:val="0800E679"/>
    <w:rsid w:val="0806DC84"/>
    <w:rsid w:val="0808DEC3"/>
    <w:rsid w:val="080A87A4"/>
    <w:rsid w:val="08119746"/>
    <w:rsid w:val="081A0414"/>
    <w:rsid w:val="081C7498"/>
    <w:rsid w:val="081C8131"/>
    <w:rsid w:val="081FAA66"/>
    <w:rsid w:val="0821616E"/>
    <w:rsid w:val="08227CC7"/>
    <w:rsid w:val="0822BF65"/>
    <w:rsid w:val="082DA2A0"/>
    <w:rsid w:val="082DB457"/>
    <w:rsid w:val="0833D30A"/>
    <w:rsid w:val="083438A5"/>
    <w:rsid w:val="083663F2"/>
    <w:rsid w:val="083C459C"/>
    <w:rsid w:val="08422320"/>
    <w:rsid w:val="08463FE3"/>
    <w:rsid w:val="08494A3E"/>
    <w:rsid w:val="084956C8"/>
    <w:rsid w:val="08502E7A"/>
    <w:rsid w:val="0852BBC6"/>
    <w:rsid w:val="0857D578"/>
    <w:rsid w:val="085D8E8E"/>
    <w:rsid w:val="086100A7"/>
    <w:rsid w:val="08610412"/>
    <w:rsid w:val="086EC793"/>
    <w:rsid w:val="08724E3E"/>
    <w:rsid w:val="08734DBA"/>
    <w:rsid w:val="08742359"/>
    <w:rsid w:val="08794A8B"/>
    <w:rsid w:val="087C42DC"/>
    <w:rsid w:val="0882B0E7"/>
    <w:rsid w:val="088346E7"/>
    <w:rsid w:val="088A6F15"/>
    <w:rsid w:val="08966FD2"/>
    <w:rsid w:val="08981A6C"/>
    <w:rsid w:val="08986083"/>
    <w:rsid w:val="089F52EC"/>
    <w:rsid w:val="08A23D93"/>
    <w:rsid w:val="08A8BFC6"/>
    <w:rsid w:val="08AC02CE"/>
    <w:rsid w:val="08AC8004"/>
    <w:rsid w:val="08ACFC87"/>
    <w:rsid w:val="08ADD193"/>
    <w:rsid w:val="08AFB66C"/>
    <w:rsid w:val="08B07078"/>
    <w:rsid w:val="08B63277"/>
    <w:rsid w:val="08BD3906"/>
    <w:rsid w:val="08BEDD0D"/>
    <w:rsid w:val="08C46A84"/>
    <w:rsid w:val="08C77374"/>
    <w:rsid w:val="08C79780"/>
    <w:rsid w:val="08C81F50"/>
    <w:rsid w:val="08C8E88B"/>
    <w:rsid w:val="08CDFD26"/>
    <w:rsid w:val="08D10947"/>
    <w:rsid w:val="08D11F98"/>
    <w:rsid w:val="08D4B382"/>
    <w:rsid w:val="08D6230A"/>
    <w:rsid w:val="08D62597"/>
    <w:rsid w:val="08D65D24"/>
    <w:rsid w:val="08D86B04"/>
    <w:rsid w:val="08D90588"/>
    <w:rsid w:val="08DE762B"/>
    <w:rsid w:val="08E1C565"/>
    <w:rsid w:val="08E898D7"/>
    <w:rsid w:val="08E8B71B"/>
    <w:rsid w:val="08E95E91"/>
    <w:rsid w:val="08E9B5E2"/>
    <w:rsid w:val="08EC8239"/>
    <w:rsid w:val="08F1310C"/>
    <w:rsid w:val="08F1BEF6"/>
    <w:rsid w:val="08F3DDBE"/>
    <w:rsid w:val="08F3FD21"/>
    <w:rsid w:val="08F55B50"/>
    <w:rsid w:val="09035E51"/>
    <w:rsid w:val="0905A36F"/>
    <w:rsid w:val="09060C32"/>
    <w:rsid w:val="09087717"/>
    <w:rsid w:val="0908E25D"/>
    <w:rsid w:val="090D9EA0"/>
    <w:rsid w:val="090F1479"/>
    <w:rsid w:val="0910C5C2"/>
    <w:rsid w:val="091453C4"/>
    <w:rsid w:val="0914D109"/>
    <w:rsid w:val="09197A97"/>
    <w:rsid w:val="091AB81E"/>
    <w:rsid w:val="091BCEAE"/>
    <w:rsid w:val="092686B8"/>
    <w:rsid w:val="09297907"/>
    <w:rsid w:val="092B90DA"/>
    <w:rsid w:val="092D2240"/>
    <w:rsid w:val="092E71CC"/>
    <w:rsid w:val="0930E11F"/>
    <w:rsid w:val="09369EFD"/>
    <w:rsid w:val="0936BDC0"/>
    <w:rsid w:val="093C8989"/>
    <w:rsid w:val="09437559"/>
    <w:rsid w:val="09465EF6"/>
    <w:rsid w:val="0946787D"/>
    <w:rsid w:val="0948351B"/>
    <w:rsid w:val="0949C580"/>
    <w:rsid w:val="094A518F"/>
    <w:rsid w:val="094A8C18"/>
    <w:rsid w:val="095839B8"/>
    <w:rsid w:val="09585F66"/>
    <w:rsid w:val="095FF914"/>
    <w:rsid w:val="09612BDB"/>
    <w:rsid w:val="0969D789"/>
    <w:rsid w:val="096C6432"/>
    <w:rsid w:val="096D9933"/>
    <w:rsid w:val="09750A1B"/>
    <w:rsid w:val="0975CE40"/>
    <w:rsid w:val="0977FC2C"/>
    <w:rsid w:val="097E23D9"/>
    <w:rsid w:val="097F5AAA"/>
    <w:rsid w:val="098D1E51"/>
    <w:rsid w:val="0995131B"/>
    <w:rsid w:val="0999C71F"/>
    <w:rsid w:val="099FBD25"/>
    <w:rsid w:val="09A27876"/>
    <w:rsid w:val="09A4AF2A"/>
    <w:rsid w:val="09A6E110"/>
    <w:rsid w:val="09A7711F"/>
    <w:rsid w:val="09A8843E"/>
    <w:rsid w:val="09AB104C"/>
    <w:rsid w:val="09AB3726"/>
    <w:rsid w:val="09AB5E71"/>
    <w:rsid w:val="09B46875"/>
    <w:rsid w:val="09B592EA"/>
    <w:rsid w:val="09BD3193"/>
    <w:rsid w:val="09BE5AD3"/>
    <w:rsid w:val="09C038A4"/>
    <w:rsid w:val="09C089FD"/>
    <w:rsid w:val="09C1C3FC"/>
    <w:rsid w:val="09C32DB4"/>
    <w:rsid w:val="09C74B96"/>
    <w:rsid w:val="09C7F9B0"/>
    <w:rsid w:val="09CDD60F"/>
    <w:rsid w:val="09CFB3DC"/>
    <w:rsid w:val="09D00ADC"/>
    <w:rsid w:val="09D2BE07"/>
    <w:rsid w:val="09D31AA3"/>
    <w:rsid w:val="09D48714"/>
    <w:rsid w:val="09D69526"/>
    <w:rsid w:val="09E47B30"/>
    <w:rsid w:val="09E65550"/>
    <w:rsid w:val="09E92074"/>
    <w:rsid w:val="09E938BC"/>
    <w:rsid w:val="09EB77F4"/>
    <w:rsid w:val="09F79775"/>
    <w:rsid w:val="09FA6205"/>
    <w:rsid w:val="09FB2DAF"/>
    <w:rsid w:val="09FD77D0"/>
    <w:rsid w:val="0A014696"/>
    <w:rsid w:val="0A01D185"/>
    <w:rsid w:val="0A04B955"/>
    <w:rsid w:val="0A05CE3F"/>
    <w:rsid w:val="0A07BDAD"/>
    <w:rsid w:val="0A08AFB9"/>
    <w:rsid w:val="0A0A390F"/>
    <w:rsid w:val="0A0EA03B"/>
    <w:rsid w:val="0A0F7774"/>
    <w:rsid w:val="0A16E67D"/>
    <w:rsid w:val="0A1B00FD"/>
    <w:rsid w:val="0A21D5DA"/>
    <w:rsid w:val="0A22797E"/>
    <w:rsid w:val="0A23CAA2"/>
    <w:rsid w:val="0A24F937"/>
    <w:rsid w:val="0A284CF7"/>
    <w:rsid w:val="0A29FC19"/>
    <w:rsid w:val="0A2A4C0E"/>
    <w:rsid w:val="0A2B73E4"/>
    <w:rsid w:val="0A2EFB19"/>
    <w:rsid w:val="0A3054E0"/>
    <w:rsid w:val="0A315108"/>
    <w:rsid w:val="0A36EE1E"/>
    <w:rsid w:val="0A39131F"/>
    <w:rsid w:val="0A3F731A"/>
    <w:rsid w:val="0A43A6E3"/>
    <w:rsid w:val="0A468273"/>
    <w:rsid w:val="0A47E47A"/>
    <w:rsid w:val="0A492428"/>
    <w:rsid w:val="0A497003"/>
    <w:rsid w:val="0A552FDC"/>
    <w:rsid w:val="0A563337"/>
    <w:rsid w:val="0A596256"/>
    <w:rsid w:val="0A5CCF2D"/>
    <w:rsid w:val="0A5E3AA4"/>
    <w:rsid w:val="0A5EA8CD"/>
    <w:rsid w:val="0A600B10"/>
    <w:rsid w:val="0A63AC16"/>
    <w:rsid w:val="0A643F74"/>
    <w:rsid w:val="0A683A01"/>
    <w:rsid w:val="0A69295F"/>
    <w:rsid w:val="0A6E1473"/>
    <w:rsid w:val="0A737FED"/>
    <w:rsid w:val="0A770C81"/>
    <w:rsid w:val="0A780B69"/>
    <w:rsid w:val="0A7B4334"/>
    <w:rsid w:val="0A846F60"/>
    <w:rsid w:val="0A854364"/>
    <w:rsid w:val="0A8F25A5"/>
    <w:rsid w:val="0A90717A"/>
    <w:rsid w:val="0A94BECA"/>
    <w:rsid w:val="0A9537F2"/>
    <w:rsid w:val="0A965AF8"/>
    <w:rsid w:val="0A9DBC11"/>
    <w:rsid w:val="0AA55D0F"/>
    <w:rsid w:val="0AA92A26"/>
    <w:rsid w:val="0AA9A31F"/>
    <w:rsid w:val="0AAE739E"/>
    <w:rsid w:val="0AB0C43C"/>
    <w:rsid w:val="0AB35C6F"/>
    <w:rsid w:val="0AB97FAF"/>
    <w:rsid w:val="0ABA6174"/>
    <w:rsid w:val="0AC288C2"/>
    <w:rsid w:val="0AC6447F"/>
    <w:rsid w:val="0AC8C2CF"/>
    <w:rsid w:val="0ACB5C2E"/>
    <w:rsid w:val="0ACF3113"/>
    <w:rsid w:val="0AD0D228"/>
    <w:rsid w:val="0AD249A4"/>
    <w:rsid w:val="0AD53072"/>
    <w:rsid w:val="0AD8CBD2"/>
    <w:rsid w:val="0AE4C0BF"/>
    <w:rsid w:val="0AE53463"/>
    <w:rsid w:val="0AE596A6"/>
    <w:rsid w:val="0AEDCFB1"/>
    <w:rsid w:val="0AEE5A6E"/>
    <w:rsid w:val="0AF4094B"/>
    <w:rsid w:val="0AF4CBF7"/>
    <w:rsid w:val="0AF5592D"/>
    <w:rsid w:val="0AFE8CEB"/>
    <w:rsid w:val="0AFEE84D"/>
    <w:rsid w:val="0AFF3284"/>
    <w:rsid w:val="0B01CA2D"/>
    <w:rsid w:val="0B043FF0"/>
    <w:rsid w:val="0B087DA4"/>
    <w:rsid w:val="0B0A4E0A"/>
    <w:rsid w:val="0B0B5ECD"/>
    <w:rsid w:val="0B0BFA3A"/>
    <w:rsid w:val="0B0E8073"/>
    <w:rsid w:val="0B12CDF5"/>
    <w:rsid w:val="0B167467"/>
    <w:rsid w:val="0B16BE76"/>
    <w:rsid w:val="0B1B1DA3"/>
    <w:rsid w:val="0B1CE9EB"/>
    <w:rsid w:val="0B2266D9"/>
    <w:rsid w:val="0B26DA76"/>
    <w:rsid w:val="0B296C79"/>
    <w:rsid w:val="0B2AC092"/>
    <w:rsid w:val="0B32D703"/>
    <w:rsid w:val="0B33EE2F"/>
    <w:rsid w:val="0B34F428"/>
    <w:rsid w:val="0B354E2D"/>
    <w:rsid w:val="0B3643CD"/>
    <w:rsid w:val="0B392B13"/>
    <w:rsid w:val="0B3BBB57"/>
    <w:rsid w:val="0B43F816"/>
    <w:rsid w:val="0B45D55D"/>
    <w:rsid w:val="0B48020B"/>
    <w:rsid w:val="0B4A398E"/>
    <w:rsid w:val="0B4DAC47"/>
    <w:rsid w:val="0B57DA70"/>
    <w:rsid w:val="0B5821D3"/>
    <w:rsid w:val="0B59A8B3"/>
    <w:rsid w:val="0B5A51CC"/>
    <w:rsid w:val="0B5B992C"/>
    <w:rsid w:val="0B5D3E53"/>
    <w:rsid w:val="0B5DB13D"/>
    <w:rsid w:val="0B608121"/>
    <w:rsid w:val="0B60A110"/>
    <w:rsid w:val="0B63C6F8"/>
    <w:rsid w:val="0B65BAD2"/>
    <w:rsid w:val="0B684078"/>
    <w:rsid w:val="0B6A70D9"/>
    <w:rsid w:val="0B746150"/>
    <w:rsid w:val="0B7B99C3"/>
    <w:rsid w:val="0B83D774"/>
    <w:rsid w:val="0B847038"/>
    <w:rsid w:val="0B8535D2"/>
    <w:rsid w:val="0B871A28"/>
    <w:rsid w:val="0B87C574"/>
    <w:rsid w:val="0B8B2A97"/>
    <w:rsid w:val="0B9079F0"/>
    <w:rsid w:val="0B96606F"/>
    <w:rsid w:val="0B967814"/>
    <w:rsid w:val="0B983F6A"/>
    <w:rsid w:val="0B98939B"/>
    <w:rsid w:val="0BA8FBBD"/>
    <w:rsid w:val="0BACDBAF"/>
    <w:rsid w:val="0BADF7E2"/>
    <w:rsid w:val="0BAF6273"/>
    <w:rsid w:val="0BBA28C0"/>
    <w:rsid w:val="0BC4D898"/>
    <w:rsid w:val="0BC4F02A"/>
    <w:rsid w:val="0BC61649"/>
    <w:rsid w:val="0BC7BCCD"/>
    <w:rsid w:val="0BD54BDC"/>
    <w:rsid w:val="0BD9031E"/>
    <w:rsid w:val="0BE81BC8"/>
    <w:rsid w:val="0BED79F8"/>
    <w:rsid w:val="0BF1093A"/>
    <w:rsid w:val="0BF1243B"/>
    <w:rsid w:val="0BF2404D"/>
    <w:rsid w:val="0BF59D94"/>
    <w:rsid w:val="0BFBC7B4"/>
    <w:rsid w:val="0BFD4CD0"/>
    <w:rsid w:val="0C00C4FF"/>
    <w:rsid w:val="0C0B5DCF"/>
    <w:rsid w:val="0C0E78C1"/>
    <w:rsid w:val="0C12ECAE"/>
    <w:rsid w:val="0C138E95"/>
    <w:rsid w:val="0C14A79D"/>
    <w:rsid w:val="0C15E5C1"/>
    <w:rsid w:val="0C16CCD6"/>
    <w:rsid w:val="0C1F4920"/>
    <w:rsid w:val="0C1F7AB2"/>
    <w:rsid w:val="0C20995C"/>
    <w:rsid w:val="0C20DD48"/>
    <w:rsid w:val="0C31A4C2"/>
    <w:rsid w:val="0C31D35F"/>
    <w:rsid w:val="0C32E9A9"/>
    <w:rsid w:val="0C38102A"/>
    <w:rsid w:val="0C38D707"/>
    <w:rsid w:val="0C3DD776"/>
    <w:rsid w:val="0C3FFA3D"/>
    <w:rsid w:val="0C415FC4"/>
    <w:rsid w:val="0C54EDF6"/>
    <w:rsid w:val="0C566232"/>
    <w:rsid w:val="0C5CA068"/>
    <w:rsid w:val="0C5D75E9"/>
    <w:rsid w:val="0C5FFD84"/>
    <w:rsid w:val="0C6C07E4"/>
    <w:rsid w:val="0C6DC73E"/>
    <w:rsid w:val="0C6DEC3B"/>
    <w:rsid w:val="0C6F1B09"/>
    <w:rsid w:val="0C7702EB"/>
    <w:rsid w:val="0C7D1C1F"/>
    <w:rsid w:val="0C7D759C"/>
    <w:rsid w:val="0C831E26"/>
    <w:rsid w:val="0C873454"/>
    <w:rsid w:val="0C8AB393"/>
    <w:rsid w:val="0C8D8972"/>
    <w:rsid w:val="0C8E4AF5"/>
    <w:rsid w:val="0C9304C3"/>
    <w:rsid w:val="0C9BF905"/>
    <w:rsid w:val="0CA0AA8C"/>
    <w:rsid w:val="0CA11C1C"/>
    <w:rsid w:val="0CA6FA0E"/>
    <w:rsid w:val="0CAC400C"/>
    <w:rsid w:val="0CAC818C"/>
    <w:rsid w:val="0CB91CED"/>
    <w:rsid w:val="0CBC7485"/>
    <w:rsid w:val="0CC3F754"/>
    <w:rsid w:val="0CC7BCD3"/>
    <w:rsid w:val="0CCB2F10"/>
    <w:rsid w:val="0CCBC8BE"/>
    <w:rsid w:val="0CCFCD5A"/>
    <w:rsid w:val="0CD1E9F8"/>
    <w:rsid w:val="0CD357BF"/>
    <w:rsid w:val="0CD3A5CE"/>
    <w:rsid w:val="0CDE9988"/>
    <w:rsid w:val="0CE3670D"/>
    <w:rsid w:val="0CE68E4F"/>
    <w:rsid w:val="0CE73A37"/>
    <w:rsid w:val="0CECD127"/>
    <w:rsid w:val="0CF7D781"/>
    <w:rsid w:val="0CF8125F"/>
    <w:rsid w:val="0CFB7BDE"/>
    <w:rsid w:val="0CFC09E5"/>
    <w:rsid w:val="0CFC0DF0"/>
    <w:rsid w:val="0CFF0E11"/>
    <w:rsid w:val="0CFFC424"/>
    <w:rsid w:val="0D05652C"/>
    <w:rsid w:val="0D081327"/>
    <w:rsid w:val="0D099B9D"/>
    <w:rsid w:val="0D09E4F2"/>
    <w:rsid w:val="0D0C240E"/>
    <w:rsid w:val="0D0CBAD5"/>
    <w:rsid w:val="0D150385"/>
    <w:rsid w:val="0D153C92"/>
    <w:rsid w:val="0D201305"/>
    <w:rsid w:val="0D292B87"/>
    <w:rsid w:val="0D2D614A"/>
    <w:rsid w:val="0D2F9B66"/>
    <w:rsid w:val="0D35983E"/>
    <w:rsid w:val="0D3D7DA2"/>
    <w:rsid w:val="0D4B06FE"/>
    <w:rsid w:val="0D4D5B3E"/>
    <w:rsid w:val="0D50FC65"/>
    <w:rsid w:val="0D5474E8"/>
    <w:rsid w:val="0D549808"/>
    <w:rsid w:val="0D549BB0"/>
    <w:rsid w:val="0D581C13"/>
    <w:rsid w:val="0D5A1CAD"/>
    <w:rsid w:val="0D5D22CC"/>
    <w:rsid w:val="0D60205E"/>
    <w:rsid w:val="0D649320"/>
    <w:rsid w:val="0D698601"/>
    <w:rsid w:val="0D69AEE1"/>
    <w:rsid w:val="0D69BF62"/>
    <w:rsid w:val="0D6A351D"/>
    <w:rsid w:val="0D6E8F7C"/>
    <w:rsid w:val="0D6EAAEF"/>
    <w:rsid w:val="0D72D8F6"/>
    <w:rsid w:val="0D72EC69"/>
    <w:rsid w:val="0D770E2B"/>
    <w:rsid w:val="0D7BB7C1"/>
    <w:rsid w:val="0D7C18C5"/>
    <w:rsid w:val="0D802922"/>
    <w:rsid w:val="0D81D020"/>
    <w:rsid w:val="0D88633F"/>
    <w:rsid w:val="0D8B7D63"/>
    <w:rsid w:val="0D8C0398"/>
    <w:rsid w:val="0D8F1FA5"/>
    <w:rsid w:val="0D960663"/>
    <w:rsid w:val="0D999BFB"/>
    <w:rsid w:val="0D9A5629"/>
    <w:rsid w:val="0D9ABF50"/>
    <w:rsid w:val="0D9BC2A4"/>
    <w:rsid w:val="0D9EB0E4"/>
    <w:rsid w:val="0D9EBC1B"/>
    <w:rsid w:val="0DA8F8E3"/>
    <w:rsid w:val="0DB82B1E"/>
    <w:rsid w:val="0DBAB0B1"/>
    <w:rsid w:val="0DBE5316"/>
    <w:rsid w:val="0DBF9A4F"/>
    <w:rsid w:val="0DC311B5"/>
    <w:rsid w:val="0DC3B503"/>
    <w:rsid w:val="0DC7BE23"/>
    <w:rsid w:val="0DCB1F70"/>
    <w:rsid w:val="0DD324A0"/>
    <w:rsid w:val="0DDB3CE0"/>
    <w:rsid w:val="0DDB61DF"/>
    <w:rsid w:val="0DDB8C82"/>
    <w:rsid w:val="0DE16660"/>
    <w:rsid w:val="0DE34C4E"/>
    <w:rsid w:val="0DEC60F5"/>
    <w:rsid w:val="0DF217E8"/>
    <w:rsid w:val="0DF62DA7"/>
    <w:rsid w:val="0DFEE83B"/>
    <w:rsid w:val="0DFF277F"/>
    <w:rsid w:val="0E004DF0"/>
    <w:rsid w:val="0E01DB0F"/>
    <w:rsid w:val="0E0598DB"/>
    <w:rsid w:val="0E06EF4F"/>
    <w:rsid w:val="0E075FF0"/>
    <w:rsid w:val="0E0C14ED"/>
    <w:rsid w:val="0E0C8A6A"/>
    <w:rsid w:val="0E0E594A"/>
    <w:rsid w:val="0E105CD4"/>
    <w:rsid w:val="0E147831"/>
    <w:rsid w:val="0E1817F0"/>
    <w:rsid w:val="0E18AC0D"/>
    <w:rsid w:val="0E1BB156"/>
    <w:rsid w:val="0E1FC082"/>
    <w:rsid w:val="0E22B5CC"/>
    <w:rsid w:val="0E22E8AB"/>
    <w:rsid w:val="0E2F654F"/>
    <w:rsid w:val="0E30BF0E"/>
    <w:rsid w:val="0E31FBC8"/>
    <w:rsid w:val="0E367308"/>
    <w:rsid w:val="0E3AA71A"/>
    <w:rsid w:val="0E3EEB07"/>
    <w:rsid w:val="0E413FF6"/>
    <w:rsid w:val="0E442F7F"/>
    <w:rsid w:val="0E4AAD76"/>
    <w:rsid w:val="0E4B7F11"/>
    <w:rsid w:val="0E4D1A59"/>
    <w:rsid w:val="0E4D6A5C"/>
    <w:rsid w:val="0E527CBB"/>
    <w:rsid w:val="0E573A40"/>
    <w:rsid w:val="0E5AE68B"/>
    <w:rsid w:val="0E5D730E"/>
    <w:rsid w:val="0E67A732"/>
    <w:rsid w:val="0E684DCE"/>
    <w:rsid w:val="0E6999D6"/>
    <w:rsid w:val="0E6BFC61"/>
    <w:rsid w:val="0E6D0BB3"/>
    <w:rsid w:val="0E6F98D9"/>
    <w:rsid w:val="0E73FB69"/>
    <w:rsid w:val="0E79B6E2"/>
    <w:rsid w:val="0E7BFAD4"/>
    <w:rsid w:val="0E7C4139"/>
    <w:rsid w:val="0E807838"/>
    <w:rsid w:val="0E8491FB"/>
    <w:rsid w:val="0E866232"/>
    <w:rsid w:val="0E88170B"/>
    <w:rsid w:val="0E89D5BF"/>
    <w:rsid w:val="0E8CBB4C"/>
    <w:rsid w:val="0E8E326C"/>
    <w:rsid w:val="0E926D9B"/>
    <w:rsid w:val="0E949907"/>
    <w:rsid w:val="0E96A356"/>
    <w:rsid w:val="0EA3D0E0"/>
    <w:rsid w:val="0EA7EEA6"/>
    <w:rsid w:val="0EAB73C6"/>
    <w:rsid w:val="0EAB7CD9"/>
    <w:rsid w:val="0EAC04D7"/>
    <w:rsid w:val="0EB67966"/>
    <w:rsid w:val="0EB8CF12"/>
    <w:rsid w:val="0EBCFC9C"/>
    <w:rsid w:val="0EBED2FF"/>
    <w:rsid w:val="0EC45F7D"/>
    <w:rsid w:val="0ECAC60C"/>
    <w:rsid w:val="0ED145A8"/>
    <w:rsid w:val="0ED1ECE2"/>
    <w:rsid w:val="0ED93303"/>
    <w:rsid w:val="0EDB5E73"/>
    <w:rsid w:val="0EDE2235"/>
    <w:rsid w:val="0EE6F34C"/>
    <w:rsid w:val="0EE950F6"/>
    <w:rsid w:val="0EEA0A3D"/>
    <w:rsid w:val="0EF5539E"/>
    <w:rsid w:val="0EF857F6"/>
    <w:rsid w:val="0EFEF1CA"/>
    <w:rsid w:val="0F05A465"/>
    <w:rsid w:val="0F06F4B2"/>
    <w:rsid w:val="0F0E434C"/>
    <w:rsid w:val="0F16CEE9"/>
    <w:rsid w:val="0F181314"/>
    <w:rsid w:val="0F1960AC"/>
    <w:rsid w:val="0F1D27AE"/>
    <w:rsid w:val="0F1DD532"/>
    <w:rsid w:val="0F1EE965"/>
    <w:rsid w:val="0F250F20"/>
    <w:rsid w:val="0F25103C"/>
    <w:rsid w:val="0F270191"/>
    <w:rsid w:val="0F2DC379"/>
    <w:rsid w:val="0F322884"/>
    <w:rsid w:val="0F323EB2"/>
    <w:rsid w:val="0F356F2E"/>
    <w:rsid w:val="0F3A1CAD"/>
    <w:rsid w:val="0F3EE8C7"/>
    <w:rsid w:val="0F405882"/>
    <w:rsid w:val="0F410099"/>
    <w:rsid w:val="0F450439"/>
    <w:rsid w:val="0F4634BF"/>
    <w:rsid w:val="0F469E2A"/>
    <w:rsid w:val="0F470A4E"/>
    <w:rsid w:val="0F472FC7"/>
    <w:rsid w:val="0F4AE645"/>
    <w:rsid w:val="0F4DAB8E"/>
    <w:rsid w:val="0F51540A"/>
    <w:rsid w:val="0F53E230"/>
    <w:rsid w:val="0F5EC6C1"/>
    <w:rsid w:val="0F621BF6"/>
    <w:rsid w:val="0F64ED4F"/>
    <w:rsid w:val="0F65501D"/>
    <w:rsid w:val="0F6C867F"/>
    <w:rsid w:val="0F6EFF38"/>
    <w:rsid w:val="0F7050CC"/>
    <w:rsid w:val="0F73FA9B"/>
    <w:rsid w:val="0F751847"/>
    <w:rsid w:val="0F76F7BD"/>
    <w:rsid w:val="0F777836"/>
    <w:rsid w:val="0F77ED5C"/>
    <w:rsid w:val="0F7C1DF4"/>
    <w:rsid w:val="0F7F4979"/>
    <w:rsid w:val="0F7FF7F3"/>
    <w:rsid w:val="0F800094"/>
    <w:rsid w:val="0F829ABA"/>
    <w:rsid w:val="0F84DB4F"/>
    <w:rsid w:val="0F8901CE"/>
    <w:rsid w:val="0F92C118"/>
    <w:rsid w:val="0F940102"/>
    <w:rsid w:val="0F986673"/>
    <w:rsid w:val="0F9A5DB1"/>
    <w:rsid w:val="0F9CA87E"/>
    <w:rsid w:val="0FA157C3"/>
    <w:rsid w:val="0FAF57D9"/>
    <w:rsid w:val="0FB3ECD6"/>
    <w:rsid w:val="0FB68D77"/>
    <w:rsid w:val="0FB6CA35"/>
    <w:rsid w:val="0FBE8AC9"/>
    <w:rsid w:val="0FC7041C"/>
    <w:rsid w:val="0FC82A94"/>
    <w:rsid w:val="0FD7687A"/>
    <w:rsid w:val="0FD952F7"/>
    <w:rsid w:val="0FE09F3A"/>
    <w:rsid w:val="0FE47B89"/>
    <w:rsid w:val="0FE4AD9C"/>
    <w:rsid w:val="0FE8BBD7"/>
    <w:rsid w:val="0FE8DCD1"/>
    <w:rsid w:val="0FE900D9"/>
    <w:rsid w:val="0FEB8546"/>
    <w:rsid w:val="0FEF016E"/>
    <w:rsid w:val="0FF14E39"/>
    <w:rsid w:val="0FF43286"/>
    <w:rsid w:val="0FFED2B0"/>
    <w:rsid w:val="1007C189"/>
    <w:rsid w:val="100CFADB"/>
    <w:rsid w:val="100D4CA1"/>
    <w:rsid w:val="100E9200"/>
    <w:rsid w:val="10129ECE"/>
    <w:rsid w:val="101324AA"/>
    <w:rsid w:val="101DA8DD"/>
    <w:rsid w:val="10217CCB"/>
    <w:rsid w:val="1022A55D"/>
    <w:rsid w:val="10265D85"/>
    <w:rsid w:val="1026B4AE"/>
    <w:rsid w:val="1028AFBA"/>
    <w:rsid w:val="1029D015"/>
    <w:rsid w:val="102A037D"/>
    <w:rsid w:val="102E24B9"/>
    <w:rsid w:val="103077A5"/>
    <w:rsid w:val="10417427"/>
    <w:rsid w:val="1046D2E7"/>
    <w:rsid w:val="104AF2B8"/>
    <w:rsid w:val="104D17D9"/>
    <w:rsid w:val="1050D262"/>
    <w:rsid w:val="105523F6"/>
    <w:rsid w:val="1057A59C"/>
    <w:rsid w:val="10586E7A"/>
    <w:rsid w:val="105B54B9"/>
    <w:rsid w:val="105DCCE4"/>
    <w:rsid w:val="105ED76E"/>
    <w:rsid w:val="105F925D"/>
    <w:rsid w:val="106C78FE"/>
    <w:rsid w:val="106C9320"/>
    <w:rsid w:val="106D9F93"/>
    <w:rsid w:val="10723B94"/>
    <w:rsid w:val="1076A9AA"/>
    <w:rsid w:val="1077E89B"/>
    <w:rsid w:val="107D9D01"/>
    <w:rsid w:val="107DD704"/>
    <w:rsid w:val="10826C38"/>
    <w:rsid w:val="1084B788"/>
    <w:rsid w:val="10884885"/>
    <w:rsid w:val="10906D31"/>
    <w:rsid w:val="10922997"/>
    <w:rsid w:val="10922A25"/>
    <w:rsid w:val="1093F35D"/>
    <w:rsid w:val="1096417B"/>
    <w:rsid w:val="109B66BE"/>
    <w:rsid w:val="10A53F2A"/>
    <w:rsid w:val="10A5FEFF"/>
    <w:rsid w:val="10A722C0"/>
    <w:rsid w:val="10A75F6D"/>
    <w:rsid w:val="10AC5408"/>
    <w:rsid w:val="10AD1A93"/>
    <w:rsid w:val="10AD3BBD"/>
    <w:rsid w:val="10B1AD6C"/>
    <w:rsid w:val="10B71896"/>
    <w:rsid w:val="10BAF0AB"/>
    <w:rsid w:val="10BB30F1"/>
    <w:rsid w:val="10BC82D7"/>
    <w:rsid w:val="10BD8FB7"/>
    <w:rsid w:val="10BE5544"/>
    <w:rsid w:val="10BEFC7A"/>
    <w:rsid w:val="10C3B322"/>
    <w:rsid w:val="10C49988"/>
    <w:rsid w:val="10C63A15"/>
    <w:rsid w:val="10CB45E3"/>
    <w:rsid w:val="10D49624"/>
    <w:rsid w:val="10D63B69"/>
    <w:rsid w:val="10DB7AF1"/>
    <w:rsid w:val="10E34BC4"/>
    <w:rsid w:val="10E6D6A9"/>
    <w:rsid w:val="10EA4658"/>
    <w:rsid w:val="10ED0710"/>
    <w:rsid w:val="10F13C38"/>
    <w:rsid w:val="10F18216"/>
    <w:rsid w:val="10F42B3C"/>
    <w:rsid w:val="10FAEACC"/>
    <w:rsid w:val="10FB53AC"/>
    <w:rsid w:val="10FEBC1E"/>
    <w:rsid w:val="11070CDB"/>
    <w:rsid w:val="1107E252"/>
    <w:rsid w:val="110C2B0F"/>
    <w:rsid w:val="110DB97A"/>
    <w:rsid w:val="1116EB44"/>
    <w:rsid w:val="11181D0A"/>
    <w:rsid w:val="1120F659"/>
    <w:rsid w:val="1126C25B"/>
    <w:rsid w:val="112A0763"/>
    <w:rsid w:val="112BAC39"/>
    <w:rsid w:val="112DF0F9"/>
    <w:rsid w:val="1132D558"/>
    <w:rsid w:val="1133905F"/>
    <w:rsid w:val="1141C754"/>
    <w:rsid w:val="1142BCB3"/>
    <w:rsid w:val="1143502C"/>
    <w:rsid w:val="1145EEE9"/>
    <w:rsid w:val="114C3592"/>
    <w:rsid w:val="114D1AD1"/>
    <w:rsid w:val="11511506"/>
    <w:rsid w:val="11523354"/>
    <w:rsid w:val="1156EA81"/>
    <w:rsid w:val="11578F2D"/>
    <w:rsid w:val="115AD19A"/>
    <w:rsid w:val="115E87D1"/>
    <w:rsid w:val="11632C38"/>
    <w:rsid w:val="1164E449"/>
    <w:rsid w:val="1166D56F"/>
    <w:rsid w:val="11681FAF"/>
    <w:rsid w:val="116905FF"/>
    <w:rsid w:val="1169911B"/>
    <w:rsid w:val="116BCADE"/>
    <w:rsid w:val="1171697B"/>
    <w:rsid w:val="117295E3"/>
    <w:rsid w:val="117EE57B"/>
    <w:rsid w:val="1183FFBC"/>
    <w:rsid w:val="1185DA67"/>
    <w:rsid w:val="1186C9EF"/>
    <w:rsid w:val="11888ECC"/>
    <w:rsid w:val="118AE5B1"/>
    <w:rsid w:val="118AF8EC"/>
    <w:rsid w:val="11958D42"/>
    <w:rsid w:val="11989CFE"/>
    <w:rsid w:val="1198D82D"/>
    <w:rsid w:val="11991AD7"/>
    <w:rsid w:val="11A71038"/>
    <w:rsid w:val="11A74434"/>
    <w:rsid w:val="11A8F04A"/>
    <w:rsid w:val="11A92B5F"/>
    <w:rsid w:val="11AD2DF9"/>
    <w:rsid w:val="11AD6EB8"/>
    <w:rsid w:val="11ADA72B"/>
    <w:rsid w:val="11AF00E0"/>
    <w:rsid w:val="11AF1B22"/>
    <w:rsid w:val="11B5DE9D"/>
    <w:rsid w:val="11B881A5"/>
    <w:rsid w:val="11BAF52A"/>
    <w:rsid w:val="11BBA348"/>
    <w:rsid w:val="11C3689A"/>
    <w:rsid w:val="11C56FB2"/>
    <w:rsid w:val="11C93B51"/>
    <w:rsid w:val="11CB02DA"/>
    <w:rsid w:val="11CC37CF"/>
    <w:rsid w:val="11D2CB0E"/>
    <w:rsid w:val="11D36711"/>
    <w:rsid w:val="11D6C580"/>
    <w:rsid w:val="11D9E74C"/>
    <w:rsid w:val="11DA0C6E"/>
    <w:rsid w:val="11DA4135"/>
    <w:rsid w:val="11DB7466"/>
    <w:rsid w:val="11DF0599"/>
    <w:rsid w:val="11E1FCC2"/>
    <w:rsid w:val="11E3BFC8"/>
    <w:rsid w:val="11E4A675"/>
    <w:rsid w:val="11E7EE1B"/>
    <w:rsid w:val="11EAACC2"/>
    <w:rsid w:val="11EB9A42"/>
    <w:rsid w:val="11EE858D"/>
    <w:rsid w:val="11F0B643"/>
    <w:rsid w:val="11F0CFC0"/>
    <w:rsid w:val="11F47F8B"/>
    <w:rsid w:val="11F70E9E"/>
    <w:rsid w:val="11F9F256"/>
    <w:rsid w:val="11FD04A2"/>
    <w:rsid w:val="11FD920B"/>
    <w:rsid w:val="11FF35AB"/>
    <w:rsid w:val="12029105"/>
    <w:rsid w:val="120B1304"/>
    <w:rsid w:val="120C82F1"/>
    <w:rsid w:val="1211FB4E"/>
    <w:rsid w:val="12135D1A"/>
    <w:rsid w:val="1217B952"/>
    <w:rsid w:val="12197097"/>
    <w:rsid w:val="121F9DA5"/>
    <w:rsid w:val="12212AFF"/>
    <w:rsid w:val="12251242"/>
    <w:rsid w:val="122598AB"/>
    <w:rsid w:val="122647CF"/>
    <w:rsid w:val="122E4875"/>
    <w:rsid w:val="12331328"/>
    <w:rsid w:val="12365285"/>
    <w:rsid w:val="123A5614"/>
    <w:rsid w:val="123B2407"/>
    <w:rsid w:val="123B3D5A"/>
    <w:rsid w:val="1240B568"/>
    <w:rsid w:val="12444580"/>
    <w:rsid w:val="124E9074"/>
    <w:rsid w:val="124EB542"/>
    <w:rsid w:val="1250E3F5"/>
    <w:rsid w:val="12535390"/>
    <w:rsid w:val="1255CDF2"/>
    <w:rsid w:val="125CC6BB"/>
    <w:rsid w:val="12626D10"/>
    <w:rsid w:val="1262A799"/>
    <w:rsid w:val="1263E1AF"/>
    <w:rsid w:val="126AAE6A"/>
    <w:rsid w:val="126FDF5C"/>
    <w:rsid w:val="12728324"/>
    <w:rsid w:val="127362F4"/>
    <w:rsid w:val="12764F01"/>
    <w:rsid w:val="127B9CE3"/>
    <w:rsid w:val="1286DE99"/>
    <w:rsid w:val="12879717"/>
    <w:rsid w:val="1288D210"/>
    <w:rsid w:val="128E01C7"/>
    <w:rsid w:val="128FECE6"/>
    <w:rsid w:val="1290361A"/>
    <w:rsid w:val="12913429"/>
    <w:rsid w:val="12913CFE"/>
    <w:rsid w:val="1297A534"/>
    <w:rsid w:val="129A7DAE"/>
    <w:rsid w:val="129AA183"/>
    <w:rsid w:val="129AA188"/>
    <w:rsid w:val="129AE598"/>
    <w:rsid w:val="129E76F4"/>
    <w:rsid w:val="12AB5378"/>
    <w:rsid w:val="12AD694F"/>
    <w:rsid w:val="12AD6BA2"/>
    <w:rsid w:val="12ADD0F8"/>
    <w:rsid w:val="12AE0C39"/>
    <w:rsid w:val="12AEAD74"/>
    <w:rsid w:val="12B6C3B9"/>
    <w:rsid w:val="12B7AB19"/>
    <w:rsid w:val="12BAE855"/>
    <w:rsid w:val="12BE99C8"/>
    <w:rsid w:val="12C0BCF1"/>
    <w:rsid w:val="12C290A2"/>
    <w:rsid w:val="12C63C83"/>
    <w:rsid w:val="12C9F659"/>
    <w:rsid w:val="12CA6494"/>
    <w:rsid w:val="12CC95C5"/>
    <w:rsid w:val="12CDBF62"/>
    <w:rsid w:val="12CF50F4"/>
    <w:rsid w:val="12D1A275"/>
    <w:rsid w:val="12D2BBB2"/>
    <w:rsid w:val="12D35461"/>
    <w:rsid w:val="12D78B42"/>
    <w:rsid w:val="12DADB79"/>
    <w:rsid w:val="12E42494"/>
    <w:rsid w:val="12E53DB0"/>
    <w:rsid w:val="12EF894D"/>
    <w:rsid w:val="12EFF015"/>
    <w:rsid w:val="12F5A3DF"/>
    <w:rsid w:val="12F6DD9B"/>
    <w:rsid w:val="12F7EE96"/>
    <w:rsid w:val="12F8A562"/>
    <w:rsid w:val="12FAA7DE"/>
    <w:rsid w:val="12FB2A08"/>
    <w:rsid w:val="12FC55C7"/>
    <w:rsid w:val="12FD9E4D"/>
    <w:rsid w:val="13054468"/>
    <w:rsid w:val="130AFBC0"/>
    <w:rsid w:val="130CD65D"/>
    <w:rsid w:val="130DAABC"/>
    <w:rsid w:val="13122A4F"/>
    <w:rsid w:val="131F1A08"/>
    <w:rsid w:val="13206D09"/>
    <w:rsid w:val="13212A60"/>
    <w:rsid w:val="1322E713"/>
    <w:rsid w:val="13252CE6"/>
    <w:rsid w:val="132716A8"/>
    <w:rsid w:val="13290421"/>
    <w:rsid w:val="132B91F9"/>
    <w:rsid w:val="132F7402"/>
    <w:rsid w:val="1332CDE2"/>
    <w:rsid w:val="13353E36"/>
    <w:rsid w:val="133A1FE5"/>
    <w:rsid w:val="133C2CE0"/>
    <w:rsid w:val="133DF0AB"/>
    <w:rsid w:val="1344E1E0"/>
    <w:rsid w:val="13482328"/>
    <w:rsid w:val="13484333"/>
    <w:rsid w:val="13489BC7"/>
    <w:rsid w:val="134B8E16"/>
    <w:rsid w:val="134CE007"/>
    <w:rsid w:val="134DB917"/>
    <w:rsid w:val="13533D65"/>
    <w:rsid w:val="135413B9"/>
    <w:rsid w:val="13558B0A"/>
    <w:rsid w:val="1357AA3A"/>
    <w:rsid w:val="1357FA66"/>
    <w:rsid w:val="1359DCF3"/>
    <w:rsid w:val="1359EB04"/>
    <w:rsid w:val="135B9E59"/>
    <w:rsid w:val="1365DB85"/>
    <w:rsid w:val="1368C470"/>
    <w:rsid w:val="136D71A7"/>
    <w:rsid w:val="136D8CAA"/>
    <w:rsid w:val="13726B1E"/>
    <w:rsid w:val="13731116"/>
    <w:rsid w:val="137877C7"/>
    <w:rsid w:val="13796650"/>
    <w:rsid w:val="137B468C"/>
    <w:rsid w:val="137BC87C"/>
    <w:rsid w:val="137D9D8D"/>
    <w:rsid w:val="1383BF1B"/>
    <w:rsid w:val="13872351"/>
    <w:rsid w:val="1389ECA9"/>
    <w:rsid w:val="138AEE57"/>
    <w:rsid w:val="138C1FD9"/>
    <w:rsid w:val="13908A44"/>
    <w:rsid w:val="139111B7"/>
    <w:rsid w:val="139BB339"/>
    <w:rsid w:val="139F9381"/>
    <w:rsid w:val="139FE43C"/>
    <w:rsid w:val="13A439DF"/>
    <w:rsid w:val="13AAE0A7"/>
    <w:rsid w:val="13AD6483"/>
    <w:rsid w:val="13AEDA84"/>
    <w:rsid w:val="13B5F60A"/>
    <w:rsid w:val="13B65626"/>
    <w:rsid w:val="13B70598"/>
    <w:rsid w:val="13C00330"/>
    <w:rsid w:val="13C44A48"/>
    <w:rsid w:val="13C5C39C"/>
    <w:rsid w:val="13C5FA18"/>
    <w:rsid w:val="13C6A80E"/>
    <w:rsid w:val="13C89A3B"/>
    <w:rsid w:val="13D8DB77"/>
    <w:rsid w:val="13E5E34B"/>
    <w:rsid w:val="13EA3A22"/>
    <w:rsid w:val="13F08B89"/>
    <w:rsid w:val="13F7B010"/>
    <w:rsid w:val="14083E44"/>
    <w:rsid w:val="14092E90"/>
    <w:rsid w:val="140A4632"/>
    <w:rsid w:val="140FADB0"/>
    <w:rsid w:val="14115EB4"/>
    <w:rsid w:val="14134F84"/>
    <w:rsid w:val="14148683"/>
    <w:rsid w:val="141814A9"/>
    <w:rsid w:val="141A65E7"/>
    <w:rsid w:val="1428A2C6"/>
    <w:rsid w:val="142C4B5F"/>
    <w:rsid w:val="142FAB05"/>
    <w:rsid w:val="14308B04"/>
    <w:rsid w:val="143466C9"/>
    <w:rsid w:val="1436273A"/>
    <w:rsid w:val="1439273D"/>
    <w:rsid w:val="143A2C38"/>
    <w:rsid w:val="143CBA50"/>
    <w:rsid w:val="1445FE2D"/>
    <w:rsid w:val="14476C40"/>
    <w:rsid w:val="144CB170"/>
    <w:rsid w:val="1450E414"/>
    <w:rsid w:val="1451CFB6"/>
    <w:rsid w:val="1451D314"/>
    <w:rsid w:val="1457CF83"/>
    <w:rsid w:val="14580397"/>
    <w:rsid w:val="14588299"/>
    <w:rsid w:val="145D0462"/>
    <w:rsid w:val="145FD055"/>
    <w:rsid w:val="1464D261"/>
    <w:rsid w:val="1465296A"/>
    <w:rsid w:val="14668103"/>
    <w:rsid w:val="146738FE"/>
    <w:rsid w:val="146D9A43"/>
    <w:rsid w:val="147528AE"/>
    <w:rsid w:val="14777135"/>
    <w:rsid w:val="147823F1"/>
    <w:rsid w:val="147DF9C7"/>
    <w:rsid w:val="147F469B"/>
    <w:rsid w:val="1489CED8"/>
    <w:rsid w:val="148F5B6D"/>
    <w:rsid w:val="1490883B"/>
    <w:rsid w:val="14928017"/>
    <w:rsid w:val="1494C427"/>
    <w:rsid w:val="1496A998"/>
    <w:rsid w:val="149B769C"/>
    <w:rsid w:val="149DCDC7"/>
    <w:rsid w:val="149E1431"/>
    <w:rsid w:val="14A12138"/>
    <w:rsid w:val="14A3E2D7"/>
    <w:rsid w:val="14A739A5"/>
    <w:rsid w:val="14AA4274"/>
    <w:rsid w:val="14AC6566"/>
    <w:rsid w:val="14ACF6C9"/>
    <w:rsid w:val="14AEF6ED"/>
    <w:rsid w:val="14AF8ACE"/>
    <w:rsid w:val="14B0DA5A"/>
    <w:rsid w:val="14B664F1"/>
    <w:rsid w:val="14BB5AFE"/>
    <w:rsid w:val="14C0F39B"/>
    <w:rsid w:val="14C5042B"/>
    <w:rsid w:val="14C80DEF"/>
    <w:rsid w:val="14CA4EE0"/>
    <w:rsid w:val="14CDAC42"/>
    <w:rsid w:val="14D5D3F2"/>
    <w:rsid w:val="14D6D395"/>
    <w:rsid w:val="14DD47BB"/>
    <w:rsid w:val="14DED189"/>
    <w:rsid w:val="14E12FC7"/>
    <w:rsid w:val="14E24EB5"/>
    <w:rsid w:val="14E5F634"/>
    <w:rsid w:val="14E924B8"/>
    <w:rsid w:val="14E99153"/>
    <w:rsid w:val="14F80990"/>
    <w:rsid w:val="14FC5A64"/>
    <w:rsid w:val="14FE64BD"/>
    <w:rsid w:val="15017E87"/>
    <w:rsid w:val="150753F0"/>
    <w:rsid w:val="1508A62E"/>
    <w:rsid w:val="150A6B4E"/>
    <w:rsid w:val="150EF8B2"/>
    <w:rsid w:val="1511D9EE"/>
    <w:rsid w:val="1512DF22"/>
    <w:rsid w:val="15136E85"/>
    <w:rsid w:val="15138933"/>
    <w:rsid w:val="151D6715"/>
    <w:rsid w:val="151E2A5F"/>
    <w:rsid w:val="1520D2F9"/>
    <w:rsid w:val="1523D2D2"/>
    <w:rsid w:val="15282BFF"/>
    <w:rsid w:val="152921BA"/>
    <w:rsid w:val="152B9C23"/>
    <w:rsid w:val="152C59FB"/>
    <w:rsid w:val="152D4941"/>
    <w:rsid w:val="152EDA0A"/>
    <w:rsid w:val="1536C45E"/>
    <w:rsid w:val="1537D12C"/>
    <w:rsid w:val="153811D7"/>
    <w:rsid w:val="153C5F08"/>
    <w:rsid w:val="153D42B8"/>
    <w:rsid w:val="1541E3FD"/>
    <w:rsid w:val="15433CEB"/>
    <w:rsid w:val="1543A44C"/>
    <w:rsid w:val="155370EB"/>
    <w:rsid w:val="15543126"/>
    <w:rsid w:val="155A2EEF"/>
    <w:rsid w:val="155EDC05"/>
    <w:rsid w:val="15697564"/>
    <w:rsid w:val="1569B686"/>
    <w:rsid w:val="156D76AF"/>
    <w:rsid w:val="156E26D1"/>
    <w:rsid w:val="1572BC33"/>
    <w:rsid w:val="157A6102"/>
    <w:rsid w:val="157C7119"/>
    <w:rsid w:val="157D13B7"/>
    <w:rsid w:val="15854D56"/>
    <w:rsid w:val="158B8A3D"/>
    <w:rsid w:val="158D9F63"/>
    <w:rsid w:val="158E5FE4"/>
    <w:rsid w:val="15971807"/>
    <w:rsid w:val="1598A361"/>
    <w:rsid w:val="1598BE32"/>
    <w:rsid w:val="15A24F39"/>
    <w:rsid w:val="15A54B50"/>
    <w:rsid w:val="15A95DA7"/>
    <w:rsid w:val="15A9BF42"/>
    <w:rsid w:val="15AB49E7"/>
    <w:rsid w:val="15B18E36"/>
    <w:rsid w:val="15BAA4A4"/>
    <w:rsid w:val="15BD8A5C"/>
    <w:rsid w:val="15BDEF08"/>
    <w:rsid w:val="15C07F6F"/>
    <w:rsid w:val="15C3BC55"/>
    <w:rsid w:val="15C3EC89"/>
    <w:rsid w:val="15C42D20"/>
    <w:rsid w:val="15C74EC5"/>
    <w:rsid w:val="15D786BC"/>
    <w:rsid w:val="15D7E552"/>
    <w:rsid w:val="15E024B7"/>
    <w:rsid w:val="15E1C867"/>
    <w:rsid w:val="15E316F3"/>
    <w:rsid w:val="15E9D4BC"/>
    <w:rsid w:val="15EC10A5"/>
    <w:rsid w:val="15EC2415"/>
    <w:rsid w:val="15FB852C"/>
    <w:rsid w:val="15FBB5BB"/>
    <w:rsid w:val="1600AE68"/>
    <w:rsid w:val="1610613F"/>
    <w:rsid w:val="1612D891"/>
    <w:rsid w:val="1616BBB1"/>
    <w:rsid w:val="161C86F3"/>
    <w:rsid w:val="16215B6F"/>
    <w:rsid w:val="16215F0A"/>
    <w:rsid w:val="1623E41A"/>
    <w:rsid w:val="162CCFAD"/>
    <w:rsid w:val="162EF6DE"/>
    <w:rsid w:val="1632019D"/>
    <w:rsid w:val="16332198"/>
    <w:rsid w:val="163471FC"/>
    <w:rsid w:val="1644CACE"/>
    <w:rsid w:val="1644EBDC"/>
    <w:rsid w:val="164945E4"/>
    <w:rsid w:val="164A39CC"/>
    <w:rsid w:val="164B83E2"/>
    <w:rsid w:val="1654BAAC"/>
    <w:rsid w:val="165B2F68"/>
    <w:rsid w:val="165C2346"/>
    <w:rsid w:val="165D5162"/>
    <w:rsid w:val="165DCCDD"/>
    <w:rsid w:val="1660C1D3"/>
    <w:rsid w:val="166679E4"/>
    <w:rsid w:val="166B9E1D"/>
    <w:rsid w:val="166FD280"/>
    <w:rsid w:val="1676C4B8"/>
    <w:rsid w:val="1679E714"/>
    <w:rsid w:val="167C7E4A"/>
    <w:rsid w:val="167E71F6"/>
    <w:rsid w:val="16850CD5"/>
    <w:rsid w:val="1687D242"/>
    <w:rsid w:val="1688C41A"/>
    <w:rsid w:val="168AD110"/>
    <w:rsid w:val="168E3CDE"/>
    <w:rsid w:val="16900954"/>
    <w:rsid w:val="1690A803"/>
    <w:rsid w:val="1695A376"/>
    <w:rsid w:val="16964622"/>
    <w:rsid w:val="1696B109"/>
    <w:rsid w:val="169C9085"/>
    <w:rsid w:val="169DC890"/>
    <w:rsid w:val="169F7A01"/>
    <w:rsid w:val="16A0CBB7"/>
    <w:rsid w:val="16A1906D"/>
    <w:rsid w:val="16A2FCF2"/>
    <w:rsid w:val="16A4C8C0"/>
    <w:rsid w:val="16ABE426"/>
    <w:rsid w:val="16AC0D7E"/>
    <w:rsid w:val="16B09FEE"/>
    <w:rsid w:val="16B1E0E7"/>
    <w:rsid w:val="16B80929"/>
    <w:rsid w:val="16BBFD91"/>
    <w:rsid w:val="16C03FF7"/>
    <w:rsid w:val="16C10DDE"/>
    <w:rsid w:val="16C262A8"/>
    <w:rsid w:val="16C82650"/>
    <w:rsid w:val="16C96D9B"/>
    <w:rsid w:val="16CAFB3B"/>
    <w:rsid w:val="16CB4211"/>
    <w:rsid w:val="16CD7976"/>
    <w:rsid w:val="16D0BA88"/>
    <w:rsid w:val="16DABA10"/>
    <w:rsid w:val="16E08811"/>
    <w:rsid w:val="16E0DC32"/>
    <w:rsid w:val="16E1C454"/>
    <w:rsid w:val="16E76886"/>
    <w:rsid w:val="16E88802"/>
    <w:rsid w:val="16E8B598"/>
    <w:rsid w:val="16E9DA76"/>
    <w:rsid w:val="16EC0946"/>
    <w:rsid w:val="16EF4B44"/>
    <w:rsid w:val="16EF84D8"/>
    <w:rsid w:val="16F02FF2"/>
    <w:rsid w:val="17059854"/>
    <w:rsid w:val="170625F0"/>
    <w:rsid w:val="17078276"/>
    <w:rsid w:val="1713595F"/>
    <w:rsid w:val="1716C3D1"/>
    <w:rsid w:val="1717D018"/>
    <w:rsid w:val="1719C25A"/>
    <w:rsid w:val="171A5451"/>
    <w:rsid w:val="171B1890"/>
    <w:rsid w:val="171D14F8"/>
    <w:rsid w:val="17210F11"/>
    <w:rsid w:val="172461CC"/>
    <w:rsid w:val="1726CD08"/>
    <w:rsid w:val="172B7303"/>
    <w:rsid w:val="172D454A"/>
    <w:rsid w:val="172D6A0B"/>
    <w:rsid w:val="172EB5E6"/>
    <w:rsid w:val="172FE96E"/>
    <w:rsid w:val="17318F30"/>
    <w:rsid w:val="17342DE7"/>
    <w:rsid w:val="17344D33"/>
    <w:rsid w:val="17346CB0"/>
    <w:rsid w:val="17379FA6"/>
    <w:rsid w:val="173996AA"/>
    <w:rsid w:val="173A0D7A"/>
    <w:rsid w:val="173A55EC"/>
    <w:rsid w:val="173C2385"/>
    <w:rsid w:val="173E8BEF"/>
    <w:rsid w:val="173F74E5"/>
    <w:rsid w:val="17469857"/>
    <w:rsid w:val="174B5BB8"/>
    <w:rsid w:val="174E3439"/>
    <w:rsid w:val="175011C7"/>
    <w:rsid w:val="1754CED7"/>
    <w:rsid w:val="175BE28C"/>
    <w:rsid w:val="175DAD24"/>
    <w:rsid w:val="175E5782"/>
    <w:rsid w:val="17609385"/>
    <w:rsid w:val="17629FD8"/>
    <w:rsid w:val="17650336"/>
    <w:rsid w:val="176A06A4"/>
    <w:rsid w:val="1770C9A0"/>
    <w:rsid w:val="1774A280"/>
    <w:rsid w:val="1782975A"/>
    <w:rsid w:val="17878DAC"/>
    <w:rsid w:val="178893BC"/>
    <w:rsid w:val="1788B033"/>
    <w:rsid w:val="1788D5EF"/>
    <w:rsid w:val="17896829"/>
    <w:rsid w:val="178C10D1"/>
    <w:rsid w:val="178D7173"/>
    <w:rsid w:val="178DE194"/>
    <w:rsid w:val="17928038"/>
    <w:rsid w:val="1793954E"/>
    <w:rsid w:val="179808B9"/>
    <w:rsid w:val="17995ABA"/>
    <w:rsid w:val="179C4567"/>
    <w:rsid w:val="179E2501"/>
    <w:rsid w:val="17A1F3CC"/>
    <w:rsid w:val="17A951B5"/>
    <w:rsid w:val="17AECE57"/>
    <w:rsid w:val="17B1162D"/>
    <w:rsid w:val="17B15EE8"/>
    <w:rsid w:val="17B24088"/>
    <w:rsid w:val="17B2E676"/>
    <w:rsid w:val="17BAFF4A"/>
    <w:rsid w:val="17BC2066"/>
    <w:rsid w:val="17BD415B"/>
    <w:rsid w:val="17BE6B63"/>
    <w:rsid w:val="17C1D9DA"/>
    <w:rsid w:val="17CA14A8"/>
    <w:rsid w:val="17D2E3C8"/>
    <w:rsid w:val="17DD1630"/>
    <w:rsid w:val="17E22774"/>
    <w:rsid w:val="17E27C46"/>
    <w:rsid w:val="17E84953"/>
    <w:rsid w:val="17EA1798"/>
    <w:rsid w:val="17EAFCDE"/>
    <w:rsid w:val="17EC9026"/>
    <w:rsid w:val="17ECFC88"/>
    <w:rsid w:val="17EE1193"/>
    <w:rsid w:val="17F0A7D1"/>
    <w:rsid w:val="17FBAFC0"/>
    <w:rsid w:val="17FCD961"/>
    <w:rsid w:val="17FD7FDD"/>
    <w:rsid w:val="18043148"/>
    <w:rsid w:val="1804F239"/>
    <w:rsid w:val="1809D1E5"/>
    <w:rsid w:val="180A4A3D"/>
    <w:rsid w:val="180E21E6"/>
    <w:rsid w:val="180F3B36"/>
    <w:rsid w:val="180FDCB9"/>
    <w:rsid w:val="18116936"/>
    <w:rsid w:val="18119AE8"/>
    <w:rsid w:val="181C25F6"/>
    <w:rsid w:val="181CC8F3"/>
    <w:rsid w:val="181E570A"/>
    <w:rsid w:val="18205322"/>
    <w:rsid w:val="1821379F"/>
    <w:rsid w:val="1822ACA1"/>
    <w:rsid w:val="182596F5"/>
    <w:rsid w:val="18266BC0"/>
    <w:rsid w:val="1826E3DE"/>
    <w:rsid w:val="182B7042"/>
    <w:rsid w:val="182D2900"/>
    <w:rsid w:val="182DFB87"/>
    <w:rsid w:val="18334E4F"/>
    <w:rsid w:val="183451C4"/>
    <w:rsid w:val="18360F17"/>
    <w:rsid w:val="18390974"/>
    <w:rsid w:val="183D8627"/>
    <w:rsid w:val="183DB9C0"/>
    <w:rsid w:val="184C1E7E"/>
    <w:rsid w:val="184E800A"/>
    <w:rsid w:val="184EA657"/>
    <w:rsid w:val="184EBE45"/>
    <w:rsid w:val="18504678"/>
    <w:rsid w:val="185A6BFE"/>
    <w:rsid w:val="18611473"/>
    <w:rsid w:val="18625A83"/>
    <w:rsid w:val="186845A5"/>
    <w:rsid w:val="186C4D71"/>
    <w:rsid w:val="187085ED"/>
    <w:rsid w:val="187759AD"/>
    <w:rsid w:val="1877EF52"/>
    <w:rsid w:val="187886EF"/>
    <w:rsid w:val="187D3B11"/>
    <w:rsid w:val="187F2C0A"/>
    <w:rsid w:val="1880F4CA"/>
    <w:rsid w:val="188321DC"/>
    <w:rsid w:val="1887089F"/>
    <w:rsid w:val="188D5157"/>
    <w:rsid w:val="188F4D16"/>
    <w:rsid w:val="18957A0E"/>
    <w:rsid w:val="18978452"/>
    <w:rsid w:val="189C4CF7"/>
    <w:rsid w:val="18A07FB3"/>
    <w:rsid w:val="18A233EC"/>
    <w:rsid w:val="18A577D7"/>
    <w:rsid w:val="18A8F7E8"/>
    <w:rsid w:val="18A963D0"/>
    <w:rsid w:val="18A9CBAD"/>
    <w:rsid w:val="18AC4B64"/>
    <w:rsid w:val="18BFF5AF"/>
    <w:rsid w:val="18C36D8F"/>
    <w:rsid w:val="18C5CE42"/>
    <w:rsid w:val="18C68878"/>
    <w:rsid w:val="18CD3D7D"/>
    <w:rsid w:val="18CEBFED"/>
    <w:rsid w:val="18D07FF9"/>
    <w:rsid w:val="18D38658"/>
    <w:rsid w:val="18D52CEC"/>
    <w:rsid w:val="18D74E83"/>
    <w:rsid w:val="18DD22A0"/>
    <w:rsid w:val="18DDD7CE"/>
    <w:rsid w:val="18E04762"/>
    <w:rsid w:val="18E127DB"/>
    <w:rsid w:val="18E778D1"/>
    <w:rsid w:val="18E86641"/>
    <w:rsid w:val="18ED7993"/>
    <w:rsid w:val="18F2BE1C"/>
    <w:rsid w:val="18F30309"/>
    <w:rsid w:val="18F43726"/>
    <w:rsid w:val="18F92CED"/>
    <w:rsid w:val="18FD38BF"/>
    <w:rsid w:val="18FD5C9A"/>
    <w:rsid w:val="1900BAB3"/>
    <w:rsid w:val="1903AFD3"/>
    <w:rsid w:val="1903FAA7"/>
    <w:rsid w:val="19052BF5"/>
    <w:rsid w:val="19063321"/>
    <w:rsid w:val="1909501B"/>
    <w:rsid w:val="190F94FD"/>
    <w:rsid w:val="19176229"/>
    <w:rsid w:val="191C3B51"/>
    <w:rsid w:val="191DA886"/>
    <w:rsid w:val="191F37FC"/>
    <w:rsid w:val="1920B658"/>
    <w:rsid w:val="1920D9DC"/>
    <w:rsid w:val="19242649"/>
    <w:rsid w:val="192AEEEA"/>
    <w:rsid w:val="192B0279"/>
    <w:rsid w:val="192CFA1D"/>
    <w:rsid w:val="192D570E"/>
    <w:rsid w:val="192FAF18"/>
    <w:rsid w:val="1935DDB7"/>
    <w:rsid w:val="19364D36"/>
    <w:rsid w:val="1936D562"/>
    <w:rsid w:val="1937A0AC"/>
    <w:rsid w:val="193DD665"/>
    <w:rsid w:val="193E1DB3"/>
    <w:rsid w:val="193EE21B"/>
    <w:rsid w:val="194058D8"/>
    <w:rsid w:val="1942DF6F"/>
    <w:rsid w:val="194AF8F7"/>
    <w:rsid w:val="195221B8"/>
    <w:rsid w:val="1955CA7F"/>
    <w:rsid w:val="1959FB7F"/>
    <w:rsid w:val="1963D983"/>
    <w:rsid w:val="1966F8AE"/>
    <w:rsid w:val="19673A8F"/>
    <w:rsid w:val="19686B85"/>
    <w:rsid w:val="1968C0E2"/>
    <w:rsid w:val="196EBE43"/>
    <w:rsid w:val="196FDE0E"/>
    <w:rsid w:val="197519F4"/>
    <w:rsid w:val="1979A727"/>
    <w:rsid w:val="197A3E78"/>
    <w:rsid w:val="197A6176"/>
    <w:rsid w:val="197BEF42"/>
    <w:rsid w:val="197CAC15"/>
    <w:rsid w:val="197EE60E"/>
    <w:rsid w:val="1981463D"/>
    <w:rsid w:val="198355B7"/>
    <w:rsid w:val="1984721C"/>
    <w:rsid w:val="1989C5AE"/>
    <w:rsid w:val="1989D4F1"/>
    <w:rsid w:val="1989E2F9"/>
    <w:rsid w:val="198E04F5"/>
    <w:rsid w:val="19915A0A"/>
    <w:rsid w:val="19925568"/>
    <w:rsid w:val="1993CEAB"/>
    <w:rsid w:val="19949E8C"/>
    <w:rsid w:val="1994E694"/>
    <w:rsid w:val="1999140F"/>
    <w:rsid w:val="199A4B72"/>
    <w:rsid w:val="199C2CCE"/>
    <w:rsid w:val="19A09B52"/>
    <w:rsid w:val="19AAE30D"/>
    <w:rsid w:val="19B01789"/>
    <w:rsid w:val="19B21960"/>
    <w:rsid w:val="19B58E64"/>
    <w:rsid w:val="19B5BA64"/>
    <w:rsid w:val="19B81141"/>
    <w:rsid w:val="19BB6596"/>
    <w:rsid w:val="19BD5383"/>
    <w:rsid w:val="19C0A46C"/>
    <w:rsid w:val="19C46F0C"/>
    <w:rsid w:val="19C7AB92"/>
    <w:rsid w:val="19D1B69A"/>
    <w:rsid w:val="19D35A7B"/>
    <w:rsid w:val="19D56CCA"/>
    <w:rsid w:val="19D99EE2"/>
    <w:rsid w:val="19DB98CB"/>
    <w:rsid w:val="19DC7115"/>
    <w:rsid w:val="19E0740D"/>
    <w:rsid w:val="19E2BAA3"/>
    <w:rsid w:val="19E55310"/>
    <w:rsid w:val="19E605D6"/>
    <w:rsid w:val="19E649D1"/>
    <w:rsid w:val="19E86F9B"/>
    <w:rsid w:val="19E8A5B2"/>
    <w:rsid w:val="19E95D22"/>
    <w:rsid w:val="19ED00B3"/>
    <w:rsid w:val="19EE6970"/>
    <w:rsid w:val="19F11853"/>
    <w:rsid w:val="19FA0F57"/>
    <w:rsid w:val="19FA8556"/>
    <w:rsid w:val="19FD264C"/>
    <w:rsid w:val="1A01B469"/>
    <w:rsid w:val="1A037258"/>
    <w:rsid w:val="1A04AEB2"/>
    <w:rsid w:val="1A0D9BD1"/>
    <w:rsid w:val="1A151290"/>
    <w:rsid w:val="1A15D620"/>
    <w:rsid w:val="1A182B27"/>
    <w:rsid w:val="1A1AF099"/>
    <w:rsid w:val="1A1C684E"/>
    <w:rsid w:val="1A1CAC68"/>
    <w:rsid w:val="1A205582"/>
    <w:rsid w:val="1A22BA88"/>
    <w:rsid w:val="1A24A9EA"/>
    <w:rsid w:val="1A25CF6D"/>
    <w:rsid w:val="1A264C27"/>
    <w:rsid w:val="1A38CFC6"/>
    <w:rsid w:val="1A3EC38D"/>
    <w:rsid w:val="1A3F8EEE"/>
    <w:rsid w:val="1A4214BB"/>
    <w:rsid w:val="1A45E96E"/>
    <w:rsid w:val="1A496570"/>
    <w:rsid w:val="1A49FFBA"/>
    <w:rsid w:val="1A4E5698"/>
    <w:rsid w:val="1A53CBD6"/>
    <w:rsid w:val="1A567CAA"/>
    <w:rsid w:val="1A57D71E"/>
    <w:rsid w:val="1A5C7940"/>
    <w:rsid w:val="1A5EB44A"/>
    <w:rsid w:val="1A5F0337"/>
    <w:rsid w:val="1A63697C"/>
    <w:rsid w:val="1A67EF46"/>
    <w:rsid w:val="1A6817B1"/>
    <w:rsid w:val="1A6CFF0B"/>
    <w:rsid w:val="1A6E27B4"/>
    <w:rsid w:val="1A7348D6"/>
    <w:rsid w:val="1A7466D4"/>
    <w:rsid w:val="1A75CD2F"/>
    <w:rsid w:val="1A7903E5"/>
    <w:rsid w:val="1A791763"/>
    <w:rsid w:val="1A7B61EB"/>
    <w:rsid w:val="1A7F5B07"/>
    <w:rsid w:val="1A7F715F"/>
    <w:rsid w:val="1A84238C"/>
    <w:rsid w:val="1A8BD140"/>
    <w:rsid w:val="1A8D51C2"/>
    <w:rsid w:val="1A8D6431"/>
    <w:rsid w:val="1A9493E7"/>
    <w:rsid w:val="1A98638F"/>
    <w:rsid w:val="1A9ABE15"/>
    <w:rsid w:val="1A9B0F2B"/>
    <w:rsid w:val="1A9F2476"/>
    <w:rsid w:val="1AA6C7B4"/>
    <w:rsid w:val="1AB596E7"/>
    <w:rsid w:val="1AB7A093"/>
    <w:rsid w:val="1AB8C0F0"/>
    <w:rsid w:val="1AB92B88"/>
    <w:rsid w:val="1AB99891"/>
    <w:rsid w:val="1AC3050B"/>
    <w:rsid w:val="1AC32CD5"/>
    <w:rsid w:val="1ACC4014"/>
    <w:rsid w:val="1AD0C31A"/>
    <w:rsid w:val="1AD12CB2"/>
    <w:rsid w:val="1AD330B1"/>
    <w:rsid w:val="1AD511D2"/>
    <w:rsid w:val="1AD9ED04"/>
    <w:rsid w:val="1ADC122F"/>
    <w:rsid w:val="1ADD0897"/>
    <w:rsid w:val="1ADE24BD"/>
    <w:rsid w:val="1AE1BBBF"/>
    <w:rsid w:val="1AE51AA2"/>
    <w:rsid w:val="1AE959E9"/>
    <w:rsid w:val="1AEAB67A"/>
    <w:rsid w:val="1AF0D913"/>
    <w:rsid w:val="1AF5731E"/>
    <w:rsid w:val="1AF68369"/>
    <w:rsid w:val="1AF9F252"/>
    <w:rsid w:val="1B024712"/>
    <w:rsid w:val="1B058CB9"/>
    <w:rsid w:val="1B0B0F5E"/>
    <w:rsid w:val="1B0EFEBD"/>
    <w:rsid w:val="1B1536D6"/>
    <w:rsid w:val="1B18B02E"/>
    <w:rsid w:val="1B1A5886"/>
    <w:rsid w:val="1B246D9C"/>
    <w:rsid w:val="1B27D8A7"/>
    <w:rsid w:val="1B287718"/>
    <w:rsid w:val="1B303A36"/>
    <w:rsid w:val="1B33DE7A"/>
    <w:rsid w:val="1B3A6320"/>
    <w:rsid w:val="1B3A7D1C"/>
    <w:rsid w:val="1B402ACF"/>
    <w:rsid w:val="1B4087F2"/>
    <w:rsid w:val="1B40C6F9"/>
    <w:rsid w:val="1B42CC12"/>
    <w:rsid w:val="1B489B40"/>
    <w:rsid w:val="1B48F315"/>
    <w:rsid w:val="1B4E7435"/>
    <w:rsid w:val="1B521788"/>
    <w:rsid w:val="1B52374D"/>
    <w:rsid w:val="1B53411E"/>
    <w:rsid w:val="1B540D19"/>
    <w:rsid w:val="1B549433"/>
    <w:rsid w:val="1B55D9A7"/>
    <w:rsid w:val="1B58DA09"/>
    <w:rsid w:val="1B596798"/>
    <w:rsid w:val="1B5A0039"/>
    <w:rsid w:val="1B5A7296"/>
    <w:rsid w:val="1B5C8AA2"/>
    <w:rsid w:val="1B605370"/>
    <w:rsid w:val="1B62C50D"/>
    <w:rsid w:val="1B66E0F2"/>
    <w:rsid w:val="1B6A3C04"/>
    <w:rsid w:val="1B6AD0A0"/>
    <w:rsid w:val="1B6B2BED"/>
    <w:rsid w:val="1B6D2F3F"/>
    <w:rsid w:val="1B737CE8"/>
    <w:rsid w:val="1B73CA13"/>
    <w:rsid w:val="1B7643B2"/>
    <w:rsid w:val="1B77FA5B"/>
    <w:rsid w:val="1B7A7A09"/>
    <w:rsid w:val="1B7BA86F"/>
    <w:rsid w:val="1B7FCE89"/>
    <w:rsid w:val="1B83444D"/>
    <w:rsid w:val="1B843576"/>
    <w:rsid w:val="1B86CA8C"/>
    <w:rsid w:val="1B876C23"/>
    <w:rsid w:val="1B8AB1C5"/>
    <w:rsid w:val="1B8B72E0"/>
    <w:rsid w:val="1B90976A"/>
    <w:rsid w:val="1B93462F"/>
    <w:rsid w:val="1B942BF4"/>
    <w:rsid w:val="1B9C59DE"/>
    <w:rsid w:val="1B9C6749"/>
    <w:rsid w:val="1BAFF4F3"/>
    <w:rsid w:val="1BB19B67"/>
    <w:rsid w:val="1BB29D82"/>
    <w:rsid w:val="1BB68E79"/>
    <w:rsid w:val="1BB7F78C"/>
    <w:rsid w:val="1BB831CA"/>
    <w:rsid w:val="1BBDCC6F"/>
    <w:rsid w:val="1BBED165"/>
    <w:rsid w:val="1BBF1A28"/>
    <w:rsid w:val="1BC028B3"/>
    <w:rsid w:val="1BC1D6FD"/>
    <w:rsid w:val="1BC41B81"/>
    <w:rsid w:val="1BC7399B"/>
    <w:rsid w:val="1BC8A8A8"/>
    <w:rsid w:val="1BCD8609"/>
    <w:rsid w:val="1BCDFA5B"/>
    <w:rsid w:val="1BD025D0"/>
    <w:rsid w:val="1BD03D7A"/>
    <w:rsid w:val="1BD46D01"/>
    <w:rsid w:val="1BD5B7FA"/>
    <w:rsid w:val="1BD88684"/>
    <w:rsid w:val="1BDAEC25"/>
    <w:rsid w:val="1BE3853A"/>
    <w:rsid w:val="1BE50F8B"/>
    <w:rsid w:val="1BEF8F82"/>
    <w:rsid w:val="1BF04993"/>
    <w:rsid w:val="1BF3D99E"/>
    <w:rsid w:val="1BF40CF8"/>
    <w:rsid w:val="1BF526E8"/>
    <w:rsid w:val="1BF93C13"/>
    <w:rsid w:val="1BFD1D7B"/>
    <w:rsid w:val="1BFE4026"/>
    <w:rsid w:val="1BFED6DF"/>
    <w:rsid w:val="1C0147B6"/>
    <w:rsid w:val="1C0228B8"/>
    <w:rsid w:val="1C07C54E"/>
    <w:rsid w:val="1C0854E6"/>
    <w:rsid w:val="1C0BC90D"/>
    <w:rsid w:val="1C0CB53C"/>
    <w:rsid w:val="1C0F3149"/>
    <w:rsid w:val="1C119DDB"/>
    <w:rsid w:val="1C1486B5"/>
    <w:rsid w:val="1C1509F3"/>
    <w:rsid w:val="1C18CAED"/>
    <w:rsid w:val="1C1CDCD2"/>
    <w:rsid w:val="1C1D98AC"/>
    <w:rsid w:val="1C1FAA5E"/>
    <w:rsid w:val="1C224F1D"/>
    <w:rsid w:val="1C2440B5"/>
    <w:rsid w:val="1C24F37E"/>
    <w:rsid w:val="1C284660"/>
    <w:rsid w:val="1C29558B"/>
    <w:rsid w:val="1C2D2C7F"/>
    <w:rsid w:val="1C30CEEE"/>
    <w:rsid w:val="1C322DE9"/>
    <w:rsid w:val="1C37DBFF"/>
    <w:rsid w:val="1C39FEBC"/>
    <w:rsid w:val="1C3A11C0"/>
    <w:rsid w:val="1C3AE814"/>
    <w:rsid w:val="1C3F83E5"/>
    <w:rsid w:val="1C420AA2"/>
    <w:rsid w:val="1C436A57"/>
    <w:rsid w:val="1C4386CC"/>
    <w:rsid w:val="1C457ACE"/>
    <w:rsid w:val="1C46C6B4"/>
    <w:rsid w:val="1C477A89"/>
    <w:rsid w:val="1C482C85"/>
    <w:rsid w:val="1C487C85"/>
    <w:rsid w:val="1C4F498F"/>
    <w:rsid w:val="1C4F8570"/>
    <w:rsid w:val="1C519A37"/>
    <w:rsid w:val="1C525CC7"/>
    <w:rsid w:val="1C548667"/>
    <w:rsid w:val="1C565508"/>
    <w:rsid w:val="1C5AD872"/>
    <w:rsid w:val="1C636989"/>
    <w:rsid w:val="1C644F47"/>
    <w:rsid w:val="1C661A78"/>
    <w:rsid w:val="1C671B7D"/>
    <w:rsid w:val="1C67430E"/>
    <w:rsid w:val="1C67E010"/>
    <w:rsid w:val="1C6A4681"/>
    <w:rsid w:val="1C6ED043"/>
    <w:rsid w:val="1C721426"/>
    <w:rsid w:val="1C780A8A"/>
    <w:rsid w:val="1C79149D"/>
    <w:rsid w:val="1C7E44B9"/>
    <w:rsid w:val="1C81392E"/>
    <w:rsid w:val="1C84F893"/>
    <w:rsid w:val="1C88E48C"/>
    <w:rsid w:val="1C8AE8F4"/>
    <w:rsid w:val="1C8C0C6A"/>
    <w:rsid w:val="1C8C905E"/>
    <w:rsid w:val="1C8D54DF"/>
    <w:rsid w:val="1C8DEFEC"/>
    <w:rsid w:val="1C8F3822"/>
    <w:rsid w:val="1C996F21"/>
    <w:rsid w:val="1C9A1E08"/>
    <w:rsid w:val="1C9FB4E6"/>
    <w:rsid w:val="1CA39B18"/>
    <w:rsid w:val="1CA50FAA"/>
    <w:rsid w:val="1CA74F65"/>
    <w:rsid w:val="1CB0E0E1"/>
    <w:rsid w:val="1CB5829F"/>
    <w:rsid w:val="1CBDDE23"/>
    <w:rsid w:val="1CC90FEE"/>
    <w:rsid w:val="1CCA507F"/>
    <w:rsid w:val="1CD3599F"/>
    <w:rsid w:val="1CD4DB7E"/>
    <w:rsid w:val="1CD619C6"/>
    <w:rsid w:val="1CDBF079"/>
    <w:rsid w:val="1CDF4FC0"/>
    <w:rsid w:val="1CE68294"/>
    <w:rsid w:val="1CE6F405"/>
    <w:rsid w:val="1CE71A83"/>
    <w:rsid w:val="1CEDFB6A"/>
    <w:rsid w:val="1CEF95C0"/>
    <w:rsid w:val="1CF2E39C"/>
    <w:rsid w:val="1CF5D517"/>
    <w:rsid w:val="1CF82143"/>
    <w:rsid w:val="1CFE5021"/>
    <w:rsid w:val="1D0CE076"/>
    <w:rsid w:val="1D0EADF6"/>
    <w:rsid w:val="1D159857"/>
    <w:rsid w:val="1D170376"/>
    <w:rsid w:val="1D1959C6"/>
    <w:rsid w:val="1D19B27E"/>
    <w:rsid w:val="1D1A6F0F"/>
    <w:rsid w:val="1D1CF12D"/>
    <w:rsid w:val="1D1D1729"/>
    <w:rsid w:val="1D288C4A"/>
    <w:rsid w:val="1D28D415"/>
    <w:rsid w:val="1D29E949"/>
    <w:rsid w:val="1D32770B"/>
    <w:rsid w:val="1D411C55"/>
    <w:rsid w:val="1D41B078"/>
    <w:rsid w:val="1D42965E"/>
    <w:rsid w:val="1D46C2DB"/>
    <w:rsid w:val="1D4B7885"/>
    <w:rsid w:val="1D4EBA1C"/>
    <w:rsid w:val="1D54EDE6"/>
    <w:rsid w:val="1D5911D4"/>
    <w:rsid w:val="1D67C2EE"/>
    <w:rsid w:val="1D6FF977"/>
    <w:rsid w:val="1D702B4E"/>
    <w:rsid w:val="1D70819D"/>
    <w:rsid w:val="1D72E9FE"/>
    <w:rsid w:val="1D7435A5"/>
    <w:rsid w:val="1D75B89E"/>
    <w:rsid w:val="1D779682"/>
    <w:rsid w:val="1D7D3BBA"/>
    <w:rsid w:val="1D7FE57C"/>
    <w:rsid w:val="1D83A2BB"/>
    <w:rsid w:val="1D88648B"/>
    <w:rsid w:val="1D8CACE4"/>
    <w:rsid w:val="1D956ACF"/>
    <w:rsid w:val="1D96DA09"/>
    <w:rsid w:val="1D9D109D"/>
    <w:rsid w:val="1D9F5960"/>
    <w:rsid w:val="1D9FB984"/>
    <w:rsid w:val="1DA0DD51"/>
    <w:rsid w:val="1DA31629"/>
    <w:rsid w:val="1DA3585A"/>
    <w:rsid w:val="1DA4210C"/>
    <w:rsid w:val="1DA4C171"/>
    <w:rsid w:val="1DA51291"/>
    <w:rsid w:val="1DB31E0E"/>
    <w:rsid w:val="1DB3E035"/>
    <w:rsid w:val="1DB691CD"/>
    <w:rsid w:val="1DBA4D77"/>
    <w:rsid w:val="1DBA55CC"/>
    <w:rsid w:val="1DBB1DC4"/>
    <w:rsid w:val="1DC15597"/>
    <w:rsid w:val="1DC5288E"/>
    <w:rsid w:val="1DC6D299"/>
    <w:rsid w:val="1DC82241"/>
    <w:rsid w:val="1DD7FC5C"/>
    <w:rsid w:val="1DD80142"/>
    <w:rsid w:val="1DD8C97B"/>
    <w:rsid w:val="1DDB249D"/>
    <w:rsid w:val="1DDB4D3E"/>
    <w:rsid w:val="1DDCE828"/>
    <w:rsid w:val="1DE181AB"/>
    <w:rsid w:val="1DE1B3F0"/>
    <w:rsid w:val="1DE38D7D"/>
    <w:rsid w:val="1DEA249C"/>
    <w:rsid w:val="1DECFC8A"/>
    <w:rsid w:val="1DEF37FD"/>
    <w:rsid w:val="1DEF8EDC"/>
    <w:rsid w:val="1DF00D48"/>
    <w:rsid w:val="1DF025DC"/>
    <w:rsid w:val="1DF0507D"/>
    <w:rsid w:val="1DF0ED31"/>
    <w:rsid w:val="1DF6B9C8"/>
    <w:rsid w:val="1DF72250"/>
    <w:rsid w:val="1DF72AE3"/>
    <w:rsid w:val="1DF9E7ED"/>
    <w:rsid w:val="1DFA75E1"/>
    <w:rsid w:val="1DFE006C"/>
    <w:rsid w:val="1DFF46B2"/>
    <w:rsid w:val="1E022237"/>
    <w:rsid w:val="1E08A231"/>
    <w:rsid w:val="1E0AB49B"/>
    <w:rsid w:val="1E0C3CDC"/>
    <w:rsid w:val="1E0D0BE6"/>
    <w:rsid w:val="1E1186C6"/>
    <w:rsid w:val="1E12DD08"/>
    <w:rsid w:val="1E170A4F"/>
    <w:rsid w:val="1E17550F"/>
    <w:rsid w:val="1E180D62"/>
    <w:rsid w:val="1E1A309C"/>
    <w:rsid w:val="1E1E2381"/>
    <w:rsid w:val="1E281211"/>
    <w:rsid w:val="1E2DCE2F"/>
    <w:rsid w:val="1E2DFE88"/>
    <w:rsid w:val="1E2E7161"/>
    <w:rsid w:val="1E30BFCF"/>
    <w:rsid w:val="1E3486DE"/>
    <w:rsid w:val="1E356006"/>
    <w:rsid w:val="1E3B2341"/>
    <w:rsid w:val="1E4129B3"/>
    <w:rsid w:val="1E432088"/>
    <w:rsid w:val="1E4F15E2"/>
    <w:rsid w:val="1E5022E7"/>
    <w:rsid w:val="1E522781"/>
    <w:rsid w:val="1E54E14E"/>
    <w:rsid w:val="1E5528D7"/>
    <w:rsid w:val="1E5C823B"/>
    <w:rsid w:val="1E61AC4C"/>
    <w:rsid w:val="1E64B76D"/>
    <w:rsid w:val="1E670F6A"/>
    <w:rsid w:val="1E6871DE"/>
    <w:rsid w:val="1E6F28EB"/>
    <w:rsid w:val="1E6F8970"/>
    <w:rsid w:val="1E72CDB0"/>
    <w:rsid w:val="1E731A01"/>
    <w:rsid w:val="1E73B57C"/>
    <w:rsid w:val="1E743138"/>
    <w:rsid w:val="1E778CB5"/>
    <w:rsid w:val="1E787817"/>
    <w:rsid w:val="1E79A01A"/>
    <w:rsid w:val="1E79E213"/>
    <w:rsid w:val="1E81A67F"/>
    <w:rsid w:val="1E836B20"/>
    <w:rsid w:val="1E88DE78"/>
    <w:rsid w:val="1E890026"/>
    <w:rsid w:val="1E896C2A"/>
    <w:rsid w:val="1E8B693A"/>
    <w:rsid w:val="1E8BEFD7"/>
    <w:rsid w:val="1E8C8C5C"/>
    <w:rsid w:val="1E907BFF"/>
    <w:rsid w:val="1E95F1BE"/>
    <w:rsid w:val="1E961C91"/>
    <w:rsid w:val="1E9705CB"/>
    <w:rsid w:val="1E98E221"/>
    <w:rsid w:val="1E9B0E0F"/>
    <w:rsid w:val="1E9C455A"/>
    <w:rsid w:val="1EA69A5E"/>
    <w:rsid w:val="1EA7ADEA"/>
    <w:rsid w:val="1EB2869F"/>
    <w:rsid w:val="1EB6838A"/>
    <w:rsid w:val="1EB889D0"/>
    <w:rsid w:val="1EBF3A2C"/>
    <w:rsid w:val="1EC16E24"/>
    <w:rsid w:val="1EC696BC"/>
    <w:rsid w:val="1EC76CE0"/>
    <w:rsid w:val="1ECC79B2"/>
    <w:rsid w:val="1ECDDB7B"/>
    <w:rsid w:val="1ED04BC5"/>
    <w:rsid w:val="1EE47778"/>
    <w:rsid w:val="1EE49F48"/>
    <w:rsid w:val="1EE7F1E1"/>
    <w:rsid w:val="1EEC5198"/>
    <w:rsid w:val="1EECAABA"/>
    <w:rsid w:val="1EEEA170"/>
    <w:rsid w:val="1EEED5C0"/>
    <w:rsid w:val="1EF00FA7"/>
    <w:rsid w:val="1EF502CE"/>
    <w:rsid w:val="1EF6638E"/>
    <w:rsid w:val="1EF7590E"/>
    <w:rsid w:val="1EFBE547"/>
    <w:rsid w:val="1EFC6A51"/>
    <w:rsid w:val="1F08A1A9"/>
    <w:rsid w:val="1F0B43A9"/>
    <w:rsid w:val="1F121350"/>
    <w:rsid w:val="1F129C1F"/>
    <w:rsid w:val="1F162F1D"/>
    <w:rsid w:val="1F184686"/>
    <w:rsid w:val="1F194D3F"/>
    <w:rsid w:val="1F223B14"/>
    <w:rsid w:val="1F23AB9C"/>
    <w:rsid w:val="1F278B69"/>
    <w:rsid w:val="1F27DC87"/>
    <w:rsid w:val="1F2EA3A7"/>
    <w:rsid w:val="1F2F11FC"/>
    <w:rsid w:val="1F311F6A"/>
    <w:rsid w:val="1F314BE2"/>
    <w:rsid w:val="1F34E5F8"/>
    <w:rsid w:val="1F377DF0"/>
    <w:rsid w:val="1F3B01DF"/>
    <w:rsid w:val="1F3C807A"/>
    <w:rsid w:val="1F477ED9"/>
    <w:rsid w:val="1F4D60EB"/>
    <w:rsid w:val="1F50913C"/>
    <w:rsid w:val="1F527B20"/>
    <w:rsid w:val="1F56F7B8"/>
    <w:rsid w:val="1F5843BE"/>
    <w:rsid w:val="1F657D97"/>
    <w:rsid w:val="1F66F672"/>
    <w:rsid w:val="1F6770D7"/>
    <w:rsid w:val="1F6A1113"/>
    <w:rsid w:val="1F6E2DEB"/>
    <w:rsid w:val="1F70AC40"/>
    <w:rsid w:val="1F72825C"/>
    <w:rsid w:val="1F75E382"/>
    <w:rsid w:val="1F78B1DF"/>
    <w:rsid w:val="1F7CA28A"/>
    <w:rsid w:val="1F7ED3E1"/>
    <w:rsid w:val="1F7F32C6"/>
    <w:rsid w:val="1F83BA18"/>
    <w:rsid w:val="1F89B41A"/>
    <w:rsid w:val="1F9025FA"/>
    <w:rsid w:val="1F96B774"/>
    <w:rsid w:val="1F9E0F0A"/>
    <w:rsid w:val="1F9E25C8"/>
    <w:rsid w:val="1F9ED01F"/>
    <w:rsid w:val="1FA1BEE0"/>
    <w:rsid w:val="1FA260C9"/>
    <w:rsid w:val="1FA5A8B9"/>
    <w:rsid w:val="1FA8008B"/>
    <w:rsid w:val="1FAC56FD"/>
    <w:rsid w:val="1FB3C2D9"/>
    <w:rsid w:val="1FB44201"/>
    <w:rsid w:val="1FB61E1F"/>
    <w:rsid w:val="1FB687F1"/>
    <w:rsid w:val="1FBBCC43"/>
    <w:rsid w:val="1FC8ADB8"/>
    <w:rsid w:val="1FCAEC2F"/>
    <w:rsid w:val="1FCBC055"/>
    <w:rsid w:val="1FCCCCEC"/>
    <w:rsid w:val="1FCD0906"/>
    <w:rsid w:val="1FCD162F"/>
    <w:rsid w:val="1FCEA0A8"/>
    <w:rsid w:val="1FCEB533"/>
    <w:rsid w:val="1FCF6F7E"/>
    <w:rsid w:val="1FDB67EC"/>
    <w:rsid w:val="1FDC1E6E"/>
    <w:rsid w:val="1FDC22D7"/>
    <w:rsid w:val="1FDF1F21"/>
    <w:rsid w:val="1FDF9693"/>
    <w:rsid w:val="1FE0301C"/>
    <w:rsid w:val="1FE194DC"/>
    <w:rsid w:val="1FE1E2C1"/>
    <w:rsid w:val="1FE30FB9"/>
    <w:rsid w:val="1FE3CC16"/>
    <w:rsid w:val="1FE61281"/>
    <w:rsid w:val="1FEF3AB2"/>
    <w:rsid w:val="1FF01B06"/>
    <w:rsid w:val="1FF1B46B"/>
    <w:rsid w:val="1FF28662"/>
    <w:rsid w:val="20008B18"/>
    <w:rsid w:val="2002AD3D"/>
    <w:rsid w:val="20096DCF"/>
    <w:rsid w:val="200B138E"/>
    <w:rsid w:val="200B504F"/>
    <w:rsid w:val="2012B209"/>
    <w:rsid w:val="2015B10B"/>
    <w:rsid w:val="201841F2"/>
    <w:rsid w:val="201A9E56"/>
    <w:rsid w:val="201FFCBE"/>
    <w:rsid w:val="20221790"/>
    <w:rsid w:val="202E8467"/>
    <w:rsid w:val="202E8AEF"/>
    <w:rsid w:val="203138C7"/>
    <w:rsid w:val="203B8EEA"/>
    <w:rsid w:val="203CDDF2"/>
    <w:rsid w:val="203E52F0"/>
    <w:rsid w:val="2047A2B5"/>
    <w:rsid w:val="2047FFD9"/>
    <w:rsid w:val="204EAB46"/>
    <w:rsid w:val="205C34F1"/>
    <w:rsid w:val="206070C5"/>
    <w:rsid w:val="2061B447"/>
    <w:rsid w:val="20625022"/>
    <w:rsid w:val="206C1D22"/>
    <w:rsid w:val="206CBC14"/>
    <w:rsid w:val="207852AF"/>
    <w:rsid w:val="2078DDD9"/>
    <w:rsid w:val="207C6A9F"/>
    <w:rsid w:val="207C6DA6"/>
    <w:rsid w:val="207EFF9A"/>
    <w:rsid w:val="20810483"/>
    <w:rsid w:val="20846228"/>
    <w:rsid w:val="2085E5CA"/>
    <w:rsid w:val="20871116"/>
    <w:rsid w:val="20879377"/>
    <w:rsid w:val="208A7BF8"/>
    <w:rsid w:val="208C4F5A"/>
    <w:rsid w:val="208CB26F"/>
    <w:rsid w:val="209329C4"/>
    <w:rsid w:val="20951EDD"/>
    <w:rsid w:val="209579E8"/>
    <w:rsid w:val="2098E319"/>
    <w:rsid w:val="209B6486"/>
    <w:rsid w:val="209C4FC3"/>
    <w:rsid w:val="209CDEA4"/>
    <w:rsid w:val="20A1A663"/>
    <w:rsid w:val="20A477D5"/>
    <w:rsid w:val="20A733B5"/>
    <w:rsid w:val="20AAF4A5"/>
    <w:rsid w:val="20AD8E39"/>
    <w:rsid w:val="20B6A9C2"/>
    <w:rsid w:val="20BB5B92"/>
    <w:rsid w:val="20BF2CFC"/>
    <w:rsid w:val="20C21774"/>
    <w:rsid w:val="20C3E05A"/>
    <w:rsid w:val="20D1855A"/>
    <w:rsid w:val="20D786DA"/>
    <w:rsid w:val="20D9A99A"/>
    <w:rsid w:val="20DA5C63"/>
    <w:rsid w:val="20E6B993"/>
    <w:rsid w:val="20E846F1"/>
    <w:rsid w:val="20ED4F49"/>
    <w:rsid w:val="20ED8B4B"/>
    <w:rsid w:val="20F3C3BE"/>
    <w:rsid w:val="20FCA67B"/>
    <w:rsid w:val="210E4344"/>
    <w:rsid w:val="21109415"/>
    <w:rsid w:val="2112A529"/>
    <w:rsid w:val="2113C0E4"/>
    <w:rsid w:val="211795E0"/>
    <w:rsid w:val="21188760"/>
    <w:rsid w:val="21193121"/>
    <w:rsid w:val="211A42DE"/>
    <w:rsid w:val="211B26DC"/>
    <w:rsid w:val="211DE652"/>
    <w:rsid w:val="211E127E"/>
    <w:rsid w:val="211E1AAD"/>
    <w:rsid w:val="211E30E3"/>
    <w:rsid w:val="211FA668"/>
    <w:rsid w:val="211FE7CF"/>
    <w:rsid w:val="2124CAC1"/>
    <w:rsid w:val="2129F94A"/>
    <w:rsid w:val="212A4B17"/>
    <w:rsid w:val="212A6B80"/>
    <w:rsid w:val="212E0B62"/>
    <w:rsid w:val="2131BFDD"/>
    <w:rsid w:val="21340A35"/>
    <w:rsid w:val="2138CCCE"/>
    <w:rsid w:val="213A6ABE"/>
    <w:rsid w:val="21416FD3"/>
    <w:rsid w:val="2142B30F"/>
    <w:rsid w:val="214A3C8D"/>
    <w:rsid w:val="214FB5D8"/>
    <w:rsid w:val="2151FA58"/>
    <w:rsid w:val="2152CE5A"/>
    <w:rsid w:val="21533239"/>
    <w:rsid w:val="2155FF6D"/>
    <w:rsid w:val="2159E18C"/>
    <w:rsid w:val="215FA9E9"/>
    <w:rsid w:val="21645653"/>
    <w:rsid w:val="21670704"/>
    <w:rsid w:val="21689944"/>
    <w:rsid w:val="2168DCD6"/>
    <w:rsid w:val="216B102F"/>
    <w:rsid w:val="216B2B3B"/>
    <w:rsid w:val="216E681A"/>
    <w:rsid w:val="2173F057"/>
    <w:rsid w:val="21787A4D"/>
    <w:rsid w:val="217E5385"/>
    <w:rsid w:val="217E9EF4"/>
    <w:rsid w:val="21836C71"/>
    <w:rsid w:val="218508CF"/>
    <w:rsid w:val="218929B2"/>
    <w:rsid w:val="218B57E4"/>
    <w:rsid w:val="21903084"/>
    <w:rsid w:val="2190682D"/>
    <w:rsid w:val="21996884"/>
    <w:rsid w:val="219B3D7A"/>
    <w:rsid w:val="219BAA35"/>
    <w:rsid w:val="219C9BDB"/>
    <w:rsid w:val="219D0CD6"/>
    <w:rsid w:val="21A3792A"/>
    <w:rsid w:val="21AC5C2C"/>
    <w:rsid w:val="21AC60E9"/>
    <w:rsid w:val="21B16A06"/>
    <w:rsid w:val="21B8AD2D"/>
    <w:rsid w:val="21B8CE8D"/>
    <w:rsid w:val="21BFE3CC"/>
    <w:rsid w:val="21C4918B"/>
    <w:rsid w:val="21C51785"/>
    <w:rsid w:val="21CCDFE2"/>
    <w:rsid w:val="21CE0965"/>
    <w:rsid w:val="21CFD998"/>
    <w:rsid w:val="21D057A6"/>
    <w:rsid w:val="21D0B5D2"/>
    <w:rsid w:val="21D10689"/>
    <w:rsid w:val="21D46970"/>
    <w:rsid w:val="21D4AA12"/>
    <w:rsid w:val="21D582CD"/>
    <w:rsid w:val="21D6814E"/>
    <w:rsid w:val="21D68EE3"/>
    <w:rsid w:val="21D9B31B"/>
    <w:rsid w:val="21DC2A48"/>
    <w:rsid w:val="21DE9296"/>
    <w:rsid w:val="21E81123"/>
    <w:rsid w:val="21E9A750"/>
    <w:rsid w:val="21EE213D"/>
    <w:rsid w:val="21F509A4"/>
    <w:rsid w:val="21F61B62"/>
    <w:rsid w:val="21F68087"/>
    <w:rsid w:val="21FBA35E"/>
    <w:rsid w:val="21FBB55A"/>
    <w:rsid w:val="21FC57C5"/>
    <w:rsid w:val="2202B046"/>
    <w:rsid w:val="2206C9C8"/>
    <w:rsid w:val="220708A7"/>
    <w:rsid w:val="22071E3F"/>
    <w:rsid w:val="220725D4"/>
    <w:rsid w:val="2207577C"/>
    <w:rsid w:val="220E1E1B"/>
    <w:rsid w:val="22101352"/>
    <w:rsid w:val="2213A3C4"/>
    <w:rsid w:val="221A89AE"/>
    <w:rsid w:val="221B3394"/>
    <w:rsid w:val="222266BF"/>
    <w:rsid w:val="22243A86"/>
    <w:rsid w:val="2228FC0E"/>
    <w:rsid w:val="22333092"/>
    <w:rsid w:val="2239B00C"/>
    <w:rsid w:val="223A44D7"/>
    <w:rsid w:val="223BF88B"/>
    <w:rsid w:val="223E019A"/>
    <w:rsid w:val="22401FB3"/>
    <w:rsid w:val="2243D82F"/>
    <w:rsid w:val="224BF9CD"/>
    <w:rsid w:val="224C3A7F"/>
    <w:rsid w:val="2252050C"/>
    <w:rsid w:val="22523C08"/>
    <w:rsid w:val="22613E23"/>
    <w:rsid w:val="2265DC93"/>
    <w:rsid w:val="22675D61"/>
    <w:rsid w:val="22676FE3"/>
    <w:rsid w:val="2268B0EF"/>
    <w:rsid w:val="226D7033"/>
    <w:rsid w:val="22717A53"/>
    <w:rsid w:val="22783882"/>
    <w:rsid w:val="227A3231"/>
    <w:rsid w:val="22812CA1"/>
    <w:rsid w:val="22821159"/>
    <w:rsid w:val="22873675"/>
    <w:rsid w:val="228D6217"/>
    <w:rsid w:val="228E2663"/>
    <w:rsid w:val="22918D2D"/>
    <w:rsid w:val="22965E64"/>
    <w:rsid w:val="2297849F"/>
    <w:rsid w:val="2298EAC2"/>
    <w:rsid w:val="229DDFE1"/>
    <w:rsid w:val="229DE11C"/>
    <w:rsid w:val="22A6D023"/>
    <w:rsid w:val="22ABF71A"/>
    <w:rsid w:val="22B0D6FA"/>
    <w:rsid w:val="22B2FEC9"/>
    <w:rsid w:val="22B64F23"/>
    <w:rsid w:val="22B70563"/>
    <w:rsid w:val="22B98481"/>
    <w:rsid w:val="22BA6CB7"/>
    <w:rsid w:val="22BB4C75"/>
    <w:rsid w:val="22BBAC9C"/>
    <w:rsid w:val="22BBC0FC"/>
    <w:rsid w:val="22C9FADF"/>
    <w:rsid w:val="22D30B84"/>
    <w:rsid w:val="22D5755C"/>
    <w:rsid w:val="22DAE724"/>
    <w:rsid w:val="22DE4FBE"/>
    <w:rsid w:val="22DE95B9"/>
    <w:rsid w:val="22E06562"/>
    <w:rsid w:val="22E1C1C7"/>
    <w:rsid w:val="22E4FAD2"/>
    <w:rsid w:val="22E58DCA"/>
    <w:rsid w:val="22EA2992"/>
    <w:rsid w:val="22EF77A7"/>
    <w:rsid w:val="22F1C40D"/>
    <w:rsid w:val="22F638C6"/>
    <w:rsid w:val="22FB1FAF"/>
    <w:rsid w:val="22FE7283"/>
    <w:rsid w:val="23021F8C"/>
    <w:rsid w:val="23037787"/>
    <w:rsid w:val="230451AA"/>
    <w:rsid w:val="23084FF3"/>
    <w:rsid w:val="230E1226"/>
    <w:rsid w:val="230EB403"/>
    <w:rsid w:val="2312C060"/>
    <w:rsid w:val="2313838D"/>
    <w:rsid w:val="2319B94D"/>
    <w:rsid w:val="231BCE02"/>
    <w:rsid w:val="231CB63E"/>
    <w:rsid w:val="231F1B4C"/>
    <w:rsid w:val="231F232B"/>
    <w:rsid w:val="231FB72C"/>
    <w:rsid w:val="23233FFD"/>
    <w:rsid w:val="2324D157"/>
    <w:rsid w:val="23262495"/>
    <w:rsid w:val="232638D2"/>
    <w:rsid w:val="2328FA9E"/>
    <w:rsid w:val="232A270C"/>
    <w:rsid w:val="232C286E"/>
    <w:rsid w:val="232E6E04"/>
    <w:rsid w:val="232F0463"/>
    <w:rsid w:val="232F5D5B"/>
    <w:rsid w:val="23307FF5"/>
    <w:rsid w:val="23335638"/>
    <w:rsid w:val="2333E8EA"/>
    <w:rsid w:val="2337FFC0"/>
    <w:rsid w:val="2338E73D"/>
    <w:rsid w:val="233AB778"/>
    <w:rsid w:val="23405ACE"/>
    <w:rsid w:val="23434487"/>
    <w:rsid w:val="2347408C"/>
    <w:rsid w:val="2349CA46"/>
    <w:rsid w:val="234AE561"/>
    <w:rsid w:val="234F6FF9"/>
    <w:rsid w:val="23525793"/>
    <w:rsid w:val="23531DE2"/>
    <w:rsid w:val="23594821"/>
    <w:rsid w:val="23599442"/>
    <w:rsid w:val="235D2AF9"/>
    <w:rsid w:val="235F643D"/>
    <w:rsid w:val="2361171B"/>
    <w:rsid w:val="236145AD"/>
    <w:rsid w:val="2362CC8E"/>
    <w:rsid w:val="2364E204"/>
    <w:rsid w:val="2368BAD0"/>
    <w:rsid w:val="23691D8A"/>
    <w:rsid w:val="236B93DE"/>
    <w:rsid w:val="236BEB6E"/>
    <w:rsid w:val="236CA062"/>
    <w:rsid w:val="23710E38"/>
    <w:rsid w:val="2376C0A8"/>
    <w:rsid w:val="2380BA91"/>
    <w:rsid w:val="2385D5A6"/>
    <w:rsid w:val="23861D1A"/>
    <w:rsid w:val="238B5A29"/>
    <w:rsid w:val="238B83D2"/>
    <w:rsid w:val="238B9921"/>
    <w:rsid w:val="2390B31F"/>
    <w:rsid w:val="23951038"/>
    <w:rsid w:val="23A76EF7"/>
    <w:rsid w:val="23AAD6BE"/>
    <w:rsid w:val="23AAF97D"/>
    <w:rsid w:val="23B7B93C"/>
    <w:rsid w:val="23B7FBB9"/>
    <w:rsid w:val="23B95CF7"/>
    <w:rsid w:val="23BAD2AD"/>
    <w:rsid w:val="23BECEAA"/>
    <w:rsid w:val="23C32363"/>
    <w:rsid w:val="23CAFA09"/>
    <w:rsid w:val="23CC338B"/>
    <w:rsid w:val="23D0CE00"/>
    <w:rsid w:val="23D1F0F9"/>
    <w:rsid w:val="23D33853"/>
    <w:rsid w:val="23D64C2F"/>
    <w:rsid w:val="23DF8B13"/>
    <w:rsid w:val="23E4C06D"/>
    <w:rsid w:val="23E70C3A"/>
    <w:rsid w:val="23E788C4"/>
    <w:rsid w:val="23E8ABE4"/>
    <w:rsid w:val="23EB0D38"/>
    <w:rsid w:val="23F11FF6"/>
    <w:rsid w:val="23F1A080"/>
    <w:rsid w:val="23FA7744"/>
    <w:rsid w:val="23FAB304"/>
    <w:rsid w:val="23FBD145"/>
    <w:rsid w:val="2404A6C6"/>
    <w:rsid w:val="2405999C"/>
    <w:rsid w:val="24114829"/>
    <w:rsid w:val="24131174"/>
    <w:rsid w:val="2419670E"/>
    <w:rsid w:val="241EAFD9"/>
    <w:rsid w:val="2420B374"/>
    <w:rsid w:val="2421EF2F"/>
    <w:rsid w:val="2429E903"/>
    <w:rsid w:val="242CA2A1"/>
    <w:rsid w:val="242ECCAF"/>
    <w:rsid w:val="2430E47D"/>
    <w:rsid w:val="24314133"/>
    <w:rsid w:val="24358B07"/>
    <w:rsid w:val="2436C787"/>
    <w:rsid w:val="243774C2"/>
    <w:rsid w:val="24425F63"/>
    <w:rsid w:val="24429AC3"/>
    <w:rsid w:val="2446F2B9"/>
    <w:rsid w:val="24496804"/>
    <w:rsid w:val="244EE8EB"/>
    <w:rsid w:val="244FB4EE"/>
    <w:rsid w:val="2451CF56"/>
    <w:rsid w:val="2451D2D0"/>
    <w:rsid w:val="2454FF88"/>
    <w:rsid w:val="24556079"/>
    <w:rsid w:val="2458A6BF"/>
    <w:rsid w:val="24597769"/>
    <w:rsid w:val="2465AF8B"/>
    <w:rsid w:val="246B9D20"/>
    <w:rsid w:val="2473892A"/>
    <w:rsid w:val="247B6F4F"/>
    <w:rsid w:val="247E9EB9"/>
    <w:rsid w:val="247FBA10"/>
    <w:rsid w:val="247FC48D"/>
    <w:rsid w:val="2481425F"/>
    <w:rsid w:val="2485DE2E"/>
    <w:rsid w:val="248C90B4"/>
    <w:rsid w:val="248CE82F"/>
    <w:rsid w:val="248F8497"/>
    <w:rsid w:val="24904656"/>
    <w:rsid w:val="249488BF"/>
    <w:rsid w:val="2494CE81"/>
    <w:rsid w:val="24962547"/>
    <w:rsid w:val="24A58E6F"/>
    <w:rsid w:val="24AF63E7"/>
    <w:rsid w:val="24B0678C"/>
    <w:rsid w:val="24B55AD6"/>
    <w:rsid w:val="24B625C5"/>
    <w:rsid w:val="24B9C943"/>
    <w:rsid w:val="24BD424D"/>
    <w:rsid w:val="24CBE3B6"/>
    <w:rsid w:val="24CD9AC6"/>
    <w:rsid w:val="24CE2383"/>
    <w:rsid w:val="24CF391B"/>
    <w:rsid w:val="24CFD1C9"/>
    <w:rsid w:val="24D148CC"/>
    <w:rsid w:val="24D6ADE3"/>
    <w:rsid w:val="24D6B213"/>
    <w:rsid w:val="24D73737"/>
    <w:rsid w:val="24D8B321"/>
    <w:rsid w:val="24D90DCB"/>
    <w:rsid w:val="24DA6348"/>
    <w:rsid w:val="24DAA299"/>
    <w:rsid w:val="24DC3C1F"/>
    <w:rsid w:val="24DDB67E"/>
    <w:rsid w:val="24E11262"/>
    <w:rsid w:val="24E39893"/>
    <w:rsid w:val="24E6DCE6"/>
    <w:rsid w:val="24E738A9"/>
    <w:rsid w:val="24E84E08"/>
    <w:rsid w:val="24F4523B"/>
    <w:rsid w:val="24F80BA0"/>
    <w:rsid w:val="24FA4527"/>
    <w:rsid w:val="24FA856B"/>
    <w:rsid w:val="24FF443C"/>
    <w:rsid w:val="2507016E"/>
    <w:rsid w:val="250B3541"/>
    <w:rsid w:val="25129A70"/>
    <w:rsid w:val="2512C521"/>
    <w:rsid w:val="25134693"/>
    <w:rsid w:val="251729AF"/>
    <w:rsid w:val="251CB939"/>
    <w:rsid w:val="251DF572"/>
    <w:rsid w:val="252117AC"/>
    <w:rsid w:val="2521290C"/>
    <w:rsid w:val="25233178"/>
    <w:rsid w:val="25242A9E"/>
    <w:rsid w:val="25278E38"/>
    <w:rsid w:val="25314935"/>
    <w:rsid w:val="25321E72"/>
    <w:rsid w:val="2533E26D"/>
    <w:rsid w:val="25357AB9"/>
    <w:rsid w:val="253D3717"/>
    <w:rsid w:val="25407597"/>
    <w:rsid w:val="2540FE8C"/>
    <w:rsid w:val="2547C215"/>
    <w:rsid w:val="254851A9"/>
    <w:rsid w:val="255499E9"/>
    <w:rsid w:val="25560F1A"/>
    <w:rsid w:val="255DF5A3"/>
    <w:rsid w:val="2565B203"/>
    <w:rsid w:val="25678C4B"/>
    <w:rsid w:val="25678E71"/>
    <w:rsid w:val="2568477C"/>
    <w:rsid w:val="25691148"/>
    <w:rsid w:val="256CDF9F"/>
    <w:rsid w:val="256F5582"/>
    <w:rsid w:val="2573C308"/>
    <w:rsid w:val="25776690"/>
    <w:rsid w:val="257DCF72"/>
    <w:rsid w:val="257E7C54"/>
    <w:rsid w:val="257ED1B4"/>
    <w:rsid w:val="257F790B"/>
    <w:rsid w:val="2582D683"/>
    <w:rsid w:val="25840E5B"/>
    <w:rsid w:val="2584DDB0"/>
    <w:rsid w:val="25891D8A"/>
    <w:rsid w:val="258B88F2"/>
    <w:rsid w:val="25908B13"/>
    <w:rsid w:val="25910FE1"/>
    <w:rsid w:val="259165E9"/>
    <w:rsid w:val="2592E82D"/>
    <w:rsid w:val="25938E8E"/>
    <w:rsid w:val="2594C00D"/>
    <w:rsid w:val="259B3D56"/>
    <w:rsid w:val="259DDBB9"/>
    <w:rsid w:val="25A3378B"/>
    <w:rsid w:val="25B324E1"/>
    <w:rsid w:val="25B6ABB2"/>
    <w:rsid w:val="25C11F03"/>
    <w:rsid w:val="25C4C295"/>
    <w:rsid w:val="25C4DC3E"/>
    <w:rsid w:val="25C714A0"/>
    <w:rsid w:val="25CA2863"/>
    <w:rsid w:val="25CA46E6"/>
    <w:rsid w:val="25CA7CB1"/>
    <w:rsid w:val="25D29EBF"/>
    <w:rsid w:val="25D55BB8"/>
    <w:rsid w:val="25D84630"/>
    <w:rsid w:val="25DC3716"/>
    <w:rsid w:val="25DD3BB9"/>
    <w:rsid w:val="25E5BFC2"/>
    <w:rsid w:val="25E89EB2"/>
    <w:rsid w:val="25EFAD3E"/>
    <w:rsid w:val="25F31CF3"/>
    <w:rsid w:val="25F5CF36"/>
    <w:rsid w:val="25F88ACB"/>
    <w:rsid w:val="25FA6496"/>
    <w:rsid w:val="26056291"/>
    <w:rsid w:val="26064B55"/>
    <w:rsid w:val="260A069B"/>
    <w:rsid w:val="260B4902"/>
    <w:rsid w:val="260B8BF3"/>
    <w:rsid w:val="260D4B3D"/>
    <w:rsid w:val="26130C7B"/>
    <w:rsid w:val="261696E9"/>
    <w:rsid w:val="26190339"/>
    <w:rsid w:val="261D0F0F"/>
    <w:rsid w:val="2624FC3C"/>
    <w:rsid w:val="262533EB"/>
    <w:rsid w:val="262814EB"/>
    <w:rsid w:val="26294505"/>
    <w:rsid w:val="262A7773"/>
    <w:rsid w:val="262B227A"/>
    <w:rsid w:val="2630F022"/>
    <w:rsid w:val="2637C00B"/>
    <w:rsid w:val="263C68A8"/>
    <w:rsid w:val="26416019"/>
    <w:rsid w:val="26429693"/>
    <w:rsid w:val="2648E54B"/>
    <w:rsid w:val="264A1910"/>
    <w:rsid w:val="264AF8A0"/>
    <w:rsid w:val="264D0347"/>
    <w:rsid w:val="264F6E20"/>
    <w:rsid w:val="2656F6C7"/>
    <w:rsid w:val="265764F6"/>
    <w:rsid w:val="265B904D"/>
    <w:rsid w:val="26636398"/>
    <w:rsid w:val="266390E0"/>
    <w:rsid w:val="2663A6DB"/>
    <w:rsid w:val="26656845"/>
    <w:rsid w:val="266739B4"/>
    <w:rsid w:val="2669114B"/>
    <w:rsid w:val="26764761"/>
    <w:rsid w:val="2677FB08"/>
    <w:rsid w:val="26794BF9"/>
    <w:rsid w:val="267EFCD0"/>
    <w:rsid w:val="267FBBDB"/>
    <w:rsid w:val="2681D48A"/>
    <w:rsid w:val="2684DE1C"/>
    <w:rsid w:val="268635EB"/>
    <w:rsid w:val="268757C5"/>
    <w:rsid w:val="268923E9"/>
    <w:rsid w:val="2689B3F9"/>
    <w:rsid w:val="268F06DA"/>
    <w:rsid w:val="269314C8"/>
    <w:rsid w:val="26933BD9"/>
    <w:rsid w:val="269813DC"/>
    <w:rsid w:val="269A3693"/>
    <w:rsid w:val="269B2D7A"/>
    <w:rsid w:val="269F3BE3"/>
    <w:rsid w:val="269FD476"/>
    <w:rsid w:val="26A19D29"/>
    <w:rsid w:val="26A46825"/>
    <w:rsid w:val="26AD10B7"/>
    <w:rsid w:val="26AF7099"/>
    <w:rsid w:val="26B20CEB"/>
    <w:rsid w:val="26B3C4FA"/>
    <w:rsid w:val="26B6B085"/>
    <w:rsid w:val="26B782CD"/>
    <w:rsid w:val="26B9ADD2"/>
    <w:rsid w:val="26B9E322"/>
    <w:rsid w:val="26BB6590"/>
    <w:rsid w:val="26BD0409"/>
    <w:rsid w:val="26C09C99"/>
    <w:rsid w:val="26C2464D"/>
    <w:rsid w:val="26C58975"/>
    <w:rsid w:val="26C8BEBC"/>
    <w:rsid w:val="26C8C62D"/>
    <w:rsid w:val="26C9C99A"/>
    <w:rsid w:val="26CC4913"/>
    <w:rsid w:val="26CD2BB9"/>
    <w:rsid w:val="26CDB1A7"/>
    <w:rsid w:val="26D32B0C"/>
    <w:rsid w:val="26D41997"/>
    <w:rsid w:val="26D664C3"/>
    <w:rsid w:val="26D6BF86"/>
    <w:rsid w:val="26D77CE3"/>
    <w:rsid w:val="26DA0076"/>
    <w:rsid w:val="26DBA422"/>
    <w:rsid w:val="26DF1DB1"/>
    <w:rsid w:val="26E64541"/>
    <w:rsid w:val="26EA64E5"/>
    <w:rsid w:val="26EB6C76"/>
    <w:rsid w:val="26F5CFC3"/>
    <w:rsid w:val="26F717D5"/>
    <w:rsid w:val="26F72762"/>
    <w:rsid w:val="26FE54D7"/>
    <w:rsid w:val="27058E6B"/>
    <w:rsid w:val="270FEDE7"/>
    <w:rsid w:val="2710E7A6"/>
    <w:rsid w:val="271B3C5F"/>
    <w:rsid w:val="271FD5F9"/>
    <w:rsid w:val="27208FA0"/>
    <w:rsid w:val="27224CBB"/>
    <w:rsid w:val="27257386"/>
    <w:rsid w:val="272A58AA"/>
    <w:rsid w:val="272D0A4B"/>
    <w:rsid w:val="272D67E8"/>
    <w:rsid w:val="272DE3A2"/>
    <w:rsid w:val="272E0207"/>
    <w:rsid w:val="2730B531"/>
    <w:rsid w:val="2733518A"/>
    <w:rsid w:val="2733E2E2"/>
    <w:rsid w:val="273432DB"/>
    <w:rsid w:val="2734F2E9"/>
    <w:rsid w:val="273860A3"/>
    <w:rsid w:val="273B1E8B"/>
    <w:rsid w:val="273D0BC9"/>
    <w:rsid w:val="27402773"/>
    <w:rsid w:val="274DD101"/>
    <w:rsid w:val="27526840"/>
    <w:rsid w:val="2753CEEC"/>
    <w:rsid w:val="27591A2F"/>
    <w:rsid w:val="2759DDAB"/>
    <w:rsid w:val="276048D8"/>
    <w:rsid w:val="27614D53"/>
    <w:rsid w:val="27629E55"/>
    <w:rsid w:val="2769E86C"/>
    <w:rsid w:val="276CB1DD"/>
    <w:rsid w:val="2770C9DD"/>
    <w:rsid w:val="2777B87F"/>
    <w:rsid w:val="277F7374"/>
    <w:rsid w:val="277FEEBD"/>
    <w:rsid w:val="2780509C"/>
    <w:rsid w:val="278098F3"/>
    <w:rsid w:val="278463E6"/>
    <w:rsid w:val="278A2B00"/>
    <w:rsid w:val="278DB811"/>
    <w:rsid w:val="278E3699"/>
    <w:rsid w:val="2790B8AB"/>
    <w:rsid w:val="27939A4D"/>
    <w:rsid w:val="2796674F"/>
    <w:rsid w:val="279AA7E5"/>
    <w:rsid w:val="27A591E4"/>
    <w:rsid w:val="27A6A9D8"/>
    <w:rsid w:val="27A8C558"/>
    <w:rsid w:val="27A9426F"/>
    <w:rsid w:val="27AB22F2"/>
    <w:rsid w:val="27AD70CD"/>
    <w:rsid w:val="27B6DBC8"/>
    <w:rsid w:val="27B6FB5E"/>
    <w:rsid w:val="27C5FE28"/>
    <w:rsid w:val="27CAB927"/>
    <w:rsid w:val="27CD18CA"/>
    <w:rsid w:val="27D074EE"/>
    <w:rsid w:val="27D091E2"/>
    <w:rsid w:val="27D91BF1"/>
    <w:rsid w:val="27DBDAE4"/>
    <w:rsid w:val="27DD6F5F"/>
    <w:rsid w:val="27DE392A"/>
    <w:rsid w:val="27DFA513"/>
    <w:rsid w:val="27E12199"/>
    <w:rsid w:val="27E15066"/>
    <w:rsid w:val="27E5BF08"/>
    <w:rsid w:val="27E5E8FB"/>
    <w:rsid w:val="27E8083E"/>
    <w:rsid w:val="27E848F5"/>
    <w:rsid w:val="27E9DCC2"/>
    <w:rsid w:val="27EA53B1"/>
    <w:rsid w:val="27EEDA49"/>
    <w:rsid w:val="27F319A3"/>
    <w:rsid w:val="27F52877"/>
    <w:rsid w:val="27F5852D"/>
    <w:rsid w:val="27FB9967"/>
    <w:rsid w:val="27FC9474"/>
    <w:rsid w:val="28030ED4"/>
    <w:rsid w:val="28034DF9"/>
    <w:rsid w:val="280680B6"/>
    <w:rsid w:val="28079DC2"/>
    <w:rsid w:val="280A5AC5"/>
    <w:rsid w:val="280C960F"/>
    <w:rsid w:val="280DFA1B"/>
    <w:rsid w:val="280E3B8A"/>
    <w:rsid w:val="280EE363"/>
    <w:rsid w:val="280FA6D7"/>
    <w:rsid w:val="2813748A"/>
    <w:rsid w:val="2813A205"/>
    <w:rsid w:val="281405B8"/>
    <w:rsid w:val="2814A1CB"/>
    <w:rsid w:val="2816125A"/>
    <w:rsid w:val="28161502"/>
    <w:rsid w:val="281C4205"/>
    <w:rsid w:val="2820EA07"/>
    <w:rsid w:val="2823E2EC"/>
    <w:rsid w:val="28288AD6"/>
    <w:rsid w:val="2828B363"/>
    <w:rsid w:val="2830DFFE"/>
    <w:rsid w:val="2831DD90"/>
    <w:rsid w:val="2831E435"/>
    <w:rsid w:val="2831FED2"/>
    <w:rsid w:val="28333BA0"/>
    <w:rsid w:val="28374974"/>
    <w:rsid w:val="283BEC01"/>
    <w:rsid w:val="2840BBD7"/>
    <w:rsid w:val="2842C244"/>
    <w:rsid w:val="284A7ACC"/>
    <w:rsid w:val="285128D9"/>
    <w:rsid w:val="2852AA60"/>
    <w:rsid w:val="285B80FB"/>
    <w:rsid w:val="285C865F"/>
    <w:rsid w:val="2860F1F7"/>
    <w:rsid w:val="28692021"/>
    <w:rsid w:val="286A43CC"/>
    <w:rsid w:val="286A82A0"/>
    <w:rsid w:val="286BB260"/>
    <w:rsid w:val="286BCEC1"/>
    <w:rsid w:val="286C04F8"/>
    <w:rsid w:val="28726516"/>
    <w:rsid w:val="2878DC13"/>
    <w:rsid w:val="2878F798"/>
    <w:rsid w:val="2878F828"/>
    <w:rsid w:val="287B553B"/>
    <w:rsid w:val="287DCF6A"/>
    <w:rsid w:val="287FC273"/>
    <w:rsid w:val="288432F5"/>
    <w:rsid w:val="2885A293"/>
    <w:rsid w:val="2888F7E7"/>
    <w:rsid w:val="288C3FCB"/>
    <w:rsid w:val="288DE7D3"/>
    <w:rsid w:val="28905031"/>
    <w:rsid w:val="2893073D"/>
    <w:rsid w:val="289379AB"/>
    <w:rsid w:val="28967113"/>
    <w:rsid w:val="28A33F18"/>
    <w:rsid w:val="28ABFF44"/>
    <w:rsid w:val="28B003C2"/>
    <w:rsid w:val="28B529EF"/>
    <w:rsid w:val="28BE5586"/>
    <w:rsid w:val="28BEB179"/>
    <w:rsid w:val="28C1431F"/>
    <w:rsid w:val="28C4D0D6"/>
    <w:rsid w:val="28C5A5A8"/>
    <w:rsid w:val="28C6D4E3"/>
    <w:rsid w:val="28C78B3B"/>
    <w:rsid w:val="28CBD281"/>
    <w:rsid w:val="28CD77BC"/>
    <w:rsid w:val="28CFB337"/>
    <w:rsid w:val="28D5BC22"/>
    <w:rsid w:val="28D63DCB"/>
    <w:rsid w:val="28D826D9"/>
    <w:rsid w:val="28DBD3AA"/>
    <w:rsid w:val="28DF5165"/>
    <w:rsid w:val="28E5CD19"/>
    <w:rsid w:val="28EA1369"/>
    <w:rsid w:val="28EA50C4"/>
    <w:rsid w:val="28EB3521"/>
    <w:rsid w:val="28F4C9D9"/>
    <w:rsid w:val="28F85ADF"/>
    <w:rsid w:val="28FDEEC2"/>
    <w:rsid w:val="2901AF95"/>
    <w:rsid w:val="290BA8EA"/>
    <w:rsid w:val="290D3111"/>
    <w:rsid w:val="290DEB6C"/>
    <w:rsid w:val="290E7A78"/>
    <w:rsid w:val="2915D78B"/>
    <w:rsid w:val="291831E3"/>
    <w:rsid w:val="291831FF"/>
    <w:rsid w:val="29194585"/>
    <w:rsid w:val="291C628F"/>
    <w:rsid w:val="291DBA20"/>
    <w:rsid w:val="291E965D"/>
    <w:rsid w:val="291FD9DB"/>
    <w:rsid w:val="2920EBDE"/>
    <w:rsid w:val="292208CD"/>
    <w:rsid w:val="292C02D0"/>
    <w:rsid w:val="292E7AEF"/>
    <w:rsid w:val="2936FA0F"/>
    <w:rsid w:val="293A64A9"/>
    <w:rsid w:val="293C0716"/>
    <w:rsid w:val="293C5E5D"/>
    <w:rsid w:val="293DBC4E"/>
    <w:rsid w:val="293FCB93"/>
    <w:rsid w:val="2948CDC5"/>
    <w:rsid w:val="2948D0D8"/>
    <w:rsid w:val="294A0EB2"/>
    <w:rsid w:val="294CF845"/>
    <w:rsid w:val="2950E863"/>
    <w:rsid w:val="2952284B"/>
    <w:rsid w:val="2955BD5C"/>
    <w:rsid w:val="2956BCE0"/>
    <w:rsid w:val="2958249C"/>
    <w:rsid w:val="29588BC1"/>
    <w:rsid w:val="29588EB3"/>
    <w:rsid w:val="2962E444"/>
    <w:rsid w:val="29682A17"/>
    <w:rsid w:val="2971DBB6"/>
    <w:rsid w:val="29775F91"/>
    <w:rsid w:val="29776830"/>
    <w:rsid w:val="2977875D"/>
    <w:rsid w:val="2977954B"/>
    <w:rsid w:val="297AE2C8"/>
    <w:rsid w:val="29828C75"/>
    <w:rsid w:val="29844EEA"/>
    <w:rsid w:val="298CA1DC"/>
    <w:rsid w:val="298E2747"/>
    <w:rsid w:val="298EE6DB"/>
    <w:rsid w:val="2993E582"/>
    <w:rsid w:val="2998276D"/>
    <w:rsid w:val="299A46D7"/>
    <w:rsid w:val="29A4E466"/>
    <w:rsid w:val="29A81319"/>
    <w:rsid w:val="29A969CD"/>
    <w:rsid w:val="29ACBEFA"/>
    <w:rsid w:val="29B382AA"/>
    <w:rsid w:val="29B50B1C"/>
    <w:rsid w:val="29B6E079"/>
    <w:rsid w:val="29B7B4AE"/>
    <w:rsid w:val="29B81D7F"/>
    <w:rsid w:val="29B84805"/>
    <w:rsid w:val="29B916F4"/>
    <w:rsid w:val="29B99E5A"/>
    <w:rsid w:val="29C187CA"/>
    <w:rsid w:val="29C5D4D1"/>
    <w:rsid w:val="29C7ED51"/>
    <w:rsid w:val="29C9DA8D"/>
    <w:rsid w:val="29D99166"/>
    <w:rsid w:val="29DE8E78"/>
    <w:rsid w:val="29E3B03B"/>
    <w:rsid w:val="29ED163E"/>
    <w:rsid w:val="29EDE86F"/>
    <w:rsid w:val="29EF2A0F"/>
    <w:rsid w:val="29F56468"/>
    <w:rsid w:val="29F68BE4"/>
    <w:rsid w:val="29F6E66F"/>
    <w:rsid w:val="29F78E64"/>
    <w:rsid w:val="29FA06FC"/>
    <w:rsid w:val="29FAA703"/>
    <w:rsid w:val="2A0A40F0"/>
    <w:rsid w:val="2A0ADEE1"/>
    <w:rsid w:val="2A0AE425"/>
    <w:rsid w:val="2A0C1EFB"/>
    <w:rsid w:val="2A10A3BF"/>
    <w:rsid w:val="2A1320FD"/>
    <w:rsid w:val="2A1FFED0"/>
    <w:rsid w:val="2A2049C8"/>
    <w:rsid w:val="2A233393"/>
    <w:rsid w:val="2A233F87"/>
    <w:rsid w:val="2A24E66F"/>
    <w:rsid w:val="2A253D46"/>
    <w:rsid w:val="2A26BDE8"/>
    <w:rsid w:val="2A289E21"/>
    <w:rsid w:val="2A296353"/>
    <w:rsid w:val="2A38911D"/>
    <w:rsid w:val="2A400D5B"/>
    <w:rsid w:val="2A40EBAC"/>
    <w:rsid w:val="2A414DED"/>
    <w:rsid w:val="2A43E559"/>
    <w:rsid w:val="2A4C61F8"/>
    <w:rsid w:val="2A4CD769"/>
    <w:rsid w:val="2A4D1896"/>
    <w:rsid w:val="2A5295EB"/>
    <w:rsid w:val="2A57FD97"/>
    <w:rsid w:val="2A5F5B92"/>
    <w:rsid w:val="2A620634"/>
    <w:rsid w:val="2A696FD2"/>
    <w:rsid w:val="2A73BA0B"/>
    <w:rsid w:val="2A746361"/>
    <w:rsid w:val="2A752493"/>
    <w:rsid w:val="2A7A673F"/>
    <w:rsid w:val="2A7C1C6F"/>
    <w:rsid w:val="2A7DC182"/>
    <w:rsid w:val="2A8084BE"/>
    <w:rsid w:val="2A845F39"/>
    <w:rsid w:val="2A84ED91"/>
    <w:rsid w:val="2A852B7F"/>
    <w:rsid w:val="2A884645"/>
    <w:rsid w:val="2A885457"/>
    <w:rsid w:val="2A8A476E"/>
    <w:rsid w:val="2A98062B"/>
    <w:rsid w:val="2A98CB05"/>
    <w:rsid w:val="2A9C7CD3"/>
    <w:rsid w:val="2AA24AED"/>
    <w:rsid w:val="2AA2E0AD"/>
    <w:rsid w:val="2AAC4885"/>
    <w:rsid w:val="2AAD89E2"/>
    <w:rsid w:val="2AB34B63"/>
    <w:rsid w:val="2AB4B844"/>
    <w:rsid w:val="2ABA36D5"/>
    <w:rsid w:val="2ABB213E"/>
    <w:rsid w:val="2ABD4A15"/>
    <w:rsid w:val="2ABF7388"/>
    <w:rsid w:val="2AC08730"/>
    <w:rsid w:val="2AC0E514"/>
    <w:rsid w:val="2AC6BCD2"/>
    <w:rsid w:val="2ACA5EEA"/>
    <w:rsid w:val="2ACF71C9"/>
    <w:rsid w:val="2AD3A92C"/>
    <w:rsid w:val="2AD42C35"/>
    <w:rsid w:val="2AD736E5"/>
    <w:rsid w:val="2AD9A9E8"/>
    <w:rsid w:val="2ADA8289"/>
    <w:rsid w:val="2ADE3453"/>
    <w:rsid w:val="2AE17B66"/>
    <w:rsid w:val="2AE2E752"/>
    <w:rsid w:val="2AE3B77A"/>
    <w:rsid w:val="2AE4EAA9"/>
    <w:rsid w:val="2AE8763A"/>
    <w:rsid w:val="2AEC06C9"/>
    <w:rsid w:val="2AEC3B83"/>
    <w:rsid w:val="2AEE006A"/>
    <w:rsid w:val="2AEFA197"/>
    <w:rsid w:val="2AF14389"/>
    <w:rsid w:val="2AF3C680"/>
    <w:rsid w:val="2AF3EA13"/>
    <w:rsid w:val="2AF9B6A7"/>
    <w:rsid w:val="2AFA5F5B"/>
    <w:rsid w:val="2AFB2C88"/>
    <w:rsid w:val="2AFD7163"/>
    <w:rsid w:val="2AFFDB55"/>
    <w:rsid w:val="2B0344AC"/>
    <w:rsid w:val="2B06A0A4"/>
    <w:rsid w:val="2B0A4911"/>
    <w:rsid w:val="2B0C67B1"/>
    <w:rsid w:val="2B0E7CB1"/>
    <w:rsid w:val="2B162A3F"/>
    <w:rsid w:val="2B1A02EC"/>
    <w:rsid w:val="2B1A4A66"/>
    <w:rsid w:val="2B20CAFD"/>
    <w:rsid w:val="2B211C58"/>
    <w:rsid w:val="2B249053"/>
    <w:rsid w:val="2B2E78DD"/>
    <w:rsid w:val="2B357739"/>
    <w:rsid w:val="2B35A67C"/>
    <w:rsid w:val="2B38A106"/>
    <w:rsid w:val="2B3B26A0"/>
    <w:rsid w:val="2B3FEA4B"/>
    <w:rsid w:val="2B42D0B2"/>
    <w:rsid w:val="2B49748D"/>
    <w:rsid w:val="2B49E856"/>
    <w:rsid w:val="2B4B4B74"/>
    <w:rsid w:val="2B52BE71"/>
    <w:rsid w:val="2B56199B"/>
    <w:rsid w:val="2B585FC3"/>
    <w:rsid w:val="2B5A5384"/>
    <w:rsid w:val="2B5BB885"/>
    <w:rsid w:val="2B5DBAFC"/>
    <w:rsid w:val="2B5DD1BB"/>
    <w:rsid w:val="2B5DD377"/>
    <w:rsid w:val="2B5EA684"/>
    <w:rsid w:val="2B60B3AD"/>
    <w:rsid w:val="2B636B55"/>
    <w:rsid w:val="2B694E05"/>
    <w:rsid w:val="2B6A65E7"/>
    <w:rsid w:val="2B6ABA94"/>
    <w:rsid w:val="2B6F24A2"/>
    <w:rsid w:val="2B6FCB2E"/>
    <w:rsid w:val="2B7869A0"/>
    <w:rsid w:val="2B7B2646"/>
    <w:rsid w:val="2B7C49DD"/>
    <w:rsid w:val="2B7F7ED3"/>
    <w:rsid w:val="2B8013EE"/>
    <w:rsid w:val="2B853404"/>
    <w:rsid w:val="2B86A9E3"/>
    <w:rsid w:val="2B892AD4"/>
    <w:rsid w:val="2B9516F6"/>
    <w:rsid w:val="2B9A080A"/>
    <w:rsid w:val="2B9DF878"/>
    <w:rsid w:val="2BA4010D"/>
    <w:rsid w:val="2BA86F6B"/>
    <w:rsid w:val="2BA97D58"/>
    <w:rsid w:val="2BAA85A6"/>
    <w:rsid w:val="2BB34299"/>
    <w:rsid w:val="2BB5F0A5"/>
    <w:rsid w:val="2BB6D652"/>
    <w:rsid w:val="2BB9F78D"/>
    <w:rsid w:val="2BBC132D"/>
    <w:rsid w:val="2BBD0195"/>
    <w:rsid w:val="2BC09269"/>
    <w:rsid w:val="2BC12D9F"/>
    <w:rsid w:val="2BC42BDF"/>
    <w:rsid w:val="2BC5F3A8"/>
    <w:rsid w:val="2BCA8C3E"/>
    <w:rsid w:val="2BCDE05D"/>
    <w:rsid w:val="2BD02BDC"/>
    <w:rsid w:val="2BD04DCE"/>
    <w:rsid w:val="2BD6ED00"/>
    <w:rsid w:val="2BDABD4F"/>
    <w:rsid w:val="2BDC5C9F"/>
    <w:rsid w:val="2BDECCB1"/>
    <w:rsid w:val="2BE1DCDA"/>
    <w:rsid w:val="2BE32C50"/>
    <w:rsid w:val="2BE3D530"/>
    <w:rsid w:val="2BE4CFCA"/>
    <w:rsid w:val="2BEB9E0D"/>
    <w:rsid w:val="2BEBB015"/>
    <w:rsid w:val="2BEE66A1"/>
    <w:rsid w:val="2BEF9236"/>
    <w:rsid w:val="2BF1AD45"/>
    <w:rsid w:val="2BF8B2C7"/>
    <w:rsid w:val="2BFCA4FE"/>
    <w:rsid w:val="2C033089"/>
    <w:rsid w:val="2C04DD0B"/>
    <w:rsid w:val="2C055C8E"/>
    <w:rsid w:val="2C0C385F"/>
    <w:rsid w:val="2C0C9E7F"/>
    <w:rsid w:val="2C13F42F"/>
    <w:rsid w:val="2C1457DD"/>
    <w:rsid w:val="2C17B45F"/>
    <w:rsid w:val="2C1801F6"/>
    <w:rsid w:val="2C19462D"/>
    <w:rsid w:val="2C19E8C6"/>
    <w:rsid w:val="2C1A9F31"/>
    <w:rsid w:val="2C1B3C25"/>
    <w:rsid w:val="2C2B384D"/>
    <w:rsid w:val="2C2B5B02"/>
    <w:rsid w:val="2C30831C"/>
    <w:rsid w:val="2C3100C0"/>
    <w:rsid w:val="2C317DC3"/>
    <w:rsid w:val="2C330F21"/>
    <w:rsid w:val="2C3AA0FB"/>
    <w:rsid w:val="2C40FB7E"/>
    <w:rsid w:val="2C44B6F9"/>
    <w:rsid w:val="2C480AD4"/>
    <w:rsid w:val="2C48A6D9"/>
    <w:rsid w:val="2C4C7511"/>
    <w:rsid w:val="2C4FEF92"/>
    <w:rsid w:val="2C50B851"/>
    <w:rsid w:val="2C513F0A"/>
    <w:rsid w:val="2C5CE381"/>
    <w:rsid w:val="2C617252"/>
    <w:rsid w:val="2C62E354"/>
    <w:rsid w:val="2C654F33"/>
    <w:rsid w:val="2C668161"/>
    <w:rsid w:val="2C67301E"/>
    <w:rsid w:val="2C684681"/>
    <w:rsid w:val="2C7CD47F"/>
    <w:rsid w:val="2C7F2F94"/>
    <w:rsid w:val="2C8640C9"/>
    <w:rsid w:val="2C86807B"/>
    <w:rsid w:val="2C8B8821"/>
    <w:rsid w:val="2C901AD2"/>
    <w:rsid w:val="2C936934"/>
    <w:rsid w:val="2C947508"/>
    <w:rsid w:val="2C9DD7BA"/>
    <w:rsid w:val="2CA2FA95"/>
    <w:rsid w:val="2CA5DF6F"/>
    <w:rsid w:val="2CAF2A22"/>
    <w:rsid w:val="2CAFC106"/>
    <w:rsid w:val="2CB1A4A4"/>
    <w:rsid w:val="2CC0E18E"/>
    <w:rsid w:val="2CC75A5E"/>
    <w:rsid w:val="2CCA9D0C"/>
    <w:rsid w:val="2CCEF06F"/>
    <w:rsid w:val="2CCF775C"/>
    <w:rsid w:val="2CD05CDB"/>
    <w:rsid w:val="2CD71210"/>
    <w:rsid w:val="2CD823A2"/>
    <w:rsid w:val="2CDBA916"/>
    <w:rsid w:val="2CDBF4BC"/>
    <w:rsid w:val="2CE9D367"/>
    <w:rsid w:val="2CE9E262"/>
    <w:rsid w:val="2CEBE59E"/>
    <w:rsid w:val="2CEE8611"/>
    <w:rsid w:val="2CEEBF10"/>
    <w:rsid w:val="2CEEED3C"/>
    <w:rsid w:val="2CF33D67"/>
    <w:rsid w:val="2CFC3D2D"/>
    <w:rsid w:val="2CFC5D21"/>
    <w:rsid w:val="2D006900"/>
    <w:rsid w:val="2D026EDC"/>
    <w:rsid w:val="2D02CA38"/>
    <w:rsid w:val="2D0402D8"/>
    <w:rsid w:val="2D088EB2"/>
    <w:rsid w:val="2D08BFB9"/>
    <w:rsid w:val="2D0FE90B"/>
    <w:rsid w:val="2D111451"/>
    <w:rsid w:val="2D13313B"/>
    <w:rsid w:val="2D140033"/>
    <w:rsid w:val="2D189FF3"/>
    <w:rsid w:val="2D19064E"/>
    <w:rsid w:val="2D1FF83F"/>
    <w:rsid w:val="2D2185EB"/>
    <w:rsid w:val="2D294144"/>
    <w:rsid w:val="2D29E3E6"/>
    <w:rsid w:val="2D337077"/>
    <w:rsid w:val="2D370C32"/>
    <w:rsid w:val="2D3C5B11"/>
    <w:rsid w:val="2D3CB540"/>
    <w:rsid w:val="2D424BD1"/>
    <w:rsid w:val="2D4895F1"/>
    <w:rsid w:val="2D489CBE"/>
    <w:rsid w:val="2D4A2EEA"/>
    <w:rsid w:val="2D5109B7"/>
    <w:rsid w:val="2D54C986"/>
    <w:rsid w:val="2D566FF6"/>
    <w:rsid w:val="2D571CBF"/>
    <w:rsid w:val="2D572F0A"/>
    <w:rsid w:val="2D5926F2"/>
    <w:rsid w:val="2D5C4750"/>
    <w:rsid w:val="2D5E7090"/>
    <w:rsid w:val="2D5EA2D7"/>
    <w:rsid w:val="2D63C73C"/>
    <w:rsid w:val="2D67B1E8"/>
    <w:rsid w:val="2D69AFD5"/>
    <w:rsid w:val="2D6C63CD"/>
    <w:rsid w:val="2D6E362B"/>
    <w:rsid w:val="2D6E99EE"/>
    <w:rsid w:val="2D74CA68"/>
    <w:rsid w:val="2D763715"/>
    <w:rsid w:val="2D7A54D7"/>
    <w:rsid w:val="2D7AC38F"/>
    <w:rsid w:val="2D7B36A9"/>
    <w:rsid w:val="2D7BA862"/>
    <w:rsid w:val="2D7EA9CA"/>
    <w:rsid w:val="2D812017"/>
    <w:rsid w:val="2D8194F1"/>
    <w:rsid w:val="2D84027B"/>
    <w:rsid w:val="2D847641"/>
    <w:rsid w:val="2D856A12"/>
    <w:rsid w:val="2D8A50FE"/>
    <w:rsid w:val="2D94DCDA"/>
    <w:rsid w:val="2D9B004D"/>
    <w:rsid w:val="2D9B7E27"/>
    <w:rsid w:val="2D9C4D41"/>
    <w:rsid w:val="2DA16BD7"/>
    <w:rsid w:val="2DA72C9E"/>
    <w:rsid w:val="2DA76D5D"/>
    <w:rsid w:val="2DA8CD2D"/>
    <w:rsid w:val="2DB37C81"/>
    <w:rsid w:val="2DB53BCF"/>
    <w:rsid w:val="2DB5F276"/>
    <w:rsid w:val="2DB7F2F1"/>
    <w:rsid w:val="2DB91879"/>
    <w:rsid w:val="2DB96F24"/>
    <w:rsid w:val="2DBD5D96"/>
    <w:rsid w:val="2DBEB284"/>
    <w:rsid w:val="2DC61E20"/>
    <w:rsid w:val="2DCAE3A2"/>
    <w:rsid w:val="2DCD103B"/>
    <w:rsid w:val="2DCDEAE5"/>
    <w:rsid w:val="2DDC8009"/>
    <w:rsid w:val="2DE070C7"/>
    <w:rsid w:val="2DE1F115"/>
    <w:rsid w:val="2DED618B"/>
    <w:rsid w:val="2DEE0855"/>
    <w:rsid w:val="2DF10C13"/>
    <w:rsid w:val="2E03EB79"/>
    <w:rsid w:val="2E047F30"/>
    <w:rsid w:val="2E0B5E04"/>
    <w:rsid w:val="2E0B8FF6"/>
    <w:rsid w:val="2E0D1211"/>
    <w:rsid w:val="2E0D408C"/>
    <w:rsid w:val="2E0FC861"/>
    <w:rsid w:val="2E12A353"/>
    <w:rsid w:val="2E170857"/>
    <w:rsid w:val="2E18C30E"/>
    <w:rsid w:val="2E1FF9F2"/>
    <w:rsid w:val="2E1FFECF"/>
    <w:rsid w:val="2E2273BC"/>
    <w:rsid w:val="2E24275A"/>
    <w:rsid w:val="2E278610"/>
    <w:rsid w:val="2E2D13C7"/>
    <w:rsid w:val="2E308C45"/>
    <w:rsid w:val="2E30BBB3"/>
    <w:rsid w:val="2E3155AF"/>
    <w:rsid w:val="2E3C0C36"/>
    <w:rsid w:val="2E3C4792"/>
    <w:rsid w:val="2E3E8038"/>
    <w:rsid w:val="2E4B739C"/>
    <w:rsid w:val="2E4BF184"/>
    <w:rsid w:val="2E4EEA7A"/>
    <w:rsid w:val="2E52153C"/>
    <w:rsid w:val="2E576C0D"/>
    <w:rsid w:val="2E5F38A1"/>
    <w:rsid w:val="2E6367A0"/>
    <w:rsid w:val="2E64AC5A"/>
    <w:rsid w:val="2E69390D"/>
    <w:rsid w:val="2E6C2029"/>
    <w:rsid w:val="2E6ED27A"/>
    <w:rsid w:val="2E785300"/>
    <w:rsid w:val="2E7E12EE"/>
    <w:rsid w:val="2E809924"/>
    <w:rsid w:val="2E89569F"/>
    <w:rsid w:val="2E8C9C03"/>
    <w:rsid w:val="2E9068BB"/>
    <w:rsid w:val="2E94206F"/>
    <w:rsid w:val="2E943254"/>
    <w:rsid w:val="2E960BE5"/>
    <w:rsid w:val="2E98D571"/>
    <w:rsid w:val="2E993C00"/>
    <w:rsid w:val="2E9B8109"/>
    <w:rsid w:val="2E9FE2BC"/>
    <w:rsid w:val="2EA22EE9"/>
    <w:rsid w:val="2EA6C4BA"/>
    <w:rsid w:val="2EAEA5E3"/>
    <w:rsid w:val="2EAF28CA"/>
    <w:rsid w:val="2EAF5E4B"/>
    <w:rsid w:val="2EB09E4D"/>
    <w:rsid w:val="2EB3E8D8"/>
    <w:rsid w:val="2EB41D1B"/>
    <w:rsid w:val="2EBCB940"/>
    <w:rsid w:val="2EBE228F"/>
    <w:rsid w:val="2EBEAD91"/>
    <w:rsid w:val="2EBEFB62"/>
    <w:rsid w:val="2EC06554"/>
    <w:rsid w:val="2EC53076"/>
    <w:rsid w:val="2EC8D288"/>
    <w:rsid w:val="2ECC2EAE"/>
    <w:rsid w:val="2ECCC60E"/>
    <w:rsid w:val="2ECF0268"/>
    <w:rsid w:val="2ED39026"/>
    <w:rsid w:val="2ED42463"/>
    <w:rsid w:val="2ED44A8A"/>
    <w:rsid w:val="2ED860CE"/>
    <w:rsid w:val="2ED9A8E3"/>
    <w:rsid w:val="2EDCB34A"/>
    <w:rsid w:val="2EDF1192"/>
    <w:rsid w:val="2EE60288"/>
    <w:rsid w:val="2EE88154"/>
    <w:rsid w:val="2EE98C3D"/>
    <w:rsid w:val="2EF3B03A"/>
    <w:rsid w:val="2EF7B4BC"/>
    <w:rsid w:val="2EFBB2B3"/>
    <w:rsid w:val="2F0734D0"/>
    <w:rsid w:val="2F0752D8"/>
    <w:rsid w:val="2F08FD29"/>
    <w:rsid w:val="2F0A3C0D"/>
    <w:rsid w:val="2F0A5E52"/>
    <w:rsid w:val="2F0F618D"/>
    <w:rsid w:val="2F142329"/>
    <w:rsid w:val="2F15640D"/>
    <w:rsid w:val="2F15856E"/>
    <w:rsid w:val="2F196410"/>
    <w:rsid w:val="2F1A9847"/>
    <w:rsid w:val="2F1C8CAC"/>
    <w:rsid w:val="2F26DC9A"/>
    <w:rsid w:val="2F281592"/>
    <w:rsid w:val="2F297628"/>
    <w:rsid w:val="2F2AEE1E"/>
    <w:rsid w:val="2F2D7054"/>
    <w:rsid w:val="2F35D60F"/>
    <w:rsid w:val="2F3BF741"/>
    <w:rsid w:val="2F40B373"/>
    <w:rsid w:val="2F425742"/>
    <w:rsid w:val="2F44DD7A"/>
    <w:rsid w:val="2F44F426"/>
    <w:rsid w:val="2F49E3DE"/>
    <w:rsid w:val="2F4A8CE4"/>
    <w:rsid w:val="2F4B2751"/>
    <w:rsid w:val="2F50E8CA"/>
    <w:rsid w:val="2F53D1ED"/>
    <w:rsid w:val="2F599FD1"/>
    <w:rsid w:val="2F5D55BF"/>
    <w:rsid w:val="2F65271B"/>
    <w:rsid w:val="2F69B7CF"/>
    <w:rsid w:val="2F6CFEBC"/>
    <w:rsid w:val="2F6F328B"/>
    <w:rsid w:val="2F70524B"/>
    <w:rsid w:val="2F7D5DD2"/>
    <w:rsid w:val="2F7E2FFF"/>
    <w:rsid w:val="2F7EAE08"/>
    <w:rsid w:val="2F81FFBF"/>
    <w:rsid w:val="2F851EB0"/>
    <w:rsid w:val="2F862CEC"/>
    <w:rsid w:val="2F86BD68"/>
    <w:rsid w:val="2F8A0D56"/>
    <w:rsid w:val="2F8B58A3"/>
    <w:rsid w:val="2F8FBBC1"/>
    <w:rsid w:val="2F943BFF"/>
    <w:rsid w:val="2F9500E4"/>
    <w:rsid w:val="2F9732EE"/>
    <w:rsid w:val="2F9C958C"/>
    <w:rsid w:val="2F9F8DCB"/>
    <w:rsid w:val="2F9FFCC0"/>
    <w:rsid w:val="2FA13C82"/>
    <w:rsid w:val="2FA14C76"/>
    <w:rsid w:val="2FA171AF"/>
    <w:rsid w:val="2FA33D9E"/>
    <w:rsid w:val="2FA3BFC7"/>
    <w:rsid w:val="2FA78725"/>
    <w:rsid w:val="2FAA75FC"/>
    <w:rsid w:val="2FB11F13"/>
    <w:rsid w:val="2FB65981"/>
    <w:rsid w:val="2FB737D0"/>
    <w:rsid w:val="2FB78881"/>
    <w:rsid w:val="2FBDF518"/>
    <w:rsid w:val="2FC2A41F"/>
    <w:rsid w:val="2FC93386"/>
    <w:rsid w:val="2FCA398E"/>
    <w:rsid w:val="2FCDB798"/>
    <w:rsid w:val="2FD0CFF8"/>
    <w:rsid w:val="2FD73C9D"/>
    <w:rsid w:val="2FDE3505"/>
    <w:rsid w:val="2FE075D8"/>
    <w:rsid w:val="2FE117F8"/>
    <w:rsid w:val="2FE310A3"/>
    <w:rsid w:val="2FE894BB"/>
    <w:rsid w:val="2FEA508D"/>
    <w:rsid w:val="2FED4595"/>
    <w:rsid w:val="2FF3AC33"/>
    <w:rsid w:val="2FF639BB"/>
    <w:rsid w:val="2FFC44F0"/>
    <w:rsid w:val="3007E54A"/>
    <w:rsid w:val="300B0516"/>
    <w:rsid w:val="300BC425"/>
    <w:rsid w:val="300BF057"/>
    <w:rsid w:val="300F8533"/>
    <w:rsid w:val="3011914A"/>
    <w:rsid w:val="30132E2C"/>
    <w:rsid w:val="3014B15B"/>
    <w:rsid w:val="301B5656"/>
    <w:rsid w:val="301C38AB"/>
    <w:rsid w:val="3023887C"/>
    <w:rsid w:val="30238B1A"/>
    <w:rsid w:val="302606BB"/>
    <w:rsid w:val="302BEA3F"/>
    <w:rsid w:val="303601BD"/>
    <w:rsid w:val="30376EAB"/>
    <w:rsid w:val="30396460"/>
    <w:rsid w:val="304458D0"/>
    <w:rsid w:val="30474E64"/>
    <w:rsid w:val="304824FA"/>
    <w:rsid w:val="30483033"/>
    <w:rsid w:val="3049C54A"/>
    <w:rsid w:val="304A7E42"/>
    <w:rsid w:val="304B78DE"/>
    <w:rsid w:val="304EB26C"/>
    <w:rsid w:val="3050CB7F"/>
    <w:rsid w:val="3050DCC6"/>
    <w:rsid w:val="3052BCA4"/>
    <w:rsid w:val="3054E0EE"/>
    <w:rsid w:val="30566C9D"/>
    <w:rsid w:val="30598714"/>
    <w:rsid w:val="305BB63B"/>
    <w:rsid w:val="305D8313"/>
    <w:rsid w:val="30675180"/>
    <w:rsid w:val="3068AA26"/>
    <w:rsid w:val="3069F03C"/>
    <w:rsid w:val="306A7CEF"/>
    <w:rsid w:val="306B4D21"/>
    <w:rsid w:val="306EED03"/>
    <w:rsid w:val="307B3458"/>
    <w:rsid w:val="307B416A"/>
    <w:rsid w:val="307B8139"/>
    <w:rsid w:val="307C4F79"/>
    <w:rsid w:val="307E26A8"/>
    <w:rsid w:val="308450A9"/>
    <w:rsid w:val="3086048D"/>
    <w:rsid w:val="308F7075"/>
    <w:rsid w:val="3092BF18"/>
    <w:rsid w:val="3092F4E1"/>
    <w:rsid w:val="30935D38"/>
    <w:rsid w:val="3094FA17"/>
    <w:rsid w:val="309581C2"/>
    <w:rsid w:val="30958B3A"/>
    <w:rsid w:val="30963E4E"/>
    <w:rsid w:val="309E5E36"/>
    <w:rsid w:val="30A520FD"/>
    <w:rsid w:val="30A8FB7C"/>
    <w:rsid w:val="30B0751E"/>
    <w:rsid w:val="30B78299"/>
    <w:rsid w:val="30B7D3E3"/>
    <w:rsid w:val="30BD4B3C"/>
    <w:rsid w:val="30BD7B6A"/>
    <w:rsid w:val="30BF2BE7"/>
    <w:rsid w:val="30BFDD4B"/>
    <w:rsid w:val="30C39292"/>
    <w:rsid w:val="30C40E6C"/>
    <w:rsid w:val="30CD16A9"/>
    <w:rsid w:val="30D4615B"/>
    <w:rsid w:val="30D4B753"/>
    <w:rsid w:val="30D5BDA8"/>
    <w:rsid w:val="30D779B4"/>
    <w:rsid w:val="30D8050B"/>
    <w:rsid w:val="30D805BA"/>
    <w:rsid w:val="30D847E8"/>
    <w:rsid w:val="30E624AE"/>
    <w:rsid w:val="30E78D05"/>
    <w:rsid w:val="30E91A1F"/>
    <w:rsid w:val="30EDF720"/>
    <w:rsid w:val="30F0CD58"/>
    <w:rsid w:val="30F8DE00"/>
    <w:rsid w:val="30F9D3D3"/>
    <w:rsid w:val="30FA0E3A"/>
    <w:rsid w:val="30FBA3EC"/>
    <w:rsid w:val="30FFCE6E"/>
    <w:rsid w:val="3101E289"/>
    <w:rsid w:val="3103987E"/>
    <w:rsid w:val="31091CF9"/>
    <w:rsid w:val="31095F61"/>
    <w:rsid w:val="310C89EA"/>
    <w:rsid w:val="3114D836"/>
    <w:rsid w:val="311B1B87"/>
    <w:rsid w:val="311B66D9"/>
    <w:rsid w:val="3120660D"/>
    <w:rsid w:val="312404A3"/>
    <w:rsid w:val="3128D6C7"/>
    <w:rsid w:val="31305308"/>
    <w:rsid w:val="3130CB4A"/>
    <w:rsid w:val="3135D4AA"/>
    <w:rsid w:val="31377F8F"/>
    <w:rsid w:val="313C9CFC"/>
    <w:rsid w:val="313F4A56"/>
    <w:rsid w:val="314819ED"/>
    <w:rsid w:val="314ADC0D"/>
    <w:rsid w:val="314BC290"/>
    <w:rsid w:val="314C5B14"/>
    <w:rsid w:val="314D1B7A"/>
    <w:rsid w:val="315660CC"/>
    <w:rsid w:val="3156ECD5"/>
    <w:rsid w:val="3158D433"/>
    <w:rsid w:val="315E6F8E"/>
    <w:rsid w:val="315F3313"/>
    <w:rsid w:val="3160929F"/>
    <w:rsid w:val="316B000A"/>
    <w:rsid w:val="316E0B79"/>
    <w:rsid w:val="316F5189"/>
    <w:rsid w:val="31715EF6"/>
    <w:rsid w:val="317166CB"/>
    <w:rsid w:val="3172B0C4"/>
    <w:rsid w:val="31750B10"/>
    <w:rsid w:val="31764089"/>
    <w:rsid w:val="31775E69"/>
    <w:rsid w:val="31797608"/>
    <w:rsid w:val="31797DD0"/>
    <w:rsid w:val="3179F5D8"/>
    <w:rsid w:val="317D6AA3"/>
    <w:rsid w:val="31839C99"/>
    <w:rsid w:val="3183A98C"/>
    <w:rsid w:val="3187BE62"/>
    <w:rsid w:val="318BDE6C"/>
    <w:rsid w:val="319094E8"/>
    <w:rsid w:val="31924DE0"/>
    <w:rsid w:val="3193CB2A"/>
    <w:rsid w:val="31979E10"/>
    <w:rsid w:val="3197FA49"/>
    <w:rsid w:val="319C4B85"/>
    <w:rsid w:val="319CFEF3"/>
    <w:rsid w:val="319F1341"/>
    <w:rsid w:val="31A31188"/>
    <w:rsid w:val="31A3CBEE"/>
    <w:rsid w:val="31A978B4"/>
    <w:rsid w:val="31ACB204"/>
    <w:rsid w:val="31BA873A"/>
    <w:rsid w:val="31BE4000"/>
    <w:rsid w:val="31C03350"/>
    <w:rsid w:val="31C36BC4"/>
    <w:rsid w:val="31C38C88"/>
    <w:rsid w:val="31C618E4"/>
    <w:rsid w:val="31C97C6D"/>
    <w:rsid w:val="31C9F968"/>
    <w:rsid w:val="31CE958C"/>
    <w:rsid w:val="31D35136"/>
    <w:rsid w:val="31D4277D"/>
    <w:rsid w:val="31D85A3F"/>
    <w:rsid w:val="31D9298C"/>
    <w:rsid w:val="31E14960"/>
    <w:rsid w:val="31E1EF01"/>
    <w:rsid w:val="31E2F023"/>
    <w:rsid w:val="31E57161"/>
    <w:rsid w:val="31E6DFDF"/>
    <w:rsid w:val="31EA0141"/>
    <w:rsid w:val="31EB63F5"/>
    <w:rsid w:val="31EC1FA4"/>
    <w:rsid w:val="31EDBDBC"/>
    <w:rsid w:val="31EE15AE"/>
    <w:rsid w:val="31F2B0BD"/>
    <w:rsid w:val="31F373B4"/>
    <w:rsid w:val="31F58E8F"/>
    <w:rsid w:val="31F7F0C5"/>
    <w:rsid w:val="31FC3D19"/>
    <w:rsid w:val="320037B4"/>
    <w:rsid w:val="320419EC"/>
    <w:rsid w:val="32042A63"/>
    <w:rsid w:val="3207DACE"/>
    <w:rsid w:val="32096ADB"/>
    <w:rsid w:val="320AB52A"/>
    <w:rsid w:val="320C2E01"/>
    <w:rsid w:val="3216FFF4"/>
    <w:rsid w:val="321C22CA"/>
    <w:rsid w:val="3221B643"/>
    <w:rsid w:val="32226447"/>
    <w:rsid w:val="3222D406"/>
    <w:rsid w:val="3222DD4C"/>
    <w:rsid w:val="32246501"/>
    <w:rsid w:val="32280444"/>
    <w:rsid w:val="322A0402"/>
    <w:rsid w:val="322A3548"/>
    <w:rsid w:val="3230706E"/>
    <w:rsid w:val="3236D2C0"/>
    <w:rsid w:val="323BAF2A"/>
    <w:rsid w:val="32405869"/>
    <w:rsid w:val="3240A542"/>
    <w:rsid w:val="3241B301"/>
    <w:rsid w:val="324314A6"/>
    <w:rsid w:val="324A0DF8"/>
    <w:rsid w:val="324AEB04"/>
    <w:rsid w:val="324B52EA"/>
    <w:rsid w:val="324EA30F"/>
    <w:rsid w:val="32547A80"/>
    <w:rsid w:val="32558FFE"/>
    <w:rsid w:val="32564D6B"/>
    <w:rsid w:val="3257E0BA"/>
    <w:rsid w:val="325EFD2B"/>
    <w:rsid w:val="32600687"/>
    <w:rsid w:val="32609E3B"/>
    <w:rsid w:val="326301BC"/>
    <w:rsid w:val="32653797"/>
    <w:rsid w:val="326727A3"/>
    <w:rsid w:val="32696548"/>
    <w:rsid w:val="326C1C1B"/>
    <w:rsid w:val="326CC32C"/>
    <w:rsid w:val="326F6160"/>
    <w:rsid w:val="3270B941"/>
    <w:rsid w:val="32725F48"/>
    <w:rsid w:val="32731B95"/>
    <w:rsid w:val="327D5BE7"/>
    <w:rsid w:val="327F6034"/>
    <w:rsid w:val="32862F4C"/>
    <w:rsid w:val="32898937"/>
    <w:rsid w:val="328BFAEE"/>
    <w:rsid w:val="32918D71"/>
    <w:rsid w:val="32938C93"/>
    <w:rsid w:val="32998F85"/>
    <w:rsid w:val="329FB08D"/>
    <w:rsid w:val="32A066BA"/>
    <w:rsid w:val="32A51333"/>
    <w:rsid w:val="32A6EC0B"/>
    <w:rsid w:val="32AB34A0"/>
    <w:rsid w:val="32AD116C"/>
    <w:rsid w:val="32AD906C"/>
    <w:rsid w:val="32AFD8DA"/>
    <w:rsid w:val="32B11F77"/>
    <w:rsid w:val="32B17D0D"/>
    <w:rsid w:val="32B343CE"/>
    <w:rsid w:val="32B9CAEC"/>
    <w:rsid w:val="32BD943E"/>
    <w:rsid w:val="32C42D95"/>
    <w:rsid w:val="32C6C24F"/>
    <w:rsid w:val="32C6ED62"/>
    <w:rsid w:val="32CBF061"/>
    <w:rsid w:val="32D2EB82"/>
    <w:rsid w:val="32DA2A60"/>
    <w:rsid w:val="32DB1D44"/>
    <w:rsid w:val="32E0DFAB"/>
    <w:rsid w:val="32EFE5A6"/>
    <w:rsid w:val="32F864B4"/>
    <w:rsid w:val="32F8A0E9"/>
    <w:rsid w:val="32FDB4CC"/>
    <w:rsid w:val="3303B024"/>
    <w:rsid w:val="3304121F"/>
    <w:rsid w:val="3309E320"/>
    <w:rsid w:val="330C01C2"/>
    <w:rsid w:val="330E144C"/>
    <w:rsid w:val="3311ADB9"/>
    <w:rsid w:val="33131816"/>
    <w:rsid w:val="33139C5F"/>
    <w:rsid w:val="3314656D"/>
    <w:rsid w:val="33239C2A"/>
    <w:rsid w:val="3323BBC0"/>
    <w:rsid w:val="33258FC3"/>
    <w:rsid w:val="3326472A"/>
    <w:rsid w:val="3328DCEB"/>
    <w:rsid w:val="332AE92B"/>
    <w:rsid w:val="332BE565"/>
    <w:rsid w:val="33312A20"/>
    <w:rsid w:val="33379006"/>
    <w:rsid w:val="333C7954"/>
    <w:rsid w:val="333DD0A6"/>
    <w:rsid w:val="3344EFBD"/>
    <w:rsid w:val="33454BD4"/>
    <w:rsid w:val="33493DDF"/>
    <w:rsid w:val="3349DD9A"/>
    <w:rsid w:val="334C20F9"/>
    <w:rsid w:val="3351F376"/>
    <w:rsid w:val="335746DA"/>
    <w:rsid w:val="335A3343"/>
    <w:rsid w:val="335A81CA"/>
    <w:rsid w:val="335F05CC"/>
    <w:rsid w:val="335F8A43"/>
    <w:rsid w:val="33618637"/>
    <w:rsid w:val="3369E404"/>
    <w:rsid w:val="336B93CF"/>
    <w:rsid w:val="337288CE"/>
    <w:rsid w:val="337775CB"/>
    <w:rsid w:val="337B28AE"/>
    <w:rsid w:val="33812B57"/>
    <w:rsid w:val="338410D5"/>
    <w:rsid w:val="3388ADBD"/>
    <w:rsid w:val="338C7C8B"/>
    <w:rsid w:val="33933D0B"/>
    <w:rsid w:val="339C8992"/>
    <w:rsid w:val="339D8371"/>
    <w:rsid w:val="339E02D0"/>
    <w:rsid w:val="33A02AC7"/>
    <w:rsid w:val="33A0E6CA"/>
    <w:rsid w:val="33A5607F"/>
    <w:rsid w:val="33A9AF06"/>
    <w:rsid w:val="33AEB2F4"/>
    <w:rsid w:val="33B1F4ED"/>
    <w:rsid w:val="33B2194F"/>
    <w:rsid w:val="33BC92C0"/>
    <w:rsid w:val="33C09DF0"/>
    <w:rsid w:val="33C2E5E0"/>
    <w:rsid w:val="33C874E3"/>
    <w:rsid w:val="33CA428B"/>
    <w:rsid w:val="33CFD091"/>
    <w:rsid w:val="33D2C0F2"/>
    <w:rsid w:val="33D832BD"/>
    <w:rsid w:val="33DAB22F"/>
    <w:rsid w:val="33DB0CD3"/>
    <w:rsid w:val="33DBC714"/>
    <w:rsid w:val="33E2A17F"/>
    <w:rsid w:val="33E77386"/>
    <w:rsid w:val="33E7CD24"/>
    <w:rsid w:val="33F78D57"/>
    <w:rsid w:val="3404AA9D"/>
    <w:rsid w:val="340541EE"/>
    <w:rsid w:val="34067C8B"/>
    <w:rsid w:val="340A2CCF"/>
    <w:rsid w:val="340A4948"/>
    <w:rsid w:val="340B4D24"/>
    <w:rsid w:val="340E311E"/>
    <w:rsid w:val="3415BB34"/>
    <w:rsid w:val="341FA46D"/>
    <w:rsid w:val="341FAEE8"/>
    <w:rsid w:val="342025BE"/>
    <w:rsid w:val="342ADC91"/>
    <w:rsid w:val="342BF28C"/>
    <w:rsid w:val="3430B03D"/>
    <w:rsid w:val="3432CBFB"/>
    <w:rsid w:val="3432FB51"/>
    <w:rsid w:val="3435799B"/>
    <w:rsid w:val="34360338"/>
    <w:rsid w:val="343707C5"/>
    <w:rsid w:val="343C9EEC"/>
    <w:rsid w:val="343E4B9F"/>
    <w:rsid w:val="343E6CD3"/>
    <w:rsid w:val="343E76FB"/>
    <w:rsid w:val="343FD275"/>
    <w:rsid w:val="3441514C"/>
    <w:rsid w:val="3443876E"/>
    <w:rsid w:val="344CFF0F"/>
    <w:rsid w:val="34567080"/>
    <w:rsid w:val="3459C338"/>
    <w:rsid w:val="34641BE9"/>
    <w:rsid w:val="3470D403"/>
    <w:rsid w:val="3470D9DC"/>
    <w:rsid w:val="3472032D"/>
    <w:rsid w:val="347488FF"/>
    <w:rsid w:val="347A8D51"/>
    <w:rsid w:val="347DB2DF"/>
    <w:rsid w:val="34849099"/>
    <w:rsid w:val="348865E7"/>
    <w:rsid w:val="3494B84B"/>
    <w:rsid w:val="3495604F"/>
    <w:rsid w:val="34957D69"/>
    <w:rsid w:val="349587FB"/>
    <w:rsid w:val="349A66CD"/>
    <w:rsid w:val="349D7C38"/>
    <w:rsid w:val="349F0A87"/>
    <w:rsid w:val="34A00518"/>
    <w:rsid w:val="34A05010"/>
    <w:rsid w:val="34A10898"/>
    <w:rsid w:val="34A11596"/>
    <w:rsid w:val="34A21D17"/>
    <w:rsid w:val="34AAAA5E"/>
    <w:rsid w:val="34B995DA"/>
    <w:rsid w:val="34BBBA1A"/>
    <w:rsid w:val="34C0359E"/>
    <w:rsid w:val="34C6EE72"/>
    <w:rsid w:val="34C9C7BE"/>
    <w:rsid w:val="34D16CB9"/>
    <w:rsid w:val="34D1E732"/>
    <w:rsid w:val="34D4128E"/>
    <w:rsid w:val="34D6A278"/>
    <w:rsid w:val="34D87CA3"/>
    <w:rsid w:val="34DE89D1"/>
    <w:rsid w:val="34DFC575"/>
    <w:rsid w:val="34E03D71"/>
    <w:rsid w:val="34E44258"/>
    <w:rsid w:val="34E8C88C"/>
    <w:rsid w:val="34EABCCB"/>
    <w:rsid w:val="34EC4932"/>
    <w:rsid w:val="34F1F588"/>
    <w:rsid w:val="34FC0ED7"/>
    <w:rsid w:val="34FEFDFE"/>
    <w:rsid w:val="34FF5008"/>
    <w:rsid w:val="350202D7"/>
    <w:rsid w:val="3504B9A8"/>
    <w:rsid w:val="3504FB6E"/>
    <w:rsid w:val="350908EF"/>
    <w:rsid w:val="350B7C73"/>
    <w:rsid w:val="35111D92"/>
    <w:rsid w:val="3519B5AD"/>
    <w:rsid w:val="351BB8E9"/>
    <w:rsid w:val="351C16F0"/>
    <w:rsid w:val="351DCC50"/>
    <w:rsid w:val="3526D451"/>
    <w:rsid w:val="35295A80"/>
    <w:rsid w:val="352A1FEA"/>
    <w:rsid w:val="352E93F9"/>
    <w:rsid w:val="35313797"/>
    <w:rsid w:val="35332A52"/>
    <w:rsid w:val="353387F7"/>
    <w:rsid w:val="3535B97B"/>
    <w:rsid w:val="3536F78C"/>
    <w:rsid w:val="35389EDC"/>
    <w:rsid w:val="353A5D29"/>
    <w:rsid w:val="353AAF9B"/>
    <w:rsid w:val="353B3BB2"/>
    <w:rsid w:val="353B4A65"/>
    <w:rsid w:val="353F8078"/>
    <w:rsid w:val="35406A3C"/>
    <w:rsid w:val="35415649"/>
    <w:rsid w:val="35417902"/>
    <w:rsid w:val="3545A3B3"/>
    <w:rsid w:val="3549B282"/>
    <w:rsid w:val="3554D546"/>
    <w:rsid w:val="35551F8F"/>
    <w:rsid w:val="3556C850"/>
    <w:rsid w:val="35583450"/>
    <w:rsid w:val="3559F03A"/>
    <w:rsid w:val="35652FBD"/>
    <w:rsid w:val="35692326"/>
    <w:rsid w:val="356E7CBD"/>
    <w:rsid w:val="35750655"/>
    <w:rsid w:val="35782F7B"/>
    <w:rsid w:val="357EB4FC"/>
    <w:rsid w:val="35806A0D"/>
    <w:rsid w:val="3581FC9B"/>
    <w:rsid w:val="358796AE"/>
    <w:rsid w:val="3588B4A7"/>
    <w:rsid w:val="358A5330"/>
    <w:rsid w:val="35A07DA4"/>
    <w:rsid w:val="35A11D31"/>
    <w:rsid w:val="35A3BC29"/>
    <w:rsid w:val="35A50EEA"/>
    <w:rsid w:val="35A8EA28"/>
    <w:rsid w:val="35AA20B7"/>
    <w:rsid w:val="35AB144C"/>
    <w:rsid w:val="35B3098A"/>
    <w:rsid w:val="35B6CE7C"/>
    <w:rsid w:val="35B7B27F"/>
    <w:rsid w:val="35B9D97C"/>
    <w:rsid w:val="35BA29C2"/>
    <w:rsid w:val="35C6731A"/>
    <w:rsid w:val="35CD45B8"/>
    <w:rsid w:val="35DA688A"/>
    <w:rsid w:val="35DCA8D6"/>
    <w:rsid w:val="35E54898"/>
    <w:rsid w:val="35E68D09"/>
    <w:rsid w:val="35E8468D"/>
    <w:rsid w:val="35EA6C59"/>
    <w:rsid w:val="35EEF6F0"/>
    <w:rsid w:val="35EFBE60"/>
    <w:rsid w:val="35F482FB"/>
    <w:rsid w:val="35F5F3A2"/>
    <w:rsid w:val="35F5FF4B"/>
    <w:rsid w:val="35F6B816"/>
    <w:rsid w:val="35FBFDEB"/>
    <w:rsid w:val="35FF43CC"/>
    <w:rsid w:val="3605220E"/>
    <w:rsid w:val="36089509"/>
    <w:rsid w:val="360D4BD4"/>
    <w:rsid w:val="360F4CDA"/>
    <w:rsid w:val="360F4D8C"/>
    <w:rsid w:val="3611A3E4"/>
    <w:rsid w:val="3614566B"/>
    <w:rsid w:val="36189CFF"/>
    <w:rsid w:val="361A94DA"/>
    <w:rsid w:val="361B7AF0"/>
    <w:rsid w:val="361BC2AB"/>
    <w:rsid w:val="361F5F5F"/>
    <w:rsid w:val="3620B123"/>
    <w:rsid w:val="3620DC07"/>
    <w:rsid w:val="36272B50"/>
    <w:rsid w:val="362735CE"/>
    <w:rsid w:val="36292B33"/>
    <w:rsid w:val="362E0148"/>
    <w:rsid w:val="362E64BA"/>
    <w:rsid w:val="363173FC"/>
    <w:rsid w:val="36349001"/>
    <w:rsid w:val="3634BA5F"/>
    <w:rsid w:val="363D0075"/>
    <w:rsid w:val="36418961"/>
    <w:rsid w:val="3642D16A"/>
    <w:rsid w:val="3646402D"/>
    <w:rsid w:val="3646F51D"/>
    <w:rsid w:val="36474146"/>
    <w:rsid w:val="3652DAB6"/>
    <w:rsid w:val="36555AEE"/>
    <w:rsid w:val="36604DE8"/>
    <w:rsid w:val="36616B98"/>
    <w:rsid w:val="36639CE3"/>
    <w:rsid w:val="366571E2"/>
    <w:rsid w:val="366B683B"/>
    <w:rsid w:val="366EEEAC"/>
    <w:rsid w:val="3670158C"/>
    <w:rsid w:val="36715C49"/>
    <w:rsid w:val="3673258E"/>
    <w:rsid w:val="3673AF37"/>
    <w:rsid w:val="3676A8EC"/>
    <w:rsid w:val="3677820F"/>
    <w:rsid w:val="36A08B9E"/>
    <w:rsid w:val="36A4F145"/>
    <w:rsid w:val="36A59DCD"/>
    <w:rsid w:val="36AF0ECF"/>
    <w:rsid w:val="36BD88D7"/>
    <w:rsid w:val="36BF5575"/>
    <w:rsid w:val="36C143A4"/>
    <w:rsid w:val="36C4311C"/>
    <w:rsid w:val="36C6DD56"/>
    <w:rsid w:val="36C802FE"/>
    <w:rsid w:val="36CFBBB7"/>
    <w:rsid w:val="36D03D0E"/>
    <w:rsid w:val="36D24B4C"/>
    <w:rsid w:val="36D997C5"/>
    <w:rsid w:val="36DD1A47"/>
    <w:rsid w:val="36E14D3D"/>
    <w:rsid w:val="36E653E1"/>
    <w:rsid w:val="36E946EC"/>
    <w:rsid w:val="36EF12FE"/>
    <w:rsid w:val="36F24FDA"/>
    <w:rsid w:val="36F638BF"/>
    <w:rsid w:val="36FDCEA7"/>
    <w:rsid w:val="36FEE400"/>
    <w:rsid w:val="36FFC9B8"/>
    <w:rsid w:val="3700F660"/>
    <w:rsid w:val="3705650A"/>
    <w:rsid w:val="3706B009"/>
    <w:rsid w:val="3708C131"/>
    <w:rsid w:val="370939D3"/>
    <w:rsid w:val="370A19B6"/>
    <w:rsid w:val="370ACAF9"/>
    <w:rsid w:val="37104DD5"/>
    <w:rsid w:val="37120A4B"/>
    <w:rsid w:val="37175EBB"/>
    <w:rsid w:val="3717BDDF"/>
    <w:rsid w:val="371A0512"/>
    <w:rsid w:val="371E9FF1"/>
    <w:rsid w:val="371F4913"/>
    <w:rsid w:val="37209490"/>
    <w:rsid w:val="3722E7F8"/>
    <w:rsid w:val="37252C36"/>
    <w:rsid w:val="37258D59"/>
    <w:rsid w:val="3729BA55"/>
    <w:rsid w:val="37318D0F"/>
    <w:rsid w:val="373231D4"/>
    <w:rsid w:val="37335E53"/>
    <w:rsid w:val="3738BBF6"/>
    <w:rsid w:val="3739E7D1"/>
    <w:rsid w:val="373A1C36"/>
    <w:rsid w:val="373C9686"/>
    <w:rsid w:val="373DC710"/>
    <w:rsid w:val="374131C2"/>
    <w:rsid w:val="374EF785"/>
    <w:rsid w:val="3766F20F"/>
    <w:rsid w:val="37688A42"/>
    <w:rsid w:val="3769345A"/>
    <w:rsid w:val="3769DA70"/>
    <w:rsid w:val="376FCD23"/>
    <w:rsid w:val="37731660"/>
    <w:rsid w:val="37805EF9"/>
    <w:rsid w:val="378598DF"/>
    <w:rsid w:val="378DE91F"/>
    <w:rsid w:val="379051A1"/>
    <w:rsid w:val="379132A9"/>
    <w:rsid w:val="3792CA52"/>
    <w:rsid w:val="37946246"/>
    <w:rsid w:val="3796F3CD"/>
    <w:rsid w:val="379879D9"/>
    <w:rsid w:val="379F4998"/>
    <w:rsid w:val="37A39642"/>
    <w:rsid w:val="37A4CB13"/>
    <w:rsid w:val="37AD160C"/>
    <w:rsid w:val="37B10DF9"/>
    <w:rsid w:val="37B44B10"/>
    <w:rsid w:val="37B519A2"/>
    <w:rsid w:val="37BBC360"/>
    <w:rsid w:val="37BC22F1"/>
    <w:rsid w:val="37BF1AD9"/>
    <w:rsid w:val="37BFDB6D"/>
    <w:rsid w:val="37C58D51"/>
    <w:rsid w:val="37C8D722"/>
    <w:rsid w:val="37CA4133"/>
    <w:rsid w:val="37CA9AFE"/>
    <w:rsid w:val="37CAA917"/>
    <w:rsid w:val="37CB2075"/>
    <w:rsid w:val="37D0F38A"/>
    <w:rsid w:val="37D1AB7A"/>
    <w:rsid w:val="37D40F9C"/>
    <w:rsid w:val="37D8B86F"/>
    <w:rsid w:val="37D9721E"/>
    <w:rsid w:val="37DE173C"/>
    <w:rsid w:val="37DF2BBB"/>
    <w:rsid w:val="37E659CC"/>
    <w:rsid w:val="37E7239D"/>
    <w:rsid w:val="37EB3649"/>
    <w:rsid w:val="37EBD235"/>
    <w:rsid w:val="37ED678F"/>
    <w:rsid w:val="37F052E9"/>
    <w:rsid w:val="37F1064B"/>
    <w:rsid w:val="37F29BCD"/>
    <w:rsid w:val="37F2DB0F"/>
    <w:rsid w:val="380730CA"/>
    <w:rsid w:val="380A0A69"/>
    <w:rsid w:val="380D6F9F"/>
    <w:rsid w:val="380FE38B"/>
    <w:rsid w:val="38169BDF"/>
    <w:rsid w:val="3820243E"/>
    <w:rsid w:val="382090CF"/>
    <w:rsid w:val="38220346"/>
    <w:rsid w:val="3822F5EE"/>
    <w:rsid w:val="3822F5F6"/>
    <w:rsid w:val="38256B34"/>
    <w:rsid w:val="38265F7F"/>
    <w:rsid w:val="3828CF3D"/>
    <w:rsid w:val="382AA86A"/>
    <w:rsid w:val="38326917"/>
    <w:rsid w:val="3834B814"/>
    <w:rsid w:val="383BE6E4"/>
    <w:rsid w:val="3841574C"/>
    <w:rsid w:val="384332FC"/>
    <w:rsid w:val="384895DF"/>
    <w:rsid w:val="38541772"/>
    <w:rsid w:val="3854B7D6"/>
    <w:rsid w:val="38559F73"/>
    <w:rsid w:val="385A4C69"/>
    <w:rsid w:val="385BF060"/>
    <w:rsid w:val="385F3703"/>
    <w:rsid w:val="3860790B"/>
    <w:rsid w:val="38673064"/>
    <w:rsid w:val="3868283B"/>
    <w:rsid w:val="3873F574"/>
    <w:rsid w:val="38787F4B"/>
    <w:rsid w:val="388B24CC"/>
    <w:rsid w:val="388FBAD6"/>
    <w:rsid w:val="3896BF06"/>
    <w:rsid w:val="3898450E"/>
    <w:rsid w:val="389CC8BF"/>
    <w:rsid w:val="38A7D455"/>
    <w:rsid w:val="38A85F20"/>
    <w:rsid w:val="38A94619"/>
    <w:rsid w:val="38ABFB9C"/>
    <w:rsid w:val="38B0A4C3"/>
    <w:rsid w:val="38B58D0D"/>
    <w:rsid w:val="38B683F3"/>
    <w:rsid w:val="38B6FBA2"/>
    <w:rsid w:val="38C10FE8"/>
    <w:rsid w:val="38C2F129"/>
    <w:rsid w:val="38C58ABE"/>
    <w:rsid w:val="38C6E324"/>
    <w:rsid w:val="38C8EDE1"/>
    <w:rsid w:val="38D41F75"/>
    <w:rsid w:val="38D8AF46"/>
    <w:rsid w:val="38D8BD7C"/>
    <w:rsid w:val="38DA4ADA"/>
    <w:rsid w:val="38E25279"/>
    <w:rsid w:val="38E8DC8F"/>
    <w:rsid w:val="38EAD3B4"/>
    <w:rsid w:val="38EF8E74"/>
    <w:rsid w:val="38EFEB62"/>
    <w:rsid w:val="38FDB470"/>
    <w:rsid w:val="390A7BFE"/>
    <w:rsid w:val="390B0D56"/>
    <w:rsid w:val="39106996"/>
    <w:rsid w:val="3912C164"/>
    <w:rsid w:val="39143E87"/>
    <w:rsid w:val="39198E5D"/>
    <w:rsid w:val="391C08F5"/>
    <w:rsid w:val="391EAA7A"/>
    <w:rsid w:val="392526FA"/>
    <w:rsid w:val="39275A7F"/>
    <w:rsid w:val="39276439"/>
    <w:rsid w:val="39299DD1"/>
    <w:rsid w:val="392B030B"/>
    <w:rsid w:val="3930115E"/>
    <w:rsid w:val="3930D617"/>
    <w:rsid w:val="39329E8D"/>
    <w:rsid w:val="3936617B"/>
    <w:rsid w:val="3938A134"/>
    <w:rsid w:val="393C8D31"/>
    <w:rsid w:val="393EFA06"/>
    <w:rsid w:val="3949E373"/>
    <w:rsid w:val="3950ECD3"/>
    <w:rsid w:val="3956220B"/>
    <w:rsid w:val="39595ECE"/>
    <w:rsid w:val="39598D99"/>
    <w:rsid w:val="39641911"/>
    <w:rsid w:val="3966278C"/>
    <w:rsid w:val="396A12C1"/>
    <w:rsid w:val="396E5323"/>
    <w:rsid w:val="3974E9DB"/>
    <w:rsid w:val="397644E0"/>
    <w:rsid w:val="39782A20"/>
    <w:rsid w:val="397ABCA4"/>
    <w:rsid w:val="397B00CC"/>
    <w:rsid w:val="397C9F0B"/>
    <w:rsid w:val="397DFFD5"/>
    <w:rsid w:val="3981CAF7"/>
    <w:rsid w:val="398AE129"/>
    <w:rsid w:val="398CA355"/>
    <w:rsid w:val="39990C2F"/>
    <w:rsid w:val="399D0857"/>
    <w:rsid w:val="39A4924E"/>
    <w:rsid w:val="39A79857"/>
    <w:rsid w:val="39A948B7"/>
    <w:rsid w:val="39AA42F8"/>
    <w:rsid w:val="39AE9122"/>
    <w:rsid w:val="39BD2ACC"/>
    <w:rsid w:val="39C568D6"/>
    <w:rsid w:val="39C5E6C0"/>
    <w:rsid w:val="39C6FE42"/>
    <w:rsid w:val="39C737EB"/>
    <w:rsid w:val="39C91CD0"/>
    <w:rsid w:val="39CE6564"/>
    <w:rsid w:val="39D31126"/>
    <w:rsid w:val="39D5E419"/>
    <w:rsid w:val="39D6E393"/>
    <w:rsid w:val="39D75B6F"/>
    <w:rsid w:val="39D87F77"/>
    <w:rsid w:val="39DB5B4E"/>
    <w:rsid w:val="39DF6611"/>
    <w:rsid w:val="39E3B5B9"/>
    <w:rsid w:val="39E5621C"/>
    <w:rsid w:val="39E56497"/>
    <w:rsid w:val="39E5BE1B"/>
    <w:rsid w:val="39E70463"/>
    <w:rsid w:val="39E7C01E"/>
    <w:rsid w:val="39E8EFEB"/>
    <w:rsid w:val="39EA3454"/>
    <w:rsid w:val="39EB6846"/>
    <w:rsid w:val="39EE19B2"/>
    <w:rsid w:val="39EF6B23"/>
    <w:rsid w:val="39EFE5B0"/>
    <w:rsid w:val="39F715B6"/>
    <w:rsid w:val="39F7C119"/>
    <w:rsid w:val="39F7F940"/>
    <w:rsid w:val="39F956E2"/>
    <w:rsid w:val="39FD8668"/>
    <w:rsid w:val="39FFC7A3"/>
    <w:rsid w:val="39FFC9DC"/>
    <w:rsid w:val="3A054B7F"/>
    <w:rsid w:val="3A1098AA"/>
    <w:rsid w:val="3A11E99C"/>
    <w:rsid w:val="3A1714EA"/>
    <w:rsid w:val="3A18146E"/>
    <w:rsid w:val="3A18B413"/>
    <w:rsid w:val="3A18E7CB"/>
    <w:rsid w:val="3A1B90D0"/>
    <w:rsid w:val="3A2238EB"/>
    <w:rsid w:val="3A226D5F"/>
    <w:rsid w:val="3A2506FE"/>
    <w:rsid w:val="3A279131"/>
    <w:rsid w:val="3A28114C"/>
    <w:rsid w:val="3A288DBA"/>
    <w:rsid w:val="3A2950F2"/>
    <w:rsid w:val="3A2A27AE"/>
    <w:rsid w:val="3A2D36D2"/>
    <w:rsid w:val="3A2F6719"/>
    <w:rsid w:val="3A374096"/>
    <w:rsid w:val="3A3931A5"/>
    <w:rsid w:val="3A45A90A"/>
    <w:rsid w:val="3A462C50"/>
    <w:rsid w:val="3A4B1A72"/>
    <w:rsid w:val="3A4BBCE4"/>
    <w:rsid w:val="3A4D7737"/>
    <w:rsid w:val="3A5264EA"/>
    <w:rsid w:val="3A532031"/>
    <w:rsid w:val="3A55BF98"/>
    <w:rsid w:val="3A55F302"/>
    <w:rsid w:val="3A56C040"/>
    <w:rsid w:val="3A56E2B8"/>
    <w:rsid w:val="3A5870DB"/>
    <w:rsid w:val="3A5C8CC4"/>
    <w:rsid w:val="3A61FA33"/>
    <w:rsid w:val="3A65C77E"/>
    <w:rsid w:val="3A66137A"/>
    <w:rsid w:val="3A67265B"/>
    <w:rsid w:val="3A69D2D7"/>
    <w:rsid w:val="3A69F46E"/>
    <w:rsid w:val="3A6BD20E"/>
    <w:rsid w:val="3A6FF654"/>
    <w:rsid w:val="3A732E74"/>
    <w:rsid w:val="3A75AE52"/>
    <w:rsid w:val="3A7694B3"/>
    <w:rsid w:val="3A7847CB"/>
    <w:rsid w:val="3A7F33A8"/>
    <w:rsid w:val="3A850072"/>
    <w:rsid w:val="3A8A036F"/>
    <w:rsid w:val="3A8F4DE0"/>
    <w:rsid w:val="3A901DC6"/>
    <w:rsid w:val="3A970C8F"/>
    <w:rsid w:val="3A9D2575"/>
    <w:rsid w:val="3A9E620A"/>
    <w:rsid w:val="3A9EF681"/>
    <w:rsid w:val="3A9F3038"/>
    <w:rsid w:val="3AA823B4"/>
    <w:rsid w:val="3AADE428"/>
    <w:rsid w:val="3AAFB3E5"/>
    <w:rsid w:val="3AB0751B"/>
    <w:rsid w:val="3AB1B701"/>
    <w:rsid w:val="3AB38939"/>
    <w:rsid w:val="3AB4E202"/>
    <w:rsid w:val="3AB662D0"/>
    <w:rsid w:val="3AB78DAD"/>
    <w:rsid w:val="3AB895EA"/>
    <w:rsid w:val="3ABD280B"/>
    <w:rsid w:val="3ABD7E5E"/>
    <w:rsid w:val="3AC3833F"/>
    <w:rsid w:val="3AC3CFB1"/>
    <w:rsid w:val="3AC4AB5A"/>
    <w:rsid w:val="3AC4B83B"/>
    <w:rsid w:val="3AC57CE0"/>
    <w:rsid w:val="3AC6B451"/>
    <w:rsid w:val="3AC70201"/>
    <w:rsid w:val="3ACC0991"/>
    <w:rsid w:val="3AD885C2"/>
    <w:rsid w:val="3AD97574"/>
    <w:rsid w:val="3ADBB78C"/>
    <w:rsid w:val="3ADE49A9"/>
    <w:rsid w:val="3AE0E1C6"/>
    <w:rsid w:val="3AE59706"/>
    <w:rsid w:val="3AEA106C"/>
    <w:rsid w:val="3AF7A33F"/>
    <w:rsid w:val="3AF91496"/>
    <w:rsid w:val="3AFA1507"/>
    <w:rsid w:val="3B03265B"/>
    <w:rsid w:val="3B12BC28"/>
    <w:rsid w:val="3B1590EF"/>
    <w:rsid w:val="3B185065"/>
    <w:rsid w:val="3B1DDDFA"/>
    <w:rsid w:val="3B1F1F6A"/>
    <w:rsid w:val="3B26BA6B"/>
    <w:rsid w:val="3B2A2F7D"/>
    <w:rsid w:val="3B2BE13D"/>
    <w:rsid w:val="3B31C4B8"/>
    <w:rsid w:val="3B345E84"/>
    <w:rsid w:val="3B3760C4"/>
    <w:rsid w:val="3B39542D"/>
    <w:rsid w:val="3B406E06"/>
    <w:rsid w:val="3B456135"/>
    <w:rsid w:val="3B49B8F6"/>
    <w:rsid w:val="3B4C7EFA"/>
    <w:rsid w:val="3B50CD39"/>
    <w:rsid w:val="3B51F0FB"/>
    <w:rsid w:val="3B564D59"/>
    <w:rsid w:val="3B57190C"/>
    <w:rsid w:val="3B57915B"/>
    <w:rsid w:val="3B57D0B7"/>
    <w:rsid w:val="3B5E573A"/>
    <w:rsid w:val="3B62C760"/>
    <w:rsid w:val="3B63FDFD"/>
    <w:rsid w:val="3B641BA5"/>
    <w:rsid w:val="3B649DE1"/>
    <w:rsid w:val="3B679EE7"/>
    <w:rsid w:val="3B68899C"/>
    <w:rsid w:val="3B68F516"/>
    <w:rsid w:val="3B69D06A"/>
    <w:rsid w:val="3B6CD304"/>
    <w:rsid w:val="3B70A76E"/>
    <w:rsid w:val="3B748D57"/>
    <w:rsid w:val="3B77F1F2"/>
    <w:rsid w:val="3B78213D"/>
    <w:rsid w:val="3B7AE402"/>
    <w:rsid w:val="3B7E6D73"/>
    <w:rsid w:val="3B824AF7"/>
    <w:rsid w:val="3B84FCCE"/>
    <w:rsid w:val="3B854422"/>
    <w:rsid w:val="3B885C5E"/>
    <w:rsid w:val="3B929E1C"/>
    <w:rsid w:val="3B934DD4"/>
    <w:rsid w:val="3B96B537"/>
    <w:rsid w:val="3B9A5E40"/>
    <w:rsid w:val="3B9B2300"/>
    <w:rsid w:val="3B9BF3B7"/>
    <w:rsid w:val="3BA30F0D"/>
    <w:rsid w:val="3BA35CCB"/>
    <w:rsid w:val="3BAB0556"/>
    <w:rsid w:val="3BABC0E2"/>
    <w:rsid w:val="3BABD2B5"/>
    <w:rsid w:val="3BAC5EBA"/>
    <w:rsid w:val="3BADE181"/>
    <w:rsid w:val="3BAE849F"/>
    <w:rsid w:val="3BB01731"/>
    <w:rsid w:val="3BB78A46"/>
    <w:rsid w:val="3BBEFD98"/>
    <w:rsid w:val="3BCB0AC6"/>
    <w:rsid w:val="3BCFFACA"/>
    <w:rsid w:val="3BD339FE"/>
    <w:rsid w:val="3BD6E274"/>
    <w:rsid w:val="3BD71BAF"/>
    <w:rsid w:val="3BDB0802"/>
    <w:rsid w:val="3BDE3078"/>
    <w:rsid w:val="3BE009D7"/>
    <w:rsid w:val="3BE4C99B"/>
    <w:rsid w:val="3BE617C1"/>
    <w:rsid w:val="3BE724BD"/>
    <w:rsid w:val="3BEA3D39"/>
    <w:rsid w:val="3BEAD437"/>
    <w:rsid w:val="3BEC55A7"/>
    <w:rsid w:val="3BED70DF"/>
    <w:rsid w:val="3BEE6D28"/>
    <w:rsid w:val="3BEF12BE"/>
    <w:rsid w:val="3BEF1477"/>
    <w:rsid w:val="3BF0DA44"/>
    <w:rsid w:val="3BF20607"/>
    <w:rsid w:val="3BF98603"/>
    <w:rsid w:val="3BFC1600"/>
    <w:rsid w:val="3C00C3F7"/>
    <w:rsid w:val="3C0308B7"/>
    <w:rsid w:val="3C03DB8F"/>
    <w:rsid w:val="3C050D97"/>
    <w:rsid w:val="3C0622D3"/>
    <w:rsid w:val="3C0CEF9E"/>
    <w:rsid w:val="3C110A70"/>
    <w:rsid w:val="3C1296AB"/>
    <w:rsid w:val="3C1474C8"/>
    <w:rsid w:val="3C155378"/>
    <w:rsid w:val="3C15880E"/>
    <w:rsid w:val="3C189502"/>
    <w:rsid w:val="3C2498D7"/>
    <w:rsid w:val="3C24A7F9"/>
    <w:rsid w:val="3C25365F"/>
    <w:rsid w:val="3C28C06D"/>
    <w:rsid w:val="3C2A5C82"/>
    <w:rsid w:val="3C2B635D"/>
    <w:rsid w:val="3C2F0C16"/>
    <w:rsid w:val="3C30786B"/>
    <w:rsid w:val="3C308961"/>
    <w:rsid w:val="3C3226E0"/>
    <w:rsid w:val="3C33FBB5"/>
    <w:rsid w:val="3C37CB20"/>
    <w:rsid w:val="3C394994"/>
    <w:rsid w:val="3C398DAA"/>
    <w:rsid w:val="3C3B6A19"/>
    <w:rsid w:val="3C3C5193"/>
    <w:rsid w:val="3C42473E"/>
    <w:rsid w:val="3C42E305"/>
    <w:rsid w:val="3C511141"/>
    <w:rsid w:val="3C516F5C"/>
    <w:rsid w:val="3C54A272"/>
    <w:rsid w:val="3C550E90"/>
    <w:rsid w:val="3C5F75D1"/>
    <w:rsid w:val="3C6117FE"/>
    <w:rsid w:val="3C6802E4"/>
    <w:rsid w:val="3C6FF7B0"/>
    <w:rsid w:val="3C82E46E"/>
    <w:rsid w:val="3C85D7DA"/>
    <w:rsid w:val="3C8995F5"/>
    <w:rsid w:val="3C8A62D4"/>
    <w:rsid w:val="3C8E0298"/>
    <w:rsid w:val="3C8E9685"/>
    <w:rsid w:val="3C90CBA7"/>
    <w:rsid w:val="3C934F07"/>
    <w:rsid w:val="3C947639"/>
    <w:rsid w:val="3C98BD6B"/>
    <w:rsid w:val="3C9AD6E1"/>
    <w:rsid w:val="3C9E0FFD"/>
    <w:rsid w:val="3C9EDEF6"/>
    <w:rsid w:val="3CA1D54B"/>
    <w:rsid w:val="3CA4D0EB"/>
    <w:rsid w:val="3CA78C08"/>
    <w:rsid w:val="3CAA51B1"/>
    <w:rsid w:val="3CAC4B00"/>
    <w:rsid w:val="3CB0ABEA"/>
    <w:rsid w:val="3CB1FED8"/>
    <w:rsid w:val="3CB544D3"/>
    <w:rsid w:val="3CB64166"/>
    <w:rsid w:val="3CB80AEB"/>
    <w:rsid w:val="3CBB7B95"/>
    <w:rsid w:val="3CBFD0FE"/>
    <w:rsid w:val="3CC7831C"/>
    <w:rsid w:val="3CCC6463"/>
    <w:rsid w:val="3CD0B8D2"/>
    <w:rsid w:val="3CD85B8F"/>
    <w:rsid w:val="3CDB0184"/>
    <w:rsid w:val="3CDCF3DE"/>
    <w:rsid w:val="3CDE0AB2"/>
    <w:rsid w:val="3CE2186D"/>
    <w:rsid w:val="3CE26775"/>
    <w:rsid w:val="3CE467E4"/>
    <w:rsid w:val="3CE8826D"/>
    <w:rsid w:val="3CF38737"/>
    <w:rsid w:val="3CF44ED5"/>
    <w:rsid w:val="3CF80902"/>
    <w:rsid w:val="3CF86B2A"/>
    <w:rsid w:val="3CF9B782"/>
    <w:rsid w:val="3CFA6901"/>
    <w:rsid w:val="3CFEE053"/>
    <w:rsid w:val="3D0152C3"/>
    <w:rsid w:val="3D07C5E4"/>
    <w:rsid w:val="3D0FC8FC"/>
    <w:rsid w:val="3D111515"/>
    <w:rsid w:val="3D185C5A"/>
    <w:rsid w:val="3D1A3748"/>
    <w:rsid w:val="3D1B208E"/>
    <w:rsid w:val="3D1C18EF"/>
    <w:rsid w:val="3D1C2A12"/>
    <w:rsid w:val="3D20AD05"/>
    <w:rsid w:val="3D2271C5"/>
    <w:rsid w:val="3D26ED62"/>
    <w:rsid w:val="3D27E5EC"/>
    <w:rsid w:val="3D29EDA2"/>
    <w:rsid w:val="3D2B67EC"/>
    <w:rsid w:val="3D2FA8F0"/>
    <w:rsid w:val="3D34C874"/>
    <w:rsid w:val="3D38BD4B"/>
    <w:rsid w:val="3D41E289"/>
    <w:rsid w:val="3D430C22"/>
    <w:rsid w:val="3D45FB84"/>
    <w:rsid w:val="3D4623FB"/>
    <w:rsid w:val="3D4691E6"/>
    <w:rsid w:val="3D488A67"/>
    <w:rsid w:val="3D49B4AF"/>
    <w:rsid w:val="3D4B569E"/>
    <w:rsid w:val="3D4C38A7"/>
    <w:rsid w:val="3D4CC4EC"/>
    <w:rsid w:val="3D4F9F96"/>
    <w:rsid w:val="3D5260AF"/>
    <w:rsid w:val="3D55D363"/>
    <w:rsid w:val="3D57F57C"/>
    <w:rsid w:val="3D5B930F"/>
    <w:rsid w:val="3D65F650"/>
    <w:rsid w:val="3D6830CD"/>
    <w:rsid w:val="3D6FE95E"/>
    <w:rsid w:val="3D76791E"/>
    <w:rsid w:val="3D76A8BF"/>
    <w:rsid w:val="3D78A64B"/>
    <w:rsid w:val="3D7C7B1F"/>
    <w:rsid w:val="3D7D24A7"/>
    <w:rsid w:val="3D81A110"/>
    <w:rsid w:val="3D882F69"/>
    <w:rsid w:val="3D8F7451"/>
    <w:rsid w:val="3D935A3E"/>
    <w:rsid w:val="3D94884F"/>
    <w:rsid w:val="3D96F181"/>
    <w:rsid w:val="3D98991B"/>
    <w:rsid w:val="3D9969BF"/>
    <w:rsid w:val="3D99AF65"/>
    <w:rsid w:val="3D9C1BB1"/>
    <w:rsid w:val="3D9CAA55"/>
    <w:rsid w:val="3DA80338"/>
    <w:rsid w:val="3DA937FD"/>
    <w:rsid w:val="3DAFC2E7"/>
    <w:rsid w:val="3DB58DC6"/>
    <w:rsid w:val="3DB5E37B"/>
    <w:rsid w:val="3DB93D15"/>
    <w:rsid w:val="3DC0D307"/>
    <w:rsid w:val="3DC1B3D0"/>
    <w:rsid w:val="3DC3601B"/>
    <w:rsid w:val="3DC3B2CE"/>
    <w:rsid w:val="3DC62E14"/>
    <w:rsid w:val="3DC92463"/>
    <w:rsid w:val="3DC934FC"/>
    <w:rsid w:val="3DCBE4A1"/>
    <w:rsid w:val="3DCD0053"/>
    <w:rsid w:val="3DCD0687"/>
    <w:rsid w:val="3DCEB218"/>
    <w:rsid w:val="3DD0148D"/>
    <w:rsid w:val="3DD54C3D"/>
    <w:rsid w:val="3DDAE3C2"/>
    <w:rsid w:val="3DDDB500"/>
    <w:rsid w:val="3DE3AD5C"/>
    <w:rsid w:val="3DE9450B"/>
    <w:rsid w:val="3DED355F"/>
    <w:rsid w:val="3DEE6206"/>
    <w:rsid w:val="3DF7A5D5"/>
    <w:rsid w:val="3DFF11A8"/>
    <w:rsid w:val="3E0A9A04"/>
    <w:rsid w:val="3E0B0832"/>
    <w:rsid w:val="3E10AA1C"/>
    <w:rsid w:val="3E13B871"/>
    <w:rsid w:val="3E179199"/>
    <w:rsid w:val="3E17DDAE"/>
    <w:rsid w:val="3E1F2836"/>
    <w:rsid w:val="3E257B54"/>
    <w:rsid w:val="3E26D8D3"/>
    <w:rsid w:val="3E289D21"/>
    <w:rsid w:val="3E2ADB6A"/>
    <w:rsid w:val="3E2E577C"/>
    <w:rsid w:val="3E31922F"/>
    <w:rsid w:val="3E33274A"/>
    <w:rsid w:val="3E33F3DA"/>
    <w:rsid w:val="3E3457C4"/>
    <w:rsid w:val="3E346910"/>
    <w:rsid w:val="3E359617"/>
    <w:rsid w:val="3E36626E"/>
    <w:rsid w:val="3E3833EC"/>
    <w:rsid w:val="3E38DE54"/>
    <w:rsid w:val="3E39F2CF"/>
    <w:rsid w:val="3E3A67D5"/>
    <w:rsid w:val="3E3E1DC8"/>
    <w:rsid w:val="3E46BDAA"/>
    <w:rsid w:val="3E4D42F1"/>
    <w:rsid w:val="3E54002C"/>
    <w:rsid w:val="3E5B5FC8"/>
    <w:rsid w:val="3E5E729E"/>
    <w:rsid w:val="3E6C347A"/>
    <w:rsid w:val="3E6CCEFC"/>
    <w:rsid w:val="3E7473BD"/>
    <w:rsid w:val="3E76DFE0"/>
    <w:rsid w:val="3E77C397"/>
    <w:rsid w:val="3E7C3D77"/>
    <w:rsid w:val="3E7D7BEE"/>
    <w:rsid w:val="3E7E9284"/>
    <w:rsid w:val="3E82BF9A"/>
    <w:rsid w:val="3E84A752"/>
    <w:rsid w:val="3E8793D6"/>
    <w:rsid w:val="3E88F862"/>
    <w:rsid w:val="3E8B6DAF"/>
    <w:rsid w:val="3E8C3D7A"/>
    <w:rsid w:val="3E8FCB3C"/>
    <w:rsid w:val="3E907638"/>
    <w:rsid w:val="3E90CB56"/>
    <w:rsid w:val="3E962EE9"/>
    <w:rsid w:val="3E9A211E"/>
    <w:rsid w:val="3E9D58A1"/>
    <w:rsid w:val="3EABB2F5"/>
    <w:rsid w:val="3EAD891E"/>
    <w:rsid w:val="3EB20021"/>
    <w:rsid w:val="3EB3CAE0"/>
    <w:rsid w:val="3EB96925"/>
    <w:rsid w:val="3EBA3E80"/>
    <w:rsid w:val="3EBEA31E"/>
    <w:rsid w:val="3EBEA922"/>
    <w:rsid w:val="3EBFC467"/>
    <w:rsid w:val="3EC2BAFC"/>
    <w:rsid w:val="3EC62E6F"/>
    <w:rsid w:val="3EC7E84D"/>
    <w:rsid w:val="3EC8CA99"/>
    <w:rsid w:val="3ECA7F49"/>
    <w:rsid w:val="3ECA9B54"/>
    <w:rsid w:val="3ECC8574"/>
    <w:rsid w:val="3ECE3317"/>
    <w:rsid w:val="3ED16359"/>
    <w:rsid w:val="3ED9293F"/>
    <w:rsid w:val="3EDAACED"/>
    <w:rsid w:val="3EE1B341"/>
    <w:rsid w:val="3EE47540"/>
    <w:rsid w:val="3EE610BC"/>
    <w:rsid w:val="3EEA3FA9"/>
    <w:rsid w:val="3EF70E4F"/>
    <w:rsid w:val="3EFB9702"/>
    <w:rsid w:val="3F002B01"/>
    <w:rsid w:val="3F037DDE"/>
    <w:rsid w:val="3F05A90D"/>
    <w:rsid w:val="3F0AD567"/>
    <w:rsid w:val="3F0AE784"/>
    <w:rsid w:val="3F0C1968"/>
    <w:rsid w:val="3F0EC6C2"/>
    <w:rsid w:val="3F104DA1"/>
    <w:rsid w:val="3F1102B7"/>
    <w:rsid w:val="3F1110A1"/>
    <w:rsid w:val="3F1144A2"/>
    <w:rsid w:val="3F137B69"/>
    <w:rsid w:val="3F16193E"/>
    <w:rsid w:val="3F17E447"/>
    <w:rsid w:val="3F197432"/>
    <w:rsid w:val="3F1BAA19"/>
    <w:rsid w:val="3F1E7481"/>
    <w:rsid w:val="3F2047A3"/>
    <w:rsid w:val="3F205094"/>
    <w:rsid w:val="3F235ED3"/>
    <w:rsid w:val="3F23C43C"/>
    <w:rsid w:val="3F244F95"/>
    <w:rsid w:val="3F252E87"/>
    <w:rsid w:val="3F2A5CC4"/>
    <w:rsid w:val="3F2B183B"/>
    <w:rsid w:val="3F2BF282"/>
    <w:rsid w:val="3F2DD197"/>
    <w:rsid w:val="3F341477"/>
    <w:rsid w:val="3F34F0A6"/>
    <w:rsid w:val="3F3514B0"/>
    <w:rsid w:val="3F380601"/>
    <w:rsid w:val="3F38561F"/>
    <w:rsid w:val="3F4193E6"/>
    <w:rsid w:val="3F44443B"/>
    <w:rsid w:val="3F49ABDE"/>
    <w:rsid w:val="3F4A4BC5"/>
    <w:rsid w:val="3F5007A1"/>
    <w:rsid w:val="3F537FAD"/>
    <w:rsid w:val="3F54B61C"/>
    <w:rsid w:val="3F55409F"/>
    <w:rsid w:val="3F57EDFF"/>
    <w:rsid w:val="3F59217E"/>
    <w:rsid w:val="3F5BC03D"/>
    <w:rsid w:val="3F5E3AE8"/>
    <w:rsid w:val="3F5FAA47"/>
    <w:rsid w:val="3F63FDCC"/>
    <w:rsid w:val="3F6533CB"/>
    <w:rsid w:val="3F69D3E1"/>
    <w:rsid w:val="3F6ABEBB"/>
    <w:rsid w:val="3F72CBC0"/>
    <w:rsid w:val="3F75EB26"/>
    <w:rsid w:val="3F75FEDB"/>
    <w:rsid w:val="3F7C5011"/>
    <w:rsid w:val="3F817CBC"/>
    <w:rsid w:val="3F9350D2"/>
    <w:rsid w:val="3F958191"/>
    <w:rsid w:val="3F994140"/>
    <w:rsid w:val="3F9B9D61"/>
    <w:rsid w:val="3F9BF952"/>
    <w:rsid w:val="3F9E5F77"/>
    <w:rsid w:val="3FA65EAC"/>
    <w:rsid w:val="3FA8E6EE"/>
    <w:rsid w:val="3FA91882"/>
    <w:rsid w:val="3FA96280"/>
    <w:rsid w:val="3FA9EFFA"/>
    <w:rsid w:val="3FAFF310"/>
    <w:rsid w:val="3FB042CA"/>
    <w:rsid w:val="3FB67176"/>
    <w:rsid w:val="3FB67E5A"/>
    <w:rsid w:val="3FB8C093"/>
    <w:rsid w:val="3FBA20DA"/>
    <w:rsid w:val="3FBB5485"/>
    <w:rsid w:val="3FBED189"/>
    <w:rsid w:val="3FBEF48F"/>
    <w:rsid w:val="3FBF9CAA"/>
    <w:rsid w:val="3FBFC029"/>
    <w:rsid w:val="3FC15E7D"/>
    <w:rsid w:val="3FC9F2C1"/>
    <w:rsid w:val="3FCA749D"/>
    <w:rsid w:val="3FCB844C"/>
    <w:rsid w:val="3FCBD295"/>
    <w:rsid w:val="3FD5F06E"/>
    <w:rsid w:val="3FD856A7"/>
    <w:rsid w:val="3FDA9A99"/>
    <w:rsid w:val="3FDC65D9"/>
    <w:rsid w:val="3FE169DD"/>
    <w:rsid w:val="3FE16DB4"/>
    <w:rsid w:val="3FE4B79C"/>
    <w:rsid w:val="3FE529C6"/>
    <w:rsid w:val="3FE54A94"/>
    <w:rsid w:val="3FE73BA5"/>
    <w:rsid w:val="3FED42D6"/>
    <w:rsid w:val="3FF320D7"/>
    <w:rsid w:val="3FF89DEE"/>
    <w:rsid w:val="3FFEF77C"/>
    <w:rsid w:val="400211F1"/>
    <w:rsid w:val="40021DFA"/>
    <w:rsid w:val="40070C54"/>
    <w:rsid w:val="4009ECE5"/>
    <w:rsid w:val="400B09E4"/>
    <w:rsid w:val="400BE833"/>
    <w:rsid w:val="4015803E"/>
    <w:rsid w:val="4017C7E3"/>
    <w:rsid w:val="4017E10E"/>
    <w:rsid w:val="401BEC5B"/>
    <w:rsid w:val="401EE9E8"/>
    <w:rsid w:val="40245A16"/>
    <w:rsid w:val="402505BA"/>
    <w:rsid w:val="402842F5"/>
    <w:rsid w:val="4030398C"/>
    <w:rsid w:val="40366BAF"/>
    <w:rsid w:val="40374461"/>
    <w:rsid w:val="4038C48C"/>
    <w:rsid w:val="403E9916"/>
    <w:rsid w:val="40433774"/>
    <w:rsid w:val="4044FA7C"/>
    <w:rsid w:val="4048DD7A"/>
    <w:rsid w:val="404B9780"/>
    <w:rsid w:val="404DC554"/>
    <w:rsid w:val="404E86BF"/>
    <w:rsid w:val="405033F0"/>
    <w:rsid w:val="40528B60"/>
    <w:rsid w:val="4052B972"/>
    <w:rsid w:val="40540219"/>
    <w:rsid w:val="40570A00"/>
    <w:rsid w:val="405A1175"/>
    <w:rsid w:val="405C66A9"/>
    <w:rsid w:val="406725A7"/>
    <w:rsid w:val="406B795C"/>
    <w:rsid w:val="406CF718"/>
    <w:rsid w:val="4071E590"/>
    <w:rsid w:val="40757C2C"/>
    <w:rsid w:val="40759560"/>
    <w:rsid w:val="407625EE"/>
    <w:rsid w:val="40813B7F"/>
    <w:rsid w:val="4081B2BB"/>
    <w:rsid w:val="4082922B"/>
    <w:rsid w:val="4083701C"/>
    <w:rsid w:val="408597CA"/>
    <w:rsid w:val="408BBD84"/>
    <w:rsid w:val="408D9179"/>
    <w:rsid w:val="40929B10"/>
    <w:rsid w:val="4092EF5A"/>
    <w:rsid w:val="40988FB1"/>
    <w:rsid w:val="409BE634"/>
    <w:rsid w:val="409D71F5"/>
    <w:rsid w:val="40A230BF"/>
    <w:rsid w:val="40A29160"/>
    <w:rsid w:val="40A456B0"/>
    <w:rsid w:val="40A60161"/>
    <w:rsid w:val="40A85E7A"/>
    <w:rsid w:val="40AA3CB9"/>
    <w:rsid w:val="40ACD548"/>
    <w:rsid w:val="40AE3F43"/>
    <w:rsid w:val="40B29B46"/>
    <w:rsid w:val="40B4AD00"/>
    <w:rsid w:val="40BAA1AD"/>
    <w:rsid w:val="40BC37B9"/>
    <w:rsid w:val="40BC6851"/>
    <w:rsid w:val="40C2678C"/>
    <w:rsid w:val="40C46BDB"/>
    <w:rsid w:val="40C60291"/>
    <w:rsid w:val="40C7A05E"/>
    <w:rsid w:val="40CB90BE"/>
    <w:rsid w:val="40CCCE26"/>
    <w:rsid w:val="40D25AF9"/>
    <w:rsid w:val="40D49695"/>
    <w:rsid w:val="40D6F848"/>
    <w:rsid w:val="40D8BD7C"/>
    <w:rsid w:val="40D9DB82"/>
    <w:rsid w:val="40DC9203"/>
    <w:rsid w:val="40DDC543"/>
    <w:rsid w:val="40DF9F93"/>
    <w:rsid w:val="40E47545"/>
    <w:rsid w:val="40E8C6CD"/>
    <w:rsid w:val="40E9EA59"/>
    <w:rsid w:val="40EA56EA"/>
    <w:rsid w:val="40ECF6D3"/>
    <w:rsid w:val="40F2659D"/>
    <w:rsid w:val="41007911"/>
    <w:rsid w:val="410829FD"/>
    <w:rsid w:val="410AC293"/>
    <w:rsid w:val="410C26E2"/>
    <w:rsid w:val="4113F2A7"/>
    <w:rsid w:val="4116E479"/>
    <w:rsid w:val="4119BC1B"/>
    <w:rsid w:val="41206628"/>
    <w:rsid w:val="412EF9EA"/>
    <w:rsid w:val="41354671"/>
    <w:rsid w:val="413762B1"/>
    <w:rsid w:val="4137B030"/>
    <w:rsid w:val="41399652"/>
    <w:rsid w:val="413A4134"/>
    <w:rsid w:val="413B07EC"/>
    <w:rsid w:val="414562AF"/>
    <w:rsid w:val="4148347A"/>
    <w:rsid w:val="4150A38C"/>
    <w:rsid w:val="4151150A"/>
    <w:rsid w:val="4153E0A1"/>
    <w:rsid w:val="4164ECE5"/>
    <w:rsid w:val="41699D1E"/>
    <w:rsid w:val="416AFC68"/>
    <w:rsid w:val="416CC512"/>
    <w:rsid w:val="416CCD61"/>
    <w:rsid w:val="416DB812"/>
    <w:rsid w:val="416E0D54"/>
    <w:rsid w:val="417DA8DC"/>
    <w:rsid w:val="41873614"/>
    <w:rsid w:val="41899148"/>
    <w:rsid w:val="4189D363"/>
    <w:rsid w:val="418CDCDA"/>
    <w:rsid w:val="418DFF14"/>
    <w:rsid w:val="418F72CC"/>
    <w:rsid w:val="4194C54C"/>
    <w:rsid w:val="4197A92D"/>
    <w:rsid w:val="4199FD56"/>
    <w:rsid w:val="419CE8EB"/>
    <w:rsid w:val="419D2485"/>
    <w:rsid w:val="419D5FC3"/>
    <w:rsid w:val="419E8B49"/>
    <w:rsid w:val="419F87C6"/>
    <w:rsid w:val="41A2E89A"/>
    <w:rsid w:val="41A44737"/>
    <w:rsid w:val="41A81392"/>
    <w:rsid w:val="41A9B2C3"/>
    <w:rsid w:val="41AD06C4"/>
    <w:rsid w:val="41B3846C"/>
    <w:rsid w:val="41B41484"/>
    <w:rsid w:val="41C78594"/>
    <w:rsid w:val="41CC2BE5"/>
    <w:rsid w:val="41CC4729"/>
    <w:rsid w:val="41D5EBFC"/>
    <w:rsid w:val="41D7B411"/>
    <w:rsid w:val="41D8BF6F"/>
    <w:rsid w:val="41DA3BEF"/>
    <w:rsid w:val="41DDA3E9"/>
    <w:rsid w:val="41E405DF"/>
    <w:rsid w:val="41E42974"/>
    <w:rsid w:val="41E4652C"/>
    <w:rsid w:val="41EA814D"/>
    <w:rsid w:val="41EC6C21"/>
    <w:rsid w:val="41EF783B"/>
    <w:rsid w:val="41F51F5B"/>
    <w:rsid w:val="41FC30C2"/>
    <w:rsid w:val="420CF6A4"/>
    <w:rsid w:val="42110193"/>
    <w:rsid w:val="421111E6"/>
    <w:rsid w:val="4213F900"/>
    <w:rsid w:val="42196E90"/>
    <w:rsid w:val="421C367C"/>
    <w:rsid w:val="4225304D"/>
    <w:rsid w:val="422C7B2F"/>
    <w:rsid w:val="422EDF4D"/>
    <w:rsid w:val="42307E73"/>
    <w:rsid w:val="42320698"/>
    <w:rsid w:val="42365837"/>
    <w:rsid w:val="42369110"/>
    <w:rsid w:val="4239596C"/>
    <w:rsid w:val="423B0697"/>
    <w:rsid w:val="4240203F"/>
    <w:rsid w:val="42423F11"/>
    <w:rsid w:val="4242BB4E"/>
    <w:rsid w:val="4242EFC9"/>
    <w:rsid w:val="42445644"/>
    <w:rsid w:val="424908A3"/>
    <w:rsid w:val="4249FE58"/>
    <w:rsid w:val="424A52F7"/>
    <w:rsid w:val="42512BE5"/>
    <w:rsid w:val="4253ED0A"/>
    <w:rsid w:val="42564540"/>
    <w:rsid w:val="42568FCB"/>
    <w:rsid w:val="425721C5"/>
    <w:rsid w:val="425C0DB2"/>
    <w:rsid w:val="42620932"/>
    <w:rsid w:val="4264B149"/>
    <w:rsid w:val="42660C35"/>
    <w:rsid w:val="426B18E5"/>
    <w:rsid w:val="426E0C80"/>
    <w:rsid w:val="426EBA89"/>
    <w:rsid w:val="426F6CF3"/>
    <w:rsid w:val="427088EB"/>
    <w:rsid w:val="4271DB42"/>
    <w:rsid w:val="427B5905"/>
    <w:rsid w:val="427CA9FF"/>
    <w:rsid w:val="427DC9B0"/>
    <w:rsid w:val="427F8B2F"/>
    <w:rsid w:val="427F8BAE"/>
    <w:rsid w:val="4283CA17"/>
    <w:rsid w:val="4288948C"/>
    <w:rsid w:val="428FF964"/>
    <w:rsid w:val="429176F7"/>
    <w:rsid w:val="42918E8A"/>
    <w:rsid w:val="4291B9D2"/>
    <w:rsid w:val="42924075"/>
    <w:rsid w:val="42937C10"/>
    <w:rsid w:val="4294E59A"/>
    <w:rsid w:val="429DEBDA"/>
    <w:rsid w:val="42A3C0C4"/>
    <w:rsid w:val="42A988CD"/>
    <w:rsid w:val="42B269FE"/>
    <w:rsid w:val="42B8FFA4"/>
    <w:rsid w:val="42BB9179"/>
    <w:rsid w:val="42BD1D1C"/>
    <w:rsid w:val="42C3BC1F"/>
    <w:rsid w:val="42C57BC4"/>
    <w:rsid w:val="42CE204B"/>
    <w:rsid w:val="42D0928F"/>
    <w:rsid w:val="42D20D84"/>
    <w:rsid w:val="42D9270A"/>
    <w:rsid w:val="42DB44C0"/>
    <w:rsid w:val="42DBEB8F"/>
    <w:rsid w:val="42DF0ED2"/>
    <w:rsid w:val="42DF1AD7"/>
    <w:rsid w:val="42E2D6DD"/>
    <w:rsid w:val="42E34B9B"/>
    <w:rsid w:val="42E6E621"/>
    <w:rsid w:val="42EA46C5"/>
    <w:rsid w:val="42EC3820"/>
    <w:rsid w:val="42EE3128"/>
    <w:rsid w:val="42EE98A3"/>
    <w:rsid w:val="42EEF53C"/>
    <w:rsid w:val="42EFFA27"/>
    <w:rsid w:val="42F04055"/>
    <w:rsid w:val="42F33C88"/>
    <w:rsid w:val="42F42DFB"/>
    <w:rsid w:val="42F54510"/>
    <w:rsid w:val="42F86CCD"/>
    <w:rsid w:val="42F8CB8E"/>
    <w:rsid w:val="42F8EF8E"/>
    <w:rsid w:val="42F963E8"/>
    <w:rsid w:val="42FC760E"/>
    <w:rsid w:val="43016D9F"/>
    <w:rsid w:val="4301D32F"/>
    <w:rsid w:val="430297C7"/>
    <w:rsid w:val="4305CAF7"/>
    <w:rsid w:val="43075619"/>
    <w:rsid w:val="4309CB77"/>
    <w:rsid w:val="430D9E79"/>
    <w:rsid w:val="43109864"/>
    <w:rsid w:val="43112BC4"/>
    <w:rsid w:val="43146610"/>
    <w:rsid w:val="4316EB80"/>
    <w:rsid w:val="43184973"/>
    <w:rsid w:val="4318C78A"/>
    <w:rsid w:val="432A1329"/>
    <w:rsid w:val="432B5178"/>
    <w:rsid w:val="43327422"/>
    <w:rsid w:val="43349EFD"/>
    <w:rsid w:val="4336DB6C"/>
    <w:rsid w:val="43378185"/>
    <w:rsid w:val="433871B6"/>
    <w:rsid w:val="433CD87B"/>
    <w:rsid w:val="433E1869"/>
    <w:rsid w:val="4341AA5A"/>
    <w:rsid w:val="4342C622"/>
    <w:rsid w:val="4346E3C1"/>
    <w:rsid w:val="434FDAEB"/>
    <w:rsid w:val="4353E6FD"/>
    <w:rsid w:val="43547E11"/>
    <w:rsid w:val="4356961A"/>
    <w:rsid w:val="435CB93C"/>
    <w:rsid w:val="435DBFAA"/>
    <w:rsid w:val="435DE9A0"/>
    <w:rsid w:val="435F351B"/>
    <w:rsid w:val="4364B548"/>
    <w:rsid w:val="43665CCB"/>
    <w:rsid w:val="4369685D"/>
    <w:rsid w:val="436C9104"/>
    <w:rsid w:val="4373462D"/>
    <w:rsid w:val="437A8CD0"/>
    <w:rsid w:val="437AA358"/>
    <w:rsid w:val="437BE1A7"/>
    <w:rsid w:val="43835796"/>
    <w:rsid w:val="4386B537"/>
    <w:rsid w:val="4387F5DF"/>
    <w:rsid w:val="438AEFF2"/>
    <w:rsid w:val="438CC81D"/>
    <w:rsid w:val="438D6A43"/>
    <w:rsid w:val="43924799"/>
    <w:rsid w:val="439365C6"/>
    <w:rsid w:val="439705DD"/>
    <w:rsid w:val="43977FF5"/>
    <w:rsid w:val="43998488"/>
    <w:rsid w:val="439A1C04"/>
    <w:rsid w:val="439D40FA"/>
    <w:rsid w:val="439F5CC1"/>
    <w:rsid w:val="43A0E565"/>
    <w:rsid w:val="43A24D04"/>
    <w:rsid w:val="43A8937F"/>
    <w:rsid w:val="43AD257D"/>
    <w:rsid w:val="43AF7BAC"/>
    <w:rsid w:val="43B1A72C"/>
    <w:rsid w:val="43B435FE"/>
    <w:rsid w:val="43B696FE"/>
    <w:rsid w:val="43B7CEAA"/>
    <w:rsid w:val="43B8EF18"/>
    <w:rsid w:val="43BEA779"/>
    <w:rsid w:val="43C71F0F"/>
    <w:rsid w:val="43CBAEDA"/>
    <w:rsid w:val="43CE56CE"/>
    <w:rsid w:val="43D2C91D"/>
    <w:rsid w:val="43D9FAFC"/>
    <w:rsid w:val="43DDDAD9"/>
    <w:rsid w:val="43E17A82"/>
    <w:rsid w:val="43E95AB1"/>
    <w:rsid w:val="43EFC979"/>
    <w:rsid w:val="43F21143"/>
    <w:rsid w:val="43F3CB57"/>
    <w:rsid w:val="43FA89EB"/>
    <w:rsid w:val="4400785A"/>
    <w:rsid w:val="440A0212"/>
    <w:rsid w:val="440B98F4"/>
    <w:rsid w:val="440C867D"/>
    <w:rsid w:val="440F887A"/>
    <w:rsid w:val="44109B9B"/>
    <w:rsid w:val="44110F09"/>
    <w:rsid w:val="4417E381"/>
    <w:rsid w:val="44258DB6"/>
    <w:rsid w:val="4428DB2C"/>
    <w:rsid w:val="442FD61E"/>
    <w:rsid w:val="44322BED"/>
    <w:rsid w:val="4435685A"/>
    <w:rsid w:val="44358BBF"/>
    <w:rsid w:val="44369093"/>
    <w:rsid w:val="44371FEB"/>
    <w:rsid w:val="44387304"/>
    <w:rsid w:val="443B3343"/>
    <w:rsid w:val="443F8790"/>
    <w:rsid w:val="44421463"/>
    <w:rsid w:val="4443AD9B"/>
    <w:rsid w:val="44470D6A"/>
    <w:rsid w:val="44474012"/>
    <w:rsid w:val="444BF0EE"/>
    <w:rsid w:val="444E040F"/>
    <w:rsid w:val="4455FAC4"/>
    <w:rsid w:val="4456E359"/>
    <w:rsid w:val="445A2384"/>
    <w:rsid w:val="445CB705"/>
    <w:rsid w:val="445D9924"/>
    <w:rsid w:val="445F50C7"/>
    <w:rsid w:val="446019D8"/>
    <w:rsid w:val="4466DE44"/>
    <w:rsid w:val="446B22D5"/>
    <w:rsid w:val="446CA7C8"/>
    <w:rsid w:val="446E4872"/>
    <w:rsid w:val="4475279B"/>
    <w:rsid w:val="4476EFA5"/>
    <w:rsid w:val="44784369"/>
    <w:rsid w:val="447BC3DB"/>
    <w:rsid w:val="4480179A"/>
    <w:rsid w:val="44811E97"/>
    <w:rsid w:val="4483B530"/>
    <w:rsid w:val="4487D6BE"/>
    <w:rsid w:val="44882434"/>
    <w:rsid w:val="448CF4C2"/>
    <w:rsid w:val="448F6E98"/>
    <w:rsid w:val="4493B00D"/>
    <w:rsid w:val="44981A59"/>
    <w:rsid w:val="449B1A08"/>
    <w:rsid w:val="449D8B0F"/>
    <w:rsid w:val="44A3971E"/>
    <w:rsid w:val="44A628C4"/>
    <w:rsid w:val="44A656DD"/>
    <w:rsid w:val="44A8150C"/>
    <w:rsid w:val="44A92D3B"/>
    <w:rsid w:val="44B18F85"/>
    <w:rsid w:val="44B24D45"/>
    <w:rsid w:val="44B306D0"/>
    <w:rsid w:val="44B464E4"/>
    <w:rsid w:val="44BC6C03"/>
    <w:rsid w:val="44BD3182"/>
    <w:rsid w:val="44C1B575"/>
    <w:rsid w:val="44C57ED0"/>
    <w:rsid w:val="44C88B7E"/>
    <w:rsid w:val="44C91D04"/>
    <w:rsid w:val="44D3902C"/>
    <w:rsid w:val="44D45E18"/>
    <w:rsid w:val="44D69B04"/>
    <w:rsid w:val="44D7A817"/>
    <w:rsid w:val="44D9912C"/>
    <w:rsid w:val="44DA4323"/>
    <w:rsid w:val="44DAB09C"/>
    <w:rsid w:val="44DB1F20"/>
    <w:rsid w:val="44DDAD5C"/>
    <w:rsid w:val="44DF9B21"/>
    <w:rsid w:val="44E20681"/>
    <w:rsid w:val="44E77CCB"/>
    <w:rsid w:val="44EC9A83"/>
    <w:rsid w:val="44F05EBC"/>
    <w:rsid w:val="44F14712"/>
    <w:rsid w:val="44F62C75"/>
    <w:rsid w:val="44F70D83"/>
    <w:rsid w:val="44F94B8C"/>
    <w:rsid w:val="44FA7405"/>
    <w:rsid w:val="44FBFCEA"/>
    <w:rsid w:val="44FF0A93"/>
    <w:rsid w:val="4501C0FC"/>
    <w:rsid w:val="45039CC5"/>
    <w:rsid w:val="4503DC29"/>
    <w:rsid w:val="4504799E"/>
    <w:rsid w:val="4504D441"/>
    <w:rsid w:val="4506F7CF"/>
    <w:rsid w:val="450B0D18"/>
    <w:rsid w:val="450D4CEA"/>
    <w:rsid w:val="4511345E"/>
    <w:rsid w:val="45143A87"/>
    <w:rsid w:val="45150A59"/>
    <w:rsid w:val="451630A1"/>
    <w:rsid w:val="45165B4E"/>
    <w:rsid w:val="45179BB1"/>
    <w:rsid w:val="4522B716"/>
    <w:rsid w:val="45232AC5"/>
    <w:rsid w:val="452CAC70"/>
    <w:rsid w:val="4530BBA9"/>
    <w:rsid w:val="45368345"/>
    <w:rsid w:val="453DB77D"/>
    <w:rsid w:val="4540527E"/>
    <w:rsid w:val="45407CE5"/>
    <w:rsid w:val="4543FB59"/>
    <w:rsid w:val="4547F90A"/>
    <w:rsid w:val="4549CAE8"/>
    <w:rsid w:val="454AFA25"/>
    <w:rsid w:val="4553185C"/>
    <w:rsid w:val="45536E78"/>
    <w:rsid w:val="455A86FC"/>
    <w:rsid w:val="456913DB"/>
    <w:rsid w:val="456C02AA"/>
    <w:rsid w:val="456D5F55"/>
    <w:rsid w:val="456D974E"/>
    <w:rsid w:val="456DFB37"/>
    <w:rsid w:val="456F5D56"/>
    <w:rsid w:val="457606EC"/>
    <w:rsid w:val="45792725"/>
    <w:rsid w:val="457D6FE8"/>
    <w:rsid w:val="4581925A"/>
    <w:rsid w:val="45850F0F"/>
    <w:rsid w:val="4589B585"/>
    <w:rsid w:val="458A1EC2"/>
    <w:rsid w:val="458EBD0D"/>
    <w:rsid w:val="458FBE87"/>
    <w:rsid w:val="4596A409"/>
    <w:rsid w:val="4597D192"/>
    <w:rsid w:val="459CFC84"/>
    <w:rsid w:val="45A1687B"/>
    <w:rsid w:val="45A45A52"/>
    <w:rsid w:val="45A4731A"/>
    <w:rsid w:val="45A49847"/>
    <w:rsid w:val="45AC9310"/>
    <w:rsid w:val="45AD3825"/>
    <w:rsid w:val="45AD9D2C"/>
    <w:rsid w:val="45AF28BD"/>
    <w:rsid w:val="45B019C7"/>
    <w:rsid w:val="45B43C95"/>
    <w:rsid w:val="45B486E4"/>
    <w:rsid w:val="45B7BF72"/>
    <w:rsid w:val="45BEDF06"/>
    <w:rsid w:val="45C3AFE5"/>
    <w:rsid w:val="45C66416"/>
    <w:rsid w:val="45C9EA70"/>
    <w:rsid w:val="45CF85FF"/>
    <w:rsid w:val="45D1E03A"/>
    <w:rsid w:val="45D3DBCE"/>
    <w:rsid w:val="45D5BEA3"/>
    <w:rsid w:val="45D7A27D"/>
    <w:rsid w:val="45DCA93F"/>
    <w:rsid w:val="45E0FBCC"/>
    <w:rsid w:val="45E1B18E"/>
    <w:rsid w:val="45E35A6A"/>
    <w:rsid w:val="45E828F8"/>
    <w:rsid w:val="45E85D6F"/>
    <w:rsid w:val="45EA31A9"/>
    <w:rsid w:val="45EDDE78"/>
    <w:rsid w:val="45FC09C2"/>
    <w:rsid w:val="46021217"/>
    <w:rsid w:val="46038077"/>
    <w:rsid w:val="46068763"/>
    <w:rsid w:val="4609CDE7"/>
    <w:rsid w:val="460D3040"/>
    <w:rsid w:val="460E81E6"/>
    <w:rsid w:val="4612F504"/>
    <w:rsid w:val="4617871C"/>
    <w:rsid w:val="4618986A"/>
    <w:rsid w:val="461EA48B"/>
    <w:rsid w:val="462026FF"/>
    <w:rsid w:val="462824CB"/>
    <w:rsid w:val="46397426"/>
    <w:rsid w:val="463BD3A4"/>
    <w:rsid w:val="463F46BB"/>
    <w:rsid w:val="4644C74D"/>
    <w:rsid w:val="46499E06"/>
    <w:rsid w:val="464BF26D"/>
    <w:rsid w:val="464D6900"/>
    <w:rsid w:val="46522208"/>
    <w:rsid w:val="46551174"/>
    <w:rsid w:val="4661E314"/>
    <w:rsid w:val="4664E8CB"/>
    <w:rsid w:val="46658335"/>
    <w:rsid w:val="4668C593"/>
    <w:rsid w:val="466B9D89"/>
    <w:rsid w:val="466D5B18"/>
    <w:rsid w:val="466F21AA"/>
    <w:rsid w:val="466F9A13"/>
    <w:rsid w:val="4673C626"/>
    <w:rsid w:val="46766B3B"/>
    <w:rsid w:val="46778C13"/>
    <w:rsid w:val="467C5709"/>
    <w:rsid w:val="467FC2C5"/>
    <w:rsid w:val="468879AB"/>
    <w:rsid w:val="46893E9E"/>
    <w:rsid w:val="468F5BDB"/>
    <w:rsid w:val="46942192"/>
    <w:rsid w:val="46A5C3B1"/>
    <w:rsid w:val="46A98A70"/>
    <w:rsid w:val="46AB54AD"/>
    <w:rsid w:val="46AD6F09"/>
    <w:rsid w:val="46AD8BC0"/>
    <w:rsid w:val="46BE943C"/>
    <w:rsid w:val="46C0FE0C"/>
    <w:rsid w:val="46C41000"/>
    <w:rsid w:val="46C4120F"/>
    <w:rsid w:val="46C6A9F7"/>
    <w:rsid w:val="46C8C625"/>
    <w:rsid w:val="46C9CD87"/>
    <w:rsid w:val="46D3F7FB"/>
    <w:rsid w:val="46D97D48"/>
    <w:rsid w:val="46DA42C4"/>
    <w:rsid w:val="46E3F9B2"/>
    <w:rsid w:val="46EE2CDD"/>
    <w:rsid w:val="46EF30BC"/>
    <w:rsid w:val="46F4FD59"/>
    <w:rsid w:val="46FAB6DC"/>
    <w:rsid w:val="46FCEEE9"/>
    <w:rsid w:val="47016E65"/>
    <w:rsid w:val="47044E0C"/>
    <w:rsid w:val="470A98E0"/>
    <w:rsid w:val="470AED5F"/>
    <w:rsid w:val="470EF661"/>
    <w:rsid w:val="47106CDE"/>
    <w:rsid w:val="4712D38C"/>
    <w:rsid w:val="4716D807"/>
    <w:rsid w:val="471E6B2E"/>
    <w:rsid w:val="4725D770"/>
    <w:rsid w:val="473230A3"/>
    <w:rsid w:val="47326B55"/>
    <w:rsid w:val="4733CA18"/>
    <w:rsid w:val="4734820C"/>
    <w:rsid w:val="47400902"/>
    <w:rsid w:val="47445793"/>
    <w:rsid w:val="474461DF"/>
    <w:rsid w:val="4745EAED"/>
    <w:rsid w:val="47473B54"/>
    <w:rsid w:val="475046BC"/>
    <w:rsid w:val="47521119"/>
    <w:rsid w:val="47564D7F"/>
    <w:rsid w:val="4759E8C3"/>
    <w:rsid w:val="475AE68D"/>
    <w:rsid w:val="475C3D8B"/>
    <w:rsid w:val="475CF825"/>
    <w:rsid w:val="475D2FB9"/>
    <w:rsid w:val="475F10DB"/>
    <w:rsid w:val="475FD0C5"/>
    <w:rsid w:val="47605183"/>
    <w:rsid w:val="4765DEBC"/>
    <w:rsid w:val="476765EF"/>
    <w:rsid w:val="476A8D70"/>
    <w:rsid w:val="476C80A1"/>
    <w:rsid w:val="476CCC4E"/>
    <w:rsid w:val="476E2D0E"/>
    <w:rsid w:val="476E37EB"/>
    <w:rsid w:val="477238B6"/>
    <w:rsid w:val="47745216"/>
    <w:rsid w:val="4778A47A"/>
    <w:rsid w:val="477F0158"/>
    <w:rsid w:val="47800623"/>
    <w:rsid w:val="47837172"/>
    <w:rsid w:val="47844DB1"/>
    <w:rsid w:val="4784866A"/>
    <w:rsid w:val="47869800"/>
    <w:rsid w:val="4786F4BB"/>
    <w:rsid w:val="47879702"/>
    <w:rsid w:val="4788F2C7"/>
    <w:rsid w:val="4794AA18"/>
    <w:rsid w:val="4799D477"/>
    <w:rsid w:val="47A40225"/>
    <w:rsid w:val="47A5D107"/>
    <w:rsid w:val="47ADFC1E"/>
    <w:rsid w:val="47AFA9F7"/>
    <w:rsid w:val="47B26F86"/>
    <w:rsid w:val="47B47EA7"/>
    <w:rsid w:val="47B81642"/>
    <w:rsid w:val="47C32FDE"/>
    <w:rsid w:val="47C6E8E3"/>
    <w:rsid w:val="47C9C5A6"/>
    <w:rsid w:val="47CC7DE7"/>
    <w:rsid w:val="47D25D2E"/>
    <w:rsid w:val="47D4EC32"/>
    <w:rsid w:val="47D5E4EA"/>
    <w:rsid w:val="47D8DA5F"/>
    <w:rsid w:val="47DABD6E"/>
    <w:rsid w:val="47DC3AAA"/>
    <w:rsid w:val="47E35233"/>
    <w:rsid w:val="47E6BB5A"/>
    <w:rsid w:val="47E880A2"/>
    <w:rsid w:val="47E9A1E7"/>
    <w:rsid w:val="47ECF7BA"/>
    <w:rsid w:val="47ED0208"/>
    <w:rsid w:val="47F5AAAA"/>
    <w:rsid w:val="47F8D7D3"/>
    <w:rsid w:val="47FBECBB"/>
    <w:rsid w:val="4804F8F8"/>
    <w:rsid w:val="4804FF70"/>
    <w:rsid w:val="480556E1"/>
    <w:rsid w:val="48063469"/>
    <w:rsid w:val="480C3235"/>
    <w:rsid w:val="4810FC2B"/>
    <w:rsid w:val="48113B11"/>
    <w:rsid w:val="48138817"/>
    <w:rsid w:val="481490A5"/>
    <w:rsid w:val="4815B66F"/>
    <w:rsid w:val="4816DC23"/>
    <w:rsid w:val="4819F48C"/>
    <w:rsid w:val="481A70C5"/>
    <w:rsid w:val="481A8DF1"/>
    <w:rsid w:val="481B1A09"/>
    <w:rsid w:val="481E8A04"/>
    <w:rsid w:val="4820839E"/>
    <w:rsid w:val="4822C3AF"/>
    <w:rsid w:val="482F0D4B"/>
    <w:rsid w:val="4831FCF2"/>
    <w:rsid w:val="483A5E50"/>
    <w:rsid w:val="483A912E"/>
    <w:rsid w:val="483C7E75"/>
    <w:rsid w:val="483E0BAB"/>
    <w:rsid w:val="48401345"/>
    <w:rsid w:val="4845ADB7"/>
    <w:rsid w:val="48464AD7"/>
    <w:rsid w:val="4846EDB6"/>
    <w:rsid w:val="484B148A"/>
    <w:rsid w:val="4851D30D"/>
    <w:rsid w:val="4857ED4B"/>
    <w:rsid w:val="48602EC0"/>
    <w:rsid w:val="4861A06C"/>
    <w:rsid w:val="48657A1A"/>
    <w:rsid w:val="486706EB"/>
    <w:rsid w:val="4872A560"/>
    <w:rsid w:val="4879DB1D"/>
    <w:rsid w:val="48805DBB"/>
    <w:rsid w:val="48814C6D"/>
    <w:rsid w:val="4881C801"/>
    <w:rsid w:val="488AF1F9"/>
    <w:rsid w:val="488B69B5"/>
    <w:rsid w:val="488C96E9"/>
    <w:rsid w:val="488FEB76"/>
    <w:rsid w:val="488FF6D1"/>
    <w:rsid w:val="4892AA31"/>
    <w:rsid w:val="48970BC7"/>
    <w:rsid w:val="489F986F"/>
    <w:rsid w:val="48A0E0D0"/>
    <w:rsid w:val="48A4C7CC"/>
    <w:rsid w:val="48A538D5"/>
    <w:rsid w:val="48A793F4"/>
    <w:rsid w:val="48A8A3A2"/>
    <w:rsid w:val="48A98A6E"/>
    <w:rsid w:val="48ABF7CF"/>
    <w:rsid w:val="48AF8B6B"/>
    <w:rsid w:val="48B42EF0"/>
    <w:rsid w:val="48B74291"/>
    <w:rsid w:val="48B84FFE"/>
    <w:rsid w:val="48BA7A7C"/>
    <w:rsid w:val="48BABCA3"/>
    <w:rsid w:val="48CA259A"/>
    <w:rsid w:val="48CE28C0"/>
    <w:rsid w:val="48CE3A61"/>
    <w:rsid w:val="48D01A80"/>
    <w:rsid w:val="48D05278"/>
    <w:rsid w:val="48D17374"/>
    <w:rsid w:val="48D28A21"/>
    <w:rsid w:val="48D932CA"/>
    <w:rsid w:val="48E869A7"/>
    <w:rsid w:val="48F0835E"/>
    <w:rsid w:val="48F341B3"/>
    <w:rsid w:val="48F39340"/>
    <w:rsid w:val="48F4AD4F"/>
    <w:rsid w:val="48F5F29F"/>
    <w:rsid w:val="48F8288B"/>
    <w:rsid w:val="48FA1AB6"/>
    <w:rsid w:val="48FCEAB6"/>
    <w:rsid w:val="48FF40A9"/>
    <w:rsid w:val="4905271E"/>
    <w:rsid w:val="490603BE"/>
    <w:rsid w:val="490A26C8"/>
    <w:rsid w:val="490C6FB2"/>
    <w:rsid w:val="49172B6F"/>
    <w:rsid w:val="491821AA"/>
    <w:rsid w:val="4919498A"/>
    <w:rsid w:val="4920B925"/>
    <w:rsid w:val="4924F5D0"/>
    <w:rsid w:val="4927BF52"/>
    <w:rsid w:val="4928754F"/>
    <w:rsid w:val="492A5E25"/>
    <w:rsid w:val="492AE331"/>
    <w:rsid w:val="492D7C50"/>
    <w:rsid w:val="492E73D4"/>
    <w:rsid w:val="492EA96F"/>
    <w:rsid w:val="492F24CF"/>
    <w:rsid w:val="4936BA2C"/>
    <w:rsid w:val="493BBBA5"/>
    <w:rsid w:val="493D4FB4"/>
    <w:rsid w:val="493D8DD5"/>
    <w:rsid w:val="493EF4D5"/>
    <w:rsid w:val="49405C60"/>
    <w:rsid w:val="494116F9"/>
    <w:rsid w:val="4941DFBF"/>
    <w:rsid w:val="49456543"/>
    <w:rsid w:val="49472B0B"/>
    <w:rsid w:val="494ED2EB"/>
    <w:rsid w:val="4950F741"/>
    <w:rsid w:val="49513A35"/>
    <w:rsid w:val="4951D879"/>
    <w:rsid w:val="4953E21B"/>
    <w:rsid w:val="49544BF2"/>
    <w:rsid w:val="4959864C"/>
    <w:rsid w:val="495B4493"/>
    <w:rsid w:val="495E7EF1"/>
    <w:rsid w:val="495F308D"/>
    <w:rsid w:val="49606A24"/>
    <w:rsid w:val="49618361"/>
    <w:rsid w:val="4961DDFD"/>
    <w:rsid w:val="4962EAD9"/>
    <w:rsid w:val="4964A9A2"/>
    <w:rsid w:val="49714943"/>
    <w:rsid w:val="497AC460"/>
    <w:rsid w:val="497ACDBA"/>
    <w:rsid w:val="497C8BF6"/>
    <w:rsid w:val="497DCC73"/>
    <w:rsid w:val="497EAC31"/>
    <w:rsid w:val="4982C3E0"/>
    <w:rsid w:val="4982E75C"/>
    <w:rsid w:val="4988C111"/>
    <w:rsid w:val="498B77E1"/>
    <w:rsid w:val="498BB366"/>
    <w:rsid w:val="498C5B25"/>
    <w:rsid w:val="498E11B6"/>
    <w:rsid w:val="49900620"/>
    <w:rsid w:val="4995F326"/>
    <w:rsid w:val="4997F960"/>
    <w:rsid w:val="49A74CEB"/>
    <w:rsid w:val="49AC5A1A"/>
    <w:rsid w:val="49AFCB30"/>
    <w:rsid w:val="49B11B17"/>
    <w:rsid w:val="49B21673"/>
    <w:rsid w:val="49B37A65"/>
    <w:rsid w:val="49B51214"/>
    <w:rsid w:val="49B5C580"/>
    <w:rsid w:val="49BAD951"/>
    <w:rsid w:val="49BB0F91"/>
    <w:rsid w:val="49C49BBC"/>
    <w:rsid w:val="49C5A5C9"/>
    <w:rsid w:val="49C9629E"/>
    <w:rsid w:val="49CA2BD5"/>
    <w:rsid w:val="49CA8CA7"/>
    <w:rsid w:val="49DE47CF"/>
    <w:rsid w:val="49E0B070"/>
    <w:rsid w:val="49E377C5"/>
    <w:rsid w:val="49E3D9BD"/>
    <w:rsid w:val="49E50269"/>
    <w:rsid w:val="49E9B58B"/>
    <w:rsid w:val="49EF30F0"/>
    <w:rsid w:val="49F24C9F"/>
    <w:rsid w:val="49F476EE"/>
    <w:rsid w:val="49F526AD"/>
    <w:rsid w:val="49F77CC1"/>
    <w:rsid w:val="49F83A36"/>
    <w:rsid w:val="49F8690A"/>
    <w:rsid w:val="49FA039F"/>
    <w:rsid w:val="49FB79BD"/>
    <w:rsid w:val="49FC489D"/>
    <w:rsid w:val="4A04C16A"/>
    <w:rsid w:val="4A05A9D5"/>
    <w:rsid w:val="4A089E09"/>
    <w:rsid w:val="4A0B9948"/>
    <w:rsid w:val="4A1A69A3"/>
    <w:rsid w:val="4A1BA73A"/>
    <w:rsid w:val="4A1FDB42"/>
    <w:rsid w:val="4A1FF101"/>
    <w:rsid w:val="4A24789F"/>
    <w:rsid w:val="4A26B95D"/>
    <w:rsid w:val="4A31241E"/>
    <w:rsid w:val="4A313EB7"/>
    <w:rsid w:val="4A32BB83"/>
    <w:rsid w:val="4A34AA97"/>
    <w:rsid w:val="4A3573DA"/>
    <w:rsid w:val="4A35B603"/>
    <w:rsid w:val="4A390E80"/>
    <w:rsid w:val="4A3B1252"/>
    <w:rsid w:val="4A401F30"/>
    <w:rsid w:val="4A43455C"/>
    <w:rsid w:val="4A454612"/>
    <w:rsid w:val="4A4A96E6"/>
    <w:rsid w:val="4A4AB8C5"/>
    <w:rsid w:val="4A4BD681"/>
    <w:rsid w:val="4A537118"/>
    <w:rsid w:val="4A5429EE"/>
    <w:rsid w:val="4A5B49E0"/>
    <w:rsid w:val="4A6A9BB8"/>
    <w:rsid w:val="4A6C062B"/>
    <w:rsid w:val="4A72A036"/>
    <w:rsid w:val="4A74791B"/>
    <w:rsid w:val="4A760053"/>
    <w:rsid w:val="4A763437"/>
    <w:rsid w:val="4A77DE0F"/>
    <w:rsid w:val="4A7A9CC0"/>
    <w:rsid w:val="4A7E9AD9"/>
    <w:rsid w:val="4A7FF82E"/>
    <w:rsid w:val="4A8405B2"/>
    <w:rsid w:val="4A86FD0C"/>
    <w:rsid w:val="4A894136"/>
    <w:rsid w:val="4A89997A"/>
    <w:rsid w:val="4A8CEF09"/>
    <w:rsid w:val="4A8D3E8E"/>
    <w:rsid w:val="4A9276B0"/>
    <w:rsid w:val="4A93EDBC"/>
    <w:rsid w:val="4A99ED6A"/>
    <w:rsid w:val="4A9CBBC3"/>
    <w:rsid w:val="4AA08130"/>
    <w:rsid w:val="4AA43FCE"/>
    <w:rsid w:val="4AA5ADEC"/>
    <w:rsid w:val="4AAC3848"/>
    <w:rsid w:val="4AAD19A6"/>
    <w:rsid w:val="4AAE0B1D"/>
    <w:rsid w:val="4AB207E6"/>
    <w:rsid w:val="4AB26B2E"/>
    <w:rsid w:val="4AB69F47"/>
    <w:rsid w:val="4ABB5B61"/>
    <w:rsid w:val="4ABB7C80"/>
    <w:rsid w:val="4ABD7EC6"/>
    <w:rsid w:val="4AC08968"/>
    <w:rsid w:val="4AC11344"/>
    <w:rsid w:val="4AC15C9F"/>
    <w:rsid w:val="4AC1BEBE"/>
    <w:rsid w:val="4AC34A88"/>
    <w:rsid w:val="4AC4312C"/>
    <w:rsid w:val="4AC6F876"/>
    <w:rsid w:val="4AC983CD"/>
    <w:rsid w:val="4ACB12E9"/>
    <w:rsid w:val="4ACB3945"/>
    <w:rsid w:val="4AD0C896"/>
    <w:rsid w:val="4AD54CBF"/>
    <w:rsid w:val="4AD6E36B"/>
    <w:rsid w:val="4AD72195"/>
    <w:rsid w:val="4AD7CB13"/>
    <w:rsid w:val="4ADBC0D8"/>
    <w:rsid w:val="4ADF3DE3"/>
    <w:rsid w:val="4AE126BA"/>
    <w:rsid w:val="4AEDD04B"/>
    <w:rsid w:val="4B03A88E"/>
    <w:rsid w:val="4B055989"/>
    <w:rsid w:val="4B07BAF1"/>
    <w:rsid w:val="4B0930CB"/>
    <w:rsid w:val="4B0C8765"/>
    <w:rsid w:val="4B0D7047"/>
    <w:rsid w:val="4B0E32E7"/>
    <w:rsid w:val="4B0ED91A"/>
    <w:rsid w:val="4B0F8BF0"/>
    <w:rsid w:val="4B125B4B"/>
    <w:rsid w:val="4B17913A"/>
    <w:rsid w:val="4B19BF1F"/>
    <w:rsid w:val="4B242F79"/>
    <w:rsid w:val="4B266FC9"/>
    <w:rsid w:val="4B268B93"/>
    <w:rsid w:val="4B27AFA6"/>
    <w:rsid w:val="4B28213E"/>
    <w:rsid w:val="4B29778B"/>
    <w:rsid w:val="4B2A27C7"/>
    <w:rsid w:val="4B2C1660"/>
    <w:rsid w:val="4B30C171"/>
    <w:rsid w:val="4B30FB4A"/>
    <w:rsid w:val="4B322913"/>
    <w:rsid w:val="4B348794"/>
    <w:rsid w:val="4B39287D"/>
    <w:rsid w:val="4B39F455"/>
    <w:rsid w:val="4B3BC7E8"/>
    <w:rsid w:val="4B445E9C"/>
    <w:rsid w:val="4B4CBEC7"/>
    <w:rsid w:val="4B4FFC74"/>
    <w:rsid w:val="4B52DAE4"/>
    <w:rsid w:val="4B56B150"/>
    <w:rsid w:val="4B5C3419"/>
    <w:rsid w:val="4B5D7315"/>
    <w:rsid w:val="4B616E0F"/>
    <w:rsid w:val="4B618FC9"/>
    <w:rsid w:val="4B62924E"/>
    <w:rsid w:val="4B635D2F"/>
    <w:rsid w:val="4B685B19"/>
    <w:rsid w:val="4B6B850B"/>
    <w:rsid w:val="4B6DF112"/>
    <w:rsid w:val="4B70544C"/>
    <w:rsid w:val="4B7343EA"/>
    <w:rsid w:val="4B76E6D5"/>
    <w:rsid w:val="4B79FB37"/>
    <w:rsid w:val="4B7B1970"/>
    <w:rsid w:val="4B7B1F29"/>
    <w:rsid w:val="4B7B5D70"/>
    <w:rsid w:val="4B80C9A4"/>
    <w:rsid w:val="4B817138"/>
    <w:rsid w:val="4B81B0BB"/>
    <w:rsid w:val="4B8229E7"/>
    <w:rsid w:val="4B849A26"/>
    <w:rsid w:val="4B87B764"/>
    <w:rsid w:val="4B88DEC5"/>
    <w:rsid w:val="4B8A1F80"/>
    <w:rsid w:val="4B8C308D"/>
    <w:rsid w:val="4B8E6860"/>
    <w:rsid w:val="4B913DE7"/>
    <w:rsid w:val="4B92FB65"/>
    <w:rsid w:val="4B934C9B"/>
    <w:rsid w:val="4B942E21"/>
    <w:rsid w:val="4B9436C1"/>
    <w:rsid w:val="4B96C502"/>
    <w:rsid w:val="4B983E8B"/>
    <w:rsid w:val="4B9C9E51"/>
    <w:rsid w:val="4B9D65D6"/>
    <w:rsid w:val="4B9DB76B"/>
    <w:rsid w:val="4BA62FBD"/>
    <w:rsid w:val="4BA71C7C"/>
    <w:rsid w:val="4BAF98D5"/>
    <w:rsid w:val="4BAFD0A0"/>
    <w:rsid w:val="4BB04324"/>
    <w:rsid w:val="4BB1ED3B"/>
    <w:rsid w:val="4BB2945C"/>
    <w:rsid w:val="4BB3A6F1"/>
    <w:rsid w:val="4BB3B8BD"/>
    <w:rsid w:val="4BB4328D"/>
    <w:rsid w:val="4BB47772"/>
    <w:rsid w:val="4BC64475"/>
    <w:rsid w:val="4BC665AC"/>
    <w:rsid w:val="4BC6CDDC"/>
    <w:rsid w:val="4BD237A9"/>
    <w:rsid w:val="4BD3E1CD"/>
    <w:rsid w:val="4BD495C9"/>
    <w:rsid w:val="4BD7C9B8"/>
    <w:rsid w:val="4BD97470"/>
    <w:rsid w:val="4BDC4367"/>
    <w:rsid w:val="4BF08244"/>
    <w:rsid w:val="4BF2CC92"/>
    <w:rsid w:val="4BF3E1E2"/>
    <w:rsid w:val="4BFD46C5"/>
    <w:rsid w:val="4C031E6C"/>
    <w:rsid w:val="4C16B2CE"/>
    <w:rsid w:val="4C19E6DA"/>
    <w:rsid w:val="4C1B96F0"/>
    <w:rsid w:val="4C1BF855"/>
    <w:rsid w:val="4C1E081F"/>
    <w:rsid w:val="4C1FBAAE"/>
    <w:rsid w:val="4C20DDA0"/>
    <w:rsid w:val="4C228C5D"/>
    <w:rsid w:val="4C23C923"/>
    <w:rsid w:val="4C24459C"/>
    <w:rsid w:val="4C3872AC"/>
    <w:rsid w:val="4C39D4BF"/>
    <w:rsid w:val="4C3C6C32"/>
    <w:rsid w:val="4C3D26B9"/>
    <w:rsid w:val="4C3F8C8C"/>
    <w:rsid w:val="4C45A828"/>
    <w:rsid w:val="4C45F0E3"/>
    <w:rsid w:val="4C4E4491"/>
    <w:rsid w:val="4C5BA7AE"/>
    <w:rsid w:val="4C5E0265"/>
    <w:rsid w:val="4C60F864"/>
    <w:rsid w:val="4C641436"/>
    <w:rsid w:val="4C65C818"/>
    <w:rsid w:val="4C6CAD02"/>
    <w:rsid w:val="4C704242"/>
    <w:rsid w:val="4C709056"/>
    <w:rsid w:val="4C710F41"/>
    <w:rsid w:val="4C781A36"/>
    <w:rsid w:val="4C782252"/>
    <w:rsid w:val="4C78A822"/>
    <w:rsid w:val="4C7DD558"/>
    <w:rsid w:val="4C7EBA7B"/>
    <w:rsid w:val="4C828553"/>
    <w:rsid w:val="4C83977A"/>
    <w:rsid w:val="4C85F75B"/>
    <w:rsid w:val="4C8876F6"/>
    <w:rsid w:val="4C8DAAB3"/>
    <w:rsid w:val="4C8E70CB"/>
    <w:rsid w:val="4C911991"/>
    <w:rsid w:val="4C98F401"/>
    <w:rsid w:val="4C996C07"/>
    <w:rsid w:val="4C9A6411"/>
    <w:rsid w:val="4CA07A39"/>
    <w:rsid w:val="4CA7A9D8"/>
    <w:rsid w:val="4CA88205"/>
    <w:rsid w:val="4CA9A3E8"/>
    <w:rsid w:val="4CABC02D"/>
    <w:rsid w:val="4CAD3534"/>
    <w:rsid w:val="4CAD8767"/>
    <w:rsid w:val="4CAEF3DC"/>
    <w:rsid w:val="4CB4FF9A"/>
    <w:rsid w:val="4CB59A33"/>
    <w:rsid w:val="4CC8553D"/>
    <w:rsid w:val="4CCE7796"/>
    <w:rsid w:val="4CD0BACB"/>
    <w:rsid w:val="4CD2E456"/>
    <w:rsid w:val="4CD5A4D2"/>
    <w:rsid w:val="4CDAAB1F"/>
    <w:rsid w:val="4CDD8C89"/>
    <w:rsid w:val="4CEC65E3"/>
    <w:rsid w:val="4CED65EC"/>
    <w:rsid w:val="4CEDC72E"/>
    <w:rsid w:val="4CF1B781"/>
    <w:rsid w:val="4CF3680B"/>
    <w:rsid w:val="4CF3E5EE"/>
    <w:rsid w:val="4CF3F3B1"/>
    <w:rsid w:val="4CF40D66"/>
    <w:rsid w:val="4CF826C1"/>
    <w:rsid w:val="4CF829B4"/>
    <w:rsid w:val="4CFB7A0D"/>
    <w:rsid w:val="4CFE7EE1"/>
    <w:rsid w:val="4CFFF0A7"/>
    <w:rsid w:val="4D023652"/>
    <w:rsid w:val="4D046ACB"/>
    <w:rsid w:val="4D04AE39"/>
    <w:rsid w:val="4D0D7C3C"/>
    <w:rsid w:val="4D0DE3AD"/>
    <w:rsid w:val="4D10AB53"/>
    <w:rsid w:val="4D126C94"/>
    <w:rsid w:val="4D13A0C4"/>
    <w:rsid w:val="4D15A069"/>
    <w:rsid w:val="4D19C754"/>
    <w:rsid w:val="4D1AD81B"/>
    <w:rsid w:val="4D1B9D05"/>
    <w:rsid w:val="4D1BB4AF"/>
    <w:rsid w:val="4D21B6FB"/>
    <w:rsid w:val="4D21F58D"/>
    <w:rsid w:val="4D244D94"/>
    <w:rsid w:val="4D28107A"/>
    <w:rsid w:val="4D2B0B31"/>
    <w:rsid w:val="4D324EB2"/>
    <w:rsid w:val="4D325C4A"/>
    <w:rsid w:val="4D32E2C0"/>
    <w:rsid w:val="4D35B675"/>
    <w:rsid w:val="4D38C656"/>
    <w:rsid w:val="4D3DD8D8"/>
    <w:rsid w:val="4D43F6C1"/>
    <w:rsid w:val="4D46496D"/>
    <w:rsid w:val="4D4B2B74"/>
    <w:rsid w:val="4D4EEC01"/>
    <w:rsid w:val="4D561D57"/>
    <w:rsid w:val="4D57AB16"/>
    <w:rsid w:val="4D5816D8"/>
    <w:rsid w:val="4D5A3D71"/>
    <w:rsid w:val="4D5BE165"/>
    <w:rsid w:val="4D5CEC46"/>
    <w:rsid w:val="4D69AD0B"/>
    <w:rsid w:val="4D6C8782"/>
    <w:rsid w:val="4D6C8EDB"/>
    <w:rsid w:val="4D7006D4"/>
    <w:rsid w:val="4D733D97"/>
    <w:rsid w:val="4D75924F"/>
    <w:rsid w:val="4D7EFBFC"/>
    <w:rsid w:val="4D806340"/>
    <w:rsid w:val="4D82E006"/>
    <w:rsid w:val="4D87393B"/>
    <w:rsid w:val="4D8A9C5F"/>
    <w:rsid w:val="4D8B46B2"/>
    <w:rsid w:val="4D907C08"/>
    <w:rsid w:val="4D91278A"/>
    <w:rsid w:val="4D92E2D4"/>
    <w:rsid w:val="4D994830"/>
    <w:rsid w:val="4D9ABA0B"/>
    <w:rsid w:val="4D9D65E0"/>
    <w:rsid w:val="4DA06B6A"/>
    <w:rsid w:val="4DA41A49"/>
    <w:rsid w:val="4DA4A7EE"/>
    <w:rsid w:val="4DA6A739"/>
    <w:rsid w:val="4DAB1922"/>
    <w:rsid w:val="4DAD0FB7"/>
    <w:rsid w:val="4DAE80BE"/>
    <w:rsid w:val="4DB3DAFE"/>
    <w:rsid w:val="4DB53727"/>
    <w:rsid w:val="4DB5BD1D"/>
    <w:rsid w:val="4DB6833A"/>
    <w:rsid w:val="4DB6C3D5"/>
    <w:rsid w:val="4DB846E1"/>
    <w:rsid w:val="4DB8D2DB"/>
    <w:rsid w:val="4DBEBA94"/>
    <w:rsid w:val="4DC29D0E"/>
    <w:rsid w:val="4DC697DC"/>
    <w:rsid w:val="4DC78FB6"/>
    <w:rsid w:val="4DC79035"/>
    <w:rsid w:val="4DCE9606"/>
    <w:rsid w:val="4DCF5E90"/>
    <w:rsid w:val="4DD19A8E"/>
    <w:rsid w:val="4DD1E063"/>
    <w:rsid w:val="4DDBD618"/>
    <w:rsid w:val="4DDE03CF"/>
    <w:rsid w:val="4DE09200"/>
    <w:rsid w:val="4DE1753E"/>
    <w:rsid w:val="4DE2641B"/>
    <w:rsid w:val="4DE73BEA"/>
    <w:rsid w:val="4DEEB6A4"/>
    <w:rsid w:val="4DF0156B"/>
    <w:rsid w:val="4DF0B020"/>
    <w:rsid w:val="4DF4ECF3"/>
    <w:rsid w:val="4DF5BA55"/>
    <w:rsid w:val="4DFA18DB"/>
    <w:rsid w:val="4DFA2046"/>
    <w:rsid w:val="4DFB4C1C"/>
    <w:rsid w:val="4DFB8207"/>
    <w:rsid w:val="4DFDBFF3"/>
    <w:rsid w:val="4DFE9C90"/>
    <w:rsid w:val="4DFFD4CD"/>
    <w:rsid w:val="4E02C87E"/>
    <w:rsid w:val="4E04093F"/>
    <w:rsid w:val="4E0688FA"/>
    <w:rsid w:val="4E07A8C6"/>
    <w:rsid w:val="4E0899E6"/>
    <w:rsid w:val="4E0D5388"/>
    <w:rsid w:val="4E0DF04E"/>
    <w:rsid w:val="4E0EB516"/>
    <w:rsid w:val="4E11EF87"/>
    <w:rsid w:val="4E128B35"/>
    <w:rsid w:val="4E14A6C8"/>
    <w:rsid w:val="4E17E06E"/>
    <w:rsid w:val="4E1B5CDB"/>
    <w:rsid w:val="4E1C7019"/>
    <w:rsid w:val="4E1D74AC"/>
    <w:rsid w:val="4E1EADF8"/>
    <w:rsid w:val="4E24A320"/>
    <w:rsid w:val="4E26561E"/>
    <w:rsid w:val="4E349119"/>
    <w:rsid w:val="4E3496C9"/>
    <w:rsid w:val="4E374B0D"/>
    <w:rsid w:val="4E39E99C"/>
    <w:rsid w:val="4E3BBBD9"/>
    <w:rsid w:val="4E42E90F"/>
    <w:rsid w:val="4E48B3CA"/>
    <w:rsid w:val="4E5043B3"/>
    <w:rsid w:val="4E543F12"/>
    <w:rsid w:val="4E6270C0"/>
    <w:rsid w:val="4E649666"/>
    <w:rsid w:val="4E64BA37"/>
    <w:rsid w:val="4E672B7A"/>
    <w:rsid w:val="4E6BB162"/>
    <w:rsid w:val="4E6BEB45"/>
    <w:rsid w:val="4E74ABFA"/>
    <w:rsid w:val="4E86660C"/>
    <w:rsid w:val="4E8B2B7F"/>
    <w:rsid w:val="4E8DDEC4"/>
    <w:rsid w:val="4E939A04"/>
    <w:rsid w:val="4E9762AF"/>
    <w:rsid w:val="4E9DCC06"/>
    <w:rsid w:val="4E9FF295"/>
    <w:rsid w:val="4EA20E28"/>
    <w:rsid w:val="4EA3344A"/>
    <w:rsid w:val="4EA3C0FE"/>
    <w:rsid w:val="4EA6D72B"/>
    <w:rsid w:val="4EAA6A5E"/>
    <w:rsid w:val="4EB32349"/>
    <w:rsid w:val="4EBB4708"/>
    <w:rsid w:val="4EBF28CD"/>
    <w:rsid w:val="4EC303BD"/>
    <w:rsid w:val="4EC3D189"/>
    <w:rsid w:val="4EC5C64F"/>
    <w:rsid w:val="4ECCACC7"/>
    <w:rsid w:val="4ECCEDB8"/>
    <w:rsid w:val="4ECF5537"/>
    <w:rsid w:val="4ECFDFE1"/>
    <w:rsid w:val="4ED1BD32"/>
    <w:rsid w:val="4ED2F3FC"/>
    <w:rsid w:val="4ED8909E"/>
    <w:rsid w:val="4EDD4563"/>
    <w:rsid w:val="4EE50331"/>
    <w:rsid w:val="4EE767C1"/>
    <w:rsid w:val="4EEA43B2"/>
    <w:rsid w:val="4EF41957"/>
    <w:rsid w:val="4EF8C1F2"/>
    <w:rsid w:val="4EFB94B0"/>
    <w:rsid w:val="4EFE64E1"/>
    <w:rsid w:val="4F039928"/>
    <w:rsid w:val="4F067A01"/>
    <w:rsid w:val="4F06C756"/>
    <w:rsid w:val="4F07ED87"/>
    <w:rsid w:val="4F09C514"/>
    <w:rsid w:val="4F0F56AA"/>
    <w:rsid w:val="4F17D193"/>
    <w:rsid w:val="4F1A4D87"/>
    <w:rsid w:val="4F1BA1AD"/>
    <w:rsid w:val="4F1CF07C"/>
    <w:rsid w:val="4F2280E4"/>
    <w:rsid w:val="4F28DAC8"/>
    <w:rsid w:val="4F294F83"/>
    <w:rsid w:val="4F2C9BE0"/>
    <w:rsid w:val="4F2DF686"/>
    <w:rsid w:val="4F2E92FC"/>
    <w:rsid w:val="4F365CEB"/>
    <w:rsid w:val="4F37FA12"/>
    <w:rsid w:val="4F437019"/>
    <w:rsid w:val="4F440C3B"/>
    <w:rsid w:val="4F471E90"/>
    <w:rsid w:val="4F4E2DA7"/>
    <w:rsid w:val="4F517030"/>
    <w:rsid w:val="4F51F0E0"/>
    <w:rsid w:val="4F5361B8"/>
    <w:rsid w:val="4F552963"/>
    <w:rsid w:val="4F568D27"/>
    <w:rsid w:val="4F56E49A"/>
    <w:rsid w:val="4F5DF0B0"/>
    <w:rsid w:val="4F61E3AF"/>
    <w:rsid w:val="4F626DC9"/>
    <w:rsid w:val="4F69B0F5"/>
    <w:rsid w:val="4F6EF7F9"/>
    <w:rsid w:val="4F705680"/>
    <w:rsid w:val="4F77CE66"/>
    <w:rsid w:val="4F7B851E"/>
    <w:rsid w:val="4F7D97EB"/>
    <w:rsid w:val="4F7F2AFF"/>
    <w:rsid w:val="4F7FBA7C"/>
    <w:rsid w:val="4F7FDC47"/>
    <w:rsid w:val="4F858555"/>
    <w:rsid w:val="4F86B5C4"/>
    <w:rsid w:val="4F8DFCE5"/>
    <w:rsid w:val="4F8EF8E8"/>
    <w:rsid w:val="4F9496B5"/>
    <w:rsid w:val="4F97DC8A"/>
    <w:rsid w:val="4F991164"/>
    <w:rsid w:val="4F991A9B"/>
    <w:rsid w:val="4F9E4A19"/>
    <w:rsid w:val="4FA4E3E6"/>
    <w:rsid w:val="4FA7D854"/>
    <w:rsid w:val="4FA809CB"/>
    <w:rsid w:val="4FAAF2DC"/>
    <w:rsid w:val="4FAFDCC9"/>
    <w:rsid w:val="4FB01A1D"/>
    <w:rsid w:val="4FB0F7F2"/>
    <w:rsid w:val="4FB2D298"/>
    <w:rsid w:val="4FB41731"/>
    <w:rsid w:val="4FB66D21"/>
    <w:rsid w:val="4FBA36EE"/>
    <w:rsid w:val="4FBBCC49"/>
    <w:rsid w:val="4FC1C0BA"/>
    <w:rsid w:val="4FC23F06"/>
    <w:rsid w:val="4FC27280"/>
    <w:rsid w:val="4FCDAA08"/>
    <w:rsid w:val="4FCEC2B2"/>
    <w:rsid w:val="4FD58186"/>
    <w:rsid w:val="4FD5E341"/>
    <w:rsid w:val="4FD8482D"/>
    <w:rsid w:val="4FD8F4B2"/>
    <w:rsid w:val="4FD9ACB6"/>
    <w:rsid w:val="4FDA6750"/>
    <w:rsid w:val="4FDBB9D2"/>
    <w:rsid w:val="4FDBE756"/>
    <w:rsid w:val="4FDCCB65"/>
    <w:rsid w:val="4FDD034F"/>
    <w:rsid w:val="4FDE5C51"/>
    <w:rsid w:val="4FDEC4A9"/>
    <w:rsid w:val="4FE3458E"/>
    <w:rsid w:val="4FE90CC2"/>
    <w:rsid w:val="4FEB2EC8"/>
    <w:rsid w:val="4FF4F490"/>
    <w:rsid w:val="4FFC8431"/>
    <w:rsid w:val="500AE44C"/>
    <w:rsid w:val="5012013B"/>
    <w:rsid w:val="50184D59"/>
    <w:rsid w:val="5019343F"/>
    <w:rsid w:val="5023366A"/>
    <w:rsid w:val="5023CE29"/>
    <w:rsid w:val="50267F45"/>
    <w:rsid w:val="503802F1"/>
    <w:rsid w:val="5038E726"/>
    <w:rsid w:val="503D979B"/>
    <w:rsid w:val="503EA09C"/>
    <w:rsid w:val="5043E145"/>
    <w:rsid w:val="504E58F6"/>
    <w:rsid w:val="5050F3E0"/>
    <w:rsid w:val="505BA0D5"/>
    <w:rsid w:val="505FD06C"/>
    <w:rsid w:val="506067F8"/>
    <w:rsid w:val="506337BD"/>
    <w:rsid w:val="5063CF7E"/>
    <w:rsid w:val="506CB7F0"/>
    <w:rsid w:val="506D9368"/>
    <w:rsid w:val="506F3934"/>
    <w:rsid w:val="507BDB99"/>
    <w:rsid w:val="508442AE"/>
    <w:rsid w:val="5088521F"/>
    <w:rsid w:val="508858E4"/>
    <w:rsid w:val="5089D2C4"/>
    <w:rsid w:val="5089D64D"/>
    <w:rsid w:val="509195BC"/>
    <w:rsid w:val="509394EA"/>
    <w:rsid w:val="509FE847"/>
    <w:rsid w:val="50A84521"/>
    <w:rsid w:val="50AA4049"/>
    <w:rsid w:val="50AE67E5"/>
    <w:rsid w:val="50B20FBF"/>
    <w:rsid w:val="50B38B67"/>
    <w:rsid w:val="50B38C63"/>
    <w:rsid w:val="50BCA504"/>
    <w:rsid w:val="50BE6AA5"/>
    <w:rsid w:val="50C3C519"/>
    <w:rsid w:val="50C5EBE0"/>
    <w:rsid w:val="50C7EF95"/>
    <w:rsid w:val="50C9ED0E"/>
    <w:rsid w:val="50CB50FC"/>
    <w:rsid w:val="50CC065D"/>
    <w:rsid w:val="50CDC299"/>
    <w:rsid w:val="50D3C74D"/>
    <w:rsid w:val="50D495E0"/>
    <w:rsid w:val="50D6495E"/>
    <w:rsid w:val="50D9AF0D"/>
    <w:rsid w:val="50E28479"/>
    <w:rsid w:val="50E3EBD7"/>
    <w:rsid w:val="50E42BEF"/>
    <w:rsid w:val="50E44100"/>
    <w:rsid w:val="50E686B8"/>
    <w:rsid w:val="50E801FB"/>
    <w:rsid w:val="50E8FF7A"/>
    <w:rsid w:val="50F1634B"/>
    <w:rsid w:val="50F36D98"/>
    <w:rsid w:val="50F7E4DA"/>
    <w:rsid w:val="50FFE322"/>
    <w:rsid w:val="5100A9F5"/>
    <w:rsid w:val="5115EFB1"/>
    <w:rsid w:val="5117B848"/>
    <w:rsid w:val="5119F49F"/>
    <w:rsid w:val="5126BA1E"/>
    <w:rsid w:val="51275FB5"/>
    <w:rsid w:val="51276F92"/>
    <w:rsid w:val="51398881"/>
    <w:rsid w:val="513ADE2B"/>
    <w:rsid w:val="5140901A"/>
    <w:rsid w:val="5145D0BC"/>
    <w:rsid w:val="5149008F"/>
    <w:rsid w:val="51525110"/>
    <w:rsid w:val="5155A20E"/>
    <w:rsid w:val="51562570"/>
    <w:rsid w:val="5157B897"/>
    <w:rsid w:val="5158D1DF"/>
    <w:rsid w:val="515DB736"/>
    <w:rsid w:val="515E0DAA"/>
    <w:rsid w:val="515F6BE9"/>
    <w:rsid w:val="51606DC6"/>
    <w:rsid w:val="51655FBB"/>
    <w:rsid w:val="51687033"/>
    <w:rsid w:val="5171DC8A"/>
    <w:rsid w:val="51742F03"/>
    <w:rsid w:val="51771396"/>
    <w:rsid w:val="5177EFF4"/>
    <w:rsid w:val="51788AD2"/>
    <w:rsid w:val="517BBB34"/>
    <w:rsid w:val="51841C15"/>
    <w:rsid w:val="5187B1B0"/>
    <w:rsid w:val="51880A65"/>
    <w:rsid w:val="5189888B"/>
    <w:rsid w:val="518AD0C7"/>
    <w:rsid w:val="518E68B9"/>
    <w:rsid w:val="518F2A8F"/>
    <w:rsid w:val="51947908"/>
    <w:rsid w:val="5196C322"/>
    <w:rsid w:val="519AEE74"/>
    <w:rsid w:val="519C97FA"/>
    <w:rsid w:val="519FF7A3"/>
    <w:rsid w:val="51A1F7B4"/>
    <w:rsid w:val="51A2A532"/>
    <w:rsid w:val="51A3144F"/>
    <w:rsid w:val="51A4F865"/>
    <w:rsid w:val="51A8CBE1"/>
    <w:rsid w:val="51AC5CF9"/>
    <w:rsid w:val="51ADCE34"/>
    <w:rsid w:val="51B0D858"/>
    <w:rsid w:val="51B3671E"/>
    <w:rsid w:val="51BABF38"/>
    <w:rsid w:val="51BB0287"/>
    <w:rsid w:val="51C1ED5C"/>
    <w:rsid w:val="51C2D689"/>
    <w:rsid w:val="51C60542"/>
    <w:rsid w:val="51C72E58"/>
    <w:rsid w:val="51CAA32E"/>
    <w:rsid w:val="51CBCD3A"/>
    <w:rsid w:val="51CC3FDE"/>
    <w:rsid w:val="51D330DC"/>
    <w:rsid w:val="51D463F9"/>
    <w:rsid w:val="51D8FB76"/>
    <w:rsid w:val="51E9066D"/>
    <w:rsid w:val="51E9D096"/>
    <w:rsid w:val="51EDCAAF"/>
    <w:rsid w:val="51F9C4DD"/>
    <w:rsid w:val="51FCB9CA"/>
    <w:rsid w:val="52021FF1"/>
    <w:rsid w:val="5202497B"/>
    <w:rsid w:val="52067AD5"/>
    <w:rsid w:val="5209A32B"/>
    <w:rsid w:val="520FDED5"/>
    <w:rsid w:val="5212C55F"/>
    <w:rsid w:val="5218B75D"/>
    <w:rsid w:val="52190F89"/>
    <w:rsid w:val="52195E2B"/>
    <w:rsid w:val="521D5E8C"/>
    <w:rsid w:val="521DC67A"/>
    <w:rsid w:val="52205E7D"/>
    <w:rsid w:val="522803F4"/>
    <w:rsid w:val="522AA4CC"/>
    <w:rsid w:val="522C8F2F"/>
    <w:rsid w:val="522CB413"/>
    <w:rsid w:val="522D7667"/>
    <w:rsid w:val="522ED227"/>
    <w:rsid w:val="5232D161"/>
    <w:rsid w:val="52333827"/>
    <w:rsid w:val="5235BCFD"/>
    <w:rsid w:val="5237276C"/>
    <w:rsid w:val="523B9171"/>
    <w:rsid w:val="523D41B6"/>
    <w:rsid w:val="52429A28"/>
    <w:rsid w:val="5247CE38"/>
    <w:rsid w:val="52522355"/>
    <w:rsid w:val="52571D36"/>
    <w:rsid w:val="52572F8D"/>
    <w:rsid w:val="52573212"/>
    <w:rsid w:val="525848B2"/>
    <w:rsid w:val="52588ACA"/>
    <w:rsid w:val="5259D61D"/>
    <w:rsid w:val="525ED762"/>
    <w:rsid w:val="526610D8"/>
    <w:rsid w:val="5272C5E4"/>
    <w:rsid w:val="5272EE6C"/>
    <w:rsid w:val="52785003"/>
    <w:rsid w:val="52795245"/>
    <w:rsid w:val="527B38C8"/>
    <w:rsid w:val="5283434E"/>
    <w:rsid w:val="528C8EAF"/>
    <w:rsid w:val="52905F42"/>
    <w:rsid w:val="529123E9"/>
    <w:rsid w:val="52915DDF"/>
    <w:rsid w:val="52954A34"/>
    <w:rsid w:val="5299388A"/>
    <w:rsid w:val="52A0C6E9"/>
    <w:rsid w:val="52A4F086"/>
    <w:rsid w:val="52ACBAD1"/>
    <w:rsid w:val="52B236CD"/>
    <w:rsid w:val="52BF15F3"/>
    <w:rsid w:val="52C04497"/>
    <w:rsid w:val="52C5C3DC"/>
    <w:rsid w:val="52CDD301"/>
    <w:rsid w:val="52D0057C"/>
    <w:rsid w:val="52D03DC4"/>
    <w:rsid w:val="52D1BF97"/>
    <w:rsid w:val="52D603BE"/>
    <w:rsid w:val="52D93B86"/>
    <w:rsid w:val="52DE03E6"/>
    <w:rsid w:val="52DE326B"/>
    <w:rsid w:val="52DFA197"/>
    <w:rsid w:val="52E048FE"/>
    <w:rsid w:val="52E35933"/>
    <w:rsid w:val="52E94A7B"/>
    <w:rsid w:val="52EA1FE0"/>
    <w:rsid w:val="52EB64CF"/>
    <w:rsid w:val="52EC1B69"/>
    <w:rsid w:val="52ECB8DF"/>
    <w:rsid w:val="52ED515A"/>
    <w:rsid w:val="52EFA2F6"/>
    <w:rsid w:val="52F209C9"/>
    <w:rsid w:val="52F3604B"/>
    <w:rsid w:val="52F5CE07"/>
    <w:rsid w:val="52F6731C"/>
    <w:rsid w:val="52F9DFDC"/>
    <w:rsid w:val="52FAA725"/>
    <w:rsid w:val="52FEE097"/>
    <w:rsid w:val="5300985E"/>
    <w:rsid w:val="530A95BE"/>
    <w:rsid w:val="5315449C"/>
    <w:rsid w:val="531ACB1B"/>
    <w:rsid w:val="531C3B98"/>
    <w:rsid w:val="531C8DFF"/>
    <w:rsid w:val="531E6FFB"/>
    <w:rsid w:val="532096A4"/>
    <w:rsid w:val="5324916C"/>
    <w:rsid w:val="5325460F"/>
    <w:rsid w:val="532A9841"/>
    <w:rsid w:val="532C36DB"/>
    <w:rsid w:val="532FC77C"/>
    <w:rsid w:val="5332743F"/>
    <w:rsid w:val="533978F0"/>
    <w:rsid w:val="533A0D7C"/>
    <w:rsid w:val="534698CE"/>
    <w:rsid w:val="53478421"/>
    <w:rsid w:val="534A5CF5"/>
    <w:rsid w:val="534D65B6"/>
    <w:rsid w:val="53502504"/>
    <w:rsid w:val="53503D4A"/>
    <w:rsid w:val="53566DFE"/>
    <w:rsid w:val="5365903A"/>
    <w:rsid w:val="5369BB5F"/>
    <w:rsid w:val="536A7957"/>
    <w:rsid w:val="536BD7F2"/>
    <w:rsid w:val="537E2A42"/>
    <w:rsid w:val="537F6C04"/>
    <w:rsid w:val="5389E745"/>
    <w:rsid w:val="538AB7C8"/>
    <w:rsid w:val="538BA009"/>
    <w:rsid w:val="538E9808"/>
    <w:rsid w:val="53901954"/>
    <w:rsid w:val="539263BA"/>
    <w:rsid w:val="53938B64"/>
    <w:rsid w:val="539BC3EE"/>
    <w:rsid w:val="539E7859"/>
    <w:rsid w:val="53A18E3B"/>
    <w:rsid w:val="53A696A7"/>
    <w:rsid w:val="53AA0F83"/>
    <w:rsid w:val="53B0010F"/>
    <w:rsid w:val="53B03C1F"/>
    <w:rsid w:val="53B240EA"/>
    <w:rsid w:val="53B2EA77"/>
    <w:rsid w:val="53B9B700"/>
    <w:rsid w:val="53BF57D1"/>
    <w:rsid w:val="53C32121"/>
    <w:rsid w:val="53C4B5F4"/>
    <w:rsid w:val="53C647BC"/>
    <w:rsid w:val="53CAA5A6"/>
    <w:rsid w:val="53CB3994"/>
    <w:rsid w:val="53CDD13C"/>
    <w:rsid w:val="53D60E33"/>
    <w:rsid w:val="53DA49D4"/>
    <w:rsid w:val="53DAB44F"/>
    <w:rsid w:val="53DC16C9"/>
    <w:rsid w:val="53DEA87D"/>
    <w:rsid w:val="53E2D302"/>
    <w:rsid w:val="53E53C93"/>
    <w:rsid w:val="53EBDFFC"/>
    <w:rsid w:val="53F3252E"/>
    <w:rsid w:val="53F339AD"/>
    <w:rsid w:val="53F3E90E"/>
    <w:rsid w:val="53F44CAD"/>
    <w:rsid w:val="53FAC6A3"/>
    <w:rsid w:val="53FC4E39"/>
    <w:rsid w:val="5400982D"/>
    <w:rsid w:val="54085E57"/>
    <w:rsid w:val="540A4BAD"/>
    <w:rsid w:val="540B081E"/>
    <w:rsid w:val="540BE15F"/>
    <w:rsid w:val="540E8DBA"/>
    <w:rsid w:val="541C1EAB"/>
    <w:rsid w:val="5420A382"/>
    <w:rsid w:val="542B9C21"/>
    <w:rsid w:val="542D0F1D"/>
    <w:rsid w:val="542D7AAD"/>
    <w:rsid w:val="542DDAFE"/>
    <w:rsid w:val="542E275C"/>
    <w:rsid w:val="543129C3"/>
    <w:rsid w:val="543625A3"/>
    <w:rsid w:val="543BA27B"/>
    <w:rsid w:val="543CB332"/>
    <w:rsid w:val="543E10C3"/>
    <w:rsid w:val="5441D12A"/>
    <w:rsid w:val="5444336F"/>
    <w:rsid w:val="5445ACA9"/>
    <w:rsid w:val="544A16F8"/>
    <w:rsid w:val="544C6A2D"/>
    <w:rsid w:val="544CADEC"/>
    <w:rsid w:val="544E4267"/>
    <w:rsid w:val="545EEF07"/>
    <w:rsid w:val="54632C4B"/>
    <w:rsid w:val="5463A17F"/>
    <w:rsid w:val="54697330"/>
    <w:rsid w:val="546C36F7"/>
    <w:rsid w:val="546DC830"/>
    <w:rsid w:val="546E67B4"/>
    <w:rsid w:val="547B7317"/>
    <w:rsid w:val="547BBD8C"/>
    <w:rsid w:val="547CE3B4"/>
    <w:rsid w:val="5485281C"/>
    <w:rsid w:val="5488EEDA"/>
    <w:rsid w:val="54898EEF"/>
    <w:rsid w:val="5489D95E"/>
    <w:rsid w:val="548BD447"/>
    <w:rsid w:val="548BE79E"/>
    <w:rsid w:val="548C6E53"/>
    <w:rsid w:val="548E591E"/>
    <w:rsid w:val="548F3A7B"/>
    <w:rsid w:val="548FBED7"/>
    <w:rsid w:val="5497C72D"/>
    <w:rsid w:val="549AF5A8"/>
    <w:rsid w:val="549C9F3F"/>
    <w:rsid w:val="549CE424"/>
    <w:rsid w:val="54A9697C"/>
    <w:rsid w:val="54AB4DEB"/>
    <w:rsid w:val="54AEAB48"/>
    <w:rsid w:val="54B26985"/>
    <w:rsid w:val="54B4623A"/>
    <w:rsid w:val="54B66480"/>
    <w:rsid w:val="54C9F06B"/>
    <w:rsid w:val="54CB2D45"/>
    <w:rsid w:val="54CB9F59"/>
    <w:rsid w:val="54CD7D86"/>
    <w:rsid w:val="54CF9E59"/>
    <w:rsid w:val="54D1A68B"/>
    <w:rsid w:val="54D1A842"/>
    <w:rsid w:val="54D22E8B"/>
    <w:rsid w:val="54D3BE87"/>
    <w:rsid w:val="54D9DE5E"/>
    <w:rsid w:val="54E18BE6"/>
    <w:rsid w:val="54EBBE04"/>
    <w:rsid w:val="54F1B08D"/>
    <w:rsid w:val="54F1D13A"/>
    <w:rsid w:val="54F8AEF9"/>
    <w:rsid w:val="54FEBA07"/>
    <w:rsid w:val="54FF0F99"/>
    <w:rsid w:val="55009B09"/>
    <w:rsid w:val="5503CB10"/>
    <w:rsid w:val="55075EFA"/>
    <w:rsid w:val="550AE8B3"/>
    <w:rsid w:val="550B048E"/>
    <w:rsid w:val="550E5A02"/>
    <w:rsid w:val="5513976E"/>
    <w:rsid w:val="551416AA"/>
    <w:rsid w:val="551E31F5"/>
    <w:rsid w:val="5521E991"/>
    <w:rsid w:val="5526382D"/>
    <w:rsid w:val="552F93DD"/>
    <w:rsid w:val="55311CEE"/>
    <w:rsid w:val="55328988"/>
    <w:rsid w:val="553332A9"/>
    <w:rsid w:val="553746DA"/>
    <w:rsid w:val="553F1CD5"/>
    <w:rsid w:val="5542F95F"/>
    <w:rsid w:val="55437C32"/>
    <w:rsid w:val="554803CD"/>
    <w:rsid w:val="554F520F"/>
    <w:rsid w:val="554FD19D"/>
    <w:rsid w:val="5557A3D3"/>
    <w:rsid w:val="555A234C"/>
    <w:rsid w:val="555F0B04"/>
    <w:rsid w:val="555FDF9E"/>
    <w:rsid w:val="55611ECC"/>
    <w:rsid w:val="55644C5A"/>
    <w:rsid w:val="5565E05C"/>
    <w:rsid w:val="5569E1A7"/>
    <w:rsid w:val="556A2D0A"/>
    <w:rsid w:val="557266F1"/>
    <w:rsid w:val="5572923B"/>
    <w:rsid w:val="5579AB8D"/>
    <w:rsid w:val="557B0C3B"/>
    <w:rsid w:val="557DF07B"/>
    <w:rsid w:val="558092AD"/>
    <w:rsid w:val="55834B67"/>
    <w:rsid w:val="55845FAD"/>
    <w:rsid w:val="55856539"/>
    <w:rsid w:val="55859A97"/>
    <w:rsid w:val="558B059A"/>
    <w:rsid w:val="558E71F3"/>
    <w:rsid w:val="558F32E2"/>
    <w:rsid w:val="55918F18"/>
    <w:rsid w:val="55976B91"/>
    <w:rsid w:val="559899CF"/>
    <w:rsid w:val="55A09BA2"/>
    <w:rsid w:val="55A15C6E"/>
    <w:rsid w:val="55A5C35E"/>
    <w:rsid w:val="55AA8BBF"/>
    <w:rsid w:val="55AB6379"/>
    <w:rsid w:val="55AD8AA9"/>
    <w:rsid w:val="55B06FF7"/>
    <w:rsid w:val="55B0DCF6"/>
    <w:rsid w:val="55B23C73"/>
    <w:rsid w:val="55B35A4B"/>
    <w:rsid w:val="55B43D47"/>
    <w:rsid w:val="55B8536C"/>
    <w:rsid w:val="55BA10E6"/>
    <w:rsid w:val="55C22DBD"/>
    <w:rsid w:val="55C6CFD9"/>
    <w:rsid w:val="55CEB5E1"/>
    <w:rsid w:val="55D42A45"/>
    <w:rsid w:val="55D5B83B"/>
    <w:rsid w:val="55DB5679"/>
    <w:rsid w:val="55E92146"/>
    <w:rsid w:val="55E9F4D7"/>
    <w:rsid w:val="55EC2BD9"/>
    <w:rsid w:val="55F08EF0"/>
    <w:rsid w:val="55F1287B"/>
    <w:rsid w:val="55F1ADA4"/>
    <w:rsid w:val="55F52B63"/>
    <w:rsid w:val="55F6173E"/>
    <w:rsid w:val="55F670D3"/>
    <w:rsid w:val="55FB7431"/>
    <w:rsid w:val="55FCC59F"/>
    <w:rsid w:val="5601CE35"/>
    <w:rsid w:val="5602EF71"/>
    <w:rsid w:val="5606B8C1"/>
    <w:rsid w:val="56089AC2"/>
    <w:rsid w:val="5609714A"/>
    <w:rsid w:val="560B9B92"/>
    <w:rsid w:val="560EA6D0"/>
    <w:rsid w:val="560F067C"/>
    <w:rsid w:val="561C12AA"/>
    <w:rsid w:val="561FCF5C"/>
    <w:rsid w:val="56260C20"/>
    <w:rsid w:val="562B8938"/>
    <w:rsid w:val="562C633D"/>
    <w:rsid w:val="562E3F83"/>
    <w:rsid w:val="562EE9DE"/>
    <w:rsid w:val="562F6809"/>
    <w:rsid w:val="5634D5A4"/>
    <w:rsid w:val="563A9C2D"/>
    <w:rsid w:val="563BAFD9"/>
    <w:rsid w:val="563BD74E"/>
    <w:rsid w:val="563ED18B"/>
    <w:rsid w:val="56417B8E"/>
    <w:rsid w:val="56448E6D"/>
    <w:rsid w:val="56470A58"/>
    <w:rsid w:val="56473203"/>
    <w:rsid w:val="5648864D"/>
    <w:rsid w:val="564CA11F"/>
    <w:rsid w:val="56540AAD"/>
    <w:rsid w:val="5655742B"/>
    <w:rsid w:val="5658A444"/>
    <w:rsid w:val="565D1381"/>
    <w:rsid w:val="56659101"/>
    <w:rsid w:val="56664B96"/>
    <w:rsid w:val="566904F4"/>
    <w:rsid w:val="566F2F98"/>
    <w:rsid w:val="5673FD75"/>
    <w:rsid w:val="567478C5"/>
    <w:rsid w:val="56753AA2"/>
    <w:rsid w:val="5676D3B3"/>
    <w:rsid w:val="567B4112"/>
    <w:rsid w:val="567BC8DA"/>
    <w:rsid w:val="56860D49"/>
    <w:rsid w:val="5687F223"/>
    <w:rsid w:val="568A487E"/>
    <w:rsid w:val="56906D4E"/>
    <w:rsid w:val="5690C269"/>
    <w:rsid w:val="569215BC"/>
    <w:rsid w:val="569A148E"/>
    <w:rsid w:val="569AEA1D"/>
    <w:rsid w:val="569C24D6"/>
    <w:rsid w:val="569F0838"/>
    <w:rsid w:val="56A478BE"/>
    <w:rsid w:val="56B262EC"/>
    <w:rsid w:val="56B5F51E"/>
    <w:rsid w:val="56B75938"/>
    <w:rsid w:val="56B7820D"/>
    <w:rsid w:val="56B7C56D"/>
    <w:rsid w:val="56BA913C"/>
    <w:rsid w:val="56BC0D09"/>
    <w:rsid w:val="56C8B31A"/>
    <w:rsid w:val="56C958F1"/>
    <w:rsid w:val="56D3F469"/>
    <w:rsid w:val="56D70A23"/>
    <w:rsid w:val="56E4BD0D"/>
    <w:rsid w:val="56E67ACD"/>
    <w:rsid w:val="56E93815"/>
    <w:rsid w:val="56ED3A2C"/>
    <w:rsid w:val="56ED3A6D"/>
    <w:rsid w:val="56F051DF"/>
    <w:rsid w:val="56F0CBD2"/>
    <w:rsid w:val="56F178E3"/>
    <w:rsid w:val="56F70211"/>
    <w:rsid w:val="56FD92DE"/>
    <w:rsid w:val="5704A329"/>
    <w:rsid w:val="570861AC"/>
    <w:rsid w:val="570F0F61"/>
    <w:rsid w:val="5714F5E9"/>
    <w:rsid w:val="5716503B"/>
    <w:rsid w:val="571F5EF0"/>
    <w:rsid w:val="5724C3E9"/>
    <w:rsid w:val="572891FB"/>
    <w:rsid w:val="57310827"/>
    <w:rsid w:val="5732E43E"/>
    <w:rsid w:val="573AA37A"/>
    <w:rsid w:val="573BAA80"/>
    <w:rsid w:val="573C4FC5"/>
    <w:rsid w:val="574132E0"/>
    <w:rsid w:val="574197AF"/>
    <w:rsid w:val="5744488A"/>
    <w:rsid w:val="57469873"/>
    <w:rsid w:val="574C21EA"/>
    <w:rsid w:val="574C5A71"/>
    <w:rsid w:val="574CE685"/>
    <w:rsid w:val="5754BBC1"/>
    <w:rsid w:val="57556C43"/>
    <w:rsid w:val="5755C83E"/>
    <w:rsid w:val="575660DE"/>
    <w:rsid w:val="5756DF65"/>
    <w:rsid w:val="5757FB34"/>
    <w:rsid w:val="575EA1FE"/>
    <w:rsid w:val="576035D6"/>
    <w:rsid w:val="5760FA2F"/>
    <w:rsid w:val="57652A9A"/>
    <w:rsid w:val="57678C25"/>
    <w:rsid w:val="576BCF8A"/>
    <w:rsid w:val="57701587"/>
    <w:rsid w:val="577105C8"/>
    <w:rsid w:val="5772418D"/>
    <w:rsid w:val="5775B720"/>
    <w:rsid w:val="57769685"/>
    <w:rsid w:val="57788C2C"/>
    <w:rsid w:val="577D1F98"/>
    <w:rsid w:val="577EA434"/>
    <w:rsid w:val="57816951"/>
    <w:rsid w:val="5781EEDF"/>
    <w:rsid w:val="57823978"/>
    <w:rsid w:val="57855FAE"/>
    <w:rsid w:val="5795DF2F"/>
    <w:rsid w:val="5797947C"/>
    <w:rsid w:val="57987FFD"/>
    <w:rsid w:val="579A1858"/>
    <w:rsid w:val="57A24AE8"/>
    <w:rsid w:val="57A88996"/>
    <w:rsid w:val="57AA9B86"/>
    <w:rsid w:val="57ADBDF1"/>
    <w:rsid w:val="57AE5A79"/>
    <w:rsid w:val="57AEE729"/>
    <w:rsid w:val="57AFBEBB"/>
    <w:rsid w:val="57B098CF"/>
    <w:rsid w:val="57B24451"/>
    <w:rsid w:val="57B47AAC"/>
    <w:rsid w:val="57B509AC"/>
    <w:rsid w:val="57B544FD"/>
    <w:rsid w:val="57B69E41"/>
    <w:rsid w:val="57B7842C"/>
    <w:rsid w:val="57B84873"/>
    <w:rsid w:val="57B8711D"/>
    <w:rsid w:val="57B91B9B"/>
    <w:rsid w:val="57B9B3AF"/>
    <w:rsid w:val="57C218CB"/>
    <w:rsid w:val="57CA4D4A"/>
    <w:rsid w:val="57CBA781"/>
    <w:rsid w:val="57CC9AFE"/>
    <w:rsid w:val="57D1A9AB"/>
    <w:rsid w:val="57D596BB"/>
    <w:rsid w:val="57D72633"/>
    <w:rsid w:val="57DB327A"/>
    <w:rsid w:val="57DE402D"/>
    <w:rsid w:val="57DEDA97"/>
    <w:rsid w:val="57E2BDE3"/>
    <w:rsid w:val="57E3DD90"/>
    <w:rsid w:val="57E42A87"/>
    <w:rsid w:val="57EBC03B"/>
    <w:rsid w:val="57EE9582"/>
    <w:rsid w:val="57EEAE8F"/>
    <w:rsid w:val="57F1B400"/>
    <w:rsid w:val="57FA8BA9"/>
    <w:rsid w:val="57FB409D"/>
    <w:rsid w:val="57FD5E9C"/>
    <w:rsid w:val="57FF504A"/>
    <w:rsid w:val="57FFE7C3"/>
    <w:rsid w:val="58029B81"/>
    <w:rsid w:val="5803FAA5"/>
    <w:rsid w:val="580C3AA6"/>
    <w:rsid w:val="58134D47"/>
    <w:rsid w:val="58170085"/>
    <w:rsid w:val="58173ACF"/>
    <w:rsid w:val="5821AFA9"/>
    <w:rsid w:val="5825C122"/>
    <w:rsid w:val="582C84AF"/>
    <w:rsid w:val="582EAB84"/>
    <w:rsid w:val="58371F83"/>
    <w:rsid w:val="583A0D58"/>
    <w:rsid w:val="5840D970"/>
    <w:rsid w:val="5846818B"/>
    <w:rsid w:val="5846A3F8"/>
    <w:rsid w:val="58474177"/>
    <w:rsid w:val="58482042"/>
    <w:rsid w:val="5849DD8F"/>
    <w:rsid w:val="584EE58E"/>
    <w:rsid w:val="584F721B"/>
    <w:rsid w:val="5851A0AF"/>
    <w:rsid w:val="5852812C"/>
    <w:rsid w:val="5855FAF9"/>
    <w:rsid w:val="585937C8"/>
    <w:rsid w:val="5859582D"/>
    <w:rsid w:val="585ADADC"/>
    <w:rsid w:val="585F7122"/>
    <w:rsid w:val="58616378"/>
    <w:rsid w:val="586475C1"/>
    <w:rsid w:val="5868483F"/>
    <w:rsid w:val="586FA7AD"/>
    <w:rsid w:val="58730797"/>
    <w:rsid w:val="58734FD3"/>
    <w:rsid w:val="587370BF"/>
    <w:rsid w:val="587ABA76"/>
    <w:rsid w:val="587F277E"/>
    <w:rsid w:val="58822108"/>
    <w:rsid w:val="5885B265"/>
    <w:rsid w:val="5888E90F"/>
    <w:rsid w:val="588BE4B9"/>
    <w:rsid w:val="589033D9"/>
    <w:rsid w:val="58958419"/>
    <w:rsid w:val="5895954F"/>
    <w:rsid w:val="589A672B"/>
    <w:rsid w:val="589ACBAE"/>
    <w:rsid w:val="589CB61C"/>
    <w:rsid w:val="589D6A84"/>
    <w:rsid w:val="58A7F8F3"/>
    <w:rsid w:val="58AB17D9"/>
    <w:rsid w:val="58AC8A87"/>
    <w:rsid w:val="58AD3A2B"/>
    <w:rsid w:val="58B55E63"/>
    <w:rsid w:val="58B9F410"/>
    <w:rsid w:val="58B9F4C8"/>
    <w:rsid w:val="58BB1FB8"/>
    <w:rsid w:val="58BB3409"/>
    <w:rsid w:val="58BB8193"/>
    <w:rsid w:val="58BDA5BE"/>
    <w:rsid w:val="58BE5F77"/>
    <w:rsid w:val="58BEF679"/>
    <w:rsid w:val="58C3B3F7"/>
    <w:rsid w:val="58C62C7A"/>
    <w:rsid w:val="58C74A1E"/>
    <w:rsid w:val="58C86483"/>
    <w:rsid w:val="58C93E6A"/>
    <w:rsid w:val="58CBC56A"/>
    <w:rsid w:val="58CBF59C"/>
    <w:rsid w:val="58D97495"/>
    <w:rsid w:val="58DEC713"/>
    <w:rsid w:val="58DFA1E0"/>
    <w:rsid w:val="58E2018B"/>
    <w:rsid w:val="58EADAA5"/>
    <w:rsid w:val="58EC2246"/>
    <w:rsid w:val="58EEF6BB"/>
    <w:rsid w:val="58F08FC6"/>
    <w:rsid w:val="58F128D1"/>
    <w:rsid w:val="58F16289"/>
    <w:rsid w:val="58F2FD05"/>
    <w:rsid w:val="58FCEFB5"/>
    <w:rsid w:val="58FE498D"/>
    <w:rsid w:val="5900CD39"/>
    <w:rsid w:val="5901834C"/>
    <w:rsid w:val="5901EA86"/>
    <w:rsid w:val="59048495"/>
    <w:rsid w:val="5905750C"/>
    <w:rsid w:val="5906FFCB"/>
    <w:rsid w:val="59087801"/>
    <w:rsid w:val="59098458"/>
    <w:rsid w:val="590A6B00"/>
    <w:rsid w:val="590EEE9B"/>
    <w:rsid w:val="590F69F9"/>
    <w:rsid w:val="59161A1C"/>
    <w:rsid w:val="591A4B3E"/>
    <w:rsid w:val="591FCD3C"/>
    <w:rsid w:val="59243C04"/>
    <w:rsid w:val="592DF6ED"/>
    <w:rsid w:val="592E21D5"/>
    <w:rsid w:val="59340FDB"/>
    <w:rsid w:val="5935CF1C"/>
    <w:rsid w:val="593A2AA4"/>
    <w:rsid w:val="593AF98D"/>
    <w:rsid w:val="593B7FE8"/>
    <w:rsid w:val="5948BCB6"/>
    <w:rsid w:val="595D4386"/>
    <w:rsid w:val="596006C6"/>
    <w:rsid w:val="5966EA39"/>
    <w:rsid w:val="596C5FA7"/>
    <w:rsid w:val="596D352A"/>
    <w:rsid w:val="59720ED2"/>
    <w:rsid w:val="59739EA1"/>
    <w:rsid w:val="59758A2E"/>
    <w:rsid w:val="59775885"/>
    <w:rsid w:val="597F0AAE"/>
    <w:rsid w:val="597F656A"/>
    <w:rsid w:val="5989B4D6"/>
    <w:rsid w:val="599237E1"/>
    <w:rsid w:val="5993D653"/>
    <w:rsid w:val="59952729"/>
    <w:rsid w:val="59967C2D"/>
    <w:rsid w:val="5998A880"/>
    <w:rsid w:val="599C3BF5"/>
    <w:rsid w:val="59A42C05"/>
    <w:rsid w:val="59AEBDB7"/>
    <w:rsid w:val="59B1AF18"/>
    <w:rsid w:val="59B2E3EE"/>
    <w:rsid w:val="59B39191"/>
    <w:rsid w:val="59B810B8"/>
    <w:rsid w:val="59B82F54"/>
    <w:rsid w:val="59BA0DF5"/>
    <w:rsid w:val="59BC9C0D"/>
    <w:rsid w:val="59BE709D"/>
    <w:rsid w:val="59BF9EC3"/>
    <w:rsid w:val="59C0ED08"/>
    <w:rsid w:val="59C3828C"/>
    <w:rsid w:val="59C624EF"/>
    <w:rsid w:val="59C66660"/>
    <w:rsid w:val="59CE9B27"/>
    <w:rsid w:val="59D03C1F"/>
    <w:rsid w:val="59D9796D"/>
    <w:rsid w:val="59D99686"/>
    <w:rsid w:val="59DA6620"/>
    <w:rsid w:val="59DB1FAB"/>
    <w:rsid w:val="59DB738C"/>
    <w:rsid w:val="59E5CAC6"/>
    <w:rsid w:val="59ED00FD"/>
    <w:rsid w:val="59F6A736"/>
    <w:rsid w:val="59F6F8FC"/>
    <w:rsid w:val="59F73A28"/>
    <w:rsid w:val="59FBA417"/>
    <w:rsid w:val="5A0070AA"/>
    <w:rsid w:val="5A00C8BC"/>
    <w:rsid w:val="5A029753"/>
    <w:rsid w:val="5A02E816"/>
    <w:rsid w:val="5A06211E"/>
    <w:rsid w:val="5A0C3D7E"/>
    <w:rsid w:val="5A0EAC12"/>
    <w:rsid w:val="5A155147"/>
    <w:rsid w:val="5A16EF07"/>
    <w:rsid w:val="5A1774C9"/>
    <w:rsid w:val="5A1B22E1"/>
    <w:rsid w:val="5A210DA4"/>
    <w:rsid w:val="5A21DD46"/>
    <w:rsid w:val="5A231B85"/>
    <w:rsid w:val="5A24A22D"/>
    <w:rsid w:val="5A24E234"/>
    <w:rsid w:val="5A281E33"/>
    <w:rsid w:val="5A2DF3E1"/>
    <w:rsid w:val="5A3B5B01"/>
    <w:rsid w:val="5A3B6CBB"/>
    <w:rsid w:val="5A3DC0B4"/>
    <w:rsid w:val="5A419351"/>
    <w:rsid w:val="5A42F299"/>
    <w:rsid w:val="5A460BC2"/>
    <w:rsid w:val="5A4845FF"/>
    <w:rsid w:val="5A484CAC"/>
    <w:rsid w:val="5A48F8A7"/>
    <w:rsid w:val="5A4DCCAA"/>
    <w:rsid w:val="5A51912E"/>
    <w:rsid w:val="5A534F9F"/>
    <w:rsid w:val="5A5846F7"/>
    <w:rsid w:val="5A6A6DD1"/>
    <w:rsid w:val="5A6D128F"/>
    <w:rsid w:val="5A6D3534"/>
    <w:rsid w:val="5A70BBDE"/>
    <w:rsid w:val="5A71F8C9"/>
    <w:rsid w:val="5A73CC3B"/>
    <w:rsid w:val="5A767759"/>
    <w:rsid w:val="5A79F037"/>
    <w:rsid w:val="5A7E4012"/>
    <w:rsid w:val="5A80F9EE"/>
    <w:rsid w:val="5A827053"/>
    <w:rsid w:val="5A84F3BE"/>
    <w:rsid w:val="5A8E1C5F"/>
    <w:rsid w:val="5A8E891E"/>
    <w:rsid w:val="5A94E6EB"/>
    <w:rsid w:val="5A966CEB"/>
    <w:rsid w:val="5A97ED26"/>
    <w:rsid w:val="5A9BB44A"/>
    <w:rsid w:val="5A9BD3AA"/>
    <w:rsid w:val="5AA092EE"/>
    <w:rsid w:val="5AA0CA51"/>
    <w:rsid w:val="5AA25BF6"/>
    <w:rsid w:val="5AA5F08C"/>
    <w:rsid w:val="5AA6A780"/>
    <w:rsid w:val="5AA8B622"/>
    <w:rsid w:val="5AAC8610"/>
    <w:rsid w:val="5AAEBBFD"/>
    <w:rsid w:val="5AAF21CB"/>
    <w:rsid w:val="5AB01F3D"/>
    <w:rsid w:val="5AB80591"/>
    <w:rsid w:val="5ABBA225"/>
    <w:rsid w:val="5ABC9E31"/>
    <w:rsid w:val="5ABCE848"/>
    <w:rsid w:val="5ABD48F4"/>
    <w:rsid w:val="5ABDFDBE"/>
    <w:rsid w:val="5AC000F5"/>
    <w:rsid w:val="5AC59C8F"/>
    <w:rsid w:val="5AC7269E"/>
    <w:rsid w:val="5ACC69C6"/>
    <w:rsid w:val="5ACC90CC"/>
    <w:rsid w:val="5ACCC508"/>
    <w:rsid w:val="5AD3D276"/>
    <w:rsid w:val="5AD99062"/>
    <w:rsid w:val="5ADC5479"/>
    <w:rsid w:val="5AE48AE4"/>
    <w:rsid w:val="5AEA9766"/>
    <w:rsid w:val="5AEAB200"/>
    <w:rsid w:val="5AEAE369"/>
    <w:rsid w:val="5AFB8D0F"/>
    <w:rsid w:val="5AFE179F"/>
    <w:rsid w:val="5B011223"/>
    <w:rsid w:val="5B051F7A"/>
    <w:rsid w:val="5B086BD9"/>
    <w:rsid w:val="5B095BBA"/>
    <w:rsid w:val="5B0AC01A"/>
    <w:rsid w:val="5B0CE49E"/>
    <w:rsid w:val="5B0F83D5"/>
    <w:rsid w:val="5B0FC5D3"/>
    <w:rsid w:val="5B0FF117"/>
    <w:rsid w:val="5B103A57"/>
    <w:rsid w:val="5B14249E"/>
    <w:rsid w:val="5B14A842"/>
    <w:rsid w:val="5B17B763"/>
    <w:rsid w:val="5B1E57C5"/>
    <w:rsid w:val="5B2999AE"/>
    <w:rsid w:val="5B2B3C33"/>
    <w:rsid w:val="5B30539C"/>
    <w:rsid w:val="5B30A310"/>
    <w:rsid w:val="5B325C27"/>
    <w:rsid w:val="5B346648"/>
    <w:rsid w:val="5B364E33"/>
    <w:rsid w:val="5B3CC97C"/>
    <w:rsid w:val="5B404D15"/>
    <w:rsid w:val="5B41CFA0"/>
    <w:rsid w:val="5B4664D8"/>
    <w:rsid w:val="5B470858"/>
    <w:rsid w:val="5B4DF90E"/>
    <w:rsid w:val="5B5D4985"/>
    <w:rsid w:val="5B5EEDBE"/>
    <w:rsid w:val="5B606DEF"/>
    <w:rsid w:val="5B634D02"/>
    <w:rsid w:val="5B68328A"/>
    <w:rsid w:val="5B6A209E"/>
    <w:rsid w:val="5B6A7618"/>
    <w:rsid w:val="5B6B1F35"/>
    <w:rsid w:val="5B6FA49B"/>
    <w:rsid w:val="5B797872"/>
    <w:rsid w:val="5B798D77"/>
    <w:rsid w:val="5B7BD1D4"/>
    <w:rsid w:val="5B851FE6"/>
    <w:rsid w:val="5B86B236"/>
    <w:rsid w:val="5B878315"/>
    <w:rsid w:val="5B8C2802"/>
    <w:rsid w:val="5B8E8F1D"/>
    <w:rsid w:val="5B9F4F98"/>
    <w:rsid w:val="5BA7B357"/>
    <w:rsid w:val="5BABBF0A"/>
    <w:rsid w:val="5BB064B7"/>
    <w:rsid w:val="5BB4305E"/>
    <w:rsid w:val="5BBBA5A6"/>
    <w:rsid w:val="5BBC3B3D"/>
    <w:rsid w:val="5BBCE154"/>
    <w:rsid w:val="5BBD93AC"/>
    <w:rsid w:val="5BBE4024"/>
    <w:rsid w:val="5BBFA4E3"/>
    <w:rsid w:val="5BC0B634"/>
    <w:rsid w:val="5BC80B57"/>
    <w:rsid w:val="5BCF5158"/>
    <w:rsid w:val="5BCF902A"/>
    <w:rsid w:val="5BD4CAD4"/>
    <w:rsid w:val="5BDB333C"/>
    <w:rsid w:val="5BDFB0C1"/>
    <w:rsid w:val="5BE4E9CE"/>
    <w:rsid w:val="5BE5423F"/>
    <w:rsid w:val="5BE69443"/>
    <w:rsid w:val="5BE80275"/>
    <w:rsid w:val="5BE93608"/>
    <w:rsid w:val="5BEBA04E"/>
    <w:rsid w:val="5BEBA779"/>
    <w:rsid w:val="5BED1C6F"/>
    <w:rsid w:val="5BED7557"/>
    <w:rsid w:val="5BEF7890"/>
    <w:rsid w:val="5BF0DF7B"/>
    <w:rsid w:val="5BF5EF09"/>
    <w:rsid w:val="5BFE4AE1"/>
    <w:rsid w:val="5BFF2AF8"/>
    <w:rsid w:val="5C05B8B1"/>
    <w:rsid w:val="5C062461"/>
    <w:rsid w:val="5C0AECEE"/>
    <w:rsid w:val="5C0C7BE6"/>
    <w:rsid w:val="5C17AA3E"/>
    <w:rsid w:val="5C19A118"/>
    <w:rsid w:val="5C217A79"/>
    <w:rsid w:val="5C23C00F"/>
    <w:rsid w:val="5C26B5C4"/>
    <w:rsid w:val="5C29DF02"/>
    <w:rsid w:val="5C2D4BE4"/>
    <w:rsid w:val="5C2E81F9"/>
    <w:rsid w:val="5C31A5E7"/>
    <w:rsid w:val="5C342FFC"/>
    <w:rsid w:val="5C375A1E"/>
    <w:rsid w:val="5C3A6317"/>
    <w:rsid w:val="5C3B8C8B"/>
    <w:rsid w:val="5C3FB04A"/>
    <w:rsid w:val="5C491FEA"/>
    <w:rsid w:val="5C4B6FEF"/>
    <w:rsid w:val="5C533903"/>
    <w:rsid w:val="5C5CD8B8"/>
    <w:rsid w:val="5C5D347A"/>
    <w:rsid w:val="5C5D5CA2"/>
    <w:rsid w:val="5C5EA705"/>
    <w:rsid w:val="5C635849"/>
    <w:rsid w:val="5C68FCE6"/>
    <w:rsid w:val="5C6D5252"/>
    <w:rsid w:val="5C6F6D28"/>
    <w:rsid w:val="5C770F79"/>
    <w:rsid w:val="5C7EFA48"/>
    <w:rsid w:val="5C7F4B3B"/>
    <w:rsid w:val="5C8306B9"/>
    <w:rsid w:val="5C89EBBA"/>
    <w:rsid w:val="5C8F2DD8"/>
    <w:rsid w:val="5C9120E8"/>
    <w:rsid w:val="5C935776"/>
    <w:rsid w:val="5C93E581"/>
    <w:rsid w:val="5C9652F4"/>
    <w:rsid w:val="5C984AEB"/>
    <w:rsid w:val="5C9A1022"/>
    <w:rsid w:val="5C9A78BE"/>
    <w:rsid w:val="5C9AC3D3"/>
    <w:rsid w:val="5CA218CF"/>
    <w:rsid w:val="5CA55F23"/>
    <w:rsid w:val="5CAC96F8"/>
    <w:rsid w:val="5CB30C3D"/>
    <w:rsid w:val="5CB87E1A"/>
    <w:rsid w:val="5CBB8472"/>
    <w:rsid w:val="5CC1E687"/>
    <w:rsid w:val="5CC73BB4"/>
    <w:rsid w:val="5CC92871"/>
    <w:rsid w:val="5CC9D932"/>
    <w:rsid w:val="5CCE002A"/>
    <w:rsid w:val="5CD04089"/>
    <w:rsid w:val="5CD383B0"/>
    <w:rsid w:val="5CD5F37F"/>
    <w:rsid w:val="5CD84602"/>
    <w:rsid w:val="5CDA1D1F"/>
    <w:rsid w:val="5CDB765A"/>
    <w:rsid w:val="5CDD9276"/>
    <w:rsid w:val="5CDEEDE5"/>
    <w:rsid w:val="5CE2E83D"/>
    <w:rsid w:val="5CE61928"/>
    <w:rsid w:val="5CEB11B2"/>
    <w:rsid w:val="5CF7F682"/>
    <w:rsid w:val="5CFA2CDA"/>
    <w:rsid w:val="5CFBA00E"/>
    <w:rsid w:val="5CFD1E92"/>
    <w:rsid w:val="5CFE0360"/>
    <w:rsid w:val="5CFE80F8"/>
    <w:rsid w:val="5D0489F1"/>
    <w:rsid w:val="5D04C062"/>
    <w:rsid w:val="5D116EAC"/>
    <w:rsid w:val="5D131460"/>
    <w:rsid w:val="5D1A53FF"/>
    <w:rsid w:val="5D1B7C48"/>
    <w:rsid w:val="5D1C4B0D"/>
    <w:rsid w:val="5D2C9EE4"/>
    <w:rsid w:val="5D2EB315"/>
    <w:rsid w:val="5D32EC0B"/>
    <w:rsid w:val="5D3A77C1"/>
    <w:rsid w:val="5D3B743C"/>
    <w:rsid w:val="5D4571D1"/>
    <w:rsid w:val="5D45FBA4"/>
    <w:rsid w:val="5D47A487"/>
    <w:rsid w:val="5D492503"/>
    <w:rsid w:val="5D4E9A41"/>
    <w:rsid w:val="5D529445"/>
    <w:rsid w:val="5D53C175"/>
    <w:rsid w:val="5D543CEC"/>
    <w:rsid w:val="5D5C7A0A"/>
    <w:rsid w:val="5D62D9E7"/>
    <w:rsid w:val="5D65B63E"/>
    <w:rsid w:val="5D692B34"/>
    <w:rsid w:val="5D736CED"/>
    <w:rsid w:val="5D76FC40"/>
    <w:rsid w:val="5D779F63"/>
    <w:rsid w:val="5D7B23E6"/>
    <w:rsid w:val="5D848DDA"/>
    <w:rsid w:val="5D84B785"/>
    <w:rsid w:val="5D874D39"/>
    <w:rsid w:val="5D87CCC3"/>
    <w:rsid w:val="5D8CF7C0"/>
    <w:rsid w:val="5D8DB5FB"/>
    <w:rsid w:val="5D8F0319"/>
    <w:rsid w:val="5D8FA798"/>
    <w:rsid w:val="5D918F5F"/>
    <w:rsid w:val="5D94CA46"/>
    <w:rsid w:val="5D95800C"/>
    <w:rsid w:val="5D95E9B5"/>
    <w:rsid w:val="5D98C672"/>
    <w:rsid w:val="5D9950B8"/>
    <w:rsid w:val="5DA0C518"/>
    <w:rsid w:val="5DA91838"/>
    <w:rsid w:val="5DA9C6DE"/>
    <w:rsid w:val="5DAF3032"/>
    <w:rsid w:val="5DB21A08"/>
    <w:rsid w:val="5DB33220"/>
    <w:rsid w:val="5DB49548"/>
    <w:rsid w:val="5DB534B4"/>
    <w:rsid w:val="5DB55B12"/>
    <w:rsid w:val="5DB649FD"/>
    <w:rsid w:val="5DB78BA2"/>
    <w:rsid w:val="5DB80996"/>
    <w:rsid w:val="5DB92A82"/>
    <w:rsid w:val="5DBA7464"/>
    <w:rsid w:val="5DBC5B5B"/>
    <w:rsid w:val="5DBE53C1"/>
    <w:rsid w:val="5DBECD11"/>
    <w:rsid w:val="5DCC4F3D"/>
    <w:rsid w:val="5DCC545C"/>
    <w:rsid w:val="5DCD69FE"/>
    <w:rsid w:val="5DD0EE2A"/>
    <w:rsid w:val="5DD23C4B"/>
    <w:rsid w:val="5DD38AC5"/>
    <w:rsid w:val="5DD77775"/>
    <w:rsid w:val="5DD8CF9B"/>
    <w:rsid w:val="5DDBB92B"/>
    <w:rsid w:val="5DE1B607"/>
    <w:rsid w:val="5DE21352"/>
    <w:rsid w:val="5DE3183D"/>
    <w:rsid w:val="5DE3B227"/>
    <w:rsid w:val="5DEAE3D9"/>
    <w:rsid w:val="5DED16F1"/>
    <w:rsid w:val="5DEE4AE0"/>
    <w:rsid w:val="5DF056C3"/>
    <w:rsid w:val="5DF0DAC1"/>
    <w:rsid w:val="5DF829D8"/>
    <w:rsid w:val="5DFB5644"/>
    <w:rsid w:val="5E03339C"/>
    <w:rsid w:val="5E09EADB"/>
    <w:rsid w:val="5E1373CF"/>
    <w:rsid w:val="5E17F1DD"/>
    <w:rsid w:val="5E181309"/>
    <w:rsid w:val="5E19AA9A"/>
    <w:rsid w:val="5E20434E"/>
    <w:rsid w:val="5E23B8A5"/>
    <w:rsid w:val="5E265BDA"/>
    <w:rsid w:val="5E26D943"/>
    <w:rsid w:val="5E27FAF6"/>
    <w:rsid w:val="5E2ADB06"/>
    <w:rsid w:val="5E330A79"/>
    <w:rsid w:val="5E3420D9"/>
    <w:rsid w:val="5E41B509"/>
    <w:rsid w:val="5E41D715"/>
    <w:rsid w:val="5E4481A6"/>
    <w:rsid w:val="5E44FFBC"/>
    <w:rsid w:val="5E477FE2"/>
    <w:rsid w:val="5E48D79C"/>
    <w:rsid w:val="5E4F432D"/>
    <w:rsid w:val="5E5078C9"/>
    <w:rsid w:val="5E53CA1A"/>
    <w:rsid w:val="5E55013E"/>
    <w:rsid w:val="5E55FFC7"/>
    <w:rsid w:val="5E5CFE1D"/>
    <w:rsid w:val="5E616B0C"/>
    <w:rsid w:val="5E712A15"/>
    <w:rsid w:val="5E7229A9"/>
    <w:rsid w:val="5E73EEDE"/>
    <w:rsid w:val="5E76E09E"/>
    <w:rsid w:val="5E7B1D4B"/>
    <w:rsid w:val="5E810317"/>
    <w:rsid w:val="5E835E6D"/>
    <w:rsid w:val="5E862C31"/>
    <w:rsid w:val="5E8E44CB"/>
    <w:rsid w:val="5E8E6C2A"/>
    <w:rsid w:val="5E90132E"/>
    <w:rsid w:val="5E92A968"/>
    <w:rsid w:val="5E94661D"/>
    <w:rsid w:val="5E9595CB"/>
    <w:rsid w:val="5E9706ED"/>
    <w:rsid w:val="5E977FEA"/>
    <w:rsid w:val="5E97C241"/>
    <w:rsid w:val="5E981971"/>
    <w:rsid w:val="5E9C483D"/>
    <w:rsid w:val="5EA2BCE1"/>
    <w:rsid w:val="5EA6085C"/>
    <w:rsid w:val="5EA6543F"/>
    <w:rsid w:val="5EA87915"/>
    <w:rsid w:val="5EAB145A"/>
    <w:rsid w:val="5EABE86C"/>
    <w:rsid w:val="5EAC56FA"/>
    <w:rsid w:val="5EACDAC3"/>
    <w:rsid w:val="5EB1CAF0"/>
    <w:rsid w:val="5EB1DDE4"/>
    <w:rsid w:val="5EB2B610"/>
    <w:rsid w:val="5EB31F43"/>
    <w:rsid w:val="5EB9DD4A"/>
    <w:rsid w:val="5EBA34B0"/>
    <w:rsid w:val="5EBE2223"/>
    <w:rsid w:val="5EBEA5EE"/>
    <w:rsid w:val="5EC327C0"/>
    <w:rsid w:val="5EC392BE"/>
    <w:rsid w:val="5EC50D15"/>
    <w:rsid w:val="5ED07534"/>
    <w:rsid w:val="5ED1A665"/>
    <w:rsid w:val="5EDC004A"/>
    <w:rsid w:val="5EDC648E"/>
    <w:rsid w:val="5EE537F8"/>
    <w:rsid w:val="5EE5E297"/>
    <w:rsid w:val="5EF6DE7C"/>
    <w:rsid w:val="5EF7D267"/>
    <w:rsid w:val="5EF90E65"/>
    <w:rsid w:val="5EFA1163"/>
    <w:rsid w:val="5EFCC625"/>
    <w:rsid w:val="5EFE9A45"/>
    <w:rsid w:val="5F03F8BA"/>
    <w:rsid w:val="5F0604AF"/>
    <w:rsid w:val="5F077BBB"/>
    <w:rsid w:val="5F094AC4"/>
    <w:rsid w:val="5F117B49"/>
    <w:rsid w:val="5F16B4F6"/>
    <w:rsid w:val="5F16E37B"/>
    <w:rsid w:val="5F1847E4"/>
    <w:rsid w:val="5F18ABFB"/>
    <w:rsid w:val="5F1B34AC"/>
    <w:rsid w:val="5F1D3531"/>
    <w:rsid w:val="5F21AF1A"/>
    <w:rsid w:val="5F222AF5"/>
    <w:rsid w:val="5F24610E"/>
    <w:rsid w:val="5F26E872"/>
    <w:rsid w:val="5F31E0A2"/>
    <w:rsid w:val="5F33BC58"/>
    <w:rsid w:val="5F35CA5C"/>
    <w:rsid w:val="5F393E23"/>
    <w:rsid w:val="5F3AB796"/>
    <w:rsid w:val="5F3CFA28"/>
    <w:rsid w:val="5F43E60C"/>
    <w:rsid w:val="5F4413EF"/>
    <w:rsid w:val="5F4CDF5C"/>
    <w:rsid w:val="5F4D8C53"/>
    <w:rsid w:val="5F518AB1"/>
    <w:rsid w:val="5F5DB291"/>
    <w:rsid w:val="5F5DC0D7"/>
    <w:rsid w:val="5F602C12"/>
    <w:rsid w:val="5F609BF2"/>
    <w:rsid w:val="5F61BE39"/>
    <w:rsid w:val="5F680E34"/>
    <w:rsid w:val="5F68EFD7"/>
    <w:rsid w:val="5F6A3720"/>
    <w:rsid w:val="5F6D708F"/>
    <w:rsid w:val="5F6DDEBC"/>
    <w:rsid w:val="5F6F2D0B"/>
    <w:rsid w:val="5F701CC3"/>
    <w:rsid w:val="5F70E289"/>
    <w:rsid w:val="5F737DAC"/>
    <w:rsid w:val="5F74580B"/>
    <w:rsid w:val="5F76CB31"/>
    <w:rsid w:val="5F78F25A"/>
    <w:rsid w:val="5F8087AA"/>
    <w:rsid w:val="5F87D363"/>
    <w:rsid w:val="5F8F1722"/>
    <w:rsid w:val="5F8F2CDA"/>
    <w:rsid w:val="5F97FC56"/>
    <w:rsid w:val="5F9803A4"/>
    <w:rsid w:val="5F9E5566"/>
    <w:rsid w:val="5FA23611"/>
    <w:rsid w:val="5FA2DB5C"/>
    <w:rsid w:val="5FA34483"/>
    <w:rsid w:val="5FA4F509"/>
    <w:rsid w:val="5FAEE087"/>
    <w:rsid w:val="5FAFAF66"/>
    <w:rsid w:val="5FB3715E"/>
    <w:rsid w:val="5FBA9444"/>
    <w:rsid w:val="5FBAEE11"/>
    <w:rsid w:val="5FBE465A"/>
    <w:rsid w:val="5FC445DD"/>
    <w:rsid w:val="5FC4A596"/>
    <w:rsid w:val="5FC4C543"/>
    <w:rsid w:val="5FCE7651"/>
    <w:rsid w:val="5FCEB8E3"/>
    <w:rsid w:val="5FD286C0"/>
    <w:rsid w:val="5FDBFCFE"/>
    <w:rsid w:val="5FDCBDF9"/>
    <w:rsid w:val="5FDF3A2E"/>
    <w:rsid w:val="5FEE0BF9"/>
    <w:rsid w:val="5FF32A55"/>
    <w:rsid w:val="5FF43EC6"/>
    <w:rsid w:val="5FF57FC9"/>
    <w:rsid w:val="5FF6E3DB"/>
    <w:rsid w:val="5FF9CAE2"/>
    <w:rsid w:val="5FFB4E59"/>
    <w:rsid w:val="5FFCD6B6"/>
    <w:rsid w:val="600104D3"/>
    <w:rsid w:val="60056093"/>
    <w:rsid w:val="600CDBF6"/>
    <w:rsid w:val="600DC1D5"/>
    <w:rsid w:val="60171B84"/>
    <w:rsid w:val="60178ED3"/>
    <w:rsid w:val="6018E43F"/>
    <w:rsid w:val="601C28B0"/>
    <w:rsid w:val="601CB03C"/>
    <w:rsid w:val="601EEAAC"/>
    <w:rsid w:val="60207B58"/>
    <w:rsid w:val="6020BD65"/>
    <w:rsid w:val="6020D950"/>
    <w:rsid w:val="6022160F"/>
    <w:rsid w:val="6023DC6D"/>
    <w:rsid w:val="602454EE"/>
    <w:rsid w:val="60249D84"/>
    <w:rsid w:val="60274480"/>
    <w:rsid w:val="602ED2C9"/>
    <w:rsid w:val="60316A51"/>
    <w:rsid w:val="6038D1AE"/>
    <w:rsid w:val="603AF272"/>
    <w:rsid w:val="603E0E61"/>
    <w:rsid w:val="603FEDF9"/>
    <w:rsid w:val="6041CE42"/>
    <w:rsid w:val="6042FAA7"/>
    <w:rsid w:val="604A9D0E"/>
    <w:rsid w:val="604CF879"/>
    <w:rsid w:val="604E6A68"/>
    <w:rsid w:val="60514F16"/>
    <w:rsid w:val="6053D7E2"/>
    <w:rsid w:val="6053F226"/>
    <w:rsid w:val="6057A689"/>
    <w:rsid w:val="6058BEC4"/>
    <w:rsid w:val="60595F10"/>
    <w:rsid w:val="60598814"/>
    <w:rsid w:val="605DCE32"/>
    <w:rsid w:val="605E1897"/>
    <w:rsid w:val="606173EB"/>
    <w:rsid w:val="6062BB53"/>
    <w:rsid w:val="6063A891"/>
    <w:rsid w:val="6063E903"/>
    <w:rsid w:val="606847C1"/>
    <w:rsid w:val="606A740F"/>
    <w:rsid w:val="606B1A68"/>
    <w:rsid w:val="606DA734"/>
    <w:rsid w:val="606DBDB6"/>
    <w:rsid w:val="606F303C"/>
    <w:rsid w:val="6073FE58"/>
    <w:rsid w:val="6075AC31"/>
    <w:rsid w:val="60764AE9"/>
    <w:rsid w:val="607A1A70"/>
    <w:rsid w:val="607F63EA"/>
    <w:rsid w:val="6081CA75"/>
    <w:rsid w:val="6088917A"/>
    <w:rsid w:val="60898E2A"/>
    <w:rsid w:val="6089CDBB"/>
    <w:rsid w:val="609983DC"/>
    <w:rsid w:val="609F9722"/>
    <w:rsid w:val="60A0BA6E"/>
    <w:rsid w:val="60A31C37"/>
    <w:rsid w:val="60A4EC27"/>
    <w:rsid w:val="60A7AAB8"/>
    <w:rsid w:val="60AB6AB8"/>
    <w:rsid w:val="60AC027E"/>
    <w:rsid w:val="60AD3225"/>
    <w:rsid w:val="60B2F4BC"/>
    <w:rsid w:val="60B78275"/>
    <w:rsid w:val="60B791BE"/>
    <w:rsid w:val="60B8F5E6"/>
    <w:rsid w:val="60BDD3C8"/>
    <w:rsid w:val="60BE496A"/>
    <w:rsid w:val="60CCF411"/>
    <w:rsid w:val="60D3594D"/>
    <w:rsid w:val="60D3EACD"/>
    <w:rsid w:val="60D87C1D"/>
    <w:rsid w:val="60DA65CC"/>
    <w:rsid w:val="60DAC4AB"/>
    <w:rsid w:val="60DE08F0"/>
    <w:rsid w:val="60E00414"/>
    <w:rsid w:val="60EA3370"/>
    <w:rsid w:val="60EAE2FD"/>
    <w:rsid w:val="60ED3552"/>
    <w:rsid w:val="61000489"/>
    <w:rsid w:val="61057A4A"/>
    <w:rsid w:val="61079C56"/>
    <w:rsid w:val="6107F955"/>
    <w:rsid w:val="610E2475"/>
    <w:rsid w:val="6110383F"/>
    <w:rsid w:val="61138B38"/>
    <w:rsid w:val="6113C519"/>
    <w:rsid w:val="6113CF9E"/>
    <w:rsid w:val="6113E6EF"/>
    <w:rsid w:val="6115491D"/>
    <w:rsid w:val="6115742D"/>
    <w:rsid w:val="61165445"/>
    <w:rsid w:val="61207C4A"/>
    <w:rsid w:val="61269F7F"/>
    <w:rsid w:val="612B12C2"/>
    <w:rsid w:val="612BA571"/>
    <w:rsid w:val="612D939B"/>
    <w:rsid w:val="613000B6"/>
    <w:rsid w:val="613278E5"/>
    <w:rsid w:val="6137A75E"/>
    <w:rsid w:val="613CB97D"/>
    <w:rsid w:val="61412305"/>
    <w:rsid w:val="614705F0"/>
    <w:rsid w:val="61495D3A"/>
    <w:rsid w:val="614A067B"/>
    <w:rsid w:val="61553773"/>
    <w:rsid w:val="6157D8DD"/>
    <w:rsid w:val="615B9309"/>
    <w:rsid w:val="615D99C3"/>
    <w:rsid w:val="6163942C"/>
    <w:rsid w:val="61643821"/>
    <w:rsid w:val="616EB304"/>
    <w:rsid w:val="6175E3C5"/>
    <w:rsid w:val="6178DF9F"/>
    <w:rsid w:val="617CCCF1"/>
    <w:rsid w:val="617DD763"/>
    <w:rsid w:val="617E915A"/>
    <w:rsid w:val="61815FAA"/>
    <w:rsid w:val="6184CB81"/>
    <w:rsid w:val="6188EC82"/>
    <w:rsid w:val="618B5D03"/>
    <w:rsid w:val="618E2C59"/>
    <w:rsid w:val="618E743C"/>
    <w:rsid w:val="6190D5A8"/>
    <w:rsid w:val="61962E70"/>
    <w:rsid w:val="6197454A"/>
    <w:rsid w:val="619B1FB8"/>
    <w:rsid w:val="619E726F"/>
    <w:rsid w:val="619ED0AD"/>
    <w:rsid w:val="619F24AD"/>
    <w:rsid w:val="61A325D5"/>
    <w:rsid w:val="61A61EF0"/>
    <w:rsid w:val="61AAA62B"/>
    <w:rsid w:val="61AB2B8F"/>
    <w:rsid w:val="61AD10E1"/>
    <w:rsid w:val="61AFFDBF"/>
    <w:rsid w:val="61B05DAF"/>
    <w:rsid w:val="61B1F00E"/>
    <w:rsid w:val="61B75EFD"/>
    <w:rsid w:val="61BE7A28"/>
    <w:rsid w:val="61C7526F"/>
    <w:rsid w:val="61C83F90"/>
    <w:rsid w:val="61C944E3"/>
    <w:rsid w:val="61CC13F0"/>
    <w:rsid w:val="61D2651F"/>
    <w:rsid w:val="61D66129"/>
    <w:rsid w:val="61DFBDD7"/>
    <w:rsid w:val="61E05C24"/>
    <w:rsid w:val="61E34B48"/>
    <w:rsid w:val="61E553CB"/>
    <w:rsid w:val="61EB80DB"/>
    <w:rsid w:val="61EC8D50"/>
    <w:rsid w:val="61EF09A9"/>
    <w:rsid w:val="61F5DC9D"/>
    <w:rsid w:val="61F82E7E"/>
    <w:rsid w:val="61FA2E5A"/>
    <w:rsid w:val="61FB2C5F"/>
    <w:rsid w:val="620400B9"/>
    <w:rsid w:val="620C4A08"/>
    <w:rsid w:val="620E32F6"/>
    <w:rsid w:val="6210BAB1"/>
    <w:rsid w:val="6216AFC9"/>
    <w:rsid w:val="62190A60"/>
    <w:rsid w:val="621E7B6A"/>
    <w:rsid w:val="622083B4"/>
    <w:rsid w:val="6221DAD6"/>
    <w:rsid w:val="62259462"/>
    <w:rsid w:val="6225E9AF"/>
    <w:rsid w:val="6229DF8A"/>
    <w:rsid w:val="622B6588"/>
    <w:rsid w:val="622D6774"/>
    <w:rsid w:val="62305325"/>
    <w:rsid w:val="6236DD74"/>
    <w:rsid w:val="624051CE"/>
    <w:rsid w:val="6240D894"/>
    <w:rsid w:val="62410711"/>
    <w:rsid w:val="62413B34"/>
    <w:rsid w:val="62480ADD"/>
    <w:rsid w:val="624A8044"/>
    <w:rsid w:val="624B65CA"/>
    <w:rsid w:val="624DBB60"/>
    <w:rsid w:val="624F2707"/>
    <w:rsid w:val="62532C62"/>
    <w:rsid w:val="6253FBCD"/>
    <w:rsid w:val="6257CE73"/>
    <w:rsid w:val="625BE3B7"/>
    <w:rsid w:val="625DB368"/>
    <w:rsid w:val="625F57DF"/>
    <w:rsid w:val="625F5D31"/>
    <w:rsid w:val="62611B39"/>
    <w:rsid w:val="6261DDC1"/>
    <w:rsid w:val="62625BA3"/>
    <w:rsid w:val="626282B5"/>
    <w:rsid w:val="62636C5F"/>
    <w:rsid w:val="626710E3"/>
    <w:rsid w:val="6269BE12"/>
    <w:rsid w:val="626B3AA5"/>
    <w:rsid w:val="626E8D65"/>
    <w:rsid w:val="6271D8D6"/>
    <w:rsid w:val="6272B586"/>
    <w:rsid w:val="6274C44D"/>
    <w:rsid w:val="6275BBEE"/>
    <w:rsid w:val="62761075"/>
    <w:rsid w:val="6278BF69"/>
    <w:rsid w:val="62877E98"/>
    <w:rsid w:val="6288365A"/>
    <w:rsid w:val="6289BB51"/>
    <w:rsid w:val="628A3517"/>
    <w:rsid w:val="628AD202"/>
    <w:rsid w:val="628E587C"/>
    <w:rsid w:val="6292831D"/>
    <w:rsid w:val="629612A7"/>
    <w:rsid w:val="62A427F3"/>
    <w:rsid w:val="62A5C133"/>
    <w:rsid w:val="62A8569A"/>
    <w:rsid w:val="62B0D6FF"/>
    <w:rsid w:val="62B309AE"/>
    <w:rsid w:val="62B3F4D3"/>
    <w:rsid w:val="62BAB5F2"/>
    <w:rsid w:val="62BCEE6B"/>
    <w:rsid w:val="62BF29A4"/>
    <w:rsid w:val="62C5D0AC"/>
    <w:rsid w:val="62CD924F"/>
    <w:rsid w:val="62DA6D19"/>
    <w:rsid w:val="62DBBD66"/>
    <w:rsid w:val="62DD7930"/>
    <w:rsid w:val="62DE6384"/>
    <w:rsid w:val="62E0D592"/>
    <w:rsid w:val="62E3100A"/>
    <w:rsid w:val="62ED4CE1"/>
    <w:rsid w:val="62EDEF4D"/>
    <w:rsid w:val="62EDFAD0"/>
    <w:rsid w:val="62EECE02"/>
    <w:rsid w:val="62F4AD0E"/>
    <w:rsid w:val="62F6B774"/>
    <w:rsid w:val="62F8D0D0"/>
    <w:rsid w:val="63022C73"/>
    <w:rsid w:val="630A256F"/>
    <w:rsid w:val="630A61AE"/>
    <w:rsid w:val="630B62C5"/>
    <w:rsid w:val="631226FD"/>
    <w:rsid w:val="6319C284"/>
    <w:rsid w:val="631B3510"/>
    <w:rsid w:val="631DC10E"/>
    <w:rsid w:val="6320A119"/>
    <w:rsid w:val="6322CED1"/>
    <w:rsid w:val="632AA14B"/>
    <w:rsid w:val="632B56C9"/>
    <w:rsid w:val="632C1A14"/>
    <w:rsid w:val="632DDAF6"/>
    <w:rsid w:val="632FA8E3"/>
    <w:rsid w:val="6332594B"/>
    <w:rsid w:val="63334795"/>
    <w:rsid w:val="6334BF84"/>
    <w:rsid w:val="6339CE4F"/>
    <w:rsid w:val="633CFDE6"/>
    <w:rsid w:val="634337B7"/>
    <w:rsid w:val="634366FC"/>
    <w:rsid w:val="6349E634"/>
    <w:rsid w:val="634FB231"/>
    <w:rsid w:val="634FE91B"/>
    <w:rsid w:val="634FF752"/>
    <w:rsid w:val="63509D38"/>
    <w:rsid w:val="6356F6CB"/>
    <w:rsid w:val="63590259"/>
    <w:rsid w:val="635A421D"/>
    <w:rsid w:val="635ACF7D"/>
    <w:rsid w:val="635BAB2A"/>
    <w:rsid w:val="635E21F5"/>
    <w:rsid w:val="636AC34B"/>
    <w:rsid w:val="636C4D92"/>
    <w:rsid w:val="636D6A53"/>
    <w:rsid w:val="636E6341"/>
    <w:rsid w:val="63703255"/>
    <w:rsid w:val="6372BEA3"/>
    <w:rsid w:val="6376ADDC"/>
    <w:rsid w:val="63785170"/>
    <w:rsid w:val="6379583C"/>
    <w:rsid w:val="637D7603"/>
    <w:rsid w:val="63804526"/>
    <w:rsid w:val="638D59FE"/>
    <w:rsid w:val="638F4A58"/>
    <w:rsid w:val="63905168"/>
    <w:rsid w:val="639D38FE"/>
    <w:rsid w:val="63A46517"/>
    <w:rsid w:val="63AA32AE"/>
    <w:rsid w:val="63ACF37C"/>
    <w:rsid w:val="63AF1794"/>
    <w:rsid w:val="63B17156"/>
    <w:rsid w:val="63B4A6D0"/>
    <w:rsid w:val="63B8C38B"/>
    <w:rsid w:val="63BFFC02"/>
    <w:rsid w:val="63C673C1"/>
    <w:rsid w:val="63C72887"/>
    <w:rsid w:val="63D27BA5"/>
    <w:rsid w:val="63D7E11B"/>
    <w:rsid w:val="63D857FE"/>
    <w:rsid w:val="63D8BC86"/>
    <w:rsid w:val="63DFE120"/>
    <w:rsid w:val="63E031C3"/>
    <w:rsid w:val="63E066EB"/>
    <w:rsid w:val="63E1AA4E"/>
    <w:rsid w:val="63E2A2D3"/>
    <w:rsid w:val="63F22B6E"/>
    <w:rsid w:val="63F33FDA"/>
    <w:rsid w:val="63F48D8E"/>
    <w:rsid w:val="63F4C8F3"/>
    <w:rsid w:val="63F6AD96"/>
    <w:rsid w:val="640498D1"/>
    <w:rsid w:val="64066FB9"/>
    <w:rsid w:val="640B335E"/>
    <w:rsid w:val="640D8608"/>
    <w:rsid w:val="640E3B91"/>
    <w:rsid w:val="641D7BA8"/>
    <w:rsid w:val="64218C80"/>
    <w:rsid w:val="6424625D"/>
    <w:rsid w:val="6427E439"/>
    <w:rsid w:val="64282BBC"/>
    <w:rsid w:val="64301AE7"/>
    <w:rsid w:val="643101A5"/>
    <w:rsid w:val="643F4458"/>
    <w:rsid w:val="643F4D83"/>
    <w:rsid w:val="644114B2"/>
    <w:rsid w:val="6442ADB1"/>
    <w:rsid w:val="64434A0D"/>
    <w:rsid w:val="64453526"/>
    <w:rsid w:val="6446D4A8"/>
    <w:rsid w:val="64471459"/>
    <w:rsid w:val="644A4001"/>
    <w:rsid w:val="644ADE82"/>
    <w:rsid w:val="6450281A"/>
    <w:rsid w:val="6450F260"/>
    <w:rsid w:val="64536B3A"/>
    <w:rsid w:val="64548136"/>
    <w:rsid w:val="64565176"/>
    <w:rsid w:val="645EF73C"/>
    <w:rsid w:val="6460B81D"/>
    <w:rsid w:val="646503DC"/>
    <w:rsid w:val="646E3768"/>
    <w:rsid w:val="6470C861"/>
    <w:rsid w:val="64722C22"/>
    <w:rsid w:val="6473EEC4"/>
    <w:rsid w:val="64793A73"/>
    <w:rsid w:val="647982B5"/>
    <w:rsid w:val="647E912D"/>
    <w:rsid w:val="6481DEB0"/>
    <w:rsid w:val="6484CA3B"/>
    <w:rsid w:val="648B2CFD"/>
    <w:rsid w:val="648C805D"/>
    <w:rsid w:val="649E13FF"/>
    <w:rsid w:val="649F139F"/>
    <w:rsid w:val="649F50C0"/>
    <w:rsid w:val="649F61D1"/>
    <w:rsid w:val="64A01485"/>
    <w:rsid w:val="64A4B402"/>
    <w:rsid w:val="64A50EDF"/>
    <w:rsid w:val="64B9FEF3"/>
    <w:rsid w:val="64BB41D4"/>
    <w:rsid w:val="64BB7236"/>
    <w:rsid w:val="64BCFD49"/>
    <w:rsid w:val="64BEAA37"/>
    <w:rsid w:val="64C85D84"/>
    <w:rsid w:val="64CBAD6F"/>
    <w:rsid w:val="64CD23C7"/>
    <w:rsid w:val="64D2C0DE"/>
    <w:rsid w:val="64D57562"/>
    <w:rsid w:val="64D5FCD0"/>
    <w:rsid w:val="64DAC733"/>
    <w:rsid w:val="64DDD7B2"/>
    <w:rsid w:val="64E23BA0"/>
    <w:rsid w:val="64EA784C"/>
    <w:rsid w:val="64ECAD9A"/>
    <w:rsid w:val="64ED756E"/>
    <w:rsid w:val="64EDFED5"/>
    <w:rsid w:val="64F1FEEE"/>
    <w:rsid w:val="64F4E08E"/>
    <w:rsid w:val="64F53870"/>
    <w:rsid w:val="64F75656"/>
    <w:rsid w:val="64FBD011"/>
    <w:rsid w:val="64FDA46F"/>
    <w:rsid w:val="650010F5"/>
    <w:rsid w:val="6500ACA4"/>
    <w:rsid w:val="65010016"/>
    <w:rsid w:val="6505D1D6"/>
    <w:rsid w:val="6506A121"/>
    <w:rsid w:val="650CD83D"/>
    <w:rsid w:val="650D4943"/>
    <w:rsid w:val="650DE6A3"/>
    <w:rsid w:val="651006AF"/>
    <w:rsid w:val="6510A570"/>
    <w:rsid w:val="6510F671"/>
    <w:rsid w:val="65115057"/>
    <w:rsid w:val="65174E9A"/>
    <w:rsid w:val="651C84E2"/>
    <w:rsid w:val="651E32C5"/>
    <w:rsid w:val="6520C6FD"/>
    <w:rsid w:val="65242D3E"/>
    <w:rsid w:val="652A8DC6"/>
    <w:rsid w:val="652BD6E3"/>
    <w:rsid w:val="65347E0B"/>
    <w:rsid w:val="653A3B1F"/>
    <w:rsid w:val="653B2C71"/>
    <w:rsid w:val="653D3103"/>
    <w:rsid w:val="653E054F"/>
    <w:rsid w:val="6545B137"/>
    <w:rsid w:val="6545D1E9"/>
    <w:rsid w:val="6546CA8B"/>
    <w:rsid w:val="6548AAE8"/>
    <w:rsid w:val="654B0B74"/>
    <w:rsid w:val="654D700F"/>
    <w:rsid w:val="6552D2A5"/>
    <w:rsid w:val="655552CF"/>
    <w:rsid w:val="6555616F"/>
    <w:rsid w:val="6557A578"/>
    <w:rsid w:val="655E6FF8"/>
    <w:rsid w:val="6564BF61"/>
    <w:rsid w:val="657359C6"/>
    <w:rsid w:val="657821D4"/>
    <w:rsid w:val="6587C123"/>
    <w:rsid w:val="658F006F"/>
    <w:rsid w:val="6592A53C"/>
    <w:rsid w:val="65996A06"/>
    <w:rsid w:val="65A19689"/>
    <w:rsid w:val="65A9A236"/>
    <w:rsid w:val="65B0FED6"/>
    <w:rsid w:val="65B12B4B"/>
    <w:rsid w:val="65B582BE"/>
    <w:rsid w:val="65BBDCB3"/>
    <w:rsid w:val="65BE1447"/>
    <w:rsid w:val="65BEAC24"/>
    <w:rsid w:val="65BEF2DC"/>
    <w:rsid w:val="65C0F164"/>
    <w:rsid w:val="65C21CF3"/>
    <w:rsid w:val="65D0D1E3"/>
    <w:rsid w:val="65D6E517"/>
    <w:rsid w:val="65D8A1DF"/>
    <w:rsid w:val="65D8F480"/>
    <w:rsid w:val="65DD6FCE"/>
    <w:rsid w:val="65DF22A0"/>
    <w:rsid w:val="65DF4D63"/>
    <w:rsid w:val="65DFCA8C"/>
    <w:rsid w:val="65E46B7F"/>
    <w:rsid w:val="65E56F6C"/>
    <w:rsid w:val="65EA2A56"/>
    <w:rsid w:val="65EC1005"/>
    <w:rsid w:val="65F9ED80"/>
    <w:rsid w:val="65FBD8FE"/>
    <w:rsid w:val="65FE6DF5"/>
    <w:rsid w:val="65FEF66F"/>
    <w:rsid w:val="6607303C"/>
    <w:rsid w:val="6609267B"/>
    <w:rsid w:val="660C2FB8"/>
    <w:rsid w:val="660F2746"/>
    <w:rsid w:val="66162B5F"/>
    <w:rsid w:val="661C9A8E"/>
    <w:rsid w:val="66203C3F"/>
    <w:rsid w:val="66235AEF"/>
    <w:rsid w:val="66289A75"/>
    <w:rsid w:val="66298153"/>
    <w:rsid w:val="662C6339"/>
    <w:rsid w:val="662C7013"/>
    <w:rsid w:val="662C75C0"/>
    <w:rsid w:val="662F4BFD"/>
    <w:rsid w:val="662F4DBA"/>
    <w:rsid w:val="66348208"/>
    <w:rsid w:val="66384824"/>
    <w:rsid w:val="663951AE"/>
    <w:rsid w:val="6640A001"/>
    <w:rsid w:val="664220B6"/>
    <w:rsid w:val="66444481"/>
    <w:rsid w:val="66488FF8"/>
    <w:rsid w:val="6649B8EE"/>
    <w:rsid w:val="664DA912"/>
    <w:rsid w:val="664E4DE4"/>
    <w:rsid w:val="66538186"/>
    <w:rsid w:val="6653C060"/>
    <w:rsid w:val="66547BB7"/>
    <w:rsid w:val="665739CC"/>
    <w:rsid w:val="665CA5DC"/>
    <w:rsid w:val="6660BA51"/>
    <w:rsid w:val="6669C468"/>
    <w:rsid w:val="666C5171"/>
    <w:rsid w:val="6674975F"/>
    <w:rsid w:val="6674BF4E"/>
    <w:rsid w:val="66751705"/>
    <w:rsid w:val="6677DBB4"/>
    <w:rsid w:val="66786E15"/>
    <w:rsid w:val="66807A99"/>
    <w:rsid w:val="668463C5"/>
    <w:rsid w:val="66851FB0"/>
    <w:rsid w:val="66855A60"/>
    <w:rsid w:val="66887463"/>
    <w:rsid w:val="66889262"/>
    <w:rsid w:val="668B15DD"/>
    <w:rsid w:val="6691C396"/>
    <w:rsid w:val="66929DA5"/>
    <w:rsid w:val="66A37495"/>
    <w:rsid w:val="66A7EF7D"/>
    <w:rsid w:val="66AD875D"/>
    <w:rsid w:val="66B37E38"/>
    <w:rsid w:val="66BDCB0F"/>
    <w:rsid w:val="66BFF898"/>
    <w:rsid w:val="66C21B71"/>
    <w:rsid w:val="66C530F8"/>
    <w:rsid w:val="66C8CC76"/>
    <w:rsid w:val="66CD4CF1"/>
    <w:rsid w:val="66D2693E"/>
    <w:rsid w:val="66D3F9C3"/>
    <w:rsid w:val="66D8CAFA"/>
    <w:rsid w:val="66D97713"/>
    <w:rsid w:val="66D9D281"/>
    <w:rsid w:val="66D9F7D4"/>
    <w:rsid w:val="66DC1AB4"/>
    <w:rsid w:val="66DF2C00"/>
    <w:rsid w:val="66DF835D"/>
    <w:rsid w:val="66E74F24"/>
    <w:rsid w:val="66F17B8D"/>
    <w:rsid w:val="66F30766"/>
    <w:rsid w:val="66F74CC1"/>
    <w:rsid w:val="66F7F2B6"/>
    <w:rsid w:val="66FA47AD"/>
    <w:rsid w:val="66FAA476"/>
    <w:rsid w:val="6703B140"/>
    <w:rsid w:val="670AD18B"/>
    <w:rsid w:val="670CFF7F"/>
    <w:rsid w:val="6711D370"/>
    <w:rsid w:val="671200FA"/>
    <w:rsid w:val="671304AC"/>
    <w:rsid w:val="6719CEA4"/>
    <w:rsid w:val="671DE6DF"/>
    <w:rsid w:val="671EC538"/>
    <w:rsid w:val="672154E7"/>
    <w:rsid w:val="672A8652"/>
    <w:rsid w:val="673374A5"/>
    <w:rsid w:val="6734D0C7"/>
    <w:rsid w:val="67383F38"/>
    <w:rsid w:val="6738F889"/>
    <w:rsid w:val="67394BF7"/>
    <w:rsid w:val="673E5218"/>
    <w:rsid w:val="6740A8D4"/>
    <w:rsid w:val="6741602C"/>
    <w:rsid w:val="6743AA8E"/>
    <w:rsid w:val="6748432C"/>
    <w:rsid w:val="674BE88B"/>
    <w:rsid w:val="674E7D2C"/>
    <w:rsid w:val="6750F8FA"/>
    <w:rsid w:val="67532B96"/>
    <w:rsid w:val="67564BA3"/>
    <w:rsid w:val="67567935"/>
    <w:rsid w:val="6759E2C6"/>
    <w:rsid w:val="675C079C"/>
    <w:rsid w:val="675E5D6D"/>
    <w:rsid w:val="67601A08"/>
    <w:rsid w:val="676489F2"/>
    <w:rsid w:val="6764F1B8"/>
    <w:rsid w:val="67664FB0"/>
    <w:rsid w:val="676CCE53"/>
    <w:rsid w:val="676E4921"/>
    <w:rsid w:val="677BA3CB"/>
    <w:rsid w:val="677CC30F"/>
    <w:rsid w:val="677D960C"/>
    <w:rsid w:val="67852459"/>
    <w:rsid w:val="67856246"/>
    <w:rsid w:val="678CDE3B"/>
    <w:rsid w:val="678E5547"/>
    <w:rsid w:val="678F7A7D"/>
    <w:rsid w:val="67AF3370"/>
    <w:rsid w:val="67AFE282"/>
    <w:rsid w:val="67B57E9D"/>
    <w:rsid w:val="67B57EC7"/>
    <w:rsid w:val="67B78B13"/>
    <w:rsid w:val="67BED4D3"/>
    <w:rsid w:val="67C5F087"/>
    <w:rsid w:val="67D1033C"/>
    <w:rsid w:val="67D7701A"/>
    <w:rsid w:val="67D868BB"/>
    <w:rsid w:val="67DB3C5A"/>
    <w:rsid w:val="67DB7784"/>
    <w:rsid w:val="67DBBD84"/>
    <w:rsid w:val="67DCFB22"/>
    <w:rsid w:val="67DD9617"/>
    <w:rsid w:val="67E868FE"/>
    <w:rsid w:val="67EDE141"/>
    <w:rsid w:val="67F2DD70"/>
    <w:rsid w:val="67FA6DBC"/>
    <w:rsid w:val="6801C8A0"/>
    <w:rsid w:val="6802A760"/>
    <w:rsid w:val="680301B6"/>
    <w:rsid w:val="68032EDC"/>
    <w:rsid w:val="6803E41C"/>
    <w:rsid w:val="6805C679"/>
    <w:rsid w:val="680BCDAC"/>
    <w:rsid w:val="680CBF1D"/>
    <w:rsid w:val="680F7F97"/>
    <w:rsid w:val="680FA753"/>
    <w:rsid w:val="680FA7DD"/>
    <w:rsid w:val="68103985"/>
    <w:rsid w:val="6811B22C"/>
    <w:rsid w:val="6816AC76"/>
    <w:rsid w:val="6817D2D4"/>
    <w:rsid w:val="68198FF3"/>
    <w:rsid w:val="681B6F4A"/>
    <w:rsid w:val="6827D9D8"/>
    <w:rsid w:val="6827DCAC"/>
    <w:rsid w:val="682EA349"/>
    <w:rsid w:val="68306107"/>
    <w:rsid w:val="68353F87"/>
    <w:rsid w:val="68392EB2"/>
    <w:rsid w:val="683E3CC2"/>
    <w:rsid w:val="683F8662"/>
    <w:rsid w:val="684164FF"/>
    <w:rsid w:val="6847EDD1"/>
    <w:rsid w:val="684CD573"/>
    <w:rsid w:val="684EBEE2"/>
    <w:rsid w:val="684F14D0"/>
    <w:rsid w:val="6850B1CE"/>
    <w:rsid w:val="685A2536"/>
    <w:rsid w:val="685B2B0F"/>
    <w:rsid w:val="685B70F2"/>
    <w:rsid w:val="685CCB9D"/>
    <w:rsid w:val="685D0FB0"/>
    <w:rsid w:val="685F5D8B"/>
    <w:rsid w:val="6863BFE9"/>
    <w:rsid w:val="68647A4F"/>
    <w:rsid w:val="686A823C"/>
    <w:rsid w:val="686AA426"/>
    <w:rsid w:val="686C5E29"/>
    <w:rsid w:val="687144B7"/>
    <w:rsid w:val="6877E1B5"/>
    <w:rsid w:val="688396C7"/>
    <w:rsid w:val="688A97CE"/>
    <w:rsid w:val="688DF8AD"/>
    <w:rsid w:val="68916621"/>
    <w:rsid w:val="68942D06"/>
    <w:rsid w:val="68968A90"/>
    <w:rsid w:val="689A5C50"/>
    <w:rsid w:val="689C6D7E"/>
    <w:rsid w:val="689E4724"/>
    <w:rsid w:val="689F428A"/>
    <w:rsid w:val="68A07761"/>
    <w:rsid w:val="68A3F722"/>
    <w:rsid w:val="68A80DEB"/>
    <w:rsid w:val="68AB4766"/>
    <w:rsid w:val="68AD836A"/>
    <w:rsid w:val="68B4F91C"/>
    <w:rsid w:val="68B6A34B"/>
    <w:rsid w:val="68B77347"/>
    <w:rsid w:val="68B907F2"/>
    <w:rsid w:val="68BC2D25"/>
    <w:rsid w:val="68C643A9"/>
    <w:rsid w:val="68CAAC31"/>
    <w:rsid w:val="68CE385A"/>
    <w:rsid w:val="68D171DE"/>
    <w:rsid w:val="68D2E36D"/>
    <w:rsid w:val="68D8F4AC"/>
    <w:rsid w:val="68DA4C74"/>
    <w:rsid w:val="68DAF261"/>
    <w:rsid w:val="68DDDD1A"/>
    <w:rsid w:val="68E03468"/>
    <w:rsid w:val="68E1A5CE"/>
    <w:rsid w:val="68E80792"/>
    <w:rsid w:val="68EE0885"/>
    <w:rsid w:val="68F500B8"/>
    <w:rsid w:val="68F73C30"/>
    <w:rsid w:val="690259CE"/>
    <w:rsid w:val="690B10D3"/>
    <w:rsid w:val="690B453F"/>
    <w:rsid w:val="6910421B"/>
    <w:rsid w:val="69108DD4"/>
    <w:rsid w:val="69123095"/>
    <w:rsid w:val="6913572A"/>
    <w:rsid w:val="69137B66"/>
    <w:rsid w:val="6916C232"/>
    <w:rsid w:val="69178141"/>
    <w:rsid w:val="6918B8D0"/>
    <w:rsid w:val="691DB0EA"/>
    <w:rsid w:val="691DEDC2"/>
    <w:rsid w:val="69225022"/>
    <w:rsid w:val="6922688E"/>
    <w:rsid w:val="69238817"/>
    <w:rsid w:val="6926AE74"/>
    <w:rsid w:val="69293142"/>
    <w:rsid w:val="692A6F34"/>
    <w:rsid w:val="692C309A"/>
    <w:rsid w:val="6932EA8B"/>
    <w:rsid w:val="693461AD"/>
    <w:rsid w:val="69373733"/>
    <w:rsid w:val="6938DD59"/>
    <w:rsid w:val="693B3131"/>
    <w:rsid w:val="693EF9B0"/>
    <w:rsid w:val="694488A1"/>
    <w:rsid w:val="6947C2A2"/>
    <w:rsid w:val="694B77AE"/>
    <w:rsid w:val="694C1DB3"/>
    <w:rsid w:val="694CF86B"/>
    <w:rsid w:val="694FC9D1"/>
    <w:rsid w:val="6951E980"/>
    <w:rsid w:val="695AF07E"/>
    <w:rsid w:val="695C14E0"/>
    <w:rsid w:val="6960988B"/>
    <w:rsid w:val="6967F242"/>
    <w:rsid w:val="696EBF67"/>
    <w:rsid w:val="6978C845"/>
    <w:rsid w:val="697FE2F4"/>
    <w:rsid w:val="69857235"/>
    <w:rsid w:val="6987E603"/>
    <w:rsid w:val="698A7E18"/>
    <w:rsid w:val="698D501F"/>
    <w:rsid w:val="699249C9"/>
    <w:rsid w:val="69961156"/>
    <w:rsid w:val="6999463E"/>
    <w:rsid w:val="699970E2"/>
    <w:rsid w:val="699F4B8B"/>
    <w:rsid w:val="69A316CC"/>
    <w:rsid w:val="69A3E673"/>
    <w:rsid w:val="69A441E1"/>
    <w:rsid w:val="69AA4B24"/>
    <w:rsid w:val="69B02F78"/>
    <w:rsid w:val="69C2115C"/>
    <w:rsid w:val="69C7C94A"/>
    <w:rsid w:val="69C89454"/>
    <w:rsid w:val="69C8D7C2"/>
    <w:rsid w:val="69CDF651"/>
    <w:rsid w:val="69D02D11"/>
    <w:rsid w:val="69D11791"/>
    <w:rsid w:val="69D1A46E"/>
    <w:rsid w:val="69D37499"/>
    <w:rsid w:val="69D7C7AB"/>
    <w:rsid w:val="69D9762C"/>
    <w:rsid w:val="69DDD4B0"/>
    <w:rsid w:val="69EA5B4A"/>
    <w:rsid w:val="69EB1DCD"/>
    <w:rsid w:val="69EB9050"/>
    <w:rsid w:val="69EE5EC4"/>
    <w:rsid w:val="69F7B604"/>
    <w:rsid w:val="6A01A62F"/>
    <w:rsid w:val="6A08BA10"/>
    <w:rsid w:val="6A0C6B84"/>
    <w:rsid w:val="6A0C6ED1"/>
    <w:rsid w:val="6A0E487E"/>
    <w:rsid w:val="6A1496DD"/>
    <w:rsid w:val="6A1AB8E2"/>
    <w:rsid w:val="6A1D66DD"/>
    <w:rsid w:val="6A1F96C3"/>
    <w:rsid w:val="6A2A6286"/>
    <w:rsid w:val="6A2AC838"/>
    <w:rsid w:val="6A2BCB43"/>
    <w:rsid w:val="6A2E21A3"/>
    <w:rsid w:val="6A300602"/>
    <w:rsid w:val="6A301CCE"/>
    <w:rsid w:val="6A322B8A"/>
    <w:rsid w:val="6A33EF7F"/>
    <w:rsid w:val="6A344E65"/>
    <w:rsid w:val="6A347BBC"/>
    <w:rsid w:val="6A35F211"/>
    <w:rsid w:val="6A370EF0"/>
    <w:rsid w:val="6A38F3DB"/>
    <w:rsid w:val="6A39DFC2"/>
    <w:rsid w:val="6A3BFE5A"/>
    <w:rsid w:val="6A3C4023"/>
    <w:rsid w:val="6A3CAE77"/>
    <w:rsid w:val="6A3D2D75"/>
    <w:rsid w:val="6A40F1DA"/>
    <w:rsid w:val="6A4346A0"/>
    <w:rsid w:val="6A46FA0C"/>
    <w:rsid w:val="6A4A4E99"/>
    <w:rsid w:val="6A4CE8AD"/>
    <w:rsid w:val="6A4ECD13"/>
    <w:rsid w:val="6A4FB685"/>
    <w:rsid w:val="6A5A8CCB"/>
    <w:rsid w:val="6A5C26AB"/>
    <w:rsid w:val="6A5C6ED0"/>
    <w:rsid w:val="6A5D9851"/>
    <w:rsid w:val="6A64C64D"/>
    <w:rsid w:val="6A6663E3"/>
    <w:rsid w:val="6A68D37D"/>
    <w:rsid w:val="6A6A76B3"/>
    <w:rsid w:val="6A6AF310"/>
    <w:rsid w:val="6A6E6CEE"/>
    <w:rsid w:val="6A71571A"/>
    <w:rsid w:val="6A72F1AA"/>
    <w:rsid w:val="6A76EEBC"/>
    <w:rsid w:val="6A779CCC"/>
    <w:rsid w:val="6A7DE6D3"/>
    <w:rsid w:val="6A8077EB"/>
    <w:rsid w:val="6A824725"/>
    <w:rsid w:val="6A8280B8"/>
    <w:rsid w:val="6A85DC65"/>
    <w:rsid w:val="6A89773F"/>
    <w:rsid w:val="6A8C833B"/>
    <w:rsid w:val="6A8CB6A1"/>
    <w:rsid w:val="6A900E06"/>
    <w:rsid w:val="6A959E8D"/>
    <w:rsid w:val="6A960886"/>
    <w:rsid w:val="6A961318"/>
    <w:rsid w:val="6A997B42"/>
    <w:rsid w:val="6A9DF8CD"/>
    <w:rsid w:val="6AA7BB64"/>
    <w:rsid w:val="6AB4689B"/>
    <w:rsid w:val="6ABA4288"/>
    <w:rsid w:val="6ABC25CB"/>
    <w:rsid w:val="6ABD2891"/>
    <w:rsid w:val="6ABD661D"/>
    <w:rsid w:val="6ABF86C8"/>
    <w:rsid w:val="6AC2A091"/>
    <w:rsid w:val="6AC5EDCE"/>
    <w:rsid w:val="6ACAF725"/>
    <w:rsid w:val="6ACD1B9A"/>
    <w:rsid w:val="6AD31BCF"/>
    <w:rsid w:val="6AD3AD2F"/>
    <w:rsid w:val="6AD60287"/>
    <w:rsid w:val="6AD752E0"/>
    <w:rsid w:val="6AD93568"/>
    <w:rsid w:val="6AD9FD68"/>
    <w:rsid w:val="6ADAB001"/>
    <w:rsid w:val="6AE89F23"/>
    <w:rsid w:val="6AEDBF54"/>
    <w:rsid w:val="6AEEA183"/>
    <w:rsid w:val="6AF66BFD"/>
    <w:rsid w:val="6AF81F2C"/>
    <w:rsid w:val="6AF99AB5"/>
    <w:rsid w:val="6AFBC0F3"/>
    <w:rsid w:val="6AFC4983"/>
    <w:rsid w:val="6B025D28"/>
    <w:rsid w:val="6B03B3B4"/>
    <w:rsid w:val="6B071A7F"/>
    <w:rsid w:val="6B08B0D5"/>
    <w:rsid w:val="6B0A89A3"/>
    <w:rsid w:val="6B0DADB5"/>
    <w:rsid w:val="6B0E0B8B"/>
    <w:rsid w:val="6B122842"/>
    <w:rsid w:val="6B132FD1"/>
    <w:rsid w:val="6B1355C9"/>
    <w:rsid w:val="6B139410"/>
    <w:rsid w:val="6B1443F8"/>
    <w:rsid w:val="6B162674"/>
    <w:rsid w:val="6B1754C0"/>
    <w:rsid w:val="6B1879AB"/>
    <w:rsid w:val="6B22E9DF"/>
    <w:rsid w:val="6B23C297"/>
    <w:rsid w:val="6B2666E7"/>
    <w:rsid w:val="6B2BA032"/>
    <w:rsid w:val="6B2DD1B3"/>
    <w:rsid w:val="6B31BFFE"/>
    <w:rsid w:val="6B324D57"/>
    <w:rsid w:val="6B39F791"/>
    <w:rsid w:val="6B3E673C"/>
    <w:rsid w:val="6B46B6FD"/>
    <w:rsid w:val="6B46F559"/>
    <w:rsid w:val="6B476CBA"/>
    <w:rsid w:val="6B495C7D"/>
    <w:rsid w:val="6B4A94BF"/>
    <w:rsid w:val="6B4A9D4E"/>
    <w:rsid w:val="6B4BCA6F"/>
    <w:rsid w:val="6B520108"/>
    <w:rsid w:val="6B53A511"/>
    <w:rsid w:val="6B545FF1"/>
    <w:rsid w:val="6B59EE3B"/>
    <w:rsid w:val="6B5A0A97"/>
    <w:rsid w:val="6B5E3D4C"/>
    <w:rsid w:val="6B5FBB29"/>
    <w:rsid w:val="6B5FF4D2"/>
    <w:rsid w:val="6B66490A"/>
    <w:rsid w:val="6B666D5B"/>
    <w:rsid w:val="6B68706A"/>
    <w:rsid w:val="6B6889B6"/>
    <w:rsid w:val="6B6AF7D6"/>
    <w:rsid w:val="6B6EFE80"/>
    <w:rsid w:val="6B715ACC"/>
    <w:rsid w:val="6B772FB3"/>
    <w:rsid w:val="6B799EFA"/>
    <w:rsid w:val="6B806D31"/>
    <w:rsid w:val="6B859FDB"/>
    <w:rsid w:val="6B86A7AA"/>
    <w:rsid w:val="6B8B19D1"/>
    <w:rsid w:val="6B8D4DC5"/>
    <w:rsid w:val="6B8F47EC"/>
    <w:rsid w:val="6B914F39"/>
    <w:rsid w:val="6B9156DF"/>
    <w:rsid w:val="6B91866B"/>
    <w:rsid w:val="6B929816"/>
    <w:rsid w:val="6B9DAEBD"/>
    <w:rsid w:val="6BA37EB7"/>
    <w:rsid w:val="6BA6F524"/>
    <w:rsid w:val="6BA8F477"/>
    <w:rsid w:val="6BAA544E"/>
    <w:rsid w:val="6BAB46E8"/>
    <w:rsid w:val="6BB81DEF"/>
    <w:rsid w:val="6BBF46B0"/>
    <w:rsid w:val="6BC18374"/>
    <w:rsid w:val="6BC242E1"/>
    <w:rsid w:val="6BC48128"/>
    <w:rsid w:val="6BC4E5E8"/>
    <w:rsid w:val="6BC6936A"/>
    <w:rsid w:val="6BC72040"/>
    <w:rsid w:val="6BC8551B"/>
    <w:rsid w:val="6BD0610E"/>
    <w:rsid w:val="6BD1D557"/>
    <w:rsid w:val="6BDE1E46"/>
    <w:rsid w:val="6BE0FF9A"/>
    <w:rsid w:val="6BE325C4"/>
    <w:rsid w:val="6BE6803B"/>
    <w:rsid w:val="6BEDB7AD"/>
    <w:rsid w:val="6BEE5F36"/>
    <w:rsid w:val="6BEF0D7D"/>
    <w:rsid w:val="6BEF65A2"/>
    <w:rsid w:val="6BF3E54E"/>
    <w:rsid w:val="6BF94627"/>
    <w:rsid w:val="6BFBD255"/>
    <w:rsid w:val="6BFDA696"/>
    <w:rsid w:val="6BFED721"/>
    <w:rsid w:val="6BFF9EE9"/>
    <w:rsid w:val="6C008202"/>
    <w:rsid w:val="6C018FA4"/>
    <w:rsid w:val="6C043DB8"/>
    <w:rsid w:val="6C085DEF"/>
    <w:rsid w:val="6C0A9CBF"/>
    <w:rsid w:val="6C0C6118"/>
    <w:rsid w:val="6C0E477D"/>
    <w:rsid w:val="6C153FB3"/>
    <w:rsid w:val="6C16C585"/>
    <w:rsid w:val="6C17F02D"/>
    <w:rsid w:val="6C21C9CA"/>
    <w:rsid w:val="6C276FA0"/>
    <w:rsid w:val="6C2909D0"/>
    <w:rsid w:val="6C29AE87"/>
    <w:rsid w:val="6C2C6AA8"/>
    <w:rsid w:val="6C2CEAFA"/>
    <w:rsid w:val="6C347261"/>
    <w:rsid w:val="6C35618C"/>
    <w:rsid w:val="6C3BA2A6"/>
    <w:rsid w:val="6C3E685A"/>
    <w:rsid w:val="6C3F42AB"/>
    <w:rsid w:val="6C4009FD"/>
    <w:rsid w:val="6C43CBFF"/>
    <w:rsid w:val="6C46E23F"/>
    <w:rsid w:val="6C483B9E"/>
    <w:rsid w:val="6C4AA226"/>
    <w:rsid w:val="6C4C3E1F"/>
    <w:rsid w:val="6C50A0A5"/>
    <w:rsid w:val="6C5A6DD8"/>
    <w:rsid w:val="6C6400C0"/>
    <w:rsid w:val="6C6416E1"/>
    <w:rsid w:val="6C6B20CD"/>
    <w:rsid w:val="6C6F00E1"/>
    <w:rsid w:val="6C731E0C"/>
    <w:rsid w:val="6C732BEA"/>
    <w:rsid w:val="6C73840C"/>
    <w:rsid w:val="6C7DF049"/>
    <w:rsid w:val="6C804A01"/>
    <w:rsid w:val="6C82412B"/>
    <w:rsid w:val="6C873D8C"/>
    <w:rsid w:val="6C8BAE30"/>
    <w:rsid w:val="6C92A20E"/>
    <w:rsid w:val="6C94FFA3"/>
    <w:rsid w:val="6C95D32B"/>
    <w:rsid w:val="6C969D90"/>
    <w:rsid w:val="6C9883A4"/>
    <w:rsid w:val="6C99678D"/>
    <w:rsid w:val="6C9C0104"/>
    <w:rsid w:val="6CA2F576"/>
    <w:rsid w:val="6CA71007"/>
    <w:rsid w:val="6CAC2B2C"/>
    <w:rsid w:val="6CAC651F"/>
    <w:rsid w:val="6CAC76D1"/>
    <w:rsid w:val="6CC430C4"/>
    <w:rsid w:val="6CC4A272"/>
    <w:rsid w:val="6CC6AF60"/>
    <w:rsid w:val="6CC81D13"/>
    <w:rsid w:val="6CC9EACC"/>
    <w:rsid w:val="6CCB3B04"/>
    <w:rsid w:val="6CDBD87B"/>
    <w:rsid w:val="6CDE31D7"/>
    <w:rsid w:val="6CDEB1D2"/>
    <w:rsid w:val="6CE86D6F"/>
    <w:rsid w:val="6CED1016"/>
    <w:rsid w:val="6CEFFA7E"/>
    <w:rsid w:val="6CF277BA"/>
    <w:rsid w:val="6CF7DE4B"/>
    <w:rsid w:val="6CF97F17"/>
    <w:rsid w:val="6CFB2762"/>
    <w:rsid w:val="6CFFA6B4"/>
    <w:rsid w:val="6D00BC8D"/>
    <w:rsid w:val="6D00FE1E"/>
    <w:rsid w:val="6D04446E"/>
    <w:rsid w:val="6D052C4B"/>
    <w:rsid w:val="6D05EDBA"/>
    <w:rsid w:val="6D0FDE0F"/>
    <w:rsid w:val="6D1433DF"/>
    <w:rsid w:val="6D1A0B40"/>
    <w:rsid w:val="6D1F9440"/>
    <w:rsid w:val="6D212F5A"/>
    <w:rsid w:val="6D240E56"/>
    <w:rsid w:val="6D245508"/>
    <w:rsid w:val="6D28CC0D"/>
    <w:rsid w:val="6D2A8B47"/>
    <w:rsid w:val="6D2C7AA8"/>
    <w:rsid w:val="6D2D12D0"/>
    <w:rsid w:val="6D3043FF"/>
    <w:rsid w:val="6D3105F3"/>
    <w:rsid w:val="6D33E615"/>
    <w:rsid w:val="6D380B74"/>
    <w:rsid w:val="6D38480C"/>
    <w:rsid w:val="6D38B82A"/>
    <w:rsid w:val="6D396D58"/>
    <w:rsid w:val="6D3A63F0"/>
    <w:rsid w:val="6D3D2B64"/>
    <w:rsid w:val="6D3D46B1"/>
    <w:rsid w:val="6D40FCE3"/>
    <w:rsid w:val="6D4492B8"/>
    <w:rsid w:val="6D44AAEB"/>
    <w:rsid w:val="6D4797D6"/>
    <w:rsid w:val="6D4963F0"/>
    <w:rsid w:val="6D4E3DEE"/>
    <w:rsid w:val="6D516A9D"/>
    <w:rsid w:val="6D527F51"/>
    <w:rsid w:val="6D57DE0C"/>
    <w:rsid w:val="6D5A7155"/>
    <w:rsid w:val="6D5C1A95"/>
    <w:rsid w:val="6D5CCFD7"/>
    <w:rsid w:val="6D60FB52"/>
    <w:rsid w:val="6D61B5FA"/>
    <w:rsid w:val="6D69ACD0"/>
    <w:rsid w:val="6D6E1507"/>
    <w:rsid w:val="6D707746"/>
    <w:rsid w:val="6D7837DF"/>
    <w:rsid w:val="6D7C0222"/>
    <w:rsid w:val="6D7DF35C"/>
    <w:rsid w:val="6D7E5ECA"/>
    <w:rsid w:val="6D81C2D8"/>
    <w:rsid w:val="6D867C2B"/>
    <w:rsid w:val="6D88FC7F"/>
    <w:rsid w:val="6D93FD65"/>
    <w:rsid w:val="6D95AC66"/>
    <w:rsid w:val="6D98188C"/>
    <w:rsid w:val="6D9B9B4B"/>
    <w:rsid w:val="6D9E6108"/>
    <w:rsid w:val="6D9ED030"/>
    <w:rsid w:val="6D9F0721"/>
    <w:rsid w:val="6D9F29DB"/>
    <w:rsid w:val="6D9F9AC0"/>
    <w:rsid w:val="6DA06DA7"/>
    <w:rsid w:val="6DA350B5"/>
    <w:rsid w:val="6DA72DDD"/>
    <w:rsid w:val="6DA885A2"/>
    <w:rsid w:val="6DAA70A4"/>
    <w:rsid w:val="6DAF1560"/>
    <w:rsid w:val="6DAF6759"/>
    <w:rsid w:val="6DB100BA"/>
    <w:rsid w:val="6DB4E891"/>
    <w:rsid w:val="6DB6867C"/>
    <w:rsid w:val="6DBF1DDB"/>
    <w:rsid w:val="6DC5AB53"/>
    <w:rsid w:val="6DD3DB29"/>
    <w:rsid w:val="6DD7B44C"/>
    <w:rsid w:val="6DD9C751"/>
    <w:rsid w:val="6DDBAA86"/>
    <w:rsid w:val="6DDC1DDA"/>
    <w:rsid w:val="6DE19EB9"/>
    <w:rsid w:val="6DE1A88C"/>
    <w:rsid w:val="6DE526B9"/>
    <w:rsid w:val="6DE54D1F"/>
    <w:rsid w:val="6DE655CB"/>
    <w:rsid w:val="6DECA9D0"/>
    <w:rsid w:val="6DF0338E"/>
    <w:rsid w:val="6DF25B9A"/>
    <w:rsid w:val="6DF5D6C5"/>
    <w:rsid w:val="6DF7CF5B"/>
    <w:rsid w:val="6DF88F97"/>
    <w:rsid w:val="6DFA7090"/>
    <w:rsid w:val="6DFE4BE2"/>
    <w:rsid w:val="6DFF5B6D"/>
    <w:rsid w:val="6DFF6513"/>
    <w:rsid w:val="6E016F2D"/>
    <w:rsid w:val="6E086769"/>
    <w:rsid w:val="6E0A6183"/>
    <w:rsid w:val="6E0C4DA7"/>
    <w:rsid w:val="6E1209A3"/>
    <w:rsid w:val="6E13EDBD"/>
    <w:rsid w:val="6E1BF06A"/>
    <w:rsid w:val="6E1CA5BC"/>
    <w:rsid w:val="6E1CD2A2"/>
    <w:rsid w:val="6E1EC497"/>
    <w:rsid w:val="6E1F07E1"/>
    <w:rsid w:val="6E20D669"/>
    <w:rsid w:val="6E23D586"/>
    <w:rsid w:val="6E24D50E"/>
    <w:rsid w:val="6E2688F6"/>
    <w:rsid w:val="6E294092"/>
    <w:rsid w:val="6E2B5A26"/>
    <w:rsid w:val="6E2F0596"/>
    <w:rsid w:val="6E3152A4"/>
    <w:rsid w:val="6E3D6341"/>
    <w:rsid w:val="6E3DD1F5"/>
    <w:rsid w:val="6E3E7E15"/>
    <w:rsid w:val="6E41499A"/>
    <w:rsid w:val="6E425211"/>
    <w:rsid w:val="6E50A72B"/>
    <w:rsid w:val="6E5176F7"/>
    <w:rsid w:val="6E54F5E7"/>
    <w:rsid w:val="6E691E95"/>
    <w:rsid w:val="6E6EC15F"/>
    <w:rsid w:val="6E6F104D"/>
    <w:rsid w:val="6E6FD7FA"/>
    <w:rsid w:val="6E72B6C7"/>
    <w:rsid w:val="6E78442E"/>
    <w:rsid w:val="6E7AC039"/>
    <w:rsid w:val="6E86E6D0"/>
    <w:rsid w:val="6E89E10B"/>
    <w:rsid w:val="6E8ACBEB"/>
    <w:rsid w:val="6E9D899E"/>
    <w:rsid w:val="6EAEEFB8"/>
    <w:rsid w:val="6EAF997D"/>
    <w:rsid w:val="6EB41846"/>
    <w:rsid w:val="6EB6A2E3"/>
    <w:rsid w:val="6EBF1D98"/>
    <w:rsid w:val="6ECEDB55"/>
    <w:rsid w:val="6ED0CA0E"/>
    <w:rsid w:val="6ED30E44"/>
    <w:rsid w:val="6ED3C6E2"/>
    <w:rsid w:val="6ED42568"/>
    <w:rsid w:val="6ED4D9E6"/>
    <w:rsid w:val="6EDD8401"/>
    <w:rsid w:val="6EE5BA9B"/>
    <w:rsid w:val="6EE6E320"/>
    <w:rsid w:val="6EE707D8"/>
    <w:rsid w:val="6EE8AE85"/>
    <w:rsid w:val="6EE9F5FC"/>
    <w:rsid w:val="6EEACBBB"/>
    <w:rsid w:val="6EEDD4ED"/>
    <w:rsid w:val="6EEF875B"/>
    <w:rsid w:val="6EF12A0C"/>
    <w:rsid w:val="6EF165C8"/>
    <w:rsid w:val="6EF5711F"/>
    <w:rsid w:val="6EF61CDD"/>
    <w:rsid w:val="6EF651E8"/>
    <w:rsid w:val="6EF8684C"/>
    <w:rsid w:val="6EFB9B3B"/>
    <w:rsid w:val="6F0639B9"/>
    <w:rsid w:val="6F0930FB"/>
    <w:rsid w:val="6F0960C7"/>
    <w:rsid w:val="6F0A7967"/>
    <w:rsid w:val="6F0B084B"/>
    <w:rsid w:val="6F0D43A8"/>
    <w:rsid w:val="6F12B2A8"/>
    <w:rsid w:val="6F1304A6"/>
    <w:rsid w:val="6F13205D"/>
    <w:rsid w:val="6F135966"/>
    <w:rsid w:val="6F1BD52A"/>
    <w:rsid w:val="6F1EB042"/>
    <w:rsid w:val="6F1F275B"/>
    <w:rsid w:val="6F201382"/>
    <w:rsid w:val="6F270CE6"/>
    <w:rsid w:val="6F2876FB"/>
    <w:rsid w:val="6F2A23D6"/>
    <w:rsid w:val="6F32FA7D"/>
    <w:rsid w:val="6F39B326"/>
    <w:rsid w:val="6F404625"/>
    <w:rsid w:val="6F416843"/>
    <w:rsid w:val="6F48093F"/>
    <w:rsid w:val="6F48900E"/>
    <w:rsid w:val="6F4AC412"/>
    <w:rsid w:val="6F5188F5"/>
    <w:rsid w:val="6F58B87E"/>
    <w:rsid w:val="6F5FD370"/>
    <w:rsid w:val="6F651BC5"/>
    <w:rsid w:val="6F65D1E7"/>
    <w:rsid w:val="6F6C45B4"/>
    <w:rsid w:val="6F6CBD8C"/>
    <w:rsid w:val="6F72351B"/>
    <w:rsid w:val="6F78029A"/>
    <w:rsid w:val="6F795E17"/>
    <w:rsid w:val="6F7A6E34"/>
    <w:rsid w:val="6F801F71"/>
    <w:rsid w:val="6F808EB2"/>
    <w:rsid w:val="6F814A2F"/>
    <w:rsid w:val="6F82D618"/>
    <w:rsid w:val="6F854F02"/>
    <w:rsid w:val="6F8597C6"/>
    <w:rsid w:val="6F87BF56"/>
    <w:rsid w:val="6F87CBFA"/>
    <w:rsid w:val="6F8940F0"/>
    <w:rsid w:val="6F926E90"/>
    <w:rsid w:val="6F965CEF"/>
    <w:rsid w:val="6F97C506"/>
    <w:rsid w:val="6F9E9D5B"/>
    <w:rsid w:val="6FA26855"/>
    <w:rsid w:val="6FA76F23"/>
    <w:rsid w:val="6FA79678"/>
    <w:rsid w:val="6FA87864"/>
    <w:rsid w:val="6FAA4EC3"/>
    <w:rsid w:val="6FABBC27"/>
    <w:rsid w:val="6FAF84A1"/>
    <w:rsid w:val="6FBF2BDC"/>
    <w:rsid w:val="6FC42074"/>
    <w:rsid w:val="6FC47106"/>
    <w:rsid w:val="6FC504A4"/>
    <w:rsid w:val="6FC8D33E"/>
    <w:rsid w:val="6FCC36B8"/>
    <w:rsid w:val="6FCF8B53"/>
    <w:rsid w:val="6FD049A6"/>
    <w:rsid w:val="6FD5E816"/>
    <w:rsid w:val="6FD65436"/>
    <w:rsid w:val="6FE11007"/>
    <w:rsid w:val="6FE1BE75"/>
    <w:rsid w:val="6FE2ACF2"/>
    <w:rsid w:val="6FE2D85F"/>
    <w:rsid w:val="6FE67258"/>
    <w:rsid w:val="6FE70967"/>
    <w:rsid w:val="6FE872BA"/>
    <w:rsid w:val="6FEBA7F4"/>
    <w:rsid w:val="6FEC2CAF"/>
    <w:rsid w:val="6FEC3E4D"/>
    <w:rsid w:val="6FF429BB"/>
    <w:rsid w:val="6FF8E502"/>
    <w:rsid w:val="6FFC0AF8"/>
    <w:rsid w:val="6FFD6110"/>
    <w:rsid w:val="7000CFD2"/>
    <w:rsid w:val="70063C0B"/>
    <w:rsid w:val="7006CAFA"/>
    <w:rsid w:val="70072C4B"/>
    <w:rsid w:val="700A2C85"/>
    <w:rsid w:val="700A6DB6"/>
    <w:rsid w:val="700BB31D"/>
    <w:rsid w:val="700D1809"/>
    <w:rsid w:val="700EF12F"/>
    <w:rsid w:val="700FF828"/>
    <w:rsid w:val="7015413A"/>
    <w:rsid w:val="701CC5C6"/>
    <w:rsid w:val="701CDD80"/>
    <w:rsid w:val="7020CA53"/>
    <w:rsid w:val="70264D70"/>
    <w:rsid w:val="702743B9"/>
    <w:rsid w:val="702800DD"/>
    <w:rsid w:val="702902F7"/>
    <w:rsid w:val="70298A73"/>
    <w:rsid w:val="702C8CB1"/>
    <w:rsid w:val="70315F7C"/>
    <w:rsid w:val="70339E36"/>
    <w:rsid w:val="70375CB1"/>
    <w:rsid w:val="70379A42"/>
    <w:rsid w:val="70391DCF"/>
    <w:rsid w:val="703A6080"/>
    <w:rsid w:val="70400325"/>
    <w:rsid w:val="7044B29A"/>
    <w:rsid w:val="7045E344"/>
    <w:rsid w:val="70484E7D"/>
    <w:rsid w:val="704E93CC"/>
    <w:rsid w:val="704F13AE"/>
    <w:rsid w:val="7054138C"/>
    <w:rsid w:val="70556460"/>
    <w:rsid w:val="7057EDA9"/>
    <w:rsid w:val="7058F9EA"/>
    <w:rsid w:val="705BDD38"/>
    <w:rsid w:val="705E5978"/>
    <w:rsid w:val="7062A749"/>
    <w:rsid w:val="70674D69"/>
    <w:rsid w:val="707B2553"/>
    <w:rsid w:val="707CD633"/>
    <w:rsid w:val="707D7817"/>
    <w:rsid w:val="707DE172"/>
    <w:rsid w:val="707EE8D9"/>
    <w:rsid w:val="70842C27"/>
    <w:rsid w:val="7085BC99"/>
    <w:rsid w:val="70894C32"/>
    <w:rsid w:val="708CF011"/>
    <w:rsid w:val="708EAEFF"/>
    <w:rsid w:val="708FA00E"/>
    <w:rsid w:val="70900436"/>
    <w:rsid w:val="7092F5FE"/>
    <w:rsid w:val="70931BA8"/>
    <w:rsid w:val="7096178E"/>
    <w:rsid w:val="709CB745"/>
    <w:rsid w:val="709DA97E"/>
    <w:rsid w:val="709E1C07"/>
    <w:rsid w:val="709E9913"/>
    <w:rsid w:val="70A44DF3"/>
    <w:rsid w:val="70A5A7C3"/>
    <w:rsid w:val="70A9111B"/>
    <w:rsid w:val="70AD1464"/>
    <w:rsid w:val="70AFDE03"/>
    <w:rsid w:val="70B77737"/>
    <w:rsid w:val="70B820D8"/>
    <w:rsid w:val="70B85DAB"/>
    <w:rsid w:val="70B98869"/>
    <w:rsid w:val="70C0D970"/>
    <w:rsid w:val="70C455E6"/>
    <w:rsid w:val="70C8E880"/>
    <w:rsid w:val="70C93CD4"/>
    <w:rsid w:val="70CC146B"/>
    <w:rsid w:val="70CC7725"/>
    <w:rsid w:val="70D55085"/>
    <w:rsid w:val="70D78099"/>
    <w:rsid w:val="70D852A4"/>
    <w:rsid w:val="70DC117E"/>
    <w:rsid w:val="70DD8A13"/>
    <w:rsid w:val="70DFC619"/>
    <w:rsid w:val="70F0B8F7"/>
    <w:rsid w:val="70F26EB7"/>
    <w:rsid w:val="70F281F2"/>
    <w:rsid w:val="70F2DD79"/>
    <w:rsid w:val="70FBF9A3"/>
    <w:rsid w:val="70FD66AF"/>
    <w:rsid w:val="71011598"/>
    <w:rsid w:val="7101EFCE"/>
    <w:rsid w:val="7102ACCF"/>
    <w:rsid w:val="710414C8"/>
    <w:rsid w:val="71044544"/>
    <w:rsid w:val="71076219"/>
    <w:rsid w:val="71082E93"/>
    <w:rsid w:val="710948A4"/>
    <w:rsid w:val="71137DB6"/>
    <w:rsid w:val="71153F8B"/>
    <w:rsid w:val="7116D7C6"/>
    <w:rsid w:val="711E152C"/>
    <w:rsid w:val="7123592B"/>
    <w:rsid w:val="712A4C9F"/>
    <w:rsid w:val="712E1AFE"/>
    <w:rsid w:val="713011F4"/>
    <w:rsid w:val="7135D24E"/>
    <w:rsid w:val="71362B3C"/>
    <w:rsid w:val="713AECFE"/>
    <w:rsid w:val="713CC06C"/>
    <w:rsid w:val="7142B850"/>
    <w:rsid w:val="7143B79B"/>
    <w:rsid w:val="7143EB4B"/>
    <w:rsid w:val="71478035"/>
    <w:rsid w:val="7148057C"/>
    <w:rsid w:val="714A7102"/>
    <w:rsid w:val="714DCCC9"/>
    <w:rsid w:val="714E6AC4"/>
    <w:rsid w:val="71559C6D"/>
    <w:rsid w:val="715680D9"/>
    <w:rsid w:val="715839D1"/>
    <w:rsid w:val="7158FDA3"/>
    <w:rsid w:val="715A082D"/>
    <w:rsid w:val="715B22C6"/>
    <w:rsid w:val="715B6A82"/>
    <w:rsid w:val="715E5700"/>
    <w:rsid w:val="716B3F5E"/>
    <w:rsid w:val="716E050B"/>
    <w:rsid w:val="716E4568"/>
    <w:rsid w:val="7170673F"/>
    <w:rsid w:val="7173F75B"/>
    <w:rsid w:val="71743362"/>
    <w:rsid w:val="7175075F"/>
    <w:rsid w:val="71763D8E"/>
    <w:rsid w:val="7176C032"/>
    <w:rsid w:val="717A45F1"/>
    <w:rsid w:val="717C1796"/>
    <w:rsid w:val="718279F8"/>
    <w:rsid w:val="718AC73C"/>
    <w:rsid w:val="718E13A8"/>
    <w:rsid w:val="71982D9B"/>
    <w:rsid w:val="719873F8"/>
    <w:rsid w:val="7199A4BC"/>
    <w:rsid w:val="719C1740"/>
    <w:rsid w:val="71A34A7E"/>
    <w:rsid w:val="71A6B84D"/>
    <w:rsid w:val="71A886FE"/>
    <w:rsid w:val="71AC65F3"/>
    <w:rsid w:val="71ACFEA4"/>
    <w:rsid w:val="71AF432C"/>
    <w:rsid w:val="71B37E7D"/>
    <w:rsid w:val="71BA6B28"/>
    <w:rsid w:val="71BB83AD"/>
    <w:rsid w:val="71BBB92A"/>
    <w:rsid w:val="71BC40FB"/>
    <w:rsid w:val="71BC73D9"/>
    <w:rsid w:val="71BC74E9"/>
    <w:rsid w:val="71C3537A"/>
    <w:rsid w:val="71C4FA9F"/>
    <w:rsid w:val="71C570B2"/>
    <w:rsid w:val="71CED130"/>
    <w:rsid w:val="71CFD2B5"/>
    <w:rsid w:val="71D15C7B"/>
    <w:rsid w:val="71D5A175"/>
    <w:rsid w:val="71D952A0"/>
    <w:rsid w:val="71D9D46A"/>
    <w:rsid w:val="71DCB530"/>
    <w:rsid w:val="71DCE5C7"/>
    <w:rsid w:val="71DCE992"/>
    <w:rsid w:val="71DDD3AE"/>
    <w:rsid w:val="71DF7F55"/>
    <w:rsid w:val="71E20653"/>
    <w:rsid w:val="71EF18C3"/>
    <w:rsid w:val="71F21310"/>
    <w:rsid w:val="71FABE62"/>
    <w:rsid w:val="71FC55C9"/>
    <w:rsid w:val="71FCF28C"/>
    <w:rsid w:val="7201AE2B"/>
    <w:rsid w:val="7201ECF4"/>
    <w:rsid w:val="7205B8AD"/>
    <w:rsid w:val="7207ABE3"/>
    <w:rsid w:val="72096FF9"/>
    <w:rsid w:val="720B2167"/>
    <w:rsid w:val="721169E2"/>
    <w:rsid w:val="72130856"/>
    <w:rsid w:val="72130AC7"/>
    <w:rsid w:val="7215E1DB"/>
    <w:rsid w:val="7216BD93"/>
    <w:rsid w:val="72182143"/>
    <w:rsid w:val="7220534A"/>
    <w:rsid w:val="72255BE4"/>
    <w:rsid w:val="72261401"/>
    <w:rsid w:val="7226E73F"/>
    <w:rsid w:val="72276E68"/>
    <w:rsid w:val="722AFFB6"/>
    <w:rsid w:val="722E44B7"/>
    <w:rsid w:val="72313216"/>
    <w:rsid w:val="7233FCF2"/>
    <w:rsid w:val="7237BE57"/>
    <w:rsid w:val="723A238C"/>
    <w:rsid w:val="723D8C02"/>
    <w:rsid w:val="723E3C15"/>
    <w:rsid w:val="724210B0"/>
    <w:rsid w:val="72497B05"/>
    <w:rsid w:val="724E7345"/>
    <w:rsid w:val="7253B126"/>
    <w:rsid w:val="7253F738"/>
    <w:rsid w:val="7257538B"/>
    <w:rsid w:val="725FA805"/>
    <w:rsid w:val="72601D36"/>
    <w:rsid w:val="72608BC9"/>
    <w:rsid w:val="72655810"/>
    <w:rsid w:val="726BABD9"/>
    <w:rsid w:val="726DC221"/>
    <w:rsid w:val="7273CDBE"/>
    <w:rsid w:val="72745405"/>
    <w:rsid w:val="72745F91"/>
    <w:rsid w:val="72771F74"/>
    <w:rsid w:val="727810E7"/>
    <w:rsid w:val="72791AFA"/>
    <w:rsid w:val="727CD1DF"/>
    <w:rsid w:val="72806899"/>
    <w:rsid w:val="7289DCDF"/>
    <w:rsid w:val="728E4C7E"/>
    <w:rsid w:val="7290BD6C"/>
    <w:rsid w:val="72911DA4"/>
    <w:rsid w:val="729BDCC8"/>
    <w:rsid w:val="729C4A53"/>
    <w:rsid w:val="729C8B8E"/>
    <w:rsid w:val="729E5EED"/>
    <w:rsid w:val="72A0F101"/>
    <w:rsid w:val="72AB9E5E"/>
    <w:rsid w:val="72AF0B49"/>
    <w:rsid w:val="72AF2956"/>
    <w:rsid w:val="72B0FA1F"/>
    <w:rsid w:val="72B27979"/>
    <w:rsid w:val="72B539F3"/>
    <w:rsid w:val="72C02FED"/>
    <w:rsid w:val="72C03E32"/>
    <w:rsid w:val="72C230B5"/>
    <w:rsid w:val="72C8F58F"/>
    <w:rsid w:val="72CB63C1"/>
    <w:rsid w:val="72CB886E"/>
    <w:rsid w:val="72D72162"/>
    <w:rsid w:val="72DBD919"/>
    <w:rsid w:val="72DC6D89"/>
    <w:rsid w:val="72DEA165"/>
    <w:rsid w:val="72E128F4"/>
    <w:rsid w:val="72E39943"/>
    <w:rsid w:val="72E522C2"/>
    <w:rsid w:val="72E9E502"/>
    <w:rsid w:val="72EA35A1"/>
    <w:rsid w:val="72F3D322"/>
    <w:rsid w:val="72F69FFF"/>
    <w:rsid w:val="72F7F069"/>
    <w:rsid w:val="72FF105D"/>
    <w:rsid w:val="7300A674"/>
    <w:rsid w:val="73045552"/>
    <w:rsid w:val="73053240"/>
    <w:rsid w:val="7306BFF6"/>
    <w:rsid w:val="730BCA26"/>
    <w:rsid w:val="730C6CF0"/>
    <w:rsid w:val="730F8452"/>
    <w:rsid w:val="731C3F95"/>
    <w:rsid w:val="731E7B84"/>
    <w:rsid w:val="73203445"/>
    <w:rsid w:val="732214C2"/>
    <w:rsid w:val="73265BF2"/>
    <w:rsid w:val="732682AC"/>
    <w:rsid w:val="732BFEE1"/>
    <w:rsid w:val="732FCD85"/>
    <w:rsid w:val="7333107C"/>
    <w:rsid w:val="7333C667"/>
    <w:rsid w:val="7333CB9D"/>
    <w:rsid w:val="7334AC91"/>
    <w:rsid w:val="7334D681"/>
    <w:rsid w:val="73366FFC"/>
    <w:rsid w:val="733852AE"/>
    <w:rsid w:val="73386795"/>
    <w:rsid w:val="733878BF"/>
    <w:rsid w:val="73394F93"/>
    <w:rsid w:val="733B287B"/>
    <w:rsid w:val="733BFF13"/>
    <w:rsid w:val="733E5436"/>
    <w:rsid w:val="733FB97C"/>
    <w:rsid w:val="7343B203"/>
    <w:rsid w:val="7350CAA8"/>
    <w:rsid w:val="73523764"/>
    <w:rsid w:val="7366F245"/>
    <w:rsid w:val="736924D6"/>
    <w:rsid w:val="737834E1"/>
    <w:rsid w:val="737DDD5E"/>
    <w:rsid w:val="738152A0"/>
    <w:rsid w:val="73818BD7"/>
    <w:rsid w:val="73823D51"/>
    <w:rsid w:val="73836231"/>
    <w:rsid w:val="738D94FE"/>
    <w:rsid w:val="738EA5AE"/>
    <w:rsid w:val="738F986D"/>
    <w:rsid w:val="738FB269"/>
    <w:rsid w:val="7393B61D"/>
    <w:rsid w:val="7394D7DA"/>
    <w:rsid w:val="73955F22"/>
    <w:rsid w:val="739BDD32"/>
    <w:rsid w:val="73A070F4"/>
    <w:rsid w:val="73A16B01"/>
    <w:rsid w:val="73A688E0"/>
    <w:rsid w:val="73AA1060"/>
    <w:rsid w:val="73AFAB64"/>
    <w:rsid w:val="73B129B1"/>
    <w:rsid w:val="73B2A1D4"/>
    <w:rsid w:val="73B4F729"/>
    <w:rsid w:val="73B527CA"/>
    <w:rsid w:val="73B5CFF1"/>
    <w:rsid w:val="73B5F7D1"/>
    <w:rsid w:val="73B823C3"/>
    <w:rsid w:val="73B991F7"/>
    <w:rsid w:val="73C0E80D"/>
    <w:rsid w:val="73C2514A"/>
    <w:rsid w:val="73CAB6DC"/>
    <w:rsid w:val="73CB65FB"/>
    <w:rsid w:val="73CC2086"/>
    <w:rsid w:val="73CC8379"/>
    <w:rsid w:val="73D15D96"/>
    <w:rsid w:val="73D3295D"/>
    <w:rsid w:val="73D80D3C"/>
    <w:rsid w:val="73DA4900"/>
    <w:rsid w:val="73E03C94"/>
    <w:rsid w:val="73E0EAF5"/>
    <w:rsid w:val="73E452C1"/>
    <w:rsid w:val="73E55342"/>
    <w:rsid w:val="73E91BE5"/>
    <w:rsid w:val="73EB0D21"/>
    <w:rsid w:val="73EE6CAC"/>
    <w:rsid w:val="73EEB754"/>
    <w:rsid w:val="73F1B20D"/>
    <w:rsid w:val="73F43EE8"/>
    <w:rsid w:val="73F7EC23"/>
    <w:rsid w:val="73F85A17"/>
    <w:rsid w:val="73F99550"/>
    <w:rsid w:val="73FB53CD"/>
    <w:rsid w:val="73FD2167"/>
    <w:rsid w:val="73FE6534"/>
    <w:rsid w:val="7406310B"/>
    <w:rsid w:val="7409B015"/>
    <w:rsid w:val="740D1932"/>
    <w:rsid w:val="741E7F7A"/>
    <w:rsid w:val="74224D8E"/>
    <w:rsid w:val="742260E8"/>
    <w:rsid w:val="74244486"/>
    <w:rsid w:val="74245E2B"/>
    <w:rsid w:val="74246BB9"/>
    <w:rsid w:val="742F4369"/>
    <w:rsid w:val="7432A2E3"/>
    <w:rsid w:val="74390E59"/>
    <w:rsid w:val="743C5913"/>
    <w:rsid w:val="7445B8EE"/>
    <w:rsid w:val="744A66F9"/>
    <w:rsid w:val="744E0FE6"/>
    <w:rsid w:val="745CA0AB"/>
    <w:rsid w:val="745FA859"/>
    <w:rsid w:val="7467391B"/>
    <w:rsid w:val="746A9D8F"/>
    <w:rsid w:val="747168FB"/>
    <w:rsid w:val="74719327"/>
    <w:rsid w:val="7474A4C0"/>
    <w:rsid w:val="7479A2E3"/>
    <w:rsid w:val="747A2463"/>
    <w:rsid w:val="747DF3BA"/>
    <w:rsid w:val="747F2337"/>
    <w:rsid w:val="7483AED6"/>
    <w:rsid w:val="748587A9"/>
    <w:rsid w:val="74A08B44"/>
    <w:rsid w:val="74A91783"/>
    <w:rsid w:val="74AAD052"/>
    <w:rsid w:val="74AD4784"/>
    <w:rsid w:val="74AF7AA9"/>
    <w:rsid w:val="74B29A40"/>
    <w:rsid w:val="74B2AFC2"/>
    <w:rsid w:val="74BA7053"/>
    <w:rsid w:val="74BAD187"/>
    <w:rsid w:val="74BC3514"/>
    <w:rsid w:val="74BDE3A6"/>
    <w:rsid w:val="74C0C4E0"/>
    <w:rsid w:val="74C90F5E"/>
    <w:rsid w:val="74CB9957"/>
    <w:rsid w:val="74CE4203"/>
    <w:rsid w:val="74D1504A"/>
    <w:rsid w:val="74D1927A"/>
    <w:rsid w:val="74D73521"/>
    <w:rsid w:val="74DAF066"/>
    <w:rsid w:val="74DEA41E"/>
    <w:rsid w:val="74E1B03E"/>
    <w:rsid w:val="74E20588"/>
    <w:rsid w:val="74E6383C"/>
    <w:rsid w:val="74E8E6AF"/>
    <w:rsid w:val="74E9AD22"/>
    <w:rsid w:val="74ED70AD"/>
    <w:rsid w:val="74F1CD1C"/>
    <w:rsid w:val="74FA845C"/>
    <w:rsid w:val="7502973B"/>
    <w:rsid w:val="75067E5E"/>
    <w:rsid w:val="7506B17C"/>
    <w:rsid w:val="75081E6E"/>
    <w:rsid w:val="750D6D84"/>
    <w:rsid w:val="751587D9"/>
    <w:rsid w:val="75209CB8"/>
    <w:rsid w:val="752666F7"/>
    <w:rsid w:val="75269C49"/>
    <w:rsid w:val="7528103B"/>
    <w:rsid w:val="752BB6D4"/>
    <w:rsid w:val="752F34E3"/>
    <w:rsid w:val="7537BC84"/>
    <w:rsid w:val="7538937B"/>
    <w:rsid w:val="7539A30B"/>
    <w:rsid w:val="7540F3D3"/>
    <w:rsid w:val="7542780F"/>
    <w:rsid w:val="7544EAED"/>
    <w:rsid w:val="7547C7DF"/>
    <w:rsid w:val="754C5019"/>
    <w:rsid w:val="754CB2F4"/>
    <w:rsid w:val="755164C9"/>
    <w:rsid w:val="755532C0"/>
    <w:rsid w:val="755646EB"/>
    <w:rsid w:val="7557CDE9"/>
    <w:rsid w:val="75610684"/>
    <w:rsid w:val="75610EAE"/>
    <w:rsid w:val="7561EABA"/>
    <w:rsid w:val="7562C315"/>
    <w:rsid w:val="75643653"/>
    <w:rsid w:val="75653859"/>
    <w:rsid w:val="75658BC8"/>
    <w:rsid w:val="7567F75A"/>
    <w:rsid w:val="756A7E9A"/>
    <w:rsid w:val="756C6AB5"/>
    <w:rsid w:val="756F4A6A"/>
    <w:rsid w:val="75726E3E"/>
    <w:rsid w:val="75750E3D"/>
    <w:rsid w:val="75781800"/>
    <w:rsid w:val="757BA635"/>
    <w:rsid w:val="757F4716"/>
    <w:rsid w:val="757FD635"/>
    <w:rsid w:val="757FF7E7"/>
    <w:rsid w:val="7580A650"/>
    <w:rsid w:val="7580FB64"/>
    <w:rsid w:val="7581BB33"/>
    <w:rsid w:val="7582061E"/>
    <w:rsid w:val="75887D3F"/>
    <w:rsid w:val="758ADE63"/>
    <w:rsid w:val="758B63EE"/>
    <w:rsid w:val="758FA362"/>
    <w:rsid w:val="7592C939"/>
    <w:rsid w:val="75936A1D"/>
    <w:rsid w:val="75995665"/>
    <w:rsid w:val="759F27DD"/>
    <w:rsid w:val="75A53DD4"/>
    <w:rsid w:val="75A67644"/>
    <w:rsid w:val="75A94988"/>
    <w:rsid w:val="75AF1589"/>
    <w:rsid w:val="75AF3598"/>
    <w:rsid w:val="75AF930E"/>
    <w:rsid w:val="75B623FB"/>
    <w:rsid w:val="75B84A74"/>
    <w:rsid w:val="75B8732F"/>
    <w:rsid w:val="75BECEE6"/>
    <w:rsid w:val="75BF7319"/>
    <w:rsid w:val="75BFF1B6"/>
    <w:rsid w:val="75C1A455"/>
    <w:rsid w:val="75C65291"/>
    <w:rsid w:val="75C951C5"/>
    <w:rsid w:val="75CAFE7D"/>
    <w:rsid w:val="75CCD00B"/>
    <w:rsid w:val="75D325E0"/>
    <w:rsid w:val="75D4E836"/>
    <w:rsid w:val="75D5215F"/>
    <w:rsid w:val="75D8940B"/>
    <w:rsid w:val="75D90B98"/>
    <w:rsid w:val="75D9F7F4"/>
    <w:rsid w:val="75DC071C"/>
    <w:rsid w:val="75E15266"/>
    <w:rsid w:val="75E3C490"/>
    <w:rsid w:val="75E5F2ED"/>
    <w:rsid w:val="75EB84AE"/>
    <w:rsid w:val="75FC4959"/>
    <w:rsid w:val="75FC7AC3"/>
    <w:rsid w:val="76020F2E"/>
    <w:rsid w:val="76030C99"/>
    <w:rsid w:val="76052BFE"/>
    <w:rsid w:val="760550BF"/>
    <w:rsid w:val="7605CC38"/>
    <w:rsid w:val="760ACBEB"/>
    <w:rsid w:val="760BAD7F"/>
    <w:rsid w:val="761192C4"/>
    <w:rsid w:val="7617ADAC"/>
    <w:rsid w:val="761BE180"/>
    <w:rsid w:val="761E6946"/>
    <w:rsid w:val="761F2F1F"/>
    <w:rsid w:val="76242EA9"/>
    <w:rsid w:val="76250115"/>
    <w:rsid w:val="76251D4B"/>
    <w:rsid w:val="762AFA88"/>
    <w:rsid w:val="762B5D4A"/>
    <w:rsid w:val="762D83BD"/>
    <w:rsid w:val="763086B8"/>
    <w:rsid w:val="763521C5"/>
    <w:rsid w:val="76371CB7"/>
    <w:rsid w:val="7645D5C2"/>
    <w:rsid w:val="764E5E1D"/>
    <w:rsid w:val="764E975D"/>
    <w:rsid w:val="7656768E"/>
    <w:rsid w:val="7657D17C"/>
    <w:rsid w:val="765B6C26"/>
    <w:rsid w:val="76667F67"/>
    <w:rsid w:val="76671BC1"/>
    <w:rsid w:val="7668E9E5"/>
    <w:rsid w:val="766AA799"/>
    <w:rsid w:val="76716CE8"/>
    <w:rsid w:val="76722143"/>
    <w:rsid w:val="76730B44"/>
    <w:rsid w:val="7673103B"/>
    <w:rsid w:val="767921E9"/>
    <w:rsid w:val="7682A48B"/>
    <w:rsid w:val="7683AE2B"/>
    <w:rsid w:val="768A464B"/>
    <w:rsid w:val="768DC752"/>
    <w:rsid w:val="768F1D90"/>
    <w:rsid w:val="76952285"/>
    <w:rsid w:val="7697C9A2"/>
    <w:rsid w:val="76A019CD"/>
    <w:rsid w:val="76A0DB4C"/>
    <w:rsid w:val="76A18FC9"/>
    <w:rsid w:val="76A59F0F"/>
    <w:rsid w:val="76A7BDF2"/>
    <w:rsid w:val="76A8B538"/>
    <w:rsid w:val="76AA160A"/>
    <w:rsid w:val="76ADB8DC"/>
    <w:rsid w:val="76B294A7"/>
    <w:rsid w:val="76B8F2A4"/>
    <w:rsid w:val="76C08AC8"/>
    <w:rsid w:val="76C313F9"/>
    <w:rsid w:val="76CBAF42"/>
    <w:rsid w:val="76CBD769"/>
    <w:rsid w:val="76CD8F25"/>
    <w:rsid w:val="76CF66D8"/>
    <w:rsid w:val="76CF84E4"/>
    <w:rsid w:val="76D11674"/>
    <w:rsid w:val="76D4FC8A"/>
    <w:rsid w:val="76D82196"/>
    <w:rsid w:val="76DB069F"/>
    <w:rsid w:val="76E8DE70"/>
    <w:rsid w:val="76F69D1A"/>
    <w:rsid w:val="76F812F2"/>
    <w:rsid w:val="76FAE138"/>
    <w:rsid w:val="76FBAEB6"/>
    <w:rsid w:val="76FC89F1"/>
    <w:rsid w:val="77010D61"/>
    <w:rsid w:val="7704A134"/>
    <w:rsid w:val="77094D2C"/>
    <w:rsid w:val="7709A9D5"/>
    <w:rsid w:val="7714139C"/>
    <w:rsid w:val="7717C835"/>
    <w:rsid w:val="7718E422"/>
    <w:rsid w:val="771F2E7A"/>
    <w:rsid w:val="7720E527"/>
    <w:rsid w:val="7722CFC1"/>
    <w:rsid w:val="772980FD"/>
    <w:rsid w:val="772A643B"/>
    <w:rsid w:val="772B6741"/>
    <w:rsid w:val="772D553E"/>
    <w:rsid w:val="772E160D"/>
    <w:rsid w:val="773204C8"/>
    <w:rsid w:val="773372DF"/>
    <w:rsid w:val="773981DD"/>
    <w:rsid w:val="773ABBD9"/>
    <w:rsid w:val="773C2A36"/>
    <w:rsid w:val="774112F9"/>
    <w:rsid w:val="7748436D"/>
    <w:rsid w:val="7748786B"/>
    <w:rsid w:val="774AAB14"/>
    <w:rsid w:val="774CD3B1"/>
    <w:rsid w:val="77520DC3"/>
    <w:rsid w:val="7752BDE1"/>
    <w:rsid w:val="77562265"/>
    <w:rsid w:val="7756B2BD"/>
    <w:rsid w:val="775E2717"/>
    <w:rsid w:val="77607CDF"/>
    <w:rsid w:val="77618780"/>
    <w:rsid w:val="77641F9F"/>
    <w:rsid w:val="77663C30"/>
    <w:rsid w:val="776BE814"/>
    <w:rsid w:val="776C6077"/>
    <w:rsid w:val="776F46D0"/>
    <w:rsid w:val="776FAC1C"/>
    <w:rsid w:val="7772314D"/>
    <w:rsid w:val="77747BC1"/>
    <w:rsid w:val="7777C903"/>
    <w:rsid w:val="77789F5B"/>
    <w:rsid w:val="777CFAD9"/>
    <w:rsid w:val="777E5577"/>
    <w:rsid w:val="777FF033"/>
    <w:rsid w:val="778D19B9"/>
    <w:rsid w:val="778D4B09"/>
    <w:rsid w:val="77945C58"/>
    <w:rsid w:val="779552AC"/>
    <w:rsid w:val="779AE6B2"/>
    <w:rsid w:val="77A1C53E"/>
    <w:rsid w:val="77A2537C"/>
    <w:rsid w:val="77A3E067"/>
    <w:rsid w:val="77AA7269"/>
    <w:rsid w:val="77B27CDB"/>
    <w:rsid w:val="77B3C1F1"/>
    <w:rsid w:val="77B86F42"/>
    <w:rsid w:val="77BB0498"/>
    <w:rsid w:val="77BCC990"/>
    <w:rsid w:val="77BF6932"/>
    <w:rsid w:val="77C4D227"/>
    <w:rsid w:val="77C71931"/>
    <w:rsid w:val="77CE8DAC"/>
    <w:rsid w:val="77CE9EAB"/>
    <w:rsid w:val="77CFB6D6"/>
    <w:rsid w:val="77D15DB6"/>
    <w:rsid w:val="77D1818D"/>
    <w:rsid w:val="77D342A3"/>
    <w:rsid w:val="77D89277"/>
    <w:rsid w:val="77DB710A"/>
    <w:rsid w:val="77DE58D8"/>
    <w:rsid w:val="77E1A992"/>
    <w:rsid w:val="77EEC0D2"/>
    <w:rsid w:val="77F09C6E"/>
    <w:rsid w:val="77F3FA6B"/>
    <w:rsid w:val="77F4CBF6"/>
    <w:rsid w:val="77F86150"/>
    <w:rsid w:val="77FB0F79"/>
    <w:rsid w:val="77FD1519"/>
    <w:rsid w:val="77FE2849"/>
    <w:rsid w:val="77FFC2B1"/>
    <w:rsid w:val="7800C388"/>
    <w:rsid w:val="7801406A"/>
    <w:rsid w:val="7805928D"/>
    <w:rsid w:val="7806BDC4"/>
    <w:rsid w:val="780B2112"/>
    <w:rsid w:val="780FFAC3"/>
    <w:rsid w:val="7814AA6B"/>
    <w:rsid w:val="781742FF"/>
    <w:rsid w:val="781FDFE1"/>
    <w:rsid w:val="7820393E"/>
    <w:rsid w:val="7822FADE"/>
    <w:rsid w:val="7826BA0D"/>
    <w:rsid w:val="78279514"/>
    <w:rsid w:val="78282044"/>
    <w:rsid w:val="7830916F"/>
    <w:rsid w:val="7831443A"/>
    <w:rsid w:val="7833CBA6"/>
    <w:rsid w:val="78343041"/>
    <w:rsid w:val="783B4D06"/>
    <w:rsid w:val="783C58AC"/>
    <w:rsid w:val="783E8795"/>
    <w:rsid w:val="78430235"/>
    <w:rsid w:val="7844B51E"/>
    <w:rsid w:val="784654BF"/>
    <w:rsid w:val="7848BC83"/>
    <w:rsid w:val="784E7F9E"/>
    <w:rsid w:val="785A19AA"/>
    <w:rsid w:val="785BAFB5"/>
    <w:rsid w:val="785CF7EE"/>
    <w:rsid w:val="785D5753"/>
    <w:rsid w:val="78657C11"/>
    <w:rsid w:val="78686A42"/>
    <w:rsid w:val="786F3B9B"/>
    <w:rsid w:val="7871F160"/>
    <w:rsid w:val="78765F10"/>
    <w:rsid w:val="787BA5A2"/>
    <w:rsid w:val="787FACAE"/>
    <w:rsid w:val="78843C2A"/>
    <w:rsid w:val="7887306B"/>
    <w:rsid w:val="788BB6B6"/>
    <w:rsid w:val="788D0DFA"/>
    <w:rsid w:val="788F914C"/>
    <w:rsid w:val="78906C5E"/>
    <w:rsid w:val="7895AC5F"/>
    <w:rsid w:val="789D2A78"/>
    <w:rsid w:val="78A0F3A9"/>
    <w:rsid w:val="78A4C5E1"/>
    <w:rsid w:val="78A4DF27"/>
    <w:rsid w:val="78ABBA81"/>
    <w:rsid w:val="78AF8EA9"/>
    <w:rsid w:val="78B35469"/>
    <w:rsid w:val="78B61686"/>
    <w:rsid w:val="78B777B6"/>
    <w:rsid w:val="78B7C7BF"/>
    <w:rsid w:val="78B99155"/>
    <w:rsid w:val="78BAC2DD"/>
    <w:rsid w:val="78BD9F34"/>
    <w:rsid w:val="78CF99AD"/>
    <w:rsid w:val="78D152E0"/>
    <w:rsid w:val="78D247BE"/>
    <w:rsid w:val="78D53AA7"/>
    <w:rsid w:val="78D5476B"/>
    <w:rsid w:val="78D9F898"/>
    <w:rsid w:val="78E4685E"/>
    <w:rsid w:val="78E5ABE3"/>
    <w:rsid w:val="78E6A749"/>
    <w:rsid w:val="78E9515D"/>
    <w:rsid w:val="78E9C5D3"/>
    <w:rsid w:val="78F5541E"/>
    <w:rsid w:val="78F65FCC"/>
    <w:rsid w:val="78F67F6A"/>
    <w:rsid w:val="78F6F969"/>
    <w:rsid w:val="78F76ED0"/>
    <w:rsid w:val="78FDD447"/>
    <w:rsid w:val="78FE62F0"/>
    <w:rsid w:val="78FE7358"/>
    <w:rsid w:val="790313A7"/>
    <w:rsid w:val="79089E45"/>
    <w:rsid w:val="790A5805"/>
    <w:rsid w:val="790AA91C"/>
    <w:rsid w:val="791C24D3"/>
    <w:rsid w:val="7930236B"/>
    <w:rsid w:val="79314846"/>
    <w:rsid w:val="7932FC18"/>
    <w:rsid w:val="7934B9D6"/>
    <w:rsid w:val="79388848"/>
    <w:rsid w:val="793B9180"/>
    <w:rsid w:val="793CE433"/>
    <w:rsid w:val="793E3F9E"/>
    <w:rsid w:val="7940951F"/>
    <w:rsid w:val="7940AFF2"/>
    <w:rsid w:val="79423479"/>
    <w:rsid w:val="7942F00C"/>
    <w:rsid w:val="794429C4"/>
    <w:rsid w:val="79447259"/>
    <w:rsid w:val="794A843C"/>
    <w:rsid w:val="794CF26F"/>
    <w:rsid w:val="794FBBAF"/>
    <w:rsid w:val="7959405E"/>
    <w:rsid w:val="7959950A"/>
    <w:rsid w:val="795EFA37"/>
    <w:rsid w:val="79634621"/>
    <w:rsid w:val="79637DE5"/>
    <w:rsid w:val="79674DE4"/>
    <w:rsid w:val="796C1866"/>
    <w:rsid w:val="796E61ED"/>
    <w:rsid w:val="79739FB8"/>
    <w:rsid w:val="7974E607"/>
    <w:rsid w:val="79785A5C"/>
    <w:rsid w:val="797F52A5"/>
    <w:rsid w:val="798262FC"/>
    <w:rsid w:val="7982E970"/>
    <w:rsid w:val="7983EB7B"/>
    <w:rsid w:val="7987E82F"/>
    <w:rsid w:val="798A8CC1"/>
    <w:rsid w:val="798B37CB"/>
    <w:rsid w:val="79988986"/>
    <w:rsid w:val="79991761"/>
    <w:rsid w:val="7999F8B8"/>
    <w:rsid w:val="79A1414A"/>
    <w:rsid w:val="79A40A96"/>
    <w:rsid w:val="79A45455"/>
    <w:rsid w:val="79A8A875"/>
    <w:rsid w:val="79A8A9CF"/>
    <w:rsid w:val="79AC9CC6"/>
    <w:rsid w:val="79ACE9E7"/>
    <w:rsid w:val="79AFEC81"/>
    <w:rsid w:val="79B3C541"/>
    <w:rsid w:val="79B6636B"/>
    <w:rsid w:val="79B87B98"/>
    <w:rsid w:val="79BCCEBC"/>
    <w:rsid w:val="79C1E193"/>
    <w:rsid w:val="79C2795C"/>
    <w:rsid w:val="79C44211"/>
    <w:rsid w:val="79C4C257"/>
    <w:rsid w:val="79C8F2EB"/>
    <w:rsid w:val="79CC2402"/>
    <w:rsid w:val="79CCF9C2"/>
    <w:rsid w:val="79CE7CC0"/>
    <w:rsid w:val="79D02A9A"/>
    <w:rsid w:val="79D03F90"/>
    <w:rsid w:val="79D603D9"/>
    <w:rsid w:val="79D8BF2C"/>
    <w:rsid w:val="79E3A4F6"/>
    <w:rsid w:val="79E56DB4"/>
    <w:rsid w:val="79E5B74A"/>
    <w:rsid w:val="79E75103"/>
    <w:rsid w:val="79F514EE"/>
    <w:rsid w:val="79F67D90"/>
    <w:rsid w:val="79F98DCE"/>
    <w:rsid w:val="79FA254A"/>
    <w:rsid w:val="79FB31AB"/>
    <w:rsid w:val="79FC6E77"/>
    <w:rsid w:val="7A0122AE"/>
    <w:rsid w:val="7A012EDA"/>
    <w:rsid w:val="7A026E0E"/>
    <w:rsid w:val="7A031DC1"/>
    <w:rsid w:val="7A0C7EFF"/>
    <w:rsid w:val="7A105A24"/>
    <w:rsid w:val="7A10A14A"/>
    <w:rsid w:val="7A131F22"/>
    <w:rsid w:val="7A1A9BD5"/>
    <w:rsid w:val="7A1F3677"/>
    <w:rsid w:val="7A23A3C1"/>
    <w:rsid w:val="7A23CAA3"/>
    <w:rsid w:val="7A26834D"/>
    <w:rsid w:val="7A2CD46C"/>
    <w:rsid w:val="7A316E2F"/>
    <w:rsid w:val="7A333573"/>
    <w:rsid w:val="7A35AA11"/>
    <w:rsid w:val="7A37213B"/>
    <w:rsid w:val="7A3AAEF8"/>
    <w:rsid w:val="7A3B091E"/>
    <w:rsid w:val="7A3BABA7"/>
    <w:rsid w:val="7A3E985A"/>
    <w:rsid w:val="7A3FC0DE"/>
    <w:rsid w:val="7A418831"/>
    <w:rsid w:val="7A45C6E5"/>
    <w:rsid w:val="7A4A18B5"/>
    <w:rsid w:val="7A4D8513"/>
    <w:rsid w:val="7A4E2CD7"/>
    <w:rsid w:val="7A518A7D"/>
    <w:rsid w:val="7A519D55"/>
    <w:rsid w:val="7A552307"/>
    <w:rsid w:val="7A56C3BB"/>
    <w:rsid w:val="7A59B7B1"/>
    <w:rsid w:val="7A5A0110"/>
    <w:rsid w:val="7A5DBF75"/>
    <w:rsid w:val="7A5F27E4"/>
    <w:rsid w:val="7A623827"/>
    <w:rsid w:val="7A6805B4"/>
    <w:rsid w:val="7A703E5C"/>
    <w:rsid w:val="7A70A00F"/>
    <w:rsid w:val="7A71E90A"/>
    <w:rsid w:val="7A75624D"/>
    <w:rsid w:val="7A773A40"/>
    <w:rsid w:val="7A77406C"/>
    <w:rsid w:val="7A7EB84F"/>
    <w:rsid w:val="7A7EE94A"/>
    <w:rsid w:val="7A81144C"/>
    <w:rsid w:val="7A8412D9"/>
    <w:rsid w:val="7A899470"/>
    <w:rsid w:val="7A89E7EB"/>
    <w:rsid w:val="7A8B9057"/>
    <w:rsid w:val="7A925EE1"/>
    <w:rsid w:val="7A92EB4D"/>
    <w:rsid w:val="7AA2AD4A"/>
    <w:rsid w:val="7AA3F7A2"/>
    <w:rsid w:val="7AA54432"/>
    <w:rsid w:val="7AA65537"/>
    <w:rsid w:val="7AAB3B20"/>
    <w:rsid w:val="7AB2914A"/>
    <w:rsid w:val="7AB61102"/>
    <w:rsid w:val="7AB70E2D"/>
    <w:rsid w:val="7ABC5565"/>
    <w:rsid w:val="7ABFB66C"/>
    <w:rsid w:val="7ABFEAA0"/>
    <w:rsid w:val="7AC0AEBB"/>
    <w:rsid w:val="7AC442C3"/>
    <w:rsid w:val="7AC7D3D4"/>
    <w:rsid w:val="7AC97B06"/>
    <w:rsid w:val="7ACD75D3"/>
    <w:rsid w:val="7AD39873"/>
    <w:rsid w:val="7AD4DD4C"/>
    <w:rsid w:val="7AD61538"/>
    <w:rsid w:val="7ADAEF5D"/>
    <w:rsid w:val="7ADBD241"/>
    <w:rsid w:val="7ADDE4E8"/>
    <w:rsid w:val="7ADE3B9F"/>
    <w:rsid w:val="7AE18A29"/>
    <w:rsid w:val="7AE62F35"/>
    <w:rsid w:val="7AE6F6C5"/>
    <w:rsid w:val="7AE92D91"/>
    <w:rsid w:val="7AEA366F"/>
    <w:rsid w:val="7AEB43E0"/>
    <w:rsid w:val="7AF0F137"/>
    <w:rsid w:val="7AF1FF89"/>
    <w:rsid w:val="7AF2C91E"/>
    <w:rsid w:val="7AF41C60"/>
    <w:rsid w:val="7AF688D9"/>
    <w:rsid w:val="7AF81128"/>
    <w:rsid w:val="7AFAA89E"/>
    <w:rsid w:val="7AFD8189"/>
    <w:rsid w:val="7AFF383A"/>
    <w:rsid w:val="7B00FA41"/>
    <w:rsid w:val="7B013310"/>
    <w:rsid w:val="7B015F8C"/>
    <w:rsid w:val="7B01D51B"/>
    <w:rsid w:val="7B05F615"/>
    <w:rsid w:val="7B0634A2"/>
    <w:rsid w:val="7B0CCC54"/>
    <w:rsid w:val="7B144FCE"/>
    <w:rsid w:val="7B196423"/>
    <w:rsid w:val="7B1B2A5B"/>
    <w:rsid w:val="7B2CC0E9"/>
    <w:rsid w:val="7B3322C4"/>
    <w:rsid w:val="7B334FB2"/>
    <w:rsid w:val="7B3418B0"/>
    <w:rsid w:val="7B34D5A7"/>
    <w:rsid w:val="7B39AB43"/>
    <w:rsid w:val="7B3DDD8A"/>
    <w:rsid w:val="7B41BF7F"/>
    <w:rsid w:val="7B458D1A"/>
    <w:rsid w:val="7B4D828A"/>
    <w:rsid w:val="7B503948"/>
    <w:rsid w:val="7B514675"/>
    <w:rsid w:val="7B5AAA5A"/>
    <w:rsid w:val="7B5DACBB"/>
    <w:rsid w:val="7B5F4EEC"/>
    <w:rsid w:val="7B60CF23"/>
    <w:rsid w:val="7B62967D"/>
    <w:rsid w:val="7B63CF82"/>
    <w:rsid w:val="7B65BCCB"/>
    <w:rsid w:val="7B676DF4"/>
    <w:rsid w:val="7B67ADE3"/>
    <w:rsid w:val="7B68B0F6"/>
    <w:rsid w:val="7B6BA53D"/>
    <w:rsid w:val="7B6E544F"/>
    <w:rsid w:val="7B6EE8BB"/>
    <w:rsid w:val="7B6EFC69"/>
    <w:rsid w:val="7B709CF8"/>
    <w:rsid w:val="7B71014F"/>
    <w:rsid w:val="7B71689B"/>
    <w:rsid w:val="7B79F9C3"/>
    <w:rsid w:val="7B7B3941"/>
    <w:rsid w:val="7B7E36C4"/>
    <w:rsid w:val="7B8A7AE2"/>
    <w:rsid w:val="7B904C88"/>
    <w:rsid w:val="7B92A513"/>
    <w:rsid w:val="7B957081"/>
    <w:rsid w:val="7B9A2019"/>
    <w:rsid w:val="7B9A38C8"/>
    <w:rsid w:val="7B9C840B"/>
    <w:rsid w:val="7B9D4B34"/>
    <w:rsid w:val="7BA159CD"/>
    <w:rsid w:val="7BA18B17"/>
    <w:rsid w:val="7BA2113C"/>
    <w:rsid w:val="7BA8AB03"/>
    <w:rsid w:val="7BA94EF0"/>
    <w:rsid w:val="7BAAE1EC"/>
    <w:rsid w:val="7BAE2B11"/>
    <w:rsid w:val="7BB2777B"/>
    <w:rsid w:val="7BB43DBB"/>
    <w:rsid w:val="7BB5271F"/>
    <w:rsid w:val="7BB5EA8D"/>
    <w:rsid w:val="7BBBADD6"/>
    <w:rsid w:val="7BBC8AD0"/>
    <w:rsid w:val="7BBF2237"/>
    <w:rsid w:val="7BBF3714"/>
    <w:rsid w:val="7BBFE4E1"/>
    <w:rsid w:val="7BC62CF5"/>
    <w:rsid w:val="7BC87906"/>
    <w:rsid w:val="7BD598B1"/>
    <w:rsid w:val="7BDAE50E"/>
    <w:rsid w:val="7BDC8B86"/>
    <w:rsid w:val="7BDF964F"/>
    <w:rsid w:val="7BE04E5D"/>
    <w:rsid w:val="7BE3CEF9"/>
    <w:rsid w:val="7BE6DB16"/>
    <w:rsid w:val="7BE8354D"/>
    <w:rsid w:val="7BEB23E6"/>
    <w:rsid w:val="7BEB8FF0"/>
    <w:rsid w:val="7BEBFA04"/>
    <w:rsid w:val="7BF3A712"/>
    <w:rsid w:val="7BFA38F6"/>
    <w:rsid w:val="7BFC09F7"/>
    <w:rsid w:val="7BFCB39A"/>
    <w:rsid w:val="7BFD1946"/>
    <w:rsid w:val="7C04FD8B"/>
    <w:rsid w:val="7C093F19"/>
    <w:rsid w:val="7C0B4046"/>
    <w:rsid w:val="7C0CA400"/>
    <w:rsid w:val="7C0CC1A0"/>
    <w:rsid w:val="7C12BA8C"/>
    <w:rsid w:val="7C1640C9"/>
    <w:rsid w:val="7C164817"/>
    <w:rsid w:val="7C164A41"/>
    <w:rsid w:val="7C169EF4"/>
    <w:rsid w:val="7C1EC812"/>
    <w:rsid w:val="7C214692"/>
    <w:rsid w:val="7C26AD73"/>
    <w:rsid w:val="7C2F789F"/>
    <w:rsid w:val="7C36B14C"/>
    <w:rsid w:val="7C3B00AB"/>
    <w:rsid w:val="7C3CFD42"/>
    <w:rsid w:val="7C3DE87D"/>
    <w:rsid w:val="7C403E94"/>
    <w:rsid w:val="7C40CE5A"/>
    <w:rsid w:val="7C438666"/>
    <w:rsid w:val="7C559542"/>
    <w:rsid w:val="7C56282C"/>
    <w:rsid w:val="7C56ECA0"/>
    <w:rsid w:val="7C57C083"/>
    <w:rsid w:val="7C5BFD08"/>
    <w:rsid w:val="7C5E6B36"/>
    <w:rsid w:val="7C5EF26D"/>
    <w:rsid w:val="7C61B55B"/>
    <w:rsid w:val="7C626585"/>
    <w:rsid w:val="7C65AB9D"/>
    <w:rsid w:val="7C6D6D73"/>
    <w:rsid w:val="7C71B1D3"/>
    <w:rsid w:val="7C76A371"/>
    <w:rsid w:val="7C774D11"/>
    <w:rsid w:val="7C77F652"/>
    <w:rsid w:val="7C7CCA70"/>
    <w:rsid w:val="7C81E22F"/>
    <w:rsid w:val="7C8344AC"/>
    <w:rsid w:val="7C856EA1"/>
    <w:rsid w:val="7C87BCEC"/>
    <w:rsid w:val="7C8E21D2"/>
    <w:rsid w:val="7C8FC3FA"/>
    <w:rsid w:val="7C95A59D"/>
    <w:rsid w:val="7C986373"/>
    <w:rsid w:val="7C99F653"/>
    <w:rsid w:val="7C9E3054"/>
    <w:rsid w:val="7C9FA801"/>
    <w:rsid w:val="7CA38234"/>
    <w:rsid w:val="7CA7E1E1"/>
    <w:rsid w:val="7CA83E00"/>
    <w:rsid w:val="7CA9F487"/>
    <w:rsid w:val="7CAB8EEC"/>
    <w:rsid w:val="7CAC51AA"/>
    <w:rsid w:val="7CB195AD"/>
    <w:rsid w:val="7CB6013C"/>
    <w:rsid w:val="7CB7D7EA"/>
    <w:rsid w:val="7CBDEE8C"/>
    <w:rsid w:val="7CBE7B9A"/>
    <w:rsid w:val="7CC86437"/>
    <w:rsid w:val="7CCEADF4"/>
    <w:rsid w:val="7CD3F4AA"/>
    <w:rsid w:val="7CD4C8C5"/>
    <w:rsid w:val="7CD723B5"/>
    <w:rsid w:val="7CD9C716"/>
    <w:rsid w:val="7CDB7AD8"/>
    <w:rsid w:val="7CF47BF8"/>
    <w:rsid w:val="7CF488B3"/>
    <w:rsid w:val="7CF4BFA9"/>
    <w:rsid w:val="7CF593FD"/>
    <w:rsid w:val="7CF74B04"/>
    <w:rsid w:val="7CFAAD6B"/>
    <w:rsid w:val="7CFC1EA2"/>
    <w:rsid w:val="7CFDC1A8"/>
    <w:rsid w:val="7CFE0955"/>
    <w:rsid w:val="7D01413B"/>
    <w:rsid w:val="7D062784"/>
    <w:rsid w:val="7D070A74"/>
    <w:rsid w:val="7D0AD2AA"/>
    <w:rsid w:val="7D0AF9E1"/>
    <w:rsid w:val="7D0B5EAD"/>
    <w:rsid w:val="7D0C65F5"/>
    <w:rsid w:val="7D0F8FC0"/>
    <w:rsid w:val="7D1B0684"/>
    <w:rsid w:val="7D1C4EEC"/>
    <w:rsid w:val="7D1DBF87"/>
    <w:rsid w:val="7D226716"/>
    <w:rsid w:val="7D2289C3"/>
    <w:rsid w:val="7D240AB9"/>
    <w:rsid w:val="7D24FA19"/>
    <w:rsid w:val="7D26F50D"/>
    <w:rsid w:val="7D2757CB"/>
    <w:rsid w:val="7D2927A3"/>
    <w:rsid w:val="7D29E90B"/>
    <w:rsid w:val="7D2F6DBF"/>
    <w:rsid w:val="7D30E160"/>
    <w:rsid w:val="7D321EA6"/>
    <w:rsid w:val="7D330BA2"/>
    <w:rsid w:val="7D38E3F9"/>
    <w:rsid w:val="7D4B8E26"/>
    <w:rsid w:val="7D4FB169"/>
    <w:rsid w:val="7D53C24F"/>
    <w:rsid w:val="7D565BF0"/>
    <w:rsid w:val="7D5D3964"/>
    <w:rsid w:val="7D5E2460"/>
    <w:rsid w:val="7D5F42A2"/>
    <w:rsid w:val="7D61AC70"/>
    <w:rsid w:val="7D64C5EB"/>
    <w:rsid w:val="7D6AFDFE"/>
    <w:rsid w:val="7D7019A1"/>
    <w:rsid w:val="7D7063BD"/>
    <w:rsid w:val="7D7227C8"/>
    <w:rsid w:val="7D7455DF"/>
    <w:rsid w:val="7D780237"/>
    <w:rsid w:val="7D7903B7"/>
    <w:rsid w:val="7D8000D3"/>
    <w:rsid w:val="7D820911"/>
    <w:rsid w:val="7D83F312"/>
    <w:rsid w:val="7D856292"/>
    <w:rsid w:val="7D88C4F8"/>
    <w:rsid w:val="7D89FB37"/>
    <w:rsid w:val="7D8AD37F"/>
    <w:rsid w:val="7D93D8BB"/>
    <w:rsid w:val="7D985376"/>
    <w:rsid w:val="7D98D4D4"/>
    <w:rsid w:val="7D9C674C"/>
    <w:rsid w:val="7D9CE28D"/>
    <w:rsid w:val="7D9F7A4F"/>
    <w:rsid w:val="7DA3EF1E"/>
    <w:rsid w:val="7DAA846B"/>
    <w:rsid w:val="7DAC80A6"/>
    <w:rsid w:val="7DAE7042"/>
    <w:rsid w:val="7DB02EF2"/>
    <w:rsid w:val="7DB4600A"/>
    <w:rsid w:val="7DB65C21"/>
    <w:rsid w:val="7DB89B08"/>
    <w:rsid w:val="7DBA8977"/>
    <w:rsid w:val="7DBB3EA5"/>
    <w:rsid w:val="7DBD5889"/>
    <w:rsid w:val="7DBF8A33"/>
    <w:rsid w:val="7DCAA474"/>
    <w:rsid w:val="7DCCA3BB"/>
    <w:rsid w:val="7DD07ECD"/>
    <w:rsid w:val="7DD6D639"/>
    <w:rsid w:val="7DD6DC3F"/>
    <w:rsid w:val="7DD81531"/>
    <w:rsid w:val="7DDDB409"/>
    <w:rsid w:val="7DE18F66"/>
    <w:rsid w:val="7DE58693"/>
    <w:rsid w:val="7DE7F174"/>
    <w:rsid w:val="7DEB49F1"/>
    <w:rsid w:val="7DED73A1"/>
    <w:rsid w:val="7DEFFFDC"/>
    <w:rsid w:val="7DF3CF6D"/>
    <w:rsid w:val="7DF4972C"/>
    <w:rsid w:val="7DFA73A5"/>
    <w:rsid w:val="7DFAF8BD"/>
    <w:rsid w:val="7E08C68B"/>
    <w:rsid w:val="7E1DEA16"/>
    <w:rsid w:val="7E1EBAF4"/>
    <w:rsid w:val="7E1EDF2D"/>
    <w:rsid w:val="7E2226B8"/>
    <w:rsid w:val="7E22C071"/>
    <w:rsid w:val="7E24DF0E"/>
    <w:rsid w:val="7E294406"/>
    <w:rsid w:val="7E29E719"/>
    <w:rsid w:val="7E2B9454"/>
    <w:rsid w:val="7E2B9E1D"/>
    <w:rsid w:val="7E3114E1"/>
    <w:rsid w:val="7E339A7C"/>
    <w:rsid w:val="7E33F211"/>
    <w:rsid w:val="7E379D68"/>
    <w:rsid w:val="7E3AD960"/>
    <w:rsid w:val="7E439CE5"/>
    <w:rsid w:val="7E495F07"/>
    <w:rsid w:val="7E499576"/>
    <w:rsid w:val="7E4AB246"/>
    <w:rsid w:val="7E50D755"/>
    <w:rsid w:val="7E524602"/>
    <w:rsid w:val="7E55055B"/>
    <w:rsid w:val="7E5682E2"/>
    <w:rsid w:val="7E569815"/>
    <w:rsid w:val="7E588DD4"/>
    <w:rsid w:val="7E5AF528"/>
    <w:rsid w:val="7E64FBF2"/>
    <w:rsid w:val="7E6CE793"/>
    <w:rsid w:val="7E797293"/>
    <w:rsid w:val="7E7B3703"/>
    <w:rsid w:val="7E7EB7FF"/>
    <w:rsid w:val="7E7EDA25"/>
    <w:rsid w:val="7E80A45F"/>
    <w:rsid w:val="7E872F53"/>
    <w:rsid w:val="7E8B55F2"/>
    <w:rsid w:val="7E8D1656"/>
    <w:rsid w:val="7E8D7325"/>
    <w:rsid w:val="7E9110BF"/>
    <w:rsid w:val="7E92C251"/>
    <w:rsid w:val="7E93F176"/>
    <w:rsid w:val="7E949B1C"/>
    <w:rsid w:val="7E971030"/>
    <w:rsid w:val="7E9AF479"/>
    <w:rsid w:val="7E9B9DF1"/>
    <w:rsid w:val="7E9C5BA5"/>
    <w:rsid w:val="7E9DE887"/>
    <w:rsid w:val="7E9E2A79"/>
    <w:rsid w:val="7E9FD133"/>
    <w:rsid w:val="7EA42D42"/>
    <w:rsid w:val="7EA535E7"/>
    <w:rsid w:val="7EA5776F"/>
    <w:rsid w:val="7EB13BC4"/>
    <w:rsid w:val="7EB302ED"/>
    <w:rsid w:val="7EB43A3F"/>
    <w:rsid w:val="7EB87E35"/>
    <w:rsid w:val="7EBCD278"/>
    <w:rsid w:val="7EC04E68"/>
    <w:rsid w:val="7EC141B1"/>
    <w:rsid w:val="7EC3A31F"/>
    <w:rsid w:val="7EC5DAF2"/>
    <w:rsid w:val="7EC91224"/>
    <w:rsid w:val="7ECC3A4F"/>
    <w:rsid w:val="7ECC3C7C"/>
    <w:rsid w:val="7ECF9D99"/>
    <w:rsid w:val="7ED0C319"/>
    <w:rsid w:val="7ED64F0C"/>
    <w:rsid w:val="7ED81936"/>
    <w:rsid w:val="7EE11A12"/>
    <w:rsid w:val="7EEFA0E5"/>
    <w:rsid w:val="7EF6883C"/>
    <w:rsid w:val="7EF70041"/>
    <w:rsid w:val="7EFA82B7"/>
    <w:rsid w:val="7EFC95AE"/>
    <w:rsid w:val="7F05FE04"/>
    <w:rsid w:val="7F0BB55F"/>
    <w:rsid w:val="7F0DB94C"/>
    <w:rsid w:val="7F0F92A9"/>
    <w:rsid w:val="7F1110C2"/>
    <w:rsid w:val="7F132A68"/>
    <w:rsid w:val="7F1719C4"/>
    <w:rsid w:val="7F175B6F"/>
    <w:rsid w:val="7F186F6C"/>
    <w:rsid w:val="7F1DC724"/>
    <w:rsid w:val="7F1E90BA"/>
    <w:rsid w:val="7F1F6DEA"/>
    <w:rsid w:val="7F25D73E"/>
    <w:rsid w:val="7F26F731"/>
    <w:rsid w:val="7F27E16D"/>
    <w:rsid w:val="7F2A33F9"/>
    <w:rsid w:val="7F306F7E"/>
    <w:rsid w:val="7F331CD5"/>
    <w:rsid w:val="7F38A9A3"/>
    <w:rsid w:val="7F3C77D3"/>
    <w:rsid w:val="7F46E915"/>
    <w:rsid w:val="7F49BCF6"/>
    <w:rsid w:val="7F4BD2E0"/>
    <w:rsid w:val="7F4F07AF"/>
    <w:rsid w:val="7F5107D2"/>
    <w:rsid w:val="7F5B48B7"/>
    <w:rsid w:val="7F5CD888"/>
    <w:rsid w:val="7F5E1307"/>
    <w:rsid w:val="7F628EE1"/>
    <w:rsid w:val="7F63B02D"/>
    <w:rsid w:val="7F68A23B"/>
    <w:rsid w:val="7F6A9EFB"/>
    <w:rsid w:val="7F6F3BB0"/>
    <w:rsid w:val="7F794963"/>
    <w:rsid w:val="7F79C868"/>
    <w:rsid w:val="7F7F1370"/>
    <w:rsid w:val="7F80D824"/>
    <w:rsid w:val="7F823A4D"/>
    <w:rsid w:val="7F83B9C3"/>
    <w:rsid w:val="7F86D819"/>
    <w:rsid w:val="7F8AE428"/>
    <w:rsid w:val="7F8AEBB5"/>
    <w:rsid w:val="7F91C8B3"/>
    <w:rsid w:val="7F9281DF"/>
    <w:rsid w:val="7F942FCE"/>
    <w:rsid w:val="7F95A993"/>
    <w:rsid w:val="7F99E24C"/>
    <w:rsid w:val="7F9EC6E1"/>
    <w:rsid w:val="7F9F1400"/>
    <w:rsid w:val="7FA0F5BD"/>
    <w:rsid w:val="7FA1F4DC"/>
    <w:rsid w:val="7FAD829E"/>
    <w:rsid w:val="7FB64F03"/>
    <w:rsid w:val="7FBC4C8D"/>
    <w:rsid w:val="7FBDEE3A"/>
    <w:rsid w:val="7FC4CCD0"/>
    <w:rsid w:val="7FC4F26B"/>
    <w:rsid w:val="7FC5B4BC"/>
    <w:rsid w:val="7FC95F08"/>
    <w:rsid w:val="7FCB5A67"/>
    <w:rsid w:val="7FCD1A10"/>
    <w:rsid w:val="7FCD500C"/>
    <w:rsid w:val="7FCFD313"/>
    <w:rsid w:val="7FD0BFEE"/>
    <w:rsid w:val="7FD2E0BE"/>
    <w:rsid w:val="7FD5A8CC"/>
    <w:rsid w:val="7FD62DF4"/>
    <w:rsid w:val="7FE1C45C"/>
    <w:rsid w:val="7FEA5DCB"/>
    <w:rsid w:val="7FEA826D"/>
    <w:rsid w:val="7FEFA5CD"/>
    <w:rsid w:val="7FF31B7B"/>
    <w:rsid w:val="7FFBAD6E"/>
    <w:rsid w:val="7FFC7D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6"/>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6"/>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Figure_name,Numbered Indented Text,lp1"/>
    <w:basedOn w:val="Normal"/>
    <w:link w:val="ListParagraphChar"/>
    <w:uiPriority w:val="34"/>
    <w:qFormat/>
    <w:rsid w:val="004908B7"/>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HTAtableplain,Table Grid nm,Dossier table,Summary Table,HealthConsult,Source table_,NICE instructions,Header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qFormat/>
    <w:rsid w:val="00844791"/>
    <w:pPr>
      <w:keepNext/>
      <w:tabs>
        <w:tab w:val="left" w:pos="1418"/>
      </w:tabs>
      <w:spacing w:before="240" w:after="0"/>
      <w:ind w:left="1418" w:hanging="1418"/>
      <w:contextualSpacing/>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qFormat/>
    <w:rsid w:val="00844791"/>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semiHidden/>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semiHidden/>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semiHidden/>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lp1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Symbol" w:hAnsi="Segoe UI Symbol"/>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Symbol" w:hAnsi="Segoe UI Symbol"/>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Symbol" w:hAnsi="Segoe UI Symbol"/>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
    <w:name w:val="List Table 1 Light1"/>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urfulAccent61">
    <w:name w:val="List Table 7 Colourful – Accent 61"/>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1"/>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pPr>
      <w:numPr>
        <w:ilvl w:val="3"/>
        <w:numId w:val="8"/>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12"/>
      </w:numPr>
      <w:spacing w:after="120"/>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rsid w:val="001E1827"/>
    <w:pPr>
      <w:numPr>
        <w:numId w:val="0"/>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1E1827"/>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7"/>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9"/>
      </w:numPr>
    </w:pPr>
  </w:style>
  <w:style w:type="paragraph" w:customStyle="1" w:styleId="MainBodyBulletPoint">
    <w:name w:val="MainBody Bullet Point"/>
    <w:basedOn w:val="InstructionBulletpoint"/>
    <w:link w:val="MainBodyBulletPointChar"/>
    <w:uiPriority w:val="1"/>
    <w:qFormat/>
    <w:rsid w:val="002532B4"/>
    <w:pPr>
      <w:numPr>
        <w:numId w:val="10"/>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3"/>
      </w:numPr>
    </w:pPr>
  </w:style>
  <w:style w:type="numbering" w:customStyle="1" w:styleId="Style2">
    <w:name w:val="Style2"/>
    <w:uiPriority w:val="99"/>
    <w:rsid w:val="002A391F"/>
    <w:pPr>
      <w:numPr>
        <w:numId w:val="14"/>
      </w:numPr>
    </w:pPr>
  </w:style>
  <w:style w:type="table" w:customStyle="1" w:styleId="ListTable1Light10">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semiHidden/>
    <w:rsid w:val="003D1FB3"/>
    <w:rPr>
      <w:i/>
      <w:iCs/>
    </w:rPr>
  </w:style>
  <w:style w:type="numbering" w:customStyle="1" w:styleId="Style3">
    <w:name w:val="Style3"/>
    <w:uiPriority w:val="99"/>
    <w:rsid w:val="0076446C"/>
    <w:pPr>
      <w:numPr>
        <w:numId w:val="15"/>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H19,Commentaire,Comment Text Char1 Char Char,Comment Text Char Char1"/>
    <w:basedOn w:val="Normal"/>
    <w:link w:val="CommentTextChar"/>
    <w:uiPriority w:val="99"/>
    <w:unhideWhenUsed/>
    <w:qFormat/>
    <w:rsid w:val="001952BB"/>
    <w:rPr>
      <w:sz w:val="20"/>
      <w:szCs w:val="20"/>
    </w:rPr>
  </w:style>
  <w:style w:type="character" w:customStyle="1" w:styleId="CommentTextChar">
    <w:name w:val="Comment Text Char"/>
    <w:aliases w:val="Comment Text Char Char Char Char,Comment Text Char Char Char1,- H19 Char,Commentaire Char,Comment Text Char1 Char Char Char,Comment Text Char Char1 Char"/>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rsid w:val="00FD07C6"/>
    <w:pPr>
      <w:numPr>
        <w:numId w:val="16"/>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8"/>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uiPriority w:val="99"/>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uiPriority w:val="99"/>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numId w:val="19"/>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customStyle="1" w:styleId="UnresolvedMention1">
    <w:name w:val="Unresolved Mention1"/>
    <w:basedOn w:val="DefaultParagraphFont"/>
    <w:uiPriority w:val="99"/>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paragraph" w:customStyle="1" w:styleId="FooterTableFigure">
    <w:name w:val="Footer Table/Figure"/>
    <w:basedOn w:val="Normal"/>
    <w:link w:val="FooterTableFigureChar"/>
    <w:qFormat/>
    <w:rsid w:val="008E3239"/>
    <w:pPr>
      <w:spacing w:before="0" w:after="120"/>
      <w:contextualSpacing/>
    </w:pPr>
    <w:rPr>
      <w:rFonts w:ascii="Arial Narrow" w:eastAsia="Times New Roman" w:hAnsi="Arial Narrow" w:cs="Arial"/>
      <w:snapToGrid w:val="0"/>
      <w:sz w:val="18"/>
      <w:lang w:eastAsia="en-AU"/>
    </w:rPr>
  </w:style>
  <w:style w:type="character" w:customStyle="1" w:styleId="FooterTableFigureChar">
    <w:name w:val="Footer Table/Figure Char"/>
    <w:link w:val="FooterTableFigure"/>
    <w:rsid w:val="008E3239"/>
    <w:rPr>
      <w:rFonts w:ascii="Arial Narrow" w:eastAsia="Times New Roman" w:hAnsi="Arial Narrow" w:cs="Arial"/>
      <w:snapToGrid w:val="0"/>
      <w:sz w:val="18"/>
      <w:lang w:eastAsia="en-AU"/>
    </w:rPr>
  </w:style>
  <w:style w:type="paragraph" w:customStyle="1" w:styleId="Tablenotes">
    <w:name w:val="Tablenotes"/>
    <w:basedOn w:val="Normal"/>
    <w:link w:val="TablenotesChar"/>
    <w:qFormat/>
    <w:rsid w:val="00660A39"/>
    <w:pPr>
      <w:widowControl w:val="0"/>
      <w:spacing w:before="40" w:after="240"/>
      <w:contextualSpacing/>
    </w:pPr>
    <w:rPr>
      <w:rFonts w:ascii="Arial Narrow" w:eastAsia="Times New Roman" w:hAnsi="Arial Narrow" w:cs="Arial"/>
      <w:snapToGrid w:val="0"/>
      <w:color w:val="000000" w:themeColor="text1"/>
      <w:sz w:val="20"/>
    </w:rPr>
  </w:style>
  <w:style w:type="character" w:customStyle="1" w:styleId="TablenotesChar">
    <w:name w:val="Tablenotes Char"/>
    <w:basedOn w:val="DefaultParagraphFont"/>
    <w:link w:val="Tablenotes"/>
    <w:rsid w:val="00660A39"/>
    <w:rPr>
      <w:rFonts w:ascii="Arial Narrow" w:eastAsia="Times New Roman" w:hAnsi="Arial Narrow" w:cs="Arial"/>
      <w:snapToGrid w:val="0"/>
      <w:color w:val="000000" w:themeColor="text1"/>
      <w:sz w:val="20"/>
    </w:rPr>
  </w:style>
  <w:style w:type="table" w:styleId="TableSimple1">
    <w:name w:val="Table Simple 1"/>
    <w:basedOn w:val="TableNormal"/>
    <w:rsid w:val="008241B3"/>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ListNumber3">
    <w:name w:val="List Number 3"/>
    <w:aliases w:val="Char, Char"/>
    <w:basedOn w:val="Normal"/>
    <w:semiHidden/>
    <w:rsid w:val="00413FFE"/>
    <w:pPr>
      <w:numPr>
        <w:numId w:val="24"/>
      </w:numPr>
      <w:tabs>
        <w:tab w:val="clear" w:pos="926"/>
        <w:tab w:val="num" w:pos="1080"/>
      </w:tabs>
      <w:spacing w:before="0" w:after="240"/>
      <w:ind w:left="1080"/>
      <w:jc w:val="left"/>
    </w:pPr>
    <w:rPr>
      <w:sz w:val="20"/>
      <w:szCs w:val="20"/>
      <w:lang w:val="en-GB"/>
    </w:rPr>
  </w:style>
  <w:style w:type="character" w:customStyle="1" w:styleId="Mention1">
    <w:name w:val="Mention1"/>
    <w:basedOn w:val="DefaultParagraphFont"/>
    <w:uiPriority w:val="99"/>
    <w:unhideWhenUsed/>
    <w:rsid w:val="008D1937"/>
    <w:rPr>
      <w:color w:val="2B579A"/>
      <w:shd w:val="clear" w:color="auto" w:fill="E1DFDD"/>
    </w:rPr>
  </w:style>
  <w:style w:type="paragraph" w:customStyle="1" w:styleId="whitespace-pre-wrap">
    <w:name w:val="whitespace-pre-wrap"/>
    <w:basedOn w:val="Normal"/>
    <w:rsid w:val="00D975DA"/>
    <w:pPr>
      <w:spacing w:before="100" w:beforeAutospacing="1" w:after="100" w:afterAutospacing="1"/>
      <w:jc w:val="left"/>
    </w:pPr>
    <w:rPr>
      <w:rFonts w:ascii="Times New Roman" w:eastAsia="Times New Roman" w:hAnsi="Times New Roman" w:cs="Times New Roman"/>
      <w:szCs w:val="24"/>
      <w:lang w:eastAsia="en-AU"/>
    </w:rPr>
  </w:style>
  <w:style w:type="paragraph" w:customStyle="1" w:styleId="paragraph">
    <w:name w:val="paragraph"/>
    <w:basedOn w:val="Normal"/>
    <w:rsid w:val="00B45184"/>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B45184"/>
  </w:style>
  <w:style w:type="character" w:customStyle="1" w:styleId="eop">
    <w:name w:val="eop"/>
    <w:basedOn w:val="DefaultParagraphFont"/>
    <w:rsid w:val="00B45184"/>
  </w:style>
  <w:style w:type="paragraph" w:styleId="EndnoteText">
    <w:name w:val="endnote text"/>
    <w:basedOn w:val="Normal"/>
    <w:link w:val="EndnoteTextChar"/>
    <w:uiPriority w:val="99"/>
    <w:semiHidden/>
    <w:rsid w:val="00446F96"/>
    <w:pPr>
      <w:spacing w:before="0" w:after="0"/>
    </w:pPr>
    <w:rPr>
      <w:sz w:val="20"/>
      <w:szCs w:val="20"/>
    </w:rPr>
  </w:style>
  <w:style w:type="character" w:customStyle="1" w:styleId="EndnoteTextChar">
    <w:name w:val="Endnote Text Char"/>
    <w:basedOn w:val="DefaultParagraphFont"/>
    <w:link w:val="EndnoteText"/>
    <w:uiPriority w:val="99"/>
    <w:semiHidden/>
    <w:rsid w:val="00446F96"/>
    <w:rPr>
      <w:sz w:val="20"/>
      <w:szCs w:val="20"/>
    </w:rPr>
  </w:style>
  <w:style w:type="character" w:styleId="EndnoteReference">
    <w:name w:val="endnote reference"/>
    <w:basedOn w:val="DefaultParagraphFont"/>
    <w:uiPriority w:val="99"/>
    <w:semiHidden/>
    <w:rsid w:val="00446F96"/>
    <w:rPr>
      <w:vertAlign w:val="superscript"/>
    </w:rPr>
  </w:style>
  <w:style w:type="paragraph" w:customStyle="1" w:styleId="pf0">
    <w:name w:val="pf0"/>
    <w:basedOn w:val="Normal"/>
    <w:rsid w:val="00FA14BA"/>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01">
    <w:name w:val="cf01"/>
    <w:basedOn w:val="DefaultParagraphFont"/>
    <w:rsid w:val="00FA14BA"/>
    <w:rPr>
      <w:rFonts w:ascii="Segoe UI" w:hAnsi="Segoe UI" w:cs="Segoe UI" w:hint="default"/>
      <w:sz w:val="18"/>
      <w:szCs w:val="18"/>
    </w:rPr>
  </w:style>
  <w:style w:type="character" w:customStyle="1" w:styleId="cf11">
    <w:name w:val="cf11"/>
    <w:basedOn w:val="DefaultParagraphFont"/>
    <w:rsid w:val="00FA14BA"/>
    <w:rPr>
      <w:rFonts w:ascii="Segoe UI" w:hAnsi="Segoe UI" w:cs="Segoe UI" w:hint="default"/>
      <w:i/>
      <w:iCs/>
      <w:sz w:val="18"/>
      <w:szCs w:val="18"/>
    </w:rPr>
  </w:style>
  <w:style w:type="paragraph" w:styleId="Subtitle">
    <w:name w:val="Subtitle"/>
    <w:basedOn w:val="Normal"/>
    <w:next w:val="Normal"/>
    <w:link w:val="SubtitleChar"/>
    <w:qFormat/>
    <w:rsid w:val="00BC7B40"/>
    <w:pPr>
      <w:spacing w:after="24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BC7B40"/>
    <w:rPr>
      <w:rFonts w:ascii="Arial" w:eastAsia="Times New Roman" w:hAnsi="Arial" w:cs="Arial"/>
      <w:b/>
      <w:bCs/>
      <w:i/>
      <w:color w:val="000080"/>
      <w:sz w:val="28"/>
      <w:szCs w:val="28"/>
      <w:lang w:eastAsia="en-AU"/>
    </w:rPr>
  </w:style>
  <w:style w:type="table" w:customStyle="1" w:styleId="Section3-footnot1">
    <w:name w:val="Section 3- footnot1"/>
    <w:basedOn w:val="TableNormal"/>
    <w:next w:val="TableGrid"/>
    <w:uiPriority w:val="59"/>
    <w:rsid w:val="00F9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0">
    <w:name w:val="Table notes"/>
    <w:basedOn w:val="Normal"/>
    <w:link w:val="TablenotesChar0"/>
    <w:qFormat/>
    <w:rsid w:val="00F428A9"/>
    <w:pPr>
      <w:spacing w:after="240" w:line="259" w:lineRule="auto"/>
      <w:contextualSpacing/>
    </w:pPr>
    <w:rPr>
      <w:rFonts w:ascii="Arial Narrow" w:hAnsi="Arial Narrow" w:cs="Arial"/>
      <w:sz w:val="18"/>
    </w:rPr>
  </w:style>
  <w:style w:type="character" w:customStyle="1" w:styleId="TablenotesChar0">
    <w:name w:val="Table notes Char"/>
    <w:basedOn w:val="DefaultParagraphFont"/>
    <w:link w:val="Tablenotes0"/>
    <w:rsid w:val="00F428A9"/>
    <w:rPr>
      <w:rFonts w:ascii="Arial Narrow" w:hAnsi="Arial Narrow" w:cs="Arial"/>
      <w:sz w:val="18"/>
    </w:rPr>
  </w:style>
  <w:style w:type="table" w:styleId="ListTable1Light">
    <w:name w:val="List Table 1 Light"/>
    <w:basedOn w:val="TableNormal"/>
    <w:uiPriority w:val="46"/>
    <w:rsid w:val="00AA22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AA229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AA229C"/>
    <w:rPr>
      <w:color w:val="605E5C"/>
      <w:shd w:val="clear" w:color="auto" w:fill="E1DFDD"/>
    </w:rPr>
  </w:style>
  <w:style w:type="character" w:styleId="Mention">
    <w:name w:val="Mention"/>
    <w:basedOn w:val="DefaultParagraphFont"/>
    <w:uiPriority w:val="99"/>
    <w:unhideWhenUsed/>
    <w:rsid w:val="00AA229C"/>
    <w:rPr>
      <w:color w:val="2B579A"/>
      <w:shd w:val="clear" w:color="auto" w:fill="E1DFDD"/>
    </w:rPr>
  </w:style>
  <w:style w:type="table" w:customStyle="1" w:styleId="ListTable1Light100">
    <w:name w:val="List Table 1 Light10"/>
    <w:basedOn w:val="TableNormal"/>
    <w:uiPriority w:val="46"/>
    <w:rsid w:val="00F443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7">
      <w:bodyDiv w:val="1"/>
      <w:marLeft w:val="0"/>
      <w:marRight w:val="0"/>
      <w:marTop w:val="0"/>
      <w:marBottom w:val="0"/>
      <w:divBdr>
        <w:top w:val="none" w:sz="0" w:space="0" w:color="auto"/>
        <w:left w:val="none" w:sz="0" w:space="0" w:color="auto"/>
        <w:bottom w:val="none" w:sz="0" w:space="0" w:color="auto"/>
        <w:right w:val="none" w:sz="0" w:space="0" w:color="auto"/>
      </w:divBdr>
      <w:divsChild>
        <w:div w:id="257494508">
          <w:marLeft w:val="0"/>
          <w:marRight w:val="0"/>
          <w:marTop w:val="0"/>
          <w:marBottom w:val="240"/>
          <w:divBdr>
            <w:top w:val="none" w:sz="0" w:space="0" w:color="auto"/>
            <w:left w:val="none" w:sz="0" w:space="0" w:color="auto"/>
            <w:bottom w:val="none" w:sz="0" w:space="0" w:color="auto"/>
            <w:right w:val="none" w:sz="0" w:space="0" w:color="auto"/>
          </w:divBdr>
        </w:div>
      </w:divsChild>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49576912">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7868564">
      <w:bodyDiv w:val="1"/>
      <w:marLeft w:val="0"/>
      <w:marRight w:val="0"/>
      <w:marTop w:val="0"/>
      <w:marBottom w:val="0"/>
      <w:divBdr>
        <w:top w:val="none" w:sz="0" w:space="0" w:color="auto"/>
        <w:left w:val="none" w:sz="0" w:space="0" w:color="auto"/>
        <w:bottom w:val="none" w:sz="0" w:space="0" w:color="auto"/>
        <w:right w:val="none" w:sz="0" w:space="0" w:color="auto"/>
      </w:divBdr>
      <w:divsChild>
        <w:div w:id="971910858">
          <w:marLeft w:val="720"/>
          <w:marRight w:val="0"/>
          <w:marTop w:val="96"/>
          <w:marBottom w:val="0"/>
          <w:divBdr>
            <w:top w:val="none" w:sz="0" w:space="0" w:color="auto"/>
            <w:left w:val="none" w:sz="0" w:space="0" w:color="auto"/>
            <w:bottom w:val="none" w:sz="0" w:space="0" w:color="auto"/>
            <w:right w:val="none" w:sz="0" w:space="0" w:color="auto"/>
          </w:divBdr>
        </w:div>
      </w:divsChild>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81167567">
      <w:bodyDiv w:val="1"/>
      <w:marLeft w:val="0"/>
      <w:marRight w:val="0"/>
      <w:marTop w:val="0"/>
      <w:marBottom w:val="0"/>
      <w:divBdr>
        <w:top w:val="none" w:sz="0" w:space="0" w:color="auto"/>
        <w:left w:val="none" w:sz="0" w:space="0" w:color="auto"/>
        <w:bottom w:val="none" w:sz="0" w:space="0" w:color="auto"/>
        <w:right w:val="none" w:sz="0" w:space="0" w:color="auto"/>
      </w:divBdr>
    </w:div>
    <w:div w:id="198469197">
      <w:bodyDiv w:val="1"/>
      <w:marLeft w:val="0"/>
      <w:marRight w:val="0"/>
      <w:marTop w:val="0"/>
      <w:marBottom w:val="0"/>
      <w:divBdr>
        <w:top w:val="none" w:sz="0" w:space="0" w:color="auto"/>
        <w:left w:val="none" w:sz="0" w:space="0" w:color="auto"/>
        <w:bottom w:val="none" w:sz="0" w:space="0" w:color="auto"/>
        <w:right w:val="none" w:sz="0" w:space="0" w:color="auto"/>
      </w:divBdr>
      <w:divsChild>
        <w:div w:id="1378048610">
          <w:marLeft w:val="0"/>
          <w:marRight w:val="0"/>
          <w:marTop w:val="0"/>
          <w:marBottom w:val="0"/>
          <w:divBdr>
            <w:top w:val="none" w:sz="0" w:space="0" w:color="auto"/>
            <w:left w:val="none" w:sz="0" w:space="0" w:color="auto"/>
            <w:bottom w:val="none" w:sz="0" w:space="0" w:color="auto"/>
            <w:right w:val="none" w:sz="0" w:space="0" w:color="auto"/>
          </w:divBdr>
        </w:div>
      </w:divsChild>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59">
      <w:bodyDiv w:val="1"/>
      <w:marLeft w:val="0"/>
      <w:marRight w:val="0"/>
      <w:marTop w:val="0"/>
      <w:marBottom w:val="0"/>
      <w:divBdr>
        <w:top w:val="none" w:sz="0" w:space="0" w:color="auto"/>
        <w:left w:val="none" w:sz="0" w:space="0" w:color="auto"/>
        <w:bottom w:val="none" w:sz="0" w:space="0" w:color="auto"/>
        <w:right w:val="none" w:sz="0" w:space="0" w:color="auto"/>
      </w:divBdr>
    </w:div>
    <w:div w:id="208416923">
      <w:bodyDiv w:val="1"/>
      <w:marLeft w:val="0"/>
      <w:marRight w:val="0"/>
      <w:marTop w:val="0"/>
      <w:marBottom w:val="0"/>
      <w:divBdr>
        <w:top w:val="none" w:sz="0" w:space="0" w:color="auto"/>
        <w:left w:val="none" w:sz="0" w:space="0" w:color="auto"/>
        <w:bottom w:val="none" w:sz="0" w:space="0" w:color="auto"/>
        <w:right w:val="none" w:sz="0" w:space="0" w:color="auto"/>
      </w:divBdr>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0040433">
      <w:bodyDiv w:val="1"/>
      <w:marLeft w:val="0"/>
      <w:marRight w:val="0"/>
      <w:marTop w:val="0"/>
      <w:marBottom w:val="0"/>
      <w:divBdr>
        <w:top w:val="none" w:sz="0" w:space="0" w:color="auto"/>
        <w:left w:val="none" w:sz="0" w:space="0" w:color="auto"/>
        <w:bottom w:val="none" w:sz="0" w:space="0" w:color="auto"/>
        <w:right w:val="none" w:sz="0" w:space="0" w:color="auto"/>
      </w:divBdr>
    </w:div>
    <w:div w:id="240725253">
      <w:bodyDiv w:val="1"/>
      <w:marLeft w:val="0"/>
      <w:marRight w:val="0"/>
      <w:marTop w:val="0"/>
      <w:marBottom w:val="0"/>
      <w:divBdr>
        <w:top w:val="none" w:sz="0" w:space="0" w:color="auto"/>
        <w:left w:val="none" w:sz="0" w:space="0" w:color="auto"/>
        <w:bottom w:val="none" w:sz="0" w:space="0" w:color="auto"/>
        <w:right w:val="none" w:sz="0" w:space="0" w:color="auto"/>
      </w:divBdr>
    </w:div>
    <w:div w:id="271207253">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81887671">
      <w:bodyDiv w:val="1"/>
      <w:marLeft w:val="0"/>
      <w:marRight w:val="0"/>
      <w:marTop w:val="0"/>
      <w:marBottom w:val="0"/>
      <w:divBdr>
        <w:top w:val="none" w:sz="0" w:space="0" w:color="auto"/>
        <w:left w:val="none" w:sz="0" w:space="0" w:color="auto"/>
        <w:bottom w:val="none" w:sz="0" w:space="0" w:color="auto"/>
        <w:right w:val="none" w:sz="0" w:space="0" w:color="auto"/>
      </w:divBdr>
    </w:div>
    <w:div w:id="307781953">
      <w:bodyDiv w:val="1"/>
      <w:marLeft w:val="0"/>
      <w:marRight w:val="0"/>
      <w:marTop w:val="0"/>
      <w:marBottom w:val="0"/>
      <w:divBdr>
        <w:top w:val="none" w:sz="0" w:space="0" w:color="auto"/>
        <w:left w:val="none" w:sz="0" w:space="0" w:color="auto"/>
        <w:bottom w:val="none" w:sz="0" w:space="0" w:color="auto"/>
        <w:right w:val="none" w:sz="0" w:space="0" w:color="auto"/>
      </w:divBdr>
    </w:div>
    <w:div w:id="311301884">
      <w:bodyDiv w:val="1"/>
      <w:marLeft w:val="0"/>
      <w:marRight w:val="0"/>
      <w:marTop w:val="0"/>
      <w:marBottom w:val="0"/>
      <w:divBdr>
        <w:top w:val="none" w:sz="0" w:space="0" w:color="auto"/>
        <w:left w:val="none" w:sz="0" w:space="0" w:color="auto"/>
        <w:bottom w:val="none" w:sz="0" w:space="0" w:color="auto"/>
        <w:right w:val="none" w:sz="0" w:space="0" w:color="auto"/>
      </w:divBdr>
    </w:div>
    <w:div w:id="311713980">
      <w:bodyDiv w:val="1"/>
      <w:marLeft w:val="0"/>
      <w:marRight w:val="0"/>
      <w:marTop w:val="0"/>
      <w:marBottom w:val="0"/>
      <w:divBdr>
        <w:top w:val="none" w:sz="0" w:space="0" w:color="auto"/>
        <w:left w:val="none" w:sz="0" w:space="0" w:color="auto"/>
        <w:bottom w:val="none" w:sz="0" w:space="0" w:color="auto"/>
        <w:right w:val="none" w:sz="0" w:space="0" w:color="auto"/>
      </w:divBdr>
    </w:div>
    <w:div w:id="317418844">
      <w:bodyDiv w:val="1"/>
      <w:marLeft w:val="0"/>
      <w:marRight w:val="0"/>
      <w:marTop w:val="0"/>
      <w:marBottom w:val="0"/>
      <w:divBdr>
        <w:top w:val="none" w:sz="0" w:space="0" w:color="auto"/>
        <w:left w:val="none" w:sz="0" w:space="0" w:color="auto"/>
        <w:bottom w:val="none" w:sz="0" w:space="0" w:color="auto"/>
        <w:right w:val="none" w:sz="0" w:space="0" w:color="auto"/>
      </w:divBdr>
    </w:div>
    <w:div w:id="351347813">
      <w:bodyDiv w:val="1"/>
      <w:marLeft w:val="0"/>
      <w:marRight w:val="0"/>
      <w:marTop w:val="0"/>
      <w:marBottom w:val="0"/>
      <w:divBdr>
        <w:top w:val="none" w:sz="0" w:space="0" w:color="auto"/>
        <w:left w:val="none" w:sz="0" w:space="0" w:color="auto"/>
        <w:bottom w:val="none" w:sz="0" w:space="0" w:color="auto"/>
        <w:right w:val="none" w:sz="0" w:space="0" w:color="auto"/>
      </w:divBdr>
    </w:div>
    <w:div w:id="353190770">
      <w:bodyDiv w:val="1"/>
      <w:marLeft w:val="0"/>
      <w:marRight w:val="0"/>
      <w:marTop w:val="0"/>
      <w:marBottom w:val="0"/>
      <w:divBdr>
        <w:top w:val="none" w:sz="0" w:space="0" w:color="auto"/>
        <w:left w:val="none" w:sz="0" w:space="0" w:color="auto"/>
        <w:bottom w:val="none" w:sz="0" w:space="0" w:color="auto"/>
        <w:right w:val="none" w:sz="0" w:space="0" w:color="auto"/>
      </w:divBdr>
    </w:div>
    <w:div w:id="362094487">
      <w:bodyDiv w:val="1"/>
      <w:marLeft w:val="0"/>
      <w:marRight w:val="0"/>
      <w:marTop w:val="0"/>
      <w:marBottom w:val="0"/>
      <w:divBdr>
        <w:top w:val="none" w:sz="0" w:space="0" w:color="auto"/>
        <w:left w:val="none" w:sz="0" w:space="0" w:color="auto"/>
        <w:bottom w:val="none" w:sz="0" w:space="0" w:color="auto"/>
        <w:right w:val="none" w:sz="0" w:space="0" w:color="auto"/>
      </w:divBdr>
      <w:divsChild>
        <w:div w:id="622926016">
          <w:marLeft w:val="0"/>
          <w:marRight w:val="0"/>
          <w:marTop w:val="0"/>
          <w:marBottom w:val="0"/>
          <w:divBdr>
            <w:top w:val="none" w:sz="0" w:space="0" w:color="auto"/>
            <w:left w:val="none" w:sz="0" w:space="0" w:color="auto"/>
            <w:bottom w:val="none" w:sz="0" w:space="0" w:color="auto"/>
            <w:right w:val="none" w:sz="0" w:space="0" w:color="auto"/>
          </w:divBdr>
          <w:divsChild>
            <w:div w:id="234052288">
              <w:marLeft w:val="0"/>
              <w:marRight w:val="0"/>
              <w:marTop w:val="0"/>
              <w:marBottom w:val="0"/>
              <w:divBdr>
                <w:top w:val="none" w:sz="0" w:space="0" w:color="auto"/>
                <w:left w:val="none" w:sz="0" w:space="0" w:color="auto"/>
                <w:bottom w:val="none" w:sz="0" w:space="0" w:color="auto"/>
                <w:right w:val="none" w:sz="0" w:space="0" w:color="auto"/>
              </w:divBdr>
              <w:divsChild>
                <w:div w:id="1661691101">
                  <w:marLeft w:val="0"/>
                  <w:marRight w:val="0"/>
                  <w:marTop w:val="0"/>
                  <w:marBottom w:val="0"/>
                  <w:divBdr>
                    <w:top w:val="none" w:sz="0" w:space="0" w:color="auto"/>
                    <w:left w:val="none" w:sz="0" w:space="0" w:color="auto"/>
                    <w:bottom w:val="none" w:sz="0" w:space="0" w:color="auto"/>
                    <w:right w:val="none" w:sz="0" w:space="0" w:color="auto"/>
                  </w:divBdr>
                  <w:divsChild>
                    <w:div w:id="1286886742">
                      <w:marLeft w:val="0"/>
                      <w:marRight w:val="0"/>
                      <w:marTop w:val="0"/>
                      <w:marBottom w:val="0"/>
                      <w:divBdr>
                        <w:top w:val="none" w:sz="0" w:space="0" w:color="auto"/>
                        <w:left w:val="none" w:sz="0" w:space="0" w:color="auto"/>
                        <w:bottom w:val="none" w:sz="0" w:space="0" w:color="auto"/>
                        <w:right w:val="none" w:sz="0" w:space="0" w:color="auto"/>
                      </w:divBdr>
                      <w:divsChild>
                        <w:div w:id="937173707">
                          <w:marLeft w:val="0"/>
                          <w:marRight w:val="0"/>
                          <w:marTop w:val="0"/>
                          <w:marBottom w:val="0"/>
                          <w:divBdr>
                            <w:top w:val="none" w:sz="0" w:space="0" w:color="auto"/>
                            <w:left w:val="none" w:sz="0" w:space="0" w:color="auto"/>
                            <w:bottom w:val="none" w:sz="0" w:space="0" w:color="auto"/>
                            <w:right w:val="none" w:sz="0" w:space="0" w:color="auto"/>
                          </w:divBdr>
                          <w:divsChild>
                            <w:div w:id="348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85707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05036145">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27426337">
      <w:bodyDiv w:val="1"/>
      <w:marLeft w:val="0"/>
      <w:marRight w:val="0"/>
      <w:marTop w:val="0"/>
      <w:marBottom w:val="0"/>
      <w:divBdr>
        <w:top w:val="none" w:sz="0" w:space="0" w:color="auto"/>
        <w:left w:val="none" w:sz="0" w:space="0" w:color="auto"/>
        <w:bottom w:val="none" w:sz="0" w:space="0" w:color="auto"/>
        <w:right w:val="none" w:sz="0" w:space="0" w:color="auto"/>
      </w:divBdr>
      <w:divsChild>
        <w:div w:id="857696978">
          <w:marLeft w:val="0"/>
          <w:marRight w:val="0"/>
          <w:marTop w:val="0"/>
          <w:marBottom w:val="0"/>
          <w:divBdr>
            <w:top w:val="none" w:sz="0" w:space="0" w:color="auto"/>
            <w:left w:val="none" w:sz="0" w:space="0" w:color="auto"/>
            <w:bottom w:val="none" w:sz="0" w:space="0" w:color="auto"/>
            <w:right w:val="none" w:sz="0" w:space="0" w:color="auto"/>
          </w:divBdr>
          <w:divsChild>
            <w:div w:id="1461535576">
              <w:marLeft w:val="0"/>
              <w:marRight w:val="0"/>
              <w:marTop w:val="0"/>
              <w:marBottom w:val="0"/>
              <w:divBdr>
                <w:top w:val="none" w:sz="0" w:space="0" w:color="auto"/>
                <w:left w:val="none" w:sz="0" w:space="0" w:color="auto"/>
                <w:bottom w:val="none" w:sz="0" w:space="0" w:color="auto"/>
                <w:right w:val="none" w:sz="0" w:space="0" w:color="auto"/>
              </w:divBdr>
              <w:divsChild>
                <w:div w:id="367150330">
                  <w:marLeft w:val="0"/>
                  <w:marRight w:val="0"/>
                  <w:marTop w:val="0"/>
                  <w:marBottom w:val="0"/>
                  <w:divBdr>
                    <w:top w:val="none" w:sz="0" w:space="0" w:color="auto"/>
                    <w:left w:val="none" w:sz="0" w:space="0" w:color="auto"/>
                    <w:bottom w:val="none" w:sz="0" w:space="0" w:color="auto"/>
                    <w:right w:val="none" w:sz="0" w:space="0" w:color="auto"/>
                  </w:divBdr>
                  <w:divsChild>
                    <w:div w:id="181214974">
                      <w:marLeft w:val="0"/>
                      <w:marRight w:val="0"/>
                      <w:marTop w:val="0"/>
                      <w:marBottom w:val="0"/>
                      <w:divBdr>
                        <w:top w:val="none" w:sz="0" w:space="0" w:color="auto"/>
                        <w:left w:val="none" w:sz="0" w:space="0" w:color="auto"/>
                        <w:bottom w:val="none" w:sz="0" w:space="0" w:color="auto"/>
                        <w:right w:val="none" w:sz="0" w:space="0" w:color="auto"/>
                      </w:divBdr>
                      <w:divsChild>
                        <w:div w:id="488057442">
                          <w:marLeft w:val="0"/>
                          <w:marRight w:val="0"/>
                          <w:marTop w:val="0"/>
                          <w:marBottom w:val="0"/>
                          <w:divBdr>
                            <w:top w:val="none" w:sz="0" w:space="0" w:color="auto"/>
                            <w:left w:val="none" w:sz="0" w:space="0" w:color="auto"/>
                            <w:bottom w:val="none" w:sz="0" w:space="0" w:color="auto"/>
                            <w:right w:val="none" w:sz="0" w:space="0" w:color="auto"/>
                          </w:divBdr>
                          <w:divsChild>
                            <w:div w:id="3403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4471364">
      <w:bodyDiv w:val="1"/>
      <w:marLeft w:val="0"/>
      <w:marRight w:val="0"/>
      <w:marTop w:val="0"/>
      <w:marBottom w:val="0"/>
      <w:divBdr>
        <w:top w:val="none" w:sz="0" w:space="0" w:color="auto"/>
        <w:left w:val="none" w:sz="0" w:space="0" w:color="auto"/>
        <w:bottom w:val="none" w:sz="0" w:space="0" w:color="auto"/>
        <w:right w:val="none" w:sz="0" w:space="0" w:color="auto"/>
      </w:divBdr>
    </w:div>
    <w:div w:id="47048746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00661038">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497">
      <w:bodyDiv w:val="1"/>
      <w:marLeft w:val="0"/>
      <w:marRight w:val="0"/>
      <w:marTop w:val="0"/>
      <w:marBottom w:val="0"/>
      <w:divBdr>
        <w:top w:val="none" w:sz="0" w:space="0" w:color="auto"/>
        <w:left w:val="none" w:sz="0" w:space="0" w:color="auto"/>
        <w:bottom w:val="none" w:sz="0" w:space="0" w:color="auto"/>
        <w:right w:val="none" w:sz="0" w:space="0" w:color="auto"/>
      </w:divBdr>
      <w:divsChild>
        <w:div w:id="703481381">
          <w:marLeft w:val="0"/>
          <w:marRight w:val="0"/>
          <w:marTop w:val="0"/>
          <w:marBottom w:val="0"/>
          <w:divBdr>
            <w:top w:val="none" w:sz="0" w:space="0" w:color="auto"/>
            <w:left w:val="none" w:sz="0" w:space="0" w:color="auto"/>
            <w:bottom w:val="none" w:sz="0" w:space="0" w:color="auto"/>
            <w:right w:val="none" w:sz="0" w:space="0" w:color="auto"/>
          </w:divBdr>
          <w:divsChild>
            <w:div w:id="1341732942">
              <w:marLeft w:val="0"/>
              <w:marRight w:val="0"/>
              <w:marTop w:val="0"/>
              <w:marBottom w:val="0"/>
              <w:divBdr>
                <w:top w:val="none" w:sz="0" w:space="0" w:color="auto"/>
                <w:left w:val="none" w:sz="0" w:space="0" w:color="auto"/>
                <w:bottom w:val="none" w:sz="0" w:space="0" w:color="auto"/>
                <w:right w:val="none" w:sz="0" w:space="0" w:color="auto"/>
              </w:divBdr>
              <w:divsChild>
                <w:div w:id="583997260">
                  <w:marLeft w:val="0"/>
                  <w:marRight w:val="0"/>
                  <w:marTop w:val="0"/>
                  <w:marBottom w:val="0"/>
                  <w:divBdr>
                    <w:top w:val="none" w:sz="0" w:space="0" w:color="auto"/>
                    <w:left w:val="none" w:sz="0" w:space="0" w:color="auto"/>
                    <w:bottom w:val="none" w:sz="0" w:space="0" w:color="auto"/>
                    <w:right w:val="none" w:sz="0" w:space="0" w:color="auto"/>
                  </w:divBdr>
                  <w:divsChild>
                    <w:div w:id="2089617850">
                      <w:marLeft w:val="0"/>
                      <w:marRight w:val="0"/>
                      <w:marTop w:val="0"/>
                      <w:marBottom w:val="0"/>
                      <w:divBdr>
                        <w:top w:val="none" w:sz="0" w:space="0" w:color="auto"/>
                        <w:left w:val="none" w:sz="0" w:space="0" w:color="auto"/>
                        <w:bottom w:val="none" w:sz="0" w:space="0" w:color="auto"/>
                        <w:right w:val="none" w:sz="0" w:space="0" w:color="auto"/>
                      </w:divBdr>
                      <w:divsChild>
                        <w:div w:id="1544168053">
                          <w:marLeft w:val="0"/>
                          <w:marRight w:val="0"/>
                          <w:marTop w:val="0"/>
                          <w:marBottom w:val="0"/>
                          <w:divBdr>
                            <w:top w:val="none" w:sz="0" w:space="0" w:color="auto"/>
                            <w:left w:val="none" w:sz="0" w:space="0" w:color="auto"/>
                            <w:bottom w:val="none" w:sz="0" w:space="0" w:color="auto"/>
                            <w:right w:val="none" w:sz="0" w:space="0" w:color="auto"/>
                          </w:divBdr>
                          <w:divsChild>
                            <w:div w:id="21039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29617">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69062949">
      <w:bodyDiv w:val="1"/>
      <w:marLeft w:val="0"/>
      <w:marRight w:val="0"/>
      <w:marTop w:val="0"/>
      <w:marBottom w:val="0"/>
      <w:divBdr>
        <w:top w:val="none" w:sz="0" w:space="0" w:color="auto"/>
        <w:left w:val="none" w:sz="0" w:space="0" w:color="auto"/>
        <w:bottom w:val="none" w:sz="0" w:space="0" w:color="auto"/>
        <w:right w:val="none" w:sz="0" w:space="0" w:color="auto"/>
      </w:divBdr>
      <w:divsChild>
        <w:div w:id="1460757152">
          <w:marLeft w:val="0"/>
          <w:marRight w:val="0"/>
          <w:marTop w:val="0"/>
          <w:marBottom w:val="0"/>
          <w:divBdr>
            <w:top w:val="none" w:sz="0" w:space="0" w:color="auto"/>
            <w:left w:val="none" w:sz="0" w:space="0" w:color="auto"/>
            <w:bottom w:val="none" w:sz="0" w:space="0" w:color="auto"/>
            <w:right w:val="none" w:sz="0" w:space="0" w:color="auto"/>
          </w:divBdr>
          <w:divsChild>
            <w:div w:id="1686244282">
              <w:marLeft w:val="0"/>
              <w:marRight w:val="0"/>
              <w:marTop w:val="0"/>
              <w:marBottom w:val="0"/>
              <w:divBdr>
                <w:top w:val="none" w:sz="0" w:space="0" w:color="auto"/>
                <w:left w:val="none" w:sz="0" w:space="0" w:color="auto"/>
                <w:bottom w:val="none" w:sz="0" w:space="0" w:color="auto"/>
                <w:right w:val="none" w:sz="0" w:space="0" w:color="auto"/>
              </w:divBdr>
              <w:divsChild>
                <w:div w:id="647900943">
                  <w:marLeft w:val="0"/>
                  <w:marRight w:val="0"/>
                  <w:marTop w:val="0"/>
                  <w:marBottom w:val="0"/>
                  <w:divBdr>
                    <w:top w:val="none" w:sz="0" w:space="0" w:color="auto"/>
                    <w:left w:val="none" w:sz="0" w:space="0" w:color="auto"/>
                    <w:bottom w:val="none" w:sz="0" w:space="0" w:color="auto"/>
                    <w:right w:val="none" w:sz="0" w:space="0" w:color="auto"/>
                  </w:divBdr>
                  <w:divsChild>
                    <w:div w:id="113328994">
                      <w:marLeft w:val="0"/>
                      <w:marRight w:val="0"/>
                      <w:marTop w:val="0"/>
                      <w:marBottom w:val="0"/>
                      <w:divBdr>
                        <w:top w:val="none" w:sz="0" w:space="0" w:color="auto"/>
                        <w:left w:val="none" w:sz="0" w:space="0" w:color="auto"/>
                        <w:bottom w:val="none" w:sz="0" w:space="0" w:color="auto"/>
                        <w:right w:val="none" w:sz="0" w:space="0" w:color="auto"/>
                      </w:divBdr>
                      <w:divsChild>
                        <w:div w:id="215357722">
                          <w:marLeft w:val="0"/>
                          <w:marRight w:val="0"/>
                          <w:marTop w:val="0"/>
                          <w:marBottom w:val="0"/>
                          <w:divBdr>
                            <w:top w:val="none" w:sz="0" w:space="0" w:color="auto"/>
                            <w:left w:val="none" w:sz="0" w:space="0" w:color="auto"/>
                            <w:bottom w:val="none" w:sz="0" w:space="0" w:color="auto"/>
                            <w:right w:val="none" w:sz="0" w:space="0" w:color="auto"/>
                          </w:divBdr>
                          <w:divsChild>
                            <w:div w:id="330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8169793">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731">
      <w:bodyDiv w:val="1"/>
      <w:marLeft w:val="0"/>
      <w:marRight w:val="0"/>
      <w:marTop w:val="0"/>
      <w:marBottom w:val="0"/>
      <w:divBdr>
        <w:top w:val="none" w:sz="0" w:space="0" w:color="auto"/>
        <w:left w:val="none" w:sz="0" w:space="0" w:color="auto"/>
        <w:bottom w:val="none" w:sz="0" w:space="0" w:color="auto"/>
        <w:right w:val="none" w:sz="0" w:space="0" w:color="auto"/>
      </w:divBdr>
    </w:div>
    <w:div w:id="756753054">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79229463">
      <w:bodyDiv w:val="1"/>
      <w:marLeft w:val="0"/>
      <w:marRight w:val="0"/>
      <w:marTop w:val="0"/>
      <w:marBottom w:val="0"/>
      <w:divBdr>
        <w:top w:val="none" w:sz="0" w:space="0" w:color="auto"/>
        <w:left w:val="none" w:sz="0" w:space="0" w:color="auto"/>
        <w:bottom w:val="none" w:sz="0" w:space="0" w:color="auto"/>
        <w:right w:val="none" w:sz="0" w:space="0" w:color="auto"/>
      </w:divBdr>
      <w:divsChild>
        <w:div w:id="116458938">
          <w:marLeft w:val="288"/>
          <w:marRight w:val="0"/>
          <w:marTop w:val="96"/>
          <w:marBottom w:val="0"/>
          <w:divBdr>
            <w:top w:val="none" w:sz="0" w:space="0" w:color="auto"/>
            <w:left w:val="none" w:sz="0" w:space="0" w:color="auto"/>
            <w:bottom w:val="none" w:sz="0" w:space="0" w:color="auto"/>
            <w:right w:val="none" w:sz="0" w:space="0" w:color="auto"/>
          </w:divBdr>
        </w:div>
        <w:div w:id="997074986">
          <w:marLeft w:val="288"/>
          <w:marRight w:val="0"/>
          <w:marTop w:val="96"/>
          <w:marBottom w:val="0"/>
          <w:divBdr>
            <w:top w:val="none" w:sz="0" w:space="0" w:color="auto"/>
            <w:left w:val="none" w:sz="0" w:space="0" w:color="auto"/>
            <w:bottom w:val="none" w:sz="0" w:space="0" w:color="auto"/>
            <w:right w:val="none" w:sz="0" w:space="0" w:color="auto"/>
          </w:divBdr>
        </w:div>
        <w:div w:id="1291401027">
          <w:marLeft w:val="288"/>
          <w:marRight w:val="0"/>
          <w:marTop w:val="96"/>
          <w:marBottom w:val="0"/>
          <w:divBdr>
            <w:top w:val="none" w:sz="0" w:space="0" w:color="auto"/>
            <w:left w:val="none" w:sz="0" w:space="0" w:color="auto"/>
            <w:bottom w:val="none" w:sz="0" w:space="0" w:color="auto"/>
            <w:right w:val="none" w:sz="0" w:space="0" w:color="auto"/>
          </w:divBdr>
        </w:div>
        <w:div w:id="1622489349">
          <w:marLeft w:val="288"/>
          <w:marRight w:val="0"/>
          <w:marTop w:val="96"/>
          <w:marBottom w:val="0"/>
          <w:divBdr>
            <w:top w:val="none" w:sz="0" w:space="0" w:color="auto"/>
            <w:left w:val="none" w:sz="0" w:space="0" w:color="auto"/>
            <w:bottom w:val="none" w:sz="0" w:space="0" w:color="auto"/>
            <w:right w:val="none" w:sz="0" w:space="0" w:color="auto"/>
          </w:divBdr>
        </w:div>
        <w:div w:id="1759403940">
          <w:marLeft w:val="288"/>
          <w:marRight w:val="0"/>
          <w:marTop w:val="96"/>
          <w:marBottom w:val="0"/>
          <w:divBdr>
            <w:top w:val="none" w:sz="0" w:space="0" w:color="auto"/>
            <w:left w:val="none" w:sz="0" w:space="0" w:color="auto"/>
            <w:bottom w:val="none" w:sz="0" w:space="0" w:color="auto"/>
            <w:right w:val="none" w:sz="0" w:space="0" w:color="auto"/>
          </w:divBdr>
        </w:div>
        <w:div w:id="1901330463">
          <w:marLeft w:val="288"/>
          <w:marRight w:val="0"/>
          <w:marTop w:val="96"/>
          <w:marBottom w:val="0"/>
          <w:divBdr>
            <w:top w:val="none" w:sz="0" w:space="0" w:color="auto"/>
            <w:left w:val="none" w:sz="0" w:space="0" w:color="auto"/>
            <w:bottom w:val="none" w:sz="0" w:space="0" w:color="auto"/>
            <w:right w:val="none" w:sz="0" w:space="0" w:color="auto"/>
          </w:divBdr>
        </w:div>
      </w:divsChild>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2452174">
      <w:bodyDiv w:val="1"/>
      <w:marLeft w:val="0"/>
      <w:marRight w:val="0"/>
      <w:marTop w:val="0"/>
      <w:marBottom w:val="0"/>
      <w:divBdr>
        <w:top w:val="none" w:sz="0" w:space="0" w:color="auto"/>
        <w:left w:val="none" w:sz="0" w:space="0" w:color="auto"/>
        <w:bottom w:val="none" w:sz="0" w:space="0" w:color="auto"/>
        <w:right w:val="none" w:sz="0" w:space="0" w:color="auto"/>
      </w:divBdr>
      <w:divsChild>
        <w:div w:id="1249458508">
          <w:marLeft w:val="288"/>
          <w:marRight w:val="0"/>
          <w:marTop w:val="96"/>
          <w:marBottom w:val="0"/>
          <w:divBdr>
            <w:top w:val="none" w:sz="0" w:space="0" w:color="auto"/>
            <w:left w:val="none" w:sz="0" w:space="0" w:color="auto"/>
            <w:bottom w:val="none" w:sz="0" w:space="0" w:color="auto"/>
            <w:right w:val="none" w:sz="0" w:space="0" w:color="auto"/>
          </w:divBdr>
        </w:div>
      </w:divsChild>
    </w:div>
    <w:div w:id="816190747">
      <w:bodyDiv w:val="1"/>
      <w:marLeft w:val="0"/>
      <w:marRight w:val="0"/>
      <w:marTop w:val="0"/>
      <w:marBottom w:val="0"/>
      <w:divBdr>
        <w:top w:val="none" w:sz="0" w:space="0" w:color="auto"/>
        <w:left w:val="none" w:sz="0" w:space="0" w:color="auto"/>
        <w:bottom w:val="none" w:sz="0" w:space="0" w:color="auto"/>
        <w:right w:val="none" w:sz="0" w:space="0" w:color="auto"/>
      </w:divBdr>
      <w:divsChild>
        <w:div w:id="51200916">
          <w:marLeft w:val="288"/>
          <w:marRight w:val="0"/>
          <w:marTop w:val="67"/>
          <w:marBottom w:val="0"/>
          <w:divBdr>
            <w:top w:val="none" w:sz="0" w:space="0" w:color="auto"/>
            <w:left w:val="none" w:sz="0" w:space="0" w:color="auto"/>
            <w:bottom w:val="none" w:sz="0" w:space="0" w:color="auto"/>
            <w:right w:val="none" w:sz="0" w:space="0" w:color="auto"/>
          </w:divBdr>
        </w:div>
        <w:div w:id="1350794958">
          <w:marLeft w:val="288"/>
          <w:marRight w:val="0"/>
          <w:marTop w:val="67"/>
          <w:marBottom w:val="0"/>
          <w:divBdr>
            <w:top w:val="none" w:sz="0" w:space="0" w:color="auto"/>
            <w:left w:val="none" w:sz="0" w:space="0" w:color="auto"/>
            <w:bottom w:val="none" w:sz="0" w:space="0" w:color="auto"/>
            <w:right w:val="none" w:sz="0" w:space="0" w:color="auto"/>
          </w:divBdr>
        </w:div>
        <w:div w:id="1666392858">
          <w:marLeft w:val="288"/>
          <w:marRight w:val="0"/>
          <w:marTop w:val="67"/>
          <w:marBottom w:val="0"/>
          <w:divBdr>
            <w:top w:val="none" w:sz="0" w:space="0" w:color="auto"/>
            <w:left w:val="none" w:sz="0" w:space="0" w:color="auto"/>
            <w:bottom w:val="none" w:sz="0" w:space="0" w:color="auto"/>
            <w:right w:val="none" w:sz="0" w:space="0" w:color="auto"/>
          </w:divBdr>
        </w:div>
      </w:divsChild>
    </w:div>
    <w:div w:id="834109038">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2501082">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99171112">
      <w:bodyDiv w:val="1"/>
      <w:marLeft w:val="0"/>
      <w:marRight w:val="0"/>
      <w:marTop w:val="0"/>
      <w:marBottom w:val="0"/>
      <w:divBdr>
        <w:top w:val="none" w:sz="0" w:space="0" w:color="auto"/>
        <w:left w:val="none" w:sz="0" w:space="0" w:color="auto"/>
        <w:bottom w:val="none" w:sz="0" w:space="0" w:color="auto"/>
        <w:right w:val="none" w:sz="0" w:space="0" w:color="auto"/>
      </w:divBdr>
    </w:div>
    <w:div w:id="901479688">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0353706">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2369173">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2000">
      <w:bodyDiv w:val="1"/>
      <w:marLeft w:val="0"/>
      <w:marRight w:val="0"/>
      <w:marTop w:val="0"/>
      <w:marBottom w:val="0"/>
      <w:divBdr>
        <w:top w:val="none" w:sz="0" w:space="0" w:color="auto"/>
        <w:left w:val="none" w:sz="0" w:space="0" w:color="auto"/>
        <w:bottom w:val="none" w:sz="0" w:space="0" w:color="auto"/>
        <w:right w:val="none" w:sz="0" w:space="0" w:color="auto"/>
      </w:divBdr>
      <w:divsChild>
        <w:div w:id="980503959">
          <w:marLeft w:val="0"/>
          <w:marRight w:val="0"/>
          <w:marTop w:val="0"/>
          <w:marBottom w:val="0"/>
          <w:divBdr>
            <w:top w:val="none" w:sz="0" w:space="0" w:color="auto"/>
            <w:left w:val="none" w:sz="0" w:space="0" w:color="auto"/>
            <w:bottom w:val="none" w:sz="0" w:space="0" w:color="auto"/>
            <w:right w:val="none" w:sz="0" w:space="0" w:color="auto"/>
          </w:divBdr>
          <w:divsChild>
            <w:div w:id="371851863">
              <w:marLeft w:val="0"/>
              <w:marRight w:val="0"/>
              <w:marTop w:val="0"/>
              <w:marBottom w:val="0"/>
              <w:divBdr>
                <w:top w:val="none" w:sz="0" w:space="0" w:color="auto"/>
                <w:left w:val="none" w:sz="0" w:space="0" w:color="auto"/>
                <w:bottom w:val="none" w:sz="0" w:space="0" w:color="auto"/>
                <w:right w:val="none" w:sz="0" w:space="0" w:color="auto"/>
              </w:divBdr>
              <w:divsChild>
                <w:div w:id="381055171">
                  <w:marLeft w:val="0"/>
                  <w:marRight w:val="0"/>
                  <w:marTop w:val="0"/>
                  <w:marBottom w:val="0"/>
                  <w:divBdr>
                    <w:top w:val="none" w:sz="0" w:space="0" w:color="auto"/>
                    <w:left w:val="none" w:sz="0" w:space="0" w:color="auto"/>
                    <w:bottom w:val="none" w:sz="0" w:space="0" w:color="auto"/>
                    <w:right w:val="none" w:sz="0" w:space="0" w:color="auto"/>
                  </w:divBdr>
                  <w:divsChild>
                    <w:div w:id="671760953">
                      <w:marLeft w:val="0"/>
                      <w:marRight w:val="0"/>
                      <w:marTop w:val="0"/>
                      <w:marBottom w:val="0"/>
                      <w:divBdr>
                        <w:top w:val="none" w:sz="0" w:space="0" w:color="auto"/>
                        <w:left w:val="none" w:sz="0" w:space="0" w:color="auto"/>
                        <w:bottom w:val="none" w:sz="0" w:space="0" w:color="auto"/>
                        <w:right w:val="none" w:sz="0" w:space="0" w:color="auto"/>
                      </w:divBdr>
                      <w:divsChild>
                        <w:div w:id="757406813">
                          <w:marLeft w:val="0"/>
                          <w:marRight w:val="0"/>
                          <w:marTop w:val="0"/>
                          <w:marBottom w:val="0"/>
                          <w:divBdr>
                            <w:top w:val="none" w:sz="0" w:space="0" w:color="auto"/>
                            <w:left w:val="none" w:sz="0" w:space="0" w:color="auto"/>
                            <w:bottom w:val="none" w:sz="0" w:space="0" w:color="auto"/>
                            <w:right w:val="none" w:sz="0" w:space="0" w:color="auto"/>
                          </w:divBdr>
                          <w:divsChild>
                            <w:div w:id="1071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6307">
      <w:bodyDiv w:val="1"/>
      <w:marLeft w:val="0"/>
      <w:marRight w:val="0"/>
      <w:marTop w:val="0"/>
      <w:marBottom w:val="0"/>
      <w:divBdr>
        <w:top w:val="none" w:sz="0" w:space="0" w:color="auto"/>
        <w:left w:val="none" w:sz="0" w:space="0" w:color="auto"/>
        <w:bottom w:val="none" w:sz="0" w:space="0" w:color="auto"/>
        <w:right w:val="none" w:sz="0" w:space="0" w:color="auto"/>
      </w:divBdr>
      <w:divsChild>
        <w:div w:id="1631740992">
          <w:marLeft w:val="720"/>
          <w:marRight w:val="0"/>
          <w:marTop w:val="120"/>
          <w:marBottom w:val="0"/>
          <w:divBdr>
            <w:top w:val="none" w:sz="0" w:space="0" w:color="auto"/>
            <w:left w:val="none" w:sz="0" w:space="0" w:color="auto"/>
            <w:bottom w:val="none" w:sz="0" w:space="0" w:color="auto"/>
            <w:right w:val="none" w:sz="0" w:space="0" w:color="auto"/>
          </w:divBdr>
        </w:div>
        <w:div w:id="2054426743">
          <w:marLeft w:val="720"/>
          <w:marRight w:val="0"/>
          <w:marTop w:val="120"/>
          <w:marBottom w:val="0"/>
          <w:divBdr>
            <w:top w:val="none" w:sz="0" w:space="0" w:color="auto"/>
            <w:left w:val="none" w:sz="0" w:space="0" w:color="auto"/>
            <w:bottom w:val="none" w:sz="0" w:space="0" w:color="auto"/>
            <w:right w:val="none" w:sz="0" w:space="0" w:color="auto"/>
          </w:divBdr>
        </w:div>
      </w:divsChild>
    </w:div>
    <w:div w:id="1039281971">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sChild>
        <w:div w:id="593589531">
          <w:marLeft w:val="0"/>
          <w:marRight w:val="0"/>
          <w:marTop w:val="0"/>
          <w:marBottom w:val="0"/>
          <w:divBdr>
            <w:top w:val="none" w:sz="0" w:space="0" w:color="auto"/>
            <w:left w:val="none" w:sz="0" w:space="0" w:color="auto"/>
            <w:bottom w:val="none" w:sz="0" w:space="0" w:color="auto"/>
            <w:right w:val="none" w:sz="0" w:space="0" w:color="auto"/>
          </w:divBdr>
          <w:divsChild>
            <w:div w:id="1764840635">
              <w:marLeft w:val="0"/>
              <w:marRight w:val="0"/>
              <w:marTop w:val="0"/>
              <w:marBottom w:val="0"/>
              <w:divBdr>
                <w:top w:val="none" w:sz="0" w:space="0" w:color="auto"/>
                <w:left w:val="none" w:sz="0" w:space="0" w:color="auto"/>
                <w:bottom w:val="none" w:sz="0" w:space="0" w:color="auto"/>
                <w:right w:val="none" w:sz="0" w:space="0" w:color="auto"/>
              </w:divBdr>
              <w:divsChild>
                <w:div w:id="1966694529">
                  <w:marLeft w:val="0"/>
                  <w:marRight w:val="0"/>
                  <w:marTop w:val="0"/>
                  <w:marBottom w:val="0"/>
                  <w:divBdr>
                    <w:top w:val="none" w:sz="0" w:space="0" w:color="auto"/>
                    <w:left w:val="none" w:sz="0" w:space="0" w:color="auto"/>
                    <w:bottom w:val="none" w:sz="0" w:space="0" w:color="auto"/>
                    <w:right w:val="none" w:sz="0" w:space="0" w:color="auto"/>
                  </w:divBdr>
                  <w:divsChild>
                    <w:div w:id="313028916">
                      <w:marLeft w:val="0"/>
                      <w:marRight w:val="0"/>
                      <w:marTop w:val="0"/>
                      <w:marBottom w:val="0"/>
                      <w:divBdr>
                        <w:top w:val="none" w:sz="0" w:space="0" w:color="auto"/>
                        <w:left w:val="none" w:sz="0" w:space="0" w:color="auto"/>
                        <w:bottom w:val="none" w:sz="0" w:space="0" w:color="auto"/>
                        <w:right w:val="none" w:sz="0" w:space="0" w:color="auto"/>
                      </w:divBdr>
                      <w:divsChild>
                        <w:div w:id="1174345373">
                          <w:marLeft w:val="0"/>
                          <w:marRight w:val="0"/>
                          <w:marTop w:val="0"/>
                          <w:marBottom w:val="0"/>
                          <w:divBdr>
                            <w:top w:val="none" w:sz="0" w:space="0" w:color="auto"/>
                            <w:left w:val="none" w:sz="0" w:space="0" w:color="auto"/>
                            <w:bottom w:val="none" w:sz="0" w:space="0" w:color="auto"/>
                            <w:right w:val="none" w:sz="0" w:space="0" w:color="auto"/>
                          </w:divBdr>
                          <w:divsChild>
                            <w:div w:id="3581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29207373">
      <w:bodyDiv w:val="1"/>
      <w:marLeft w:val="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2004969579">
              <w:marLeft w:val="0"/>
              <w:marRight w:val="0"/>
              <w:marTop w:val="0"/>
              <w:marBottom w:val="0"/>
              <w:divBdr>
                <w:top w:val="none" w:sz="0" w:space="0" w:color="auto"/>
                <w:left w:val="none" w:sz="0" w:space="0" w:color="auto"/>
                <w:bottom w:val="none" w:sz="0" w:space="0" w:color="auto"/>
                <w:right w:val="none" w:sz="0" w:space="0" w:color="auto"/>
              </w:divBdr>
              <w:divsChild>
                <w:div w:id="1326514689">
                  <w:marLeft w:val="0"/>
                  <w:marRight w:val="0"/>
                  <w:marTop w:val="0"/>
                  <w:marBottom w:val="0"/>
                  <w:divBdr>
                    <w:top w:val="none" w:sz="0" w:space="0" w:color="auto"/>
                    <w:left w:val="none" w:sz="0" w:space="0" w:color="auto"/>
                    <w:bottom w:val="none" w:sz="0" w:space="0" w:color="auto"/>
                    <w:right w:val="none" w:sz="0" w:space="0" w:color="auto"/>
                  </w:divBdr>
                  <w:divsChild>
                    <w:div w:id="1470056945">
                      <w:marLeft w:val="0"/>
                      <w:marRight w:val="0"/>
                      <w:marTop w:val="0"/>
                      <w:marBottom w:val="0"/>
                      <w:divBdr>
                        <w:top w:val="none" w:sz="0" w:space="0" w:color="auto"/>
                        <w:left w:val="none" w:sz="0" w:space="0" w:color="auto"/>
                        <w:bottom w:val="none" w:sz="0" w:space="0" w:color="auto"/>
                        <w:right w:val="none" w:sz="0" w:space="0" w:color="auto"/>
                      </w:divBdr>
                      <w:divsChild>
                        <w:div w:id="1777290878">
                          <w:marLeft w:val="0"/>
                          <w:marRight w:val="0"/>
                          <w:marTop w:val="0"/>
                          <w:marBottom w:val="0"/>
                          <w:divBdr>
                            <w:top w:val="none" w:sz="0" w:space="0" w:color="auto"/>
                            <w:left w:val="none" w:sz="0" w:space="0" w:color="auto"/>
                            <w:bottom w:val="none" w:sz="0" w:space="0" w:color="auto"/>
                            <w:right w:val="none" w:sz="0" w:space="0" w:color="auto"/>
                          </w:divBdr>
                          <w:divsChild>
                            <w:div w:id="2052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80507010">
      <w:bodyDiv w:val="1"/>
      <w:marLeft w:val="0"/>
      <w:marRight w:val="0"/>
      <w:marTop w:val="0"/>
      <w:marBottom w:val="0"/>
      <w:divBdr>
        <w:top w:val="none" w:sz="0" w:space="0" w:color="auto"/>
        <w:left w:val="none" w:sz="0" w:space="0" w:color="auto"/>
        <w:bottom w:val="none" w:sz="0" w:space="0" w:color="auto"/>
        <w:right w:val="none" w:sz="0" w:space="0" w:color="auto"/>
      </w:divBdr>
      <w:divsChild>
        <w:div w:id="336202374">
          <w:marLeft w:val="0"/>
          <w:marRight w:val="0"/>
          <w:marTop w:val="0"/>
          <w:marBottom w:val="0"/>
          <w:divBdr>
            <w:top w:val="none" w:sz="0" w:space="0" w:color="auto"/>
            <w:left w:val="none" w:sz="0" w:space="0" w:color="auto"/>
            <w:bottom w:val="none" w:sz="0" w:space="0" w:color="auto"/>
            <w:right w:val="none" w:sz="0" w:space="0" w:color="auto"/>
          </w:divBdr>
        </w:div>
      </w:divsChild>
    </w:div>
    <w:div w:id="1194532851">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0269585">
      <w:bodyDiv w:val="1"/>
      <w:marLeft w:val="0"/>
      <w:marRight w:val="0"/>
      <w:marTop w:val="0"/>
      <w:marBottom w:val="0"/>
      <w:divBdr>
        <w:top w:val="none" w:sz="0" w:space="0" w:color="auto"/>
        <w:left w:val="none" w:sz="0" w:space="0" w:color="auto"/>
        <w:bottom w:val="none" w:sz="0" w:space="0" w:color="auto"/>
        <w:right w:val="none" w:sz="0" w:space="0" w:color="auto"/>
      </w:divBdr>
    </w:div>
    <w:div w:id="1233807795">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62492688">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5234985">
      <w:bodyDiv w:val="1"/>
      <w:marLeft w:val="0"/>
      <w:marRight w:val="0"/>
      <w:marTop w:val="0"/>
      <w:marBottom w:val="0"/>
      <w:divBdr>
        <w:top w:val="none" w:sz="0" w:space="0" w:color="auto"/>
        <w:left w:val="none" w:sz="0" w:space="0" w:color="auto"/>
        <w:bottom w:val="none" w:sz="0" w:space="0" w:color="auto"/>
        <w:right w:val="none" w:sz="0" w:space="0" w:color="auto"/>
      </w:divBdr>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295984154">
      <w:bodyDiv w:val="1"/>
      <w:marLeft w:val="0"/>
      <w:marRight w:val="0"/>
      <w:marTop w:val="0"/>
      <w:marBottom w:val="0"/>
      <w:divBdr>
        <w:top w:val="none" w:sz="0" w:space="0" w:color="auto"/>
        <w:left w:val="none" w:sz="0" w:space="0" w:color="auto"/>
        <w:bottom w:val="none" w:sz="0" w:space="0" w:color="auto"/>
        <w:right w:val="none" w:sz="0" w:space="0" w:color="auto"/>
      </w:divBdr>
      <w:divsChild>
        <w:div w:id="2051301858">
          <w:marLeft w:val="0"/>
          <w:marRight w:val="0"/>
          <w:marTop w:val="0"/>
          <w:marBottom w:val="0"/>
          <w:divBdr>
            <w:top w:val="none" w:sz="0" w:space="0" w:color="auto"/>
            <w:left w:val="none" w:sz="0" w:space="0" w:color="auto"/>
            <w:bottom w:val="none" w:sz="0" w:space="0" w:color="auto"/>
            <w:right w:val="none" w:sz="0" w:space="0" w:color="auto"/>
          </w:divBdr>
          <w:divsChild>
            <w:div w:id="1450200593">
              <w:marLeft w:val="0"/>
              <w:marRight w:val="0"/>
              <w:marTop w:val="0"/>
              <w:marBottom w:val="0"/>
              <w:divBdr>
                <w:top w:val="none" w:sz="0" w:space="0" w:color="auto"/>
                <w:left w:val="none" w:sz="0" w:space="0" w:color="auto"/>
                <w:bottom w:val="none" w:sz="0" w:space="0" w:color="auto"/>
                <w:right w:val="none" w:sz="0" w:space="0" w:color="auto"/>
              </w:divBdr>
              <w:divsChild>
                <w:div w:id="2094550551">
                  <w:marLeft w:val="0"/>
                  <w:marRight w:val="0"/>
                  <w:marTop w:val="0"/>
                  <w:marBottom w:val="0"/>
                  <w:divBdr>
                    <w:top w:val="none" w:sz="0" w:space="0" w:color="auto"/>
                    <w:left w:val="none" w:sz="0" w:space="0" w:color="auto"/>
                    <w:bottom w:val="none" w:sz="0" w:space="0" w:color="auto"/>
                    <w:right w:val="none" w:sz="0" w:space="0" w:color="auto"/>
                  </w:divBdr>
                  <w:divsChild>
                    <w:div w:id="1261524197">
                      <w:marLeft w:val="0"/>
                      <w:marRight w:val="0"/>
                      <w:marTop w:val="0"/>
                      <w:marBottom w:val="0"/>
                      <w:divBdr>
                        <w:top w:val="none" w:sz="0" w:space="0" w:color="auto"/>
                        <w:left w:val="none" w:sz="0" w:space="0" w:color="auto"/>
                        <w:bottom w:val="none" w:sz="0" w:space="0" w:color="auto"/>
                        <w:right w:val="none" w:sz="0" w:space="0" w:color="auto"/>
                      </w:divBdr>
                      <w:divsChild>
                        <w:div w:id="554584284">
                          <w:marLeft w:val="0"/>
                          <w:marRight w:val="0"/>
                          <w:marTop w:val="0"/>
                          <w:marBottom w:val="0"/>
                          <w:divBdr>
                            <w:top w:val="none" w:sz="0" w:space="0" w:color="auto"/>
                            <w:left w:val="none" w:sz="0" w:space="0" w:color="auto"/>
                            <w:bottom w:val="none" w:sz="0" w:space="0" w:color="auto"/>
                            <w:right w:val="none" w:sz="0" w:space="0" w:color="auto"/>
                          </w:divBdr>
                          <w:divsChild>
                            <w:div w:id="17102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308226">
      <w:bodyDiv w:val="1"/>
      <w:marLeft w:val="0"/>
      <w:marRight w:val="0"/>
      <w:marTop w:val="0"/>
      <w:marBottom w:val="0"/>
      <w:divBdr>
        <w:top w:val="none" w:sz="0" w:space="0" w:color="auto"/>
        <w:left w:val="none" w:sz="0" w:space="0" w:color="auto"/>
        <w:bottom w:val="none" w:sz="0" w:space="0" w:color="auto"/>
        <w:right w:val="none" w:sz="0" w:space="0" w:color="auto"/>
      </w:divBdr>
    </w:div>
    <w:div w:id="1329600867">
      <w:bodyDiv w:val="1"/>
      <w:marLeft w:val="0"/>
      <w:marRight w:val="0"/>
      <w:marTop w:val="0"/>
      <w:marBottom w:val="0"/>
      <w:divBdr>
        <w:top w:val="none" w:sz="0" w:space="0" w:color="auto"/>
        <w:left w:val="none" w:sz="0" w:space="0" w:color="auto"/>
        <w:bottom w:val="none" w:sz="0" w:space="0" w:color="auto"/>
        <w:right w:val="none" w:sz="0" w:space="0" w:color="auto"/>
      </w:divBdr>
    </w:div>
    <w:div w:id="1337150391">
      <w:bodyDiv w:val="1"/>
      <w:marLeft w:val="0"/>
      <w:marRight w:val="0"/>
      <w:marTop w:val="0"/>
      <w:marBottom w:val="0"/>
      <w:divBdr>
        <w:top w:val="none" w:sz="0" w:space="0" w:color="auto"/>
        <w:left w:val="none" w:sz="0" w:space="0" w:color="auto"/>
        <w:bottom w:val="none" w:sz="0" w:space="0" w:color="auto"/>
        <w:right w:val="none" w:sz="0" w:space="0" w:color="auto"/>
      </w:divBdr>
    </w:div>
    <w:div w:id="1341931408">
      <w:bodyDiv w:val="1"/>
      <w:marLeft w:val="0"/>
      <w:marRight w:val="0"/>
      <w:marTop w:val="0"/>
      <w:marBottom w:val="0"/>
      <w:divBdr>
        <w:top w:val="none" w:sz="0" w:space="0" w:color="auto"/>
        <w:left w:val="none" w:sz="0" w:space="0" w:color="auto"/>
        <w:bottom w:val="none" w:sz="0" w:space="0" w:color="auto"/>
        <w:right w:val="none" w:sz="0" w:space="0" w:color="auto"/>
      </w:divBdr>
    </w:div>
    <w:div w:id="1346051125">
      <w:bodyDiv w:val="1"/>
      <w:marLeft w:val="0"/>
      <w:marRight w:val="0"/>
      <w:marTop w:val="0"/>
      <w:marBottom w:val="0"/>
      <w:divBdr>
        <w:top w:val="none" w:sz="0" w:space="0" w:color="auto"/>
        <w:left w:val="none" w:sz="0" w:space="0" w:color="auto"/>
        <w:bottom w:val="none" w:sz="0" w:space="0" w:color="auto"/>
        <w:right w:val="none" w:sz="0" w:space="0" w:color="auto"/>
      </w:divBdr>
    </w:div>
    <w:div w:id="1365977804">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09427046">
      <w:bodyDiv w:val="1"/>
      <w:marLeft w:val="0"/>
      <w:marRight w:val="0"/>
      <w:marTop w:val="0"/>
      <w:marBottom w:val="0"/>
      <w:divBdr>
        <w:top w:val="none" w:sz="0" w:space="0" w:color="auto"/>
        <w:left w:val="none" w:sz="0" w:space="0" w:color="auto"/>
        <w:bottom w:val="none" w:sz="0" w:space="0" w:color="auto"/>
        <w:right w:val="none" w:sz="0" w:space="0" w:color="auto"/>
      </w:divBdr>
      <w:divsChild>
        <w:div w:id="1793211859">
          <w:marLeft w:val="0"/>
          <w:marRight w:val="0"/>
          <w:marTop w:val="0"/>
          <w:marBottom w:val="240"/>
          <w:divBdr>
            <w:top w:val="none" w:sz="0" w:space="0" w:color="auto"/>
            <w:left w:val="none" w:sz="0" w:space="0" w:color="auto"/>
            <w:bottom w:val="none" w:sz="0" w:space="0" w:color="auto"/>
            <w:right w:val="none" w:sz="0" w:space="0" w:color="auto"/>
          </w:divBdr>
        </w:div>
      </w:divsChild>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4163095">
      <w:bodyDiv w:val="1"/>
      <w:marLeft w:val="0"/>
      <w:marRight w:val="0"/>
      <w:marTop w:val="0"/>
      <w:marBottom w:val="0"/>
      <w:divBdr>
        <w:top w:val="none" w:sz="0" w:space="0" w:color="auto"/>
        <w:left w:val="none" w:sz="0" w:space="0" w:color="auto"/>
        <w:bottom w:val="none" w:sz="0" w:space="0" w:color="auto"/>
        <w:right w:val="none" w:sz="0" w:space="0" w:color="auto"/>
      </w:divBdr>
    </w:div>
    <w:div w:id="1415085276">
      <w:bodyDiv w:val="1"/>
      <w:marLeft w:val="0"/>
      <w:marRight w:val="0"/>
      <w:marTop w:val="0"/>
      <w:marBottom w:val="0"/>
      <w:divBdr>
        <w:top w:val="none" w:sz="0" w:space="0" w:color="auto"/>
        <w:left w:val="none" w:sz="0" w:space="0" w:color="auto"/>
        <w:bottom w:val="none" w:sz="0" w:space="0" w:color="auto"/>
        <w:right w:val="none" w:sz="0" w:space="0" w:color="auto"/>
      </w:divBdr>
      <w:divsChild>
        <w:div w:id="1339846142">
          <w:marLeft w:val="1051"/>
          <w:marRight w:val="0"/>
          <w:marTop w:val="96"/>
          <w:marBottom w:val="0"/>
          <w:divBdr>
            <w:top w:val="none" w:sz="0" w:space="0" w:color="auto"/>
            <w:left w:val="none" w:sz="0" w:space="0" w:color="auto"/>
            <w:bottom w:val="none" w:sz="0" w:space="0" w:color="auto"/>
            <w:right w:val="none" w:sz="0" w:space="0" w:color="auto"/>
          </w:divBdr>
        </w:div>
      </w:divsChild>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3794363">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8916901">
      <w:bodyDiv w:val="1"/>
      <w:marLeft w:val="0"/>
      <w:marRight w:val="0"/>
      <w:marTop w:val="0"/>
      <w:marBottom w:val="0"/>
      <w:divBdr>
        <w:top w:val="none" w:sz="0" w:space="0" w:color="auto"/>
        <w:left w:val="none" w:sz="0" w:space="0" w:color="auto"/>
        <w:bottom w:val="none" w:sz="0" w:space="0" w:color="auto"/>
        <w:right w:val="none" w:sz="0" w:space="0" w:color="auto"/>
      </w:divBdr>
      <w:divsChild>
        <w:div w:id="1034768061">
          <w:marLeft w:val="288"/>
          <w:marRight w:val="0"/>
          <w:marTop w:val="67"/>
          <w:marBottom w:val="0"/>
          <w:divBdr>
            <w:top w:val="none" w:sz="0" w:space="0" w:color="auto"/>
            <w:left w:val="none" w:sz="0" w:space="0" w:color="auto"/>
            <w:bottom w:val="none" w:sz="0" w:space="0" w:color="auto"/>
            <w:right w:val="none" w:sz="0" w:space="0" w:color="auto"/>
          </w:divBdr>
        </w:div>
        <w:div w:id="1144588689">
          <w:marLeft w:val="288"/>
          <w:marRight w:val="0"/>
          <w:marTop w:val="67"/>
          <w:marBottom w:val="0"/>
          <w:divBdr>
            <w:top w:val="none" w:sz="0" w:space="0" w:color="auto"/>
            <w:left w:val="none" w:sz="0" w:space="0" w:color="auto"/>
            <w:bottom w:val="none" w:sz="0" w:space="0" w:color="auto"/>
            <w:right w:val="none" w:sz="0" w:space="0" w:color="auto"/>
          </w:divBdr>
        </w:div>
        <w:div w:id="1926525161">
          <w:marLeft w:val="288"/>
          <w:marRight w:val="0"/>
          <w:marTop w:val="67"/>
          <w:marBottom w:val="0"/>
          <w:divBdr>
            <w:top w:val="none" w:sz="0" w:space="0" w:color="auto"/>
            <w:left w:val="none" w:sz="0" w:space="0" w:color="auto"/>
            <w:bottom w:val="none" w:sz="0" w:space="0" w:color="auto"/>
            <w:right w:val="none" w:sz="0" w:space="0" w:color="auto"/>
          </w:divBdr>
        </w:div>
      </w:divsChild>
    </w:div>
    <w:div w:id="1460416132">
      <w:bodyDiv w:val="1"/>
      <w:marLeft w:val="0"/>
      <w:marRight w:val="0"/>
      <w:marTop w:val="0"/>
      <w:marBottom w:val="0"/>
      <w:divBdr>
        <w:top w:val="none" w:sz="0" w:space="0" w:color="auto"/>
        <w:left w:val="none" w:sz="0" w:space="0" w:color="auto"/>
        <w:bottom w:val="none" w:sz="0" w:space="0" w:color="auto"/>
        <w:right w:val="none" w:sz="0" w:space="0" w:color="auto"/>
      </w:divBdr>
      <w:divsChild>
        <w:div w:id="1651061018">
          <w:marLeft w:val="0"/>
          <w:marRight w:val="0"/>
          <w:marTop w:val="0"/>
          <w:marBottom w:val="0"/>
          <w:divBdr>
            <w:top w:val="none" w:sz="0" w:space="0" w:color="auto"/>
            <w:left w:val="none" w:sz="0" w:space="0" w:color="auto"/>
            <w:bottom w:val="none" w:sz="0" w:space="0" w:color="auto"/>
            <w:right w:val="none" w:sz="0" w:space="0" w:color="auto"/>
          </w:divBdr>
          <w:divsChild>
            <w:div w:id="882014823">
              <w:marLeft w:val="0"/>
              <w:marRight w:val="0"/>
              <w:marTop w:val="0"/>
              <w:marBottom w:val="0"/>
              <w:divBdr>
                <w:top w:val="none" w:sz="0" w:space="0" w:color="auto"/>
                <w:left w:val="none" w:sz="0" w:space="0" w:color="auto"/>
                <w:bottom w:val="none" w:sz="0" w:space="0" w:color="auto"/>
                <w:right w:val="none" w:sz="0" w:space="0" w:color="auto"/>
              </w:divBdr>
              <w:divsChild>
                <w:div w:id="715929362">
                  <w:marLeft w:val="0"/>
                  <w:marRight w:val="0"/>
                  <w:marTop w:val="0"/>
                  <w:marBottom w:val="0"/>
                  <w:divBdr>
                    <w:top w:val="none" w:sz="0" w:space="0" w:color="auto"/>
                    <w:left w:val="none" w:sz="0" w:space="0" w:color="auto"/>
                    <w:bottom w:val="none" w:sz="0" w:space="0" w:color="auto"/>
                    <w:right w:val="none" w:sz="0" w:space="0" w:color="auto"/>
                  </w:divBdr>
                  <w:divsChild>
                    <w:div w:id="2066173935">
                      <w:marLeft w:val="0"/>
                      <w:marRight w:val="0"/>
                      <w:marTop w:val="0"/>
                      <w:marBottom w:val="0"/>
                      <w:divBdr>
                        <w:top w:val="none" w:sz="0" w:space="0" w:color="auto"/>
                        <w:left w:val="none" w:sz="0" w:space="0" w:color="auto"/>
                        <w:bottom w:val="none" w:sz="0" w:space="0" w:color="auto"/>
                        <w:right w:val="none" w:sz="0" w:space="0" w:color="auto"/>
                      </w:divBdr>
                      <w:divsChild>
                        <w:div w:id="134764523">
                          <w:marLeft w:val="0"/>
                          <w:marRight w:val="0"/>
                          <w:marTop w:val="0"/>
                          <w:marBottom w:val="0"/>
                          <w:divBdr>
                            <w:top w:val="none" w:sz="0" w:space="0" w:color="auto"/>
                            <w:left w:val="none" w:sz="0" w:space="0" w:color="auto"/>
                            <w:bottom w:val="none" w:sz="0" w:space="0" w:color="auto"/>
                            <w:right w:val="none" w:sz="0" w:space="0" w:color="auto"/>
                          </w:divBdr>
                          <w:divsChild>
                            <w:div w:id="7528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20587170">
      <w:bodyDiv w:val="1"/>
      <w:marLeft w:val="0"/>
      <w:marRight w:val="0"/>
      <w:marTop w:val="0"/>
      <w:marBottom w:val="0"/>
      <w:divBdr>
        <w:top w:val="none" w:sz="0" w:space="0" w:color="auto"/>
        <w:left w:val="none" w:sz="0" w:space="0" w:color="auto"/>
        <w:bottom w:val="none" w:sz="0" w:space="0" w:color="auto"/>
        <w:right w:val="none" w:sz="0" w:space="0" w:color="auto"/>
      </w:divBdr>
    </w:div>
    <w:div w:id="1540817863">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6679">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07957980">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1031969">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7513830">
      <w:bodyDiv w:val="1"/>
      <w:marLeft w:val="0"/>
      <w:marRight w:val="0"/>
      <w:marTop w:val="0"/>
      <w:marBottom w:val="0"/>
      <w:divBdr>
        <w:top w:val="none" w:sz="0" w:space="0" w:color="auto"/>
        <w:left w:val="none" w:sz="0" w:space="0" w:color="auto"/>
        <w:bottom w:val="none" w:sz="0" w:space="0" w:color="auto"/>
        <w:right w:val="none" w:sz="0" w:space="0" w:color="auto"/>
      </w:divBdr>
    </w:div>
    <w:div w:id="1674065997">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2315569">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50694054">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7277">
      <w:bodyDiv w:val="1"/>
      <w:marLeft w:val="0"/>
      <w:marRight w:val="0"/>
      <w:marTop w:val="0"/>
      <w:marBottom w:val="0"/>
      <w:divBdr>
        <w:top w:val="none" w:sz="0" w:space="0" w:color="auto"/>
        <w:left w:val="none" w:sz="0" w:space="0" w:color="auto"/>
        <w:bottom w:val="none" w:sz="0" w:space="0" w:color="auto"/>
        <w:right w:val="none" w:sz="0" w:space="0" w:color="auto"/>
      </w:divBdr>
    </w:div>
    <w:div w:id="1842044916">
      <w:bodyDiv w:val="1"/>
      <w:marLeft w:val="0"/>
      <w:marRight w:val="0"/>
      <w:marTop w:val="0"/>
      <w:marBottom w:val="0"/>
      <w:divBdr>
        <w:top w:val="none" w:sz="0" w:space="0" w:color="auto"/>
        <w:left w:val="none" w:sz="0" w:space="0" w:color="auto"/>
        <w:bottom w:val="none" w:sz="0" w:space="0" w:color="auto"/>
        <w:right w:val="none" w:sz="0" w:space="0" w:color="auto"/>
      </w:divBdr>
    </w:div>
    <w:div w:id="1855993451">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5936">
      <w:bodyDiv w:val="1"/>
      <w:marLeft w:val="0"/>
      <w:marRight w:val="0"/>
      <w:marTop w:val="0"/>
      <w:marBottom w:val="0"/>
      <w:divBdr>
        <w:top w:val="none" w:sz="0" w:space="0" w:color="auto"/>
        <w:left w:val="none" w:sz="0" w:space="0" w:color="auto"/>
        <w:bottom w:val="none" w:sz="0" w:space="0" w:color="auto"/>
        <w:right w:val="none" w:sz="0" w:space="0" w:color="auto"/>
      </w:divBdr>
    </w:div>
    <w:div w:id="1978997756">
      <w:bodyDiv w:val="1"/>
      <w:marLeft w:val="0"/>
      <w:marRight w:val="0"/>
      <w:marTop w:val="0"/>
      <w:marBottom w:val="0"/>
      <w:divBdr>
        <w:top w:val="none" w:sz="0" w:space="0" w:color="auto"/>
        <w:left w:val="none" w:sz="0" w:space="0" w:color="auto"/>
        <w:bottom w:val="none" w:sz="0" w:space="0" w:color="auto"/>
        <w:right w:val="none" w:sz="0" w:space="0" w:color="auto"/>
      </w:divBdr>
      <w:divsChild>
        <w:div w:id="573666472">
          <w:marLeft w:val="288"/>
          <w:marRight w:val="0"/>
          <w:marTop w:val="77"/>
          <w:marBottom w:val="0"/>
          <w:divBdr>
            <w:top w:val="none" w:sz="0" w:space="0" w:color="auto"/>
            <w:left w:val="none" w:sz="0" w:space="0" w:color="auto"/>
            <w:bottom w:val="none" w:sz="0" w:space="0" w:color="auto"/>
            <w:right w:val="none" w:sz="0" w:space="0" w:color="auto"/>
          </w:divBdr>
        </w:div>
      </w:divsChild>
    </w:div>
    <w:div w:id="1994333629">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62097578">
      <w:bodyDiv w:val="1"/>
      <w:marLeft w:val="0"/>
      <w:marRight w:val="0"/>
      <w:marTop w:val="0"/>
      <w:marBottom w:val="0"/>
      <w:divBdr>
        <w:top w:val="none" w:sz="0" w:space="0" w:color="auto"/>
        <w:left w:val="none" w:sz="0" w:space="0" w:color="auto"/>
        <w:bottom w:val="none" w:sz="0" w:space="0" w:color="auto"/>
        <w:right w:val="none" w:sz="0" w:space="0" w:color="auto"/>
      </w:divBdr>
      <w:divsChild>
        <w:div w:id="342905336">
          <w:marLeft w:val="547"/>
          <w:marRight w:val="0"/>
          <w:marTop w:val="0"/>
          <w:marBottom w:val="240"/>
          <w:divBdr>
            <w:top w:val="none" w:sz="0" w:space="0" w:color="auto"/>
            <w:left w:val="none" w:sz="0" w:space="0" w:color="auto"/>
            <w:bottom w:val="none" w:sz="0" w:space="0" w:color="auto"/>
            <w:right w:val="none" w:sz="0" w:space="0" w:color="auto"/>
          </w:divBdr>
        </w:div>
        <w:div w:id="751857361">
          <w:marLeft w:val="547"/>
          <w:marRight w:val="0"/>
          <w:marTop w:val="0"/>
          <w:marBottom w:val="240"/>
          <w:divBdr>
            <w:top w:val="none" w:sz="0" w:space="0" w:color="auto"/>
            <w:left w:val="none" w:sz="0" w:space="0" w:color="auto"/>
            <w:bottom w:val="none" w:sz="0" w:space="0" w:color="auto"/>
            <w:right w:val="none" w:sz="0" w:space="0" w:color="auto"/>
          </w:divBdr>
        </w:div>
        <w:div w:id="920213762">
          <w:marLeft w:val="547"/>
          <w:marRight w:val="0"/>
          <w:marTop w:val="0"/>
          <w:marBottom w:val="240"/>
          <w:divBdr>
            <w:top w:val="none" w:sz="0" w:space="0" w:color="auto"/>
            <w:left w:val="none" w:sz="0" w:space="0" w:color="auto"/>
            <w:bottom w:val="none" w:sz="0" w:space="0" w:color="auto"/>
            <w:right w:val="none" w:sz="0" w:space="0" w:color="auto"/>
          </w:divBdr>
        </w:div>
        <w:div w:id="994182077">
          <w:marLeft w:val="547"/>
          <w:marRight w:val="0"/>
          <w:marTop w:val="0"/>
          <w:marBottom w:val="240"/>
          <w:divBdr>
            <w:top w:val="none" w:sz="0" w:space="0" w:color="auto"/>
            <w:left w:val="none" w:sz="0" w:space="0" w:color="auto"/>
            <w:bottom w:val="none" w:sz="0" w:space="0" w:color="auto"/>
            <w:right w:val="none" w:sz="0" w:space="0" w:color="auto"/>
          </w:divBdr>
        </w:div>
        <w:div w:id="1057896347">
          <w:marLeft w:val="547"/>
          <w:marRight w:val="0"/>
          <w:marTop w:val="0"/>
          <w:marBottom w:val="240"/>
          <w:divBdr>
            <w:top w:val="none" w:sz="0" w:space="0" w:color="auto"/>
            <w:left w:val="none" w:sz="0" w:space="0" w:color="auto"/>
            <w:bottom w:val="none" w:sz="0" w:space="0" w:color="auto"/>
            <w:right w:val="none" w:sz="0" w:space="0" w:color="auto"/>
          </w:divBdr>
        </w:div>
        <w:div w:id="1155219994">
          <w:marLeft w:val="547"/>
          <w:marRight w:val="0"/>
          <w:marTop w:val="0"/>
          <w:marBottom w:val="240"/>
          <w:divBdr>
            <w:top w:val="none" w:sz="0" w:space="0" w:color="auto"/>
            <w:left w:val="none" w:sz="0" w:space="0" w:color="auto"/>
            <w:bottom w:val="none" w:sz="0" w:space="0" w:color="auto"/>
            <w:right w:val="none" w:sz="0" w:space="0" w:color="auto"/>
          </w:divBdr>
        </w:div>
      </w:divsChild>
    </w:div>
    <w:div w:id="2070613285">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4710484">
      <w:bodyDiv w:val="1"/>
      <w:marLeft w:val="0"/>
      <w:marRight w:val="0"/>
      <w:marTop w:val="0"/>
      <w:marBottom w:val="0"/>
      <w:divBdr>
        <w:top w:val="none" w:sz="0" w:space="0" w:color="auto"/>
        <w:left w:val="none" w:sz="0" w:space="0" w:color="auto"/>
        <w:bottom w:val="none" w:sz="0" w:space="0" w:color="auto"/>
        <w:right w:val="none" w:sz="0" w:space="0" w:color="auto"/>
      </w:divBdr>
      <w:divsChild>
        <w:div w:id="1829052258">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sac.gov.au/internet/msac/publishing.nsf/Content/Home-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nk.springer.com/article/10.1007/s10120-024-01518-1" TargetMode="External"/><Relationship Id="rId13" Type="http://schemas.openxmlformats.org/officeDocument/2006/relationships/hyperlink" Target="https://pubmed.ncbi.nlm.nih.gov/16435283/" TargetMode="External"/><Relationship Id="rId3" Type="http://schemas.openxmlformats.org/officeDocument/2006/relationships/hyperlink" Target="https://www.fda.gov/drugs/resources-information-approved-drugs/fda-approves-zolbetuximab-clzb-chemotherapy-gastric-or-gastroesophageal-junction-adenocarcinoma" TargetMode="External"/><Relationship Id="rId7" Type="http://schemas.openxmlformats.org/officeDocument/2006/relationships/hyperlink" Target="https://doi.org/10.5858/arpa.2023-0483-CP" TargetMode="External"/><Relationship Id="rId12" Type="http://schemas.openxmlformats.org/officeDocument/2006/relationships/hyperlink" Target="https://pubmed.ncbi.nlm.nih.gov/33747967/" TargetMode="External"/><Relationship Id="rId2" Type="http://schemas.openxmlformats.org/officeDocument/2006/relationships/hyperlink" Target="https://www.nccn.org/professionals/physician_gls/pdf/gastric.pdf" TargetMode="External"/><Relationship Id="rId1" Type="http://schemas.openxmlformats.org/officeDocument/2006/relationships/hyperlink" Target="https://www.esmo.org/living-guidelines/esmo-gastric-cancer-living-guideline/metastatic-disease/metastatic-disease/first-line-her2-negative" TargetMode="External"/><Relationship Id="rId6" Type="http://schemas.openxmlformats.org/officeDocument/2006/relationships/hyperlink" Target="https://medically.roche.com/content/dam/pdmahub/restricted/oncology/ecp-2023/ECP-2023-poster-stratton-analytical-and-clinical-performance-of-the-VENTANA-CLDN18.pdf" TargetMode="External"/><Relationship Id="rId11" Type="http://schemas.openxmlformats.org/officeDocument/2006/relationships/hyperlink" Target="https://doi.org/10.3390/cancers16030679" TargetMode="External"/><Relationship Id="rId5" Type="http://schemas.openxmlformats.org/officeDocument/2006/relationships/hyperlink" Target="https://ascopubs.org/doi/10.1200/PO.23.00543" TargetMode="External"/><Relationship Id="rId10" Type="http://schemas.openxmlformats.org/officeDocument/2006/relationships/hyperlink" Target="https://www.sciencedirect.com/science/article/pii/S0344033824000566?via%3Dihub" TargetMode="External"/><Relationship Id="rId4" Type="http://schemas.openxmlformats.org/officeDocument/2006/relationships/hyperlink" Target="https://pubmed.ncbi.nlm.nih.gov/34834447/" TargetMode="External"/><Relationship Id="rId9" Type="http://schemas.openxmlformats.org/officeDocument/2006/relationships/hyperlink" Target="https://doi.org/10.1038/s41416-019-05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d54a9e-4aca-451b-99db-b94fe438e987">
      <UserInfo>
        <DisplayName/>
        <AccountId xsi:nil="true"/>
        <AccountType/>
      </UserInfo>
    </SharedWithUsers>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34D3-DE89-4C5F-BBA9-3B879F277C99}">
  <ds:schemaRefs>
    <ds:schemaRef ds:uri="http://schemas.microsoft.com/office/2006/documentManagement/types"/>
    <ds:schemaRef ds:uri="http://schemas.microsoft.com/office/infopath/2007/PartnerControls"/>
    <ds:schemaRef ds:uri="e7d54a9e-4aca-451b-99db-b94fe438e987"/>
    <ds:schemaRef ds:uri="7513b557-581c-46d3-8cc7-77c65017dc6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9131B2-83D6-4AFA-9305-7B1DAA921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573B2-795B-4AF8-9C07-916C95D38AAD}">
  <ds:schemaRefs>
    <ds:schemaRef ds:uri="http://schemas.microsoft.com/sharepoint/v3/contenttype/forms"/>
  </ds:schemaRefs>
</ds:datastoreItem>
</file>

<file path=customXml/itemProps4.xml><?xml version="1.0" encoding="utf-8"?>
<ds:datastoreItem xmlns:ds="http://schemas.openxmlformats.org/officeDocument/2006/customXml" ds:itemID="{A6D4BF9B-31DF-46DA-8059-B614A30A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13033</Words>
  <Characters>77187</Characters>
  <Application>Microsoft Office Word</Application>
  <DocSecurity>0</DocSecurity>
  <Lines>643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90040</CharactersWithSpaces>
  <SharedDoc>false</SharedDoc>
  <HLinks>
    <vt:vector size="120" baseType="variant">
      <vt:variant>
        <vt:i4>6684716</vt:i4>
      </vt:variant>
      <vt:variant>
        <vt:i4>80</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917519</vt:i4>
      </vt:variant>
      <vt:variant>
        <vt:i4>36</vt:i4>
      </vt:variant>
      <vt:variant>
        <vt:i4>0</vt:i4>
      </vt:variant>
      <vt:variant>
        <vt:i4>5</vt:i4>
      </vt:variant>
      <vt:variant>
        <vt:lpwstr>https://pubmed.ncbi.nlm.nih.gov/16435283/</vt:lpwstr>
      </vt:variant>
      <vt:variant>
        <vt:lpwstr/>
      </vt:variant>
      <vt:variant>
        <vt:i4>196610</vt:i4>
      </vt:variant>
      <vt:variant>
        <vt:i4>33</vt:i4>
      </vt:variant>
      <vt:variant>
        <vt:i4>0</vt:i4>
      </vt:variant>
      <vt:variant>
        <vt:i4>5</vt:i4>
      </vt:variant>
      <vt:variant>
        <vt:lpwstr>https://pubmed.ncbi.nlm.nih.gov/33747967/</vt:lpwstr>
      </vt:variant>
      <vt:variant>
        <vt:lpwstr/>
      </vt:variant>
      <vt:variant>
        <vt:i4>7209073</vt:i4>
      </vt:variant>
      <vt:variant>
        <vt:i4>30</vt:i4>
      </vt:variant>
      <vt:variant>
        <vt:i4>0</vt:i4>
      </vt:variant>
      <vt:variant>
        <vt:i4>5</vt:i4>
      </vt:variant>
      <vt:variant>
        <vt:lpwstr>https://doi.org/10.3390/cancers16030679</vt:lpwstr>
      </vt:variant>
      <vt:variant>
        <vt:lpwstr/>
      </vt:variant>
      <vt:variant>
        <vt:i4>8126588</vt:i4>
      </vt:variant>
      <vt:variant>
        <vt:i4>27</vt:i4>
      </vt:variant>
      <vt:variant>
        <vt:i4>0</vt:i4>
      </vt:variant>
      <vt:variant>
        <vt:i4>5</vt:i4>
      </vt:variant>
      <vt:variant>
        <vt:lpwstr>https://www.sciencedirect.com/science/article/pii/S0344033824000566?via%3Dihub</vt:lpwstr>
      </vt:variant>
      <vt:variant>
        <vt:lpwstr/>
      </vt:variant>
      <vt:variant>
        <vt:i4>131101</vt:i4>
      </vt:variant>
      <vt:variant>
        <vt:i4>24</vt:i4>
      </vt:variant>
      <vt:variant>
        <vt:i4>0</vt:i4>
      </vt:variant>
      <vt:variant>
        <vt:i4>5</vt:i4>
      </vt:variant>
      <vt:variant>
        <vt:lpwstr>https://doi.org/10.1038/s41416-019-0508-4</vt:lpwstr>
      </vt:variant>
      <vt:variant>
        <vt:lpwstr/>
      </vt:variant>
      <vt:variant>
        <vt:i4>589835</vt:i4>
      </vt:variant>
      <vt:variant>
        <vt:i4>21</vt:i4>
      </vt:variant>
      <vt:variant>
        <vt:i4>0</vt:i4>
      </vt:variant>
      <vt:variant>
        <vt:i4>5</vt:i4>
      </vt:variant>
      <vt:variant>
        <vt:lpwstr>https://link.springer.com/article/10.1007/s10120-024-01518-1</vt:lpwstr>
      </vt:variant>
      <vt:variant>
        <vt:lpwstr/>
      </vt:variant>
      <vt:variant>
        <vt:i4>4718659</vt:i4>
      </vt:variant>
      <vt:variant>
        <vt:i4>18</vt:i4>
      </vt:variant>
      <vt:variant>
        <vt:i4>0</vt:i4>
      </vt:variant>
      <vt:variant>
        <vt:i4>5</vt:i4>
      </vt:variant>
      <vt:variant>
        <vt:lpwstr>https://doi.org/10.5858/arpa.2023-0483-CP</vt:lpwstr>
      </vt:variant>
      <vt:variant>
        <vt:lpwstr/>
      </vt:variant>
      <vt:variant>
        <vt:i4>6881343</vt:i4>
      </vt:variant>
      <vt:variant>
        <vt:i4>15</vt:i4>
      </vt:variant>
      <vt:variant>
        <vt:i4>0</vt:i4>
      </vt:variant>
      <vt:variant>
        <vt:i4>5</vt:i4>
      </vt:variant>
      <vt:variant>
        <vt:lpwstr>https://medically.roche.com/content/dam/pdmahub/restricted/oncology/ecp-2023/ECP-2023-poster-stratton-analytical-and-clinical-performance-of-the-VENTANA-CLDN18.pdf</vt:lpwstr>
      </vt:variant>
      <vt:variant>
        <vt:lpwstr/>
      </vt:variant>
      <vt:variant>
        <vt:i4>4718602</vt:i4>
      </vt:variant>
      <vt:variant>
        <vt:i4>12</vt:i4>
      </vt:variant>
      <vt:variant>
        <vt:i4>0</vt:i4>
      </vt:variant>
      <vt:variant>
        <vt:i4>5</vt:i4>
      </vt:variant>
      <vt:variant>
        <vt:lpwstr>https://ascopubs.org/doi/10.1200/PO.23.00543</vt:lpwstr>
      </vt:variant>
      <vt:variant>
        <vt:lpwstr/>
      </vt:variant>
      <vt:variant>
        <vt:i4>917516</vt:i4>
      </vt:variant>
      <vt:variant>
        <vt:i4>9</vt:i4>
      </vt:variant>
      <vt:variant>
        <vt:i4>0</vt:i4>
      </vt:variant>
      <vt:variant>
        <vt:i4>5</vt:i4>
      </vt:variant>
      <vt:variant>
        <vt:lpwstr>https://pubmed.ncbi.nlm.nih.gov/34834447/</vt:lpwstr>
      </vt:variant>
      <vt:variant>
        <vt:lpwstr/>
      </vt:variant>
      <vt:variant>
        <vt:i4>8323197</vt:i4>
      </vt:variant>
      <vt:variant>
        <vt:i4>6</vt:i4>
      </vt:variant>
      <vt:variant>
        <vt:i4>0</vt:i4>
      </vt:variant>
      <vt:variant>
        <vt:i4>5</vt:i4>
      </vt:variant>
      <vt:variant>
        <vt:lpwstr>https://www.fda.gov/drugs/resources-information-approved-drugs/fda-approves-zolbetuximab-clzb-chemotherapy-gastric-or-gastroesophageal-junction-adenocarcinoma</vt:lpwstr>
      </vt:variant>
      <vt:variant>
        <vt:lpwstr/>
      </vt:variant>
      <vt:variant>
        <vt:i4>5177445</vt:i4>
      </vt:variant>
      <vt:variant>
        <vt:i4>3</vt:i4>
      </vt:variant>
      <vt:variant>
        <vt:i4>0</vt:i4>
      </vt:variant>
      <vt:variant>
        <vt:i4>5</vt:i4>
      </vt:variant>
      <vt:variant>
        <vt:lpwstr>https://www.nccn.org/professionals/physician_gls/pdf/gastric.pdf</vt:lpwstr>
      </vt:variant>
      <vt:variant>
        <vt:lpwstr/>
      </vt:variant>
      <vt:variant>
        <vt:i4>7012400</vt:i4>
      </vt:variant>
      <vt:variant>
        <vt:i4>0</vt:i4>
      </vt:variant>
      <vt:variant>
        <vt:i4>0</vt:i4>
      </vt:variant>
      <vt:variant>
        <vt:i4>5</vt:i4>
      </vt:variant>
      <vt:variant>
        <vt:lpwstr>https://www.esmo.org/living-guidelines/esmo-gastric-cancer-living-guideline/metastatic-disease/metastatic-disease/first-line-her2-negative</vt:lpwstr>
      </vt:variant>
      <vt:variant>
        <vt:lpwstr/>
      </vt:variant>
      <vt:variant>
        <vt:i4>7995495</vt:i4>
      </vt:variant>
      <vt:variant>
        <vt:i4>12</vt:i4>
      </vt:variant>
      <vt:variant>
        <vt:i4>0</vt:i4>
      </vt:variant>
      <vt:variant>
        <vt:i4>5</vt:i4>
      </vt:variant>
      <vt:variant>
        <vt:lpwstr>https://www.pbs.gov.au/info/news/2020/04/procedure-guidance-standardised-redactions-to-psds</vt:lpwstr>
      </vt:variant>
      <vt:variant>
        <vt:lpwstr/>
      </vt:variant>
      <vt:variant>
        <vt:i4>2818099</vt:i4>
      </vt:variant>
      <vt:variant>
        <vt:i4>9</vt:i4>
      </vt:variant>
      <vt:variant>
        <vt:i4>0</vt:i4>
      </vt:variant>
      <vt:variant>
        <vt:i4>5</vt:i4>
      </vt:variant>
      <vt:variant>
        <vt:lpwstr>https://doi.org/10.1007/s10120-024-01518-1</vt:lpwstr>
      </vt:variant>
      <vt:variant>
        <vt:lpwstr/>
      </vt:variant>
      <vt:variant>
        <vt:i4>2949172</vt:i4>
      </vt:variant>
      <vt:variant>
        <vt:i4>6</vt:i4>
      </vt:variant>
      <vt:variant>
        <vt:i4>0</vt:i4>
      </vt:variant>
      <vt:variant>
        <vt:i4>5</vt:i4>
      </vt:variant>
      <vt:variant>
        <vt:lpwstr>https://www.mbsonline.gov.au/internet/mbsonline/publishing.nsf/Content/Home</vt:lpwstr>
      </vt:variant>
      <vt:variant>
        <vt:lpwstr/>
      </vt:variant>
      <vt:variant>
        <vt:i4>2949172</vt:i4>
      </vt:variant>
      <vt:variant>
        <vt:i4>3</vt:i4>
      </vt:variant>
      <vt:variant>
        <vt:i4>0</vt:i4>
      </vt:variant>
      <vt:variant>
        <vt:i4>5</vt:i4>
      </vt:variant>
      <vt:variant>
        <vt:lpwstr>https://www.mbsonline.gov.au/internet/mbsonline/publishing.nsf/Content/Home</vt:lpwstr>
      </vt:variant>
      <vt:variant>
        <vt:lpwstr/>
      </vt:variant>
      <vt:variant>
        <vt:i4>2949172</vt:i4>
      </vt:variant>
      <vt:variant>
        <vt:i4>0</vt:i4>
      </vt:variant>
      <vt:variant>
        <vt:i4>0</vt:i4>
      </vt:variant>
      <vt:variant>
        <vt:i4>5</vt:i4>
      </vt:variant>
      <vt:variant>
        <vt:lpwstr>https://www.mbsonline.gov.au/internet/mbsonline/publishing.nsf/Content/Home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2025-06-27T05:40:00Z</dcterms:created>
  <dcterms:modified xsi:type="dcterms:W3CDTF">2025-06-27T06:02:00Z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ActionId">
    <vt:lpwstr>df1af752-b5e1-4b7e-ab18-e057f33b581d</vt:lpwstr>
  </property>
  <property fmtid="{D5CDD505-2E9C-101B-9397-08002B2CF9AE}" pid="3" name="Order">
    <vt:r8>44854400</vt:r8>
  </property>
  <property fmtid="{D5CDD505-2E9C-101B-9397-08002B2CF9AE}" pid="4" name="MSIP_Label_0f488380-630a-4f55-a077-a19445e3f360_ContentBits">
    <vt:lpwstr>0</vt:lpwstr>
  </property>
  <property fmtid="{D5CDD505-2E9C-101B-9397-08002B2CF9AE}" pid="5" name="MSIP_Label_76a44f01-6907-4156-9b79-a71e6c56ad93_Tag">
    <vt:lpwstr>10, 0, 1, 1</vt:lpwstr>
  </property>
  <property fmtid="{D5CDD505-2E9C-101B-9397-08002B2CF9AE}" pid="6" name="MediaServiceImageTags">
    <vt:lpwstr/>
  </property>
  <property fmtid="{D5CDD505-2E9C-101B-9397-08002B2CF9AE}" pid="7" name="xd_ProgID">
    <vt:lpwstr/>
  </property>
  <property fmtid="{D5CDD505-2E9C-101B-9397-08002B2CF9AE}" pid="8" name="MSIP_Label_0f488380-630a-4f55-a077-a19445e3f360_SiteId">
    <vt:lpwstr>b6e377cf-9db3-46cb-91a2-fad9605bb15c</vt:lpwstr>
  </property>
  <property fmtid="{D5CDD505-2E9C-101B-9397-08002B2CF9AE}" pid="9" name="ContentTypeId">
    <vt:lpwstr>0x0101005E4A37BE997BE34FBB7D5057D341D123</vt:lpwstr>
  </property>
  <property fmtid="{D5CDD505-2E9C-101B-9397-08002B2CF9AE}" pid="10" name="MSIP_Label_0f488380-630a-4f55-a077-a19445e3f360_Method">
    <vt:lpwstr>Standard</vt:lpwstr>
  </property>
  <property fmtid="{D5CDD505-2E9C-101B-9397-08002B2CF9AE}" pid="11" name="MSIP_Label_76a44f01-6907-4156-9b79-a71e6c56ad93_ActionId">
    <vt:lpwstr>9fddc5ef-2706-494e-89ec-a0a71cfe0001</vt:lpwstr>
  </property>
  <property fmtid="{D5CDD505-2E9C-101B-9397-08002B2CF9AE}" pid="12" name="ComplianceAssetId">
    <vt:lpwstr/>
  </property>
  <property fmtid="{D5CDD505-2E9C-101B-9397-08002B2CF9AE}" pid="13" name="TemplateUrl">
    <vt:lpwstr/>
  </property>
  <property fmtid="{D5CDD505-2E9C-101B-9397-08002B2CF9AE}" pid="14" name="MSIP_Label_76a44f01-6907-4156-9b79-a71e6c56ad93_ContentBits">
    <vt:lpwstr>0</vt:lpwstr>
  </property>
  <property fmtid="{D5CDD505-2E9C-101B-9397-08002B2CF9AE}" pid="15" name="_ExtendedDescription">
    <vt:lpwstr/>
  </property>
  <property fmtid="{D5CDD505-2E9C-101B-9397-08002B2CF9AE}" pid="16" name="MSIP_Label_0f488380-630a-4f55-a077-a19445e3f360_Name">
    <vt:lpwstr>OFFICIAL - INTERNAL</vt:lpwstr>
  </property>
  <property fmtid="{D5CDD505-2E9C-101B-9397-08002B2CF9AE}" pid="17" name="MSIP_Label_76a44f01-6907-4156-9b79-a71e6c56ad93_Name">
    <vt:lpwstr>OFFICIAL</vt:lpwstr>
  </property>
  <property fmtid="{D5CDD505-2E9C-101B-9397-08002B2CF9AE}" pid="18" name="MSIP_Label_76a44f01-6907-4156-9b79-a71e6c56ad93_Method">
    <vt:lpwstr>Privileged</vt:lpwstr>
  </property>
  <property fmtid="{D5CDD505-2E9C-101B-9397-08002B2CF9AE}" pid="19" name="MSIP_Label_76a44f01-6907-4156-9b79-a71e6c56ad93_SiteId">
    <vt:lpwstr>a687a7bf-02db-43df-bcbb-e7a8bda611a2</vt:lpwstr>
  </property>
  <property fmtid="{D5CDD505-2E9C-101B-9397-08002B2CF9AE}" pid="20" name="xd_Signature">
    <vt:bool>false</vt:bool>
  </property>
  <property fmtid="{D5CDD505-2E9C-101B-9397-08002B2CF9AE}" pid="21" name="MSIP_Label_76a44f01-6907-4156-9b79-a71e6c56ad93_Enabled">
    <vt:lpwstr>true</vt:lpwstr>
  </property>
  <property fmtid="{D5CDD505-2E9C-101B-9397-08002B2CF9AE}" pid="22" name="MSIP_Label_0f488380-630a-4f55-a077-a19445e3f360_Enabled">
    <vt:lpwstr>true</vt:lpwstr>
  </property>
  <property fmtid="{D5CDD505-2E9C-101B-9397-08002B2CF9AE}" pid="23" name="MSIP_Label_76a44f01-6907-4156-9b79-a71e6c56ad93_SetDate">
    <vt:lpwstr>2025-02-22T02:49:28Z</vt:lpwstr>
  </property>
  <property fmtid="{D5CDD505-2E9C-101B-9397-08002B2CF9AE}" pid="24" name="MSIP_Label_0f488380-630a-4f55-a077-a19445e3f360_SetDate">
    <vt:lpwstr>2024-10-08T06:08:47Z</vt:lpwstr>
  </property>
  <property fmtid="{D5CDD505-2E9C-101B-9397-08002B2CF9AE}" pid="25" name="TriggerFlowInfo">
    <vt:lpwstr/>
  </property>
</Properties>
</file>