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79FFC" w14:textId="3AA6664E" w:rsidR="00933671" w:rsidRPr="006473F6" w:rsidRDefault="00933671" w:rsidP="008C6CF7">
      <w:pPr>
        <w:keepNext/>
        <w:keepLines/>
        <w:spacing w:before="0" w:after="360"/>
        <w:jc w:val="center"/>
        <w:outlineLvl w:val="0"/>
        <w:rPr>
          <w:i/>
          <w:iCs/>
        </w:rPr>
      </w:pPr>
      <w:bookmarkStart w:id="0" w:name="_Hlk194308465"/>
      <w:r w:rsidRPr="00F268B7">
        <w:rPr>
          <w:rFonts w:ascii="Arial" w:eastAsiaTheme="majorEastAsia" w:hAnsi="Arial" w:cs="Arial"/>
          <w:b/>
          <w:bCs/>
          <w:color w:val="000080"/>
          <w:sz w:val="36"/>
          <w:szCs w:val="36"/>
        </w:rPr>
        <w:t>Medical Services Advisory Committee (MSAC)</w:t>
      </w:r>
      <w:r w:rsidRPr="00F268B7">
        <w:rPr>
          <w:rFonts w:ascii="Arial" w:eastAsiaTheme="majorEastAsia" w:hAnsi="Arial" w:cs="Arial"/>
          <w:b/>
          <w:bCs/>
          <w:color w:val="000080"/>
          <w:sz w:val="36"/>
          <w:szCs w:val="36"/>
        </w:rPr>
        <w:br/>
      </w:r>
      <w:bookmarkStart w:id="1" w:name="_Hlk194310341"/>
      <w:r w:rsidR="00D155C0" w:rsidRPr="00F76D74">
        <w:rPr>
          <w:rFonts w:ascii="Arial" w:hAnsi="Arial" w:cs="Arial"/>
          <w:b/>
          <w:bCs/>
          <w:color w:val="000080"/>
          <w:sz w:val="36"/>
          <w:szCs w:val="36"/>
        </w:rPr>
        <w:t>Public Summary Document</w:t>
      </w:r>
      <w:bookmarkEnd w:id="1"/>
    </w:p>
    <w:bookmarkEnd w:id="0"/>
    <w:p w14:paraId="7A128FDE" w14:textId="4288DEC9" w:rsidR="00772829" w:rsidRPr="00CE28E3" w:rsidRDefault="00772829" w:rsidP="00933671">
      <w:pPr>
        <w:pStyle w:val="Subtitle"/>
      </w:pPr>
      <w:r w:rsidRPr="00CE28E3">
        <w:t xml:space="preserve">Application No. </w:t>
      </w:r>
      <w:r w:rsidR="00B10052" w:rsidRPr="00B10052">
        <w:t>1769</w:t>
      </w:r>
      <w:r w:rsidR="00B10052">
        <w:t xml:space="preserve"> </w:t>
      </w:r>
      <w:r w:rsidR="00B10052" w:rsidRPr="00B10052">
        <w:t>– Human leukocyte antigen (HLA) testing for hypersensitivity to carbamazepine and oxcarbazepine</w:t>
      </w:r>
    </w:p>
    <w:p w14:paraId="35263561" w14:textId="7F7BB747" w:rsidR="00772829" w:rsidRPr="00E860AC" w:rsidRDefault="00772829" w:rsidP="422CAA86">
      <w:pPr>
        <w:tabs>
          <w:tab w:val="left" w:pos="3686"/>
        </w:tabs>
        <w:spacing w:after="240" w:line="259" w:lineRule="auto"/>
        <w:rPr>
          <w:rFonts w:ascii="Arial" w:eastAsiaTheme="minorEastAsia" w:hAnsi="Arial" w:cs="Arial"/>
          <w:b/>
          <w:bCs/>
          <w:sz w:val="22"/>
          <w:szCs w:val="22"/>
          <w:lang w:eastAsia="en-US"/>
        </w:rPr>
      </w:pPr>
      <w:r w:rsidRPr="422CAA86">
        <w:rPr>
          <w:rFonts w:ascii="Arial" w:eastAsiaTheme="minorEastAsia" w:hAnsi="Arial" w:cs="Arial"/>
          <w:b/>
          <w:bCs/>
          <w:sz w:val="22"/>
          <w:szCs w:val="22"/>
          <w:lang w:eastAsia="en-US"/>
        </w:rPr>
        <w:t>Applicant:</w:t>
      </w:r>
      <w:r>
        <w:tab/>
      </w:r>
      <w:r w:rsidR="006A6D9B" w:rsidRPr="422CAA86">
        <w:rPr>
          <w:rFonts w:ascii="Arial" w:eastAsiaTheme="minorEastAsia" w:hAnsi="Arial" w:cs="Arial"/>
          <w:b/>
          <w:bCs/>
          <w:sz w:val="22"/>
          <w:szCs w:val="22"/>
          <w:lang w:eastAsia="en-US"/>
        </w:rPr>
        <w:t>The Royal College of Pathologists of Australasia</w:t>
      </w:r>
    </w:p>
    <w:p w14:paraId="24F110D8" w14:textId="057BA1BB" w:rsidR="007375DE" w:rsidRDefault="007375DE" w:rsidP="00D155C0">
      <w:pPr>
        <w:spacing w:before="320" w:after="240" w:line="259" w:lineRule="auto"/>
        <w:rPr>
          <w:rFonts w:ascii="Arial" w:hAnsi="Arial" w:cs="Arial"/>
          <w:b/>
          <w:bCs/>
        </w:rPr>
      </w:pPr>
      <w:r w:rsidRPr="422CAA86">
        <w:rPr>
          <w:rFonts w:ascii="Arial" w:hAnsi="Arial" w:cs="Arial"/>
          <w:b/>
          <w:bCs/>
        </w:rPr>
        <w:t xml:space="preserve">Date of </w:t>
      </w:r>
      <w:r w:rsidR="00D155C0">
        <w:rPr>
          <w:rFonts w:ascii="Arial" w:hAnsi="Arial" w:cs="Arial"/>
          <w:b/>
          <w:bCs/>
        </w:rPr>
        <w:t>MSAC</w:t>
      </w:r>
      <w:r w:rsidRPr="422CAA86">
        <w:rPr>
          <w:rFonts w:ascii="Arial" w:hAnsi="Arial" w:cs="Arial"/>
          <w:b/>
          <w:bCs/>
        </w:rPr>
        <w:t xml:space="preserve"> consideration:</w:t>
      </w:r>
      <w:r>
        <w:tab/>
      </w:r>
      <w:r w:rsidR="00D155C0">
        <w:rPr>
          <w:rFonts w:ascii="Arial" w:hAnsi="Arial" w:cs="Arial"/>
          <w:b/>
          <w:bCs/>
        </w:rPr>
        <w:t>3-4 April</w:t>
      </w:r>
      <w:r w:rsidRPr="422CAA86">
        <w:rPr>
          <w:rFonts w:ascii="Arial" w:hAnsi="Arial" w:cs="Arial"/>
          <w:b/>
          <w:bCs/>
        </w:rPr>
        <w:t xml:space="preserve"> 2025</w:t>
      </w:r>
    </w:p>
    <w:p w14:paraId="7441AAE7" w14:textId="77777777" w:rsidR="00D155C0" w:rsidRPr="00333EDF" w:rsidRDefault="00D155C0" w:rsidP="00D155C0">
      <w:pPr>
        <w:spacing w:after="240"/>
        <w:rPr>
          <w:color w:val="0000FF"/>
          <w:sz w:val="22"/>
          <w:u w:val="single"/>
        </w:rPr>
      </w:pPr>
      <w:bookmarkStart w:id="2" w:name="_Hlk194311547"/>
      <w:bookmarkStart w:id="3" w:name="_Hlk194308493"/>
      <w:r w:rsidRPr="00333EDF">
        <w:rPr>
          <w:sz w:val="22"/>
        </w:rPr>
        <w:t xml:space="preserve">Context for decision: MSAC makes its advice in accordance with its Terms of Reference, </w:t>
      </w:r>
      <w:hyperlink r:id="rId11" w:tooltip="Link to Medical Services Advisory Committee website" w:history="1">
        <w:r w:rsidRPr="000D2098">
          <w:rPr>
            <w:rStyle w:val="Hyperlink"/>
            <w:color w:val="007BB8"/>
            <w:sz w:val="22"/>
          </w:rPr>
          <w:t>visit the MSAC website</w:t>
        </w:r>
      </w:hyperlink>
      <w:bookmarkEnd w:id="2"/>
    </w:p>
    <w:p w14:paraId="7EAA7262" w14:textId="40E611E4" w:rsidR="00772829" w:rsidRPr="00CE28E3" w:rsidRDefault="00772829" w:rsidP="00A737D1">
      <w:pPr>
        <w:pStyle w:val="Heading2"/>
        <w:numPr>
          <w:ilvl w:val="0"/>
          <w:numId w:val="21"/>
        </w:numPr>
        <w:ind w:hanging="720"/>
      </w:pPr>
      <w:bookmarkStart w:id="4" w:name="_Toc184825867"/>
      <w:bookmarkEnd w:id="3"/>
      <w:r w:rsidRPr="00CE28E3">
        <w:t xml:space="preserve">Purpose </w:t>
      </w:r>
      <w:r w:rsidRPr="00CE28E3">
        <w:rPr>
          <w:szCs w:val="32"/>
        </w:rPr>
        <w:t>of</w:t>
      </w:r>
      <w:r w:rsidRPr="00CE28E3">
        <w:t xml:space="preserve"> application</w:t>
      </w:r>
      <w:bookmarkEnd w:id="4"/>
    </w:p>
    <w:p w14:paraId="1305F83B" w14:textId="50BBFF52" w:rsidR="00772829" w:rsidRDefault="00AF1FE0" w:rsidP="006F19A4">
      <w:pPr>
        <w:rPr>
          <w:iCs/>
          <w:sz w:val="22"/>
          <w:szCs w:val="22"/>
        </w:rPr>
      </w:pPr>
      <w:bookmarkStart w:id="5" w:name="_Hlk69734469"/>
      <w:r w:rsidRPr="00673D8D">
        <w:rPr>
          <w:iCs/>
          <w:sz w:val="22"/>
          <w:szCs w:val="22"/>
        </w:rPr>
        <w:t>An application requesting Medicare Benefits Schedule (MBS) listing of</w:t>
      </w:r>
      <w:r w:rsidR="002835F4" w:rsidRPr="002835F4">
        <w:t xml:space="preserve"> </w:t>
      </w:r>
      <w:r w:rsidR="002835F4">
        <w:rPr>
          <w:iCs/>
          <w:sz w:val="22"/>
          <w:szCs w:val="22"/>
        </w:rPr>
        <w:t>h</w:t>
      </w:r>
      <w:r w:rsidR="002835F4" w:rsidRPr="002835F4">
        <w:rPr>
          <w:iCs/>
          <w:sz w:val="22"/>
          <w:szCs w:val="22"/>
        </w:rPr>
        <w:t>uman leukocyte antigen</w:t>
      </w:r>
      <w:r w:rsidRPr="00673D8D">
        <w:rPr>
          <w:iCs/>
          <w:sz w:val="22"/>
          <w:szCs w:val="22"/>
        </w:rPr>
        <w:t xml:space="preserve"> </w:t>
      </w:r>
      <w:r w:rsidR="003975F2" w:rsidRPr="003975F2">
        <w:rPr>
          <w:i/>
          <w:iCs/>
          <w:sz w:val="22"/>
          <w:szCs w:val="22"/>
        </w:rPr>
        <w:t xml:space="preserve">HLA-A*31:01 </w:t>
      </w:r>
      <w:r w:rsidRPr="00673D8D">
        <w:rPr>
          <w:iCs/>
          <w:sz w:val="22"/>
          <w:szCs w:val="22"/>
        </w:rPr>
        <w:t xml:space="preserve">and </w:t>
      </w:r>
      <w:r w:rsidR="003975F2" w:rsidRPr="003975F2">
        <w:rPr>
          <w:i/>
          <w:iCs/>
          <w:sz w:val="22"/>
          <w:szCs w:val="22"/>
        </w:rPr>
        <w:t xml:space="preserve">HLA-B*15:02 </w:t>
      </w:r>
      <w:r w:rsidRPr="00673D8D">
        <w:rPr>
          <w:iCs/>
          <w:sz w:val="22"/>
          <w:szCs w:val="22"/>
        </w:rPr>
        <w:t xml:space="preserve">genotyping to predict carbamazepine- </w:t>
      </w:r>
      <w:r w:rsidR="001010C2" w:rsidRPr="00673D8D">
        <w:rPr>
          <w:iCs/>
          <w:sz w:val="22"/>
          <w:szCs w:val="22"/>
        </w:rPr>
        <w:t xml:space="preserve">(CBZ) </w:t>
      </w:r>
      <w:r w:rsidRPr="00673D8D">
        <w:rPr>
          <w:iCs/>
          <w:sz w:val="22"/>
          <w:szCs w:val="22"/>
        </w:rPr>
        <w:t xml:space="preserve">or oxcarbazepine-related </w:t>
      </w:r>
      <w:r w:rsidR="006F5DCC" w:rsidRPr="00673D8D">
        <w:rPr>
          <w:iCs/>
          <w:sz w:val="22"/>
          <w:szCs w:val="22"/>
        </w:rPr>
        <w:t xml:space="preserve">(OXC) </w:t>
      </w:r>
      <w:r w:rsidRPr="00673D8D">
        <w:rPr>
          <w:iCs/>
          <w:sz w:val="22"/>
          <w:szCs w:val="22"/>
        </w:rPr>
        <w:t>drug hypersensitivity reactions in patients who are about to commence carbamazepine or oxcarbazepine treatment was received from the Royal College of Pathologists of Australasia (RCPA) by the Department of Health and Aged Care</w:t>
      </w:r>
      <w:r w:rsidR="00772829" w:rsidRPr="00673D8D">
        <w:rPr>
          <w:iCs/>
          <w:sz w:val="22"/>
          <w:szCs w:val="22"/>
        </w:rPr>
        <w:t>.</w:t>
      </w:r>
    </w:p>
    <w:p w14:paraId="24E2CE4B" w14:textId="77777777" w:rsidR="00D155C0" w:rsidRPr="00D155C0" w:rsidRDefault="00D155C0" w:rsidP="00A737D1">
      <w:pPr>
        <w:pStyle w:val="Heading2"/>
        <w:numPr>
          <w:ilvl w:val="0"/>
          <w:numId w:val="21"/>
        </w:numPr>
        <w:ind w:hanging="720"/>
      </w:pPr>
      <w:bookmarkStart w:id="6" w:name="_Hlk193982496"/>
      <w:bookmarkStart w:id="7" w:name="_Hlk194308564"/>
      <w:r w:rsidRPr="00D155C0">
        <w:t>MSAC’s advice to the Minister</w:t>
      </w:r>
    </w:p>
    <w:p w14:paraId="3FCF0DC1" w14:textId="67530F75" w:rsidR="000841D2" w:rsidRDefault="00D155C0" w:rsidP="0085069D">
      <w:pPr>
        <w:pStyle w:val="TableFooter"/>
        <w:contextualSpacing w:val="0"/>
        <w:jc w:val="left"/>
        <w:rPr>
          <w:rFonts w:ascii="Franklin Gothic Book" w:eastAsia="Franklin Gothic Book" w:hAnsi="Franklin Gothic Book"/>
          <w:sz w:val="22"/>
          <w:szCs w:val="22"/>
        </w:rPr>
      </w:pPr>
      <w:r w:rsidRPr="00333EDF">
        <w:rPr>
          <w:rFonts w:ascii="Franklin Gothic Book" w:hAnsi="Franklin Gothic Book"/>
          <w:sz w:val="22"/>
          <w:szCs w:val="22"/>
        </w:rPr>
        <w:t xml:space="preserve">After considering the strength of the available evidence in relation to comparative safety, clinical effectiveness, cost-effectiveness and total cost, </w:t>
      </w:r>
      <w:r w:rsidRPr="00333EDF">
        <w:rPr>
          <w:rFonts w:ascii="Franklin Gothic Book" w:eastAsia="Franklin Gothic Book" w:hAnsi="Franklin Gothic Book"/>
          <w:sz w:val="22"/>
          <w:szCs w:val="22"/>
        </w:rPr>
        <w:t>MSAC</w:t>
      </w:r>
      <w:r w:rsidR="000841D2">
        <w:rPr>
          <w:rFonts w:ascii="Franklin Gothic Book" w:eastAsia="Franklin Gothic Book" w:hAnsi="Franklin Gothic Book"/>
          <w:sz w:val="22"/>
          <w:szCs w:val="22"/>
        </w:rPr>
        <w:t xml:space="preserve"> </w:t>
      </w:r>
      <w:r w:rsidR="000841D2" w:rsidRPr="000841D2">
        <w:rPr>
          <w:rFonts w:ascii="Franklin Gothic Book" w:eastAsia="Franklin Gothic Book" w:hAnsi="Franklin Gothic Book"/>
          <w:sz w:val="22"/>
          <w:szCs w:val="22"/>
        </w:rPr>
        <w:t>supported the creation of a new Medicare Benefits Schedule (MBS) item for human leukocyte antigen (HLA)-A*31:01 and HLA-B*15:02 genotyping to predict the risk of carbamazepine- (CBZ-) or oxcarbazepine- (OXC-) related drug hypersensitivity reactions in patients who are about to start or during the initiation of CBZ or OXC treatment. MSAC considered that there was a high clinical need for this testing because such hypersensitivity reactions although rare can be severe and life-threatening, and this testing was already recommended in clinical guidelines. MSAC noted that although the test identifies patients who have a higher risk for developing hypersensitivity reactions, the absence of these variants does not definitively rule out the risk of such reactions occurring. MSAC considered patients who tested variant-positive would generally use a different medicine. MSAC considered that this would be unlikely to lead to harm as there were multiple effective alternative treatments available.</w:t>
      </w:r>
    </w:p>
    <w:p w14:paraId="1E9E0B1A" w14:textId="26FF8CF2" w:rsidR="00D155C0" w:rsidRDefault="00C94999" w:rsidP="0085069D">
      <w:pPr>
        <w:pStyle w:val="TableFooter"/>
        <w:contextualSpacing w:val="0"/>
        <w:jc w:val="left"/>
        <w:rPr>
          <w:rFonts w:ascii="Franklin Gothic Book" w:hAnsi="Franklin Gothic Book"/>
          <w:sz w:val="22"/>
          <w:szCs w:val="22"/>
        </w:rPr>
      </w:pPr>
      <w:r w:rsidRPr="00C94999">
        <w:rPr>
          <w:rFonts w:ascii="Franklin Gothic Book" w:eastAsia="Franklin Gothic Book" w:hAnsi="Franklin Gothic Book"/>
          <w:sz w:val="22"/>
          <w:szCs w:val="22"/>
        </w:rPr>
        <w:t>MSAC considered that the testing was cost-effective based on the cost per patient with identified positive genotyping results, and the costs to the MBS were modest. MSAC supported a fee of $139. MSAC advised that the MBS item should reflect a preference that testing occurs prior to treatment initiation, except in cases of clinical urgency when treatment needs to be started immediately prior to the availability of test results. MSAC also recommended that the MBS item should state that testing is ‘at least’ for two HLA variants without specifying the variants to allow testing of other relevant variants in the future. MSAC considered the MBS item should contain an explanatory note outlining testing should include at least HLA-A*31:01 and HLA-B*15:02, that a negative test does not exclude the possibility of a drug hypersensitivity reaction, and the recommendation for testing to occur prior to commencement of treatment. MSAC advised the listing should be reviewed after two years.</w:t>
      </w:r>
    </w:p>
    <w:p w14:paraId="58B50FDD" w14:textId="77777777" w:rsidR="00F536A9" w:rsidRDefault="00F536A9" w:rsidP="00302232">
      <w:pPr>
        <w:keepNext/>
        <w:keepLines/>
        <w:rPr>
          <w:sz w:val="22"/>
          <w:szCs w:val="22"/>
        </w:rPr>
      </w:pPr>
      <w:r w:rsidRPr="00F536A9">
        <w:rPr>
          <w:sz w:val="22"/>
          <w:szCs w:val="22"/>
        </w:rPr>
        <w:lastRenderedPageBreak/>
        <w:t>MSAC confirmed the following MBS item descriptor and explanatory note:</w:t>
      </w:r>
    </w:p>
    <w:p w14:paraId="5F66F3DC" w14:textId="5F0669FF" w:rsidR="00FD66C1" w:rsidRPr="00084667" w:rsidRDefault="00FD66C1" w:rsidP="00302232">
      <w:pPr>
        <w:keepNext/>
        <w:keepLines/>
        <w:rPr>
          <w:b/>
          <w:bCs/>
          <w:sz w:val="22"/>
          <w:szCs w:val="22"/>
        </w:rPr>
      </w:pPr>
      <w:r w:rsidRPr="00084667">
        <w:rPr>
          <w:b/>
          <w:bCs/>
          <w:sz w:val="22"/>
          <w:szCs w:val="22"/>
        </w:rPr>
        <w:t>Table 1</w:t>
      </w:r>
    </w:p>
    <w:tbl>
      <w:tblPr>
        <w:tblW w:w="5000" w:type="pct"/>
        <w:tblCellMar>
          <w:left w:w="0" w:type="dxa"/>
          <w:right w:w="0" w:type="dxa"/>
        </w:tblCellMar>
        <w:tblLook w:val="04A0" w:firstRow="1" w:lastRow="0" w:firstColumn="1" w:lastColumn="0" w:noHBand="0" w:noVBand="1"/>
      </w:tblPr>
      <w:tblGrid>
        <w:gridCol w:w="9006"/>
      </w:tblGrid>
      <w:tr w:rsidR="00F536A9" w:rsidRPr="00F536A9" w14:paraId="5315222C" w14:textId="77777777" w:rsidTr="687C27D6">
        <w:trPr>
          <w:trHeight w:val="491"/>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352E7A43" w14:textId="77777777" w:rsidR="00F536A9" w:rsidRPr="00F536A9" w:rsidRDefault="00F536A9" w:rsidP="00302232">
            <w:pPr>
              <w:keepNext/>
              <w:keepLines/>
              <w:rPr>
                <w:rFonts w:ascii="Arial Narrow" w:hAnsi="Arial Narrow"/>
                <w:sz w:val="20"/>
                <w:szCs w:val="20"/>
              </w:rPr>
            </w:pPr>
            <w:r w:rsidRPr="00F536A9">
              <w:rPr>
                <w:rFonts w:ascii="Arial Narrow" w:hAnsi="Arial Narrow"/>
                <w:sz w:val="20"/>
                <w:szCs w:val="20"/>
              </w:rPr>
              <w:t>Category 6 – PATHOLOGY SERVICES                                                                                            Group P7 – Genetics</w:t>
            </w:r>
          </w:p>
        </w:tc>
      </w:tr>
      <w:tr w:rsidR="00F536A9" w:rsidRPr="00F536A9" w14:paraId="36F1F15A" w14:textId="77777777" w:rsidTr="687C27D6">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6CCCD6E9" w14:textId="77777777" w:rsidR="00F536A9" w:rsidRPr="00F536A9" w:rsidRDefault="00F536A9" w:rsidP="00302232">
            <w:pPr>
              <w:keepNext/>
              <w:keepLines/>
              <w:rPr>
                <w:rFonts w:ascii="Arial Narrow" w:hAnsi="Arial Narrow"/>
                <w:sz w:val="20"/>
                <w:szCs w:val="20"/>
              </w:rPr>
            </w:pPr>
            <w:r w:rsidRPr="00F536A9">
              <w:rPr>
                <w:rFonts w:ascii="Arial Narrow" w:hAnsi="Arial Narrow"/>
                <w:sz w:val="20"/>
                <w:szCs w:val="20"/>
                <w:lang w:val="en-US"/>
              </w:rPr>
              <w:t xml:space="preserve">MBS item AAAA </w:t>
            </w:r>
          </w:p>
          <w:p w14:paraId="095D9C30" w14:textId="489FEC5E" w:rsidR="00F536A9" w:rsidRPr="00F536A9" w:rsidRDefault="00F536A9" w:rsidP="00302232">
            <w:pPr>
              <w:keepNext/>
              <w:keepLines/>
              <w:rPr>
                <w:rFonts w:ascii="Arial Narrow" w:hAnsi="Arial Narrow"/>
                <w:sz w:val="20"/>
                <w:szCs w:val="20"/>
              </w:rPr>
            </w:pPr>
            <w:r w:rsidRPr="2E9B4AF3">
              <w:rPr>
                <w:rFonts w:ascii="Arial Narrow" w:hAnsi="Arial Narrow"/>
                <w:sz w:val="20"/>
                <w:szCs w:val="20"/>
                <w:lang w:val="en-US"/>
              </w:rPr>
              <w:t>Genetic testing for at least two HLA variants to predict risk of carbamazepine- or oxcarbazepine-related severe drug hypersensitivity reactions in a patient, where the service is conducted prior to or during the initiation of treatment with carbamazepine or oxcarbazepine.</w:t>
            </w:r>
          </w:p>
          <w:p w14:paraId="673D9482" w14:textId="77777777" w:rsidR="00F536A9" w:rsidRPr="00F536A9" w:rsidRDefault="00F536A9" w:rsidP="00302232">
            <w:pPr>
              <w:keepNext/>
              <w:keepLines/>
              <w:rPr>
                <w:rFonts w:ascii="Arial Narrow" w:hAnsi="Arial Narrow"/>
                <w:sz w:val="20"/>
                <w:szCs w:val="20"/>
              </w:rPr>
            </w:pPr>
            <w:r w:rsidRPr="00F536A9">
              <w:rPr>
                <w:rFonts w:ascii="Arial Narrow" w:hAnsi="Arial Narrow"/>
                <w:sz w:val="20"/>
                <w:szCs w:val="20"/>
                <w:lang w:val="en-US"/>
              </w:rPr>
              <w:t>Once per lifetime</w:t>
            </w:r>
          </w:p>
          <w:p w14:paraId="40772C79" w14:textId="77777777" w:rsidR="00F536A9" w:rsidRPr="00F536A9" w:rsidRDefault="00F536A9" w:rsidP="00302232">
            <w:pPr>
              <w:keepNext/>
              <w:keepLines/>
              <w:spacing w:after="0"/>
              <w:rPr>
                <w:rFonts w:ascii="Arial Narrow" w:hAnsi="Arial Narrow"/>
                <w:sz w:val="20"/>
                <w:szCs w:val="20"/>
              </w:rPr>
            </w:pPr>
            <w:r w:rsidRPr="00F536A9">
              <w:rPr>
                <w:rFonts w:ascii="Arial Narrow" w:hAnsi="Arial Narrow"/>
                <w:sz w:val="20"/>
                <w:szCs w:val="20"/>
                <w:lang w:val="en-US"/>
              </w:rPr>
              <w:t>Fee:  $139.00, 75% = $104.25, 85% = $118.15</w:t>
            </w:r>
          </w:p>
        </w:tc>
      </w:tr>
      <w:tr w:rsidR="00F536A9" w:rsidRPr="00F536A9" w14:paraId="4FCDC589" w14:textId="77777777" w:rsidTr="687C27D6">
        <w:trPr>
          <w:trHeight w:val="888"/>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7AC4E9E6" w14:textId="77777777" w:rsidR="00F536A9" w:rsidRPr="00F536A9" w:rsidRDefault="00F536A9">
            <w:pPr>
              <w:rPr>
                <w:rFonts w:ascii="Arial Narrow" w:hAnsi="Arial Narrow"/>
                <w:sz w:val="20"/>
                <w:szCs w:val="20"/>
              </w:rPr>
            </w:pPr>
            <w:r w:rsidRPr="00F536A9">
              <w:rPr>
                <w:rFonts w:ascii="Arial Narrow" w:hAnsi="Arial Narrow"/>
                <w:sz w:val="20"/>
                <w:szCs w:val="20"/>
                <w:lang w:val="en-US"/>
              </w:rPr>
              <w:t>Explanatory note: P.N.X.XX – Genetic testing for HLA variants to predict risk of carbamazepine- or oxcarbazepine-related severe drug hypersensitivity reactions – Item AAAA</w:t>
            </w:r>
          </w:p>
          <w:p w14:paraId="6F4E2572" w14:textId="77777777" w:rsidR="00F536A9" w:rsidRPr="00F536A9" w:rsidRDefault="00F536A9">
            <w:pPr>
              <w:rPr>
                <w:rFonts w:ascii="Arial Narrow" w:hAnsi="Arial Narrow"/>
                <w:sz w:val="20"/>
                <w:szCs w:val="20"/>
              </w:rPr>
            </w:pPr>
            <w:r w:rsidRPr="00F536A9">
              <w:rPr>
                <w:rFonts w:ascii="Arial Narrow" w:hAnsi="Arial Narrow"/>
                <w:sz w:val="20"/>
                <w:szCs w:val="20"/>
                <w:lang w:val="en-US"/>
              </w:rPr>
              <w:t xml:space="preserve">Genetic testing:  </w:t>
            </w:r>
          </w:p>
          <w:p w14:paraId="23FF8139" w14:textId="77777777" w:rsidR="00F536A9" w:rsidRPr="00F536A9" w:rsidRDefault="00F536A9" w:rsidP="00F536A9">
            <w:pPr>
              <w:numPr>
                <w:ilvl w:val="0"/>
                <w:numId w:val="28"/>
              </w:numPr>
              <w:spacing w:after="160" w:line="259" w:lineRule="auto"/>
              <w:rPr>
                <w:rFonts w:ascii="Arial Narrow" w:hAnsi="Arial Narrow"/>
                <w:sz w:val="20"/>
                <w:szCs w:val="20"/>
              </w:rPr>
            </w:pPr>
            <w:r w:rsidRPr="00F536A9">
              <w:rPr>
                <w:rFonts w:ascii="Arial Narrow" w:hAnsi="Arial Narrow"/>
                <w:sz w:val="20"/>
                <w:szCs w:val="20"/>
                <w:lang w:val="en-US"/>
              </w:rPr>
              <w:t xml:space="preserve">should be in line with contemporaneous guidelines published by clinical </w:t>
            </w:r>
            <w:proofErr w:type="spellStart"/>
            <w:r w:rsidRPr="00F536A9">
              <w:rPr>
                <w:rFonts w:ascii="Arial Narrow" w:hAnsi="Arial Narrow"/>
                <w:sz w:val="20"/>
                <w:szCs w:val="20"/>
                <w:lang w:val="en-US"/>
              </w:rPr>
              <w:t>organisations</w:t>
            </w:r>
            <w:proofErr w:type="spellEnd"/>
            <w:r w:rsidRPr="00F536A9">
              <w:rPr>
                <w:rFonts w:ascii="Arial Narrow" w:hAnsi="Arial Narrow"/>
                <w:sz w:val="20"/>
                <w:szCs w:val="20"/>
                <w:lang w:val="en-US"/>
              </w:rPr>
              <w:t xml:space="preserve"> such as the Clinical Pharmacogenetics Implementation Consortium (CPIC) or The Epilepsy Society of Australia.</w:t>
            </w:r>
          </w:p>
          <w:p w14:paraId="1C0D3676" w14:textId="77777777" w:rsidR="00F536A9" w:rsidRPr="00F536A9" w:rsidRDefault="00F536A9" w:rsidP="00F536A9">
            <w:pPr>
              <w:numPr>
                <w:ilvl w:val="0"/>
                <w:numId w:val="28"/>
              </w:numPr>
              <w:spacing w:after="160" w:line="259" w:lineRule="auto"/>
              <w:rPr>
                <w:rFonts w:ascii="Arial Narrow" w:hAnsi="Arial Narrow"/>
                <w:sz w:val="20"/>
                <w:szCs w:val="20"/>
              </w:rPr>
            </w:pPr>
            <w:r w:rsidRPr="00F536A9">
              <w:rPr>
                <w:rFonts w:ascii="Arial Narrow" w:hAnsi="Arial Narrow"/>
                <w:sz w:val="20"/>
                <w:szCs w:val="20"/>
                <w:lang w:val="en-US"/>
              </w:rPr>
              <w:t>should at a minimum include the following alleles: </w:t>
            </w:r>
            <w:r w:rsidRPr="00F536A9">
              <w:rPr>
                <w:rFonts w:ascii="Arial Narrow" w:hAnsi="Arial Narrow"/>
                <w:i/>
                <w:iCs/>
                <w:sz w:val="20"/>
                <w:szCs w:val="20"/>
                <w:lang w:val="en-US"/>
              </w:rPr>
              <w:t>HLA-B*15:02</w:t>
            </w:r>
            <w:r w:rsidRPr="00F536A9">
              <w:rPr>
                <w:rFonts w:ascii="Arial Narrow" w:hAnsi="Arial Narrow"/>
                <w:sz w:val="20"/>
                <w:szCs w:val="20"/>
                <w:lang w:val="en-US"/>
              </w:rPr>
              <w:t xml:space="preserve">, </w:t>
            </w:r>
            <w:r w:rsidRPr="00F536A9">
              <w:rPr>
                <w:rFonts w:ascii="Arial Narrow" w:hAnsi="Arial Narrow"/>
                <w:i/>
                <w:iCs/>
                <w:sz w:val="20"/>
                <w:szCs w:val="20"/>
                <w:lang w:val="en-US"/>
              </w:rPr>
              <w:t>HLA-A*31:01</w:t>
            </w:r>
          </w:p>
          <w:p w14:paraId="41EEFCAC" w14:textId="65802976" w:rsidR="00F536A9" w:rsidRPr="00F536A9" w:rsidRDefault="68AFFAEC" w:rsidP="00F536A9">
            <w:pPr>
              <w:numPr>
                <w:ilvl w:val="0"/>
                <w:numId w:val="28"/>
              </w:numPr>
              <w:spacing w:after="160" w:line="259" w:lineRule="auto"/>
              <w:rPr>
                <w:rFonts w:ascii="Arial Narrow" w:hAnsi="Arial Narrow"/>
                <w:sz w:val="20"/>
                <w:szCs w:val="20"/>
              </w:rPr>
            </w:pPr>
            <w:r w:rsidRPr="687C27D6">
              <w:rPr>
                <w:rFonts w:ascii="Arial Narrow" w:hAnsi="Arial Narrow"/>
                <w:sz w:val="20"/>
                <w:szCs w:val="20"/>
                <w:lang w:val="en-US"/>
              </w:rPr>
              <w:t>should be preferably conducted prior to initiation of treatment with carbamazepine or oxcarbazepine</w:t>
            </w:r>
            <w:r w:rsidR="4A7875A8" w:rsidRPr="687C27D6">
              <w:rPr>
                <w:rFonts w:ascii="Arial Narrow" w:hAnsi="Arial Narrow"/>
                <w:sz w:val="20"/>
                <w:szCs w:val="20"/>
                <w:lang w:val="en-US"/>
              </w:rPr>
              <w:t xml:space="preserve">, unless the patient </w:t>
            </w:r>
            <w:r w:rsidR="5A6B5F16" w:rsidRPr="687C27D6">
              <w:rPr>
                <w:rFonts w:ascii="Arial Narrow" w:hAnsi="Arial Narrow"/>
                <w:sz w:val="20"/>
                <w:szCs w:val="20"/>
                <w:lang w:val="en-US"/>
              </w:rPr>
              <w:t xml:space="preserve">requires urgent </w:t>
            </w:r>
            <w:r w:rsidR="4A7875A8" w:rsidRPr="687C27D6">
              <w:rPr>
                <w:rFonts w:ascii="Arial Narrow" w:hAnsi="Arial Narrow"/>
                <w:sz w:val="20"/>
                <w:szCs w:val="20"/>
                <w:lang w:val="en-US"/>
              </w:rPr>
              <w:t>treatment</w:t>
            </w:r>
            <w:r w:rsidR="320B2EE6" w:rsidRPr="687C27D6">
              <w:rPr>
                <w:rFonts w:ascii="Arial Narrow" w:hAnsi="Arial Narrow"/>
                <w:sz w:val="20"/>
                <w:szCs w:val="20"/>
                <w:lang w:val="en-US"/>
              </w:rPr>
              <w:t xml:space="preserve"> before the test result is</w:t>
            </w:r>
            <w:r w:rsidR="00F52BF7">
              <w:rPr>
                <w:rFonts w:ascii="Arial Narrow" w:hAnsi="Arial Narrow"/>
                <w:sz w:val="20"/>
                <w:szCs w:val="20"/>
                <w:lang w:val="en-US"/>
              </w:rPr>
              <w:t xml:space="preserve"> </w:t>
            </w:r>
            <w:r w:rsidR="41E3057E" w:rsidRPr="687C27D6">
              <w:rPr>
                <w:rFonts w:ascii="Arial Narrow" w:hAnsi="Arial Narrow"/>
                <w:sz w:val="20"/>
                <w:szCs w:val="20"/>
                <w:lang w:val="en-US"/>
              </w:rPr>
              <w:t>available.</w:t>
            </w:r>
          </w:p>
          <w:p w14:paraId="086027FB" w14:textId="77777777" w:rsidR="00F536A9" w:rsidRPr="00F536A9" w:rsidRDefault="00F536A9">
            <w:pPr>
              <w:rPr>
                <w:rFonts w:ascii="Arial Narrow" w:hAnsi="Arial Narrow"/>
                <w:sz w:val="20"/>
                <w:szCs w:val="20"/>
              </w:rPr>
            </w:pPr>
            <w:r w:rsidRPr="00F536A9">
              <w:rPr>
                <w:rFonts w:ascii="Arial Narrow" w:hAnsi="Arial Narrow"/>
                <w:sz w:val="20"/>
                <w:szCs w:val="20"/>
                <w:lang w:val="en-US"/>
              </w:rPr>
              <w:t xml:space="preserve">Requesting physicians should note: </w:t>
            </w:r>
          </w:p>
          <w:p w14:paraId="6BEA8553" w14:textId="77777777" w:rsidR="00F536A9" w:rsidRPr="00F536A9" w:rsidRDefault="00F536A9" w:rsidP="00F536A9">
            <w:pPr>
              <w:numPr>
                <w:ilvl w:val="0"/>
                <w:numId w:val="29"/>
              </w:numPr>
              <w:spacing w:after="160" w:line="259" w:lineRule="auto"/>
              <w:rPr>
                <w:rFonts w:ascii="Arial Narrow" w:hAnsi="Arial Narrow"/>
                <w:sz w:val="20"/>
                <w:szCs w:val="20"/>
              </w:rPr>
            </w:pPr>
            <w:r w:rsidRPr="00F536A9">
              <w:rPr>
                <w:rFonts w:ascii="Arial Narrow" w:hAnsi="Arial Narrow"/>
                <w:sz w:val="20"/>
                <w:szCs w:val="20"/>
                <w:lang w:val="en-US"/>
              </w:rPr>
              <w:t xml:space="preserve">Not all drug hypersensitivity reactions to carbamazepine or oxcarbazepine are linked to </w:t>
            </w:r>
            <w:r w:rsidRPr="00F536A9">
              <w:rPr>
                <w:rFonts w:ascii="Arial Narrow" w:hAnsi="Arial Narrow"/>
                <w:i/>
                <w:iCs/>
                <w:sz w:val="20"/>
                <w:szCs w:val="20"/>
                <w:lang w:val="en-US"/>
              </w:rPr>
              <w:t>HLA-B*15:02</w:t>
            </w:r>
            <w:r w:rsidRPr="00F536A9">
              <w:rPr>
                <w:rFonts w:ascii="Arial Narrow" w:hAnsi="Arial Narrow"/>
                <w:sz w:val="20"/>
                <w:szCs w:val="20"/>
                <w:lang w:val="en-US"/>
              </w:rPr>
              <w:t xml:space="preserve">, </w:t>
            </w:r>
            <w:r w:rsidRPr="00F536A9">
              <w:rPr>
                <w:rFonts w:ascii="Arial Narrow" w:hAnsi="Arial Narrow"/>
                <w:i/>
                <w:iCs/>
                <w:sz w:val="20"/>
                <w:szCs w:val="20"/>
                <w:lang w:val="en-US"/>
              </w:rPr>
              <w:t xml:space="preserve">HLA-A*31:01. </w:t>
            </w:r>
            <w:r w:rsidRPr="00F536A9">
              <w:rPr>
                <w:rFonts w:ascii="Arial Narrow" w:hAnsi="Arial Narrow"/>
                <w:sz w:val="20"/>
                <w:szCs w:val="20"/>
                <w:lang w:val="en-US"/>
              </w:rPr>
              <w:t>Thus</w:t>
            </w:r>
            <w:r w:rsidRPr="00F536A9">
              <w:rPr>
                <w:rFonts w:ascii="Arial Narrow" w:hAnsi="Arial Narrow"/>
                <w:i/>
                <w:iCs/>
                <w:sz w:val="20"/>
                <w:szCs w:val="20"/>
                <w:lang w:val="en-US"/>
              </w:rPr>
              <w:t xml:space="preserve">, </w:t>
            </w:r>
            <w:r w:rsidRPr="00F536A9">
              <w:rPr>
                <w:rFonts w:ascii="Arial Narrow" w:hAnsi="Arial Narrow"/>
                <w:sz w:val="20"/>
                <w:szCs w:val="20"/>
                <w:lang w:val="en-US"/>
              </w:rPr>
              <w:t>genetic testing cannot definitively exclude the possibility of a drug hypersensitivity event. Clinical vigilance remains necessary, even after negative results from the relevant HLA alleles testing.</w:t>
            </w:r>
          </w:p>
          <w:p w14:paraId="1F09A363" w14:textId="4900067B" w:rsidR="00F536A9" w:rsidRPr="00F536A9" w:rsidRDefault="00AF481A" w:rsidP="00F536A9">
            <w:pPr>
              <w:numPr>
                <w:ilvl w:val="0"/>
                <w:numId w:val="29"/>
              </w:numPr>
              <w:spacing w:after="160" w:line="259" w:lineRule="auto"/>
              <w:rPr>
                <w:rFonts w:ascii="Arial Narrow" w:hAnsi="Arial Narrow"/>
                <w:sz w:val="20"/>
                <w:szCs w:val="20"/>
              </w:rPr>
            </w:pPr>
            <w:r w:rsidRPr="00F536A9">
              <w:rPr>
                <w:rFonts w:ascii="Arial Narrow" w:hAnsi="Arial Narrow"/>
                <w:i/>
                <w:iCs/>
                <w:sz w:val="20"/>
                <w:szCs w:val="20"/>
                <w:lang w:val="en-US"/>
              </w:rPr>
              <w:t>HLA-B*15:02</w:t>
            </w:r>
            <w:r w:rsidR="00D275C9">
              <w:rPr>
                <w:rFonts w:ascii="Arial Narrow" w:hAnsi="Arial Narrow"/>
                <w:i/>
                <w:iCs/>
                <w:sz w:val="20"/>
                <w:szCs w:val="20"/>
                <w:lang w:val="en-US"/>
              </w:rPr>
              <w:t xml:space="preserve"> </w:t>
            </w:r>
            <w:r w:rsidR="00173E75">
              <w:rPr>
                <w:rFonts w:ascii="Arial Narrow" w:hAnsi="Arial Narrow"/>
                <w:i/>
                <w:iCs/>
                <w:sz w:val="20"/>
                <w:szCs w:val="20"/>
                <w:lang w:val="en-US"/>
              </w:rPr>
              <w:t xml:space="preserve"> </w:t>
            </w:r>
            <w:r w:rsidR="3A3DAE67" w:rsidRPr="7BB5BCD4">
              <w:rPr>
                <w:rFonts w:ascii="Arial Narrow" w:hAnsi="Arial Narrow"/>
                <w:sz w:val="20"/>
                <w:szCs w:val="20"/>
                <w:lang w:val="en-US"/>
              </w:rPr>
              <w:t xml:space="preserve"> </w:t>
            </w:r>
            <w:r w:rsidR="007E5E4D">
              <w:rPr>
                <w:rFonts w:ascii="Arial Narrow" w:hAnsi="Arial Narrow"/>
                <w:sz w:val="20"/>
                <w:szCs w:val="20"/>
                <w:lang w:val="en-US"/>
              </w:rPr>
              <w:t>is</w:t>
            </w:r>
            <w:r w:rsidR="00F536A9" w:rsidRPr="00F536A9">
              <w:rPr>
                <w:rFonts w:ascii="Arial Narrow" w:hAnsi="Arial Narrow"/>
                <w:sz w:val="20"/>
                <w:szCs w:val="20"/>
                <w:lang w:val="en-US"/>
              </w:rPr>
              <w:t xml:space="preserve"> of higher prevalence in patients with East Asian ancestry.  </w:t>
            </w:r>
          </w:p>
        </w:tc>
      </w:tr>
    </w:tbl>
    <w:p w14:paraId="5DD89410" w14:textId="77777777" w:rsidR="00F536A9" w:rsidRDefault="00F536A9" w:rsidP="00D155C0">
      <w:pPr>
        <w:pStyle w:val="TableFooter"/>
        <w:rPr>
          <w:rFonts w:ascii="Franklin Gothic Book" w:hAnsi="Franklin Gothic Book"/>
          <w:sz w:val="22"/>
          <w:szCs w:val="22"/>
        </w:rPr>
      </w:pPr>
    </w:p>
    <w:tbl>
      <w:tblPr>
        <w:tblStyle w:val="Section3-footnot1"/>
        <w:tblW w:w="0" w:type="auto"/>
        <w:tblLook w:val="04A0" w:firstRow="1" w:lastRow="0" w:firstColumn="1" w:lastColumn="0" w:noHBand="0" w:noVBand="1"/>
        <w:tblDescription w:val="Consumer summary of MSAC consideration"/>
      </w:tblPr>
      <w:tblGrid>
        <w:gridCol w:w="9016"/>
      </w:tblGrid>
      <w:tr w:rsidR="00D155C0" w:rsidRPr="00F91D6E" w14:paraId="53C38CFE" w14:textId="77777777" w:rsidTr="111042A2">
        <w:trPr>
          <w:tblHeader/>
        </w:trPr>
        <w:tc>
          <w:tcPr>
            <w:tcW w:w="9016" w:type="dxa"/>
          </w:tcPr>
          <w:p w14:paraId="301C966C" w14:textId="77777777" w:rsidR="00D155C0" w:rsidRPr="00F91D6E" w:rsidRDefault="00D155C0" w:rsidP="4AAC0660">
            <w:pPr>
              <w:keepNext/>
              <w:keepLines/>
              <w:spacing w:line="259" w:lineRule="auto"/>
              <w:rPr>
                <w:rFonts w:eastAsia="Calibri"/>
                <w:b/>
                <w:bCs/>
                <w:sz w:val="22"/>
                <w:szCs w:val="22"/>
              </w:rPr>
            </w:pPr>
            <w:r w:rsidRPr="4AAC0660">
              <w:rPr>
                <w:b/>
                <w:bCs/>
              </w:rPr>
              <w:t>Consumer summary</w:t>
            </w:r>
          </w:p>
        </w:tc>
      </w:tr>
      <w:tr w:rsidR="00D155C0" w:rsidRPr="00F91D6E" w14:paraId="6DD0B05C" w14:textId="77777777" w:rsidTr="111042A2">
        <w:tc>
          <w:tcPr>
            <w:tcW w:w="9016" w:type="dxa"/>
          </w:tcPr>
          <w:p w14:paraId="7247A7BB" w14:textId="1201622F" w:rsidR="00A14E54" w:rsidRPr="00A14E54" w:rsidRDefault="00A14E54" w:rsidP="00A14E54">
            <w:pPr>
              <w:rPr>
                <w:sz w:val="22"/>
                <w:szCs w:val="22"/>
              </w:rPr>
            </w:pPr>
            <w:r w:rsidRPr="00A14E54">
              <w:rPr>
                <w:sz w:val="22"/>
                <w:szCs w:val="22"/>
              </w:rPr>
              <w:t>This is an application from the Royal College of Pathologists of Australasia requesting Medicare Benefits Schedule (MBS) listing of</w:t>
            </w:r>
            <w:r w:rsidR="001915F0">
              <w:rPr>
                <w:sz w:val="22"/>
                <w:szCs w:val="22"/>
              </w:rPr>
              <w:t xml:space="preserve"> genetic</w:t>
            </w:r>
            <w:r w:rsidRPr="00A14E54">
              <w:rPr>
                <w:sz w:val="22"/>
                <w:szCs w:val="22"/>
              </w:rPr>
              <w:t xml:space="preserve"> </w:t>
            </w:r>
            <w:r w:rsidR="006F21C0">
              <w:rPr>
                <w:sz w:val="22"/>
                <w:szCs w:val="22"/>
              </w:rPr>
              <w:t xml:space="preserve">testing of </w:t>
            </w:r>
            <w:r w:rsidRPr="00A14E54">
              <w:rPr>
                <w:sz w:val="22"/>
                <w:szCs w:val="22"/>
              </w:rPr>
              <w:t>human leukocyte antigen (</w:t>
            </w:r>
            <w:r w:rsidRPr="00A14E54">
              <w:rPr>
                <w:i/>
                <w:iCs/>
                <w:sz w:val="22"/>
                <w:szCs w:val="22"/>
              </w:rPr>
              <w:t>HLA</w:t>
            </w:r>
            <w:r w:rsidRPr="00A14E54">
              <w:rPr>
                <w:sz w:val="22"/>
                <w:szCs w:val="22"/>
              </w:rPr>
              <w:t xml:space="preserve">) </w:t>
            </w:r>
            <w:r w:rsidR="006F21C0">
              <w:rPr>
                <w:sz w:val="22"/>
                <w:szCs w:val="22"/>
              </w:rPr>
              <w:t xml:space="preserve">variants to determine the risk of </w:t>
            </w:r>
            <w:r w:rsidRPr="00A14E54">
              <w:rPr>
                <w:sz w:val="22"/>
                <w:szCs w:val="22"/>
              </w:rPr>
              <w:t>hypersensitivity to carbamazepine (CBZ) and oxcarbazepine (OXC).</w:t>
            </w:r>
            <w:r w:rsidR="00850809">
              <w:rPr>
                <w:sz w:val="22"/>
                <w:szCs w:val="22"/>
              </w:rPr>
              <w:t xml:space="preserve"> </w:t>
            </w:r>
            <w:r w:rsidR="00850809" w:rsidRPr="00A14E54">
              <w:rPr>
                <w:i/>
                <w:iCs/>
                <w:sz w:val="22"/>
                <w:szCs w:val="22"/>
              </w:rPr>
              <w:t>HLA</w:t>
            </w:r>
            <w:r w:rsidR="00850809">
              <w:rPr>
                <w:i/>
                <w:iCs/>
                <w:sz w:val="22"/>
                <w:szCs w:val="22"/>
              </w:rPr>
              <w:t xml:space="preserve"> </w:t>
            </w:r>
            <w:r w:rsidR="00850809">
              <w:rPr>
                <w:sz w:val="22"/>
                <w:szCs w:val="22"/>
              </w:rPr>
              <w:t xml:space="preserve">genes are genes that determine the ability of a body’s immune system to distinguish between </w:t>
            </w:r>
            <w:r w:rsidR="00AC1613">
              <w:rPr>
                <w:sz w:val="22"/>
                <w:szCs w:val="22"/>
              </w:rPr>
              <w:t>that</w:t>
            </w:r>
            <w:r w:rsidR="00850809">
              <w:rPr>
                <w:sz w:val="22"/>
                <w:szCs w:val="22"/>
              </w:rPr>
              <w:t xml:space="preserve"> body’s own cells and the cells of foreign invaders like viruses and bacteria</w:t>
            </w:r>
            <w:r w:rsidR="00D57534">
              <w:rPr>
                <w:sz w:val="22"/>
                <w:szCs w:val="22"/>
              </w:rPr>
              <w:t>.</w:t>
            </w:r>
            <w:r w:rsidR="00D24841">
              <w:rPr>
                <w:sz w:val="22"/>
                <w:szCs w:val="22"/>
              </w:rPr>
              <w:t xml:space="preserve"> </w:t>
            </w:r>
            <w:r w:rsidR="00850809" w:rsidRPr="007E3611">
              <w:rPr>
                <w:i/>
                <w:iCs/>
                <w:sz w:val="22"/>
                <w:szCs w:val="22"/>
              </w:rPr>
              <w:t>HLA</w:t>
            </w:r>
            <w:r w:rsidR="00850809">
              <w:rPr>
                <w:sz w:val="22"/>
                <w:szCs w:val="22"/>
              </w:rPr>
              <w:t xml:space="preserve"> variants are different forms of a </w:t>
            </w:r>
            <w:r w:rsidR="00850809" w:rsidRPr="007E3611">
              <w:rPr>
                <w:i/>
                <w:iCs/>
                <w:sz w:val="22"/>
                <w:szCs w:val="22"/>
              </w:rPr>
              <w:t>HLA</w:t>
            </w:r>
            <w:r w:rsidR="00850809">
              <w:rPr>
                <w:sz w:val="22"/>
                <w:szCs w:val="22"/>
              </w:rPr>
              <w:t xml:space="preserve"> gene which are naturally occurring.</w:t>
            </w:r>
          </w:p>
          <w:p w14:paraId="119DA0DB" w14:textId="77777777" w:rsidR="00CE331C" w:rsidRDefault="00A14E54" w:rsidP="00A14E54">
            <w:pPr>
              <w:rPr>
                <w:sz w:val="22"/>
                <w:szCs w:val="22"/>
              </w:rPr>
            </w:pPr>
            <w:r w:rsidRPr="00A14E54">
              <w:rPr>
                <w:sz w:val="22"/>
                <w:szCs w:val="22"/>
              </w:rPr>
              <w:t>CBZ and OXC are medicines that are used to treat epilepsy and some other conditions. Some people can have serious, life-threatening reactions to these medicines.</w:t>
            </w:r>
            <w:r w:rsidR="00FE1BE3">
              <w:rPr>
                <w:sz w:val="22"/>
                <w:szCs w:val="22"/>
              </w:rPr>
              <w:t xml:space="preserve"> </w:t>
            </w:r>
            <w:r w:rsidRPr="00A14E54">
              <w:rPr>
                <w:sz w:val="22"/>
                <w:szCs w:val="22"/>
              </w:rPr>
              <w:t xml:space="preserve">These serious reactions are more common in people who have one or more specific types of </w:t>
            </w:r>
            <w:r w:rsidRPr="00A14E54">
              <w:rPr>
                <w:i/>
                <w:iCs/>
                <w:sz w:val="22"/>
                <w:szCs w:val="22"/>
              </w:rPr>
              <w:t>HLA</w:t>
            </w:r>
            <w:r w:rsidRPr="00A14E54">
              <w:rPr>
                <w:sz w:val="22"/>
                <w:szCs w:val="22"/>
              </w:rPr>
              <w:t xml:space="preserve"> </w:t>
            </w:r>
            <w:r w:rsidR="006F21C0">
              <w:rPr>
                <w:sz w:val="22"/>
                <w:szCs w:val="22"/>
              </w:rPr>
              <w:t>variants</w:t>
            </w:r>
            <w:r w:rsidRPr="00A14E54">
              <w:rPr>
                <w:sz w:val="22"/>
                <w:szCs w:val="22"/>
              </w:rPr>
              <w:t xml:space="preserve">. </w:t>
            </w:r>
            <w:r w:rsidR="00CE331C">
              <w:rPr>
                <w:sz w:val="22"/>
                <w:szCs w:val="22"/>
              </w:rPr>
              <w:t xml:space="preserve">Having one of these HLA genes does not </w:t>
            </w:r>
            <w:r w:rsidR="00CE331C" w:rsidRPr="00B00EA2">
              <w:rPr>
                <w:i/>
                <w:iCs/>
                <w:sz w:val="22"/>
                <w:szCs w:val="22"/>
              </w:rPr>
              <w:t>guarantee</w:t>
            </w:r>
            <w:r w:rsidR="00CE331C">
              <w:rPr>
                <w:sz w:val="22"/>
                <w:szCs w:val="22"/>
              </w:rPr>
              <w:t xml:space="preserve"> a person will have a serious reaction, however. Sometimes, people who don’t have the </w:t>
            </w:r>
            <w:r w:rsidR="00CE331C" w:rsidRPr="00D4102D">
              <w:rPr>
                <w:i/>
                <w:iCs/>
                <w:sz w:val="22"/>
                <w:szCs w:val="22"/>
              </w:rPr>
              <w:t>HLA</w:t>
            </w:r>
            <w:r w:rsidR="00CE331C">
              <w:rPr>
                <w:sz w:val="22"/>
                <w:szCs w:val="22"/>
              </w:rPr>
              <w:t xml:space="preserve"> genes can still have serious reactions</w:t>
            </w:r>
            <w:r w:rsidR="00CE331C" w:rsidRPr="00A14E54">
              <w:rPr>
                <w:sz w:val="22"/>
                <w:szCs w:val="22"/>
              </w:rPr>
              <w:t xml:space="preserve"> </w:t>
            </w:r>
            <w:r w:rsidR="00CE331C">
              <w:rPr>
                <w:sz w:val="22"/>
                <w:szCs w:val="22"/>
              </w:rPr>
              <w:t>.</w:t>
            </w:r>
          </w:p>
          <w:p w14:paraId="41FAB70E" w14:textId="127747F1" w:rsidR="00A14E54" w:rsidRPr="00A14E54" w:rsidRDefault="00A14E54" w:rsidP="00A14E54">
            <w:pPr>
              <w:rPr>
                <w:sz w:val="22"/>
                <w:szCs w:val="22"/>
              </w:rPr>
            </w:pPr>
            <w:r w:rsidRPr="00A14E54">
              <w:rPr>
                <w:sz w:val="22"/>
                <w:szCs w:val="22"/>
              </w:rPr>
              <w:t xml:space="preserve">This application is for testing of a person’s </w:t>
            </w:r>
            <w:r w:rsidRPr="00A14E54">
              <w:rPr>
                <w:i/>
                <w:iCs/>
                <w:sz w:val="22"/>
                <w:szCs w:val="22"/>
              </w:rPr>
              <w:t>HLA</w:t>
            </w:r>
            <w:r w:rsidRPr="00A14E54">
              <w:rPr>
                <w:sz w:val="22"/>
                <w:szCs w:val="22"/>
              </w:rPr>
              <w:t xml:space="preserve"> </w:t>
            </w:r>
            <w:r w:rsidR="006F21C0">
              <w:rPr>
                <w:sz w:val="22"/>
                <w:szCs w:val="22"/>
              </w:rPr>
              <w:t>variants</w:t>
            </w:r>
            <w:r w:rsidRPr="00A14E54">
              <w:rPr>
                <w:sz w:val="22"/>
                <w:szCs w:val="22"/>
              </w:rPr>
              <w:t xml:space="preserve"> before they start treatment with CBZ or OXC. If the person is positive for one or more of the </w:t>
            </w:r>
            <w:r w:rsidRPr="00A14E54">
              <w:rPr>
                <w:i/>
                <w:iCs/>
                <w:sz w:val="22"/>
                <w:szCs w:val="22"/>
              </w:rPr>
              <w:t>HLA</w:t>
            </w:r>
            <w:r w:rsidRPr="00A14E54">
              <w:rPr>
                <w:sz w:val="22"/>
                <w:szCs w:val="22"/>
              </w:rPr>
              <w:t xml:space="preserve"> </w:t>
            </w:r>
            <w:r w:rsidR="006F21C0">
              <w:rPr>
                <w:sz w:val="22"/>
                <w:szCs w:val="22"/>
              </w:rPr>
              <w:t xml:space="preserve">variants </w:t>
            </w:r>
            <w:r w:rsidRPr="00A14E54">
              <w:rPr>
                <w:sz w:val="22"/>
                <w:szCs w:val="22"/>
              </w:rPr>
              <w:t xml:space="preserve">associated with serious </w:t>
            </w:r>
            <w:r w:rsidR="003E6537">
              <w:rPr>
                <w:sz w:val="22"/>
                <w:szCs w:val="22"/>
              </w:rPr>
              <w:t>reactions to CBZ or OXC</w:t>
            </w:r>
            <w:r w:rsidRPr="00A14E54">
              <w:rPr>
                <w:sz w:val="22"/>
                <w:szCs w:val="22"/>
              </w:rPr>
              <w:t xml:space="preserve">, they can choose to have a different medicine </w:t>
            </w:r>
            <w:r w:rsidR="00D152F9">
              <w:rPr>
                <w:sz w:val="22"/>
                <w:szCs w:val="22"/>
              </w:rPr>
              <w:t xml:space="preserve">to </w:t>
            </w:r>
            <w:r w:rsidRPr="00A14E54">
              <w:rPr>
                <w:sz w:val="22"/>
                <w:szCs w:val="22"/>
              </w:rPr>
              <w:t xml:space="preserve">avoid the risk of </w:t>
            </w:r>
            <w:r w:rsidR="00654D55">
              <w:rPr>
                <w:sz w:val="22"/>
                <w:szCs w:val="22"/>
              </w:rPr>
              <w:t>the</w:t>
            </w:r>
            <w:r w:rsidRPr="00A14E54">
              <w:rPr>
                <w:sz w:val="22"/>
                <w:szCs w:val="22"/>
              </w:rPr>
              <w:t xml:space="preserve"> reactions.</w:t>
            </w:r>
          </w:p>
          <w:p w14:paraId="4A4D7352" w14:textId="60B4391D" w:rsidR="00A14E54" w:rsidRPr="00A14E54" w:rsidRDefault="00A14E54" w:rsidP="00A14E54">
            <w:pPr>
              <w:rPr>
                <w:sz w:val="22"/>
                <w:szCs w:val="22"/>
              </w:rPr>
            </w:pPr>
            <w:r w:rsidRPr="00A14E54">
              <w:rPr>
                <w:sz w:val="22"/>
                <w:szCs w:val="22"/>
              </w:rPr>
              <w:t xml:space="preserve">MSAC considered that the </w:t>
            </w:r>
            <w:r w:rsidRPr="00A14E54">
              <w:rPr>
                <w:i/>
                <w:iCs/>
                <w:sz w:val="22"/>
                <w:szCs w:val="22"/>
              </w:rPr>
              <w:t>HLA</w:t>
            </w:r>
            <w:r w:rsidRPr="00A14E54">
              <w:rPr>
                <w:sz w:val="22"/>
                <w:szCs w:val="22"/>
              </w:rPr>
              <w:t xml:space="preserve"> test was safe and accurate</w:t>
            </w:r>
            <w:r w:rsidR="00CD73A1">
              <w:rPr>
                <w:sz w:val="22"/>
                <w:szCs w:val="22"/>
              </w:rPr>
              <w:t xml:space="preserve"> in detecting the HLA variants</w:t>
            </w:r>
            <w:r w:rsidRPr="00A14E54">
              <w:rPr>
                <w:sz w:val="22"/>
                <w:szCs w:val="22"/>
              </w:rPr>
              <w:t xml:space="preserve">. MSAC considered that the test should be used as a way for clinicians and patients to assess </w:t>
            </w:r>
            <w:r w:rsidR="003A6772">
              <w:rPr>
                <w:sz w:val="22"/>
                <w:szCs w:val="22"/>
              </w:rPr>
              <w:t>a patient’s</w:t>
            </w:r>
            <w:r w:rsidR="003A6772" w:rsidRPr="00A14E54">
              <w:rPr>
                <w:sz w:val="22"/>
                <w:szCs w:val="22"/>
              </w:rPr>
              <w:t xml:space="preserve"> </w:t>
            </w:r>
            <w:r w:rsidRPr="00A14E54">
              <w:rPr>
                <w:sz w:val="22"/>
                <w:szCs w:val="22"/>
              </w:rPr>
              <w:t xml:space="preserve">risk of having a </w:t>
            </w:r>
            <w:r w:rsidR="004F7F99">
              <w:rPr>
                <w:sz w:val="22"/>
                <w:szCs w:val="22"/>
              </w:rPr>
              <w:t xml:space="preserve">serious </w:t>
            </w:r>
            <w:r w:rsidRPr="00A14E54">
              <w:rPr>
                <w:sz w:val="22"/>
                <w:szCs w:val="22"/>
              </w:rPr>
              <w:t>reaction, not as a definite diagnosis</w:t>
            </w:r>
            <w:r w:rsidR="00DE163E">
              <w:rPr>
                <w:sz w:val="22"/>
                <w:szCs w:val="22"/>
              </w:rPr>
              <w:t xml:space="preserve"> of a sensitivity to the </w:t>
            </w:r>
            <w:r w:rsidR="00DE163E">
              <w:rPr>
                <w:sz w:val="22"/>
                <w:szCs w:val="22"/>
              </w:rPr>
              <w:lastRenderedPageBreak/>
              <w:t>medicines</w:t>
            </w:r>
            <w:r w:rsidRPr="00A14E54">
              <w:rPr>
                <w:sz w:val="22"/>
                <w:szCs w:val="22"/>
              </w:rPr>
              <w:t xml:space="preserve">. MSAC also considered that there might be some </w:t>
            </w:r>
            <w:r w:rsidR="004D304C">
              <w:rPr>
                <w:sz w:val="22"/>
                <w:szCs w:val="22"/>
              </w:rPr>
              <w:t>uncommon</w:t>
            </w:r>
            <w:r w:rsidRPr="00A14E54">
              <w:rPr>
                <w:sz w:val="22"/>
                <w:szCs w:val="22"/>
              </w:rPr>
              <w:t xml:space="preserve"> cases where treatment needs to start urgently before the test results are known. MSAC considered that this was acceptable and should be up to the clinician and the patient to decide their risks and benefits.</w:t>
            </w:r>
          </w:p>
          <w:p w14:paraId="1004CB5C" w14:textId="1561676F" w:rsidR="00D155C0" w:rsidRPr="00A14E54" w:rsidRDefault="00A14E54" w:rsidP="00A14E54">
            <w:pPr>
              <w:rPr>
                <w:sz w:val="22"/>
                <w:szCs w:val="22"/>
              </w:rPr>
            </w:pPr>
            <w:r w:rsidRPr="00A14E54">
              <w:rPr>
                <w:sz w:val="22"/>
                <w:szCs w:val="22"/>
              </w:rPr>
              <w:t xml:space="preserve">MSAC considered that the proposed fee </w:t>
            </w:r>
            <w:r w:rsidR="00070540">
              <w:rPr>
                <w:sz w:val="22"/>
                <w:szCs w:val="22"/>
              </w:rPr>
              <w:t>for the test</w:t>
            </w:r>
            <w:r w:rsidRPr="00A14E54">
              <w:rPr>
                <w:sz w:val="22"/>
                <w:szCs w:val="22"/>
              </w:rPr>
              <w:t xml:space="preserve"> was too high and advised the department to revise this. MSAC </w:t>
            </w:r>
            <w:r w:rsidR="00B02D05">
              <w:rPr>
                <w:sz w:val="22"/>
                <w:szCs w:val="22"/>
              </w:rPr>
              <w:t>considered</w:t>
            </w:r>
            <w:r w:rsidR="00411513">
              <w:rPr>
                <w:sz w:val="22"/>
                <w:szCs w:val="22"/>
              </w:rPr>
              <w:t xml:space="preserve"> the test was good value for money</w:t>
            </w:r>
            <w:r w:rsidRPr="00A14E54">
              <w:rPr>
                <w:sz w:val="22"/>
                <w:szCs w:val="22"/>
              </w:rPr>
              <w:t xml:space="preserve">, </w:t>
            </w:r>
            <w:r w:rsidR="0013529F">
              <w:rPr>
                <w:sz w:val="22"/>
                <w:szCs w:val="22"/>
              </w:rPr>
              <w:t>and</w:t>
            </w:r>
            <w:r w:rsidRPr="00A14E54">
              <w:rPr>
                <w:sz w:val="22"/>
                <w:szCs w:val="22"/>
              </w:rPr>
              <w:t xml:space="preserve"> the </w:t>
            </w:r>
            <w:r w:rsidR="006E75DB">
              <w:rPr>
                <w:sz w:val="22"/>
                <w:szCs w:val="22"/>
              </w:rPr>
              <w:t xml:space="preserve">overall </w:t>
            </w:r>
            <w:r w:rsidRPr="00A14E54">
              <w:rPr>
                <w:sz w:val="22"/>
                <w:szCs w:val="22"/>
              </w:rPr>
              <w:t xml:space="preserve">cost </w:t>
            </w:r>
            <w:r w:rsidR="006E75DB">
              <w:rPr>
                <w:sz w:val="22"/>
                <w:szCs w:val="22"/>
              </w:rPr>
              <w:t xml:space="preserve">of the test </w:t>
            </w:r>
            <w:r w:rsidRPr="00A14E54">
              <w:rPr>
                <w:sz w:val="22"/>
                <w:szCs w:val="22"/>
              </w:rPr>
              <w:t>to the MBS was modest.</w:t>
            </w:r>
          </w:p>
          <w:p w14:paraId="22FA4F28" w14:textId="77777777" w:rsidR="00D155C0" w:rsidRPr="00F91D6E" w:rsidRDefault="00D155C0">
            <w:pPr>
              <w:keepNext/>
              <w:keepLines/>
              <w:spacing w:line="259" w:lineRule="auto"/>
              <w:rPr>
                <w:b/>
                <w:bCs/>
              </w:rPr>
            </w:pPr>
            <w:r w:rsidRPr="00F91D6E">
              <w:rPr>
                <w:b/>
                <w:bCs/>
              </w:rPr>
              <w:t>MSAC’s advice to the Commonwealth Minister for Health and Aged Care</w:t>
            </w:r>
          </w:p>
          <w:p w14:paraId="77BB76FD" w14:textId="3724C3A9" w:rsidR="00D155C0" w:rsidRPr="008134D1" w:rsidRDefault="6589B0FE">
            <w:pPr>
              <w:spacing w:line="259" w:lineRule="auto"/>
              <w:rPr>
                <w:sz w:val="22"/>
                <w:szCs w:val="22"/>
              </w:rPr>
            </w:pPr>
            <w:r w:rsidRPr="111042A2">
              <w:rPr>
                <w:sz w:val="22"/>
                <w:szCs w:val="22"/>
              </w:rPr>
              <w:t>MSAC supported MBS listing of</w:t>
            </w:r>
            <w:r w:rsidR="0B61C845" w:rsidRPr="111042A2">
              <w:rPr>
                <w:sz w:val="22"/>
                <w:szCs w:val="22"/>
              </w:rPr>
              <w:t xml:space="preserve"> genetic testing of </w:t>
            </w:r>
            <w:r w:rsidRPr="111042A2">
              <w:rPr>
                <w:i/>
                <w:iCs/>
                <w:sz w:val="22"/>
                <w:szCs w:val="22"/>
              </w:rPr>
              <w:t>HLA</w:t>
            </w:r>
            <w:r w:rsidRPr="111042A2">
              <w:rPr>
                <w:sz w:val="22"/>
                <w:szCs w:val="22"/>
              </w:rPr>
              <w:t xml:space="preserve"> </w:t>
            </w:r>
            <w:r w:rsidR="0B61C845" w:rsidRPr="111042A2">
              <w:rPr>
                <w:sz w:val="22"/>
                <w:szCs w:val="22"/>
              </w:rPr>
              <w:t>variants</w:t>
            </w:r>
            <w:r w:rsidR="54953288" w:rsidRPr="111042A2">
              <w:rPr>
                <w:sz w:val="22"/>
                <w:szCs w:val="22"/>
              </w:rPr>
              <w:t xml:space="preserve"> </w:t>
            </w:r>
            <w:r w:rsidRPr="111042A2">
              <w:rPr>
                <w:sz w:val="22"/>
                <w:szCs w:val="22"/>
              </w:rPr>
              <w:t>for hypersensitivity to CBZ and OXC. MSAC considered the test to be safe and accurate, that it would help avoid serious harm for some patients, and that it was likely good value for money.</w:t>
            </w:r>
          </w:p>
        </w:tc>
      </w:tr>
    </w:tbl>
    <w:p w14:paraId="7A0A9B5A" w14:textId="77777777" w:rsidR="00D155C0" w:rsidRPr="00D155C0" w:rsidRDefault="00D155C0" w:rsidP="00A737D1">
      <w:pPr>
        <w:pStyle w:val="Heading2"/>
        <w:numPr>
          <w:ilvl w:val="0"/>
          <w:numId w:val="21"/>
        </w:numPr>
        <w:ind w:hanging="720"/>
      </w:pPr>
      <w:r w:rsidRPr="003A793E">
        <w:lastRenderedPageBreak/>
        <w:t>Summary of consideration and rationale for MSAC’s advice</w:t>
      </w:r>
    </w:p>
    <w:bookmarkEnd w:id="6"/>
    <w:p w14:paraId="409B85B1" w14:textId="288292B8" w:rsidR="00170468" w:rsidRPr="00170468" w:rsidRDefault="00170468" w:rsidP="00170468">
      <w:pPr>
        <w:rPr>
          <w:sz w:val="22"/>
          <w:szCs w:val="22"/>
        </w:rPr>
      </w:pPr>
      <w:r w:rsidRPr="00170468">
        <w:rPr>
          <w:sz w:val="22"/>
          <w:szCs w:val="22"/>
        </w:rPr>
        <w:t xml:space="preserve">MSAC noted the purpose of this application was to request MBS funding for testing of </w:t>
      </w:r>
      <w:r w:rsidRPr="00170468">
        <w:rPr>
          <w:i/>
          <w:iCs/>
          <w:sz w:val="22"/>
          <w:szCs w:val="22"/>
        </w:rPr>
        <w:t>HLA-</w:t>
      </w:r>
      <w:r w:rsidRPr="00170468">
        <w:rPr>
          <w:sz w:val="22"/>
          <w:szCs w:val="22"/>
        </w:rPr>
        <w:t xml:space="preserve">A*31:01 and </w:t>
      </w:r>
      <w:r w:rsidRPr="00170468">
        <w:rPr>
          <w:i/>
          <w:iCs/>
          <w:sz w:val="22"/>
          <w:szCs w:val="22"/>
        </w:rPr>
        <w:t>HLA-</w:t>
      </w:r>
      <w:r w:rsidRPr="00170468">
        <w:rPr>
          <w:sz w:val="22"/>
          <w:szCs w:val="22"/>
        </w:rPr>
        <w:t>B</w:t>
      </w:r>
      <w:r w:rsidR="0021434A">
        <w:rPr>
          <w:sz w:val="22"/>
          <w:szCs w:val="22"/>
        </w:rPr>
        <w:t>*</w:t>
      </w:r>
      <w:r w:rsidRPr="00170468">
        <w:rPr>
          <w:sz w:val="22"/>
          <w:szCs w:val="22"/>
        </w:rPr>
        <w:t xml:space="preserve">15:02 </w:t>
      </w:r>
      <w:r w:rsidR="00BA77DF">
        <w:rPr>
          <w:sz w:val="22"/>
          <w:szCs w:val="22"/>
        </w:rPr>
        <w:t xml:space="preserve">variants </w:t>
      </w:r>
      <w:r w:rsidRPr="00170468">
        <w:rPr>
          <w:sz w:val="22"/>
          <w:szCs w:val="22"/>
        </w:rPr>
        <w:t>to predict carbamazepine (CBZ) and oxcarbazepine (OXC)–related drug hypersensitivity reactions in patients about to start these treatments.</w:t>
      </w:r>
    </w:p>
    <w:p w14:paraId="2964A288" w14:textId="78AB0375" w:rsidR="00170468" w:rsidRPr="00170468" w:rsidRDefault="00170468" w:rsidP="00170468">
      <w:pPr>
        <w:rPr>
          <w:sz w:val="22"/>
          <w:szCs w:val="22"/>
        </w:rPr>
      </w:pPr>
      <w:r w:rsidRPr="00170468">
        <w:rPr>
          <w:sz w:val="22"/>
          <w:szCs w:val="22"/>
        </w:rPr>
        <w:t xml:space="preserve">MSAC noted that CBZ and OXC are often used first line for the treatment of epilepsy (mainly focal) and trigeminal neuralgia. In addition to common side effects, several severe, painful, life-threatening reactions can occur in some people, such as Stevens-Johnson syndrome (SJS), toxic epidermal necrolysis (TEN), and eosinophilia and systemic symptoms syndrome (DRESS). These reactions are more common people with </w:t>
      </w:r>
      <w:r w:rsidRPr="00170468">
        <w:rPr>
          <w:i/>
          <w:iCs/>
          <w:sz w:val="22"/>
          <w:szCs w:val="22"/>
        </w:rPr>
        <w:t>HLA-</w:t>
      </w:r>
      <w:r w:rsidRPr="00170468">
        <w:rPr>
          <w:sz w:val="22"/>
          <w:szCs w:val="22"/>
        </w:rPr>
        <w:t xml:space="preserve">A*31:01 or </w:t>
      </w:r>
      <w:r w:rsidRPr="00170468">
        <w:rPr>
          <w:i/>
          <w:iCs/>
          <w:sz w:val="22"/>
          <w:szCs w:val="22"/>
        </w:rPr>
        <w:t>HLA-</w:t>
      </w:r>
      <w:r w:rsidRPr="00170468">
        <w:rPr>
          <w:sz w:val="22"/>
          <w:szCs w:val="22"/>
        </w:rPr>
        <w:t>B</w:t>
      </w:r>
      <w:r w:rsidR="0087545E">
        <w:rPr>
          <w:sz w:val="22"/>
          <w:szCs w:val="22"/>
        </w:rPr>
        <w:t>*</w:t>
      </w:r>
      <w:r w:rsidRPr="00170468">
        <w:rPr>
          <w:sz w:val="22"/>
          <w:szCs w:val="22"/>
        </w:rPr>
        <w:t xml:space="preserve">15:02 </w:t>
      </w:r>
      <w:r w:rsidR="00CE028E">
        <w:rPr>
          <w:sz w:val="22"/>
          <w:szCs w:val="22"/>
        </w:rPr>
        <w:t>variants</w:t>
      </w:r>
      <w:r w:rsidRPr="00170468">
        <w:rPr>
          <w:sz w:val="22"/>
          <w:szCs w:val="22"/>
        </w:rPr>
        <w:t xml:space="preserve"> (including many people with Asian </w:t>
      </w:r>
      <w:r w:rsidR="00C55041">
        <w:rPr>
          <w:sz w:val="22"/>
          <w:szCs w:val="22"/>
        </w:rPr>
        <w:t>ancestry</w:t>
      </w:r>
      <w:r w:rsidRPr="00170468">
        <w:rPr>
          <w:sz w:val="22"/>
          <w:szCs w:val="22"/>
        </w:rPr>
        <w:t xml:space="preserve">), but not exclusively. Positive status for these </w:t>
      </w:r>
      <w:r w:rsidR="008364BD">
        <w:rPr>
          <w:sz w:val="22"/>
          <w:szCs w:val="22"/>
        </w:rPr>
        <w:t>variants</w:t>
      </w:r>
      <w:r w:rsidRPr="00170468">
        <w:rPr>
          <w:sz w:val="22"/>
          <w:szCs w:val="22"/>
        </w:rPr>
        <w:t xml:space="preserve"> generally correlates with a risk of hypersensitivity reactions</w:t>
      </w:r>
      <w:r w:rsidR="00200DF8">
        <w:rPr>
          <w:sz w:val="22"/>
          <w:szCs w:val="22"/>
        </w:rPr>
        <w:t xml:space="preserve"> insofar as people with one or more of these variants are more p</w:t>
      </w:r>
      <w:r w:rsidR="00246FC1">
        <w:rPr>
          <w:sz w:val="22"/>
          <w:szCs w:val="22"/>
        </w:rPr>
        <w:t>rone to hypersensitivity reactions</w:t>
      </w:r>
      <w:r w:rsidRPr="00170468">
        <w:rPr>
          <w:sz w:val="22"/>
          <w:szCs w:val="22"/>
        </w:rPr>
        <w:t xml:space="preserve">, but </w:t>
      </w:r>
      <w:r w:rsidR="00DA4E83">
        <w:rPr>
          <w:sz w:val="22"/>
          <w:szCs w:val="22"/>
        </w:rPr>
        <w:t>the likelihood of a reaction</w:t>
      </w:r>
      <w:r w:rsidR="0011253B">
        <w:rPr>
          <w:sz w:val="22"/>
          <w:szCs w:val="22"/>
        </w:rPr>
        <w:t xml:space="preserve"> actually </w:t>
      </w:r>
      <w:r w:rsidR="0087562E">
        <w:rPr>
          <w:sz w:val="22"/>
          <w:szCs w:val="22"/>
        </w:rPr>
        <w:t>occurring</w:t>
      </w:r>
      <w:r w:rsidR="00DA4E83" w:rsidRPr="00170468">
        <w:rPr>
          <w:sz w:val="22"/>
          <w:szCs w:val="22"/>
        </w:rPr>
        <w:t xml:space="preserve"> </w:t>
      </w:r>
      <w:r w:rsidRPr="00170468">
        <w:rPr>
          <w:sz w:val="22"/>
          <w:szCs w:val="22"/>
        </w:rPr>
        <w:t xml:space="preserve">is variable and not definitive. </w:t>
      </w:r>
      <w:r w:rsidR="002035EB">
        <w:rPr>
          <w:sz w:val="22"/>
          <w:szCs w:val="22"/>
        </w:rPr>
        <w:t xml:space="preserve">Similarly people without these variants cannot be definitively ruled out from having a hypersensitivity reaction. </w:t>
      </w:r>
      <w:r w:rsidRPr="00170468">
        <w:rPr>
          <w:sz w:val="22"/>
          <w:szCs w:val="22"/>
        </w:rPr>
        <w:t xml:space="preserve">MSAC therefore considered </w:t>
      </w:r>
      <w:r w:rsidRPr="00170468">
        <w:rPr>
          <w:i/>
          <w:iCs/>
          <w:sz w:val="22"/>
          <w:szCs w:val="22"/>
        </w:rPr>
        <w:t>HLA</w:t>
      </w:r>
      <w:r w:rsidRPr="00170468">
        <w:rPr>
          <w:sz w:val="22"/>
          <w:szCs w:val="22"/>
        </w:rPr>
        <w:t xml:space="preserve"> testing to be a risk </w:t>
      </w:r>
      <w:r w:rsidR="00621BB1">
        <w:rPr>
          <w:sz w:val="22"/>
          <w:szCs w:val="22"/>
        </w:rPr>
        <w:t>prediction</w:t>
      </w:r>
      <w:r w:rsidR="00621BB1" w:rsidRPr="00170468">
        <w:rPr>
          <w:sz w:val="22"/>
          <w:szCs w:val="22"/>
        </w:rPr>
        <w:t xml:space="preserve"> </w:t>
      </w:r>
      <w:r w:rsidRPr="00170468">
        <w:rPr>
          <w:sz w:val="22"/>
          <w:szCs w:val="22"/>
        </w:rPr>
        <w:t>tool rather than a diagnostic tool. A positive result after testing would likely lead to avoidance of CBZ or OXC to avoid the risk of severe adverse reactions, and treatment with an alternative drug. MSAC considered that there was a clinical need for this test</w:t>
      </w:r>
      <w:r w:rsidR="00BA4EE0">
        <w:rPr>
          <w:sz w:val="22"/>
          <w:szCs w:val="22"/>
        </w:rPr>
        <w:t xml:space="preserve"> given that hypersensitivity reactions although rare can have </w:t>
      </w:r>
      <w:r w:rsidR="00E87A92">
        <w:rPr>
          <w:sz w:val="22"/>
          <w:szCs w:val="22"/>
        </w:rPr>
        <w:t xml:space="preserve">severe </w:t>
      </w:r>
      <w:r w:rsidR="00BA4EE0">
        <w:rPr>
          <w:sz w:val="22"/>
          <w:szCs w:val="22"/>
        </w:rPr>
        <w:t xml:space="preserve">health consequences for patients and </w:t>
      </w:r>
      <w:r w:rsidR="00067A40">
        <w:rPr>
          <w:sz w:val="22"/>
          <w:szCs w:val="22"/>
        </w:rPr>
        <w:t>given that this test is c</w:t>
      </w:r>
      <w:r w:rsidR="00067A40" w:rsidRPr="00067A40">
        <w:rPr>
          <w:sz w:val="22"/>
          <w:szCs w:val="22"/>
        </w:rPr>
        <w:t>urrently recommended in</w:t>
      </w:r>
      <w:r w:rsidR="00067A40">
        <w:rPr>
          <w:sz w:val="22"/>
          <w:szCs w:val="22"/>
        </w:rPr>
        <w:t xml:space="preserve"> </w:t>
      </w:r>
      <w:r w:rsidR="00891B64">
        <w:rPr>
          <w:sz w:val="22"/>
          <w:szCs w:val="22"/>
        </w:rPr>
        <w:t>clinic</w:t>
      </w:r>
      <w:r w:rsidR="00720AE7">
        <w:rPr>
          <w:sz w:val="22"/>
          <w:szCs w:val="22"/>
        </w:rPr>
        <w:t>al</w:t>
      </w:r>
      <w:r w:rsidR="00891B64" w:rsidRPr="00067A40">
        <w:rPr>
          <w:sz w:val="22"/>
          <w:szCs w:val="22"/>
        </w:rPr>
        <w:t xml:space="preserve"> </w:t>
      </w:r>
      <w:r w:rsidR="00067A40" w:rsidRPr="00067A40">
        <w:rPr>
          <w:sz w:val="22"/>
          <w:szCs w:val="22"/>
        </w:rPr>
        <w:t>guideline</w:t>
      </w:r>
      <w:r w:rsidR="000A7D18">
        <w:rPr>
          <w:sz w:val="22"/>
          <w:szCs w:val="22"/>
        </w:rPr>
        <w:t>s</w:t>
      </w:r>
      <w:r w:rsidR="00891B64">
        <w:rPr>
          <w:sz w:val="22"/>
          <w:szCs w:val="22"/>
        </w:rPr>
        <w:t xml:space="preserve">, </w:t>
      </w:r>
      <w:r w:rsidR="00067A40">
        <w:rPr>
          <w:sz w:val="22"/>
          <w:szCs w:val="22"/>
        </w:rPr>
        <w:t>a</w:t>
      </w:r>
      <w:r w:rsidR="0076097E">
        <w:rPr>
          <w:sz w:val="22"/>
          <w:szCs w:val="22"/>
        </w:rPr>
        <w:t xml:space="preserve">lbeit </w:t>
      </w:r>
      <w:r w:rsidR="00945DE5">
        <w:rPr>
          <w:sz w:val="22"/>
          <w:szCs w:val="22"/>
        </w:rPr>
        <w:t xml:space="preserve">the Australian Therapeutic Guidelines </w:t>
      </w:r>
      <w:r w:rsidR="00720AE7">
        <w:rPr>
          <w:sz w:val="22"/>
          <w:szCs w:val="22"/>
        </w:rPr>
        <w:t>advis</w:t>
      </w:r>
      <w:r w:rsidR="00456452">
        <w:rPr>
          <w:sz w:val="22"/>
          <w:szCs w:val="22"/>
        </w:rPr>
        <w:t>es</w:t>
      </w:r>
      <w:r w:rsidR="00720AE7">
        <w:rPr>
          <w:sz w:val="22"/>
          <w:szCs w:val="22"/>
        </w:rPr>
        <w:t xml:space="preserve"> </w:t>
      </w:r>
      <w:r w:rsidR="0076097E">
        <w:rPr>
          <w:sz w:val="22"/>
          <w:szCs w:val="22"/>
        </w:rPr>
        <w:t>test</w:t>
      </w:r>
      <w:r w:rsidR="00720AE7">
        <w:rPr>
          <w:sz w:val="22"/>
          <w:szCs w:val="22"/>
        </w:rPr>
        <w:t>ing for</w:t>
      </w:r>
      <w:r w:rsidR="0076097E">
        <w:rPr>
          <w:sz w:val="22"/>
          <w:szCs w:val="22"/>
        </w:rPr>
        <w:t xml:space="preserve"> </w:t>
      </w:r>
      <w:r w:rsidR="00067A40" w:rsidRPr="00067A40">
        <w:rPr>
          <w:sz w:val="22"/>
          <w:szCs w:val="22"/>
        </w:rPr>
        <w:t xml:space="preserve">people </w:t>
      </w:r>
      <w:r w:rsidR="000A7D18">
        <w:rPr>
          <w:sz w:val="22"/>
          <w:szCs w:val="22"/>
        </w:rPr>
        <w:t xml:space="preserve">of </w:t>
      </w:r>
      <w:r w:rsidR="00067A40" w:rsidRPr="00067A40">
        <w:rPr>
          <w:sz w:val="22"/>
          <w:szCs w:val="22"/>
        </w:rPr>
        <w:t xml:space="preserve">Asian </w:t>
      </w:r>
      <w:r w:rsidR="000A7D18">
        <w:rPr>
          <w:sz w:val="22"/>
          <w:szCs w:val="22"/>
        </w:rPr>
        <w:t>ancestry</w:t>
      </w:r>
      <w:r w:rsidR="0076097E">
        <w:rPr>
          <w:sz w:val="22"/>
          <w:szCs w:val="22"/>
        </w:rPr>
        <w:t xml:space="preserve">. </w:t>
      </w:r>
      <w:r w:rsidR="005125EB">
        <w:rPr>
          <w:sz w:val="22"/>
          <w:szCs w:val="22"/>
        </w:rPr>
        <w:t xml:space="preserve">MSAC noted feedback from the applicant’s pre-MSAC response that </w:t>
      </w:r>
      <w:r w:rsidR="005125EB" w:rsidRPr="005125EB">
        <w:rPr>
          <w:sz w:val="22"/>
          <w:szCs w:val="22"/>
        </w:rPr>
        <w:t>HLA genotyping in general has been broadly adopted and</w:t>
      </w:r>
      <w:r w:rsidR="005125EB">
        <w:rPr>
          <w:sz w:val="22"/>
          <w:szCs w:val="22"/>
        </w:rPr>
        <w:t xml:space="preserve"> testing for the</w:t>
      </w:r>
      <w:r w:rsidR="005125EB" w:rsidRPr="005125EB">
        <w:rPr>
          <w:sz w:val="22"/>
          <w:szCs w:val="22"/>
        </w:rPr>
        <w:t xml:space="preserve"> HLA-B</w:t>
      </w:r>
      <w:r w:rsidR="0026227D">
        <w:rPr>
          <w:sz w:val="22"/>
          <w:szCs w:val="22"/>
        </w:rPr>
        <w:t>*</w:t>
      </w:r>
      <w:r w:rsidR="005125EB" w:rsidRPr="005125EB">
        <w:rPr>
          <w:sz w:val="22"/>
          <w:szCs w:val="22"/>
        </w:rPr>
        <w:t xml:space="preserve">15:02 </w:t>
      </w:r>
      <w:r w:rsidR="005125EB">
        <w:rPr>
          <w:sz w:val="22"/>
          <w:szCs w:val="22"/>
        </w:rPr>
        <w:t xml:space="preserve">variant </w:t>
      </w:r>
      <w:r w:rsidR="005125EB" w:rsidRPr="005125EB">
        <w:rPr>
          <w:sz w:val="22"/>
          <w:szCs w:val="22"/>
        </w:rPr>
        <w:t>specifically remains a frequently requested test.</w:t>
      </w:r>
    </w:p>
    <w:p w14:paraId="14BBFCF9" w14:textId="0F3016B5" w:rsidR="00170468" w:rsidRPr="00170468" w:rsidRDefault="00170468" w:rsidP="00170468">
      <w:pPr>
        <w:rPr>
          <w:sz w:val="22"/>
          <w:szCs w:val="22"/>
        </w:rPr>
      </w:pPr>
      <w:r w:rsidRPr="00170468">
        <w:rPr>
          <w:sz w:val="22"/>
          <w:szCs w:val="22"/>
        </w:rPr>
        <w:t xml:space="preserve">MSAC reviewed the clinical management algorithm. </w:t>
      </w:r>
      <w:r w:rsidR="00B42251" w:rsidRPr="00170468">
        <w:rPr>
          <w:sz w:val="22"/>
          <w:szCs w:val="22"/>
        </w:rPr>
        <w:t xml:space="preserve">MSAC </w:t>
      </w:r>
      <w:r w:rsidR="00CD6D39">
        <w:rPr>
          <w:sz w:val="22"/>
          <w:szCs w:val="22"/>
        </w:rPr>
        <w:t xml:space="preserve">supported the Department’s proposal </w:t>
      </w:r>
      <w:r w:rsidR="00B42251" w:rsidRPr="00170468">
        <w:rPr>
          <w:sz w:val="22"/>
          <w:szCs w:val="22"/>
        </w:rPr>
        <w:t>that</w:t>
      </w:r>
      <w:r w:rsidR="00B42251">
        <w:rPr>
          <w:sz w:val="22"/>
          <w:szCs w:val="22"/>
        </w:rPr>
        <w:t xml:space="preserve"> the item descriptor should state that testing is conducted prior to or during initiation of treatment. </w:t>
      </w:r>
      <w:r w:rsidRPr="00170468">
        <w:rPr>
          <w:sz w:val="22"/>
          <w:szCs w:val="22"/>
        </w:rPr>
        <w:t xml:space="preserve">MSAC considered that, ideally and routinely, tests </w:t>
      </w:r>
      <w:r w:rsidR="00EE53E8">
        <w:rPr>
          <w:sz w:val="22"/>
          <w:szCs w:val="22"/>
        </w:rPr>
        <w:t xml:space="preserve">should be ordered and test </w:t>
      </w:r>
      <w:r w:rsidRPr="00170468">
        <w:rPr>
          <w:sz w:val="22"/>
          <w:szCs w:val="22"/>
        </w:rPr>
        <w:t xml:space="preserve">results known before starting treatment with CBZ or OXC. However, MSAC noted that, particularly for </w:t>
      </w:r>
      <w:r w:rsidR="00C01B16">
        <w:rPr>
          <w:sz w:val="22"/>
          <w:szCs w:val="22"/>
        </w:rPr>
        <w:t xml:space="preserve">patients </w:t>
      </w:r>
      <w:r w:rsidR="001767DF">
        <w:rPr>
          <w:sz w:val="22"/>
          <w:szCs w:val="22"/>
        </w:rPr>
        <w:t xml:space="preserve">with </w:t>
      </w:r>
      <w:r w:rsidRPr="00170468">
        <w:rPr>
          <w:sz w:val="22"/>
          <w:szCs w:val="22"/>
        </w:rPr>
        <w:t>trigeminal neuralgia</w:t>
      </w:r>
      <w:r w:rsidR="00C01B16">
        <w:rPr>
          <w:sz w:val="22"/>
          <w:szCs w:val="22"/>
        </w:rPr>
        <w:t xml:space="preserve"> who often experience severe pain</w:t>
      </w:r>
      <w:r w:rsidRPr="00170468">
        <w:rPr>
          <w:sz w:val="22"/>
          <w:szCs w:val="22"/>
        </w:rPr>
        <w:t xml:space="preserve">, there may be an urgent need to start treatment as soon as possible and it may not be appropriate to wait </w:t>
      </w:r>
      <w:r w:rsidR="0019648B">
        <w:rPr>
          <w:sz w:val="22"/>
          <w:szCs w:val="22"/>
        </w:rPr>
        <w:t>to start treatment</w:t>
      </w:r>
      <w:r w:rsidRPr="00170468">
        <w:rPr>
          <w:sz w:val="22"/>
          <w:szCs w:val="22"/>
        </w:rPr>
        <w:t xml:space="preserve"> </w:t>
      </w:r>
      <w:r w:rsidR="000601CF">
        <w:rPr>
          <w:sz w:val="22"/>
          <w:szCs w:val="22"/>
        </w:rPr>
        <w:t>before</w:t>
      </w:r>
      <w:r w:rsidRPr="00170468">
        <w:rPr>
          <w:sz w:val="22"/>
          <w:szCs w:val="22"/>
        </w:rPr>
        <w:t xml:space="preserve"> test results</w:t>
      </w:r>
      <w:r w:rsidR="000601CF">
        <w:rPr>
          <w:sz w:val="22"/>
          <w:szCs w:val="22"/>
        </w:rPr>
        <w:t xml:space="preserve"> are known</w:t>
      </w:r>
      <w:r w:rsidRPr="00170468">
        <w:rPr>
          <w:sz w:val="22"/>
          <w:szCs w:val="22"/>
        </w:rPr>
        <w:t>. In these exceptional and urgent cases, MSAC considered that it was acceptable to start treatment before the outcome of the test is known. MSAC advised that th</w:t>
      </w:r>
      <w:r w:rsidR="00B42251">
        <w:rPr>
          <w:sz w:val="22"/>
          <w:szCs w:val="22"/>
        </w:rPr>
        <w:t>ese considerations</w:t>
      </w:r>
      <w:r w:rsidR="00697313">
        <w:rPr>
          <w:sz w:val="22"/>
          <w:szCs w:val="22"/>
        </w:rPr>
        <w:t xml:space="preserve"> including the preference for testing prior to initiation of treatment</w:t>
      </w:r>
      <w:r w:rsidRPr="00170468">
        <w:rPr>
          <w:sz w:val="22"/>
          <w:szCs w:val="22"/>
        </w:rPr>
        <w:t xml:space="preserve"> should be included in the explanatory note to the MBS item descriptor</w:t>
      </w:r>
      <w:r w:rsidR="0020652C">
        <w:rPr>
          <w:sz w:val="22"/>
          <w:szCs w:val="22"/>
        </w:rPr>
        <w:t xml:space="preserve"> </w:t>
      </w:r>
      <w:r w:rsidRPr="00170468">
        <w:rPr>
          <w:sz w:val="22"/>
          <w:szCs w:val="22"/>
        </w:rPr>
        <w:t>and</w:t>
      </w:r>
      <w:r w:rsidR="00B42251">
        <w:rPr>
          <w:sz w:val="22"/>
          <w:szCs w:val="22"/>
        </w:rPr>
        <w:t xml:space="preserve"> the decision on when to test should</w:t>
      </w:r>
      <w:r w:rsidRPr="00170468">
        <w:rPr>
          <w:sz w:val="22"/>
          <w:szCs w:val="22"/>
        </w:rPr>
        <w:t xml:space="preserve"> be driven by clinical judgement.</w:t>
      </w:r>
    </w:p>
    <w:p w14:paraId="5C17377D" w14:textId="39A2D411" w:rsidR="00432F7D" w:rsidRDefault="00170468" w:rsidP="00432F7D">
      <w:pPr>
        <w:rPr>
          <w:sz w:val="22"/>
          <w:szCs w:val="22"/>
        </w:rPr>
      </w:pPr>
      <w:r w:rsidRPr="00170468">
        <w:rPr>
          <w:sz w:val="22"/>
          <w:szCs w:val="22"/>
        </w:rPr>
        <w:t xml:space="preserve">MSAC reviewed the proposed MBS item descriptor and confirmed that it should be agnostic </w:t>
      </w:r>
      <w:r w:rsidR="001265B0">
        <w:rPr>
          <w:sz w:val="22"/>
          <w:szCs w:val="22"/>
        </w:rPr>
        <w:t xml:space="preserve">to the medical condition </w:t>
      </w:r>
      <w:r w:rsidR="00621BB1">
        <w:rPr>
          <w:sz w:val="22"/>
          <w:szCs w:val="22"/>
        </w:rPr>
        <w:t xml:space="preserve">requiring treatment with CBZ or OXC </w:t>
      </w:r>
      <w:r w:rsidRPr="00170468">
        <w:rPr>
          <w:sz w:val="22"/>
          <w:szCs w:val="22"/>
        </w:rPr>
        <w:t xml:space="preserve">and specify </w:t>
      </w:r>
      <w:r w:rsidR="00047C7D">
        <w:rPr>
          <w:sz w:val="22"/>
          <w:szCs w:val="22"/>
        </w:rPr>
        <w:t xml:space="preserve">that it test for </w:t>
      </w:r>
      <w:r w:rsidRPr="00170468">
        <w:rPr>
          <w:sz w:val="22"/>
          <w:szCs w:val="22"/>
        </w:rPr>
        <w:t xml:space="preserve">a minimum </w:t>
      </w:r>
      <w:r w:rsidRPr="00170468">
        <w:rPr>
          <w:sz w:val="22"/>
          <w:szCs w:val="22"/>
        </w:rPr>
        <w:lastRenderedPageBreak/>
        <w:t xml:space="preserve">of </w:t>
      </w:r>
      <w:r w:rsidR="00047C7D">
        <w:rPr>
          <w:sz w:val="22"/>
          <w:szCs w:val="22"/>
        </w:rPr>
        <w:t>two variants</w:t>
      </w:r>
      <w:r w:rsidR="00E44494">
        <w:rPr>
          <w:sz w:val="22"/>
          <w:szCs w:val="22"/>
        </w:rPr>
        <w:t>,</w:t>
      </w:r>
      <w:r w:rsidR="00047C7D">
        <w:rPr>
          <w:sz w:val="22"/>
          <w:szCs w:val="22"/>
        </w:rPr>
        <w:t xml:space="preserve"> while the </w:t>
      </w:r>
      <w:r w:rsidR="00576443">
        <w:rPr>
          <w:sz w:val="22"/>
          <w:szCs w:val="22"/>
        </w:rPr>
        <w:t>E</w:t>
      </w:r>
      <w:r w:rsidR="00047C7D">
        <w:rPr>
          <w:sz w:val="22"/>
          <w:szCs w:val="22"/>
        </w:rPr>
        <w:t xml:space="preserve">xplanatory </w:t>
      </w:r>
      <w:r w:rsidR="00576443">
        <w:rPr>
          <w:sz w:val="22"/>
          <w:szCs w:val="22"/>
        </w:rPr>
        <w:t>N</w:t>
      </w:r>
      <w:r w:rsidR="00047C7D">
        <w:rPr>
          <w:sz w:val="22"/>
          <w:szCs w:val="22"/>
        </w:rPr>
        <w:t xml:space="preserve">ote should specify that </w:t>
      </w:r>
      <w:r w:rsidR="008C01A0">
        <w:rPr>
          <w:sz w:val="22"/>
          <w:szCs w:val="22"/>
        </w:rPr>
        <w:t xml:space="preserve">such testing should include </w:t>
      </w:r>
      <w:r w:rsidRPr="00170468">
        <w:rPr>
          <w:sz w:val="22"/>
          <w:szCs w:val="22"/>
        </w:rPr>
        <w:t xml:space="preserve">both </w:t>
      </w:r>
      <w:r w:rsidRPr="00170468">
        <w:rPr>
          <w:i/>
          <w:iCs/>
          <w:sz w:val="22"/>
          <w:szCs w:val="22"/>
        </w:rPr>
        <w:t>HLA-</w:t>
      </w:r>
      <w:r w:rsidRPr="00170468">
        <w:rPr>
          <w:sz w:val="22"/>
          <w:szCs w:val="22"/>
        </w:rPr>
        <w:t xml:space="preserve">A*31:01 and </w:t>
      </w:r>
      <w:r w:rsidRPr="00170468">
        <w:rPr>
          <w:i/>
          <w:iCs/>
          <w:sz w:val="22"/>
          <w:szCs w:val="22"/>
        </w:rPr>
        <w:t>HLA-</w:t>
      </w:r>
      <w:r w:rsidRPr="00170468">
        <w:rPr>
          <w:sz w:val="22"/>
          <w:szCs w:val="22"/>
        </w:rPr>
        <w:t>B</w:t>
      </w:r>
      <w:r w:rsidR="00864BF1">
        <w:rPr>
          <w:sz w:val="22"/>
          <w:szCs w:val="22"/>
        </w:rPr>
        <w:t>*</w:t>
      </w:r>
      <w:r w:rsidRPr="00170468">
        <w:rPr>
          <w:sz w:val="22"/>
          <w:szCs w:val="22"/>
        </w:rPr>
        <w:t xml:space="preserve">15:02 </w:t>
      </w:r>
      <w:r w:rsidR="008C01A0">
        <w:rPr>
          <w:sz w:val="22"/>
          <w:szCs w:val="22"/>
        </w:rPr>
        <w:t>variants</w:t>
      </w:r>
      <w:r w:rsidRPr="00170468">
        <w:rPr>
          <w:sz w:val="22"/>
          <w:szCs w:val="22"/>
        </w:rPr>
        <w:t xml:space="preserve">. MSAC considered that it was critical to </w:t>
      </w:r>
      <w:r w:rsidR="001C4CEA">
        <w:rPr>
          <w:sz w:val="22"/>
          <w:szCs w:val="22"/>
        </w:rPr>
        <w:t xml:space="preserve">explain </w:t>
      </w:r>
      <w:r w:rsidRPr="00170468">
        <w:rPr>
          <w:sz w:val="22"/>
          <w:szCs w:val="22"/>
        </w:rPr>
        <w:t xml:space="preserve">in the Explanatory Note that </w:t>
      </w:r>
      <w:r w:rsidR="001C4CEA">
        <w:rPr>
          <w:sz w:val="22"/>
          <w:szCs w:val="22"/>
        </w:rPr>
        <w:t>n</w:t>
      </w:r>
      <w:r w:rsidR="001C4CEA" w:rsidRPr="001C4CEA">
        <w:rPr>
          <w:sz w:val="22"/>
          <w:szCs w:val="22"/>
        </w:rPr>
        <w:t xml:space="preserve">ot all drug hypersensitivity reactions to carbamazepine or oxcarbazepine are linked to </w:t>
      </w:r>
      <w:r w:rsidR="00432F7D">
        <w:rPr>
          <w:sz w:val="22"/>
          <w:szCs w:val="22"/>
        </w:rPr>
        <w:t xml:space="preserve">the variants of interest and </w:t>
      </w:r>
      <w:r w:rsidR="001C4CEA" w:rsidRPr="001C4CEA">
        <w:rPr>
          <w:sz w:val="22"/>
          <w:szCs w:val="22"/>
        </w:rPr>
        <w:t xml:space="preserve">genetic testing cannot definitively exclude the possibility of a drug hypersensitivity event. </w:t>
      </w:r>
      <w:r w:rsidR="00432F7D">
        <w:rPr>
          <w:sz w:val="22"/>
          <w:szCs w:val="22"/>
        </w:rPr>
        <w:t xml:space="preserve">MSAC noted that the pre-MSAC response </w:t>
      </w:r>
      <w:r w:rsidR="00AF364B">
        <w:rPr>
          <w:sz w:val="22"/>
          <w:szCs w:val="22"/>
        </w:rPr>
        <w:t>had proposed a slightly amended version of t</w:t>
      </w:r>
      <w:r w:rsidR="00195D91">
        <w:rPr>
          <w:sz w:val="22"/>
          <w:szCs w:val="22"/>
        </w:rPr>
        <w:t>he</w:t>
      </w:r>
      <w:r w:rsidR="00AF364B">
        <w:rPr>
          <w:sz w:val="22"/>
          <w:szCs w:val="22"/>
        </w:rPr>
        <w:t xml:space="preserve"> </w:t>
      </w:r>
      <w:r w:rsidR="00805161">
        <w:rPr>
          <w:sz w:val="22"/>
          <w:szCs w:val="22"/>
        </w:rPr>
        <w:t>E</w:t>
      </w:r>
      <w:r w:rsidR="00AF364B">
        <w:rPr>
          <w:sz w:val="22"/>
          <w:szCs w:val="22"/>
        </w:rPr>
        <w:t xml:space="preserve">xplanatory </w:t>
      </w:r>
      <w:r w:rsidR="00805161">
        <w:rPr>
          <w:sz w:val="22"/>
          <w:szCs w:val="22"/>
        </w:rPr>
        <w:t>N</w:t>
      </w:r>
      <w:r w:rsidR="00AF364B">
        <w:rPr>
          <w:sz w:val="22"/>
          <w:szCs w:val="22"/>
        </w:rPr>
        <w:t xml:space="preserve">ote that involved referring the patient to genetic counselling </w:t>
      </w:r>
      <w:r w:rsidR="00195D91">
        <w:rPr>
          <w:sz w:val="22"/>
          <w:szCs w:val="22"/>
        </w:rPr>
        <w:t>but MSAC preferred the Explanatory Note as proposed by the Department</w:t>
      </w:r>
      <w:r w:rsidR="00B57A4B">
        <w:rPr>
          <w:sz w:val="22"/>
          <w:szCs w:val="22"/>
        </w:rPr>
        <w:t xml:space="preserve"> (Table 1)</w:t>
      </w:r>
      <w:r w:rsidR="00195D91">
        <w:rPr>
          <w:sz w:val="22"/>
          <w:szCs w:val="22"/>
        </w:rPr>
        <w:t>.</w:t>
      </w:r>
      <w:r w:rsidR="00A9077F">
        <w:rPr>
          <w:sz w:val="22"/>
          <w:szCs w:val="22"/>
        </w:rPr>
        <w:t xml:space="preserve"> </w:t>
      </w:r>
      <w:r w:rsidR="00CF71E4">
        <w:rPr>
          <w:sz w:val="22"/>
          <w:szCs w:val="22"/>
        </w:rPr>
        <w:t xml:space="preserve">MSAC also supported the Explanatory Note including </w:t>
      </w:r>
      <w:r w:rsidR="00A9077F">
        <w:rPr>
          <w:sz w:val="22"/>
          <w:szCs w:val="22"/>
        </w:rPr>
        <w:t xml:space="preserve">text </w:t>
      </w:r>
      <w:r w:rsidR="001214A9">
        <w:rPr>
          <w:sz w:val="22"/>
          <w:szCs w:val="22"/>
        </w:rPr>
        <w:t>recommending that g</w:t>
      </w:r>
      <w:r w:rsidR="001214A9" w:rsidRPr="001214A9">
        <w:rPr>
          <w:sz w:val="22"/>
          <w:szCs w:val="22"/>
        </w:rPr>
        <w:t>enetic testing should be in line with contemporaneous guidelines published by clinical organisations such as the Clinical Pharmacogenetics Implementation Consortium (CPIC) or The Epilepsy Society of Australia</w:t>
      </w:r>
      <w:r w:rsidR="001214A9">
        <w:rPr>
          <w:sz w:val="22"/>
          <w:szCs w:val="22"/>
        </w:rPr>
        <w:t>.</w:t>
      </w:r>
    </w:p>
    <w:p w14:paraId="0AE48D77" w14:textId="4F5CFFA5" w:rsidR="00170468" w:rsidRPr="00170468" w:rsidRDefault="007862EC" w:rsidP="00432F7D">
      <w:pPr>
        <w:rPr>
          <w:sz w:val="22"/>
          <w:szCs w:val="22"/>
        </w:rPr>
      </w:pPr>
      <w:r w:rsidRPr="111042A2">
        <w:rPr>
          <w:sz w:val="22"/>
          <w:szCs w:val="22"/>
        </w:rPr>
        <w:t>MSAC considered that the indication for the test should not be expanded to include all drugs of the dibenzoazepine class</w:t>
      </w:r>
      <w:r w:rsidR="00D64B48" w:rsidRPr="111042A2">
        <w:rPr>
          <w:sz w:val="22"/>
          <w:szCs w:val="22"/>
        </w:rPr>
        <w:t xml:space="preserve"> noting that the</w:t>
      </w:r>
      <w:r w:rsidR="007C3547" w:rsidRPr="111042A2">
        <w:rPr>
          <w:sz w:val="22"/>
          <w:szCs w:val="22"/>
        </w:rPr>
        <w:t xml:space="preserve"> applicant’s </w:t>
      </w:r>
      <w:r w:rsidR="00D64B48" w:rsidRPr="111042A2">
        <w:rPr>
          <w:sz w:val="22"/>
          <w:szCs w:val="22"/>
        </w:rPr>
        <w:t>pre-MSAC response</w:t>
      </w:r>
      <w:r w:rsidR="007C3547" w:rsidRPr="111042A2">
        <w:rPr>
          <w:sz w:val="22"/>
          <w:szCs w:val="22"/>
        </w:rPr>
        <w:t xml:space="preserve"> and consultation feedback from the </w:t>
      </w:r>
      <w:r w:rsidR="00881EF4" w:rsidRPr="111042A2">
        <w:rPr>
          <w:sz w:val="22"/>
          <w:szCs w:val="22"/>
        </w:rPr>
        <w:t xml:space="preserve">Australian and New Zealand Association of Neurologists also did not support </w:t>
      </w:r>
      <w:r w:rsidR="00767DC7" w:rsidRPr="111042A2">
        <w:rPr>
          <w:sz w:val="22"/>
          <w:szCs w:val="22"/>
        </w:rPr>
        <w:t xml:space="preserve">such </w:t>
      </w:r>
      <w:r w:rsidR="00881EF4" w:rsidRPr="111042A2">
        <w:rPr>
          <w:sz w:val="22"/>
          <w:szCs w:val="22"/>
        </w:rPr>
        <w:t>expansion</w:t>
      </w:r>
      <w:r w:rsidRPr="111042A2">
        <w:rPr>
          <w:sz w:val="22"/>
          <w:szCs w:val="22"/>
        </w:rPr>
        <w:t>.</w:t>
      </w:r>
      <w:r w:rsidR="00170468" w:rsidRPr="111042A2">
        <w:rPr>
          <w:sz w:val="22"/>
          <w:szCs w:val="22"/>
        </w:rPr>
        <w:t xml:space="preserve"> MSAC noted that, if the test was performed once per lifetime, the test result would need to be available to all treating clinicians throughout the patient’s life. MSAC noted the proposed fee of $188 and considered that this </w:t>
      </w:r>
      <w:r w:rsidR="00F344AD" w:rsidRPr="111042A2">
        <w:rPr>
          <w:sz w:val="22"/>
          <w:szCs w:val="22"/>
        </w:rPr>
        <w:t xml:space="preserve">fee was too high and this </w:t>
      </w:r>
      <w:r w:rsidR="00170468" w:rsidRPr="111042A2">
        <w:rPr>
          <w:sz w:val="22"/>
          <w:szCs w:val="22"/>
        </w:rPr>
        <w:t xml:space="preserve">was not adequately justified. </w:t>
      </w:r>
      <w:r w:rsidR="0096212B" w:rsidRPr="111042A2">
        <w:rPr>
          <w:sz w:val="22"/>
          <w:szCs w:val="22"/>
        </w:rPr>
        <w:t xml:space="preserve">MSAC noted that the applicant’s pre-MSAC response </w:t>
      </w:r>
      <w:r w:rsidR="00EE01DA" w:rsidRPr="111042A2">
        <w:rPr>
          <w:sz w:val="22"/>
          <w:szCs w:val="22"/>
        </w:rPr>
        <w:t xml:space="preserve">did not support the Department’s proposal to reduce the fee to $139 on the basis that it may restrict testing to only the highest-volume laboratories, limit access, and increase turnaround times. However </w:t>
      </w:r>
      <w:r w:rsidR="0069741B" w:rsidRPr="111042A2">
        <w:rPr>
          <w:sz w:val="22"/>
          <w:szCs w:val="22"/>
        </w:rPr>
        <w:t xml:space="preserve">MSAC agreed with the </w:t>
      </w:r>
      <w:r w:rsidR="00170468" w:rsidRPr="111042A2">
        <w:rPr>
          <w:sz w:val="22"/>
          <w:szCs w:val="22"/>
        </w:rPr>
        <w:t>Department</w:t>
      </w:r>
      <w:r w:rsidR="0069741B" w:rsidRPr="111042A2">
        <w:rPr>
          <w:sz w:val="22"/>
          <w:szCs w:val="22"/>
        </w:rPr>
        <w:t xml:space="preserve">’s </w:t>
      </w:r>
      <w:r w:rsidR="00170468" w:rsidRPr="111042A2">
        <w:rPr>
          <w:sz w:val="22"/>
          <w:szCs w:val="22"/>
        </w:rPr>
        <w:t xml:space="preserve">proposed revised fee of $139 </w:t>
      </w:r>
      <w:r w:rsidR="00732F46" w:rsidRPr="111042A2">
        <w:rPr>
          <w:sz w:val="22"/>
          <w:szCs w:val="22"/>
        </w:rPr>
        <w:t>because it aligned with</w:t>
      </w:r>
      <w:r w:rsidR="00170468" w:rsidRPr="111042A2">
        <w:rPr>
          <w:sz w:val="22"/>
          <w:szCs w:val="22"/>
        </w:rPr>
        <w:t xml:space="preserve"> </w:t>
      </w:r>
      <w:r w:rsidR="00170468" w:rsidRPr="111042A2">
        <w:rPr>
          <w:i/>
          <w:iCs/>
          <w:sz w:val="22"/>
          <w:szCs w:val="22"/>
        </w:rPr>
        <w:t>HLA-</w:t>
      </w:r>
      <w:r w:rsidR="00170468" w:rsidRPr="111042A2">
        <w:rPr>
          <w:sz w:val="22"/>
          <w:szCs w:val="22"/>
        </w:rPr>
        <w:t>B27 assay pricing</w:t>
      </w:r>
      <w:r w:rsidR="003935C0" w:rsidRPr="111042A2">
        <w:rPr>
          <w:sz w:val="22"/>
          <w:szCs w:val="22"/>
        </w:rPr>
        <w:t xml:space="preserve"> </w:t>
      </w:r>
      <w:r w:rsidR="00171166" w:rsidRPr="111042A2">
        <w:rPr>
          <w:sz w:val="22"/>
          <w:szCs w:val="22"/>
        </w:rPr>
        <w:t xml:space="preserve">and because </w:t>
      </w:r>
      <w:r w:rsidR="0013078D" w:rsidRPr="111042A2">
        <w:rPr>
          <w:sz w:val="22"/>
          <w:szCs w:val="22"/>
        </w:rPr>
        <w:t>p</w:t>
      </w:r>
      <w:r w:rsidR="00171166" w:rsidRPr="111042A2">
        <w:rPr>
          <w:sz w:val="22"/>
          <w:szCs w:val="22"/>
        </w:rPr>
        <w:t>athology providers performing the proposed service are also eligible for an additional MBS rebate payable under patient episode initiations</w:t>
      </w:r>
      <w:r w:rsidR="0013078D" w:rsidRPr="111042A2">
        <w:rPr>
          <w:sz w:val="22"/>
          <w:szCs w:val="22"/>
        </w:rPr>
        <w:t>.</w:t>
      </w:r>
      <w:r w:rsidR="001A4238">
        <w:rPr>
          <w:sz w:val="22"/>
          <w:szCs w:val="22"/>
        </w:rPr>
        <w:t xml:space="preserve"> MSAC considered </w:t>
      </w:r>
      <w:r w:rsidR="0094429D">
        <w:rPr>
          <w:sz w:val="22"/>
          <w:szCs w:val="22"/>
        </w:rPr>
        <w:t xml:space="preserve">it would be informative </w:t>
      </w:r>
      <w:r w:rsidR="0097534C">
        <w:rPr>
          <w:sz w:val="22"/>
          <w:szCs w:val="22"/>
        </w:rPr>
        <w:t>for the department</w:t>
      </w:r>
      <w:r w:rsidR="0094429D">
        <w:rPr>
          <w:sz w:val="22"/>
          <w:szCs w:val="22"/>
        </w:rPr>
        <w:t xml:space="preserve"> to develop </w:t>
      </w:r>
      <w:r w:rsidR="0024304B">
        <w:rPr>
          <w:sz w:val="22"/>
          <w:szCs w:val="22"/>
        </w:rPr>
        <w:t xml:space="preserve">a </w:t>
      </w:r>
      <w:r w:rsidR="00B236D3">
        <w:rPr>
          <w:sz w:val="22"/>
          <w:szCs w:val="22"/>
        </w:rPr>
        <w:t xml:space="preserve">schedule </w:t>
      </w:r>
      <w:r w:rsidR="004F3BC8">
        <w:rPr>
          <w:sz w:val="22"/>
          <w:szCs w:val="22"/>
        </w:rPr>
        <w:t xml:space="preserve">of </w:t>
      </w:r>
      <w:r w:rsidR="0024304B">
        <w:rPr>
          <w:sz w:val="22"/>
          <w:szCs w:val="22"/>
        </w:rPr>
        <w:t xml:space="preserve">fees for genetic tests </w:t>
      </w:r>
      <w:r w:rsidR="00B236D3">
        <w:rPr>
          <w:sz w:val="22"/>
          <w:szCs w:val="22"/>
        </w:rPr>
        <w:t>according to test methodology and use,</w:t>
      </w:r>
      <w:r w:rsidR="0024304B">
        <w:rPr>
          <w:sz w:val="22"/>
          <w:szCs w:val="22"/>
        </w:rPr>
        <w:t xml:space="preserve"> </w:t>
      </w:r>
      <w:r w:rsidR="004F3BC8">
        <w:rPr>
          <w:sz w:val="22"/>
          <w:szCs w:val="22"/>
        </w:rPr>
        <w:t xml:space="preserve">to help the committee provide consistent advice on appropriate costs for genetic tests. </w:t>
      </w:r>
      <w:r w:rsidR="00E13D99">
        <w:rPr>
          <w:sz w:val="22"/>
          <w:szCs w:val="22"/>
        </w:rPr>
        <w:t xml:space="preserve"> </w:t>
      </w:r>
    </w:p>
    <w:p w14:paraId="7D13B9C3" w14:textId="2DFE903F" w:rsidR="00170468" w:rsidRPr="00170468" w:rsidRDefault="00170468" w:rsidP="00170468">
      <w:pPr>
        <w:rPr>
          <w:sz w:val="22"/>
          <w:szCs w:val="22"/>
        </w:rPr>
      </w:pPr>
      <w:r w:rsidRPr="00170468">
        <w:rPr>
          <w:sz w:val="22"/>
          <w:szCs w:val="22"/>
        </w:rPr>
        <w:t>Regarding comparative safety, MSAC considered the analytical performance of the test to be robust</w:t>
      </w:r>
      <w:r w:rsidR="00F05C6E">
        <w:rPr>
          <w:sz w:val="22"/>
          <w:szCs w:val="22"/>
        </w:rPr>
        <w:t xml:space="preserve"> although the diagnostic yield was dependent on ancestry</w:t>
      </w:r>
      <w:r w:rsidRPr="00170468">
        <w:rPr>
          <w:sz w:val="22"/>
          <w:szCs w:val="22"/>
        </w:rPr>
        <w:t xml:space="preserve"> and </w:t>
      </w:r>
      <w:r w:rsidR="00996935">
        <w:rPr>
          <w:sz w:val="22"/>
          <w:szCs w:val="22"/>
        </w:rPr>
        <w:t xml:space="preserve">considered </w:t>
      </w:r>
      <w:r w:rsidRPr="00170468">
        <w:rPr>
          <w:sz w:val="22"/>
          <w:szCs w:val="22"/>
        </w:rPr>
        <w:t>the clinical claim of noninferior safety of the test to be appropriate. Any change in management following a positive test result would likely also be non-inferior, as there are several alternative drugs available on the Pharmaceutical Benefits Scheme (PBS)</w:t>
      </w:r>
      <w:r w:rsidR="00B444B1">
        <w:rPr>
          <w:sz w:val="22"/>
          <w:szCs w:val="22"/>
        </w:rPr>
        <w:t xml:space="preserve"> as noted from the consultation feedback from the </w:t>
      </w:r>
      <w:r w:rsidR="00B444B1" w:rsidRPr="00170468">
        <w:rPr>
          <w:sz w:val="22"/>
          <w:szCs w:val="22"/>
        </w:rPr>
        <w:t>Australia</w:t>
      </w:r>
      <w:r w:rsidR="00881EF4">
        <w:rPr>
          <w:sz w:val="22"/>
          <w:szCs w:val="22"/>
        </w:rPr>
        <w:t>n</w:t>
      </w:r>
      <w:r w:rsidR="00B444B1" w:rsidRPr="00170468">
        <w:rPr>
          <w:sz w:val="22"/>
          <w:szCs w:val="22"/>
        </w:rPr>
        <w:t xml:space="preserve"> and New Zealand Association of Neurologists</w:t>
      </w:r>
      <w:r w:rsidRPr="00170468">
        <w:rPr>
          <w:sz w:val="22"/>
          <w:szCs w:val="22"/>
        </w:rPr>
        <w:t>.</w:t>
      </w:r>
      <w:r w:rsidR="00B444B1">
        <w:rPr>
          <w:sz w:val="22"/>
          <w:szCs w:val="22"/>
        </w:rPr>
        <w:t xml:space="preserve"> MSAC also noted that the applicant’s pre-MSAC response </w:t>
      </w:r>
      <w:r w:rsidR="004D5A15">
        <w:rPr>
          <w:sz w:val="22"/>
          <w:szCs w:val="22"/>
        </w:rPr>
        <w:t xml:space="preserve">identified a </w:t>
      </w:r>
      <w:r w:rsidR="004D5A15" w:rsidRPr="004D5A15">
        <w:rPr>
          <w:sz w:val="22"/>
          <w:szCs w:val="22"/>
        </w:rPr>
        <w:t xml:space="preserve">2022 Cochrane review </w:t>
      </w:r>
      <w:r w:rsidR="004D5A15">
        <w:rPr>
          <w:sz w:val="22"/>
          <w:szCs w:val="22"/>
        </w:rPr>
        <w:t xml:space="preserve">which showed that </w:t>
      </w:r>
      <w:r w:rsidR="004D5A15" w:rsidRPr="004D5A15">
        <w:rPr>
          <w:sz w:val="22"/>
          <w:szCs w:val="22"/>
        </w:rPr>
        <w:t>alternative antiepileptic drugs have non-inferior safety and effectiveness compared to CBZ and OXC</w:t>
      </w:r>
      <w:r w:rsidR="004D5A15">
        <w:rPr>
          <w:sz w:val="22"/>
          <w:szCs w:val="22"/>
        </w:rPr>
        <w:t>.</w:t>
      </w:r>
      <w:r w:rsidR="004D5A15">
        <w:rPr>
          <w:rStyle w:val="FootnoteReference"/>
          <w:sz w:val="22"/>
          <w:szCs w:val="22"/>
        </w:rPr>
        <w:footnoteReference w:id="2"/>
      </w:r>
      <w:r w:rsidR="00545CAC">
        <w:rPr>
          <w:sz w:val="22"/>
          <w:szCs w:val="22"/>
        </w:rPr>
        <w:t xml:space="preserve"> However the applicant was unable to identify any </w:t>
      </w:r>
      <w:r w:rsidR="00545CAC" w:rsidRPr="00545CAC">
        <w:rPr>
          <w:sz w:val="22"/>
          <w:szCs w:val="22"/>
        </w:rPr>
        <w:t xml:space="preserve">Cochrane reviews comparing the relative effectiveness of OXC or CBZ with relevant comparators for </w:t>
      </w:r>
      <w:r w:rsidR="0007287D">
        <w:rPr>
          <w:sz w:val="22"/>
          <w:szCs w:val="22"/>
        </w:rPr>
        <w:t xml:space="preserve">other indications such as </w:t>
      </w:r>
      <w:r w:rsidR="00545CAC" w:rsidRPr="00545CAC">
        <w:rPr>
          <w:sz w:val="22"/>
          <w:szCs w:val="22"/>
        </w:rPr>
        <w:t>bipolar disorder or trigeminal neuralgia</w:t>
      </w:r>
      <w:r w:rsidR="00545CAC">
        <w:rPr>
          <w:sz w:val="22"/>
          <w:szCs w:val="22"/>
        </w:rPr>
        <w:t xml:space="preserve">. </w:t>
      </w:r>
    </w:p>
    <w:p w14:paraId="0417155C" w14:textId="031EE7BE" w:rsidR="000C7940" w:rsidRDefault="00170468" w:rsidP="00170468">
      <w:pPr>
        <w:rPr>
          <w:sz w:val="22"/>
          <w:szCs w:val="22"/>
        </w:rPr>
      </w:pPr>
      <w:r w:rsidRPr="00170468">
        <w:rPr>
          <w:sz w:val="22"/>
          <w:szCs w:val="22"/>
        </w:rPr>
        <w:t>Regarding comparative clinical effectiveness, MSAC noted the lack of direct comparative evidence for</w:t>
      </w:r>
      <w:r w:rsidR="00E7113E">
        <w:rPr>
          <w:sz w:val="22"/>
          <w:szCs w:val="22"/>
        </w:rPr>
        <w:t xml:space="preserve"> tests for </w:t>
      </w:r>
      <w:r w:rsidR="000C4EAC">
        <w:rPr>
          <w:sz w:val="22"/>
          <w:szCs w:val="22"/>
        </w:rPr>
        <w:t>both alleles</w:t>
      </w:r>
      <w:r w:rsidRPr="00170468">
        <w:rPr>
          <w:sz w:val="22"/>
          <w:szCs w:val="22"/>
        </w:rPr>
        <w:t xml:space="preserve"> </w:t>
      </w:r>
      <w:r w:rsidR="0007287D">
        <w:rPr>
          <w:sz w:val="22"/>
          <w:szCs w:val="22"/>
        </w:rPr>
        <w:t xml:space="preserve">being performed </w:t>
      </w:r>
      <w:r w:rsidRPr="00170468">
        <w:rPr>
          <w:sz w:val="22"/>
          <w:szCs w:val="22"/>
        </w:rPr>
        <w:t>together, the lack of evidence linking the test to health outcomes</w:t>
      </w:r>
      <w:r w:rsidR="00AD0BBB">
        <w:rPr>
          <w:sz w:val="22"/>
          <w:szCs w:val="22"/>
        </w:rPr>
        <w:t xml:space="preserve"> of overall morbidity and mor</w:t>
      </w:r>
      <w:r w:rsidR="00605FE2">
        <w:rPr>
          <w:sz w:val="22"/>
          <w:szCs w:val="22"/>
        </w:rPr>
        <w:t>t</w:t>
      </w:r>
      <w:r w:rsidR="00AD0BBB">
        <w:rPr>
          <w:sz w:val="22"/>
          <w:szCs w:val="22"/>
        </w:rPr>
        <w:t>ality</w:t>
      </w:r>
      <w:r w:rsidRPr="00170468">
        <w:rPr>
          <w:sz w:val="22"/>
          <w:szCs w:val="22"/>
        </w:rPr>
        <w:t>, and the lack of data for the Australian population (particularly for First Nations people).</w:t>
      </w:r>
      <w:r w:rsidR="00164274" w:rsidRPr="00164274">
        <w:t xml:space="preserve"> </w:t>
      </w:r>
      <w:r w:rsidR="00164274">
        <w:rPr>
          <w:sz w:val="22"/>
          <w:szCs w:val="22"/>
        </w:rPr>
        <w:t xml:space="preserve">MSAC noted that the pre-MSAC response acknowledged that </w:t>
      </w:r>
      <w:r w:rsidR="00164274" w:rsidRPr="00164274">
        <w:rPr>
          <w:sz w:val="22"/>
          <w:szCs w:val="22"/>
        </w:rPr>
        <w:t>much of the international evidence c</w:t>
      </w:r>
      <w:r w:rsidR="0007287D">
        <w:rPr>
          <w:sz w:val="22"/>
          <w:szCs w:val="22"/>
        </w:rPr>
        <w:t>a</w:t>
      </w:r>
      <w:r w:rsidR="00164274" w:rsidRPr="00164274">
        <w:rPr>
          <w:sz w:val="22"/>
          <w:szCs w:val="22"/>
        </w:rPr>
        <w:t>me from studies conducted in Asian populations</w:t>
      </w:r>
      <w:r w:rsidR="00164274">
        <w:rPr>
          <w:sz w:val="22"/>
          <w:szCs w:val="22"/>
        </w:rPr>
        <w:t xml:space="preserve"> but argued that </w:t>
      </w:r>
      <w:r w:rsidR="00164274" w:rsidRPr="00164274">
        <w:rPr>
          <w:sz w:val="22"/>
          <w:szCs w:val="22"/>
        </w:rPr>
        <w:t xml:space="preserve">this remains highly relevant to Australia’s mixed ethnic </w:t>
      </w:r>
      <w:r w:rsidR="00164274">
        <w:rPr>
          <w:sz w:val="22"/>
          <w:szCs w:val="22"/>
        </w:rPr>
        <w:t xml:space="preserve">population </w:t>
      </w:r>
      <w:r w:rsidR="007F5E76">
        <w:rPr>
          <w:sz w:val="22"/>
          <w:szCs w:val="22"/>
        </w:rPr>
        <w:t>and highlighted that although s</w:t>
      </w:r>
      <w:r w:rsidR="00164274" w:rsidRPr="00164274">
        <w:rPr>
          <w:sz w:val="22"/>
          <w:szCs w:val="22"/>
        </w:rPr>
        <w:t xml:space="preserve">elf-identification of ethnicity </w:t>
      </w:r>
      <w:r w:rsidR="00EB6A34">
        <w:rPr>
          <w:sz w:val="22"/>
          <w:szCs w:val="22"/>
        </w:rPr>
        <w:t>can be</w:t>
      </w:r>
      <w:r w:rsidR="00164274" w:rsidRPr="00164274">
        <w:rPr>
          <w:sz w:val="22"/>
          <w:szCs w:val="22"/>
        </w:rPr>
        <w:t xml:space="preserve"> inaccurate</w:t>
      </w:r>
      <w:r w:rsidR="007F5E76">
        <w:rPr>
          <w:sz w:val="22"/>
          <w:szCs w:val="22"/>
        </w:rPr>
        <w:t xml:space="preserve">, as </w:t>
      </w:r>
      <w:r w:rsidR="00164274" w:rsidRPr="00164274">
        <w:rPr>
          <w:sz w:val="22"/>
          <w:szCs w:val="22"/>
        </w:rPr>
        <w:t>of the 2021 census</w:t>
      </w:r>
      <w:r w:rsidR="0007287D">
        <w:rPr>
          <w:sz w:val="22"/>
          <w:szCs w:val="22"/>
        </w:rPr>
        <w:t>,</w:t>
      </w:r>
      <w:r w:rsidR="00164274" w:rsidRPr="00164274">
        <w:rPr>
          <w:sz w:val="22"/>
          <w:szCs w:val="22"/>
        </w:rPr>
        <w:t xml:space="preserve"> 17.4% of the Australian population identified as having wholly or partial Asian ancestry,</w:t>
      </w:r>
      <w:r w:rsidR="007F5E76">
        <w:rPr>
          <w:sz w:val="22"/>
          <w:szCs w:val="22"/>
        </w:rPr>
        <w:t xml:space="preserve"> meaning that the available evidence was appl</w:t>
      </w:r>
      <w:r w:rsidR="000C7940">
        <w:rPr>
          <w:sz w:val="22"/>
          <w:szCs w:val="22"/>
        </w:rPr>
        <w:t xml:space="preserve">icable to a </w:t>
      </w:r>
      <w:r w:rsidR="00164274" w:rsidRPr="00164274">
        <w:rPr>
          <w:sz w:val="22"/>
          <w:szCs w:val="22"/>
        </w:rPr>
        <w:t>large subset of the Australian population.</w:t>
      </w:r>
      <w:r w:rsidRPr="00170468">
        <w:rPr>
          <w:sz w:val="22"/>
          <w:szCs w:val="22"/>
        </w:rPr>
        <w:t xml:space="preserve"> </w:t>
      </w:r>
    </w:p>
    <w:p w14:paraId="78CA5C22" w14:textId="5EF31E21" w:rsidR="00170468" w:rsidRPr="00170468" w:rsidRDefault="00170468" w:rsidP="00170468">
      <w:pPr>
        <w:rPr>
          <w:sz w:val="22"/>
          <w:szCs w:val="22"/>
        </w:rPr>
      </w:pPr>
      <w:r w:rsidRPr="00170468">
        <w:rPr>
          <w:sz w:val="22"/>
          <w:szCs w:val="22"/>
        </w:rPr>
        <w:t xml:space="preserve">MSAC agreed with ESC that there is evidence for clinical effectiveness if </w:t>
      </w:r>
      <w:r w:rsidR="00195049">
        <w:rPr>
          <w:sz w:val="22"/>
          <w:szCs w:val="22"/>
        </w:rPr>
        <w:t xml:space="preserve">testing for </w:t>
      </w:r>
      <w:r w:rsidRPr="00170468">
        <w:rPr>
          <w:sz w:val="22"/>
          <w:szCs w:val="22"/>
        </w:rPr>
        <w:t>each</w:t>
      </w:r>
      <w:r w:rsidR="00195049">
        <w:rPr>
          <w:sz w:val="22"/>
          <w:szCs w:val="22"/>
        </w:rPr>
        <w:t xml:space="preserve"> variant</w:t>
      </w:r>
      <w:r w:rsidRPr="00170468">
        <w:rPr>
          <w:sz w:val="22"/>
          <w:szCs w:val="22"/>
        </w:rPr>
        <w:t xml:space="preserve"> is assessed separately; however, diagnostic yield and prognostic accuracy are highly variable</w:t>
      </w:r>
      <w:r w:rsidR="00F2344C">
        <w:rPr>
          <w:sz w:val="22"/>
          <w:szCs w:val="22"/>
        </w:rPr>
        <w:t xml:space="preserve"> and </w:t>
      </w:r>
      <w:r w:rsidR="00F2344C">
        <w:rPr>
          <w:sz w:val="22"/>
          <w:szCs w:val="22"/>
        </w:rPr>
        <w:lastRenderedPageBreak/>
        <w:t xml:space="preserve">dependent on </w:t>
      </w:r>
      <w:r w:rsidR="00DF4964">
        <w:rPr>
          <w:sz w:val="22"/>
          <w:szCs w:val="22"/>
        </w:rPr>
        <w:t xml:space="preserve">population </w:t>
      </w:r>
      <w:r w:rsidR="00F2344C">
        <w:rPr>
          <w:sz w:val="22"/>
          <w:szCs w:val="22"/>
        </w:rPr>
        <w:t>ancestry</w:t>
      </w:r>
      <w:r w:rsidR="00DF4964">
        <w:rPr>
          <w:sz w:val="22"/>
          <w:szCs w:val="22"/>
        </w:rPr>
        <w:t xml:space="preserve"> and the type of adverse reaction avoided,</w:t>
      </w:r>
      <w:r w:rsidR="00F2344C">
        <w:rPr>
          <w:sz w:val="22"/>
          <w:szCs w:val="22"/>
        </w:rPr>
        <w:t xml:space="preserve"> with</w:t>
      </w:r>
      <w:r w:rsidR="00F2344C" w:rsidRPr="00F2344C">
        <w:t xml:space="preserve"> </w:t>
      </w:r>
      <w:r w:rsidR="00F2344C" w:rsidRPr="00F2344C">
        <w:rPr>
          <w:sz w:val="22"/>
          <w:szCs w:val="22"/>
        </w:rPr>
        <w:t xml:space="preserve">linked evidence of superior </w:t>
      </w:r>
      <w:r w:rsidR="00DF4964">
        <w:rPr>
          <w:sz w:val="22"/>
          <w:szCs w:val="22"/>
        </w:rPr>
        <w:t xml:space="preserve">effectiveness of testing </w:t>
      </w:r>
      <w:r w:rsidR="00F2344C" w:rsidRPr="00F2344C">
        <w:rPr>
          <w:sz w:val="22"/>
          <w:szCs w:val="22"/>
        </w:rPr>
        <w:t>in some populations</w:t>
      </w:r>
      <w:r w:rsidRPr="00170468">
        <w:rPr>
          <w:sz w:val="22"/>
          <w:szCs w:val="22"/>
        </w:rPr>
        <w:t xml:space="preserve">. </w:t>
      </w:r>
      <w:r w:rsidR="002555FB">
        <w:rPr>
          <w:sz w:val="22"/>
          <w:szCs w:val="22"/>
        </w:rPr>
        <w:t xml:space="preserve">MSAC noted the </w:t>
      </w:r>
      <w:r w:rsidR="002555FB" w:rsidRPr="002555FB">
        <w:rPr>
          <w:sz w:val="22"/>
          <w:szCs w:val="22"/>
        </w:rPr>
        <w:t xml:space="preserve">evidence that implementation of policies for HLA-B*15:02 genotyping prior to the commencement of </w:t>
      </w:r>
      <w:r w:rsidR="00EB6A34">
        <w:rPr>
          <w:sz w:val="22"/>
          <w:szCs w:val="22"/>
        </w:rPr>
        <w:t>CBZ</w:t>
      </w:r>
      <w:r w:rsidR="002555FB" w:rsidRPr="002555FB">
        <w:rPr>
          <w:sz w:val="22"/>
          <w:szCs w:val="22"/>
        </w:rPr>
        <w:t xml:space="preserve"> in East Asian populations reduces </w:t>
      </w:r>
      <w:r w:rsidR="00A97E8B">
        <w:rPr>
          <w:sz w:val="22"/>
          <w:szCs w:val="22"/>
        </w:rPr>
        <w:t>CBZ</w:t>
      </w:r>
      <w:r w:rsidR="002555FB" w:rsidRPr="002555FB">
        <w:rPr>
          <w:sz w:val="22"/>
          <w:szCs w:val="22"/>
        </w:rPr>
        <w:t xml:space="preserve"> </w:t>
      </w:r>
      <w:r w:rsidR="004D71D0" w:rsidRPr="002555FB">
        <w:rPr>
          <w:sz w:val="22"/>
          <w:szCs w:val="22"/>
        </w:rPr>
        <w:t>prescri</w:t>
      </w:r>
      <w:r w:rsidR="004D71D0">
        <w:rPr>
          <w:sz w:val="22"/>
          <w:szCs w:val="22"/>
        </w:rPr>
        <w:t>bing</w:t>
      </w:r>
      <w:r w:rsidR="004D71D0" w:rsidRPr="002555FB">
        <w:rPr>
          <w:sz w:val="22"/>
          <w:szCs w:val="22"/>
        </w:rPr>
        <w:t xml:space="preserve"> </w:t>
      </w:r>
      <w:r w:rsidR="002555FB" w:rsidRPr="002555FB">
        <w:rPr>
          <w:sz w:val="22"/>
          <w:szCs w:val="22"/>
        </w:rPr>
        <w:t>and reduces incidence of</w:t>
      </w:r>
      <w:r w:rsidR="00607CE5">
        <w:rPr>
          <w:sz w:val="22"/>
          <w:szCs w:val="22"/>
        </w:rPr>
        <w:t xml:space="preserve"> severe cutaneous adverse reactions</w:t>
      </w:r>
      <w:r w:rsidR="002555FB" w:rsidRPr="002555FB">
        <w:rPr>
          <w:sz w:val="22"/>
          <w:szCs w:val="22"/>
        </w:rPr>
        <w:t xml:space="preserve"> </w:t>
      </w:r>
      <w:r w:rsidR="00607CE5">
        <w:rPr>
          <w:sz w:val="22"/>
          <w:szCs w:val="22"/>
        </w:rPr>
        <w:t>(</w:t>
      </w:r>
      <w:r w:rsidR="002555FB" w:rsidRPr="002555FB">
        <w:rPr>
          <w:sz w:val="22"/>
          <w:szCs w:val="22"/>
        </w:rPr>
        <w:t>SCARs</w:t>
      </w:r>
      <w:r w:rsidR="00607CE5">
        <w:rPr>
          <w:sz w:val="22"/>
          <w:szCs w:val="22"/>
        </w:rPr>
        <w:t>)</w:t>
      </w:r>
      <w:r w:rsidR="002555FB" w:rsidRPr="002555FB">
        <w:rPr>
          <w:sz w:val="22"/>
          <w:szCs w:val="22"/>
        </w:rPr>
        <w:t>.</w:t>
      </w:r>
      <w:r w:rsidR="00DB7B03">
        <w:rPr>
          <w:sz w:val="22"/>
          <w:szCs w:val="22"/>
        </w:rPr>
        <w:t xml:space="preserve"> However</w:t>
      </w:r>
      <w:r w:rsidR="00F75126">
        <w:rPr>
          <w:sz w:val="22"/>
          <w:szCs w:val="22"/>
        </w:rPr>
        <w:t>,</w:t>
      </w:r>
      <w:r w:rsidR="00DB7B03">
        <w:rPr>
          <w:sz w:val="22"/>
          <w:szCs w:val="22"/>
        </w:rPr>
        <w:t xml:space="preserve"> MSAC agreed with ESC that t</w:t>
      </w:r>
      <w:r w:rsidR="002555FB" w:rsidRPr="002555FB">
        <w:rPr>
          <w:sz w:val="22"/>
          <w:szCs w:val="22"/>
        </w:rPr>
        <w:t xml:space="preserve">his evidence is retrospective and </w:t>
      </w:r>
      <w:r w:rsidR="00DB7B03">
        <w:rPr>
          <w:sz w:val="22"/>
          <w:szCs w:val="22"/>
        </w:rPr>
        <w:t>specific to th</w:t>
      </w:r>
      <w:r w:rsidR="00607CE5">
        <w:rPr>
          <w:sz w:val="22"/>
          <w:szCs w:val="22"/>
        </w:rPr>
        <w:t xml:space="preserve">ose </w:t>
      </w:r>
      <w:r w:rsidR="00DB7B03">
        <w:rPr>
          <w:sz w:val="22"/>
          <w:szCs w:val="22"/>
        </w:rPr>
        <w:t>population</w:t>
      </w:r>
      <w:r w:rsidR="00607CE5">
        <w:rPr>
          <w:sz w:val="22"/>
          <w:szCs w:val="22"/>
        </w:rPr>
        <w:t>s</w:t>
      </w:r>
      <w:r w:rsidR="002555FB" w:rsidRPr="002555FB">
        <w:rPr>
          <w:sz w:val="22"/>
          <w:szCs w:val="22"/>
        </w:rPr>
        <w:t xml:space="preserve"> and </w:t>
      </w:r>
      <w:r w:rsidR="00F75126">
        <w:rPr>
          <w:sz w:val="22"/>
          <w:szCs w:val="22"/>
        </w:rPr>
        <w:t>was</w:t>
      </w:r>
      <w:r w:rsidR="002555FB" w:rsidRPr="002555FB">
        <w:rPr>
          <w:sz w:val="22"/>
          <w:szCs w:val="22"/>
        </w:rPr>
        <w:t xml:space="preserve"> </w:t>
      </w:r>
      <w:r w:rsidR="00AC0649">
        <w:rPr>
          <w:sz w:val="22"/>
          <w:szCs w:val="22"/>
        </w:rPr>
        <w:t xml:space="preserve">therefore </w:t>
      </w:r>
      <w:r w:rsidR="00F75126">
        <w:rPr>
          <w:sz w:val="22"/>
          <w:szCs w:val="22"/>
        </w:rPr>
        <w:t>at</w:t>
      </w:r>
      <w:r w:rsidR="002555FB" w:rsidRPr="002555FB">
        <w:rPr>
          <w:sz w:val="22"/>
          <w:szCs w:val="22"/>
        </w:rPr>
        <w:t xml:space="preserve"> </w:t>
      </w:r>
      <w:r w:rsidR="00DB7B03">
        <w:rPr>
          <w:sz w:val="22"/>
          <w:szCs w:val="22"/>
        </w:rPr>
        <w:t xml:space="preserve">high </w:t>
      </w:r>
      <w:r w:rsidR="002555FB" w:rsidRPr="002555FB">
        <w:rPr>
          <w:sz w:val="22"/>
          <w:szCs w:val="22"/>
        </w:rPr>
        <w:t>risk of bias</w:t>
      </w:r>
      <w:r w:rsidR="00DB7B03">
        <w:rPr>
          <w:sz w:val="22"/>
          <w:szCs w:val="22"/>
        </w:rPr>
        <w:t>.</w:t>
      </w:r>
      <w:r w:rsidR="003E3E3D">
        <w:rPr>
          <w:sz w:val="22"/>
          <w:szCs w:val="22"/>
        </w:rPr>
        <w:t xml:space="preserve"> </w:t>
      </w:r>
      <w:r w:rsidRPr="00170468">
        <w:rPr>
          <w:sz w:val="22"/>
          <w:szCs w:val="22"/>
        </w:rPr>
        <w:t xml:space="preserve">MSAC noted that </w:t>
      </w:r>
      <w:r w:rsidRPr="00170468">
        <w:rPr>
          <w:i/>
          <w:iCs/>
          <w:sz w:val="22"/>
          <w:szCs w:val="22"/>
        </w:rPr>
        <w:t>HLA-</w:t>
      </w:r>
      <w:r w:rsidRPr="00170468">
        <w:rPr>
          <w:sz w:val="22"/>
          <w:szCs w:val="22"/>
        </w:rPr>
        <w:t xml:space="preserve">B15:02 testing is currently recommended in Australian </w:t>
      </w:r>
      <w:r w:rsidR="004D71D0">
        <w:rPr>
          <w:sz w:val="22"/>
          <w:szCs w:val="22"/>
        </w:rPr>
        <w:t>Therapeutic G</w:t>
      </w:r>
      <w:r w:rsidRPr="00170468">
        <w:rPr>
          <w:sz w:val="22"/>
          <w:szCs w:val="22"/>
        </w:rPr>
        <w:t xml:space="preserve">uidelines before starting CBZ therapy, but that this advice is only listed as </w:t>
      </w:r>
      <w:r w:rsidR="00CE440D">
        <w:rPr>
          <w:sz w:val="22"/>
          <w:szCs w:val="22"/>
        </w:rPr>
        <w:t>a</w:t>
      </w:r>
      <w:r w:rsidRPr="00170468">
        <w:rPr>
          <w:sz w:val="22"/>
          <w:szCs w:val="22"/>
        </w:rPr>
        <w:t xml:space="preserve"> footnote to the main guidance.</w:t>
      </w:r>
    </w:p>
    <w:p w14:paraId="6EBBFE24" w14:textId="2729D954" w:rsidR="0055566B" w:rsidRDefault="00170468" w:rsidP="0055566B">
      <w:pPr>
        <w:rPr>
          <w:sz w:val="22"/>
          <w:szCs w:val="22"/>
        </w:rPr>
      </w:pPr>
      <w:r w:rsidRPr="00170468">
        <w:rPr>
          <w:sz w:val="22"/>
          <w:szCs w:val="22"/>
        </w:rPr>
        <w:t>MSAC discussed the economic evaluation, which was a cost-effectiveness analysis (cost per patient per severe adverse reaction avoided) and cost-utility analysis (one for epilepsy and one for trigeminal neuralgia)</w:t>
      </w:r>
      <w:r w:rsidR="006436FD">
        <w:rPr>
          <w:sz w:val="22"/>
          <w:szCs w:val="22"/>
        </w:rPr>
        <w:t xml:space="preserve"> with a stepped decision tree and Markov model</w:t>
      </w:r>
      <w:r w:rsidRPr="00170468">
        <w:rPr>
          <w:sz w:val="22"/>
          <w:szCs w:val="22"/>
        </w:rPr>
        <w:t>. MSAC agreed with ESC that the economic model contained major flaws, leading to highly uncertain outputs.</w:t>
      </w:r>
      <w:r w:rsidR="00B4532F">
        <w:rPr>
          <w:sz w:val="22"/>
          <w:szCs w:val="22"/>
        </w:rPr>
        <w:t xml:space="preserve"> This included many questionable assumptions </w:t>
      </w:r>
      <w:r w:rsidR="00C204A5">
        <w:rPr>
          <w:sz w:val="22"/>
          <w:szCs w:val="22"/>
        </w:rPr>
        <w:t xml:space="preserve">due to the scarcity of </w:t>
      </w:r>
      <w:r w:rsidR="00D3221C">
        <w:rPr>
          <w:sz w:val="22"/>
          <w:szCs w:val="22"/>
        </w:rPr>
        <w:t xml:space="preserve">clinical evidence and in particular </w:t>
      </w:r>
      <w:r w:rsidR="0005018E">
        <w:rPr>
          <w:sz w:val="22"/>
          <w:szCs w:val="22"/>
        </w:rPr>
        <w:t xml:space="preserve">direct </w:t>
      </w:r>
      <w:r w:rsidR="00D3221C">
        <w:rPr>
          <w:sz w:val="22"/>
          <w:szCs w:val="22"/>
        </w:rPr>
        <w:t xml:space="preserve">evidence </w:t>
      </w:r>
      <w:r w:rsidR="002518FC">
        <w:rPr>
          <w:sz w:val="22"/>
          <w:szCs w:val="22"/>
        </w:rPr>
        <w:t>on the tests for both variants being used together</w:t>
      </w:r>
      <w:r w:rsidR="0005018E">
        <w:rPr>
          <w:sz w:val="22"/>
          <w:szCs w:val="22"/>
        </w:rPr>
        <w:t xml:space="preserve"> </w:t>
      </w:r>
      <w:r w:rsidR="00B4532F">
        <w:rPr>
          <w:sz w:val="22"/>
          <w:szCs w:val="22"/>
        </w:rPr>
        <w:t xml:space="preserve">which </w:t>
      </w:r>
      <w:r w:rsidR="00607CE5">
        <w:rPr>
          <w:sz w:val="22"/>
          <w:szCs w:val="22"/>
        </w:rPr>
        <w:t xml:space="preserve">flowed over into </w:t>
      </w:r>
      <w:r w:rsidR="00B4532F">
        <w:rPr>
          <w:sz w:val="22"/>
          <w:szCs w:val="22"/>
        </w:rPr>
        <w:t>questionable outcomes in the modelling.</w:t>
      </w:r>
      <w:r w:rsidRPr="00170468">
        <w:rPr>
          <w:sz w:val="22"/>
          <w:szCs w:val="22"/>
        </w:rPr>
        <w:t xml:space="preserve"> MSAC noted that the economic model had been significantly revised following ESC advice to eliminate errors, including changing the model structure</w:t>
      </w:r>
      <w:r w:rsidR="00FE224E">
        <w:rPr>
          <w:sz w:val="22"/>
          <w:szCs w:val="22"/>
        </w:rPr>
        <w:t xml:space="preserve"> </w:t>
      </w:r>
      <w:r w:rsidRPr="00170468">
        <w:rPr>
          <w:sz w:val="22"/>
          <w:szCs w:val="22"/>
        </w:rPr>
        <w:t xml:space="preserve">from assessing the probability of adverse events based on </w:t>
      </w:r>
      <w:r w:rsidRPr="00170468">
        <w:rPr>
          <w:i/>
          <w:iCs/>
          <w:sz w:val="22"/>
          <w:szCs w:val="22"/>
        </w:rPr>
        <w:t>HLA</w:t>
      </w:r>
      <w:r w:rsidRPr="00170468">
        <w:rPr>
          <w:sz w:val="22"/>
          <w:szCs w:val="22"/>
        </w:rPr>
        <w:t xml:space="preserve"> variant status to assessing the probability of changing treatment</w:t>
      </w:r>
      <w:r w:rsidR="00FE224E">
        <w:rPr>
          <w:sz w:val="22"/>
          <w:szCs w:val="22"/>
        </w:rPr>
        <w:t>.</w:t>
      </w:r>
      <w:r w:rsidRPr="00170468">
        <w:rPr>
          <w:sz w:val="22"/>
          <w:szCs w:val="22"/>
        </w:rPr>
        <w:t xml:space="preserve"> </w:t>
      </w:r>
      <w:r w:rsidR="0055566B" w:rsidRPr="00170468">
        <w:rPr>
          <w:sz w:val="22"/>
          <w:szCs w:val="22"/>
        </w:rPr>
        <w:t>MSAC noted that late feedback received from the Australia and New Zealand Association of Neurologists suggested that levetiracetam, rather than sodium valproate, should have been used as the alternative medication in the model</w:t>
      </w:r>
      <w:r w:rsidR="004D71D0">
        <w:rPr>
          <w:sz w:val="22"/>
          <w:szCs w:val="22"/>
        </w:rPr>
        <w:t xml:space="preserve"> for epi</w:t>
      </w:r>
      <w:r w:rsidR="005425B3">
        <w:rPr>
          <w:sz w:val="22"/>
          <w:szCs w:val="22"/>
        </w:rPr>
        <w:t>lepsy</w:t>
      </w:r>
      <w:r w:rsidR="0055566B" w:rsidRPr="00170468">
        <w:rPr>
          <w:sz w:val="22"/>
          <w:szCs w:val="22"/>
        </w:rPr>
        <w:t xml:space="preserve">. However, MSAC noted that this would likely </w:t>
      </w:r>
      <w:r w:rsidR="00D6794A">
        <w:rPr>
          <w:sz w:val="22"/>
          <w:szCs w:val="22"/>
        </w:rPr>
        <w:t>not</w:t>
      </w:r>
      <w:r w:rsidR="0055566B" w:rsidRPr="00170468">
        <w:rPr>
          <w:sz w:val="22"/>
          <w:szCs w:val="22"/>
        </w:rPr>
        <w:t xml:space="preserve"> have a large effect on the economic model, but may have a financial impact on PBS costs</w:t>
      </w:r>
      <w:r w:rsidR="0055566B">
        <w:rPr>
          <w:sz w:val="22"/>
          <w:szCs w:val="22"/>
        </w:rPr>
        <w:t>.</w:t>
      </w:r>
    </w:p>
    <w:p w14:paraId="0D51CFE9" w14:textId="713790FF" w:rsidR="00FF4FF9" w:rsidRDefault="00170468" w:rsidP="00170468">
      <w:pPr>
        <w:rPr>
          <w:sz w:val="22"/>
          <w:szCs w:val="22"/>
        </w:rPr>
      </w:pPr>
      <w:r w:rsidRPr="00170468">
        <w:rPr>
          <w:sz w:val="22"/>
          <w:szCs w:val="22"/>
        </w:rPr>
        <w:t xml:space="preserve">MSAC noted that the incremental quality-adjusted life year (QALY) gains were very small, but considered that this was to be expected given </w:t>
      </w:r>
      <w:r w:rsidR="006436FD">
        <w:rPr>
          <w:sz w:val="22"/>
          <w:szCs w:val="22"/>
        </w:rPr>
        <w:t>that changes in quality of life due to use of t</w:t>
      </w:r>
      <w:r w:rsidR="00D425D2">
        <w:rPr>
          <w:sz w:val="22"/>
          <w:szCs w:val="22"/>
        </w:rPr>
        <w:t>reatment with and without the test only occurred in a short period of time relative to the</w:t>
      </w:r>
      <w:r w:rsidRPr="00170468">
        <w:rPr>
          <w:sz w:val="22"/>
          <w:szCs w:val="22"/>
        </w:rPr>
        <w:t xml:space="preserve"> lifetime time horizon</w:t>
      </w:r>
      <w:r w:rsidR="00D425D2">
        <w:rPr>
          <w:sz w:val="22"/>
          <w:szCs w:val="22"/>
        </w:rPr>
        <w:t xml:space="preserve"> used in the model</w:t>
      </w:r>
      <w:r w:rsidRPr="00170468">
        <w:rPr>
          <w:sz w:val="22"/>
          <w:szCs w:val="22"/>
        </w:rPr>
        <w:t>.</w:t>
      </w:r>
      <w:r w:rsidR="00D425D2">
        <w:rPr>
          <w:sz w:val="22"/>
          <w:szCs w:val="22"/>
        </w:rPr>
        <w:t xml:space="preserve"> </w:t>
      </w:r>
      <w:r w:rsidRPr="00170468">
        <w:rPr>
          <w:sz w:val="22"/>
          <w:szCs w:val="22"/>
        </w:rPr>
        <w:t xml:space="preserve">MSAC therefore considered that the </w:t>
      </w:r>
      <w:r w:rsidR="00FE224E">
        <w:rPr>
          <w:sz w:val="22"/>
          <w:szCs w:val="22"/>
        </w:rPr>
        <w:t xml:space="preserve">cost utility </w:t>
      </w:r>
      <w:r w:rsidR="009E5559">
        <w:rPr>
          <w:sz w:val="22"/>
          <w:szCs w:val="22"/>
        </w:rPr>
        <w:t xml:space="preserve">analysis </w:t>
      </w:r>
      <w:r w:rsidRPr="00170468">
        <w:rPr>
          <w:sz w:val="22"/>
          <w:szCs w:val="22"/>
        </w:rPr>
        <w:t xml:space="preserve">model was unlikely to capture the true effect of adverse events and was therefore unhelpful for decision making. MSAC noted that the incremental cost-effectiveness ratio (ICER) was highly volatile </w:t>
      </w:r>
      <w:r w:rsidR="00DC2558">
        <w:rPr>
          <w:sz w:val="22"/>
          <w:szCs w:val="22"/>
        </w:rPr>
        <w:t xml:space="preserve">in response to changes in </w:t>
      </w:r>
      <w:r w:rsidR="009E5559">
        <w:rPr>
          <w:sz w:val="22"/>
          <w:szCs w:val="22"/>
        </w:rPr>
        <w:t>inputs and model assumptions</w:t>
      </w:r>
      <w:r w:rsidRPr="00170468">
        <w:rPr>
          <w:sz w:val="22"/>
          <w:szCs w:val="22"/>
        </w:rPr>
        <w:t xml:space="preserve"> – the original model showed that the cost per QALY gained following </w:t>
      </w:r>
      <w:r w:rsidRPr="00170468">
        <w:rPr>
          <w:i/>
          <w:iCs/>
          <w:sz w:val="22"/>
          <w:szCs w:val="22"/>
        </w:rPr>
        <w:t>HLA</w:t>
      </w:r>
      <w:r w:rsidRPr="00170468">
        <w:rPr>
          <w:sz w:val="22"/>
          <w:szCs w:val="22"/>
        </w:rPr>
        <w:t xml:space="preserve"> genotyping for epilepsy was dominant, but the revised model resulted in an ICER of $825,763. For the cost per pain-controlled case of trigeminal neuralgia, the original model resulted in a</w:t>
      </w:r>
      <w:r w:rsidR="00AE5CFD">
        <w:rPr>
          <w:sz w:val="22"/>
          <w:szCs w:val="22"/>
        </w:rPr>
        <w:t xml:space="preserve"> </w:t>
      </w:r>
      <w:r w:rsidRPr="00170468">
        <w:rPr>
          <w:sz w:val="22"/>
          <w:szCs w:val="22"/>
        </w:rPr>
        <w:t>cost of $712.06, but was dominated by usual care in the revised model.</w:t>
      </w:r>
      <w:r w:rsidR="00AE5CFD">
        <w:rPr>
          <w:sz w:val="22"/>
          <w:szCs w:val="22"/>
        </w:rPr>
        <w:t xml:space="preserve"> This volatility was also reflected in the sensitivity analyses which showed that multiple drivers have a large impact on the model.</w:t>
      </w:r>
      <w:r w:rsidR="000919C1">
        <w:rPr>
          <w:sz w:val="22"/>
          <w:szCs w:val="22"/>
        </w:rPr>
        <w:t xml:space="preserve"> For instance</w:t>
      </w:r>
      <w:r w:rsidR="00474A89">
        <w:rPr>
          <w:sz w:val="22"/>
          <w:szCs w:val="22"/>
        </w:rPr>
        <w:t>,</w:t>
      </w:r>
      <w:r w:rsidR="000919C1">
        <w:rPr>
          <w:sz w:val="22"/>
          <w:szCs w:val="22"/>
        </w:rPr>
        <w:t xml:space="preserve"> MSAC noted that </w:t>
      </w:r>
      <w:r w:rsidR="00F911DE">
        <w:rPr>
          <w:sz w:val="22"/>
          <w:szCs w:val="22"/>
        </w:rPr>
        <w:t xml:space="preserve">reducing </w:t>
      </w:r>
      <w:r w:rsidR="00874FD0">
        <w:rPr>
          <w:sz w:val="22"/>
          <w:szCs w:val="22"/>
        </w:rPr>
        <w:t>the probability of patients treated with CBZ or O</w:t>
      </w:r>
      <w:r w:rsidR="00443F16">
        <w:rPr>
          <w:sz w:val="22"/>
          <w:szCs w:val="22"/>
        </w:rPr>
        <w:t>XC who transitioned from uncontrolled epilepsy to remission</w:t>
      </w:r>
      <w:r w:rsidR="00F911DE">
        <w:rPr>
          <w:sz w:val="22"/>
          <w:szCs w:val="22"/>
        </w:rPr>
        <w:t xml:space="preserve"> from the base case of 0.702 to 0.561</w:t>
      </w:r>
      <w:r w:rsidR="00A630FC">
        <w:rPr>
          <w:sz w:val="22"/>
          <w:szCs w:val="22"/>
        </w:rPr>
        <w:t xml:space="preserve"> (i.e. by 20%) </w:t>
      </w:r>
      <w:r w:rsidR="00F911DE">
        <w:rPr>
          <w:sz w:val="22"/>
          <w:szCs w:val="22"/>
        </w:rPr>
        <w:t>brough</w:t>
      </w:r>
      <w:r w:rsidR="000039FE">
        <w:rPr>
          <w:sz w:val="22"/>
          <w:szCs w:val="22"/>
        </w:rPr>
        <w:t>t</w:t>
      </w:r>
      <w:r w:rsidR="00F911DE">
        <w:rPr>
          <w:sz w:val="22"/>
          <w:szCs w:val="22"/>
        </w:rPr>
        <w:t xml:space="preserve"> the ICER down to </w:t>
      </w:r>
      <w:r w:rsidR="003133AF">
        <w:rPr>
          <w:sz w:val="22"/>
          <w:szCs w:val="22"/>
        </w:rPr>
        <w:t>$51,359</w:t>
      </w:r>
      <w:r w:rsidR="00A630FC">
        <w:rPr>
          <w:sz w:val="22"/>
          <w:szCs w:val="22"/>
        </w:rPr>
        <w:t xml:space="preserve"> </w:t>
      </w:r>
      <w:r w:rsidR="003133AF">
        <w:rPr>
          <w:sz w:val="22"/>
          <w:szCs w:val="22"/>
        </w:rPr>
        <w:t>while increasing this base case probability to 0.842</w:t>
      </w:r>
      <w:r w:rsidR="00E76D0E">
        <w:rPr>
          <w:sz w:val="22"/>
          <w:szCs w:val="22"/>
        </w:rPr>
        <w:t xml:space="preserve"> (i.e. by 20%)</w:t>
      </w:r>
      <w:r w:rsidR="003133AF">
        <w:rPr>
          <w:sz w:val="22"/>
          <w:szCs w:val="22"/>
        </w:rPr>
        <w:t xml:space="preserve"> resulted in a dominated ICER.</w:t>
      </w:r>
      <w:r w:rsidR="00A630FC">
        <w:rPr>
          <w:sz w:val="22"/>
          <w:szCs w:val="22"/>
        </w:rPr>
        <w:t xml:space="preserve"> Similarly reducing the </w:t>
      </w:r>
      <w:r w:rsidR="005C39B4">
        <w:rPr>
          <w:sz w:val="22"/>
          <w:szCs w:val="22"/>
        </w:rPr>
        <w:t xml:space="preserve">annual cost of remission treated by CBC/OXC without </w:t>
      </w:r>
      <w:r w:rsidR="00E60225">
        <w:rPr>
          <w:sz w:val="22"/>
          <w:szCs w:val="22"/>
        </w:rPr>
        <w:t xml:space="preserve">SJS-TEN/DRESS </w:t>
      </w:r>
      <w:r w:rsidR="00452C03">
        <w:rPr>
          <w:sz w:val="22"/>
          <w:szCs w:val="22"/>
        </w:rPr>
        <w:t>by 20% increased the ICER to more than $1.6 million while reducing it by 20% reduced the ICER to $15,981.</w:t>
      </w:r>
      <w:r w:rsidR="003133AF">
        <w:rPr>
          <w:sz w:val="22"/>
          <w:szCs w:val="22"/>
        </w:rPr>
        <w:t xml:space="preserve"> </w:t>
      </w:r>
      <w:r w:rsidR="0086573D">
        <w:rPr>
          <w:sz w:val="22"/>
          <w:szCs w:val="22"/>
        </w:rPr>
        <w:t>MSAC noted that the pre-MSAC response identified a</w:t>
      </w:r>
      <w:r w:rsidR="00E466CA" w:rsidRPr="00E466CA">
        <w:t xml:space="preserve"> </w:t>
      </w:r>
      <w:r w:rsidR="00E466CA" w:rsidRPr="00E466CA">
        <w:rPr>
          <w:sz w:val="22"/>
          <w:szCs w:val="22"/>
        </w:rPr>
        <w:t>cost-effectiveness analysis of HLA-B</w:t>
      </w:r>
      <w:r w:rsidR="00BD6DAE">
        <w:rPr>
          <w:sz w:val="22"/>
          <w:szCs w:val="22"/>
        </w:rPr>
        <w:t>*</w:t>
      </w:r>
      <w:r w:rsidR="00E466CA" w:rsidRPr="00E466CA">
        <w:rPr>
          <w:sz w:val="22"/>
          <w:szCs w:val="22"/>
        </w:rPr>
        <w:t>15:02 genotyping</w:t>
      </w:r>
      <w:r w:rsidR="00E466CA">
        <w:rPr>
          <w:sz w:val="22"/>
          <w:szCs w:val="22"/>
        </w:rPr>
        <w:t xml:space="preserve"> albeit only focusing on </w:t>
      </w:r>
      <w:r w:rsidR="00E466CA" w:rsidRPr="00E466CA">
        <w:rPr>
          <w:sz w:val="22"/>
          <w:szCs w:val="22"/>
        </w:rPr>
        <w:t>Asian Australian patients</w:t>
      </w:r>
      <w:r w:rsidR="00E466CA">
        <w:rPr>
          <w:sz w:val="22"/>
          <w:szCs w:val="22"/>
        </w:rPr>
        <w:t xml:space="preserve"> which estimated an ICER of </w:t>
      </w:r>
      <w:r w:rsidR="002237C8">
        <w:rPr>
          <w:sz w:val="22"/>
          <w:szCs w:val="22"/>
        </w:rPr>
        <w:t>$</w:t>
      </w:r>
      <w:r w:rsidR="002237C8" w:rsidRPr="002237C8">
        <w:rPr>
          <w:sz w:val="22"/>
          <w:szCs w:val="22"/>
        </w:rPr>
        <w:t>15,839 per QALY.</w:t>
      </w:r>
      <w:r w:rsidR="007530E4">
        <w:rPr>
          <w:rStyle w:val="FootnoteReference"/>
          <w:sz w:val="22"/>
          <w:szCs w:val="22"/>
        </w:rPr>
        <w:footnoteReference w:id="3"/>
      </w:r>
      <w:r w:rsidR="002237C8" w:rsidRPr="002237C8" w:rsidDel="0055566B">
        <w:rPr>
          <w:sz w:val="22"/>
          <w:szCs w:val="22"/>
        </w:rPr>
        <w:t xml:space="preserve"> </w:t>
      </w:r>
    </w:p>
    <w:p w14:paraId="66D82CB1" w14:textId="4CCA4DB2" w:rsidR="00F34FEF" w:rsidRDefault="008F3CC7" w:rsidP="00F34FEF">
      <w:pPr>
        <w:rPr>
          <w:sz w:val="22"/>
          <w:szCs w:val="22"/>
        </w:rPr>
      </w:pPr>
      <w:r>
        <w:rPr>
          <w:sz w:val="22"/>
          <w:szCs w:val="22"/>
        </w:rPr>
        <w:t xml:space="preserve">Given these uncertainties, MSAC considered that the results of the </w:t>
      </w:r>
      <w:r w:rsidR="00093AB8">
        <w:rPr>
          <w:sz w:val="22"/>
          <w:szCs w:val="22"/>
        </w:rPr>
        <w:t xml:space="preserve">stepped </w:t>
      </w:r>
      <w:r w:rsidR="003A5C4D">
        <w:rPr>
          <w:sz w:val="22"/>
          <w:szCs w:val="22"/>
        </w:rPr>
        <w:t>cost effectiveness analysis</w:t>
      </w:r>
      <w:r>
        <w:rPr>
          <w:sz w:val="22"/>
          <w:szCs w:val="22"/>
        </w:rPr>
        <w:t xml:space="preserve"> </w:t>
      </w:r>
      <w:r w:rsidR="0069205F">
        <w:rPr>
          <w:sz w:val="22"/>
          <w:szCs w:val="22"/>
        </w:rPr>
        <w:t>showing a cost of $</w:t>
      </w:r>
      <w:r w:rsidR="0069205F" w:rsidRPr="0069205F">
        <w:rPr>
          <w:sz w:val="22"/>
          <w:szCs w:val="22"/>
        </w:rPr>
        <w:t xml:space="preserve">3337 per patient </w:t>
      </w:r>
      <w:r w:rsidR="0069205F">
        <w:rPr>
          <w:sz w:val="22"/>
          <w:szCs w:val="22"/>
        </w:rPr>
        <w:t xml:space="preserve">identified </w:t>
      </w:r>
      <w:r w:rsidR="0069205F" w:rsidRPr="0069205F">
        <w:rPr>
          <w:sz w:val="22"/>
          <w:szCs w:val="22"/>
        </w:rPr>
        <w:t>with positive genotyping</w:t>
      </w:r>
      <w:r w:rsidR="0069205F">
        <w:rPr>
          <w:sz w:val="22"/>
          <w:szCs w:val="22"/>
        </w:rPr>
        <w:t xml:space="preserve"> results was a more reliable indicator of cost effectiveness</w:t>
      </w:r>
      <w:r w:rsidR="009D226E" w:rsidRPr="009D226E">
        <w:rPr>
          <w:sz w:val="22"/>
          <w:szCs w:val="22"/>
        </w:rPr>
        <w:t>.</w:t>
      </w:r>
      <w:r w:rsidR="00F34FEF">
        <w:rPr>
          <w:sz w:val="22"/>
          <w:szCs w:val="22"/>
        </w:rPr>
        <w:t xml:space="preserve"> </w:t>
      </w:r>
      <w:r w:rsidR="00B33FF4">
        <w:rPr>
          <w:sz w:val="22"/>
          <w:szCs w:val="22"/>
        </w:rPr>
        <w:t xml:space="preserve">MSAC considered this was consistent </w:t>
      </w:r>
      <w:r w:rsidR="00B40D35">
        <w:rPr>
          <w:sz w:val="22"/>
          <w:szCs w:val="22"/>
        </w:rPr>
        <w:t xml:space="preserve">with </w:t>
      </w:r>
      <w:r w:rsidR="0087766D">
        <w:rPr>
          <w:sz w:val="22"/>
          <w:szCs w:val="22"/>
        </w:rPr>
        <w:t xml:space="preserve">its previous assessments of genetic </w:t>
      </w:r>
      <w:r w:rsidR="001A4238">
        <w:rPr>
          <w:sz w:val="22"/>
          <w:szCs w:val="22"/>
        </w:rPr>
        <w:t xml:space="preserve">tests. </w:t>
      </w:r>
      <w:r w:rsidR="00F34FEF">
        <w:rPr>
          <w:sz w:val="22"/>
          <w:szCs w:val="22"/>
        </w:rPr>
        <w:t xml:space="preserve">However overall MSAC noted that the interpretation of the economic evaluation results should be </w:t>
      </w:r>
      <w:r w:rsidR="00D120E9">
        <w:rPr>
          <w:sz w:val="22"/>
          <w:szCs w:val="22"/>
        </w:rPr>
        <w:t xml:space="preserve">approached with caution because </w:t>
      </w:r>
      <w:r w:rsidR="0059544E">
        <w:rPr>
          <w:sz w:val="22"/>
          <w:szCs w:val="22"/>
        </w:rPr>
        <w:t xml:space="preserve">of the insufficient evidence to determine the effectiveness of testing in reducing morbidity and mortality, </w:t>
      </w:r>
      <w:r w:rsidR="00E732DB">
        <w:rPr>
          <w:sz w:val="22"/>
          <w:szCs w:val="22"/>
        </w:rPr>
        <w:t xml:space="preserve">the evidence regarding variant frequencies across different population groups was not robust, </w:t>
      </w:r>
      <w:r w:rsidR="00A10AC0">
        <w:rPr>
          <w:sz w:val="22"/>
          <w:szCs w:val="22"/>
        </w:rPr>
        <w:t xml:space="preserve">no </w:t>
      </w:r>
      <w:r w:rsidR="00A10AC0">
        <w:rPr>
          <w:sz w:val="22"/>
          <w:szCs w:val="22"/>
        </w:rPr>
        <w:lastRenderedPageBreak/>
        <w:t xml:space="preserve">Australian studies or data was available to inform the </w:t>
      </w:r>
      <w:r w:rsidR="00093AB8">
        <w:rPr>
          <w:sz w:val="22"/>
          <w:szCs w:val="22"/>
        </w:rPr>
        <w:t xml:space="preserve">key </w:t>
      </w:r>
      <w:r w:rsidR="00A10AC0">
        <w:rPr>
          <w:sz w:val="22"/>
          <w:szCs w:val="22"/>
        </w:rPr>
        <w:t>modelling</w:t>
      </w:r>
      <w:r w:rsidR="00093AB8">
        <w:rPr>
          <w:sz w:val="22"/>
          <w:szCs w:val="22"/>
        </w:rPr>
        <w:t xml:space="preserve"> assumptions</w:t>
      </w:r>
      <w:r w:rsidR="00A10AC0">
        <w:rPr>
          <w:sz w:val="22"/>
          <w:szCs w:val="22"/>
        </w:rPr>
        <w:t xml:space="preserve"> and the costing of hypersensitivity reactions was not accurate. </w:t>
      </w:r>
    </w:p>
    <w:p w14:paraId="7D7B36B7" w14:textId="0E605BA5" w:rsidR="00170468" w:rsidRDefault="00170468" w:rsidP="00170468">
      <w:pPr>
        <w:rPr>
          <w:sz w:val="22"/>
          <w:szCs w:val="22"/>
        </w:rPr>
      </w:pPr>
      <w:r w:rsidRPr="00170468">
        <w:rPr>
          <w:sz w:val="22"/>
          <w:szCs w:val="22"/>
        </w:rPr>
        <w:t xml:space="preserve">MSAC noted the financial and budgetary analysis and considered that the financial impact to the MBS was modest, although uncertain. Using a test fee of $139, the cost ranged from $541,747 in year 1 to $789,767 in year 6, based on an uptake of about approximately 9,500 patients per year, which would decrease after year 1. MSAC agreed with ESC that the expected uptake of testing was unclear and highly uncertain. </w:t>
      </w:r>
    </w:p>
    <w:p w14:paraId="3BF7F24E" w14:textId="2793D457" w:rsidR="008B4B98" w:rsidRPr="00170468" w:rsidRDefault="008B4B98" w:rsidP="00170468">
      <w:pPr>
        <w:rPr>
          <w:sz w:val="22"/>
          <w:szCs w:val="22"/>
        </w:rPr>
      </w:pPr>
      <w:r>
        <w:rPr>
          <w:rFonts w:cstheme="minorBidi"/>
          <w:sz w:val="22"/>
          <w:szCs w:val="22"/>
        </w:rPr>
        <w:t>Overall</w:t>
      </w:r>
      <w:r w:rsidR="00735ACD">
        <w:rPr>
          <w:rFonts w:cstheme="minorBidi"/>
          <w:sz w:val="22"/>
          <w:szCs w:val="22"/>
        </w:rPr>
        <w:t>,</w:t>
      </w:r>
      <w:r>
        <w:rPr>
          <w:rFonts w:cstheme="minorBidi"/>
          <w:sz w:val="22"/>
          <w:szCs w:val="22"/>
        </w:rPr>
        <w:t xml:space="preserve"> </w:t>
      </w:r>
      <w:r w:rsidRPr="2883B670">
        <w:rPr>
          <w:rFonts w:cstheme="minorBidi"/>
          <w:sz w:val="22"/>
          <w:szCs w:val="22"/>
        </w:rPr>
        <w:t xml:space="preserve">MSAC supported the creation of a new </w:t>
      </w:r>
      <w:r w:rsidR="00507DDB">
        <w:rPr>
          <w:rFonts w:cstheme="minorBidi"/>
          <w:sz w:val="22"/>
          <w:szCs w:val="22"/>
        </w:rPr>
        <w:t xml:space="preserve">MBS </w:t>
      </w:r>
      <w:r w:rsidRPr="2883B670">
        <w:rPr>
          <w:rFonts w:cstheme="minorBidi"/>
          <w:sz w:val="22"/>
          <w:szCs w:val="22"/>
        </w:rPr>
        <w:t>item for</w:t>
      </w:r>
      <w:r>
        <w:rPr>
          <w:rFonts w:cstheme="minorBidi"/>
          <w:sz w:val="22"/>
          <w:szCs w:val="22"/>
        </w:rPr>
        <w:t xml:space="preserve"> the </w:t>
      </w:r>
      <w:r w:rsidR="00507DDB">
        <w:rPr>
          <w:rFonts w:cstheme="minorBidi"/>
          <w:sz w:val="22"/>
          <w:szCs w:val="22"/>
        </w:rPr>
        <w:t xml:space="preserve">proposed </w:t>
      </w:r>
      <w:r>
        <w:rPr>
          <w:rFonts w:cstheme="minorBidi"/>
          <w:sz w:val="22"/>
          <w:szCs w:val="22"/>
        </w:rPr>
        <w:t xml:space="preserve">testing because of the </w:t>
      </w:r>
      <w:r w:rsidRPr="2883B670">
        <w:rPr>
          <w:rFonts w:cstheme="minorBidi"/>
          <w:sz w:val="22"/>
          <w:szCs w:val="22"/>
        </w:rPr>
        <w:t xml:space="preserve">high clinical need for this testing </w:t>
      </w:r>
      <w:r w:rsidR="004B1B07">
        <w:rPr>
          <w:rFonts w:cstheme="minorBidi"/>
          <w:sz w:val="22"/>
          <w:szCs w:val="22"/>
        </w:rPr>
        <w:t xml:space="preserve">so that </w:t>
      </w:r>
      <w:r w:rsidR="00507DDB">
        <w:rPr>
          <w:rFonts w:cstheme="minorBidi"/>
          <w:sz w:val="22"/>
          <w:szCs w:val="22"/>
        </w:rPr>
        <w:t xml:space="preserve">the targeted population </w:t>
      </w:r>
      <w:r w:rsidR="004B1B07">
        <w:rPr>
          <w:rFonts w:cstheme="minorBidi"/>
          <w:sz w:val="22"/>
          <w:szCs w:val="22"/>
        </w:rPr>
        <w:t xml:space="preserve">can avoid </w:t>
      </w:r>
      <w:r w:rsidRPr="2883B670">
        <w:rPr>
          <w:rFonts w:cstheme="minorBidi"/>
          <w:sz w:val="22"/>
          <w:szCs w:val="22"/>
        </w:rPr>
        <w:t xml:space="preserve">rare </w:t>
      </w:r>
      <w:r w:rsidR="004B1B07">
        <w:rPr>
          <w:rFonts w:cstheme="minorBidi"/>
          <w:sz w:val="22"/>
          <w:szCs w:val="22"/>
        </w:rPr>
        <w:t>but</w:t>
      </w:r>
      <w:r w:rsidRPr="2883B670">
        <w:rPr>
          <w:rFonts w:cstheme="minorBidi"/>
          <w:sz w:val="22"/>
          <w:szCs w:val="22"/>
        </w:rPr>
        <w:t xml:space="preserve"> severe and life-threatening</w:t>
      </w:r>
      <w:r w:rsidR="004B1B07">
        <w:rPr>
          <w:rFonts w:cstheme="minorBidi"/>
          <w:sz w:val="22"/>
          <w:szCs w:val="22"/>
        </w:rPr>
        <w:t xml:space="preserve"> hype</w:t>
      </w:r>
      <w:r w:rsidR="0050392E">
        <w:rPr>
          <w:rFonts w:cstheme="minorBidi"/>
          <w:sz w:val="22"/>
          <w:szCs w:val="22"/>
        </w:rPr>
        <w:t>rsensitivity reactions</w:t>
      </w:r>
      <w:r w:rsidR="00D0167C">
        <w:rPr>
          <w:rFonts w:cstheme="minorBidi"/>
          <w:sz w:val="22"/>
          <w:szCs w:val="22"/>
        </w:rPr>
        <w:t>. In addition,</w:t>
      </w:r>
      <w:r w:rsidR="00D1012C">
        <w:rPr>
          <w:rFonts w:cstheme="minorBidi"/>
          <w:sz w:val="22"/>
          <w:szCs w:val="22"/>
        </w:rPr>
        <w:t xml:space="preserve"> MSAC considered that</w:t>
      </w:r>
      <w:r w:rsidR="00D0167C">
        <w:rPr>
          <w:rFonts w:cstheme="minorBidi"/>
          <w:sz w:val="22"/>
          <w:szCs w:val="22"/>
        </w:rPr>
        <w:t xml:space="preserve"> </w:t>
      </w:r>
      <w:r w:rsidR="0050392E">
        <w:rPr>
          <w:rFonts w:cstheme="minorBidi"/>
          <w:sz w:val="22"/>
          <w:szCs w:val="22"/>
        </w:rPr>
        <w:t>t</w:t>
      </w:r>
      <w:r w:rsidRPr="2883B670">
        <w:rPr>
          <w:rFonts w:cstheme="minorBidi"/>
          <w:sz w:val="22"/>
          <w:szCs w:val="22"/>
        </w:rPr>
        <w:t xml:space="preserve">his testing </w:t>
      </w:r>
      <w:r w:rsidR="009D7B65">
        <w:rPr>
          <w:rFonts w:cstheme="minorBidi"/>
          <w:sz w:val="22"/>
          <w:szCs w:val="22"/>
        </w:rPr>
        <w:t>is</w:t>
      </w:r>
      <w:r w:rsidRPr="2883B670">
        <w:rPr>
          <w:rFonts w:cstheme="minorBidi"/>
          <w:sz w:val="22"/>
          <w:szCs w:val="22"/>
        </w:rPr>
        <w:t xml:space="preserve"> already recommended in clinical guidelines</w:t>
      </w:r>
      <w:r w:rsidR="008A3BA4">
        <w:rPr>
          <w:rFonts w:cstheme="minorBidi"/>
          <w:sz w:val="22"/>
          <w:szCs w:val="22"/>
        </w:rPr>
        <w:t xml:space="preserve"> and given that the </w:t>
      </w:r>
      <w:r w:rsidR="003124C5">
        <w:rPr>
          <w:rFonts w:cstheme="minorBidi"/>
          <w:sz w:val="22"/>
          <w:szCs w:val="22"/>
        </w:rPr>
        <w:t>analytical performance of the genotyping method is robust, the cost</w:t>
      </w:r>
      <w:r w:rsidR="006752D8" w:rsidRPr="006752D8">
        <w:rPr>
          <w:rFonts w:cstheme="minorBidi"/>
          <w:sz w:val="22"/>
          <w:szCs w:val="22"/>
        </w:rPr>
        <w:t xml:space="preserve"> per patient with identified positive genotyping results</w:t>
      </w:r>
      <w:r w:rsidR="006752D8">
        <w:rPr>
          <w:rFonts w:cstheme="minorBidi"/>
          <w:sz w:val="22"/>
          <w:szCs w:val="22"/>
        </w:rPr>
        <w:t xml:space="preserve"> w</w:t>
      </w:r>
      <w:r w:rsidR="009D7B65">
        <w:rPr>
          <w:rFonts w:cstheme="minorBidi"/>
          <w:sz w:val="22"/>
          <w:szCs w:val="22"/>
        </w:rPr>
        <w:t>ere</w:t>
      </w:r>
      <w:r w:rsidR="006752D8">
        <w:rPr>
          <w:rFonts w:cstheme="minorBidi"/>
          <w:sz w:val="22"/>
          <w:szCs w:val="22"/>
        </w:rPr>
        <w:t xml:space="preserve"> within range of </w:t>
      </w:r>
      <w:r w:rsidR="006752D8" w:rsidRPr="006752D8">
        <w:rPr>
          <w:rFonts w:cstheme="minorBidi"/>
          <w:sz w:val="22"/>
          <w:szCs w:val="22"/>
        </w:rPr>
        <w:t>other MSAC supported genotyping germline tests</w:t>
      </w:r>
      <w:r w:rsidR="006752D8">
        <w:rPr>
          <w:rFonts w:cstheme="minorBidi"/>
          <w:sz w:val="22"/>
          <w:szCs w:val="22"/>
        </w:rPr>
        <w:t xml:space="preserve"> and the financial implications to the MBS were low.</w:t>
      </w:r>
    </w:p>
    <w:p w14:paraId="1F36A4C8" w14:textId="270A8CB9" w:rsidR="00507DDB" w:rsidRDefault="006139C0" w:rsidP="00170468">
      <w:pPr>
        <w:rPr>
          <w:sz w:val="22"/>
          <w:szCs w:val="22"/>
        </w:rPr>
      </w:pPr>
      <w:r>
        <w:rPr>
          <w:sz w:val="22"/>
          <w:szCs w:val="22"/>
        </w:rPr>
        <w:t xml:space="preserve">MSAC noted that there were also value of knowing benefits from testing insofar as </w:t>
      </w:r>
      <w:r w:rsidR="003D05D5">
        <w:rPr>
          <w:sz w:val="22"/>
          <w:szCs w:val="22"/>
        </w:rPr>
        <w:t xml:space="preserve">it may provide greater certainty during decision-making. MSAC noted that </w:t>
      </w:r>
      <w:r w:rsidR="003D05D5" w:rsidRPr="003D05D5">
        <w:rPr>
          <w:sz w:val="22"/>
          <w:szCs w:val="22"/>
        </w:rPr>
        <w:t>HLA genotyping does not have the same ethical considerations as other types of genetic testing</w:t>
      </w:r>
      <w:r w:rsidR="003D05D5">
        <w:rPr>
          <w:sz w:val="22"/>
          <w:szCs w:val="22"/>
        </w:rPr>
        <w:t xml:space="preserve"> as the t</w:t>
      </w:r>
      <w:r w:rsidR="003D05D5" w:rsidRPr="003D05D5">
        <w:rPr>
          <w:sz w:val="22"/>
          <w:szCs w:val="22"/>
        </w:rPr>
        <w:t xml:space="preserve">est only provides useful information for an individual about their risk of experiencing hypersensitivity reactions. </w:t>
      </w:r>
    </w:p>
    <w:p w14:paraId="2DDACEA5" w14:textId="77777777" w:rsidR="00A7653C" w:rsidRDefault="00A7653C" w:rsidP="00A7653C">
      <w:pPr>
        <w:rPr>
          <w:sz w:val="22"/>
          <w:szCs w:val="22"/>
        </w:rPr>
      </w:pPr>
      <w:r w:rsidRPr="00170468">
        <w:rPr>
          <w:sz w:val="22"/>
          <w:szCs w:val="22"/>
        </w:rPr>
        <w:t>MSAC advised that education for providers on the availability of these tests on the MBS was critical to ensure provider awareness and avoidance of serious adverse events following treatment, and to mitigate the risk of litigation if a test is available but not used.</w:t>
      </w:r>
    </w:p>
    <w:p w14:paraId="3643039C" w14:textId="2E0DE6EE" w:rsidR="00AF46FB" w:rsidRDefault="00170468" w:rsidP="00170468">
      <w:pPr>
        <w:rPr>
          <w:sz w:val="22"/>
          <w:szCs w:val="22"/>
        </w:rPr>
      </w:pPr>
      <w:r w:rsidRPr="00170468">
        <w:rPr>
          <w:sz w:val="22"/>
          <w:szCs w:val="22"/>
        </w:rPr>
        <w:t xml:space="preserve">MSAC noted </w:t>
      </w:r>
      <w:r w:rsidR="00607A31">
        <w:rPr>
          <w:sz w:val="22"/>
          <w:szCs w:val="22"/>
        </w:rPr>
        <w:t>there were remaining concerns with equity and access</w:t>
      </w:r>
      <w:r w:rsidR="00B5487C">
        <w:rPr>
          <w:sz w:val="22"/>
          <w:szCs w:val="22"/>
        </w:rPr>
        <w:t xml:space="preserve">, particularly for </w:t>
      </w:r>
      <w:r w:rsidR="003A70C3">
        <w:rPr>
          <w:sz w:val="22"/>
          <w:szCs w:val="22"/>
        </w:rPr>
        <w:t xml:space="preserve">people living in </w:t>
      </w:r>
      <w:r w:rsidR="00607A31">
        <w:rPr>
          <w:sz w:val="22"/>
          <w:szCs w:val="22"/>
        </w:rPr>
        <w:t>rural and remote regions</w:t>
      </w:r>
      <w:r w:rsidR="005E3291">
        <w:rPr>
          <w:sz w:val="22"/>
          <w:szCs w:val="22"/>
        </w:rPr>
        <w:t xml:space="preserve">, </w:t>
      </w:r>
      <w:r w:rsidR="00F403C2">
        <w:rPr>
          <w:sz w:val="22"/>
          <w:szCs w:val="22"/>
        </w:rPr>
        <w:t>including</w:t>
      </w:r>
      <w:r w:rsidR="00A127F2">
        <w:rPr>
          <w:sz w:val="22"/>
          <w:szCs w:val="22"/>
        </w:rPr>
        <w:t xml:space="preserve"> </w:t>
      </w:r>
      <w:r w:rsidR="00B5487C">
        <w:rPr>
          <w:sz w:val="22"/>
          <w:szCs w:val="22"/>
        </w:rPr>
        <w:t>First Nations people</w:t>
      </w:r>
      <w:r w:rsidR="00A127F2">
        <w:rPr>
          <w:sz w:val="22"/>
          <w:szCs w:val="22"/>
        </w:rPr>
        <w:t xml:space="preserve">, </w:t>
      </w:r>
      <w:r w:rsidR="00B5487C">
        <w:rPr>
          <w:sz w:val="22"/>
          <w:szCs w:val="22"/>
        </w:rPr>
        <w:t>because t</w:t>
      </w:r>
      <w:r w:rsidR="00B5487C" w:rsidRPr="00B5487C">
        <w:rPr>
          <w:sz w:val="22"/>
          <w:szCs w:val="22"/>
        </w:rPr>
        <w:t>esting is not yet widely available</w:t>
      </w:r>
      <w:r w:rsidR="00B5487C">
        <w:rPr>
          <w:sz w:val="22"/>
          <w:szCs w:val="22"/>
        </w:rPr>
        <w:t xml:space="preserve">, meaning that </w:t>
      </w:r>
      <w:r w:rsidR="00A127F2">
        <w:rPr>
          <w:sz w:val="22"/>
          <w:szCs w:val="22"/>
        </w:rPr>
        <w:t xml:space="preserve">test </w:t>
      </w:r>
      <w:r w:rsidR="00B5487C" w:rsidRPr="00B5487C">
        <w:rPr>
          <w:sz w:val="22"/>
          <w:szCs w:val="22"/>
        </w:rPr>
        <w:t>specimens may need to be sent interregional or interstate</w:t>
      </w:r>
      <w:r w:rsidR="00B5487C" w:rsidRPr="00B5487C" w:rsidDel="00B5487C">
        <w:rPr>
          <w:sz w:val="22"/>
          <w:szCs w:val="22"/>
        </w:rPr>
        <w:t xml:space="preserve"> </w:t>
      </w:r>
      <w:r w:rsidR="00D41A93">
        <w:rPr>
          <w:sz w:val="22"/>
          <w:szCs w:val="22"/>
        </w:rPr>
        <w:t>which may further delay treatment commencement</w:t>
      </w:r>
      <w:r w:rsidRPr="00170468">
        <w:rPr>
          <w:sz w:val="22"/>
          <w:szCs w:val="22"/>
        </w:rPr>
        <w:t>.</w:t>
      </w:r>
      <w:r w:rsidR="00D41A93">
        <w:rPr>
          <w:sz w:val="22"/>
          <w:szCs w:val="22"/>
        </w:rPr>
        <w:t xml:space="preserve"> MSAC also noted the current lack of evidence for test outcomes in </w:t>
      </w:r>
      <w:r w:rsidR="006139C0">
        <w:rPr>
          <w:sz w:val="22"/>
          <w:szCs w:val="22"/>
        </w:rPr>
        <w:t>First Nations people.</w:t>
      </w:r>
      <w:r w:rsidR="00215B71">
        <w:rPr>
          <w:sz w:val="22"/>
          <w:szCs w:val="22"/>
        </w:rPr>
        <w:t xml:space="preserve"> MSAC noted the </w:t>
      </w:r>
      <w:r w:rsidR="00331D14">
        <w:rPr>
          <w:sz w:val="22"/>
          <w:szCs w:val="22"/>
        </w:rPr>
        <w:t>pre-MSAC response acknowledged that</w:t>
      </w:r>
      <w:r w:rsidRPr="00170468">
        <w:rPr>
          <w:sz w:val="22"/>
          <w:szCs w:val="22"/>
        </w:rPr>
        <w:t xml:space="preserve"> </w:t>
      </w:r>
      <w:r w:rsidR="00331D14" w:rsidRPr="00331D14">
        <w:rPr>
          <w:sz w:val="22"/>
          <w:szCs w:val="22"/>
        </w:rPr>
        <w:t xml:space="preserve">known barriers to testing in First Nations communities are not easily overcome nor are they unique to this application, but </w:t>
      </w:r>
      <w:r w:rsidR="003D10C9">
        <w:rPr>
          <w:sz w:val="22"/>
          <w:szCs w:val="22"/>
        </w:rPr>
        <w:t xml:space="preserve">asserted that this is </w:t>
      </w:r>
      <w:r w:rsidR="00331D14" w:rsidRPr="00331D14">
        <w:rPr>
          <w:sz w:val="22"/>
          <w:szCs w:val="22"/>
        </w:rPr>
        <w:t xml:space="preserve">more reason to support </w:t>
      </w:r>
      <w:r w:rsidR="00DD37B2">
        <w:rPr>
          <w:sz w:val="22"/>
          <w:szCs w:val="22"/>
        </w:rPr>
        <w:t xml:space="preserve">MBS funding of this </w:t>
      </w:r>
      <w:r w:rsidR="00331D14" w:rsidRPr="00331D14">
        <w:rPr>
          <w:sz w:val="22"/>
          <w:szCs w:val="22"/>
        </w:rPr>
        <w:t>testing</w:t>
      </w:r>
      <w:r w:rsidR="003D10C9">
        <w:rPr>
          <w:sz w:val="22"/>
          <w:szCs w:val="22"/>
        </w:rPr>
        <w:t xml:space="preserve">. MSAC noted the pre-MSAC response considered that </w:t>
      </w:r>
      <w:r w:rsidR="005B7D5F">
        <w:rPr>
          <w:sz w:val="22"/>
          <w:szCs w:val="22"/>
        </w:rPr>
        <w:t xml:space="preserve">the </w:t>
      </w:r>
      <w:r w:rsidR="005B7D5F" w:rsidRPr="005B7D5F">
        <w:rPr>
          <w:sz w:val="22"/>
          <w:szCs w:val="22"/>
        </w:rPr>
        <w:t>testing is amenable to buccal swabs/saliva samples, which will ensure the test is</w:t>
      </w:r>
      <w:r w:rsidR="005B7D5F">
        <w:rPr>
          <w:sz w:val="22"/>
          <w:szCs w:val="22"/>
        </w:rPr>
        <w:t xml:space="preserve"> more</w:t>
      </w:r>
      <w:r w:rsidR="005B7D5F" w:rsidRPr="005B7D5F">
        <w:rPr>
          <w:sz w:val="22"/>
          <w:szCs w:val="22"/>
        </w:rPr>
        <w:t xml:space="preserve"> accessible.</w:t>
      </w:r>
      <w:r w:rsidR="00331D14" w:rsidRPr="00331D14">
        <w:rPr>
          <w:sz w:val="22"/>
          <w:szCs w:val="22"/>
        </w:rPr>
        <w:t xml:space="preserve"> </w:t>
      </w:r>
    </w:p>
    <w:p w14:paraId="3CDBEB88" w14:textId="60A7E944" w:rsidR="00170468" w:rsidRPr="00170468" w:rsidRDefault="001010AE" w:rsidP="00170468">
      <w:pPr>
        <w:rPr>
          <w:sz w:val="22"/>
          <w:szCs w:val="22"/>
        </w:rPr>
      </w:pPr>
      <w:r w:rsidRPr="001010AE">
        <w:rPr>
          <w:sz w:val="22"/>
          <w:szCs w:val="22"/>
        </w:rPr>
        <w:t>MSAC noted and agreed to ESC's advice that building an ancestry registry for research in the Australian population could guide population analysis and future testing</w:t>
      </w:r>
      <w:r w:rsidR="00F479EB" w:rsidRPr="3E6CA131">
        <w:rPr>
          <w:sz w:val="22"/>
          <w:szCs w:val="22"/>
        </w:rPr>
        <w:t xml:space="preserve">. </w:t>
      </w:r>
      <w:r w:rsidR="500E7BCE" w:rsidRPr="3E6CA131">
        <w:rPr>
          <w:sz w:val="22"/>
          <w:szCs w:val="22"/>
        </w:rPr>
        <w:t xml:space="preserve">MSAC recommended that the </w:t>
      </w:r>
      <w:r w:rsidR="3985D0EC" w:rsidRPr="3E6CA131">
        <w:rPr>
          <w:sz w:val="22"/>
          <w:szCs w:val="22"/>
        </w:rPr>
        <w:t xml:space="preserve">MBS </w:t>
      </w:r>
      <w:r w:rsidR="500E7BCE" w:rsidRPr="3E6CA131">
        <w:rPr>
          <w:sz w:val="22"/>
          <w:szCs w:val="22"/>
        </w:rPr>
        <w:t xml:space="preserve">listing be reviewed after 2 years and that such a review should consider both the testing uptake and its impact on </w:t>
      </w:r>
      <w:r w:rsidR="43A370E2" w:rsidRPr="3E6CA131">
        <w:rPr>
          <w:sz w:val="22"/>
          <w:szCs w:val="22"/>
        </w:rPr>
        <w:t>the PBS.</w:t>
      </w:r>
    </w:p>
    <w:p w14:paraId="6710B69D" w14:textId="712E51F2" w:rsidR="00772829" w:rsidRPr="00CE28E3" w:rsidRDefault="00772829" w:rsidP="00A737D1">
      <w:pPr>
        <w:pStyle w:val="Heading2"/>
        <w:numPr>
          <w:ilvl w:val="0"/>
          <w:numId w:val="21"/>
        </w:numPr>
        <w:ind w:hanging="720"/>
      </w:pPr>
      <w:bookmarkStart w:id="8" w:name="_Toc184825868"/>
      <w:bookmarkEnd w:id="5"/>
      <w:bookmarkEnd w:id="7"/>
      <w:r w:rsidRPr="00CE28E3">
        <w:t>Background</w:t>
      </w:r>
      <w:bookmarkEnd w:id="8"/>
    </w:p>
    <w:p w14:paraId="038F8214" w14:textId="3B7FF955" w:rsidR="00BE5374" w:rsidRPr="00673D8D" w:rsidRDefault="00CA42D6" w:rsidP="422CAA86">
      <w:pPr>
        <w:rPr>
          <w:sz w:val="22"/>
          <w:szCs w:val="22"/>
        </w:rPr>
      </w:pPr>
      <w:bookmarkStart w:id="9" w:name="_Hlk69734494"/>
      <w:r w:rsidRPr="422CAA86">
        <w:rPr>
          <w:sz w:val="22"/>
          <w:szCs w:val="22"/>
        </w:rPr>
        <w:t>MSAC has not previously considered</w:t>
      </w:r>
      <w:r w:rsidR="00BE5374" w:rsidRPr="422CAA86">
        <w:rPr>
          <w:sz w:val="22"/>
          <w:szCs w:val="22"/>
        </w:rPr>
        <w:t xml:space="preserve"> </w:t>
      </w:r>
      <w:r w:rsidR="003975F2" w:rsidRPr="003975F2">
        <w:rPr>
          <w:i/>
          <w:iCs/>
          <w:sz w:val="22"/>
          <w:szCs w:val="22"/>
        </w:rPr>
        <w:t xml:space="preserve">HLA-A*31:01 </w:t>
      </w:r>
      <w:r w:rsidR="007352E9" w:rsidRPr="422CAA86">
        <w:rPr>
          <w:sz w:val="22"/>
          <w:szCs w:val="22"/>
        </w:rPr>
        <w:t xml:space="preserve">and </w:t>
      </w:r>
      <w:r w:rsidR="003975F2" w:rsidRPr="003975F2">
        <w:rPr>
          <w:i/>
          <w:iCs/>
          <w:sz w:val="22"/>
          <w:szCs w:val="22"/>
        </w:rPr>
        <w:t xml:space="preserve">HLA-B*15:02 </w:t>
      </w:r>
      <w:r w:rsidR="007352E9" w:rsidRPr="422CAA86">
        <w:rPr>
          <w:sz w:val="22"/>
          <w:szCs w:val="22"/>
        </w:rPr>
        <w:t>genotyping to predict carbamazepine- or oxcarbazepine-related drug hypersensitivity reactions in patients who are about to commence carbamazepine or oxcarbazepine treatment</w:t>
      </w:r>
      <w:r w:rsidR="00BE5374" w:rsidRPr="422CAA86">
        <w:rPr>
          <w:sz w:val="22"/>
          <w:szCs w:val="22"/>
        </w:rPr>
        <w:t>.</w:t>
      </w:r>
    </w:p>
    <w:p w14:paraId="6F52500A" w14:textId="13E6B141" w:rsidR="00772829" w:rsidRPr="00CE28E3" w:rsidRDefault="00772829" w:rsidP="00A737D1">
      <w:pPr>
        <w:pStyle w:val="Heading2"/>
        <w:numPr>
          <w:ilvl w:val="0"/>
          <w:numId w:val="21"/>
        </w:numPr>
        <w:ind w:hanging="720"/>
      </w:pPr>
      <w:bookmarkStart w:id="10" w:name="_Toc184825869"/>
      <w:bookmarkEnd w:id="9"/>
      <w:r w:rsidRPr="00CE28E3">
        <w:t>Prerequisites to implementation of any funding advice</w:t>
      </w:r>
      <w:bookmarkEnd w:id="10"/>
    </w:p>
    <w:p w14:paraId="68F91E61" w14:textId="77777777" w:rsidR="0093728A" w:rsidRPr="00673D8D" w:rsidRDefault="0093728A" w:rsidP="006F19A4">
      <w:pPr>
        <w:rPr>
          <w:sz w:val="22"/>
          <w:szCs w:val="22"/>
        </w:rPr>
      </w:pPr>
      <w:r w:rsidRPr="00673D8D">
        <w:rPr>
          <w:sz w:val="22"/>
          <w:szCs w:val="22"/>
        </w:rPr>
        <w:t>There are no prerequisites to be met.</w:t>
      </w:r>
    </w:p>
    <w:p w14:paraId="44C3B242" w14:textId="2467E386" w:rsidR="00772829" w:rsidRPr="00CE28E3" w:rsidRDefault="00772829" w:rsidP="00A737D1">
      <w:pPr>
        <w:pStyle w:val="Heading2"/>
        <w:numPr>
          <w:ilvl w:val="0"/>
          <w:numId w:val="21"/>
        </w:numPr>
        <w:ind w:hanging="720"/>
      </w:pPr>
      <w:bookmarkStart w:id="11" w:name="_Toc184825870"/>
      <w:r w:rsidRPr="00CE28E3">
        <w:t>Proposal for public funding</w:t>
      </w:r>
      <w:bookmarkEnd w:id="11"/>
    </w:p>
    <w:p w14:paraId="22132E54" w14:textId="06A96F0E" w:rsidR="00121102" w:rsidRPr="00673D8D" w:rsidRDefault="00121102" w:rsidP="422CAA86">
      <w:pPr>
        <w:rPr>
          <w:sz w:val="22"/>
          <w:szCs w:val="22"/>
        </w:rPr>
      </w:pPr>
      <w:r w:rsidRPr="422CAA86">
        <w:rPr>
          <w:sz w:val="22"/>
          <w:szCs w:val="22"/>
        </w:rPr>
        <w:t xml:space="preserve">The intervention proposed is </w:t>
      </w:r>
      <w:r w:rsidR="001010C2" w:rsidRPr="422CAA86">
        <w:rPr>
          <w:sz w:val="22"/>
          <w:szCs w:val="22"/>
        </w:rPr>
        <w:t>human leukocyte antigen</w:t>
      </w:r>
      <w:r w:rsidRPr="422CAA86">
        <w:rPr>
          <w:sz w:val="22"/>
          <w:szCs w:val="22"/>
        </w:rPr>
        <w:t xml:space="preserve"> </w:t>
      </w:r>
      <w:r w:rsidR="001010C2" w:rsidRPr="422CAA86">
        <w:rPr>
          <w:sz w:val="22"/>
          <w:szCs w:val="22"/>
        </w:rPr>
        <w:t>(</w:t>
      </w:r>
      <w:r w:rsidRPr="422CAA86">
        <w:rPr>
          <w:i/>
          <w:iCs/>
          <w:sz w:val="22"/>
          <w:szCs w:val="22"/>
        </w:rPr>
        <w:t>HLA</w:t>
      </w:r>
      <w:r w:rsidR="001010C2" w:rsidRPr="422CAA86">
        <w:rPr>
          <w:sz w:val="22"/>
          <w:szCs w:val="22"/>
        </w:rPr>
        <w:t>)</w:t>
      </w:r>
      <w:r w:rsidRPr="422CAA86">
        <w:rPr>
          <w:sz w:val="22"/>
          <w:szCs w:val="22"/>
        </w:rPr>
        <w:t xml:space="preserve"> genotyping targeting at least two </w:t>
      </w:r>
      <w:r w:rsidRPr="422CAA86">
        <w:rPr>
          <w:i/>
          <w:iCs/>
          <w:sz w:val="22"/>
          <w:szCs w:val="22"/>
        </w:rPr>
        <w:t>HLA</w:t>
      </w:r>
      <w:r w:rsidRPr="422CAA86">
        <w:rPr>
          <w:sz w:val="22"/>
          <w:szCs w:val="22"/>
        </w:rPr>
        <w:t xml:space="preserve"> gene variants before the commencement of carbamazepine- or oxcarbazepine (to identify </w:t>
      </w:r>
      <w:r w:rsidRPr="422CAA86">
        <w:rPr>
          <w:sz w:val="22"/>
          <w:szCs w:val="22"/>
        </w:rPr>
        <w:lastRenderedPageBreak/>
        <w:t>patients at risk of severe drug hypersensitivity reactions). The proposal intends to create a new MBS item (</w:t>
      </w:r>
      <w:r w:rsidR="00984F52">
        <w:rPr>
          <w:sz w:val="22"/>
          <w:szCs w:val="22"/>
        </w:rPr>
        <w:t>Table 2</w:t>
      </w:r>
      <w:r w:rsidRPr="422CAA86">
        <w:rPr>
          <w:sz w:val="22"/>
          <w:szCs w:val="22"/>
        </w:rPr>
        <w:t xml:space="preserve">). </w:t>
      </w:r>
    </w:p>
    <w:p w14:paraId="54E51CB0" w14:textId="2D162FD3" w:rsidR="00121102" w:rsidRPr="00673D8D" w:rsidRDefault="00121102" w:rsidP="00121102">
      <w:pPr>
        <w:pStyle w:val="Caption"/>
      </w:pPr>
      <w:bookmarkStart w:id="12" w:name="_Ref181831072"/>
      <w:r w:rsidRPr="00673D8D">
        <w:t>Table </w:t>
      </w:r>
      <w:bookmarkEnd w:id="12"/>
      <w:r w:rsidR="00984F52">
        <w:t>2</w:t>
      </w:r>
      <w:r w:rsidRPr="00673D8D">
        <w:tab/>
        <w:t>Proposed item descriptor for HLA genotyping</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121102" w:rsidRPr="00673D8D" w14:paraId="7E7A7D6D" w14:textId="77777777">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748A7369" w14:textId="77777777" w:rsidR="00121102" w:rsidRPr="00673D8D" w:rsidRDefault="00121102" w:rsidP="00E715B8">
            <w:pPr>
              <w:pStyle w:val="TableText1"/>
              <w:rPr>
                <w:b/>
                <w:sz w:val="20"/>
                <w:szCs w:val="20"/>
              </w:rPr>
            </w:pPr>
            <w:r w:rsidRPr="00673D8D">
              <w:rPr>
                <w:b/>
                <w:sz w:val="20"/>
                <w:szCs w:val="20"/>
              </w:rPr>
              <w:t>Category 6 – PATHOLOGY SERVICES                                                                                                  Group P7 – Genetics</w:t>
            </w:r>
          </w:p>
        </w:tc>
      </w:tr>
      <w:tr w:rsidR="00121102" w:rsidRPr="00673D8D" w14:paraId="78789511" w14:textId="77777777">
        <w:trPr>
          <w:cantSplit/>
          <w:tblHeader/>
        </w:trPr>
        <w:tc>
          <w:tcPr>
            <w:tcW w:w="9242" w:type="dxa"/>
            <w:tcBorders>
              <w:top w:val="single" w:sz="4" w:space="0" w:color="auto"/>
              <w:left w:val="single" w:sz="4" w:space="0" w:color="auto"/>
              <w:bottom w:val="single" w:sz="4" w:space="0" w:color="auto"/>
              <w:right w:val="single" w:sz="4" w:space="0" w:color="auto"/>
            </w:tcBorders>
          </w:tcPr>
          <w:p w14:paraId="3C2AA939" w14:textId="77777777" w:rsidR="00121102" w:rsidRPr="00673D8D" w:rsidRDefault="00121102" w:rsidP="00E715B8">
            <w:pPr>
              <w:pStyle w:val="TableText1"/>
              <w:rPr>
                <w:sz w:val="20"/>
                <w:szCs w:val="20"/>
              </w:rPr>
            </w:pPr>
            <w:r w:rsidRPr="00673D8D">
              <w:rPr>
                <w:sz w:val="20"/>
                <w:szCs w:val="20"/>
              </w:rPr>
              <w:t>MBS item AAAA</w:t>
            </w:r>
          </w:p>
          <w:p w14:paraId="4BAAB577" w14:textId="77777777" w:rsidR="00121102" w:rsidRPr="00673D8D" w:rsidRDefault="00121102" w:rsidP="00E715B8">
            <w:pPr>
              <w:pStyle w:val="TableText1"/>
              <w:rPr>
                <w:sz w:val="20"/>
                <w:szCs w:val="20"/>
              </w:rPr>
            </w:pPr>
            <w:r w:rsidRPr="00673D8D">
              <w:rPr>
                <w:sz w:val="20"/>
                <w:szCs w:val="20"/>
              </w:rPr>
              <w:t xml:space="preserve">Genetic testing for </w:t>
            </w:r>
            <w:r w:rsidRPr="00673D8D">
              <w:rPr>
                <w:i/>
                <w:sz w:val="20"/>
                <w:szCs w:val="20"/>
              </w:rPr>
              <w:t xml:space="preserve">HLA </w:t>
            </w:r>
            <w:r w:rsidRPr="00673D8D">
              <w:rPr>
                <w:sz w:val="20"/>
                <w:szCs w:val="20"/>
              </w:rPr>
              <w:t>variants to predict risk of carbamazepine- or oxcarbazepine-related severe drug hypersensitivity reactions in a patient, where the service is conducted prior to the initiation of treatment with carbamazepine or oxcarbazepine.</w:t>
            </w:r>
          </w:p>
          <w:p w14:paraId="6F007430" w14:textId="77777777" w:rsidR="00121102" w:rsidRPr="00673D8D" w:rsidRDefault="00121102" w:rsidP="00E715B8">
            <w:pPr>
              <w:pStyle w:val="TableText1"/>
              <w:rPr>
                <w:sz w:val="20"/>
                <w:szCs w:val="20"/>
              </w:rPr>
            </w:pPr>
          </w:p>
          <w:p w14:paraId="7F764D18" w14:textId="77777777" w:rsidR="00121102" w:rsidRPr="00673D8D" w:rsidRDefault="00121102" w:rsidP="00E715B8">
            <w:pPr>
              <w:pStyle w:val="TableText1"/>
              <w:rPr>
                <w:sz w:val="20"/>
                <w:szCs w:val="20"/>
              </w:rPr>
            </w:pPr>
            <w:r w:rsidRPr="00673D8D">
              <w:rPr>
                <w:sz w:val="20"/>
                <w:szCs w:val="20"/>
              </w:rPr>
              <w:t>Once per lifetime</w:t>
            </w:r>
          </w:p>
        </w:tc>
      </w:tr>
      <w:tr w:rsidR="00121102" w:rsidRPr="00673D8D" w14:paraId="02DE9A87" w14:textId="77777777">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44FB970D" w14:textId="77777777" w:rsidR="00121102" w:rsidRPr="00673D8D" w:rsidRDefault="00121102" w:rsidP="00E715B8">
            <w:pPr>
              <w:pStyle w:val="TableText1"/>
              <w:rPr>
                <w:sz w:val="20"/>
                <w:szCs w:val="20"/>
              </w:rPr>
            </w:pPr>
            <w:r w:rsidRPr="00673D8D">
              <w:rPr>
                <w:sz w:val="20"/>
                <w:szCs w:val="20"/>
              </w:rPr>
              <w:t>Fee: $188 Benefit: 75%=$141.00       85%=$159.80</w:t>
            </w:r>
          </w:p>
        </w:tc>
      </w:tr>
      <w:tr w:rsidR="00121102" w:rsidRPr="00673D8D" w14:paraId="58EF73F6" w14:textId="77777777">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30DAE77D" w14:textId="1E436097" w:rsidR="00121102" w:rsidRPr="00673D8D" w:rsidRDefault="00121102" w:rsidP="00E715B8">
            <w:pPr>
              <w:pStyle w:val="TableText1"/>
              <w:rPr>
                <w:sz w:val="20"/>
                <w:szCs w:val="20"/>
              </w:rPr>
            </w:pPr>
            <w:r w:rsidRPr="00673D8D">
              <w:rPr>
                <w:sz w:val="20"/>
                <w:szCs w:val="20"/>
              </w:rPr>
              <w:t xml:space="preserve">Note: Genetic testing to be conducted in line with current guidelines and should include at least (but not limited to) </w:t>
            </w:r>
            <w:r w:rsidR="003975F2" w:rsidRPr="003975F2">
              <w:rPr>
                <w:i/>
                <w:sz w:val="20"/>
                <w:szCs w:val="20"/>
              </w:rPr>
              <w:t xml:space="preserve">HLA-B*15:02 </w:t>
            </w:r>
            <w:r w:rsidRPr="00673D8D">
              <w:rPr>
                <w:sz w:val="20"/>
                <w:szCs w:val="20"/>
              </w:rPr>
              <w:t xml:space="preserve">and </w:t>
            </w:r>
            <w:r w:rsidR="000611A1" w:rsidRPr="000611A1">
              <w:rPr>
                <w:i/>
                <w:sz w:val="20"/>
                <w:szCs w:val="20"/>
              </w:rPr>
              <w:t>HLA-</w:t>
            </w:r>
            <w:r w:rsidRPr="00673D8D">
              <w:rPr>
                <w:i/>
                <w:sz w:val="20"/>
                <w:szCs w:val="20"/>
              </w:rPr>
              <w:t>A*31:01.</w:t>
            </w:r>
          </w:p>
        </w:tc>
      </w:tr>
    </w:tbl>
    <w:p w14:paraId="7D65387B" w14:textId="1B0A158B" w:rsidR="009572EE" w:rsidRDefault="00121102" w:rsidP="00CF1E24">
      <w:pPr>
        <w:pStyle w:val="TableFigureFooter"/>
      </w:pPr>
      <w:r>
        <w:t xml:space="preserve">Source: p24 </w:t>
      </w:r>
      <w:r>
        <w:rPr>
          <w:iCs/>
        </w:rPr>
        <w:t xml:space="preserve">of the </w:t>
      </w:r>
      <w:r>
        <w:t xml:space="preserve">of the </w:t>
      </w:r>
      <w:hyperlink r:id="rId12" w:history="1">
        <w:r w:rsidRPr="005F19E7">
          <w:rPr>
            <w:rStyle w:val="Hyperlink"/>
          </w:rPr>
          <w:t>ratified PICO</w:t>
        </w:r>
      </w:hyperlink>
    </w:p>
    <w:p w14:paraId="75409522" w14:textId="197DCEA6" w:rsidR="00121102" w:rsidRDefault="00E715B8" w:rsidP="00CF1E24">
      <w:pPr>
        <w:pStyle w:val="TableFigureFooter"/>
      </w:pPr>
      <w:r>
        <w:t xml:space="preserve">Abbreviations: </w:t>
      </w:r>
      <w:r w:rsidR="009572EE" w:rsidRPr="00C537F9">
        <w:t>HLA = human leukocyte antigen</w:t>
      </w:r>
      <w:r w:rsidR="00121102" w:rsidRPr="00265035">
        <w:t xml:space="preserve"> </w:t>
      </w:r>
    </w:p>
    <w:p w14:paraId="4B3A373D" w14:textId="32F08EA0" w:rsidR="009572EE" w:rsidRPr="00673D8D" w:rsidRDefault="009572EE" w:rsidP="422CAA86">
      <w:pPr>
        <w:rPr>
          <w:sz w:val="22"/>
          <w:szCs w:val="22"/>
        </w:rPr>
      </w:pPr>
      <w:r w:rsidRPr="422CAA86">
        <w:rPr>
          <w:sz w:val="22"/>
          <w:szCs w:val="22"/>
        </w:rPr>
        <w:t xml:space="preserve">PASC considered that additional relevant </w:t>
      </w:r>
      <w:r w:rsidRPr="422CAA86">
        <w:rPr>
          <w:i/>
          <w:iCs/>
          <w:sz w:val="22"/>
          <w:szCs w:val="22"/>
        </w:rPr>
        <w:t>HLA</w:t>
      </w:r>
      <w:r w:rsidRPr="422CAA86">
        <w:rPr>
          <w:sz w:val="22"/>
          <w:szCs w:val="22"/>
        </w:rPr>
        <w:t xml:space="preserve"> alleles may be discovered in the future and enter clinical guidelines, and that specifying the </w:t>
      </w:r>
      <w:r w:rsidRPr="422CAA86">
        <w:rPr>
          <w:i/>
          <w:iCs/>
          <w:sz w:val="22"/>
          <w:szCs w:val="22"/>
        </w:rPr>
        <w:t>HLA</w:t>
      </w:r>
      <w:r w:rsidRPr="422CAA86">
        <w:rPr>
          <w:sz w:val="22"/>
          <w:szCs w:val="22"/>
        </w:rPr>
        <w:t xml:space="preserve"> alleles to be genotyped within the MBS item descriptor as proposed was insufficient</w:t>
      </w:r>
      <w:r w:rsidR="00064026" w:rsidRPr="422CAA86">
        <w:rPr>
          <w:sz w:val="22"/>
          <w:szCs w:val="22"/>
        </w:rPr>
        <w:t xml:space="preserve"> to</w:t>
      </w:r>
      <w:r w:rsidRPr="422CAA86">
        <w:rPr>
          <w:sz w:val="22"/>
          <w:szCs w:val="22"/>
        </w:rPr>
        <w:t xml:space="preserve"> futureproof</w:t>
      </w:r>
      <w:r w:rsidR="00064026" w:rsidRPr="422CAA86">
        <w:rPr>
          <w:sz w:val="22"/>
          <w:szCs w:val="22"/>
        </w:rPr>
        <w:t xml:space="preserve"> the item</w:t>
      </w:r>
      <w:r w:rsidRPr="422CAA86">
        <w:rPr>
          <w:sz w:val="22"/>
          <w:szCs w:val="22"/>
        </w:rPr>
        <w:t xml:space="preserve">. PASC advised that the alleles to be genotyped should be moved from the item descriptor to an explanatory note, to allow this testing to be more easily updated in the future if needed. PASC also considered that the explanatory note should specify “at least” </w:t>
      </w:r>
      <w:r w:rsidR="003975F2" w:rsidRPr="003975F2">
        <w:rPr>
          <w:i/>
          <w:iCs/>
          <w:sz w:val="22"/>
          <w:szCs w:val="22"/>
        </w:rPr>
        <w:t xml:space="preserve">HLA-B*15:02 </w:t>
      </w:r>
      <w:r w:rsidRPr="422CAA86">
        <w:rPr>
          <w:sz w:val="22"/>
          <w:szCs w:val="22"/>
        </w:rPr>
        <w:t xml:space="preserve">and </w:t>
      </w:r>
      <w:r w:rsidR="000611A1" w:rsidRPr="000611A1">
        <w:rPr>
          <w:i/>
          <w:iCs/>
          <w:sz w:val="22"/>
          <w:szCs w:val="22"/>
        </w:rPr>
        <w:t>HLA-</w:t>
      </w:r>
      <w:r w:rsidRPr="422CAA86">
        <w:rPr>
          <w:i/>
          <w:iCs/>
          <w:sz w:val="22"/>
          <w:szCs w:val="22"/>
        </w:rPr>
        <w:t>A*31:01</w:t>
      </w:r>
      <w:r w:rsidRPr="422CAA86">
        <w:rPr>
          <w:sz w:val="22"/>
          <w:szCs w:val="22"/>
        </w:rPr>
        <w:t xml:space="preserve">, to further clarify the expectation that this testing also encompass any other alleles that are identified </w:t>
      </w:r>
      <w:r w:rsidR="00064026" w:rsidRPr="422CAA86">
        <w:rPr>
          <w:sz w:val="22"/>
          <w:szCs w:val="22"/>
        </w:rPr>
        <w:t xml:space="preserve">in the future </w:t>
      </w:r>
      <w:r w:rsidRPr="422CAA86">
        <w:rPr>
          <w:sz w:val="22"/>
          <w:szCs w:val="22"/>
        </w:rPr>
        <w:t xml:space="preserve">as needing to be included in this testing. </w:t>
      </w:r>
    </w:p>
    <w:p w14:paraId="360A8425" w14:textId="3A8DEF55" w:rsidR="002635B0" w:rsidRPr="00673D8D" w:rsidRDefault="009572EE" w:rsidP="422CAA86">
      <w:pPr>
        <w:rPr>
          <w:sz w:val="22"/>
          <w:szCs w:val="22"/>
        </w:rPr>
      </w:pPr>
      <w:r w:rsidRPr="422CAA86">
        <w:rPr>
          <w:sz w:val="22"/>
          <w:szCs w:val="22"/>
        </w:rPr>
        <w:t xml:space="preserve">PASC accepted the applicant’s advice </w:t>
      </w:r>
      <w:r w:rsidR="0045591D" w:rsidRPr="422CAA86">
        <w:rPr>
          <w:sz w:val="22"/>
          <w:szCs w:val="22"/>
        </w:rPr>
        <w:t xml:space="preserve">regarding </w:t>
      </w:r>
      <w:r w:rsidRPr="422CAA86">
        <w:rPr>
          <w:sz w:val="22"/>
          <w:szCs w:val="22"/>
        </w:rPr>
        <w:t xml:space="preserve">the DCAR base case </w:t>
      </w:r>
      <w:r w:rsidR="003C7A69" w:rsidRPr="422CAA86">
        <w:rPr>
          <w:sz w:val="22"/>
          <w:szCs w:val="22"/>
        </w:rPr>
        <w:t xml:space="preserve">which </w:t>
      </w:r>
      <w:r w:rsidRPr="422CAA86">
        <w:rPr>
          <w:sz w:val="22"/>
          <w:szCs w:val="22"/>
        </w:rPr>
        <w:t>should use the applicant’s proposed fee</w:t>
      </w:r>
      <w:r w:rsidR="008E0593" w:rsidRPr="422CAA86">
        <w:rPr>
          <w:sz w:val="22"/>
          <w:szCs w:val="22"/>
        </w:rPr>
        <w:t xml:space="preserve"> ($188)</w:t>
      </w:r>
      <w:r w:rsidRPr="422CAA86">
        <w:rPr>
          <w:sz w:val="22"/>
          <w:szCs w:val="22"/>
        </w:rPr>
        <w:t xml:space="preserve"> and explore the impact of the fee on the cost-effectiveness and cost as per usual. There was no justification provided for the proposed fee. The proposed fee is the same as the proposed fee in similar application </w:t>
      </w:r>
      <w:r w:rsidR="000239C5" w:rsidRPr="422CAA86">
        <w:rPr>
          <w:sz w:val="22"/>
          <w:szCs w:val="22"/>
        </w:rPr>
        <w:t xml:space="preserve">MSAC </w:t>
      </w:r>
      <w:r w:rsidRPr="422CAA86">
        <w:rPr>
          <w:sz w:val="22"/>
          <w:szCs w:val="22"/>
        </w:rPr>
        <w:t xml:space="preserve">1760, </w:t>
      </w:r>
      <w:r w:rsidR="003C7A69" w:rsidRPr="422CAA86">
        <w:rPr>
          <w:sz w:val="22"/>
          <w:szCs w:val="22"/>
        </w:rPr>
        <w:t xml:space="preserve">which is </w:t>
      </w:r>
      <w:r w:rsidRPr="422CAA86">
        <w:rPr>
          <w:sz w:val="22"/>
          <w:szCs w:val="22"/>
        </w:rPr>
        <w:t xml:space="preserve">also for pre-treatment genotyping, and lodged by the same applicant. However, there are some differences between the two applications mainly in the number of variants being analysed. </w:t>
      </w:r>
    </w:p>
    <w:p w14:paraId="19499903" w14:textId="7C2107A3" w:rsidR="009572EE" w:rsidRPr="00673D8D" w:rsidRDefault="009572EE" w:rsidP="009B0F61">
      <w:pPr>
        <w:rPr>
          <w:sz w:val="22"/>
          <w:szCs w:val="22"/>
        </w:rPr>
      </w:pPr>
      <w:r w:rsidRPr="2E9B4AF3">
        <w:rPr>
          <w:sz w:val="22"/>
          <w:szCs w:val="22"/>
        </w:rPr>
        <w:t xml:space="preserve">The </w:t>
      </w:r>
      <w:r w:rsidR="002635B0" w:rsidRPr="2E9B4AF3">
        <w:rPr>
          <w:sz w:val="22"/>
          <w:szCs w:val="22"/>
        </w:rPr>
        <w:t xml:space="preserve">proposed </w:t>
      </w:r>
      <w:r w:rsidRPr="2E9B4AF3">
        <w:rPr>
          <w:sz w:val="22"/>
          <w:szCs w:val="22"/>
        </w:rPr>
        <w:t xml:space="preserve">fee is much higher than MBS item 73320 ($40.55) for detection of </w:t>
      </w:r>
      <w:r w:rsidR="000611A1" w:rsidRPr="2E9B4AF3">
        <w:rPr>
          <w:i/>
          <w:iCs/>
          <w:sz w:val="22"/>
          <w:szCs w:val="22"/>
        </w:rPr>
        <w:t>HLA-</w:t>
      </w:r>
      <w:r w:rsidRPr="2E9B4AF3">
        <w:rPr>
          <w:i/>
          <w:iCs/>
          <w:sz w:val="22"/>
          <w:szCs w:val="22"/>
        </w:rPr>
        <w:t>B27</w:t>
      </w:r>
      <w:r w:rsidRPr="2E9B4AF3">
        <w:rPr>
          <w:sz w:val="22"/>
          <w:szCs w:val="22"/>
        </w:rPr>
        <w:t xml:space="preserve"> by nucleic acid amplification, MBS item 73317 ($36</w:t>
      </w:r>
      <w:r w:rsidR="00CB074C">
        <w:rPr>
          <w:sz w:val="22"/>
          <w:szCs w:val="22"/>
        </w:rPr>
        <w:t>.45</w:t>
      </w:r>
      <w:r w:rsidRPr="2E9B4AF3">
        <w:rPr>
          <w:sz w:val="22"/>
          <w:szCs w:val="22"/>
        </w:rPr>
        <w:t xml:space="preserve">) for detecting genetic mutations for haemochromatosis and MBS item 71151 ($118.85) for phenotyping </w:t>
      </w:r>
      <w:r w:rsidR="0057109B">
        <w:rPr>
          <w:sz w:val="22"/>
          <w:szCs w:val="22"/>
        </w:rPr>
        <w:t>or genot</w:t>
      </w:r>
      <w:r w:rsidR="00B1181C">
        <w:rPr>
          <w:sz w:val="22"/>
          <w:szCs w:val="22"/>
        </w:rPr>
        <w:t xml:space="preserve">yping </w:t>
      </w:r>
      <w:r w:rsidRPr="2E9B4AF3">
        <w:rPr>
          <w:sz w:val="22"/>
          <w:szCs w:val="22"/>
        </w:rPr>
        <w:t xml:space="preserve">of 2 or more antigens of or </w:t>
      </w:r>
      <w:r w:rsidR="000611A1" w:rsidRPr="2E9B4AF3">
        <w:rPr>
          <w:i/>
          <w:iCs/>
          <w:sz w:val="22"/>
          <w:szCs w:val="22"/>
        </w:rPr>
        <w:t>HLA-</w:t>
      </w:r>
      <w:r w:rsidRPr="2E9B4AF3">
        <w:rPr>
          <w:i/>
          <w:iCs/>
          <w:sz w:val="22"/>
          <w:szCs w:val="22"/>
        </w:rPr>
        <w:t xml:space="preserve">DR, </w:t>
      </w:r>
      <w:r w:rsidR="000611A1" w:rsidRPr="2E9B4AF3">
        <w:rPr>
          <w:i/>
          <w:iCs/>
          <w:sz w:val="22"/>
          <w:szCs w:val="22"/>
        </w:rPr>
        <w:t>HLA-</w:t>
      </w:r>
      <w:r w:rsidRPr="2E9B4AF3">
        <w:rPr>
          <w:i/>
          <w:iCs/>
          <w:sz w:val="22"/>
          <w:szCs w:val="22"/>
        </w:rPr>
        <w:t>DP</w:t>
      </w:r>
      <w:r w:rsidRPr="2E9B4AF3">
        <w:rPr>
          <w:sz w:val="22"/>
          <w:szCs w:val="22"/>
        </w:rPr>
        <w:t xml:space="preserve"> and </w:t>
      </w:r>
      <w:r w:rsidR="000611A1" w:rsidRPr="2E9B4AF3">
        <w:rPr>
          <w:i/>
          <w:iCs/>
          <w:sz w:val="22"/>
          <w:szCs w:val="22"/>
        </w:rPr>
        <w:t>HLA-</w:t>
      </w:r>
      <w:r w:rsidRPr="2E9B4AF3">
        <w:rPr>
          <w:i/>
          <w:iCs/>
          <w:sz w:val="22"/>
          <w:szCs w:val="22"/>
        </w:rPr>
        <w:t>DQ</w:t>
      </w:r>
      <w:r w:rsidRPr="2E9B4AF3">
        <w:rPr>
          <w:sz w:val="22"/>
          <w:szCs w:val="22"/>
        </w:rPr>
        <w:t xml:space="preserve">. There are no commercial tests available for the proposed genetic variant combination, but Sonic Genetics lists a test for </w:t>
      </w:r>
      <w:r w:rsidR="003975F2" w:rsidRPr="2E9B4AF3">
        <w:rPr>
          <w:i/>
          <w:iCs/>
          <w:sz w:val="22"/>
          <w:szCs w:val="22"/>
        </w:rPr>
        <w:t xml:space="preserve">HLA-B*15:02 </w:t>
      </w:r>
      <w:r w:rsidRPr="2E9B4AF3">
        <w:rPr>
          <w:sz w:val="22"/>
          <w:szCs w:val="22"/>
        </w:rPr>
        <w:t xml:space="preserve">at $80. </w:t>
      </w:r>
    </w:p>
    <w:p w14:paraId="34E0B08F" w14:textId="287E6489" w:rsidR="00772829" w:rsidRPr="00CE28E3" w:rsidRDefault="00772829" w:rsidP="00A737D1">
      <w:pPr>
        <w:pStyle w:val="Heading2"/>
        <w:numPr>
          <w:ilvl w:val="0"/>
          <w:numId w:val="21"/>
        </w:numPr>
        <w:ind w:hanging="720"/>
      </w:pPr>
      <w:bookmarkStart w:id="13" w:name="_Toc184825871"/>
      <w:r w:rsidRPr="00CE28E3">
        <w:t>Population</w:t>
      </w:r>
      <w:bookmarkEnd w:id="13"/>
      <w:r w:rsidRPr="00CE28E3">
        <w:t xml:space="preserve"> </w:t>
      </w:r>
    </w:p>
    <w:p w14:paraId="5B18B0CE" w14:textId="5A6701FB" w:rsidR="00310C3F" w:rsidRPr="00B233F7" w:rsidRDefault="003A69C0" w:rsidP="422CAA86">
      <w:pPr>
        <w:rPr>
          <w:sz w:val="22"/>
          <w:szCs w:val="22"/>
        </w:rPr>
      </w:pPr>
      <w:r w:rsidRPr="422CAA86">
        <w:rPr>
          <w:sz w:val="22"/>
          <w:szCs w:val="22"/>
        </w:rPr>
        <w:t xml:space="preserve">There was one PICO set provided, defining the population as all patients who are about to commence a treatment protocol that includes </w:t>
      </w:r>
      <w:r w:rsidR="003A3462" w:rsidRPr="422CAA86">
        <w:rPr>
          <w:sz w:val="22"/>
          <w:szCs w:val="22"/>
        </w:rPr>
        <w:t xml:space="preserve">CBZ </w:t>
      </w:r>
      <w:r w:rsidRPr="422CAA86">
        <w:rPr>
          <w:sz w:val="22"/>
          <w:szCs w:val="22"/>
        </w:rPr>
        <w:t xml:space="preserve">or </w:t>
      </w:r>
      <w:r w:rsidR="003A3462" w:rsidRPr="422CAA86">
        <w:rPr>
          <w:sz w:val="22"/>
          <w:szCs w:val="22"/>
        </w:rPr>
        <w:t>OXC</w:t>
      </w:r>
      <w:r w:rsidRPr="422CAA86">
        <w:rPr>
          <w:sz w:val="22"/>
          <w:szCs w:val="22"/>
        </w:rPr>
        <w:t>.</w:t>
      </w:r>
      <w:r w:rsidR="00237F79" w:rsidRPr="422CAA86">
        <w:rPr>
          <w:sz w:val="22"/>
          <w:szCs w:val="22"/>
        </w:rPr>
        <w:t xml:space="preserve"> The intervention was described as</w:t>
      </w:r>
      <w:r w:rsidRPr="422CAA86">
        <w:rPr>
          <w:sz w:val="22"/>
          <w:szCs w:val="22"/>
        </w:rPr>
        <w:t xml:space="preserve"> </w:t>
      </w:r>
      <w:r w:rsidRPr="422CAA86">
        <w:rPr>
          <w:i/>
          <w:iCs/>
          <w:sz w:val="22"/>
          <w:szCs w:val="22"/>
        </w:rPr>
        <w:t>HLA</w:t>
      </w:r>
      <w:r w:rsidRPr="422CAA86">
        <w:rPr>
          <w:sz w:val="22"/>
          <w:szCs w:val="22"/>
        </w:rPr>
        <w:t xml:space="preserve"> genotyping to predict </w:t>
      </w:r>
      <w:r w:rsidR="00831ADA" w:rsidRPr="422CAA86">
        <w:rPr>
          <w:sz w:val="22"/>
          <w:szCs w:val="22"/>
        </w:rPr>
        <w:t>drug related hypersensitivity reactions</w:t>
      </w:r>
      <w:r w:rsidR="008000BC" w:rsidRPr="422CAA86">
        <w:rPr>
          <w:sz w:val="22"/>
          <w:szCs w:val="22"/>
        </w:rPr>
        <w:t xml:space="preserve"> </w:t>
      </w:r>
      <w:r w:rsidR="00237F79" w:rsidRPr="422CAA86">
        <w:rPr>
          <w:sz w:val="22"/>
          <w:szCs w:val="22"/>
        </w:rPr>
        <w:t xml:space="preserve">to </w:t>
      </w:r>
      <w:r w:rsidR="003A3462" w:rsidRPr="422CAA86">
        <w:rPr>
          <w:sz w:val="22"/>
          <w:szCs w:val="22"/>
        </w:rPr>
        <w:t xml:space="preserve">CBZ </w:t>
      </w:r>
      <w:r w:rsidR="008000BC" w:rsidRPr="422CAA86">
        <w:rPr>
          <w:sz w:val="22"/>
          <w:szCs w:val="22"/>
        </w:rPr>
        <w:t xml:space="preserve">or </w:t>
      </w:r>
      <w:r w:rsidR="003A3462" w:rsidRPr="422CAA86">
        <w:rPr>
          <w:sz w:val="22"/>
          <w:szCs w:val="22"/>
        </w:rPr>
        <w:t xml:space="preserve">OXC </w:t>
      </w:r>
      <w:r w:rsidR="008000BC" w:rsidRPr="422CAA86">
        <w:rPr>
          <w:sz w:val="22"/>
          <w:szCs w:val="22"/>
        </w:rPr>
        <w:t>therapy</w:t>
      </w:r>
      <w:r w:rsidRPr="422CAA86">
        <w:rPr>
          <w:sz w:val="22"/>
          <w:szCs w:val="22"/>
        </w:rPr>
        <w:t xml:space="preserve"> in patients with </w:t>
      </w:r>
      <w:r w:rsidR="008000BC" w:rsidRPr="422CAA86">
        <w:rPr>
          <w:sz w:val="22"/>
          <w:szCs w:val="22"/>
        </w:rPr>
        <w:t xml:space="preserve">epilepsy, trigeminal </w:t>
      </w:r>
      <w:r w:rsidR="00DF71A7" w:rsidRPr="422CAA86">
        <w:rPr>
          <w:sz w:val="22"/>
          <w:szCs w:val="22"/>
        </w:rPr>
        <w:t>neuralgia or bipolar disorder</w:t>
      </w:r>
      <w:r w:rsidR="0005433D" w:rsidRPr="422CAA86">
        <w:rPr>
          <w:sz w:val="22"/>
          <w:szCs w:val="22"/>
        </w:rPr>
        <w:t xml:space="preserve">. The intervention </w:t>
      </w:r>
      <w:r w:rsidRPr="422CAA86">
        <w:rPr>
          <w:sz w:val="22"/>
          <w:szCs w:val="22"/>
        </w:rPr>
        <w:t>would be</w:t>
      </w:r>
      <w:r w:rsidR="0005433D" w:rsidRPr="422CAA86">
        <w:rPr>
          <w:sz w:val="22"/>
          <w:szCs w:val="22"/>
        </w:rPr>
        <w:t xml:space="preserve"> carried out</w:t>
      </w:r>
      <w:r w:rsidRPr="422CAA86">
        <w:rPr>
          <w:sz w:val="22"/>
          <w:szCs w:val="22"/>
        </w:rPr>
        <w:t xml:space="preserve"> in addition to </w:t>
      </w:r>
      <w:r w:rsidR="003A3462" w:rsidRPr="422CAA86">
        <w:rPr>
          <w:sz w:val="22"/>
          <w:szCs w:val="22"/>
        </w:rPr>
        <w:t xml:space="preserve">CBZ </w:t>
      </w:r>
      <w:r w:rsidR="000A07C2" w:rsidRPr="422CAA86">
        <w:rPr>
          <w:sz w:val="22"/>
          <w:szCs w:val="22"/>
        </w:rPr>
        <w:t xml:space="preserve">or </w:t>
      </w:r>
      <w:r w:rsidR="003A3462" w:rsidRPr="422CAA86">
        <w:rPr>
          <w:sz w:val="22"/>
          <w:szCs w:val="22"/>
        </w:rPr>
        <w:t>OXC</w:t>
      </w:r>
      <w:r w:rsidR="000A07C2" w:rsidRPr="422CAA86">
        <w:rPr>
          <w:sz w:val="22"/>
          <w:szCs w:val="22"/>
        </w:rPr>
        <w:t xml:space="preserve"> therapy </w:t>
      </w:r>
      <w:r w:rsidRPr="422CAA86">
        <w:rPr>
          <w:sz w:val="22"/>
          <w:szCs w:val="22"/>
        </w:rPr>
        <w:t xml:space="preserve">and take place before the commencement of </w:t>
      </w:r>
      <w:r w:rsidR="003A3462" w:rsidRPr="422CAA86">
        <w:rPr>
          <w:sz w:val="22"/>
          <w:szCs w:val="22"/>
        </w:rPr>
        <w:t>either</w:t>
      </w:r>
      <w:r w:rsidR="000A07C2" w:rsidRPr="422CAA86">
        <w:rPr>
          <w:sz w:val="22"/>
          <w:szCs w:val="22"/>
        </w:rPr>
        <w:t xml:space="preserve"> therapy</w:t>
      </w:r>
      <w:r w:rsidRPr="422CAA86">
        <w:rPr>
          <w:sz w:val="22"/>
          <w:szCs w:val="22"/>
        </w:rPr>
        <w:t>.</w:t>
      </w:r>
    </w:p>
    <w:p w14:paraId="66BDFCC1" w14:textId="1B5C48BC" w:rsidR="00772829" w:rsidRPr="00CE28E3" w:rsidRDefault="00772829" w:rsidP="00722AEC">
      <w:pPr>
        <w:pStyle w:val="Heading2"/>
        <w:numPr>
          <w:ilvl w:val="0"/>
          <w:numId w:val="21"/>
        </w:numPr>
        <w:ind w:hanging="720"/>
      </w:pPr>
      <w:bookmarkStart w:id="14" w:name="_Toc184825872"/>
      <w:r w:rsidRPr="00CE28E3">
        <w:lastRenderedPageBreak/>
        <w:t>Comparator</w:t>
      </w:r>
      <w:bookmarkEnd w:id="14"/>
    </w:p>
    <w:p w14:paraId="6F47F2C5" w14:textId="09E50A20" w:rsidR="001820EC" w:rsidRPr="00B233F7" w:rsidRDefault="001820EC" w:rsidP="00722AEC">
      <w:pPr>
        <w:keepNext/>
        <w:keepLines/>
        <w:rPr>
          <w:sz w:val="22"/>
          <w:szCs w:val="22"/>
        </w:rPr>
      </w:pPr>
      <w:r w:rsidRPr="00B233F7">
        <w:rPr>
          <w:sz w:val="22"/>
          <w:szCs w:val="22"/>
        </w:rPr>
        <w:t xml:space="preserve">The comparator is no pre-treatment </w:t>
      </w:r>
      <w:r w:rsidR="003975F2" w:rsidRPr="003975F2">
        <w:rPr>
          <w:i/>
          <w:iCs/>
          <w:sz w:val="22"/>
          <w:szCs w:val="22"/>
        </w:rPr>
        <w:t xml:space="preserve">HLA-A*31:01 </w:t>
      </w:r>
      <w:r w:rsidRPr="00B233F7">
        <w:rPr>
          <w:i/>
          <w:iCs/>
          <w:sz w:val="22"/>
          <w:szCs w:val="22"/>
        </w:rPr>
        <w:t xml:space="preserve">and </w:t>
      </w:r>
      <w:r w:rsidR="003975F2" w:rsidRPr="003975F2">
        <w:rPr>
          <w:i/>
          <w:iCs/>
          <w:sz w:val="22"/>
          <w:szCs w:val="22"/>
        </w:rPr>
        <w:t xml:space="preserve">HLA-B*15:02 </w:t>
      </w:r>
      <w:r w:rsidRPr="00B233F7">
        <w:rPr>
          <w:sz w:val="22"/>
          <w:szCs w:val="22"/>
        </w:rPr>
        <w:t xml:space="preserve">genotyping. </w:t>
      </w:r>
    </w:p>
    <w:p w14:paraId="3639746A" w14:textId="00B65416" w:rsidR="001820EC" w:rsidRPr="00B233F7" w:rsidRDefault="001820EC" w:rsidP="00722AEC">
      <w:pPr>
        <w:keepNext/>
        <w:keepLines/>
        <w:rPr>
          <w:rStyle w:val="normaltextrun"/>
          <w:rFonts w:cs="Calibri"/>
          <w:sz w:val="22"/>
          <w:szCs w:val="22"/>
        </w:rPr>
      </w:pPr>
      <w:r w:rsidRPr="00B233F7">
        <w:rPr>
          <w:sz w:val="22"/>
          <w:szCs w:val="22"/>
        </w:rPr>
        <w:t>Currently (in the absence</w:t>
      </w:r>
      <w:r w:rsidRPr="00B233F7">
        <w:rPr>
          <w:iCs/>
          <w:sz w:val="22"/>
          <w:szCs w:val="22"/>
        </w:rPr>
        <w:t xml:space="preserve"> of </w:t>
      </w:r>
      <w:r w:rsidRPr="00B233F7">
        <w:rPr>
          <w:i/>
          <w:iCs/>
          <w:sz w:val="22"/>
          <w:szCs w:val="22"/>
        </w:rPr>
        <w:t xml:space="preserve">HLA </w:t>
      </w:r>
      <w:r w:rsidRPr="00B233F7">
        <w:rPr>
          <w:sz w:val="22"/>
          <w:szCs w:val="22"/>
        </w:rPr>
        <w:t xml:space="preserve">genotyping) </w:t>
      </w:r>
      <w:r w:rsidR="000A0753" w:rsidRPr="00B233F7">
        <w:rPr>
          <w:sz w:val="22"/>
          <w:szCs w:val="22"/>
        </w:rPr>
        <w:t>a</w:t>
      </w:r>
      <w:r w:rsidRPr="00B233F7">
        <w:rPr>
          <w:rStyle w:val="normaltextrun"/>
          <w:rFonts w:cs="Calibri"/>
          <w:sz w:val="22"/>
          <w:szCs w:val="22"/>
        </w:rPr>
        <w:t xml:space="preserve">ll patients receive standard-dose </w:t>
      </w:r>
      <w:r w:rsidR="003A3462" w:rsidRPr="00B233F7">
        <w:rPr>
          <w:rStyle w:val="normaltextrun"/>
          <w:rFonts w:cs="Calibri"/>
          <w:sz w:val="22"/>
          <w:szCs w:val="22"/>
        </w:rPr>
        <w:t xml:space="preserve">CBZ </w:t>
      </w:r>
      <w:r w:rsidRPr="00B233F7">
        <w:rPr>
          <w:sz w:val="22"/>
          <w:szCs w:val="22"/>
        </w:rPr>
        <w:t xml:space="preserve">or </w:t>
      </w:r>
      <w:r w:rsidR="003A3462" w:rsidRPr="00B233F7">
        <w:rPr>
          <w:sz w:val="22"/>
          <w:szCs w:val="22"/>
        </w:rPr>
        <w:t xml:space="preserve">OXC </w:t>
      </w:r>
      <w:r w:rsidRPr="00B233F7">
        <w:rPr>
          <w:rStyle w:val="normaltextrun"/>
          <w:rFonts w:cs="Calibri"/>
          <w:sz w:val="22"/>
          <w:szCs w:val="22"/>
        </w:rPr>
        <w:t>and changes</w:t>
      </w:r>
      <w:r w:rsidR="0005433D" w:rsidRPr="00B233F7">
        <w:rPr>
          <w:rStyle w:val="normaltextrun"/>
          <w:rFonts w:cs="Calibri"/>
          <w:sz w:val="22"/>
          <w:szCs w:val="22"/>
        </w:rPr>
        <w:t xml:space="preserve"> to therapy</w:t>
      </w:r>
      <w:r w:rsidRPr="00B233F7">
        <w:rPr>
          <w:rStyle w:val="normaltextrun"/>
          <w:rFonts w:cs="Calibri"/>
          <w:sz w:val="22"/>
          <w:szCs w:val="22"/>
        </w:rPr>
        <w:t xml:space="preserve"> are made </w:t>
      </w:r>
      <w:r w:rsidR="002F1741" w:rsidRPr="00B233F7">
        <w:rPr>
          <w:rStyle w:val="normaltextrun"/>
          <w:rFonts w:cs="Calibri"/>
          <w:sz w:val="22"/>
          <w:szCs w:val="22"/>
        </w:rPr>
        <w:t>only if</w:t>
      </w:r>
      <w:r w:rsidR="00403408" w:rsidRPr="00B233F7">
        <w:rPr>
          <w:rStyle w:val="normaltextrun"/>
          <w:rFonts w:cs="Calibri"/>
          <w:sz w:val="22"/>
          <w:szCs w:val="22"/>
        </w:rPr>
        <w:t xml:space="preserve"> </w:t>
      </w:r>
      <w:r w:rsidRPr="00B233F7">
        <w:rPr>
          <w:rStyle w:val="normaltextrun"/>
          <w:rFonts w:cs="Calibri"/>
          <w:sz w:val="22"/>
          <w:szCs w:val="22"/>
        </w:rPr>
        <w:t>clinical signs of drug hypersensitivity reactions develop.</w:t>
      </w:r>
    </w:p>
    <w:p w14:paraId="2012B8E4" w14:textId="479FC290" w:rsidR="00BB2087" w:rsidRDefault="001820EC" w:rsidP="00722AEC">
      <w:pPr>
        <w:keepNext/>
        <w:keepLines/>
        <w:rPr>
          <w:sz w:val="22"/>
          <w:szCs w:val="22"/>
        </w:rPr>
      </w:pPr>
      <w:r w:rsidRPr="00B233F7">
        <w:rPr>
          <w:sz w:val="22"/>
          <w:szCs w:val="22"/>
        </w:rPr>
        <w:t>PASC agreed the comparator was no pre</w:t>
      </w:r>
      <w:r w:rsidR="003A3462" w:rsidRPr="00B233F7">
        <w:rPr>
          <w:sz w:val="22"/>
          <w:szCs w:val="22"/>
        </w:rPr>
        <w:t>-</w:t>
      </w:r>
      <w:r w:rsidRPr="00B233F7">
        <w:rPr>
          <w:sz w:val="22"/>
          <w:szCs w:val="22"/>
        </w:rPr>
        <w:t>treatment genotyping.</w:t>
      </w:r>
    </w:p>
    <w:p w14:paraId="05F92E30" w14:textId="77777777" w:rsidR="00D155C0" w:rsidRPr="00D155C0" w:rsidRDefault="00D155C0" w:rsidP="00A737D1">
      <w:pPr>
        <w:pStyle w:val="Heading2"/>
        <w:numPr>
          <w:ilvl w:val="0"/>
          <w:numId w:val="21"/>
        </w:numPr>
        <w:ind w:hanging="720"/>
      </w:pPr>
      <w:bookmarkStart w:id="15" w:name="_Toc69491421"/>
      <w:bookmarkStart w:id="16" w:name="_Hlk193982804"/>
      <w:r w:rsidRPr="003A793E">
        <w:t>Summary of public consultation input</w:t>
      </w:r>
      <w:bookmarkEnd w:id="15"/>
    </w:p>
    <w:p w14:paraId="7993014C" w14:textId="6B7B479A" w:rsidR="00D155C0" w:rsidRPr="00D155C0" w:rsidRDefault="00D155C0" w:rsidP="00D155C0">
      <w:pPr>
        <w:rPr>
          <w:sz w:val="22"/>
          <w:szCs w:val="22"/>
        </w:rPr>
      </w:pPr>
      <w:bookmarkStart w:id="17" w:name="_Toc184825874"/>
      <w:bookmarkEnd w:id="16"/>
      <w:r w:rsidRPr="6EED1F75">
        <w:rPr>
          <w:sz w:val="22"/>
          <w:szCs w:val="22"/>
        </w:rPr>
        <w:t xml:space="preserve">Consultation input was received from one individual consumer, one individual </w:t>
      </w:r>
      <w:r w:rsidR="4F522D41" w:rsidRPr="6EED1F75">
        <w:rPr>
          <w:sz w:val="22"/>
          <w:szCs w:val="22"/>
        </w:rPr>
        <w:t xml:space="preserve">health professional, </w:t>
      </w:r>
      <w:r w:rsidRPr="6EED1F75">
        <w:rPr>
          <w:sz w:val="22"/>
          <w:szCs w:val="22"/>
        </w:rPr>
        <w:t>and six organisations. The organisations that provided input were:</w:t>
      </w:r>
    </w:p>
    <w:p w14:paraId="17A5AD68" w14:textId="600CB7B8" w:rsidR="00D155C0" w:rsidRPr="00D155C0" w:rsidRDefault="00D155C0" w:rsidP="00A737D1">
      <w:pPr>
        <w:pStyle w:val="ListParagraph"/>
        <w:numPr>
          <w:ilvl w:val="0"/>
          <w:numId w:val="24"/>
        </w:numPr>
        <w:spacing w:before="0" w:after="160" w:line="259" w:lineRule="auto"/>
        <w:rPr>
          <w:sz w:val="22"/>
          <w:szCs w:val="22"/>
        </w:rPr>
      </w:pPr>
      <w:r w:rsidRPr="10F385E5">
        <w:rPr>
          <w:sz w:val="22"/>
          <w:szCs w:val="22"/>
        </w:rPr>
        <w:t xml:space="preserve">Australasian College of Dermatologists (ACD) </w:t>
      </w:r>
    </w:p>
    <w:p w14:paraId="49FA3EBB" w14:textId="77777777" w:rsidR="00D155C0" w:rsidRPr="00D155C0" w:rsidRDefault="00D155C0" w:rsidP="00A737D1">
      <w:pPr>
        <w:pStyle w:val="ListParagraph"/>
        <w:numPr>
          <w:ilvl w:val="0"/>
          <w:numId w:val="24"/>
        </w:numPr>
        <w:spacing w:before="0" w:after="160" w:line="259" w:lineRule="auto"/>
        <w:rPr>
          <w:sz w:val="22"/>
          <w:szCs w:val="22"/>
        </w:rPr>
      </w:pPr>
      <w:r w:rsidRPr="00D155C0">
        <w:rPr>
          <w:sz w:val="22"/>
          <w:szCs w:val="22"/>
        </w:rPr>
        <w:t xml:space="preserve">Australian Pathology </w:t>
      </w:r>
    </w:p>
    <w:p w14:paraId="20455E82" w14:textId="18A6AAB5" w:rsidR="00D155C0" w:rsidRPr="00D155C0" w:rsidRDefault="00D155C0" w:rsidP="00A737D1">
      <w:pPr>
        <w:pStyle w:val="ListParagraph"/>
        <w:numPr>
          <w:ilvl w:val="0"/>
          <w:numId w:val="24"/>
        </w:numPr>
        <w:spacing w:before="0" w:after="160" w:line="259" w:lineRule="auto"/>
        <w:rPr>
          <w:sz w:val="22"/>
          <w:szCs w:val="22"/>
        </w:rPr>
      </w:pPr>
      <w:r w:rsidRPr="6EED1F75">
        <w:rPr>
          <w:sz w:val="22"/>
          <w:szCs w:val="22"/>
        </w:rPr>
        <w:t xml:space="preserve">Epilepsy </w:t>
      </w:r>
      <w:r w:rsidR="0BCEBD7A" w:rsidRPr="6EED1F75">
        <w:rPr>
          <w:sz w:val="22"/>
          <w:szCs w:val="22"/>
        </w:rPr>
        <w:t>S</w:t>
      </w:r>
      <w:r w:rsidRPr="6EED1F75">
        <w:rPr>
          <w:sz w:val="22"/>
          <w:szCs w:val="22"/>
        </w:rPr>
        <w:t>ociety</w:t>
      </w:r>
      <w:r w:rsidR="09FF0A62" w:rsidRPr="6EED1F75">
        <w:rPr>
          <w:sz w:val="22"/>
          <w:szCs w:val="22"/>
        </w:rPr>
        <w:t xml:space="preserve"> of Australia (ESA)</w:t>
      </w:r>
      <w:r w:rsidRPr="6EED1F75">
        <w:rPr>
          <w:sz w:val="22"/>
          <w:szCs w:val="22"/>
        </w:rPr>
        <w:t xml:space="preserve"> </w:t>
      </w:r>
    </w:p>
    <w:p w14:paraId="20475B26" w14:textId="77777777" w:rsidR="00D155C0" w:rsidRPr="00D155C0" w:rsidRDefault="00D155C0" w:rsidP="00A737D1">
      <w:pPr>
        <w:pStyle w:val="ListParagraph"/>
        <w:numPr>
          <w:ilvl w:val="0"/>
          <w:numId w:val="24"/>
        </w:numPr>
        <w:spacing w:before="0" w:after="160" w:line="259" w:lineRule="auto"/>
        <w:rPr>
          <w:sz w:val="22"/>
          <w:szCs w:val="22"/>
        </w:rPr>
      </w:pPr>
      <w:r w:rsidRPr="00D155C0">
        <w:rPr>
          <w:sz w:val="22"/>
          <w:szCs w:val="22"/>
        </w:rPr>
        <w:t>Australasian Society of Clinical and Experimental Pharmacologists and Toxicologists (ASCEPT)</w:t>
      </w:r>
    </w:p>
    <w:p w14:paraId="6C8083F0" w14:textId="77777777" w:rsidR="00D155C0" w:rsidRPr="00D155C0" w:rsidRDefault="00D155C0" w:rsidP="00A737D1">
      <w:pPr>
        <w:pStyle w:val="ListParagraph"/>
        <w:numPr>
          <w:ilvl w:val="0"/>
          <w:numId w:val="24"/>
        </w:numPr>
        <w:spacing w:before="0" w:after="160" w:line="259" w:lineRule="auto"/>
        <w:rPr>
          <w:sz w:val="22"/>
          <w:szCs w:val="22"/>
        </w:rPr>
      </w:pPr>
      <w:r w:rsidRPr="00D155C0">
        <w:rPr>
          <w:sz w:val="22"/>
          <w:szCs w:val="22"/>
        </w:rPr>
        <w:t>The Royal Australian &amp; New Zealand College of Psychiatrists (RANZCP)</w:t>
      </w:r>
    </w:p>
    <w:p w14:paraId="195284CD" w14:textId="77777777" w:rsidR="00D155C0" w:rsidRPr="00D155C0" w:rsidRDefault="00D155C0" w:rsidP="00A737D1">
      <w:pPr>
        <w:pStyle w:val="ListParagraph"/>
        <w:numPr>
          <w:ilvl w:val="0"/>
          <w:numId w:val="24"/>
        </w:numPr>
        <w:spacing w:before="0" w:after="160" w:line="259" w:lineRule="auto"/>
        <w:rPr>
          <w:sz w:val="22"/>
          <w:szCs w:val="22"/>
        </w:rPr>
      </w:pPr>
      <w:r w:rsidRPr="00D155C0">
        <w:rPr>
          <w:sz w:val="22"/>
          <w:szCs w:val="22"/>
        </w:rPr>
        <w:t xml:space="preserve">The Society of Hospital Pharmacists (SHPA) </w:t>
      </w:r>
    </w:p>
    <w:p w14:paraId="0DBD74A2" w14:textId="77777777" w:rsidR="00D155C0" w:rsidRDefault="00D155C0" w:rsidP="00D155C0">
      <w:pPr>
        <w:rPr>
          <w:color w:val="FF0000"/>
        </w:rPr>
      </w:pPr>
      <w:r w:rsidRPr="00E34499">
        <w:rPr>
          <w:b/>
          <w:bCs/>
        </w:rPr>
        <w:t>Level of support for public funding</w:t>
      </w:r>
      <w:r>
        <w:rPr>
          <w:b/>
          <w:bCs/>
        </w:rPr>
        <w:t xml:space="preserve"> </w:t>
      </w:r>
    </w:p>
    <w:p w14:paraId="38301B42" w14:textId="77777777" w:rsidR="00D155C0" w:rsidRPr="00D155C0" w:rsidRDefault="00D155C0" w:rsidP="00D155C0">
      <w:pPr>
        <w:rPr>
          <w:sz w:val="22"/>
          <w:szCs w:val="22"/>
        </w:rPr>
      </w:pPr>
      <w:r w:rsidRPr="00D155C0">
        <w:rPr>
          <w:sz w:val="22"/>
          <w:szCs w:val="22"/>
        </w:rPr>
        <w:t>All organisations and individuals were supportive of public funding.</w:t>
      </w:r>
    </w:p>
    <w:p w14:paraId="2892737E" w14:textId="77777777" w:rsidR="00D155C0" w:rsidRDefault="00D155C0" w:rsidP="00D155C0">
      <w:pPr>
        <w:rPr>
          <w:b/>
          <w:bCs/>
        </w:rPr>
      </w:pPr>
      <w:r>
        <w:rPr>
          <w:b/>
          <w:bCs/>
        </w:rPr>
        <w:t xml:space="preserve">Comments on PICO </w:t>
      </w:r>
    </w:p>
    <w:p w14:paraId="15656B50" w14:textId="77777777" w:rsidR="00D155C0" w:rsidRPr="00D155C0" w:rsidRDefault="00D155C0" w:rsidP="00A737D1">
      <w:pPr>
        <w:pStyle w:val="ListParagraph"/>
        <w:numPr>
          <w:ilvl w:val="0"/>
          <w:numId w:val="22"/>
        </w:numPr>
        <w:spacing w:before="0" w:after="160" w:line="259" w:lineRule="auto"/>
        <w:rPr>
          <w:sz w:val="22"/>
          <w:szCs w:val="22"/>
        </w:rPr>
      </w:pPr>
      <w:r w:rsidRPr="00D155C0">
        <w:rPr>
          <w:sz w:val="22"/>
          <w:szCs w:val="22"/>
        </w:rPr>
        <w:t xml:space="preserve">The feedback advocated not to limit the indication to epilepsy and trigeminal neuralgia and to expand indications to include all patients about to commence treatment with carbamazepine to identify individuals at high risk of toxicity. </w:t>
      </w:r>
    </w:p>
    <w:p w14:paraId="6ED29AED" w14:textId="77777777" w:rsidR="00D155C0" w:rsidRPr="00D155C0" w:rsidRDefault="00D155C0" w:rsidP="00A737D1">
      <w:pPr>
        <w:pStyle w:val="ListParagraph"/>
        <w:numPr>
          <w:ilvl w:val="0"/>
          <w:numId w:val="22"/>
        </w:numPr>
        <w:spacing w:before="0" w:after="160" w:line="259" w:lineRule="auto"/>
        <w:rPr>
          <w:sz w:val="22"/>
          <w:szCs w:val="22"/>
        </w:rPr>
      </w:pPr>
      <w:r w:rsidRPr="00D155C0">
        <w:rPr>
          <w:sz w:val="22"/>
          <w:szCs w:val="22"/>
        </w:rPr>
        <w:t>The feedback also suggested not to limit the test to one ancestry and highlighted the risk of ethnicity assumptions due to diverse ancestry of the Australian population.</w:t>
      </w:r>
    </w:p>
    <w:p w14:paraId="208E5F26" w14:textId="77777777" w:rsidR="00D155C0" w:rsidRPr="00D155C0" w:rsidRDefault="00D155C0" w:rsidP="00A737D1">
      <w:pPr>
        <w:pStyle w:val="ListParagraph"/>
        <w:numPr>
          <w:ilvl w:val="0"/>
          <w:numId w:val="22"/>
        </w:numPr>
        <w:spacing w:before="0" w:after="160" w:line="259" w:lineRule="auto"/>
        <w:rPr>
          <w:sz w:val="22"/>
          <w:szCs w:val="22"/>
        </w:rPr>
      </w:pPr>
      <w:r w:rsidRPr="00D155C0">
        <w:rPr>
          <w:sz w:val="22"/>
          <w:szCs w:val="22"/>
        </w:rPr>
        <w:t xml:space="preserve">The feedback noted significant use of carbamazepine in the neurodiverse population, with established evidence for use in paediatric patients. </w:t>
      </w:r>
    </w:p>
    <w:p w14:paraId="10E501C2" w14:textId="77777777" w:rsidR="00D155C0" w:rsidRPr="00EB0EC8" w:rsidRDefault="00D155C0" w:rsidP="00D155C0">
      <w:r>
        <w:rPr>
          <w:b/>
          <w:bCs/>
        </w:rPr>
        <w:t xml:space="preserve">Perceived Advantages </w:t>
      </w:r>
    </w:p>
    <w:p w14:paraId="3C8137DC" w14:textId="77777777" w:rsidR="00D155C0" w:rsidRPr="00D155C0" w:rsidRDefault="00D155C0" w:rsidP="00D155C0">
      <w:pPr>
        <w:rPr>
          <w:sz w:val="22"/>
          <w:szCs w:val="22"/>
        </w:rPr>
      </w:pPr>
      <w:r w:rsidRPr="00D155C0">
        <w:rPr>
          <w:sz w:val="22"/>
          <w:szCs w:val="22"/>
        </w:rPr>
        <w:t>Advantages of the service noted in the input included:</w:t>
      </w:r>
    </w:p>
    <w:p w14:paraId="4448B83B" w14:textId="10450902" w:rsidR="00D155C0" w:rsidRPr="00D155C0" w:rsidRDefault="00D155C0" w:rsidP="00A737D1">
      <w:pPr>
        <w:pStyle w:val="ListParagraph"/>
        <w:numPr>
          <w:ilvl w:val="0"/>
          <w:numId w:val="25"/>
        </w:numPr>
        <w:spacing w:before="0" w:after="160" w:line="259" w:lineRule="auto"/>
        <w:rPr>
          <w:sz w:val="22"/>
          <w:szCs w:val="22"/>
        </w:rPr>
      </w:pPr>
      <w:r w:rsidRPr="6EED1F75">
        <w:rPr>
          <w:sz w:val="22"/>
          <w:szCs w:val="22"/>
        </w:rPr>
        <w:t>Prevent the occurrence of severe cutaneous reactions including hospitalisations, and reduce morbidity and mortality</w:t>
      </w:r>
      <w:r w:rsidR="0422955A" w:rsidRPr="6EED1F75">
        <w:rPr>
          <w:sz w:val="22"/>
          <w:szCs w:val="22"/>
        </w:rPr>
        <w:t>.</w:t>
      </w:r>
    </w:p>
    <w:p w14:paraId="34D089F3" w14:textId="23253701" w:rsidR="00D155C0" w:rsidRPr="00D155C0" w:rsidRDefault="00D155C0" w:rsidP="00A737D1">
      <w:pPr>
        <w:pStyle w:val="ListParagraph"/>
        <w:numPr>
          <w:ilvl w:val="0"/>
          <w:numId w:val="25"/>
        </w:numPr>
        <w:spacing w:before="0" w:after="160" w:line="259" w:lineRule="auto"/>
        <w:rPr>
          <w:sz w:val="22"/>
          <w:szCs w:val="22"/>
        </w:rPr>
      </w:pPr>
      <w:r w:rsidRPr="6EED1F75">
        <w:rPr>
          <w:sz w:val="22"/>
          <w:szCs w:val="22"/>
        </w:rPr>
        <w:t>Reduction of associated costs as a result of a serious adverse reaction</w:t>
      </w:r>
      <w:r w:rsidR="1FCE315E" w:rsidRPr="6EED1F75">
        <w:rPr>
          <w:sz w:val="22"/>
          <w:szCs w:val="22"/>
        </w:rPr>
        <w:t>.</w:t>
      </w:r>
    </w:p>
    <w:p w14:paraId="3F48F2F0" w14:textId="416E56E0" w:rsidR="00D155C0" w:rsidRPr="00D155C0" w:rsidRDefault="00D155C0" w:rsidP="00A737D1">
      <w:pPr>
        <w:pStyle w:val="ListParagraph"/>
        <w:numPr>
          <w:ilvl w:val="0"/>
          <w:numId w:val="25"/>
        </w:numPr>
        <w:spacing w:before="0" w:after="160" w:line="259" w:lineRule="auto"/>
        <w:rPr>
          <w:sz w:val="22"/>
          <w:szCs w:val="22"/>
        </w:rPr>
      </w:pPr>
      <w:r w:rsidRPr="6EED1F75">
        <w:rPr>
          <w:sz w:val="22"/>
          <w:szCs w:val="22"/>
        </w:rPr>
        <w:t>Improved safety with identification of individuals at increased risk of hypersensitivity reactions and allowing clinicians to consider suitable alternative medicines</w:t>
      </w:r>
      <w:r w:rsidR="33AC91E1" w:rsidRPr="6EED1F75">
        <w:rPr>
          <w:sz w:val="22"/>
          <w:szCs w:val="22"/>
        </w:rPr>
        <w:t>.</w:t>
      </w:r>
    </w:p>
    <w:p w14:paraId="6C9CBBD9" w14:textId="595C6322" w:rsidR="00D155C0" w:rsidRPr="00D155C0" w:rsidRDefault="00D155C0" w:rsidP="00A737D1">
      <w:pPr>
        <w:pStyle w:val="ListParagraph"/>
        <w:numPr>
          <w:ilvl w:val="0"/>
          <w:numId w:val="25"/>
        </w:numPr>
        <w:spacing w:before="0" w:after="160" w:line="259" w:lineRule="auto"/>
        <w:rPr>
          <w:sz w:val="22"/>
          <w:szCs w:val="22"/>
        </w:rPr>
      </w:pPr>
      <w:r w:rsidRPr="6EED1F75">
        <w:rPr>
          <w:sz w:val="22"/>
          <w:szCs w:val="22"/>
        </w:rPr>
        <w:t>Remove financial barriers for patients to access testing</w:t>
      </w:r>
      <w:r w:rsidR="0A03703A" w:rsidRPr="6EED1F75">
        <w:rPr>
          <w:sz w:val="22"/>
          <w:szCs w:val="22"/>
        </w:rPr>
        <w:t>.</w:t>
      </w:r>
    </w:p>
    <w:p w14:paraId="0669ACD8" w14:textId="1CEF42CC" w:rsidR="00D155C0" w:rsidRPr="00B01D6C" w:rsidRDefault="00D155C0" w:rsidP="00D155C0">
      <w:r>
        <w:rPr>
          <w:b/>
          <w:bCs/>
        </w:rPr>
        <w:t xml:space="preserve">Perceived Disadvantages </w:t>
      </w:r>
    </w:p>
    <w:p w14:paraId="1F187B5D" w14:textId="77777777" w:rsidR="00D155C0" w:rsidRPr="00D155C0" w:rsidRDefault="00D155C0" w:rsidP="00D155C0">
      <w:pPr>
        <w:rPr>
          <w:sz w:val="22"/>
          <w:szCs w:val="22"/>
        </w:rPr>
      </w:pPr>
      <w:r w:rsidRPr="00D155C0">
        <w:rPr>
          <w:sz w:val="22"/>
          <w:szCs w:val="22"/>
        </w:rPr>
        <w:t>Disadvantages of the service noted in the input included:</w:t>
      </w:r>
    </w:p>
    <w:p w14:paraId="09416EAA" w14:textId="77777777" w:rsidR="00D155C0" w:rsidRPr="00D155C0" w:rsidRDefault="00D155C0" w:rsidP="00A737D1">
      <w:pPr>
        <w:pStyle w:val="ListParagraph"/>
        <w:numPr>
          <w:ilvl w:val="0"/>
          <w:numId w:val="27"/>
        </w:numPr>
        <w:spacing w:before="0" w:after="160" w:line="259" w:lineRule="auto"/>
        <w:rPr>
          <w:sz w:val="22"/>
          <w:szCs w:val="22"/>
        </w:rPr>
      </w:pPr>
      <w:r w:rsidRPr="00D155C0">
        <w:rPr>
          <w:sz w:val="22"/>
          <w:szCs w:val="22"/>
        </w:rPr>
        <w:t xml:space="preserve">Challenges for variant interpretation - HLA-A*31:01 and HLA-B*15:02 genotyping can only provide information on the genes and regions included in the tests. </w:t>
      </w:r>
      <w:proofErr w:type="spellStart"/>
      <w:r w:rsidRPr="00D155C0">
        <w:rPr>
          <w:sz w:val="22"/>
          <w:szCs w:val="22"/>
        </w:rPr>
        <w:t>Pharmacogenes</w:t>
      </w:r>
      <w:proofErr w:type="spellEnd"/>
      <w:r w:rsidRPr="00D155C0">
        <w:rPr>
          <w:sz w:val="22"/>
          <w:szCs w:val="22"/>
        </w:rPr>
        <w:t xml:space="preserve"> are highly polymorphic because they may have undergone very minimal or no selection against variation. </w:t>
      </w:r>
    </w:p>
    <w:p w14:paraId="2E3F1500" w14:textId="77777777" w:rsidR="00D155C0" w:rsidRPr="00D155C0" w:rsidRDefault="00D155C0" w:rsidP="00A737D1">
      <w:pPr>
        <w:pStyle w:val="ListParagraph"/>
        <w:numPr>
          <w:ilvl w:val="0"/>
          <w:numId w:val="26"/>
        </w:numPr>
        <w:spacing w:before="0" w:after="160" w:line="259" w:lineRule="auto"/>
        <w:rPr>
          <w:sz w:val="22"/>
          <w:szCs w:val="22"/>
        </w:rPr>
      </w:pPr>
      <w:r w:rsidRPr="00D155C0">
        <w:rPr>
          <w:sz w:val="22"/>
          <w:szCs w:val="22"/>
        </w:rPr>
        <w:t>Potential short delays in treatment commencement while waiting for the results of the test.</w:t>
      </w:r>
    </w:p>
    <w:p w14:paraId="45155F0A" w14:textId="77777777" w:rsidR="00D155C0" w:rsidRPr="00D155C0" w:rsidRDefault="00D155C0" w:rsidP="00A737D1">
      <w:pPr>
        <w:pStyle w:val="ListParagraph"/>
        <w:numPr>
          <w:ilvl w:val="0"/>
          <w:numId w:val="26"/>
        </w:numPr>
        <w:spacing w:before="0" w:after="160" w:line="259" w:lineRule="auto"/>
        <w:rPr>
          <w:sz w:val="22"/>
          <w:szCs w:val="22"/>
        </w:rPr>
      </w:pPr>
      <w:r w:rsidRPr="00D155C0">
        <w:rPr>
          <w:sz w:val="22"/>
          <w:szCs w:val="22"/>
        </w:rPr>
        <w:lastRenderedPageBreak/>
        <w:t>Patients may be referred for genetic counselling if the patient has concerns about familial implications, even though this type of pharmacogenetic testing has no inherited disease related implications.</w:t>
      </w:r>
    </w:p>
    <w:p w14:paraId="5FEBEBC1" w14:textId="77777777" w:rsidR="00D155C0" w:rsidRPr="00D47FD2" w:rsidRDefault="00D155C0" w:rsidP="00D155C0">
      <w:pPr>
        <w:rPr>
          <w:b/>
          <w:bCs/>
        </w:rPr>
      </w:pPr>
      <w:r>
        <w:rPr>
          <w:b/>
          <w:bCs/>
        </w:rPr>
        <w:t xml:space="preserve">Support for Implementation /issues </w:t>
      </w:r>
    </w:p>
    <w:p w14:paraId="78C0453E" w14:textId="3171F448" w:rsidR="00D155C0" w:rsidRPr="00D155C0" w:rsidRDefault="00D155C0" w:rsidP="6EED1F75">
      <w:pPr>
        <w:pStyle w:val="ListParagraph"/>
        <w:numPr>
          <w:ilvl w:val="0"/>
          <w:numId w:val="23"/>
        </w:numPr>
        <w:spacing w:before="0" w:after="160" w:line="259" w:lineRule="auto"/>
        <w:rPr>
          <w:i/>
          <w:iCs/>
          <w:sz w:val="22"/>
          <w:szCs w:val="22"/>
        </w:rPr>
      </w:pPr>
      <w:proofErr w:type="gramStart"/>
      <w:r w:rsidRPr="6EED1F75">
        <w:rPr>
          <w:sz w:val="22"/>
          <w:szCs w:val="22"/>
        </w:rPr>
        <w:t>In regards to</w:t>
      </w:r>
      <w:proofErr w:type="gramEnd"/>
      <w:r w:rsidRPr="6EED1F75">
        <w:rPr>
          <w:sz w:val="22"/>
          <w:szCs w:val="22"/>
        </w:rPr>
        <w:t xml:space="preserve"> the proposed service fee, the feedback highlighted two related MBS items with lower service fees for extensive HLA testing. These were item 71149 ($108.25) for full HLA</w:t>
      </w:r>
      <w:r w:rsidRPr="6EED1F75">
        <w:rPr>
          <w:rFonts w:ascii="Cambria Math" w:hAnsi="Cambria Math" w:cs="Cambria Math"/>
          <w:sz w:val="22"/>
          <w:szCs w:val="22"/>
        </w:rPr>
        <w:t>‐</w:t>
      </w:r>
      <w:r w:rsidRPr="6EED1F75">
        <w:rPr>
          <w:sz w:val="22"/>
          <w:szCs w:val="22"/>
        </w:rPr>
        <w:t>A and HLA</w:t>
      </w:r>
      <w:r w:rsidRPr="6EED1F75">
        <w:rPr>
          <w:rFonts w:ascii="Cambria Math" w:hAnsi="Cambria Math" w:cs="Cambria Math"/>
          <w:sz w:val="22"/>
          <w:szCs w:val="22"/>
        </w:rPr>
        <w:t>‐</w:t>
      </w:r>
      <w:r w:rsidRPr="6EED1F75">
        <w:rPr>
          <w:sz w:val="22"/>
          <w:szCs w:val="22"/>
        </w:rPr>
        <w:t>B typing and item 71151 ($118.85) for full HLA class 2 HLA</w:t>
      </w:r>
      <w:r w:rsidRPr="6EED1F75">
        <w:rPr>
          <w:rFonts w:ascii="Cambria Math" w:hAnsi="Cambria Math" w:cs="Cambria Math"/>
          <w:sz w:val="22"/>
          <w:szCs w:val="22"/>
        </w:rPr>
        <w:t>‐</w:t>
      </w:r>
      <w:r w:rsidRPr="6EED1F75">
        <w:rPr>
          <w:sz w:val="22"/>
          <w:szCs w:val="22"/>
        </w:rPr>
        <w:t>DR, HLA</w:t>
      </w:r>
      <w:r w:rsidRPr="6EED1F75">
        <w:rPr>
          <w:rFonts w:ascii="Cambria Math" w:hAnsi="Cambria Math" w:cs="Cambria Math"/>
          <w:sz w:val="22"/>
          <w:szCs w:val="22"/>
        </w:rPr>
        <w:t>‐</w:t>
      </w:r>
      <w:r w:rsidRPr="6EED1F75">
        <w:rPr>
          <w:sz w:val="22"/>
          <w:szCs w:val="22"/>
        </w:rPr>
        <w:t>DP and HLA</w:t>
      </w:r>
      <w:r w:rsidRPr="6EED1F75">
        <w:rPr>
          <w:rFonts w:ascii="Cambria Math" w:hAnsi="Cambria Math" w:cs="Cambria Math"/>
          <w:sz w:val="22"/>
          <w:szCs w:val="22"/>
        </w:rPr>
        <w:t>‐</w:t>
      </w:r>
      <w:r w:rsidRPr="6EED1F75">
        <w:rPr>
          <w:sz w:val="22"/>
          <w:szCs w:val="22"/>
        </w:rPr>
        <w:t xml:space="preserve">DQ typing. Feedback considered $188 </w:t>
      </w:r>
      <w:r w:rsidR="0608CDAB" w:rsidRPr="6EED1F75">
        <w:rPr>
          <w:sz w:val="22"/>
          <w:szCs w:val="22"/>
        </w:rPr>
        <w:t xml:space="preserve">as </w:t>
      </w:r>
      <w:r w:rsidRPr="6EED1F75">
        <w:rPr>
          <w:sz w:val="22"/>
          <w:szCs w:val="22"/>
        </w:rPr>
        <w:t>a more realistic current cost of providing this testing. The feedback queried whether a new item number is needed and stated that testing provided in item 71149 would give the results needed to determine risk of carbamazepine sensitivity.</w:t>
      </w:r>
      <w:r w:rsidRPr="6EED1F75">
        <w:rPr>
          <w:i/>
          <w:iCs/>
          <w:color w:val="FF0000"/>
          <w:sz w:val="22"/>
          <w:szCs w:val="22"/>
        </w:rPr>
        <w:t xml:space="preserve"> </w:t>
      </w:r>
    </w:p>
    <w:p w14:paraId="032D5E94" w14:textId="0FACD730" w:rsidR="00D155C0" w:rsidRPr="00D155C0" w:rsidRDefault="00D155C0" w:rsidP="6EED1F75">
      <w:pPr>
        <w:pStyle w:val="ListParagraph"/>
        <w:numPr>
          <w:ilvl w:val="0"/>
          <w:numId w:val="23"/>
        </w:numPr>
        <w:spacing w:before="0" w:after="160" w:line="259" w:lineRule="auto"/>
        <w:rPr>
          <w:i/>
          <w:iCs/>
          <w:sz w:val="22"/>
          <w:szCs w:val="22"/>
        </w:rPr>
      </w:pPr>
      <w:r w:rsidRPr="6EED1F75">
        <w:rPr>
          <w:sz w:val="22"/>
          <w:szCs w:val="22"/>
        </w:rPr>
        <w:t>The feedback agreed the proposed service descriptor supported an item that could include additional known HLA risk variants, however with respect to test “prior to initiation of treatment”</w:t>
      </w:r>
      <w:r w:rsidR="7C9B682C" w:rsidRPr="6EED1F75">
        <w:rPr>
          <w:sz w:val="22"/>
          <w:szCs w:val="22"/>
        </w:rPr>
        <w:t>, A</w:t>
      </w:r>
      <w:r w:rsidRPr="6EED1F75">
        <w:rPr>
          <w:sz w:val="22"/>
          <w:szCs w:val="22"/>
        </w:rPr>
        <w:t>ustralian Pathology indicated the difficulties for pathology providers to verify the treatment status before test. ASCEPT feedback queried if the item descriptor stating ‘specialist or consultant physician’ captured all relevant prescribers such as anaesthetists, pain specialists and psychiatrists.</w:t>
      </w:r>
      <w:r w:rsidRPr="6EED1F75">
        <w:rPr>
          <w:i/>
          <w:iCs/>
          <w:sz w:val="22"/>
          <w:szCs w:val="22"/>
        </w:rPr>
        <w:t> </w:t>
      </w:r>
    </w:p>
    <w:p w14:paraId="1275CBEC" w14:textId="1C4D8C8D" w:rsidR="6CC4A40F" w:rsidRPr="00AD5A9E" w:rsidRDefault="0ED60CA9" w:rsidP="00084667">
      <w:pPr>
        <w:pStyle w:val="ListParagraph"/>
        <w:numPr>
          <w:ilvl w:val="0"/>
          <w:numId w:val="23"/>
        </w:numPr>
        <w:spacing w:before="0" w:after="160" w:line="259" w:lineRule="auto"/>
        <w:rPr>
          <w:b/>
          <w:sz w:val="22"/>
          <w:szCs w:val="22"/>
        </w:rPr>
      </w:pPr>
      <w:r w:rsidRPr="490929BE">
        <w:rPr>
          <w:sz w:val="22"/>
          <w:szCs w:val="22"/>
        </w:rPr>
        <w:t>The consumer described their experience with the lack of testing prior to initiation of prescribed medications and having to tolerate severe adverse events requiring hospitalisation which could have been avoided with prior testing.</w:t>
      </w:r>
    </w:p>
    <w:p w14:paraId="03C7A1F1" w14:textId="42776397" w:rsidR="00772829" w:rsidRPr="00CE28E3" w:rsidRDefault="00772829" w:rsidP="00A737D1">
      <w:pPr>
        <w:pStyle w:val="Heading2"/>
        <w:numPr>
          <w:ilvl w:val="0"/>
          <w:numId w:val="21"/>
        </w:numPr>
        <w:ind w:hanging="720"/>
      </w:pPr>
      <w:r w:rsidRPr="00CE28E3">
        <w:t>Characteristics of the evidence base</w:t>
      </w:r>
      <w:bookmarkEnd w:id="17"/>
    </w:p>
    <w:p w14:paraId="702DA9BB" w14:textId="2E106CCA" w:rsidR="00FF7120" w:rsidRPr="00B233F7" w:rsidRDefault="00FC661A" w:rsidP="00FC661A">
      <w:pPr>
        <w:rPr>
          <w:i/>
          <w:iCs/>
          <w:sz w:val="22"/>
          <w:szCs w:val="22"/>
        </w:rPr>
      </w:pPr>
      <w:r w:rsidRPr="00B233F7">
        <w:rPr>
          <w:sz w:val="22"/>
          <w:szCs w:val="22"/>
        </w:rPr>
        <w:t>There was no direct evidence to assess the proposed intervention (</w:t>
      </w:r>
      <w:r w:rsidR="003975F2" w:rsidRPr="003975F2">
        <w:rPr>
          <w:i/>
          <w:iCs/>
          <w:sz w:val="22"/>
          <w:szCs w:val="22"/>
        </w:rPr>
        <w:t xml:space="preserve">HLA-A*31:01 </w:t>
      </w:r>
      <w:r w:rsidR="00FF0DF3" w:rsidRPr="00B233F7">
        <w:rPr>
          <w:sz w:val="22"/>
          <w:szCs w:val="22"/>
        </w:rPr>
        <w:t>and</w:t>
      </w:r>
      <w:r w:rsidR="00FF0DF3" w:rsidRPr="00B233F7">
        <w:rPr>
          <w:i/>
          <w:iCs/>
          <w:sz w:val="22"/>
          <w:szCs w:val="22"/>
        </w:rPr>
        <w:t xml:space="preserve"> </w:t>
      </w:r>
      <w:r w:rsidR="003975F2" w:rsidRPr="003975F2">
        <w:rPr>
          <w:i/>
          <w:iCs/>
          <w:sz w:val="22"/>
          <w:szCs w:val="22"/>
        </w:rPr>
        <w:t xml:space="preserve">HLA-B*15:02 </w:t>
      </w:r>
      <w:r w:rsidRPr="00B233F7">
        <w:rPr>
          <w:sz w:val="22"/>
          <w:szCs w:val="22"/>
        </w:rPr>
        <w:t xml:space="preserve">genotyping) prior to the commencement of </w:t>
      </w:r>
      <w:r w:rsidR="000924F0" w:rsidRPr="00B233F7">
        <w:rPr>
          <w:sz w:val="22"/>
          <w:szCs w:val="22"/>
        </w:rPr>
        <w:t xml:space="preserve">CBZ </w:t>
      </w:r>
      <w:r w:rsidRPr="00B233F7">
        <w:rPr>
          <w:sz w:val="22"/>
          <w:szCs w:val="22"/>
        </w:rPr>
        <w:t xml:space="preserve">or </w:t>
      </w:r>
      <w:r w:rsidR="000924F0" w:rsidRPr="00B233F7">
        <w:rPr>
          <w:sz w:val="22"/>
          <w:szCs w:val="22"/>
        </w:rPr>
        <w:t>OXC</w:t>
      </w:r>
      <w:r w:rsidRPr="00B233F7">
        <w:rPr>
          <w:sz w:val="22"/>
          <w:szCs w:val="22"/>
        </w:rPr>
        <w:t xml:space="preserve">) with the comparator (no </w:t>
      </w:r>
      <w:r w:rsidR="00FF0DF3" w:rsidRPr="00B233F7">
        <w:rPr>
          <w:sz w:val="22"/>
          <w:szCs w:val="22"/>
        </w:rPr>
        <w:t xml:space="preserve">pre-treatment </w:t>
      </w:r>
      <w:r w:rsidRPr="00B233F7">
        <w:rPr>
          <w:sz w:val="22"/>
          <w:szCs w:val="22"/>
        </w:rPr>
        <w:t xml:space="preserve">genotyping). There was, however, direct evidence to assess </w:t>
      </w:r>
      <w:r w:rsidR="003975F2" w:rsidRPr="003975F2">
        <w:rPr>
          <w:i/>
          <w:iCs/>
          <w:sz w:val="22"/>
          <w:szCs w:val="22"/>
        </w:rPr>
        <w:t xml:space="preserve">HLA-B*15:02 </w:t>
      </w:r>
      <w:r w:rsidR="00FF0DF3" w:rsidRPr="00B233F7">
        <w:rPr>
          <w:sz w:val="22"/>
          <w:szCs w:val="22"/>
        </w:rPr>
        <w:t xml:space="preserve">genotyping </w:t>
      </w:r>
      <w:r w:rsidRPr="00B233F7">
        <w:rPr>
          <w:sz w:val="22"/>
          <w:szCs w:val="22"/>
        </w:rPr>
        <w:t>alone</w:t>
      </w:r>
      <w:r w:rsidR="00D1043E" w:rsidRPr="00B233F7">
        <w:rPr>
          <w:sz w:val="22"/>
          <w:szCs w:val="22"/>
        </w:rPr>
        <w:t xml:space="preserve"> prior to the commencement of </w:t>
      </w:r>
      <w:r w:rsidR="00E43807" w:rsidRPr="00B233F7">
        <w:rPr>
          <w:sz w:val="22"/>
          <w:szCs w:val="22"/>
        </w:rPr>
        <w:t>CBZ only, which</w:t>
      </w:r>
      <w:r w:rsidR="005968D0" w:rsidRPr="00B233F7">
        <w:rPr>
          <w:sz w:val="22"/>
          <w:szCs w:val="22"/>
        </w:rPr>
        <w:t xml:space="preserve"> was</w:t>
      </w:r>
      <w:r w:rsidRPr="00B233F7">
        <w:rPr>
          <w:sz w:val="22"/>
          <w:szCs w:val="22"/>
        </w:rPr>
        <w:t xml:space="preserve"> presented to support linked evidence for the intervention (</w:t>
      </w:r>
      <w:r w:rsidR="00FF0DF3" w:rsidRPr="00B233F7">
        <w:rPr>
          <w:sz w:val="22"/>
          <w:szCs w:val="22"/>
        </w:rPr>
        <w:t xml:space="preserve">combined </w:t>
      </w:r>
      <w:r w:rsidR="003975F2" w:rsidRPr="003975F2">
        <w:rPr>
          <w:i/>
          <w:iCs/>
          <w:sz w:val="22"/>
          <w:szCs w:val="22"/>
        </w:rPr>
        <w:t xml:space="preserve">HLA-A*31:01 </w:t>
      </w:r>
      <w:r w:rsidRPr="00B233F7">
        <w:rPr>
          <w:sz w:val="22"/>
          <w:szCs w:val="22"/>
        </w:rPr>
        <w:t>and</w:t>
      </w:r>
      <w:r w:rsidRPr="00B233F7">
        <w:rPr>
          <w:i/>
          <w:iCs/>
          <w:sz w:val="22"/>
          <w:szCs w:val="22"/>
        </w:rPr>
        <w:t xml:space="preserve"> </w:t>
      </w:r>
      <w:r w:rsidR="003975F2" w:rsidRPr="003975F2">
        <w:rPr>
          <w:i/>
          <w:iCs/>
          <w:sz w:val="22"/>
          <w:szCs w:val="22"/>
        </w:rPr>
        <w:t xml:space="preserve">HLA-B*15:02 </w:t>
      </w:r>
      <w:r w:rsidR="00FF0DF3" w:rsidRPr="00B233F7">
        <w:rPr>
          <w:sz w:val="22"/>
          <w:szCs w:val="22"/>
        </w:rPr>
        <w:t>genotyping</w:t>
      </w:r>
      <w:r w:rsidRPr="00B233F7">
        <w:rPr>
          <w:sz w:val="22"/>
          <w:szCs w:val="22"/>
        </w:rPr>
        <w:t>)</w:t>
      </w:r>
      <w:r w:rsidRPr="00B233F7">
        <w:rPr>
          <w:i/>
          <w:iCs/>
          <w:sz w:val="22"/>
          <w:szCs w:val="22"/>
        </w:rPr>
        <w:t>.</w:t>
      </w:r>
      <w:r w:rsidR="00CF78E3" w:rsidRPr="00B233F7">
        <w:rPr>
          <w:i/>
          <w:iCs/>
          <w:sz w:val="22"/>
          <w:szCs w:val="22"/>
        </w:rPr>
        <w:t xml:space="preserve"> </w:t>
      </w:r>
    </w:p>
    <w:p w14:paraId="7E55430E" w14:textId="29CF22A5" w:rsidR="00FC661A" w:rsidRPr="00B233F7" w:rsidRDefault="00CF78E3" w:rsidP="00FC661A">
      <w:pPr>
        <w:rPr>
          <w:sz w:val="22"/>
          <w:szCs w:val="22"/>
        </w:rPr>
      </w:pPr>
      <w:r w:rsidRPr="00B233F7">
        <w:rPr>
          <w:sz w:val="22"/>
          <w:szCs w:val="22"/>
        </w:rPr>
        <w:t xml:space="preserve">A summary of the key features of the studies providing direct from test to health outcome evidence is provided in Table </w:t>
      </w:r>
      <w:r w:rsidR="00B45D9D">
        <w:rPr>
          <w:sz w:val="22"/>
          <w:szCs w:val="22"/>
        </w:rPr>
        <w:t>3</w:t>
      </w:r>
      <w:r w:rsidRPr="00B233F7">
        <w:rPr>
          <w:sz w:val="22"/>
          <w:szCs w:val="22"/>
        </w:rPr>
        <w:t>.</w:t>
      </w:r>
    </w:p>
    <w:p w14:paraId="7CFCF9CB" w14:textId="0A70DF2C" w:rsidR="008C04A4" w:rsidRPr="00CE28E3" w:rsidRDefault="00956ACE" w:rsidP="008C04A4">
      <w:pPr>
        <w:pStyle w:val="Caption"/>
        <w:rPr>
          <w:snapToGrid w:val="0"/>
        </w:rPr>
      </w:pPr>
      <w:bookmarkStart w:id="18" w:name="_Ref69725659"/>
      <w:r w:rsidRPr="00CE28E3">
        <w:lastRenderedPageBreak/>
        <w:t>Table</w:t>
      </w:r>
      <w:r w:rsidR="004A4FDF">
        <w:t> </w:t>
      </w:r>
      <w:r w:rsidR="00B45D9D">
        <w:t>3</w:t>
      </w:r>
      <w:r w:rsidR="008C04A4" w:rsidRPr="00CE28E3">
        <w:tab/>
      </w:r>
      <w:r w:rsidR="008C04A4" w:rsidRPr="00CE28E3">
        <w:rPr>
          <w:snapToGrid w:val="0"/>
        </w:rPr>
        <w:t xml:space="preserve">Key features of the included evidence comparing </w:t>
      </w:r>
      <w:r w:rsidR="008C04A4" w:rsidRPr="00A919B9">
        <w:t>HLA testing for hypersensitivity to CBZ and OXC</w:t>
      </w:r>
      <w:r w:rsidR="008C04A4">
        <w:t>.</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4"/>
        <w:gridCol w:w="1059"/>
        <w:gridCol w:w="1622"/>
        <w:gridCol w:w="1772"/>
        <w:gridCol w:w="1490"/>
        <w:gridCol w:w="1086"/>
        <w:gridCol w:w="1085"/>
      </w:tblGrid>
      <w:tr w:rsidR="008C04A4" w:rsidRPr="00CE28E3" w14:paraId="24D41230" w14:textId="5847679D" w:rsidTr="422CAA86">
        <w:trPr>
          <w:trHeight w:val="580"/>
          <w:tblHeader/>
        </w:trPr>
        <w:tc>
          <w:tcPr>
            <w:tcW w:w="904" w:type="dxa"/>
            <w:shd w:val="clear" w:color="auto" w:fill="D9D9D9" w:themeFill="background1" w:themeFillShade="D9"/>
            <w:vAlign w:val="center"/>
          </w:tcPr>
          <w:p w14:paraId="1007E140" w14:textId="77777777" w:rsidR="008C04A4" w:rsidRPr="00CE28E3" w:rsidRDefault="008C04A4">
            <w:pPr>
              <w:pStyle w:val="TableHeading"/>
            </w:pPr>
            <w:r w:rsidRPr="00CE28E3">
              <w:t>Trial/Study</w:t>
            </w:r>
          </w:p>
        </w:tc>
        <w:tc>
          <w:tcPr>
            <w:tcW w:w="1059" w:type="dxa"/>
            <w:shd w:val="clear" w:color="auto" w:fill="D9D9D9" w:themeFill="background1" w:themeFillShade="D9"/>
            <w:vAlign w:val="center"/>
          </w:tcPr>
          <w:p w14:paraId="19591B82" w14:textId="77777777" w:rsidR="008C04A4" w:rsidRPr="00CE28E3" w:rsidRDefault="008C04A4">
            <w:pPr>
              <w:pStyle w:val="TableHeading"/>
            </w:pPr>
            <w:r w:rsidRPr="00CE28E3">
              <w:t>Study design</w:t>
            </w:r>
          </w:p>
          <w:p w14:paraId="0A811A1B" w14:textId="77777777" w:rsidR="008C04A4" w:rsidRPr="00CE28E3" w:rsidRDefault="008C04A4">
            <w:pPr>
              <w:pStyle w:val="TableHeading"/>
            </w:pPr>
            <w:r w:rsidRPr="00CE28E3">
              <w:t>Risk of bias</w:t>
            </w:r>
          </w:p>
        </w:tc>
        <w:tc>
          <w:tcPr>
            <w:tcW w:w="1622" w:type="dxa"/>
            <w:shd w:val="clear" w:color="auto" w:fill="D9D9D9" w:themeFill="background1" w:themeFillShade="D9"/>
            <w:vAlign w:val="center"/>
          </w:tcPr>
          <w:p w14:paraId="15D3230D" w14:textId="77777777" w:rsidR="008C04A4" w:rsidRPr="00CE28E3" w:rsidRDefault="008C04A4">
            <w:pPr>
              <w:pStyle w:val="TableHeading"/>
            </w:pPr>
            <w:r w:rsidRPr="00CE28E3">
              <w:t>Population</w:t>
            </w:r>
          </w:p>
        </w:tc>
        <w:tc>
          <w:tcPr>
            <w:tcW w:w="1772" w:type="dxa"/>
            <w:shd w:val="clear" w:color="auto" w:fill="D9D9D9" w:themeFill="background1" w:themeFillShade="D9"/>
            <w:vAlign w:val="center"/>
          </w:tcPr>
          <w:p w14:paraId="730005AB" w14:textId="77777777" w:rsidR="0040400A" w:rsidRDefault="008C04A4" w:rsidP="0040400A">
            <w:pPr>
              <w:pStyle w:val="TableHeading"/>
            </w:pPr>
            <w:r w:rsidRPr="00CE28E3">
              <w:t>Intervention</w:t>
            </w:r>
          </w:p>
          <w:p w14:paraId="5FF467C3" w14:textId="5AE45C67" w:rsidR="008C04A4" w:rsidRPr="00CE28E3" w:rsidRDefault="0040400A">
            <w:pPr>
              <w:pStyle w:val="TableHeading"/>
            </w:pPr>
            <w:r>
              <w:t>Adherence to intervention</w:t>
            </w:r>
          </w:p>
        </w:tc>
        <w:tc>
          <w:tcPr>
            <w:tcW w:w="1490" w:type="dxa"/>
            <w:shd w:val="clear" w:color="auto" w:fill="D9D9D9" w:themeFill="background1" w:themeFillShade="D9"/>
            <w:vAlign w:val="center"/>
          </w:tcPr>
          <w:p w14:paraId="3E3D8CF7" w14:textId="77777777" w:rsidR="008C04A4" w:rsidRPr="00CE28E3" w:rsidRDefault="008C04A4">
            <w:pPr>
              <w:pStyle w:val="TableHeading"/>
            </w:pPr>
            <w:r w:rsidRPr="00CE28E3">
              <w:t>Comparator</w:t>
            </w:r>
          </w:p>
        </w:tc>
        <w:tc>
          <w:tcPr>
            <w:tcW w:w="1086" w:type="dxa"/>
            <w:shd w:val="clear" w:color="auto" w:fill="D9D9D9" w:themeFill="background1" w:themeFillShade="D9"/>
            <w:vAlign w:val="center"/>
          </w:tcPr>
          <w:p w14:paraId="5A55B380" w14:textId="6700B7F6" w:rsidR="008C04A4" w:rsidRPr="00CE28E3" w:rsidRDefault="0040400A">
            <w:pPr>
              <w:pStyle w:val="TableHeading"/>
            </w:pPr>
            <w:r w:rsidRPr="00CE28E3">
              <w:t>Key outcome(s)</w:t>
            </w:r>
          </w:p>
        </w:tc>
        <w:tc>
          <w:tcPr>
            <w:tcW w:w="1085" w:type="dxa"/>
            <w:shd w:val="clear" w:color="auto" w:fill="D9D9D9" w:themeFill="background1" w:themeFillShade="D9"/>
          </w:tcPr>
          <w:p w14:paraId="6C12E9D8" w14:textId="4DED2834" w:rsidR="0040400A" w:rsidRDefault="0040400A" w:rsidP="0040400A">
            <w:pPr>
              <w:pStyle w:val="TableHeading"/>
            </w:pPr>
            <w:r>
              <w:t>Results used in economic model?</w:t>
            </w:r>
          </w:p>
        </w:tc>
      </w:tr>
      <w:tr w:rsidR="008C04A4" w:rsidRPr="00CE28E3" w14:paraId="161EC6A5" w14:textId="411489DE" w:rsidTr="422CAA86">
        <w:trPr>
          <w:trHeight w:val="400"/>
          <w:tblHeader/>
        </w:trPr>
        <w:tc>
          <w:tcPr>
            <w:tcW w:w="904" w:type="dxa"/>
            <w:shd w:val="clear" w:color="auto" w:fill="auto"/>
            <w:vAlign w:val="center"/>
          </w:tcPr>
          <w:p w14:paraId="76CA895C" w14:textId="6207CCA2" w:rsidR="008C04A4" w:rsidRPr="00AD3D5E" w:rsidRDefault="008C04A4" w:rsidP="00EF5CCC">
            <w:pPr>
              <w:pStyle w:val="TableText1"/>
              <w:jc w:val="left"/>
              <w:rPr>
                <w:sz w:val="20"/>
                <w:szCs w:val="28"/>
              </w:rPr>
            </w:pPr>
            <w:r w:rsidRPr="00AD3D5E">
              <w:rPr>
                <w:sz w:val="20"/>
                <w:szCs w:val="28"/>
              </w:rPr>
              <w:t>Chang et al. 2023</w:t>
            </w:r>
          </w:p>
          <w:p w14:paraId="53048B07" w14:textId="77777777" w:rsidR="008C04A4" w:rsidRPr="00AD3D5E" w:rsidRDefault="008C04A4" w:rsidP="00EF5CCC">
            <w:pPr>
              <w:pStyle w:val="TableText1"/>
              <w:jc w:val="left"/>
              <w:rPr>
                <w:sz w:val="20"/>
                <w:szCs w:val="28"/>
              </w:rPr>
            </w:pPr>
            <w:r w:rsidRPr="00AD3D5E">
              <w:rPr>
                <w:sz w:val="20"/>
                <w:szCs w:val="28"/>
              </w:rPr>
              <w:t>Taiwan</w:t>
            </w:r>
          </w:p>
        </w:tc>
        <w:tc>
          <w:tcPr>
            <w:tcW w:w="1059" w:type="dxa"/>
            <w:shd w:val="clear" w:color="auto" w:fill="auto"/>
            <w:vAlign w:val="center"/>
          </w:tcPr>
          <w:p w14:paraId="70566814" w14:textId="77777777" w:rsidR="008C04A4" w:rsidRPr="00AD3D5E" w:rsidRDefault="008C04A4" w:rsidP="00EF5CCC">
            <w:pPr>
              <w:pStyle w:val="TableText1"/>
              <w:jc w:val="left"/>
              <w:rPr>
                <w:sz w:val="20"/>
                <w:szCs w:val="28"/>
              </w:rPr>
            </w:pPr>
            <w:r w:rsidRPr="00AD3D5E">
              <w:rPr>
                <w:sz w:val="20"/>
                <w:szCs w:val="28"/>
              </w:rPr>
              <w:t>Retrospective longitudinal study</w:t>
            </w:r>
          </w:p>
          <w:p w14:paraId="3DE3AD9E" w14:textId="19BCF5BE" w:rsidR="008C04A4" w:rsidRPr="00AD3D5E" w:rsidRDefault="008C04A4" w:rsidP="422CAA86">
            <w:pPr>
              <w:pStyle w:val="TableText1"/>
              <w:jc w:val="left"/>
              <w:rPr>
                <w:sz w:val="20"/>
                <w:szCs w:val="20"/>
              </w:rPr>
            </w:pPr>
            <w:r w:rsidRPr="422CAA86">
              <w:rPr>
                <w:sz w:val="20"/>
                <w:szCs w:val="20"/>
              </w:rPr>
              <w:t>High risk of bias</w:t>
            </w:r>
          </w:p>
        </w:tc>
        <w:tc>
          <w:tcPr>
            <w:tcW w:w="1622" w:type="dxa"/>
            <w:vAlign w:val="center"/>
          </w:tcPr>
          <w:p w14:paraId="628864E2" w14:textId="77777777" w:rsidR="008C04A4" w:rsidRPr="00AD3D5E" w:rsidRDefault="008C04A4" w:rsidP="00EF5CCC">
            <w:pPr>
              <w:pStyle w:val="TableText1"/>
              <w:jc w:val="left"/>
              <w:rPr>
                <w:sz w:val="20"/>
                <w:szCs w:val="28"/>
              </w:rPr>
            </w:pPr>
            <w:r w:rsidRPr="00AD3D5E">
              <w:rPr>
                <w:sz w:val="20"/>
                <w:szCs w:val="28"/>
              </w:rPr>
              <w:t>N = 45,348,457 episodes</w:t>
            </w:r>
          </w:p>
          <w:p w14:paraId="25930DD1" w14:textId="37997CA0" w:rsidR="008C04A4" w:rsidRPr="00AD3D5E" w:rsidRDefault="008C04A4" w:rsidP="422CAA86">
            <w:pPr>
              <w:pStyle w:val="TableText1"/>
              <w:jc w:val="left"/>
              <w:rPr>
                <w:sz w:val="20"/>
                <w:szCs w:val="20"/>
              </w:rPr>
            </w:pPr>
            <w:r w:rsidRPr="422CAA86">
              <w:rPr>
                <w:sz w:val="20"/>
                <w:szCs w:val="20"/>
              </w:rPr>
              <w:t xml:space="preserve">Where an “episode” is </w:t>
            </w:r>
            <w:r w:rsidR="00121171" w:rsidRPr="422CAA86">
              <w:rPr>
                <w:sz w:val="20"/>
                <w:szCs w:val="20"/>
              </w:rPr>
              <w:t xml:space="preserve">classified as </w:t>
            </w:r>
            <w:r w:rsidRPr="422CAA86">
              <w:rPr>
                <w:sz w:val="20"/>
                <w:szCs w:val="20"/>
              </w:rPr>
              <w:t xml:space="preserve">a patient </w:t>
            </w:r>
            <w:r w:rsidR="00121171" w:rsidRPr="422CAA86">
              <w:rPr>
                <w:sz w:val="20"/>
                <w:szCs w:val="20"/>
              </w:rPr>
              <w:t xml:space="preserve">having </w:t>
            </w:r>
            <w:r w:rsidRPr="422CAA86">
              <w:rPr>
                <w:rFonts w:ascii="Symbol" w:eastAsia="Symbol" w:hAnsi="Symbol" w:cs="Symbol"/>
                <w:sz w:val="20"/>
                <w:szCs w:val="20"/>
              </w:rPr>
              <w:t>³</w:t>
            </w:r>
            <w:r w:rsidRPr="422CAA86">
              <w:rPr>
                <w:sz w:val="20"/>
                <w:szCs w:val="20"/>
              </w:rPr>
              <w:t xml:space="preserve">2 outpatient visits or </w:t>
            </w:r>
            <w:r w:rsidRPr="422CAA86">
              <w:rPr>
                <w:rFonts w:ascii="Symbol" w:eastAsia="Symbol" w:hAnsi="Symbol" w:cs="Symbol"/>
                <w:sz w:val="20"/>
                <w:szCs w:val="20"/>
              </w:rPr>
              <w:t>³</w:t>
            </w:r>
            <w:r w:rsidRPr="422CAA86">
              <w:rPr>
                <w:sz w:val="20"/>
                <w:szCs w:val="20"/>
              </w:rPr>
              <w:t xml:space="preserve">1 hospitalisation due to epilepsy or neuralgia </w:t>
            </w:r>
            <w:r w:rsidR="00540D7B" w:rsidRPr="422CAA86">
              <w:rPr>
                <w:sz w:val="20"/>
                <w:szCs w:val="20"/>
              </w:rPr>
              <w:t xml:space="preserve">(any type) </w:t>
            </w:r>
            <w:r w:rsidRPr="422CAA86">
              <w:rPr>
                <w:sz w:val="20"/>
                <w:szCs w:val="20"/>
              </w:rPr>
              <w:t>within a calendar quarter.*</w:t>
            </w:r>
          </w:p>
        </w:tc>
        <w:tc>
          <w:tcPr>
            <w:tcW w:w="1772" w:type="dxa"/>
            <w:vAlign w:val="center"/>
          </w:tcPr>
          <w:p w14:paraId="38C13E67" w14:textId="169A02D8" w:rsidR="00121171" w:rsidRDefault="008C04A4" w:rsidP="00121171">
            <w:pPr>
              <w:pStyle w:val="TableText1"/>
              <w:jc w:val="left"/>
              <w:rPr>
                <w:sz w:val="20"/>
                <w:szCs w:val="28"/>
              </w:rPr>
            </w:pPr>
            <w:r w:rsidRPr="00AD3D5E">
              <w:rPr>
                <w:sz w:val="20"/>
                <w:szCs w:val="28"/>
              </w:rPr>
              <w:t xml:space="preserve">Reimbursed </w:t>
            </w:r>
            <w:r w:rsidR="003975F2" w:rsidRPr="003975F2">
              <w:rPr>
                <w:i/>
                <w:sz w:val="20"/>
                <w:szCs w:val="28"/>
              </w:rPr>
              <w:t xml:space="preserve">HLA-B*15:02 </w:t>
            </w:r>
            <w:r w:rsidRPr="00AD3D5E">
              <w:rPr>
                <w:sz w:val="20"/>
                <w:szCs w:val="28"/>
              </w:rPr>
              <w:t>genotyping before prescribing CBZ</w:t>
            </w:r>
          </w:p>
          <w:p w14:paraId="36384967" w14:textId="77777777" w:rsidR="00121171" w:rsidRDefault="00121171" w:rsidP="00121171">
            <w:pPr>
              <w:pStyle w:val="TableText1"/>
              <w:jc w:val="left"/>
              <w:rPr>
                <w:sz w:val="20"/>
                <w:szCs w:val="28"/>
              </w:rPr>
            </w:pPr>
          </w:p>
          <w:p w14:paraId="1585CAFE" w14:textId="2864C1D2" w:rsidR="008C04A4" w:rsidRPr="00AD3D5E" w:rsidRDefault="00121171" w:rsidP="00EF5CCC">
            <w:pPr>
              <w:pStyle w:val="TableText1"/>
              <w:jc w:val="left"/>
              <w:rPr>
                <w:sz w:val="20"/>
                <w:szCs w:val="28"/>
              </w:rPr>
            </w:pPr>
            <w:r w:rsidRPr="00121171">
              <w:rPr>
                <w:sz w:val="20"/>
                <w:szCs w:val="28"/>
              </w:rPr>
              <w:t>Information on policy adherence NR</w:t>
            </w:r>
            <w:r w:rsidR="008C04A4" w:rsidRPr="00AD3D5E">
              <w:rPr>
                <w:sz w:val="20"/>
                <w:szCs w:val="28"/>
              </w:rPr>
              <w:t xml:space="preserve"> </w:t>
            </w:r>
          </w:p>
        </w:tc>
        <w:tc>
          <w:tcPr>
            <w:tcW w:w="1490" w:type="dxa"/>
            <w:shd w:val="clear" w:color="auto" w:fill="auto"/>
            <w:vAlign w:val="center"/>
          </w:tcPr>
          <w:p w14:paraId="48C9315D" w14:textId="13F7A2DA" w:rsidR="008C04A4" w:rsidRPr="00AD3D5E" w:rsidRDefault="008C04A4" w:rsidP="00EF5CCC">
            <w:pPr>
              <w:pStyle w:val="TableText1"/>
              <w:jc w:val="left"/>
              <w:rPr>
                <w:sz w:val="20"/>
                <w:szCs w:val="28"/>
              </w:rPr>
            </w:pPr>
            <w:r w:rsidRPr="00AD3D5E">
              <w:rPr>
                <w:sz w:val="20"/>
                <w:szCs w:val="28"/>
              </w:rPr>
              <w:t xml:space="preserve">Non-reimbursed </w:t>
            </w:r>
            <w:r w:rsidR="003975F2" w:rsidRPr="003975F2">
              <w:rPr>
                <w:i/>
                <w:sz w:val="20"/>
                <w:szCs w:val="28"/>
              </w:rPr>
              <w:t xml:space="preserve">HLA-B*15:02 </w:t>
            </w:r>
            <w:r w:rsidRPr="00AD3D5E">
              <w:rPr>
                <w:sz w:val="20"/>
                <w:szCs w:val="28"/>
              </w:rPr>
              <w:t>genotyping before prescribing CBZ (pre-reimbursement)</w:t>
            </w:r>
          </w:p>
        </w:tc>
        <w:tc>
          <w:tcPr>
            <w:tcW w:w="1086" w:type="dxa"/>
            <w:shd w:val="clear" w:color="auto" w:fill="auto"/>
            <w:vAlign w:val="center"/>
          </w:tcPr>
          <w:p w14:paraId="69779460" w14:textId="77777777" w:rsidR="008C04A4" w:rsidRPr="00AD3D5E" w:rsidRDefault="008C04A4" w:rsidP="00A71A47">
            <w:pPr>
              <w:pStyle w:val="TableText1"/>
              <w:numPr>
                <w:ilvl w:val="0"/>
                <w:numId w:val="17"/>
              </w:numPr>
              <w:ind w:left="308" w:hanging="284"/>
              <w:jc w:val="left"/>
              <w:rPr>
                <w:sz w:val="20"/>
                <w:szCs w:val="28"/>
              </w:rPr>
            </w:pPr>
            <w:r w:rsidRPr="00AD3D5E">
              <w:rPr>
                <w:sz w:val="20"/>
                <w:szCs w:val="28"/>
              </w:rPr>
              <w:t>Change in management (CBZ and OXC use)</w:t>
            </w:r>
          </w:p>
          <w:p w14:paraId="2B840DAE" w14:textId="77777777" w:rsidR="008C04A4" w:rsidRPr="00AD3D5E" w:rsidRDefault="008C04A4" w:rsidP="00A71A47">
            <w:pPr>
              <w:pStyle w:val="TableText1"/>
              <w:numPr>
                <w:ilvl w:val="0"/>
                <w:numId w:val="17"/>
              </w:numPr>
              <w:ind w:left="308" w:hanging="284"/>
              <w:jc w:val="left"/>
              <w:rPr>
                <w:sz w:val="20"/>
                <w:szCs w:val="28"/>
              </w:rPr>
            </w:pPr>
            <w:r w:rsidRPr="00AD3D5E">
              <w:rPr>
                <w:sz w:val="20"/>
                <w:szCs w:val="28"/>
              </w:rPr>
              <w:t>Incidence of SCARs (total)</w:t>
            </w:r>
          </w:p>
          <w:p w14:paraId="040D87C8" w14:textId="77777777" w:rsidR="008C04A4" w:rsidRPr="00AD3D5E" w:rsidRDefault="008C04A4" w:rsidP="00A71A47">
            <w:pPr>
              <w:pStyle w:val="TableText1"/>
              <w:numPr>
                <w:ilvl w:val="0"/>
                <w:numId w:val="17"/>
              </w:numPr>
              <w:ind w:left="308" w:hanging="284"/>
              <w:jc w:val="left"/>
              <w:rPr>
                <w:sz w:val="20"/>
                <w:szCs w:val="28"/>
              </w:rPr>
            </w:pPr>
            <w:r w:rsidRPr="00AD3D5E">
              <w:rPr>
                <w:sz w:val="20"/>
                <w:szCs w:val="28"/>
              </w:rPr>
              <w:t>Incidence of SJS-TEN</w:t>
            </w:r>
          </w:p>
        </w:tc>
        <w:tc>
          <w:tcPr>
            <w:tcW w:w="1085" w:type="dxa"/>
          </w:tcPr>
          <w:p w14:paraId="690E41F3" w14:textId="1413F65E" w:rsidR="00121171" w:rsidRPr="00AD3D5E" w:rsidRDefault="007079E9" w:rsidP="003D3843">
            <w:pPr>
              <w:pStyle w:val="TableText1"/>
              <w:ind w:left="24"/>
              <w:jc w:val="left"/>
              <w:rPr>
                <w:sz w:val="20"/>
                <w:szCs w:val="28"/>
              </w:rPr>
            </w:pPr>
            <w:r>
              <w:t>Not used</w:t>
            </w:r>
            <w:r w:rsidR="005012F1">
              <w:t>,</w:t>
            </w:r>
            <w:r>
              <w:t xml:space="preserve"> as </w:t>
            </w:r>
            <w:r w:rsidR="00533BDE" w:rsidRPr="00B74CAA">
              <w:t xml:space="preserve">this was for genotyping for </w:t>
            </w:r>
            <w:r w:rsidR="003975F2" w:rsidRPr="003975F2">
              <w:rPr>
                <w:i/>
              </w:rPr>
              <w:t xml:space="preserve">HLA-B*15:02 </w:t>
            </w:r>
            <w:r w:rsidR="00533BDE" w:rsidRPr="00B74CAA">
              <w:t xml:space="preserve">alone </w:t>
            </w:r>
            <w:r w:rsidR="005012F1">
              <w:t>and the</w:t>
            </w:r>
            <w:r w:rsidR="00533BDE">
              <w:t xml:space="preserve"> study </w:t>
            </w:r>
            <w:r w:rsidR="00533BDE" w:rsidRPr="00B74CAA">
              <w:t>focused on</w:t>
            </w:r>
            <w:r w:rsidR="004C3E51">
              <w:t xml:space="preserve"> the</w:t>
            </w:r>
            <w:r w:rsidR="00533BDE" w:rsidRPr="00B74CAA">
              <w:t xml:space="preserve"> Taiwan population</w:t>
            </w:r>
            <w:r w:rsidR="005012F1">
              <w:t xml:space="preserve">. </w:t>
            </w:r>
          </w:p>
        </w:tc>
      </w:tr>
      <w:tr w:rsidR="008C04A4" w:rsidRPr="00CE28E3" w14:paraId="53C6A60D" w14:textId="4E4FBB63" w:rsidTr="422CAA86">
        <w:trPr>
          <w:trHeight w:val="400"/>
          <w:tblHeader/>
        </w:trPr>
        <w:tc>
          <w:tcPr>
            <w:tcW w:w="904" w:type="dxa"/>
            <w:shd w:val="clear" w:color="auto" w:fill="auto"/>
            <w:vAlign w:val="center"/>
          </w:tcPr>
          <w:p w14:paraId="35B76A41" w14:textId="386F94D0" w:rsidR="008C04A4" w:rsidRPr="00AD3D5E" w:rsidRDefault="008C04A4" w:rsidP="00EF5CCC">
            <w:pPr>
              <w:pStyle w:val="TableText1"/>
              <w:jc w:val="left"/>
              <w:rPr>
                <w:sz w:val="20"/>
                <w:szCs w:val="28"/>
              </w:rPr>
            </w:pPr>
            <w:r w:rsidRPr="00AD3D5E">
              <w:rPr>
                <w:sz w:val="20"/>
                <w:szCs w:val="28"/>
              </w:rPr>
              <w:t>Chen et al. 2014</w:t>
            </w:r>
            <w:r w:rsidR="008F53C6">
              <w:rPr>
                <w:sz w:val="20"/>
                <w:szCs w:val="28"/>
              </w:rPr>
              <w:t xml:space="preserve"> </w:t>
            </w:r>
          </w:p>
          <w:p w14:paraId="58740FEF" w14:textId="77777777" w:rsidR="008C04A4" w:rsidRPr="00AD3D5E" w:rsidRDefault="008C04A4" w:rsidP="00EF5CCC">
            <w:pPr>
              <w:pStyle w:val="TableText1"/>
              <w:jc w:val="left"/>
              <w:rPr>
                <w:sz w:val="20"/>
                <w:szCs w:val="28"/>
              </w:rPr>
            </w:pPr>
            <w:r w:rsidRPr="00AD3D5E">
              <w:rPr>
                <w:sz w:val="20"/>
                <w:szCs w:val="28"/>
              </w:rPr>
              <w:t>Hong Kong</w:t>
            </w:r>
          </w:p>
        </w:tc>
        <w:tc>
          <w:tcPr>
            <w:tcW w:w="1059" w:type="dxa"/>
            <w:shd w:val="clear" w:color="auto" w:fill="auto"/>
            <w:vAlign w:val="center"/>
          </w:tcPr>
          <w:p w14:paraId="7794393C" w14:textId="77777777" w:rsidR="008C04A4" w:rsidRPr="00AD3D5E" w:rsidRDefault="008C04A4" w:rsidP="00EF5CCC">
            <w:pPr>
              <w:pStyle w:val="TableText1"/>
              <w:jc w:val="left"/>
              <w:rPr>
                <w:sz w:val="20"/>
                <w:szCs w:val="28"/>
              </w:rPr>
            </w:pPr>
            <w:r w:rsidRPr="00AD3D5E">
              <w:rPr>
                <w:sz w:val="20"/>
                <w:szCs w:val="28"/>
              </w:rPr>
              <w:t>Retrospective longitudinal study</w:t>
            </w:r>
          </w:p>
          <w:p w14:paraId="0C64A4D7" w14:textId="38ED94B3" w:rsidR="008C04A4" w:rsidRPr="00AD3D5E" w:rsidRDefault="008C04A4" w:rsidP="422CAA86">
            <w:pPr>
              <w:pStyle w:val="TableText1"/>
              <w:jc w:val="left"/>
              <w:rPr>
                <w:sz w:val="20"/>
                <w:szCs w:val="20"/>
              </w:rPr>
            </w:pPr>
            <w:r w:rsidRPr="422CAA86">
              <w:rPr>
                <w:sz w:val="20"/>
                <w:szCs w:val="20"/>
              </w:rPr>
              <w:t>High risk of bias</w:t>
            </w:r>
          </w:p>
        </w:tc>
        <w:tc>
          <w:tcPr>
            <w:tcW w:w="1622" w:type="dxa"/>
            <w:vAlign w:val="center"/>
          </w:tcPr>
          <w:p w14:paraId="0C14911E" w14:textId="77777777" w:rsidR="008C04A4" w:rsidRPr="00AD3D5E" w:rsidRDefault="008C04A4" w:rsidP="00EF5CCC">
            <w:pPr>
              <w:pStyle w:val="TableText1"/>
              <w:jc w:val="left"/>
              <w:rPr>
                <w:sz w:val="20"/>
                <w:szCs w:val="28"/>
              </w:rPr>
            </w:pPr>
            <w:r w:rsidRPr="00AD3D5E">
              <w:rPr>
                <w:sz w:val="20"/>
                <w:szCs w:val="28"/>
              </w:rPr>
              <w:t>N = 111,242 patients</w:t>
            </w:r>
          </w:p>
        </w:tc>
        <w:tc>
          <w:tcPr>
            <w:tcW w:w="1772" w:type="dxa"/>
            <w:vAlign w:val="center"/>
          </w:tcPr>
          <w:p w14:paraId="5935B91E" w14:textId="12066569" w:rsidR="00121171" w:rsidRDefault="008C04A4" w:rsidP="00121171">
            <w:pPr>
              <w:pStyle w:val="TableText1"/>
              <w:jc w:val="left"/>
              <w:rPr>
                <w:sz w:val="20"/>
                <w:szCs w:val="28"/>
              </w:rPr>
            </w:pPr>
            <w:r w:rsidRPr="00AD3D5E">
              <w:rPr>
                <w:sz w:val="20"/>
                <w:szCs w:val="28"/>
              </w:rPr>
              <w:t xml:space="preserve">Implemented policy of </w:t>
            </w:r>
            <w:r w:rsidR="003975F2" w:rsidRPr="003975F2">
              <w:rPr>
                <w:i/>
                <w:sz w:val="20"/>
                <w:szCs w:val="28"/>
              </w:rPr>
              <w:t xml:space="preserve">HLA-B*15:02 </w:t>
            </w:r>
            <w:r w:rsidRPr="00AD3D5E">
              <w:rPr>
                <w:sz w:val="20"/>
                <w:szCs w:val="28"/>
              </w:rPr>
              <w:t>genotyping before prescribing CBZ</w:t>
            </w:r>
          </w:p>
          <w:p w14:paraId="400B9BFD" w14:textId="77777777" w:rsidR="00121171" w:rsidRDefault="00121171" w:rsidP="00121171">
            <w:pPr>
              <w:pStyle w:val="TableText1"/>
              <w:jc w:val="left"/>
              <w:rPr>
                <w:sz w:val="20"/>
                <w:szCs w:val="28"/>
              </w:rPr>
            </w:pPr>
          </w:p>
          <w:p w14:paraId="0C0FEA8B" w14:textId="682DC7A6" w:rsidR="008C04A4" w:rsidRPr="00121171" w:rsidRDefault="00121171" w:rsidP="422CAA86">
            <w:pPr>
              <w:pStyle w:val="2024TABLETEXT"/>
              <w:rPr>
                <w:rFonts w:eastAsia="Times New Roman" w:cs="Tahoma"/>
                <w:lang w:eastAsia="en-AU"/>
              </w:rPr>
            </w:pPr>
            <w:r w:rsidRPr="422CAA86">
              <w:rPr>
                <w:rFonts w:eastAsia="Times New Roman" w:cs="Tahoma"/>
                <w:lang w:eastAsia="en-AU"/>
              </w:rPr>
              <w:t xml:space="preserve">Practice was adherent to policy in 26.4% of patients, nonadherent in 19.0%, </w:t>
            </w:r>
            <w:r w:rsidRPr="422CAA86">
              <w:rPr>
                <w:rFonts w:eastAsia="Times New Roman"/>
              </w:rPr>
              <w:t>indeterminate in 54.6%</w:t>
            </w:r>
            <w:r w:rsidRPr="422CAA86">
              <w:t>.</w:t>
            </w:r>
            <w:r w:rsidR="000210C2" w:rsidRPr="422CAA86">
              <w:t>^</w:t>
            </w:r>
          </w:p>
        </w:tc>
        <w:tc>
          <w:tcPr>
            <w:tcW w:w="1490" w:type="dxa"/>
            <w:shd w:val="clear" w:color="auto" w:fill="auto"/>
            <w:vAlign w:val="center"/>
          </w:tcPr>
          <w:p w14:paraId="59A58447" w14:textId="3B3BC281" w:rsidR="008C04A4" w:rsidRPr="00AD3D5E" w:rsidRDefault="008C04A4" w:rsidP="00EF5CCC">
            <w:pPr>
              <w:pStyle w:val="TableText1"/>
              <w:jc w:val="left"/>
              <w:rPr>
                <w:sz w:val="20"/>
                <w:szCs w:val="28"/>
              </w:rPr>
            </w:pPr>
            <w:r w:rsidRPr="00AD3D5E">
              <w:rPr>
                <w:sz w:val="20"/>
                <w:szCs w:val="28"/>
              </w:rPr>
              <w:t xml:space="preserve">No policy of </w:t>
            </w:r>
            <w:r w:rsidR="003975F2" w:rsidRPr="003975F2">
              <w:rPr>
                <w:i/>
                <w:sz w:val="20"/>
                <w:szCs w:val="28"/>
              </w:rPr>
              <w:t xml:space="preserve">HLA-B*15:02 </w:t>
            </w:r>
            <w:r w:rsidRPr="00AD3D5E">
              <w:rPr>
                <w:sz w:val="20"/>
                <w:szCs w:val="28"/>
              </w:rPr>
              <w:t>genotyping before prescribing CBZ (pre-policy)</w:t>
            </w:r>
          </w:p>
        </w:tc>
        <w:tc>
          <w:tcPr>
            <w:tcW w:w="1086" w:type="dxa"/>
            <w:shd w:val="clear" w:color="auto" w:fill="auto"/>
            <w:vAlign w:val="center"/>
          </w:tcPr>
          <w:p w14:paraId="3DD070F5" w14:textId="77777777" w:rsidR="008C04A4" w:rsidRPr="00AD3D5E" w:rsidRDefault="008C04A4" w:rsidP="00A71A47">
            <w:pPr>
              <w:pStyle w:val="TableText1"/>
              <w:numPr>
                <w:ilvl w:val="0"/>
                <w:numId w:val="17"/>
              </w:numPr>
              <w:ind w:left="308" w:hanging="284"/>
              <w:jc w:val="left"/>
              <w:rPr>
                <w:sz w:val="20"/>
                <w:szCs w:val="28"/>
              </w:rPr>
            </w:pPr>
            <w:r w:rsidRPr="00AD3D5E">
              <w:rPr>
                <w:sz w:val="20"/>
                <w:szCs w:val="28"/>
              </w:rPr>
              <w:t>Change in management (CBZ and OXC use)</w:t>
            </w:r>
          </w:p>
          <w:p w14:paraId="008A46B1" w14:textId="77777777" w:rsidR="008C04A4" w:rsidRPr="00AD3D5E" w:rsidRDefault="008C04A4" w:rsidP="00A71A47">
            <w:pPr>
              <w:pStyle w:val="TableText1"/>
              <w:numPr>
                <w:ilvl w:val="0"/>
                <w:numId w:val="17"/>
              </w:numPr>
              <w:ind w:left="308" w:hanging="284"/>
              <w:jc w:val="left"/>
              <w:rPr>
                <w:sz w:val="20"/>
                <w:szCs w:val="28"/>
              </w:rPr>
            </w:pPr>
            <w:r w:rsidRPr="00AD3D5E">
              <w:rPr>
                <w:sz w:val="20"/>
                <w:szCs w:val="28"/>
              </w:rPr>
              <w:t>Incidence of SJS-TEN</w:t>
            </w:r>
          </w:p>
        </w:tc>
        <w:tc>
          <w:tcPr>
            <w:tcW w:w="1085" w:type="dxa"/>
          </w:tcPr>
          <w:p w14:paraId="34D45AFA" w14:textId="19B25FFF" w:rsidR="00121171" w:rsidRPr="00AD3D5E" w:rsidRDefault="005012F1" w:rsidP="003D3843">
            <w:pPr>
              <w:pStyle w:val="TableText1"/>
              <w:ind w:left="24"/>
              <w:jc w:val="left"/>
              <w:rPr>
                <w:sz w:val="20"/>
                <w:szCs w:val="28"/>
              </w:rPr>
            </w:pPr>
            <w:r>
              <w:t xml:space="preserve">Not used, as </w:t>
            </w:r>
            <w:r w:rsidRPr="00B74CAA">
              <w:t xml:space="preserve">this was for genotyping for </w:t>
            </w:r>
            <w:r w:rsidR="003975F2" w:rsidRPr="003975F2">
              <w:rPr>
                <w:i/>
              </w:rPr>
              <w:t xml:space="preserve">HLA-B*15:02 </w:t>
            </w:r>
            <w:r w:rsidRPr="00B74CAA">
              <w:t xml:space="preserve">alone </w:t>
            </w:r>
            <w:r>
              <w:t xml:space="preserve">and the study </w:t>
            </w:r>
            <w:r w:rsidRPr="00B74CAA">
              <w:t xml:space="preserve">focused on </w:t>
            </w:r>
            <w:r w:rsidR="00832F02">
              <w:t>the Hong Kong</w:t>
            </w:r>
            <w:r w:rsidR="00832F02" w:rsidRPr="00B74CAA">
              <w:t xml:space="preserve"> </w:t>
            </w:r>
            <w:r w:rsidRPr="00B74CAA">
              <w:t>population</w:t>
            </w:r>
            <w:r>
              <w:t>.</w:t>
            </w:r>
          </w:p>
        </w:tc>
      </w:tr>
    </w:tbl>
    <w:p w14:paraId="06DD31F2" w14:textId="0BF50A76" w:rsidR="008C04A4" w:rsidRDefault="00E730F9" w:rsidP="003D3843">
      <w:pPr>
        <w:pStyle w:val="Tablenotes"/>
        <w:spacing w:before="0" w:after="0"/>
      </w:pPr>
      <w:r>
        <w:rPr>
          <w:szCs w:val="18"/>
        </w:rPr>
        <w:t xml:space="preserve">Abbreviations: </w:t>
      </w:r>
      <w:r w:rsidR="008C04A4">
        <w:rPr>
          <w:szCs w:val="18"/>
        </w:rPr>
        <w:t>CBZ=</w:t>
      </w:r>
      <w:r w:rsidR="008C04A4" w:rsidRPr="00DC6530">
        <w:rPr>
          <w:szCs w:val="18"/>
        </w:rPr>
        <w:t>carbamazepine</w:t>
      </w:r>
      <w:r w:rsidR="008C04A4">
        <w:rPr>
          <w:szCs w:val="18"/>
        </w:rPr>
        <w:t>; OXC=</w:t>
      </w:r>
      <w:r w:rsidR="008C04A4" w:rsidRPr="00DC6530">
        <w:rPr>
          <w:szCs w:val="18"/>
        </w:rPr>
        <w:t>oxcarbazepine</w:t>
      </w:r>
      <w:r w:rsidR="008C04A4">
        <w:rPr>
          <w:szCs w:val="18"/>
        </w:rPr>
        <w:t xml:space="preserve">; </w:t>
      </w:r>
      <w:r w:rsidR="008C04A4" w:rsidRPr="00697F27">
        <w:t xml:space="preserve">SCAR=severe cutaneous allergic reactions; </w:t>
      </w:r>
      <w:r w:rsidR="008C04A4">
        <w:t>SJS-TEN=</w:t>
      </w:r>
      <w:r w:rsidR="008C04A4" w:rsidRPr="00B81E0B">
        <w:t>Stevens-Johnson syndrome</w:t>
      </w:r>
      <w:r w:rsidR="008C04A4">
        <w:t>/T</w:t>
      </w:r>
      <w:r w:rsidR="008C04A4" w:rsidRPr="00B81E0B">
        <w:t>oxic epidermal necrolysis</w:t>
      </w:r>
    </w:p>
    <w:p w14:paraId="3152105D" w14:textId="7436D552" w:rsidR="007E518D" w:rsidRDefault="008C04A4" w:rsidP="003D3843">
      <w:pPr>
        <w:pStyle w:val="Tablenotes"/>
        <w:spacing w:after="0"/>
      </w:pPr>
      <w:r w:rsidRPr="422CAA86">
        <w:t xml:space="preserve">*The same patient could appear in different quarters, because they may have many episodes of epilepsy or neuralgia over time. </w:t>
      </w:r>
      <w:bookmarkEnd w:id="18"/>
    </w:p>
    <w:p w14:paraId="7B84FEF4" w14:textId="480A06EA" w:rsidR="000210C2" w:rsidRDefault="000210C2" w:rsidP="000210C2">
      <w:pPr>
        <w:pStyle w:val="TableFigureFooter"/>
      </w:pPr>
      <w:r w:rsidRPr="422CAA86">
        <w:t>^“Adherent” practice was defined as CBZ commencement within 6 months of a negative test or commencement of a non-CBZ AED within</w:t>
      </w:r>
    </w:p>
    <w:p w14:paraId="537CF30C" w14:textId="0FCE54B1" w:rsidR="000210C2" w:rsidRDefault="000210C2" w:rsidP="003D3843">
      <w:pPr>
        <w:pStyle w:val="TableFigureFooter"/>
      </w:pPr>
      <w:r w:rsidRPr="422CAA86">
        <w:t xml:space="preserve">6 months of a positive test. “Nonadherent” practice was defined as CBZ commencement without confirmation of </w:t>
      </w:r>
      <w:r w:rsidR="000611A1" w:rsidRPr="000611A1">
        <w:rPr>
          <w:i/>
        </w:rPr>
        <w:t>HLA-</w:t>
      </w:r>
      <w:r w:rsidRPr="422CAA86">
        <w:t xml:space="preserve">B*15:02-negative status, either when there was no testing completed or when CBZ was commenced before the test result was available. “Indeterminate” practice was any which could not definitively be classified as either adherent or nonadherent. </w:t>
      </w:r>
    </w:p>
    <w:p w14:paraId="3B9FC2AD" w14:textId="5484A58D" w:rsidR="00772829" w:rsidRPr="00CE28E3" w:rsidRDefault="00772829" w:rsidP="00A737D1">
      <w:pPr>
        <w:pStyle w:val="Heading2"/>
        <w:numPr>
          <w:ilvl w:val="0"/>
          <w:numId w:val="21"/>
        </w:numPr>
        <w:ind w:hanging="720"/>
      </w:pPr>
      <w:bookmarkStart w:id="19" w:name="_Toc184825875"/>
      <w:r w:rsidRPr="00CE28E3">
        <w:t>Comparative safety</w:t>
      </w:r>
      <w:bookmarkEnd w:id="19"/>
    </w:p>
    <w:p w14:paraId="0F3D7913" w14:textId="7E370A04" w:rsidR="00FD7409" w:rsidRPr="00B233F7" w:rsidRDefault="00FD7409" w:rsidP="422CAA86">
      <w:pPr>
        <w:rPr>
          <w:sz w:val="22"/>
          <w:szCs w:val="22"/>
        </w:rPr>
      </w:pPr>
      <w:r w:rsidRPr="422CAA86">
        <w:rPr>
          <w:sz w:val="22"/>
          <w:szCs w:val="22"/>
        </w:rPr>
        <w:t xml:space="preserve">There was no direct evidence for safety related to </w:t>
      </w:r>
      <w:r w:rsidR="003975F2" w:rsidRPr="003975F2">
        <w:rPr>
          <w:i/>
          <w:iCs/>
          <w:sz w:val="22"/>
          <w:szCs w:val="22"/>
        </w:rPr>
        <w:t xml:space="preserve">HLA-A*31:01 </w:t>
      </w:r>
      <w:r w:rsidRPr="422CAA86">
        <w:rPr>
          <w:sz w:val="22"/>
          <w:szCs w:val="22"/>
        </w:rPr>
        <w:t>and</w:t>
      </w:r>
      <w:r w:rsidRPr="422CAA86">
        <w:rPr>
          <w:i/>
          <w:iCs/>
          <w:sz w:val="22"/>
          <w:szCs w:val="22"/>
        </w:rPr>
        <w:t xml:space="preserve"> </w:t>
      </w:r>
      <w:r w:rsidR="003975F2" w:rsidRPr="003975F2">
        <w:rPr>
          <w:i/>
          <w:iCs/>
          <w:sz w:val="22"/>
          <w:szCs w:val="22"/>
        </w:rPr>
        <w:t xml:space="preserve">HLA-B*15:02 </w:t>
      </w:r>
      <w:r w:rsidRPr="422CAA86">
        <w:rPr>
          <w:sz w:val="22"/>
          <w:szCs w:val="22"/>
        </w:rPr>
        <w:t xml:space="preserve">genotyping. Adverse events of the test itself are expected to be minimal given that genotyping is minimally invasive, with samples using common DNA testing methods (via blood test, cheek swab). Psychological harms are unlikely given that </w:t>
      </w:r>
      <w:r w:rsidR="003975F2" w:rsidRPr="003975F2">
        <w:rPr>
          <w:i/>
          <w:iCs/>
          <w:sz w:val="22"/>
          <w:szCs w:val="22"/>
        </w:rPr>
        <w:t xml:space="preserve">HLA-A*31:01 </w:t>
      </w:r>
      <w:r w:rsidRPr="422CAA86">
        <w:rPr>
          <w:sz w:val="22"/>
          <w:szCs w:val="22"/>
        </w:rPr>
        <w:t>and</w:t>
      </w:r>
      <w:r w:rsidRPr="422CAA86">
        <w:rPr>
          <w:i/>
          <w:iCs/>
          <w:sz w:val="22"/>
          <w:szCs w:val="22"/>
        </w:rPr>
        <w:t xml:space="preserve"> </w:t>
      </w:r>
      <w:r w:rsidR="003975F2" w:rsidRPr="003975F2">
        <w:rPr>
          <w:i/>
          <w:iCs/>
          <w:sz w:val="22"/>
          <w:szCs w:val="22"/>
        </w:rPr>
        <w:t xml:space="preserve">HLA-B*15:02 </w:t>
      </w:r>
      <w:r w:rsidRPr="422CAA86">
        <w:rPr>
          <w:sz w:val="22"/>
          <w:szCs w:val="22"/>
        </w:rPr>
        <w:t xml:space="preserve">only have clinical relevance for predicting hypersensitivity in the use of specific drugs such as </w:t>
      </w:r>
      <w:r w:rsidR="00E55F3D" w:rsidRPr="422CAA86">
        <w:rPr>
          <w:sz w:val="22"/>
          <w:szCs w:val="22"/>
        </w:rPr>
        <w:t xml:space="preserve">CBZ </w:t>
      </w:r>
      <w:r w:rsidRPr="422CAA86">
        <w:rPr>
          <w:sz w:val="22"/>
          <w:szCs w:val="22"/>
        </w:rPr>
        <w:t xml:space="preserve">and </w:t>
      </w:r>
      <w:r w:rsidR="00E55F3D" w:rsidRPr="422CAA86">
        <w:rPr>
          <w:sz w:val="22"/>
          <w:szCs w:val="22"/>
        </w:rPr>
        <w:t>OXC</w:t>
      </w:r>
      <w:r w:rsidRPr="422CAA86">
        <w:rPr>
          <w:sz w:val="22"/>
          <w:szCs w:val="22"/>
        </w:rPr>
        <w:t>. Therefore,</w:t>
      </w:r>
      <w:r w:rsidR="00404AB2" w:rsidRPr="422CAA86">
        <w:rPr>
          <w:sz w:val="22"/>
          <w:szCs w:val="22"/>
        </w:rPr>
        <w:t xml:space="preserve"> the test</w:t>
      </w:r>
      <w:r w:rsidRPr="422CAA86">
        <w:rPr>
          <w:sz w:val="22"/>
          <w:szCs w:val="22"/>
        </w:rPr>
        <w:t xml:space="preserve"> should not have </w:t>
      </w:r>
      <w:r w:rsidR="00B3491F" w:rsidRPr="422CAA86">
        <w:rPr>
          <w:sz w:val="22"/>
          <w:szCs w:val="22"/>
        </w:rPr>
        <w:t xml:space="preserve">implications </w:t>
      </w:r>
      <w:r w:rsidRPr="422CAA86">
        <w:rPr>
          <w:sz w:val="22"/>
          <w:szCs w:val="22"/>
        </w:rPr>
        <w:t>for other conditions or require cascade testing</w:t>
      </w:r>
      <w:r w:rsidR="00B3491F" w:rsidRPr="422CAA86">
        <w:rPr>
          <w:sz w:val="22"/>
          <w:szCs w:val="22"/>
        </w:rPr>
        <w:t>,</w:t>
      </w:r>
      <w:r w:rsidRPr="422CAA86">
        <w:rPr>
          <w:sz w:val="22"/>
          <w:szCs w:val="22"/>
        </w:rPr>
        <w:t xml:space="preserve"> unless family members are also indicated to start </w:t>
      </w:r>
      <w:r w:rsidR="00B3491F" w:rsidRPr="422CAA86">
        <w:rPr>
          <w:sz w:val="22"/>
          <w:szCs w:val="22"/>
        </w:rPr>
        <w:t xml:space="preserve">CBZ </w:t>
      </w:r>
      <w:r w:rsidRPr="422CAA86">
        <w:rPr>
          <w:sz w:val="22"/>
          <w:szCs w:val="22"/>
        </w:rPr>
        <w:t xml:space="preserve">or </w:t>
      </w:r>
      <w:r w:rsidR="00B3491F" w:rsidRPr="422CAA86">
        <w:rPr>
          <w:sz w:val="22"/>
          <w:szCs w:val="22"/>
        </w:rPr>
        <w:t>OXC</w:t>
      </w:r>
      <w:r w:rsidRPr="422CAA86">
        <w:rPr>
          <w:sz w:val="22"/>
          <w:szCs w:val="22"/>
        </w:rPr>
        <w:t>.</w:t>
      </w:r>
    </w:p>
    <w:p w14:paraId="2C386787" w14:textId="4D3AF5E4" w:rsidR="00280F04" w:rsidRPr="00B233F7" w:rsidRDefault="00FD7409" w:rsidP="422CAA86">
      <w:pPr>
        <w:rPr>
          <w:sz w:val="22"/>
          <w:szCs w:val="22"/>
        </w:rPr>
      </w:pPr>
      <w:r w:rsidRPr="422CAA86">
        <w:rPr>
          <w:sz w:val="22"/>
          <w:szCs w:val="22"/>
        </w:rPr>
        <w:t xml:space="preserve">Test turnaround time (TAT) of </w:t>
      </w:r>
      <w:r w:rsidR="003975F2" w:rsidRPr="003975F2">
        <w:rPr>
          <w:i/>
          <w:iCs/>
          <w:sz w:val="22"/>
          <w:szCs w:val="22"/>
        </w:rPr>
        <w:t xml:space="preserve">HLA-A*31:01 </w:t>
      </w:r>
      <w:r w:rsidRPr="422CAA86">
        <w:rPr>
          <w:sz w:val="22"/>
          <w:szCs w:val="22"/>
        </w:rPr>
        <w:t>and</w:t>
      </w:r>
      <w:r w:rsidRPr="422CAA86">
        <w:rPr>
          <w:i/>
          <w:iCs/>
          <w:sz w:val="22"/>
          <w:szCs w:val="22"/>
        </w:rPr>
        <w:t xml:space="preserve"> </w:t>
      </w:r>
      <w:r w:rsidR="003975F2" w:rsidRPr="003975F2">
        <w:rPr>
          <w:i/>
          <w:iCs/>
          <w:sz w:val="22"/>
          <w:szCs w:val="22"/>
        </w:rPr>
        <w:t xml:space="preserve">HLA-B*15:02 </w:t>
      </w:r>
      <w:r w:rsidRPr="422CAA86">
        <w:rPr>
          <w:sz w:val="22"/>
          <w:szCs w:val="22"/>
        </w:rPr>
        <w:t xml:space="preserve">genotyping is reported </w:t>
      </w:r>
      <w:r w:rsidR="00F06F13" w:rsidRPr="422CAA86">
        <w:rPr>
          <w:sz w:val="22"/>
          <w:szCs w:val="22"/>
        </w:rPr>
        <w:t xml:space="preserve">to be </w:t>
      </w:r>
      <w:r w:rsidRPr="422CAA86">
        <w:rPr>
          <w:sz w:val="22"/>
          <w:szCs w:val="22"/>
        </w:rPr>
        <w:t>approximately 5-7 days (per PICO). Testing must be conducted in a NATA accredited diagnostic laboratory in accordance with NPAAC guidelines. PASC noted in the PICO that drug hypersensitivity reactions are mostly delayed, occurring within 7-15 days of commencement of therapy. This would mean that there is a potentially safe therapeutic window where treatment is likely to be initiated prior to knowing genotyping outcomes in clinical practice. However, it is recommended that genotyping be conducted before, and not concurrently with treatment. The only condition in which delays to treatment may have important safety impacts is trigeminal neuralgia. Patients with this condition experience severe pain and require urgent commencement of therapy</w:t>
      </w:r>
      <w:r w:rsidR="000F36D8" w:rsidRPr="422CAA86">
        <w:rPr>
          <w:sz w:val="22"/>
          <w:szCs w:val="22"/>
        </w:rPr>
        <w:t xml:space="preserve">, and implementation of the intervention may </w:t>
      </w:r>
      <w:r w:rsidR="00F608C4" w:rsidRPr="422CAA86">
        <w:rPr>
          <w:sz w:val="22"/>
          <w:szCs w:val="22"/>
        </w:rPr>
        <w:t xml:space="preserve">have adverse impacts on safety due to </w:t>
      </w:r>
      <w:r w:rsidR="0067078B" w:rsidRPr="422CAA86">
        <w:rPr>
          <w:sz w:val="22"/>
          <w:szCs w:val="22"/>
        </w:rPr>
        <w:lastRenderedPageBreak/>
        <w:t xml:space="preserve">ongoing pain while </w:t>
      </w:r>
      <w:r w:rsidR="00F608C4" w:rsidRPr="422CAA86">
        <w:rPr>
          <w:sz w:val="22"/>
          <w:szCs w:val="22"/>
        </w:rPr>
        <w:t>waiting for genotyping results</w:t>
      </w:r>
      <w:r w:rsidRPr="422CAA86">
        <w:rPr>
          <w:sz w:val="22"/>
          <w:szCs w:val="22"/>
        </w:rPr>
        <w:t>. This is a relatively small population</w:t>
      </w:r>
      <w:r w:rsidR="00394563" w:rsidRPr="422CAA86">
        <w:rPr>
          <w:sz w:val="22"/>
          <w:szCs w:val="22"/>
        </w:rPr>
        <w:t>,</w:t>
      </w:r>
      <w:r w:rsidRPr="422CAA86">
        <w:rPr>
          <w:sz w:val="22"/>
          <w:szCs w:val="22"/>
        </w:rPr>
        <w:t xml:space="preserve"> </w:t>
      </w:r>
      <w:r w:rsidR="00CB2534" w:rsidRPr="422CAA86">
        <w:rPr>
          <w:sz w:val="22"/>
          <w:szCs w:val="22"/>
        </w:rPr>
        <w:t>compared to</w:t>
      </w:r>
      <w:r w:rsidR="001F10E4" w:rsidRPr="422CAA86">
        <w:rPr>
          <w:sz w:val="22"/>
          <w:szCs w:val="22"/>
        </w:rPr>
        <w:t xml:space="preserve"> the population sizes of</w:t>
      </w:r>
      <w:r w:rsidRPr="422CAA86">
        <w:rPr>
          <w:sz w:val="22"/>
          <w:szCs w:val="22"/>
        </w:rPr>
        <w:t xml:space="preserve"> the </w:t>
      </w:r>
      <w:r w:rsidR="001F10E4" w:rsidRPr="422CAA86">
        <w:rPr>
          <w:sz w:val="22"/>
          <w:szCs w:val="22"/>
        </w:rPr>
        <w:t xml:space="preserve">other </w:t>
      </w:r>
      <w:r w:rsidRPr="422CAA86">
        <w:rPr>
          <w:sz w:val="22"/>
          <w:szCs w:val="22"/>
        </w:rPr>
        <w:t>conditions indicated for the drugs of interest (estimated in the PICO as between 1</w:t>
      </w:r>
      <w:r w:rsidR="00631E84" w:rsidRPr="422CAA86">
        <w:rPr>
          <w:sz w:val="22"/>
          <w:szCs w:val="22"/>
        </w:rPr>
        <w:t>,</w:t>
      </w:r>
      <w:r w:rsidRPr="422CAA86">
        <w:rPr>
          <w:sz w:val="22"/>
          <w:szCs w:val="22"/>
        </w:rPr>
        <w:t>140 to 2</w:t>
      </w:r>
      <w:r w:rsidR="00631E84" w:rsidRPr="422CAA86">
        <w:rPr>
          <w:sz w:val="22"/>
          <w:szCs w:val="22"/>
        </w:rPr>
        <w:t>,</w:t>
      </w:r>
      <w:r w:rsidRPr="422CAA86">
        <w:rPr>
          <w:sz w:val="22"/>
          <w:szCs w:val="22"/>
        </w:rPr>
        <w:t xml:space="preserve">120 incident trigeminal neuralgia cases per year, versus 16,000 cases of epilepsy). </w:t>
      </w:r>
    </w:p>
    <w:p w14:paraId="29131F0B" w14:textId="70AA679A" w:rsidR="000B0EDB" w:rsidRPr="00B233F7" w:rsidRDefault="000B0EDB" w:rsidP="422CAA86">
      <w:pPr>
        <w:rPr>
          <w:sz w:val="22"/>
          <w:szCs w:val="22"/>
        </w:rPr>
      </w:pPr>
      <w:r w:rsidRPr="422CAA86">
        <w:rPr>
          <w:sz w:val="22"/>
          <w:szCs w:val="22"/>
        </w:rPr>
        <w:t xml:space="preserve">False positive and false negative results are a potential risk of genotyping. </w:t>
      </w:r>
      <w:r w:rsidR="00874B14" w:rsidRPr="422CAA86">
        <w:rPr>
          <w:sz w:val="22"/>
          <w:szCs w:val="22"/>
        </w:rPr>
        <w:t xml:space="preserve"> The risk of both false positives and false negatives is expected to be negligible, as the test accuracy of genotyping methods in detecting the two variants has been well reported</w:t>
      </w:r>
      <w:r w:rsidR="008245E6">
        <w:rPr>
          <w:sz w:val="22"/>
          <w:szCs w:val="22"/>
        </w:rPr>
        <w:t>.</w:t>
      </w:r>
      <w:r w:rsidR="00874B14" w:rsidRPr="422CAA86">
        <w:rPr>
          <w:rStyle w:val="FootnoteReference"/>
          <w:sz w:val="22"/>
          <w:szCs w:val="22"/>
        </w:rPr>
        <w:footnoteReference w:id="4"/>
      </w:r>
      <w:r w:rsidR="00874B14" w:rsidRPr="422CAA86">
        <w:rPr>
          <w:sz w:val="22"/>
          <w:szCs w:val="22"/>
          <w:vertAlign w:val="superscript"/>
        </w:rPr>
        <w:t>,</w:t>
      </w:r>
      <w:r w:rsidR="00874B14" w:rsidRPr="422CAA86">
        <w:rPr>
          <w:rStyle w:val="FootnoteReference"/>
          <w:sz w:val="22"/>
          <w:szCs w:val="22"/>
        </w:rPr>
        <w:footnoteReference w:id="5"/>
      </w:r>
      <w:r w:rsidR="00874B14" w:rsidRPr="422CAA86">
        <w:rPr>
          <w:sz w:val="22"/>
          <w:szCs w:val="22"/>
        </w:rPr>
        <w:t xml:space="preserve"> </w:t>
      </w:r>
      <w:r w:rsidR="0068150E" w:rsidRPr="422CAA86">
        <w:rPr>
          <w:sz w:val="22"/>
          <w:szCs w:val="22"/>
        </w:rPr>
        <w:t xml:space="preserve">However management in practice may result in a patient being unnecessarily changed to an alternative, possibly less effective, therapy even though they </w:t>
      </w:r>
      <w:r w:rsidR="00E96E52" w:rsidRPr="422CAA86">
        <w:rPr>
          <w:sz w:val="22"/>
          <w:szCs w:val="22"/>
        </w:rPr>
        <w:t>may</w:t>
      </w:r>
      <w:r w:rsidR="0068150E" w:rsidRPr="422CAA86">
        <w:rPr>
          <w:sz w:val="22"/>
          <w:szCs w:val="22"/>
        </w:rPr>
        <w:t xml:space="preserve"> not have suffered a drug hypersensitivity reaction despite a positive genotype result or a patient not receiving an alternative treatment experiencing CBZ or OXC-related hypersensitivity despite a negative genotype result. This is because although the probability of false positives and false negatives of the test result are low, not all </w:t>
      </w:r>
      <w:r w:rsidR="00694D47" w:rsidRPr="422CAA86">
        <w:rPr>
          <w:sz w:val="22"/>
          <w:szCs w:val="22"/>
        </w:rPr>
        <w:t xml:space="preserve">patients with </w:t>
      </w:r>
      <w:r w:rsidR="0068150E" w:rsidRPr="422CAA86">
        <w:rPr>
          <w:sz w:val="22"/>
          <w:szCs w:val="22"/>
        </w:rPr>
        <w:t xml:space="preserve">true positive </w:t>
      </w:r>
      <w:r w:rsidR="00694D47" w:rsidRPr="422CAA86">
        <w:rPr>
          <w:sz w:val="22"/>
          <w:szCs w:val="22"/>
        </w:rPr>
        <w:t>results</w:t>
      </w:r>
      <w:r w:rsidR="0068150E" w:rsidRPr="422CAA86">
        <w:rPr>
          <w:sz w:val="22"/>
          <w:szCs w:val="22"/>
        </w:rPr>
        <w:t xml:space="preserve"> will develop CBZ or OXC-related hypersensitivity. Likewise, a true negative result does not </w:t>
      </w:r>
      <w:r w:rsidR="00ED2E7F" w:rsidRPr="422CAA86">
        <w:rPr>
          <w:sz w:val="22"/>
          <w:szCs w:val="22"/>
        </w:rPr>
        <w:t>always</w:t>
      </w:r>
      <w:r w:rsidR="0068150E" w:rsidRPr="422CAA86">
        <w:rPr>
          <w:sz w:val="22"/>
          <w:szCs w:val="22"/>
        </w:rPr>
        <w:t xml:space="preserve"> mean the patient will not develop CBZ or OXC-related hypersensitivity. </w:t>
      </w:r>
    </w:p>
    <w:p w14:paraId="445A856D" w14:textId="5085DA87" w:rsidR="00FD7409" w:rsidRPr="00B233F7" w:rsidRDefault="00B17AAD" w:rsidP="422CAA86">
      <w:pPr>
        <w:rPr>
          <w:sz w:val="22"/>
          <w:szCs w:val="22"/>
        </w:rPr>
      </w:pPr>
      <w:r w:rsidRPr="422CAA86">
        <w:rPr>
          <w:sz w:val="22"/>
          <w:szCs w:val="22"/>
        </w:rPr>
        <w:t>Also o</w:t>
      </w:r>
      <w:r w:rsidR="00FD7409" w:rsidRPr="422CAA86">
        <w:rPr>
          <w:sz w:val="22"/>
          <w:szCs w:val="22"/>
        </w:rPr>
        <w:t>f note, in Chen et al.</w:t>
      </w:r>
      <w:r w:rsidR="00AA6488" w:rsidRPr="422CAA86">
        <w:rPr>
          <w:sz w:val="22"/>
          <w:szCs w:val="22"/>
        </w:rPr>
        <w:t xml:space="preserve"> </w:t>
      </w:r>
      <w:r w:rsidR="00FD7409" w:rsidRPr="422CAA86">
        <w:rPr>
          <w:sz w:val="22"/>
          <w:szCs w:val="22"/>
        </w:rPr>
        <w:t>2014</w:t>
      </w:r>
      <w:r w:rsidR="00AA6488" w:rsidRPr="422CAA86">
        <w:rPr>
          <w:sz w:val="22"/>
          <w:szCs w:val="22"/>
        </w:rPr>
        <w:t xml:space="preserve">’s </w:t>
      </w:r>
      <w:r w:rsidR="00FD7409" w:rsidRPr="422CAA86">
        <w:rPr>
          <w:sz w:val="22"/>
          <w:szCs w:val="22"/>
        </w:rPr>
        <w:t xml:space="preserve">longitudinal analysis of a screening policy, adherence to screening and management protocols was low (nonadherent in 19.0%, and indeterminate in 54.6%). This included around 40% of patients being commenced on a non-CBZ </w:t>
      </w:r>
      <w:r w:rsidR="000F76B3" w:rsidRPr="422CAA86">
        <w:rPr>
          <w:sz w:val="22"/>
          <w:szCs w:val="22"/>
        </w:rPr>
        <w:t xml:space="preserve">therapy </w:t>
      </w:r>
      <w:r w:rsidR="00FD7409" w:rsidRPr="422CAA86">
        <w:rPr>
          <w:sz w:val="22"/>
          <w:szCs w:val="22"/>
        </w:rPr>
        <w:t xml:space="preserve">before the test result became available, which points to clinicians’ </w:t>
      </w:r>
      <w:r w:rsidR="007E44E1" w:rsidRPr="422CAA86">
        <w:rPr>
          <w:sz w:val="22"/>
          <w:szCs w:val="22"/>
        </w:rPr>
        <w:t xml:space="preserve">real-world </w:t>
      </w:r>
      <w:r w:rsidR="00FD7409" w:rsidRPr="422CAA86">
        <w:rPr>
          <w:sz w:val="22"/>
          <w:szCs w:val="22"/>
        </w:rPr>
        <w:t>management pathway</w:t>
      </w:r>
      <w:r w:rsidR="009464EA" w:rsidRPr="422CAA86">
        <w:rPr>
          <w:sz w:val="22"/>
          <w:szCs w:val="22"/>
        </w:rPr>
        <w:t xml:space="preserve"> whereby genotyping policy may influence clinician’s prescribing decisions in unintended ways, and health outcomes may partially be due to </w:t>
      </w:r>
      <w:r w:rsidR="00DC30D7" w:rsidRPr="422CAA86">
        <w:rPr>
          <w:sz w:val="22"/>
          <w:szCs w:val="22"/>
        </w:rPr>
        <w:t xml:space="preserve">pre-emptive </w:t>
      </w:r>
      <w:r w:rsidR="10E37E60" w:rsidRPr="422CAA86">
        <w:rPr>
          <w:sz w:val="22"/>
          <w:szCs w:val="22"/>
        </w:rPr>
        <w:t xml:space="preserve">behaviour modification </w:t>
      </w:r>
      <w:r w:rsidR="009464EA" w:rsidRPr="422CAA86">
        <w:rPr>
          <w:sz w:val="22"/>
          <w:szCs w:val="22"/>
        </w:rPr>
        <w:t>rather than</w:t>
      </w:r>
      <w:r w:rsidR="00DC30D7" w:rsidRPr="422CAA86">
        <w:rPr>
          <w:sz w:val="22"/>
          <w:szCs w:val="22"/>
        </w:rPr>
        <w:t xml:space="preserve"> response to</w:t>
      </w:r>
      <w:r w:rsidR="009464EA" w:rsidRPr="422CAA86">
        <w:rPr>
          <w:sz w:val="22"/>
          <w:szCs w:val="22"/>
        </w:rPr>
        <w:t xml:space="preserve"> testing</w:t>
      </w:r>
      <w:r w:rsidR="00DC30D7" w:rsidRPr="422CAA86">
        <w:rPr>
          <w:sz w:val="22"/>
          <w:szCs w:val="22"/>
        </w:rPr>
        <w:t xml:space="preserve"> results</w:t>
      </w:r>
      <w:r w:rsidR="009464EA" w:rsidRPr="422CAA86">
        <w:rPr>
          <w:sz w:val="22"/>
          <w:szCs w:val="22"/>
        </w:rPr>
        <w:t>. Waiting for test results as indicated may not always occur, which may mean that patients, in practice, are unnecessarily changed to an alternative therapy in anticipation of test results.</w:t>
      </w:r>
    </w:p>
    <w:p w14:paraId="3717AA01" w14:textId="09F944CC" w:rsidR="00772829" w:rsidRPr="00CE28E3" w:rsidRDefault="00772829" w:rsidP="00A737D1">
      <w:pPr>
        <w:pStyle w:val="Heading2"/>
        <w:numPr>
          <w:ilvl w:val="0"/>
          <w:numId w:val="21"/>
        </w:numPr>
        <w:ind w:hanging="720"/>
      </w:pPr>
      <w:bookmarkStart w:id="20" w:name="_Toc184825876"/>
      <w:r w:rsidRPr="00CE28E3">
        <w:t>Comparative effectiveness</w:t>
      </w:r>
      <w:bookmarkEnd w:id="20"/>
    </w:p>
    <w:p w14:paraId="6B588193" w14:textId="77777777" w:rsidR="00E115CA" w:rsidRPr="005D514C" w:rsidRDefault="00E115CA" w:rsidP="002C0A7C">
      <w:pPr>
        <w:pStyle w:val="Heading4"/>
      </w:pPr>
      <w:r w:rsidRPr="005D514C">
        <w:t>Direct evidence</w:t>
      </w:r>
    </w:p>
    <w:p w14:paraId="51296260" w14:textId="3BF7544D" w:rsidR="005D3B9C" w:rsidRPr="00B233F7" w:rsidRDefault="000B0A39" w:rsidP="422CAA86">
      <w:pPr>
        <w:rPr>
          <w:sz w:val="22"/>
          <w:szCs w:val="22"/>
        </w:rPr>
      </w:pPr>
      <w:r w:rsidRPr="422CAA86">
        <w:rPr>
          <w:sz w:val="22"/>
          <w:szCs w:val="22"/>
        </w:rPr>
        <w:t xml:space="preserve">Two studies in Taiwan and Hong Kong examined the impact of </w:t>
      </w:r>
      <w:r w:rsidR="00D81680" w:rsidRPr="422CAA86">
        <w:rPr>
          <w:sz w:val="22"/>
          <w:szCs w:val="22"/>
        </w:rPr>
        <w:t xml:space="preserve">policy or reimbursement of </w:t>
      </w:r>
      <w:r w:rsidR="003975F2" w:rsidRPr="003975F2">
        <w:rPr>
          <w:i/>
          <w:iCs/>
          <w:sz w:val="22"/>
          <w:szCs w:val="22"/>
        </w:rPr>
        <w:t xml:space="preserve">HLA-B*15:02 </w:t>
      </w:r>
      <w:r w:rsidR="00D81680" w:rsidRPr="422CAA86">
        <w:rPr>
          <w:sz w:val="22"/>
          <w:szCs w:val="22"/>
        </w:rPr>
        <w:t xml:space="preserve">genotyping </w:t>
      </w:r>
      <w:r w:rsidR="00243C46" w:rsidRPr="422CAA86">
        <w:rPr>
          <w:sz w:val="22"/>
          <w:szCs w:val="22"/>
        </w:rPr>
        <w:t>prior to CBZ</w:t>
      </w:r>
      <w:r w:rsidR="005A333B" w:rsidRPr="422CAA86">
        <w:rPr>
          <w:sz w:val="22"/>
          <w:szCs w:val="22"/>
        </w:rPr>
        <w:t>/other antiepileptic drug (AED)</w:t>
      </w:r>
      <w:r w:rsidR="00243C46" w:rsidRPr="422CAA86">
        <w:rPr>
          <w:sz w:val="22"/>
          <w:szCs w:val="22"/>
        </w:rPr>
        <w:t xml:space="preserve"> </w:t>
      </w:r>
      <w:r w:rsidR="005A333B" w:rsidRPr="422CAA86">
        <w:rPr>
          <w:sz w:val="22"/>
          <w:szCs w:val="22"/>
        </w:rPr>
        <w:t>therapy</w:t>
      </w:r>
      <w:r w:rsidR="00243C46" w:rsidRPr="422CAA86">
        <w:rPr>
          <w:sz w:val="22"/>
          <w:szCs w:val="22"/>
        </w:rPr>
        <w:t xml:space="preserve"> </w:t>
      </w:r>
      <w:r w:rsidRPr="422CAA86">
        <w:rPr>
          <w:sz w:val="22"/>
          <w:szCs w:val="22"/>
        </w:rPr>
        <w:t>using longitudinal clinical data pre- and post-introduction</w:t>
      </w:r>
      <w:bookmarkStart w:id="21" w:name="_Ref181732529"/>
      <w:r w:rsidR="00845868" w:rsidRPr="422CAA86">
        <w:rPr>
          <w:sz w:val="22"/>
          <w:szCs w:val="22"/>
        </w:rPr>
        <w:t xml:space="preserve"> of policy/reimbursement</w:t>
      </w:r>
      <w:bookmarkEnd w:id="21"/>
      <w:r w:rsidRPr="422CAA86">
        <w:rPr>
          <w:sz w:val="22"/>
          <w:szCs w:val="22"/>
        </w:rPr>
        <w:t>.</w:t>
      </w:r>
      <w:r w:rsidR="00615346" w:rsidRPr="422CAA86">
        <w:rPr>
          <w:rStyle w:val="FootnoteReference"/>
          <w:sz w:val="22"/>
          <w:szCs w:val="22"/>
          <w:lang w:eastAsia="en-GB"/>
        </w:rPr>
        <w:footnoteReference w:id="6"/>
      </w:r>
      <w:r w:rsidR="00615346" w:rsidRPr="422CAA86">
        <w:rPr>
          <w:sz w:val="22"/>
          <w:szCs w:val="22"/>
          <w:vertAlign w:val="superscript"/>
        </w:rPr>
        <w:t>,</w:t>
      </w:r>
      <w:r w:rsidR="00615346" w:rsidRPr="422CAA86">
        <w:rPr>
          <w:rStyle w:val="FootnoteReference"/>
          <w:sz w:val="22"/>
          <w:szCs w:val="22"/>
          <w:lang w:eastAsia="en-GB"/>
        </w:rPr>
        <w:footnoteReference w:id="7"/>
      </w:r>
      <w:r w:rsidRPr="422CAA86">
        <w:rPr>
          <w:sz w:val="22"/>
          <w:szCs w:val="22"/>
        </w:rPr>
        <w:t xml:space="preserve"> </w:t>
      </w:r>
      <w:r w:rsidR="005D3B9C" w:rsidRPr="422CAA86">
        <w:rPr>
          <w:sz w:val="22"/>
          <w:szCs w:val="22"/>
        </w:rPr>
        <w:t>R</w:t>
      </w:r>
      <w:r w:rsidR="002F7344" w:rsidRPr="422CAA86">
        <w:rPr>
          <w:sz w:val="22"/>
          <w:szCs w:val="22"/>
        </w:rPr>
        <w:t xml:space="preserve">esults, interpretation, key uncertainties and GRADE assessments are presented in </w:t>
      </w:r>
      <w:r w:rsidR="003A3B36" w:rsidRPr="422CAA86">
        <w:rPr>
          <w:sz w:val="22"/>
          <w:szCs w:val="22"/>
        </w:rPr>
        <w:t>a Summary of Findings table (</w:t>
      </w:r>
      <w:r w:rsidR="00B45D9D">
        <w:rPr>
          <w:sz w:val="22"/>
          <w:szCs w:val="22"/>
        </w:rPr>
        <w:t>Table 4</w:t>
      </w:r>
      <w:r w:rsidR="003A3B36" w:rsidRPr="422CAA86">
        <w:rPr>
          <w:sz w:val="22"/>
          <w:szCs w:val="22"/>
        </w:rPr>
        <w:t>)</w:t>
      </w:r>
      <w:r w:rsidR="005D3B9C" w:rsidRPr="422CAA86">
        <w:rPr>
          <w:sz w:val="22"/>
          <w:szCs w:val="22"/>
        </w:rPr>
        <w:t xml:space="preserve">. </w:t>
      </w:r>
    </w:p>
    <w:p w14:paraId="7F97E1A4" w14:textId="749B18A9" w:rsidR="0009759F" w:rsidRPr="00B233F7" w:rsidRDefault="0009759F" w:rsidP="422CAA86">
      <w:pPr>
        <w:rPr>
          <w:color w:val="000000" w:themeColor="text1"/>
          <w:sz w:val="22"/>
          <w:szCs w:val="22"/>
        </w:rPr>
      </w:pPr>
      <w:r w:rsidRPr="422CAA86">
        <w:rPr>
          <w:sz w:val="22"/>
          <w:szCs w:val="22"/>
        </w:rPr>
        <w:t>Both Chen et al. 2014 and Chang et al.</w:t>
      </w:r>
      <w:r w:rsidR="00670347" w:rsidRPr="422CAA86">
        <w:rPr>
          <w:sz w:val="22"/>
          <w:szCs w:val="22"/>
        </w:rPr>
        <w:t xml:space="preserve"> </w:t>
      </w:r>
      <w:r w:rsidRPr="422CAA86">
        <w:rPr>
          <w:sz w:val="22"/>
          <w:szCs w:val="22"/>
        </w:rPr>
        <w:t xml:space="preserve">2023’s results showed a significant relationship between </w:t>
      </w:r>
      <w:r w:rsidR="00243C46" w:rsidRPr="422CAA86">
        <w:rPr>
          <w:sz w:val="22"/>
          <w:szCs w:val="22"/>
        </w:rPr>
        <w:t xml:space="preserve">implementation of </w:t>
      </w:r>
      <w:r w:rsidRPr="422CAA86">
        <w:rPr>
          <w:sz w:val="22"/>
          <w:szCs w:val="22"/>
        </w:rPr>
        <w:t xml:space="preserve">policy for </w:t>
      </w:r>
      <w:r w:rsidR="003975F2" w:rsidRPr="003975F2">
        <w:rPr>
          <w:i/>
          <w:iCs/>
          <w:sz w:val="22"/>
          <w:szCs w:val="22"/>
        </w:rPr>
        <w:t xml:space="preserve">HLA-B*15:02 </w:t>
      </w:r>
      <w:r w:rsidRPr="422CAA86">
        <w:rPr>
          <w:sz w:val="22"/>
          <w:szCs w:val="22"/>
        </w:rPr>
        <w:t xml:space="preserve">genotyping prior to prescribing CBZ or other AEDs, and improved prescription practices and subsequent CBZ-related health outcomes. </w:t>
      </w:r>
    </w:p>
    <w:p w14:paraId="1F11CD61" w14:textId="3AC75F97" w:rsidR="00565B15" w:rsidRPr="00B233F7" w:rsidRDefault="00565B15" w:rsidP="422CAA86">
      <w:pPr>
        <w:rPr>
          <w:sz w:val="22"/>
          <w:szCs w:val="22"/>
        </w:rPr>
      </w:pPr>
      <w:r w:rsidRPr="422CAA86">
        <w:rPr>
          <w:sz w:val="22"/>
          <w:szCs w:val="22"/>
        </w:rPr>
        <w:t>A key strength of these studies is that they provide population-wide, longitudinal evidence of real-world use, prescription and subsequent health outcomes. However, there are some key issues with the study design, analysis and applicability to the Australian context:</w:t>
      </w:r>
    </w:p>
    <w:p w14:paraId="0900D6E9" w14:textId="0EFA04DB" w:rsidR="00565B15" w:rsidRPr="00B233F7" w:rsidRDefault="00565B15" w:rsidP="006E02A8">
      <w:pPr>
        <w:pStyle w:val="ListParagraph"/>
        <w:numPr>
          <w:ilvl w:val="6"/>
          <w:numId w:val="1"/>
        </w:numPr>
        <w:ind w:left="567"/>
        <w:rPr>
          <w:sz w:val="22"/>
          <w:szCs w:val="22"/>
        </w:rPr>
      </w:pPr>
      <w:r w:rsidRPr="00B233F7">
        <w:rPr>
          <w:sz w:val="22"/>
          <w:szCs w:val="22"/>
        </w:rPr>
        <w:t xml:space="preserve">These studies only include </w:t>
      </w:r>
      <w:r w:rsidR="003975F2" w:rsidRPr="003975F2">
        <w:rPr>
          <w:i/>
          <w:sz w:val="22"/>
          <w:szCs w:val="22"/>
        </w:rPr>
        <w:t xml:space="preserve">HLA-B*15:02 </w:t>
      </w:r>
      <w:r w:rsidRPr="00B233F7">
        <w:rPr>
          <w:sz w:val="22"/>
          <w:szCs w:val="22"/>
        </w:rPr>
        <w:t xml:space="preserve">genotyping policies in East Asian countries. </w:t>
      </w:r>
      <w:r w:rsidR="003975F2" w:rsidRPr="003975F2">
        <w:rPr>
          <w:i/>
          <w:sz w:val="22"/>
          <w:szCs w:val="22"/>
        </w:rPr>
        <w:t xml:space="preserve">HLA-B*15:02 </w:t>
      </w:r>
      <w:r w:rsidRPr="00B233F7">
        <w:rPr>
          <w:sz w:val="22"/>
          <w:szCs w:val="22"/>
        </w:rPr>
        <w:t xml:space="preserve">has </w:t>
      </w:r>
      <w:r w:rsidR="0046083D" w:rsidRPr="00B233F7">
        <w:rPr>
          <w:sz w:val="22"/>
          <w:szCs w:val="22"/>
        </w:rPr>
        <w:t xml:space="preserve">a </w:t>
      </w:r>
      <w:r w:rsidRPr="00B233F7">
        <w:rPr>
          <w:sz w:val="22"/>
          <w:szCs w:val="22"/>
        </w:rPr>
        <w:t>well-established significant association with both carrier frequencies and incidence of SCARs in East Asian populations (4.56% carrier rate versus 0.00</w:t>
      </w:r>
      <w:r w:rsidR="0046083D" w:rsidRPr="00B233F7">
        <w:rPr>
          <w:sz w:val="22"/>
          <w:szCs w:val="22"/>
        </w:rPr>
        <w:t>–</w:t>
      </w:r>
      <w:r w:rsidRPr="00B233F7">
        <w:rPr>
          <w:sz w:val="22"/>
          <w:szCs w:val="22"/>
        </w:rPr>
        <w:t xml:space="preserve">2.59% in </w:t>
      </w:r>
      <w:r w:rsidRPr="00B233F7">
        <w:rPr>
          <w:sz w:val="22"/>
          <w:szCs w:val="22"/>
        </w:rPr>
        <w:lastRenderedPageBreak/>
        <w:t>other biogeographical groups</w:t>
      </w:r>
      <w:r w:rsidRPr="00B233F7">
        <w:rPr>
          <w:rStyle w:val="FootnoteReference"/>
          <w:sz w:val="22"/>
          <w:szCs w:val="22"/>
        </w:rPr>
        <w:footnoteReference w:id="8"/>
      </w:r>
      <w:r w:rsidRPr="00B233F7">
        <w:rPr>
          <w:sz w:val="22"/>
          <w:szCs w:val="22"/>
        </w:rPr>
        <w:t xml:space="preserve">). The intervention under consideration in this DCAR is both </w:t>
      </w:r>
      <w:r w:rsidR="003975F2" w:rsidRPr="003975F2">
        <w:rPr>
          <w:i/>
          <w:sz w:val="22"/>
          <w:szCs w:val="22"/>
        </w:rPr>
        <w:t xml:space="preserve">HLA-A*31:01 </w:t>
      </w:r>
      <w:r w:rsidRPr="00B233F7">
        <w:rPr>
          <w:sz w:val="22"/>
          <w:szCs w:val="22"/>
        </w:rPr>
        <w:t xml:space="preserve">and </w:t>
      </w:r>
      <w:r w:rsidR="003975F2" w:rsidRPr="003975F2">
        <w:rPr>
          <w:i/>
          <w:sz w:val="22"/>
          <w:szCs w:val="22"/>
        </w:rPr>
        <w:t xml:space="preserve">HLA-B*15:02 </w:t>
      </w:r>
      <w:r w:rsidRPr="00B233F7">
        <w:rPr>
          <w:sz w:val="22"/>
          <w:szCs w:val="22"/>
        </w:rPr>
        <w:t xml:space="preserve">genotyping in an Australian population with a unique </w:t>
      </w:r>
      <w:r w:rsidR="0046083D" w:rsidRPr="00B233F7">
        <w:rPr>
          <w:sz w:val="22"/>
          <w:szCs w:val="22"/>
        </w:rPr>
        <w:t xml:space="preserve">ancestry </w:t>
      </w:r>
      <w:r w:rsidRPr="00B233F7">
        <w:rPr>
          <w:sz w:val="22"/>
          <w:szCs w:val="22"/>
        </w:rPr>
        <w:t xml:space="preserve">mix, which is markedly more complex. Without Australian-specific data and/or direct evidence for </w:t>
      </w:r>
      <w:r w:rsidR="003975F2" w:rsidRPr="003975F2">
        <w:rPr>
          <w:i/>
          <w:sz w:val="22"/>
          <w:szCs w:val="22"/>
        </w:rPr>
        <w:t xml:space="preserve">HLA-A*31:01 </w:t>
      </w:r>
      <w:r w:rsidRPr="00B233F7">
        <w:rPr>
          <w:sz w:val="22"/>
          <w:szCs w:val="22"/>
        </w:rPr>
        <w:t>genotyping, it is difficult to draw conclusions on the efficacy of the proposed intervention in Australia.</w:t>
      </w:r>
    </w:p>
    <w:p w14:paraId="004165DD" w14:textId="6615BEEF" w:rsidR="00565B15" w:rsidRPr="00B233F7" w:rsidRDefault="00565B15" w:rsidP="422CAA86">
      <w:pPr>
        <w:pStyle w:val="ListParagraph"/>
        <w:numPr>
          <w:ilvl w:val="6"/>
          <w:numId w:val="1"/>
        </w:numPr>
        <w:ind w:left="567"/>
        <w:rPr>
          <w:sz w:val="22"/>
          <w:szCs w:val="22"/>
        </w:rPr>
      </w:pPr>
      <w:r w:rsidRPr="422CAA86">
        <w:rPr>
          <w:sz w:val="22"/>
          <w:szCs w:val="22"/>
        </w:rPr>
        <w:t xml:space="preserve">For Chang et al. 2023, the number of episodes in each quarter included both new and existing CBZ users, and </w:t>
      </w:r>
      <w:r w:rsidR="00EF6250" w:rsidRPr="422CAA86">
        <w:rPr>
          <w:sz w:val="22"/>
          <w:szCs w:val="22"/>
        </w:rPr>
        <w:t>there was no sub-</w:t>
      </w:r>
      <w:r w:rsidR="00DD59C7" w:rsidRPr="422CAA86">
        <w:rPr>
          <w:sz w:val="22"/>
          <w:szCs w:val="22"/>
        </w:rPr>
        <w:t xml:space="preserve">group </w:t>
      </w:r>
      <w:r w:rsidR="00EF6250" w:rsidRPr="422CAA86">
        <w:rPr>
          <w:sz w:val="22"/>
          <w:szCs w:val="22"/>
        </w:rPr>
        <w:t xml:space="preserve">analysis done for whether an episode was new or recurrent. </w:t>
      </w:r>
      <w:r w:rsidRPr="422CAA86">
        <w:rPr>
          <w:sz w:val="22"/>
          <w:szCs w:val="22"/>
        </w:rPr>
        <w:t xml:space="preserve"> </w:t>
      </w:r>
      <w:r w:rsidR="002132E0" w:rsidRPr="422CAA86">
        <w:rPr>
          <w:sz w:val="22"/>
          <w:szCs w:val="22"/>
        </w:rPr>
        <w:t>“</w:t>
      </w:r>
      <w:r w:rsidR="00584CE2" w:rsidRPr="422CAA86">
        <w:rPr>
          <w:sz w:val="22"/>
          <w:szCs w:val="22"/>
        </w:rPr>
        <w:t>Episodes</w:t>
      </w:r>
      <w:r w:rsidR="002132E0" w:rsidRPr="422CAA86">
        <w:rPr>
          <w:sz w:val="22"/>
          <w:szCs w:val="22"/>
        </w:rPr>
        <w:t>”</w:t>
      </w:r>
      <w:r w:rsidR="00584CE2" w:rsidRPr="422CAA86">
        <w:rPr>
          <w:sz w:val="22"/>
          <w:szCs w:val="22"/>
        </w:rPr>
        <w:t xml:space="preserve"> are less likely </w:t>
      </w:r>
      <w:r w:rsidR="002132E0" w:rsidRPr="422CAA86">
        <w:rPr>
          <w:sz w:val="22"/>
          <w:szCs w:val="22"/>
        </w:rPr>
        <w:t xml:space="preserve">to occur </w:t>
      </w:r>
      <w:r w:rsidR="00584CE2" w:rsidRPr="422CAA86">
        <w:rPr>
          <w:sz w:val="22"/>
          <w:szCs w:val="22"/>
        </w:rPr>
        <w:t xml:space="preserve">in </w:t>
      </w:r>
      <w:r w:rsidR="00FF03F8" w:rsidRPr="422CAA86">
        <w:rPr>
          <w:sz w:val="22"/>
          <w:szCs w:val="22"/>
        </w:rPr>
        <w:t>the e</w:t>
      </w:r>
      <w:r w:rsidR="00584CE2" w:rsidRPr="422CAA86">
        <w:rPr>
          <w:sz w:val="22"/>
          <w:szCs w:val="22"/>
        </w:rPr>
        <w:t xml:space="preserve">xisting CBZ users as </w:t>
      </w:r>
      <w:r w:rsidR="002132E0" w:rsidRPr="422CAA86">
        <w:rPr>
          <w:sz w:val="22"/>
          <w:szCs w:val="22"/>
        </w:rPr>
        <w:t xml:space="preserve">users are </w:t>
      </w:r>
      <w:r w:rsidR="00244299" w:rsidRPr="422CAA86">
        <w:rPr>
          <w:sz w:val="22"/>
          <w:szCs w:val="22"/>
        </w:rPr>
        <w:t>switched to alternative treatment if hypersensitivity occurs</w:t>
      </w:r>
      <w:r w:rsidR="002132E0" w:rsidRPr="422CAA86">
        <w:rPr>
          <w:sz w:val="22"/>
          <w:szCs w:val="22"/>
        </w:rPr>
        <w:t xml:space="preserve">. </w:t>
      </w:r>
      <w:r w:rsidR="002B26BA" w:rsidRPr="422CAA86">
        <w:rPr>
          <w:sz w:val="22"/>
          <w:szCs w:val="22"/>
        </w:rPr>
        <w:t xml:space="preserve">Therefore, </w:t>
      </w:r>
      <w:r w:rsidR="00F126F5" w:rsidRPr="422CAA86">
        <w:rPr>
          <w:sz w:val="22"/>
          <w:szCs w:val="22"/>
        </w:rPr>
        <w:t>the reduction in</w:t>
      </w:r>
      <w:r w:rsidRPr="422CAA86">
        <w:rPr>
          <w:sz w:val="22"/>
          <w:szCs w:val="22"/>
        </w:rPr>
        <w:t xml:space="preserve"> incidence </w:t>
      </w:r>
      <w:r w:rsidR="00A47A7D" w:rsidRPr="422CAA86">
        <w:rPr>
          <w:sz w:val="22"/>
          <w:szCs w:val="22"/>
        </w:rPr>
        <w:t xml:space="preserve">rates </w:t>
      </w:r>
      <w:r w:rsidRPr="422CAA86">
        <w:rPr>
          <w:sz w:val="22"/>
          <w:szCs w:val="22"/>
        </w:rPr>
        <w:t xml:space="preserve">of SCARs and SJS-TEN </w:t>
      </w:r>
      <w:r w:rsidR="002132E0" w:rsidRPr="422CAA86">
        <w:rPr>
          <w:sz w:val="22"/>
          <w:szCs w:val="22"/>
        </w:rPr>
        <w:t xml:space="preserve">are </w:t>
      </w:r>
      <w:r w:rsidRPr="422CAA86">
        <w:rPr>
          <w:sz w:val="22"/>
          <w:szCs w:val="22"/>
        </w:rPr>
        <w:t>likely overestimated</w:t>
      </w:r>
      <w:r w:rsidR="00F126F5" w:rsidRPr="422CAA86">
        <w:rPr>
          <w:sz w:val="22"/>
          <w:szCs w:val="22"/>
        </w:rPr>
        <w:t xml:space="preserve">, as </w:t>
      </w:r>
      <w:r w:rsidR="00605F87" w:rsidRPr="422CAA86">
        <w:rPr>
          <w:sz w:val="22"/>
          <w:szCs w:val="22"/>
        </w:rPr>
        <w:t xml:space="preserve">later quarters included both new and </w:t>
      </w:r>
      <w:r w:rsidR="002132E0" w:rsidRPr="422CAA86">
        <w:rPr>
          <w:sz w:val="22"/>
          <w:szCs w:val="22"/>
        </w:rPr>
        <w:t>existing CBZ users</w:t>
      </w:r>
      <w:r w:rsidR="00CB3F90" w:rsidRPr="422CAA86">
        <w:rPr>
          <w:sz w:val="22"/>
          <w:szCs w:val="22"/>
        </w:rPr>
        <w:t xml:space="preserve">. </w:t>
      </w:r>
    </w:p>
    <w:p w14:paraId="0DB0ECD1" w14:textId="34ACB6EC" w:rsidR="00565B15" w:rsidRPr="00B233F7" w:rsidRDefault="00565B15" w:rsidP="422CAA86">
      <w:pPr>
        <w:pStyle w:val="ListParagraph"/>
        <w:numPr>
          <w:ilvl w:val="6"/>
          <w:numId w:val="1"/>
        </w:numPr>
        <w:ind w:left="567"/>
        <w:rPr>
          <w:sz w:val="22"/>
          <w:szCs w:val="22"/>
        </w:rPr>
      </w:pPr>
      <w:r w:rsidRPr="422CAA86">
        <w:rPr>
          <w:sz w:val="22"/>
          <w:szCs w:val="22"/>
        </w:rPr>
        <w:t xml:space="preserve">For </w:t>
      </w:r>
      <w:r w:rsidR="0080469C" w:rsidRPr="422CAA86">
        <w:rPr>
          <w:sz w:val="22"/>
          <w:szCs w:val="22"/>
        </w:rPr>
        <w:t>both studies</w:t>
      </w:r>
      <w:r w:rsidRPr="422CAA86">
        <w:rPr>
          <w:sz w:val="22"/>
          <w:szCs w:val="22"/>
        </w:rPr>
        <w:t xml:space="preserve">, </w:t>
      </w:r>
      <w:r w:rsidRPr="422CAA86">
        <w:rPr>
          <w:i/>
          <w:iCs/>
          <w:sz w:val="22"/>
          <w:szCs w:val="22"/>
        </w:rPr>
        <w:t>HLA</w:t>
      </w:r>
      <w:r w:rsidRPr="422CAA86">
        <w:rPr>
          <w:sz w:val="22"/>
          <w:szCs w:val="22"/>
        </w:rPr>
        <w:t xml:space="preserve"> testing rates or carrier status </w:t>
      </w:r>
      <w:r w:rsidR="0080469C" w:rsidRPr="422CAA86">
        <w:rPr>
          <w:sz w:val="22"/>
          <w:szCs w:val="22"/>
        </w:rPr>
        <w:t>were not reported in association with outcomes</w:t>
      </w:r>
      <w:r w:rsidRPr="422CAA86">
        <w:rPr>
          <w:sz w:val="22"/>
          <w:szCs w:val="22"/>
        </w:rPr>
        <w:t xml:space="preserve">. It </w:t>
      </w:r>
      <w:r w:rsidR="0080469C" w:rsidRPr="422CAA86">
        <w:rPr>
          <w:sz w:val="22"/>
          <w:szCs w:val="22"/>
        </w:rPr>
        <w:t>wa</w:t>
      </w:r>
      <w:r w:rsidRPr="422CAA86">
        <w:rPr>
          <w:sz w:val="22"/>
          <w:szCs w:val="22"/>
        </w:rPr>
        <w:t xml:space="preserve">s therefore </w:t>
      </w:r>
      <w:r w:rsidR="0080469C" w:rsidRPr="422CAA86">
        <w:rPr>
          <w:sz w:val="22"/>
          <w:szCs w:val="22"/>
        </w:rPr>
        <w:t>a key assumption</w:t>
      </w:r>
      <w:r w:rsidR="005E4EF6" w:rsidRPr="422CAA86">
        <w:rPr>
          <w:sz w:val="22"/>
          <w:szCs w:val="22"/>
        </w:rPr>
        <w:t xml:space="preserve"> </w:t>
      </w:r>
      <w:r w:rsidR="001B48B4" w:rsidRPr="422CAA86">
        <w:rPr>
          <w:sz w:val="22"/>
          <w:szCs w:val="22"/>
        </w:rPr>
        <w:t>of</w:t>
      </w:r>
      <w:r w:rsidR="005E4EF6" w:rsidRPr="422CAA86">
        <w:rPr>
          <w:sz w:val="22"/>
          <w:szCs w:val="22"/>
        </w:rPr>
        <w:t xml:space="preserve"> the studies</w:t>
      </w:r>
      <w:r w:rsidRPr="422CAA86">
        <w:rPr>
          <w:sz w:val="22"/>
          <w:szCs w:val="22"/>
        </w:rPr>
        <w:t xml:space="preserve"> that improved outcomes post-implementation of screening polic</w:t>
      </w:r>
      <w:r w:rsidR="0080469C" w:rsidRPr="422CAA86">
        <w:rPr>
          <w:sz w:val="22"/>
          <w:szCs w:val="22"/>
        </w:rPr>
        <w:t>ies</w:t>
      </w:r>
      <w:r w:rsidRPr="422CAA86">
        <w:rPr>
          <w:sz w:val="22"/>
          <w:szCs w:val="22"/>
        </w:rPr>
        <w:t xml:space="preserve"> </w:t>
      </w:r>
      <w:r w:rsidR="000722B6" w:rsidRPr="422CAA86">
        <w:rPr>
          <w:sz w:val="22"/>
          <w:szCs w:val="22"/>
        </w:rPr>
        <w:t>were</w:t>
      </w:r>
      <w:r w:rsidRPr="422CAA86">
        <w:rPr>
          <w:sz w:val="22"/>
          <w:szCs w:val="22"/>
        </w:rPr>
        <w:t xml:space="preserve"> a result of </w:t>
      </w:r>
      <w:r w:rsidR="00673F24" w:rsidRPr="422CAA86">
        <w:rPr>
          <w:sz w:val="22"/>
          <w:szCs w:val="22"/>
        </w:rPr>
        <w:t>use and adherence to</w:t>
      </w:r>
      <w:r w:rsidRPr="422CAA86">
        <w:rPr>
          <w:sz w:val="22"/>
          <w:szCs w:val="22"/>
        </w:rPr>
        <w:t xml:space="preserve"> </w:t>
      </w:r>
      <w:r w:rsidRPr="422CAA86">
        <w:rPr>
          <w:i/>
          <w:iCs/>
          <w:sz w:val="22"/>
          <w:szCs w:val="22"/>
        </w:rPr>
        <w:t>HLA</w:t>
      </w:r>
      <w:r w:rsidRPr="422CAA86">
        <w:rPr>
          <w:sz w:val="22"/>
          <w:szCs w:val="22"/>
        </w:rPr>
        <w:t xml:space="preserve"> testing </w:t>
      </w:r>
      <w:r w:rsidR="0084382B" w:rsidRPr="422CAA86">
        <w:rPr>
          <w:sz w:val="22"/>
          <w:szCs w:val="22"/>
        </w:rPr>
        <w:t>policies. H</w:t>
      </w:r>
      <w:r w:rsidRPr="422CAA86">
        <w:rPr>
          <w:sz w:val="22"/>
          <w:szCs w:val="22"/>
        </w:rPr>
        <w:t>owever</w:t>
      </w:r>
      <w:r w:rsidR="00673F24" w:rsidRPr="422CAA86">
        <w:rPr>
          <w:sz w:val="22"/>
          <w:szCs w:val="22"/>
        </w:rPr>
        <w:t xml:space="preserve">, </w:t>
      </w:r>
      <w:r w:rsidR="00255039" w:rsidRPr="422CAA86">
        <w:rPr>
          <w:sz w:val="22"/>
          <w:szCs w:val="22"/>
        </w:rPr>
        <w:t>in Chen et al. 2014, policy adherence was</w:t>
      </w:r>
      <w:r w:rsidR="00057D23" w:rsidRPr="422CAA86">
        <w:rPr>
          <w:sz w:val="22"/>
          <w:szCs w:val="22"/>
        </w:rPr>
        <w:t xml:space="preserve"> measured and was reportedly</w:t>
      </w:r>
      <w:r w:rsidR="00255039" w:rsidRPr="422CAA86">
        <w:rPr>
          <w:sz w:val="22"/>
          <w:szCs w:val="22"/>
        </w:rPr>
        <w:t xml:space="preserve"> low (26.4%)</w:t>
      </w:r>
      <w:r w:rsidR="00057D23" w:rsidRPr="422CAA86">
        <w:rPr>
          <w:sz w:val="22"/>
          <w:szCs w:val="22"/>
        </w:rPr>
        <w:t>.</w:t>
      </w:r>
      <w:r w:rsidR="001017F9" w:rsidRPr="422CAA86">
        <w:rPr>
          <w:sz w:val="22"/>
          <w:szCs w:val="22"/>
        </w:rPr>
        <w:t xml:space="preserve"> </w:t>
      </w:r>
      <w:r w:rsidR="00057D23" w:rsidRPr="422CAA86">
        <w:rPr>
          <w:sz w:val="22"/>
          <w:szCs w:val="22"/>
        </w:rPr>
        <w:t>Therefore,</w:t>
      </w:r>
      <w:r w:rsidR="001017F9" w:rsidRPr="422CAA86">
        <w:rPr>
          <w:sz w:val="22"/>
          <w:szCs w:val="22"/>
        </w:rPr>
        <w:t xml:space="preserve"> </w:t>
      </w:r>
      <w:r w:rsidR="00DC0999" w:rsidRPr="422CAA86">
        <w:rPr>
          <w:sz w:val="22"/>
          <w:szCs w:val="22"/>
        </w:rPr>
        <w:t>reductions in SCARs</w:t>
      </w:r>
      <w:r w:rsidR="001017F9" w:rsidRPr="422CAA86">
        <w:rPr>
          <w:sz w:val="22"/>
          <w:szCs w:val="22"/>
        </w:rPr>
        <w:t xml:space="preserve"> </w:t>
      </w:r>
      <w:r w:rsidR="00673F24" w:rsidRPr="422CAA86">
        <w:rPr>
          <w:sz w:val="22"/>
          <w:szCs w:val="22"/>
        </w:rPr>
        <w:t>were likely a result of unintended changes to prescription practices brought on by the policy (e.g., preferential</w:t>
      </w:r>
      <w:r w:rsidR="007935EF" w:rsidRPr="422CAA86">
        <w:rPr>
          <w:sz w:val="22"/>
          <w:szCs w:val="22"/>
        </w:rPr>
        <w:t xml:space="preserve"> prescription of drugs that do not require testing</w:t>
      </w:r>
      <w:r w:rsidR="00673F24" w:rsidRPr="422CAA86">
        <w:rPr>
          <w:sz w:val="22"/>
          <w:szCs w:val="22"/>
        </w:rPr>
        <w:t xml:space="preserve"> due to</w:t>
      </w:r>
      <w:r w:rsidR="00122A69" w:rsidRPr="422CAA86">
        <w:rPr>
          <w:sz w:val="22"/>
          <w:szCs w:val="22"/>
        </w:rPr>
        <w:t xml:space="preserve"> consideration of</w:t>
      </w:r>
      <w:r w:rsidR="00673F24" w:rsidRPr="422CAA86">
        <w:rPr>
          <w:sz w:val="22"/>
          <w:szCs w:val="22"/>
        </w:rPr>
        <w:t xml:space="preserve"> </w:t>
      </w:r>
      <w:r w:rsidR="00C0087B" w:rsidRPr="422CAA86">
        <w:rPr>
          <w:sz w:val="22"/>
          <w:szCs w:val="22"/>
        </w:rPr>
        <w:t xml:space="preserve">factors such as alternative therapy availability, convenience, </w:t>
      </w:r>
      <w:r w:rsidR="00122A69" w:rsidRPr="422CAA86">
        <w:rPr>
          <w:sz w:val="22"/>
          <w:szCs w:val="22"/>
        </w:rPr>
        <w:t xml:space="preserve">test turnaround time, and </w:t>
      </w:r>
      <w:r w:rsidR="00C0087B" w:rsidRPr="422CAA86">
        <w:rPr>
          <w:sz w:val="22"/>
          <w:szCs w:val="22"/>
        </w:rPr>
        <w:t>medico-legal issues</w:t>
      </w:r>
      <w:r w:rsidR="00122A69" w:rsidRPr="422CAA86">
        <w:rPr>
          <w:sz w:val="22"/>
          <w:szCs w:val="22"/>
        </w:rPr>
        <w:t>)</w:t>
      </w:r>
      <w:r w:rsidRPr="422CAA86">
        <w:rPr>
          <w:sz w:val="22"/>
          <w:szCs w:val="22"/>
        </w:rPr>
        <w:t>.</w:t>
      </w:r>
      <w:r w:rsidR="00057D23" w:rsidRPr="422CAA86">
        <w:rPr>
          <w:sz w:val="22"/>
          <w:szCs w:val="22"/>
        </w:rPr>
        <w:t xml:space="preserve"> This is a key consideration </w:t>
      </w:r>
      <w:r w:rsidR="003E3079" w:rsidRPr="422CAA86">
        <w:rPr>
          <w:sz w:val="22"/>
          <w:szCs w:val="22"/>
        </w:rPr>
        <w:t>for interpretation of direct evidence, and implementation of the intervention in practice</w:t>
      </w:r>
      <w:r w:rsidRPr="422CAA86">
        <w:rPr>
          <w:sz w:val="22"/>
          <w:szCs w:val="22"/>
        </w:rPr>
        <w:t>.</w:t>
      </w:r>
    </w:p>
    <w:p w14:paraId="48D17ADB" w14:textId="3F04F33A" w:rsidR="00280B78" w:rsidRDefault="00280B78" w:rsidP="00B233F7">
      <w:pPr>
        <w:pStyle w:val="Caption"/>
        <w:keepLines/>
        <w:rPr>
          <w:snapToGrid w:val="0"/>
        </w:rPr>
      </w:pPr>
      <w:bookmarkStart w:id="22" w:name="_Ref172123311"/>
      <w:r w:rsidRPr="00F57762">
        <w:rPr>
          <w:snapToGrid w:val="0"/>
        </w:rPr>
        <w:lastRenderedPageBreak/>
        <w:t>Tabl</w:t>
      </w:r>
      <w:r w:rsidR="00B45D9D">
        <w:rPr>
          <w:snapToGrid w:val="0"/>
        </w:rPr>
        <w:t xml:space="preserve">e 4 </w:t>
      </w:r>
      <w:bookmarkEnd w:id="22"/>
      <w:r w:rsidRPr="00F57762">
        <w:rPr>
          <w:snapToGrid w:val="0"/>
        </w:rPr>
        <w:tab/>
        <w:t>Summary of findings table</w:t>
      </w:r>
      <w:r>
        <w:rPr>
          <w:snapToGrid w:val="0"/>
        </w:rPr>
        <w:t xml:space="preserve"> – </w:t>
      </w:r>
      <w:r>
        <w:rPr>
          <w:color w:val="000000" w:themeColor="text1"/>
        </w:rPr>
        <w:t>d</w:t>
      </w:r>
      <w:r w:rsidRPr="00556B8D">
        <w:rPr>
          <w:color w:val="000000" w:themeColor="text1"/>
        </w:rPr>
        <w:t xml:space="preserve">irect </w:t>
      </w:r>
      <w:r w:rsidR="00B35117" w:rsidRPr="00556B8D">
        <w:rPr>
          <w:color w:val="000000" w:themeColor="text1"/>
        </w:rPr>
        <w:t xml:space="preserve">from test to health outcomes </w:t>
      </w:r>
      <w:r w:rsidRPr="00556B8D">
        <w:rPr>
          <w:color w:val="000000" w:themeColor="text1"/>
        </w:rPr>
        <w:t>evidence</w:t>
      </w:r>
    </w:p>
    <w:tbl>
      <w:tblPr>
        <w:tblStyle w:val="TableGrid"/>
        <w:tblW w:w="5107" w:type="pct"/>
        <w:tblCellMar>
          <w:top w:w="28" w:type="dxa"/>
          <w:left w:w="57" w:type="dxa"/>
          <w:bottom w:w="28" w:type="dxa"/>
          <w:right w:w="28" w:type="dxa"/>
        </w:tblCellMar>
        <w:tblLook w:val="04A0" w:firstRow="1" w:lastRow="0" w:firstColumn="1" w:lastColumn="0" w:noHBand="0" w:noVBand="1"/>
      </w:tblPr>
      <w:tblGrid>
        <w:gridCol w:w="1043"/>
        <w:gridCol w:w="1079"/>
        <w:gridCol w:w="4678"/>
        <w:gridCol w:w="2409"/>
      </w:tblGrid>
      <w:tr w:rsidR="00DE35D9" w:rsidRPr="00556B8D" w14:paraId="2A948169" w14:textId="77777777" w:rsidTr="422CAA86">
        <w:trPr>
          <w:trHeight w:val="45"/>
        </w:trPr>
        <w:tc>
          <w:tcPr>
            <w:tcW w:w="566" w:type="pct"/>
            <w:shd w:val="clear" w:color="auto" w:fill="D9D9D9" w:themeFill="background1" w:themeFillShade="D9"/>
            <w:vAlign w:val="center"/>
          </w:tcPr>
          <w:p w14:paraId="6F282591" w14:textId="5C5276AD" w:rsidR="00280B78" w:rsidRPr="00556B8D" w:rsidRDefault="00B35117" w:rsidP="00B233F7">
            <w:pPr>
              <w:pStyle w:val="2024TABLEHEADING"/>
              <w:keepLines/>
            </w:pPr>
            <w:r w:rsidRPr="00556B8D">
              <w:t>Outcome</w:t>
            </w:r>
          </w:p>
        </w:tc>
        <w:tc>
          <w:tcPr>
            <w:tcW w:w="586" w:type="pct"/>
            <w:shd w:val="clear" w:color="auto" w:fill="D9D9D9" w:themeFill="background1" w:themeFillShade="D9"/>
            <w:vAlign w:val="center"/>
          </w:tcPr>
          <w:p w14:paraId="72360D9B" w14:textId="77777777" w:rsidR="00280B78" w:rsidRPr="00556B8D" w:rsidRDefault="00280B78" w:rsidP="00B233F7">
            <w:pPr>
              <w:pStyle w:val="2024TABLEHEADING"/>
              <w:keepLines/>
            </w:pPr>
            <w:r w:rsidRPr="00556B8D">
              <w:t>Participants and studies</w:t>
            </w:r>
          </w:p>
        </w:tc>
        <w:tc>
          <w:tcPr>
            <w:tcW w:w="2540" w:type="pct"/>
            <w:shd w:val="clear" w:color="auto" w:fill="D9D9D9" w:themeFill="background1" w:themeFillShade="D9"/>
            <w:vAlign w:val="center"/>
          </w:tcPr>
          <w:p w14:paraId="1EB4DCBC" w14:textId="302A528A" w:rsidR="00280B78" w:rsidRPr="00556B8D" w:rsidRDefault="00280B78" w:rsidP="00B233F7">
            <w:pPr>
              <w:pStyle w:val="2024TABLEHEADING"/>
              <w:keepLines/>
            </w:pPr>
            <w:r w:rsidRPr="422CAA86">
              <w:t>Results, interpretation and key uncertainties</w:t>
            </w:r>
          </w:p>
        </w:tc>
        <w:tc>
          <w:tcPr>
            <w:tcW w:w="1308" w:type="pct"/>
            <w:shd w:val="clear" w:color="auto" w:fill="D9D9D9" w:themeFill="background1" w:themeFillShade="D9"/>
            <w:vAlign w:val="center"/>
          </w:tcPr>
          <w:p w14:paraId="658C5E1D" w14:textId="77777777" w:rsidR="00AE52BC" w:rsidRDefault="00AE52BC" w:rsidP="00B233F7">
            <w:pPr>
              <w:pStyle w:val="2024TABLEHEADING"/>
              <w:keepLines/>
            </w:pPr>
            <w:r w:rsidRPr="00556B8D">
              <w:t>Certainty of the evidence</w:t>
            </w:r>
            <w:r w:rsidRPr="00556B8D">
              <w:br/>
              <w:t>(GRADE)</w:t>
            </w:r>
          </w:p>
          <w:p w14:paraId="1B84E1A7" w14:textId="292625C4" w:rsidR="00280B78" w:rsidRPr="00556B8D" w:rsidRDefault="00280B78" w:rsidP="00B233F7">
            <w:pPr>
              <w:pStyle w:val="2024TABLEHEADING"/>
              <w:keepLines/>
            </w:pPr>
            <w:r w:rsidRPr="00556B8D">
              <w:t>Evidence statement</w:t>
            </w:r>
          </w:p>
        </w:tc>
      </w:tr>
      <w:tr w:rsidR="00280B78" w:rsidRPr="003570B9" w14:paraId="5E199496" w14:textId="77777777" w:rsidTr="422CAA86">
        <w:trPr>
          <w:trHeight w:val="55"/>
        </w:trPr>
        <w:tc>
          <w:tcPr>
            <w:tcW w:w="566" w:type="pct"/>
            <w:vAlign w:val="center"/>
          </w:tcPr>
          <w:p w14:paraId="00F0FD19" w14:textId="77777777" w:rsidR="00280B78" w:rsidRPr="00556B8D" w:rsidRDefault="00280B78" w:rsidP="00B233F7">
            <w:pPr>
              <w:pStyle w:val="2024TABLETEXT"/>
              <w:keepNext/>
              <w:keepLines/>
              <w:rPr>
                <w:szCs w:val="28"/>
              </w:rPr>
            </w:pPr>
            <w:r w:rsidRPr="00556B8D">
              <w:t>Change in management (CBZ and OXC use)</w:t>
            </w:r>
          </w:p>
        </w:tc>
        <w:tc>
          <w:tcPr>
            <w:tcW w:w="586" w:type="pct"/>
            <w:vAlign w:val="center"/>
          </w:tcPr>
          <w:p w14:paraId="382A53FE" w14:textId="77777777" w:rsidR="00280B78" w:rsidRPr="007D4997" w:rsidRDefault="00280B78" w:rsidP="00B233F7">
            <w:pPr>
              <w:pStyle w:val="2024TABLETEXT"/>
              <w:keepNext/>
              <w:keepLines/>
            </w:pPr>
            <w:r>
              <w:t>2</w:t>
            </w:r>
            <w:r w:rsidRPr="00556B8D">
              <w:t xml:space="preserve"> stud</w:t>
            </w:r>
            <w:r>
              <w:t>ies</w:t>
            </w:r>
            <w:r w:rsidRPr="00556B8D">
              <w:t xml:space="preserve"> (retrospective longitudinal)</w:t>
            </w:r>
          </w:p>
        </w:tc>
        <w:tc>
          <w:tcPr>
            <w:tcW w:w="2540" w:type="pct"/>
            <w:vAlign w:val="center"/>
          </w:tcPr>
          <w:p w14:paraId="67EFD1CE" w14:textId="13C90717" w:rsidR="00921AC0" w:rsidRDefault="00280B78" w:rsidP="00B233F7">
            <w:pPr>
              <w:pStyle w:val="2024TABLETEXT"/>
              <w:keepNext/>
              <w:keepLines/>
            </w:pPr>
            <w:r w:rsidRPr="00320909">
              <w:t xml:space="preserve">In Chen et al. </w:t>
            </w:r>
            <w:r w:rsidR="00B35117" w:rsidRPr="00320909">
              <w:t>2014,</w:t>
            </w:r>
            <w:r w:rsidRPr="00320909">
              <w:t xml:space="preserve"> following implementation of the </w:t>
            </w:r>
            <w:r w:rsidR="003975F2" w:rsidRPr="003975F2">
              <w:rPr>
                <w:i/>
              </w:rPr>
              <w:t xml:space="preserve">HLA-B*15:02 </w:t>
            </w:r>
            <w:r w:rsidRPr="00320909">
              <w:t xml:space="preserve">screening policy, the number of total </w:t>
            </w:r>
            <w:r w:rsidRPr="00982DF7">
              <w:t xml:space="preserve">new CBZ prescriptions decreased by </w:t>
            </w:r>
            <w:r w:rsidRPr="00320909">
              <w:t>81.0% (from 10077 to 1910</w:t>
            </w:r>
            <w:r w:rsidRPr="00982DF7">
              <w:t>)</w:t>
            </w:r>
            <w:r w:rsidRPr="00320909">
              <w:t xml:space="preserve"> and the number of total </w:t>
            </w:r>
            <w:r w:rsidRPr="00982DF7">
              <w:t xml:space="preserve">new </w:t>
            </w:r>
            <w:r w:rsidRPr="00320909">
              <w:t>OXC</w:t>
            </w:r>
            <w:r w:rsidRPr="00982DF7">
              <w:t xml:space="preserve"> prescriptions decreased by </w:t>
            </w:r>
            <w:r w:rsidRPr="00320909">
              <w:t>3.1% (from 384 to 372)</w:t>
            </w:r>
            <w:r w:rsidRPr="00982DF7">
              <w:t>.</w:t>
            </w:r>
            <w:r w:rsidRPr="00320909">
              <w:t xml:space="preserve"> </w:t>
            </w:r>
            <w:r w:rsidRPr="00982DF7">
              <w:t xml:space="preserve">There was </w:t>
            </w:r>
            <w:r w:rsidRPr="00320909">
              <w:t xml:space="preserve">a similar decrease </w:t>
            </w:r>
            <w:r w:rsidRPr="00982DF7">
              <w:t xml:space="preserve">in the </w:t>
            </w:r>
            <w:r w:rsidRPr="00320909">
              <w:t xml:space="preserve">number of </w:t>
            </w:r>
            <w:r w:rsidRPr="00982DF7">
              <w:t xml:space="preserve">prescriptions of CBZ </w:t>
            </w:r>
            <w:r w:rsidRPr="00320909">
              <w:t>which were</w:t>
            </w:r>
            <w:r w:rsidRPr="00982DF7">
              <w:t xml:space="preserve"> </w:t>
            </w:r>
            <w:r w:rsidR="0060269C">
              <w:t xml:space="preserve">for </w:t>
            </w:r>
            <w:r w:rsidRPr="00982DF7">
              <w:t xml:space="preserve">first-ever </w:t>
            </w:r>
            <w:r w:rsidR="00E36B86">
              <w:t>anti-epileptic drugs</w:t>
            </w:r>
            <w:r w:rsidR="00E36B86" w:rsidRPr="00982DF7" w:rsidDel="00E36B86">
              <w:t xml:space="preserve"> </w:t>
            </w:r>
            <w:r w:rsidR="007D3133">
              <w:t>(AEDs)</w:t>
            </w:r>
            <w:r w:rsidR="00E36B86" w:rsidRPr="00982DF7" w:rsidDel="00E36B86">
              <w:t xml:space="preserve"> </w:t>
            </w:r>
            <w:r w:rsidRPr="00982DF7">
              <w:t>from 17.8% to 1.9% (p</w:t>
            </w:r>
            <w:r w:rsidRPr="00320909">
              <w:t>&lt;</w:t>
            </w:r>
            <w:r w:rsidRPr="00982DF7">
              <w:t>0.0001).</w:t>
            </w:r>
            <w:r w:rsidRPr="00320909">
              <w:t xml:space="preserve"> In Chang et al. </w:t>
            </w:r>
            <w:r w:rsidR="00B35117" w:rsidRPr="00320909">
              <w:t>2023, the percentage of episodes</w:t>
            </w:r>
            <w:r w:rsidR="008164DE">
              <w:rPr>
                <w:rStyle w:val="FootnoteReference"/>
              </w:rPr>
              <w:footnoteReference w:id="9"/>
            </w:r>
            <w:r w:rsidR="00563E96">
              <w:t xml:space="preserve"> where the patient was </w:t>
            </w:r>
            <w:r w:rsidR="00B35117" w:rsidRPr="00320909">
              <w:t xml:space="preserve">not treated with either CBZ or OXC increased from approximately 93% in 2000 to 96% in 2017 following </w:t>
            </w:r>
            <w:r w:rsidR="009209C8">
              <w:t xml:space="preserve">implementation of </w:t>
            </w:r>
            <w:r w:rsidR="00B35117" w:rsidRPr="00320909">
              <w:t xml:space="preserve">reimbursement </w:t>
            </w:r>
            <w:r w:rsidR="009209C8">
              <w:t>for</w:t>
            </w:r>
            <w:r w:rsidR="002F66A5">
              <w:t xml:space="preserve"> </w:t>
            </w:r>
            <w:r w:rsidR="003975F2" w:rsidRPr="003975F2">
              <w:rPr>
                <w:i/>
              </w:rPr>
              <w:t xml:space="preserve">HLA-B*15:02 </w:t>
            </w:r>
            <w:r w:rsidR="009209C8">
              <w:t>genotyping</w:t>
            </w:r>
            <w:r w:rsidR="00B35117" w:rsidRPr="00320909">
              <w:t xml:space="preserve">. </w:t>
            </w:r>
            <w:r w:rsidRPr="00320909">
              <w:t xml:space="preserve">For CBZ, the genotyping rate was negatively correlated with the percentage of episodes where CBZ was used (r=−.97, p&lt;.0001) and positively correlated with the percentage of episodes where CBZ was not used (r=.95, p&lt;.0001). </w:t>
            </w:r>
          </w:p>
          <w:p w14:paraId="6601E520" w14:textId="01FF4949" w:rsidR="00280B78" w:rsidRPr="00D315B1" w:rsidRDefault="008971AC" w:rsidP="00B233F7">
            <w:pPr>
              <w:pStyle w:val="2024TABLETEXT"/>
              <w:keepNext/>
              <w:keepLines/>
            </w:pPr>
            <w:r>
              <w:t>T</w:t>
            </w:r>
            <w:r w:rsidR="00280B78" w:rsidRPr="00D315B1">
              <w:t xml:space="preserve">he direct evidence only included </w:t>
            </w:r>
            <w:r w:rsidR="003975F2" w:rsidRPr="003975F2">
              <w:rPr>
                <w:i/>
              </w:rPr>
              <w:t xml:space="preserve">HLA-B*15:02 </w:t>
            </w:r>
            <w:r w:rsidR="00280B78" w:rsidRPr="00D315B1">
              <w:t xml:space="preserve">genotyping policies in East Asian countries. Without Australian-specific data and/or direct evidence for </w:t>
            </w:r>
            <w:r w:rsidR="003975F2" w:rsidRPr="003975F2">
              <w:rPr>
                <w:i/>
              </w:rPr>
              <w:t xml:space="preserve">HLA-A*31:01 </w:t>
            </w:r>
            <w:r w:rsidR="00280B78" w:rsidRPr="00D315B1">
              <w:t>genotyping, it is difficult to draw conclusions on the efficacy of the proposed intervention in Australia.</w:t>
            </w:r>
          </w:p>
        </w:tc>
        <w:tc>
          <w:tcPr>
            <w:tcW w:w="1308" w:type="pct"/>
            <w:vAlign w:val="center"/>
          </w:tcPr>
          <w:p w14:paraId="47A76EBE" w14:textId="5081BFEE" w:rsidR="00AE52BC" w:rsidRPr="004B4915" w:rsidRDefault="00AE52BC" w:rsidP="00B233F7">
            <w:pPr>
              <w:pStyle w:val="2024TABLETEXT"/>
              <w:keepNext/>
              <w:keepLines/>
              <w:rPr>
                <w:color w:val="C00000"/>
              </w:rPr>
            </w:pPr>
            <w:r w:rsidRPr="000E6381">
              <w:rPr>
                <w:rFonts w:ascii="Cambria Math" w:hAnsi="Cambria Math"/>
                <w:color w:val="388600"/>
              </w:rPr>
              <w:t>⨁⨁</w:t>
            </w:r>
            <w:r w:rsidRPr="00CE28E3">
              <w:rPr>
                <w:rFonts w:ascii="Cambria Math" w:hAnsi="Cambria Math"/>
                <w:color w:val="C00000"/>
              </w:rPr>
              <w:t>⨀⨀</w:t>
            </w:r>
            <w:r w:rsidRPr="00CE28E3">
              <w:rPr>
                <w:color w:val="C00000"/>
              </w:rPr>
              <w:t xml:space="preserve"> </w:t>
            </w:r>
            <w:r w:rsidRPr="00CE28E3">
              <w:rPr>
                <w:b/>
                <w:bCs/>
              </w:rPr>
              <w:t>Low</w:t>
            </w:r>
            <w:r w:rsidRPr="003570B9">
              <w:rPr>
                <w:b/>
                <w:bCs/>
                <w:vertAlign w:val="superscript"/>
              </w:rPr>
              <w:t>a</w:t>
            </w:r>
            <w:r w:rsidRPr="0025019F">
              <w:rPr>
                <w:i/>
                <w:iCs/>
              </w:rPr>
              <w:t xml:space="preserve"> </w:t>
            </w:r>
          </w:p>
          <w:p w14:paraId="71BFE872" w14:textId="7883F6F6" w:rsidR="00280B78" w:rsidRPr="00D315B1" w:rsidRDefault="003975F2" w:rsidP="422CAA86">
            <w:pPr>
              <w:pStyle w:val="2024TABLETEXT"/>
              <w:keepNext/>
              <w:keepLines/>
              <w:rPr>
                <w:color w:val="000000" w:themeColor="text1"/>
              </w:rPr>
            </w:pPr>
            <w:r w:rsidRPr="003975F2">
              <w:rPr>
                <w:i/>
                <w:iCs/>
              </w:rPr>
              <w:t xml:space="preserve">HLA-B*15:02 </w:t>
            </w:r>
            <w:r w:rsidR="00280B78" w:rsidRPr="422CAA86">
              <w:t>prior to the commencement of CBZ or OXC compared to no genotyping</w:t>
            </w:r>
            <w:r w:rsidR="00280B78" w:rsidRPr="422CAA86">
              <w:rPr>
                <w:color w:val="000000" w:themeColor="text1"/>
              </w:rPr>
              <w:t xml:space="preserve"> may result in a large reduction in use of </w:t>
            </w:r>
            <w:r w:rsidR="00280B78" w:rsidRPr="422CAA86">
              <w:t>CBZ and may have little to no difference in use of OXC.</w:t>
            </w:r>
          </w:p>
        </w:tc>
      </w:tr>
      <w:tr w:rsidR="00280B78" w:rsidRPr="00A16F78" w14:paraId="482E73B2" w14:textId="77777777" w:rsidTr="422CAA86">
        <w:trPr>
          <w:trHeight w:val="55"/>
        </w:trPr>
        <w:tc>
          <w:tcPr>
            <w:tcW w:w="566" w:type="pct"/>
            <w:vAlign w:val="center"/>
          </w:tcPr>
          <w:p w14:paraId="69359EB7" w14:textId="77777777" w:rsidR="00280B78" w:rsidRPr="00556B8D" w:rsidRDefault="00280B78" w:rsidP="00B233F7">
            <w:pPr>
              <w:pStyle w:val="2024TABLETEXT"/>
              <w:keepNext/>
              <w:keepLines/>
            </w:pPr>
            <w:r w:rsidRPr="00556B8D">
              <w:t>Incidence of SCARs</w:t>
            </w:r>
          </w:p>
        </w:tc>
        <w:tc>
          <w:tcPr>
            <w:tcW w:w="586" w:type="pct"/>
            <w:vAlign w:val="center"/>
          </w:tcPr>
          <w:p w14:paraId="4916CEF0" w14:textId="77777777" w:rsidR="00280B78" w:rsidRPr="007D4997" w:rsidRDefault="00280B78" w:rsidP="00B233F7">
            <w:pPr>
              <w:pStyle w:val="2024TABLETEXT"/>
              <w:keepNext/>
              <w:keepLines/>
            </w:pPr>
            <w:r w:rsidRPr="00556B8D">
              <w:t>1 study (retrospective longitudinal</w:t>
            </w:r>
            <w:r>
              <w:t>)</w:t>
            </w:r>
          </w:p>
        </w:tc>
        <w:tc>
          <w:tcPr>
            <w:tcW w:w="2540" w:type="pct"/>
            <w:vAlign w:val="center"/>
          </w:tcPr>
          <w:p w14:paraId="0B0D9BB7" w14:textId="6B8540B6" w:rsidR="00280B78" w:rsidRPr="000466F8" w:rsidRDefault="00280B78" w:rsidP="422CAA86">
            <w:pPr>
              <w:pStyle w:val="2024TABLETEXT"/>
              <w:keepNext/>
              <w:keepLines/>
            </w:pPr>
            <w:r w:rsidRPr="422CAA86">
              <w:t xml:space="preserve">The mean incidence rate of SCARs following reimbursement of </w:t>
            </w:r>
            <w:r w:rsidR="003975F2" w:rsidRPr="003975F2">
              <w:rPr>
                <w:i/>
                <w:iCs/>
                <w:color w:val="000000" w:themeColor="text1"/>
              </w:rPr>
              <w:t xml:space="preserve">HLA-B*15:02 </w:t>
            </w:r>
            <w:r w:rsidRPr="422CAA86">
              <w:t xml:space="preserve">genotyping was significantly lower (1.65, 95% CI: 1.57–1.72) than before reimbursement (1.96, 95% CI not reported; </w:t>
            </w:r>
            <w:r w:rsidRPr="422CAA86">
              <w:rPr>
                <w:i/>
                <w:iCs/>
              </w:rPr>
              <w:t>p</w:t>
            </w:r>
            <w:r w:rsidRPr="422CAA86">
              <w:t xml:space="preserve">&lt;.0001) following propensity score-based stabilized weighting. However, the </w:t>
            </w:r>
            <w:r w:rsidR="00F86088" w:rsidRPr="422CAA86">
              <w:t xml:space="preserve">reduction in </w:t>
            </w:r>
            <w:r w:rsidRPr="422CAA86">
              <w:t xml:space="preserve">incidence of SCARs was likely overestimated due to inclusion of both new and recurrent </w:t>
            </w:r>
            <w:r w:rsidR="00D0628D" w:rsidRPr="422CAA86">
              <w:t>“</w:t>
            </w:r>
            <w:r w:rsidRPr="422CAA86">
              <w:t>episodes</w:t>
            </w:r>
            <w:r w:rsidR="00D0628D" w:rsidRPr="422CAA86">
              <w:t>”</w:t>
            </w:r>
            <w:r w:rsidRPr="422CAA86">
              <w:t>.</w:t>
            </w:r>
          </w:p>
        </w:tc>
        <w:tc>
          <w:tcPr>
            <w:tcW w:w="1308" w:type="pct"/>
            <w:vAlign w:val="center"/>
          </w:tcPr>
          <w:p w14:paraId="5F85A7F4" w14:textId="597C356B" w:rsidR="00AE52BC" w:rsidRPr="004B4915" w:rsidRDefault="00AE52BC" w:rsidP="422CAA86">
            <w:pPr>
              <w:pStyle w:val="2024TABLETEXT"/>
              <w:keepNext/>
              <w:keepLines/>
              <w:rPr>
                <w:rFonts w:ascii="Cambria Math" w:hAnsi="Cambria Math" w:cs="Cambria Math"/>
                <w:color w:val="C00000"/>
              </w:rPr>
            </w:pPr>
            <w:r w:rsidRPr="422CAA86">
              <w:rPr>
                <w:rFonts w:ascii="Cambria Math" w:hAnsi="Cambria Math"/>
                <w:color w:val="388600"/>
              </w:rPr>
              <w:t>⨁</w:t>
            </w:r>
            <w:r w:rsidRPr="422CAA86">
              <w:rPr>
                <w:rFonts w:ascii="Cambria Math" w:hAnsi="Cambria Math" w:cs="Cambria Math"/>
                <w:color w:val="C00000"/>
              </w:rPr>
              <w:t xml:space="preserve">⨀⨀⨀ </w:t>
            </w:r>
            <w:r w:rsidRPr="422CAA86">
              <w:rPr>
                <w:b/>
                <w:bCs/>
              </w:rPr>
              <w:t xml:space="preserve">Very </w:t>
            </w:r>
            <w:proofErr w:type="spellStart"/>
            <w:r w:rsidRPr="422CAA86">
              <w:rPr>
                <w:b/>
                <w:bCs/>
              </w:rPr>
              <w:t>Low</w:t>
            </w:r>
            <w:r w:rsidRPr="422CAA86">
              <w:rPr>
                <w:b/>
                <w:bCs/>
                <w:vertAlign w:val="superscript"/>
              </w:rPr>
              <w:t>b</w:t>
            </w:r>
            <w:proofErr w:type="spellEnd"/>
            <w:r w:rsidRPr="422CAA86">
              <w:t xml:space="preserve"> </w:t>
            </w:r>
          </w:p>
          <w:p w14:paraId="241B7CBF" w14:textId="12925609" w:rsidR="00280B78" w:rsidRPr="00A16F78" w:rsidRDefault="00280B78" w:rsidP="00B233F7">
            <w:pPr>
              <w:pStyle w:val="2024TABLETEXT"/>
              <w:keepNext/>
              <w:keepLines/>
              <w:rPr>
                <w:color w:val="FF0000"/>
              </w:rPr>
            </w:pPr>
            <w:r w:rsidRPr="00326C50">
              <w:t xml:space="preserve">The evidence is very uncertain about the effect of </w:t>
            </w:r>
            <w:r>
              <w:t>g</w:t>
            </w:r>
            <w:r w:rsidRPr="5315853F">
              <w:t>enotyping</w:t>
            </w:r>
            <w:r w:rsidRPr="00EA1E31">
              <w:t xml:space="preserve"> </w:t>
            </w:r>
            <w:r>
              <w:t xml:space="preserve">for </w:t>
            </w:r>
            <w:r w:rsidR="003975F2" w:rsidRPr="003975F2">
              <w:rPr>
                <w:i/>
                <w:iCs/>
              </w:rPr>
              <w:t xml:space="preserve">HLA-A*31:01 </w:t>
            </w:r>
            <w:r w:rsidRPr="002F1697">
              <w:t>and</w:t>
            </w:r>
            <w:r w:rsidRPr="002F1697">
              <w:rPr>
                <w:i/>
                <w:iCs/>
              </w:rPr>
              <w:t xml:space="preserve"> </w:t>
            </w:r>
            <w:r w:rsidR="003975F2" w:rsidRPr="003975F2">
              <w:rPr>
                <w:i/>
                <w:iCs/>
              </w:rPr>
              <w:t xml:space="preserve">HLA-B*15:02 </w:t>
            </w:r>
            <w:r>
              <w:t>prior to the commencement of</w:t>
            </w:r>
            <w:r w:rsidRPr="00EA1E31">
              <w:t xml:space="preserve"> </w:t>
            </w:r>
            <w:r>
              <w:t>CBZ</w:t>
            </w:r>
            <w:r w:rsidRPr="51DBDE6B">
              <w:t xml:space="preserve"> or </w:t>
            </w:r>
            <w:r>
              <w:t>OXC</w:t>
            </w:r>
            <w:r w:rsidRPr="00CE28E3">
              <w:t xml:space="preserve"> </w:t>
            </w:r>
            <w:r w:rsidRPr="00EB493D">
              <w:t xml:space="preserve">compared to no genotyping </w:t>
            </w:r>
            <w:r w:rsidRPr="00326C50">
              <w:t xml:space="preserve">on </w:t>
            </w:r>
            <w:r>
              <w:t>incidence of SCARs.</w:t>
            </w:r>
          </w:p>
        </w:tc>
      </w:tr>
      <w:tr w:rsidR="00280B78" w:rsidRPr="00A16F78" w14:paraId="7B9F9807" w14:textId="77777777" w:rsidTr="422CAA86">
        <w:trPr>
          <w:trHeight w:val="423"/>
        </w:trPr>
        <w:tc>
          <w:tcPr>
            <w:tcW w:w="566" w:type="pct"/>
            <w:vAlign w:val="center"/>
          </w:tcPr>
          <w:p w14:paraId="1943B09C" w14:textId="77777777" w:rsidR="00280B78" w:rsidRPr="00556B8D" w:rsidRDefault="00280B78" w:rsidP="00B233F7">
            <w:pPr>
              <w:pStyle w:val="2024TABLETEXT"/>
              <w:keepNext/>
              <w:keepLines/>
            </w:pPr>
            <w:r w:rsidRPr="00556B8D">
              <w:t xml:space="preserve">Incidence of </w:t>
            </w:r>
            <w:r>
              <w:t>SJS-TEN</w:t>
            </w:r>
          </w:p>
        </w:tc>
        <w:tc>
          <w:tcPr>
            <w:tcW w:w="586" w:type="pct"/>
            <w:vAlign w:val="center"/>
          </w:tcPr>
          <w:p w14:paraId="54DB0A97" w14:textId="77777777" w:rsidR="00280B78" w:rsidRPr="007D4997" w:rsidRDefault="00280B78" w:rsidP="00B233F7">
            <w:pPr>
              <w:pStyle w:val="2024TABLETEXT"/>
              <w:keepNext/>
              <w:keepLines/>
            </w:pPr>
            <w:r>
              <w:t>2</w:t>
            </w:r>
            <w:r w:rsidRPr="00556B8D">
              <w:t xml:space="preserve"> stud</w:t>
            </w:r>
            <w:r>
              <w:t>ies</w:t>
            </w:r>
            <w:r w:rsidRPr="00556B8D">
              <w:t xml:space="preserve"> (retrospective longitudinal)</w:t>
            </w:r>
          </w:p>
        </w:tc>
        <w:tc>
          <w:tcPr>
            <w:tcW w:w="2540" w:type="pct"/>
            <w:vAlign w:val="center"/>
          </w:tcPr>
          <w:p w14:paraId="72322C5A" w14:textId="2ED46E59" w:rsidR="00280B78" w:rsidRPr="000466F8" w:rsidRDefault="00280B78" w:rsidP="00B233F7">
            <w:pPr>
              <w:pStyle w:val="2024TABLETEXT"/>
              <w:keepNext/>
              <w:keepLines/>
            </w:pPr>
            <w:r w:rsidRPr="422CAA86">
              <w:rPr>
                <w:color w:val="000000" w:themeColor="text1"/>
              </w:rPr>
              <w:t xml:space="preserve">In </w:t>
            </w:r>
            <w:r w:rsidRPr="422CAA86">
              <w:t xml:space="preserve">both </w:t>
            </w:r>
            <w:r w:rsidRPr="422CAA86">
              <w:rPr>
                <w:color w:val="000000" w:themeColor="text1"/>
              </w:rPr>
              <w:t xml:space="preserve">Chen et al. </w:t>
            </w:r>
            <w:r w:rsidR="00AE52BC" w:rsidRPr="422CAA86">
              <w:rPr>
                <w:color w:val="000000" w:themeColor="text1"/>
              </w:rPr>
              <w:t>2014</w:t>
            </w:r>
            <w:r w:rsidR="00AE52BC" w:rsidRPr="422CAA86">
              <w:rPr>
                <w:color w:val="000000" w:themeColor="text1"/>
                <w:vertAlign w:val="superscript"/>
              </w:rPr>
              <w:t xml:space="preserve"> </w:t>
            </w:r>
            <w:r w:rsidR="00AE52BC" w:rsidRPr="422CAA86">
              <w:t xml:space="preserve">and </w:t>
            </w:r>
            <w:r w:rsidR="00AE52BC" w:rsidRPr="422CAA86">
              <w:rPr>
                <w:color w:val="000000" w:themeColor="text1"/>
              </w:rPr>
              <w:t xml:space="preserve">Chang et al. </w:t>
            </w:r>
            <w:r w:rsidRPr="422CAA86">
              <w:rPr>
                <w:color w:val="000000" w:themeColor="text1"/>
              </w:rPr>
              <w:t>2023</w:t>
            </w:r>
            <w:r w:rsidR="00AE52BC" w:rsidRPr="422CAA86">
              <w:t>,</w:t>
            </w:r>
            <w:r w:rsidRPr="422CAA86">
              <w:t xml:space="preserve"> the incidence rate of CBZ-induced SJS-TEN</w:t>
            </w:r>
            <w:r w:rsidR="00E04182" w:rsidRPr="422CAA86">
              <w:t xml:space="preserve"> episodes</w:t>
            </w:r>
            <w:r w:rsidRPr="422CAA86">
              <w:t xml:space="preserve"> significantly decreased post </w:t>
            </w:r>
            <w:r w:rsidR="003975F2" w:rsidRPr="003975F2">
              <w:rPr>
                <w:i/>
                <w:iCs/>
                <w:color w:val="000000" w:themeColor="text1"/>
              </w:rPr>
              <w:t xml:space="preserve">HLA-B*15:02 </w:t>
            </w:r>
            <w:r w:rsidRPr="422CAA86">
              <w:t xml:space="preserve">screening policy. </w:t>
            </w:r>
            <w:r w:rsidR="005444AE" w:rsidRPr="422CAA86">
              <w:t>However, these results</w:t>
            </w:r>
            <w:r w:rsidRPr="422CAA86">
              <w:t xml:space="preserve"> may be mediated by non-adherence</w:t>
            </w:r>
            <w:r w:rsidR="00FF4B46" w:rsidRPr="422CAA86">
              <w:t xml:space="preserve"> </w:t>
            </w:r>
            <w:r w:rsidR="005444AE" w:rsidRPr="422CAA86">
              <w:t xml:space="preserve">or unintended changes to prescription practice </w:t>
            </w:r>
            <w:r w:rsidR="00281651" w:rsidRPr="422CAA86">
              <w:t>because of</w:t>
            </w:r>
            <w:r w:rsidR="006F6F63" w:rsidRPr="422CAA86">
              <w:t xml:space="preserve"> </w:t>
            </w:r>
            <w:r w:rsidR="00FF4B46" w:rsidRPr="422CAA86">
              <w:t xml:space="preserve">the </w:t>
            </w:r>
            <w:r w:rsidR="00357F20" w:rsidRPr="422CAA86">
              <w:t xml:space="preserve">genotyping </w:t>
            </w:r>
            <w:r w:rsidR="00FF4B46" w:rsidRPr="422CAA86">
              <w:t>policy</w:t>
            </w:r>
            <w:r w:rsidRPr="422CAA86">
              <w:t xml:space="preserve"> (</w:t>
            </w:r>
            <w:r w:rsidR="006F6F63" w:rsidRPr="422CAA86">
              <w:t>e.g.</w:t>
            </w:r>
            <w:r w:rsidRPr="422CAA86">
              <w:t xml:space="preserve">, patients being started on antiepileptic drugs before receiving genotyping results, </w:t>
            </w:r>
            <w:r w:rsidR="00DF0758" w:rsidRPr="422CAA86">
              <w:t xml:space="preserve">by </w:t>
            </w:r>
            <w:r w:rsidRPr="422CAA86">
              <w:t xml:space="preserve">clinicians preferentially </w:t>
            </w:r>
            <w:r w:rsidR="00DF0758" w:rsidRPr="422CAA86">
              <w:t xml:space="preserve">commencing </w:t>
            </w:r>
            <w:r w:rsidRPr="422CAA86">
              <w:t>drugs that d</w:t>
            </w:r>
            <w:r w:rsidR="00DF0758" w:rsidRPr="422CAA86">
              <w:t>o</w:t>
            </w:r>
            <w:r w:rsidRPr="422CAA86">
              <w:t xml:space="preserve"> not</w:t>
            </w:r>
            <w:r w:rsidRPr="422CAA86">
              <w:rPr>
                <w:rFonts w:ascii="Franklin Gothic Book" w:hAnsi="Franklin Gothic Book" w:cstheme="minorBidi"/>
                <w:sz w:val="22"/>
                <w:szCs w:val="22"/>
              </w:rPr>
              <w:t xml:space="preserve"> </w:t>
            </w:r>
            <w:r w:rsidRPr="422CAA86">
              <w:t>need genotyping).</w:t>
            </w:r>
          </w:p>
        </w:tc>
        <w:tc>
          <w:tcPr>
            <w:tcW w:w="1308" w:type="pct"/>
            <w:vAlign w:val="center"/>
          </w:tcPr>
          <w:p w14:paraId="693C5AFC" w14:textId="29CB3189" w:rsidR="00AE52BC" w:rsidRPr="004B4915" w:rsidRDefault="00AE52BC" w:rsidP="00B233F7">
            <w:pPr>
              <w:pStyle w:val="2024TABLETEXT"/>
              <w:keepNext/>
              <w:keepLines/>
              <w:rPr>
                <w:color w:val="C00000"/>
              </w:rPr>
            </w:pPr>
            <w:r w:rsidRPr="000E6381">
              <w:rPr>
                <w:rFonts w:ascii="Cambria Math" w:hAnsi="Cambria Math"/>
                <w:color w:val="388600"/>
              </w:rPr>
              <w:t>⨁⨁</w:t>
            </w:r>
            <w:r w:rsidRPr="00CE28E3">
              <w:rPr>
                <w:rFonts w:ascii="Cambria Math" w:hAnsi="Cambria Math"/>
                <w:color w:val="C00000"/>
              </w:rPr>
              <w:t>⨀⨀</w:t>
            </w:r>
            <w:r w:rsidRPr="00CE28E3">
              <w:rPr>
                <w:color w:val="C00000"/>
              </w:rPr>
              <w:t xml:space="preserve"> </w:t>
            </w:r>
            <w:r w:rsidRPr="00CE28E3">
              <w:rPr>
                <w:b/>
                <w:bCs/>
              </w:rPr>
              <w:t>Low</w:t>
            </w:r>
            <w:r w:rsidRPr="003570B9">
              <w:rPr>
                <w:b/>
                <w:bCs/>
                <w:vertAlign w:val="superscript"/>
              </w:rPr>
              <w:t>a</w:t>
            </w:r>
            <w:r w:rsidRPr="0025019F">
              <w:rPr>
                <w:i/>
                <w:iCs/>
              </w:rPr>
              <w:t xml:space="preserve"> </w:t>
            </w:r>
          </w:p>
          <w:p w14:paraId="09DC6F4F" w14:textId="192961FB" w:rsidR="00280B78" w:rsidRPr="00A16F78" w:rsidRDefault="003975F2" w:rsidP="00B233F7">
            <w:pPr>
              <w:pStyle w:val="2024TABLETEXT"/>
              <w:keepNext/>
              <w:keepLines/>
              <w:rPr>
                <w:color w:val="FF0000"/>
              </w:rPr>
            </w:pPr>
            <w:r w:rsidRPr="003975F2">
              <w:rPr>
                <w:i/>
                <w:iCs/>
              </w:rPr>
              <w:t xml:space="preserve">HLA-A*31:01 </w:t>
            </w:r>
            <w:r w:rsidR="00280B78" w:rsidRPr="002F1697">
              <w:t>and</w:t>
            </w:r>
            <w:r w:rsidR="00280B78" w:rsidRPr="002F1697">
              <w:rPr>
                <w:i/>
                <w:iCs/>
              </w:rPr>
              <w:t xml:space="preserve"> </w:t>
            </w:r>
            <w:r w:rsidRPr="003975F2">
              <w:rPr>
                <w:i/>
                <w:iCs/>
              </w:rPr>
              <w:t xml:space="preserve">HLA-B*15:02 </w:t>
            </w:r>
            <w:r w:rsidR="00280B78">
              <w:t>prior to the commencement of</w:t>
            </w:r>
            <w:r w:rsidR="00280B78" w:rsidRPr="00EA1E31">
              <w:t xml:space="preserve"> </w:t>
            </w:r>
            <w:r w:rsidR="00280B78">
              <w:t>CBZ</w:t>
            </w:r>
            <w:r w:rsidR="00280B78" w:rsidRPr="51DBDE6B">
              <w:t xml:space="preserve"> or </w:t>
            </w:r>
            <w:r w:rsidR="00280B78">
              <w:t>OXC</w:t>
            </w:r>
            <w:r w:rsidR="00280B78" w:rsidRPr="00CE28E3">
              <w:t xml:space="preserve"> </w:t>
            </w:r>
            <w:r w:rsidR="00280B78" w:rsidRPr="00EB493D">
              <w:t>compared to no genotyping</w:t>
            </w:r>
            <w:r w:rsidR="00280B78" w:rsidRPr="004F3493">
              <w:rPr>
                <w:color w:val="000000" w:themeColor="text1"/>
              </w:rPr>
              <w:t xml:space="preserve"> may </w:t>
            </w:r>
            <w:r w:rsidR="00280B78">
              <w:rPr>
                <w:color w:val="000000" w:themeColor="text1"/>
              </w:rPr>
              <w:t xml:space="preserve">reduce incidence of </w:t>
            </w:r>
            <w:r w:rsidR="00280B78">
              <w:t>CBZ-</w:t>
            </w:r>
            <w:r w:rsidR="00280B78" w:rsidRPr="000466F8">
              <w:t>induced SJS-TEN</w:t>
            </w:r>
            <w:r w:rsidR="00DF0758">
              <w:t xml:space="preserve"> </w:t>
            </w:r>
            <w:r w:rsidR="00C140FA">
              <w:t>episodes</w:t>
            </w:r>
            <w:r w:rsidR="00280B78">
              <w:t>.</w:t>
            </w:r>
          </w:p>
        </w:tc>
      </w:tr>
    </w:tbl>
    <w:p w14:paraId="7ECAF64C" w14:textId="36F720D3" w:rsidR="00280B78" w:rsidRPr="00280B78" w:rsidRDefault="00670347" w:rsidP="00B233F7">
      <w:pPr>
        <w:pStyle w:val="TableFigureFooter"/>
        <w:keepNext/>
        <w:keepLines/>
        <w:spacing w:before="0" w:after="60"/>
      </w:pPr>
      <w:r>
        <w:t xml:space="preserve">Abbreviations: </w:t>
      </w:r>
      <w:r w:rsidR="00715F93">
        <w:t xml:space="preserve">AED=anti-epileptic drug; </w:t>
      </w:r>
      <w:r>
        <w:t>CI=</w:t>
      </w:r>
      <w:r w:rsidRPr="00D904FF">
        <w:t>confidence interval</w:t>
      </w:r>
      <w:r>
        <w:t>; DRESS=</w:t>
      </w:r>
      <w:r w:rsidRPr="00D904FF">
        <w:t>drug reaction with eosinophilia and systemic symptoms</w:t>
      </w:r>
      <w:r>
        <w:t>; HLA=</w:t>
      </w:r>
      <w:r w:rsidRPr="00D904FF">
        <w:t>human leukocyte antigen</w:t>
      </w:r>
      <w:r>
        <w:t>; MPE=</w:t>
      </w:r>
      <w:r w:rsidRPr="00D904FF">
        <w:t>maculopapular exanthema</w:t>
      </w:r>
      <w:r>
        <w:t>; CBZ=</w:t>
      </w:r>
      <w:r>
        <w:rPr>
          <w:iCs/>
        </w:rPr>
        <w:t>c</w:t>
      </w:r>
      <w:r w:rsidRPr="00A25934">
        <w:rPr>
          <w:iCs/>
        </w:rPr>
        <w:t>arbamazepine</w:t>
      </w:r>
      <w:r>
        <w:rPr>
          <w:iCs/>
        </w:rPr>
        <w:t>; OXC=</w:t>
      </w:r>
      <w:r w:rsidRPr="00CE4063">
        <w:rPr>
          <w:iCs/>
        </w:rPr>
        <w:t>oxcarbazepine</w:t>
      </w:r>
      <w:r>
        <w:rPr>
          <w:iCs/>
        </w:rPr>
        <w:t xml:space="preserve">; </w:t>
      </w:r>
      <w:r w:rsidR="00A570E9" w:rsidRPr="00697F27">
        <w:t xml:space="preserve">SCAR=severe cutaneous allergic reactions; </w:t>
      </w:r>
      <w:r>
        <w:rPr>
          <w:iCs/>
        </w:rPr>
        <w:t>SJS=</w:t>
      </w:r>
      <w:r w:rsidRPr="00C537F9">
        <w:t>Stevens–Johnson syndrome</w:t>
      </w:r>
      <w:r>
        <w:t>; TEN=</w:t>
      </w:r>
      <w:r w:rsidRPr="00C537F9">
        <w:t>toxic epidermal necrolysis</w:t>
      </w:r>
      <w:r>
        <w:t>.</w:t>
      </w:r>
    </w:p>
    <w:p w14:paraId="2C1A0401" w14:textId="5DC23688" w:rsidR="00670347" w:rsidRDefault="00670347" w:rsidP="00B233F7">
      <w:pPr>
        <w:pStyle w:val="Tablenotes"/>
        <w:keepNext/>
        <w:keepLines/>
        <w:spacing w:before="0" w:after="0"/>
        <w:ind w:left="567" w:hanging="283"/>
      </w:pPr>
      <w:r w:rsidRPr="422CAA86">
        <w:t xml:space="preserve">a. High risk of bias in both direct evidence studies (downgrade one of risk of bias). Direct evidence only for </w:t>
      </w:r>
      <w:r w:rsidR="003975F2" w:rsidRPr="003975F2">
        <w:rPr>
          <w:i/>
          <w:iCs/>
        </w:rPr>
        <w:t xml:space="preserve">HLA-B*15:02 </w:t>
      </w:r>
      <w:r w:rsidRPr="422CAA86">
        <w:t>genotyping policies in East Asian countries (downgrade one for indirectness).</w:t>
      </w:r>
    </w:p>
    <w:p w14:paraId="553D4B47" w14:textId="29808410" w:rsidR="00670347" w:rsidRPr="00670347" w:rsidRDefault="00670347" w:rsidP="00B233F7">
      <w:pPr>
        <w:pStyle w:val="TableFigureFooter"/>
        <w:keepNext/>
        <w:keepLines/>
        <w:spacing w:before="0"/>
        <w:ind w:left="567" w:hanging="283"/>
      </w:pPr>
      <w:r w:rsidRPr="422CAA86">
        <w:t xml:space="preserve">b. High risk of bias in direct evidence study (downgrade one of risk of bias). Direct evidence only for </w:t>
      </w:r>
      <w:r w:rsidR="003975F2" w:rsidRPr="003975F2">
        <w:rPr>
          <w:i/>
          <w:iCs/>
        </w:rPr>
        <w:t xml:space="preserve">HLA-B*15:02 </w:t>
      </w:r>
      <w:r w:rsidRPr="422CAA86">
        <w:t xml:space="preserve">genotyping policies in East Asian countries (downgrade one for indirectness). </w:t>
      </w:r>
      <w:r w:rsidR="006F6F63" w:rsidRPr="422CAA86">
        <w:t>L</w:t>
      </w:r>
      <w:r w:rsidRPr="422CAA86">
        <w:t>ikely overestimat</w:t>
      </w:r>
      <w:r w:rsidR="006F6F63" w:rsidRPr="422CAA86">
        <w:t>ion of results</w:t>
      </w:r>
      <w:r w:rsidRPr="422CAA86">
        <w:t xml:space="preserve"> due to inclusion of both new and recurrent episodes (downgrade one for imprecision).</w:t>
      </w:r>
    </w:p>
    <w:p w14:paraId="7B5C689C" w14:textId="2A981C7A" w:rsidR="00FD7409" w:rsidRPr="005D514C" w:rsidRDefault="00FD7409" w:rsidP="002C0A7C">
      <w:pPr>
        <w:pStyle w:val="Heading4"/>
      </w:pPr>
      <w:r>
        <w:t>Linked</w:t>
      </w:r>
      <w:r w:rsidRPr="005D514C">
        <w:t xml:space="preserve"> evidence</w:t>
      </w:r>
    </w:p>
    <w:p w14:paraId="544A7CBC" w14:textId="1F26FDEB" w:rsidR="000C6A35" w:rsidRPr="00B233F7" w:rsidRDefault="00CA109C" w:rsidP="422CAA86">
      <w:pPr>
        <w:rPr>
          <w:sz w:val="22"/>
          <w:szCs w:val="22"/>
        </w:rPr>
      </w:pPr>
      <w:r w:rsidRPr="422CAA86">
        <w:rPr>
          <w:sz w:val="22"/>
          <w:szCs w:val="22"/>
        </w:rPr>
        <w:t>Linked evidence was identified for 2</w:t>
      </w:r>
      <w:r w:rsidR="00DD14E7" w:rsidRPr="422CAA86">
        <w:rPr>
          <w:sz w:val="22"/>
          <w:szCs w:val="22"/>
        </w:rPr>
        <w:t>4</w:t>
      </w:r>
      <w:r w:rsidRPr="422CAA86">
        <w:rPr>
          <w:sz w:val="22"/>
          <w:szCs w:val="22"/>
        </w:rPr>
        <w:t xml:space="preserve"> studies (2</w:t>
      </w:r>
      <w:r w:rsidR="00DD14E7" w:rsidRPr="422CAA86">
        <w:rPr>
          <w:sz w:val="22"/>
          <w:szCs w:val="22"/>
        </w:rPr>
        <w:t>2</w:t>
      </w:r>
      <w:r w:rsidRPr="422CAA86">
        <w:rPr>
          <w:sz w:val="22"/>
          <w:szCs w:val="22"/>
        </w:rPr>
        <w:t xml:space="preserve"> primary studies, </w:t>
      </w:r>
      <w:r w:rsidR="000C6A35" w:rsidRPr="422CAA86">
        <w:rPr>
          <w:sz w:val="22"/>
          <w:szCs w:val="22"/>
        </w:rPr>
        <w:t>one meta-analysis</w:t>
      </w:r>
      <w:r w:rsidR="00AE52BC" w:rsidRPr="422CAA86">
        <w:rPr>
          <w:rStyle w:val="FootnoteReference"/>
          <w:sz w:val="22"/>
          <w:szCs w:val="22"/>
        </w:rPr>
        <w:footnoteReference w:id="10"/>
      </w:r>
      <w:r w:rsidR="000C6A35" w:rsidRPr="422CAA86">
        <w:rPr>
          <w:sz w:val="22"/>
          <w:szCs w:val="22"/>
        </w:rPr>
        <w:t xml:space="preserve"> and one primary study with meta-analysis</w:t>
      </w:r>
      <w:bookmarkStart w:id="23" w:name="_Ref181732825"/>
      <w:r w:rsidR="00AE52BC" w:rsidRPr="422CAA86">
        <w:rPr>
          <w:rStyle w:val="FootnoteReference"/>
          <w:sz w:val="22"/>
          <w:szCs w:val="22"/>
        </w:rPr>
        <w:footnoteReference w:id="11"/>
      </w:r>
      <w:bookmarkEnd w:id="23"/>
      <w:r w:rsidR="000C6A35" w:rsidRPr="422CAA86">
        <w:rPr>
          <w:sz w:val="22"/>
          <w:szCs w:val="22"/>
        </w:rPr>
        <w:t xml:space="preserve">) </w:t>
      </w:r>
      <w:r w:rsidRPr="422CAA86">
        <w:rPr>
          <w:sz w:val="22"/>
          <w:szCs w:val="22"/>
        </w:rPr>
        <w:t xml:space="preserve">assessing the accuracy of genotyping for </w:t>
      </w:r>
      <w:r w:rsidR="003975F2" w:rsidRPr="003975F2">
        <w:rPr>
          <w:i/>
          <w:iCs/>
          <w:sz w:val="22"/>
          <w:szCs w:val="22"/>
        </w:rPr>
        <w:t xml:space="preserve">HLA-A*31:01 </w:t>
      </w:r>
      <w:r w:rsidRPr="422CAA86">
        <w:rPr>
          <w:sz w:val="22"/>
          <w:szCs w:val="22"/>
        </w:rPr>
        <w:t>and</w:t>
      </w:r>
      <w:r w:rsidRPr="422CAA86">
        <w:rPr>
          <w:i/>
          <w:iCs/>
          <w:sz w:val="22"/>
          <w:szCs w:val="22"/>
        </w:rPr>
        <w:t xml:space="preserve"> </w:t>
      </w:r>
      <w:r w:rsidR="003975F2" w:rsidRPr="003975F2">
        <w:rPr>
          <w:i/>
          <w:iCs/>
          <w:sz w:val="22"/>
          <w:szCs w:val="22"/>
        </w:rPr>
        <w:t xml:space="preserve">HLA-B*15:02 </w:t>
      </w:r>
      <w:r w:rsidRPr="422CAA86">
        <w:rPr>
          <w:sz w:val="22"/>
          <w:szCs w:val="22"/>
        </w:rPr>
        <w:t xml:space="preserve">prior to the commencement of </w:t>
      </w:r>
      <w:r w:rsidR="00A42E96" w:rsidRPr="422CAA86">
        <w:rPr>
          <w:sz w:val="22"/>
          <w:szCs w:val="22"/>
        </w:rPr>
        <w:t xml:space="preserve">CBZ </w:t>
      </w:r>
      <w:r w:rsidRPr="422CAA86">
        <w:rPr>
          <w:sz w:val="22"/>
          <w:szCs w:val="22"/>
        </w:rPr>
        <w:t xml:space="preserve">or </w:t>
      </w:r>
      <w:r w:rsidR="00A42E96" w:rsidRPr="422CAA86">
        <w:rPr>
          <w:sz w:val="22"/>
          <w:szCs w:val="22"/>
        </w:rPr>
        <w:t>OXC</w:t>
      </w:r>
      <w:r w:rsidRPr="422CAA86">
        <w:rPr>
          <w:sz w:val="22"/>
          <w:szCs w:val="22"/>
        </w:rPr>
        <w:t xml:space="preserve"> compared to no pre-treatment genotyping. </w:t>
      </w:r>
      <w:r w:rsidR="00653894" w:rsidRPr="422CAA86">
        <w:rPr>
          <w:sz w:val="22"/>
          <w:szCs w:val="22"/>
        </w:rPr>
        <w:t>For pragmatism due to the volume of studies and to include only evidence most relevant to the intervention in this DCAR, o</w:t>
      </w:r>
      <w:r w:rsidR="000C6A35" w:rsidRPr="422CAA86">
        <w:rPr>
          <w:sz w:val="22"/>
          <w:szCs w:val="22"/>
        </w:rPr>
        <w:t xml:space="preserve">nly primary studies which genotyped both variants of interest were included </w:t>
      </w:r>
      <w:r w:rsidR="0087180B" w:rsidRPr="422CAA86">
        <w:rPr>
          <w:sz w:val="22"/>
          <w:szCs w:val="22"/>
        </w:rPr>
        <w:t xml:space="preserve">(though results of </w:t>
      </w:r>
      <w:r w:rsidR="007C26B2" w:rsidRPr="422CAA86">
        <w:rPr>
          <w:sz w:val="22"/>
          <w:szCs w:val="22"/>
        </w:rPr>
        <w:t xml:space="preserve">“combined” </w:t>
      </w:r>
      <w:r w:rsidR="000E0392" w:rsidRPr="422CAA86">
        <w:rPr>
          <w:sz w:val="22"/>
          <w:szCs w:val="22"/>
        </w:rPr>
        <w:t>genotyping</w:t>
      </w:r>
      <w:r w:rsidR="007C26B2" w:rsidRPr="422CAA86">
        <w:rPr>
          <w:sz w:val="22"/>
          <w:szCs w:val="22"/>
        </w:rPr>
        <w:t xml:space="preserve"> of the </w:t>
      </w:r>
      <w:r w:rsidR="000E0392" w:rsidRPr="422CAA86">
        <w:rPr>
          <w:sz w:val="22"/>
          <w:szCs w:val="22"/>
        </w:rPr>
        <w:t>2</w:t>
      </w:r>
      <w:r w:rsidR="007C26B2" w:rsidRPr="422CAA86">
        <w:rPr>
          <w:sz w:val="22"/>
          <w:szCs w:val="22"/>
        </w:rPr>
        <w:t xml:space="preserve"> variants was not </w:t>
      </w:r>
      <w:r w:rsidR="007C26B2" w:rsidRPr="422CAA86">
        <w:rPr>
          <w:sz w:val="22"/>
          <w:szCs w:val="22"/>
        </w:rPr>
        <w:lastRenderedPageBreak/>
        <w:t>required)</w:t>
      </w:r>
      <w:r w:rsidR="000C6A35" w:rsidRPr="422CAA86">
        <w:rPr>
          <w:sz w:val="22"/>
          <w:szCs w:val="22"/>
        </w:rPr>
        <w:t>.</w:t>
      </w:r>
      <w:r w:rsidR="00B233F7" w:rsidRPr="422CAA86">
        <w:rPr>
          <w:sz w:val="22"/>
          <w:szCs w:val="22"/>
        </w:rPr>
        <w:t xml:space="preserve"> </w:t>
      </w:r>
      <w:r w:rsidR="00965B85" w:rsidRPr="422CAA86">
        <w:rPr>
          <w:sz w:val="22"/>
          <w:szCs w:val="22"/>
        </w:rPr>
        <w:t>However, any meta-analyses which genotyped one of the variants of interest was included for comprehensiveness.</w:t>
      </w:r>
    </w:p>
    <w:p w14:paraId="2623B6A7" w14:textId="0B8EA891" w:rsidR="00D74AA3" w:rsidRPr="00B233F7" w:rsidRDefault="00F20B37" w:rsidP="422CAA86">
      <w:pPr>
        <w:rPr>
          <w:sz w:val="22"/>
          <w:szCs w:val="22"/>
        </w:rPr>
      </w:pPr>
      <w:r w:rsidRPr="422CAA86">
        <w:rPr>
          <w:sz w:val="22"/>
          <w:szCs w:val="22"/>
        </w:rPr>
        <w:t xml:space="preserve">Meta-analyses of primary studies identified in the literature was conducted. </w:t>
      </w:r>
      <w:r w:rsidR="00D74AA3" w:rsidRPr="422CAA86">
        <w:rPr>
          <w:sz w:val="22"/>
          <w:szCs w:val="22"/>
        </w:rPr>
        <w:t xml:space="preserve">Key prognostic accuracy results </w:t>
      </w:r>
      <w:r w:rsidR="00BC24DA" w:rsidRPr="422CAA86">
        <w:rPr>
          <w:sz w:val="22"/>
          <w:szCs w:val="22"/>
        </w:rPr>
        <w:t>(</w:t>
      </w:r>
      <w:r w:rsidR="00BC24DA" w:rsidRPr="422CAA86">
        <w:rPr>
          <w:snapToGrid w:val="0"/>
          <w:sz w:val="22"/>
          <w:szCs w:val="22"/>
        </w:rPr>
        <w:t>association between CBZ- and OXC-induced SCARs and variants of interest)</w:t>
      </w:r>
      <w:r w:rsidR="00D74AA3" w:rsidRPr="422CAA86">
        <w:rPr>
          <w:sz w:val="22"/>
          <w:szCs w:val="22"/>
        </w:rPr>
        <w:t xml:space="preserve"> are presented in</w:t>
      </w:r>
      <w:r w:rsidR="007C67FD" w:rsidRPr="422CAA86">
        <w:rPr>
          <w:sz w:val="22"/>
          <w:szCs w:val="22"/>
        </w:rPr>
        <w:t xml:space="preserve"> </w:t>
      </w:r>
      <w:r w:rsidR="007C67FD" w:rsidRPr="00B233F7">
        <w:rPr>
          <w:sz w:val="22"/>
          <w:szCs w:val="22"/>
        </w:rPr>
        <w:fldChar w:fldCharType="begin"/>
      </w:r>
      <w:r w:rsidR="007C67FD" w:rsidRPr="00B233F7">
        <w:rPr>
          <w:sz w:val="22"/>
          <w:szCs w:val="22"/>
        </w:rPr>
        <w:instrText xml:space="preserve"> REF _Ref181818101 \h </w:instrText>
      </w:r>
      <w:r w:rsidR="00B233F7">
        <w:rPr>
          <w:sz w:val="22"/>
          <w:szCs w:val="22"/>
        </w:rPr>
        <w:instrText xml:space="preserve"> \* MERGEFORMAT </w:instrText>
      </w:r>
      <w:r w:rsidR="007C67FD" w:rsidRPr="00B233F7">
        <w:rPr>
          <w:sz w:val="22"/>
          <w:szCs w:val="22"/>
        </w:rPr>
      </w:r>
      <w:r w:rsidR="007C67FD" w:rsidRPr="00B233F7">
        <w:rPr>
          <w:sz w:val="22"/>
          <w:szCs w:val="22"/>
        </w:rPr>
        <w:fldChar w:fldCharType="separate"/>
      </w:r>
      <w:r w:rsidR="002E6B38" w:rsidRPr="002E6B38">
        <w:rPr>
          <w:snapToGrid w:val="0"/>
          <w:sz w:val="22"/>
          <w:szCs w:val="22"/>
        </w:rPr>
        <w:t>Table </w:t>
      </w:r>
      <w:r w:rsidR="007C67FD" w:rsidRPr="00B233F7">
        <w:rPr>
          <w:sz w:val="22"/>
          <w:szCs w:val="22"/>
        </w:rPr>
        <w:fldChar w:fldCharType="end"/>
      </w:r>
      <w:r w:rsidR="00D74AA3" w:rsidRPr="422CAA86">
        <w:rPr>
          <w:sz w:val="22"/>
          <w:szCs w:val="22"/>
        </w:rPr>
        <w:t xml:space="preserve">. </w:t>
      </w:r>
      <w:r w:rsidR="007C67FD" w:rsidRPr="422CAA86">
        <w:rPr>
          <w:sz w:val="22"/>
          <w:szCs w:val="22"/>
        </w:rPr>
        <w:t xml:space="preserve">Only one study reported results for </w:t>
      </w:r>
      <w:r w:rsidR="00D74AA3" w:rsidRPr="422CAA86">
        <w:rPr>
          <w:sz w:val="22"/>
          <w:szCs w:val="22"/>
        </w:rPr>
        <w:t>combined genotyping of the 2 variants (</w:t>
      </w:r>
      <w:r w:rsidR="003975F2" w:rsidRPr="003975F2">
        <w:rPr>
          <w:i/>
          <w:iCs/>
          <w:sz w:val="22"/>
          <w:szCs w:val="22"/>
        </w:rPr>
        <w:t xml:space="preserve">HLA-A*31:01 </w:t>
      </w:r>
      <w:r w:rsidR="00D74AA3" w:rsidRPr="422CAA86">
        <w:rPr>
          <w:sz w:val="22"/>
          <w:szCs w:val="22"/>
        </w:rPr>
        <w:t>and</w:t>
      </w:r>
      <w:r w:rsidR="00D74AA3" w:rsidRPr="422CAA86">
        <w:rPr>
          <w:i/>
          <w:iCs/>
          <w:sz w:val="22"/>
          <w:szCs w:val="22"/>
        </w:rPr>
        <w:t xml:space="preserve"> </w:t>
      </w:r>
      <w:r w:rsidR="000611A1" w:rsidRPr="000611A1">
        <w:rPr>
          <w:i/>
          <w:iCs/>
          <w:sz w:val="22"/>
          <w:szCs w:val="22"/>
        </w:rPr>
        <w:t>HLA-</w:t>
      </w:r>
      <w:r w:rsidR="00D74AA3" w:rsidRPr="422CAA86">
        <w:rPr>
          <w:i/>
          <w:iCs/>
          <w:sz w:val="22"/>
          <w:szCs w:val="22"/>
        </w:rPr>
        <w:t>B*15:02</w:t>
      </w:r>
      <w:r w:rsidR="00D74AA3" w:rsidRPr="422CAA86">
        <w:rPr>
          <w:sz w:val="22"/>
          <w:szCs w:val="22"/>
        </w:rPr>
        <w:t>) (but only for combined CBZ-induced SCARs in Chinese populations).</w:t>
      </w:r>
    </w:p>
    <w:p w14:paraId="1CF42866" w14:textId="7640B533" w:rsidR="00B13327" w:rsidRPr="00B233F7" w:rsidRDefault="003A3B36" w:rsidP="422CAA86">
      <w:pPr>
        <w:rPr>
          <w:sz w:val="22"/>
          <w:szCs w:val="22"/>
        </w:rPr>
      </w:pPr>
      <w:r w:rsidRPr="422CAA86">
        <w:rPr>
          <w:sz w:val="22"/>
          <w:szCs w:val="22"/>
        </w:rPr>
        <w:t xml:space="preserve">A summary of results, interpretation, key uncertainties and GRADE assessments are presented for linked evidence in </w:t>
      </w:r>
      <w:r w:rsidR="00B13327" w:rsidRPr="00B233F7">
        <w:rPr>
          <w:sz w:val="22"/>
          <w:szCs w:val="22"/>
        </w:rPr>
        <w:fldChar w:fldCharType="begin"/>
      </w:r>
      <w:r w:rsidR="00B13327" w:rsidRPr="00B233F7">
        <w:rPr>
          <w:sz w:val="22"/>
          <w:szCs w:val="22"/>
        </w:rPr>
        <w:instrText xml:space="preserve"> REF _Ref181785002 \h </w:instrText>
      </w:r>
      <w:r w:rsidR="00B233F7">
        <w:rPr>
          <w:sz w:val="22"/>
          <w:szCs w:val="22"/>
        </w:rPr>
        <w:instrText xml:space="preserve"> \* MERGEFORMAT </w:instrText>
      </w:r>
      <w:r w:rsidR="00B13327" w:rsidRPr="00B233F7">
        <w:rPr>
          <w:sz w:val="22"/>
          <w:szCs w:val="22"/>
        </w:rPr>
      </w:r>
      <w:r w:rsidR="00B13327" w:rsidRPr="00B233F7">
        <w:rPr>
          <w:sz w:val="22"/>
          <w:szCs w:val="22"/>
        </w:rPr>
        <w:fldChar w:fldCharType="separate"/>
      </w:r>
      <w:r w:rsidR="002E6B38" w:rsidRPr="002E6B38">
        <w:rPr>
          <w:snapToGrid w:val="0"/>
          <w:sz w:val="22"/>
          <w:szCs w:val="22"/>
        </w:rPr>
        <w:t>Table </w:t>
      </w:r>
      <w:r w:rsidR="00B13327" w:rsidRPr="00B233F7">
        <w:rPr>
          <w:sz w:val="22"/>
          <w:szCs w:val="22"/>
        </w:rPr>
        <w:fldChar w:fldCharType="end"/>
      </w:r>
      <w:r w:rsidR="00B13327" w:rsidRPr="422CAA86">
        <w:rPr>
          <w:sz w:val="22"/>
          <w:szCs w:val="22"/>
        </w:rPr>
        <w:t>. There was no linked evidence for change in management or health outcomes.</w:t>
      </w:r>
    </w:p>
    <w:p w14:paraId="66D287BE" w14:textId="72539B9B" w:rsidR="00A169F7" w:rsidRDefault="00C806BB" w:rsidP="00BA05C3">
      <w:pPr>
        <w:pStyle w:val="Caption"/>
      </w:pPr>
      <w:bookmarkStart w:id="24" w:name="_Ref181818101"/>
      <w:r w:rsidRPr="422CAA86">
        <w:rPr>
          <w:snapToGrid w:val="0"/>
        </w:rPr>
        <w:t>Table </w:t>
      </w:r>
      <w:bookmarkEnd w:id="24"/>
      <w:r w:rsidR="00B45D9D">
        <w:rPr>
          <w:snapToGrid w:val="0"/>
        </w:rPr>
        <w:t>5</w:t>
      </w:r>
      <w:r w:rsidR="00B45D9D" w:rsidRPr="422CAA86">
        <w:rPr>
          <w:snapToGrid w:val="0"/>
        </w:rPr>
        <w:t xml:space="preserve"> </w:t>
      </w:r>
      <w:r w:rsidRPr="00F57762">
        <w:rPr>
          <w:snapToGrid w:val="0"/>
        </w:rPr>
        <w:tab/>
      </w:r>
      <w:r w:rsidR="00C9546F" w:rsidRPr="422CAA86">
        <w:rPr>
          <w:snapToGrid w:val="0"/>
        </w:rPr>
        <w:t xml:space="preserve">Key linked evidence results of the association between </w:t>
      </w:r>
      <w:r w:rsidR="00690A47" w:rsidRPr="422CAA86">
        <w:rPr>
          <w:snapToGrid w:val="0"/>
        </w:rPr>
        <w:t>CBZ- and OXC-induced SCARs and variants of interest</w:t>
      </w:r>
      <w:r w:rsidR="004C7565" w:rsidRPr="422CAA86">
        <w:rPr>
          <w:snapToGrid w:val="0"/>
        </w:rPr>
        <w:t xml:space="preserve"> (prognostic accuracy)</w:t>
      </w:r>
      <w:r w:rsidR="005823BF" w:rsidRPr="422CAA86">
        <w:rPr>
          <w:snapToGrid w:val="0"/>
        </w:rPr>
        <w:t>†</w:t>
      </w:r>
      <w:r w:rsidR="00690A47" w:rsidRPr="422CAA86">
        <w:rPr>
          <w:snapToGrid w:val="0"/>
        </w:rPr>
        <w:t>.</w:t>
      </w:r>
    </w:p>
    <w:tbl>
      <w:tblPr>
        <w:tblW w:w="914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28" w:type="dxa"/>
        </w:tblCellMar>
        <w:tblLook w:val="04A0" w:firstRow="1" w:lastRow="0" w:firstColumn="1" w:lastColumn="0" w:noHBand="0" w:noVBand="1"/>
      </w:tblPr>
      <w:tblGrid>
        <w:gridCol w:w="1630"/>
        <w:gridCol w:w="567"/>
        <w:gridCol w:w="1843"/>
        <w:gridCol w:w="709"/>
        <w:gridCol w:w="1701"/>
        <w:gridCol w:w="850"/>
        <w:gridCol w:w="1843"/>
      </w:tblGrid>
      <w:tr w:rsidR="00A169F7" w:rsidRPr="00A169F7" w14:paraId="5D69FD62" w14:textId="77777777" w:rsidTr="422CAA86">
        <w:trPr>
          <w:trHeight w:val="300"/>
        </w:trPr>
        <w:tc>
          <w:tcPr>
            <w:tcW w:w="1630" w:type="dxa"/>
            <w:shd w:val="clear" w:color="auto" w:fill="D9D9D9" w:themeFill="background1" w:themeFillShade="D9"/>
            <w:noWrap/>
            <w:vAlign w:val="bottom"/>
          </w:tcPr>
          <w:p w14:paraId="77418706" w14:textId="747EAD27" w:rsidR="00A169F7" w:rsidRPr="00A169F7" w:rsidRDefault="00A169F7" w:rsidP="00882286">
            <w:pPr>
              <w:spacing w:before="0" w:after="0"/>
              <w:rPr>
                <w:rFonts w:ascii="Arial Narrow" w:hAnsi="Arial Narrow"/>
                <w:b/>
                <w:bCs/>
                <w:sz w:val="20"/>
                <w:szCs w:val="20"/>
                <w:lang w:eastAsia="en-AU"/>
              </w:rPr>
            </w:pPr>
          </w:p>
        </w:tc>
        <w:tc>
          <w:tcPr>
            <w:tcW w:w="2410" w:type="dxa"/>
            <w:gridSpan w:val="2"/>
            <w:shd w:val="clear" w:color="auto" w:fill="D9D9D9" w:themeFill="background1" w:themeFillShade="D9"/>
            <w:noWrap/>
            <w:vAlign w:val="bottom"/>
          </w:tcPr>
          <w:p w14:paraId="3B2DB124" w14:textId="3A138120" w:rsidR="00A169F7" w:rsidRPr="00A169F7" w:rsidRDefault="00A169F7" w:rsidP="00882286">
            <w:pPr>
              <w:spacing w:before="0" w:after="0"/>
              <w:rPr>
                <w:rFonts w:ascii="Arial Narrow" w:hAnsi="Arial Narrow"/>
                <w:b/>
                <w:bCs/>
                <w:color w:val="000000"/>
                <w:sz w:val="20"/>
                <w:szCs w:val="20"/>
                <w:lang w:eastAsia="en-AU"/>
              </w:rPr>
            </w:pPr>
            <w:r w:rsidRPr="00A169F7">
              <w:rPr>
                <w:rFonts w:ascii="Arial Narrow" w:hAnsi="Arial Narrow"/>
                <w:b/>
                <w:bCs/>
                <w:sz w:val="20"/>
                <w:szCs w:val="20"/>
              </w:rPr>
              <w:t xml:space="preserve">Combined </w:t>
            </w:r>
            <w:r w:rsidR="003975F2" w:rsidRPr="003975F2">
              <w:rPr>
                <w:rFonts w:ascii="Arial Narrow" w:hAnsi="Arial Narrow"/>
                <w:b/>
                <w:bCs/>
                <w:i/>
                <w:iCs/>
                <w:color w:val="000000"/>
                <w:sz w:val="20"/>
                <w:szCs w:val="20"/>
              </w:rPr>
              <w:t xml:space="preserve">HLA-A*31:01 </w:t>
            </w:r>
            <w:r w:rsidRPr="00A169F7">
              <w:rPr>
                <w:rFonts w:ascii="Arial Narrow" w:hAnsi="Arial Narrow"/>
                <w:b/>
                <w:bCs/>
                <w:color w:val="000000"/>
                <w:sz w:val="20"/>
                <w:szCs w:val="20"/>
              </w:rPr>
              <w:t xml:space="preserve">and </w:t>
            </w:r>
            <w:r w:rsidR="000611A1" w:rsidRPr="000611A1">
              <w:rPr>
                <w:rFonts w:ascii="Arial Narrow" w:hAnsi="Arial Narrow"/>
                <w:b/>
                <w:bCs/>
                <w:i/>
                <w:iCs/>
                <w:color w:val="000000"/>
                <w:sz w:val="20"/>
                <w:szCs w:val="20"/>
              </w:rPr>
              <w:t>HLA-</w:t>
            </w:r>
            <w:r w:rsidRPr="00A169F7">
              <w:rPr>
                <w:rFonts w:ascii="Arial Narrow" w:hAnsi="Arial Narrow"/>
                <w:b/>
                <w:bCs/>
                <w:i/>
                <w:iCs/>
                <w:color w:val="000000"/>
                <w:sz w:val="20"/>
                <w:szCs w:val="20"/>
              </w:rPr>
              <w:t>B*15:02</w:t>
            </w:r>
            <w:r w:rsidRPr="00A169F7">
              <w:rPr>
                <w:rFonts w:ascii="Arial Narrow" w:hAnsi="Arial Narrow"/>
                <w:b/>
                <w:bCs/>
                <w:color w:val="000000"/>
                <w:sz w:val="20"/>
                <w:szCs w:val="20"/>
              </w:rPr>
              <w:t>^</w:t>
            </w:r>
          </w:p>
        </w:tc>
        <w:tc>
          <w:tcPr>
            <w:tcW w:w="2410" w:type="dxa"/>
            <w:gridSpan w:val="2"/>
            <w:shd w:val="clear" w:color="auto" w:fill="D9D9D9" w:themeFill="background1" w:themeFillShade="D9"/>
            <w:noWrap/>
            <w:vAlign w:val="bottom"/>
          </w:tcPr>
          <w:p w14:paraId="78984D63" w14:textId="194D6BFD" w:rsidR="00A169F7" w:rsidRPr="00A169F7" w:rsidRDefault="000611A1" w:rsidP="00A169F7">
            <w:pPr>
              <w:spacing w:before="0" w:after="0"/>
              <w:rPr>
                <w:rFonts w:ascii="Arial Narrow" w:hAnsi="Arial Narrow"/>
                <w:b/>
                <w:bCs/>
                <w:i/>
                <w:iCs/>
                <w:color w:val="000000"/>
                <w:sz w:val="20"/>
                <w:szCs w:val="20"/>
                <w:lang w:eastAsia="en-AU"/>
              </w:rPr>
            </w:pPr>
            <w:r w:rsidRPr="000611A1">
              <w:rPr>
                <w:rFonts w:ascii="Arial Narrow" w:hAnsi="Arial Narrow"/>
                <w:b/>
                <w:bCs/>
                <w:i/>
                <w:iCs/>
                <w:sz w:val="20"/>
                <w:szCs w:val="20"/>
              </w:rPr>
              <w:t>HLA-</w:t>
            </w:r>
            <w:r w:rsidR="00A169F7" w:rsidRPr="00A169F7">
              <w:rPr>
                <w:rFonts w:ascii="Arial Narrow" w:hAnsi="Arial Narrow"/>
                <w:b/>
                <w:bCs/>
                <w:i/>
                <w:iCs/>
                <w:sz w:val="20"/>
                <w:szCs w:val="20"/>
              </w:rPr>
              <w:t>A*31:01</w:t>
            </w:r>
            <w:r w:rsidR="00A169F7" w:rsidRPr="00A169F7">
              <w:rPr>
                <w:rFonts w:ascii="Arial Narrow" w:hAnsi="Arial Narrow"/>
                <w:b/>
                <w:bCs/>
                <w:color w:val="000000"/>
                <w:sz w:val="20"/>
                <w:szCs w:val="20"/>
              </w:rPr>
              <w:t>*</w:t>
            </w:r>
          </w:p>
          <w:p w14:paraId="654FC209" w14:textId="351B9CCE" w:rsidR="00A169F7" w:rsidRPr="00A169F7" w:rsidRDefault="00A169F7" w:rsidP="00882286">
            <w:pPr>
              <w:spacing w:before="0" w:after="0"/>
              <w:rPr>
                <w:rFonts w:ascii="Arial Narrow" w:hAnsi="Arial Narrow"/>
                <w:b/>
                <w:bCs/>
                <w:color w:val="000000"/>
                <w:sz w:val="20"/>
                <w:szCs w:val="20"/>
                <w:lang w:eastAsia="en-AU"/>
              </w:rPr>
            </w:pPr>
          </w:p>
        </w:tc>
        <w:tc>
          <w:tcPr>
            <w:tcW w:w="2693" w:type="dxa"/>
            <w:gridSpan w:val="2"/>
            <w:shd w:val="clear" w:color="auto" w:fill="D9D9D9" w:themeFill="background1" w:themeFillShade="D9"/>
            <w:noWrap/>
            <w:vAlign w:val="bottom"/>
          </w:tcPr>
          <w:p w14:paraId="53D1F170" w14:textId="4A3487B3" w:rsidR="00A169F7" w:rsidRPr="00A169F7" w:rsidRDefault="000611A1" w:rsidP="00A169F7">
            <w:pPr>
              <w:spacing w:before="0" w:after="0"/>
              <w:rPr>
                <w:rFonts w:ascii="Arial Narrow" w:hAnsi="Arial Narrow"/>
                <w:b/>
                <w:bCs/>
                <w:i/>
                <w:iCs/>
                <w:color w:val="000000"/>
                <w:sz w:val="20"/>
                <w:szCs w:val="20"/>
                <w:lang w:eastAsia="en-AU"/>
              </w:rPr>
            </w:pPr>
            <w:r w:rsidRPr="000611A1">
              <w:rPr>
                <w:rFonts w:ascii="Arial Narrow" w:hAnsi="Arial Narrow"/>
                <w:b/>
                <w:bCs/>
                <w:i/>
                <w:iCs/>
                <w:sz w:val="20"/>
                <w:szCs w:val="20"/>
              </w:rPr>
              <w:t>HLA-</w:t>
            </w:r>
            <w:r w:rsidR="00A169F7" w:rsidRPr="00A169F7">
              <w:rPr>
                <w:rFonts w:ascii="Arial Narrow" w:hAnsi="Arial Narrow"/>
                <w:b/>
                <w:bCs/>
                <w:i/>
                <w:iCs/>
                <w:sz w:val="20"/>
                <w:szCs w:val="20"/>
              </w:rPr>
              <w:t>B*15:02</w:t>
            </w:r>
            <w:r w:rsidR="00A169F7" w:rsidRPr="00A169F7">
              <w:rPr>
                <w:rFonts w:ascii="Arial Narrow" w:hAnsi="Arial Narrow"/>
                <w:b/>
                <w:bCs/>
                <w:color w:val="000000"/>
                <w:sz w:val="20"/>
                <w:szCs w:val="20"/>
              </w:rPr>
              <w:t>*</w:t>
            </w:r>
          </w:p>
          <w:p w14:paraId="39FA966F" w14:textId="7BFFAA28" w:rsidR="00A169F7" w:rsidRPr="00A169F7" w:rsidRDefault="00A169F7" w:rsidP="00882286">
            <w:pPr>
              <w:spacing w:before="0" w:after="0"/>
              <w:rPr>
                <w:rFonts w:ascii="Arial Narrow" w:hAnsi="Arial Narrow"/>
                <w:b/>
                <w:bCs/>
                <w:color w:val="000000"/>
                <w:sz w:val="20"/>
                <w:szCs w:val="20"/>
                <w:lang w:eastAsia="en-AU"/>
              </w:rPr>
            </w:pPr>
          </w:p>
        </w:tc>
      </w:tr>
      <w:tr w:rsidR="00A169F7" w:rsidRPr="00A169F7" w14:paraId="38F1C408" w14:textId="77777777" w:rsidTr="422CAA86">
        <w:trPr>
          <w:trHeight w:val="300"/>
        </w:trPr>
        <w:tc>
          <w:tcPr>
            <w:tcW w:w="1630" w:type="dxa"/>
            <w:shd w:val="clear" w:color="auto" w:fill="D9D9D9" w:themeFill="background1" w:themeFillShade="D9"/>
            <w:noWrap/>
            <w:vAlign w:val="bottom"/>
          </w:tcPr>
          <w:p w14:paraId="2108B5CC" w14:textId="4C4A6B75" w:rsidR="00A169F7" w:rsidRPr="00A169F7" w:rsidRDefault="00A169F7" w:rsidP="00A169F7">
            <w:pPr>
              <w:spacing w:before="0" w:after="0"/>
              <w:rPr>
                <w:rFonts w:ascii="Arial Narrow" w:hAnsi="Arial Narrow"/>
                <w:b/>
                <w:bCs/>
                <w:sz w:val="20"/>
                <w:szCs w:val="20"/>
                <w:lang w:eastAsia="en-AU"/>
              </w:rPr>
            </w:pPr>
            <w:r w:rsidRPr="00A169F7">
              <w:rPr>
                <w:rFonts w:ascii="Arial Narrow" w:hAnsi="Arial Narrow"/>
                <w:b/>
                <w:bCs/>
                <w:sz w:val="20"/>
                <w:szCs w:val="20"/>
                <w:lang w:eastAsia="en-AU"/>
              </w:rPr>
              <w:t>Outcome</w:t>
            </w:r>
          </w:p>
        </w:tc>
        <w:tc>
          <w:tcPr>
            <w:tcW w:w="567" w:type="dxa"/>
            <w:shd w:val="clear" w:color="auto" w:fill="D9D9D9" w:themeFill="background1" w:themeFillShade="D9"/>
            <w:noWrap/>
            <w:vAlign w:val="bottom"/>
          </w:tcPr>
          <w:p w14:paraId="66332142" w14:textId="5E093295" w:rsidR="00A169F7" w:rsidRPr="00A169F7" w:rsidRDefault="00A169F7" w:rsidP="00A169F7">
            <w:pPr>
              <w:spacing w:before="0" w:after="0"/>
              <w:rPr>
                <w:rFonts w:ascii="Arial Narrow" w:hAnsi="Arial Narrow"/>
                <w:b/>
                <w:bCs/>
                <w:color w:val="000000"/>
                <w:sz w:val="20"/>
                <w:szCs w:val="20"/>
                <w:lang w:eastAsia="en-AU"/>
              </w:rPr>
            </w:pPr>
            <w:r w:rsidRPr="00A169F7">
              <w:rPr>
                <w:rFonts w:ascii="Arial Narrow" w:hAnsi="Arial Narrow"/>
                <w:b/>
                <w:bCs/>
                <w:color w:val="000000"/>
                <w:sz w:val="20"/>
                <w:szCs w:val="20"/>
                <w:lang w:eastAsia="en-AU"/>
              </w:rPr>
              <w:t>N (k)</w:t>
            </w:r>
          </w:p>
        </w:tc>
        <w:tc>
          <w:tcPr>
            <w:tcW w:w="1843" w:type="dxa"/>
            <w:shd w:val="clear" w:color="auto" w:fill="D9D9D9" w:themeFill="background1" w:themeFillShade="D9"/>
            <w:vAlign w:val="center"/>
          </w:tcPr>
          <w:p w14:paraId="528FCC20" w14:textId="21E6581F" w:rsidR="00A169F7" w:rsidRPr="00A169F7" w:rsidRDefault="00A169F7" w:rsidP="00A169F7">
            <w:pPr>
              <w:spacing w:before="0" w:after="0"/>
              <w:rPr>
                <w:rFonts w:ascii="Arial Narrow" w:hAnsi="Arial Narrow"/>
                <w:b/>
                <w:bCs/>
                <w:sz w:val="20"/>
                <w:szCs w:val="20"/>
                <w:lang w:eastAsia="en-AU"/>
              </w:rPr>
            </w:pPr>
            <w:r w:rsidRPr="00A169F7">
              <w:rPr>
                <w:rFonts w:ascii="Arial Narrow" w:hAnsi="Arial Narrow"/>
                <w:b/>
                <w:bCs/>
                <w:sz w:val="20"/>
                <w:szCs w:val="20"/>
                <w:lang w:eastAsia="en-AU"/>
              </w:rPr>
              <w:t>OR (95% CI), I</w:t>
            </w:r>
            <w:r w:rsidRPr="00A169F7">
              <w:rPr>
                <w:rFonts w:ascii="Arial Narrow" w:hAnsi="Arial Narrow"/>
                <w:b/>
                <w:bCs/>
                <w:color w:val="000000"/>
                <w:sz w:val="20"/>
                <w:szCs w:val="20"/>
                <w:vertAlign w:val="superscript"/>
                <w:lang w:eastAsia="en-AU"/>
              </w:rPr>
              <w:t>2</w:t>
            </w:r>
          </w:p>
        </w:tc>
        <w:tc>
          <w:tcPr>
            <w:tcW w:w="709" w:type="dxa"/>
            <w:shd w:val="clear" w:color="auto" w:fill="D9D9D9" w:themeFill="background1" w:themeFillShade="D9"/>
            <w:noWrap/>
            <w:vAlign w:val="bottom"/>
          </w:tcPr>
          <w:p w14:paraId="7196B7B8" w14:textId="1CCF5682" w:rsidR="00A169F7" w:rsidRPr="00A169F7" w:rsidRDefault="00A169F7" w:rsidP="00A169F7">
            <w:pPr>
              <w:spacing w:before="0" w:after="0"/>
              <w:rPr>
                <w:rFonts w:ascii="Arial Narrow" w:hAnsi="Arial Narrow"/>
                <w:b/>
                <w:bCs/>
                <w:color w:val="000000"/>
                <w:sz w:val="20"/>
                <w:szCs w:val="20"/>
                <w:lang w:eastAsia="en-AU"/>
              </w:rPr>
            </w:pPr>
            <w:r w:rsidRPr="00A169F7">
              <w:rPr>
                <w:rFonts w:ascii="Arial Narrow" w:hAnsi="Arial Narrow"/>
                <w:b/>
                <w:bCs/>
                <w:color w:val="000000"/>
                <w:sz w:val="20"/>
                <w:szCs w:val="20"/>
                <w:lang w:eastAsia="en-AU"/>
              </w:rPr>
              <w:t>N (k)</w:t>
            </w:r>
          </w:p>
        </w:tc>
        <w:tc>
          <w:tcPr>
            <w:tcW w:w="1701" w:type="dxa"/>
            <w:shd w:val="clear" w:color="auto" w:fill="D9D9D9" w:themeFill="background1" w:themeFillShade="D9"/>
            <w:vAlign w:val="center"/>
          </w:tcPr>
          <w:p w14:paraId="3E1314B7" w14:textId="59368A5F" w:rsidR="00A169F7" w:rsidRPr="00A169F7" w:rsidRDefault="00A169F7" w:rsidP="00A169F7">
            <w:pPr>
              <w:spacing w:before="0" w:after="0"/>
              <w:rPr>
                <w:rFonts w:ascii="Arial Narrow" w:hAnsi="Arial Narrow"/>
                <w:b/>
                <w:bCs/>
                <w:sz w:val="20"/>
                <w:szCs w:val="20"/>
                <w:lang w:eastAsia="en-AU"/>
              </w:rPr>
            </w:pPr>
            <w:r w:rsidRPr="00A169F7">
              <w:rPr>
                <w:rFonts w:ascii="Arial Narrow" w:hAnsi="Arial Narrow"/>
                <w:b/>
                <w:bCs/>
                <w:sz w:val="20"/>
                <w:szCs w:val="20"/>
                <w:lang w:eastAsia="en-AU"/>
              </w:rPr>
              <w:t>OR (95% CI), I</w:t>
            </w:r>
            <w:r w:rsidRPr="00A169F7">
              <w:rPr>
                <w:rFonts w:ascii="Arial Narrow" w:hAnsi="Arial Narrow"/>
                <w:b/>
                <w:bCs/>
                <w:color w:val="000000"/>
                <w:sz w:val="20"/>
                <w:szCs w:val="20"/>
                <w:vertAlign w:val="superscript"/>
                <w:lang w:eastAsia="en-AU"/>
              </w:rPr>
              <w:t>2</w:t>
            </w:r>
          </w:p>
        </w:tc>
        <w:tc>
          <w:tcPr>
            <w:tcW w:w="850" w:type="dxa"/>
            <w:shd w:val="clear" w:color="auto" w:fill="D9D9D9" w:themeFill="background1" w:themeFillShade="D9"/>
            <w:noWrap/>
            <w:vAlign w:val="bottom"/>
          </w:tcPr>
          <w:p w14:paraId="7D0E8885" w14:textId="1C6753DA" w:rsidR="00A169F7" w:rsidRPr="00A169F7" w:rsidRDefault="00A169F7" w:rsidP="00A169F7">
            <w:pPr>
              <w:spacing w:before="0" w:after="0"/>
              <w:rPr>
                <w:rFonts w:ascii="Arial Narrow" w:hAnsi="Arial Narrow"/>
                <w:b/>
                <w:bCs/>
                <w:color w:val="000000"/>
                <w:sz w:val="20"/>
                <w:szCs w:val="20"/>
                <w:lang w:eastAsia="en-AU"/>
              </w:rPr>
            </w:pPr>
            <w:r w:rsidRPr="00A169F7">
              <w:rPr>
                <w:rFonts w:ascii="Arial Narrow" w:hAnsi="Arial Narrow"/>
                <w:b/>
                <w:bCs/>
                <w:color w:val="000000"/>
                <w:sz w:val="20"/>
                <w:szCs w:val="20"/>
                <w:lang w:eastAsia="en-AU"/>
              </w:rPr>
              <w:t>N (k)</w:t>
            </w:r>
          </w:p>
        </w:tc>
        <w:tc>
          <w:tcPr>
            <w:tcW w:w="1843" w:type="dxa"/>
            <w:shd w:val="clear" w:color="auto" w:fill="D9D9D9" w:themeFill="background1" w:themeFillShade="D9"/>
            <w:vAlign w:val="center"/>
          </w:tcPr>
          <w:p w14:paraId="31984091" w14:textId="430896E8" w:rsidR="00A169F7" w:rsidRPr="00A169F7" w:rsidRDefault="00A169F7" w:rsidP="00A169F7">
            <w:pPr>
              <w:spacing w:before="0" w:after="0"/>
              <w:rPr>
                <w:rFonts w:ascii="Arial Narrow" w:hAnsi="Arial Narrow"/>
                <w:b/>
                <w:bCs/>
                <w:sz w:val="20"/>
                <w:szCs w:val="20"/>
                <w:lang w:eastAsia="en-AU"/>
              </w:rPr>
            </w:pPr>
            <w:r w:rsidRPr="00A169F7">
              <w:rPr>
                <w:rFonts w:ascii="Arial Narrow" w:hAnsi="Arial Narrow"/>
                <w:b/>
                <w:bCs/>
                <w:sz w:val="20"/>
                <w:szCs w:val="20"/>
                <w:lang w:eastAsia="en-AU"/>
              </w:rPr>
              <w:t>OR (95% CI), I</w:t>
            </w:r>
            <w:r w:rsidRPr="00A169F7">
              <w:rPr>
                <w:rFonts w:ascii="Arial Narrow" w:hAnsi="Arial Narrow"/>
                <w:b/>
                <w:bCs/>
                <w:color w:val="000000"/>
                <w:sz w:val="20"/>
                <w:szCs w:val="20"/>
                <w:vertAlign w:val="superscript"/>
                <w:lang w:eastAsia="en-AU"/>
              </w:rPr>
              <w:t>2</w:t>
            </w:r>
          </w:p>
        </w:tc>
      </w:tr>
      <w:tr w:rsidR="00A169F7" w:rsidRPr="00A169F7" w14:paraId="728D4A73" w14:textId="77777777" w:rsidTr="422CAA86">
        <w:trPr>
          <w:trHeight w:val="300"/>
        </w:trPr>
        <w:tc>
          <w:tcPr>
            <w:tcW w:w="9143" w:type="dxa"/>
            <w:gridSpan w:val="7"/>
            <w:shd w:val="clear" w:color="auto" w:fill="auto"/>
            <w:vAlign w:val="center"/>
            <w:hideMark/>
          </w:tcPr>
          <w:p w14:paraId="7BF7F55F" w14:textId="77777777" w:rsidR="00A169F7" w:rsidRPr="00A169F7" w:rsidRDefault="00A169F7" w:rsidP="00A169F7">
            <w:pPr>
              <w:spacing w:before="0" w:after="0"/>
              <w:jc w:val="both"/>
              <w:rPr>
                <w:rFonts w:ascii="Arial Narrow" w:hAnsi="Arial Narrow"/>
                <w:b/>
                <w:bCs/>
                <w:color w:val="000000"/>
                <w:sz w:val="20"/>
                <w:szCs w:val="20"/>
                <w:lang w:eastAsia="en-AU"/>
              </w:rPr>
            </w:pPr>
            <w:r w:rsidRPr="00A169F7">
              <w:rPr>
                <w:rFonts w:ascii="Arial Narrow" w:hAnsi="Arial Narrow"/>
                <w:b/>
                <w:bCs/>
                <w:color w:val="000000"/>
                <w:sz w:val="20"/>
                <w:szCs w:val="20"/>
                <w:lang w:eastAsia="en-AU"/>
              </w:rPr>
              <w:t>SCARs (combined)</w:t>
            </w:r>
          </w:p>
        </w:tc>
      </w:tr>
      <w:tr w:rsidR="00A169F7" w:rsidRPr="00A169F7" w14:paraId="66984DEA" w14:textId="77777777" w:rsidTr="422CAA86">
        <w:trPr>
          <w:trHeight w:val="300"/>
        </w:trPr>
        <w:tc>
          <w:tcPr>
            <w:tcW w:w="9143" w:type="dxa"/>
            <w:gridSpan w:val="7"/>
            <w:shd w:val="clear" w:color="auto" w:fill="auto"/>
            <w:vAlign w:val="center"/>
            <w:hideMark/>
          </w:tcPr>
          <w:p w14:paraId="316E113E"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CBZ-induced SCARs (versus tolerant controls)</w:t>
            </w:r>
          </w:p>
        </w:tc>
      </w:tr>
      <w:tr w:rsidR="00A169F7" w:rsidRPr="00A169F7" w14:paraId="6C86601E" w14:textId="77777777" w:rsidTr="422CAA86">
        <w:trPr>
          <w:trHeight w:val="300"/>
        </w:trPr>
        <w:tc>
          <w:tcPr>
            <w:tcW w:w="1630" w:type="dxa"/>
            <w:shd w:val="clear" w:color="auto" w:fill="auto"/>
            <w:vAlign w:val="center"/>
            <w:hideMark/>
          </w:tcPr>
          <w:p w14:paraId="7BF1F467" w14:textId="5C7DEAF3"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 xml:space="preserve">Combined </w:t>
            </w:r>
            <w:r w:rsidR="00741DFE">
              <w:rPr>
                <w:rFonts w:ascii="Arial Narrow" w:hAnsi="Arial Narrow"/>
                <w:color w:val="000000"/>
                <w:sz w:val="20"/>
                <w:szCs w:val="20"/>
                <w:lang w:eastAsia="en-AU"/>
              </w:rPr>
              <w:t>a</w:t>
            </w:r>
            <w:r w:rsidR="00E730F9">
              <w:rPr>
                <w:rFonts w:ascii="Arial Narrow" w:hAnsi="Arial Narrow"/>
                <w:color w:val="000000"/>
                <w:sz w:val="20"/>
                <w:szCs w:val="20"/>
                <w:lang w:eastAsia="en-AU"/>
              </w:rPr>
              <w:t>ncestry</w:t>
            </w:r>
          </w:p>
        </w:tc>
        <w:tc>
          <w:tcPr>
            <w:tcW w:w="567" w:type="dxa"/>
            <w:shd w:val="clear" w:color="auto" w:fill="auto"/>
            <w:vAlign w:val="center"/>
            <w:hideMark/>
          </w:tcPr>
          <w:p w14:paraId="0C3A10ED"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2AA8112A"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0CA75386"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5 (763)</w:t>
            </w:r>
          </w:p>
        </w:tc>
        <w:tc>
          <w:tcPr>
            <w:tcW w:w="1701" w:type="dxa"/>
            <w:shd w:val="clear" w:color="auto" w:fill="auto"/>
            <w:vAlign w:val="center"/>
            <w:hideMark/>
          </w:tcPr>
          <w:p w14:paraId="0A3BF84D" w14:textId="03D398F2" w:rsidR="00A169F7" w:rsidRPr="00A169F7" w:rsidRDefault="00A169F7" w:rsidP="00A169F7">
            <w:pPr>
              <w:spacing w:before="0" w:after="0"/>
              <w:jc w:val="both"/>
              <w:rPr>
                <w:rFonts w:ascii="Arial Narrow" w:hAnsi="Arial Narrow"/>
                <w:b/>
                <w:bCs/>
                <w:color w:val="000000"/>
                <w:sz w:val="20"/>
                <w:szCs w:val="20"/>
                <w:lang w:eastAsia="en-AU"/>
              </w:rPr>
            </w:pPr>
            <w:r w:rsidRPr="00A169F7">
              <w:rPr>
                <w:rFonts w:ascii="Arial Narrow" w:hAnsi="Arial Narrow"/>
                <w:b/>
                <w:bCs/>
                <w:color w:val="000000"/>
                <w:sz w:val="20"/>
                <w:szCs w:val="20"/>
                <w:lang w:eastAsia="en-AU"/>
              </w:rPr>
              <w:t>3.8 (1.7–8.3), 55%</w:t>
            </w:r>
            <w:r w:rsidR="00AF75E9" w:rsidRPr="009B341B">
              <w:rPr>
                <w:rFonts w:ascii="Arial Narrow" w:hAnsi="Arial Narrow"/>
                <w:b/>
                <w:bCs/>
                <w:color w:val="000000"/>
                <w:sz w:val="20"/>
                <w:szCs w:val="20"/>
                <w:lang w:eastAsia="en-AU"/>
              </w:rPr>
              <w:t>†</w:t>
            </w:r>
          </w:p>
        </w:tc>
        <w:tc>
          <w:tcPr>
            <w:tcW w:w="850" w:type="dxa"/>
            <w:shd w:val="clear" w:color="auto" w:fill="auto"/>
            <w:vAlign w:val="center"/>
            <w:hideMark/>
          </w:tcPr>
          <w:p w14:paraId="39B1536D"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5 (763)</w:t>
            </w:r>
          </w:p>
        </w:tc>
        <w:tc>
          <w:tcPr>
            <w:tcW w:w="1843" w:type="dxa"/>
            <w:shd w:val="clear" w:color="auto" w:fill="auto"/>
            <w:vAlign w:val="center"/>
            <w:hideMark/>
          </w:tcPr>
          <w:p w14:paraId="62DA51F0" w14:textId="6BD992CC" w:rsidR="00A169F7" w:rsidRPr="00A169F7" w:rsidRDefault="00A169F7" w:rsidP="00A169F7">
            <w:pPr>
              <w:spacing w:before="0" w:after="0"/>
              <w:jc w:val="both"/>
              <w:rPr>
                <w:rFonts w:ascii="Arial Narrow" w:hAnsi="Arial Narrow"/>
                <w:b/>
                <w:bCs/>
                <w:color w:val="000000"/>
                <w:sz w:val="20"/>
                <w:szCs w:val="20"/>
                <w:lang w:eastAsia="en-AU"/>
              </w:rPr>
            </w:pPr>
            <w:r w:rsidRPr="00A169F7">
              <w:rPr>
                <w:rFonts w:ascii="Arial Narrow" w:hAnsi="Arial Narrow"/>
                <w:b/>
                <w:bCs/>
                <w:color w:val="000000"/>
                <w:sz w:val="20"/>
                <w:szCs w:val="20"/>
                <w:lang w:eastAsia="en-AU"/>
              </w:rPr>
              <w:t>5.4 (1.1–26.6), 80%</w:t>
            </w:r>
            <w:r w:rsidR="00AF75E9" w:rsidRPr="009B341B">
              <w:rPr>
                <w:rFonts w:ascii="Arial Narrow" w:hAnsi="Arial Narrow"/>
                <w:b/>
                <w:bCs/>
                <w:color w:val="000000"/>
                <w:sz w:val="20"/>
                <w:szCs w:val="20"/>
                <w:lang w:eastAsia="en-AU"/>
              </w:rPr>
              <w:t>†</w:t>
            </w:r>
          </w:p>
        </w:tc>
      </w:tr>
      <w:tr w:rsidR="00A169F7" w:rsidRPr="00A169F7" w14:paraId="6CD9DFB7" w14:textId="77777777" w:rsidTr="422CAA86">
        <w:trPr>
          <w:trHeight w:val="300"/>
        </w:trPr>
        <w:tc>
          <w:tcPr>
            <w:tcW w:w="1630" w:type="dxa"/>
            <w:shd w:val="clear" w:color="auto" w:fill="auto"/>
            <w:vAlign w:val="center"/>
            <w:hideMark/>
          </w:tcPr>
          <w:p w14:paraId="7A22495E"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European</w:t>
            </w:r>
          </w:p>
        </w:tc>
        <w:tc>
          <w:tcPr>
            <w:tcW w:w="567" w:type="dxa"/>
            <w:shd w:val="clear" w:color="auto" w:fill="auto"/>
            <w:vAlign w:val="center"/>
            <w:hideMark/>
          </w:tcPr>
          <w:p w14:paraId="10659FB3"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25AC55F1"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5F69D611"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2 (286)</w:t>
            </w:r>
          </w:p>
        </w:tc>
        <w:tc>
          <w:tcPr>
            <w:tcW w:w="1701" w:type="dxa"/>
            <w:shd w:val="clear" w:color="auto" w:fill="auto"/>
            <w:vAlign w:val="center"/>
            <w:hideMark/>
          </w:tcPr>
          <w:p w14:paraId="7A462A01"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3.8 (0.9–13.2), 56%</w:t>
            </w:r>
          </w:p>
        </w:tc>
        <w:tc>
          <w:tcPr>
            <w:tcW w:w="850" w:type="dxa"/>
            <w:shd w:val="clear" w:color="auto" w:fill="auto"/>
            <w:vAlign w:val="center"/>
            <w:hideMark/>
          </w:tcPr>
          <w:p w14:paraId="70C674C7"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087ADF6C"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r>
      <w:tr w:rsidR="00A169F7" w:rsidRPr="00A169F7" w14:paraId="44B3BF46" w14:textId="77777777" w:rsidTr="422CAA86">
        <w:trPr>
          <w:trHeight w:val="24"/>
        </w:trPr>
        <w:tc>
          <w:tcPr>
            <w:tcW w:w="1630" w:type="dxa"/>
            <w:shd w:val="clear" w:color="auto" w:fill="auto"/>
            <w:vAlign w:val="center"/>
            <w:hideMark/>
          </w:tcPr>
          <w:p w14:paraId="7D685322"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Asian</w:t>
            </w:r>
          </w:p>
        </w:tc>
        <w:tc>
          <w:tcPr>
            <w:tcW w:w="567" w:type="dxa"/>
            <w:shd w:val="clear" w:color="auto" w:fill="auto"/>
            <w:vAlign w:val="center"/>
            <w:hideMark/>
          </w:tcPr>
          <w:p w14:paraId="264A2FAC"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NR (1)</w:t>
            </w:r>
          </w:p>
        </w:tc>
        <w:tc>
          <w:tcPr>
            <w:tcW w:w="1843" w:type="dxa"/>
            <w:shd w:val="clear" w:color="auto" w:fill="auto"/>
            <w:vAlign w:val="center"/>
            <w:hideMark/>
          </w:tcPr>
          <w:p w14:paraId="071397C1" w14:textId="5F4CB88A" w:rsidR="00A169F7" w:rsidRPr="00A169F7" w:rsidRDefault="00A169F7" w:rsidP="422CAA86">
            <w:pPr>
              <w:spacing w:before="0" w:after="0"/>
              <w:jc w:val="both"/>
              <w:rPr>
                <w:rFonts w:ascii="Arial Narrow" w:hAnsi="Arial Narrow"/>
                <w:b/>
                <w:bCs/>
                <w:color w:val="000000"/>
                <w:sz w:val="20"/>
                <w:szCs w:val="20"/>
                <w:lang w:eastAsia="en-AU"/>
              </w:rPr>
            </w:pPr>
            <w:r w:rsidRPr="422CAA86">
              <w:rPr>
                <w:rFonts w:ascii="Arial Narrow" w:hAnsi="Arial Narrow"/>
                <w:b/>
                <w:bCs/>
                <w:color w:val="000000" w:themeColor="text1"/>
                <w:sz w:val="20"/>
                <w:szCs w:val="20"/>
                <w:lang w:eastAsia="en-AU"/>
              </w:rPr>
              <w:t>27.3 (10.4–71.5)</w:t>
            </w:r>
            <w:r w:rsidRPr="422CAA86">
              <w:rPr>
                <w:rFonts w:ascii="Arial Narrow" w:hAnsi="Arial Narrow"/>
                <w:b/>
                <w:bCs/>
                <w:color w:val="000000" w:themeColor="text1"/>
                <w:sz w:val="20"/>
                <w:szCs w:val="20"/>
                <w:vertAlign w:val="superscript"/>
                <w:lang w:eastAsia="en-AU"/>
              </w:rPr>
              <w:t>a</w:t>
            </w:r>
            <w:r w:rsidRPr="422CAA86">
              <w:rPr>
                <w:rFonts w:ascii="Arial Narrow" w:hAnsi="Arial Narrow"/>
                <w:b/>
                <w:bCs/>
                <w:color w:val="000000" w:themeColor="text1"/>
                <w:sz w:val="20"/>
                <w:szCs w:val="20"/>
                <w:lang w:eastAsia="en-AU"/>
              </w:rPr>
              <w:t>, NR</w:t>
            </w:r>
            <w:r w:rsidR="00AF75E9" w:rsidRPr="422CAA86">
              <w:rPr>
                <w:rFonts w:ascii="Arial Narrow" w:hAnsi="Arial Narrow"/>
                <w:b/>
                <w:bCs/>
                <w:color w:val="000000" w:themeColor="text1"/>
                <w:sz w:val="20"/>
                <w:szCs w:val="20"/>
                <w:lang w:eastAsia="en-AU"/>
              </w:rPr>
              <w:t>†</w:t>
            </w:r>
          </w:p>
        </w:tc>
        <w:tc>
          <w:tcPr>
            <w:tcW w:w="709" w:type="dxa"/>
            <w:shd w:val="clear" w:color="auto" w:fill="auto"/>
            <w:vAlign w:val="center"/>
            <w:hideMark/>
          </w:tcPr>
          <w:p w14:paraId="15B1786B"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3 (477)</w:t>
            </w:r>
          </w:p>
        </w:tc>
        <w:tc>
          <w:tcPr>
            <w:tcW w:w="1701" w:type="dxa"/>
            <w:shd w:val="clear" w:color="auto" w:fill="auto"/>
            <w:vAlign w:val="center"/>
            <w:hideMark/>
          </w:tcPr>
          <w:p w14:paraId="54656847" w14:textId="799D3EDD" w:rsidR="00A169F7" w:rsidRPr="00A169F7" w:rsidRDefault="00A169F7" w:rsidP="00A169F7">
            <w:pPr>
              <w:spacing w:before="0" w:after="0"/>
              <w:jc w:val="both"/>
              <w:rPr>
                <w:rFonts w:ascii="Arial Narrow" w:hAnsi="Arial Narrow"/>
                <w:b/>
                <w:bCs/>
                <w:color w:val="000000"/>
                <w:sz w:val="20"/>
                <w:szCs w:val="20"/>
                <w:lang w:eastAsia="en-AU"/>
              </w:rPr>
            </w:pPr>
            <w:r w:rsidRPr="00A169F7">
              <w:rPr>
                <w:rFonts w:ascii="Arial Narrow" w:hAnsi="Arial Narrow"/>
                <w:b/>
                <w:bCs/>
                <w:color w:val="000000"/>
                <w:sz w:val="20"/>
                <w:szCs w:val="20"/>
                <w:lang w:eastAsia="en-AU"/>
              </w:rPr>
              <w:t>3.6 (1.1–11.7), 66%</w:t>
            </w:r>
            <w:r w:rsidR="00AF75E9" w:rsidRPr="009B341B">
              <w:rPr>
                <w:rFonts w:ascii="Arial Narrow" w:hAnsi="Arial Narrow"/>
                <w:b/>
                <w:bCs/>
                <w:color w:val="000000"/>
                <w:sz w:val="20"/>
                <w:szCs w:val="20"/>
                <w:lang w:eastAsia="en-AU"/>
              </w:rPr>
              <w:t>†</w:t>
            </w:r>
          </w:p>
        </w:tc>
        <w:tc>
          <w:tcPr>
            <w:tcW w:w="850" w:type="dxa"/>
            <w:shd w:val="clear" w:color="auto" w:fill="auto"/>
            <w:vAlign w:val="center"/>
            <w:hideMark/>
          </w:tcPr>
          <w:p w14:paraId="515E499A"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3 (477)</w:t>
            </w:r>
          </w:p>
        </w:tc>
        <w:tc>
          <w:tcPr>
            <w:tcW w:w="1843" w:type="dxa"/>
            <w:shd w:val="clear" w:color="auto" w:fill="auto"/>
            <w:vAlign w:val="center"/>
            <w:hideMark/>
          </w:tcPr>
          <w:p w14:paraId="293A82AC"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5.2 (0.7–37.2), 87%</w:t>
            </w:r>
          </w:p>
        </w:tc>
      </w:tr>
      <w:tr w:rsidR="00A169F7" w:rsidRPr="00A169F7" w14:paraId="10DBEC84" w14:textId="77777777" w:rsidTr="422CAA86">
        <w:trPr>
          <w:trHeight w:val="300"/>
        </w:trPr>
        <w:tc>
          <w:tcPr>
            <w:tcW w:w="9143" w:type="dxa"/>
            <w:gridSpan w:val="7"/>
            <w:shd w:val="clear" w:color="auto" w:fill="auto"/>
            <w:vAlign w:val="center"/>
            <w:hideMark/>
          </w:tcPr>
          <w:p w14:paraId="3EBDC283"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OXC-induced SCARs (versus tolerant controls)</w:t>
            </w:r>
          </w:p>
        </w:tc>
      </w:tr>
      <w:tr w:rsidR="00A169F7" w:rsidRPr="00A169F7" w14:paraId="7B71443B" w14:textId="77777777" w:rsidTr="422CAA86">
        <w:trPr>
          <w:trHeight w:val="300"/>
        </w:trPr>
        <w:tc>
          <w:tcPr>
            <w:tcW w:w="1630" w:type="dxa"/>
            <w:shd w:val="clear" w:color="auto" w:fill="auto"/>
            <w:vAlign w:val="center"/>
            <w:hideMark/>
          </w:tcPr>
          <w:p w14:paraId="600D3E05" w14:textId="65AB4211"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 xml:space="preserve">Combined </w:t>
            </w:r>
            <w:r w:rsidR="00741DFE">
              <w:rPr>
                <w:rFonts w:ascii="Arial Narrow" w:hAnsi="Arial Narrow"/>
                <w:color w:val="000000"/>
                <w:sz w:val="20"/>
                <w:szCs w:val="20"/>
                <w:lang w:eastAsia="en-AU"/>
              </w:rPr>
              <w:t>ancestry</w:t>
            </w:r>
          </w:p>
        </w:tc>
        <w:tc>
          <w:tcPr>
            <w:tcW w:w="567" w:type="dxa"/>
            <w:shd w:val="clear" w:color="auto" w:fill="auto"/>
            <w:vAlign w:val="center"/>
            <w:hideMark/>
          </w:tcPr>
          <w:p w14:paraId="77113D40"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6B67AE9E"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03A2D2AC"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701" w:type="dxa"/>
            <w:shd w:val="clear" w:color="auto" w:fill="auto"/>
            <w:vAlign w:val="center"/>
            <w:hideMark/>
          </w:tcPr>
          <w:p w14:paraId="1878B9EC"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850" w:type="dxa"/>
            <w:shd w:val="clear" w:color="auto" w:fill="auto"/>
            <w:vAlign w:val="center"/>
            <w:hideMark/>
          </w:tcPr>
          <w:p w14:paraId="6A81575E"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7F0199AB"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r>
      <w:tr w:rsidR="00A169F7" w:rsidRPr="00A169F7" w14:paraId="3E14D013" w14:textId="77777777" w:rsidTr="422CAA86">
        <w:trPr>
          <w:trHeight w:val="300"/>
        </w:trPr>
        <w:tc>
          <w:tcPr>
            <w:tcW w:w="1630" w:type="dxa"/>
            <w:shd w:val="clear" w:color="auto" w:fill="auto"/>
            <w:vAlign w:val="center"/>
            <w:hideMark/>
          </w:tcPr>
          <w:p w14:paraId="4353893D"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European</w:t>
            </w:r>
          </w:p>
        </w:tc>
        <w:tc>
          <w:tcPr>
            <w:tcW w:w="567" w:type="dxa"/>
            <w:shd w:val="clear" w:color="auto" w:fill="auto"/>
            <w:vAlign w:val="center"/>
            <w:hideMark/>
          </w:tcPr>
          <w:p w14:paraId="76C4C219"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75572A39"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2BFBB156"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701" w:type="dxa"/>
            <w:shd w:val="clear" w:color="auto" w:fill="auto"/>
            <w:vAlign w:val="center"/>
            <w:hideMark/>
          </w:tcPr>
          <w:p w14:paraId="71CF07FB"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850" w:type="dxa"/>
            <w:shd w:val="clear" w:color="auto" w:fill="auto"/>
            <w:vAlign w:val="center"/>
            <w:hideMark/>
          </w:tcPr>
          <w:p w14:paraId="2E721CEC"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2 (361)</w:t>
            </w:r>
          </w:p>
        </w:tc>
        <w:tc>
          <w:tcPr>
            <w:tcW w:w="1843" w:type="dxa"/>
            <w:shd w:val="clear" w:color="auto" w:fill="auto"/>
            <w:vAlign w:val="center"/>
            <w:hideMark/>
          </w:tcPr>
          <w:p w14:paraId="6ACC6392"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1.4 (0.1–25.3), 75%</w:t>
            </w:r>
          </w:p>
        </w:tc>
      </w:tr>
      <w:tr w:rsidR="00A169F7" w:rsidRPr="00A169F7" w14:paraId="75BA954C" w14:textId="77777777" w:rsidTr="422CAA86">
        <w:trPr>
          <w:trHeight w:val="300"/>
        </w:trPr>
        <w:tc>
          <w:tcPr>
            <w:tcW w:w="1630" w:type="dxa"/>
            <w:shd w:val="clear" w:color="auto" w:fill="auto"/>
            <w:vAlign w:val="center"/>
            <w:hideMark/>
          </w:tcPr>
          <w:p w14:paraId="3F7F4271"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Asian</w:t>
            </w:r>
          </w:p>
        </w:tc>
        <w:tc>
          <w:tcPr>
            <w:tcW w:w="567" w:type="dxa"/>
            <w:shd w:val="clear" w:color="auto" w:fill="auto"/>
            <w:vAlign w:val="center"/>
            <w:hideMark/>
          </w:tcPr>
          <w:p w14:paraId="1024C537"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6DAE927D"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5D36B880"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701" w:type="dxa"/>
            <w:shd w:val="clear" w:color="auto" w:fill="auto"/>
            <w:vAlign w:val="center"/>
            <w:hideMark/>
          </w:tcPr>
          <w:p w14:paraId="1750E058"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850" w:type="dxa"/>
            <w:shd w:val="clear" w:color="auto" w:fill="auto"/>
            <w:vAlign w:val="center"/>
            <w:hideMark/>
          </w:tcPr>
          <w:p w14:paraId="14BB3B48"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6DDDEC2E"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r>
      <w:tr w:rsidR="00A169F7" w:rsidRPr="00A169F7" w14:paraId="6A1D899F" w14:textId="77777777" w:rsidTr="422CAA86">
        <w:trPr>
          <w:trHeight w:val="300"/>
        </w:trPr>
        <w:tc>
          <w:tcPr>
            <w:tcW w:w="9143" w:type="dxa"/>
            <w:gridSpan w:val="7"/>
            <w:shd w:val="clear" w:color="auto" w:fill="auto"/>
            <w:vAlign w:val="center"/>
            <w:hideMark/>
          </w:tcPr>
          <w:p w14:paraId="11FE76BA" w14:textId="77777777" w:rsidR="00A169F7" w:rsidRPr="00A169F7" w:rsidRDefault="00A169F7" w:rsidP="00A169F7">
            <w:pPr>
              <w:spacing w:before="0" w:after="0"/>
              <w:jc w:val="both"/>
              <w:rPr>
                <w:rFonts w:ascii="Arial Narrow" w:hAnsi="Arial Narrow"/>
                <w:b/>
                <w:bCs/>
                <w:color w:val="000000"/>
                <w:sz w:val="20"/>
                <w:szCs w:val="20"/>
                <w:lang w:eastAsia="en-AU"/>
              </w:rPr>
            </w:pPr>
            <w:r w:rsidRPr="00A169F7">
              <w:rPr>
                <w:rFonts w:ascii="Arial Narrow" w:hAnsi="Arial Narrow"/>
                <w:b/>
                <w:bCs/>
                <w:color w:val="000000"/>
                <w:sz w:val="20"/>
                <w:szCs w:val="20"/>
                <w:lang w:eastAsia="en-AU"/>
              </w:rPr>
              <w:t>Individual SCARs</w:t>
            </w:r>
          </w:p>
        </w:tc>
      </w:tr>
      <w:tr w:rsidR="00A169F7" w:rsidRPr="00A169F7" w14:paraId="4193D76F" w14:textId="77777777" w:rsidTr="422CAA86">
        <w:trPr>
          <w:trHeight w:val="300"/>
        </w:trPr>
        <w:tc>
          <w:tcPr>
            <w:tcW w:w="9143" w:type="dxa"/>
            <w:gridSpan w:val="7"/>
            <w:shd w:val="clear" w:color="auto" w:fill="auto"/>
            <w:vAlign w:val="center"/>
            <w:hideMark/>
          </w:tcPr>
          <w:p w14:paraId="0A35809E"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CBZ-induced DRESS (versus tolerant controls)</w:t>
            </w:r>
          </w:p>
        </w:tc>
      </w:tr>
      <w:tr w:rsidR="00A169F7" w:rsidRPr="00A169F7" w14:paraId="41EF16EC" w14:textId="77777777" w:rsidTr="422CAA86">
        <w:trPr>
          <w:trHeight w:val="300"/>
        </w:trPr>
        <w:tc>
          <w:tcPr>
            <w:tcW w:w="1630" w:type="dxa"/>
            <w:shd w:val="clear" w:color="auto" w:fill="auto"/>
            <w:vAlign w:val="center"/>
            <w:hideMark/>
          </w:tcPr>
          <w:p w14:paraId="5FBC9357" w14:textId="7612858D"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 xml:space="preserve">Combined </w:t>
            </w:r>
            <w:r w:rsidR="00E730F9">
              <w:rPr>
                <w:rFonts w:ascii="Arial Narrow" w:hAnsi="Arial Narrow"/>
                <w:color w:val="000000"/>
                <w:sz w:val="20"/>
                <w:szCs w:val="20"/>
                <w:lang w:eastAsia="en-AU"/>
              </w:rPr>
              <w:t>ancestry</w:t>
            </w:r>
          </w:p>
        </w:tc>
        <w:tc>
          <w:tcPr>
            <w:tcW w:w="567" w:type="dxa"/>
            <w:shd w:val="clear" w:color="auto" w:fill="auto"/>
            <w:vAlign w:val="center"/>
            <w:hideMark/>
          </w:tcPr>
          <w:p w14:paraId="606D5E86"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5ED0266D"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725F0514"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6 (711)</w:t>
            </w:r>
          </w:p>
        </w:tc>
        <w:tc>
          <w:tcPr>
            <w:tcW w:w="1701" w:type="dxa"/>
            <w:shd w:val="clear" w:color="auto" w:fill="auto"/>
            <w:vAlign w:val="center"/>
            <w:hideMark/>
          </w:tcPr>
          <w:p w14:paraId="4252B62B" w14:textId="0A9B1C44" w:rsidR="00A169F7" w:rsidRPr="00A169F7" w:rsidRDefault="00A169F7" w:rsidP="00A169F7">
            <w:pPr>
              <w:spacing w:before="0" w:after="0"/>
              <w:jc w:val="both"/>
              <w:rPr>
                <w:rFonts w:ascii="Arial Narrow" w:hAnsi="Arial Narrow"/>
                <w:b/>
                <w:bCs/>
                <w:color w:val="000000"/>
                <w:sz w:val="20"/>
                <w:szCs w:val="20"/>
                <w:lang w:eastAsia="en-AU"/>
              </w:rPr>
            </w:pPr>
            <w:r w:rsidRPr="00A169F7">
              <w:rPr>
                <w:rFonts w:ascii="Arial Narrow" w:hAnsi="Arial Narrow"/>
                <w:b/>
                <w:bCs/>
                <w:color w:val="000000"/>
                <w:sz w:val="20"/>
                <w:szCs w:val="20"/>
                <w:lang w:eastAsia="en-AU"/>
              </w:rPr>
              <w:t>18.6 (9.8–35.2), 0%</w:t>
            </w:r>
            <w:r w:rsidR="00AF75E9" w:rsidRPr="009B341B">
              <w:rPr>
                <w:rFonts w:ascii="Arial Narrow" w:hAnsi="Arial Narrow"/>
                <w:b/>
                <w:bCs/>
                <w:color w:val="000000"/>
                <w:sz w:val="20"/>
                <w:szCs w:val="20"/>
                <w:lang w:eastAsia="en-AU"/>
              </w:rPr>
              <w:t>†</w:t>
            </w:r>
          </w:p>
        </w:tc>
        <w:tc>
          <w:tcPr>
            <w:tcW w:w="850" w:type="dxa"/>
            <w:shd w:val="clear" w:color="auto" w:fill="auto"/>
            <w:vAlign w:val="center"/>
            <w:hideMark/>
          </w:tcPr>
          <w:p w14:paraId="7A236AA8"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3BBFA378"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r>
      <w:tr w:rsidR="00A169F7" w:rsidRPr="00A169F7" w14:paraId="0AD0BDB7" w14:textId="77777777" w:rsidTr="422CAA86">
        <w:trPr>
          <w:trHeight w:val="300"/>
        </w:trPr>
        <w:tc>
          <w:tcPr>
            <w:tcW w:w="1630" w:type="dxa"/>
            <w:shd w:val="clear" w:color="auto" w:fill="auto"/>
            <w:vAlign w:val="center"/>
            <w:hideMark/>
          </w:tcPr>
          <w:p w14:paraId="0C4F3DE5"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European</w:t>
            </w:r>
          </w:p>
        </w:tc>
        <w:tc>
          <w:tcPr>
            <w:tcW w:w="567" w:type="dxa"/>
            <w:shd w:val="clear" w:color="auto" w:fill="auto"/>
            <w:vAlign w:val="center"/>
            <w:hideMark/>
          </w:tcPr>
          <w:p w14:paraId="57062BB8"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22C80E28"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6FD3E5FA"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3 (387)</w:t>
            </w:r>
          </w:p>
        </w:tc>
        <w:tc>
          <w:tcPr>
            <w:tcW w:w="1701" w:type="dxa"/>
            <w:shd w:val="clear" w:color="auto" w:fill="auto"/>
            <w:vAlign w:val="center"/>
            <w:hideMark/>
          </w:tcPr>
          <w:p w14:paraId="2F2A92AB" w14:textId="451AD205" w:rsidR="00A169F7" w:rsidRPr="00A169F7" w:rsidRDefault="00A169F7" w:rsidP="00A169F7">
            <w:pPr>
              <w:spacing w:before="0" w:after="0"/>
              <w:jc w:val="both"/>
              <w:rPr>
                <w:rFonts w:ascii="Arial Narrow" w:hAnsi="Arial Narrow"/>
                <w:b/>
                <w:bCs/>
                <w:color w:val="000000"/>
                <w:sz w:val="20"/>
                <w:szCs w:val="20"/>
                <w:lang w:eastAsia="en-AU"/>
              </w:rPr>
            </w:pPr>
            <w:r w:rsidRPr="00A169F7">
              <w:rPr>
                <w:rFonts w:ascii="Arial Narrow" w:hAnsi="Arial Narrow"/>
                <w:b/>
                <w:bCs/>
                <w:color w:val="000000"/>
                <w:sz w:val="20"/>
                <w:szCs w:val="20"/>
                <w:lang w:eastAsia="en-AU"/>
              </w:rPr>
              <w:t>39.8 (13.3–119.1), 0%</w:t>
            </w:r>
            <w:r w:rsidR="00AF75E9" w:rsidRPr="009B341B">
              <w:rPr>
                <w:rFonts w:ascii="Arial Narrow" w:hAnsi="Arial Narrow"/>
                <w:b/>
                <w:bCs/>
                <w:color w:val="000000"/>
                <w:sz w:val="20"/>
                <w:szCs w:val="20"/>
                <w:lang w:eastAsia="en-AU"/>
              </w:rPr>
              <w:t>†</w:t>
            </w:r>
          </w:p>
        </w:tc>
        <w:tc>
          <w:tcPr>
            <w:tcW w:w="850" w:type="dxa"/>
            <w:shd w:val="clear" w:color="auto" w:fill="auto"/>
            <w:vAlign w:val="center"/>
            <w:hideMark/>
          </w:tcPr>
          <w:p w14:paraId="0F4984DD"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127AC47D"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r>
      <w:tr w:rsidR="00A169F7" w:rsidRPr="00A169F7" w14:paraId="748518CE" w14:textId="77777777" w:rsidTr="422CAA86">
        <w:trPr>
          <w:trHeight w:val="300"/>
        </w:trPr>
        <w:tc>
          <w:tcPr>
            <w:tcW w:w="1630" w:type="dxa"/>
            <w:shd w:val="clear" w:color="auto" w:fill="auto"/>
            <w:vAlign w:val="center"/>
            <w:hideMark/>
          </w:tcPr>
          <w:p w14:paraId="050AC1D8"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Asian</w:t>
            </w:r>
          </w:p>
        </w:tc>
        <w:tc>
          <w:tcPr>
            <w:tcW w:w="567" w:type="dxa"/>
            <w:shd w:val="clear" w:color="auto" w:fill="auto"/>
            <w:vAlign w:val="center"/>
            <w:hideMark/>
          </w:tcPr>
          <w:p w14:paraId="08BB1CF7"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0D52EAA1"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40FFCD1F"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3 (324)</w:t>
            </w:r>
          </w:p>
        </w:tc>
        <w:tc>
          <w:tcPr>
            <w:tcW w:w="1701" w:type="dxa"/>
            <w:shd w:val="clear" w:color="auto" w:fill="auto"/>
            <w:vAlign w:val="center"/>
            <w:hideMark/>
          </w:tcPr>
          <w:p w14:paraId="306D05AA" w14:textId="19215C94" w:rsidR="00A169F7" w:rsidRPr="00A169F7" w:rsidRDefault="00A169F7" w:rsidP="00A169F7">
            <w:pPr>
              <w:spacing w:before="0" w:after="0"/>
              <w:jc w:val="both"/>
              <w:rPr>
                <w:rFonts w:ascii="Arial Narrow" w:hAnsi="Arial Narrow"/>
                <w:b/>
                <w:bCs/>
                <w:color w:val="000000"/>
                <w:sz w:val="20"/>
                <w:szCs w:val="20"/>
                <w:lang w:eastAsia="en-AU"/>
              </w:rPr>
            </w:pPr>
            <w:r w:rsidRPr="00A169F7">
              <w:rPr>
                <w:rFonts w:ascii="Arial Narrow" w:hAnsi="Arial Narrow"/>
                <w:b/>
                <w:bCs/>
                <w:color w:val="000000"/>
                <w:sz w:val="20"/>
                <w:szCs w:val="20"/>
                <w:lang w:eastAsia="en-AU"/>
              </w:rPr>
              <w:t>12.5 (5.7–27.5), 0%</w:t>
            </w:r>
            <w:r w:rsidR="00AF75E9" w:rsidRPr="009B341B">
              <w:rPr>
                <w:rFonts w:ascii="Arial Narrow" w:hAnsi="Arial Narrow"/>
                <w:b/>
                <w:bCs/>
                <w:color w:val="000000"/>
                <w:sz w:val="20"/>
                <w:szCs w:val="20"/>
                <w:lang w:eastAsia="en-AU"/>
              </w:rPr>
              <w:t>†</w:t>
            </w:r>
          </w:p>
        </w:tc>
        <w:tc>
          <w:tcPr>
            <w:tcW w:w="850" w:type="dxa"/>
            <w:shd w:val="clear" w:color="auto" w:fill="auto"/>
            <w:vAlign w:val="center"/>
            <w:hideMark/>
          </w:tcPr>
          <w:p w14:paraId="617F17B5"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63BD697F"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r>
      <w:tr w:rsidR="00A169F7" w:rsidRPr="00A169F7" w14:paraId="246A0B25" w14:textId="77777777" w:rsidTr="422CAA86">
        <w:trPr>
          <w:trHeight w:val="300"/>
        </w:trPr>
        <w:tc>
          <w:tcPr>
            <w:tcW w:w="9143" w:type="dxa"/>
            <w:gridSpan w:val="7"/>
            <w:shd w:val="clear" w:color="auto" w:fill="auto"/>
            <w:vAlign w:val="center"/>
            <w:hideMark/>
          </w:tcPr>
          <w:p w14:paraId="311597B7"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OXC-induced DRESS (versus tolerant controls)</w:t>
            </w:r>
          </w:p>
        </w:tc>
      </w:tr>
      <w:tr w:rsidR="00A169F7" w:rsidRPr="00A169F7" w14:paraId="3C4B850A" w14:textId="77777777" w:rsidTr="422CAA86">
        <w:trPr>
          <w:trHeight w:val="300"/>
        </w:trPr>
        <w:tc>
          <w:tcPr>
            <w:tcW w:w="1630" w:type="dxa"/>
            <w:shd w:val="clear" w:color="auto" w:fill="auto"/>
            <w:vAlign w:val="center"/>
            <w:hideMark/>
          </w:tcPr>
          <w:p w14:paraId="133A3EBF" w14:textId="3F9A6A55"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 xml:space="preserve">Combined </w:t>
            </w:r>
            <w:r w:rsidR="00741DFE">
              <w:rPr>
                <w:rFonts w:ascii="Arial Narrow" w:hAnsi="Arial Narrow"/>
                <w:color w:val="000000"/>
                <w:sz w:val="20"/>
                <w:szCs w:val="20"/>
                <w:lang w:eastAsia="en-AU"/>
              </w:rPr>
              <w:t>ancestry</w:t>
            </w:r>
          </w:p>
        </w:tc>
        <w:tc>
          <w:tcPr>
            <w:tcW w:w="567" w:type="dxa"/>
            <w:shd w:val="clear" w:color="auto" w:fill="auto"/>
            <w:vAlign w:val="center"/>
            <w:hideMark/>
          </w:tcPr>
          <w:p w14:paraId="3C85D09F"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74A1362E"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67A87B6B"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701" w:type="dxa"/>
            <w:shd w:val="clear" w:color="auto" w:fill="auto"/>
            <w:vAlign w:val="center"/>
            <w:hideMark/>
          </w:tcPr>
          <w:p w14:paraId="4593A9B0"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850" w:type="dxa"/>
            <w:shd w:val="clear" w:color="auto" w:fill="auto"/>
            <w:vAlign w:val="center"/>
            <w:hideMark/>
          </w:tcPr>
          <w:p w14:paraId="4CE19B67"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0613AFCA"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r>
      <w:tr w:rsidR="00A169F7" w:rsidRPr="00A169F7" w14:paraId="204C1413" w14:textId="77777777" w:rsidTr="422CAA86">
        <w:trPr>
          <w:trHeight w:val="300"/>
        </w:trPr>
        <w:tc>
          <w:tcPr>
            <w:tcW w:w="1630" w:type="dxa"/>
            <w:shd w:val="clear" w:color="auto" w:fill="auto"/>
            <w:vAlign w:val="center"/>
            <w:hideMark/>
          </w:tcPr>
          <w:p w14:paraId="383BB45D"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lastRenderedPageBreak/>
              <w:t>European</w:t>
            </w:r>
          </w:p>
        </w:tc>
        <w:tc>
          <w:tcPr>
            <w:tcW w:w="567" w:type="dxa"/>
            <w:shd w:val="clear" w:color="auto" w:fill="auto"/>
            <w:vAlign w:val="center"/>
            <w:hideMark/>
          </w:tcPr>
          <w:p w14:paraId="6583248E"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731E5471"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6D9A72BA"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701" w:type="dxa"/>
            <w:shd w:val="clear" w:color="auto" w:fill="auto"/>
            <w:vAlign w:val="center"/>
            <w:hideMark/>
          </w:tcPr>
          <w:p w14:paraId="59303730"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850" w:type="dxa"/>
            <w:shd w:val="clear" w:color="auto" w:fill="auto"/>
            <w:vAlign w:val="center"/>
            <w:hideMark/>
          </w:tcPr>
          <w:p w14:paraId="29C222C0"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17BBF253"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r>
      <w:tr w:rsidR="00A169F7" w:rsidRPr="00A169F7" w14:paraId="548D614A" w14:textId="77777777" w:rsidTr="422CAA86">
        <w:trPr>
          <w:trHeight w:val="300"/>
        </w:trPr>
        <w:tc>
          <w:tcPr>
            <w:tcW w:w="1630" w:type="dxa"/>
            <w:shd w:val="clear" w:color="auto" w:fill="auto"/>
            <w:vAlign w:val="center"/>
            <w:hideMark/>
          </w:tcPr>
          <w:p w14:paraId="21AAE00A"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Asian</w:t>
            </w:r>
          </w:p>
        </w:tc>
        <w:tc>
          <w:tcPr>
            <w:tcW w:w="567" w:type="dxa"/>
            <w:shd w:val="clear" w:color="auto" w:fill="auto"/>
            <w:vAlign w:val="center"/>
            <w:hideMark/>
          </w:tcPr>
          <w:p w14:paraId="3361AFE2"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45A5392F"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6E8F8FDF"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701" w:type="dxa"/>
            <w:shd w:val="clear" w:color="auto" w:fill="auto"/>
            <w:vAlign w:val="center"/>
            <w:hideMark/>
          </w:tcPr>
          <w:p w14:paraId="148F4903"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850" w:type="dxa"/>
            <w:shd w:val="clear" w:color="auto" w:fill="auto"/>
            <w:vAlign w:val="center"/>
            <w:hideMark/>
          </w:tcPr>
          <w:p w14:paraId="57F0BA40"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49261200"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r>
      <w:tr w:rsidR="00A169F7" w:rsidRPr="00A169F7" w14:paraId="269C9B67" w14:textId="77777777" w:rsidTr="422CAA86">
        <w:trPr>
          <w:trHeight w:val="300"/>
        </w:trPr>
        <w:tc>
          <w:tcPr>
            <w:tcW w:w="9143" w:type="dxa"/>
            <w:gridSpan w:val="7"/>
            <w:shd w:val="clear" w:color="auto" w:fill="auto"/>
            <w:vAlign w:val="center"/>
            <w:hideMark/>
          </w:tcPr>
          <w:p w14:paraId="4EDA452C"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CBZ-induced SJS-TEN (versus tolerant controls)</w:t>
            </w:r>
          </w:p>
        </w:tc>
      </w:tr>
      <w:tr w:rsidR="00A169F7" w:rsidRPr="00A169F7" w14:paraId="043C80D1" w14:textId="77777777" w:rsidTr="422CAA86">
        <w:trPr>
          <w:trHeight w:val="300"/>
        </w:trPr>
        <w:tc>
          <w:tcPr>
            <w:tcW w:w="1630" w:type="dxa"/>
            <w:shd w:val="clear" w:color="auto" w:fill="auto"/>
            <w:vAlign w:val="center"/>
            <w:hideMark/>
          </w:tcPr>
          <w:p w14:paraId="61027FE7" w14:textId="21EE1F50"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 xml:space="preserve">Combined </w:t>
            </w:r>
            <w:r w:rsidR="00741DFE">
              <w:rPr>
                <w:rFonts w:ascii="Arial Narrow" w:hAnsi="Arial Narrow"/>
                <w:color w:val="000000"/>
                <w:sz w:val="20"/>
                <w:szCs w:val="20"/>
                <w:lang w:eastAsia="en-AU"/>
              </w:rPr>
              <w:t>ancestry</w:t>
            </w:r>
          </w:p>
        </w:tc>
        <w:tc>
          <w:tcPr>
            <w:tcW w:w="567" w:type="dxa"/>
            <w:shd w:val="clear" w:color="auto" w:fill="auto"/>
            <w:vAlign w:val="center"/>
            <w:hideMark/>
          </w:tcPr>
          <w:p w14:paraId="37F1B7AE"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4F20643A"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28B1F2FE"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9 (1438)</w:t>
            </w:r>
          </w:p>
        </w:tc>
        <w:tc>
          <w:tcPr>
            <w:tcW w:w="1701" w:type="dxa"/>
            <w:shd w:val="clear" w:color="auto" w:fill="auto"/>
            <w:vAlign w:val="center"/>
            <w:hideMark/>
          </w:tcPr>
          <w:p w14:paraId="4DC3BFA8" w14:textId="3B3AFE82" w:rsidR="00A169F7" w:rsidRPr="00A169F7" w:rsidRDefault="00A169F7" w:rsidP="00A169F7">
            <w:pPr>
              <w:spacing w:before="0" w:after="0"/>
              <w:jc w:val="both"/>
              <w:rPr>
                <w:rFonts w:ascii="Arial Narrow" w:hAnsi="Arial Narrow"/>
                <w:b/>
                <w:bCs/>
                <w:color w:val="000000"/>
                <w:sz w:val="20"/>
                <w:szCs w:val="20"/>
                <w:lang w:eastAsia="en-AU"/>
              </w:rPr>
            </w:pPr>
            <w:r w:rsidRPr="00A169F7">
              <w:rPr>
                <w:rFonts w:ascii="Arial Narrow" w:hAnsi="Arial Narrow"/>
                <w:b/>
                <w:bCs/>
                <w:color w:val="000000"/>
                <w:sz w:val="20"/>
                <w:szCs w:val="20"/>
                <w:lang w:eastAsia="en-AU"/>
              </w:rPr>
              <w:t>1.9 (1.0</w:t>
            </w:r>
            <w:r w:rsidR="002C4885">
              <w:rPr>
                <w:rFonts w:ascii="Arial Narrow" w:hAnsi="Arial Narrow"/>
                <w:b/>
                <w:bCs/>
                <w:color w:val="000000"/>
                <w:sz w:val="20"/>
                <w:szCs w:val="20"/>
                <w:lang w:eastAsia="en-AU"/>
              </w:rPr>
              <w:t>1</w:t>
            </w:r>
            <w:r w:rsidRPr="00A169F7">
              <w:rPr>
                <w:rFonts w:ascii="Arial Narrow" w:hAnsi="Arial Narrow"/>
                <w:b/>
                <w:bCs/>
                <w:color w:val="000000"/>
                <w:sz w:val="20"/>
                <w:szCs w:val="20"/>
                <w:lang w:eastAsia="en-AU"/>
              </w:rPr>
              <w:t>–3.5), 0%</w:t>
            </w:r>
            <w:r w:rsidR="002C4885" w:rsidRPr="009B341B">
              <w:rPr>
                <w:rFonts w:ascii="Arial Narrow" w:hAnsi="Arial Narrow"/>
                <w:b/>
                <w:bCs/>
                <w:color w:val="000000"/>
                <w:sz w:val="20"/>
                <w:szCs w:val="20"/>
                <w:lang w:eastAsia="en-AU"/>
              </w:rPr>
              <w:t>†</w:t>
            </w:r>
          </w:p>
        </w:tc>
        <w:tc>
          <w:tcPr>
            <w:tcW w:w="850" w:type="dxa"/>
            <w:shd w:val="clear" w:color="auto" w:fill="auto"/>
            <w:vAlign w:val="center"/>
            <w:hideMark/>
          </w:tcPr>
          <w:p w14:paraId="699C7183"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9 (1286)</w:t>
            </w:r>
          </w:p>
        </w:tc>
        <w:tc>
          <w:tcPr>
            <w:tcW w:w="1843" w:type="dxa"/>
            <w:shd w:val="clear" w:color="auto" w:fill="auto"/>
            <w:vAlign w:val="center"/>
            <w:hideMark/>
          </w:tcPr>
          <w:p w14:paraId="31BB947E" w14:textId="7A93527D" w:rsidR="00A169F7" w:rsidRPr="00A169F7" w:rsidRDefault="00A169F7" w:rsidP="00A169F7">
            <w:pPr>
              <w:spacing w:before="0" w:after="0"/>
              <w:jc w:val="both"/>
              <w:rPr>
                <w:rFonts w:ascii="Arial Narrow" w:hAnsi="Arial Narrow"/>
                <w:b/>
                <w:bCs/>
                <w:color w:val="000000"/>
                <w:sz w:val="20"/>
                <w:szCs w:val="20"/>
                <w:lang w:eastAsia="en-AU"/>
              </w:rPr>
            </w:pPr>
            <w:r w:rsidRPr="00A169F7">
              <w:rPr>
                <w:rFonts w:ascii="Arial Narrow" w:hAnsi="Arial Narrow"/>
                <w:b/>
                <w:bCs/>
                <w:color w:val="000000"/>
                <w:sz w:val="20"/>
                <w:szCs w:val="20"/>
                <w:lang w:eastAsia="en-AU"/>
              </w:rPr>
              <w:t>31.3 (16.7–58.4), 51%</w:t>
            </w:r>
            <w:r w:rsidR="002C4885" w:rsidRPr="009B341B">
              <w:rPr>
                <w:rFonts w:ascii="Arial Narrow" w:hAnsi="Arial Narrow"/>
                <w:b/>
                <w:bCs/>
                <w:color w:val="000000"/>
                <w:sz w:val="20"/>
                <w:szCs w:val="20"/>
                <w:lang w:eastAsia="en-AU"/>
              </w:rPr>
              <w:t>†</w:t>
            </w:r>
          </w:p>
        </w:tc>
      </w:tr>
      <w:tr w:rsidR="00A169F7" w:rsidRPr="00A169F7" w14:paraId="0D732B22" w14:textId="77777777" w:rsidTr="422CAA86">
        <w:trPr>
          <w:trHeight w:val="300"/>
        </w:trPr>
        <w:tc>
          <w:tcPr>
            <w:tcW w:w="1630" w:type="dxa"/>
            <w:shd w:val="clear" w:color="auto" w:fill="auto"/>
            <w:vAlign w:val="center"/>
            <w:hideMark/>
          </w:tcPr>
          <w:p w14:paraId="202679A4"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European</w:t>
            </w:r>
          </w:p>
        </w:tc>
        <w:tc>
          <w:tcPr>
            <w:tcW w:w="567" w:type="dxa"/>
            <w:shd w:val="clear" w:color="auto" w:fill="auto"/>
            <w:vAlign w:val="center"/>
            <w:hideMark/>
          </w:tcPr>
          <w:p w14:paraId="7F154664"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6E3A64E9"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513E1EC7"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3 (398)</w:t>
            </w:r>
          </w:p>
        </w:tc>
        <w:tc>
          <w:tcPr>
            <w:tcW w:w="1701" w:type="dxa"/>
            <w:shd w:val="clear" w:color="auto" w:fill="auto"/>
            <w:vAlign w:val="center"/>
            <w:hideMark/>
          </w:tcPr>
          <w:p w14:paraId="572F93EE" w14:textId="1C9B9209" w:rsidR="00A169F7" w:rsidRPr="00A169F7" w:rsidRDefault="00A169F7" w:rsidP="00A169F7">
            <w:pPr>
              <w:spacing w:before="0" w:after="0"/>
              <w:jc w:val="both"/>
              <w:rPr>
                <w:rFonts w:ascii="Arial Narrow" w:hAnsi="Arial Narrow"/>
                <w:b/>
                <w:bCs/>
                <w:color w:val="000000"/>
                <w:sz w:val="20"/>
                <w:szCs w:val="20"/>
                <w:lang w:eastAsia="en-AU"/>
              </w:rPr>
            </w:pPr>
            <w:r w:rsidRPr="00A169F7">
              <w:rPr>
                <w:rFonts w:ascii="Arial Narrow" w:hAnsi="Arial Narrow"/>
                <w:b/>
                <w:bCs/>
                <w:color w:val="000000"/>
                <w:sz w:val="20"/>
                <w:szCs w:val="20"/>
                <w:lang w:eastAsia="en-AU"/>
              </w:rPr>
              <w:t>3.5 (1.1–11.3), 0%</w:t>
            </w:r>
            <w:r w:rsidR="002C4885" w:rsidRPr="009B341B">
              <w:rPr>
                <w:rFonts w:ascii="Arial Narrow" w:hAnsi="Arial Narrow"/>
                <w:b/>
                <w:bCs/>
                <w:color w:val="000000"/>
                <w:sz w:val="20"/>
                <w:szCs w:val="20"/>
                <w:lang w:eastAsia="en-AU"/>
              </w:rPr>
              <w:t>†</w:t>
            </w:r>
          </w:p>
        </w:tc>
        <w:tc>
          <w:tcPr>
            <w:tcW w:w="850" w:type="dxa"/>
            <w:shd w:val="clear" w:color="auto" w:fill="auto"/>
            <w:vAlign w:val="center"/>
            <w:hideMark/>
          </w:tcPr>
          <w:p w14:paraId="574AF0EB"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2 (184)</w:t>
            </w:r>
          </w:p>
        </w:tc>
        <w:tc>
          <w:tcPr>
            <w:tcW w:w="1843" w:type="dxa"/>
            <w:shd w:val="clear" w:color="auto" w:fill="auto"/>
            <w:vAlign w:val="center"/>
            <w:hideMark/>
          </w:tcPr>
          <w:p w14:paraId="710950F1" w14:textId="721099B6" w:rsidR="00A169F7" w:rsidRPr="00A169F7" w:rsidRDefault="00A169F7" w:rsidP="00A169F7">
            <w:pPr>
              <w:spacing w:before="0" w:after="0"/>
              <w:jc w:val="both"/>
              <w:rPr>
                <w:rFonts w:ascii="Arial Narrow" w:hAnsi="Arial Narrow"/>
                <w:b/>
                <w:bCs/>
                <w:color w:val="000000"/>
                <w:sz w:val="20"/>
                <w:szCs w:val="20"/>
                <w:lang w:eastAsia="en-AU"/>
              </w:rPr>
            </w:pPr>
            <w:r w:rsidRPr="00A169F7">
              <w:rPr>
                <w:rFonts w:ascii="Arial Narrow" w:hAnsi="Arial Narrow"/>
                <w:b/>
                <w:bCs/>
                <w:color w:val="000000"/>
                <w:sz w:val="20"/>
                <w:szCs w:val="20"/>
                <w:lang w:eastAsia="en-AU"/>
              </w:rPr>
              <w:t>44.2 (6.0–327.5), 0%</w:t>
            </w:r>
            <w:r w:rsidR="002C4885" w:rsidRPr="009B341B">
              <w:rPr>
                <w:rFonts w:ascii="Arial Narrow" w:hAnsi="Arial Narrow"/>
                <w:b/>
                <w:bCs/>
                <w:color w:val="000000"/>
                <w:sz w:val="20"/>
                <w:szCs w:val="20"/>
                <w:lang w:eastAsia="en-AU"/>
              </w:rPr>
              <w:t>†</w:t>
            </w:r>
          </w:p>
        </w:tc>
      </w:tr>
      <w:tr w:rsidR="00A169F7" w:rsidRPr="00A169F7" w14:paraId="047AF7E2" w14:textId="77777777" w:rsidTr="422CAA86">
        <w:trPr>
          <w:trHeight w:val="300"/>
        </w:trPr>
        <w:tc>
          <w:tcPr>
            <w:tcW w:w="1630" w:type="dxa"/>
            <w:shd w:val="clear" w:color="auto" w:fill="auto"/>
            <w:vAlign w:val="center"/>
            <w:hideMark/>
          </w:tcPr>
          <w:p w14:paraId="164A7B50"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Asian</w:t>
            </w:r>
          </w:p>
        </w:tc>
        <w:tc>
          <w:tcPr>
            <w:tcW w:w="567" w:type="dxa"/>
            <w:shd w:val="clear" w:color="auto" w:fill="auto"/>
            <w:vAlign w:val="center"/>
            <w:hideMark/>
          </w:tcPr>
          <w:p w14:paraId="42697C3C"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63CFF145"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3B67DE5A"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6 (1040)</w:t>
            </w:r>
          </w:p>
        </w:tc>
        <w:tc>
          <w:tcPr>
            <w:tcW w:w="1701" w:type="dxa"/>
            <w:shd w:val="clear" w:color="auto" w:fill="auto"/>
            <w:vAlign w:val="center"/>
            <w:hideMark/>
          </w:tcPr>
          <w:p w14:paraId="1AC9E6F5"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1.5 (0.7–3.1), 8%</w:t>
            </w:r>
          </w:p>
        </w:tc>
        <w:tc>
          <w:tcPr>
            <w:tcW w:w="850" w:type="dxa"/>
            <w:shd w:val="clear" w:color="auto" w:fill="auto"/>
            <w:vAlign w:val="center"/>
            <w:hideMark/>
          </w:tcPr>
          <w:p w14:paraId="4EAE0AB0"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7 (1102)</w:t>
            </w:r>
          </w:p>
        </w:tc>
        <w:tc>
          <w:tcPr>
            <w:tcW w:w="1843" w:type="dxa"/>
            <w:shd w:val="clear" w:color="auto" w:fill="auto"/>
            <w:vAlign w:val="center"/>
            <w:hideMark/>
          </w:tcPr>
          <w:p w14:paraId="05DCD8EF" w14:textId="47BFC023" w:rsidR="00A169F7" w:rsidRPr="00A169F7" w:rsidRDefault="00A169F7" w:rsidP="00A169F7">
            <w:pPr>
              <w:spacing w:before="0" w:after="0"/>
              <w:jc w:val="both"/>
              <w:rPr>
                <w:rFonts w:ascii="Arial Narrow" w:hAnsi="Arial Narrow"/>
                <w:b/>
                <w:bCs/>
                <w:color w:val="000000"/>
                <w:sz w:val="20"/>
                <w:szCs w:val="20"/>
                <w:lang w:eastAsia="en-AU"/>
              </w:rPr>
            </w:pPr>
            <w:r w:rsidRPr="00A169F7">
              <w:rPr>
                <w:rFonts w:ascii="Arial Narrow" w:hAnsi="Arial Narrow"/>
                <w:b/>
                <w:bCs/>
                <w:color w:val="000000"/>
                <w:sz w:val="20"/>
                <w:szCs w:val="20"/>
                <w:lang w:eastAsia="en-AU"/>
              </w:rPr>
              <w:t>30.4 (15.1–61.6), 63%</w:t>
            </w:r>
            <w:r w:rsidR="002C4885" w:rsidRPr="009B341B">
              <w:rPr>
                <w:rFonts w:ascii="Arial Narrow" w:hAnsi="Arial Narrow"/>
                <w:b/>
                <w:bCs/>
                <w:color w:val="000000"/>
                <w:sz w:val="20"/>
                <w:szCs w:val="20"/>
                <w:lang w:eastAsia="en-AU"/>
              </w:rPr>
              <w:t>†</w:t>
            </w:r>
          </w:p>
        </w:tc>
      </w:tr>
      <w:tr w:rsidR="00A169F7" w:rsidRPr="00A169F7" w14:paraId="7AE216C7" w14:textId="77777777" w:rsidTr="422CAA86">
        <w:trPr>
          <w:trHeight w:val="300"/>
        </w:trPr>
        <w:tc>
          <w:tcPr>
            <w:tcW w:w="9143" w:type="dxa"/>
            <w:gridSpan w:val="7"/>
            <w:shd w:val="clear" w:color="auto" w:fill="auto"/>
            <w:vAlign w:val="center"/>
            <w:hideMark/>
          </w:tcPr>
          <w:p w14:paraId="7C844F45"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OXC-induced SJS-TEN (versus tolerant controls)</w:t>
            </w:r>
          </w:p>
        </w:tc>
      </w:tr>
      <w:tr w:rsidR="00A169F7" w:rsidRPr="00A169F7" w14:paraId="51AB53ED" w14:textId="77777777" w:rsidTr="422CAA86">
        <w:trPr>
          <w:trHeight w:val="300"/>
        </w:trPr>
        <w:tc>
          <w:tcPr>
            <w:tcW w:w="1630" w:type="dxa"/>
            <w:shd w:val="clear" w:color="auto" w:fill="auto"/>
            <w:vAlign w:val="center"/>
            <w:hideMark/>
          </w:tcPr>
          <w:p w14:paraId="4E90D54A" w14:textId="47341123"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 xml:space="preserve">Combined </w:t>
            </w:r>
            <w:r w:rsidR="00741DFE">
              <w:rPr>
                <w:rFonts w:ascii="Arial Narrow" w:hAnsi="Arial Narrow"/>
                <w:color w:val="000000"/>
                <w:sz w:val="20"/>
                <w:szCs w:val="20"/>
                <w:lang w:eastAsia="en-AU"/>
              </w:rPr>
              <w:t>ancestry</w:t>
            </w:r>
          </w:p>
        </w:tc>
        <w:tc>
          <w:tcPr>
            <w:tcW w:w="567" w:type="dxa"/>
            <w:shd w:val="clear" w:color="auto" w:fill="auto"/>
            <w:vAlign w:val="center"/>
            <w:hideMark/>
          </w:tcPr>
          <w:p w14:paraId="2553619C"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0AD45C77"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0FEBFCF4"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701" w:type="dxa"/>
            <w:shd w:val="clear" w:color="auto" w:fill="auto"/>
            <w:vAlign w:val="center"/>
            <w:hideMark/>
          </w:tcPr>
          <w:p w14:paraId="6B53C733"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850" w:type="dxa"/>
            <w:shd w:val="clear" w:color="auto" w:fill="auto"/>
            <w:vAlign w:val="center"/>
            <w:hideMark/>
          </w:tcPr>
          <w:p w14:paraId="080DCFF7"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14EFE184"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r>
      <w:tr w:rsidR="00A169F7" w:rsidRPr="00A169F7" w14:paraId="1FC18169" w14:textId="77777777" w:rsidTr="422CAA86">
        <w:trPr>
          <w:trHeight w:val="300"/>
        </w:trPr>
        <w:tc>
          <w:tcPr>
            <w:tcW w:w="1630" w:type="dxa"/>
            <w:shd w:val="clear" w:color="auto" w:fill="auto"/>
            <w:vAlign w:val="center"/>
            <w:hideMark/>
          </w:tcPr>
          <w:p w14:paraId="34BF962C"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European</w:t>
            </w:r>
          </w:p>
        </w:tc>
        <w:tc>
          <w:tcPr>
            <w:tcW w:w="567" w:type="dxa"/>
            <w:shd w:val="clear" w:color="auto" w:fill="auto"/>
            <w:vAlign w:val="center"/>
            <w:hideMark/>
          </w:tcPr>
          <w:p w14:paraId="34F0DF1E"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17AC402B"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462662ED"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701" w:type="dxa"/>
            <w:shd w:val="clear" w:color="auto" w:fill="auto"/>
            <w:vAlign w:val="center"/>
            <w:hideMark/>
          </w:tcPr>
          <w:p w14:paraId="49ADE581"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850" w:type="dxa"/>
            <w:shd w:val="clear" w:color="auto" w:fill="auto"/>
            <w:vAlign w:val="center"/>
            <w:hideMark/>
          </w:tcPr>
          <w:p w14:paraId="2F4A63AD"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53DEA735"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r>
      <w:tr w:rsidR="00A169F7" w:rsidRPr="00A169F7" w14:paraId="5F931E43" w14:textId="77777777" w:rsidTr="422CAA86">
        <w:trPr>
          <w:trHeight w:val="300"/>
        </w:trPr>
        <w:tc>
          <w:tcPr>
            <w:tcW w:w="1630" w:type="dxa"/>
            <w:shd w:val="clear" w:color="auto" w:fill="auto"/>
            <w:vAlign w:val="center"/>
            <w:hideMark/>
          </w:tcPr>
          <w:p w14:paraId="5D8E54DC"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Asian</w:t>
            </w:r>
          </w:p>
        </w:tc>
        <w:tc>
          <w:tcPr>
            <w:tcW w:w="567" w:type="dxa"/>
            <w:shd w:val="clear" w:color="auto" w:fill="auto"/>
            <w:vAlign w:val="center"/>
            <w:hideMark/>
          </w:tcPr>
          <w:p w14:paraId="385A7335"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010298B1"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5BA86902"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701" w:type="dxa"/>
            <w:shd w:val="clear" w:color="auto" w:fill="auto"/>
            <w:vAlign w:val="center"/>
            <w:hideMark/>
          </w:tcPr>
          <w:p w14:paraId="66D16018"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850" w:type="dxa"/>
            <w:shd w:val="clear" w:color="auto" w:fill="auto"/>
            <w:vAlign w:val="center"/>
            <w:hideMark/>
          </w:tcPr>
          <w:p w14:paraId="09607361"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543710FA"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r>
      <w:tr w:rsidR="00A169F7" w:rsidRPr="00A169F7" w14:paraId="61BFBA10" w14:textId="77777777" w:rsidTr="422CAA86">
        <w:trPr>
          <w:trHeight w:val="300"/>
        </w:trPr>
        <w:tc>
          <w:tcPr>
            <w:tcW w:w="9143" w:type="dxa"/>
            <w:gridSpan w:val="7"/>
            <w:shd w:val="clear" w:color="auto" w:fill="auto"/>
            <w:vAlign w:val="center"/>
            <w:hideMark/>
          </w:tcPr>
          <w:p w14:paraId="29FCC935"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CBZ-induced MPE (versus tolerant controls)</w:t>
            </w:r>
          </w:p>
        </w:tc>
      </w:tr>
      <w:tr w:rsidR="00A169F7" w:rsidRPr="00A169F7" w14:paraId="08354B3D" w14:textId="77777777" w:rsidTr="422CAA86">
        <w:trPr>
          <w:trHeight w:val="300"/>
        </w:trPr>
        <w:tc>
          <w:tcPr>
            <w:tcW w:w="1630" w:type="dxa"/>
            <w:shd w:val="clear" w:color="auto" w:fill="auto"/>
            <w:vAlign w:val="center"/>
            <w:hideMark/>
          </w:tcPr>
          <w:p w14:paraId="1351E06A" w14:textId="338233B9"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 xml:space="preserve">Combined </w:t>
            </w:r>
            <w:r w:rsidR="00741DFE">
              <w:rPr>
                <w:rFonts w:ascii="Arial Narrow" w:hAnsi="Arial Narrow"/>
                <w:color w:val="000000"/>
                <w:sz w:val="20"/>
                <w:szCs w:val="20"/>
                <w:lang w:eastAsia="en-AU"/>
              </w:rPr>
              <w:t>ancestry</w:t>
            </w:r>
          </w:p>
        </w:tc>
        <w:tc>
          <w:tcPr>
            <w:tcW w:w="567" w:type="dxa"/>
            <w:shd w:val="clear" w:color="auto" w:fill="auto"/>
            <w:vAlign w:val="center"/>
            <w:hideMark/>
          </w:tcPr>
          <w:p w14:paraId="471B0BDD"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73A2F074"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4CEF83CE"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5 (844)</w:t>
            </w:r>
          </w:p>
        </w:tc>
        <w:tc>
          <w:tcPr>
            <w:tcW w:w="1701" w:type="dxa"/>
            <w:shd w:val="clear" w:color="auto" w:fill="auto"/>
            <w:vAlign w:val="center"/>
            <w:hideMark/>
          </w:tcPr>
          <w:p w14:paraId="1BA064CF" w14:textId="71F60BB2" w:rsidR="00A169F7" w:rsidRPr="00A169F7" w:rsidRDefault="00A169F7" w:rsidP="00A169F7">
            <w:pPr>
              <w:spacing w:before="0" w:after="0"/>
              <w:jc w:val="both"/>
              <w:rPr>
                <w:rFonts w:ascii="Arial Narrow" w:hAnsi="Arial Narrow"/>
                <w:b/>
                <w:bCs/>
                <w:color w:val="000000"/>
                <w:sz w:val="20"/>
                <w:szCs w:val="20"/>
                <w:lang w:eastAsia="en-AU"/>
              </w:rPr>
            </w:pPr>
            <w:r w:rsidRPr="00A169F7">
              <w:rPr>
                <w:rFonts w:ascii="Arial Narrow" w:hAnsi="Arial Narrow"/>
                <w:b/>
                <w:bCs/>
                <w:color w:val="000000"/>
                <w:sz w:val="20"/>
                <w:szCs w:val="20"/>
                <w:lang w:eastAsia="en-AU"/>
              </w:rPr>
              <w:t>5.3 (2.5–11.0), 0%</w:t>
            </w:r>
            <w:r w:rsidR="002C4885" w:rsidRPr="009B341B">
              <w:rPr>
                <w:rFonts w:ascii="Arial Narrow" w:hAnsi="Arial Narrow"/>
                <w:b/>
                <w:bCs/>
                <w:color w:val="000000"/>
                <w:sz w:val="20"/>
                <w:szCs w:val="20"/>
                <w:lang w:eastAsia="en-AU"/>
              </w:rPr>
              <w:t>†</w:t>
            </w:r>
          </w:p>
        </w:tc>
        <w:tc>
          <w:tcPr>
            <w:tcW w:w="850" w:type="dxa"/>
            <w:shd w:val="clear" w:color="auto" w:fill="auto"/>
            <w:vAlign w:val="center"/>
            <w:hideMark/>
          </w:tcPr>
          <w:p w14:paraId="73480D0C"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4 (815)</w:t>
            </w:r>
          </w:p>
        </w:tc>
        <w:tc>
          <w:tcPr>
            <w:tcW w:w="1843" w:type="dxa"/>
            <w:shd w:val="clear" w:color="auto" w:fill="auto"/>
            <w:vAlign w:val="center"/>
            <w:hideMark/>
          </w:tcPr>
          <w:p w14:paraId="2E2979E0"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0.92 (0.6–1.5), 0%</w:t>
            </w:r>
          </w:p>
        </w:tc>
      </w:tr>
      <w:tr w:rsidR="00A169F7" w:rsidRPr="00A169F7" w14:paraId="69A1C22C" w14:textId="77777777" w:rsidTr="422CAA86">
        <w:trPr>
          <w:trHeight w:val="300"/>
        </w:trPr>
        <w:tc>
          <w:tcPr>
            <w:tcW w:w="1630" w:type="dxa"/>
            <w:shd w:val="clear" w:color="auto" w:fill="auto"/>
            <w:vAlign w:val="center"/>
            <w:hideMark/>
          </w:tcPr>
          <w:p w14:paraId="7F9413DC"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European</w:t>
            </w:r>
          </w:p>
        </w:tc>
        <w:tc>
          <w:tcPr>
            <w:tcW w:w="567" w:type="dxa"/>
            <w:shd w:val="clear" w:color="auto" w:fill="auto"/>
            <w:vAlign w:val="center"/>
            <w:hideMark/>
          </w:tcPr>
          <w:p w14:paraId="6ECAE1AB"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78405BF9"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58154D3A"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701" w:type="dxa"/>
            <w:shd w:val="clear" w:color="auto" w:fill="auto"/>
            <w:vAlign w:val="center"/>
            <w:hideMark/>
          </w:tcPr>
          <w:p w14:paraId="444087F5"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850" w:type="dxa"/>
            <w:shd w:val="clear" w:color="auto" w:fill="auto"/>
            <w:vAlign w:val="center"/>
            <w:hideMark/>
          </w:tcPr>
          <w:p w14:paraId="7AAC8C54"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489079E9"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r>
      <w:tr w:rsidR="00A169F7" w:rsidRPr="00A169F7" w14:paraId="1C0F0054" w14:textId="77777777" w:rsidTr="422CAA86">
        <w:trPr>
          <w:trHeight w:val="300"/>
        </w:trPr>
        <w:tc>
          <w:tcPr>
            <w:tcW w:w="1630" w:type="dxa"/>
            <w:shd w:val="clear" w:color="auto" w:fill="auto"/>
            <w:vAlign w:val="center"/>
            <w:hideMark/>
          </w:tcPr>
          <w:p w14:paraId="7DA30CB7"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Asian</w:t>
            </w:r>
          </w:p>
        </w:tc>
        <w:tc>
          <w:tcPr>
            <w:tcW w:w="567" w:type="dxa"/>
            <w:shd w:val="clear" w:color="auto" w:fill="auto"/>
            <w:vAlign w:val="center"/>
            <w:hideMark/>
          </w:tcPr>
          <w:p w14:paraId="732BB68C"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6F07129E"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7D6217AE"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4 (731)</w:t>
            </w:r>
          </w:p>
        </w:tc>
        <w:tc>
          <w:tcPr>
            <w:tcW w:w="1701" w:type="dxa"/>
            <w:shd w:val="clear" w:color="auto" w:fill="auto"/>
            <w:vAlign w:val="center"/>
            <w:hideMark/>
          </w:tcPr>
          <w:p w14:paraId="373357C9" w14:textId="084B6D8A" w:rsidR="00A169F7" w:rsidRPr="00A169F7" w:rsidRDefault="00A169F7" w:rsidP="00A169F7">
            <w:pPr>
              <w:spacing w:before="0" w:after="0"/>
              <w:jc w:val="both"/>
              <w:rPr>
                <w:rFonts w:ascii="Arial Narrow" w:hAnsi="Arial Narrow"/>
                <w:b/>
                <w:bCs/>
                <w:color w:val="000000"/>
                <w:sz w:val="20"/>
                <w:szCs w:val="20"/>
                <w:lang w:eastAsia="en-AU"/>
              </w:rPr>
            </w:pPr>
            <w:r w:rsidRPr="00A169F7">
              <w:rPr>
                <w:rFonts w:ascii="Arial Narrow" w:hAnsi="Arial Narrow"/>
                <w:b/>
                <w:bCs/>
                <w:color w:val="000000"/>
                <w:sz w:val="20"/>
                <w:szCs w:val="20"/>
                <w:lang w:eastAsia="en-AU"/>
              </w:rPr>
              <w:t>4.5 (1.9–10.5), 0%</w:t>
            </w:r>
            <w:r w:rsidR="002C4885" w:rsidRPr="009B341B">
              <w:rPr>
                <w:rFonts w:ascii="Arial Narrow" w:hAnsi="Arial Narrow"/>
                <w:b/>
                <w:bCs/>
                <w:color w:val="000000"/>
                <w:sz w:val="20"/>
                <w:szCs w:val="20"/>
                <w:lang w:eastAsia="en-AU"/>
              </w:rPr>
              <w:t>†</w:t>
            </w:r>
          </w:p>
        </w:tc>
        <w:tc>
          <w:tcPr>
            <w:tcW w:w="850" w:type="dxa"/>
            <w:shd w:val="clear" w:color="auto" w:fill="auto"/>
            <w:vAlign w:val="center"/>
            <w:hideMark/>
          </w:tcPr>
          <w:p w14:paraId="47BB9150"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3 (702)</w:t>
            </w:r>
          </w:p>
        </w:tc>
        <w:tc>
          <w:tcPr>
            <w:tcW w:w="1843" w:type="dxa"/>
            <w:shd w:val="clear" w:color="auto" w:fill="auto"/>
            <w:vAlign w:val="center"/>
            <w:hideMark/>
          </w:tcPr>
          <w:p w14:paraId="01C274FF"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0.92 (0.6–1.5), 0%</w:t>
            </w:r>
          </w:p>
        </w:tc>
      </w:tr>
      <w:tr w:rsidR="00A169F7" w:rsidRPr="00A169F7" w14:paraId="511905C3" w14:textId="77777777" w:rsidTr="422CAA86">
        <w:trPr>
          <w:trHeight w:val="300"/>
        </w:trPr>
        <w:tc>
          <w:tcPr>
            <w:tcW w:w="9143" w:type="dxa"/>
            <w:gridSpan w:val="7"/>
            <w:shd w:val="clear" w:color="auto" w:fill="auto"/>
            <w:vAlign w:val="center"/>
            <w:hideMark/>
          </w:tcPr>
          <w:p w14:paraId="068C5802"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OXC-induced MPE (versus tolerant controls)</w:t>
            </w:r>
          </w:p>
        </w:tc>
      </w:tr>
      <w:tr w:rsidR="00A169F7" w:rsidRPr="00A169F7" w14:paraId="4FED3689" w14:textId="77777777" w:rsidTr="422CAA86">
        <w:trPr>
          <w:trHeight w:val="300"/>
        </w:trPr>
        <w:tc>
          <w:tcPr>
            <w:tcW w:w="1630" w:type="dxa"/>
            <w:shd w:val="clear" w:color="auto" w:fill="auto"/>
            <w:vAlign w:val="center"/>
            <w:hideMark/>
          </w:tcPr>
          <w:p w14:paraId="47FEFD28" w14:textId="2507090A"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 xml:space="preserve">Combined </w:t>
            </w:r>
            <w:r w:rsidR="00741DFE">
              <w:rPr>
                <w:rFonts w:ascii="Arial Narrow" w:hAnsi="Arial Narrow"/>
                <w:color w:val="000000"/>
                <w:sz w:val="20"/>
                <w:szCs w:val="20"/>
                <w:lang w:eastAsia="en-AU"/>
              </w:rPr>
              <w:t>ancestry</w:t>
            </w:r>
          </w:p>
        </w:tc>
        <w:tc>
          <w:tcPr>
            <w:tcW w:w="567" w:type="dxa"/>
            <w:shd w:val="clear" w:color="auto" w:fill="auto"/>
            <w:vAlign w:val="center"/>
            <w:hideMark/>
          </w:tcPr>
          <w:p w14:paraId="1C42AFEA"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45636951"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11CC22F1"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701" w:type="dxa"/>
            <w:shd w:val="clear" w:color="auto" w:fill="auto"/>
            <w:vAlign w:val="center"/>
            <w:hideMark/>
          </w:tcPr>
          <w:p w14:paraId="5F653B36"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850" w:type="dxa"/>
            <w:shd w:val="clear" w:color="auto" w:fill="auto"/>
            <w:vAlign w:val="center"/>
            <w:hideMark/>
          </w:tcPr>
          <w:p w14:paraId="499D6148"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35A9D8C1"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r>
      <w:tr w:rsidR="00A169F7" w:rsidRPr="00A169F7" w14:paraId="086BBCE5" w14:textId="77777777" w:rsidTr="422CAA86">
        <w:trPr>
          <w:trHeight w:val="300"/>
        </w:trPr>
        <w:tc>
          <w:tcPr>
            <w:tcW w:w="1630" w:type="dxa"/>
            <w:shd w:val="clear" w:color="auto" w:fill="auto"/>
            <w:vAlign w:val="center"/>
            <w:hideMark/>
          </w:tcPr>
          <w:p w14:paraId="5A51F81D"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European</w:t>
            </w:r>
          </w:p>
        </w:tc>
        <w:tc>
          <w:tcPr>
            <w:tcW w:w="567" w:type="dxa"/>
            <w:shd w:val="clear" w:color="auto" w:fill="auto"/>
            <w:vAlign w:val="center"/>
            <w:hideMark/>
          </w:tcPr>
          <w:p w14:paraId="15A86247"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77CF0D4A"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5D3DC55E"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701" w:type="dxa"/>
            <w:shd w:val="clear" w:color="auto" w:fill="auto"/>
            <w:vAlign w:val="center"/>
            <w:hideMark/>
          </w:tcPr>
          <w:p w14:paraId="25C9A029"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850" w:type="dxa"/>
            <w:shd w:val="clear" w:color="auto" w:fill="auto"/>
            <w:vAlign w:val="center"/>
            <w:hideMark/>
          </w:tcPr>
          <w:p w14:paraId="431205C8"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2574AF09"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r>
      <w:tr w:rsidR="00A169F7" w:rsidRPr="00A169F7" w14:paraId="381392E7" w14:textId="77777777" w:rsidTr="422CAA86">
        <w:trPr>
          <w:trHeight w:val="300"/>
        </w:trPr>
        <w:tc>
          <w:tcPr>
            <w:tcW w:w="1630" w:type="dxa"/>
            <w:shd w:val="clear" w:color="auto" w:fill="auto"/>
            <w:vAlign w:val="center"/>
            <w:hideMark/>
          </w:tcPr>
          <w:p w14:paraId="283A61C1"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Asian</w:t>
            </w:r>
          </w:p>
        </w:tc>
        <w:tc>
          <w:tcPr>
            <w:tcW w:w="567" w:type="dxa"/>
            <w:shd w:val="clear" w:color="auto" w:fill="auto"/>
            <w:vAlign w:val="center"/>
            <w:hideMark/>
          </w:tcPr>
          <w:p w14:paraId="62C4E44E"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1843" w:type="dxa"/>
            <w:shd w:val="clear" w:color="auto" w:fill="auto"/>
            <w:vAlign w:val="center"/>
            <w:hideMark/>
          </w:tcPr>
          <w:p w14:paraId="36777135"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w:t>
            </w:r>
          </w:p>
        </w:tc>
        <w:tc>
          <w:tcPr>
            <w:tcW w:w="709" w:type="dxa"/>
            <w:shd w:val="clear" w:color="auto" w:fill="auto"/>
            <w:vAlign w:val="center"/>
            <w:hideMark/>
          </w:tcPr>
          <w:p w14:paraId="1F3ED52C"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3 (260)</w:t>
            </w:r>
          </w:p>
        </w:tc>
        <w:tc>
          <w:tcPr>
            <w:tcW w:w="1701" w:type="dxa"/>
            <w:shd w:val="clear" w:color="auto" w:fill="auto"/>
            <w:vAlign w:val="center"/>
            <w:hideMark/>
          </w:tcPr>
          <w:p w14:paraId="4884C76F"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1.5 (0.6–4.0), 13%</w:t>
            </w:r>
          </w:p>
        </w:tc>
        <w:tc>
          <w:tcPr>
            <w:tcW w:w="850" w:type="dxa"/>
            <w:shd w:val="clear" w:color="auto" w:fill="auto"/>
            <w:vAlign w:val="center"/>
            <w:hideMark/>
          </w:tcPr>
          <w:p w14:paraId="28E3CDFC"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3 (260)</w:t>
            </w:r>
          </w:p>
        </w:tc>
        <w:tc>
          <w:tcPr>
            <w:tcW w:w="1843" w:type="dxa"/>
            <w:shd w:val="clear" w:color="auto" w:fill="auto"/>
            <w:vAlign w:val="center"/>
            <w:hideMark/>
          </w:tcPr>
          <w:p w14:paraId="4661FC29" w14:textId="77777777" w:rsidR="00A169F7" w:rsidRPr="00A169F7" w:rsidRDefault="00A169F7" w:rsidP="00A169F7">
            <w:pPr>
              <w:spacing w:before="0" w:after="0"/>
              <w:jc w:val="both"/>
              <w:rPr>
                <w:rFonts w:ascii="Arial Narrow" w:hAnsi="Arial Narrow"/>
                <w:color w:val="000000"/>
                <w:sz w:val="20"/>
                <w:szCs w:val="20"/>
                <w:lang w:eastAsia="en-AU"/>
              </w:rPr>
            </w:pPr>
            <w:r w:rsidRPr="00A169F7">
              <w:rPr>
                <w:rFonts w:ascii="Arial Narrow" w:hAnsi="Arial Narrow"/>
                <w:color w:val="000000"/>
                <w:sz w:val="20"/>
                <w:szCs w:val="20"/>
                <w:lang w:eastAsia="en-AU"/>
              </w:rPr>
              <w:t>0.7 (0.2–3.1), 0%</w:t>
            </w:r>
          </w:p>
        </w:tc>
      </w:tr>
    </w:tbl>
    <w:p w14:paraId="7DCA6AE2" w14:textId="4EAC7634" w:rsidR="00D65CB2" w:rsidRDefault="00D65CB2" w:rsidP="005A24F8">
      <w:pPr>
        <w:pStyle w:val="TableFigureFooter"/>
        <w:spacing w:before="0" w:after="60"/>
      </w:pPr>
      <w:r>
        <w:t>Abbreviations: CBZ=</w:t>
      </w:r>
      <w:r>
        <w:rPr>
          <w:iCs/>
        </w:rPr>
        <w:t>c</w:t>
      </w:r>
      <w:r w:rsidRPr="00A25934">
        <w:rPr>
          <w:iCs/>
        </w:rPr>
        <w:t>arbamazepine</w:t>
      </w:r>
      <w:r>
        <w:rPr>
          <w:iCs/>
        </w:rPr>
        <w:t xml:space="preserve">; </w:t>
      </w:r>
      <w:r>
        <w:t>CI=</w:t>
      </w:r>
      <w:r w:rsidRPr="00D904FF">
        <w:t>confidence interval</w:t>
      </w:r>
      <w:r>
        <w:t>; DRESS=</w:t>
      </w:r>
      <w:r w:rsidRPr="00D904FF">
        <w:t>drug reaction with eosinophilia and systemic symptoms</w:t>
      </w:r>
      <w:r>
        <w:t>; HLA=</w:t>
      </w:r>
      <w:r w:rsidRPr="00D904FF">
        <w:t>human leukocyte antigen</w:t>
      </w:r>
      <w:r>
        <w:t>; k=number of studies; MPE=</w:t>
      </w:r>
      <w:r w:rsidRPr="00D904FF">
        <w:t>maculopapular exanthema</w:t>
      </w:r>
      <w:r>
        <w:t xml:space="preserve">; N=number of participants total; </w:t>
      </w:r>
      <w:r>
        <w:rPr>
          <w:iCs/>
        </w:rPr>
        <w:t>OXC=</w:t>
      </w:r>
      <w:r w:rsidRPr="00CE4063">
        <w:rPr>
          <w:iCs/>
        </w:rPr>
        <w:t>oxcarbazepine</w:t>
      </w:r>
      <w:r>
        <w:rPr>
          <w:iCs/>
        </w:rPr>
        <w:t xml:space="preserve">; </w:t>
      </w:r>
      <w:r w:rsidR="00A570E9" w:rsidRPr="00697F27">
        <w:t xml:space="preserve">SCAR=severe cutaneous allergic reactions; </w:t>
      </w:r>
      <w:r>
        <w:rPr>
          <w:iCs/>
        </w:rPr>
        <w:t>SJS=</w:t>
      </w:r>
      <w:r w:rsidRPr="00C537F9">
        <w:t>Stevens–Johnson syndrome</w:t>
      </w:r>
      <w:r>
        <w:t>; TEN=</w:t>
      </w:r>
      <w:r w:rsidRPr="00D904FF">
        <w:t xml:space="preserve"> </w:t>
      </w:r>
      <w:r w:rsidRPr="00C537F9">
        <w:t>toxic epidermal necrolysis</w:t>
      </w:r>
      <w:r>
        <w:t>.</w:t>
      </w:r>
    </w:p>
    <w:p w14:paraId="547A578A" w14:textId="684DF421" w:rsidR="005823BF" w:rsidRDefault="005823BF" w:rsidP="00A169F7">
      <w:pPr>
        <w:pStyle w:val="Tablenotes"/>
        <w:spacing w:before="0" w:after="0"/>
      </w:pPr>
      <w:r w:rsidRPr="005823BF">
        <w:t>†</w:t>
      </w:r>
      <w:r w:rsidR="00B13327">
        <w:t xml:space="preserve"> </w:t>
      </w:r>
      <w:r>
        <w:t xml:space="preserve">Significant results presented in </w:t>
      </w:r>
      <w:r w:rsidRPr="00B13327">
        <w:rPr>
          <w:b/>
        </w:rPr>
        <w:t>bold</w:t>
      </w:r>
      <w:r>
        <w:t>.</w:t>
      </w:r>
    </w:p>
    <w:p w14:paraId="2C628DDC" w14:textId="27537804" w:rsidR="00690A47" w:rsidRPr="00690A47" w:rsidRDefault="00690A47" w:rsidP="00A169F7">
      <w:pPr>
        <w:pStyle w:val="TableFigureFooter"/>
        <w:spacing w:before="0" w:after="0"/>
      </w:pPr>
      <w:r>
        <w:t>^</w:t>
      </w:r>
      <w:r w:rsidRPr="00690A47">
        <w:t xml:space="preserve"> </w:t>
      </w:r>
      <w:r w:rsidRPr="00C9546F">
        <w:t xml:space="preserve">Results of </w:t>
      </w:r>
      <w:r>
        <w:t>c</w:t>
      </w:r>
      <w:r w:rsidRPr="00690A47">
        <w:t xml:space="preserve">ombined </w:t>
      </w:r>
      <w:r w:rsidR="003975F2" w:rsidRPr="003975F2">
        <w:rPr>
          <w:i/>
        </w:rPr>
        <w:t xml:space="preserve">HLA-A*31:01 </w:t>
      </w:r>
      <w:r w:rsidRPr="00690A47">
        <w:t xml:space="preserve">and </w:t>
      </w:r>
      <w:r w:rsidR="003975F2" w:rsidRPr="003975F2">
        <w:rPr>
          <w:i/>
        </w:rPr>
        <w:t xml:space="preserve">HLA-B*15:02 </w:t>
      </w:r>
      <w:r w:rsidRPr="00690A47">
        <w:t xml:space="preserve">genotyping (Chinese population only) from Genin et al. </w:t>
      </w:r>
      <w:r w:rsidR="00B13327">
        <w:t>(</w:t>
      </w:r>
      <w:r w:rsidRPr="00690A47">
        <w:t>2014</w:t>
      </w:r>
      <w:r w:rsidR="00B13327">
        <w:t>)</w:t>
      </w:r>
      <w:r w:rsidR="000E0533" w:rsidRPr="005A24F8">
        <w:rPr>
          <w:vertAlign w:val="superscript"/>
        </w:rPr>
        <w:fldChar w:fldCharType="begin"/>
      </w:r>
      <w:r w:rsidR="000E0533" w:rsidRPr="005A24F8">
        <w:rPr>
          <w:vertAlign w:val="superscript"/>
        </w:rPr>
        <w:instrText xml:space="preserve"> NOTEREF _Ref181732825 \h </w:instrText>
      </w:r>
      <w:r w:rsidR="000E0533">
        <w:rPr>
          <w:vertAlign w:val="superscript"/>
        </w:rPr>
        <w:instrText xml:space="preserve"> \* MERGEFORMAT </w:instrText>
      </w:r>
      <w:r w:rsidR="000E0533" w:rsidRPr="005A24F8">
        <w:rPr>
          <w:vertAlign w:val="superscript"/>
        </w:rPr>
      </w:r>
      <w:r w:rsidR="000E0533" w:rsidRPr="005A24F8">
        <w:rPr>
          <w:vertAlign w:val="superscript"/>
        </w:rPr>
        <w:fldChar w:fldCharType="separate"/>
      </w:r>
      <w:r w:rsidR="002E6B38">
        <w:rPr>
          <w:vertAlign w:val="superscript"/>
        </w:rPr>
        <w:t>10</w:t>
      </w:r>
      <w:r w:rsidR="000E0533" w:rsidRPr="005A24F8">
        <w:rPr>
          <w:vertAlign w:val="superscript"/>
        </w:rPr>
        <w:fldChar w:fldCharType="end"/>
      </w:r>
      <w:r w:rsidRPr="00690A47">
        <w:t>.</w:t>
      </w:r>
    </w:p>
    <w:p w14:paraId="2BC2CE5C" w14:textId="524A7BA2" w:rsidR="006C2EC7" w:rsidRDefault="00C9546F" w:rsidP="00CF1E24">
      <w:pPr>
        <w:pStyle w:val="TableFigureFooter"/>
      </w:pPr>
      <w:r w:rsidRPr="00C9546F">
        <w:t xml:space="preserve">* Results of meta-analysis of primary studies where both </w:t>
      </w:r>
      <w:r w:rsidR="003975F2" w:rsidRPr="003975F2">
        <w:rPr>
          <w:i/>
        </w:rPr>
        <w:t xml:space="preserve">HLA-A*31:01 </w:t>
      </w:r>
      <w:r w:rsidRPr="00C9546F">
        <w:t xml:space="preserve">and </w:t>
      </w:r>
      <w:r w:rsidR="003975F2" w:rsidRPr="003975F2">
        <w:rPr>
          <w:i/>
        </w:rPr>
        <w:t xml:space="preserve">HLA-B*15:02 </w:t>
      </w:r>
      <w:r w:rsidRPr="00C9546F">
        <w:t>genotyping was conducted, but results were presented separately. Conducted as part of DCAR.</w:t>
      </w:r>
    </w:p>
    <w:p w14:paraId="271690FD" w14:textId="025FCEBC" w:rsidR="0034139B" w:rsidRDefault="00D130DD" w:rsidP="0034139B">
      <w:pPr>
        <w:pStyle w:val="TableFigureFooter"/>
      </w:pPr>
      <w:r>
        <w:t>a. Chinese population only.</w:t>
      </w:r>
      <w:r w:rsidR="0034139B">
        <w:br w:type="page"/>
      </w:r>
    </w:p>
    <w:p w14:paraId="10547BE8" w14:textId="030E61E9" w:rsidR="00995D49" w:rsidRPr="00995D49" w:rsidRDefault="00995D49" w:rsidP="00995D49">
      <w:pPr>
        <w:pStyle w:val="Caption"/>
        <w:rPr>
          <w:snapToGrid w:val="0"/>
        </w:rPr>
      </w:pPr>
      <w:bookmarkStart w:id="25" w:name="_Ref181785002"/>
      <w:r w:rsidRPr="00F57762">
        <w:rPr>
          <w:snapToGrid w:val="0"/>
        </w:rPr>
        <w:lastRenderedPageBreak/>
        <w:t>Table </w:t>
      </w:r>
      <w:bookmarkEnd w:id="25"/>
      <w:r w:rsidR="00B45D9D">
        <w:rPr>
          <w:snapToGrid w:val="0"/>
        </w:rPr>
        <w:t>6</w:t>
      </w:r>
      <w:r w:rsidR="00B45D9D" w:rsidRPr="00F57762">
        <w:rPr>
          <w:snapToGrid w:val="0"/>
        </w:rPr>
        <w:t xml:space="preserve"> </w:t>
      </w:r>
      <w:r w:rsidRPr="00F57762">
        <w:rPr>
          <w:snapToGrid w:val="0"/>
        </w:rPr>
        <w:tab/>
        <w:t>Summary of findings table</w:t>
      </w:r>
      <w:r>
        <w:rPr>
          <w:snapToGrid w:val="0"/>
        </w:rPr>
        <w:t xml:space="preserve"> – </w:t>
      </w:r>
      <w:r>
        <w:rPr>
          <w:color w:val="000000" w:themeColor="text1"/>
        </w:rPr>
        <w:t>linked</w:t>
      </w:r>
      <w:r w:rsidRPr="00556B8D">
        <w:rPr>
          <w:color w:val="000000" w:themeColor="text1"/>
        </w:rPr>
        <w:t xml:space="preserve"> evidence</w:t>
      </w:r>
      <w:r w:rsidR="0032795E" w:rsidRPr="0032795E">
        <w:rPr>
          <w:color w:val="000000" w:themeColor="text1"/>
        </w:rPr>
        <w:t xml:space="preserve"> of test accuracy</w:t>
      </w:r>
    </w:p>
    <w:tbl>
      <w:tblPr>
        <w:tblStyle w:val="TableGrid"/>
        <w:tblW w:w="5107" w:type="pct"/>
        <w:tblCellMar>
          <w:top w:w="28" w:type="dxa"/>
          <w:left w:w="57" w:type="dxa"/>
          <w:bottom w:w="28" w:type="dxa"/>
          <w:right w:w="28" w:type="dxa"/>
        </w:tblCellMar>
        <w:tblLook w:val="04A0" w:firstRow="1" w:lastRow="0" w:firstColumn="1" w:lastColumn="0" w:noHBand="0" w:noVBand="1"/>
      </w:tblPr>
      <w:tblGrid>
        <w:gridCol w:w="920"/>
        <w:gridCol w:w="1343"/>
        <w:gridCol w:w="5104"/>
        <w:gridCol w:w="1842"/>
      </w:tblGrid>
      <w:tr w:rsidR="00995D49" w:rsidRPr="00556B8D" w14:paraId="5410742B" w14:textId="77777777" w:rsidTr="422CAA86">
        <w:trPr>
          <w:trHeight w:val="45"/>
        </w:trPr>
        <w:tc>
          <w:tcPr>
            <w:tcW w:w="500" w:type="pct"/>
            <w:shd w:val="clear" w:color="auto" w:fill="D9D9D9" w:themeFill="background1" w:themeFillShade="D9"/>
            <w:vAlign w:val="center"/>
          </w:tcPr>
          <w:p w14:paraId="7A48BF67" w14:textId="77777777" w:rsidR="00995D49" w:rsidRPr="00556B8D" w:rsidRDefault="00995D49">
            <w:pPr>
              <w:pStyle w:val="2024TABLEHEADING"/>
            </w:pPr>
            <w:r w:rsidRPr="00556B8D">
              <w:t>Outcome</w:t>
            </w:r>
          </w:p>
        </w:tc>
        <w:tc>
          <w:tcPr>
            <w:tcW w:w="729" w:type="pct"/>
            <w:shd w:val="clear" w:color="auto" w:fill="D9D9D9" w:themeFill="background1" w:themeFillShade="D9"/>
            <w:vAlign w:val="center"/>
          </w:tcPr>
          <w:p w14:paraId="53E3CCDA" w14:textId="3062715D" w:rsidR="00995D49" w:rsidRPr="00556B8D" w:rsidRDefault="00A5169A">
            <w:pPr>
              <w:pStyle w:val="2024TABLEHEADING"/>
            </w:pPr>
            <w:r w:rsidRPr="00556B8D">
              <w:t>Participants and studies</w:t>
            </w:r>
          </w:p>
        </w:tc>
        <w:tc>
          <w:tcPr>
            <w:tcW w:w="2771" w:type="pct"/>
            <w:shd w:val="clear" w:color="auto" w:fill="D9D9D9" w:themeFill="background1" w:themeFillShade="D9"/>
            <w:vAlign w:val="center"/>
          </w:tcPr>
          <w:p w14:paraId="65369964" w14:textId="1A672EFD" w:rsidR="00995D49" w:rsidRPr="00556B8D" w:rsidRDefault="00995D49">
            <w:pPr>
              <w:pStyle w:val="2024TABLEHEADING"/>
            </w:pPr>
            <w:r w:rsidRPr="422CAA86">
              <w:t>Results, interpretation and key uncertainties</w:t>
            </w:r>
          </w:p>
        </w:tc>
        <w:tc>
          <w:tcPr>
            <w:tcW w:w="1000" w:type="pct"/>
            <w:shd w:val="clear" w:color="auto" w:fill="D9D9D9" w:themeFill="background1" w:themeFillShade="D9"/>
            <w:vAlign w:val="center"/>
          </w:tcPr>
          <w:p w14:paraId="2B062367" w14:textId="77777777" w:rsidR="00AE52BC" w:rsidRDefault="00AE52BC">
            <w:pPr>
              <w:pStyle w:val="2024TABLEHEADING"/>
            </w:pPr>
            <w:r w:rsidRPr="00556B8D">
              <w:t>Certainty of the evidence</w:t>
            </w:r>
            <w:r w:rsidRPr="00556B8D">
              <w:br/>
              <w:t>(GRADE)</w:t>
            </w:r>
          </w:p>
          <w:p w14:paraId="7AA77521" w14:textId="6EDCE33A" w:rsidR="00995D49" w:rsidRPr="00556B8D" w:rsidRDefault="00995D49">
            <w:pPr>
              <w:pStyle w:val="2024TABLEHEADING"/>
            </w:pPr>
            <w:r w:rsidRPr="00556B8D">
              <w:t>Evidence statement</w:t>
            </w:r>
          </w:p>
        </w:tc>
      </w:tr>
      <w:tr w:rsidR="00995D49" w:rsidRPr="003570B9" w14:paraId="2BB24364" w14:textId="77777777" w:rsidTr="422CAA86">
        <w:trPr>
          <w:trHeight w:val="55"/>
        </w:trPr>
        <w:tc>
          <w:tcPr>
            <w:tcW w:w="500" w:type="pct"/>
            <w:vAlign w:val="center"/>
          </w:tcPr>
          <w:p w14:paraId="16457648" w14:textId="51D605FF" w:rsidR="00995D49" w:rsidRPr="00556B8D" w:rsidRDefault="00995D49" w:rsidP="00995D49">
            <w:pPr>
              <w:pStyle w:val="2024TABLETEXT"/>
              <w:rPr>
                <w:szCs w:val="28"/>
              </w:rPr>
            </w:pPr>
            <w:r w:rsidRPr="008C5164">
              <w:t xml:space="preserve">Cross-sectional accuracy </w:t>
            </w:r>
          </w:p>
        </w:tc>
        <w:tc>
          <w:tcPr>
            <w:tcW w:w="729" w:type="pct"/>
            <w:vAlign w:val="center"/>
          </w:tcPr>
          <w:p w14:paraId="01D767C6" w14:textId="10E8FE6C" w:rsidR="00995D49" w:rsidRPr="007D4997" w:rsidRDefault="00995D49" w:rsidP="00995D49">
            <w:pPr>
              <w:pStyle w:val="2024TABLETEXT"/>
            </w:pPr>
            <w:r w:rsidRPr="008C5164">
              <w:t>-</w:t>
            </w:r>
          </w:p>
        </w:tc>
        <w:tc>
          <w:tcPr>
            <w:tcW w:w="2771" w:type="pct"/>
            <w:vAlign w:val="center"/>
          </w:tcPr>
          <w:p w14:paraId="53C96D9D" w14:textId="0F19A0A3" w:rsidR="00995D49" w:rsidRPr="00D315B1" w:rsidRDefault="00995D49" w:rsidP="00995D49">
            <w:pPr>
              <w:pStyle w:val="2024TABLETEXT"/>
            </w:pPr>
            <w:r w:rsidRPr="422CAA86">
              <w:t xml:space="preserve">No studies were identified which reported the cross-sectional accuracy for </w:t>
            </w:r>
            <w:r w:rsidR="00EC0E8F" w:rsidRPr="422CAA86">
              <w:t xml:space="preserve">combined </w:t>
            </w:r>
            <w:r w:rsidR="003975F2" w:rsidRPr="003975F2">
              <w:rPr>
                <w:i/>
                <w:iCs/>
              </w:rPr>
              <w:t xml:space="preserve">HLA-A*31:01 </w:t>
            </w:r>
            <w:r w:rsidRPr="422CAA86">
              <w:t xml:space="preserve">and </w:t>
            </w:r>
            <w:r w:rsidR="003975F2" w:rsidRPr="003975F2">
              <w:rPr>
                <w:i/>
                <w:iCs/>
              </w:rPr>
              <w:t xml:space="preserve">HLA-B*15:02 </w:t>
            </w:r>
            <w:r w:rsidRPr="422CAA86">
              <w:t xml:space="preserve">genotyping specifically, however, the technical methods for genotyping have well-established accuracy. </w:t>
            </w:r>
          </w:p>
        </w:tc>
        <w:tc>
          <w:tcPr>
            <w:tcW w:w="1000" w:type="pct"/>
            <w:vAlign w:val="center"/>
          </w:tcPr>
          <w:p w14:paraId="717F0E07" w14:textId="6F83F32C" w:rsidR="00995D49" w:rsidRPr="00D315B1" w:rsidRDefault="00995D49" w:rsidP="00995D49">
            <w:pPr>
              <w:pStyle w:val="2024TABLETEXT"/>
            </w:pPr>
            <w:r w:rsidRPr="008C5164">
              <w:t>-</w:t>
            </w:r>
          </w:p>
        </w:tc>
      </w:tr>
      <w:tr w:rsidR="00995D49" w:rsidRPr="00A16F78" w14:paraId="3A85245D" w14:textId="77777777" w:rsidTr="422CAA86">
        <w:trPr>
          <w:trHeight w:val="55"/>
        </w:trPr>
        <w:tc>
          <w:tcPr>
            <w:tcW w:w="500" w:type="pct"/>
            <w:vAlign w:val="center"/>
          </w:tcPr>
          <w:p w14:paraId="70D026B8" w14:textId="3D830977" w:rsidR="00995D49" w:rsidRPr="00556B8D" w:rsidRDefault="00995D49" w:rsidP="00995D49">
            <w:pPr>
              <w:pStyle w:val="2024TABLETEXT"/>
            </w:pPr>
            <w:r w:rsidRPr="00204E94">
              <w:t>Diagnostic yield</w:t>
            </w:r>
          </w:p>
        </w:tc>
        <w:tc>
          <w:tcPr>
            <w:tcW w:w="729" w:type="pct"/>
            <w:vAlign w:val="center"/>
          </w:tcPr>
          <w:p w14:paraId="439689A2" w14:textId="13B2A76D" w:rsidR="00995D49" w:rsidRPr="00204E94" w:rsidRDefault="00995D49" w:rsidP="00995D49">
            <w:pPr>
              <w:pStyle w:val="2024TABLETEXT"/>
            </w:pPr>
          </w:p>
          <w:p w14:paraId="7C6A6769" w14:textId="1861B9A0" w:rsidR="00995D49" w:rsidRPr="007D4997" w:rsidRDefault="00811EF7" w:rsidP="00995D49">
            <w:pPr>
              <w:pStyle w:val="2024TABLETEXT"/>
            </w:pPr>
            <w:r>
              <w:t xml:space="preserve">3 studies; </w:t>
            </w:r>
            <w:r w:rsidR="00995D49">
              <w:t>N</w:t>
            </w:r>
            <w:r w:rsidR="00D85214">
              <w:t>&gt;</w:t>
            </w:r>
            <w:r w:rsidR="00995D49" w:rsidRPr="00204E94">
              <w:t>38654 (</w:t>
            </w:r>
            <w:r w:rsidR="00D85214">
              <w:t xml:space="preserve">N in </w:t>
            </w:r>
            <w:r>
              <w:t>Park</w:t>
            </w:r>
            <w:r w:rsidR="00995D49" w:rsidRPr="00204E94">
              <w:t xml:space="preserve"> et al. 201</w:t>
            </w:r>
            <w:r>
              <w:t>6</w:t>
            </w:r>
            <w:r w:rsidR="005F5E5B">
              <w:rPr>
                <w:rStyle w:val="FootnoteReference"/>
              </w:rPr>
              <w:footnoteReference w:id="12"/>
            </w:r>
            <w:r w:rsidR="00995D49" w:rsidRPr="00204E94">
              <w:t xml:space="preserve"> not specified</w:t>
            </w:r>
            <w:r w:rsidR="00995D49">
              <w:t>)</w:t>
            </w:r>
          </w:p>
        </w:tc>
        <w:tc>
          <w:tcPr>
            <w:tcW w:w="2771" w:type="pct"/>
            <w:vAlign w:val="center"/>
          </w:tcPr>
          <w:p w14:paraId="317AD6C3" w14:textId="578BD4DE" w:rsidR="00ED7597" w:rsidRDefault="00995D49" w:rsidP="00995D49">
            <w:pPr>
              <w:pStyle w:val="2024TABLETEXT"/>
            </w:pPr>
            <w:r w:rsidRPr="422CAA86">
              <w:t xml:space="preserve">The frequency of </w:t>
            </w:r>
            <w:r w:rsidR="003975F2" w:rsidRPr="003975F2">
              <w:rPr>
                <w:i/>
                <w:iCs/>
              </w:rPr>
              <w:t xml:space="preserve">HLA-B*15:02 </w:t>
            </w:r>
            <w:r w:rsidRPr="422CAA86">
              <w:t xml:space="preserve">and </w:t>
            </w:r>
            <w:r w:rsidR="003975F2" w:rsidRPr="003975F2">
              <w:rPr>
                <w:i/>
                <w:iCs/>
              </w:rPr>
              <w:t xml:space="preserve">HLA-A*31:01 </w:t>
            </w:r>
            <w:r w:rsidRPr="422CAA86">
              <w:t xml:space="preserve">variants vary based on </w:t>
            </w:r>
            <w:r w:rsidR="00E730F9" w:rsidRPr="422CAA86">
              <w:t>ancestry</w:t>
            </w:r>
            <w:r w:rsidRPr="422CAA86">
              <w:t xml:space="preserve">. The best estimates are from aggregated data presented as part of CPIC guidelines based on biogeographical groups. </w:t>
            </w:r>
            <w:r w:rsidR="00D41A15" w:rsidRPr="422CAA86">
              <w:t>R</w:t>
            </w:r>
            <w:r w:rsidRPr="422CAA86">
              <w:t xml:space="preserve">ecent data </w:t>
            </w:r>
            <w:r w:rsidR="00D41A15" w:rsidRPr="422CAA86">
              <w:t>identified in the review</w:t>
            </w:r>
            <w:r w:rsidRPr="422CAA86">
              <w:t xml:space="preserve"> largely supports these estimates</w:t>
            </w:r>
            <w:r w:rsidR="009F4317" w:rsidRPr="422CAA86">
              <w:t>, h</w:t>
            </w:r>
            <w:r w:rsidRPr="422CAA86">
              <w:t xml:space="preserve">owever, lack of reported </w:t>
            </w:r>
            <w:r w:rsidR="00E730F9" w:rsidRPr="422CAA86">
              <w:t>ancestry</w:t>
            </w:r>
            <w:r w:rsidRPr="422CAA86">
              <w:t xml:space="preserve"> in one key study from the USA limits synthesis of information.</w:t>
            </w:r>
            <w:r w:rsidR="009F4317" w:rsidRPr="422CAA86">
              <w:t xml:space="preserve"> </w:t>
            </w:r>
          </w:p>
          <w:p w14:paraId="190E300B" w14:textId="2C22A9D3" w:rsidR="00995D49" w:rsidRPr="000466F8" w:rsidRDefault="00995D49" w:rsidP="00995D49">
            <w:pPr>
              <w:pStyle w:val="2024TABLETEXT"/>
            </w:pPr>
            <w:r w:rsidRPr="422CAA86">
              <w:t xml:space="preserve">There were no available studies from the Australian population reporting the prevalence of </w:t>
            </w:r>
            <w:r w:rsidR="003975F2" w:rsidRPr="003975F2">
              <w:rPr>
                <w:i/>
                <w:iCs/>
              </w:rPr>
              <w:t xml:space="preserve">HLA-A*31:01 </w:t>
            </w:r>
            <w:r w:rsidRPr="422CAA86">
              <w:t xml:space="preserve">or </w:t>
            </w:r>
            <w:r w:rsidR="003975F2" w:rsidRPr="003975F2">
              <w:rPr>
                <w:i/>
                <w:iCs/>
              </w:rPr>
              <w:t xml:space="preserve">HLA-B*15:02 </w:t>
            </w:r>
            <w:r w:rsidRPr="422CAA86">
              <w:t xml:space="preserve">variants. With Australia’s </w:t>
            </w:r>
            <w:r w:rsidR="00EB7EB9" w:rsidRPr="422CAA86">
              <w:t xml:space="preserve">cultural diversity and </w:t>
            </w:r>
            <w:r w:rsidRPr="422CAA86">
              <w:t xml:space="preserve">unique </w:t>
            </w:r>
            <w:r w:rsidR="00EB7EB9" w:rsidRPr="422CAA86">
              <w:t>ancestry</w:t>
            </w:r>
            <w:r w:rsidRPr="422CAA86">
              <w:t xml:space="preserve"> make-up, there are serious applicability issues of reported variant frequencies which will directly affect the efficacy of testing and subsequent clinical outcomes.</w:t>
            </w:r>
          </w:p>
        </w:tc>
        <w:tc>
          <w:tcPr>
            <w:tcW w:w="1000" w:type="pct"/>
            <w:vAlign w:val="center"/>
          </w:tcPr>
          <w:p w14:paraId="1843F2D3" w14:textId="3266AAA1" w:rsidR="00AE52BC" w:rsidRPr="004B4915" w:rsidRDefault="00AE52BC" w:rsidP="00AE52BC">
            <w:pPr>
              <w:pStyle w:val="2024TABLETEXT"/>
              <w:rPr>
                <w:rFonts w:ascii="Cambria Math" w:hAnsi="Cambria Math" w:cs="Cambria Math"/>
                <w:color w:val="C00000"/>
              </w:rPr>
            </w:pPr>
            <w:r w:rsidRPr="000E6381">
              <w:rPr>
                <w:rFonts w:ascii="Cambria Math" w:hAnsi="Cambria Math"/>
                <w:color w:val="388600"/>
              </w:rPr>
              <w:t>⨁</w:t>
            </w:r>
            <w:r w:rsidRPr="00CE28E3">
              <w:rPr>
                <w:rFonts w:ascii="Cambria Math" w:hAnsi="Cambria Math" w:cs="Cambria Math"/>
                <w:color w:val="C00000"/>
              </w:rPr>
              <w:t xml:space="preserve">⨀⨀⨀ </w:t>
            </w:r>
            <w:r w:rsidRPr="00A5169A">
              <w:rPr>
                <w:b/>
              </w:rPr>
              <w:t>Very Low</w:t>
            </w:r>
            <w:r w:rsidRPr="00A5169A">
              <w:rPr>
                <w:b/>
                <w:vertAlign w:val="superscript"/>
              </w:rPr>
              <w:t>a</w:t>
            </w:r>
            <w:r w:rsidRPr="00326C50">
              <w:t xml:space="preserve"> </w:t>
            </w:r>
          </w:p>
          <w:p w14:paraId="5055C414" w14:textId="73038809" w:rsidR="00995D49" w:rsidRPr="00A16F78" w:rsidRDefault="00995D49" w:rsidP="00995D49">
            <w:pPr>
              <w:pStyle w:val="2024TABLETEXT"/>
              <w:rPr>
                <w:color w:val="FF0000"/>
              </w:rPr>
            </w:pPr>
            <w:r w:rsidRPr="00326C50">
              <w:t xml:space="preserve">The evidence is very uncertain about the </w:t>
            </w:r>
            <w:r>
              <w:t>diagnostic yield</w:t>
            </w:r>
            <w:r w:rsidRPr="00326C50">
              <w:t xml:space="preserve"> of </w:t>
            </w:r>
            <w:r w:rsidR="003975F2" w:rsidRPr="003975F2">
              <w:rPr>
                <w:i/>
              </w:rPr>
              <w:t xml:space="preserve">HLA-A*31:01 </w:t>
            </w:r>
            <w:r w:rsidRPr="002F1697">
              <w:t>and</w:t>
            </w:r>
            <w:r w:rsidRPr="00884CC5">
              <w:t xml:space="preserve"> </w:t>
            </w:r>
            <w:r w:rsidR="003975F2" w:rsidRPr="003975F2">
              <w:rPr>
                <w:i/>
              </w:rPr>
              <w:t xml:space="preserve">HLA-B*15:02 </w:t>
            </w:r>
            <w:r w:rsidR="000D097C" w:rsidRPr="00884CC5">
              <w:t xml:space="preserve">genotyping </w:t>
            </w:r>
            <w:r>
              <w:t>prior to the commencement of</w:t>
            </w:r>
            <w:r w:rsidRPr="00EA1E31">
              <w:t xml:space="preserve"> </w:t>
            </w:r>
            <w:r>
              <w:t>CBZ</w:t>
            </w:r>
            <w:r w:rsidRPr="51DBDE6B">
              <w:t xml:space="preserve"> or </w:t>
            </w:r>
            <w:r>
              <w:t>OXC</w:t>
            </w:r>
            <w:r w:rsidR="000D097C">
              <w:t xml:space="preserve"> </w:t>
            </w:r>
            <w:r w:rsidR="000D097C" w:rsidRPr="00CA0E76">
              <w:t>compared to no genotyping</w:t>
            </w:r>
            <w:r>
              <w:t>.</w:t>
            </w:r>
          </w:p>
        </w:tc>
      </w:tr>
      <w:tr w:rsidR="00995D49" w:rsidRPr="00A16F78" w14:paraId="567A9FE5" w14:textId="77777777" w:rsidTr="422CAA86">
        <w:trPr>
          <w:trHeight w:val="423"/>
        </w:trPr>
        <w:tc>
          <w:tcPr>
            <w:tcW w:w="500" w:type="pct"/>
            <w:vMerge w:val="restart"/>
            <w:vAlign w:val="center"/>
          </w:tcPr>
          <w:p w14:paraId="20D0E6EB" w14:textId="0542D29B" w:rsidR="00995D49" w:rsidRPr="00556B8D" w:rsidRDefault="00995D49" w:rsidP="00995D49">
            <w:pPr>
              <w:pStyle w:val="2024TABLETEXT"/>
            </w:pPr>
            <w:r w:rsidRPr="00D64368">
              <w:t>Prognostic accuracy</w:t>
            </w:r>
          </w:p>
        </w:tc>
        <w:tc>
          <w:tcPr>
            <w:tcW w:w="729" w:type="pct"/>
            <w:vAlign w:val="center"/>
          </w:tcPr>
          <w:p w14:paraId="73E0AACD" w14:textId="16679D4B" w:rsidR="00BF7064" w:rsidRDefault="00BF7064" w:rsidP="006F19A4">
            <w:pPr>
              <w:pStyle w:val="2024TABLETEXT"/>
            </w:pPr>
            <w:r>
              <w:t xml:space="preserve">Combined </w:t>
            </w:r>
            <w:r w:rsidR="000611A1" w:rsidRPr="000611A1">
              <w:rPr>
                <w:i/>
              </w:rPr>
              <w:t>HLA-</w:t>
            </w:r>
            <w:r w:rsidRPr="0025019F">
              <w:rPr>
                <w:i/>
              </w:rPr>
              <w:t>A*31:01</w:t>
            </w:r>
            <w:r w:rsidRPr="00D64368">
              <w:t>/</w:t>
            </w:r>
            <w:r w:rsidR="003975F2" w:rsidRPr="003975F2">
              <w:rPr>
                <w:i/>
              </w:rPr>
              <w:t xml:space="preserve">HLA-B*15:02 </w:t>
            </w:r>
            <w:r>
              <w:t xml:space="preserve">genotyping for </w:t>
            </w:r>
            <w:r w:rsidRPr="00D64368">
              <w:t>SCARs</w:t>
            </w:r>
            <w:r>
              <w:t xml:space="preserve"> (combined) in Chinese populations</w:t>
            </w:r>
          </w:p>
          <w:p w14:paraId="44223C52" w14:textId="77777777" w:rsidR="00995D49" w:rsidRDefault="00995D49" w:rsidP="00995D49">
            <w:pPr>
              <w:pStyle w:val="2024TABLETEXT"/>
            </w:pPr>
          </w:p>
          <w:p w14:paraId="093784C4" w14:textId="173D9783" w:rsidR="00995D49" w:rsidRPr="007D4997" w:rsidRDefault="00995D49" w:rsidP="00995D49">
            <w:pPr>
              <w:pStyle w:val="2024TABLETEXT"/>
            </w:pPr>
            <w:r>
              <w:t>1 study</w:t>
            </w:r>
            <w:r w:rsidR="00340DDA">
              <w:t>; N=135</w:t>
            </w:r>
          </w:p>
        </w:tc>
        <w:tc>
          <w:tcPr>
            <w:tcW w:w="2771" w:type="pct"/>
            <w:vAlign w:val="center"/>
          </w:tcPr>
          <w:p w14:paraId="31ECF9F1" w14:textId="733A0FEE" w:rsidR="00995D49" w:rsidRPr="009F4317" w:rsidRDefault="00537640" w:rsidP="006F19A4">
            <w:pPr>
              <w:pStyle w:val="2024TABLETEXT"/>
              <w:rPr>
                <w:color w:val="000000" w:themeColor="text1"/>
              </w:rPr>
            </w:pPr>
            <w:r>
              <w:t xml:space="preserve">Overall, there was a statistically significant association between </w:t>
            </w:r>
            <w:r w:rsidRPr="00537640">
              <w:t xml:space="preserve">Combined </w:t>
            </w:r>
            <w:r w:rsidR="003975F2" w:rsidRPr="003975F2">
              <w:rPr>
                <w:i/>
              </w:rPr>
              <w:t xml:space="preserve">HLA-A*31:01 </w:t>
            </w:r>
            <w:r w:rsidR="00884CC5">
              <w:t xml:space="preserve">and </w:t>
            </w:r>
            <w:r w:rsidR="003975F2" w:rsidRPr="003975F2">
              <w:rPr>
                <w:i/>
              </w:rPr>
              <w:t xml:space="preserve">HLA-B*15:02 </w:t>
            </w:r>
            <w:r>
              <w:t xml:space="preserve">genotyping </w:t>
            </w:r>
            <w:r w:rsidRPr="00B74A56">
              <w:t xml:space="preserve">and </w:t>
            </w:r>
            <w:r>
              <w:t xml:space="preserve">CBZ-induced </w:t>
            </w:r>
            <w:r w:rsidRPr="00B74A56">
              <w:t>SCARs (</w:t>
            </w:r>
            <w:r>
              <w:t>OR=</w:t>
            </w:r>
            <w:r w:rsidRPr="00C93AEC">
              <w:t>27.3</w:t>
            </w:r>
            <w:r>
              <w:t>;</w:t>
            </w:r>
            <w:r w:rsidRPr="00C93AEC">
              <w:t xml:space="preserve"> </w:t>
            </w:r>
            <w:r>
              <w:t xml:space="preserve">95% CI </w:t>
            </w:r>
            <w:r w:rsidRPr="00C93AEC">
              <w:t>10.4–71.5</w:t>
            </w:r>
            <w:r w:rsidRPr="0090570E">
              <w:t>)</w:t>
            </w:r>
            <w:r w:rsidR="00884CC5">
              <w:t xml:space="preserve"> in Chinese populations</w:t>
            </w:r>
            <w:r w:rsidR="00311F43" w:rsidRPr="00311F43">
              <w:rPr>
                <w:vertAlign w:val="superscript"/>
              </w:rPr>
              <w:fldChar w:fldCharType="begin"/>
            </w:r>
            <w:r w:rsidR="00311F43" w:rsidRPr="00311F43">
              <w:rPr>
                <w:vertAlign w:val="superscript"/>
              </w:rPr>
              <w:instrText xml:space="preserve"> NOTEREF _Ref181732825 \h </w:instrText>
            </w:r>
            <w:r w:rsidR="00311F43">
              <w:rPr>
                <w:vertAlign w:val="superscript"/>
              </w:rPr>
              <w:instrText xml:space="preserve"> \* MERGEFORMAT </w:instrText>
            </w:r>
            <w:r w:rsidR="00311F43" w:rsidRPr="00311F43">
              <w:rPr>
                <w:vertAlign w:val="superscript"/>
              </w:rPr>
            </w:r>
            <w:r w:rsidR="00311F43" w:rsidRPr="00311F43">
              <w:rPr>
                <w:vertAlign w:val="superscript"/>
              </w:rPr>
              <w:fldChar w:fldCharType="separate"/>
            </w:r>
            <w:r w:rsidR="002E6B38">
              <w:rPr>
                <w:vertAlign w:val="superscript"/>
              </w:rPr>
              <w:t>10</w:t>
            </w:r>
            <w:r w:rsidR="00311F43" w:rsidRPr="00311F43">
              <w:rPr>
                <w:vertAlign w:val="superscript"/>
              </w:rPr>
              <w:fldChar w:fldCharType="end"/>
            </w:r>
            <w:r>
              <w:t>.</w:t>
            </w:r>
          </w:p>
        </w:tc>
        <w:tc>
          <w:tcPr>
            <w:tcW w:w="1000" w:type="pct"/>
            <w:vAlign w:val="center"/>
          </w:tcPr>
          <w:p w14:paraId="0FD48D36" w14:textId="7EF23C2A" w:rsidR="00AE52BC" w:rsidRPr="00A5169A" w:rsidRDefault="00537640" w:rsidP="422CAA86">
            <w:pPr>
              <w:pStyle w:val="2024TABLETEXT"/>
              <w:rPr>
                <w:b/>
                <w:bCs/>
                <w:i/>
                <w:iCs/>
              </w:rPr>
            </w:pPr>
            <w:r w:rsidRPr="422CAA86">
              <w:rPr>
                <w:rFonts w:ascii="Cambria Math" w:hAnsi="Cambria Math"/>
                <w:color w:val="388600"/>
              </w:rPr>
              <w:t>⨁</w:t>
            </w:r>
            <w:r w:rsidR="00A83A1C" w:rsidRPr="422CAA86">
              <w:rPr>
                <w:rFonts w:ascii="Cambria Math" w:hAnsi="Cambria Math" w:cs="Cambria Math"/>
                <w:color w:val="C00000"/>
              </w:rPr>
              <w:t>⨀</w:t>
            </w:r>
            <w:r w:rsidRPr="422CAA86">
              <w:rPr>
                <w:rFonts w:ascii="Cambria Math" w:hAnsi="Cambria Math" w:cs="Cambria Math"/>
                <w:color w:val="C00000"/>
              </w:rPr>
              <w:t xml:space="preserve">⨀⨀ </w:t>
            </w:r>
            <w:r w:rsidR="00A83A1C" w:rsidRPr="422CAA86">
              <w:rPr>
                <w:b/>
                <w:bCs/>
              </w:rPr>
              <w:t xml:space="preserve">Very </w:t>
            </w:r>
            <w:proofErr w:type="spellStart"/>
            <w:r w:rsidR="00A83A1C" w:rsidRPr="422CAA86">
              <w:rPr>
                <w:b/>
                <w:bCs/>
              </w:rPr>
              <w:t>l</w:t>
            </w:r>
            <w:r w:rsidRPr="422CAA86">
              <w:rPr>
                <w:b/>
                <w:bCs/>
              </w:rPr>
              <w:t>ow</w:t>
            </w:r>
            <w:r w:rsidRPr="422CAA86">
              <w:rPr>
                <w:b/>
                <w:bCs/>
                <w:vertAlign w:val="superscript"/>
              </w:rPr>
              <w:t>b</w:t>
            </w:r>
            <w:proofErr w:type="spellEnd"/>
            <w:r w:rsidR="00AE52BC" w:rsidRPr="422CAA86">
              <w:rPr>
                <w:b/>
                <w:bCs/>
                <w:i/>
                <w:iCs/>
              </w:rPr>
              <w:t xml:space="preserve"> </w:t>
            </w:r>
          </w:p>
          <w:p w14:paraId="6B3D68DE" w14:textId="404A68EF" w:rsidR="00995D49" w:rsidRPr="00A16F78" w:rsidRDefault="00A83A1C" w:rsidP="00995D49">
            <w:pPr>
              <w:pStyle w:val="2024TABLETEXT"/>
              <w:rPr>
                <w:color w:val="FF0000"/>
              </w:rPr>
            </w:pPr>
            <w:r w:rsidRPr="00884CC5">
              <w:t xml:space="preserve">The evidence is very uncertain about the </w:t>
            </w:r>
            <w:r w:rsidR="00EE78BD">
              <w:t xml:space="preserve">impact of </w:t>
            </w:r>
            <w:r w:rsidR="003975F2" w:rsidRPr="003975F2">
              <w:rPr>
                <w:i/>
                <w:iCs/>
              </w:rPr>
              <w:t xml:space="preserve">HLA-A*31:01 </w:t>
            </w:r>
            <w:r w:rsidR="00995D49" w:rsidRPr="002F1697">
              <w:t>and</w:t>
            </w:r>
            <w:r w:rsidR="00995D49" w:rsidRPr="002F1697">
              <w:rPr>
                <w:i/>
                <w:iCs/>
              </w:rPr>
              <w:t xml:space="preserve"> </w:t>
            </w:r>
            <w:r w:rsidR="003975F2" w:rsidRPr="003975F2">
              <w:rPr>
                <w:i/>
                <w:iCs/>
              </w:rPr>
              <w:t xml:space="preserve">HLA-B*15:02 </w:t>
            </w:r>
            <w:r w:rsidR="00537640" w:rsidRPr="00CA0E76">
              <w:t>genotyping</w:t>
            </w:r>
            <w:r w:rsidR="00537640" w:rsidRPr="00CA0E76">
              <w:rPr>
                <w:i/>
                <w:iCs/>
              </w:rPr>
              <w:t xml:space="preserve"> </w:t>
            </w:r>
            <w:r w:rsidR="00995D49">
              <w:t>prior to the commencement of</w:t>
            </w:r>
            <w:r w:rsidR="00995D49" w:rsidRPr="00EA1E31">
              <w:t xml:space="preserve"> </w:t>
            </w:r>
            <w:r w:rsidR="00995D49">
              <w:t>CBZ</w:t>
            </w:r>
            <w:r w:rsidR="00995D49" w:rsidRPr="51DBDE6B">
              <w:t xml:space="preserve"> or </w:t>
            </w:r>
            <w:r w:rsidR="00995D49">
              <w:t>OXC</w:t>
            </w:r>
            <w:r w:rsidR="00995D49" w:rsidRPr="00CE28E3">
              <w:t xml:space="preserve"> </w:t>
            </w:r>
            <w:r w:rsidR="00995D49" w:rsidRPr="00EB493D">
              <w:t>compared to no genotyping</w:t>
            </w:r>
            <w:r w:rsidR="00995D49" w:rsidRPr="00884CC5">
              <w:t xml:space="preserve"> </w:t>
            </w:r>
            <w:r w:rsidR="00EE78BD">
              <w:t>on</w:t>
            </w:r>
            <w:r w:rsidR="00607BE9">
              <w:t xml:space="preserve"> </w:t>
            </w:r>
            <w:r w:rsidR="00607BE9" w:rsidRPr="00CA0E76">
              <w:rPr>
                <w:color w:val="000000" w:themeColor="text1"/>
              </w:rPr>
              <w:t>the</w:t>
            </w:r>
            <w:r w:rsidR="00995D49">
              <w:rPr>
                <w:color w:val="000000" w:themeColor="text1"/>
              </w:rPr>
              <w:t xml:space="preserve"> incidence of </w:t>
            </w:r>
            <w:r w:rsidR="00995D49">
              <w:t>SCARs.</w:t>
            </w:r>
          </w:p>
        </w:tc>
      </w:tr>
      <w:tr w:rsidR="00995D49" w:rsidRPr="00A16F78" w14:paraId="1FE97998" w14:textId="77777777" w:rsidTr="422CAA86">
        <w:trPr>
          <w:trHeight w:val="423"/>
        </w:trPr>
        <w:tc>
          <w:tcPr>
            <w:tcW w:w="500" w:type="pct"/>
            <w:vMerge/>
            <w:vAlign w:val="center"/>
          </w:tcPr>
          <w:p w14:paraId="66CE807F" w14:textId="77777777" w:rsidR="00995D49" w:rsidRPr="00D64368" w:rsidRDefault="00995D49" w:rsidP="00995D49">
            <w:pPr>
              <w:pStyle w:val="2024TABLETEXT"/>
            </w:pPr>
          </w:p>
        </w:tc>
        <w:tc>
          <w:tcPr>
            <w:tcW w:w="729" w:type="pct"/>
            <w:vAlign w:val="center"/>
          </w:tcPr>
          <w:p w14:paraId="1BDABF86" w14:textId="127AA8CF" w:rsidR="00BF7064" w:rsidRPr="00BF7064" w:rsidRDefault="00BF7064" w:rsidP="006F19A4">
            <w:pPr>
              <w:pStyle w:val="2024TABLETEXT"/>
            </w:pPr>
            <w:r w:rsidRPr="00BF7064">
              <w:t xml:space="preserve">Studies where both </w:t>
            </w:r>
            <w:r w:rsidR="003975F2" w:rsidRPr="003975F2">
              <w:rPr>
                <w:i/>
              </w:rPr>
              <w:t xml:space="preserve">HLA-A*31:01 </w:t>
            </w:r>
            <w:r w:rsidRPr="00BF7064">
              <w:t xml:space="preserve">and </w:t>
            </w:r>
            <w:r w:rsidR="003975F2" w:rsidRPr="003975F2">
              <w:rPr>
                <w:i/>
              </w:rPr>
              <w:t xml:space="preserve">HLA-B*15:02 </w:t>
            </w:r>
            <w:r w:rsidRPr="00BF7064">
              <w:t>genotyping was conducted, but results were presented separately</w:t>
            </w:r>
          </w:p>
          <w:p w14:paraId="24C179AA" w14:textId="77777777" w:rsidR="00BF7064" w:rsidRDefault="00BF7064" w:rsidP="006F19A4">
            <w:pPr>
              <w:pStyle w:val="2024TABLETEXT"/>
            </w:pPr>
          </w:p>
          <w:p w14:paraId="7FA6D9AA" w14:textId="4253D28E" w:rsidR="00811EF7" w:rsidRDefault="00995D49" w:rsidP="006F19A4">
            <w:pPr>
              <w:pStyle w:val="2024TABLETEXT"/>
            </w:pPr>
            <w:r>
              <w:t>SCARs (</w:t>
            </w:r>
            <w:r w:rsidR="00811EF7">
              <w:t>combined)</w:t>
            </w:r>
          </w:p>
          <w:p w14:paraId="092EEF7E" w14:textId="20175234" w:rsidR="00995D49" w:rsidRDefault="00995D49" w:rsidP="00995D49">
            <w:pPr>
              <w:pStyle w:val="2024TABLETEXT"/>
            </w:pPr>
            <w:r>
              <w:t>(11 studies, 0 with meta-analysis)</w:t>
            </w:r>
          </w:p>
          <w:p w14:paraId="68A66014" w14:textId="77777777" w:rsidR="00995D49" w:rsidRDefault="00995D49" w:rsidP="00995D49">
            <w:pPr>
              <w:pStyle w:val="2024TABLETEXT"/>
            </w:pPr>
          </w:p>
          <w:p w14:paraId="51C0DF05" w14:textId="77777777" w:rsidR="00995D49" w:rsidRDefault="00995D49" w:rsidP="00995D49">
            <w:pPr>
              <w:pStyle w:val="2024TABLETEXT"/>
            </w:pPr>
            <w:r>
              <w:t>DRESS (9 studies, 2 with meta-analysis)</w:t>
            </w:r>
          </w:p>
          <w:p w14:paraId="6F38910A" w14:textId="77777777" w:rsidR="00995D49" w:rsidRDefault="00995D49" w:rsidP="00995D49">
            <w:pPr>
              <w:pStyle w:val="2024TABLETEXT"/>
            </w:pPr>
          </w:p>
          <w:p w14:paraId="68211EBF" w14:textId="77777777" w:rsidR="00995D49" w:rsidRDefault="00995D49" w:rsidP="00995D49">
            <w:pPr>
              <w:pStyle w:val="2024TABLETEXT"/>
            </w:pPr>
            <w:r>
              <w:lastRenderedPageBreak/>
              <w:t>SJS-TEN (12 studies, 2 with meta-analysis)</w:t>
            </w:r>
          </w:p>
          <w:p w14:paraId="59A577CD" w14:textId="77777777" w:rsidR="00995D49" w:rsidRDefault="00995D49" w:rsidP="00995D49">
            <w:pPr>
              <w:pStyle w:val="2024TABLETEXT"/>
            </w:pPr>
          </w:p>
          <w:p w14:paraId="1B247D8D" w14:textId="3BF1DB53" w:rsidR="00995D49" w:rsidRDefault="00995D49" w:rsidP="00995D49">
            <w:pPr>
              <w:pStyle w:val="2024TABLETEXT"/>
            </w:pPr>
            <w:r>
              <w:t>MPE (10 studies, 0 with meta-analysis)</w:t>
            </w:r>
          </w:p>
        </w:tc>
        <w:tc>
          <w:tcPr>
            <w:tcW w:w="2771" w:type="pct"/>
            <w:vAlign w:val="center"/>
          </w:tcPr>
          <w:p w14:paraId="78691117" w14:textId="49ED39E6" w:rsidR="00423606" w:rsidRDefault="00995D49" w:rsidP="00995D49">
            <w:pPr>
              <w:pStyle w:val="2024TABLETEXT"/>
            </w:pPr>
            <w:r w:rsidRPr="00A5169A">
              <w:rPr>
                <w:u w:val="single"/>
              </w:rPr>
              <w:lastRenderedPageBreak/>
              <w:t>SCARs</w:t>
            </w:r>
            <w:r w:rsidR="00811EF7" w:rsidRPr="00A5169A">
              <w:rPr>
                <w:u w:val="single"/>
              </w:rPr>
              <w:t xml:space="preserve"> (combined)</w:t>
            </w:r>
            <w:r w:rsidR="00A5169A">
              <w:rPr>
                <w:u w:val="single"/>
              </w:rPr>
              <w:t xml:space="preserve">: </w:t>
            </w:r>
            <w:r w:rsidR="00AE52BC">
              <w:t xml:space="preserve">Overall, there was a statistically significant association between </w:t>
            </w:r>
            <w:r w:rsidR="003975F2" w:rsidRPr="003975F2">
              <w:rPr>
                <w:i/>
                <w:iCs/>
              </w:rPr>
              <w:t xml:space="preserve">HLA-A*31:01 </w:t>
            </w:r>
            <w:r w:rsidR="00AE52BC" w:rsidRPr="00B74A56">
              <w:t xml:space="preserve">and </w:t>
            </w:r>
            <w:r w:rsidR="00AE52BC">
              <w:t xml:space="preserve">CBZ-induced </w:t>
            </w:r>
            <w:r w:rsidR="00AE52BC" w:rsidRPr="00B74A56">
              <w:t>SCARs (</w:t>
            </w:r>
            <w:r w:rsidR="00AE52BC">
              <w:t>OR=</w:t>
            </w:r>
            <w:r w:rsidR="00AE52BC" w:rsidRPr="0090570E">
              <w:t>3.79; 95% CI 1.72 to 8.33</w:t>
            </w:r>
            <w:r w:rsidR="00423606">
              <w:t>; N=763</w:t>
            </w:r>
            <w:r w:rsidR="00AE52BC" w:rsidRPr="0090570E">
              <w:t>)</w:t>
            </w:r>
            <w:r w:rsidR="00AE52BC">
              <w:t xml:space="preserve">. Significance was also seen in the European </w:t>
            </w:r>
            <w:r w:rsidR="00E730F9">
              <w:t>ancestry</w:t>
            </w:r>
            <w:r w:rsidR="00AE52BC">
              <w:t xml:space="preserve"> subgroup, but not the Asian </w:t>
            </w:r>
            <w:r w:rsidR="00E730F9">
              <w:t>ancestry</w:t>
            </w:r>
            <w:r w:rsidR="00AE52BC">
              <w:t xml:space="preserve"> subgroup. All</w:t>
            </w:r>
            <w:r w:rsidR="00D435A4">
              <w:t xml:space="preserve"> pooled</w:t>
            </w:r>
            <w:r w:rsidR="00AE52BC">
              <w:t xml:space="preserve"> results had significant </w:t>
            </w:r>
            <w:r w:rsidR="00D435A4">
              <w:t xml:space="preserve">heterogeneity </w:t>
            </w:r>
            <w:r w:rsidR="006E0CB2">
              <w:t>I</w:t>
            </w:r>
            <w:r w:rsidR="006E0CB2" w:rsidRPr="006E0CB2">
              <w:rPr>
                <w:vertAlign w:val="superscript"/>
              </w:rPr>
              <w:t>2</w:t>
            </w:r>
            <w:r w:rsidR="006E0CB2">
              <w:t>=55-66%)</w:t>
            </w:r>
            <w:r w:rsidR="00D91AD4">
              <w:t xml:space="preserve">, though point estimates and </w:t>
            </w:r>
            <w:r w:rsidR="00562C3D">
              <w:t xml:space="preserve">95% </w:t>
            </w:r>
            <w:r w:rsidR="00D91AD4">
              <w:t xml:space="preserve">CI boundaries </w:t>
            </w:r>
            <w:r w:rsidR="007D59C1">
              <w:t xml:space="preserve">mostly did not cross the </w:t>
            </w:r>
            <w:r w:rsidR="00CA424E">
              <w:t>direction of effect threshold, suggesting consistency</w:t>
            </w:r>
            <w:r w:rsidR="00AE52BC">
              <w:t>. Meta-analysis of OXC-induced SCARs was not possible as only one study reported results for both cases and tolerant controls.</w:t>
            </w:r>
            <w:r w:rsidR="00FD7409">
              <w:t xml:space="preserve"> </w:t>
            </w:r>
          </w:p>
          <w:p w14:paraId="03D56F04" w14:textId="6855DB63" w:rsidR="00995D49" w:rsidRPr="00A5169A" w:rsidRDefault="00995D49" w:rsidP="00995D49">
            <w:pPr>
              <w:pStyle w:val="2024TABLETEXT"/>
              <w:rPr>
                <w:u w:val="single"/>
              </w:rPr>
            </w:pPr>
            <w:r>
              <w:t xml:space="preserve">Overall, there was a statistically significant association between </w:t>
            </w:r>
            <w:r w:rsidR="003975F2" w:rsidRPr="003975F2">
              <w:rPr>
                <w:i/>
                <w:color w:val="000000" w:themeColor="text1"/>
              </w:rPr>
              <w:t xml:space="preserve">HLA-B*15:02 </w:t>
            </w:r>
            <w:r w:rsidRPr="00B74A56">
              <w:t xml:space="preserve">and </w:t>
            </w:r>
            <w:r>
              <w:t xml:space="preserve">CBZ-induced </w:t>
            </w:r>
            <w:r w:rsidRPr="00B74A56">
              <w:t>SCARs (</w:t>
            </w:r>
            <w:r>
              <w:t>OR=5.43</w:t>
            </w:r>
            <w:r w:rsidRPr="0090570E">
              <w:t>; 95% CI 1.</w:t>
            </w:r>
            <w:r>
              <w:t>11</w:t>
            </w:r>
            <w:r w:rsidRPr="0090570E">
              <w:t xml:space="preserve"> to </w:t>
            </w:r>
            <w:r>
              <w:t>26.62</w:t>
            </w:r>
            <w:r w:rsidR="002478B4">
              <w:t>; N=763</w:t>
            </w:r>
            <w:r w:rsidRPr="0090570E">
              <w:t>)</w:t>
            </w:r>
            <w:r>
              <w:t xml:space="preserve">. There was no difference in the Asian </w:t>
            </w:r>
            <w:r w:rsidR="00E730F9">
              <w:t>ancestry</w:t>
            </w:r>
            <w:r>
              <w:t xml:space="preserve"> subgroup, and meta-analysis was not possible in the European subgroup. </w:t>
            </w:r>
            <w:r w:rsidR="00DC614E">
              <w:t xml:space="preserve">All </w:t>
            </w:r>
            <w:r w:rsidR="00D435A4">
              <w:t xml:space="preserve">pooled </w:t>
            </w:r>
            <w:r w:rsidR="00DC614E">
              <w:t xml:space="preserve">results </w:t>
            </w:r>
            <w:r w:rsidR="00D435A4">
              <w:t>showed</w:t>
            </w:r>
            <w:r w:rsidR="00DC614E">
              <w:t xml:space="preserve"> considerable heterogeneity I</w:t>
            </w:r>
            <w:r w:rsidR="00DC614E" w:rsidRPr="006E0CB2">
              <w:rPr>
                <w:vertAlign w:val="superscript"/>
              </w:rPr>
              <w:t>2</w:t>
            </w:r>
            <w:r w:rsidR="00DC614E">
              <w:t>=</w:t>
            </w:r>
            <w:r w:rsidR="008F23F0">
              <w:t>80-87</w:t>
            </w:r>
            <w:r w:rsidR="00DC614E">
              <w:t xml:space="preserve">%), </w:t>
            </w:r>
            <w:r w:rsidR="008F23F0">
              <w:t>and</w:t>
            </w:r>
            <w:r w:rsidR="00DC614E">
              <w:t xml:space="preserve"> </w:t>
            </w:r>
            <w:r w:rsidR="00562C3D">
              <w:t xml:space="preserve">95% </w:t>
            </w:r>
            <w:r w:rsidR="00DC614E">
              <w:t xml:space="preserve">CI boundaries mostly </w:t>
            </w:r>
            <w:r w:rsidR="008F23F0">
              <w:t>crossed</w:t>
            </w:r>
            <w:r w:rsidR="00DC614E">
              <w:t xml:space="preserve"> the direction of effect threshold, suggesting </w:t>
            </w:r>
            <w:r w:rsidR="008F23F0">
              <w:t>in</w:t>
            </w:r>
            <w:r w:rsidR="00DC614E">
              <w:t xml:space="preserve">consistency. </w:t>
            </w:r>
            <w:r>
              <w:t xml:space="preserve">There was also no significant association between </w:t>
            </w:r>
            <w:r w:rsidR="003975F2" w:rsidRPr="003975F2">
              <w:rPr>
                <w:i/>
                <w:color w:val="000000" w:themeColor="text1"/>
              </w:rPr>
              <w:t xml:space="preserve">HLA-B*15:02 </w:t>
            </w:r>
            <w:r w:rsidRPr="00B74A56">
              <w:t xml:space="preserve">and </w:t>
            </w:r>
            <w:r>
              <w:t xml:space="preserve">OXC-induced </w:t>
            </w:r>
            <w:r w:rsidRPr="00B74A56">
              <w:t xml:space="preserve">SCARs </w:t>
            </w:r>
            <w:r w:rsidR="00561031">
              <w:t xml:space="preserve">in two studies with Asian ancestry </w:t>
            </w:r>
            <w:r w:rsidRPr="00B74A56">
              <w:t>(</w:t>
            </w:r>
            <w:r>
              <w:t>OR=1.37</w:t>
            </w:r>
            <w:r w:rsidRPr="0090570E">
              <w:t xml:space="preserve">; 95% CI </w:t>
            </w:r>
            <w:r>
              <w:t>0.07 to 25.29</w:t>
            </w:r>
            <w:r w:rsidR="00E272A4">
              <w:t>; N=361</w:t>
            </w:r>
            <w:r w:rsidRPr="0090570E">
              <w:t>)</w:t>
            </w:r>
            <w:r w:rsidR="00792B5B">
              <w:t xml:space="preserve">, with </w:t>
            </w:r>
            <w:r>
              <w:t>significant heterogeneity</w:t>
            </w:r>
            <w:r w:rsidR="000862C8">
              <w:t xml:space="preserve"> </w:t>
            </w:r>
            <w:r w:rsidR="00792B5B">
              <w:t xml:space="preserve">in </w:t>
            </w:r>
            <w:r w:rsidR="00D435A4">
              <w:t xml:space="preserve">pooled </w:t>
            </w:r>
            <w:r w:rsidR="00792B5B">
              <w:t>results</w:t>
            </w:r>
            <w:r w:rsidR="000862C8">
              <w:t xml:space="preserve"> (I</w:t>
            </w:r>
            <w:r w:rsidR="000862C8" w:rsidRPr="000862C8">
              <w:rPr>
                <w:vertAlign w:val="superscript"/>
              </w:rPr>
              <w:t>2</w:t>
            </w:r>
            <w:r w:rsidR="000862C8">
              <w:t>=</w:t>
            </w:r>
            <w:r w:rsidR="00792B5B">
              <w:t>7</w:t>
            </w:r>
            <w:r w:rsidR="000862C8">
              <w:t>5%)</w:t>
            </w:r>
            <w:r>
              <w:t xml:space="preserve">. </w:t>
            </w:r>
            <w:r w:rsidR="00561031">
              <w:t xml:space="preserve">There were no studies </w:t>
            </w:r>
            <w:r w:rsidR="00D66972">
              <w:t>with European ancestry.</w:t>
            </w:r>
          </w:p>
          <w:p w14:paraId="2E10A793" w14:textId="77777777" w:rsidR="00995D49" w:rsidRDefault="00995D49" w:rsidP="00995D49">
            <w:pPr>
              <w:pStyle w:val="2024TABLETEXT"/>
            </w:pPr>
          </w:p>
          <w:p w14:paraId="2F950597" w14:textId="115CD7A9" w:rsidR="00995D49" w:rsidRPr="00A5169A" w:rsidRDefault="00995D49" w:rsidP="00995D49">
            <w:pPr>
              <w:pStyle w:val="2024TABLETEXT"/>
              <w:rPr>
                <w:u w:val="single"/>
              </w:rPr>
            </w:pPr>
            <w:r w:rsidRPr="00A5169A">
              <w:rPr>
                <w:u w:val="single"/>
              </w:rPr>
              <w:lastRenderedPageBreak/>
              <w:t>DRESS</w:t>
            </w:r>
            <w:r w:rsidR="00A5169A">
              <w:rPr>
                <w:u w:val="single"/>
              </w:rPr>
              <w:t>:</w:t>
            </w:r>
            <w:r w:rsidR="00A5169A" w:rsidRPr="00903CCB">
              <w:t xml:space="preserve"> </w:t>
            </w:r>
            <w:r>
              <w:rPr>
                <w:color w:val="000000" w:themeColor="text1"/>
              </w:rPr>
              <w:t xml:space="preserve">In meta-analysis of primary studies, there was a significant association between CBZ-induced DRESS and </w:t>
            </w:r>
            <w:r w:rsidR="003975F2" w:rsidRPr="003975F2">
              <w:rPr>
                <w:i/>
                <w:iCs/>
              </w:rPr>
              <w:t xml:space="preserve">HLA-A*31:01 </w:t>
            </w:r>
            <w:r>
              <w:t>overall (OR=18.58; 95% CI 9.80 to 35.19</w:t>
            </w:r>
            <w:r w:rsidR="004968BC">
              <w:t>; N=711</w:t>
            </w:r>
            <w:r>
              <w:t xml:space="preserve">) and </w:t>
            </w:r>
            <w:r w:rsidRPr="00CE670B">
              <w:t xml:space="preserve">in </w:t>
            </w:r>
            <w:r>
              <w:t>European and Asian populations individually</w:t>
            </w:r>
            <w:r w:rsidR="000862C8">
              <w:t xml:space="preserve"> with no heterogeneity (I</w:t>
            </w:r>
            <w:r w:rsidR="000862C8" w:rsidRPr="000862C8">
              <w:rPr>
                <w:vertAlign w:val="superscript"/>
              </w:rPr>
              <w:t>2</w:t>
            </w:r>
            <w:r w:rsidR="000862C8">
              <w:t>=0%)</w:t>
            </w:r>
            <w:r>
              <w:t xml:space="preserve">. </w:t>
            </w:r>
            <w:r w:rsidR="000862C8">
              <w:t>These results were</w:t>
            </w:r>
            <w:r>
              <w:t xml:space="preserve"> supported by meta-analyses from the literature</w:t>
            </w:r>
            <w:r w:rsidR="00DB663B" w:rsidRPr="00DB663B">
              <w:rPr>
                <w:vertAlign w:val="superscript"/>
              </w:rPr>
              <w:t>,</w:t>
            </w:r>
            <w:r w:rsidR="00134354">
              <w:rPr>
                <w:vertAlign w:val="superscript"/>
              </w:rPr>
              <w:t>13 14</w:t>
            </w:r>
            <w:r>
              <w:t>. There was no association</w:t>
            </w:r>
            <w:r w:rsidRPr="00E05C2B">
              <w:t xml:space="preserve"> between </w:t>
            </w:r>
            <w:r w:rsidR="003975F2" w:rsidRPr="003975F2">
              <w:rPr>
                <w:i/>
                <w:iCs/>
              </w:rPr>
              <w:t xml:space="preserve">HLA-B*15:02 </w:t>
            </w:r>
            <w:r w:rsidRPr="00E05C2B">
              <w:t>and CBZ-</w:t>
            </w:r>
            <w:r>
              <w:t xml:space="preserve"> or OXC-</w:t>
            </w:r>
            <w:r w:rsidRPr="00E05C2B">
              <w:t>induced DRESS</w:t>
            </w:r>
            <w:r w:rsidR="00FA6CB7">
              <w:t xml:space="preserve"> (N=517)</w:t>
            </w:r>
            <w:r>
              <w:t>.</w:t>
            </w:r>
            <w:r w:rsidR="0027152A">
              <w:t xml:space="preserve"> None of the 86 </w:t>
            </w:r>
            <w:r w:rsidR="0027152A" w:rsidRPr="00E05C2B">
              <w:t xml:space="preserve">CBZ-induced </w:t>
            </w:r>
            <w:r w:rsidR="0027152A">
              <w:t>cases from pooled primary results had this variant; only one of the six OXC-</w:t>
            </w:r>
            <w:r w:rsidR="0027152A" w:rsidRPr="00E05C2B">
              <w:t>induced</w:t>
            </w:r>
            <w:r w:rsidR="0027152A">
              <w:t xml:space="preserve"> cases did (compared to 7.9% (</w:t>
            </w:r>
            <w:r w:rsidR="0027152A" w:rsidRPr="00D96630">
              <w:t>8/101</w:t>
            </w:r>
            <w:r w:rsidR="0027152A">
              <w:t>) of the tolerant controls).</w:t>
            </w:r>
            <w:r w:rsidR="00F95E5C">
              <w:t xml:space="preserve"> Neither meta-analysis from the literature examined this association</w:t>
            </w:r>
            <w:r w:rsidR="00F95E5C" w:rsidRPr="00DB663B">
              <w:rPr>
                <w:vertAlign w:val="superscript"/>
              </w:rPr>
              <w:t>,</w:t>
            </w:r>
            <w:r w:rsidR="00F95E5C">
              <w:t>.</w:t>
            </w:r>
          </w:p>
          <w:p w14:paraId="03043FEF" w14:textId="77777777" w:rsidR="00995D49" w:rsidRDefault="00995D49" w:rsidP="00995D49">
            <w:pPr>
              <w:pStyle w:val="2024TABLETEXT"/>
            </w:pPr>
          </w:p>
          <w:p w14:paraId="43591C62" w14:textId="68561264" w:rsidR="00995D49" w:rsidRPr="00A5169A" w:rsidRDefault="00995D49" w:rsidP="422CAA86">
            <w:pPr>
              <w:pStyle w:val="2024TABLETEXT"/>
              <w:rPr>
                <w:u w:val="single"/>
              </w:rPr>
            </w:pPr>
            <w:r w:rsidRPr="422CAA86">
              <w:rPr>
                <w:u w:val="single"/>
              </w:rPr>
              <w:t>SJS-TEN</w:t>
            </w:r>
            <w:r w:rsidR="00A5169A" w:rsidRPr="422CAA86">
              <w:rPr>
                <w:u w:val="single"/>
              </w:rPr>
              <w:t>:</w:t>
            </w:r>
            <w:r w:rsidR="00A5169A" w:rsidRPr="422CAA86">
              <w:t xml:space="preserve"> </w:t>
            </w:r>
            <w:r w:rsidRPr="422CAA86">
              <w:rPr>
                <w:color w:val="000000" w:themeColor="text1"/>
              </w:rPr>
              <w:t xml:space="preserve">In meta-analysis of primary studies, there was a significant association between CBZ-induced SJS-TEN and </w:t>
            </w:r>
            <w:r w:rsidR="003975F2" w:rsidRPr="003975F2">
              <w:rPr>
                <w:i/>
                <w:iCs/>
              </w:rPr>
              <w:t xml:space="preserve">HLA-A*31:01 </w:t>
            </w:r>
            <w:r w:rsidR="00D67DDA" w:rsidRPr="422CAA86">
              <w:t>overall (OR=1.87, 95% CI 1.01 to 3.45; N=</w:t>
            </w:r>
            <w:r w:rsidR="00963663" w:rsidRPr="422CAA86">
              <w:t>1438</w:t>
            </w:r>
            <w:r w:rsidR="00D67DDA" w:rsidRPr="422CAA86">
              <w:t xml:space="preserve">) and </w:t>
            </w:r>
            <w:r w:rsidR="00F40AE3" w:rsidRPr="422CAA86">
              <w:t>in European populations</w:t>
            </w:r>
            <w:r w:rsidRPr="422CAA86">
              <w:t xml:space="preserve"> (OR=3.46, 95% CI 1.06 to 11.29</w:t>
            </w:r>
            <w:r w:rsidR="00316EE9" w:rsidRPr="422CAA86">
              <w:t>; N=398</w:t>
            </w:r>
            <w:r w:rsidRPr="422CAA86">
              <w:t>)</w:t>
            </w:r>
            <w:r w:rsidR="00963663" w:rsidRPr="422CAA86">
              <w:t>, with no heterogeneity (I</w:t>
            </w:r>
            <w:r w:rsidR="00963663" w:rsidRPr="422CAA86">
              <w:rPr>
                <w:vertAlign w:val="superscript"/>
              </w:rPr>
              <w:t>2</w:t>
            </w:r>
            <w:r w:rsidR="00963663" w:rsidRPr="422CAA86">
              <w:t>=0%)</w:t>
            </w:r>
            <w:r w:rsidR="00A859CE" w:rsidRPr="422CAA86">
              <w:t xml:space="preserve">, however </w:t>
            </w:r>
            <w:r w:rsidR="003915F8" w:rsidRPr="422CAA86">
              <w:t xml:space="preserve">point estimates and </w:t>
            </w:r>
            <w:r w:rsidR="00562C3D" w:rsidRPr="422CAA86">
              <w:t xml:space="preserve">95% </w:t>
            </w:r>
            <w:r w:rsidR="003915F8" w:rsidRPr="422CAA86">
              <w:t>CI boundaries generally sat on different sides of the direction of effect threshold, suggesting inconsistency</w:t>
            </w:r>
            <w:r w:rsidRPr="422CAA86">
              <w:t xml:space="preserve">. </w:t>
            </w:r>
            <w:r w:rsidR="00963663" w:rsidRPr="422CAA86">
              <w:t>The</w:t>
            </w:r>
            <w:r w:rsidRPr="422CAA86">
              <w:t xml:space="preserve"> </w:t>
            </w:r>
            <w:r w:rsidR="00702EE9" w:rsidRPr="422CAA86">
              <w:t>two meta-</w:t>
            </w:r>
            <w:r w:rsidR="00E96B69" w:rsidRPr="422CAA86">
              <w:t>analyses</w:t>
            </w:r>
            <w:r w:rsidR="00880BC4" w:rsidRPr="422CAA86">
              <w:t xml:space="preserve"> from the literature reported similar results (one significant and one non-significant for European populations).</w:t>
            </w:r>
            <w:r w:rsidRPr="422CAA86">
              <w:t xml:space="preserve"> For </w:t>
            </w:r>
            <w:r w:rsidR="000611A1" w:rsidRPr="000611A1">
              <w:rPr>
                <w:i/>
                <w:iCs/>
              </w:rPr>
              <w:t>HLA-</w:t>
            </w:r>
            <w:r w:rsidRPr="422CAA86">
              <w:rPr>
                <w:i/>
                <w:iCs/>
              </w:rPr>
              <w:t>B*15:02,</w:t>
            </w:r>
            <w:r w:rsidRPr="422CAA86">
              <w:t> there was a significant association with CBZ-induced SJS-TEN cases for the total population (OR=31.27; 95% CI 16.73 to 58.44</w:t>
            </w:r>
            <w:r w:rsidR="00316EE9" w:rsidRPr="422CAA86">
              <w:t>; N=1286</w:t>
            </w:r>
            <w:r w:rsidRPr="422CAA86">
              <w:t xml:space="preserve">) and both </w:t>
            </w:r>
            <w:r w:rsidR="00E96B69" w:rsidRPr="422CAA86">
              <w:t xml:space="preserve">European and Asian </w:t>
            </w:r>
            <w:r w:rsidR="00E730F9" w:rsidRPr="422CAA86">
              <w:t>ancestry</w:t>
            </w:r>
            <w:r w:rsidRPr="422CAA86">
              <w:t xml:space="preserve"> subpopulations in the meta-analysis of primary studies. While there was significant statistical heterogeneity</w:t>
            </w:r>
            <w:r w:rsidR="005801DC" w:rsidRPr="422CAA86">
              <w:t xml:space="preserve"> (I</w:t>
            </w:r>
            <w:r w:rsidR="005801DC" w:rsidRPr="422CAA86">
              <w:rPr>
                <w:vertAlign w:val="superscript"/>
              </w:rPr>
              <w:t>2</w:t>
            </w:r>
            <w:r w:rsidR="005801DC" w:rsidRPr="422CAA86">
              <w:t>=51–63%)</w:t>
            </w:r>
            <w:r w:rsidRPr="422CAA86">
              <w:t xml:space="preserve">, all point estimates and </w:t>
            </w:r>
            <w:r w:rsidR="00732A6E" w:rsidRPr="422CAA86">
              <w:t xml:space="preserve">95% </w:t>
            </w:r>
            <w:r w:rsidR="00A64A10" w:rsidRPr="422CAA86">
              <w:t>CIs</w:t>
            </w:r>
            <w:r w:rsidRPr="422CAA86">
              <w:t xml:space="preserve"> indicated an appreciable effect. Neither meta-analysis from the literature examined this association</w:t>
            </w:r>
            <w:r w:rsidR="00A64A10" w:rsidRPr="422CAA86">
              <w:t>.</w:t>
            </w:r>
          </w:p>
          <w:p w14:paraId="4CA2B4FE" w14:textId="77777777" w:rsidR="00995D49" w:rsidRDefault="00995D49" w:rsidP="00995D49">
            <w:pPr>
              <w:pStyle w:val="2024TABLETEXT"/>
            </w:pPr>
          </w:p>
          <w:p w14:paraId="61F155E6" w14:textId="31DD7E58" w:rsidR="00995D49" w:rsidRPr="00A5169A" w:rsidRDefault="00995D49" w:rsidP="009F4317">
            <w:pPr>
              <w:pStyle w:val="2024TABLETEXT"/>
              <w:rPr>
                <w:u w:val="single"/>
              </w:rPr>
            </w:pPr>
            <w:r w:rsidRPr="00A5169A">
              <w:rPr>
                <w:u w:val="single"/>
              </w:rPr>
              <w:t>MPE</w:t>
            </w:r>
            <w:r w:rsidR="00A5169A">
              <w:rPr>
                <w:u w:val="single"/>
              </w:rPr>
              <w:t>:</w:t>
            </w:r>
            <w:r w:rsidR="00A5169A" w:rsidRPr="00903CCB">
              <w:t xml:space="preserve"> </w:t>
            </w:r>
            <w:r w:rsidRPr="009F4317">
              <w:t xml:space="preserve">In meta-analysis of primary studies, there was a significant association between CBZ-induced MPE and </w:t>
            </w:r>
            <w:r w:rsidR="003975F2" w:rsidRPr="003975F2">
              <w:rPr>
                <w:i/>
              </w:rPr>
              <w:t xml:space="preserve">HLA-A*31:01 </w:t>
            </w:r>
            <w:r>
              <w:t>overall (OR=</w:t>
            </w:r>
            <w:r w:rsidR="00D97195">
              <w:t>5.26</w:t>
            </w:r>
            <w:r>
              <w:t xml:space="preserve">; </w:t>
            </w:r>
            <w:r w:rsidRPr="00036629">
              <w:t xml:space="preserve">95% </w:t>
            </w:r>
            <w:r>
              <w:t>CI</w:t>
            </w:r>
            <w:r w:rsidRPr="00036629">
              <w:t xml:space="preserve"> 2.</w:t>
            </w:r>
            <w:r w:rsidR="00D97195">
              <w:t>52</w:t>
            </w:r>
            <w:r w:rsidRPr="00036629">
              <w:t xml:space="preserve"> </w:t>
            </w:r>
            <w:r>
              <w:t>to</w:t>
            </w:r>
            <w:r w:rsidRPr="00036629">
              <w:t xml:space="preserve"> </w:t>
            </w:r>
            <w:r w:rsidR="00D97195">
              <w:t>10</w:t>
            </w:r>
            <w:r>
              <w:t>.9</w:t>
            </w:r>
            <w:r w:rsidR="00D97195">
              <w:t>9; N=</w:t>
            </w:r>
            <w:r w:rsidR="00153D29">
              <w:t>844</w:t>
            </w:r>
            <w:r>
              <w:t xml:space="preserve">). For </w:t>
            </w:r>
            <w:r w:rsidR="000611A1" w:rsidRPr="000611A1">
              <w:rPr>
                <w:i/>
              </w:rPr>
              <w:t>HLA-</w:t>
            </w:r>
            <w:r w:rsidRPr="009E0B17">
              <w:rPr>
                <w:i/>
              </w:rPr>
              <w:t>B*15:02</w:t>
            </w:r>
            <w:r>
              <w:t xml:space="preserve">, </w:t>
            </w:r>
            <w:r w:rsidRPr="003E225C">
              <w:t xml:space="preserve">there </w:t>
            </w:r>
            <w:r>
              <w:t>was</w:t>
            </w:r>
            <w:r w:rsidRPr="003E225C">
              <w:t xml:space="preserve"> no statistical difference between the two cohorts</w:t>
            </w:r>
            <w:r w:rsidR="00427991">
              <w:t xml:space="preserve"> (</w:t>
            </w:r>
            <w:r>
              <w:t>OR</w:t>
            </w:r>
            <w:r w:rsidR="00427991">
              <w:t>=</w:t>
            </w:r>
            <w:r w:rsidRPr="003E225C">
              <w:t>0.9</w:t>
            </w:r>
            <w:r w:rsidR="00264624">
              <w:t>2</w:t>
            </w:r>
            <w:r w:rsidR="00427991">
              <w:t xml:space="preserve">; </w:t>
            </w:r>
            <w:r w:rsidRPr="003E225C">
              <w:t xml:space="preserve">95% </w:t>
            </w:r>
            <w:r>
              <w:t>CI</w:t>
            </w:r>
            <w:r w:rsidRPr="003E225C">
              <w:t xml:space="preserve"> 0.</w:t>
            </w:r>
            <w:r w:rsidR="00264624">
              <w:t>56</w:t>
            </w:r>
            <w:r w:rsidRPr="003E225C">
              <w:t xml:space="preserve"> </w:t>
            </w:r>
            <w:r>
              <w:t>to</w:t>
            </w:r>
            <w:r w:rsidRPr="003E225C">
              <w:t xml:space="preserve"> 1.</w:t>
            </w:r>
            <w:r w:rsidR="00264624">
              <w:t>54; N=815</w:t>
            </w:r>
            <w:r>
              <w:t>). For both, n</w:t>
            </w:r>
            <w:r w:rsidRPr="003E225C">
              <w:t xml:space="preserve">otable </w:t>
            </w:r>
            <w:r>
              <w:t>heterogeneity</w:t>
            </w:r>
            <w:r w:rsidRPr="003E225C">
              <w:t xml:space="preserve"> was not detected</w:t>
            </w:r>
            <w:r w:rsidR="00264624">
              <w:t xml:space="preserve"> (I</w:t>
            </w:r>
            <w:r w:rsidR="00264624" w:rsidRPr="000862C8">
              <w:rPr>
                <w:vertAlign w:val="superscript"/>
              </w:rPr>
              <w:t>2</w:t>
            </w:r>
            <w:r w:rsidR="00264624">
              <w:t>=0%)</w:t>
            </w:r>
            <w:r w:rsidRPr="003E225C">
              <w:t xml:space="preserve">, </w:t>
            </w:r>
            <w:r w:rsidR="00337D14">
              <w:t xml:space="preserve">with general overlap of CIs and </w:t>
            </w:r>
            <w:r w:rsidR="0009680D">
              <w:t>directions of effect of point estimates</w:t>
            </w:r>
            <w:r w:rsidRPr="003E225C">
              <w:t>.</w:t>
            </w:r>
            <w:r>
              <w:t xml:space="preserve"> For OXC-induced MPE, there was no significant association with </w:t>
            </w:r>
            <w:r w:rsidR="003975F2" w:rsidRPr="003975F2">
              <w:rPr>
                <w:i/>
              </w:rPr>
              <w:t xml:space="preserve">HLA-A*31:01 </w:t>
            </w:r>
            <w:r>
              <w:t xml:space="preserve">or </w:t>
            </w:r>
            <w:r w:rsidR="003975F2" w:rsidRPr="003975F2">
              <w:rPr>
                <w:i/>
              </w:rPr>
              <w:t xml:space="preserve">HLA-B*15:02 </w:t>
            </w:r>
            <w:r w:rsidR="00D257F0">
              <w:rPr>
                <w:color w:val="000000" w:themeColor="text1"/>
              </w:rPr>
              <w:t>(N=260)</w:t>
            </w:r>
            <w:r w:rsidR="006B1278">
              <w:rPr>
                <w:color w:val="000000" w:themeColor="text1"/>
              </w:rPr>
              <w:t>, with low or no heterogeneity (I</w:t>
            </w:r>
            <w:r w:rsidR="006B1278" w:rsidRPr="00D80906">
              <w:rPr>
                <w:color w:val="000000" w:themeColor="text1"/>
                <w:vertAlign w:val="superscript"/>
              </w:rPr>
              <w:t>2</w:t>
            </w:r>
            <w:r w:rsidR="006B1278">
              <w:rPr>
                <w:color w:val="000000" w:themeColor="text1"/>
              </w:rPr>
              <w:t>=0–13%)</w:t>
            </w:r>
            <w:r w:rsidR="00D257F0">
              <w:rPr>
                <w:color w:val="000000" w:themeColor="text1"/>
              </w:rPr>
              <w:t>.</w:t>
            </w:r>
          </w:p>
        </w:tc>
        <w:tc>
          <w:tcPr>
            <w:tcW w:w="1000" w:type="pct"/>
            <w:vAlign w:val="center"/>
          </w:tcPr>
          <w:p w14:paraId="4B56CD0F" w14:textId="3B4D1C1D" w:rsidR="00AE52BC" w:rsidRDefault="00AE52BC" w:rsidP="422CAA86">
            <w:pPr>
              <w:pStyle w:val="2024TABLETEXT"/>
              <w:rPr>
                <w:i/>
                <w:iCs/>
              </w:rPr>
            </w:pPr>
            <w:r w:rsidRPr="422CAA86">
              <w:rPr>
                <w:rFonts w:ascii="Cambria Math" w:hAnsi="Cambria Math"/>
                <w:color w:val="388600"/>
              </w:rPr>
              <w:lastRenderedPageBreak/>
              <w:t>⨁</w:t>
            </w:r>
            <w:r w:rsidR="000862C8" w:rsidRPr="422CAA86">
              <w:rPr>
                <w:rFonts w:ascii="Cambria Math" w:hAnsi="Cambria Math"/>
                <w:color w:val="388600"/>
              </w:rPr>
              <w:t>⨁</w:t>
            </w:r>
            <w:r w:rsidR="000862C8" w:rsidRPr="422CAA86">
              <w:rPr>
                <w:rFonts w:ascii="Cambria Math" w:hAnsi="Cambria Math" w:cs="Cambria Math"/>
                <w:color w:val="C00000"/>
              </w:rPr>
              <w:t>⨀⨀</w:t>
            </w:r>
            <w:r w:rsidRPr="422CAA86">
              <w:rPr>
                <w:rFonts w:ascii="Cambria Math" w:hAnsi="Cambria Math" w:cs="Cambria Math"/>
              </w:rPr>
              <w:t xml:space="preserve"> </w:t>
            </w:r>
            <w:proofErr w:type="spellStart"/>
            <w:r w:rsidRPr="422CAA86">
              <w:rPr>
                <w:b/>
                <w:bCs/>
              </w:rPr>
              <w:t>Low</w:t>
            </w:r>
            <w:r w:rsidRPr="422CAA86">
              <w:rPr>
                <w:b/>
                <w:bCs/>
                <w:vertAlign w:val="superscript"/>
              </w:rPr>
              <w:t>c</w:t>
            </w:r>
            <w:proofErr w:type="spellEnd"/>
            <w:r w:rsidRPr="422CAA86">
              <w:rPr>
                <w:i/>
                <w:iCs/>
              </w:rPr>
              <w:t xml:space="preserve"> </w:t>
            </w:r>
          </w:p>
          <w:p w14:paraId="027943EE" w14:textId="5EEB3CDB" w:rsidR="00995D49" w:rsidRPr="0025019F" w:rsidRDefault="003975F2" w:rsidP="00995D49">
            <w:pPr>
              <w:pStyle w:val="2024TABLETEXT"/>
              <w:rPr>
                <w:i/>
                <w:iCs/>
              </w:rPr>
            </w:pPr>
            <w:r w:rsidRPr="003975F2">
              <w:rPr>
                <w:i/>
                <w:iCs/>
              </w:rPr>
              <w:t xml:space="preserve">HLA-A*31:01 </w:t>
            </w:r>
            <w:r w:rsidR="00995D49" w:rsidRPr="002F1697">
              <w:t>and</w:t>
            </w:r>
            <w:r w:rsidR="00995D49" w:rsidRPr="002F1697">
              <w:rPr>
                <w:i/>
                <w:iCs/>
              </w:rPr>
              <w:t xml:space="preserve"> </w:t>
            </w:r>
            <w:r w:rsidRPr="003975F2">
              <w:rPr>
                <w:i/>
                <w:iCs/>
              </w:rPr>
              <w:t xml:space="preserve">HLA-B*15:02 </w:t>
            </w:r>
            <w:r w:rsidR="00995D49">
              <w:t>prior to the commencement of</w:t>
            </w:r>
            <w:r w:rsidR="00995D49" w:rsidRPr="00EA1E31">
              <w:t xml:space="preserve"> </w:t>
            </w:r>
            <w:r w:rsidR="00995D49">
              <w:t>CBZ</w:t>
            </w:r>
            <w:r w:rsidR="00995D49" w:rsidRPr="51DBDE6B">
              <w:t xml:space="preserve"> or </w:t>
            </w:r>
            <w:r w:rsidR="00995D49">
              <w:t>OXC</w:t>
            </w:r>
            <w:r w:rsidR="00995D49" w:rsidRPr="00CE28E3">
              <w:t xml:space="preserve"> </w:t>
            </w:r>
            <w:r w:rsidR="00995D49" w:rsidRPr="00EB493D">
              <w:t>compared to no genotyping</w:t>
            </w:r>
            <w:r w:rsidR="00995D49" w:rsidRPr="004F3493">
              <w:rPr>
                <w:color w:val="000000" w:themeColor="text1"/>
              </w:rPr>
              <w:t xml:space="preserve"> may </w:t>
            </w:r>
            <w:r w:rsidR="00995D49">
              <w:rPr>
                <w:color w:val="000000" w:themeColor="text1"/>
              </w:rPr>
              <w:t xml:space="preserve">predict the incidence of </w:t>
            </w:r>
            <w:r w:rsidR="00995D49">
              <w:t xml:space="preserve">SCARs, especially for specific SCARs in specific </w:t>
            </w:r>
            <w:r w:rsidR="00CA0E76">
              <w:t>ethnicities</w:t>
            </w:r>
            <w:r w:rsidR="00995D49">
              <w:t>.</w:t>
            </w:r>
          </w:p>
        </w:tc>
      </w:tr>
      <w:tr w:rsidR="00510936" w:rsidRPr="00A16F78" w14:paraId="652C584C" w14:textId="77777777" w:rsidTr="422CAA86">
        <w:trPr>
          <w:trHeight w:val="423"/>
        </w:trPr>
        <w:tc>
          <w:tcPr>
            <w:tcW w:w="500" w:type="pct"/>
            <w:vMerge w:val="restart"/>
            <w:vAlign w:val="center"/>
          </w:tcPr>
          <w:p w14:paraId="00A997CB" w14:textId="510D33A1" w:rsidR="00510936" w:rsidRPr="00D64368" w:rsidRDefault="00510936" w:rsidP="006F19A4">
            <w:pPr>
              <w:pStyle w:val="2024TABLETEXT"/>
            </w:pPr>
            <w:r>
              <w:t>Test accuracy</w:t>
            </w:r>
          </w:p>
        </w:tc>
        <w:tc>
          <w:tcPr>
            <w:tcW w:w="729" w:type="pct"/>
            <w:vAlign w:val="center"/>
          </w:tcPr>
          <w:p w14:paraId="6F0A4F29" w14:textId="3396CB44" w:rsidR="00510936" w:rsidRDefault="00510936" w:rsidP="006F19A4">
            <w:pPr>
              <w:pStyle w:val="2024TABLETEXT"/>
            </w:pPr>
            <w:r>
              <w:t xml:space="preserve">Combined </w:t>
            </w:r>
            <w:r w:rsidR="000611A1" w:rsidRPr="000611A1">
              <w:rPr>
                <w:i/>
              </w:rPr>
              <w:t>HLA-</w:t>
            </w:r>
            <w:r w:rsidRPr="0025019F">
              <w:rPr>
                <w:i/>
              </w:rPr>
              <w:t>A*31:01</w:t>
            </w:r>
            <w:r w:rsidRPr="00D64368">
              <w:t>/</w:t>
            </w:r>
            <w:r w:rsidR="003975F2" w:rsidRPr="003975F2">
              <w:rPr>
                <w:i/>
              </w:rPr>
              <w:t xml:space="preserve">HLA-B*15:02 </w:t>
            </w:r>
            <w:r w:rsidR="00A369AE">
              <w:t xml:space="preserve">genotyping </w:t>
            </w:r>
            <w:r>
              <w:t xml:space="preserve">for </w:t>
            </w:r>
            <w:r w:rsidRPr="00D64368">
              <w:t>SCARs</w:t>
            </w:r>
            <w:r>
              <w:t xml:space="preserve"> (</w:t>
            </w:r>
            <w:r w:rsidR="00A369AE">
              <w:t xml:space="preserve">combined – </w:t>
            </w:r>
            <w:r>
              <w:t>DRESS and SJS-TEN) in Chinese populations</w:t>
            </w:r>
          </w:p>
          <w:p w14:paraId="798BBF5E" w14:textId="77777777" w:rsidR="00510936" w:rsidRDefault="00510936" w:rsidP="006F19A4">
            <w:pPr>
              <w:pStyle w:val="2024TABLETEXT"/>
            </w:pPr>
          </w:p>
          <w:p w14:paraId="0530E492" w14:textId="01397383" w:rsidR="00510936" w:rsidRDefault="00510936" w:rsidP="006F19A4">
            <w:pPr>
              <w:pStyle w:val="2024TABLETEXT"/>
            </w:pPr>
            <w:r>
              <w:t>1 study</w:t>
            </w:r>
          </w:p>
        </w:tc>
        <w:tc>
          <w:tcPr>
            <w:tcW w:w="2771" w:type="pct"/>
            <w:vAlign w:val="center"/>
          </w:tcPr>
          <w:p w14:paraId="3FBD73C1" w14:textId="2E911203" w:rsidR="00510936" w:rsidRPr="00811EF7" w:rsidRDefault="00510936" w:rsidP="422CAA86">
            <w:pPr>
              <w:pStyle w:val="2024TABLETEXT"/>
              <w:rPr>
                <w:u w:val="single"/>
              </w:rPr>
            </w:pPr>
            <w:r w:rsidRPr="422CAA86">
              <w:t>Genin et al. 2014 was the only study to report results of combined </w:t>
            </w:r>
            <w:r w:rsidR="000611A1" w:rsidRPr="000611A1">
              <w:rPr>
                <w:i/>
                <w:iCs/>
              </w:rPr>
              <w:t>HLA-</w:t>
            </w:r>
            <w:r w:rsidRPr="422CAA86">
              <w:rPr>
                <w:i/>
                <w:iCs/>
              </w:rPr>
              <w:t>A*31:01</w:t>
            </w:r>
            <w:r w:rsidRPr="422CAA86">
              <w:t>/</w:t>
            </w:r>
            <w:r w:rsidR="003975F2" w:rsidRPr="003975F2">
              <w:rPr>
                <w:i/>
                <w:iCs/>
              </w:rPr>
              <w:t xml:space="preserve">HLA-B*15:02 </w:t>
            </w:r>
            <w:r w:rsidRPr="422CAA86">
              <w:t>genetic screening, and only for Chinese populations. Results showed an estimated sensitivity of 74.6% and specificity of 90.3%</w:t>
            </w:r>
            <w:r w:rsidR="00AA7338" w:rsidRPr="422CAA86">
              <w:t xml:space="preserve"> of combined </w:t>
            </w:r>
            <w:r w:rsidR="000611A1" w:rsidRPr="000611A1">
              <w:rPr>
                <w:i/>
                <w:iCs/>
              </w:rPr>
              <w:t>HLA-</w:t>
            </w:r>
            <w:r w:rsidR="00AA7338" w:rsidRPr="422CAA86">
              <w:rPr>
                <w:i/>
                <w:iCs/>
              </w:rPr>
              <w:t>A*31:01</w:t>
            </w:r>
            <w:r w:rsidR="00AA7338" w:rsidRPr="422CAA86">
              <w:t>/</w:t>
            </w:r>
            <w:r w:rsidR="003975F2" w:rsidRPr="003975F2">
              <w:rPr>
                <w:i/>
                <w:iCs/>
              </w:rPr>
              <w:t xml:space="preserve">HLA-B*15:02 </w:t>
            </w:r>
            <w:r w:rsidR="00AA7338" w:rsidRPr="422CAA86">
              <w:t>genotyping</w:t>
            </w:r>
            <w:r w:rsidRPr="422CAA86">
              <w:t xml:space="preserve">. The addition of </w:t>
            </w:r>
            <w:r w:rsidR="003975F2" w:rsidRPr="003975F2">
              <w:rPr>
                <w:i/>
                <w:iCs/>
              </w:rPr>
              <w:t xml:space="preserve">HLA-A*31:01 </w:t>
            </w:r>
            <w:r w:rsidRPr="422CAA86">
              <w:t>to </w:t>
            </w:r>
            <w:r w:rsidR="003975F2" w:rsidRPr="003975F2">
              <w:rPr>
                <w:i/>
                <w:iCs/>
              </w:rPr>
              <w:t xml:space="preserve">HLA-B*15:02 </w:t>
            </w:r>
            <w:r w:rsidRPr="422CAA86">
              <w:t xml:space="preserve">testing would </w:t>
            </w:r>
            <w:r w:rsidR="00AA7338" w:rsidRPr="422CAA86">
              <w:t xml:space="preserve">reportedly </w:t>
            </w:r>
            <w:r w:rsidRPr="422CAA86">
              <w:t>reduce the number needed to test</w:t>
            </w:r>
            <w:r w:rsidR="00112193" w:rsidRPr="422CAA86">
              <w:t xml:space="preserve"> (NNT)</w:t>
            </w:r>
            <w:r w:rsidRPr="422CAA86">
              <w:t xml:space="preserve"> to prevent one case of C</w:t>
            </w:r>
            <w:r w:rsidR="00112193" w:rsidRPr="422CAA86">
              <w:t>B</w:t>
            </w:r>
            <w:r w:rsidRPr="422CAA86">
              <w:t xml:space="preserve">Z-induced SCARs from 527 to 455. However, the number </w:t>
            </w:r>
            <w:r w:rsidR="00333E6D" w:rsidRPr="422CAA86">
              <w:t xml:space="preserve">of patients </w:t>
            </w:r>
            <w:r w:rsidRPr="422CAA86">
              <w:t>denied CBZ inappropriately would increase from 53 to 94 in 1000 screened. Despite the low estimated PPV of combined </w:t>
            </w:r>
            <w:r w:rsidR="003975F2" w:rsidRPr="003975F2">
              <w:rPr>
                <w:i/>
                <w:iCs/>
              </w:rPr>
              <w:t xml:space="preserve">HLA-A*31:01 </w:t>
            </w:r>
            <w:r w:rsidRPr="422CAA86">
              <w:t xml:space="preserve">and </w:t>
            </w:r>
            <w:r w:rsidR="003975F2" w:rsidRPr="003975F2">
              <w:rPr>
                <w:i/>
                <w:iCs/>
              </w:rPr>
              <w:t xml:space="preserve">HLA-B*15:02 </w:t>
            </w:r>
            <w:r w:rsidRPr="422CAA86">
              <w:t>test (2.3% for CBZ-induced SCAR</w:t>
            </w:r>
            <w:r w:rsidR="00AA7338" w:rsidRPr="422CAA86">
              <w:t>s</w:t>
            </w:r>
            <w:r w:rsidRPr="422CAA86">
              <w:t xml:space="preserve">), </w:t>
            </w:r>
            <w:r w:rsidR="00AA7338" w:rsidRPr="422CAA86">
              <w:t xml:space="preserve">genotyping </w:t>
            </w:r>
            <w:r w:rsidRPr="422CAA86">
              <w:t>may be worthwhile considering (</w:t>
            </w:r>
            <w:r w:rsidR="00112193" w:rsidRPr="422CAA86">
              <w:t>a</w:t>
            </w:r>
            <w:r w:rsidRPr="422CAA86">
              <w:t>) there are effective alternative treatments to CBZ which can be used; and (</w:t>
            </w:r>
            <w:r w:rsidR="00112193" w:rsidRPr="422CAA86">
              <w:t>b</w:t>
            </w:r>
            <w:r w:rsidRPr="422CAA86">
              <w:t xml:space="preserve">) </w:t>
            </w:r>
            <w:r w:rsidR="00AA7338" w:rsidRPr="422CAA86">
              <w:t xml:space="preserve">the </w:t>
            </w:r>
            <w:r w:rsidRPr="422CAA86">
              <w:t xml:space="preserve">high morbidity and mortality of SCARs. </w:t>
            </w:r>
            <w:r w:rsidR="00BC5264" w:rsidRPr="422CAA86">
              <w:t>Importantly, t</w:t>
            </w:r>
            <w:r w:rsidRPr="422CAA86">
              <w:t>he effectiveness of pre</w:t>
            </w:r>
            <w:r w:rsidR="00BC5264" w:rsidRPr="422CAA86">
              <w:t>-</w:t>
            </w:r>
            <w:r w:rsidRPr="422CAA86">
              <w:t xml:space="preserve">treatment genotyping will be based on frequencies of both </w:t>
            </w:r>
            <w:r w:rsidR="000611A1" w:rsidRPr="000611A1">
              <w:rPr>
                <w:i/>
                <w:iCs/>
              </w:rPr>
              <w:t>HLA-</w:t>
            </w:r>
            <w:r w:rsidRPr="422CAA86">
              <w:rPr>
                <w:i/>
                <w:iCs/>
              </w:rPr>
              <w:t>A*31:01</w:t>
            </w:r>
            <w:r w:rsidRPr="422CAA86">
              <w:t>/</w:t>
            </w:r>
            <w:r w:rsidR="003975F2" w:rsidRPr="003975F2">
              <w:rPr>
                <w:i/>
                <w:iCs/>
              </w:rPr>
              <w:t xml:space="preserve">HLA-B*15:02 </w:t>
            </w:r>
            <w:r w:rsidRPr="422CAA86">
              <w:t>in the population of interest.</w:t>
            </w:r>
          </w:p>
        </w:tc>
        <w:tc>
          <w:tcPr>
            <w:tcW w:w="1000" w:type="pct"/>
            <w:vAlign w:val="center"/>
          </w:tcPr>
          <w:p w14:paraId="48A40DCA" w14:textId="374A205E" w:rsidR="00C82C22" w:rsidRDefault="00C82C22" w:rsidP="422CAA86">
            <w:pPr>
              <w:pStyle w:val="2024TABLETEXT"/>
              <w:rPr>
                <w:i/>
                <w:iCs/>
              </w:rPr>
            </w:pPr>
            <w:r w:rsidRPr="422CAA86">
              <w:rPr>
                <w:rFonts w:ascii="Cambria Math" w:hAnsi="Cambria Math"/>
                <w:color w:val="388600"/>
              </w:rPr>
              <w:t>⨁</w:t>
            </w:r>
            <w:r w:rsidRPr="422CAA86">
              <w:rPr>
                <w:rFonts w:ascii="Cambria Math" w:hAnsi="Cambria Math" w:cs="Cambria Math"/>
                <w:color w:val="C00000"/>
              </w:rPr>
              <w:t xml:space="preserve">⨀⨀⨀ </w:t>
            </w:r>
            <w:r w:rsidRPr="422CAA86">
              <w:rPr>
                <w:b/>
                <w:bCs/>
              </w:rPr>
              <w:t xml:space="preserve">Very </w:t>
            </w:r>
            <w:proofErr w:type="spellStart"/>
            <w:r w:rsidRPr="422CAA86">
              <w:rPr>
                <w:b/>
                <w:bCs/>
              </w:rPr>
              <w:t>low</w:t>
            </w:r>
            <w:r w:rsidRPr="422CAA86">
              <w:rPr>
                <w:b/>
                <w:bCs/>
                <w:vertAlign w:val="superscript"/>
              </w:rPr>
              <w:t>b</w:t>
            </w:r>
            <w:proofErr w:type="spellEnd"/>
            <w:r w:rsidRPr="422CAA86">
              <w:rPr>
                <w:i/>
                <w:iCs/>
              </w:rPr>
              <w:t xml:space="preserve"> </w:t>
            </w:r>
          </w:p>
          <w:p w14:paraId="620E99BA" w14:textId="734C272B" w:rsidR="00510936" w:rsidRPr="00CE28E3" w:rsidRDefault="00C82C22" w:rsidP="006F19A4">
            <w:pPr>
              <w:pStyle w:val="2024TABLETEXT"/>
              <w:rPr>
                <w:rFonts w:ascii="Cambria Math" w:hAnsi="Cambria Math"/>
                <w:color w:val="00B050"/>
              </w:rPr>
            </w:pPr>
            <w:r w:rsidRPr="00884CC5">
              <w:t xml:space="preserve">The evidence is very uncertain about the </w:t>
            </w:r>
            <w:r>
              <w:t xml:space="preserve">impact of </w:t>
            </w:r>
            <w:r w:rsidR="003975F2" w:rsidRPr="003975F2">
              <w:rPr>
                <w:i/>
                <w:iCs/>
              </w:rPr>
              <w:t xml:space="preserve">HLA-A*31:01 </w:t>
            </w:r>
            <w:r w:rsidR="00510936" w:rsidRPr="00981FE3">
              <w:t>and</w:t>
            </w:r>
            <w:r w:rsidR="00510936" w:rsidRPr="00981FE3">
              <w:rPr>
                <w:i/>
                <w:iCs/>
              </w:rPr>
              <w:t xml:space="preserve"> </w:t>
            </w:r>
            <w:r w:rsidR="003975F2" w:rsidRPr="003975F2">
              <w:rPr>
                <w:i/>
                <w:iCs/>
              </w:rPr>
              <w:t xml:space="preserve">HLA-B*15:02 </w:t>
            </w:r>
            <w:r w:rsidR="001B1C86" w:rsidRPr="00981FE3">
              <w:t>genotyping</w:t>
            </w:r>
            <w:r w:rsidR="001B1C86" w:rsidRPr="00981FE3">
              <w:rPr>
                <w:i/>
                <w:iCs/>
              </w:rPr>
              <w:t xml:space="preserve"> </w:t>
            </w:r>
            <w:r w:rsidR="00510936" w:rsidRPr="00981FE3">
              <w:t>prior to the commencement of CBZ or OXC compared to no genotyping</w:t>
            </w:r>
            <w:r w:rsidR="00510936" w:rsidRPr="00884CC5">
              <w:t xml:space="preserve"> </w:t>
            </w:r>
            <w:r>
              <w:t xml:space="preserve">on </w:t>
            </w:r>
            <w:r>
              <w:rPr>
                <w:color w:val="000000" w:themeColor="text1"/>
              </w:rPr>
              <w:t>diagnostic accuracy of</w:t>
            </w:r>
            <w:r w:rsidR="001B1C86" w:rsidRPr="00CA0E76">
              <w:rPr>
                <w:color w:val="000000" w:themeColor="text1"/>
              </w:rPr>
              <w:t xml:space="preserve"> </w:t>
            </w:r>
            <w:r w:rsidR="001B1C86" w:rsidRPr="00981FE3">
              <w:t>SCARs</w:t>
            </w:r>
            <w:r w:rsidR="004377AA">
              <w:t xml:space="preserve"> (combined)</w:t>
            </w:r>
            <w:r>
              <w:t>.</w:t>
            </w:r>
          </w:p>
        </w:tc>
      </w:tr>
      <w:tr w:rsidR="00510936" w:rsidRPr="00A16F78" w14:paraId="22BB3148" w14:textId="77777777" w:rsidTr="422CAA86">
        <w:trPr>
          <w:trHeight w:val="423"/>
        </w:trPr>
        <w:tc>
          <w:tcPr>
            <w:tcW w:w="500" w:type="pct"/>
            <w:vMerge/>
            <w:vAlign w:val="center"/>
          </w:tcPr>
          <w:p w14:paraId="09795CE0" w14:textId="77777777" w:rsidR="00510936" w:rsidRDefault="00510936" w:rsidP="006F19A4">
            <w:pPr>
              <w:pStyle w:val="2024TABLETEXT"/>
            </w:pPr>
          </w:p>
        </w:tc>
        <w:tc>
          <w:tcPr>
            <w:tcW w:w="729" w:type="pct"/>
            <w:vAlign w:val="center"/>
          </w:tcPr>
          <w:p w14:paraId="62314EB5" w14:textId="11FB8BAE" w:rsidR="00510936" w:rsidRDefault="003975F2" w:rsidP="006F19A4">
            <w:pPr>
              <w:pStyle w:val="2024TABLETEXT"/>
            </w:pPr>
            <w:r w:rsidRPr="003975F2">
              <w:rPr>
                <w:i/>
              </w:rPr>
              <w:t xml:space="preserve">HLA-A*31:01 </w:t>
            </w:r>
            <w:r w:rsidR="00A369AE">
              <w:t xml:space="preserve">genotyping for </w:t>
            </w:r>
            <w:r w:rsidR="00510936">
              <w:t>DRESS (1 study with meta-analysis)</w:t>
            </w:r>
            <w:r w:rsidR="00A369AE">
              <w:t xml:space="preserve"> in </w:t>
            </w:r>
            <w:r w:rsidR="00A369AE">
              <w:lastRenderedPageBreak/>
              <w:t>Chinese and European populations</w:t>
            </w:r>
          </w:p>
          <w:p w14:paraId="18A55956" w14:textId="77777777" w:rsidR="00510936" w:rsidRDefault="00510936" w:rsidP="006F19A4">
            <w:pPr>
              <w:pStyle w:val="2024TABLETEXT"/>
            </w:pPr>
          </w:p>
          <w:p w14:paraId="0FECB161" w14:textId="0E292D41" w:rsidR="00510936" w:rsidRDefault="003975F2" w:rsidP="006F19A4">
            <w:pPr>
              <w:pStyle w:val="2024TABLETEXT"/>
            </w:pPr>
            <w:r w:rsidRPr="003975F2">
              <w:rPr>
                <w:i/>
              </w:rPr>
              <w:t xml:space="preserve">HLA-B*15:02 </w:t>
            </w:r>
            <w:r w:rsidR="00A369AE">
              <w:t xml:space="preserve">genotyping for </w:t>
            </w:r>
            <w:r w:rsidR="00510936">
              <w:t>SJS-TEN (2 studies with meta-analysis)</w:t>
            </w:r>
            <w:r w:rsidR="00A369AE">
              <w:t xml:space="preserve"> in Chinese populations</w:t>
            </w:r>
          </w:p>
        </w:tc>
        <w:tc>
          <w:tcPr>
            <w:tcW w:w="2771" w:type="pct"/>
            <w:vAlign w:val="center"/>
          </w:tcPr>
          <w:p w14:paraId="7BEE1832" w14:textId="375AA6E3" w:rsidR="00510936" w:rsidRPr="00A5169A" w:rsidRDefault="00A369AE" w:rsidP="006F19A4">
            <w:pPr>
              <w:pStyle w:val="2024TABLETEXT"/>
              <w:rPr>
                <w:u w:val="single"/>
              </w:rPr>
            </w:pPr>
            <w:r w:rsidRPr="00A5169A">
              <w:rPr>
                <w:u w:val="single"/>
              </w:rPr>
              <w:lastRenderedPageBreak/>
              <w:t>DRESS</w:t>
            </w:r>
            <w:r w:rsidR="00A5169A">
              <w:rPr>
                <w:u w:val="single"/>
              </w:rPr>
              <w:t>:</w:t>
            </w:r>
            <w:r w:rsidR="00A5169A" w:rsidRPr="00BC5264">
              <w:t xml:space="preserve"> </w:t>
            </w:r>
            <w:r>
              <w:t xml:space="preserve">Results showed </w:t>
            </w:r>
            <w:r w:rsidRPr="00B85A40">
              <w:t>an estimated sensitivity of 7</w:t>
            </w:r>
            <w:r w:rsidR="0026481B">
              <w:t>0.0</w:t>
            </w:r>
            <w:r w:rsidRPr="00B85A40">
              <w:t xml:space="preserve">% </w:t>
            </w:r>
            <w:r w:rsidR="00B73206">
              <w:t>and 50.0%</w:t>
            </w:r>
            <w:r w:rsidR="00335BA8">
              <w:t xml:space="preserve">, </w:t>
            </w:r>
            <w:r w:rsidRPr="00B85A40">
              <w:t>and specificity of 9</w:t>
            </w:r>
            <w:r w:rsidR="0026481B">
              <w:t>6.1</w:t>
            </w:r>
            <w:r w:rsidRPr="00B85A40">
              <w:t>%</w:t>
            </w:r>
            <w:r>
              <w:t xml:space="preserve"> </w:t>
            </w:r>
            <w:r w:rsidR="00335BA8">
              <w:t>and 95.</w:t>
            </w:r>
            <w:r w:rsidR="00B73206">
              <w:t>8</w:t>
            </w:r>
            <w:r w:rsidR="00335BA8">
              <w:t xml:space="preserve">% </w:t>
            </w:r>
            <w:r>
              <w:t xml:space="preserve">of </w:t>
            </w:r>
            <w:r w:rsidR="003975F2" w:rsidRPr="003975F2">
              <w:rPr>
                <w:i/>
              </w:rPr>
              <w:t xml:space="preserve">HLA-A*31:01 </w:t>
            </w:r>
            <w:r>
              <w:t>genotyping</w:t>
            </w:r>
            <w:r w:rsidRPr="00865C13">
              <w:t xml:space="preserve"> to prevent CBZ-induced </w:t>
            </w:r>
            <w:r>
              <w:t>DRESS</w:t>
            </w:r>
            <w:r w:rsidR="0026481B">
              <w:t xml:space="preserve"> in European and Chinese populations, respectively</w:t>
            </w:r>
            <w:r w:rsidR="00B73206">
              <w:t>, versus tolerant controls</w:t>
            </w:r>
            <w:r w:rsidR="00112193" w:rsidRPr="00AE52BC">
              <w:rPr>
                <w:vertAlign w:val="superscript"/>
              </w:rPr>
              <w:fldChar w:fldCharType="begin"/>
            </w:r>
            <w:r w:rsidR="00112193" w:rsidRPr="00AE52BC">
              <w:rPr>
                <w:vertAlign w:val="superscript"/>
              </w:rPr>
              <w:instrText xml:space="preserve"> NOTEREF _Ref181732825 </w:instrText>
            </w:r>
            <w:r w:rsidR="00112193">
              <w:rPr>
                <w:vertAlign w:val="superscript"/>
              </w:rPr>
              <w:instrText xml:space="preserve"> \* MERGEFORMAT </w:instrText>
            </w:r>
            <w:r w:rsidR="00112193" w:rsidRPr="00AE52BC">
              <w:rPr>
                <w:vertAlign w:val="superscript"/>
              </w:rPr>
              <w:fldChar w:fldCharType="separate"/>
            </w:r>
            <w:r w:rsidR="002E6B38">
              <w:rPr>
                <w:vertAlign w:val="superscript"/>
              </w:rPr>
              <w:t>10</w:t>
            </w:r>
            <w:r w:rsidR="00112193" w:rsidRPr="00AE52BC">
              <w:rPr>
                <w:vertAlign w:val="superscript"/>
              </w:rPr>
              <w:fldChar w:fldCharType="end"/>
            </w:r>
            <w:r>
              <w:t>.</w:t>
            </w:r>
            <w:r w:rsidR="008E63D5">
              <w:t xml:space="preserve"> Estimates showed that </w:t>
            </w:r>
            <w:r w:rsidR="00112193">
              <w:t>NNT</w:t>
            </w:r>
            <w:r w:rsidR="008E63D5" w:rsidRPr="001C4CD1">
              <w:t xml:space="preserve"> </w:t>
            </w:r>
            <w:r w:rsidR="008E63D5">
              <w:t xml:space="preserve">to prevent one case of CBZ-induced </w:t>
            </w:r>
            <w:r w:rsidR="008E63D5">
              <w:lastRenderedPageBreak/>
              <w:t>DRESS would be 3334 (European</w:t>
            </w:r>
            <w:r w:rsidR="008E63D5" w:rsidRPr="00811AFD">
              <w:t xml:space="preserve"> </w:t>
            </w:r>
            <w:r w:rsidR="008E63D5">
              <w:t>populations) and 5000 (Chinese populations). However, the</w:t>
            </w:r>
            <w:r w:rsidR="008E63D5" w:rsidRPr="001C4CD1">
              <w:t xml:space="preserve"> number</w:t>
            </w:r>
            <w:r w:rsidR="00B25CB5">
              <w:t xml:space="preserve"> of patients</w:t>
            </w:r>
            <w:r w:rsidR="008E63D5" w:rsidRPr="001C4CD1">
              <w:t xml:space="preserve"> denied CBZ inappropriately </w:t>
            </w:r>
            <w:r w:rsidR="008E63D5">
              <w:t>would be between 38 to 44 (European</w:t>
            </w:r>
            <w:r w:rsidR="008E63D5" w:rsidRPr="001C4CD1">
              <w:t xml:space="preserve"> </w:t>
            </w:r>
            <w:r w:rsidR="008E63D5">
              <w:t xml:space="preserve">populations) and 36 to 41 (Chinese populations) </w:t>
            </w:r>
            <w:r w:rsidR="008E63D5" w:rsidRPr="001C4CD1">
              <w:t>in 1000 screened</w:t>
            </w:r>
            <w:r w:rsidR="008E63D5">
              <w:t>.</w:t>
            </w:r>
          </w:p>
          <w:p w14:paraId="76D31705" w14:textId="77777777" w:rsidR="008E63D5" w:rsidRDefault="008E63D5" w:rsidP="006F19A4">
            <w:pPr>
              <w:pStyle w:val="2024TABLETEXT"/>
            </w:pPr>
          </w:p>
          <w:p w14:paraId="065D8BF7" w14:textId="2A7210D3" w:rsidR="008E63D5" w:rsidRPr="00A5169A" w:rsidRDefault="008E63D5" w:rsidP="422CAA86">
            <w:pPr>
              <w:pStyle w:val="2024TABLETEXT"/>
              <w:rPr>
                <w:u w:val="single"/>
              </w:rPr>
            </w:pPr>
            <w:r w:rsidRPr="422CAA86">
              <w:rPr>
                <w:u w:val="single"/>
              </w:rPr>
              <w:t>SJS-TEN</w:t>
            </w:r>
            <w:r w:rsidR="00A5169A" w:rsidRPr="422CAA86">
              <w:rPr>
                <w:u w:val="single"/>
              </w:rPr>
              <w:t xml:space="preserve">: </w:t>
            </w:r>
            <w:r w:rsidRPr="422CAA86">
              <w:rPr>
                <w:u w:val="single"/>
              </w:rPr>
              <w:t>I</w:t>
            </w:r>
            <w:r w:rsidRPr="422CAA86">
              <w:t>n Chinese populations</w:t>
            </w:r>
            <w:r w:rsidR="008E325F" w:rsidRPr="422CAA86">
              <w:t xml:space="preserve"> only</w:t>
            </w:r>
            <w:r w:rsidRPr="422CAA86">
              <w:t>, the number needed to test to prevent one case of CBZ-induced DRESS would be 527; however, the number</w:t>
            </w:r>
            <w:r w:rsidR="00B25CB5" w:rsidRPr="422CAA86">
              <w:t xml:space="preserve"> of patients</w:t>
            </w:r>
            <w:r w:rsidRPr="422CAA86">
              <w:t xml:space="preserve"> denied CBZ inappropriately would between 53 in 1000 screened</w:t>
            </w:r>
            <w:r w:rsidR="009B7834" w:rsidRPr="00FB0B50">
              <w:rPr>
                <w:vertAlign w:val="superscript"/>
              </w:rPr>
              <w:t>1</w:t>
            </w:r>
            <w:r w:rsidR="00506F42" w:rsidRPr="422CAA86">
              <w:t>.</w:t>
            </w:r>
            <w:r w:rsidR="0069584B" w:rsidRPr="422CAA86">
              <w:t xml:space="preserve"> </w:t>
            </w:r>
            <w:r w:rsidR="00E72711" w:rsidRPr="422CAA86">
              <w:t>Across two studies. s</w:t>
            </w:r>
            <w:r w:rsidR="00027D33" w:rsidRPr="422CAA86">
              <w:t>ensitivity</w:t>
            </w:r>
            <w:r w:rsidR="0069584B" w:rsidRPr="422CAA86">
              <w:t xml:space="preserve"> was reported as 69.6</w:t>
            </w:r>
            <w:r w:rsidR="005C53F8" w:rsidRPr="422CAA86">
              <w:t>–</w:t>
            </w:r>
            <w:r w:rsidR="00027D33" w:rsidRPr="422CAA86">
              <w:t xml:space="preserve">77.4%; specificity was </w:t>
            </w:r>
            <w:r w:rsidR="00E72711" w:rsidRPr="422CAA86">
              <w:t>8</w:t>
            </w:r>
            <w:r w:rsidR="00C87BBF" w:rsidRPr="422CAA86">
              <w:t>4.4</w:t>
            </w:r>
            <w:r w:rsidR="005C53F8" w:rsidRPr="422CAA86">
              <w:t>–</w:t>
            </w:r>
            <w:r w:rsidR="00E72711" w:rsidRPr="422CAA86">
              <w:t>94.4%</w:t>
            </w:r>
            <w:r w:rsidR="009B7834">
              <w:rPr>
                <w:vertAlign w:val="superscript"/>
              </w:rPr>
              <w:t>1</w:t>
            </w:r>
            <w:r w:rsidR="00AA55B5" w:rsidRPr="422CAA86">
              <w:rPr>
                <w:vertAlign w:val="superscript"/>
              </w:rPr>
              <w:t>,</w:t>
            </w:r>
            <w:bookmarkStart w:id="26" w:name="_Ref181785145"/>
            <w:r w:rsidR="00AA55B5" w:rsidRPr="422CAA86">
              <w:rPr>
                <w:rStyle w:val="FootnoteReference"/>
              </w:rPr>
              <w:footnoteReference w:id="13"/>
            </w:r>
            <w:bookmarkEnd w:id="26"/>
            <w:r w:rsidR="00E72711" w:rsidRPr="422CAA86">
              <w:t>.</w:t>
            </w:r>
          </w:p>
        </w:tc>
        <w:tc>
          <w:tcPr>
            <w:tcW w:w="1000" w:type="pct"/>
            <w:vAlign w:val="center"/>
          </w:tcPr>
          <w:p w14:paraId="68261667" w14:textId="47B7351F" w:rsidR="00C661DE" w:rsidRDefault="00C661DE" w:rsidP="422CAA86">
            <w:pPr>
              <w:pStyle w:val="2024TABLETEXT"/>
              <w:rPr>
                <w:i/>
                <w:iCs/>
              </w:rPr>
            </w:pPr>
            <w:r w:rsidRPr="422CAA86">
              <w:rPr>
                <w:rFonts w:ascii="Cambria Math" w:hAnsi="Cambria Math"/>
                <w:color w:val="388600"/>
              </w:rPr>
              <w:lastRenderedPageBreak/>
              <w:t>⨁</w:t>
            </w:r>
            <w:r w:rsidRPr="422CAA86">
              <w:rPr>
                <w:rFonts w:ascii="Cambria Math" w:hAnsi="Cambria Math" w:cs="Cambria Math"/>
                <w:color w:val="C00000"/>
              </w:rPr>
              <w:t xml:space="preserve">⨀⨀⨀ </w:t>
            </w:r>
            <w:r w:rsidRPr="422CAA86">
              <w:rPr>
                <w:b/>
                <w:bCs/>
              </w:rPr>
              <w:t xml:space="preserve">Very </w:t>
            </w:r>
            <w:proofErr w:type="spellStart"/>
            <w:r w:rsidRPr="422CAA86">
              <w:rPr>
                <w:b/>
                <w:bCs/>
              </w:rPr>
              <w:t>low</w:t>
            </w:r>
            <w:r w:rsidRPr="422CAA86">
              <w:rPr>
                <w:b/>
                <w:bCs/>
                <w:vertAlign w:val="superscript"/>
              </w:rPr>
              <w:t>b</w:t>
            </w:r>
            <w:proofErr w:type="spellEnd"/>
            <w:r w:rsidRPr="422CAA86">
              <w:rPr>
                <w:i/>
                <w:iCs/>
              </w:rPr>
              <w:t xml:space="preserve"> </w:t>
            </w:r>
          </w:p>
          <w:p w14:paraId="4DCF3F46" w14:textId="62EC8069" w:rsidR="00510936" w:rsidRPr="00CE28E3" w:rsidRDefault="00C661DE" w:rsidP="006F19A4">
            <w:pPr>
              <w:pStyle w:val="2024TABLETEXT"/>
              <w:rPr>
                <w:rFonts w:ascii="Cambria Math" w:hAnsi="Cambria Math"/>
                <w:color w:val="00B050"/>
              </w:rPr>
            </w:pPr>
            <w:r w:rsidRPr="00884CC5">
              <w:t xml:space="preserve">The evidence is very uncertain about the </w:t>
            </w:r>
            <w:r>
              <w:t xml:space="preserve">impact of </w:t>
            </w:r>
            <w:r w:rsidR="003975F2" w:rsidRPr="003975F2">
              <w:rPr>
                <w:i/>
                <w:iCs/>
              </w:rPr>
              <w:t xml:space="preserve">HLA-A*31:01 </w:t>
            </w:r>
            <w:r w:rsidR="001B1C86" w:rsidRPr="00981FE3">
              <w:t>genotyping</w:t>
            </w:r>
            <w:r w:rsidR="001B1C86" w:rsidRPr="00981FE3">
              <w:rPr>
                <w:i/>
                <w:iCs/>
              </w:rPr>
              <w:t xml:space="preserve"> </w:t>
            </w:r>
            <w:r w:rsidR="001B1C86" w:rsidRPr="00981FE3">
              <w:t xml:space="preserve">prior to the </w:t>
            </w:r>
            <w:r w:rsidR="001B1C86" w:rsidRPr="00981FE3">
              <w:lastRenderedPageBreak/>
              <w:t>commencement of CBZ or OXC compared to no genotyping</w:t>
            </w:r>
            <w:r w:rsidR="001B1C86" w:rsidRPr="00884CC5">
              <w:t xml:space="preserve"> </w:t>
            </w:r>
            <w:r>
              <w:t xml:space="preserve">on </w:t>
            </w:r>
            <w:r>
              <w:rPr>
                <w:color w:val="000000" w:themeColor="text1"/>
              </w:rPr>
              <w:t>diagnostic accuracy of</w:t>
            </w:r>
            <w:r w:rsidR="001B1C86" w:rsidRPr="00CA0E76">
              <w:rPr>
                <w:color w:val="000000" w:themeColor="text1"/>
              </w:rPr>
              <w:t xml:space="preserve"> </w:t>
            </w:r>
            <w:r w:rsidR="004377AA">
              <w:rPr>
                <w:color w:val="000000" w:themeColor="text1"/>
              </w:rPr>
              <w:t xml:space="preserve">specific </w:t>
            </w:r>
            <w:r w:rsidR="001B1C86" w:rsidRPr="00981FE3">
              <w:t>SCARs.</w:t>
            </w:r>
          </w:p>
        </w:tc>
      </w:tr>
    </w:tbl>
    <w:p w14:paraId="4DD93D0C" w14:textId="376F5E8B" w:rsidR="00D904FF" w:rsidRDefault="00D904FF" w:rsidP="00F4443F">
      <w:pPr>
        <w:pStyle w:val="TableFigureFooter"/>
        <w:spacing w:before="0" w:after="60"/>
        <w:contextualSpacing w:val="0"/>
      </w:pPr>
      <w:r>
        <w:lastRenderedPageBreak/>
        <w:t xml:space="preserve">Abbreviations: </w:t>
      </w:r>
      <w:r w:rsidR="00D65CB2">
        <w:t>CBZ=</w:t>
      </w:r>
      <w:r w:rsidR="00D65CB2">
        <w:rPr>
          <w:iCs/>
        </w:rPr>
        <w:t>c</w:t>
      </w:r>
      <w:r w:rsidR="00D65CB2" w:rsidRPr="00A25934">
        <w:rPr>
          <w:iCs/>
        </w:rPr>
        <w:t>arbamazepine</w:t>
      </w:r>
      <w:r w:rsidR="00D65CB2">
        <w:rPr>
          <w:iCs/>
        </w:rPr>
        <w:t xml:space="preserve">; </w:t>
      </w:r>
      <w:r>
        <w:t>CI=</w:t>
      </w:r>
      <w:r w:rsidRPr="00D904FF">
        <w:t>confidence interval</w:t>
      </w:r>
      <w:r>
        <w:t>; DRESS=</w:t>
      </w:r>
      <w:r w:rsidRPr="00D904FF">
        <w:t>drug reaction with eosinophilia and systemic symptoms</w:t>
      </w:r>
      <w:r>
        <w:t>; HLA=</w:t>
      </w:r>
      <w:r w:rsidRPr="00D904FF">
        <w:t>human leukocyte antigen</w:t>
      </w:r>
      <w:r>
        <w:t xml:space="preserve">; </w:t>
      </w:r>
      <w:r w:rsidR="00D65CB2">
        <w:t>k=number of studies; MPE=</w:t>
      </w:r>
      <w:r w:rsidRPr="00D904FF">
        <w:t>maculopapular exanthema</w:t>
      </w:r>
      <w:r>
        <w:t xml:space="preserve">; </w:t>
      </w:r>
      <w:r w:rsidR="00D65CB2">
        <w:t xml:space="preserve">N=number of participants total; </w:t>
      </w:r>
      <w:r w:rsidR="008E63D5">
        <w:t xml:space="preserve">NNT=number needed to test; </w:t>
      </w:r>
      <w:r>
        <w:rPr>
          <w:iCs/>
        </w:rPr>
        <w:t>OXC=</w:t>
      </w:r>
      <w:r w:rsidRPr="00CE4063">
        <w:rPr>
          <w:iCs/>
        </w:rPr>
        <w:t>oxcarbazepine</w:t>
      </w:r>
      <w:r>
        <w:rPr>
          <w:iCs/>
        </w:rPr>
        <w:t>; SJS=</w:t>
      </w:r>
      <w:r w:rsidRPr="00C537F9">
        <w:t>Stevens–Johnson syndrome</w:t>
      </w:r>
      <w:r>
        <w:t>; TEN=</w:t>
      </w:r>
      <w:r w:rsidRPr="00D904FF">
        <w:t xml:space="preserve"> </w:t>
      </w:r>
      <w:r w:rsidRPr="00C537F9">
        <w:t>toxic epidermal necrolysis</w:t>
      </w:r>
      <w:r>
        <w:t>.</w:t>
      </w:r>
    </w:p>
    <w:p w14:paraId="11A97417" w14:textId="168752EC" w:rsidR="00EB52D0" w:rsidRDefault="00670347" w:rsidP="00F4443F">
      <w:pPr>
        <w:pStyle w:val="TableFigureFooter"/>
        <w:ind w:left="284" w:hanging="284"/>
      </w:pPr>
      <w:r>
        <w:t>a</w:t>
      </w:r>
      <w:r w:rsidR="00EB52D0" w:rsidRPr="00A33A8B">
        <w:t xml:space="preserve">. Lack of reported </w:t>
      </w:r>
      <w:r w:rsidR="00E730F9">
        <w:t>ancestry</w:t>
      </w:r>
      <w:r w:rsidR="00EB52D0" w:rsidRPr="00A33A8B">
        <w:t xml:space="preserve"> in one key study from the USA</w:t>
      </w:r>
      <w:r w:rsidR="00EB52D0">
        <w:t xml:space="preserve"> (downgrade one for imprecision). No Australian studies or estimates based on of Australian </w:t>
      </w:r>
      <w:r w:rsidR="00E730F9">
        <w:t>ancestry</w:t>
      </w:r>
      <w:r w:rsidR="00EB52D0">
        <w:t xml:space="preserve"> proportions </w:t>
      </w:r>
      <w:r w:rsidR="000D097C">
        <w:t xml:space="preserve">which is a key determinant of diagnostic yield </w:t>
      </w:r>
      <w:r w:rsidR="00EB52D0">
        <w:t>(downgrade two for indirectness).</w:t>
      </w:r>
    </w:p>
    <w:p w14:paraId="2CD74F61" w14:textId="3359955E" w:rsidR="00EB52D0" w:rsidRDefault="00670347" w:rsidP="00F4443F">
      <w:pPr>
        <w:pStyle w:val="TableFigureFooter"/>
        <w:ind w:left="284" w:hanging="284"/>
      </w:pPr>
      <w:r w:rsidRPr="422CAA86">
        <w:t>b</w:t>
      </w:r>
      <w:r w:rsidR="00EB52D0" w:rsidRPr="422CAA86">
        <w:t xml:space="preserve">. </w:t>
      </w:r>
      <w:r w:rsidR="00F41976" w:rsidRPr="422CAA86">
        <w:t xml:space="preserve">High risk of bias </w:t>
      </w:r>
      <w:r w:rsidR="000D097C" w:rsidRPr="422CAA86">
        <w:t>for</w:t>
      </w:r>
      <w:r w:rsidR="00F41976" w:rsidRPr="422CAA86">
        <w:t xml:space="preserve"> included study (downgrade one for risk of bias). </w:t>
      </w:r>
      <w:r w:rsidR="00106A69" w:rsidRPr="422CAA86">
        <w:t>Small sample size; results from</w:t>
      </w:r>
      <w:r w:rsidR="001B1C86" w:rsidRPr="422CAA86">
        <w:t xml:space="preserve"> only one included stud</w:t>
      </w:r>
      <w:r w:rsidR="00F41976" w:rsidRPr="422CAA86">
        <w:t>y</w:t>
      </w:r>
      <w:r w:rsidR="00EB52D0" w:rsidRPr="422CAA86">
        <w:t xml:space="preserve"> (downgrade one for imprecision). For Chinese population</w:t>
      </w:r>
      <w:r w:rsidR="00A83A1C" w:rsidRPr="422CAA86">
        <w:t xml:space="preserve"> only</w:t>
      </w:r>
      <w:r w:rsidR="00EB52D0" w:rsidRPr="422CAA86">
        <w:t>, so does not extrapolate to Australia</w:t>
      </w:r>
      <w:r w:rsidR="00106A69" w:rsidRPr="422CAA86">
        <w:t>n population</w:t>
      </w:r>
      <w:r w:rsidR="00EB52D0" w:rsidRPr="422CAA86">
        <w:t xml:space="preserve"> </w:t>
      </w:r>
      <w:r w:rsidR="00106A69" w:rsidRPr="422CAA86">
        <w:t xml:space="preserve">ancestral </w:t>
      </w:r>
      <w:r w:rsidR="00EB52D0" w:rsidRPr="422CAA86">
        <w:t>make-up (downgrade one for indirectness).</w:t>
      </w:r>
    </w:p>
    <w:p w14:paraId="5B0CF87B" w14:textId="36B7A2E5" w:rsidR="00EB52D0" w:rsidRDefault="00670347" w:rsidP="00F4443F">
      <w:pPr>
        <w:pStyle w:val="TableFigureFooter"/>
        <w:ind w:left="284" w:hanging="284"/>
      </w:pPr>
      <w:r w:rsidRPr="422CAA86">
        <w:t>c</w:t>
      </w:r>
      <w:r w:rsidR="00EB52D0" w:rsidRPr="422CAA86">
        <w:t>. High risk of bias across many studies</w:t>
      </w:r>
      <w:r w:rsidR="00D904FF" w:rsidRPr="422CAA86">
        <w:t xml:space="preserve"> </w:t>
      </w:r>
      <w:r w:rsidR="00EB52D0" w:rsidRPr="422CAA86">
        <w:t xml:space="preserve">(downgrade one of risk of bias). No Australian studies </w:t>
      </w:r>
      <w:r w:rsidR="0038369C" w:rsidRPr="422CAA86">
        <w:t xml:space="preserve">or studies with similar </w:t>
      </w:r>
      <w:r w:rsidR="00E730F9" w:rsidRPr="422CAA86">
        <w:t>ancestr</w:t>
      </w:r>
      <w:r w:rsidR="00277E32" w:rsidRPr="422CAA86">
        <w:t>al</w:t>
      </w:r>
      <w:r w:rsidR="0038369C" w:rsidRPr="422CAA86">
        <w:t xml:space="preserve"> make-up to Australia </w:t>
      </w:r>
      <w:r w:rsidR="00EB52D0" w:rsidRPr="422CAA86">
        <w:t>(downgrade one for indirectness).</w:t>
      </w:r>
    </w:p>
    <w:p w14:paraId="213924C6" w14:textId="11D5654C" w:rsidR="00772829" w:rsidRPr="00223664" w:rsidRDefault="00772829" w:rsidP="002C0A7C">
      <w:pPr>
        <w:pStyle w:val="Heading4"/>
      </w:pPr>
      <w:r w:rsidRPr="00223664">
        <w:t>Clinical claim</w:t>
      </w:r>
    </w:p>
    <w:p w14:paraId="2EB79BDE" w14:textId="39486D8B" w:rsidR="00EB52D0" w:rsidRPr="00B233F7" w:rsidRDefault="00EB52D0" w:rsidP="00EB52D0">
      <w:pPr>
        <w:rPr>
          <w:iCs/>
          <w:sz w:val="22"/>
          <w:szCs w:val="22"/>
        </w:rPr>
      </w:pPr>
      <w:r w:rsidRPr="00B233F7">
        <w:rPr>
          <w:iCs/>
          <w:sz w:val="22"/>
          <w:szCs w:val="22"/>
        </w:rPr>
        <w:t xml:space="preserve">The use of </w:t>
      </w:r>
      <w:r w:rsidR="003975F2" w:rsidRPr="003975F2">
        <w:rPr>
          <w:i/>
          <w:sz w:val="22"/>
          <w:szCs w:val="22"/>
        </w:rPr>
        <w:t xml:space="preserve">HLA-A*31:01 </w:t>
      </w:r>
      <w:r w:rsidRPr="00B233F7">
        <w:rPr>
          <w:iCs/>
          <w:sz w:val="22"/>
          <w:szCs w:val="22"/>
        </w:rPr>
        <w:t xml:space="preserve">and </w:t>
      </w:r>
      <w:r w:rsidR="003975F2" w:rsidRPr="003975F2">
        <w:rPr>
          <w:i/>
          <w:sz w:val="22"/>
          <w:szCs w:val="22"/>
        </w:rPr>
        <w:t xml:space="preserve">HLA-B*15:02 </w:t>
      </w:r>
      <w:r w:rsidR="00632BB1" w:rsidRPr="00B233F7">
        <w:rPr>
          <w:sz w:val="22"/>
          <w:szCs w:val="22"/>
        </w:rPr>
        <w:t xml:space="preserve">genotyping </w:t>
      </w:r>
      <w:r w:rsidRPr="00B233F7">
        <w:rPr>
          <w:iCs/>
          <w:sz w:val="22"/>
          <w:szCs w:val="22"/>
        </w:rPr>
        <w:t>prior to the commencement of carbamazepine or oxcarbazepine compared to no pre-treatment genotyping results in superior effectiveness in terms of predicting carbamazepine- or oxcarbazepine-related drug hypersensitivity compared with no pre-treatment genotyping.</w:t>
      </w:r>
    </w:p>
    <w:p w14:paraId="05DC60A3" w14:textId="7C861C20" w:rsidR="00C04968" w:rsidRPr="00B233F7" w:rsidRDefault="00EB52D0" w:rsidP="00C04968">
      <w:pPr>
        <w:rPr>
          <w:rFonts w:eastAsiaTheme="minorEastAsia"/>
          <w:sz w:val="22"/>
          <w:szCs w:val="22"/>
        </w:rPr>
      </w:pPr>
      <w:r w:rsidRPr="00B233F7">
        <w:rPr>
          <w:sz w:val="22"/>
          <w:szCs w:val="22"/>
        </w:rPr>
        <w:t xml:space="preserve">The use of </w:t>
      </w:r>
      <w:r w:rsidR="003975F2" w:rsidRPr="003975F2">
        <w:rPr>
          <w:i/>
          <w:sz w:val="22"/>
          <w:szCs w:val="22"/>
        </w:rPr>
        <w:t xml:space="preserve">HLA-A*31:01 </w:t>
      </w:r>
      <w:r w:rsidRPr="00B233F7">
        <w:rPr>
          <w:iCs/>
          <w:sz w:val="22"/>
          <w:szCs w:val="22"/>
        </w:rPr>
        <w:t xml:space="preserve">and </w:t>
      </w:r>
      <w:r w:rsidR="003975F2" w:rsidRPr="003975F2">
        <w:rPr>
          <w:i/>
          <w:sz w:val="22"/>
          <w:szCs w:val="22"/>
        </w:rPr>
        <w:t xml:space="preserve">HLA-B*15:02 </w:t>
      </w:r>
      <w:r w:rsidRPr="00B233F7">
        <w:rPr>
          <w:sz w:val="22"/>
          <w:szCs w:val="22"/>
        </w:rPr>
        <w:t xml:space="preserve">genotyping before the commencement of </w:t>
      </w:r>
      <w:r w:rsidR="00CF797D" w:rsidRPr="00B233F7">
        <w:rPr>
          <w:iCs/>
          <w:sz w:val="22"/>
          <w:szCs w:val="22"/>
        </w:rPr>
        <w:t xml:space="preserve">carbamazepine or oxcarbazepine </w:t>
      </w:r>
      <w:r w:rsidRPr="00B233F7">
        <w:rPr>
          <w:sz w:val="22"/>
          <w:szCs w:val="22"/>
        </w:rPr>
        <w:t>results in noninferior safety compared with no pre-treatment</w:t>
      </w:r>
      <w:r w:rsidRPr="00B233F7">
        <w:rPr>
          <w:i/>
          <w:sz w:val="22"/>
          <w:szCs w:val="22"/>
        </w:rPr>
        <w:t xml:space="preserve"> </w:t>
      </w:r>
      <w:r w:rsidRPr="00B233F7">
        <w:rPr>
          <w:sz w:val="22"/>
          <w:szCs w:val="22"/>
        </w:rPr>
        <w:t>genotyping.</w:t>
      </w:r>
      <w:r w:rsidR="00652366" w:rsidRPr="00B233F7">
        <w:rPr>
          <w:sz w:val="22"/>
          <w:szCs w:val="22"/>
        </w:rPr>
        <w:t xml:space="preserve"> While the probab</w:t>
      </w:r>
      <w:r w:rsidR="004631B5" w:rsidRPr="00B233F7">
        <w:rPr>
          <w:sz w:val="22"/>
          <w:szCs w:val="22"/>
        </w:rPr>
        <w:t>i</w:t>
      </w:r>
      <w:r w:rsidR="00652366" w:rsidRPr="00B233F7">
        <w:rPr>
          <w:sz w:val="22"/>
          <w:szCs w:val="22"/>
        </w:rPr>
        <w:t>l</w:t>
      </w:r>
      <w:r w:rsidR="004631B5" w:rsidRPr="00B233F7">
        <w:rPr>
          <w:sz w:val="22"/>
          <w:szCs w:val="22"/>
        </w:rPr>
        <w:t>it</w:t>
      </w:r>
      <w:r w:rsidR="00652366" w:rsidRPr="00B233F7">
        <w:rPr>
          <w:sz w:val="22"/>
          <w:szCs w:val="22"/>
        </w:rPr>
        <w:t xml:space="preserve">y of test-related false positive and false negatives are low, clinical management in practice may result in </w:t>
      </w:r>
      <w:r w:rsidR="00BF67B2" w:rsidRPr="00B233F7">
        <w:rPr>
          <w:sz w:val="22"/>
          <w:szCs w:val="22"/>
        </w:rPr>
        <w:t>patients with positive genotypes</w:t>
      </w:r>
      <w:r w:rsidR="004F46E0" w:rsidRPr="00B233F7">
        <w:rPr>
          <w:sz w:val="22"/>
          <w:szCs w:val="22"/>
        </w:rPr>
        <w:t xml:space="preserve"> who </w:t>
      </w:r>
      <w:r w:rsidR="00F83EFD" w:rsidRPr="00B233F7">
        <w:rPr>
          <w:sz w:val="22"/>
          <w:szCs w:val="22"/>
        </w:rPr>
        <w:t>may</w:t>
      </w:r>
      <w:r w:rsidR="004F46E0" w:rsidRPr="00B233F7">
        <w:rPr>
          <w:sz w:val="22"/>
          <w:szCs w:val="22"/>
        </w:rPr>
        <w:t xml:space="preserve"> not actually </w:t>
      </w:r>
      <w:r w:rsidR="00F83EFD" w:rsidRPr="00B233F7">
        <w:rPr>
          <w:sz w:val="22"/>
          <w:szCs w:val="22"/>
        </w:rPr>
        <w:t>be</w:t>
      </w:r>
      <w:r w:rsidR="004F46E0" w:rsidRPr="00B233F7">
        <w:rPr>
          <w:sz w:val="22"/>
          <w:szCs w:val="22"/>
        </w:rPr>
        <w:t xml:space="preserve"> at risk of </w:t>
      </w:r>
      <w:r w:rsidR="000D48BC" w:rsidRPr="00B233F7">
        <w:rPr>
          <w:sz w:val="22"/>
          <w:szCs w:val="22"/>
        </w:rPr>
        <w:t>drug hypersensitivity reactions</w:t>
      </w:r>
      <w:r w:rsidR="00BF67B2" w:rsidRPr="00B233F7">
        <w:rPr>
          <w:sz w:val="22"/>
          <w:szCs w:val="22"/>
        </w:rPr>
        <w:t xml:space="preserve"> </w:t>
      </w:r>
      <w:r w:rsidR="00D31761" w:rsidRPr="00B233F7">
        <w:rPr>
          <w:sz w:val="22"/>
          <w:szCs w:val="22"/>
        </w:rPr>
        <w:t xml:space="preserve">being </w:t>
      </w:r>
      <w:r w:rsidR="00652366" w:rsidRPr="00B233F7">
        <w:rPr>
          <w:sz w:val="22"/>
          <w:szCs w:val="22"/>
          <w:lang w:val="en-GB"/>
        </w:rPr>
        <w:t>unnecessarily changed to an alternative, possibly less effective therapy</w:t>
      </w:r>
      <w:r w:rsidR="00755B8F" w:rsidRPr="00B233F7">
        <w:rPr>
          <w:sz w:val="22"/>
          <w:szCs w:val="22"/>
          <w:lang w:val="en-GB"/>
        </w:rPr>
        <w:t xml:space="preserve"> </w:t>
      </w:r>
      <w:r w:rsidR="00AE5E20" w:rsidRPr="00B233F7">
        <w:rPr>
          <w:sz w:val="22"/>
          <w:szCs w:val="22"/>
          <w:lang w:val="en-GB"/>
        </w:rPr>
        <w:t xml:space="preserve">and </w:t>
      </w:r>
      <w:r w:rsidR="00652366" w:rsidRPr="00B233F7">
        <w:rPr>
          <w:sz w:val="22"/>
          <w:szCs w:val="22"/>
          <w:lang w:val="en-GB"/>
        </w:rPr>
        <w:t>patient</w:t>
      </w:r>
      <w:r w:rsidR="00FE257C" w:rsidRPr="00B233F7">
        <w:rPr>
          <w:sz w:val="22"/>
          <w:szCs w:val="22"/>
          <w:lang w:val="en-GB"/>
        </w:rPr>
        <w:t>s with negative genotypes</w:t>
      </w:r>
      <w:r w:rsidR="000D48BC" w:rsidRPr="00B233F7">
        <w:rPr>
          <w:sz w:val="22"/>
          <w:szCs w:val="22"/>
          <w:lang w:val="en-GB"/>
        </w:rPr>
        <w:t xml:space="preserve"> not receiving an alternative treatment who are still at risk of drug hypersensitivity reactions</w:t>
      </w:r>
      <w:r w:rsidR="00652366" w:rsidRPr="00B233F7">
        <w:rPr>
          <w:sz w:val="22"/>
          <w:szCs w:val="22"/>
          <w:lang w:val="en-GB"/>
        </w:rPr>
        <w:t>.</w:t>
      </w:r>
      <w:r w:rsidR="00C04968" w:rsidRPr="00B233F7">
        <w:rPr>
          <w:sz w:val="22"/>
          <w:szCs w:val="22"/>
          <w:lang w:val="en-GB"/>
        </w:rPr>
        <w:t xml:space="preserve"> This is because not all patients testing positive for the genotypes will be at </w:t>
      </w:r>
      <w:r w:rsidR="00C04968" w:rsidRPr="00B233F7">
        <w:rPr>
          <w:sz w:val="22"/>
          <w:szCs w:val="22"/>
        </w:rPr>
        <w:t xml:space="preserve">increased risk of </w:t>
      </w:r>
      <w:r w:rsidR="00C04968" w:rsidRPr="00B233F7">
        <w:rPr>
          <w:rFonts w:eastAsiaTheme="minorEastAsia"/>
          <w:sz w:val="22"/>
          <w:szCs w:val="22"/>
        </w:rPr>
        <w:t>drug hypersensitivity reactions and not all patients testing negative for the genotypes will have no risk of drug hypersensitivity reactions.</w:t>
      </w:r>
    </w:p>
    <w:p w14:paraId="2FA2177C" w14:textId="58AD3165" w:rsidR="00EB52D0" w:rsidRPr="00B233F7" w:rsidRDefault="00EB52D0" w:rsidP="422CAA86">
      <w:pPr>
        <w:rPr>
          <w:sz w:val="22"/>
          <w:szCs w:val="22"/>
        </w:rPr>
      </w:pPr>
      <w:r w:rsidRPr="422CAA86">
        <w:rPr>
          <w:sz w:val="22"/>
          <w:szCs w:val="22"/>
        </w:rPr>
        <w:t xml:space="preserve">There is insufficient evidence to determine the effectiveness of </w:t>
      </w:r>
      <w:r w:rsidR="006455E2" w:rsidRPr="422CAA86">
        <w:rPr>
          <w:sz w:val="22"/>
          <w:szCs w:val="22"/>
        </w:rPr>
        <w:t xml:space="preserve">combined </w:t>
      </w:r>
      <w:r w:rsidR="003975F2" w:rsidRPr="003975F2">
        <w:rPr>
          <w:i/>
          <w:iCs/>
          <w:sz w:val="22"/>
          <w:szCs w:val="22"/>
        </w:rPr>
        <w:t xml:space="preserve">HLA-A*31:01 </w:t>
      </w:r>
      <w:r w:rsidRPr="422CAA86">
        <w:rPr>
          <w:sz w:val="22"/>
          <w:szCs w:val="22"/>
        </w:rPr>
        <w:t xml:space="preserve">and </w:t>
      </w:r>
      <w:r w:rsidR="003975F2" w:rsidRPr="003975F2">
        <w:rPr>
          <w:i/>
          <w:iCs/>
          <w:sz w:val="22"/>
          <w:szCs w:val="22"/>
        </w:rPr>
        <w:t xml:space="preserve">HLA-B*15:02 </w:t>
      </w:r>
      <w:r w:rsidR="00EF26CD" w:rsidRPr="422CAA86">
        <w:rPr>
          <w:sz w:val="22"/>
          <w:szCs w:val="22"/>
        </w:rPr>
        <w:t xml:space="preserve">genotyping </w:t>
      </w:r>
      <w:r w:rsidRPr="422CAA86">
        <w:rPr>
          <w:sz w:val="22"/>
          <w:szCs w:val="22"/>
        </w:rPr>
        <w:t>prior to the commencement of carbamazepine or oxcarbazepine compared to no pre-treatment genotyping for:</w:t>
      </w:r>
    </w:p>
    <w:p w14:paraId="6D18F309" w14:textId="13D72150" w:rsidR="007C14D8" w:rsidRPr="00B233F7" w:rsidRDefault="007C14D8" w:rsidP="00A71A47">
      <w:pPr>
        <w:pStyle w:val="ListParagraph"/>
        <w:numPr>
          <w:ilvl w:val="0"/>
          <w:numId w:val="11"/>
        </w:numPr>
        <w:rPr>
          <w:sz w:val="22"/>
          <w:szCs w:val="22"/>
        </w:rPr>
      </w:pPr>
      <w:r w:rsidRPr="00B233F7">
        <w:rPr>
          <w:sz w:val="22"/>
          <w:szCs w:val="22"/>
        </w:rPr>
        <w:t>improving outcomes of overall survival, morbidity or mortality, OR</w:t>
      </w:r>
    </w:p>
    <w:p w14:paraId="3413E1F1" w14:textId="36CBB8D3" w:rsidR="005428C8" w:rsidRPr="00B233F7" w:rsidRDefault="00EB52D0" w:rsidP="00A71A47">
      <w:pPr>
        <w:pStyle w:val="ListParagraph"/>
        <w:numPr>
          <w:ilvl w:val="0"/>
          <w:numId w:val="11"/>
        </w:numPr>
        <w:rPr>
          <w:sz w:val="22"/>
          <w:szCs w:val="22"/>
        </w:rPr>
      </w:pPr>
      <w:r w:rsidRPr="422CAA86">
        <w:rPr>
          <w:sz w:val="22"/>
          <w:szCs w:val="22"/>
        </w:rPr>
        <w:t>preventing carbamazepine- or oxcarbazepine-related drug hypersensitivity (from treatment switching)</w:t>
      </w:r>
      <w:r w:rsidR="007C14D8" w:rsidRPr="422CAA86">
        <w:rPr>
          <w:sz w:val="22"/>
          <w:szCs w:val="22"/>
        </w:rPr>
        <w:t>. H</w:t>
      </w:r>
      <w:r w:rsidR="006455E2" w:rsidRPr="422CAA86">
        <w:rPr>
          <w:sz w:val="22"/>
          <w:szCs w:val="22"/>
        </w:rPr>
        <w:t xml:space="preserve">owever, there is evidence that implementation of policies for </w:t>
      </w:r>
      <w:r w:rsidR="003975F2" w:rsidRPr="003975F2">
        <w:rPr>
          <w:i/>
          <w:iCs/>
          <w:sz w:val="22"/>
          <w:szCs w:val="22"/>
        </w:rPr>
        <w:t xml:space="preserve">HLA-B*15:02 </w:t>
      </w:r>
      <w:r w:rsidR="007C14D8" w:rsidRPr="422CAA86">
        <w:rPr>
          <w:sz w:val="22"/>
          <w:szCs w:val="22"/>
        </w:rPr>
        <w:t xml:space="preserve">only </w:t>
      </w:r>
      <w:r w:rsidR="006455E2" w:rsidRPr="422CAA86">
        <w:rPr>
          <w:sz w:val="22"/>
          <w:szCs w:val="22"/>
        </w:rPr>
        <w:t>genotyping prior to the commencement of carbamazepine in East Asian populations reduces carbamazepine prescription, which may reduce the incidence of SCARs.</w:t>
      </w:r>
      <w:r w:rsidR="000B18D8" w:rsidRPr="422CAA86">
        <w:rPr>
          <w:sz w:val="22"/>
          <w:szCs w:val="22"/>
        </w:rPr>
        <w:t xml:space="preserve"> </w:t>
      </w:r>
      <w:r w:rsidR="00813159" w:rsidRPr="422CAA86">
        <w:rPr>
          <w:sz w:val="22"/>
          <w:szCs w:val="22"/>
        </w:rPr>
        <w:t>However, in Chen et al. 2014, policy adherence was reportedly low (26.4%), with 40% of patients commenced on a non-CBZ therapy before the test result became available, meaning causality cannot be ascertained.</w:t>
      </w:r>
    </w:p>
    <w:p w14:paraId="0D09C9E4" w14:textId="7405DD6C" w:rsidR="00772829" w:rsidRPr="00CE28E3" w:rsidRDefault="00772829" w:rsidP="00A737D1">
      <w:pPr>
        <w:pStyle w:val="Heading2"/>
        <w:numPr>
          <w:ilvl w:val="0"/>
          <w:numId w:val="21"/>
        </w:numPr>
        <w:ind w:hanging="720"/>
      </w:pPr>
      <w:bookmarkStart w:id="27" w:name="_Toc184825877"/>
      <w:r w:rsidRPr="00CE28E3">
        <w:lastRenderedPageBreak/>
        <w:t>Economic evaluation</w:t>
      </w:r>
      <w:bookmarkEnd w:id="27"/>
    </w:p>
    <w:p w14:paraId="724FB54E" w14:textId="59CED054" w:rsidR="003C1A6B" w:rsidRPr="00B233F7" w:rsidRDefault="003C1A6B" w:rsidP="003C1A6B">
      <w:pPr>
        <w:pStyle w:val="Instructionaltext"/>
        <w:rPr>
          <w:sz w:val="22"/>
          <w:szCs w:val="22"/>
        </w:rPr>
      </w:pPr>
      <w:r w:rsidRPr="00B233F7">
        <w:rPr>
          <w:sz w:val="22"/>
          <w:szCs w:val="22"/>
        </w:rPr>
        <w:t xml:space="preserve">Based on the clinical claim of superior effectiveness in terms of predicting carbamazepine- or oxcarbazepine-related drug hypersensitivity compared with no pre-treatment genotyping, </w:t>
      </w:r>
      <w:r w:rsidR="00C96BF7">
        <w:rPr>
          <w:sz w:val="22"/>
          <w:szCs w:val="22"/>
        </w:rPr>
        <w:t xml:space="preserve">a </w:t>
      </w:r>
      <w:r w:rsidRPr="00B233F7">
        <w:rPr>
          <w:sz w:val="22"/>
          <w:szCs w:val="22"/>
        </w:rPr>
        <w:t xml:space="preserve">CEA (cost per patient with a </w:t>
      </w:r>
      <w:r w:rsidR="003975F2" w:rsidRPr="003975F2">
        <w:rPr>
          <w:i/>
          <w:sz w:val="22"/>
          <w:szCs w:val="22"/>
        </w:rPr>
        <w:t xml:space="preserve">HLA-A*31:01 </w:t>
      </w:r>
      <w:r w:rsidRPr="00B233F7">
        <w:rPr>
          <w:sz w:val="22"/>
          <w:szCs w:val="22"/>
        </w:rPr>
        <w:t xml:space="preserve">and </w:t>
      </w:r>
      <w:r w:rsidR="003975F2" w:rsidRPr="003975F2">
        <w:rPr>
          <w:i/>
          <w:sz w:val="22"/>
          <w:szCs w:val="22"/>
        </w:rPr>
        <w:t xml:space="preserve">HLA-B*15:02 </w:t>
      </w:r>
      <w:r w:rsidRPr="00B233F7">
        <w:rPr>
          <w:sz w:val="22"/>
          <w:szCs w:val="22"/>
        </w:rPr>
        <w:t>variant identified</w:t>
      </w:r>
      <w:r w:rsidRPr="00B233F7">
        <w:rPr>
          <w:rFonts w:hint="eastAsia"/>
          <w:sz w:val="22"/>
          <w:szCs w:val="22"/>
        </w:rPr>
        <w:t xml:space="preserve"> and </w:t>
      </w:r>
      <w:r w:rsidRPr="00B233F7">
        <w:rPr>
          <w:sz w:val="22"/>
          <w:szCs w:val="22"/>
        </w:rPr>
        <w:t xml:space="preserve">cost per </w:t>
      </w:r>
      <w:r w:rsidRPr="00B233F7">
        <w:rPr>
          <w:rFonts w:hint="eastAsia"/>
          <w:sz w:val="22"/>
          <w:szCs w:val="22"/>
        </w:rPr>
        <w:t xml:space="preserve">patient regarding </w:t>
      </w:r>
      <w:r w:rsidRPr="00B233F7">
        <w:rPr>
          <w:sz w:val="22"/>
          <w:szCs w:val="22"/>
        </w:rPr>
        <w:t>severe drug hypersensitivity reaction</w:t>
      </w:r>
      <w:r w:rsidRPr="00B233F7">
        <w:rPr>
          <w:rFonts w:hint="eastAsia"/>
          <w:sz w:val="22"/>
          <w:szCs w:val="22"/>
        </w:rPr>
        <w:t>s</w:t>
      </w:r>
      <w:r w:rsidRPr="00B233F7">
        <w:rPr>
          <w:sz w:val="22"/>
          <w:szCs w:val="22"/>
        </w:rPr>
        <w:t xml:space="preserve"> avoided), and a CUA (cost per quality-adjusted life years (QALY) gained)</w:t>
      </w:r>
      <w:r w:rsidR="004130CD">
        <w:rPr>
          <w:sz w:val="22"/>
          <w:szCs w:val="22"/>
        </w:rPr>
        <w:t xml:space="preserve"> were conducted</w:t>
      </w:r>
      <w:r w:rsidRPr="00B233F7">
        <w:rPr>
          <w:sz w:val="22"/>
          <w:szCs w:val="22"/>
        </w:rPr>
        <w:t>.</w:t>
      </w:r>
      <w:r w:rsidR="00F77D2A" w:rsidRPr="00B233F7">
        <w:rPr>
          <w:sz w:val="22"/>
          <w:szCs w:val="22"/>
        </w:rPr>
        <w:t xml:space="preserve"> </w:t>
      </w:r>
      <w:r w:rsidR="000B38F7">
        <w:rPr>
          <w:sz w:val="22"/>
          <w:szCs w:val="22"/>
        </w:rPr>
        <w:t>Table 7</w:t>
      </w:r>
      <w:r w:rsidR="00F77D2A" w:rsidRPr="00B233F7">
        <w:rPr>
          <w:sz w:val="22"/>
          <w:szCs w:val="22"/>
        </w:rPr>
        <w:t xml:space="preserve"> provides a brief overview of the model parameters. </w:t>
      </w:r>
    </w:p>
    <w:p w14:paraId="7DB2DF3C" w14:textId="3D5A8F1D" w:rsidR="001308ED" w:rsidRPr="00F77D2A" w:rsidRDefault="001308ED" w:rsidP="00F77D2A">
      <w:pPr>
        <w:pStyle w:val="Caption"/>
        <w:rPr>
          <w:snapToGrid w:val="0"/>
        </w:rPr>
      </w:pPr>
      <w:bookmarkStart w:id="28" w:name="_Ref181831080"/>
      <w:r w:rsidRPr="00F57762">
        <w:rPr>
          <w:snapToGrid w:val="0"/>
        </w:rPr>
        <w:t>Table</w:t>
      </w:r>
      <w:r w:rsidR="0093732A" w:rsidRPr="00F57762">
        <w:rPr>
          <w:snapToGrid w:val="0"/>
        </w:rPr>
        <w:t> </w:t>
      </w:r>
      <w:bookmarkEnd w:id="28"/>
      <w:r w:rsidR="000B38F7">
        <w:rPr>
          <w:snapToGrid w:val="0"/>
        </w:rPr>
        <w:t>7</w:t>
      </w:r>
      <w:r w:rsidR="000B38F7" w:rsidRPr="00F57762">
        <w:rPr>
          <w:snapToGrid w:val="0"/>
        </w:rPr>
        <w:t xml:space="preserve"> </w:t>
      </w:r>
      <w:r w:rsidR="0093732A" w:rsidRPr="00F57762">
        <w:rPr>
          <w:snapToGrid w:val="0"/>
        </w:rPr>
        <w:tab/>
      </w:r>
      <w:r w:rsidR="00F77D2A" w:rsidRPr="00F77D2A">
        <w:rPr>
          <w:snapToGrid w:val="0"/>
        </w:rPr>
        <w:t>Summary of the economic evaluation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082"/>
        <w:gridCol w:w="6985"/>
      </w:tblGrid>
      <w:tr w:rsidR="0093732A" w:rsidRPr="00CE28E3" w14:paraId="2E1F1D0E" w14:textId="77777777" w:rsidTr="422CAA86">
        <w:trPr>
          <w:tblHeader/>
        </w:trPr>
        <w:tc>
          <w:tcPr>
            <w:tcW w:w="2082" w:type="dxa"/>
            <w:shd w:val="clear" w:color="auto" w:fill="D9D9D9" w:themeFill="background1" w:themeFillShade="D9"/>
          </w:tcPr>
          <w:p w14:paraId="76E4261F" w14:textId="737FF69C" w:rsidR="0093732A" w:rsidRPr="000449D1" w:rsidRDefault="0093732A">
            <w:pPr>
              <w:pStyle w:val="TableHeading"/>
            </w:pPr>
            <w:r w:rsidRPr="422CAA86">
              <w:t>Component</w:t>
            </w:r>
          </w:p>
        </w:tc>
        <w:tc>
          <w:tcPr>
            <w:tcW w:w="6985" w:type="dxa"/>
            <w:shd w:val="clear" w:color="auto" w:fill="D9D9D9" w:themeFill="background1" w:themeFillShade="D9"/>
          </w:tcPr>
          <w:p w14:paraId="29975831" w14:textId="77777777" w:rsidR="0093732A" w:rsidRPr="000449D1" w:rsidRDefault="0093732A">
            <w:pPr>
              <w:pStyle w:val="TableHeading"/>
            </w:pPr>
            <w:r w:rsidRPr="000449D1">
              <w:t>Description</w:t>
            </w:r>
          </w:p>
        </w:tc>
      </w:tr>
      <w:tr w:rsidR="0093732A" w:rsidRPr="000449D1" w14:paraId="6D6889D0" w14:textId="77777777" w:rsidTr="422CAA86">
        <w:tc>
          <w:tcPr>
            <w:tcW w:w="2082" w:type="dxa"/>
          </w:tcPr>
          <w:p w14:paraId="7AAA5FF9" w14:textId="77777777" w:rsidR="0093732A" w:rsidRPr="000449D1" w:rsidRDefault="0093732A">
            <w:pPr>
              <w:pStyle w:val="TableText"/>
            </w:pPr>
            <w:r w:rsidRPr="000449D1">
              <w:t>Perspective</w:t>
            </w:r>
          </w:p>
        </w:tc>
        <w:tc>
          <w:tcPr>
            <w:tcW w:w="6985" w:type="dxa"/>
          </w:tcPr>
          <w:p w14:paraId="7530D501" w14:textId="77777777" w:rsidR="0093732A" w:rsidRPr="003A0506" w:rsidRDefault="0093732A">
            <w:pPr>
              <w:pStyle w:val="TableText"/>
            </w:pPr>
            <w:r w:rsidRPr="003A0506">
              <w:t>Health care system perspective</w:t>
            </w:r>
          </w:p>
        </w:tc>
      </w:tr>
      <w:tr w:rsidR="0093732A" w:rsidRPr="000449D1" w14:paraId="7CDED946" w14:textId="77777777" w:rsidTr="422CAA86">
        <w:trPr>
          <w:tblHeader/>
        </w:trPr>
        <w:tc>
          <w:tcPr>
            <w:tcW w:w="2082" w:type="dxa"/>
          </w:tcPr>
          <w:p w14:paraId="5E7BD38B" w14:textId="77777777" w:rsidR="0093732A" w:rsidRPr="000449D1" w:rsidRDefault="0093732A">
            <w:pPr>
              <w:pStyle w:val="TableText"/>
            </w:pPr>
            <w:r w:rsidRPr="000449D1">
              <w:t>Population</w:t>
            </w:r>
          </w:p>
        </w:tc>
        <w:tc>
          <w:tcPr>
            <w:tcW w:w="6985" w:type="dxa"/>
          </w:tcPr>
          <w:p w14:paraId="4F6F5363" w14:textId="77777777" w:rsidR="0093732A" w:rsidRPr="00916EB5" w:rsidRDefault="0093732A">
            <w:pPr>
              <w:pStyle w:val="TableText"/>
            </w:pPr>
            <w:r w:rsidRPr="00916EB5">
              <w:t xml:space="preserve">Patients who are about to commence </w:t>
            </w:r>
            <w:r>
              <w:rPr>
                <w:rFonts w:hint="eastAsia"/>
              </w:rPr>
              <w:t xml:space="preserve">CBZ </w:t>
            </w:r>
            <w:r w:rsidRPr="00916EB5">
              <w:t xml:space="preserve">or </w:t>
            </w:r>
            <w:r>
              <w:rPr>
                <w:rFonts w:hint="eastAsia"/>
              </w:rPr>
              <w:t xml:space="preserve">OXC </w:t>
            </w:r>
            <w:r w:rsidRPr="00916EB5">
              <w:t>treatment for the first time.</w:t>
            </w:r>
          </w:p>
        </w:tc>
      </w:tr>
      <w:tr w:rsidR="0093732A" w:rsidRPr="000449D1" w14:paraId="7EFB942F" w14:textId="77777777" w:rsidTr="422CAA86">
        <w:tc>
          <w:tcPr>
            <w:tcW w:w="2082" w:type="dxa"/>
          </w:tcPr>
          <w:p w14:paraId="0C424A3E" w14:textId="77777777" w:rsidR="0093732A" w:rsidRPr="000449D1" w:rsidRDefault="0093732A">
            <w:pPr>
              <w:pStyle w:val="TableText"/>
            </w:pPr>
            <w:r w:rsidRPr="000449D1">
              <w:t>Prior testing</w:t>
            </w:r>
          </w:p>
        </w:tc>
        <w:tc>
          <w:tcPr>
            <w:tcW w:w="6985" w:type="dxa"/>
          </w:tcPr>
          <w:p w14:paraId="6626F115" w14:textId="77777777" w:rsidR="0093732A" w:rsidRPr="000449D1" w:rsidRDefault="0093732A">
            <w:pPr>
              <w:pStyle w:val="TableText"/>
            </w:pPr>
            <w:r>
              <w:rPr>
                <w:rFonts w:hint="eastAsia"/>
              </w:rPr>
              <w:t>NA</w:t>
            </w:r>
          </w:p>
        </w:tc>
      </w:tr>
      <w:tr w:rsidR="0093732A" w:rsidRPr="000449D1" w14:paraId="1173DEB4" w14:textId="77777777" w:rsidTr="422CAA86">
        <w:tc>
          <w:tcPr>
            <w:tcW w:w="2082" w:type="dxa"/>
          </w:tcPr>
          <w:p w14:paraId="1470BBF3" w14:textId="77777777" w:rsidR="0093732A" w:rsidRPr="000449D1" w:rsidRDefault="0093732A">
            <w:pPr>
              <w:pStyle w:val="TableText"/>
            </w:pPr>
            <w:r w:rsidRPr="000449D1">
              <w:t>Comparator</w:t>
            </w:r>
          </w:p>
        </w:tc>
        <w:tc>
          <w:tcPr>
            <w:tcW w:w="6985" w:type="dxa"/>
          </w:tcPr>
          <w:p w14:paraId="43E709E8" w14:textId="77777777" w:rsidR="0093732A" w:rsidRPr="000449D1" w:rsidRDefault="0093732A">
            <w:pPr>
              <w:pStyle w:val="TableText"/>
            </w:pPr>
            <w:r>
              <w:rPr>
                <w:rFonts w:hint="eastAsia"/>
              </w:rPr>
              <w:t>No testing</w:t>
            </w:r>
          </w:p>
        </w:tc>
      </w:tr>
      <w:tr w:rsidR="0093732A" w:rsidRPr="000449D1" w14:paraId="1AD7673F" w14:textId="77777777" w:rsidTr="422CAA86">
        <w:tc>
          <w:tcPr>
            <w:tcW w:w="2082" w:type="dxa"/>
          </w:tcPr>
          <w:p w14:paraId="25335591" w14:textId="77777777" w:rsidR="0093732A" w:rsidRPr="000449D1" w:rsidRDefault="0093732A">
            <w:pPr>
              <w:pStyle w:val="TableText"/>
            </w:pPr>
            <w:r w:rsidRPr="000449D1">
              <w:t>Type(s) of analysis</w:t>
            </w:r>
          </w:p>
        </w:tc>
        <w:tc>
          <w:tcPr>
            <w:tcW w:w="6985" w:type="dxa"/>
          </w:tcPr>
          <w:p w14:paraId="3D665BAA" w14:textId="77777777" w:rsidR="0093732A" w:rsidRPr="000449D1" w:rsidRDefault="0093732A">
            <w:pPr>
              <w:pStyle w:val="TableText"/>
            </w:pPr>
            <w:r>
              <w:rPr>
                <w:rFonts w:hint="eastAsia"/>
              </w:rPr>
              <w:t>CEA and CUA</w:t>
            </w:r>
          </w:p>
        </w:tc>
      </w:tr>
      <w:tr w:rsidR="0093732A" w:rsidRPr="000449D1" w14:paraId="3F7B82C3" w14:textId="77777777" w:rsidTr="422CAA86">
        <w:tc>
          <w:tcPr>
            <w:tcW w:w="2082" w:type="dxa"/>
          </w:tcPr>
          <w:p w14:paraId="54A0913C" w14:textId="77777777" w:rsidR="0093732A" w:rsidRPr="000449D1" w:rsidRDefault="0093732A">
            <w:pPr>
              <w:pStyle w:val="TableText"/>
            </w:pPr>
            <w:r w:rsidRPr="000449D1">
              <w:t>Outcomes</w:t>
            </w:r>
          </w:p>
        </w:tc>
        <w:tc>
          <w:tcPr>
            <w:tcW w:w="6985" w:type="dxa"/>
          </w:tcPr>
          <w:p w14:paraId="2EF0913A" w14:textId="73190FFA" w:rsidR="0093732A" w:rsidRDefault="0093732A" w:rsidP="00A71A47">
            <w:pPr>
              <w:pStyle w:val="TableText"/>
              <w:numPr>
                <w:ilvl w:val="0"/>
                <w:numId w:val="13"/>
              </w:numPr>
            </w:pPr>
            <w:r w:rsidRPr="422CAA86">
              <w:t xml:space="preserve">Number of patients </w:t>
            </w:r>
            <w:r w:rsidR="00405524" w:rsidRPr="422CAA86">
              <w:t xml:space="preserve">with </w:t>
            </w:r>
            <w:r w:rsidRPr="422CAA86">
              <w:t xml:space="preserve">positive genotyping result (i.e. </w:t>
            </w:r>
            <w:r w:rsidR="003975F2" w:rsidRPr="003975F2">
              <w:rPr>
                <w:i/>
                <w:iCs/>
              </w:rPr>
              <w:t xml:space="preserve">HLA-A*31:01 </w:t>
            </w:r>
            <w:r w:rsidRPr="422CAA86">
              <w:t xml:space="preserve">and/or </w:t>
            </w:r>
            <w:r w:rsidR="003975F2" w:rsidRPr="003975F2">
              <w:rPr>
                <w:i/>
                <w:iCs/>
              </w:rPr>
              <w:t xml:space="preserve">HLA-B*15:02 </w:t>
            </w:r>
            <w:r w:rsidRPr="422CAA86">
              <w:t xml:space="preserve">variant identified). </w:t>
            </w:r>
          </w:p>
          <w:p w14:paraId="5E001D29" w14:textId="1CCE6CEE" w:rsidR="0093732A" w:rsidRDefault="0093732A" w:rsidP="00A71A47">
            <w:pPr>
              <w:pStyle w:val="TableText"/>
              <w:numPr>
                <w:ilvl w:val="0"/>
                <w:numId w:val="13"/>
              </w:numPr>
            </w:pPr>
            <w:r w:rsidRPr="00825F1C">
              <w:rPr>
                <w:rFonts w:hint="eastAsia"/>
              </w:rPr>
              <w:t xml:space="preserve">Number of patients </w:t>
            </w:r>
            <w:r w:rsidR="00405524">
              <w:t xml:space="preserve">with </w:t>
            </w:r>
            <w:r w:rsidRPr="00825F1C">
              <w:t>severe drug hypersensitivity reactions</w:t>
            </w:r>
            <w:r>
              <w:rPr>
                <w:rFonts w:hint="eastAsia"/>
              </w:rPr>
              <w:t xml:space="preserve"> (SJS-TEN/DRESS)</w:t>
            </w:r>
            <w:r w:rsidRPr="00825F1C">
              <w:t xml:space="preserve"> avoided. </w:t>
            </w:r>
          </w:p>
          <w:p w14:paraId="456B857C" w14:textId="77777777" w:rsidR="0093732A" w:rsidRPr="00E45893" w:rsidRDefault="0093732A" w:rsidP="00A71A47">
            <w:pPr>
              <w:pStyle w:val="TableText"/>
              <w:numPr>
                <w:ilvl w:val="0"/>
                <w:numId w:val="13"/>
              </w:numPr>
            </w:pPr>
            <w:r w:rsidRPr="00825F1C">
              <w:rPr>
                <w:rFonts w:hint="eastAsia"/>
              </w:rPr>
              <w:t>QALYs</w:t>
            </w:r>
            <w:r w:rsidRPr="00825F1C">
              <w:t xml:space="preserve"> gained</w:t>
            </w:r>
            <w:r>
              <w:rPr>
                <w:rFonts w:eastAsiaTheme="minorEastAsia" w:hint="eastAsia"/>
              </w:rPr>
              <w:t xml:space="preserve"> (for epilepsy)</w:t>
            </w:r>
          </w:p>
          <w:p w14:paraId="48ECCCD9" w14:textId="48DD32DD" w:rsidR="0093732A" w:rsidRPr="00825F1C" w:rsidRDefault="0093732A" w:rsidP="00A71A47">
            <w:pPr>
              <w:pStyle w:val="TableText"/>
              <w:numPr>
                <w:ilvl w:val="0"/>
                <w:numId w:val="13"/>
              </w:numPr>
            </w:pPr>
            <w:r>
              <w:rPr>
                <w:rFonts w:eastAsiaTheme="minorEastAsia" w:hint="eastAsia"/>
              </w:rPr>
              <w:t>Difference in pain</w:t>
            </w:r>
            <w:r>
              <w:rPr>
                <w:rFonts w:eastAsiaTheme="minorEastAsia"/>
              </w:rPr>
              <w:t>-</w:t>
            </w:r>
            <w:r>
              <w:rPr>
                <w:rFonts w:eastAsiaTheme="minorEastAsia" w:hint="eastAsia"/>
              </w:rPr>
              <w:t>controlled patient (for TN)</w:t>
            </w:r>
          </w:p>
        </w:tc>
      </w:tr>
      <w:tr w:rsidR="0093732A" w:rsidRPr="000449D1" w14:paraId="39D9935C" w14:textId="77777777" w:rsidTr="422CAA86">
        <w:tc>
          <w:tcPr>
            <w:tcW w:w="2082" w:type="dxa"/>
          </w:tcPr>
          <w:p w14:paraId="00545C31" w14:textId="77777777" w:rsidR="0093732A" w:rsidRPr="000449D1" w:rsidRDefault="0093732A">
            <w:pPr>
              <w:pStyle w:val="TableText"/>
            </w:pPr>
            <w:r w:rsidRPr="000449D1">
              <w:t>Time horizon</w:t>
            </w:r>
          </w:p>
        </w:tc>
        <w:tc>
          <w:tcPr>
            <w:tcW w:w="6985" w:type="dxa"/>
          </w:tcPr>
          <w:p w14:paraId="3F61861D" w14:textId="77777777" w:rsidR="0093732A" w:rsidRPr="00AA4403" w:rsidRDefault="0093732A">
            <w:pPr>
              <w:pStyle w:val="TableText"/>
            </w:pPr>
            <w:r w:rsidRPr="00AA4403">
              <w:t>S</w:t>
            </w:r>
            <w:r w:rsidRPr="00AA4403">
              <w:rPr>
                <w:rFonts w:hint="eastAsia"/>
              </w:rPr>
              <w:t>hort-term: 3 months</w:t>
            </w:r>
          </w:p>
          <w:p w14:paraId="1B62D6DD" w14:textId="3635B716" w:rsidR="0093732A" w:rsidRPr="00AB7D80" w:rsidRDefault="0093732A">
            <w:pPr>
              <w:pStyle w:val="TableText"/>
              <w:rPr>
                <w:rFonts w:eastAsiaTheme="minorEastAsia"/>
              </w:rPr>
            </w:pPr>
            <w:r w:rsidRPr="00AA4403">
              <w:rPr>
                <w:rFonts w:hint="eastAsia"/>
              </w:rPr>
              <w:t xml:space="preserve">Long-term: </w:t>
            </w:r>
            <w:r w:rsidRPr="00354781">
              <w:rPr>
                <w:rFonts w:hint="eastAsia"/>
              </w:rPr>
              <w:t>lifetime</w:t>
            </w:r>
            <w:r>
              <w:rPr>
                <w:rFonts w:eastAsiaTheme="minorEastAsia" w:hint="eastAsia"/>
              </w:rPr>
              <w:t xml:space="preserve"> (for epilepsy); 10 years (for TN)</w:t>
            </w:r>
          </w:p>
        </w:tc>
      </w:tr>
      <w:tr w:rsidR="0093732A" w:rsidRPr="000449D1" w14:paraId="2FC56C38" w14:textId="77777777" w:rsidTr="422CAA86">
        <w:tc>
          <w:tcPr>
            <w:tcW w:w="2082" w:type="dxa"/>
          </w:tcPr>
          <w:p w14:paraId="6AF6F74D" w14:textId="77777777" w:rsidR="0093732A" w:rsidRPr="000449D1" w:rsidRDefault="0093732A">
            <w:pPr>
              <w:pStyle w:val="TableText"/>
            </w:pPr>
            <w:r w:rsidRPr="000449D1">
              <w:t>Computational method</w:t>
            </w:r>
          </w:p>
        </w:tc>
        <w:tc>
          <w:tcPr>
            <w:tcW w:w="6985" w:type="dxa"/>
          </w:tcPr>
          <w:p w14:paraId="1F7A3EBC" w14:textId="77777777" w:rsidR="0093732A" w:rsidRPr="00AA4403" w:rsidRDefault="0093732A">
            <w:pPr>
              <w:pStyle w:val="TableText"/>
            </w:pPr>
            <w:r w:rsidRPr="00AA4403">
              <w:rPr>
                <w:rFonts w:hint="eastAsia"/>
              </w:rPr>
              <w:t xml:space="preserve">Decision tree model and Markov model </w:t>
            </w:r>
          </w:p>
        </w:tc>
      </w:tr>
      <w:tr w:rsidR="0093732A" w:rsidRPr="000449D1" w14:paraId="425FD9E8" w14:textId="77777777" w:rsidTr="422CAA86">
        <w:tc>
          <w:tcPr>
            <w:tcW w:w="2082" w:type="dxa"/>
          </w:tcPr>
          <w:p w14:paraId="43D5637B" w14:textId="77777777" w:rsidR="0093732A" w:rsidRPr="000449D1" w:rsidRDefault="0093732A">
            <w:pPr>
              <w:pStyle w:val="TableText"/>
            </w:pPr>
            <w:r w:rsidRPr="000449D1">
              <w:t>Generation of the base case</w:t>
            </w:r>
          </w:p>
        </w:tc>
        <w:tc>
          <w:tcPr>
            <w:tcW w:w="6985" w:type="dxa"/>
          </w:tcPr>
          <w:p w14:paraId="6C5635EE" w14:textId="77777777" w:rsidR="0093732A" w:rsidRPr="000449D1" w:rsidRDefault="0093732A">
            <w:pPr>
              <w:pStyle w:val="TableText"/>
            </w:pPr>
            <w:r>
              <w:rPr>
                <w:rFonts w:hint="eastAsia"/>
              </w:rPr>
              <w:t>Modelled</w:t>
            </w:r>
          </w:p>
        </w:tc>
      </w:tr>
      <w:tr w:rsidR="0093732A" w:rsidRPr="000449D1" w14:paraId="0DE04FAD" w14:textId="77777777" w:rsidTr="422CAA86">
        <w:tc>
          <w:tcPr>
            <w:tcW w:w="2082" w:type="dxa"/>
          </w:tcPr>
          <w:p w14:paraId="7237693A" w14:textId="77777777" w:rsidR="0093732A" w:rsidRPr="000449D1" w:rsidRDefault="0093732A">
            <w:pPr>
              <w:pStyle w:val="TableText"/>
            </w:pPr>
            <w:r w:rsidRPr="000449D1">
              <w:t>Health states</w:t>
            </w:r>
          </w:p>
        </w:tc>
        <w:tc>
          <w:tcPr>
            <w:tcW w:w="6985" w:type="dxa"/>
          </w:tcPr>
          <w:p w14:paraId="52CCCF01" w14:textId="77777777" w:rsidR="0093732A" w:rsidRDefault="0093732A">
            <w:pPr>
              <w:pStyle w:val="TableText"/>
            </w:pPr>
            <w:r>
              <w:rPr>
                <w:rFonts w:hint="eastAsia"/>
              </w:rPr>
              <w:t xml:space="preserve">Decision tree terminal states: </w:t>
            </w:r>
          </w:p>
          <w:p w14:paraId="162E39CD" w14:textId="77777777" w:rsidR="0093732A" w:rsidRDefault="0093732A" w:rsidP="00A71A47">
            <w:pPr>
              <w:pStyle w:val="TableText"/>
              <w:numPr>
                <w:ilvl w:val="0"/>
                <w:numId w:val="14"/>
              </w:numPr>
            </w:pPr>
            <w:r>
              <w:rPr>
                <w:rFonts w:hint="eastAsia"/>
              </w:rPr>
              <w:t xml:space="preserve">No CBZ/OXC-induced SJS-TEN/DRESS </w:t>
            </w:r>
            <w:r>
              <w:t>–</w:t>
            </w:r>
            <w:r>
              <w:rPr>
                <w:rFonts w:hint="eastAsia"/>
              </w:rPr>
              <w:t xml:space="preserve"> CBZ/OXC </w:t>
            </w:r>
            <w:r>
              <w:t>treatment</w:t>
            </w:r>
            <w:r>
              <w:rPr>
                <w:rFonts w:hint="eastAsia"/>
              </w:rPr>
              <w:t xml:space="preserve"> continued</w:t>
            </w:r>
          </w:p>
          <w:p w14:paraId="066C1830" w14:textId="795F0CD8" w:rsidR="0093732A" w:rsidRDefault="0093732A" w:rsidP="00A71A47">
            <w:pPr>
              <w:pStyle w:val="TableText"/>
              <w:numPr>
                <w:ilvl w:val="0"/>
                <w:numId w:val="14"/>
              </w:numPr>
            </w:pPr>
            <w:r>
              <w:rPr>
                <w:rFonts w:hint="eastAsia"/>
              </w:rPr>
              <w:t xml:space="preserve">CBZ/OXC-induced SJS-TEN/DRESS </w:t>
            </w:r>
            <w:r>
              <w:t>–</w:t>
            </w:r>
            <w:r>
              <w:rPr>
                <w:rFonts w:hint="eastAsia"/>
              </w:rPr>
              <w:t xml:space="preserve"> alter</w:t>
            </w:r>
            <w:r w:rsidR="00D64654">
              <w:t>n</w:t>
            </w:r>
            <w:r>
              <w:rPr>
                <w:rFonts w:hint="eastAsia"/>
              </w:rPr>
              <w:t>ative treatment</w:t>
            </w:r>
          </w:p>
          <w:p w14:paraId="7BE88B14" w14:textId="2AC9F9D0" w:rsidR="0093732A" w:rsidRPr="000A5860" w:rsidRDefault="0093732A" w:rsidP="00A71A47">
            <w:pPr>
              <w:pStyle w:val="TableText"/>
              <w:numPr>
                <w:ilvl w:val="0"/>
                <w:numId w:val="14"/>
              </w:numPr>
            </w:pPr>
            <w:r w:rsidRPr="422CAA86">
              <w:t xml:space="preserve">Carriers identified by </w:t>
            </w:r>
            <w:r w:rsidR="003975F2" w:rsidRPr="003975F2">
              <w:rPr>
                <w:i/>
                <w:iCs/>
              </w:rPr>
              <w:t xml:space="preserve">HLA-A*31:01 </w:t>
            </w:r>
            <w:r w:rsidRPr="422CAA86">
              <w:t xml:space="preserve">and/or </w:t>
            </w:r>
            <w:r w:rsidR="003975F2" w:rsidRPr="003975F2">
              <w:rPr>
                <w:i/>
                <w:iCs/>
              </w:rPr>
              <w:t xml:space="preserve">HLA-B*15:02 </w:t>
            </w:r>
            <w:r w:rsidRPr="422CAA86">
              <w:t>genotyping – alternative treatment</w:t>
            </w:r>
          </w:p>
          <w:p w14:paraId="232C6D76" w14:textId="77777777" w:rsidR="0093732A" w:rsidRDefault="0093732A">
            <w:pPr>
              <w:pStyle w:val="TableText"/>
            </w:pPr>
            <w:r>
              <w:t>H</w:t>
            </w:r>
            <w:r>
              <w:rPr>
                <w:rFonts w:hint="eastAsia"/>
              </w:rPr>
              <w:t>ealth states in the Markov model</w:t>
            </w:r>
            <w:r>
              <w:rPr>
                <w:rFonts w:eastAsiaTheme="minorEastAsia" w:hint="eastAsia"/>
              </w:rPr>
              <w:t xml:space="preserve"> (for epilepsy)</w:t>
            </w:r>
            <w:r>
              <w:rPr>
                <w:rFonts w:hint="eastAsia"/>
              </w:rPr>
              <w:t>:</w:t>
            </w:r>
          </w:p>
          <w:p w14:paraId="7A70109F" w14:textId="77777777" w:rsidR="0093732A" w:rsidRDefault="0093732A" w:rsidP="00A71A47">
            <w:pPr>
              <w:pStyle w:val="TableText"/>
              <w:numPr>
                <w:ilvl w:val="0"/>
                <w:numId w:val="12"/>
              </w:numPr>
            </w:pPr>
            <w:r>
              <w:rPr>
                <w:rFonts w:hint="eastAsia"/>
              </w:rPr>
              <w:t>Uncontrolled epilepsy</w:t>
            </w:r>
          </w:p>
          <w:p w14:paraId="383A8BEA" w14:textId="77777777" w:rsidR="0093732A" w:rsidRDefault="0093732A" w:rsidP="00A71A47">
            <w:pPr>
              <w:pStyle w:val="TableText"/>
              <w:numPr>
                <w:ilvl w:val="0"/>
                <w:numId w:val="12"/>
              </w:numPr>
            </w:pPr>
            <w:r>
              <w:rPr>
                <w:rFonts w:hint="eastAsia"/>
              </w:rPr>
              <w:t>Remission</w:t>
            </w:r>
          </w:p>
          <w:p w14:paraId="39165611" w14:textId="77777777" w:rsidR="0093732A" w:rsidRPr="00906D11" w:rsidRDefault="0093732A" w:rsidP="00A71A47">
            <w:pPr>
              <w:pStyle w:val="TableText"/>
              <w:numPr>
                <w:ilvl w:val="0"/>
                <w:numId w:val="12"/>
              </w:numPr>
            </w:pPr>
            <w:r>
              <w:rPr>
                <w:rFonts w:hint="eastAsia"/>
              </w:rPr>
              <w:t>Death</w:t>
            </w:r>
          </w:p>
          <w:p w14:paraId="28F09DA6" w14:textId="77777777" w:rsidR="0093732A" w:rsidRDefault="0093732A">
            <w:pPr>
              <w:pStyle w:val="TableText"/>
              <w:rPr>
                <w:rFonts w:eastAsiaTheme="minorEastAsia"/>
              </w:rPr>
            </w:pPr>
            <w:r>
              <w:rPr>
                <w:rFonts w:eastAsiaTheme="minorEastAsia" w:hint="eastAsia"/>
              </w:rPr>
              <w:t>Health states in the Markov model (for TN):</w:t>
            </w:r>
          </w:p>
          <w:p w14:paraId="31DCAA1E" w14:textId="77777777" w:rsidR="0093732A" w:rsidRPr="00906D11" w:rsidRDefault="0093732A" w:rsidP="00A71A47">
            <w:pPr>
              <w:pStyle w:val="TableText"/>
              <w:numPr>
                <w:ilvl w:val="0"/>
                <w:numId w:val="16"/>
              </w:numPr>
            </w:pPr>
            <w:r>
              <w:rPr>
                <w:rFonts w:eastAsiaTheme="minorEastAsia" w:hint="eastAsia"/>
              </w:rPr>
              <w:t>Uncontrolled pain</w:t>
            </w:r>
          </w:p>
          <w:p w14:paraId="79771F4E" w14:textId="77777777" w:rsidR="0093732A" w:rsidRPr="00906D11" w:rsidRDefault="0093732A" w:rsidP="00A71A47">
            <w:pPr>
              <w:pStyle w:val="TableText"/>
              <w:numPr>
                <w:ilvl w:val="0"/>
                <w:numId w:val="16"/>
              </w:numPr>
            </w:pPr>
            <w:r>
              <w:rPr>
                <w:rFonts w:eastAsiaTheme="minorEastAsia" w:hint="eastAsia"/>
              </w:rPr>
              <w:t>Controlled pain</w:t>
            </w:r>
          </w:p>
          <w:p w14:paraId="69F8EE71" w14:textId="77777777" w:rsidR="0093732A" w:rsidRPr="008E3293" w:rsidRDefault="0093732A" w:rsidP="00A71A47">
            <w:pPr>
              <w:pStyle w:val="TableText"/>
              <w:numPr>
                <w:ilvl w:val="0"/>
                <w:numId w:val="16"/>
              </w:numPr>
            </w:pPr>
            <w:r>
              <w:rPr>
                <w:rFonts w:eastAsiaTheme="minorEastAsia" w:hint="eastAsia"/>
              </w:rPr>
              <w:t>Death</w:t>
            </w:r>
          </w:p>
        </w:tc>
      </w:tr>
      <w:tr w:rsidR="0093732A" w:rsidRPr="000449D1" w14:paraId="3562C38D" w14:textId="77777777" w:rsidTr="422CAA86">
        <w:tc>
          <w:tcPr>
            <w:tcW w:w="2082" w:type="dxa"/>
          </w:tcPr>
          <w:p w14:paraId="715D6587" w14:textId="77777777" w:rsidR="0093732A" w:rsidRPr="000449D1" w:rsidRDefault="0093732A">
            <w:pPr>
              <w:pStyle w:val="TableText"/>
            </w:pPr>
            <w:r>
              <w:t>Age</w:t>
            </w:r>
          </w:p>
        </w:tc>
        <w:tc>
          <w:tcPr>
            <w:tcW w:w="6985" w:type="dxa"/>
          </w:tcPr>
          <w:p w14:paraId="270CE966" w14:textId="44C9045E" w:rsidR="0093732A" w:rsidRPr="00F16E43" w:rsidRDefault="0093732A">
            <w:pPr>
              <w:pStyle w:val="TableText"/>
            </w:pPr>
            <w:r w:rsidRPr="00236170">
              <w:t>5 (average age at diagnosis 4.3 years)</w:t>
            </w:r>
            <w:r>
              <w:t xml:space="preserve"> </w:t>
            </w:r>
            <w:r w:rsidR="00E258AF">
              <w:fldChar w:fldCharType="begin"/>
            </w:r>
            <w:r w:rsidR="00E258AF">
              <w:instrText xml:space="preserve"> ADDIN EN.CITE &lt;EndNote&gt;&lt;Cite&gt;&lt;Author&gt;Berg&lt;/Author&gt;&lt;Year&gt;2012&lt;/Year&gt;&lt;RecNum&gt;37&lt;/RecNum&gt;&lt;DisplayText&gt;(Berg et al., 2012)&lt;/DisplayText&gt;&lt;record&gt;&lt;rec-number&gt;37&lt;/rec-number&gt;&lt;foreign-keys&gt;&lt;key app="EN" db-id="5aadsstv3sv996esway5vazsepfefazvfdps" timestamp="1730911361"&gt;37&lt;/key&gt;&lt;/foreign-keys&gt;&lt;ref-type name="Journal Article"&gt;17&lt;/ref-type&gt;&lt;contributors&gt;&lt;authors&gt;&lt;author&gt;Berg, Anne T&lt;/author&gt;&lt;author&gt;Zelko, Frank A&lt;/author&gt;&lt;author&gt;Levy, Susan R&lt;/author&gt;&lt;author&gt;Testa, Francine M&lt;/author&gt;&lt;/authors&gt;&lt;/contributors&gt;&lt;titles&gt;&lt;title&gt;Age at onset of epilepsy, pharmacoresistance, and cognitive outcomes: a prospective cohort study&lt;/title&gt;&lt;secondary-title&gt;Neurology&lt;/secondary-title&gt;&lt;/titles&gt;&lt;periodical&gt;&lt;full-title&gt;Neurology&lt;/full-title&gt;&lt;/periodical&gt;&lt;pages&gt;1384-1391&lt;/pages&gt;&lt;volume&gt;79&lt;/volume&gt;&lt;number&gt;13&lt;/number&gt;&lt;dates&gt;&lt;year&gt;2012&lt;/year&gt;&lt;/dates&gt;&lt;isbn&gt;0028-3878&lt;/isbn&gt;&lt;urls&gt;&lt;/urls&gt;&lt;/record&gt;&lt;/Cite&gt;&lt;/EndNote&gt;</w:instrText>
            </w:r>
            <w:r w:rsidR="00E258AF">
              <w:fldChar w:fldCharType="separate"/>
            </w:r>
            <w:r w:rsidR="00E258AF">
              <w:rPr>
                <w:noProof/>
              </w:rPr>
              <w:t>(Berg et al., 2012</w:t>
            </w:r>
            <w:r w:rsidR="00C176B9">
              <w:rPr>
                <w:rStyle w:val="FootnoteReference"/>
                <w:noProof/>
              </w:rPr>
              <w:footnoteReference w:id="14"/>
            </w:r>
            <w:r w:rsidR="00E258AF">
              <w:rPr>
                <w:noProof/>
              </w:rPr>
              <w:t>)</w:t>
            </w:r>
            <w:r w:rsidR="00E258AF">
              <w:fldChar w:fldCharType="end"/>
            </w:r>
            <w:r w:rsidR="0052513F">
              <w:t>. However age was not explicitly included in the model as there were no variables that differed by age</w:t>
            </w:r>
          </w:p>
        </w:tc>
      </w:tr>
      <w:tr w:rsidR="0093732A" w:rsidRPr="000449D1" w14:paraId="4BBADF50" w14:textId="77777777" w:rsidTr="422CAA86">
        <w:tc>
          <w:tcPr>
            <w:tcW w:w="2082" w:type="dxa"/>
          </w:tcPr>
          <w:p w14:paraId="28F4B55E" w14:textId="77777777" w:rsidR="0093732A" w:rsidRPr="000449D1" w:rsidRDefault="0093732A">
            <w:pPr>
              <w:pStyle w:val="TableText"/>
            </w:pPr>
            <w:r w:rsidRPr="000449D1">
              <w:t>Cycle length</w:t>
            </w:r>
          </w:p>
        </w:tc>
        <w:tc>
          <w:tcPr>
            <w:tcW w:w="6985" w:type="dxa"/>
          </w:tcPr>
          <w:p w14:paraId="4EDE9304" w14:textId="77777777" w:rsidR="0093732A" w:rsidRPr="00F16E43" w:rsidRDefault="0093732A">
            <w:pPr>
              <w:pStyle w:val="TableText"/>
            </w:pPr>
            <w:r w:rsidRPr="00F16E43">
              <w:rPr>
                <w:rFonts w:hint="eastAsia"/>
              </w:rPr>
              <w:t>1 year</w:t>
            </w:r>
            <w:r>
              <w:rPr>
                <w:rFonts w:hint="eastAsia"/>
              </w:rPr>
              <w:t xml:space="preserve"> with half-cycle correction</w:t>
            </w:r>
          </w:p>
        </w:tc>
      </w:tr>
      <w:tr w:rsidR="0093732A" w:rsidRPr="000449D1" w14:paraId="7CDD5E0D" w14:textId="77777777" w:rsidTr="422CAA86">
        <w:tc>
          <w:tcPr>
            <w:tcW w:w="2082" w:type="dxa"/>
          </w:tcPr>
          <w:p w14:paraId="5B15D840" w14:textId="68F527BE" w:rsidR="0093732A" w:rsidRPr="000449D1" w:rsidRDefault="0093732A">
            <w:pPr>
              <w:pStyle w:val="TableText"/>
            </w:pPr>
            <w:r w:rsidRPr="000449D1">
              <w:lastRenderedPageBreak/>
              <w:t>Transition probabilities</w:t>
            </w:r>
          </w:p>
        </w:tc>
        <w:tc>
          <w:tcPr>
            <w:tcW w:w="6985" w:type="dxa"/>
          </w:tcPr>
          <w:p w14:paraId="7016076F" w14:textId="77777777" w:rsidR="0093732A" w:rsidRDefault="0093732A">
            <w:pPr>
              <w:pStyle w:val="TableText"/>
              <w:rPr>
                <w:rFonts w:eastAsiaTheme="minorEastAsia"/>
              </w:rPr>
            </w:pPr>
            <w:r w:rsidRPr="00BA33E6">
              <w:rPr>
                <w:rFonts w:hint="eastAsia"/>
              </w:rPr>
              <w:t xml:space="preserve">All transition probabilities were from the clinical evidence (Section 2), </w:t>
            </w:r>
            <w:r w:rsidRPr="00BA33E6">
              <w:t>published</w:t>
            </w:r>
            <w:r w:rsidRPr="00BA33E6">
              <w:rPr>
                <w:rFonts w:hint="eastAsia"/>
              </w:rPr>
              <w:t xml:space="preserve"> </w:t>
            </w:r>
            <w:r w:rsidRPr="00BA33E6">
              <w:t>literature</w:t>
            </w:r>
            <w:r w:rsidRPr="00BA33E6">
              <w:rPr>
                <w:rFonts w:hint="eastAsia"/>
              </w:rPr>
              <w:t xml:space="preserve"> and assumptions: </w:t>
            </w:r>
          </w:p>
          <w:tbl>
            <w:tblPr>
              <w:tblStyle w:val="TableGrid1"/>
              <w:tblW w:w="5000" w:type="pct"/>
              <w:tblCellMar>
                <w:top w:w="57" w:type="dxa"/>
                <w:left w:w="28" w:type="dxa"/>
                <w:bottom w:w="57" w:type="dxa"/>
                <w:right w:w="28" w:type="dxa"/>
              </w:tblCellMar>
              <w:tblLook w:val="04A0" w:firstRow="1" w:lastRow="0" w:firstColumn="1" w:lastColumn="0" w:noHBand="0" w:noVBand="1"/>
              <w:tblCaption w:val="Summary of the inputs used in the economic evaluation "/>
              <w:tblDescription w:val="Summary of the inputs used in the economic evaluation "/>
            </w:tblPr>
            <w:tblGrid>
              <w:gridCol w:w="1926"/>
              <w:gridCol w:w="956"/>
              <w:gridCol w:w="3877"/>
            </w:tblGrid>
            <w:tr w:rsidR="004024AC" w:rsidRPr="00CE28E3" w14:paraId="34605F4C" w14:textId="77777777" w:rsidTr="422CAA86">
              <w:trPr>
                <w:cnfStyle w:val="100000000000" w:firstRow="1" w:lastRow="0" w:firstColumn="0" w:lastColumn="0" w:oddVBand="0" w:evenVBand="0" w:oddHBand="0" w:evenHBand="0" w:firstRowFirstColumn="0" w:firstRowLastColumn="0" w:lastRowFirstColumn="0" w:lastRowLastColumn="0"/>
                <w:tblHeader/>
              </w:trPr>
              <w:tc>
                <w:tcPr>
                  <w:tcW w:w="1425" w:type="pct"/>
                  <w:tcBorders>
                    <w:bottom w:val="single" w:sz="4" w:space="0" w:color="auto"/>
                  </w:tcBorders>
                  <w:shd w:val="clear" w:color="auto" w:fill="D9D9D9" w:themeFill="background1" w:themeFillShade="D9"/>
                </w:tcPr>
                <w:p w14:paraId="53196528" w14:textId="77777777" w:rsidR="00FF27DA" w:rsidRPr="003D3843" w:rsidRDefault="00FF27DA" w:rsidP="003D3843">
                  <w:pPr>
                    <w:pStyle w:val="TableHeading"/>
                    <w:spacing w:before="0" w:after="0"/>
                    <w:rPr>
                      <w:szCs w:val="20"/>
                    </w:rPr>
                  </w:pPr>
                  <w:r w:rsidRPr="003D3843">
                    <w:rPr>
                      <w:szCs w:val="20"/>
                    </w:rPr>
                    <w:t>Parameter</w:t>
                  </w:r>
                </w:p>
              </w:tc>
              <w:tc>
                <w:tcPr>
                  <w:tcW w:w="707" w:type="pct"/>
                  <w:tcBorders>
                    <w:bottom w:val="single" w:sz="4" w:space="0" w:color="auto"/>
                  </w:tcBorders>
                  <w:shd w:val="clear" w:color="auto" w:fill="D9D9D9" w:themeFill="background1" w:themeFillShade="D9"/>
                </w:tcPr>
                <w:p w14:paraId="104A9E0E" w14:textId="77777777" w:rsidR="00FF27DA" w:rsidRPr="003D3843" w:rsidRDefault="00FF27DA" w:rsidP="003D3843">
                  <w:pPr>
                    <w:pStyle w:val="TableHeading"/>
                    <w:spacing w:before="0" w:after="0"/>
                    <w:rPr>
                      <w:szCs w:val="20"/>
                    </w:rPr>
                  </w:pPr>
                  <w:r w:rsidRPr="003D3843">
                    <w:rPr>
                      <w:szCs w:val="20"/>
                    </w:rPr>
                    <w:t>Value</w:t>
                  </w:r>
                </w:p>
              </w:tc>
              <w:tc>
                <w:tcPr>
                  <w:tcW w:w="2868" w:type="pct"/>
                  <w:tcBorders>
                    <w:bottom w:val="single" w:sz="4" w:space="0" w:color="auto"/>
                  </w:tcBorders>
                  <w:shd w:val="clear" w:color="auto" w:fill="D9D9D9" w:themeFill="background1" w:themeFillShade="D9"/>
                </w:tcPr>
                <w:p w14:paraId="199E2F7E" w14:textId="77777777" w:rsidR="00FF27DA" w:rsidRPr="003D3843" w:rsidRDefault="00FF27DA" w:rsidP="003D3843">
                  <w:pPr>
                    <w:pStyle w:val="TableHeading"/>
                    <w:spacing w:before="0" w:after="0"/>
                    <w:rPr>
                      <w:szCs w:val="20"/>
                      <w:highlight w:val="cyan"/>
                    </w:rPr>
                  </w:pPr>
                  <w:r w:rsidRPr="003D3843">
                    <w:rPr>
                      <w:szCs w:val="20"/>
                    </w:rPr>
                    <w:t>Source</w:t>
                  </w:r>
                </w:p>
              </w:tc>
            </w:tr>
            <w:tr w:rsidR="004024AC" w:rsidRPr="00CE28E3" w14:paraId="4C115C3A" w14:textId="77777777" w:rsidTr="422CAA86">
              <w:tc>
                <w:tcPr>
                  <w:tcW w:w="1425" w:type="pct"/>
                  <w:tcBorders>
                    <w:bottom w:val="single" w:sz="4" w:space="0" w:color="auto"/>
                  </w:tcBorders>
                </w:tcPr>
                <w:p w14:paraId="1E879A6C" w14:textId="77777777" w:rsidR="00FF27DA" w:rsidRPr="003D3843" w:rsidRDefault="00FF27DA" w:rsidP="003D3843">
                  <w:pPr>
                    <w:pStyle w:val="TableText"/>
                    <w:spacing w:before="0" w:after="0"/>
                    <w:rPr>
                      <w:rFonts w:eastAsiaTheme="minorEastAsia"/>
                      <w:szCs w:val="20"/>
                    </w:rPr>
                  </w:pPr>
                  <w:r w:rsidRPr="003D3843">
                    <w:rPr>
                      <w:rFonts w:eastAsiaTheme="minorEastAsia"/>
                      <w:szCs w:val="20"/>
                    </w:rPr>
                    <w:t>For both indications</w:t>
                  </w:r>
                </w:p>
              </w:tc>
              <w:tc>
                <w:tcPr>
                  <w:tcW w:w="707" w:type="pct"/>
                  <w:tcBorders>
                    <w:bottom w:val="single" w:sz="4" w:space="0" w:color="auto"/>
                  </w:tcBorders>
                </w:tcPr>
                <w:p w14:paraId="533BE019" w14:textId="77777777" w:rsidR="00FF27DA" w:rsidRPr="003D3843" w:rsidRDefault="00FF27DA" w:rsidP="003D3843">
                  <w:pPr>
                    <w:pStyle w:val="TableText"/>
                    <w:spacing w:before="0" w:after="0"/>
                    <w:rPr>
                      <w:szCs w:val="20"/>
                    </w:rPr>
                  </w:pPr>
                </w:p>
              </w:tc>
              <w:tc>
                <w:tcPr>
                  <w:tcW w:w="2868" w:type="pct"/>
                  <w:tcBorders>
                    <w:bottom w:val="single" w:sz="4" w:space="0" w:color="auto"/>
                  </w:tcBorders>
                </w:tcPr>
                <w:p w14:paraId="3B110822" w14:textId="77777777" w:rsidR="00FF27DA" w:rsidRPr="003D3843" w:rsidRDefault="00FF27DA" w:rsidP="003D3843">
                  <w:pPr>
                    <w:pStyle w:val="TableText"/>
                    <w:spacing w:before="0" w:after="0"/>
                    <w:rPr>
                      <w:rFonts w:eastAsiaTheme="minorEastAsia"/>
                      <w:szCs w:val="20"/>
                    </w:rPr>
                  </w:pPr>
                </w:p>
              </w:tc>
            </w:tr>
            <w:tr w:rsidR="004024AC" w:rsidRPr="00CE28E3" w14:paraId="5FED6842" w14:textId="77777777" w:rsidTr="422CAA86">
              <w:tc>
                <w:tcPr>
                  <w:tcW w:w="1425" w:type="pct"/>
                  <w:tcBorders>
                    <w:bottom w:val="single" w:sz="4" w:space="0" w:color="auto"/>
                  </w:tcBorders>
                </w:tcPr>
                <w:p w14:paraId="03D831FB" w14:textId="77777777" w:rsidR="00FF27DA" w:rsidRPr="003D3843" w:rsidRDefault="00FF27DA" w:rsidP="003D3843">
                  <w:pPr>
                    <w:pStyle w:val="TableText"/>
                    <w:spacing w:before="0" w:after="0"/>
                    <w:rPr>
                      <w:szCs w:val="20"/>
                    </w:rPr>
                  </w:pPr>
                  <w:r w:rsidRPr="003D3843">
                    <w:rPr>
                      <w:szCs w:val="20"/>
                    </w:rPr>
                    <w:t xml:space="preserve">Probability of death due to </w:t>
                  </w:r>
                  <w:r w:rsidRPr="003D3843">
                    <w:rPr>
                      <w:rFonts w:eastAsiaTheme="minorEastAsia"/>
                      <w:szCs w:val="20"/>
                    </w:rPr>
                    <w:t>CBZ/OXC</w:t>
                  </w:r>
                  <w:r w:rsidRPr="003D3843">
                    <w:rPr>
                      <w:szCs w:val="20"/>
                    </w:rPr>
                    <w:t xml:space="preserve">-induced SJS-TEN/DRESS </w:t>
                  </w:r>
                </w:p>
              </w:tc>
              <w:tc>
                <w:tcPr>
                  <w:tcW w:w="707" w:type="pct"/>
                  <w:tcBorders>
                    <w:bottom w:val="single" w:sz="4" w:space="0" w:color="auto"/>
                  </w:tcBorders>
                </w:tcPr>
                <w:p w14:paraId="18021160" w14:textId="77777777" w:rsidR="00FF27DA" w:rsidRPr="003D3843" w:rsidRDefault="00FF27DA" w:rsidP="003D3843">
                  <w:pPr>
                    <w:pStyle w:val="TableText"/>
                    <w:spacing w:before="0" w:after="0"/>
                    <w:rPr>
                      <w:rFonts w:eastAsiaTheme="minorEastAsia"/>
                      <w:szCs w:val="20"/>
                    </w:rPr>
                  </w:pPr>
                  <w:r w:rsidRPr="003D3843">
                    <w:rPr>
                      <w:szCs w:val="20"/>
                    </w:rPr>
                    <w:t>0.111</w:t>
                  </w:r>
                  <w:r w:rsidRPr="003D3843">
                    <w:rPr>
                      <w:rFonts w:eastAsiaTheme="minorEastAsia"/>
                      <w:szCs w:val="20"/>
                    </w:rPr>
                    <w:t>4</w:t>
                  </w:r>
                </w:p>
              </w:tc>
              <w:tc>
                <w:tcPr>
                  <w:tcW w:w="2868" w:type="pct"/>
                  <w:tcBorders>
                    <w:bottom w:val="single" w:sz="4" w:space="0" w:color="auto"/>
                  </w:tcBorders>
                </w:tcPr>
                <w:p w14:paraId="22614347" w14:textId="77777777" w:rsidR="00FF27DA" w:rsidRPr="003D3843" w:rsidRDefault="00FF27DA" w:rsidP="003D3843">
                  <w:pPr>
                    <w:pStyle w:val="TableText"/>
                    <w:spacing w:before="0" w:after="0"/>
                    <w:rPr>
                      <w:rFonts w:eastAsiaTheme="minorEastAsia"/>
                      <w:szCs w:val="20"/>
                    </w:rPr>
                  </w:pPr>
                  <w:r w:rsidRPr="003D3843">
                    <w:rPr>
                      <w:rFonts w:eastAsiaTheme="minorEastAsia"/>
                      <w:szCs w:val="20"/>
                    </w:rPr>
                    <w:t>C</w:t>
                  </w:r>
                  <w:r w:rsidRPr="003D3843">
                    <w:rPr>
                      <w:szCs w:val="20"/>
                    </w:rPr>
                    <w:t>alculated</w:t>
                  </w:r>
                  <w:r w:rsidRPr="003D3843">
                    <w:rPr>
                      <w:rFonts w:eastAsiaTheme="minorEastAsia"/>
                      <w:szCs w:val="20"/>
                    </w:rPr>
                    <w:t xml:space="preserve"> estimate (detailed calculation presented in Section 3A.2.4) </w:t>
                  </w:r>
                </w:p>
              </w:tc>
            </w:tr>
            <w:tr w:rsidR="004024AC" w:rsidRPr="00CE28E3" w14:paraId="706F9AA3" w14:textId="77777777" w:rsidTr="422CAA86">
              <w:tc>
                <w:tcPr>
                  <w:tcW w:w="1425" w:type="pct"/>
                  <w:tcBorders>
                    <w:bottom w:val="single" w:sz="4" w:space="0" w:color="auto"/>
                  </w:tcBorders>
                </w:tcPr>
                <w:p w14:paraId="36CB76A6" w14:textId="3CB9BC76" w:rsidR="00FF27DA" w:rsidRPr="003D3843" w:rsidRDefault="00FF27DA" w:rsidP="003D3843">
                  <w:pPr>
                    <w:pStyle w:val="TableText"/>
                    <w:spacing w:before="0" w:after="0"/>
                    <w:rPr>
                      <w:rFonts w:eastAsiaTheme="minorEastAsia"/>
                      <w:szCs w:val="20"/>
                    </w:rPr>
                  </w:pPr>
                  <w:r w:rsidRPr="003D3843">
                    <w:rPr>
                      <w:szCs w:val="20"/>
                    </w:rPr>
                    <w:t xml:space="preserve">Probability of people who carry at least one of the </w:t>
                  </w:r>
                  <w:r w:rsidR="003975F2" w:rsidRPr="003975F2">
                    <w:rPr>
                      <w:i/>
                      <w:iCs/>
                      <w:szCs w:val="20"/>
                    </w:rPr>
                    <w:t xml:space="preserve">HLA-A*31:01 </w:t>
                  </w:r>
                  <w:r w:rsidRPr="003D3843">
                    <w:rPr>
                      <w:szCs w:val="20"/>
                    </w:rPr>
                    <w:t xml:space="preserve">and </w:t>
                  </w:r>
                  <w:r w:rsidR="003975F2" w:rsidRPr="003975F2">
                    <w:rPr>
                      <w:i/>
                      <w:iCs/>
                      <w:szCs w:val="20"/>
                    </w:rPr>
                    <w:t xml:space="preserve">HLA-B*15:02 </w:t>
                  </w:r>
                  <w:r w:rsidRPr="003D3843">
                    <w:rPr>
                      <w:szCs w:val="20"/>
                    </w:rPr>
                    <w:t>alleles</w:t>
                  </w:r>
                </w:p>
              </w:tc>
              <w:tc>
                <w:tcPr>
                  <w:tcW w:w="707" w:type="pct"/>
                  <w:tcBorders>
                    <w:bottom w:val="single" w:sz="4" w:space="0" w:color="auto"/>
                  </w:tcBorders>
                </w:tcPr>
                <w:p w14:paraId="36938C28" w14:textId="77777777" w:rsidR="00FF27DA" w:rsidRPr="003D3843" w:rsidRDefault="00FF27DA" w:rsidP="003D3843">
                  <w:pPr>
                    <w:pStyle w:val="TableText"/>
                    <w:spacing w:before="0" w:after="0"/>
                    <w:rPr>
                      <w:szCs w:val="20"/>
                    </w:rPr>
                  </w:pPr>
                  <w:r w:rsidRPr="003D3843">
                    <w:rPr>
                      <w:szCs w:val="20"/>
                    </w:rPr>
                    <w:t>0.0563</w:t>
                  </w:r>
                </w:p>
              </w:tc>
              <w:tc>
                <w:tcPr>
                  <w:tcW w:w="2868" w:type="pct"/>
                  <w:tcBorders>
                    <w:bottom w:val="single" w:sz="4" w:space="0" w:color="auto"/>
                  </w:tcBorders>
                </w:tcPr>
                <w:p w14:paraId="5574A9CE" w14:textId="77777777" w:rsidR="00FF27DA" w:rsidRPr="003D3843" w:rsidRDefault="00FF27DA" w:rsidP="003D3843">
                  <w:pPr>
                    <w:pStyle w:val="TableText"/>
                    <w:spacing w:before="0" w:after="0"/>
                    <w:rPr>
                      <w:rFonts w:eastAsiaTheme="minorEastAsia"/>
                      <w:szCs w:val="20"/>
                    </w:rPr>
                  </w:pPr>
                  <w:r w:rsidRPr="003D3843">
                    <w:rPr>
                      <w:rFonts w:eastAsiaTheme="minorEastAsia"/>
                      <w:szCs w:val="20"/>
                    </w:rPr>
                    <w:t>C</w:t>
                  </w:r>
                  <w:r w:rsidRPr="003D3843">
                    <w:rPr>
                      <w:szCs w:val="20"/>
                    </w:rPr>
                    <w:t>alculated</w:t>
                  </w:r>
                  <w:r w:rsidRPr="003D3843">
                    <w:rPr>
                      <w:rFonts w:eastAsiaTheme="minorEastAsia"/>
                      <w:szCs w:val="20"/>
                    </w:rPr>
                    <w:t xml:space="preserve"> estimate (detailed calculation presented in Section 3A.2.4) </w:t>
                  </w:r>
                </w:p>
              </w:tc>
            </w:tr>
            <w:tr w:rsidR="004024AC" w:rsidRPr="00CE28E3" w14:paraId="638C92AA" w14:textId="77777777" w:rsidTr="422CAA86">
              <w:tc>
                <w:tcPr>
                  <w:tcW w:w="1425" w:type="pct"/>
                  <w:tcBorders>
                    <w:bottom w:val="single" w:sz="4" w:space="0" w:color="auto"/>
                  </w:tcBorders>
                </w:tcPr>
                <w:p w14:paraId="48B8FBE1" w14:textId="77777777" w:rsidR="00FF27DA" w:rsidRPr="003D3843" w:rsidRDefault="00FF27DA" w:rsidP="003D3843">
                  <w:pPr>
                    <w:pStyle w:val="TableText"/>
                    <w:spacing w:before="0" w:after="0"/>
                    <w:rPr>
                      <w:szCs w:val="20"/>
                    </w:rPr>
                  </w:pPr>
                  <w:r w:rsidRPr="003D3843">
                    <w:rPr>
                      <w:rFonts w:eastAsiaTheme="minorEastAsia"/>
                      <w:szCs w:val="20"/>
                    </w:rPr>
                    <w:t>PPV</w:t>
                  </w:r>
                  <w:r w:rsidRPr="003D3843">
                    <w:rPr>
                      <w:szCs w:val="20"/>
                    </w:rPr>
                    <w:t xml:space="preserve"> </w:t>
                  </w:r>
                </w:p>
              </w:tc>
              <w:tc>
                <w:tcPr>
                  <w:tcW w:w="707" w:type="pct"/>
                  <w:tcBorders>
                    <w:bottom w:val="single" w:sz="4" w:space="0" w:color="auto"/>
                  </w:tcBorders>
                </w:tcPr>
                <w:p w14:paraId="7BA3CCDD" w14:textId="77777777" w:rsidR="00FF27DA" w:rsidRPr="003D3843" w:rsidRDefault="00FF27DA" w:rsidP="003D3843">
                  <w:pPr>
                    <w:pStyle w:val="TableText"/>
                    <w:spacing w:before="0" w:after="0"/>
                    <w:rPr>
                      <w:rFonts w:eastAsiaTheme="minorEastAsia"/>
                      <w:szCs w:val="20"/>
                    </w:rPr>
                  </w:pPr>
                  <w:r w:rsidRPr="003D3843">
                    <w:rPr>
                      <w:szCs w:val="20"/>
                    </w:rPr>
                    <w:t>0.007</w:t>
                  </w:r>
                  <w:r w:rsidRPr="003D3843">
                    <w:rPr>
                      <w:rFonts w:eastAsiaTheme="minorEastAsia"/>
                      <w:szCs w:val="20"/>
                    </w:rPr>
                    <w:t>7</w:t>
                  </w:r>
                </w:p>
              </w:tc>
              <w:tc>
                <w:tcPr>
                  <w:tcW w:w="2868" w:type="pct"/>
                  <w:tcBorders>
                    <w:bottom w:val="single" w:sz="4" w:space="0" w:color="auto"/>
                  </w:tcBorders>
                </w:tcPr>
                <w:p w14:paraId="55F72A3A" w14:textId="77777777" w:rsidR="00FF27DA" w:rsidRPr="003D3843" w:rsidRDefault="00FF27DA" w:rsidP="003D3843">
                  <w:pPr>
                    <w:pStyle w:val="TableText"/>
                    <w:spacing w:before="0" w:after="0"/>
                    <w:rPr>
                      <w:rFonts w:eastAsiaTheme="minorEastAsia"/>
                      <w:szCs w:val="20"/>
                    </w:rPr>
                  </w:pPr>
                  <w:r w:rsidRPr="003D3843">
                    <w:rPr>
                      <w:rFonts w:eastAsiaTheme="minorEastAsia"/>
                      <w:szCs w:val="20"/>
                    </w:rPr>
                    <w:t>C</w:t>
                  </w:r>
                  <w:r w:rsidRPr="003D3843">
                    <w:rPr>
                      <w:szCs w:val="20"/>
                    </w:rPr>
                    <w:t>alculated</w:t>
                  </w:r>
                  <w:r w:rsidRPr="003D3843">
                    <w:rPr>
                      <w:rFonts w:eastAsiaTheme="minorEastAsia"/>
                      <w:szCs w:val="20"/>
                    </w:rPr>
                    <w:t xml:space="preserve"> estimate (detailed calculation presented in Section 3A.2.4) </w:t>
                  </w:r>
                </w:p>
              </w:tc>
            </w:tr>
            <w:tr w:rsidR="004024AC" w:rsidRPr="00CE28E3" w14:paraId="37033045" w14:textId="77777777" w:rsidTr="422CAA86">
              <w:tc>
                <w:tcPr>
                  <w:tcW w:w="1425" w:type="pct"/>
                  <w:tcBorders>
                    <w:bottom w:val="single" w:sz="4" w:space="0" w:color="auto"/>
                  </w:tcBorders>
                </w:tcPr>
                <w:p w14:paraId="75B8BF7C" w14:textId="0057A417" w:rsidR="00FF27DA" w:rsidRPr="003D3843" w:rsidRDefault="00FF27DA" w:rsidP="003D3843">
                  <w:pPr>
                    <w:pStyle w:val="TableText"/>
                    <w:spacing w:before="0" w:after="0"/>
                    <w:rPr>
                      <w:szCs w:val="20"/>
                    </w:rPr>
                  </w:pPr>
                  <w:r w:rsidRPr="003D3843">
                    <w:rPr>
                      <w:szCs w:val="20"/>
                    </w:rPr>
                    <w:t xml:space="preserve">Probability of </w:t>
                  </w:r>
                  <w:r w:rsidRPr="003D3843">
                    <w:rPr>
                      <w:rFonts w:eastAsiaTheme="minorEastAsia"/>
                      <w:szCs w:val="20"/>
                    </w:rPr>
                    <w:t>CBZ/OXC-induced</w:t>
                  </w:r>
                  <w:r w:rsidRPr="003D3843">
                    <w:rPr>
                      <w:szCs w:val="20"/>
                    </w:rPr>
                    <w:t xml:space="preserve"> SJS-TEN/DRESS </w:t>
                  </w:r>
                  <w:r w:rsidRPr="003D3843">
                    <w:rPr>
                      <w:rFonts w:eastAsiaTheme="minorEastAsia"/>
                      <w:szCs w:val="20"/>
                    </w:rPr>
                    <w:t>among</w:t>
                  </w:r>
                  <w:r w:rsidRPr="003D3843">
                    <w:rPr>
                      <w:szCs w:val="20"/>
                    </w:rPr>
                    <w:t xml:space="preserve"> non-carriers of </w:t>
                  </w:r>
                  <w:r w:rsidR="003975F2" w:rsidRPr="003975F2">
                    <w:rPr>
                      <w:i/>
                      <w:szCs w:val="20"/>
                    </w:rPr>
                    <w:t xml:space="preserve">HLA-A*31:01 </w:t>
                  </w:r>
                  <w:r w:rsidRPr="003D3843">
                    <w:rPr>
                      <w:szCs w:val="20"/>
                    </w:rPr>
                    <w:t>and</w:t>
                  </w:r>
                  <w:r w:rsidRPr="003D3843">
                    <w:rPr>
                      <w:i/>
                      <w:szCs w:val="20"/>
                    </w:rPr>
                    <w:t xml:space="preserve"> </w:t>
                  </w:r>
                  <w:r w:rsidR="003975F2" w:rsidRPr="003975F2">
                    <w:rPr>
                      <w:i/>
                      <w:szCs w:val="20"/>
                    </w:rPr>
                    <w:t xml:space="preserve">HLA-B*15:02 </w:t>
                  </w:r>
                  <w:r w:rsidRPr="003D3843">
                    <w:rPr>
                      <w:szCs w:val="20"/>
                    </w:rPr>
                    <w:t xml:space="preserve">alleles </w:t>
                  </w:r>
                </w:p>
              </w:tc>
              <w:tc>
                <w:tcPr>
                  <w:tcW w:w="707" w:type="pct"/>
                  <w:tcBorders>
                    <w:bottom w:val="single" w:sz="4" w:space="0" w:color="auto"/>
                  </w:tcBorders>
                </w:tcPr>
                <w:p w14:paraId="4B96DFD2" w14:textId="77777777" w:rsidR="00FF27DA" w:rsidRPr="003D3843" w:rsidRDefault="00FF27DA" w:rsidP="003D3843">
                  <w:pPr>
                    <w:pStyle w:val="TableText"/>
                    <w:spacing w:before="0" w:after="0"/>
                    <w:rPr>
                      <w:szCs w:val="20"/>
                    </w:rPr>
                  </w:pPr>
                  <w:r w:rsidRPr="003D3843">
                    <w:rPr>
                      <w:szCs w:val="20"/>
                    </w:rPr>
                    <w:t>0.0239</w:t>
                  </w:r>
                </w:p>
              </w:tc>
              <w:tc>
                <w:tcPr>
                  <w:tcW w:w="2868" w:type="pct"/>
                  <w:tcBorders>
                    <w:bottom w:val="single" w:sz="4" w:space="0" w:color="auto"/>
                  </w:tcBorders>
                </w:tcPr>
                <w:p w14:paraId="76156B27" w14:textId="77777777" w:rsidR="00FF27DA" w:rsidRPr="003D3843" w:rsidRDefault="00FF27DA" w:rsidP="003D3843">
                  <w:pPr>
                    <w:pStyle w:val="TableText"/>
                    <w:spacing w:before="0" w:after="0"/>
                    <w:rPr>
                      <w:rFonts w:eastAsiaTheme="minorEastAsia"/>
                      <w:szCs w:val="20"/>
                    </w:rPr>
                  </w:pPr>
                  <w:r w:rsidRPr="003D3843">
                    <w:rPr>
                      <w:rFonts w:eastAsiaTheme="minorEastAsia"/>
                      <w:szCs w:val="20"/>
                    </w:rPr>
                    <w:t>C</w:t>
                  </w:r>
                  <w:r w:rsidRPr="003D3843">
                    <w:rPr>
                      <w:szCs w:val="20"/>
                    </w:rPr>
                    <w:t>alculated</w:t>
                  </w:r>
                  <w:r w:rsidRPr="003D3843">
                    <w:rPr>
                      <w:rFonts w:eastAsiaTheme="minorEastAsia"/>
                      <w:szCs w:val="20"/>
                    </w:rPr>
                    <w:t xml:space="preserve"> estimate (detailed calculation presented in Section 3A.2.4)  </w:t>
                  </w:r>
                </w:p>
              </w:tc>
            </w:tr>
            <w:tr w:rsidR="00761D44" w:rsidRPr="00CE28E3" w14:paraId="47DDA846" w14:textId="77777777" w:rsidTr="422CAA86">
              <w:tc>
                <w:tcPr>
                  <w:tcW w:w="1425" w:type="pct"/>
                  <w:tcBorders>
                    <w:bottom w:val="single" w:sz="4" w:space="0" w:color="auto"/>
                  </w:tcBorders>
                </w:tcPr>
                <w:p w14:paraId="19EA5CA4" w14:textId="240B463D" w:rsidR="00FF27DA" w:rsidRPr="003D3843" w:rsidRDefault="00FF27DA" w:rsidP="003D3843">
                  <w:pPr>
                    <w:pStyle w:val="TableText"/>
                    <w:spacing w:before="0" w:after="0"/>
                    <w:rPr>
                      <w:szCs w:val="20"/>
                      <w:highlight w:val="cyan"/>
                    </w:rPr>
                  </w:pPr>
                  <w:r w:rsidRPr="003D3843">
                    <w:rPr>
                      <w:szCs w:val="20"/>
                    </w:rPr>
                    <w:t xml:space="preserve">Probability of </w:t>
                  </w:r>
                  <w:r w:rsidRPr="003D3843">
                    <w:rPr>
                      <w:rFonts w:eastAsiaTheme="minorEastAsia"/>
                      <w:szCs w:val="20"/>
                    </w:rPr>
                    <w:t>CBZ/OXC</w:t>
                  </w:r>
                  <w:r w:rsidRPr="003D3843">
                    <w:rPr>
                      <w:szCs w:val="20"/>
                    </w:rPr>
                    <w:t xml:space="preserve">-induced SJS-TEN/DRESS </w:t>
                  </w:r>
                </w:p>
              </w:tc>
              <w:tc>
                <w:tcPr>
                  <w:tcW w:w="707" w:type="pct"/>
                  <w:tcBorders>
                    <w:bottom w:val="single" w:sz="4" w:space="0" w:color="auto"/>
                  </w:tcBorders>
                </w:tcPr>
                <w:p w14:paraId="4EF0C8DB" w14:textId="77777777" w:rsidR="00FF27DA" w:rsidRPr="003D3843" w:rsidRDefault="00FF27DA" w:rsidP="003D3843">
                  <w:pPr>
                    <w:pStyle w:val="TableText"/>
                    <w:spacing w:before="0" w:after="0"/>
                    <w:rPr>
                      <w:rFonts w:eastAsiaTheme="minorEastAsia"/>
                      <w:szCs w:val="20"/>
                      <w:highlight w:val="cyan"/>
                    </w:rPr>
                  </w:pPr>
                  <w:r w:rsidRPr="003D3843">
                    <w:rPr>
                      <w:szCs w:val="20"/>
                    </w:rPr>
                    <w:t>2.3%</w:t>
                  </w:r>
                </w:p>
              </w:tc>
              <w:tc>
                <w:tcPr>
                  <w:tcW w:w="2868" w:type="pct"/>
                  <w:tcBorders>
                    <w:bottom w:val="single" w:sz="4" w:space="0" w:color="auto"/>
                  </w:tcBorders>
                </w:tcPr>
                <w:p w14:paraId="06566C21" w14:textId="3E051EDC" w:rsidR="00FF27DA" w:rsidRPr="003D3843" w:rsidRDefault="00FF27DA" w:rsidP="422CAA86">
                  <w:pPr>
                    <w:pStyle w:val="TableText"/>
                    <w:spacing w:before="0" w:after="0"/>
                    <w:rPr>
                      <w:rFonts w:eastAsiaTheme="minorEastAsia"/>
                    </w:rPr>
                  </w:pPr>
                  <w:r w:rsidRPr="422CAA86">
                    <w:rPr>
                      <w:rFonts w:eastAsiaTheme="minorEastAsia"/>
                    </w:rPr>
                    <w:t>The studies (identified in Section 2) had a range of between 2.3% and 25% of patients having a SCAR reaction. The 2.3% was used in the model aligning with the overall estimate of hypersensitivity reactions highlighted in the PICO (</w:t>
                  </w:r>
                  <w:hyperlink r:id="rId13">
                    <w:r w:rsidRPr="422CAA86">
                      <w:rPr>
                        <w:rStyle w:val="Hyperlink"/>
                      </w:rPr>
                      <w:t>ratified PICO</w:t>
                    </w:r>
                  </w:hyperlink>
                  <w:r w:rsidRPr="422CAA86">
                    <w:rPr>
                      <w:rFonts w:eastAsiaTheme="minorEastAsia"/>
                    </w:rPr>
                    <w:t xml:space="preserve">). </w:t>
                  </w:r>
                </w:p>
              </w:tc>
            </w:tr>
            <w:tr w:rsidR="001E175B" w:rsidRPr="00CE28E3" w14:paraId="1D652A69" w14:textId="77777777" w:rsidTr="422CAA86">
              <w:tc>
                <w:tcPr>
                  <w:tcW w:w="1425" w:type="pct"/>
                  <w:tcBorders>
                    <w:bottom w:val="single" w:sz="4" w:space="0" w:color="auto"/>
                  </w:tcBorders>
                </w:tcPr>
                <w:p w14:paraId="690CD5E0" w14:textId="77777777" w:rsidR="00FF27DA" w:rsidRPr="003D3843" w:rsidRDefault="00FF27DA" w:rsidP="003D3843">
                  <w:pPr>
                    <w:pStyle w:val="TableText"/>
                    <w:spacing w:before="0" w:after="0"/>
                    <w:rPr>
                      <w:rFonts w:eastAsiaTheme="minorEastAsia"/>
                      <w:szCs w:val="20"/>
                    </w:rPr>
                  </w:pPr>
                  <w:r w:rsidRPr="003D3843">
                    <w:rPr>
                      <w:szCs w:val="20"/>
                    </w:rPr>
                    <w:t xml:space="preserve">Proportion of </w:t>
                  </w:r>
                  <w:r w:rsidRPr="003D3843">
                    <w:rPr>
                      <w:rFonts w:eastAsiaTheme="minorEastAsia"/>
                      <w:szCs w:val="20"/>
                    </w:rPr>
                    <w:t xml:space="preserve">prescribed </w:t>
                  </w:r>
                  <w:r w:rsidRPr="003D3843">
                    <w:rPr>
                      <w:szCs w:val="20"/>
                    </w:rPr>
                    <w:t>CBZ</w:t>
                  </w:r>
                </w:p>
              </w:tc>
              <w:tc>
                <w:tcPr>
                  <w:tcW w:w="707" w:type="pct"/>
                  <w:tcBorders>
                    <w:bottom w:val="single" w:sz="4" w:space="0" w:color="auto"/>
                  </w:tcBorders>
                </w:tcPr>
                <w:p w14:paraId="2C75EF82" w14:textId="77777777" w:rsidR="00FF27DA" w:rsidRPr="003D3843" w:rsidRDefault="00FF27DA" w:rsidP="003D3843">
                  <w:pPr>
                    <w:pStyle w:val="TableText"/>
                    <w:spacing w:before="0" w:after="0"/>
                    <w:rPr>
                      <w:rFonts w:eastAsiaTheme="minorEastAsia"/>
                      <w:szCs w:val="20"/>
                    </w:rPr>
                  </w:pPr>
                  <w:r w:rsidRPr="003D3843">
                    <w:rPr>
                      <w:szCs w:val="20"/>
                    </w:rPr>
                    <w:t>0.8722</w:t>
                  </w:r>
                </w:p>
              </w:tc>
              <w:tc>
                <w:tcPr>
                  <w:tcW w:w="2868" w:type="pct"/>
                  <w:tcBorders>
                    <w:bottom w:val="single" w:sz="4" w:space="0" w:color="auto"/>
                  </w:tcBorders>
                </w:tcPr>
                <w:p w14:paraId="43720EBD" w14:textId="7638B051" w:rsidR="00FF27DA" w:rsidRPr="003D3843" w:rsidRDefault="00FF27DA" w:rsidP="422CAA86">
                  <w:pPr>
                    <w:pStyle w:val="TableText"/>
                    <w:spacing w:before="0" w:after="0"/>
                    <w:rPr>
                      <w:rFonts w:eastAsiaTheme="minorEastAsia"/>
                    </w:rPr>
                  </w:pPr>
                  <w:r w:rsidRPr="422CAA86">
                    <w:rPr>
                      <w:rFonts w:eastAsiaTheme="minorEastAsia"/>
                    </w:rPr>
                    <w:t xml:space="preserve">Assumed that </w:t>
                  </w:r>
                  <w:r w:rsidRPr="422CAA86">
                    <w:t>all patients entering into the model receiv</w:t>
                  </w:r>
                  <w:r w:rsidRPr="422CAA86">
                    <w:rPr>
                      <w:rFonts w:eastAsiaTheme="minorEastAsia"/>
                    </w:rPr>
                    <w:t>ing</w:t>
                  </w:r>
                  <w:r w:rsidRPr="422CAA86">
                    <w:t xml:space="preserve"> either CBZ or OXC unless </w:t>
                  </w:r>
                  <w:r w:rsidRPr="422CAA86">
                    <w:rPr>
                      <w:rFonts w:eastAsiaTheme="minorEastAsia"/>
                    </w:rPr>
                    <w:t xml:space="preserve">alternative treatment </w:t>
                  </w:r>
                  <w:r w:rsidRPr="422CAA86">
                    <w:t>applied due to hypersensitivity</w:t>
                  </w:r>
                  <w:r w:rsidRPr="422CAA86">
                    <w:rPr>
                      <w:rFonts w:eastAsiaTheme="minorEastAsia"/>
                    </w:rPr>
                    <w:t xml:space="preserve"> reactions. </w:t>
                  </w:r>
                </w:p>
                <w:p w14:paraId="09AC5190" w14:textId="77777777" w:rsidR="00FF27DA" w:rsidRPr="003D3843" w:rsidRDefault="00FF27DA" w:rsidP="003D3843">
                  <w:pPr>
                    <w:pStyle w:val="TableText"/>
                    <w:spacing w:before="0" w:after="0"/>
                    <w:rPr>
                      <w:rFonts w:eastAsiaTheme="minorEastAsia"/>
                      <w:szCs w:val="20"/>
                    </w:rPr>
                  </w:pPr>
                </w:p>
                <w:p w14:paraId="32C1C02E" w14:textId="77777777" w:rsidR="00FF27DA" w:rsidRPr="003D3843" w:rsidRDefault="00FF27DA" w:rsidP="003D3843">
                  <w:pPr>
                    <w:pStyle w:val="TableText"/>
                    <w:spacing w:before="0" w:after="0"/>
                    <w:rPr>
                      <w:rFonts w:eastAsiaTheme="minorEastAsia"/>
                      <w:szCs w:val="20"/>
                    </w:rPr>
                  </w:pPr>
                  <w:r w:rsidRPr="003D3843">
                    <w:rPr>
                      <w:rFonts w:eastAsiaTheme="minorEastAsia"/>
                      <w:szCs w:val="20"/>
                    </w:rPr>
                    <w:t xml:space="preserve">Pharmaceutical Benefits Schedule Item Reports – Requested PBS Items processed from July 2023 to June 2024 </w:t>
                  </w:r>
                  <w:r w:rsidRPr="003D3843">
                    <w:rPr>
                      <w:rFonts w:eastAsiaTheme="minorEastAsia"/>
                      <w:szCs w:val="20"/>
                    </w:rPr>
                    <w:fldChar w:fldCharType="begin"/>
                  </w:r>
                  <w:r w:rsidRPr="003D3843">
                    <w:rPr>
                      <w:rFonts w:eastAsiaTheme="minorEastAsia"/>
                      <w:szCs w:val="20"/>
                    </w:rPr>
                    <w:instrText xml:space="preserve"> ADDIN EN.CITE &lt;EndNote&gt;&lt;Cite&gt;&lt;Author&gt;Services Australia&lt;/Author&gt;&lt;Year&gt;2024&lt;/Year&gt;&lt;RecNum&gt;3&lt;/RecNum&gt;&lt;DisplayText&gt;(Services Australia, 2024)&lt;/DisplayText&gt;&lt;record&gt;&lt;rec-number&gt;3&lt;/rec-number&gt;&lt;foreign-keys&gt;&lt;key app="EN" db-id="9dax95e5kwwazeez2aqv0aepe0vzwrfwz50t" timestamp="1730910765"&gt;3&lt;/key&gt;&lt;/foreign-keys&gt;&lt;ref-type name="Web Page"&gt;12&lt;/ref-type&gt;&lt;contributors&gt;&lt;authors&gt;&lt;author&gt;Services Australia,&lt;/author&gt;&lt;/authors&gt;&lt;/contributors&gt;&lt;titles&gt;&lt;title&gt;Pharmaceutical Benefits Schedule Item Reports&lt;/title&gt;&lt;/titles&gt;&lt;dates&gt;&lt;year&gt;2024&lt;/year&gt;&lt;/dates&gt;&lt;publisher&gt;Australian Government&lt;/publisher&gt;&lt;urls&gt;&lt;related-urls&gt;&lt;url&gt;http://medicarestatistics.humanservices.gov.au/statistics/pbs_item.jsp&lt;/url&gt;&lt;/related-urls&gt;&lt;/urls&gt;&lt;/record&gt;&lt;/Cite&gt;&lt;/EndNote&gt;</w:instrText>
                  </w:r>
                  <w:r w:rsidRPr="003D3843">
                    <w:rPr>
                      <w:rFonts w:eastAsiaTheme="minorEastAsia"/>
                      <w:szCs w:val="20"/>
                    </w:rPr>
                    <w:fldChar w:fldCharType="separate"/>
                  </w:r>
                  <w:r w:rsidRPr="003D3843">
                    <w:rPr>
                      <w:rFonts w:eastAsiaTheme="minorEastAsia"/>
                      <w:noProof/>
                      <w:szCs w:val="20"/>
                    </w:rPr>
                    <w:t>(Services Australia, 2024)</w:t>
                  </w:r>
                  <w:r w:rsidRPr="003D3843">
                    <w:rPr>
                      <w:rFonts w:eastAsiaTheme="minorEastAsia"/>
                      <w:szCs w:val="20"/>
                    </w:rPr>
                    <w:fldChar w:fldCharType="end"/>
                  </w:r>
                  <w:r w:rsidRPr="003D3843">
                    <w:rPr>
                      <w:rFonts w:eastAsiaTheme="minorEastAsia"/>
                      <w:szCs w:val="20"/>
                    </w:rPr>
                    <w:t xml:space="preserve"> (detailed calculation presented in Section 3A.2.4) </w:t>
                  </w:r>
                </w:p>
              </w:tc>
            </w:tr>
            <w:tr w:rsidR="004024AC" w:rsidRPr="00CE28E3" w14:paraId="1E026AE1" w14:textId="77777777" w:rsidTr="422CAA86">
              <w:tc>
                <w:tcPr>
                  <w:tcW w:w="1425" w:type="pct"/>
                  <w:tcBorders>
                    <w:bottom w:val="single" w:sz="4" w:space="0" w:color="auto"/>
                  </w:tcBorders>
                </w:tcPr>
                <w:p w14:paraId="00E980DC" w14:textId="77777777" w:rsidR="00FF27DA" w:rsidRPr="003D3843" w:rsidRDefault="00FF27DA" w:rsidP="003D3843">
                  <w:pPr>
                    <w:pStyle w:val="TableText"/>
                    <w:spacing w:before="0" w:after="0"/>
                    <w:rPr>
                      <w:rFonts w:eastAsiaTheme="minorEastAsia"/>
                      <w:szCs w:val="20"/>
                    </w:rPr>
                  </w:pPr>
                  <w:r w:rsidRPr="003D3843">
                    <w:rPr>
                      <w:rFonts w:eastAsiaTheme="minorEastAsia"/>
                      <w:szCs w:val="20"/>
                    </w:rPr>
                    <w:t>Proportion of prescribed OXC</w:t>
                  </w:r>
                </w:p>
              </w:tc>
              <w:tc>
                <w:tcPr>
                  <w:tcW w:w="707" w:type="pct"/>
                  <w:tcBorders>
                    <w:bottom w:val="single" w:sz="4" w:space="0" w:color="auto"/>
                  </w:tcBorders>
                </w:tcPr>
                <w:p w14:paraId="1901325E" w14:textId="77777777" w:rsidR="00FF27DA" w:rsidRPr="003D3843" w:rsidRDefault="00FF27DA" w:rsidP="003D3843">
                  <w:pPr>
                    <w:pStyle w:val="TableText"/>
                    <w:spacing w:before="0" w:after="0"/>
                    <w:rPr>
                      <w:szCs w:val="20"/>
                    </w:rPr>
                  </w:pPr>
                  <w:r w:rsidRPr="003D3843">
                    <w:rPr>
                      <w:rFonts w:eastAsiaTheme="minorEastAsia"/>
                      <w:szCs w:val="20"/>
                    </w:rPr>
                    <w:t>0.1278</w:t>
                  </w:r>
                </w:p>
              </w:tc>
              <w:tc>
                <w:tcPr>
                  <w:tcW w:w="2868" w:type="pct"/>
                  <w:tcBorders>
                    <w:bottom w:val="single" w:sz="4" w:space="0" w:color="auto"/>
                  </w:tcBorders>
                </w:tcPr>
                <w:p w14:paraId="5DF60DB3" w14:textId="0295A82F" w:rsidR="00FF27DA" w:rsidRPr="003D3843" w:rsidRDefault="00FF27DA" w:rsidP="422CAA86">
                  <w:pPr>
                    <w:pStyle w:val="TableText"/>
                    <w:spacing w:before="0" w:after="0"/>
                    <w:rPr>
                      <w:rFonts w:eastAsiaTheme="minorEastAsia"/>
                    </w:rPr>
                  </w:pPr>
                  <w:r w:rsidRPr="422CAA86">
                    <w:rPr>
                      <w:rFonts w:eastAsiaTheme="minorEastAsia"/>
                    </w:rPr>
                    <w:t xml:space="preserve">Assumed that </w:t>
                  </w:r>
                  <w:r w:rsidRPr="422CAA86">
                    <w:t>all patients entering into the model receiv</w:t>
                  </w:r>
                  <w:r w:rsidRPr="422CAA86">
                    <w:rPr>
                      <w:rFonts w:eastAsiaTheme="minorEastAsia"/>
                    </w:rPr>
                    <w:t>ing</w:t>
                  </w:r>
                  <w:r w:rsidRPr="422CAA86">
                    <w:t xml:space="preserve"> either CBZ or OXC unless </w:t>
                  </w:r>
                  <w:r w:rsidRPr="422CAA86">
                    <w:rPr>
                      <w:rFonts w:eastAsiaTheme="minorEastAsia"/>
                    </w:rPr>
                    <w:t xml:space="preserve">alternative treatment </w:t>
                  </w:r>
                  <w:r w:rsidRPr="422CAA86">
                    <w:t>applied due to hypersensitivity</w:t>
                  </w:r>
                  <w:r w:rsidRPr="422CAA86">
                    <w:rPr>
                      <w:rFonts w:eastAsiaTheme="minorEastAsia"/>
                    </w:rPr>
                    <w:t xml:space="preserve"> reactions. 1-proportion of prescribed CBZ (0.8722)=0.1278 </w:t>
                  </w:r>
                </w:p>
              </w:tc>
            </w:tr>
            <w:tr w:rsidR="001E175B" w:rsidRPr="00CE28E3" w14:paraId="63578F0B" w14:textId="77777777" w:rsidTr="422CAA86">
              <w:tc>
                <w:tcPr>
                  <w:tcW w:w="5000" w:type="pct"/>
                  <w:gridSpan w:val="3"/>
                  <w:tcBorders>
                    <w:bottom w:val="single" w:sz="4" w:space="0" w:color="auto"/>
                  </w:tcBorders>
                </w:tcPr>
                <w:p w14:paraId="7E9F238F" w14:textId="77777777" w:rsidR="00FF27DA" w:rsidRPr="003D3843" w:rsidRDefault="00FF27DA" w:rsidP="003D3843">
                  <w:pPr>
                    <w:pStyle w:val="TableText"/>
                    <w:spacing w:before="0" w:after="0"/>
                    <w:rPr>
                      <w:rFonts w:eastAsiaTheme="minorEastAsia"/>
                      <w:szCs w:val="20"/>
                    </w:rPr>
                  </w:pPr>
                  <w:r w:rsidRPr="003D3843">
                    <w:rPr>
                      <w:rFonts w:eastAsiaTheme="minorEastAsia"/>
                      <w:szCs w:val="20"/>
                    </w:rPr>
                    <w:t>For epilepsy</w:t>
                  </w:r>
                </w:p>
              </w:tc>
            </w:tr>
            <w:tr w:rsidR="00761D44" w:rsidRPr="00CE28E3" w14:paraId="7FCE31EE" w14:textId="77777777" w:rsidTr="422CAA86">
              <w:tc>
                <w:tcPr>
                  <w:tcW w:w="1425" w:type="pct"/>
                  <w:tcBorders>
                    <w:bottom w:val="single" w:sz="4" w:space="0" w:color="auto"/>
                  </w:tcBorders>
                </w:tcPr>
                <w:p w14:paraId="14E93AFE" w14:textId="77777777" w:rsidR="00FF27DA" w:rsidRPr="003D3843" w:rsidRDefault="00FF27DA" w:rsidP="003D3843">
                  <w:pPr>
                    <w:pStyle w:val="TableText"/>
                    <w:spacing w:before="0" w:after="0"/>
                    <w:rPr>
                      <w:rFonts w:eastAsiaTheme="minorEastAsia"/>
                      <w:szCs w:val="20"/>
                    </w:rPr>
                  </w:pPr>
                  <w:r w:rsidRPr="003D3843">
                    <w:rPr>
                      <w:szCs w:val="20"/>
                    </w:rPr>
                    <w:t>Probability of death due to epilepsy</w:t>
                  </w:r>
                </w:p>
              </w:tc>
              <w:tc>
                <w:tcPr>
                  <w:tcW w:w="707" w:type="pct"/>
                  <w:tcBorders>
                    <w:bottom w:val="single" w:sz="4" w:space="0" w:color="auto"/>
                  </w:tcBorders>
                </w:tcPr>
                <w:p w14:paraId="5288CE7B" w14:textId="77777777" w:rsidR="00FF27DA" w:rsidRPr="003D3843" w:rsidRDefault="00FF27DA" w:rsidP="003D3843">
                  <w:pPr>
                    <w:pStyle w:val="TableText"/>
                    <w:spacing w:before="0" w:after="0"/>
                    <w:rPr>
                      <w:szCs w:val="20"/>
                    </w:rPr>
                  </w:pPr>
                  <w:r w:rsidRPr="003D3843">
                    <w:rPr>
                      <w:szCs w:val="20"/>
                    </w:rPr>
                    <w:t>0.00065</w:t>
                  </w:r>
                </w:p>
              </w:tc>
              <w:tc>
                <w:tcPr>
                  <w:tcW w:w="2868" w:type="pct"/>
                  <w:tcBorders>
                    <w:bottom w:val="single" w:sz="4" w:space="0" w:color="auto"/>
                  </w:tcBorders>
                </w:tcPr>
                <w:p w14:paraId="656624F7" w14:textId="77777777" w:rsidR="00FF27DA" w:rsidRPr="003D3843" w:rsidRDefault="00FF27DA" w:rsidP="003D3843">
                  <w:pPr>
                    <w:pStyle w:val="TableText"/>
                    <w:spacing w:before="0" w:after="0"/>
                    <w:rPr>
                      <w:rFonts w:eastAsiaTheme="minorEastAsia"/>
                      <w:szCs w:val="20"/>
                    </w:rPr>
                  </w:pPr>
                  <w:r w:rsidRPr="003D3843">
                    <w:rPr>
                      <w:rFonts w:eastAsiaTheme="minorEastAsia"/>
                      <w:szCs w:val="20"/>
                    </w:rPr>
                    <w:t xml:space="preserve">Assumed same as the general population. Patients entering the model at age 5 with a life expectancy of 83 </w:t>
                  </w:r>
                  <w:r w:rsidRPr="003D3843">
                    <w:rPr>
                      <w:rFonts w:eastAsiaTheme="minorEastAsia"/>
                      <w:szCs w:val="20"/>
                    </w:rPr>
                    <w:fldChar w:fldCharType="begin"/>
                  </w:r>
                  <w:r w:rsidRPr="003D3843">
                    <w:rPr>
                      <w:rFonts w:eastAsiaTheme="minorEastAsia"/>
                      <w:szCs w:val="20"/>
                    </w:rPr>
                    <w:instrText xml:space="preserve"> ADDIN EN.CITE &lt;EndNote&gt;&lt;Cite&gt;&lt;Author&gt;Australian Bureau of Statistics&lt;/Author&gt;&lt;Year&gt;2018-2020&lt;/Year&gt;&lt;RecNum&gt;42&lt;/RecNum&gt;&lt;DisplayText&gt;(Australian Bureau of Statistics, 2018-2020)&lt;/DisplayText&gt;&lt;record&gt;&lt;rec-number&gt;42&lt;/rec-number&gt;&lt;foreign-keys&gt;&lt;key app="EN" db-id="9dax95e5kwwazeez2aqv0aepe0vzwrfwz50t" timestamp="1730910765"&gt;42&lt;/key&gt;&lt;/foreign-keys&gt;&lt;ref-type name="Web Page"&gt;12&lt;/ref-type&gt;&lt;contributors&gt;&lt;authors&gt;&lt;author&gt;Australian Bureau of Statistics,&lt;/author&gt;&lt;/authors&gt;&lt;/contributors&gt;&lt;titles&gt;&lt;title&gt;Life tables&lt;/title&gt;&lt;/titles&gt;&lt;dates&gt;&lt;year&gt;2018-2020&lt;/year&gt;&lt;/dates&gt;&lt;publisher&gt;ABS&lt;/publisher&gt;&lt;urls&gt;&lt;related-urls&gt;&lt;url&gt;https://www.abs.gov.au/statistics/people/population/life-expectancy/2018-2020&lt;/url&gt;&lt;/related-urls&gt;&lt;/urls&gt;&lt;/record&gt;&lt;/Cite&gt;&lt;/EndNote&gt;</w:instrText>
                  </w:r>
                  <w:r w:rsidRPr="003D3843">
                    <w:rPr>
                      <w:rFonts w:eastAsiaTheme="minorEastAsia"/>
                      <w:szCs w:val="20"/>
                    </w:rPr>
                    <w:fldChar w:fldCharType="separate"/>
                  </w:r>
                  <w:r w:rsidRPr="003D3843">
                    <w:rPr>
                      <w:rFonts w:eastAsiaTheme="minorEastAsia"/>
                      <w:noProof/>
                      <w:szCs w:val="20"/>
                    </w:rPr>
                    <w:t>(Australian Bureau of Statistics, 2018-2020)</w:t>
                  </w:r>
                  <w:r w:rsidRPr="003D3843">
                    <w:rPr>
                      <w:rFonts w:eastAsiaTheme="minorEastAsia"/>
                      <w:szCs w:val="20"/>
                    </w:rPr>
                    <w:fldChar w:fldCharType="end"/>
                  </w:r>
                  <w:r w:rsidRPr="003D3843">
                    <w:rPr>
                      <w:rFonts w:eastAsiaTheme="minorEastAsia"/>
                      <w:szCs w:val="20"/>
                    </w:rPr>
                    <w:t>.</w:t>
                  </w:r>
                </w:p>
              </w:tc>
            </w:tr>
            <w:tr w:rsidR="00761D44" w:rsidRPr="00CE28E3" w14:paraId="2EEB635D" w14:textId="77777777" w:rsidTr="422CAA86">
              <w:tc>
                <w:tcPr>
                  <w:tcW w:w="1425" w:type="pct"/>
                  <w:tcBorders>
                    <w:bottom w:val="single" w:sz="4" w:space="0" w:color="auto"/>
                  </w:tcBorders>
                </w:tcPr>
                <w:p w14:paraId="472D04AF" w14:textId="77777777" w:rsidR="00FF27DA" w:rsidRPr="003D3843" w:rsidRDefault="00FF27DA" w:rsidP="003D3843">
                  <w:pPr>
                    <w:pStyle w:val="TableText"/>
                    <w:spacing w:before="0" w:after="0"/>
                    <w:rPr>
                      <w:szCs w:val="20"/>
                    </w:rPr>
                  </w:pPr>
                  <w:r w:rsidRPr="003D3843">
                    <w:rPr>
                      <w:szCs w:val="20"/>
                    </w:rPr>
                    <w:t xml:space="preserve">Probability of death among patient who has remission from epilepsy </w:t>
                  </w:r>
                </w:p>
              </w:tc>
              <w:tc>
                <w:tcPr>
                  <w:tcW w:w="707" w:type="pct"/>
                  <w:tcBorders>
                    <w:bottom w:val="single" w:sz="4" w:space="0" w:color="auto"/>
                  </w:tcBorders>
                </w:tcPr>
                <w:p w14:paraId="251975A8" w14:textId="77777777" w:rsidR="00FF27DA" w:rsidRPr="003D3843" w:rsidRDefault="00FF27DA" w:rsidP="003D3843">
                  <w:pPr>
                    <w:pStyle w:val="TableText"/>
                    <w:spacing w:before="0" w:after="0"/>
                    <w:rPr>
                      <w:szCs w:val="20"/>
                    </w:rPr>
                  </w:pPr>
                  <w:r w:rsidRPr="003D3843">
                    <w:rPr>
                      <w:szCs w:val="20"/>
                    </w:rPr>
                    <w:t>0.00065</w:t>
                  </w:r>
                </w:p>
              </w:tc>
              <w:tc>
                <w:tcPr>
                  <w:tcW w:w="2868" w:type="pct"/>
                  <w:tcBorders>
                    <w:bottom w:val="single" w:sz="4" w:space="0" w:color="auto"/>
                  </w:tcBorders>
                </w:tcPr>
                <w:p w14:paraId="5CC37DD4" w14:textId="690EA279" w:rsidR="00FF27DA" w:rsidRPr="003D3843" w:rsidRDefault="00FF27DA" w:rsidP="003D3843">
                  <w:pPr>
                    <w:pStyle w:val="TableText"/>
                    <w:spacing w:before="0" w:after="0"/>
                    <w:rPr>
                      <w:rFonts w:eastAsiaTheme="minorEastAsia"/>
                      <w:szCs w:val="20"/>
                    </w:rPr>
                  </w:pPr>
                  <w:r w:rsidRPr="003D3843">
                    <w:rPr>
                      <w:rFonts w:eastAsiaTheme="minorEastAsia"/>
                      <w:szCs w:val="20"/>
                    </w:rPr>
                    <w:t xml:space="preserve">Assumed the same as probability of death due to epilepsy in Australia. This assumption is also consistent with the standardised mortality of remission (i.e., 1.000) used in the study by </w:t>
                  </w:r>
                  <w:r w:rsidRPr="003D3843">
                    <w:rPr>
                      <w:szCs w:val="20"/>
                    </w:rPr>
                    <w:t>Plumpton 201</w:t>
                  </w:r>
                  <w:r w:rsidRPr="003D3843">
                    <w:rPr>
                      <w:rFonts w:eastAsiaTheme="minorEastAsia"/>
                      <w:szCs w:val="20"/>
                    </w:rPr>
                    <w:t>5</w:t>
                  </w:r>
                  <w:r w:rsidR="008461A4">
                    <w:rPr>
                      <w:rStyle w:val="FootnoteReference"/>
                      <w:rFonts w:eastAsiaTheme="minorEastAsia"/>
                      <w:szCs w:val="20"/>
                    </w:rPr>
                    <w:footnoteReference w:id="15"/>
                  </w:r>
                  <w:r w:rsidRPr="003D3843">
                    <w:rPr>
                      <w:rFonts w:eastAsiaTheme="minorEastAsia"/>
                      <w:szCs w:val="20"/>
                    </w:rPr>
                    <w:t xml:space="preserve"> (0.</w:t>
                  </w:r>
                  <w:r w:rsidRPr="003D3843">
                    <w:rPr>
                      <w:szCs w:val="20"/>
                    </w:rPr>
                    <w:t>00065</w:t>
                  </w:r>
                  <w:r w:rsidRPr="003D3843">
                    <w:rPr>
                      <w:rFonts w:eastAsiaTheme="minorEastAsia"/>
                      <w:szCs w:val="20"/>
                    </w:rPr>
                    <w:t xml:space="preserve"> *1=0.000037).</w:t>
                  </w:r>
                </w:p>
              </w:tc>
            </w:tr>
            <w:tr w:rsidR="00761D44" w:rsidRPr="00CE28E3" w14:paraId="0756BE90" w14:textId="77777777" w:rsidTr="422CAA86">
              <w:tc>
                <w:tcPr>
                  <w:tcW w:w="1425" w:type="pct"/>
                  <w:tcBorders>
                    <w:bottom w:val="single" w:sz="4" w:space="0" w:color="auto"/>
                  </w:tcBorders>
                </w:tcPr>
                <w:p w14:paraId="082F709E" w14:textId="77777777" w:rsidR="00FF27DA" w:rsidRPr="003D3843" w:rsidRDefault="00FF27DA" w:rsidP="003D3843">
                  <w:pPr>
                    <w:pStyle w:val="TableText"/>
                    <w:spacing w:before="0" w:after="0"/>
                    <w:rPr>
                      <w:szCs w:val="20"/>
                    </w:rPr>
                  </w:pPr>
                  <w:r w:rsidRPr="003D3843">
                    <w:rPr>
                      <w:szCs w:val="20"/>
                    </w:rPr>
                    <w:lastRenderedPageBreak/>
                    <w:t xml:space="preserve">Probability of death due to uncontrolled epilepsy </w:t>
                  </w:r>
                </w:p>
              </w:tc>
              <w:tc>
                <w:tcPr>
                  <w:tcW w:w="707" w:type="pct"/>
                  <w:tcBorders>
                    <w:bottom w:val="single" w:sz="4" w:space="0" w:color="auto"/>
                  </w:tcBorders>
                </w:tcPr>
                <w:p w14:paraId="1F001FCA" w14:textId="77777777" w:rsidR="00FF27DA" w:rsidRPr="003D3843" w:rsidRDefault="00FF27DA" w:rsidP="003D3843">
                  <w:pPr>
                    <w:pStyle w:val="TableText"/>
                    <w:spacing w:before="0" w:after="0"/>
                    <w:rPr>
                      <w:rFonts w:eastAsiaTheme="minorEastAsia"/>
                      <w:szCs w:val="20"/>
                    </w:rPr>
                  </w:pPr>
                  <w:r w:rsidRPr="003D3843">
                    <w:rPr>
                      <w:szCs w:val="20"/>
                    </w:rPr>
                    <w:t>0.0013325</w:t>
                  </w:r>
                </w:p>
              </w:tc>
              <w:tc>
                <w:tcPr>
                  <w:tcW w:w="2868" w:type="pct"/>
                  <w:tcBorders>
                    <w:bottom w:val="single" w:sz="4" w:space="0" w:color="auto"/>
                  </w:tcBorders>
                </w:tcPr>
                <w:p w14:paraId="62D0394F" w14:textId="7A930D43" w:rsidR="00FF27DA" w:rsidRPr="003D3843" w:rsidRDefault="00FF27DA" w:rsidP="003D3843">
                  <w:pPr>
                    <w:pStyle w:val="TableText"/>
                    <w:spacing w:before="0" w:after="0"/>
                    <w:rPr>
                      <w:rFonts w:eastAsiaTheme="minorEastAsia"/>
                      <w:szCs w:val="20"/>
                    </w:rPr>
                  </w:pPr>
                  <w:r w:rsidRPr="003D3843">
                    <w:rPr>
                      <w:rFonts w:eastAsiaTheme="minorEastAsia"/>
                      <w:szCs w:val="20"/>
                    </w:rPr>
                    <w:t>Assumed equivalent to the standardised mortality rate for chronic epilepsy, uncontrolled seizures (Plumpton 2015) (0.</w:t>
                  </w:r>
                  <w:r w:rsidRPr="003D3843">
                    <w:rPr>
                      <w:szCs w:val="20"/>
                    </w:rPr>
                    <w:t>00065</w:t>
                  </w:r>
                  <w:r w:rsidRPr="003D3843">
                    <w:rPr>
                      <w:rFonts w:eastAsiaTheme="minorEastAsia"/>
                      <w:szCs w:val="20"/>
                    </w:rPr>
                    <w:t>*2.05=0.0013325).</w:t>
                  </w:r>
                </w:p>
              </w:tc>
            </w:tr>
            <w:tr w:rsidR="00761D44" w:rsidRPr="00CE28E3" w14:paraId="16759B9E" w14:textId="77777777" w:rsidTr="422CAA86">
              <w:tc>
                <w:tcPr>
                  <w:tcW w:w="1425" w:type="pct"/>
                  <w:tcBorders>
                    <w:bottom w:val="single" w:sz="4" w:space="0" w:color="auto"/>
                  </w:tcBorders>
                </w:tcPr>
                <w:p w14:paraId="774EE853" w14:textId="77777777" w:rsidR="00FF27DA" w:rsidRPr="003D3843" w:rsidRDefault="00FF27DA" w:rsidP="003D3843">
                  <w:pPr>
                    <w:pStyle w:val="TableText"/>
                    <w:spacing w:before="0" w:after="0"/>
                    <w:rPr>
                      <w:rFonts w:eastAsiaTheme="minorEastAsia"/>
                      <w:szCs w:val="20"/>
                    </w:rPr>
                  </w:pPr>
                  <w:r w:rsidRPr="003D3843">
                    <w:rPr>
                      <w:szCs w:val="20"/>
                    </w:rPr>
                    <w:t>Probability of patients treated with CBZ</w:t>
                  </w:r>
                  <w:r w:rsidRPr="003D3843">
                    <w:rPr>
                      <w:rFonts w:eastAsiaTheme="minorEastAsia"/>
                      <w:szCs w:val="20"/>
                    </w:rPr>
                    <w:t>/</w:t>
                  </w:r>
                  <w:r w:rsidRPr="003D3843">
                    <w:rPr>
                      <w:szCs w:val="20"/>
                    </w:rPr>
                    <w:t>OXC transitioned from uncontrolled epilepsy to remission</w:t>
                  </w:r>
                </w:p>
              </w:tc>
              <w:tc>
                <w:tcPr>
                  <w:tcW w:w="707" w:type="pct"/>
                  <w:tcBorders>
                    <w:bottom w:val="single" w:sz="4" w:space="0" w:color="auto"/>
                  </w:tcBorders>
                </w:tcPr>
                <w:p w14:paraId="2933A001" w14:textId="77777777" w:rsidR="00FF27DA" w:rsidRPr="003D3843" w:rsidRDefault="00FF27DA" w:rsidP="003D3843">
                  <w:pPr>
                    <w:pStyle w:val="TableText"/>
                    <w:spacing w:before="0" w:after="0"/>
                    <w:rPr>
                      <w:rFonts w:eastAsiaTheme="minorEastAsia"/>
                      <w:szCs w:val="20"/>
                    </w:rPr>
                  </w:pPr>
                  <w:r w:rsidRPr="003D3843">
                    <w:rPr>
                      <w:szCs w:val="20"/>
                    </w:rPr>
                    <w:t>0.701</w:t>
                  </w:r>
                  <w:r w:rsidRPr="003D3843">
                    <w:rPr>
                      <w:rFonts w:eastAsiaTheme="minorEastAsia"/>
                      <w:szCs w:val="20"/>
                    </w:rPr>
                    <w:t>7</w:t>
                  </w:r>
                </w:p>
              </w:tc>
              <w:tc>
                <w:tcPr>
                  <w:tcW w:w="2868" w:type="pct"/>
                  <w:tcBorders>
                    <w:bottom w:val="single" w:sz="4" w:space="0" w:color="auto"/>
                  </w:tcBorders>
                </w:tcPr>
                <w:p w14:paraId="3C8E16E9" w14:textId="570D3C5E" w:rsidR="00FF27DA" w:rsidRPr="003D3843" w:rsidRDefault="00FF27DA" w:rsidP="003D3843">
                  <w:pPr>
                    <w:pStyle w:val="TableText"/>
                    <w:spacing w:before="0" w:after="0"/>
                    <w:rPr>
                      <w:rFonts w:eastAsiaTheme="minorEastAsia"/>
                      <w:szCs w:val="20"/>
                    </w:rPr>
                  </w:pPr>
                  <w:r w:rsidRPr="003D3843">
                    <w:rPr>
                      <w:rFonts w:eastAsiaTheme="minorEastAsia"/>
                      <w:szCs w:val="20"/>
                    </w:rPr>
                    <w:t xml:space="preserve">Percentage of 12-month remission of CBZ (254/362) from the SANDA study which was an unblinded RCT in hospital-based outpatient clinics in the UK </w:t>
                  </w:r>
                  <w:r w:rsidRPr="003D3843">
                    <w:rPr>
                      <w:rFonts w:eastAsiaTheme="minorEastAsia"/>
                      <w:szCs w:val="20"/>
                    </w:rPr>
                    <w:fldChar w:fldCharType="begin">
                      <w:fldData xml:space="preserve">PEVuZE5vdGU+PENpdGU+PEF1dGhvcj5NYXJzb248L0F1dGhvcj48WWVhcj4yMDA3PC9ZZWFyPjxS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</w:fldData>
                    </w:fldChar>
                  </w:r>
                  <w:r w:rsidRPr="003D3843">
                    <w:rPr>
                      <w:rFonts w:eastAsiaTheme="minorEastAsia"/>
                      <w:szCs w:val="20"/>
                    </w:rPr>
                    <w:instrText xml:space="preserve"> ADDIN EN.CITE </w:instrText>
                  </w:r>
                  <w:r w:rsidRPr="003D3843">
                    <w:rPr>
                      <w:rFonts w:eastAsiaTheme="minorEastAsia"/>
                      <w:szCs w:val="20"/>
                    </w:rPr>
                    <w:fldChar w:fldCharType="begin">
                      <w:fldData xml:space="preserve">PEVuZE5vdGU+PENpdGU+PEF1dGhvcj5NYXJzb248L0F1dGhvcj48WWVhcj4yMDA3PC9ZZWFyPjxS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</w:fldData>
                    </w:fldChar>
                  </w:r>
                  <w:r w:rsidRPr="003D3843">
                    <w:rPr>
                      <w:rFonts w:eastAsiaTheme="minorEastAsia"/>
                      <w:szCs w:val="20"/>
                    </w:rPr>
                    <w:instrText xml:space="preserve"> ADDIN EN.CITE.DATA </w:instrText>
                  </w:r>
                  <w:r w:rsidRPr="003D3843">
                    <w:rPr>
                      <w:rFonts w:eastAsiaTheme="minorEastAsia"/>
                      <w:szCs w:val="20"/>
                    </w:rPr>
                  </w:r>
                  <w:r w:rsidRPr="003D3843">
                    <w:rPr>
                      <w:rFonts w:eastAsiaTheme="minorEastAsia"/>
                      <w:szCs w:val="20"/>
                    </w:rPr>
                    <w:fldChar w:fldCharType="end"/>
                  </w:r>
                  <w:r w:rsidRPr="003D3843">
                    <w:rPr>
                      <w:rFonts w:eastAsiaTheme="minorEastAsia"/>
                      <w:szCs w:val="20"/>
                    </w:rPr>
                  </w:r>
                  <w:r w:rsidRPr="003D3843">
                    <w:rPr>
                      <w:rFonts w:eastAsiaTheme="minorEastAsia"/>
                      <w:szCs w:val="20"/>
                    </w:rPr>
                    <w:fldChar w:fldCharType="separate"/>
                  </w:r>
                  <w:r w:rsidRPr="003D3843">
                    <w:rPr>
                      <w:rFonts w:eastAsiaTheme="minorEastAsia"/>
                      <w:noProof/>
                      <w:szCs w:val="20"/>
                    </w:rPr>
                    <w:t>(Marson et al., 2007</w:t>
                  </w:r>
                  <w:r w:rsidR="008461A4">
                    <w:rPr>
                      <w:rStyle w:val="FootnoteReference"/>
                      <w:rFonts w:eastAsiaTheme="minorEastAsia"/>
                      <w:noProof/>
                      <w:szCs w:val="20"/>
                    </w:rPr>
                    <w:footnoteReference w:id="16"/>
                  </w:r>
                  <w:r w:rsidRPr="003D3843">
                    <w:rPr>
                      <w:rFonts w:eastAsiaTheme="minorEastAsia"/>
                      <w:noProof/>
                      <w:szCs w:val="20"/>
                    </w:rPr>
                    <w:t>)</w:t>
                  </w:r>
                  <w:r w:rsidRPr="003D3843">
                    <w:rPr>
                      <w:rFonts w:eastAsiaTheme="minorEastAsia"/>
                      <w:szCs w:val="20"/>
                    </w:rPr>
                    <w:fldChar w:fldCharType="end"/>
                  </w:r>
                  <w:r w:rsidRPr="003D3843">
                    <w:rPr>
                      <w:rFonts w:eastAsiaTheme="minorEastAsia"/>
                      <w:szCs w:val="20"/>
                    </w:rPr>
                    <w:t>.</w:t>
                  </w:r>
                </w:p>
              </w:tc>
            </w:tr>
            <w:tr w:rsidR="00761D44" w:rsidRPr="00CE28E3" w14:paraId="501EB0BA" w14:textId="77777777" w:rsidTr="422CAA86">
              <w:tc>
                <w:tcPr>
                  <w:tcW w:w="1425" w:type="pct"/>
                  <w:tcBorders>
                    <w:bottom w:val="single" w:sz="4" w:space="0" w:color="auto"/>
                  </w:tcBorders>
                </w:tcPr>
                <w:p w14:paraId="6FE2EF42" w14:textId="77777777" w:rsidR="00FF27DA" w:rsidRPr="003D3843" w:rsidRDefault="00FF27DA" w:rsidP="003D3843">
                  <w:pPr>
                    <w:pStyle w:val="TableText"/>
                    <w:spacing w:before="0" w:after="0"/>
                    <w:rPr>
                      <w:szCs w:val="20"/>
                    </w:rPr>
                  </w:pPr>
                  <w:r w:rsidRPr="003D3843">
                    <w:rPr>
                      <w:szCs w:val="20"/>
                    </w:rPr>
                    <w:t xml:space="preserve">Probability of patients treated with VPA transitioned from uncontrolled epilepsy to remission </w:t>
                  </w:r>
                </w:p>
              </w:tc>
              <w:tc>
                <w:tcPr>
                  <w:tcW w:w="707" w:type="pct"/>
                  <w:tcBorders>
                    <w:bottom w:val="single" w:sz="4" w:space="0" w:color="auto"/>
                  </w:tcBorders>
                </w:tcPr>
                <w:p w14:paraId="7001A378" w14:textId="77777777" w:rsidR="00FF27DA" w:rsidRPr="003D3843" w:rsidRDefault="00FF27DA" w:rsidP="003D3843">
                  <w:pPr>
                    <w:pStyle w:val="TableText"/>
                    <w:spacing w:before="0" w:after="0"/>
                    <w:rPr>
                      <w:rFonts w:eastAsiaTheme="minorEastAsia"/>
                      <w:szCs w:val="20"/>
                    </w:rPr>
                  </w:pPr>
                  <w:r w:rsidRPr="003D3843">
                    <w:rPr>
                      <w:szCs w:val="20"/>
                    </w:rPr>
                    <w:t>0.582</w:t>
                  </w:r>
                  <w:r w:rsidRPr="003D3843">
                    <w:rPr>
                      <w:rFonts w:eastAsiaTheme="minorEastAsia"/>
                      <w:szCs w:val="20"/>
                    </w:rPr>
                    <w:t>4</w:t>
                  </w:r>
                </w:p>
              </w:tc>
              <w:tc>
                <w:tcPr>
                  <w:tcW w:w="2868" w:type="pct"/>
                  <w:tcBorders>
                    <w:bottom w:val="single" w:sz="4" w:space="0" w:color="auto"/>
                  </w:tcBorders>
                </w:tcPr>
                <w:p w14:paraId="09E93366" w14:textId="717BDF76" w:rsidR="00FF27DA" w:rsidRPr="003D3843" w:rsidRDefault="00FF27DA" w:rsidP="003D3843">
                  <w:pPr>
                    <w:pStyle w:val="TableText"/>
                    <w:spacing w:before="0" w:after="0"/>
                    <w:rPr>
                      <w:rFonts w:eastAsiaTheme="minorEastAsia"/>
                      <w:szCs w:val="20"/>
                    </w:rPr>
                  </w:pPr>
                  <w:r w:rsidRPr="003D3843">
                    <w:rPr>
                      <w:rFonts w:eastAsiaTheme="minorEastAsia"/>
                      <w:szCs w:val="20"/>
                    </w:rPr>
                    <w:t xml:space="preserve">The HR of remission with VPA compared to CBZ was 0.83, that was 0.7017*0.83=0.5824 </w:t>
                  </w:r>
                  <w:r w:rsidRPr="003D3843">
                    <w:rPr>
                      <w:rFonts w:eastAsiaTheme="minorEastAsia"/>
                      <w:szCs w:val="20"/>
                    </w:rPr>
                    <w:fldChar w:fldCharType="begin">
                      <w:fldData xml:space="preserve">PEVuZE5vdGU+PENpdGU+PEF1dGhvcj5NYXJzb248L0F1dGhvcj48WWVhcj4yMDA3PC9ZZWFyPjxS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</w:fldData>
                    </w:fldChar>
                  </w:r>
                  <w:r w:rsidRPr="003D3843">
                    <w:rPr>
                      <w:rFonts w:eastAsiaTheme="minorEastAsia"/>
                      <w:szCs w:val="20"/>
                    </w:rPr>
                    <w:instrText xml:space="preserve"> ADDIN EN.CITE </w:instrText>
                  </w:r>
                  <w:r w:rsidRPr="003D3843">
                    <w:rPr>
                      <w:rFonts w:eastAsiaTheme="minorEastAsia"/>
                      <w:szCs w:val="20"/>
                    </w:rPr>
                    <w:fldChar w:fldCharType="begin">
                      <w:fldData xml:space="preserve">PEVuZE5vdGU+PENpdGU+PEF1dGhvcj5NYXJzb248L0F1dGhvcj48WWVhcj4yMDA3PC9ZZWFyPjxS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</w:fldData>
                    </w:fldChar>
                  </w:r>
                  <w:r w:rsidRPr="003D3843">
                    <w:rPr>
                      <w:rFonts w:eastAsiaTheme="minorEastAsia"/>
                      <w:szCs w:val="20"/>
                    </w:rPr>
                    <w:instrText xml:space="preserve"> ADDIN EN.CITE.DATA </w:instrText>
                  </w:r>
                  <w:r w:rsidRPr="003D3843">
                    <w:rPr>
                      <w:rFonts w:eastAsiaTheme="minorEastAsia"/>
                      <w:szCs w:val="20"/>
                    </w:rPr>
                  </w:r>
                  <w:r w:rsidRPr="003D3843">
                    <w:rPr>
                      <w:rFonts w:eastAsiaTheme="minorEastAsia"/>
                      <w:szCs w:val="20"/>
                    </w:rPr>
                    <w:fldChar w:fldCharType="end"/>
                  </w:r>
                  <w:r w:rsidRPr="003D3843">
                    <w:rPr>
                      <w:rFonts w:eastAsiaTheme="minorEastAsia"/>
                      <w:szCs w:val="20"/>
                    </w:rPr>
                  </w:r>
                  <w:r w:rsidRPr="003D3843">
                    <w:rPr>
                      <w:rFonts w:eastAsiaTheme="minorEastAsia"/>
                      <w:szCs w:val="20"/>
                    </w:rPr>
                    <w:fldChar w:fldCharType="separate"/>
                  </w:r>
                  <w:r w:rsidRPr="003D3843">
                    <w:rPr>
                      <w:rFonts w:eastAsiaTheme="minorEastAsia"/>
                      <w:noProof/>
                      <w:szCs w:val="20"/>
                    </w:rPr>
                    <w:t>(Marson et al., 2007; Plumpton et al., 2015)</w:t>
                  </w:r>
                  <w:r w:rsidRPr="003D3843">
                    <w:rPr>
                      <w:rFonts w:eastAsiaTheme="minorEastAsia"/>
                      <w:szCs w:val="20"/>
                    </w:rPr>
                    <w:fldChar w:fldCharType="end"/>
                  </w:r>
                </w:p>
              </w:tc>
            </w:tr>
            <w:tr w:rsidR="001E175B" w:rsidRPr="00CE28E3" w14:paraId="3E243DAF" w14:textId="77777777" w:rsidTr="422CAA86">
              <w:tc>
                <w:tcPr>
                  <w:tcW w:w="5000" w:type="pct"/>
                  <w:gridSpan w:val="3"/>
                  <w:tcBorders>
                    <w:bottom w:val="single" w:sz="4" w:space="0" w:color="auto"/>
                  </w:tcBorders>
                </w:tcPr>
                <w:p w14:paraId="1CD83A0B" w14:textId="77777777" w:rsidR="00FF27DA" w:rsidRPr="003D3843" w:rsidRDefault="00FF27DA" w:rsidP="003D3843">
                  <w:pPr>
                    <w:pStyle w:val="TableText"/>
                    <w:spacing w:before="0" w:after="0"/>
                    <w:rPr>
                      <w:rFonts w:eastAsiaTheme="minorEastAsia"/>
                      <w:szCs w:val="20"/>
                    </w:rPr>
                  </w:pPr>
                  <w:r w:rsidRPr="003D3843">
                    <w:rPr>
                      <w:rFonts w:eastAsiaTheme="minorEastAsia"/>
                      <w:szCs w:val="20"/>
                    </w:rPr>
                    <w:t>For TN</w:t>
                  </w:r>
                </w:p>
              </w:tc>
            </w:tr>
            <w:tr w:rsidR="00761D44" w:rsidRPr="00CE28E3" w14:paraId="427019CE" w14:textId="77777777" w:rsidTr="422CAA86">
              <w:tc>
                <w:tcPr>
                  <w:tcW w:w="1425" w:type="pct"/>
                  <w:tcBorders>
                    <w:bottom w:val="single" w:sz="4" w:space="0" w:color="auto"/>
                  </w:tcBorders>
                </w:tcPr>
                <w:p w14:paraId="22F9E667" w14:textId="77777777" w:rsidR="00FF27DA" w:rsidRPr="003D3843" w:rsidRDefault="00FF27DA" w:rsidP="003D3843">
                  <w:pPr>
                    <w:pStyle w:val="TableText"/>
                    <w:spacing w:before="0" w:after="0"/>
                    <w:rPr>
                      <w:rFonts w:eastAsiaTheme="minorEastAsia"/>
                      <w:szCs w:val="20"/>
                    </w:rPr>
                  </w:pPr>
                  <w:r w:rsidRPr="003D3843">
                    <w:rPr>
                      <w:rFonts w:eastAsiaTheme="minorEastAsia"/>
                      <w:szCs w:val="20"/>
                    </w:rPr>
                    <w:t>Probability of patients treated with CBZ/OXC transitioned from uncontrolled pain to controlled pain</w:t>
                  </w:r>
                </w:p>
              </w:tc>
              <w:tc>
                <w:tcPr>
                  <w:tcW w:w="707" w:type="pct"/>
                  <w:tcBorders>
                    <w:bottom w:val="single" w:sz="4" w:space="0" w:color="auto"/>
                  </w:tcBorders>
                </w:tcPr>
                <w:p w14:paraId="6808BA7B" w14:textId="77777777" w:rsidR="00FF27DA" w:rsidRPr="003D3843" w:rsidRDefault="00FF27DA" w:rsidP="003D3843">
                  <w:pPr>
                    <w:pStyle w:val="TableText"/>
                    <w:spacing w:before="0" w:after="0"/>
                    <w:rPr>
                      <w:rFonts w:eastAsiaTheme="minorEastAsia"/>
                      <w:szCs w:val="20"/>
                    </w:rPr>
                  </w:pPr>
                  <w:r w:rsidRPr="003D3843">
                    <w:rPr>
                      <w:rFonts w:eastAsiaTheme="minorEastAsia"/>
                      <w:szCs w:val="20"/>
                    </w:rPr>
                    <w:t>0.9</w:t>
                  </w:r>
                </w:p>
              </w:tc>
              <w:tc>
                <w:tcPr>
                  <w:tcW w:w="2868" w:type="pct"/>
                  <w:tcBorders>
                    <w:bottom w:val="single" w:sz="4" w:space="0" w:color="auto"/>
                  </w:tcBorders>
                </w:tcPr>
                <w:p w14:paraId="31E70250" w14:textId="77777777" w:rsidR="00FF27DA" w:rsidRPr="003D3843" w:rsidRDefault="00FF27DA" w:rsidP="003D3843">
                  <w:pPr>
                    <w:pStyle w:val="TableText"/>
                    <w:spacing w:before="0" w:after="0"/>
                    <w:rPr>
                      <w:rFonts w:eastAsiaTheme="minorEastAsia"/>
                      <w:szCs w:val="20"/>
                    </w:rPr>
                  </w:pPr>
                  <w:r w:rsidRPr="003D3843">
                    <w:rPr>
                      <w:rFonts w:eastAsiaTheme="minorEastAsia"/>
                      <w:szCs w:val="20"/>
                    </w:rPr>
                    <w:t>Expert opinion on pain relief of 1</w:t>
                  </w:r>
                  <w:r w:rsidRPr="003D3843">
                    <w:rPr>
                      <w:rFonts w:eastAsiaTheme="minorEastAsia"/>
                      <w:szCs w:val="20"/>
                      <w:vertAlign w:val="superscript"/>
                    </w:rPr>
                    <w:t>st</w:t>
                  </w:r>
                  <w:r w:rsidRPr="003D3843">
                    <w:rPr>
                      <w:rFonts w:eastAsiaTheme="minorEastAsia"/>
                      <w:szCs w:val="20"/>
                    </w:rPr>
                    <w:t xml:space="preserve"> line treatments on TN (email contact)</w:t>
                  </w:r>
                </w:p>
              </w:tc>
            </w:tr>
            <w:tr w:rsidR="00761D44" w:rsidRPr="00CE28E3" w14:paraId="31F011F3" w14:textId="77777777" w:rsidTr="422CAA86">
              <w:tc>
                <w:tcPr>
                  <w:tcW w:w="1425" w:type="pct"/>
                  <w:tcBorders>
                    <w:bottom w:val="single" w:sz="4" w:space="0" w:color="auto"/>
                  </w:tcBorders>
                </w:tcPr>
                <w:p w14:paraId="5772B207" w14:textId="77777777" w:rsidR="00FF27DA" w:rsidRPr="003D3843" w:rsidRDefault="00FF27DA" w:rsidP="003D3843">
                  <w:pPr>
                    <w:pStyle w:val="TableText"/>
                    <w:spacing w:before="0" w:after="0"/>
                    <w:rPr>
                      <w:szCs w:val="20"/>
                    </w:rPr>
                  </w:pPr>
                  <w:r w:rsidRPr="003D3843">
                    <w:rPr>
                      <w:szCs w:val="20"/>
                    </w:rPr>
                    <w:t>Probability of patients treated with PBG/GPB transitioned from uncontrolled pain to controlled pain</w:t>
                  </w:r>
                </w:p>
              </w:tc>
              <w:tc>
                <w:tcPr>
                  <w:tcW w:w="707" w:type="pct"/>
                  <w:tcBorders>
                    <w:bottom w:val="single" w:sz="4" w:space="0" w:color="auto"/>
                  </w:tcBorders>
                </w:tcPr>
                <w:p w14:paraId="66248BE2" w14:textId="77777777" w:rsidR="00FF27DA" w:rsidRPr="003D3843" w:rsidRDefault="00FF27DA" w:rsidP="003D3843">
                  <w:pPr>
                    <w:pStyle w:val="TableText"/>
                    <w:spacing w:before="0" w:after="0"/>
                    <w:rPr>
                      <w:rFonts w:eastAsiaTheme="minorEastAsia"/>
                      <w:szCs w:val="20"/>
                    </w:rPr>
                  </w:pPr>
                  <w:r w:rsidRPr="003D3843">
                    <w:rPr>
                      <w:rFonts w:eastAsiaTheme="minorEastAsia"/>
                      <w:szCs w:val="20"/>
                    </w:rPr>
                    <w:t>0.5</w:t>
                  </w:r>
                </w:p>
              </w:tc>
              <w:tc>
                <w:tcPr>
                  <w:tcW w:w="2868" w:type="pct"/>
                  <w:tcBorders>
                    <w:bottom w:val="single" w:sz="4" w:space="0" w:color="auto"/>
                  </w:tcBorders>
                </w:tcPr>
                <w:p w14:paraId="23175909" w14:textId="77777777" w:rsidR="00FF27DA" w:rsidRPr="003D3843" w:rsidRDefault="00FF27DA" w:rsidP="003D3843">
                  <w:pPr>
                    <w:pStyle w:val="TableText"/>
                    <w:spacing w:before="0" w:after="0"/>
                    <w:rPr>
                      <w:rFonts w:eastAsiaTheme="minorEastAsia"/>
                      <w:szCs w:val="20"/>
                    </w:rPr>
                  </w:pPr>
                  <w:r w:rsidRPr="003D3843">
                    <w:rPr>
                      <w:rFonts w:eastAsiaTheme="minorEastAsia"/>
                      <w:szCs w:val="20"/>
                    </w:rPr>
                    <w:t>Expert opinion on pain relief of 2</w:t>
                  </w:r>
                  <w:r w:rsidRPr="003D3843">
                    <w:rPr>
                      <w:rFonts w:eastAsiaTheme="minorEastAsia"/>
                      <w:szCs w:val="20"/>
                      <w:vertAlign w:val="superscript"/>
                    </w:rPr>
                    <w:t>nd</w:t>
                  </w:r>
                  <w:r w:rsidRPr="003D3843">
                    <w:rPr>
                      <w:rFonts w:eastAsiaTheme="minorEastAsia"/>
                      <w:szCs w:val="20"/>
                    </w:rPr>
                    <w:t xml:space="preserve"> line treatments on TN (email contact)</w:t>
                  </w:r>
                </w:p>
              </w:tc>
            </w:tr>
            <w:tr w:rsidR="00761D44" w:rsidRPr="00CE28E3" w14:paraId="40A92782" w14:textId="77777777" w:rsidTr="422CAA86">
              <w:tc>
                <w:tcPr>
                  <w:tcW w:w="1425" w:type="pct"/>
                  <w:tcBorders>
                    <w:bottom w:val="single" w:sz="4" w:space="0" w:color="auto"/>
                  </w:tcBorders>
                </w:tcPr>
                <w:p w14:paraId="3893D159" w14:textId="77777777" w:rsidR="00FF27DA" w:rsidRPr="003D3843" w:rsidRDefault="00FF27DA" w:rsidP="003D3843">
                  <w:pPr>
                    <w:pStyle w:val="TableText"/>
                    <w:spacing w:before="0" w:after="0"/>
                    <w:rPr>
                      <w:rFonts w:eastAsiaTheme="minorEastAsia"/>
                      <w:szCs w:val="20"/>
                    </w:rPr>
                  </w:pPr>
                  <w:r w:rsidRPr="003D3843">
                    <w:rPr>
                      <w:rFonts w:eastAsiaTheme="minorEastAsia"/>
                      <w:szCs w:val="20"/>
                    </w:rPr>
                    <w:t>Proportion of prescribed GPB</w:t>
                  </w:r>
                </w:p>
              </w:tc>
              <w:tc>
                <w:tcPr>
                  <w:tcW w:w="707" w:type="pct"/>
                  <w:tcBorders>
                    <w:bottom w:val="single" w:sz="4" w:space="0" w:color="auto"/>
                  </w:tcBorders>
                </w:tcPr>
                <w:p w14:paraId="19D32292" w14:textId="77777777" w:rsidR="00FF27DA" w:rsidRPr="003D3843" w:rsidRDefault="00FF27DA" w:rsidP="003D3843">
                  <w:pPr>
                    <w:pStyle w:val="TableText"/>
                    <w:spacing w:before="0" w:after="0"/>
                    <w:rPr>
                      <w:rFonts w:eastAsiaTheme="minorEastAsia"/>
                      <w:szCs w:val="20"/>
                    </w:rPr>
                  </w:pPr>
                  <w:r w:rsidRPr="003D3843">
                    <w:rPr>
                      <w:rFonts w:eastAsiaTheme="minorEastAsia"/>
                      <w:szCs w:val="20"/>
                    </w:rPr>
                    <w:t>0.9640</w:t>
                  </w:r>
                </w:p>
              </w:tc>
              <w:tc>
                <w:tcPr>
                  <w:tcW w:w="2868" w:type="pct"/>
                  <w:tcBorders>
                    <w:bottom w:val="single" w:sz="4" w:space="0" w:color="auto"/>
                  </w:tcBorders>
                </w:tcPr>
                <w:p w14:paraId="53E1E958" w14:textId="4ACF57BD" w:rsidR="00FF27DA" w:rsidRPr="003D3843" w:rsidRDefault="00FF27DA" w:rsidP="003D3843">
                  <w:pPr>
                    <w:pStyle w:val="TableText"/>
                    <w:spacing w:before="0" w:after="0"/>
                    <w:rPr>
                      <w:rFonts w:eastAsiaTheme="minorEastAsia"/>
                      <w:szCs w:val="20"/>
                    </w:rPr>
                  </w:pPr>
                  <w:r w:rsidRPr="003D3843">
                    <w:rPr>
                      <w:rFonts w:eastAsiaTheme="minorEastAsia"/>
                      <w:szCs w:val="20"/>
                    </w:rPr>
                    <w:t xml:space="preserve">Pharmaceutical Benefits Schedule Item Reports – Requested PBS Items processed from July 2023 to June 2024 </w:t>
                  </w:r>
                  <w:r w:rsidRPr="003D3843">
                    <w:rPr>
                      <w:rFonts w:eastAsiaTheme="minorEastAsia"/>
                      <w:szCs w:val="20"/>
                    </w:rPr>
                    <w:fldChar w:fldCharType="begin"/>
                  </w:r>
                  <w:r w:rsidRPr="003D3843">
                    <w:rPr>
                      <w:rFonts w:eastAsiaTheme="minorEastAsia"/>
                      <w:szCs w:val="20"/>
                    </w:rPr>
                    <w:instrText xml:space="preserve"> ADDIN EN.CITE &lt;EndNote&gt;&lt;Cite&gt;&lt;Author&gt;Services Australia&lt;/Author&gt;&lt;Year&gt;2024&lt;/Year&gt;&lt;RecNum&gt;54&lt;/RecNum&gt;&lt;DisplayText&gt;(Services Australia, 2024)&lt;/DisplayText&gt;&lt;record&gt;&lt;rec-number&gt;54&lt;/rec-number&gt;&lt;foreign-keys&gt;&lt;key app="EN" db-id="5aadsstv3sv996esway5vazsepfefazvfdps" timestamp="1730892159"&gt;54&lt;/key&gt;&lt;/foreign-keys&gt;&lt;ref-type name="Web Page"&gt;12&lt;/ref-type&gt;&lt;contributors&gt;&lt;authors&gt;&lt;author&gt;Services Australia,&lt;/author&gt;&lt;/authors&gt;&lt;/contributors&gt;&lt;titles&gt;&lt;title&gt;Pharmaceutical Benefits Schedule Item Reports&lt;/title&gt;&lt;/titles&gt;&lt;dates&gt;&lt;year&gt;2024&lt;/year&gt;&lt;/dates&gt;&lt;publisher&gt;Australian Government&lt;/publisher&gt;&lt;urls&gt;&lt;related-urls&gt;&lt;url&gt;http://medicarestatistics.humanservices.gov.au/statistics/pbs_item.jsp&lt;/url&gt;&lt;/related-urls&gt;&lt;/urls&gt;&lt;/record&gt;&lt;/Cite&gt;&lt;/EndNote&gt;</w:instrText>
                  </w:r>
                  <w:r w:rsidRPr="003D3843">
                    <w:rPr>
                      <w:rFonts w:eastAsiaTheme="minorEastAsia"/>
                      <w:szCs w:val="20"/>
                    </w:rPr>
                    <w:fldChar w:fldCharType="separate"/>
                  </w:r>
                  <w:r w:rsidRPr="003D3843">
                    <w:rPr>
                      <w:rFonts w:eastAsiaTheme="minorEastAsia"/>
                      <w:noProof/>
                      <w:szCs w:val="20"/>
                    </w:rPr>
                    <w:t>(Services Australia, 2024</w:t>
                  </w:r>
                  <w:r w:rsidR="008A4889">
                    <w:rPr>
                      <w:rStyle w:val="FootnoteReference"/>
                      <w:rFonts w:eastAsiaTheme="minorEastAsia"/>
                      <w:noProof/>
                      <w:szCs w:val="20"/>
                    </w:rPr>
                    <w:footnoteReference w:id="17"/>
                  </w:r>
                  <w:r w:rsidRPr="003D3843">
                    <w:rPr>
                      <w:rFonts w:eastAsiaTheme="minorEastAsia"/>
                      <w:noProof/>
                      <w:szCs w:val="20"/>
                    </w:rPr>
                    <w:t>)</w:t>
                  </w:r>
                  <w:r w:rsidRPr="003D3843">
                    <w:rPr>
                      <w:rFonts w:eastAsiaTheme="minorEastAsia"/>
                      <w:szCs w:val="20"/>
                    </w:rPr>
                    <w:fldChar w:fldCharType="end"/>
                  </w:r>
                  <w:r w:rsidRPr="003D3843">
                    <w:rPr>
                      <w:rFonts w:eastAsiaTheme="minorEastAsia"/>
                      <w:szCs w:val="20"/>
                    </w:rPr>
                    <w:t xml:space="preserve"> (detailed calculation presented in Section 3A.2.4)</w:t>
                  </w:r>
                </w:p>
              </w:tc>
            </w:tr>
            <w:tr w:rsidR="00761D44" w:rsidRPr="00CE28E3" w14:paraId="13A2FAB8" w14:textId="77777777" w:rsidTr="422CAA86">
              <w:tc>
                <w:tcPr>
                  <w:tcW w:w="1425" w:type="pct"/>
                  <w:tcBorders>
                    <w:bottom w:val="single" w:sz="4" w:space="0" w:color="auto"/>
                  </w:tcBorders>
                </w:tcPr>
                <w:p w14:paraId="4ED1BC0F" w14:textId="77777777" w:rsidR="00FF27DA" w:rsidRPr="003D3843" w:rsidRDefault="00FF27DA" w:rsidP="003D3843">
                  <w:pPr>
                    <w:pStyle w:val="TableText"/>
                    <w:spacing w:before="0" w:after="0"/>
                    <w:rPr>
                      <w:szCs w:val="20"/>
                    </w:rPr>
                  </w:pPr>
                  <w:r w:rsidRPr="003D3843">
                    <w:rPr>
                      <w:rFonts w:eastAsiaTheme="minorEastAsia"/>
                      <w:szCs w:val="20"/>
                    </w:rPr>
                    <w:t>Proportion of prescribed PGB</w:t>
                  </w:r>
                </w:p>
              </w:tc>
              <w:tc>
                <w:tcPr>
                  <w:tcW w:w="707" w:type="pct"/>
                  <w:tcBorders>
                    <w:bottom w:val="single" w:sz="4" w:space="0" w:color="auto"/>
                  </w:tcBorders>
                </w:tcPr>
                <w:p w14:paraId="5F286630" w14:textId="77777777" w:rsidR="00FF27DA" w:rsidRPr="003D3843" w:rsidRDefault="00FF27DA" w:rsidP="003D3843">
                  <w:pPr>
                    <w:pStyle w:val="TableText"/>
                    <w:spacing w:before="0" w:after="0"/>
                    <w:rPr>
                      <w:rFonts w:eastAsiaTheme="minorEastAsia"/>
                      <w:szCs w:val="20"/>
                    </w:rPr>
                  </w:pPr>
                  <w:r w:rsidRPr="003D3843">
                    <w:rPr>
                      <w:rFonts w:eastAsiaTheme="minorEastAsia"/>
                      <w:szCs w:val="20"/>
                    </w:rPr>
                    <w:t>0.0360</w:t>
                  </w:r>
                </w:p>
              </w:tc>
              <w:tc>
                <w:tcPr>
                  <w:tcW w:w="2868" w:type="pct"/>
                  <w:tcBorders>
                    <w:bottom w:val="single" w:sz="4" w:space="0" w:color="auto"/>
                  </w:tcBorders>
                </w:tcPr>
                <w:p w14:paraId="2BE51801" w14:textId="77777777" w:rsidR="00FF27DA" w:rsidRPr="003D3843" w:rsidRDefault="00FF27DA" w:rsidP="003D3843">
                  <w:pPr>
                    <w:pStyle w:val="TableText"/>
                    <w:spacing w:before="0" w:after="0"/>
                    <w:rPr>
                      <w:rFonts w:eastAsiaTheme="minorEastAsia"/>
                      <w:szCs w:val="20"/>
                    </w:rPr>
                  </w:pPr>
                  <w:r w:rsidRPr="003D3843">
                    <w:rPr>
                      <w:rFonts w:eastAsiaTheme="minorEastAsia"/>
                      <w:szCs w:val="20"/>
                    </w:rPr>
                    <w:t xml:space="preserve">Pharmaceutical Benefits Schedule Item Reports – Requested PBS Items processed from July 2023 to June 2024 </w:t>
                  </w:r>
                  <w:r w:rsidRPr="003D3843">
                    <w:rPr>
                      <w:rFonts w:eastAsiaTheme="minorEastAsia"/>
                      <w:szCs w:val="20"/>
                    </w:rPr>
                    <w:fldChar w:fldCharType="begin"/>
                  </w:r>
                  <w:r w:rsidRPr="003D3843">
                    <w:rPr>
                      <w:rFonts w:eastAsiaTheme="minorEastAsia"/>
                      <w:szCs w:val="20"/>
                    </w:rPr>
                    <w:instrText xml:space="preserve"> ADDIN EN.CITE &lt;EndNote&gt;&lt;Cite&gt;&lt;Author&gt;Services Australia&lt;/Author&gt;&lt;Year&gt;2024&lt;/Year&gt;&lt;RecNum&gt;54&lt;/RecNum&gt;&lt;DisplayText&gt;(Services Australia, 2024)&lt;/DisplayText&gt;&lt;record&gt;&lt;rec-number&gt;54&lt;/rec-number&gt;&lt;foreign-keys&gt;&lt;key app="EN" db-id="5aadsstv3sv996esway5vazsepfefazvfdps" timestamp="1730892159"&gt;54&lt;/key&gt;&lt;/foreign-keys&gt;&lt;ref-type name="Web Page"&gt;12&lt;/ref-type&gt;&lt;contributors&gt;&lt;authors&gt;&lt;author&gt;Services Australia,&lt;/author&gt;&lt;/authors&gt;&lt;/contributors&gt;&lt;titles&gt;&lt;title&gt;Pharmaceutical Benefits Schedule Item Reports&lt;/title&gt;&lt;/titles&gt;&lt;dates&gt;&lt;year&gt;2024&lt;/year&gt;&lt;/dates&gt;&lt;publisher&gt;Australian Government&lt;/publisher&gt;&lt;urls&gt;&lt;related-urls&gt;&lt;url&gt;http://medicarestatistics.humanservices.gov.au/statistics/pbs_item.jsp&lt;/url&gt;&lt;/related-urls&gt;&lt;/urls&gt;&lt;/record&gt;&lt;/Cite&gt;&lt;/EndNote&gt;</w:instrText>
                  </w:r>
                  <w:r w:rsidRPr="003D3843">
                    <w:rPr>
                      <w:rFonts w:eastAsiaTheme="minorEastAsia"/>
                      <w:szCs w:val="20"/>
                    </w:rPr>
                    <w:fldChar w:fldCharType="separate"/>
                  </w:r>
                  <w:r w:rsidRPr="003D3843">
                    <w:rPr>
                      <w:rFonts w:eastAsiaTheme="minorEastAsia"/>
                      <w:noProof/>
                      <w:szCs w:val="20"/>
                    </w:rPr>
                    <w:t>(Services Australia, 2024)</w:t>
                  </w:r>
                  <w:r w:rsidRPr="003D3843">
                    <w:rPr>
                      <w:rFonts w:eastAsiaTheme="minorEastAsia"/>
                      <w:szCs w:val="20"/>
                    </w:rPr>
                    <w:fldChar w:fldCharType="end"/>
                  </w:r>
                  <w:r w:rsidRPr="003D3843">
                    <w:rPr>
                      <w:rFonts w:eastAsiaTheme="minorEastAsia"/>
                      <w:szCs w:val="20"/>
                    </w:rPr>
                    <w:t xml:space="preserve"> (detailed calculation presented in Section 3A.2.4) </w:t>
                  </w:r>
                </w:p>
              </w:tc>
            </w:tr>
            <w:tr w:rsidR="00761D44" w:rsidRPr="00CE28E3" w14:paraId="0C300DBE" w14:textId="77777777" w:rsidTr="422CAA86">
              <w:tc>
                <w:tcPr>
                  <w:tcW w:w="1425" w:type="pct"/>
                  <w:tcBorders>
                    <w:bottom w:val="single" w:sz="4" w:space="0" w:color="auto"/>
                  </w:tcBorders>
                </w:tcPr>
                <w:p w14:paraId="5CAAC87A" w14:textId="77777777" w:rsidR="00FF27DA" w:rsidRPr="003D3843" w:rsidRDefault="00FF27DA" w:rsidP="003D3843">
                  <w:pPr>
                    <w:pStyle w:val="TableText"/>
                    <w:spacing w:before="0" w:after="0"/>
                    <w:rPr>
                      <w:szCs w:val="20"/>
                    </w:rPr>
                  </w:pPr>
                  <w:r w:rsidRPr="003D3843">
                    <w:rPr>
                      <w:rFonts w:eastAsiaTheme="minorEastAsia"/>
                      <w:szCs w:val="20"/>
                    </w:rPr>
                    <w:t>Probability of death of general population</w:t>
                  </w:r>
                </w:p>
              </w:tc>
              <w:tc>
                <w:tcPr>
                  <w:tcW w:w="707" w:type="pct"/>
                  <w:tcBorders>
                    <w:bottom w:val="single" w:sz="4" w:space="0" w:color="auto"/>
                  </w:tcBorders>
                </w:tcPr>
                <w:p w14:paraId="1ED9DE8B" w14:textId="77777777" w:rsidR="00FF27DA" w:rsidRPr="003D3843" w:rsidRDefault="00FF27DA" w:rsidP="003D3843">
                  <w:pPr>
                    <w:pStyle w:val="TableText"/>
                    <w:spacing w:before="0" w:after="0"/>
                    <w:rPr>
                      <w:szCs w:val="20"/>
                    </w:rPr>
                  </w:pPr>
                  <w:r w:rsidRPr="003D3843">
                    <w:rPr>
                      <w:szCs w:val="20"/>
                    </w:rPr>
                    <w:t>0.00065</w:t>
                  </w:r>
                </w:p>
              </w:tc>
              <w:tc>
                <w:tcPr>
                  <w:tcW w:w="2868" w:type="pct"/>
                  <w:tcBorders>
                    <w:bottom w:val="single" w:sz="4" w:space="0" w:color="auto"/>
                  </w:tcBorders>
                </w:tcPr>
                <w:p w14:paraId="273B3564" w14:textId="19D2212A" w:rsidR="00FF27DA" w:rsidRPr="003D3843" w:rsidRDefault="00FF27DA" w:rsidP="003D3843">
                  <w:pPr>
                    <w:pStyle w:val="TableText"/>
                    <w:spacing w:before="0" w:after="0"/>
                    <w:rPr>
                      <w:rFonts w:eastAsiaTheme="minorEastAsia"/>
                      <w:szCs w:val="20"/>
                    </w:rPr>
                  </w:pPr>
                  <w:r w:rsidRPr="003D3843">
                    <w:rPr>
                      <w:rFonts w:eastAsiaTheme="minorEastAsia"/>
                      <w:szCs w:val="20"/>
                    </w:rPr>
                    <w:t xml:space="preserve">Patients entering the model at age 5 with a life expectancy of 83 </w:t>
                  </w:r>
                  <w:r w:rsidRPr="003D3843">
                    <w:rPr>
                      <w:rFonts w:eastAsiaTheme="minorEastAsia"/>
                      <w:szCs w:val="20"/>
                    </w:rPr>
                    <w:fldChar w:fldCharType="begin"/>
                  </w:r>
                  <w:r w:rsidRPr="003D3843">
                    <w:rPr>
                      <w:rFonts w:eastAsiaTheme="minorEastAsia"/>
                      <w:szCs w:val="20"/>
                    </w:rPr>
                    <w:instrText xml:space="preserve"> ADDIN EN.CITE &lt;EndNote&gt;&lt;Cite&gt;&lt;Author&gt;Australian Bureau of Statistics&lt;/Author&gt;&lt;Year&gt;2018-2020&lt;/Year&gt;&lt;RecNum&gt;64&lt;/RecNum&gt;&lt;DisplayText&gt;(Australian Bureau of Statistics, 2018-2020)&lt;/DisplayText&gt;&lt;record&gt;&lt;rec-number&gt;64&lt;/rec-number&gt;&lt;foreign-keys&gt;&lt;key app="EN" db-id="5aadsstv3sv996esway5vazsepfefazvfdps" timestamp="1730896970"&gt;64&lt;/key&gt;&lt;/foreign-keys&gt;&lt;ref-type name="Web Page"&gt;12&lt;/ref-type&gt;&lt;contributors&gt;&lt;authors&gt;&lt;author&gt;Australian Bureau of Statistics,&lt;/author&gt;&lt;/authors&gt;&lt;/contributors&gt;&lt;titles&gt;&lt;title&gt;Life tables&lt;/title&gt;&lt;/titles&gt;&lt;dates&gt;&lt;year&gt;2018-2020&lt;/year&gt;&lt;/dates&gt;&lt;publisher&gt;ABS&lt;/publisher&gt;&lt;urls&gt;&lt;related-urls&gt;&lt;url&gt;https://www.abs.gov.au/statistics/people/population/life-expectancy/2018-2020&lt;/url&gt;&lt;/related-urls&gt;&lt;/urls&gt;&lt;/record&gt;&lt;/Cite&gt;&lt;/EndNote&gt;</w:instrText>
                  </w:r>
                  <w:r w:rsidRPr="003D3843">
                    <w:rPr>
                      <w:rFonts w:eastAsiaTheme="minorEastAsia"/>
                      <w:szCs w:val="20"/>
                    </w:rPr>
                    <w:fldChar w:fldCharType="separate"/>
                  </w:r>
                  <w:r w:rsidRPr="003D3843">
                    <w:rPr>
                      <w:rFonts w:eastAsiaTheme="minorEastAsia"/>
                      <w:noProof/>
                      <w:szCs w:val="20"/>
                    </w:rPr>
                    <w:t>(Australian Bureau of Statistics, 2018-2020</w:t>
                  </w:r>
                  <w:r w:rsidR="000A2151">
                    <w:rPr>
                      <w:rStyle w:val="FootnoteReference"/>
                      <w:rFonts w:eastAsiaTheme="minorEastAsia"/>
                      <w:noProof/>
                      <w:szCs w:val="20"/>
                    </w:rPr>
                    <w:footnoteReference w:id="18"/>
                  </w:r>
                  <w:r w:rsidRPr="003D3843">
                    <w:rPr>
                      <w:rFonts w:eastAsiaTheme="minorEastAsia"/>
                      <w:noProof/>
                      <w:szCs w:val="20"/>
                    </w:rPr>
                    <w:t>)</w:t>
                  </w:r>
                  <w:r w:rsidRPr="003D3843">
                    <w:rPr>
                      <w:rFonts w:eastAsiaTheme="minorEastAsia"/>
                      <w:szCs w:val="20"/>
                    </w:rPr>
                    <w:fldChar w:fldCharType="end"/>
                  </w:r>
                  <w:r w:rsidRPr="003D3843">
                    <w:rPr>
                      <w:rFonts w:eastAsiaTheme="minorEastAsia"/>
                      <w:szCs w:val="20"/>
                    </w:rPr>
                    <w:t>.</w:t>
                  </w:r>
                </w:p>
              </w:tc>
            </w:tr>
          </w:tbl>
          <w:p w14:paraId="6767315B" w14:textId="065B2B83" w:rsidR="0093732A" w:rsidRPr="00FB0DEB" w:rsidRDefault="0093732A" w:rsidP="003D3843">
            <w:pPr>
              <w:pStyle w:val="TableText"/>
              <w:rPr>
                <w:rFonts w:eastAsiaTheme="minorEastAsia"/>
              </w:rPr>
            </w:pPr>
          </w:p>
        </w:tc>
      </w:tr>
      <w:tr w:rsidR="0093732A" w:rsidRPr="000449D1" w14:paraId="50008382" w14:textId="77777777" w:rsidTr="422CAA86">
        <w:tc>
          <w:tcPr>
            <w:tcW w:w="2082" w:type="dxa"/>
          </w:tcPr>
          <w:p w14:paraId="536E0B70" w14:textId="77777777" w:rsidR="0093732A" w:rsidRPr="000449D1" w:rsidRDefault="0093732A">
            <w:pPr>
              <w:pStyle w:val="TableText"/>
            </w:pPr>
            <w:r w:rsidRPr="000449D1">
              <w:lastRenderedPageBreak/>
              <w:t>Discount rate</w:t>
            </w:r>
          </w:p>
        </w:tc>
        <w:tc>
          <w:tcPr>
            <w:tcW w:w="6985" w:type="dxa"/>
          </w:tcPr>
          <w:p w14:paraId="3FB9A520" w14:textId="77777777" w:rsidR="0093732A" w:rsidRPr="000B5AF8" w:rsidRDefault="0093732A">
            <w:pPr>
              <w:pStyle w:val="TableText"/>
            </w:pPr>
            <w:r w:rsidRPr="000B5AF8">
              <w:t xml:space="preserve">5% for both costs and </w:t>
            </w:r>
            <w:r>
              <w:rPr>
                <w:rFonts w:hint="eastAsia"/>
              </w:rPr>
              <w:t>QALYs</w:t>
            </w:r>
          </w:p>
        </w:tc>
      </w:tr>
      <w:tr w:rsidR="0093732A" w:rsidRPr="000449D1" w14:paraId="3166E0A0" w14:textId="77777777" w:rsidTr="422CAA86">
        <w:tc>
          <w:tcPr>
            <w:tcW w:w="2082" w:type="dxa"/>
          </w:tcPr>
          <w:p w14:paraId="3EC1E59F" w14:textId="77777777" w:rsidR="0093732A" w:rsidRPr="000449D1" w:rsidRDefault="0093732A">
            <w:pPr>
              <w:pStyle w:val="TableText"/>
            </w:pPr>
            <w:r w:rsidRPr="000449D1">
              <w:t>Software</w:t>
            </w:r>
          </w:p>
        </w:tc>
        <w:tc>
          <w:tcPr>
            <w:tcW w:w="6985" w:type="dxa"/>
          </w:tcPr>
          <w:p w14:paraId="2F92E4F9" w14:textId="20028D9A" w:rsidR="0093732A" w:rsidRPr="000449D1" w:rsidRDefault="0093732A">
            <w:pPr>
              <w:pStyle w:val="TableText"/>
            </w:pPr>
            <w:r>
              <w:rPr>
                <w:rFonts w:hint="eastAsia"/>
              </w:rPr>
              <w:t>Excel and TreeAge Pro</w:t>
            </w:r>
          </w:p>
        </w:tc>
      </w:tr>
    </w:tbl>
    <w:p w14:paraId="0D86580C" w14:textId="77777777" w:rsidR="0052670B" w:rsidRPr="00DD4A08" w:rsidRDefault="0052670B" w:rsidP="0052670B">
      <w:pPr>
        <w:pStyle w:val="TableFigureFooter"/>
        <w:rPr>
          <w:rFonts w:eastAsiaTheme="minorEastAsia"/>
          <w:lang w:eastAsia="zh-CN"/>
        </w:rPr>
      </w:pPr>
      <w:r>
        <w:t xml:space="preserve">Abbreviations: </w:t>
      </w:r>
      <w:r>
        <w:rPr>
          <w:rFonts w:eastAsiaTheme="minorEastAsia" w:hint="eastAsia"/>
        </w:rPr>
        <w:t>CBZ=</w:t>
      </w:r>
      <w:r w:rsidRPr="00C07B75">
        <w:t xml:space="preserve"> </w:t>
      </w:r>
      <w:r w:rsidRPr="00C07B75">
        <w:rPr>
          <w:rFonts w:eastAsiaTheme="minorEastAsia"/>
        </w:rPr>
        <w:t>carbamazepine</w:t>
      </w:r>
      <w:r>
        <w:rPr>
          <w:rFonts w:eastAsiaTheme="minorEastAsia" w:hint="eastAsia"/>
        </w:rPr>
        <w:t xml:space="preserve">; </w:t>
      </w:r>
      <w:r w:rsidRPr="00490FBB">
        <w:t>CEA=cost-effectiveness analysis; CUA=cost-utility analysis</w:t>
      </w:r>
      <w:r>
        <w:t>;</w:t>
      </w:r>
      <w:r w:rsidRPr="00F90B94">
        <w:t xml:space="preserve"> </w:t>
      </w:r>
      <w:r>
        <w:rPr>
          <w:rFonts w:eastAsiaTheme="minorEastAsia" w:hint="eastAsia"/>
        </w:rPr>
        <w:t>DRESS=</w:t>
      </w:r>
      <w:r w:rsidRPr="00667476">
        <w:t xml:space="preserve"> </w:t>
      </w:r>
      <w:r w:rsidRPr="00667476">
        <w:rPr>
          <w:rFonts w:eastAsiaTheme="minorEastAsia"/>
        </w:rPr>
        <w:t>drug reaction with eosinophilia and systemic symptoms</w:t>
      </w:r>
      <w:r>
        <w:rPr>
          <w:rFonts w:eastAsiaTheme="minorEastAsia" w:hint="eastAsia"/>
        </w:rPr>
        <w:t xml:space="preserve">; </w:t>
      </w:r>
      <w:r>
        <w:rPr>
          <w:rFonts w:eastAsiaTheme="minorEastAsia" w:hint="eastAsia"/>
          <w:lang w:eastAsia="zh-CN"/>
        </w:rPr>
        <w:t>GPB=</w:t>
      </w:r>
      <w:r w:rsidRPr="006D4AD7">
        <w:t xml:space="preserve"> </w:t>
      </w:r>
      <w:r w:rsidRPr="006D4AD7">
        <w:rPr>
          <w:rFonts w:eastAsiaTheme="minorEastAsia"/>
          <w:lang w:eastAsia="zh-CN"/>
        </w:rPr>
        <w:t>gabapentin</w:t>
      </w:r>
      <w:r>
        <w:rPr>
          <w:rFonts w:eastAsiaTheme="minorEastAsia" w:hint="eastAsia"/>
          <w:lang w:eastAsia="zh-CN"/>
        </w:rPr>
        <w:t xml:space="preserve">; </w:t>
      </w:r>
      <w:r>
        <w:rPr>
          <w:rFonts w:eastAsiaTheme="minorEastAsia" w:hint="eastAsia"/>
        </w:rPr>
        <w:t>OXC=</w:t>
      </w:r>
      <w:r w:rsidRPr="00916EB5">
        <w:rPr>
          <w:rFonts w:cs="Courier New"/>
          <w:szCs w:val="20"/>
        </w:rPr>
        <w:t>oxcarbazepine</w:t>
      </w:r>
      <w:r>
        <w:rPr>
          <w:rFonts w:eastAsiaTheme="minorEastAsia" w:cs="Courier New" w:hint="eastAsia"/>
          <w:szCs w:val="20"/>
        </w:rPr>
        <w:t xml:space="preserve">; </w:t>
      </w:r>
      <w:r>
        <w:rPr>
          <w:rFonts w:eastAsiaTheme="minorEastAsia" w:hint="eastAsia"/>
          <w:lang w:eastAsia="zh-CN"/>
        </w:rPr>
        <w:t>PBG=</w:t>
      </w:r>
      <w:r w:rsidRPr="00DD2673">
        <w:t xml:space="preserve"> </w:t>
      </w:r>
      <w:r w:rsidRPr="00DD2673">
        <w:rPr>
          <w:rFonts w:eastAsiaTheme="minorEastAsia"/>
          <w:lang w:eastAsia="zh-CN"/>
        </w:rPr>
        <w:t>Pregabalin</w:t>
      </w:r>
      <w:r>
        <w:rPr>
          <w:rFonts w:eastAsiaTheme="minorEastAsia" w:hint="eastAsia"/>
          <w:lang w:eastAsia="zh-CN"/>
        </w:rPr>
        <w:t xml:space="preserve">; </w:t>
      </w:r>
      <w:r>
        <w:rPr>
          <w:rFonts w:eastAsiaTheme="minorEastAsia" w:cs="Courier New" w:hint="eastAsia"/>
          <w:szCs w:val="20"/>
        </w:rPr>
        <w:t xml:space="preserve">PPV= </w:t>
      </w:r>
      <w:r w:rsidRPr="00667476">
        <w:rPr>
          <w:rFonts w:eastAsiaTheme="minorEastAsia" w:cs="Courier New"/>
          <w:szCs w:val="20"/>
        </w:rPr>
        <w:t>Positive predict value</w:t>
      </w:r>
      <w:r>
        <w:rPr>
          <w:rFonts w:eastAsiaTheme="minorEastAsia" w:cs="Courier New" w:hint="eastAsia"/>
          <w:szCs w:val="20"/>
        </w:rPr>
        <w:t xml:space="preserve">; </w:t>
      </w:r>
      <w:r>
        <w:t>QALYs=Quality Adjusted Life Years</w:t>
      </w:r>
      <w:r>
        <w:rPr>
          <w:rFonts w:eastAsiaTheme="minorEastAsia" w:hint="eastAsia"/>
        </w:rPr>
        <w:t>; SJS=</w:t>
      </w:r>
      <w:r w:rsidRPr="003231F9">
        <w:t xml:space="preserve"> </w:t>
      </w:r>
      <w:r w:rsidRPr="003231F9">
        <w:rPr>
          <w:rFonts w:eastAsiaTheme="minorEastAsia"/>
        </w:rPr>
        <w:t>Stevens–Johnson syndrome</w:t>
      </w:r>
      <w:r>
        <w:rPr>
          <w:rFonts w:eastAsiaTheme="minorEastAsia" w:hint="eastAsia"/>
        </w:rPr>
        <w:t>; TEN=</w:t>
      </w:r>
      <w:r w:rsidRPr="00F13B7C">
        <w:t xml:space="preserve"> </w:t>
      </w:r>
      <w:r w:rsidRPr="00F13B7C">
        <w:rPr>
          <w:rFonts w:eastAsiaTheme="minorEastAsia"/>
        </w:rPr>
        <w:t>toxic epidermal necrolysis</w:t>
      </w:r>
      <w:r>
        <w:rPr>
          <w:rFonts w:eastAsiaTheme="minorEastAsia" w:hint="eastAsia"/>
          <w:lang w:eastAsia="zh-CN"/>
        </w:rPr>
        <w:t>; TN=</w:t>
      </w:r>
      <w:r w:rsidRPr="00AD65C4">
        <w:t xml:space="preserve"> </w:t>
      </w:r>
      <w:r w:rsidRPr="00AD65C4">
        <w:rPr>
          <w:rFonts w:eastAsiaTheme="minorEastAsia"/>
          <w:lang w:eastAsia="zh-CN"/>
        </w:rPr>
        <w:t>trigeminal neuralgia</w:t>
      </w:r>
      <w:r>
        <w:rPr>
          <w:rFonts w:eastAsiaTheme="minorEastAsia" w:hint="eastAsia"/>
          <w:lang w:eastAsia="zh-CN"/>
        </w:rPr>
        <w:t>; VPA=</w:t>
      </w:r>
      <w:r w:rsidRPr="000D2951">
        <w:t xml:space="preserve"> </w:t>
      </w:r>
      <w:r w:rsidRPr="000D2951">
        <w:rPr>
          <w:rFonts w:eastAsiaTheme="minorEastAsia"/>
          <w:lang w:eastAsia="zh-CN"/>
        </w:rPr>
        <w:t>Valproate</w:t>
      </w:r>
      <w:r>
        <w:rPr>
          <w:rFonts w:eastAsiaTheme="minorEastAsia" w:hint="eastAsia"/>
          <w:lang w:eastAsia="zh-CN"/>
        </w:rPr>
        <w:t>.</w:t>
      </w:r>
    </w:p>
    <w:p w14:paraId="1C4AC5FE" w14:textId="3C41E76F" w:rsidR="003454A1" w:rsidRPr="00B233F7" w:rsidRDefault="00892E91" w:rsidP="422CAA86">
      <w:pPr>
        <w:pStyle w:val="Instructionaltext"/>
        <w:rPr>
          <w:sz w:val="22"/>
          <w:szCs w:val="22"/>
        </w:rPr>
      </w:pPr>
      <w:r w:rsidRPr="422CAA86">
        <w:rPr>
          <w:sz w:val="22"/>
          <w:szCs w:val="22"/>
        </w:rPr>
        <w:lastRenderedPageBreak/>
        <w:t xml:space="preserve">The model was conducted using a stepped approach </w:t>
      </w:r>
      <w:r w:rsidR="009A4F58">
        <w:rPr>
          <w:sz w:val="22"/>
          <w:szCs w:val="22"/>
        </w:rPr>
        <w:t xml:space="preserve">in light of </w:t>
      </w:r>
      <w:r w:rsidRPr="422CAA86">
        <w:rPr>
          <w:sz w:val="22"/>
          <w:szCs w:val="22"/>
        </w:rPr>
        <w:t xml:space="preserve">the absence of robust </w:t>
      </w:r>
      <w:r w:rsidR="005E3E88">
        <w:rPr>
          <w:sz w:val="22"/>
          <w:szCs w:val="22"/>
        </w:rPr>
        <w:t xml:space="preserve">test to outcomes </w:t>
      </w:r>
      <w:r w:rsidRPr="422CAA86">
        <w:rPr>
          <w:sz w:val="22"/>
          <w:szCs w:val="22"/>
        </w:rPr>
        <w:t xml:space="preserve">evidence. </w:t>
      </w:r>
      <w:r w:rsidR="003454A1" w:rsidRPr="422CAA86">
        <w:rPr>
          <w:sz w:val="22"/>
          <w:szCs w:val="22"/>
        </w:rPr>
        <w:t xml:space="preserve">Step 1 considered the cost per patient with positive genotyping results (i.e. </w:t>
      </w:r>
      <w:r w:rsidR="003975F2" w:rsidRPr="003975F2">
        <w:rPr>
          <w:i/>
          <w:iCs/>
          <w:sz w:val="22"/>
          <w:szCs w:val="22"/>
        </w:rPr>
        <w:t xml:space="preserve">HLA-A*31:01 </w:t>
      </w:r>
      <w:r w:rsidR="003454A1" w:rsidRPr="422CAA86">
        <w:rPr>
          <w:sz w:val="22"/>
          <w:szCs w:val="22"/>
        </w:rPr>
        <w:t xml:space="preserve">and/or </w:t>
      </w:r>
      <w:r w:rsidR="003975F2" w:rsidRPr="003975F2">
        <w:rPr>
          <w:i/>
          <w:iCs/>
          <w:sz w:val="22"/>
          <w:szCs w:val="22"/>
        </w:rPr>
        <w:t xml:space="preserve">HLA-B*15:02 </w:t>
      </w:r>
      <w:r w:rsidR="003454A1" w:rsidRPr="422CAA86">
        <w:rPr>
          <w:sz w:val="22"/>
          <w:szCs w:val="22"/>
        </w:rPr>
        <w:t xml:space="preserve">variant identified). Step 2 considered the probabilities of treatment-induced (CBZ/OXC-induced) severe hypersensitivity reactions (SJS-TEN/DRESS) in carriers and non-carriers of </w:t>
      </w:r>
      <w:r w:rsidR="003975F2" w:rsidRPr="003975F2">
        <w:rPr>
          <w:i/>
          <w:iCs/>
          <w:sz w:val="22"/>
          <w:szCs w:val="22"/>
        </w:rPr>
        <w:t xml:space="preserve">HLA-A*31:01 </w:t>
      </w:r>
      <w:r w:rsidR="003454A1" w:rsidRPr="422CAA86">
        <w:rPr>
          <w:sz w:val="22"/>
          <w:szCs w:val="22"/>
        </w:rPr>
        <w:t xml:space="preserve">and </w:t>
      </w:r>
      <w:r w:rsidR="003975F2" w:rsidRPr="003975F2">
        <w:rPr>
          <w:i/>
          <w:iCs/>
          <w:sz w:val="22"/>
          <w:szCs w:val="22"/>
        </w:rPr>
        <w:t xml:space="preserve">HLA-B*15:02 </w:t>
      </w:r>
      <w:r w:rsidR="003454A1" w:rsidRPr="422CAA86">
        <w:rPr>
          <w:sz w:val="22"/>
          <w:szCs w:val="22"/>
        </w:rPr>
        <w:t xml:space="preserve">alleles. </w:t>
      </w:r>
      <w:r w:rsidR="009717F5" w:rsidRPr="422CAA86">
        <w:rPr>
          <w:sz w:val="22"/>
          <w:szCs w:val="22"/>
        </w:rPr>
        <w:t xml:space="preserve">At this point the impacts of false-positive and false-negative </w:t>
      </w:r>
      <w:r w:rsidR="00EE48AF" w:rsidRPr="422CAA86">
        <w:rPr>
          <w:i/>
          <w:iCs/>
          <w:sz w:val="22"/>
          <w:szCs w:val="22"/>
        </w:rPr>
        <w:t>HLA</w:t>
      </w:r>
      <w:r w:rsidR="009717F5" w:rsidRPr="422CAA86">
        <w:rPr>
          <w:sz w:val="22"/>
          <w:szCs w:val="22"/>
        </w:rPr>
        <w:t xml:space="preserve"> genotyping</w:t>
      </w:r>
      <w:r w:rsidR="00D31761" w:rsidRPr="422CAA86">
        <w:rPr>
          <w:sz w:val="22"/>
          <w:szCs w:val="22"/>
        </w:rPr>
        <w:t xml:space="preserve"> </w:t>
      </w:r>
      <w:r w:rsidR="00A80654">
        <w:rPr>
          <w:sz w:val="22"/>
          <w:szCs w:val="22"/>
        </w:rPr>
        <w:t>were</w:t>
      </w:r>
      <w:r w:rsidR="00A80654" w:rsidRPr="422CAA86">
        <w:rPr>
          <w:sz w:val="22"/>
          <w:szCs w:val="22"/>
        </w:rPr>
        <w:t xml:space="preserve"> </w:t>
      </w:r>
      <w:r w:rsidR="009717F5" w:rsidRPr="422CAA86">
        <w:rPr>
          <w:sz w:val="22"/>
          <w:szCs w:val="22"/>
        </w:rPr>
        <w:t xml:space="preserve">considered in the model. </w:t>
      </w:r>
      <w:r w:rsidR="00EE48AF" w:rsidRPr="422CAA86">
        <w:rPr>
          <w:sz w:val="22"/>
          <w:szCs w:val="22"/>
        </w:rPr>
        <w:t xml:space="preserve">While specific </w:t>
      </w:r>
      <w:r w:rsidR="00B00780" w:rsidRPr="422CAA86">
        <w:rPr>
          <w:sz w:val="22"/>
          <w:szCs w:val="22"/>
        </w:rPr>
        <w:t xml:space="preserve">pathways for </w:t>
      </w:r>
      <w:r w:rsidR="00374D55" w:rsidRPr="422CAA86">
        <w:rPr>
          <w:sz w:val="22"/>
          <w:szCs w:val="22"/>
        </w:rPr>
        <w:t>false positives and false negatives</w:t>
      </w:r>
      <w:r w:rsidR="00B00780" w:rsidRPr="422CAA86">
        <w:rPr>
          <w:sz w:val="22"/>
          <w:szCs w:val="22"/>
        </w:rPr>
        <w:t xml:space="preserve"> </w:t>
      </w:r>
      <w:r w:rsidR="00241E4A">
        <w:rPr>
          <w:sz w:val="22"/>
          <w:szCs w:val="22"/>
        </w:rPr>
        <w:t>we</w:t>
      </w:r>
      <w:r w:rsidR="00B00780" w:rsidRPr="422CAA86">
        <w:rPr>
          <w:sz w:val="22"/>
          <w:szCs w:val="22"/>
        </w:rPr>
        <w:t xml:space="preserve">re not </w:t>
      </w:r>
      <w:r w:rsidR="0031093A" w:rsidRPr="422CAA86">
        <w:rPr>
          <w:sz w:val="22"/>
          <w:szCs w:val="22"/>
        </w:rPr>
        <w:t>developed</w:t>
      </w:r>
      <w:r w:rsidR="00374D55" w:rsidRPr="422CAA86">
        <w:rPr>
          <w:sz w:val="22"/>
          <w:szCs w:val="22"/>
        </w:rPr>
        <w:t>,</w:t>
      </w:r>
      <w:r w:rsidR="0031093A" w:rsidRPr="422CAA86">
        <w:rPr>
          <w:sz w:val="22"/>
          <w:szCs w:val="22"/>
        </w:rPr>
        <w:t xml:space="preserve"> the </w:t>
      </w:r>
      <w:r w:rsidR="009717F5" w:rsidRPr="422CAA86">
        <w:rPr>
          <w:sz w:val="22"/>
          <w:szCs w:val="22"/>
        </w:rPr>
        <w:t>costs and outcomes for patients</w:t>
      </w:r>
      <w:r w:rsidR="0031093A" w:rsidRPr="422CAA86">
        <w:rPr>
          <w:sz w:val="22"/>
          <w:szCs w:val="22"/>
        </w:rPr>
        <w:t xml:space="preserve"> </w:t>
      </w:r>
      <w:r w:rsidR="00CD561D">
        <w:rPr>
          <w:sz w:val="22"/>
          <w:szCs w:val="22"/>
        </w:rPr>
        <w:t>we</w:t>
      </w:r>
      <w:r w:rsidR="0031093A" w:rsidRPr="422CAA86">
        <w:rPr>
          <w:sz w:val="22"/>
          <w:szCs w:val="22"/>
        </w:rPr>
        <w:t xml:space="preserve">re incorporated into the model as </w:t>
      </w:r>
      <w:r w:rsidR="005E70E9">
        <w:rPr>
          <w:sz w:val="22"/>
          <w:szCs w:val="22"/>
        </w:rPr>
        <w:t>patients</w:t>
      </w:r>
      <w:r w:rsidR="005E70E9" w:rsidRPr="422CAA86">
        <w:rPr>
          <w:sz w:val="22"/>
          <w:szCs w:val="22"/>
        </w:rPr>
        <w:t xml:space="preserve"> </w:t>
      </w:r>
      <w:r w:rsidR="0031093A" w:rsidRPr="422CAA86">
        <w:rPr>
          <w:sz w:val="22"/>
          <w:szCs w:val="22"/>
        </w:rPr>
        <w:t>are treated as they would be in practice.</w:t>
      </w:r>
      <w:r w:rsidR="000C38A4" w:rsidRPr="422CAA86">
        <w:rPr>
          <w:sz w:val="22"/>
          <w:szCs w:val="22"/>
        </w:rPr>
        <w:t xml:space="preserve"> This approach is consistent with the recently published guidance for economic evaluations of genetic medicine (</w:t>
      </w:r>
      <w:proofErr w:type="spellStart"/>
      <w:r w:rsidR="000C38A4" w:rsidRPr="422CAA86">
        <w:rPr>
          <w:sz w:val="22"/>
          <w:szCs w:val="22"/>
        </w:rPr>
        <w:t>Vellekoop</w:t>
      </w:r>
      <w:proofErr w:type="spellEnd"/>
      <w:r w:rsidR="000C38A4" w:rsidRPr="422CAA86">
        <w:rPr>
          <w:sz w:val="22"/>
          <w:szCs w:val="22"/>
        </w:rPr>
        <w:t xml:space="preserve"> et al., 2021</w:t>
      </w:r>
      <w:r w:rsidR="007C513C">
        <w:rPr>
          <w:rStyle w:val="FootnoteReference"/>
          <w:sz w:val="22"/>
          <w:szCs w:val="22"/>
        </w:rPr>
        <w:footnoteReference w:id="19"/>
      </w:r>
      <w:r w:rsidR="000C38A4" w:rsidRPr="422CAA86">
        <w:rPr>
          <w:sz w:val="22"/>
          <w:szCs w:val="22"/>
        </w:rPr>
        <w:t>).</w:t>
      </w:r>
      <w:r w:rsidR="009717F5" w:rsidRPr="422CAA86">
        <w:rPr>
          <w:sz w:val="22"/>
          <w:szCs w:val="22"/>
        </w:rPr>
        <w:t xml:space="preserve"> </w:t>
      </w:r>
      <w:r w:rsidR="003454A1" w:rsidRPr="422CAA86">
        <w:rPr>
          <w:sz w:val="22"/>
          <w:szCs w:val="22"/>
        </w:rPr>
        <w:t>Step 3 considered the additional costs associated with treating epilepsy</w:t>
      </w:r>
      <w:r w:rsidR="009F68B9" w:rsidRPr="422CAA86">
        <w:rPr>
          <w:rFonts w:eastAsiaTheme="minorEastAsia"/>
          <w:sz w:val="22"/>
          <w:szCs w:val="22"/>
        </w:rPr>
        <w:t>,</w:t>
      </w:r>
      <w:r w:rsidR="003454A1" w:rsidRPr="422CAA86">
        <w:rPr>
          <w:rFonts w:eastAsiaTheme="minorEastAsia"/>
          <w:sz w:val="22"/>
          <w:szCs w:val="22"/>
        </w:rPr>
        <w:t xml:space="preserve"> trigeminal neuralgia (TN)</w:t>
      </w:r>
      <w:r w:rsidR="003454A1" w:rsidRPr="422CAA86">
        <w:rPr>
          <w:sz w:val="22"/>
          <w:szCs w:val="22"/>
        </w:rPr>
        <w:t xml:space="preserve"> and SJS-TEN/DRESS, and transition probabilities between health states of epilepsy</w:t>
      </w:r>
      <w:r w:rsidR="003454A1" w:rsidRPr="422CAA86">
        <w:rPr>
          <w:rFonts w:eastAsiaTheme="minorEastAsia"/>
          <w:sz w:val="22"/>
          <w:szCs w:val="22"/>
        </w:rPr>
        <w:t xml:space="preserve"> and TN</w:t>
      </w:r>
      <w:r w:rsidR="003454A1" w:rsidRPr="422CAA86">
        <w:rPr>
          <w:sz w:val="22"/>
          <w:szCs w:val="22"/>
        </w:rPr>
        <w:t xml:space="preserve">. </w:t>
      </w:r>
      <w:r w:rsidR="003454A1" w:rsidRPr="422CAA86">
        <w:rPr>
          <w:rFonts w:eastAsiaTheme="minorEastAsia"/>
          <w:sz w:val="22"/>
          <w:szCs w:val="22"/>
        </w:rPr>
        <w:t>Each</w:t>
      </w:r>
      <w:r w:rsidR="003454A1" w:rsidRPr="422CAA86">
        <w:rPr>
          <w:sz w:val="22"/>
          <w:szCs w:val="22"/>
        </w:rPr>
        <w:t xml:space="preserve"> economic model consisted of two models: the decision tree and Markov model. In the decision tree, there were two arms: 1) </w:t>
      </w:r>
      <w:r w:rsidR="003975F2" w:rsidRPr="003975F2">
        <w:rPr>
          <w:i/>
          <w:iCs/>
          <w:sz w:val="22"/>
          <w:szCs w:val="22"/>
        </w:rPr>
        <w:t xml:space="preserve">HLA-A*31:01 </w:t>
      </w:r>
      <w:r w:rsidR="003454A1" w:rsidRPr="422CAA86">
        <w:rPr>
          <w:sz w:val="22"/>
          <w:szCs w:val="22"/>
        </w:rPr>
        <w:t xml:space="preserve">and </w:t>
      </w:r>
      <w:r w:rsidR="003975F2" w:rsidRPr="003975F2">
        <w:rPr>
          <w:i/>
          <w:iCs/>
          <w:sz w:val="22"/>
          <w:szCs w:val="22"/>
        </w:rPr>
        <w:t xml:space="preserve">HLA-B*15:02 </w:t>
      </w:r>
      <w:r w:rsidR="003454A1" w:rsidRPr="422CAA86">
        <w:rPr>
          <w:sz w:val="22"/>
          <w:szCs w:val="22"/>
        </w:rPr>
        <w:t xml:space="preserve">genotyping; 2) no testing. In the Markov model, </w:t>
      </w:r>
      <w:r w:rsidR="003454A1" w:rsidRPr="422CAA86">
        <w:rPr>
          <w:rFonts w:eastAsiaTheme="minorEastAsia"/>
          <w:sz w:val="22"/>
          <w:szCs w:val="22"/>
        </w:rPr>
        <w:t>for epilepsy (</w:t>
      </w:r>
      <w:r w:rsidR="002E6B38">
        <w:rPr>
          <w:sz w:val="22"/>
          <w:szCs w:val="22"/>
        </w:rPr>
        <w:t>Figure 22</w:t>
      </w:r>
      <w:r w:rsidR="003454A1" w:rsidRPr="422CAA86">
        <w:rPr>
          <w:rFonts w:eastAsiaTheme="minorEastAsia"/>
          <w:sz w:val="22"/>
          <w:szCs w:val="22"/>
        </w:rPr>
        <w:t>), the</w:t>
      </w:r>
      <w:r w:rsidR="003454A1" w:rsidRPr="422CAA86">
        <w:rPr>
          <w:sz w:val="22"/>
          <w:szCs w:val="22"/>
        </w:rPr>
        <w:t xml:space="preserve"> health states</w:t>
      </w:r>
      <w:r w:rsidR="003454A1" w:rsidRPr="422CAA86">
        <w:rPr>
          <w:rFonts w:eastAsiaTheme="minorEastAsia"/>
          <w:sz w:val="22"/>
          <w:szCs w:val="22"/>
        </w:rPr>
        <w:t xml:space="preserve"> were</w:t>
      </w:r>
      <w:r w:rsidR="003454A1" w:rsidRPr="422CAA86">
        <w:rPr>
          <w:sz w:val="22"/>
          <w:szCs w:val="22"/>
        </w:rPr>
        <w:t>: 1) uncontrolled epilepsy; 2) remission; 3) death</w:t>
      </w:r>
      <w:r w:rsidR="003454A1" w:rsidRPr="422CAA86">
        <w:rPr>
          <w:rFonts w:eastAsiaTheme="minorEastAsia"/>
          <w:sz w:val="22"/>
          <w:szCs w:val="22"/>
        </w:rPr>
        <w:t xml:space="preserve">; for TN, the health states were: 1) uncontrolled pain; 2) controlled pain; 3) death. </w:t>
      </w:r>
      <w:r w:rsidR="0001301A" w:rsidRPr="422CAA86">
        <w:rPr>
          <w:sz w:val="22"/>
          <w:szCs w:val="22"/>
        </w:rPr>
        <w:t>The results are presented in</w:t>
      </w:r>
      <w:r w:rsidR="00287F17" w:rsidRPr="422CAA86">
        <w:rPr>
          <w:sz w:val="22"/>
          <w:szCs w:val="22"/>
        </w:rPr>
        <w:t xml:space="preserve"> </w:t>
      </w:r>
      <w:r w:rsidR="00287F17" w:rsidRPr="00B233F7">
        <w:rPr>
          <w:sz w:val="22"/>
          <w:szCs w:val="22"/>
        </w:rPr>
        <w:fldChar w:fldCharType="begin"/>
      </w:r>
      <w:r w:rsidR="00287F17" w:rsidRPr="00B233F7">
        <w:rPr>
          <w:sz w:val="22"/>
          <w:szCs w:val="22"/>
        </w:rPr>
        <w:instrText xml:space="preserve"> REF _Ref181831828 \h  \* MERGEFORMAT </w:instrText>
      </w:r>
      <w:r w:rsidR="00287F17" w:rsidRPr="00B233F7">
        <w:rPr>
          <w:sz w:val="22"/>
          <w:szCs w:val="22"/>
        </w:rPr>
      </w:r>
      <w:r w:rsidR="00287F17" w:rsidRPr="00B233F7">
        <w:rPr>
          <w:sz w:val="22"/>
          <w:szCs w:val="22"/>
        </w:rPr>
        <w:fldChar w:fldCharType="separate"/>
      </w:r>
      <w:r w:rsidR="002E6B38" w:rsidRPr="002E6B38">
        <w:rPr>
          <w:rFonts w:hint="eastAsia"/>
          <w:sz w:val="22"/>
          <w:szCs w:val="22"/>
        </w:rPr>
        <w:t>Table</w:t>
      </w:r>
      <w:r w:rsidR="002E6B38" w:rsidRPr="002E6B38">
        <w:rPr>
          <w:sz w:val="22"/>
          <w:szCs w:val="22"/>
        </w:rPr>
        <w:t> </w:t>
      </w:r>
      <w:r w:rsidR="00287F17" w:rsidRPr="00B233F7">
        <w:rPr>
          <w:sz w:val="22"/>
          <w:szCs w:val="22"/>
        </w:rPr>
        <w:fldChar w:fldCharType="end"/>
      </w:r>
      <w:r w:rsidR="0096059D" w:rsidRPr="422CAA86">
        <w:rPr>
          <w:sz w:val="22"/>
          <w:szCs w:val="22"/>
        </w:rPr>
        <w:t xml:space="preserve">. </w:t>
      </w:r>
    </w:p>
    <w:p w14:paraId="23D38B1C" w14:textId="55109E9F" w:rsidR="00515F7E" w:rsidRPr="00B233F7" w:rsidRDefault="00515F7E" w:rsidP="003A7DE5">
      <w:pPr>
        <w:pStyle w:val="Instructionaltext"/>
        <w:rPr>
          <w:sz w:val="22"/>
          <w:szCs w:val="22"/>
        </w:rPr>
      </w:pPr>
      <w:r w:rsidRPr="00B233F7">
        <w:rPr>
          <w:rFonts w:hint="eastAsia"/>
          <w:sz w:val="22"/>
          <w:szCs w:val="22"/>
        </w:rPr>
        <w:t xml:space="preserve">In summary, when only considering the cost of </w:t>
      </w:r>
      <w:r w:rsidR="003975F2" w:rsidRPr="003975F2">
        <w:rPr>
          <w:i/>
          <w:sz w:val="22"/>
          <w:szCs w:val="22"/>
        </w:rPr>
        <w:t xml:space="preserve">HLA-A*31:01 </w:t>
      </w:r>
      <w:r w:rsidRPr="00B233F7">
        <w:rPr>
          <w:sz w:val="22"/>
          <w:szCs w:val="22"/>
        </w:rPr>
        <w:t xml:space="preserve">and </w:t>
      </w:r>
      <w:r w:rsidR="003975F2" w:rsidRPr="003975F2">
        <w:rPr>
          <w:i/>
          <w:sz w:val="22"/>
          <w:szCs w:val="22"/>
        </w:rPr>
        <w:t xml:space="preserve">HLA-B*15:02 </w:t>
      </w:r>
      <w:r w:rsidRPr="00B233F7">
        <w:rPr>
          <w:rFonts w:hint="eastAsia"/>
          <w:sz w:val="22"/>
          <w:szCs w:val="22"/>
        </w:rPr>
        <w:t>genotyping ($188), the cost per patient with positive genotyping results was</w:t>
      </w:r>
      <w:r w:rsidRPr="00B233F7">
        <w:rPr>
          <w:sz w:val="22"/>
          <w:szCs w:val="22"/>
        </w:rPr>
        <w:t xml:space="preserve"> $3,337.68</w:t>
      </w:r>
      <w:r w:rsidRPr="00B233F7">
        <w:rPr>
          <w:rFonts w:hint="eastAsia"/>
          <w:sz w:val="22"/>
          <w:szCs w:val="22"/>
        </w:rPr>
        <w:t xml:space="preserve">. The cost per patient </w:t>
      </w:r>
      <w:r w:rsidRPr="00B233F7">
        <w:rPr>
          <w:sz w:val="22"/>
          <w:szCs w:val="22"/>
        </w:rPr>
        <w:t>avoiding</w:t>
      </w:r>
      <w:r w:rsidRPr="00B233F7">
        <w:rPr>
          <w:rFonts w:hint="eastAsia"/>
          <w:sz w:val="22"/>
          <w:szCs w:val="22"/>
        </w:rPr>
        <w:t xml:space="preserve"> SJS-TEN/DRESS was </w:t>
      </w:r>
      <w:r w:rsidRPr="00B233F7">
        <w:rPr>
          <w:sz w:val="22"/>
          <w:szCs w:val="22"/>
        </w:rPr>
        <w:t>$428,125.68, when standard and alternative treatment costs were added</w:t>
      </w:r>
      <w:r w:rsidRPr="00B233F7">
        <w:rPr>
          <w:rFonts w:hint="eastAsia"/>
          <w:sz w:val="22"/>
          <w:szCs w:val="22"/>
        </w:rPr>
        <w:t xml:space="preserve">. When </w:t>
      </w:r>
      <w:r w:rsidRPr="00B233F7">
        <w:rPr>
          <w:sz w:val="22"/>
          <w:szCs w:val="22"/>
        </w:rPr>
        <w:t>considerin</w:t>
      </w:r>
      <w:r w:rsidRPr="00B233F7">
        <w:rPr>
          <w:rFonts w:hint="eastAsia"/>
          <w:sz w:val="22"/>
          <w:szCs w:val="22"/>
        </w:rPr>
        <w:t xml:space="preserve">g the costs of treatments and </w:t>
      </w:r>
      <w:r w:rsidRPr="00B233F7">
        <w:rPr>
          <w:sz w:val="22"/>
          <w:szCs w:val="22"/>
        </w:rPr>
        <w:t>associated</w:t>
      </w:r>
      <w:r w:rsidRPr="00B233F7">
        <w:rPr>
          <w:rFonts w:hint="eastAsia"/>
          <w:sz w:val="22"/>
          <w:szCs w:val="22"/>
        </w:rPr>
        <w:t xml:space="preserve"> costs relating to </w:t>
      </w:r>
      <w:r w:rsidRPr="00B233F7">
        <w:rPr>
          <w:sz w:val="22"/>
          <w:szCs w:val="22"/>
        </w:rPr>
        <w:t>hospitalisations</w:t>
      </w:r>
      <w:r w:rsidRPr="00B233F7">
        <w:rPr>
          <w:rFonts w:hint="eastAsia"/>
          <w:sz w:val="22"/>
          <w:szCs w:val="22"/>
        </w:rPr>
        <w:t xml:space="preserve"> and </w:t>
      </w:r>
      <w:r w:rsidRPr="00B233F7">
        <w:rPr>
          <w:sz w:val="22"/>
          <w:szCs w:val="22"/>
        </w:rPr>
        <w:t>hypersensitivity</w:t>
      </w:r>
      <w:r w:rsidRPr="00B233F7">
        <w:rPr>
          <w:rFonts w:hint="eastAsia"/>
          <w:sz w:val="22"/>
          <w:szCs w:val="22"/>
        </w:rPr>
        <w:t xml:space="preserve"> reactions, </w:t>
      </w:r>
      <w:r w:rsidRPr="00B233F7">
        <w:rPr>
          <w:sz w:val="22"/>
          <w:szCs w:val="22"/>
        </w:rPr>
        <w:t xml:space="preserve">compared to no testing, genotyping was less costly and more effective for epilepsy (dominant), but less costly and less effective for TN. </w:t>
      </w:r>
    </w:p>
    <w:p w14:paraId="0E0A1423" w14:textId="75645164" w:rsidR="003C1A6B" w:rsidRPr="00390B55" w:rsidRDefault="003E7372" w:rsidP="0034139B">
      <w:pPr>
        <w:pStyle w:val="Caption"/>
        <w:keepLines/>
        <w:rPr>
          <w:snapToGrid w:val="0"/>
        </w:rPr>
      </w:pPr>
      <w:bookmarkStart w:id="29" w:name="_Ref181831828"/>
      <w:r w:rsidRPr="00F57762">
        <w:rPr>
          <w:rFonts w:hint="eastAsia"/>
          <w:snapToGrid w:val="0"/>
        </w:rPr>
        <w:lastRenderedPageBreak/>
        <w:t>T</w:t>
      </w:r>
      <w:r w:rsidR="00390B55" w:rsidRPr="00F57762">
        <w:rPr>
          <w:rFonts w:hint="eastAsia"/>
          <w:snapToGrid w:val="0"/>
        </w:rPr>
        <w:t>able</w:t>
      </w:r>
      <w:r w:rsidR="00C41444" w:rsidRPr="00F57762">
        <w:rPr>
          <w:snapToGrid w:val="0"/>
        </w:rPr>
        <w:t> </w:t>
      </w:r>
      <w:bookmarkEnd w:id="29"/>
      <w:r w:rsidR="000B38F7">
        <w:rPr>
          <w:snapToGrid w:val="0"/>
        </w:rPr>
        <w:t>8</w:t>
      </w:r>
      <w:r w:rsidR="000B38F7" w:rsidRPr="00F57762">
        <w:rPr>
          <w:snapToGrid w:val="0"/>
        </w:rPr>
        <w:t xml:space="preserve"> </w:t>
      </w:r>
      <w:r w:rsidR="00C41444" w:rsidRPr="00F57762">
        <w:rPr>
          <w:snapToGrid w:val="0"/>
        </w:rPr>
        <w:tab/>
      </w:r>
      <w:r w:rsidR="00390B55" w:rsidRPr="00390B55">
        <w:rPr>
          <w:rFonts w:hint="eastAsia"/>
          <w:snapToGrid w:val="0"/>
        </w:rPr>
        <w:t>Results of the stepped economic analysis</w:t>
      </w:r>
    </w:p>
    <w:tbl>
      <w:tblPr>
        <w:tblStyle w:val="TableGrid1"/>
        <w:tblW w:w="5000" w:type="pct"/>
        <w:tblLayout w:type="fixed"/>
        <w:tblCellMar>
          <w:top w:w="57" w:type="dxa"/>
          <w:left w:w="28" w:type="dxa"/>
          <w:bottom w:w="57" w:type="dxa"/>
          <w:right w:w="28" w:type="dxa"/>
        </w:tblCellMar>
        <w:tblLook w:val="04A0" w:firstRow="1" w:lastRow="0" w:firstColumn="1" w:lastColumn="0" w:noHBand="0" w:noVBand="1"/>
        <w:tblCaption w:val="Results of the stepped economic analyses"/>
      </w:tblPr>
      <w:tblGrid>
        <w:gridCol w:w="4249"/>
        <w:gridCol w:w="1417"/>
        <w:gridCol w:w="994"/>
        <w:gridCol w:w="1132"/>
        <w:gridCol w:w="1224"/>
      </w:tblGrid>
      <w:tr w:rsidR="003E7372" w:rsidRPr="00CE28E3" w14:paraId="59D08DD4" w14:textId="77777777" w:rsidTr="422CAA86">
        <w:trPr>
          <w:cnfStyle w:val="100000000000" w:firstRow="1" w:lastRow="0" w:firstColumn="0" w:lastColumn="0" w:oddVBand="0" w:evenVBand="0" w:oddHBand="0" w:evenHBand="0" w:firstRowFirstColumn="0" w:firstRowLastColumn="0" w:lastRowFirstColumn="0" w:lastRowLastColumn="0"/>
          <w:cantSplit/>
          <w:trHeight w:val="300"/>
          <w:tblHeader/>
        </w:trPr>
        <w:tc>
          <w:tcPr>
            <w:tcW w:w="2356" w:type="pct"/>
            <w:shd w:val="clear" w:color="auto" w:fill="D9D9D9" w:themeFill="background1" w:themeFillShade="D9"/>
            <w:noWrap/>
            <w:hideMark/>
          </w:tcPr>
          <w:p w14:paraId="2AD53D28" w14:textId="77777777" w:rsidR="003E7372" w:rsidRPr="00CE28E3" w:rsidRDefault="003E7372" w:rsidP="0034139B">
            <w:pPr>
              <w:pStyle w:val="TableHeading"/>
              <w:keepLines/>
            </w:pPr>
            <w:r>
              <w:t>Step</w:t>
            </w:r>
          </w:p>
        </w:tc>
        <w:tc>
          <w:tcPr>
            <w:tcW w:w="786" w:type="pct"/>
            <w:shd w:val="clear" w:color="auto" w:fill="D9D9D9" w:themeFill="background1" w:themeFillShade="D9"/>
            <w:noWrap/>
            <w:hideMark/>
          </w:tcPr>
          <w:p w14:paraId="51980078" w14:textId="0C29FDAE" w:rsidR="003E7372" w:rsidRPr="00CE28E3" w:rsidRDefault="003975F2" w:rsidP="0034139B">
            <w:pPr>
              <w:pStyle w:val="TableHeading"/>
              <w:keepLines/>
            </w:pPr>
            <w:r w:rsidRPr="003975F2">
              <w:rPr>
                <w:rFonts w:eastAsiaTheme="minorEastAsia"/>
                <w:i/>
              </w:rPr>
              <w:t xml:space="preserve">HLA-A*31:01 </w:t>
            </w:r>
            <w:r w:rsidR="00810068" w:rsidRPr="00810068">
              <w:rPr>
                <w:rFonts w:eastAsiaTheme="minorEastAsia"/>
              </w:rPr>
              <w:t xml:space="preserve">and </w:t>
            </w:r>
            <w:r w:rsidRPr="003975F2">
              <w:rPr>
                <w:rFonts w:eastAsiaTheme="minorEastAsia"/>
                <w:i/>
              </w:rPr>
              <w:t xml:space="preserve">HLA-B*15:02 </w:t>
            </w:r>
            <w:r w:rsidR="00810068" w:rsidRPr="00810068">
              <w:rPr>
                <w:rFonts w:eastAsiaTheme="minorEastAsia"/>
              </w:rPr>
              <w:t>genotyping</w:t>
            </w:r>
          </w:p>
        </w:tc>
        <w:tc>
          <w:tcPr>
            <w:tcW w:w="551" w:type="pct"/>
            <w:shd w:val="clear" w:color="auto" w:fill="D9D9D9" w:themeFill="background1" w:themeFillShade="D9"/>
            <w:noWrap/>
            <w:hideMark/>
          </w:tcPr>
          <w:p w14:paraId="4F56ECBC" w14:textId="77777777" w:rsidR="003E7372" w:rsidRPr="00CE28E3" w:rsidRDefault="003E7372" w:rsidP="0034139B">
            <w:pPr>
              <w:pStyle w:val="TableHeading"/>
              <w:keepLines/>
            </w:pPr>
            <w:r>
              <w:rPr>
                <w:rFonts w:eastAsiaTheme="minorEastAsia" w:hint="eastAsia"/>
              </w:rPr>
              <w:t>No testing</w:t>
            </w:r>
          </w:p>
        </w:tc>
        <w:tc>
          <w:tcPr>
            <w:tcW w:w="628" w:type="pct"/>
            <w:shd w:val="clear" w:color="auto" w:fill="D9D9D9" w:themeFill="background1" w:themeFillShade="D9"/>
            <w:noWrap/>
            <w:hideMark/>
          </w:tcPr>
          <w:p w14:paraId="54C4CCC6" w14:textId="77777777" w:rsidR="003E7372" w:rsidRPr="00CE28E3" w:rsidRDefault="003E7372" w:rsidP="0034139B">
            <w:pPr>
              <w:pStyle w:val="TableHeading"/>
              <w:keepLines/>
            </w:pPr>
            <w:r w:rsidRPr="009E23EC">
              <w:t>Increment</w:t>
            </w:r>
          </w:p>
        </w:tc>
        <w:tc>
          <w:tcPr>
            <w:tcW w:w="679" w:type="pct"/>
            <w:shd w:val="clear" w:color="auto" w:fill="D9D9D9" w:themeFill="background1" w:themeFillShade="D9"/>
          </w:tcPr>
          <w:p w14:paraId="1CF0B806" w14:textId="77777777" w:rsidR="003E7372" w:rsidRPr="00CE28E3" w:rsidRDefault="003E7372" w:rsidP="0034139B">
            <w:pPr>
              <w:pStyle w:val="TableHeading"/>
              <w:keepLines/>
            </w:pPr>
            <w:r w:rsidRPr="00CE28E3">
              <w:t>ICER</w:t>
            </w:r>
          </w:p>
        </w:tc>
      </w:tr>
      <w:tr w:rsidR="003E7372" w:rsidRPr="00CE28E3" w14:paraId="4A2A58AB" w14:textId="77777777" w:rsidTr="422CAA86">
        <w:trPr>
          <w:cantSplit/>
          <w:trHeight w:val="300"/>
        </w:trPr>
        <w:tc>
          <w:tcPr>
            <w:tcW w:w="5000" w:type="pct"/>
            <w:gridSpan w:val="5"/>
            <w:tcBorders>
              <w:bottom w:val="single" w:sz="4" w:space="0" w:color="auto"/>
            </w:tcBorders>
            <w:noWrap/>
            <w:hideMark/>
          </w:tcPr>
          <w:p w14:paraId="30DDDB14" w14:textId="1DD82D52" w:rsidR="003E7372" w:rsidRPr="00CE28E3" w:rsidRDefault="003E7372" w:rsidP="0034139B">
            <w:pPr>
              <w:pStyle w:val="Tabletext0"/>
              <w:keepNext/>
              <w:keepLines/>
            </w:pPr>
            <w:r w:rsidRPr="00CE28E3">
              <w:t xml:space="preserve">Step 1 – </w:t>
            </w:r>
            <w:r w:rsidRPr="00E05079">
              <w:t xml:space="preserve">Cost per patient with </w:t>
            </w:r>
            <w:r w:rsidR="00390B55" w:rsidRPr="00390B55">
              <w:t>positive genotyping results</w:t>
            </w:r>
          </w:p>
        </w:tc>
      </w:tr>
      <w:tr w:rsidR="003E7372" w:rsidRPr="00CE28E3" w14:paraId="6DE18310" w14:textId="77777777" w:rsidTr="422CAA86">
        <w:trPr>
          <w:cantSplit/>
          <w:trHeight w:val="300"/>
        </w:trPr>
        <w:tc>
          <w:tcPr>
            <w:tcW w:w="2356" w:type="pct"/>
            <w:tcBorders>
              <w:bottom w:val="nil"/>
            </w:tcBorders>
            <w:noWrap/>
          </w:tcPr>
          <w:p w14:paraId="5598801F" w14:textId="77777777" w:rsidR="003E7372" w:rsidRPr="00CE28E3" w:rsidRDefault="003E7372" w:rsidP="0034139B">
            <w:pPr>
              <w:pStyle w:val="Tabletext0"/>
              <w:keepNext/>
              <w:keepLines/>
            </w:pPr>
            <w:r>
              <w:t>Costs</w:t>
            </w:r>
          </w:p>
        </w:tc>
        <w:tc>
          <w:tcPr>
            <w:tcW w:w="786" w:type="pct"/>
            <w:tcBorders>
              <w:bottom w:val="nil"/>
            </w:tcBorders>
            <w:noWrap/>
          </w:tcPr>
          <w:p w14:paraId="56780398" w14:textId="77777777" w:rsidR="003E7372" w:rsidRPr="00CE28E3" w:rsidRDefault="003E7372" w:rsidP="0034139B">
            <w:pPr>
              <w:pStyle w:val="Tabletext0"/>
              <w:keepNext/>
              <w:keepLines/>
            </w:pPr>
            <w:r>
              <w:rPr>
                <w:rFonts w:eastAsiaTheme="minorEastAsia" w:hint="eastAsia"/>
              </w:rPr>
              <w:t>$188</w:t>
            </w:r>
          </w:p>
        </w:tc>
        <w:tc>
          <w:tcPr>
            <w:tcW w:w="551" w:type="pct"/>
            <w:tcBorders>
              <w:bottom w:val="nil"/>
            </w:tcBorders>
            <w:noWrap/>
          </w:tcPr>
          <w:p w14:paraId="552ED25B" w14:textId="094F5FB6" w:rsidR="003E7372" w:rsidRPr="00CE28E3" w:rsidRDefault="00390B55" w:rsidP="0034139B">
            <w:pPr>
              <w:pStyle w:val="Tabletext0"/>
              <w:keepNext/>
              <w:keepLines/>
            </w:pPr>
            <w:r>
              <w:rPr>
                <w:rFonts w:eastAsiaTheme="minorEastAsia" w:hint="eastAsia"/>
              </w:rPr>
              <w:t>$</w:t>
            </w:r>
            <w:r w:rsidR="003E7372">
              <w:rPr>
                <w:rFonts w:eastAsiaTheme="minorEastAsia" w:hint="eastAsia"/>
              </w:rPr>
              <w:t>0</w:t>
            </w:r>
          </w:p>
        </w:tc>
        <w:tc>
          <w:tcPr>
            <w:tcW w:w="628" w:type="pct"/>
            <w:tcBorders>
              <w:bottom w:val="nil"/>
            </w:tcBorders>
            <w:noWrap/>
          </w:tcPr>
          <w:p w14:paraId="0048DBBB" w14:textId="77777777" w:rsidR="003E7372" w:rsidRPr="00CE28E3" w:rsidRDefault="003E7372" w:rsidP="0034139B">
            <w:pPr>
              <w:pStyle w:val="Tabletext0"/>
              <w:keepNext/>
              <w:keepLines/>
            </w:pPr>
            <w:r>
              <w:rPr>
                <w:rFonts w:eastAsiaTheme="minorEastAsia" w:hint="eastAsia"/>
              </w:rPr>
              <w:t>$188</w:t>
            </w:r>
          </w:p>
        </w:tc>
        <w:tc>
          <w:tcPr>
            <w:tcW w:w="679" w:type="pct"/>
            <w:vMerge w:val="restart"/>
          </w:tcPr>
          <w:p w14:paraId="06225347" w14:textId="58447DBF" w:rsidR="003E7372" w:rsidRPr="00CE28E3" w:rsidRDefault="00FC41D1" w:rsidP="0034139B">
            <w:pPr>
              <w:pStyle w:val="Tabletext0"/>
              <w:keepNext/>
              <w:keepLines/>
            </w:pPr>
            <w:r>
              <w:rPr>
                <w:rFonts w:eastAsiaTheme="minorEastAsia"/>
              </w:rPr>
              <w:t>$3,337.68</w:t>
            </w:r>
          </w:p>
        </w:tc>
      </w:tr>
      <w:tr w:rsidR="003E7372" w:rsidRPr="00CE28E3" w14:paraId="246BFE3C" w14:textId="77777777" w:rsidTr="422CAA86">
        <w:trPr>
          <w:cantSplit/>
          <w:trHeight w:val="300"/>
        </w:trPr>
        <w:tc>
          <w:tcPr>
            <w:tcW w:w="2356" w:type="pct"/>
            <w:tcBorders>
              <w:top w:val="nil"/>
            </w:tcBorders>
            <w:noWrap/>
          </w:tcPr>
          <w:p w14:paraId="7F6DF4D4" w14:textId="0994F7D0" w:rsidR="003E7372" w:rsidRDefault="003E7372" w:rsidP="0034139B">
            <w:pPr>
              <w:pStyle w:val="Tabletext0"/>
              <w:keepNext/>
              <w:keepLines/>
            </w:pPr>
            <w:r>
              <w:t>Outcome 1 (</w:t>
            </w:r>
            <w:r w:rsidR="00390B55" w:rsidRPr="00390B55">
              <w:rPr>
                <w:rFonts w:eastAsiaTheme="minorEastAsia"/>
              </w:rPr>
              <w:t>Number</w:t>
            </w:r>
            <w:r>
              <w:rPr>
                <w:rFonts w:eastAsiaTheme="minorEastAsia" w:hint="eastAsia"/>
              </w:rPr>
              <w:t xml:space="preserve"> of patients with </w:t>
            </w:r>
            <w:r w:rsidR="00390B55" w:rsidRPr="00390B55">
              <w:rPr>
                <w:rFonts w:eastAsiaTheme="minorEastAsia"/>
              </w:rPr>
              <w:t>positive genotyping results</w:t>
            </w:r>
            <w:r>
              <w:t>)</w:t>
            </w:r>
          </w:p>
        </w:tc>
        <w:tc>
          <w:tcPr>
            <w:tcW w:w="786" w:type="pct"/>
            <w:tcBorders>
              <w:top w:val="nil"/>
            </w:tcBorders>
            <w:noWrap/>
          </w:tcPr>
          <w:p w14:paraId="3856785B" w14:textId="10C8594C" w:rsidR="003E7372" w:rsidRPr="00CE28E3" w:rsidRDefault="003E7372" w:rsidP="0034139B">
            <w:pPr>
              <w:pStyle w:val="Tabletext0"/>
              <w:keepNext/>
              <w:keepLines/>
            </w:pPr>
            <w:r>
              <w:rPr>
                <w:rFonts w:eastAsiaTheme="minorEastAsia"/>
              </w:rPr>
              <w:t>0.</w:t>
            </w:r>
            <w:r w:rsidR="00390B55">
              <w:rPr>
                <w:rFonts w:eastAsiaTheme="minorEastAsia"/>
              </w:rPr>
              <w:t>0563</w:t>
            </w:r>
          </w:p>
        </w:tc>
        <w:tc>
          <w:tcPr>
            <w:tcW w:w="551" w:type="pct"/>
            <w:tcBorders>
              <w:top w:val="nil"/>
            </w:tcBorders>
            <w:noWrap/>
          </w:tcPr>
          <w:p w14:paraId="685400F7" w14:textId="77777777" w:rsidR="003E7372" w:rsidRPr="00CE28E3" w:rsidRDefault="003E7372" w:rsidP="0034139B">
            <w:pPr>
              <w:pStyle w:val="Tabletext0"/>
              <w:keepNext/>
              <w:keepLines/>
            </w:pPr>
            <w:r>
              <w:rPr>
                <w:rFonts w:eastAsiaTheme="minorEastAsia" w:hint="eastAsia"/>
              </w:rPr>
              <w:t>0</w:t>
            </w:r>
          </w:p>
        </w:tc>
        <w:tc>
          <w:tcPr>
            <w:tcW w:w="628" w:type="pct"/>
            <w:tcBorders>
              <w:top w:val="nil"/>
            </w:tcBorders>
            <w:noWrap/>
          </w:tcPr>
          <w:p w14:paraId="79B5EFA0" w14:textId="337918B5" w:rsidR="003E7372" w:rsidRPr="00CE28E3" w:rsidRDefault="003E7372" w:rsidP="0034139B">
            <w:pPr>
              <w:pStyle w:val="Tabletext0"/>
              <w:keepNext/>
              <w:keepLines/>
            </w:pPr>
            <w:r>
              <w:rPr>
                <w:rFonts w:eastAsiaTheme="minorEastAsia"/>
              </w:rPr>
              <w:t>0.</w:t>
            </w:r>
            <w:r w:rsidR="00390B55">
              <w:rPr>
                <w:rFonts w:eastAsiaTheme="minorEastAsia"/>
              </w:rPr>
              <w:t>0563</w:t>
            </w:r>
          </w:p>
        </w:tc>
        <w:tc>
          <w:tcPr>
            <w:tcW w:w="679" w:type="pct"/>
            <w:vMerge/>
          </w:tcPr>
          <w:p w14:paraId="53B6BC8B" w14:textId="5298EF26" w:rsidR="003E7372" w:rsidRPr="00CE28E3" w:rsidRDefault="003E7372" w:rsidP="0034139B">
            <w:pPr>
              <w:pStyle w:val="Tabletext0"/>
              <w:keepNext/>
              <w:keepLines/>
            </w:pPr>
          </w:p>
        </w:tc>
      </w:tr>
      <w:tr w:rsidR="00160D54" w:rsidRPr="00CE28E3" w14:paraId="596E8D4C" w14:textId="77777777" w:rsidTr="422CAA86">
        <w:trPr>
          <w:cantSplit/>
          <w:trHeight w:val="300"/>
        </w:trPr>
        <w:tc>
          <w:tcPr>
            <w:tcW w:w="5000" w:type="pct"/>
            <w:gridSpan w:val="5"/>
            <w:tcBorders>
              <w:bottom w:val="single" w:sz="4" w:space="0" w:color="auto"/>
            </w:tcBorders>
            <w:noWrap/>
            <w:hideMark/>
          </w:tcPr>
          <w:p w14:paraId="63E4BE8A" w14:textId="20875A77" w:rsidR="00160D54" w:rsidRPr="00CE28E3" w:rsidRDefault="00160D54" w:rsidP="0034139B">
            <w:pPr>
              <w:pStyle w:val="Tabletext0"/>
              <w:keepNext/>
              <w:keepLines/>
            </w:pPr>
            <w:r w:rsidRPr="422CAA86">
              <w:t>Step 2 – Cost per patient regarding severe drug hypersensitivity reactions avoided</w:t>
            </w:r>
          </w:p>
        </w:tc>
      </w:tr>
      <w:tr w:rsidR="00FC41D1" w:rsidRPr="00CE28E3" w14:paraId="34D3F25A" w14:textId="77777777" w:rsidTr="422CAA86">
        <w:trPr>
          <w:cantSplit/>
          <w:trHeight w:val="300"/>
        </w:trPr>
        <w:tc>
          <w:tcPr>
            <w:tcW w:w="2356" w:type="pct"/>
            <w:tcBorders>
              <w:bottom w:val="nil"/>
            </w:tcBorders>
            <w:noWrap/>
          </w:tcPr>
          <w:p w14:paraId="012F7C4C" w14:textId="77777777" w:rsidR="00FC41D1" w:rsidRPr="00CE28E3" w:rsidRDefault="00FC41D1" w:rsidP="0034139B">
            <w:pPr>
              <w:pStyle w:val="Tabletext0"/>
              <w:keepNext/>
              <w:keepLines/>
            </w:pPr>
            <w:r>
              <w:t>Costs</w:t>
            </w:r>
          </w:p>
        </w:tc>
        <w:tc>
          <w:tcPr>
            <w:tcW w:w="786" w:type="pct"/>
            <w:tcBorders>
              <w:bottom w:val="nil"/>
            </w:tcBorders>
            <w:noWrap/>
          </w:tcPr>
          <w:p w14:paraId="15C0215D" w14:textId="77777777" w:rsidR="00FC41D1" w:rsidRPr="00CE28E3" w:rsidRDefault="00FC41D1" w:rsidP="0034139B">
            <w:pPr>
              <w:pStyle w:val="Tabletext0"/>
              <w:keepNext/>
              <w:keepLines/>
            </w:pPr>
            <w:r w:rsidRPr="00D8709C">
              <w:rPr>
                <w:rFonts w:eastAsiaTheme="minorEastAsia"/>
              </w:rPr>
              <w:t>$316.79</w:t>
            </w:r>
          </w:p>
        </w:tc>
        <w:tc>
          <w:tcPr>
            <w:tcW w:w="551" w:type="pct"/>
            <w:tcBorders>
              <w:bottom w:val="nil"/>
            </w:tcBorders>
            <w:noWrap/>
          </w:tcPr>
          <w:p w14:paraId="06CCB7A5" w14:textId="77777777" w:rsidR="00FC41D1" w:rsidRPr="00CE28E3" w:rsidRDefault="00FC41D1" w:rsidP="0034139B">
            <w:pPr>
              <w:pStyle w:val="Tabletext0"/>
              <w:keepNext/>
              <w:keepLines/>
            </w:pPr>
            <w:r w:rsidRPr="00D8709C">
              <w:rPr>
                <w:rFonts w:eastAsiaTheme="minorEastAsia"/>
              </w:rPr>
              <w:t>$131.13</w:t>
            </w:r>
          </w:p>
        </w:tc>
        <w:tc>
          <w:tcPr>
            <w:tcW w:w="628" w:type="pct"/>
            <w:tcBorders>
              <w:bottom w:val="nil"/>
            </w:tcBorders>
            <w:noWrap/>
          </w:tcPr>
          <w:p w14:paraId="76ADDF29" w14:textId="77777777" w:rsidR="00FC41D1" w:rsidRPr="00CE28E3" w:rsidRDefault="00FC41D1" w:rsidP="0034139B">
            <w:pPr>
              <w:pStyle w:val="Tabletext0"/>
              <w:keepNext/>
              <w:keepLines/>
            </w:pPr>
            <w:r w:rsidRPr="00D8709C">
              <w:rPr>
                <w:rFonts w:eastAsiaTheme="minorEastAsia"/>
              </w:rPr>
              <w:t>$185.66</w:t>
            </w:r>
          </w:p>
        </w:tc>
        <w:tc>
          <w:tcPr>
            <w:tcW w:w="679" w:type="pct"/>
            <w:vMerge w:val="restart"/>
          </w:tcPr>
          <w:p w14:paraId="07572285" w14:textId="3695CDF3" w:rsidR="00FC41D1" w:rsidRPr="00CE28E3" w:rsidRDefault="00FC41D1" w:rsidP="0034139B">
            <w:pPr>
              <w:pStyle w:val="Tabletext0"/>
              <w:keepNext/>
              <w:keepLines/>
            </w:pPr>
            <w:r>
              <w:rPr>
                <w:rFonts w:eastAsiaTheme="minorEastAsia"/>
              </w:rPr>
              <w:t>$428,125.68</w:t>
            </w:r>
          </w:p>
        </w:tc>
      </w:tr>
      <w:tr w:rsidR="00FC41D1" w:rsidRPr="00CE28E3" w14:paraId="115BFB9D" w14:textId="77777777" w:rsidTr="422CAA86">
        <w:trPr>
          <w:cantSplit/>
          <w:trHeight w:val="300"/>
        </w:trPr>
        <w:tc>
          <w:tcPr>
            <w:tcW w:w="2356" w:type="pct"/>
            <w:tcBorders>
              <w:top w:val="nil"/>
            </w:tcBorders>
            <w:noWrap/>
          </w:tcPr>
          <w:p w14:paraId="42053CB7" w14:textId="77777777" w:rsidR="00FC41D1" w:rsidRDefault="00FC41D1" w:rsidP="0034139B">
            <w:pPr>
              <w:pStyle w:val="Tabletext0"/>
              <w:keepNext/>
              <w:keepLines/>
            </w:pPr>
            <w:r>
              <w:t xml:space="preserve">Outcome </w:t>
            </w:r>
            <w:r>
              <w:rPr>
                <w:rFonts w:eastAsiaTheme="minorEastAsia" w:hint="eastAsia"/>
              </w:rPr>
              <w:t>2</w:t>
            </w:r>
            <w:r>
              <w:t xml:space="preserve"> (</w:t>
            </w:r>
            <w:r w:rsidRPr="00810068">
              <w:rPr>
                <w:rFonts w:eastAsiaTheme="minorEastAsia"/>
              </w:rPr>
              <w:t>Number</w:t>
            </w:r>
            <w:r>
              <w:rPr>
                <w:rFonts w:eastAsiaTheme="minorEastAsia" w:hint="eastAsia"/>
              </w:rPr>
              <w:t xml:space="preserve"> of </w:t>
            </w:r>
            <w:r w:rsidRPr="00A673B4">
              <w:rPr>
                <w:rFonts w:eastAsiaTheme="minorEastAsia"/>
              </w:rPr>
              <w:t>patient</w:t>
            </w:r>
            <w:r>
              <w:rPr>
                <w:rFonts w:eastAsiaTheme="minorEastAsia" w:hint="eastAsia"/>
              </w:rPr>
              <w:t>s</w:t>
            </w:r>
            <w:r>
              <w:rPr>
                <w:rFonts w:eastAsiaTheme="minorEastAsia"/>
              </w:rPr>
              <w:t xml:space="preserve"> with</w:t>
            </w:r>
            <w:r w:rsidRPr="00A673B4">
              <w:rPr>
                <w:rFonts w:eastAsiaTheme="minorEastAsia"/>
              </w:rPr>
              <w:t xml:space="preserve"> </w:t>
            </w:r>
            <w:r w:rsidRPr="00810068">
              <w:rPr>
                <w:rFonts w:eastAsiaTheme="minorEastAsia"/>
              </w:rPr>
              <w:t>SJS-TEN/DRESS</w:t>
            </w:r>
            <w:r>
              <w:rPr>
                <w:rFonts w:eastAsiaTheme="minorEastAsia" w:hint="eastAsia"/>
              </w:rPr>
              <w:t xml:space="preserve">; the difference </w:t>
            </w:r>
            <w:r>
              <w:rPr>
                <w:rFonts w:eastAsiaTheme="minorEastAsia"/>
              </w:rPr>
              <w:t xml:space="preserve">in </w:t>
            </w:r>
            <w:r>
              <w:rPr>
                <w:rFonts w:eastAsiaTheme="minorEastAsia" w:hint="eastAsia"/>
              </w:rPr>
              <w:t xml:space="preserve">patients avoiding </w:t>
            </w:r>
            <w:r w:rsidRPr="00810068">
              <w:rPr>
                <w:rFonts w:eastAsiaTheme="minorEastAsia"/>
              </w:rPr>
              <w:t>SJS-TEN/DRESS</w:t>
            </w:r>
            <w:r>
              <w:t>)</w:t>
            </w:r>
          </w:p>
        </w:tc>
        <w:tc>
          <w:tcPr>
            <w:tcW w:w="786" w:type="pct"/>
            <w:tcBorders>
              <w:top w:val="nil"/>
            </w:tcBorders>
            <w:noWrap/>
          </w:tcPr>
          <w:p w14:paraId="5DF70009" w14:textId="77777777" w:rsidR="00FC41D1" w:rsidRPr="00CE28E3" w:rsidRDefault="00FC41D1" w:rsidP="0034139B">
            <w:pPr>
              <w:pStyle w:val="Tabletext0"/>
              <w:keepNext/>
              <w:keepLines/>
            </w:pPr>
            <w:r w:rsidRPr="007E796D">
              <w:rPr>
                <w:rFonts w:eastAsiaTheme="minorEastAsia"/>
              </w:rPr>
              <w:t>0.</w:t>
            </w:r>
            <w:r>
              <w:rPr>
                <w:rFonts w:eastAsiaTheme="minorEastAsia"/>
              </w:rPr>
              <w:t>02257</w:t>
            </w:r>
          </w:p>
        </w:tc>
        <w:tc>
          <w:tcPr>
            <w:tcW w:w="551" w:type="pct"/>
            <w:tcBorders>
              <w:top w:val="nil"/>
            </w:tcBorders>
            <w:noWrap/>
          </w:tcPr>
          <w:p w14:paraId="67C94504" w14:textId="77777777" w:rsidR="00FC41D1" w:rsidRPr="00CE28E3" w:rsidRDefault="00FC41D1" w:rsidP="0034139B">
            <w:pPr>
              <w:pStyle w:val="Tabletext0"/>
              <w:keepNext/>
              <w:keepLines/>
            </w:pPr>
            <w:r w:rsidRPr="007E796D">
              <w:rPr>
                <w:rFonts w:eastAsiaTheme="minorEastAsia"/>
              </w:rPr>
              <w:t>0.</w:t>
            </w:r>
            <w:r>
              <w:rPr>
                <w:rFonts w:eastAsiaTheme="minorEastAsia" w:hint="eastAsia"/>
              </w:rPr>
              <w:t>0</w:t>
            </w:r>
            <w:r>
              <w:rPr>
                <w:rFonts w:eastAsiaTheme="minorEastAsia"/>
              </w:rPr>
              <w:t>23</w:t>
            </w:r>
          </w:p>
        </w:tc>
        <w:tc>
          <w:tcPr>
            <w:tcW w:w="628" w:type="pct"/>
            <w:tcBorders>
              <w:top w:val="nil"/>
            </w:tcBorders>
            <w:noWrap/>
          </w:tcPr>
          <w:p w14:paraId="2F698BF0" w14:textId="77777777" w:rsidR="00FC41D1" w:rsidRPr="00422836" w:rsidRDefault="00FC41D1" w:rsidP="0034139B">
            <w:pPr>
              <w:pStyle w:val="Tabletext0"/>
              <w:keepNext/>
              <w:keepLines/>
              <w:rPr>
                <w:rFonts w:eastAsiaTheme="minorEastAsia"/>
              </w:rPr>
            </w:pPr>
            <w:r w:rsidRPr="007E796D">
              <w:rPr>
                <w:rFonts w:eastAsiaTheme="minorEastAsia"/>
              </w:rPr>
              <w:t>0.</w:t>
            </w:r>
            <w:r>
              <w:rPr>
                <w:rFonts w:eastAsiaTheme="minorEastAsia" w:hint="eastAsia"/>
              </w:rPr>
              <w:t>00043</w:t>
            </w:r>
            <w:r>
              <w:rPr>
                <w:rFonts w:eastAsiaTheme="minorEastAsia"/>
              </w:rPr>
              <w:t>4</w:t>
            </w:r>
          </w:p>
        </w:tc>
        <w:tc>
          <w:tcPr>
            <w:tcW w:w="679" w:type="pct"/>
            <w:vMerge/>
          </w:tcPr>
          <w:p w14:paraId="7F2A35B9" w14:textId="4C643D28" w:rsidR="00FC41D1" w:rsidRPr="00CE28E3" w:rsidRDefault="00FC41D1" w:rsidP="0034139B">
            <w:pPr>
              <w:pStyle w:val="Tabletext0"/>
              <w:keepNext/>
              <w:keepLines/>
            </w:pPr>
          </w:p>
        </w:tc>
      </w:tr>
      <w:tr w:rsidR="00BA2E4F" w:rsidRPr="00CE28E3" w14:paraId="5FCA00A2" w14:textId="77777777" w:rsidTr="422CAA86">
        <w:trPr>
          <w:cantSplit/>
          <w:trHeight w:val="300"/>
        </w:trPr>
        <w:tc>
          <w:tcPr>
            <w:tcW w:w="5000" w:type="pct"/>
            <w:gridSpan w:val="5"/>
            <w:tcBorders>
              <w:bottom w:val="single" w:sz="4" w:space="0" w:color="auto"/>
            </w:tcBorders>
            <w:noWrap/>
            <w:hideMark/>
          </w:tcPr>
          <w:p w14:paraId="42E4D4F1" w14:textId="77777777" w:rsidR="00BA2E4F" w:rsidRPr="00CE28E3" w:rsidRDefault="00BA2E4F" w:rsidP="0034139B">
            <w:pPr>
              <w:pStyle w:val="Tabletext0"/>
              <w:keepNext/>
              <w:keepLines/>
            </w:pPr>
            <w:r w:rsidRPr="00CE28E3">
              <w:t xml:space="preserve">Step </w:t>
            </w:r>
            <w:r>
              <w:t>3</w:t>
            </w:r>
            <w:r w:rsidRPr="00CE28E3">
              <w:t xml:space="preserve"> – </w:t>
            </w:r>
            <w:r w:rsidRPr="009F748B">
              <w:t xml:space="preserve">Cost per </w:t>
            </w:r>
            <w:r>
              <w:t>QALY (for epilepsy)</w:t>
            </w:r>
          </w:p>
        </w:tc>
      </w:tr>
      <w:tr w:rsidR="00BA2E4F" w:rsidRPr="00CE28E3" w14:paraId="156E5FD3" w14:textId="77777777" w:rsidTr="422CAA86">
        <w:trPr>
          <w:cantSplit/>
          <w:trHeight w:val="300"/>
        </w:trPr>
        <w:tc>
          <w:tcPr>
            <w:tcW w:w="2356" w:type="pct"/>
            <w:tcBorders>
              <w:bottom w:val="nil"/>
            </w:tcBorders>
            <w:noWrap/>
          </w:tcPr>
          <w:p w14:paraId="638733F2" w14:textId="77777777" w:rsidR="00BA2E4F" w:rsidRPr="00CE28E3" w:rsidRDefault="00BA2E4F" w:rsidP="0034139B">
            <w:pPr>
              <w:pStyle w:val="Tabletext0"/>
              <w:keepNext/>
              <w:keepLines/>
            </w:pPr>
            <w:r>
              <w:t>Costs</w:t>
            </w:r>
          </w:p>
        </w:tc>
        <w:tc>
          <w:tcPr>
            <w:tcW w:w="786" w:type="pct"/>
            <w:tcBorders>
              <w:bottom w:val="nil"/>
            </w:tcBorders>
            <w:noWrap/>
          </w:tcPr>
          <w:p w14:paraId="54E0B6BC" w14:textId="77777777" w:rsidR="00BA2E4F" w:rsidRPr="00CE28E3" w:rsidRDefault="00BA2E4F" w:rsidP="0034139B">
            <w:pPr>
              <w:pStyle w:val="Tabletext0"/>
              <w:keepNext/>
              <w:keepLines/>
            </w:pPr>
            <w:r w:rsidRPr="00D8709C">
              <w:rPr>
                <w:rFonts w:eastAsiaTheme="minorEastAsia"/>
              </w:rPr>
              <w:t>$</w:t>
            </w:r>
            <w:r>
              <w:rPr>
                <w:rFonts w:eastAsiaTheme="minorEastAsia"/>
              </w:rPr>
              <w:t>76,727.89</w:t>
            </w:r>
          </w:p>
        </w:tc>
        <w:tc>
          <w:tcPr>
            <w:tcW w:w="551" w:type="pct"/>
            <w:tcBorders>
              <w:bottom w:val="nil"/>
            </w:tcBorders>
            <w:noWrap/>
          </w:tcPr>
          <w:p w14:paraId="4BCF32BF" w14:textId="77777777" w:rsidR="00BA2E4F" w:rsidRPr="00CE28E3" w:rsidRDefault="00BA2E4F" w:rsidP="0034139B">
            <w:pPr>
              <w:pStyle w:val="Tabletext0"/>
              <w:keepNext/>
              <w:keepLines/>
            </w:pPr>
            <w:r w:rsidRPr="00D8709C">
              <w:rPr>
                <w:rFonts w:eastAsiaTheme="minorEastAsia"/>
              </w:rPr>
              <w:t>$</w:t>
            </w:r>
            <w:r>
              <w:rPr>
                <w:rFonts w:eastAsiaTheme="minorEastAsia"/>
              </w:rPr>
              <w:t>76,842.47</w:t>
            </w:r>
          </w:p>
        </w:tc>
        <w:tc>
          <w:tcPr>
            <w:tcW w:w="628" w:type="pct"/>
            <w:tcBorders>
              <w:bottom w:val="nil"/>
            </w:tcBorders>
            <w:noWrap/>
          </w:tcPr>
          <w:p w14:paraId="66DAAB2B" w14:textId="77777777" w:rsidR="00BA2E4F" w:rsidRPr="00CE28E3" w:rsidRDefault="00BA2E4F" w:rsidP="0034139B">
            <w:pPr>
              <w:pStyle w:val="Tabletext0"/>
              <w:keepNext/>
              <w:keepLines/>
            </w:pPr>
            <w:r>
              <w:rPr>
                <w:rFonts w:eastAsiaTheme="minorEastAsia"/>
              </w:rPr>
              <w:t>-</w:t>
            </w:r>
            <w:r w:rsidRPr="005846FD">
              <w:rPr>
                <w:rFonts w:eastAsiaTheme="minorEastAsia"/>
              </w:rPr>
              <w:t>$</w:t>
            </w:r>
            <w:r>
              <w:rPr>
                <w:rFonts w:eastAsiaTheme="minorEastAsia"/>
              </w:rPr>
              <w:t>114.58</w:t>
            </w:r>
          </w:p>
        </w:tc>
        <w:tc>
          <w:tcPr>
            <w:tcW w:w="679" w:type="pct"/>
            <w:vMerge w:val="restart"/>
          </w:tcPr>
          <w:p w14:paraId="6DE56C08" w14:textId="77777777" w:rsidR="00BA2E4F" w:rsidRPr="00CE28E3" w:rsidRDefault="00BA2E4F" w:rsidP="0034139B">
            <w:pPr>
              <w:pStyle w:val="Tabletext0"/>
              <w:keepNext/>
              <w:keepLines/>
            </w:pPr>
            <w:r>
              <w:rPr>
                <w:rFonts w:eastAsia="Calibri"/>
              </w:rPr>
              <w:t>Genotyping is a dominant strategy</w:t>
            </w:r>
          </w:p>
        </w:tc>
      </w:tr>
      <w:tr w:rsidR="00BA2E4F" w:rsidRPr="00CE28E3" w14:paraId="3B4BC561" w14:textId="77777777" w:rsidTr="422CAA86">
        <w:trPr>
          <w:cantSplit/>
          <w:trHeight w:val="300"/>
        </w:trPr>
        <w:tc>
          <w:tcPr>
            <w:tcW w:w="2356" w:type="pct"/>
            <w:tcBorders>
              <w:top w:val="nil"/>
            </w:tcBorders>
            <w:noWrap/>
          </w:tcPr>
          <w:p w14:paraId="465EF14D" w14:textId="77777777" w:rsidR="00BA2E4F" w:rsidRDefault="00BA2E4F" w:rsidP="0034139B">
            <w:pPr>
              <w:pStyle w:val="Tabletext0"/>
              <w:keepNext/>
              <w:keepLines/>
            </w:pPr>
            <w:r>
              <w:t xml:space="preserve">Outcome </w:t>
            </w:r>
            <w:r>
              <w:rPr>
                <w:rFonts w:eastAsiaTheme="minorEastAsia"/>
              </w:rPr>
              <w:t>3</w:t>
            </w:r>
            <w:r>
              <w:t xml:space="preserve"> (QALY)</w:t>
            </w:r>
          </w:p>
        </w:tc>
        <w:tc>
          <w:tcPr>
            <w:tcW w:w="786" w:type="pct"/>
            <w:tcBorders>
              <w:top w:val="nil"/>
            </w:tcBorders>
            <w:noWrap/>
          </w:tcPr>
          <w:p w14:paraId="435BF409" w14:textId="77777777" w:rsidR="00BA2E4F" w:rsidRPr="00CE28E3" w:rsidRDefault="00BA2E4F" w:rsidP="0034139B">
            <w:pPr>
              <w:pStyle w:val="Tabletext0"/>
              <w:keepNext/>
              <w:keepLines/>
            </w:pPr>
            <w:r w:rsidRPr="009450FA">
              <w:rPr>
                <w:rFonts w:eastAsiaTheme="minorEastAsia"/>
              </w:rPr>
              <w:t>16.</w:t>
            </w:r>
            <w:r>
              <w:t>11853</w:t>
            </w:r>
          </w:p>
        </w:tc>
        <w:tc>
          <w:tcPr>
            <w:tcW w:w="551" w:type="pct"/>
            <w:tcBorders>
              <w:top w:val="nil"/>
            </w:tcBorders>
            <w:noWrap/>
          </w:tcPr>
          <w:p w14:paraId="39ADC7AD" w14:textId="77777777" w:rsidR="00BA2E4F" w:rsidRPr="00CE28E3" w:rsidRDefault="00BA2E4F" w:rsidP="0034139B">
            <w:pPr>
              <w:pStyle w:val="Tabletext0"/>
              <w:keepNext/>
              <w:keepLines/>
            </w:pPr>
            <w:r w:rsidRPr="009450FA">
              <w:rPr>
                <w:rFonts w:eastAsiaTheme="minorEastAsia"/>
              </w:rPr>
              <w:t>16.</w:t>
            </w:r>
            <w:r>
              <w:rPr>
                <w:rFonts w:eastAsiaTheme="minorEastAsia"/>
              </w:rPr>
              <w:t>11826</w:t>
            </w:r>
          </w:p>
        </w:tc>
        <w:tc>
          <w:tcPr>
            <w:tcW w:w="628" w:type="pct"/>
            <w:tcBorders>
              <w:top w:val="nil"/>
            </w:tcBorders>
            <w:noWrap/>
          </w:tcPr>
          <w:p w14:paraId="5AD1F97C" w14:textId="77777777" w:rsidR="00BA2E4F" w:rsidRPr="00422836" w:rsidRDefault="00BA2E4F" w:rsidP="0034139B">
            <w:pPr>
              <w:pStyle w:val="Tabletext0"/>
              <w:keepNext/>
              <w:keepLines/>
              <w:rPr>
                <w:rFonts w:eastAsiaTheme="minorEastAsia"/>
              </w:rPr>
            </w:pPr>
            <w:r>
              <w:t>0.00027</w:t>
            </w:r>
          </w:p>
        </w:tc>
        <w:tc>
          <w:tcPr>
            <w:tcW w:w="679" w:type="pct"/>
            <w:vMerge/>
          </w:tcPr>
          <w:p w14:paraId="445CE862" w14:textId="77777777" w:rsidR="00BA2E4F" w:rsidRPr="00CE28E3" w:rsidRDefault="00BA2E4F" w:rsidP="0034139B">
            <w:pPr>
              <w:pStyle w:val="Tabletext0"/>
              <w:keepNext/>
              <w:keepLines/>
            </w:pPr>
          </w:p>
        </w:tc>
      </w:tr>
      <w:tr w:rsidR="003E7372" w:rsidRPr="00CE28E3" w14:paraId="00E51AB7" w14:textId="77777777" w:rsidTr="422CAA86">
        <w:trPr>
          <w:cantSplit/>
          <w:trHeight w:val="300"/>
        </w:trPr>
        <w:tc>
          <w:tcPr>
            <w:tcW w:w="5000" w:type="pct"/>
            <w:gridSpan w:val="5"/>
            <w:tcBorders>
              <w:bottom w:val="single" w:sz="4" w:space="0" w:color="auto"/>
            </w:tcBorders>
            <w:noWrap/>
            <w:hideMark/>
          </w:tcPr>
          <w:p w14:paraId="5E050030" w14:textId="60E187A8" w:rsidR="003E7372" w:rsidRPr="00CE28E3" w:rsidRDefault="003E7372" w:rsidP="0034139B">
            <w:pPr>
              <w:pStyle w:val="Tabletext0"/>
              <w:keepNext/>
              <w:keepLines/>
            </w:pPr>
            <w:r w:rsidRPr="00CE28E3">
              <w:t xml:space="preserve">Step </w:t>
            </w:r>
            <w:r w:rsidR="00160D54">
              <w:t>3</w:t>
            </w:r>
            <w:r w:rsidRPr="00CE28E3">
              <w:t xml:space="preserve"> – </w:t>
            </w:r>
            <w:r w:rsidRPr="009F748B">
              <w:t xml:space="preserve">Cost per </w:t>
            </w:r>
            <w:r w:rsidR="00BA2E4F">
              <w:t>pain-controlled case</w:t>
            </w:r>
            <w:r w:rsidR="009E6D41">
              <w:t xml:space="preserve"> (for </w:t>
            </w:r>
            <w:r w:rsidR="00515F7E">
              <w:t>TN</w:t>
            </w:r>
            <w:r w:rsidR="009E6D41">
              <w:t>)</w:t>
            </w:r>
          </w:p>
        </w:tc>
      </w:tr>
      <w:tr w:rsidR="003E7372" w:rsidRPr="00CE28E3" w14:paraId="5525016D" w14:textId="77777777" w:rsidTr="422CAA86">
        <w:trPr>
          <w:cantSplit/>
          <w:trHeight w:val="300"/>
        </w:trPr>
        <w:tc>
          <w:tcPr>
            <w:tcW w:w="2356" w:type="pct"/>
            <w:tcBorders>
              <w:bottom w:val="nil"/>
            </w:tcBorders>
            <w:noWrap/>
          </w:tcPr>
          <w:p w14:paraId="703E99D2" w14:textId="77777777" w:rsidR="003E7372" w:rsidRPr="00CE28E3" w:rsidRDefault="003E7372" w:rsidP="0034139B">
            <w:pPr>
              <w:pStyle w:val="Tabletext0"/>
              <w:keepNext/>
              <w:keepLines/>
            </w:pPr>
            <w:r>
              <w:t>Costs</w:t>
            </w:r>
          </w:p>
        </w:tc>
        <w:tc>
          <w:tcPr>
            <w:tcW w:w="786" w:type="pct"/>
            <w:tcBorders>
              <w:bottom w:val="nil"/>
            </w:tcBorders>
            <w:noWrap/>
          </w:tcPr>
          <w:p w14:paraId="2CA00819" w14:textId="6935B772" w:rsidR="003E7372" w:rsidRPr="00CE28E3" w:rsidRDefault="00FC41D1" w:rsidP="0034139B">
            <w:pPr>
              <w:pStyle w:val="Tabletext0"/>
              <w:keepNext/>
              <w:keepLines/>
            </w:pPr>
            <w:r>
              <w:rPr>
                <w:rFonts w:eastAsiaTheme="minorEastAsia"/>
              </w:rPr>
              <w:t>$16,418.01</w:t>
            </w:r>
          </w:p>
        </w:tc>
        <w:tc>
          <w:tcPr>
            <w:tcW w:w="551" w:type="pct"/>
            <w:tcBorders>
              <w:bottom w:val="nil"/>
            </w:tcBorders>
            <w:noWrap/>
          </w:tcPr>
          <w:p w14:paraId="12638160" w14:textId="4CCB8A8C" w:rsidR="003E7372" w:rsidRPr="00CE28E3" w:rsidRDefault="00810068" w:rsidP="0034139B">
            <w:pPr>
              <w:pStyle w:val="Tabletext0"/>
              <w:keepNext/>
              <w:keepLines/>
            </w:pPr>
            <w:r w:rsidRPr="00D8709C">
              <w:rPr>
                <w:rFonts w:eastAsiaTheme="minorEastAsia"/>
              </w:rPr>
              <w:t>$</w:t>
            </w:r>
            <w:r w:rsidR="00FC41D1">
              <w:rPr>
                <w:rFonts w:eastAsiaTheme="minorEastAsia"/>
              </w:rPr>
              <w:t>16,465.61</w:t>
            </w:r>
          </w:p>
        </w:tc>
        <w:tc>
          <w:tcPr>
            <w:tcW w:w="628" w:type="pct"/>
            <w:tcBorders>
              <w:bottom w:val="nil"/>
            </w:tcBorders>
            <w:noWrap/>
          </w:tcPr>
          <w:p w14:paraId="0E66EEA2" w14:textId="378EF98C" w:rsidR="003E7372" w:rsidRPr="00CE28E3" w:rsidRDefault="00FC41D1" w:rsidP="0034139B">
            <w:pPr>
              <w:pStyle w:val="Tabletext0"/>
              <w:keepNext/>
              <w:keepLines/>
            </w:pPr>
            <w:r>
              <w:rPr>
                <w:rFonts w:eastAsiaTheme="minorEastAsia"/>
              </w:rPr>
              <w:t>-</w:t>
            </w:r>
            <w:r w:rsidRPr="005846FD">
              <w:rPr>
                <w:rFonts w:eastAsiaTheme="minorEastAsia"/>
              </w:rPr>
              <w:t>$</w:t>
            </w:r>
            <w:r>
              <w:rPr>
                <w:rFonts w:eastAsiaTheme="minorEastAsia"/>
              </w:rPr>
              <w:t>47.61</w:t>
            </w:r>
          </w:p>
        </w:tc>
        <w:tc>
          <w:tcPr>
            <w:tcW w:w="679" w:type="pct"/>
            <w:vMerge w:val="restart"/>
          </w:tcPr>
          <w:p w14:paraId="1DDD7D84" w14:textId="03083DCA" w:rsidR="003E7372" w:rsidRPr="00CE28E3" w:rsidRDefault="00FC41D1" w:rsidP="0034139B">
            <w:pPr>
              <w:pStyle w:val="Tabletext0"/>
              <w:keepNext/>
              <w:keepLines/>
            </w:pPr>
            <w:r>
              <w:rPr>
                <w:rFonts w:eastAsiaTheme="minorEastAsia"/>
              </w:rPr>
              <w:t>$712.06</w:t>
            </w:r>
          </w:p>
        </w:tc>
      </w:tr>
      <w:tr w:rsidR="003E7372" w:rsidRPr="00CE28E3" w14:paraId="5B8B32C3" w14:textId="77777777" w:rsidTr="422CAA86">
        <w:trPr>
          <w:cantSplit/>
          <w:trHeight w:val="300"/>
        </w:trPr>
        <w:tc>
          <w:tcPr>
            <w:tcW w:w="2356" w:type="pct"/>
            <w:tcBorders>
              <w:top w:val="nil"/>
            </w:tcBorders>
            <w:noWrap/>
          </w:tcPr>
          <w:p w14:paraId="07B48F96" w14:textId="739955A0" w:rsidR="003E7372" w:rsidRDefault="003E7372" w:rsidP="0034139B">
            <w:pPr>
              <w:pStyle w:val="Tabletext0"/>
              <w:keepNext/>
              <w:keepLines/>
            </w:pPr>
            <w:r>
              <w:t xml:space="preserve">Outcome </w:t>
            </w:r>
            <w:r w:rsidR="005E1871">
              <w:rPr>
                <w:rFonts w:eastAsiaTheme="minorEastAsia"/>
              </w:rPr>
              <w:t>3</w:t>
            </w:r>
            <w:r w:rsidR="005E1871">
              <w:t xml:space="preserve"> (QALY</w:t>
            </w:r>
            <w:r>
              <w:t>)</w:t>
            </w:r>
          </w:p>
        </w:tc>
        <w:tc>
          <w:tcPr>
            <w:tcW w:w="786" w:type="pct"/>
            <w:tcBorders>
              <w:top w:val="nil"/>
            </w:tcBorders>
            <w:noWrap/>
          </w:tcPr>
          <w:p w14:paraId="34F530EE" w14:textId="6B7B4A4A" w:rsidR="003E7372" w:rsidRPr="00CE28E3" w:rsidRDefault="00FC41D1" w:rsidP="0034139B">
            <w:pPr>
              <w:pStyle w:val="Tabletext0"/>
              <w:keepNext/>
              <w:keepLines/>
            </w:pPr>
            <w:r>
              <w:t>8.7653</w:t>
            </w:r>
          </w:p>
        </w:tc>
        <w:tc>
          <w:tcPr>
            <w:tcW w:w="551" w:type="pct"/>
            <w:tcBorders>
              <w:top w:val="nil"/>
            </w:tcBorders>
            <w:noWrap/>
          </w:tcPr>
          <w:p w14:paraId="3D62E038" w14:textId="3C93CFBF" w:rsidR="003E7372" w:rsidRPr="00CE28E3" w:rsidRDefault="00FC41D1" w:rsidP="0034139B">
            <w:pPr>
              <w:pStyle w:val="Tabletext0"/>
              <w:keepNext/>
              <w:keepLines/>
            </w:pPr>
            <w:r>
              <w:t>8.8322</w:t>
            </w:r>
          </w:p>
        </w:tc>
        <w:tc>
          <w:tcPr>
            <w:tcW w:w="628" w:type="pct"/>
            <w:tcBorders>
              <w:top w:val="nil"/>
            </w:tcBorders>
            <w:noWrap/>
          </w:tcPr>
          <w:p w14:paraId="1540A24F" w14:textId="2C21D87B" w:rsidR="003E7372" w:rsidRPr="00422836" w:rsidRDefault="00FC41D1" w:rsidP="0034139B">
            <w:pPr>
              <w:pStyle w:val="Tabletext0"/>
              <w:keepNext/>
              <w:keepLines/>
              <w:rPr>
                <w:rFonts w:eastAsiaTheme="minorEastAsia"/>
              </w:rPr>
            </w:pPr>
            <w:r>
              <w:rPr>
                <w:rFonts w:hint="eastAsia"/>
              </w:rPr>
              <w:t>-</w:t>
            </w:r>
            <w:r>
              <w:rPr>
                <w:rFonts w:eastAsiaTheme="minorEastAsia"/>
              </w:rPr>
              <w:t>0.</w:t>
            </w:r>
            <w:r>
              <w:t>0669</w:t>
            </w:r>
          </w:p>
        </w:tc>
        <w:tc>
          <w:tcPr>
            <w:tcW w:w="679" w:type="pct"/>
            <w:vMerge/>
          </w:tcPr>
          <w:p w14:paraId="6B9F5BA1" w14:textId="5056FE5B" w:rsidR="003E7372" w:rsidRPr="00CE28E3" w:rsidRDefault="003E7372" w:rsidP="0034139B">
            <w:pPr>
              <w:pStyle w:val="Tabletext0"/>
              <w:keepNext/>
              <w:keepLines/>
            </w:pPr>
          </w:p>
        </w:tc>
      </w:tr>
    </w:tbl>
    <w:p w14:paraId="4422ECE5" w14:textId="29849EC7" w:rsidR="00AB43EC" w:rsidRDefault="00AB43EC" w:rsidP="0034139B">
      <w:pPr>
        <w:pStyle w:val="TableFigureFooter"/>
        <w:keepNext/>
        <w:keepLines/>
        <w:rPr>
          <w:rFonts w:eastAsiaTheme="minorEastAsia"/>
        </w:rPr>
      </w:pPr>
      <w:r>
        <w:t xml:space="preserve">Abbreviations: </w:t>
      </w:r>
      <w:r>
        <w:rPr>
          <w:rFonts w:eastAsiaTheme="minorEastAsia" w:hint="eastAsia"/>
        </w:rPr>
        <w:t>DRESS=</w:t>
      </w:r>
      <w:r w:rsidRPr="00667476">
        <w:t xml:space="preserve"> </w:t>
      </w:r>
      <w:r w:rsidRPr="00667476">
        <w:rPr>
          <w:rFonts w:eastAsiaTheme="minorEastAsia"/>
        </w:rPr>
        <w:t>drug reaction with eosinophilia and systemic symptoms</w:t>
      </w:r>
      <w:r>
        <w:rPr>
          <w:rFonts w:eastAsiaTheme="minorEastAsia" w:hint="eastAsia"/>
        </w:rPr>
        <w:t xml:space="preserve">; </w:t>
      </w:r>
      <w:r w:rsidR="002D6E2D" w:rsidRPr="00333763">
        <w:rPr>
          <w:rFonts w:eastAsiaTheme="minorEastAsia"/>
        </w:rPr>
        <w:t>ICER=Incremental cost-effectiveness ratio; QALY=quality-adjusted life year</w:t>
      </w:r>
      <w:r w:rsidR="002D6E2D">
        <w:rPr>
          <w:rFonts w:eastAsiaTheme="minorEastAsia"/>
        </w:rPr>
        <w:t xml:space="preserve">; </w:t>
      </w:r>
      <w:r>
        <w:rPr>
          <w:rFonts w:eastAsiaTheme="minorEastAsia" w:hint="eastAsia"/>
        </w:rPr>
        <w:t>SJS=</w:t>
      </w:r>
      <w:r w:rsidRPr="003231F9">
        <w:t xml:space="preserve"> </w:t>
      </w:r>
      <w:r w:rsidRPr="003231F9">
        <w:rPr>
          <w:rFonts w:eastAsiaTheme="minorEastAsia"/>
        </w:rPr>
        <w:t>Stevens–Johnson syndrome</w:t>
      </w:r>
      <w:r>
        <w:rPr>
          <w:rFonts w:eastAsiaTheme="minorEastAsia" w:hint="eastAsia"/>
        </w:rPr>
        <w:t>; TEN=</w:t>
      </w:r>
      <w:r w:rsidRPr="00F13B7C">
        <w:t xml:space="preserve"> </w:t>
      </w:r>
      <w:r w:rsidRPr="00F13B7C">
        <w:rPr>
          <w:rFonts w:eastAsiaTheme="minorEastAsia"/>
        </w:rPr>
        <w:t>toxic epidermal necrolysis</w:t>
      </w:r>
      <w:r>
        <w:rPr>
          <w:rFonts w:eastAsiaTheme="minorEastAsia" w:hint="eastAsia"/>
          <w:lang w:eastAsia="zh-CN"/>
        </w:rPr>
        <w:t>; TN=</w:t>
      </w:r>
      <w:r w:rsidRPr="00AD65C4">
        <w:t xml:space="preserve"> </w:t>
      </w:r>
      <w:r w:rsidRPr="00AD65C4">
        <w:rPr>
          <w:rFonts w:eastAsiaTheme="minorEastAsia"/>
          <w:lang w:eastAsia="zh-CN"/>
        </w:rPr>
        <w:t>trigeminal neuralgia</w:t>
      </w:r>
      <w:r w:rsidR="0096059D">
        <w:rPr>
          <w:rFonts w:eastAsiaTheme="minorEastAsia"/>
          <w:lang w:eastAsia="zh-CN"/>
        </w:rPr>
        <w:t xml:space="preserve">. </w:t>
      </w:r>
      <w:r w:rsidR="0096059D" w:rsidRPr="00333763">
        <w:rPr>
          <w:rFonts w:eastAsiaTheme="minorEastAsia"/>
        </w:rPr>
        <w:t>Note: Multiple outcomes may be informative for MSAC decision making-within each step.</w:t>
      </w:r>
    </w:p>
    <w:p w14:paraId="36D5FF5D" w14:textId="25F9023E" w:rsidR="000F1B99" w:rsidRPr="00B233F7" w:rsidRDefault="004D0414" w:rsidP="00E76AE0">
      <w:pPr>
        <w:pStyle w:val="Instructionaltext"/>
        <w:rPr>
          <w:rFonts w:eastAsia="Calibri"/>
          <w:sz w:val="22"/>
          <w:szCs w:val="22"/>
        </w:rPr>
      </w:pPr>
      <w:r w:rsidRPr="00B233F7">
        <w:rPr>
          <w:sz w:val="22"/>
          <w:szCs w:val="22"/>
        </w:rPr>
        <w:t>The key drivers (top five parameters) from the one-way sensitivity analysis are presented in</w:t>
      </w:r>
      <w:r w:rsidR="000B38F7">
        <w:rPr>
          <w:sz w:val="22"/>
          <w:szCs w:val="22"/>
        </w:rPr>
        <w:t xml:space="preserve"> Table</w:t>
      </w:r>
      <w:r w:rsidR="002E6B38">
        <w:rPr>
          <w:sz w:val="22"/>
          <w:szCs w:val="22"/>
        </w:rPr>
        <w:t> </w:t>
      </w:r>
      <w:r w:rsidR="000B38F7">
        <w:rPr>
          <w:sz w:val="22"/>
          <w:szCs w:val="22"/>
        </w:rPr>
        <w:t>9</w:t>
      </w:r>
      <w:r w:rsidR="00FB673C" w:rsidRPr="00B233F7">
        <w:rPr>
          <w:sz w:val="22"/>
          <w:szCs w:val="22"/>
        </w:rPr>
        <w:t>.</w:t>
      </w:r>
    </w:p>
    <w:p w14:paraId="537076CB" w14:textId="5F17AFD4" w:rsidR="002719A1" w:rsidRPr="00287F17" w:rsidRDefault="002719A1" w:rsidP="0034139B">
      <w:pPr>
        <w:pStyle w:val="Caption"/>
        <w:keepLines/>
        <w:rPr>
          <w:rFonts w:eastAsiaTheme="minorEastAsia"/>
          <w:snapToGrid w:val="0"/>
        </w:rPr>
      </w:pPr>
      <w:bookmarkStart w:id="30" w:name="_Ref181834500"/>
      <w:r w:rsidRPr="00F57762">
        <w:rPr>
          <w:rFonts w:hint="eastAsia"/>
          <w:snapToGrid w:val="0"/>
        </w:rPr>
        <w:lastRenderedPageBreak/>
        <w:t>Table</w:t>
      </w:r>
      <w:r w:rsidR="00287F17" w:rsidRPr="00F57762">
        <w:rPr>
          <w:snapToGrid w:val="0"/>
        </w:rPr>
        <w:t> </w:t>
      </w:r>
      <w:bookmarkEnd w:id="30"/>
      <w:r w:rsidR="000B38F7">
        <w:rPr>
          <w:snapToGrid w:val="0"/>
        </w:rPr>
        <w:t>9</w:t>
      </w:r>
      <w:r w:rsidR="000B38F7" w:rsidRPr="00F57762">
        <w:rPr>
          <w:rFonts w:hint="eastAsia"/>
          <w:snapToGrid w:val="0"/>
        </w:rPr>
        <w:t xml:space="preserve"> </w:t>
      </w:r>
      <w:r>
        <w:rPr>
          <w:rFonts w:eastAsiaTheme="minorEastAsia" w:hint="eastAsia"/>
          <w:snapToGrid w:val="0"/>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28" w:type="dxa"/>
        </w:tblCellMar>
        <w:tblLook w:val="04A0" w:firstRow="1" w:lastRow="0" w:firstColumn="1" w:lastColumn="0" w:noHBand="0" w:noVBand="1"/>
      </w:tblPr>
      <w:tblGrid>
        <w:gridCol w:w="2405"/>
        <w:gridCol w:w="4254"/>
        <w:gridCol w:w="2357"/>
      </w:tblGrid>
      <w:tr w:rsidR="000D0AA7" w:rsidRPr="00CE28E3" w14:paraId="5EB31191" w14:textId="77777777">
        <w:trPr>
          <w:tblHeader/>
        </w:trPr>
        <w:tc>
          <w:tcPr>
            <w:tcW w:w="1334" w:type="pct"/>
            <w:shd w:val="clear" w:color="auto" w:fill="D9D9D9" w:themeFill="background1" w:themeFillShade="D9"/>
            <w:vAlign w:val="center"/>
          </w:tcPr>
          <w:p w14:paraId="08CCDCD8" w14:textId="77777777" w:rsidR="000D0AA7" w:rsidRPr="00CE28E3" w:rsidRDefault="000D0AA7" w:rsidP="0034139B">
            <w:pPr>
              <w:pStyle w:val="2024TABLEHEADING"/>
              <w:keepLines/>
            </w:pPr>
            <w:r w:rsidRPr="00CE28E3">
              <w:t>Description</w:t>
            </w:r>
          </w:p>
        </w:tc>
        <w:tc>
          <w:tcPr>
            <w:tcW w:w="2359" w:type="pct"/>
            <w:shd w:val="clear" w:color="auto" w:fill="D9D9D9" w:themeFill="background1" w:themeFillShade="D9"/>
            <w:vAlign w:val="center"/>
          </w:tcPr>
          <w:p w14:paraId="364109DC" w14:textId="77777777" w:rsidR="000D0AA7" w:rsidRPr="00CE28E3" w:rsidRDefault="000D0AA7" w:rsidP="0034139B">
            <w:pPr>
              <w:pStyle w:val="2024TABLEHEADING"/>
              <w:keepLines/>
            </w:pPr>
            <w:r w:rsidRPr="00CE28E3">
              <w:t>Method/Value</w:t>
            </w:r>
          </w:p>
        </w:tc>
        <w:tc>
          <w:tcPr>
            <w:tcW w:w="1307" w:type="pct"/>
            <w:shd w:val="clear" w:color="auto" w:fill="D9D9D9" w:themeFill="background1" w:themeFillShade="D9"/>
            <w:vAlign w:val="center"/>
          </w:tcPr>
          <w:p w14:paraId="78240A05" w14:textId="77777777" w:rsidR="000D0AA7" w:rsidRPr="00CE28E3" w:rsidRDefault="000D0AA7" w:rsidP="0034139B">
            <w:pPr>
              <w:pStyle w:val="2024TABLEHEADING"/>
              <w:keepLines/>
            </w:pPr>
            <w:r w:rsidRPr="00CE28E3">
              <w:t>Impact</w:t>
            </w:r>
          </w:p>
          <w:p w14:paraId="19A15E80" w14:textId="40ACBE3E" w:rsidR="000D0AA7" w:rsidRPr="00CE28E3" w:rsidRDefault="000D0AA7" w:rsidP="0034139B">
            <w:pPr>
              <w:pStyle w:val="2024TABLEHEADING"/>
              <w:keepLines/>
            </w:pPr>
            <w:r w:rsidRPr="00CE28E3">
              <w:t xml:space="preserve">Base case: </w:t>
            </w:r>
            <w:r w:rsidR="003975F2" w:rsidRPr="003975F2">
              <w:rPr>
                <w:i/>
                <w:iCs/>
              </w:rPr>
              <w:t xml:space="preserve">HLA-A*31:01 </w:t>
            </w:r>
            <w:r w:rsidRPr="00226C0F">
              <w:t>and</w:t>
            </w:r>
            <w:r w:rsidRPr="00037FAC">
              <w:rPr>
                <w:i/>
                <w:iCs/>
              </w:rPr>
              <w:t xml:space="preserve"> </w:t>
            </w:r>
            <w:r w:rsidR="003975F2" w:rsidRPr="003975F2">
              <w:rPr>
                <w:i/>
                <w:iCs/>
              </w:rPr>
              <w:t xml:space="preserve">HLA-B*15:02 </w:t>
            </w:r>
            <w:r w:rsidR="00037FAC">
              <w:t>is a dominant strategy</w:t>
            </w:r>
          </w:p>
        </w:tc>
      </w:tr>
      <w:tr w:rsidR="000D0AA7" w:rsidRPr="00CE28E3" w14:paraId="355F1708" w14:textId="77777777">
        <w:tc>
          <w:tcPr>
            <w:tcW w:w="1334" w:type="pct"/>
            <w:shd w:val="clear" w:color="auto" w:fill="auto"/>
            <w:vAlign w:val="center"/>
          </w:tcPr>
          <w:p w14:paraId="16B5C2F1" w14:textId="4CE3C64C" w:rsidR="000D0AA7" w:rsidRPr="00C54839" w:rsidRDefault="000D0AA7" w:rsidP="0034139B">
            <w:pPr>
              <w:pStyle w:val="2024TABLETEXT"/>
              <w:keepNext/>
              <w:keepLines/>
              <w:rPr>
                <w:highlight w:val="yellow"/>
                <w:lang w:val="en-US"/>
              </w:rPr>
            </w:pPr>
            <w:r>
              <w:t xml:space="preserve">Annual cost of remission </w:t>
            </w:r>
            <w:r w:rsidR="00965E4D">
              <w:t xml:space="preserve">from epilepsy in patients </w:t>
            </w:r>
            <w:r>
              <w:t>treated with CBZ/OXC without SJS-TEN/DRESS</w:t>
            </w:r>
          </w:p>
        </w:tc>
        <w:tc>
          <w:tcPr>
            <w:tcW w:w="2359" w:type="pct"/>
            <w:shd w:val="clear" w:color="auto" w:fill="auto"/>
            <w:vAlign w:val="center"/>
          </w:tcPr>
          <w:p w14:paraId="5604542B" w14:textId="1C0EF5C9" w:rsidR="000D0AA7" w:rsidRPr="00C54839" w:rsidRDefault="000D0AA7" w:rsidP="0034139B">
            <w:pPr>
              <w:pStyle w:val="2024TABLETEXT"/>
              <w:keepNext/>
              <w:keepLines/>
              <w:rPr>
                <w:rFonts w:eastAsiaTheme="minorEastAsia"/>
                <w:highlight w:val="yellow"/>
                <w:lang w:val="en-US"/>
              </w:rPr>
            </w:pPr>
            <w:r w:rsidRPr="00635543">
              <w:t>According to a recent systematic review</w:t>
            </w:r>
            <w:r>
              <w:t xml:space="preserve"> </w:t>
            </w:r>
            <w:r>
              <w:rPr>
                <w:rFonts w:eastAsiaTheme="minorEastAsia"/>
              </w:rPr>
              <w:fldChar w:fldCharType="begin"/>
            </w:r>
            <w:r w:rsidR="00AA706C">
              <w:rPr>
                <w:rFonts w:eastAsiaTheme="minorEastAsia"/>
              </w:rPr>
              <w:instrText xml:space="preserve"> ADDIN EN.CITE &lt;EndNote&gt;&lt;Cite&gt;&lt;Author&gt;Begley&lt;/Author&gt;&lt;Year&gt;2015&lt;/Year&gt;&lt;RecNum&gt;50&lt;/RecNum&gt;&lt;DisplayText&gt;(Begley &amp;amp; Durgin, 2015)&lt;/DisplayText&gt;&lt;record&gt;&lt;rec-number&gt;50&lt;/rec-number&gt;&lt;foreign-keys&gt;&lt;key app="EN" db-id="5aadsstv3sv996esway5vazsepfefazvfdps" timestamp="1730891796"&gt;50&lt;/key&gt;&lt;/foreign-keys&gt;&lt;ref-type name="Journal Article"&gt;17&lt;/ref-type&gt;&lt;contributors&gt;&lt;authors&gt;&lt;author&gt;Begley, C. E.&lt;/author&gt;&lt;author&gt;Durgin, T. L.&lt;/author&gt;&lt;/authors&gt;&lt;/contributors&gt;&lt;auth-address&gt;Center for Health Services Research, School of Public Health, University of Texas Health Science Center, Houston, Texas, U.S.A.&amp;#xD;U.S. Health Economics and Outcomes Research, UCB, Inc., Smyrna, Georgia, U.S.A.&lt;/auth-address&gt;&lt;titles&gt;&lt;title&gt;The direct cost of epilepsy in the United States: A systematic review of estimates&lt;/title&gt;&lt;secondary-title&gt;Epilepsia&lt;/secondary-title&gt;&lt;/titles&gt;&lt;periodical&gt;&lt;full-title&gt;Epilepsia&lt;/full-title&gt;&lt;/periodical&gt;&lt;pages&gt;1376-87&lt;/pages&gt;&lt;volume&gt;56&lt;/volume&gt;&lt;number&gt;9&lt;/number&gt;&lt;edition&gt;20150727&lt;/edition&gt;&lt;keywords&gt;&lt;keyword&gt;Databases, Bibliographic/statistics &amp;amp; numerical data&lt;/keyword&gt;&lt;keyword&gt;Epilepsy/*economics/*epidemiology/therapy&lt;/keyword&gt;&lt;keyword&gt;*Health Care Costs&lt;/keyword&gt;&lt;keyword&gt;Humans&lt;/keyword&gt;&lt;keyword&gt;United States/epidemiology&lt;/keyword&gt;&lt;keyword&gt;Burden of illness&lt;/keyword&gt;&lt;keyword&gt;Cost&lt;/keyword&gt;&lt;keyword&gt;Cost of illness&lt;/keyword&gt;&lt;keyword&gt;Costs and cost analysis&lt;/keyword&gt;&lt;keyword&gt;Economic burden&lt;/keyword&gt;&lt;keyword&gt;Economics&lt;/keyword&gt;&lt;keyword&gt;Epilepsy&lt;/keyword&gt;&lt;keyword&gt;Seizures&lt;/keyword&gt;&lt;/keywords&gt;&lt;dates&gt;&lt;year&gt;2015&lt;/year&gt;&lt;pub-dates&gt;&lt;date&gt;Sep&lt;/date&gt;&lt;/pub-dates&gt;&lt;/dates&gt;&lt;isbn&gt;0013-9580&lt;/isbn&gt;&lt;accession-num&gt;26216617&lt;/accession-num&gt;&lt;urls&gt;&lt;/urls&gt;&lt;electronic-resource-num&gt;10.1111/epi.13084&lt;/electronic-resource-num&gt;&lt;remote-database-provider&gt;NLM&lt;/remote-database-provider&gt;&lt;language&gt;eng&lt;/language&gt;&lt;/record&gt;&lt;/Cite&gt;&lt;/EndNote&gt;</w:instrText>
            </w:r>
            <w:r>
              <w:rPr>
                <w:rFonts w:eastAsiaTheme="minorEastAsia"/>
              </w:rPr>
              <w:fldChar w:fldCharType="separate"/>
            </w:r>
            <w:r w:rsidR="00AA706C">
              <w:rPr>
                <w:rFonts w:eastAsiaTheme="minorEastAsia"/>
                <w:noProof/>
              </w:rPr>
              <w:t>(Begley &amp; Durgin, 2015</w:t>
            </w:r>
            <w:r w:rsidR="00E64188">
              <w:rPr>
                <w:rStyle w:val="FootnoteReference"/>
                <w:rFonts w:eastAsiaTheme="minorEastAsia"/>
                <w:noProof/>
              </w:rPr>
              <w:footnoteReference w:id="20"/>
            </w:r>
            <w:r w:rsidR="00AA706C">
              <w:rPr>
                <w:rFonts w:eastAsiaTheme="minorEastAsia"/>
                <w:noProof/>
              </w:rPr>
              <w:t>)</w:t>
            </w:r>
            <w:r>
              <w:rPr>
                <w:rFonts w:eastAsiaTheme="minorEastAsia"/>
              </w:rPr>
              <w:fldChar w:fldCharType="end"/>
            </w:r>
            <w:r>
              <w:rPr>
                <w:rFonts w:eastAsiaTheme="minorEastAsia"/>
              </w:rPr>
              <w:t xml:space="preserve">. </w:t>
            </w:r>
            <w:r>
              <w:rPr>
                <w:rFonts w:eastAsiaTheme="minorEastAsia" w:hint="eastAsia"/>
              </w:rPr>
              <w:t xml:space="preserve">In the analysis </w:t>
            </w:r>
            <w:r w:rsidRPr="008639DA">
              <w:rPr>
                <w:rFonts w:hint="eastAsia"/>
              </w:rPr>
              <w:t xml:space="preserve">by </w:t>
            </w:r>
            <w:r w:rsidRPr="008639DA">
              <w:t>Foster 2020</w:t>
            </w:r>
            <w:r>
              <w:t xml:space="preserve"> </w:t>
            </w:r>
            <w:r>
              <w:fldChar w:fldCharType="begin">
                <w:fldData xml:space="preserve">PEVuZE5vdGU+PENpdGU+PEF1dGhvcj5Gb3N0ZXI8L0F1dGhvcj48WWVhcj4yMDIwPC9ZZWFyPjxS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</w:fldData>
              </w:fldChar>
            </w:r>
            <w:r w:rsidR="00AA706C">
              <w:instrText xml:space="preserve"> ADDIN EN.CITE </w:instrText>
            </w:r>
            <w:r w:rsidR="00AA706C">
              <w:fldChar w:fldCharType="begin">
                <w:fldData xml:space="preserve">PEVuZE5vdGU+PENpdGU+PEF1dGhvcj5Gb3N0ZXI8L0F1dGhvcj48WWVhcj4yMDIwPC9ZZWFyPjxS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</w:fldData>
              </w:fldChar>
            </w:r>
            <w:r w:rsidR="00AA706C">
              <w:instrText xml:space="preserve"> ADDIN EN.CITE.DATA </w:instrText>
            </w:r>
            <w:r w:rsidR="00AA706C">
              <w:fldChar w:fldCharType="end"/>
            </w:r>
            <w:r>
              <w:fldChar w:fldCharType="separate"/>
            </w:r>
            <w:r w:rsidR="00AA706C">
              <w:rPr>
                <w:noProof/>
              </w:rPr>
              <w:t>(Foster et al., 2020</w:t>
            </w:r>
            <w:r w:rsidR="00107DA5">
              <w:rPr>
                <w:rStyle w:val="FootnoteReference"/>
                <w:noProof/>
              </w:rPr>
              <w:footnoteReference w:id="21"/>
            </w:r>
            <w:r w:rsidR="00AA706C">
              <w:rPr>
                <w:noProof/>
              </w:rPr>
              <w:t>)</w:t>
            </w:r>
            <w:r>
              <w:fldChar w:fldCharType="end"/>
            </w:r>
            <w:r>
              <w:rPr>
                <w:rFonts w:eastAsiaTheme="minorEastAsia" w:hint="eastAsia"/>
              </w:rPr>
              <w:t xml:space="preserve">, it </w:t>
            </w:r>
            <w:r>
              <w:rPr>
                <w:rFonts w:eastAsiaTheme="minorEastAsia"/>
              </w:rPr>
              <w:t>was</w:t>
            </w:r>
            <w:r w:rsidRPr="00635543">
              <w:rPr>
                <w:rFonts w:eastAsiaTheme="minorEastAsia"/>
              </w:rPr>
              <w:t xml:space="preserve"> a</w:t>
            </w:r>
            <w:r w:rsidRPr="00635543">
              <w:t>ssumed that the direct health care costs for people with uncontrolled epilepsy were 10 times those of people with controlled epilepsy.</w:t>
            </w:r>
            <w:r>
              <w:rPr>
                <w:rFonts w:eastAsiaTheme="minorEastAsia" w:hint="eastAsia"/>
              </w:rPr>
              <w:t xml:space="preserve"> Thus, this </w:t>
            </w:r>
            <w:r>
              <w:rPr>
                <w:rFonts w:eastAsiaTheme="minorEastAsia"/>
              </w:rPr>
              <w:t>val</w:t>
            </w:r>
            <w:r>
              <w:rPr>
                <w:rFonts w:eastAsiaTheme="minorEastAsia" w:hint="eastAsia"/>
              </w:rPr>
              <w:t xml:space="preserve">ue was assumed to be </w:t>
            </w:r>
            <w:r w:rsidR="00D06F34">
              <w:rPr>
                <w:rFonts w:eastAsiaTheme="minorEastAsia"/>
              </w:rPr>
              <w:t>one tenth</w:t>
            </w:r>
            <w:r>
              <w:rPr>
                <w:rFonts w:eastAsiaTheme="minorEastAsia" w:hint="eastAsia"/>
              </w:rPr>
              <w:t xml:space="preserve"> of the annual cost of </w:t>
            </w:r>
            <w:r w:rsidRPr="002A14AF">
              <w:rPr>
                <w:rFonts w:eastAsiaTheme="minorEastAsia" w:hint="eastAsia"/>
              </w:rPr>
              <w:t>uncontrolled epilepsy</w:t>
            </w:r>
            <w:r w:rsidRPr="002A14AF">
              <w:t xml:space="preserve"> treated with C</w:t>
            </w:r>
            <w:r>
              <w:rPr>
                <w:rFonts w:eastAsiaTheme="minorEastAsia" w:hint="eastAsia"/>
              </w:rPr>
              <w:t>BZ</w:t>
            </w:r>
            <w:r w:rsidRPr="002A14AF">
              <w:t xml:space="preserve">/OXC without </w:t>
            </w:r>
            <w:r>
              <w:rPr>
                <w:rFonts w:eastAsiaTheme="minorEastAsia" w:hint="eastAsia"/>
              </w:rPr>
              <w:t>SJS-TEN/DRESS.</w:t>
            </w:r>
          </w:p>
        </w:tc>
        <w:tc>
          <w:tcPr>
            <w:tcW w:w="1307" w:type="pct"/>
            <w:shd w:val="clear" w:color="auto" w:fill="auto"/>
            <w:vAlign w:val="center"/>
          </w:tcPr>
          <w:p w14:paraId="7F1DCD6F" w14:textId="77777777" w:rsidR="000D0AA7" w:rsidRPr="00765EEC" w:rsidRDefault="000D0AA7" w:rsidP="0034139B">
            <w:pPr>
              <w:pStyle w:val="2024TABLETEXT"/>
              <w:keepNext/>
              <w:keepLines/>
              <w:rPr>
                <w:lang w:val="en-US"/>
              </w:rPr>
            </w:pPr>
            <w:r w:rsidRPr="00EF3BE5">
              <w:rPr>
                <w:rFonts w:hint="eastAsia"/>
                <w:lang w:val="en-US"/>
              </w:rPr>
              <w:t xml:space="preserve">High, </w:t>
            </w:r>
            <w:proofErr w:type="spellStart"/>
            <w:r w:rsidRPr="00EF3BE5">
              <w:rPr>
                <w:rFonts w:hint="eastAsia"/>
                <w:lang w:val="en-US"/>
              </w:rPr>
              <w:t>favours</w:t>
            </w:r>
            <w:proofErr w:type="spellEnd"/>
            <w:r w:rsidRPr="00EF3BE5">
              <w:rPr>
                <w:rFonts w:hint="eastAsia"/>
                <w:lang w:val="en-US"/>
              </w:rPr>
              <w:t xml:space="preserve"> </w:t>
            </w:r>
            <w:r>
              <w:rPr>
                <w:lang w:val="en-US"/>
              </w:rPr>
              <w:t>genotyping</w:t>
            </w:r>
            <w:r w:rsidRPr="00EF3BE5">
              <w:rPr>
                <w:rFonts w:hint="eastAsia"/>
                <w:lang w:val="en-US"/>
              </w:rPr>
              <w:t xml:space="preserve"> when this value </w:t>
            </w:r>
            <w:r w:rsidRPr="00EF3BE5">
              <w:rPr>
                <w:lang w:val="en-US"/>
              </w:rPr>
              <w:t>increased</w:t>
            </w:r>
            <w:r w:rsidRPr="00EF3BE5">
              <w:rPr>
                <w:rFonts w:hint="eastAsia"/>
                <w:lang w:val="en-US"/>
              </w:rPr>
              <w:t>.</w:t>
            </w:r>
          </w:p>
        </w:tc>
      </w:tr>
      <w:tr w:rsidR="000D0AA7" w:rsidRPr="00C54839" w14:paraId="4906EEFA" w14:textId="77777777">
        <w:trPr>
          <w:trHeight w:val="33"/>
        </w:trPr>
        <w:tc>
          <w:tcPr>
            <w:tcW w:w="1334" w:type="pct"/>
            <w:shd w:val="clear" w:color="auto" w:fill="auto"/>
            <w:vAlign w:val="center"/>
          </w:tcPr>
          <w:p w14:paraId="1C03638D" w14:textId="557F371C" w:rsidR="000D0AA7" w:rsidRPr="00C54839" w:rsidRDefault="000D0AA7" w:rsidP="0034139B">
            <w:pPr>
              <w:pStyle w:val="2024TABLETEXT"/>
              <w:keepNext/>
              <w:keepLines/>
              <w:rPr>
                <w:highlight w:val="yellow"/>
                <w:lang w:val="en-US"/>
              </w:rPr>
            </w:pPr>
            <w:r>
              <w:t xml:space="preserve">Annual cost of remission </w:t>
            </w:r>
            <w:r w:rsidR="00AD57E0">
              <w:t xml:space="preserve">from epilepsy in patients </w:t>
            </w:r>
            <w:r>
              <w:t>treated with VPA without SJS-TEN/DRESS</w:t>
            </w:r>
          </w:p>
        </w:tc>
        <w:tc>
          <w:tcPr>
            <w:tcW w:w="2359" w:type="pct"/>
            <w:shd w:val="clear" w:color="auto" w:fill="auto"/>
            <w:vAlign w:val="center"/>
          </w:tcPr>
          <w:p w14:paraId="490EE34D" w14:textId="6B457D79" w:rsidR="000D0AA7" w:rsidRPr="00C54839" w:rsidRDefault="000D0AA7" w:rsidP="0034139B">
            <w:pPr>
              <w:pStyle w:val="2024TABLETEXT"/>
              <w:keepNext/>
              <w:keepLines/>
              <w:rPr>
                <w:highlight w:val="yellow"/>
              </w:rPr>
            </w:pPr>
            <w:r w:rsidRPr="003E43C6">
              <w:t>According to a recent systematic review</w:t>
            </w:r>
            <w:r>
              <w:rPr>
                <w:rFonts w:eastAsiaTheme="minorEastAsia" w:hint="eastAsia"/>
              </w:rPr>
              <w:t xml:space="preserve"> </w:t>
            </w:r>
            <w:r>
              <w:rPr>
                <w:rFonts w:eastAsiaTheme="minorEastAsia"/>
              </w:rPr>
              <w:fldChar w:fldCharType="begin"/>
            </w:r>
            <w:r w:rsidR="00AA706C">
              <w:rPr>
                <w:rFonts w:eastAsiaTheme="minorEastAsia"/>
              </w:rPr>
              <w:instrText xml:space="preserve"> ADDIN EN.CITE &lt;EndNote&gt;&lt;Cite&gt;&lt;Author&gt;Begley&lt;/Author&gt;&lt;Year&gt;2015&lt;/Year&gt;&lt;RecNum&gt;50&lt;/RecNum&gt;&lt;DisplayText&gt;(Begley &amp;amp; Durgin, 2015)&lt;/DisplayText&gt;&lt;record&gt;&lt;rec-number&gt;50&lt;/rec-number&gt;&lt;foreign-keys&gt;&lt;key app="EN" db-id="5aadsstv3sv996esway5vazsepfefazvfdps" timestamp="1730891796"&gt;50&lt;/key&gt;&lt;/foreign-keys&gt;&lt;ref-type name="Journal Article"&gt;17&lt;/ref-type&gt;&lt;contributors&gt;&lt;authors&gt;&lt;author&gt;Begley, C. E.&lt;/author&gt;&lt;author&gt;Durgin, T. L.&lt;/author&gt;&lt;/authors&gt;&lt;/contributors&gt;&lt;auth-address&gt;Center for Health Services Research, School of Public Health, University of Texas Health Science Center, Houston, Texas, U.S.A.&amp;#xD;U.S. Health Economics and Outcomes Research, UCB, Inc., Smyrna, Georgia, U.S.A.&lt;/auth-address&gt;&lt;titles&gt;&lt;title&gt;The direct cost of epilepsy in the United States: A systematic review of estimates&lt;/title&gt;&lt;secondary-title&gt;Epilepsia&lt;/secondary-title&gt;&lt;/titles&gt;&lt;periodical&gt;&lt;full-title&gt;Epilepsia&lt;/full-title&gt;&lt;/periodical&gt;&lt;pages&gt;1376-87&lt;/pages&gt;&lt;volume&gt;56&lt;/volume&gt;&lt;number&gt;9&lt;/number&gt;&lt;edition&gt;20150727&lt;/edition&gt;&lt;keywords&gt;&lt;keyword&gt;Databases, Bibliographic/statistics &amp;amp; numerical data&lt;/keyword&gt;&lt;keyword&gt;Epilepsy/*economics/*epidemiology/therapy&lt;/keyword&gt;&lt;keyword&gt;*Health Care Costs&lt;/keyword&gt;&lt;keyword&gt;Humans&lt;/keyword&gt;&lt;keyword&gt;United States/epidemiology&lt;/keyword&gt;&lt;keyword&gt;Burden of illness&lt;/keyword&gt;&lt;keyword&gt;Cost&lt;/keyword&gt;&lt;keyword&gt;Cost of illness&lt;/keyword&gt;&lt;keyword&gt;Costs and cost analysis&lt;/keyword&gt;&lt;keyword&gt;Economic burden&lt;/keyword&gt;&lt;keyword&gt;Economics&lt;/keyword&gt;&lt;keyword&gt;Epilepsy&lt;/keyword&gt;&lt;keyword&gt;Seizures&lt;/keyword&gt;&lt;/keywords&gt;&lt;dates&gt;&lt;year&gt;2015&lt;/year&gt;&lt;pub-dates&gt;&lt;date&gt;Sep&lt;/date&gt;&lt;/pub-dates&gt;&lt;/dates&gt;&lt;isbn&gt;0013-9580&lt;/isbn&gt;&lt;accession-num&gt;26216617&lt;/accession-num&gt;&lt;urls&gt;&lt;/urls&gt;&lt;electronic-resource-num&gt;10.1111/epi.13084&lt;/electronic-resource-num&gt;&lt;remote-database-provider&gt;NLM&lt;/remote-database-provider&gt;&lt;language&gt;eng&lt;/language&gt;&lt;/record&gt;&lt;/Cite&gt;&lt;/EndNote&gt;</w:instrText>
            </w:r>
            <w:r>
              <w:rPr>
                <w:rFonts w:eastAsiaTheme="minorEastAsia"/>
              </w:rPr>
              <w:fldChar w:fldCharType="separate"/>
            </w:r>
            <w:r w:rsidR="00AA706C">
              <w:rPr>
                <w:rFonts w:eastAsiaTheme="minorEastAsia"/>
                <w:noProof/>
              </w:rPr>
              <w:t>(Begley &amp; Durgin, 2015)</w:t>
            </w:r>
            <w:r>
              <w:rPr>
                <w:rFonts w:eastAsiaTheme="minorEastAsia"/>
              </w:rPr>
              <w:fldChar w:fldCharType="end"/>
            </w:r>
            <w:r>
              <w:rPr>
                <w:rFonts w:eastAsiaTheme="minorEastAsia"/>
              </w:rPr>
              <w:t xml:space="preserve">. </w:t>
            </w:r>
            <w:r>
              <w:rPr>
                <w:rFonts w:eastAsiaTheme="minorEastAsia" w:hint="eastAsia"/>
              </w:rPr>
              <w:t xml:space="preserve">In the analysis by </w:t>
            </w:r>
            <w:r>
              <w:rPr>
                <w:rFonts w:eastAsiaTheme="minorEastAsia"/>
              </w:rPr>
              <w:t xml:space="preserve">Foster 2020 </w:t>
            </w:r>
            <w:r>
              <w:fldChar w:fldCharType="begin">
                <w:fldData xml:space="preserve">PEVuZE5vdGU+PENpdGU+PEF1dGhvcj5Gb3N0ZXI8L0F1dGhvcj48WWVhcj4yMDIwPC9ZZWFyPjxS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</w:fldData>
              </w:fldChar>
            </w:r>
            <w:r w:rsidR="00AA706C">
              <w:instrText xml:space="preserve"> ADDIN EN.CITE </w:instrText>
            </w:r>
            <w:r w:rsidR="00AA706C">
              <w:fldChar w:fldCharType="begin">
                <w:fldData xml:space="preserve">PEVuZE5vdGU+PENpdGU+PEF1dGhvcj5Gb3N0ZXI8L0F1dGhvcj48WWVhcj4yMDIwPC9ZZWFyPjxS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</w:fldData>
              </w:fldChar>
            </w:r>
            <w:r w:rsidR="00AA706C">
              <w:instrText xml:space="preserve"> ADDIN EN.CITE.DATA </w:instrText>
            </w:r>
            <w:r w:rsidR="00AA706C">
              <w:fldChar w:fldCharType="end"/>
            </w:r>
            <w:r>
              <w:fldChar w:fldCharType="separate"/>
            </w:r>
            <w:r w:rsidR="00AA706C">
              <w:rPr>
                <w:noProof/>
              </w:rPr>
              <w:t>(Foster et al., 2020)</w:t>
            </w:r>
            <w:r>
              <w:fldChar w:fldCharType="end"/>
            </w:r>
            <w:r>
              <w:rPr>
                <w:rFonts w:eastAsiaTheme="minorEastAsia" w:hint="eastAsia"/>
              </w:rPr>
              <w:t xml:space="preserve">, </w:t>
            </w:r>
            <w:r>
              <w:rPr>
                <w:rFonts w:eastAsiaTheme="minorEastAsia"/>
              </w:rPr>
              <w:t>it was</w:t>
            </w:r>
            <w:r w:rsidRPr="00635543">
              <w:rPr>
                <w:rFonts w:eastAsiaTheme="minorEastAsia"/>
              </w:rPr>
              <w:t xml:space="preserve"> a</w:t>
            </w:r>
            <w:r w:rsidRPr="003E43C6">
              <w:t>ssumed that the direct health care costs for people with uncontrolled epilepsy were 10 times those of people with controlled epilepsy</w:t>
            </w:r>
            <w:r w:rsidRPr="00635543">
              <w:t>.</w:t>
            </w:r>
            <w:r>
              <w:rPr>
                <w:rFonts w:eastAsiaTheme="minorEastAsia" w:hint="eastAsia"/>
              </w:rPr>
              <w:t xml:space="preserve"> Thus, this </w:t>
            </w:r>
            <w:r>
              <w:rPr>
                <w:rFonts w:eastAsiaTheme="minorEastAsia"/>
              </w:rPr>
              <w:t>val</w:t>
            </w:r>
            <w:r>
              <w:rPr>
                <w:rFonts w:eastAsiaTheme="minorEastAsia" w:hint="eastAsia"/>
              </w:rPr>
              <w:t xml:space="preserve">ue was assumed to be </w:t>
            </w:r>
            <w:r w:rsidR="0094474E">
              <w:rPr>
                <w:rFonts w:eastAsiaTheme="minorEastAsia"/>
              </w:rPr>
              <w:t>one tenth</w:t>
            </w:r>
            <w:r>
              <w:rPr>
                <w:rFonts w:eastAsiaTheme="minorEastAsia" w:hint="eastAsia"/>
              </w:rPr>
              <w:t xml:space="preserve"> of the annual cost of </w:t>
            </w:r>
            <w:r w:rsidRPr="002A14AF">
              <w:rPr>
                <w:rFonts w:eastAsiaTheme="minorEastAsia" w:hint="eastAsia"/>
              </w:rPr>
              <w:t>uncontrolled epilepsy</w:t>
            </w:r>
            <w:r w:rsidRPr="002A14AF">
              <w:t xml:space="preserve"> treated with </w:t>
            </w:r>
            <w:r>
              <w:rPr>
                <w:rFonts w:eastAsiaTheme="minorEastAsia" w:hint="eastAsia"/>
              </w:rPr>
              <w:t>VPA</w:t>
            </w:r>
            <w:r w:rsidRPr="002A14AF">
              <w:t xml:space="preserve"> without </w:t>
            </w:r>
            <w:r>
              <w:rPr>
                <w:rFonts w:eastAsiaTheme="minorEastAsia" w:hint="eastAsia"/>
              </w:rPr>
              <w:t>SJS-TEN/DRESS.</w:t>
            </w:r>
          </w:p>
        </w:tc>
        <w:tc>
          <w:tcPr>
            <w:tcW w:w="1307" w:type="pct"/>
            <w:shd w:val="clear" w:color="auto" w:fill="auto"/>
            <w:vAlign w:val="center"/>
          </w:tcPr>
          <w:p w14:paraId="5B32DAF6" w14:textId="77777777" w:rsidR="000D0AA7" w:rsidRPr="00EF3BE5" w:rsidRDefault="000D0AA7" w:rsidP="0034139B">
            <w:pPr>
              <w:pStyle w:val="2024TABLETEXT"/>
              <w:keepNext/>
              <w:keepLines/>
              <w:rPr>
                <w:lang w:val="en-US"/>
              </w:rPr>
            </w:pPr>
            <w:r w:rsidRPr="00EF3BE5">
              <w:rPr>
                <w:rFonts w:hint="eastAsia"/>
                <w:lang w:val="en-US"/>
              </w:rPr>
              <w:t xml:space="preserve">High, </w:t>
            </w:r>
            <w:proofErr w:type="spellStart"/>
            <w:r w:rsidRPr="00EF3BE5">
              <w:rPr>
                <w:rFonts w:hint="eastAsia"/>
                <w:lang w:val="en-US"/>
              </w:rPr>
              <w:t>favours</w:t>
            </w:r>
            <w:proofErr w:type="spellEnd"/>
            <w:r w:rsidRPr="00EF3BE5">
              <w:rPr>
                <w:rFonts w:hint="eastAsia"/>
                <w:lang w:val="en-US"/>
              </w:rPr>
              <w:t xml:space="preserve"> </w:t>
            </w:r>
            <w:r>
              <w:rPr>
                <w:lang w:val="en-US"/>
              </w:rPr>
              <w:t>no testing</w:t>
            </w:r>
            <w:r w:rsidRPr="00EF3BE5">
              <w:rPr>
                <w:rFonts w:hint="eastAsia"/>
                <w:lang w:val="en-US"/>
              </w:rPr>
              <w:t xml:space="preserve"> when this value </w:t>
            </w:r>
            <w:r w:rsidRPr="00EF3BE5">
              <w:rPr>
                <w:lang w:val="en-US"/>
              </w:rPr>
              <w:t>increased</w:t>
            </w:r>
            <w:r w:rsidRPr="00EF3BE5">
              <w:rPr>
                <w:rFonts w:hint="eastAsia"/>
                <w:lang w:val="en-US"/>
              </w:rPr>
              <w:t>.</w:t>
            </w:r>
          </w:p>
        </w:tc>
      </w:tr>
      <w:tr w:rsidR="000D0AA7" w:rsidRPr="00CE28E3" w14:paraId="3E4DCD75" w14:textId="77777777">
        <w:tc>
          <w:tcPr>
            <w:tcW w:w="1334" w:type="pct"/>
            <w:shd w:val="clear" w:color="auto" w:fill="auto"/>
            <w:vAlign w:val="center"/>
          </w:tcPr>
          <w:p w14:paraId="2A0ABDF8" w14:textId="77777777" w:rsidR="000D0AA7" w:rsidRDefault="000D0AA7" w:rsidP="0034139B">
            <w:pPr>
              <w:pStyle w:val="2024TABLETEXT"/>
              <w:keepNext/>
              <w:keepLines/>
            </w:pPr>
            <w:r>
              <w:t>Probability of death due to CBZ/OXC-induced SJS-TEN/DRESS</w:t>
            </w:r>
          </w:p>
        </w:tc>
        <w:tc>
          <w:tcPr>
            <w:tcW w:w="2359" w:type="pct"/>
            <w:shd w:val="clear" w:color="auto" w:fill="auto"/>
          </w:tcPr>
          <w:p w14:paraId="7926A211" w14:textId="6C6D04AD" w:rsidR="000D0AA7" w:rsidRDefault="000D0AA7" w:rsidP="0034139B">
            <w:pPr>
              <w:pStyle w:val="2024TABLETEXT"/>
              <w:keepNext/>
              <w:keepLines/>
            </w:pPr>
            <w:r>
              <w:rPr>
                <w:rFonts w:eastAsiaTheme="minorEastAsia" w:hint="eastAsia"/>
              </w:rPr>
              <w:t>C</w:t>
            </w:r>
            <w:r w:rsidRPr="0075042B">
              <w:t>alculated</w:t>
            </w:r>
            <w:r>
              <w:rPr>
                <w:rFonts w:eastAsiaTheme="minorEastAsia" w:hint="eastAsia"/>
              </w:rPr>
              <w:t xml:space="preserve"> estimate (</w:t>
            </w:r>
            <w:r w:rsidRPr="00FF4098">
              <w:rPr>
                <w:rFonts w:eastAsiaTheme="minorEastAsia" w:hint="eastAsia"/>
              </w:rPr>
              <w:t xml:space="preserve">detailed </w:t>
            </w:r>
            <w:r w:rsidRPr="00FF4098">
              <w:rPr>
                <w:rFonts w:eastAsiaTheme="minorEastAsia"/>
              </w:rPr>
              <w:t>calculat</w:t>
            </w:r>
            <w:r w:rsidRPr="00FF4098">
              <w:rPr>
                <w:rFonts w:eastAsiaTheme="minorEastAsia" w:hint="eastAsia"/>
              </w:rPr>
              <w:t>ion presented in Section 3A.2.4</w:t>
            </w:r>
            <w:r>
              <w:rPr>
                <w:rFonts w:eastAsiaTheme="minorEastAsia" w:hint="eastAsia"/>
              </w:rPr>
              <w:t>)</w:t>
            </w:r>
          </w:p>
        </w:tc>
        <w:tc>
          <w:tcPr>
            <w:tcW w:w="1307" w:type="pct"/>
            <w:shd w:val="clear" w:color="auto" w:fill="auto"/>
            <w:vAlign w:val="center"/>
          </w:tcPr>
          <w:p w14:paraId="5A24513F" w14:textId="63EB7487" w:rsidR="000D0AA7" w:rsidRPr="00EF3BE5" w:rsidRDefault="000D0AA7" w:rsidP="0034139B">
            <w:pPr>
              <w:pStyle w:val="2024TABLETEXT"/>
              <w:keepNext/>
              <w:keepLines/>
              <w:rPr>
                <w:lang w:val="en-US"/>
              </w:rPr>
            </w:pPr>
            <w:r w:rsidRPr="00EF3BE5">
              <w:rPr>
                <w:rFonts w:hint="eastAsia"/>
                <w:lang w:val="en-US"/>
              </w:rPr>
              <w:t xml:space="preserve">High, </w:t>
            </w:r>
            <w:proofErr w:type="spellStart"/>
            <w:r w:rsidRPr="00EF3BE5">
              <w:rPr>
                <w:rFonts w:hint="eastAsia"/>
                <w:lang w:val="en-US"/>
              </w:rPr>
              <w:t>favours</w:t>
            </w:r>
            <w:proofErr w:type="spellEnd"/>
            <w:r w:rsidRPr="00EF3BE5">
              <w:rPr>
                <w:rFonts w:hint="eastAsia"/>
                <w:lang w:val="en-US"/>
              </w:rPr>
              <w:t xml:space="preserve"> </w:t>
            </w:r>
            <w:r w:rsidR="00525FB5">
              <w:rPr>
                <w:lang w:val="en-US"/>
              </w:rPr>
              <w:t>genotyping</w:t>
            </w:r>
            <w:r w:rsidRPr="00EF3BE5">
              <w:rPr>
                <w:rFonts w:hint="eastAsia"/>
                <w:lang w:val="en-US"/>
              </w:rPr>
              <w:t xml:space="preserve"> when this value </w:t>
            </w:r>
            <w:r w:rsidRPr="00EF3BE5">
              <w:rPr>
                <w:lang w:val="en-US"/>
              </w:rPr>
              <w:t>increased</w:t>
            </w:r>
            <w:r w:rsidRPr="00EF3BE5">
              <w:rPr>
                <w:rFonts w:hint="eastAsia"/>
                <w:lang w:val="en-US"/>
              </w:rPr>
              <w:t>.</w:t>
            </w:r>
          </w:p>
        </w:tc>
      </w:tr>
      <w:tr w:rsidR="000D0AA7" w:rsidRPr="00CE28E3" w14:paraId="09271C90" w14:textId="77777777">
        <w:tc>
          <w:tcPr>
            <w:tcW w:w="1334" w:type="pct"/>
            <w:shd w:val="clear" w:color="auto" w:fill="auto"/>
            <w:vAlign w:val="center"/>
          </w:tcPr>
          <w:p w14:paraId="49CFC6BD" w14:textId="47B5BB65" w:rsidR="000D0AA7" w:rsidRPr="00C54839" w:rsidRDefault="000D0AA7" w:rsidP="0034139B">
            <w:pPr>
              <w:pStyle w:val="2024TABLETEXT"/>
              <w:keepNext/>
              <w:keepLines/>
              <w:rPr>
                <w:rFonts w:eastAsiaTheme="minorEastAsia"/>
                <w:highlight w:val="yellow"/>
              </w:rPr>
            </w:pPr>
            <w:r>
              <w:t xml:space="preserve">Annual cost of remission </w:t>
            </w:r>
            <w:r w:rsidR="00D2518D">
              <w:t xml:space="preserve">from epilepsy in patients </w:t>
            </w:r>
            <w:r>
              <w:t>treated with VPA with SJS-TEN/DRESS</w:t>
            </w:r>
          </w:p>
        </w:tc>
        <w:tc>
          <w:tcPr>
            <w:tcW w:w="2359" w:type="pct"/>
            <w:shd w:val="clear" w:color="auto" w:fill="auto"/>
            <w:vAlign w:val="center"/>
          </w:tcPr>
          <w:p w14:paraId="43081435" w14:textId="77777777" w:rsidR="000D0AA7" w:rsidRPr="00C54839" w:rsidRDefault="000D0AA7" w:rsidP="0034139B">
            <w:pPr>
              <w:pStyle w:val="2024TABLETEXT"/>
              <w:keepNext/>
              <w:keepLines/>
              <w:rPr>
                <w:highlight w:val="yellow"/>
              </w:rPr>
            </w:pPr>
            <w:r>
              <w:rPr>
                <w:rFonts w:hint="eastAsia"/>
              </w:rPr>
              <w:t>The sum of a</w:t>
            </w:r>
            <w:r w:rsidRPr="00635543">
              <w:t xml:space="preserve">nnual cost of remission treated with </w:t>
            </w:r>
            <w:r>
              <w:rPr>
                <w:rFonts w:hint="eastAsia"/>
              </w:rPr>
              <w:t>VPA</w:t>
            </w:r>
            <w:r w:rsidRPr="00635543">
              <w:t xml:space="preserve"> without </w:t>
            </w:r>
            <w:r>
              <w:rPr>
                <w:rFonts w:hint="eastAsia"/>
              </w:rPr>
              <w:t>SJS-TEN/DRESS</w:t>
            </w:r>
            <w:r w:rsidRPr="00635543">
              <w:t xml:space="preserve"> </w:t>
            </w:r>
            <w:r>
              <w:rPr>
                <w:rFonts w:hint="eastAsia"/>
              </w:rPr>
              <w:t xml:space="preserve">and the cost of hospitalisation for </w:t>
            </w:r>
            <w:r>
              <w:t>SJS-TEN</w:t>
            </w:r>
            <w:r w:rsidRPr="00305613">
              <w:t>/DRESS</w:t>
            </w:r>
            <w:r>
              <w:rPr>
                <w:rFonts w:hint="eastAsia"/>
              </w:rPr>
              <w:t>.</w:t>
            </w:r>
          </w:p>
        </w:tc>
        <w:tc>
          <w:tcPr>
            <w:tcW w:w="1307" w:type="pct"/>
            <w:shd w:val="clear" w:color="auto" w:fill="auto"/>
            <w:vAlign w:val="center"/>
          </w:tcPr>
          <w:p w14:paraId="27FBFD09" w14:textId="77777777" w:rsidR="000D0AA7" w:rsidRDefault="000D0AA7" w:rsidP="0034139B">
            <w:pPr>
              <w:pStyle w:val="2024TABLETEXT"/>
              <w:keepNext/>
              <w:keepLines/>
              <w:rPr>
                <w:lang w:val="en-US"/>
              </w:rPr>
            </w:pPr>
            <w:r w:rsidRPr="00EF3BE5">
              <w:rPr>
                <w:rFonts w:hint="eastAsia"/>
                <w:lang w:val="en-US"/>
              </w:rPr>
              <w:t xml:space="preserve">High, </w:t>
            </w:r>
            <w:proofErr w:type="spellStart"/>
            <w:r w:rsidRPr="00EF3BE5">
              <w:rPr>
                <w:rFonts w:hint="eastAsia"/>
                <w:lang w:val="en-US"/>
              </w:rPr>
              <w:t>favours</w:t>
            </w:r>
            <w:proofErr w:type="spellEnd"/>
            <w:r w:rsidRPr="00EF3BE5">
              <w:rPr>
                <w:rFonts w:hint="eastAsia"/>
                <w:lang w:val="en-US"/>
              </w:rPr>
              <w:t xml:space="preserve"> </w:t>
            </w:r>
            <w:r>
              <w:rPr>
                <w:lang w:val="en-US"/>
              </w:rPr>
              <w:t>genotyping</w:t>
            </w:r>
            <w:r w:rsidRPr="00EF3BE5">
              <w:rPr>
                <w:rFonts w:hint="eastAsia"/>
                <w:lang w:val="en-US"/>
              </w:rPr>
              <w:t xml:space="preserve"> when this value </w:t>
            </w:r>
            <w:r w:rsidRPr="00EF3BE5">
              <w:rPr>
                <w:lang w:val="en-US"/>
              </w:rPr>
              <w:t>increased</w:t>
            </w:r>
            <w:r w:rsidRPr="00EF3BE5">
              <w:rPr>
                <w:rFonts w:hint="eastAsia"/>
                <w:lang w:val="en-US"/>
              </w:rPr>
              <w:t>.</w:t>
            </w:r>
          </w:p>
        </w:tc>
      </w:tr>
      <w:tr w:rsidR="000D0AA7" w:rsidRPr="001E4D5D" w14:paraId="2ED691EC" w14:textId="77777777">
        <w:tc>
          <w:tcPr>
            <w:tcW w:w="1334" w:type="pct"/>
            <w:shd w:val="clear" w:color="auto" w:fill="auto"/>
            <w:vAlign w:val="center"/>
          </w:tcPr>
          <w:p w14:paraId="3C7F6F11" w14:textId="77777777" w:rsidR="000D0AA7" w:rsidRPr="001E4D5D" w:rsidRDefault="000D0AA7" w:rsidP="0034139B">
            <w:pPr>
              <w:pStyle w:val="2024TABLETEXT"/>
              <w:keepNext/>
              <w:keepLines/>
              <w:rPr>
                <w:rFonts w:eastAsiaTheme="minorEastAsia"/>
                <w:highlight w:val="yellow"/>
              </w:rPr>
            </w:pPr>
            <w:r>
              <w:t>Probability of death due to epilepsy</w:t>
            </w:r>
          </w:p>
        </w:tc>
        <w:tc>
          <w:tcPr>
            <w:tcW w:w="2359" w:type="pct"/>
            <w:shd w:val="clear" w:color="auto" w:fill="auto"/>
          </w:tcPr>
          <w:p w14:paraId="7FD4C633" w14:textId="7E252FDB" w:rsidR="000D0AA7" w:rsidRPr="001E4D5D" w:rsidRDefault="000D0AA7" w:rsidP="0034139B">
            <w:pPr>
              <w:pStyle w:val="2024TABLETEXT"/>
              <w:keepNext/>
              <w:keepLines/>
              <w:rPr>
                <w:highlight w:val="yellow"/>
                <w:lang w:val="en-US"/>
              </w:rPr>
            </w:pPr>
            <w:r>
              <w:rPr>
                <w:rFonts w:eastAsiaTheme="minorEastAsia"/>
              </w:rPr>
              <w:t xml:space="preserve">Assumed same as the general population. Patients entering the model at age 5 with a life expectancy of 83 </w:t>
            </w:r>
            <w:r w:rsidR="00AA706C">
              <w:rPr>
                <w:rFonts w:eastAsiaTheme="minorEastAsia"/>
              </w:rPr>
              <w:fldChar w:fldCharType="begin"/>
            </w:r>
            <w:r w:rsidR="00AA706C">
              <w:rPr>
                <w:rFonts w:eastAsiaTheme="minorEastAsia"/>
              </w:rPr>
              <w:instrText xml:space="preserve"> ADDIN EN.CITE &lt;EndNote&gt;&lt;Cite&gt;&lt;Author&gt;Australian Bureau of Statistics&lt;/Author&gt;&lt;Year&gt;2018-2020&lt;/Year&gt;&lt;RecNum&gt;42&lt;/RecNum&gt;&lt;DisplayText&gt;(Australian Bureau of Statistics, 2018-2020)&lt;/DisplayText&gt;&lt;record&gt;&lt;rec-number&gt;42&lt;/rec-number&gt;&lt;foreign-keys&gt;&lt;key app="EN" db-id="9dax95e5kwwazeez2aqv0aepe0vzwrfwz50t" timestamp="1730910765"&gt;42&lt;/key&gt;&lt;/foreign-keys&gt;&lt;ref-type name="Web Page"&gt;12&lt;/ref-type&gt;&lt;contributors&gt;&lt;authors&gt;&lt;author&gt;Australian Bureau of Statistics,&lt;/author&gt;&lt;/authors&gt;&lt;/contributors&gt;&lt;titles&gt;&lt;title&gt;Life tables&lt;/title&gt;&lt;/titles&gt;&lt;dates&gt;&lt;year&gt;2018-2020&lt;/year&gt;&lt;/dates&gt;&lt;publisher&gt;ABS&lt;/publisher&gt;&lt;urls&gt;&lt;related-urls&gt;&lt;url&gt;https://www.abs.gov.au/statistics/people/population/life-expectancy/2018-2020&lt;/url&gt;&lt;/related-urls&gt;&lt;/urls&gt;&lt;/record&gt;&lt;/Cite&gt;&lt;/EndNote&gt;</w:instrText>
            </w:r>
            <w:r w:rsidR="00AA706C">
              <w:rPr>
                <w:rFonts w:eastAsiaTheme="minorEastAsia"/>
              </w:rPr>
              <w:fldChar w:fldCharType="separate"/>
            </w:r>
            <w:r w:rsidR="00AA706C">
              <w:rPr>
                <w:rFonts w:eastAsiaTheme="minorEastAsia"/>
                <w:noProof/>
              </w:rPr>
              <w:t>(Australian Bureau of Statistics, 2018-2020)</w:t>
            </w:r>
            <w:r w:rsidR="00AA706C">
              <w:rPr>
                <w:rFonts w:eastAsiaTheme="minorEastAsia"/>
              </w:rPr>
              <w:fldChar w:fldCharType="end"/>
            </w:r>
            <w:r>
              <w:rPr>
                <w:rFonts w:eastAsiaTheme="minorEastAsia"/>
              </w:rPr>
              <w:t>.</w:t>
            </w:r>
          </w:p>
        </w:tc>
        <w:tc>
          <w:tcPr>
            <w:tcW w:w="1307" w:type="pct"/>
            <w:shd w:val="clear" w:color="auto" w:fill="auto"/>
            <w:vAlign w:val="center"/>
          </w:tcPr>
          <w:p w14:paraId="20C4895E" w14:textId="5AE25CB2" w:rsidR="000D0AA7" w:rsidRPr="00EF3BE5" w:rsidRDefault="000D0AA7" w:rsidP="0034139B">
            <w:pPr>
              <w:pStyle w:val="2024TABLETEXT"/>
              <w:keepNext/>
              <w:keepLines/>
              <w:rPr>
                <w:lang w:val="en-US"/>
              </w:rPr>
            </w:pPr>
            <w:r w:rsidRPr="00EF3BE5">
              <w:rPr>
                <w:rFonts w:hint="eastAsia"/>
                <w:lang w:val="en-US"/>
              </w:rPr>
              <w:t xml:space="preserve">High, </w:t>
            </w:r>
            <w:proofErr w:type="spellStart"/>
            <w:r w:rsidRPr="00EF3BE5">
              <w:rPr>
                <w:rFonts w:hint="eastAsia"/>
                <w:lang w:val="en-US"/>
              </w:rPr>
              <w:t>favours</w:t>
            </w:r>
            <w:proofErr w:type="spellEnd"/>
            <w:r w:rsidRPr="00EF3BE5">
              <w:rPr>
                <w:rFonts w:hint="eastAsia"/>
                <w:lang w:val="en-US"/>
              </w:rPr>
              <w:t xml:space="preserve"> </w:t>
            </w:r>
            <w:r w:rsidR="00525FB5">
              <w:rPr>
                <w:lang w:val="en-US"/>
              </w:rPr>
              <w:t>genotyping</w:t>
            </w:r>
            <w:r w:rsidRPr="00EF3BE5">
              <w:rPr>
                <w:rFonts w:hint="eastAsia"/>
                <w:lang w:val="en-US"/>
              </w:rPr>
              <w:t xml:space="preserve"> when this value </w:t>
            </w:r>
            <w:r w:rsidRPr="00EF3BE5">
              <w:rPr>
                <w:lang w:val="en-US"/>
              </w:rPr>
              <w:t>increased</w:t>
            </w:r>
            <w:r w:rsidRPr="00EF3BE5">
              <w:rPr>
                <w:rFonts w:hint="eastAsia"/>
                <w:lang w:val="en-US"/>
              </w:rPr>
              <w:t>.</w:t>
            </w:r>
          </w:p>
        </w:tc>
      </w:tr>
    </w:tbl>
    <w:p w14:paraId="4E5C3BD9" w14:textId="0D594C15" w:rsidR="002719A1" w:rsidRPr="00E65D4E" w:rsidRDefault="00E07A95" w:rsidP="0034139B">
      <w:pPr>
        <w:pStyle w:val="TableFigureFooter"/>
        <w:keepNext/>
        <w:keepLines/>
        <w:rPr>
          <w:rFonts w:eastAsiaTheme="minorEastAsia"/>
        </w:rPr>
      </w:pPr>
      <w:r>
        <w:rPr>
          <w:rFonts w:eastAsiaTheme="minorEastAsia"/>
        </w:rPr>
        <w:t xml:space="preserve">Abbreviations: </w:t>
      </w:r>
      <w:r w:rsidR="00E65D4E">
        <w:rPr>
          <w:rFonts w:eastAsiaTheme="minorEastAsia" w:hint="eastAsia"/>
        </w:rPr>
        <w:t>CBZ=</w:t>
      </w:r>
      <w:r w:rsidR="00E65D4E" w:rsidRPr="00C07B75">
        <w:t xml:space="preserve"> </w:t>
      </w:r>
      <w:r w:rsidR="00E65D4E" w:rsidRPr="00C07B75">
        <w:rPr>
          <w:rFonts w:eastAsiaTheme="minorEastAsia"/>
        </w:rPr>
        <w:t>carbamazepine</w:t>
      </w:r>
      <w:r w:rsidR="00E65D4E">
        <w:rPr>
          <w:rFonts w:eastAsiaTheme="minorEastAsia" w:hint="eastAsia"/>
        </w:rPr>
        <w:t>; DRESS=</w:t>
      </w:r>
      <w:r w:rsidR="00E65D4E" w:rsidRPr="00667476">
        <w:t xml:space="preserve"> </w:t>
      </w:r>
      <w:r w:rsidR="00E65D4E" w:rsidRPr="00667476">
        <w:rPr>
          <w:rFonts w:eastAsiaTheme="minorEastAsia"/>
        </w:rPr>
        <w:t>drug reaction with eosinophilia and systemic symptoms</w:t>
      </w:r>
      <w:r w:rsidR="00E65D4E">
        <w:rPr>
          <w:rFonts w:eastAsiaTheme="minorEastAsia" w:hint="eastAsia"/>
        </w:rPr>
        <w:t xml:space="preserve">; </w:t>
      </w:r>
      <w:r w:rsidR="00287853" w:rsidRPr="00C537F9">
        <w:t>HLA = human leukocyte antigen</w:t>
      </w:r>
      <w:r w:rsidR="00287853">
        <w:t>;</w:t>
      </w:r>
      <w:r w:rsidR="00287853" w:rsidRPr="00265035">
        <w:t xml:space="preserve"> </w:t>
      </w:r>
      <w:r w:rsidR="00E65D4E">
        <w:rPr>
          <w:rFonts w:eastAsiaTheme="minorEastAsia" w:hint="eastAsia"/>
        </w:rPr>
        <w:t>OXC=</w:t>
      </w:r>
      <w:r w:rsidR="00E65D4E" w:rsidRPr="00916EB5">
        <w:rPr>
          <w:rFonts w:cs="Courier New"/>
          <w:szCs w:val="20"/>
        </w:rPr>
        <w:t>oxcarbazepine</w:t>
      </w:r>
      <w:r w:rsidR="00E65D4E">
        <w:rPr>
          <w:rFonts w:eastAsiaTheme="minorEastAsia" w:cs="Courier New" w:hint="eastAsia"/>
          <w:szCs w:val="20"/>
        </w:rPr>
        <w:t xml:space="preserve">; PPV= </w:t>
      </w:r>
      <w:r w:rsidR="00E65D4E" w:rsidRPr="00667476">
        <w:rPr>
          <w:rFonts w:eastAsiaTheme="minorEastAsia" w:cs="Courier New"/>
          <w:szCs w:val="20"/>
        </w:rPr>
        <w:t>Positive predict value</w:t>
      </w:r>
      <w:r w:rsidR="00E65D4E">
        <w:rPr>
          <w:rFonts w:eastAsiaTheme="minorEastAsia" w:cs="Courier New" w:hint="eastAsia"/>
          <w:szCs w:val="20"/>
        </w:rPr>
        <w:t xml:space="preserve">; </w:t>
      </w:r>
      <w:r w:rsidR="00E65D4E">
        <w:rPr>
          <w:rFonts w:eastAsiaTheme="minorEastAsia" w:hint="eastAsia"/>
        </w:rPr>
        <w:t>SJS=</w:t>
      </w:r>
      <w:r w:rsidR="00E65D4E" w:rsidRPr="003231F9">
        <w:t xml:space="preserve"> </w:t>
      </w:r>
      <w:r w:rsidR="00E65D4E" w:rsidRPr="003231F9">
        <w:rPr>
          <w:rFonts w:eastAsiaTheme="minorEastAsia"/>
        </w:rPr>
        <w:t>Stevens–Johnson syndrome</w:t>
      </w:r>
      <w:r w:rsidR="00E65D4E">
        <w:rPr>
          <w:rFonts w:eastAsiaTheme="minorEastAsia" w:hint="eastAsia"/>
        </w:rPr>
        <w:t>; TEN=</w:t>
      </w:r>
      <w:r w:rsidR="00E65D4E" w:rsidRPr="00F13B7C">
        <w:t xml:space="preserve"> </w:t>
      </w:r>
      <w:r w:rsidR="00E65D4E" w:rsidRPr="00F13B7C">
        <w:rPr>
          <w:rFonts w:eastAsiaTheme="minorEastAsia"/>
        </w:rPr>
        <w:t>toxic epidermal necrolysis</w:t>
      </w:r>
      <w:r w:rsidR="008C2CF3">
        <w:rPr>
          <w:rFonts w:eastAsiaTheme="minorEastAsia"/>
        </w:rPr>
        <w:t xml:space="preserve">; </w:t>
      </w:r>
      <w:r w:rsidR="008C2CF3">
        <w:rPr>
          <w:rFonts w:eastAsiaTheme="minorEastAsia" w:hint="eastAsia"/>
          <w:lang w:eastAsia="zh-CN"/>
        </w:rPr>
        <w:t>VPA=</w:t>
      </w:r>
      <w:r w:rsidR="008C2CF3" w:rsidRPr="000D2951">
        <w:t xml:space="preserve"> </w:t>
      </w:r>
      <w:r w:rsidR="008C2CF3" w:rsidRPr="000D2951">
        <w:rPr>
          <w:rFonts w:eastAsiaTheme="minorEastAsia"/>
          <w:lang w:eastAsia="zh-CN"/>
        </w:rPr>
        <w:t>Valproate</w:t>
      </w:r>
    </w:p>
    <w:p w14:paraId="442893DC" w14:textId="2AC1390D" w:rsidR="007F162E" w:rsidRPr="00B233F7" w:rsidRDefault="007F162E" w:rsidP="006F19A4">
      <w:pPr>
        <w:pStyle w:val="Instructionaltext"/>
        <w:rPr>
          <w:sz w:val="22"/>
          <w:szCs w:val="22"/>
        </w:rPr>
      </w:pPr>
      <w:r w:rsidRPr="00B233F7">
        <w:rPr>
          <w:sz w:val="22"/>
          <w:szCs w:val="22"/>
        </w:rPr>
        <w:t>The results of key univariate sensitivity analysis (one-way sensitivity analysis) are summarised below (</w:t>
      </w:r>
      <w:r w:rsidR="000B38F7">
        <w:rPr>
          <w:sz w:val="22"/>
          <w:szCs w:val="22"/>
        </w:rPr>
        <w:t>Table 10</w:t>
      </w:r>
      <w:r w:rsidRPr="00B233F7">
        <w:rPr>
          <w:sz w:val="22"/>
          <w:szCs w:val="22"/>
        </w:rPr>
        <w:t xml:space="preserve">), using the top driver (i.e., </w:t>
      </w:r>
      <w:r w:rsidR="00BB68F5" w:rsidRPr="00B233F7">
        <w:rPr>
          <w:sz w:val="22"/>
          <w:szCs w:val="22"/>
        </w:rPr>
        <w:t>Annual cost of remission treated with CBZ/OXC without SJS-TEN/DRESS</w:t>
      </w:r>
      <w:r w:rsidRPr="00B233F7">
        <w:rPr>
          <w:sz w:val="22"/>
          <w:szCs w:val="22"/>
        </w:rPr>
        <w:t xml:space="preserve">) </w:t>
      </w:r>
      <w:r w:rsidR="00FB6DF0" w:rsidRPr="00B233F7">
        <w:rPr>
          <w:sz w:val="22"/>
          <w:szCs w:val="22"/>
        </w:rPr>
        <w:t xml:space="preserve">for epilepsy </w:t>
      </w:r>
      <w:r w:rsidRPr="00B233F7">
        <w:rPr>
          <w:sz w:val="22"/>
          <w:szCs w:val="22"/>
        </w:rPr>
        <w:t>as an example.</w:t>
      </w:r>
      <w:r w:rsidR="006C6D0A">
        <w:rPr>
          <w:sz w:val="22"/>
          <w:szCs w:val="22"/>
        </w:rPr>
        <w:t xml:space="preserve"> The tornado diagra</w:t>
      </w:r>
      <w:r w:rsidR="008465D1">
        <w:rPr>
          <w:sz w:val="22"/>
          <w:szCs w:val="22"/>
        </w:rPr>
        <w:t>m and ICER scatterplot are provided in Figures 1 and 2.</w:t>
      </w:r>
    </w:p>
    <w:p w14:paraId="7B1A00F7" w14:textId="51B663D0" w:rsidR="009C4BDD" w:rsidRPr="00FB6DF0" w:rsidRDefault="00287F17" w:rsidP="0034139B">
      <w:pPr>
        <w:pStyle w:val="Caption"/>
        <w:keepLines/>
        <w:rPr>
          <w:rFonts w:eastAsiaTheme="minorEastAsia"/>
          <w:snapToGrid w:val="0"/>
        </w:rPr>
      </w:pPr>
      <w:bookmarkStart w:id="31" w:name="_Ref181832022"/>
      <w:r w:rsidRPr="00F57762">
        <w:rPr>
          <w:snapToGrid w:val="0"/>
        </w:rPr>
        <w:lastRenderedPageBreak/>
        <w:t>Table </w:t>
      </w:r>
      <w:r w:rsidR="000B38F7">
        <w:rPr>
          <w:snapToGrid w:val="0"/>
        </w:rPr>
        <w:t>10</w:t>
      </w:r>
      <w:bookmarkEnd w:id="31"/>
      <w:r w:rsidR="00B150F4" w:rsidRPr="00F57762">
        <w:rPr>
          <w:rFonts w:hint="eastAsia"/>
          <w:snapToGrid w:val="0"/>
        </w:rPr>
        <w:t xml:space="preserve"> </w:t>
      </w:r>
      <w:r w:rsidR="00B150F4">
        <w:rPr>
          <w:rFonts w:eastAsiaTheme="minorEastAsia" w:hint="eastAsia"/>
          <w:snapToGrid w:val="0"/>
        </w:rPr>
        <w:t>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129"/>
        <w:gridCol w:w="1417"/>
        <w:gridCol w:w="1560"/>
        <w:gridCol w:w="4910"/>
      </w:tblGrid>
      <w:tr w:rsidR="009C4BDD" w:rsidRPr="00CE28E3" w14:paraId="59BE2F6A" w14:textId="77777777">
        <w:trPr>
          <w:cantSplit/>
          <w:trHeight w:val="420"/>
          <w:tblHeader/>
        </w:trPr>
        <w:tc>
          <w:tcPr>
            <w:tcW w:w="626" w:type="pct"/>
            <w:shd w:val="clear" w:color="auto" w:fill="D9D9D9" w:themeFill="background1" w:themeFillShade="D9"/>
            <w:vAlign w:val="center"/>
          </w:tcPr>
          <w:p w14:paraId="2214EB52" w14:textId="77777777" w:rsidR="009C4BDD" w:rsidRPr="00CE28E3" w:rsidRDefault="009C4BDD" w:rsidP="0034139B">
            <w:pPr>
              <w:pStyle w:val="In-tableHeading"/>
              <w:keepLines/>
            </w:pPr>
            <w:r w:rsidRPr="00CE28E3">
              <w:t>Analyses</w:t>
            </w:r>
          </w:p>
        </w:tc>
        <w:tc>
          <w:tcPr>
            <w:tcW w:w="786" w:type="pct"/>
            <w:shd w:val="clear" w:color="auto" w:fill="D9D9D9" w:themeFill="background1" w:themeFillShade="D9"/>
            <w:vAlign w:val="center"/>
          </w:tcPr>
          <w:p w14:paraId="17945EAA" w14:textId="77777777" w:rsidR="009C4BDD" w:rsidRPr="00CE28E3" w:rsidRDefault="009C4BDD" w:rsidP="0034139B">
            <w:pPr>
              <w:pStyle w:val="In-tableHeading"/>
              <w:keepLines/>
              <w:jc w:val="center"/>
            </w:pPr>
            <w:r w:rsidRPr="00CE28E3">
              <w:t>Incremental cost</w:t>
            </w:r>
          </w:p>
        </w:tc>
        <w:tc>
          <w:tcPr>
            <w:tcW w:w="865" w:type="pct"/>
            <w:shd w:val="clear" w:color="auto" w:fill="D9D9D9" w:themeFill="background1" w:themeFillShade="D9"/>
            <w:vAlign w:val="center"/>
          </w:tcPr>
          <w:p w14:paraId="32006A3D" w14:textId="77777777" w:rsidR="009C4BDD" w:rsidRPr="00CE28E3" w:rsidRDefault="009C4BDD" w:rsidP="0034139B">
            <w:pPr>
              <w:pStyle w:val="In-tableHeading"/>
              <w:keepLines/>
              <w:jc w:val="center"/>
            </w:pPr>
            <w:r w:rsidRPr="00CE28E3">
              <w:t>Incremental QALY</w:t>
            </w:r>
          </w:p>
        </w:tc>
        <w:tc>
          <w:tcPr>
            <w:tcW w:w="2723" w:type="pct"/>
            <w:shd w:val="clear" w:color="auto" w:fill="D9D9D9" w:themeFill="background1" w:themeFillShade="D9"/>
            <w:vAlign w:val="center"/>
          </w:tcPr>
          <w:p w14:paraId="54F86EC4" w14:textId="77777777" w:rsidR="009C4BDD" w:rsidRPr="00CE28E3" w:rsidRDefault="009C4BDD" w:rsidP="0034139B">
            <w:pPr>
              <w:pStyle w:val="In-tableHeading"/>
              <w:keepLines/>
              <w:jc w:val="center"/>
            </w:pPr>
            <w:r w:rsidRPr="00CE28E3">
              <w:t>ICER</w:t>
            </w:r>
          </w:p>
        </w:tc>
      </w:tr>
      <w:tr w:rsidR="009C4BDD" w:rsidRPr="00FA3900" w14:paraId="27FFB881" w14:textId="77777777" w:rsidTr="00FB6DF0">
        <w:trPr>
          <w:cantSplit/>
        </w:trPr>
        <w:tc>
          <w:tcPr>
            <w:tcW w:w="626" w:type="pct"/>
            <w:shd w:val="clear" w:color="auto" w:fill="auto"/>
          </w:tcPr>
          <w:p w14:paraId="702DEA05" w14:textId="77777777" w:rsidR="009C4BDD" w:rsidRPr="00FB6DF0" w:rsidRDefault="009C4BDD" w:rsidP="0034139B">
            <w:pPr>
              <w:pStyle w:val="TableText"/>
              <w:keepNext/>
              <w:keepLines/>
              <w:rPr>
                <w:szCs w:val="20"/>
              </w:rPr>
            </w:pPr>
            <w:r w:rsidRPr="00FB6DF0">
              <w:rPr>
                <w:szCs w:val="20"/>
              </w:rPr>
              <w:t>Base case</w:t>
            </w:r>
          </w:p>
        </w:tc>
        <w:tc>
          <w:tcPr>
            <w:tcW w:w="786" w:type="pct"/>
            <w:shd w:val="clear" w:color="auto" w:fill="auto"/>
          </w:tcPr>
          <w:p w14:paraId="2C77ACF7" w14:textId="4C0A3986" w:rsidR="009C4BDD" w:rsidRPr="00FB6DF0" w:rsidRDefault="00A55A9B" w:rsidP="0034139B">
            <w:pPr>
              <w:pStyle w:val="TableText"/>
              <w:keepNext/>
              <w:keepLines/>
              <w:rPr>
                <w:szCs w:val="20"/>
              </w:rPr>
            </w:pPr>
            <w:r>
              <w:rPr>
                <w:szCs w:val="20"/>
              </w:rPr>
              <w:t>-$114.58</w:t>
            </w:r>
          </w:p>
        </w:tc>
        <w:tc>
          <w:tcPr>
            <w:tcW w:w="865" w:type="pct"/>
            <w:shd w:val="clear" w:color="auto" w:fill="auto"/>
          </w:tcPr>
          <w:p w14:paraId="06334FFC" w14:textId="08B9DAC9" w:rsidR="009C4BDD" w:rsidRPr="00FB6DF0" w:rsidRDefault="000E1AEC" w:rsidP="0034139B">
            <w:pPr>
              <w:pStyle w:val="TableText"/>
              <w:keepNext/>
              <w:keepLines/>
              <w:rPr>
                <w:szCs w:val="20"/>
              </w:rPr>
            </w:pPr>
            <w:r>
              <w:t>0.</w:t>
            </w:r>
            <w:r w:rsidR="00A55A9B">
              <w:t>00027</w:t>
            </w:r>
          </w:p>
        </w:tc>
        <w:tc>
          <w:tcPr>
            <w:tcW w:w="2723" w:type="pct"/>
            <w:shd w:val="clear" w:color="auto" w:fill="auto"/>
          </w:tcPr>
          <w:p w14:paraId="79901843" w14:textId="26BFAD4D" w:rsidR="009C4BDD" w:rsidRPr="00FB6DF0" w:rsidRDefault="00CB70B1" w:rsidP="0034139B">
            <w:pPr>
              <w:pStyle w:val="TableText"/>
              <w:keepNext/>
              <w:keepLines/>
              <w:rPr>
                <w:szCs w:val="20"/>
              </w:rPr>
            </w:pPr>
            <w:r>
              <w:rPr>
                <w:szCs w:val="20"/>
              </w:rPr>
              <w:t>-$424,370.37</w:t>
            </w:r>
            <w:r w:rsidR="00EE10DD">
              <w:rPr>
                <w:szCs w:val="20"/>
              </w:rPr>
              <w:t xml:space="preserve"> (Genotyping </w:t>
            </w:r>
            <w:r w:rsidR="00C31F77">
              <w:rPr>
                <w:szCs w:val="20"/>
              </w:rPr>
              <w:t>less costly and more effective</w:t>
            </w:r>
            <w:r w:rsidR="00EE10DD">
              <w:rPr>
                <w:szCs w:val="20"/>
              </w:rPr>
              <w:t>)</w:t>
            </w:r>
          </w:p>
        </w:tc>
      </w:tr>
      <w:tr w:rsidR="009C4BDD" w:rsidRPr="00FA3900" w14:paraId="34215D89" w14:textId="77777777" w:rsidTr="00FB6DF0">
        <w:trPr>
          <w:cantSplit/>
        </w:trPr>
        <w:tc>
          <w:tcPr>
            <w:tcW w:w="5000" w:type="pct"/>
            <w:gridSpan w:val="4"/>
            <w:shd w:val="clear" w:color="auto" w:fill="auto"/>
          </w:tcPr>
          <w:p w14:paraId="1855F193" w14:textId="09BBD218" w:rsidR="009C4BDD" w:rsidRPr="00FB6DF0" w:rsidRDefault="0033018E" w:rsidP="0034139B">
            <w:pPr>
              <w:pStyle w:val="TableText"/>
              <w:keepNext/>
              <w:keepLines/>
              <w:rPr>
                <w:szCs w:val="20"/>
              </w:rPr>
            </w:pPr>
            <w:r w:rsidRPr="00FB6DF0">
              <w:rPr>
                <w:szCs w:val="20"/>
              </w:rPr>
              <w:t>Annual cost of remission treated with CBZ/OXC without SJS-TEN/DRESS</w:t>
            </w:r>
            <w:r w:rsidR="009C4BDD" w:rsidRPr="00FB6DF0">
              <w:rPr>
                <w:szCs w:val="20"/>
              </w:rPr>
              <w:t xml:space="preserve"> (base case </w:t>
            </w:r>
            <w:r w:rsidR="00487E99" w:rsidRPr="00FB6DF0">
              <w:rPr>
                <w:rFonts w:hint="eastAsia"/>
                <w:szCs w:val="20"/>
              </w:rPr>
              <w:t>$</w:t>
            </w:r>
            <w:r w:rsidR="00487E99" w:rsidRPr="00FB6DF0">
              <w:rPr>
                <w:szCs w:val="20"/>
              </w:rPr>
              <w:t>1</w:t>
            </w:r>
            <w:r w:rsidR="00487E99" w:rsidRPr="00FB6DF0">
              <w:rPr>
                <w:rFonts w:hint="eastAsia"/>
                <w:szCs w:val="20"/>
              </w:rPr>
              <w:t>,</w:t>
            </w:r>
            <w:r w:rsidR="00487E99" w:rsidRPr="00FB6DF0">
              <w:rPr>
                <w:szCs w:val="20"/>
              </w:rPr>
              <w:t>822.87</w:t>
            </w:r>
            <w:r w:rsidR="009C4BDD" w:rsidRPr="00FB6DF0">
              <w:rPr>
                <w:rFonts w:hint="eastAsia"/>
                <w:szCs w:val="20"/>
              </w:rPr>
              <w:t xml:space="preserve">; </w:t>
            </w:r>
            <w:r w:rsidR="009C4BDD" w:rsidRPr="00FB6DF0">
              <w:rPr>
                <w:szCs w:val="20"/>
              </w:rPr>
              <w:t>±</w:t>
            </w:r>
            <w:r w:rsidR="009C4BDD" w:rsidRPr="00FB6DF0">
              <w:rPr>
                <w:rFonts w:hint="eastAsia"/>
                <w:szCs w:val="20"/>
              </w:rPr>
              <w:t>20%</w:t>
            </w:r>
            <w:r w:rsidR="009C4BDD" w:rsidRPr="00FB6DF0">
              <w:rPr>
                <w:szCs w:val="20"/>
              </w:rPr>
              <w:t>)</w:t>
            </w:r>
          </w:p>
        </w:tc>
      </w:tr>
      <w:tr w:rsidR="009C4BDD" w:rsidRPr="00FA3900" w14:paraId="24E1180D" w14:textId="77777777" w:rsidTr="00FB6DF0">
        <w:trPr>
          <w:cantSplit/>
        </w:trPr>
        <w:tc>
          <w:tcPr>
            <w:tcW w:w="626" w:type="pct"/>
            <w:shd w:val="clear" w:color="auto" w:fill="auto"/>
          </w:tcPr>
          <w:p w14:paraId="7F0E0F08" w14:textId="738EB707" w:rsidR="009C4BDD" w:rsidRPr="00FB6DF0" w:rsidRDefault="006769E8" w:rsidP="0034139B">
            <w:pPr>
              <w:pStyle w:val="TableText"/>
              <w:keepNext/>
              <w:keepLines/>
              <w:rPr>
                <w:szCs w:val="20"/>
              </w:rPr>
            </w:pPr>
            <w:r w:rsidRPr="00FB6DF0">
              <w:rPr>
                <w:rFonts w:hint="eastAsia"/>
                <w:szCs w:val="20"/>
              </w:rPr>
              <w:t>$</w:t>
            </w:r>
            <w:r w:rsidR="00E75E3B" w:rsidRPr="00FB6DF0">
              <w:rPr>
                <w:rFonts w:hint="eastAsia"/>
                <w:szCs w:val="20"/>
              </w:rPr>
              <w:t>1,458.30</w:t>
            </w:r>
          </w:p>
        </w:tc>
        <w:tc>
          <w:tcPr>
            <w:tcW w:w="786" w:type="pct"/>
            <w:shd w:val="clear" w:color="auto" w:fill="auto"/>
          </w:tcPr>
          <w:p w14:paraId="5963A3EF" w14:textId="0DDE783A" w:rsidR="009C4BDD" w:rsidRPr="00FB6DF0" w:rsidRDefault="00F03E5D" w:rsidP="0034139B">
            <w:pPr>
              <w:pStyle w:val="TableText"/>
              <w:keepNext/>
              <w:keepLines/>
              <w:rPr>
                <w:szCs w:val="20"/>
              </w:rPr>
            </w:pPr>
            <w:r>
              <w:rPr>
                <w:szCs w:val="20"/>
              </w:rPr>
              <w:t>$26</w:t>
            </w:r>
            <w:r w:rsidR="006E6333">
              <w:rPr>
                <w:szCs w:val="20"/>
              </w:rPr>
              <w:t>9.87</w:t>
            </w:r>
          </w:p>
        </w:tc>
        <w:tc>
          <w:tcPr>
            <w:tcW w:w="865" w:type="pct"/>
            <w:shd w:val="clear" w:color="auto" w:fill="auto"/>
          </w:tcPr>
          <w:p w14:paraId="5E94F5BE" w14:textId="5096FBC2" w:rsidR="009C4BDD" w:rsidRPr="00FB6DF0" w:rsidRDefault="006E6333" w:rsidP="0034139B">
            <w:pPr>
              <w:pStyle w:val="TableText"/>
              <w:keepNext/>
              <w:keepLines/>
              <w:rPr>
                <w:szCs w:val="20"/>
              </w:rPr>
            </w:pPr>
            <w:r>
              <w:t>0.00027</w:t>
            </w:r>
          </w:p>
        </w:tc>
        <w:tc>
          <w:tcPr>
            <w:tcW w:w="2723" w:type="pct"/>
            <w:shd w:val="clear" w:color="auto" w:fill="auto"/>
          </w:tcPr>
          <w:p w14:paraId="13A465C6" w14:textId="463B47B8" w:rsidR="009C4BDD" w:rsidRPr="00FB6DF0" w:rsidRDefault="00C31F77" w:rsidP="0034139B">
            <w:pPr>
              <w:pStyle w:val="TableText"/>
              <w:keepNext/>
              <w:keepLines/>
              <w:rPr>
                <w:szCs w:val="20"/>
              </w:rPr>
            </w:pPr>
            <w:r>
              <w:rPr>
                <w:szCs w:val="20"/>
              </w:rPr>
              <w:t>$</w:t>
            </w:r>
            <w:r w:rsidR="002A57FB">
              <w:rPr>
                <w:szCs w:val="20"/>
              </w:rPr>
              <w:t>985</w:t>
            </w:r>
            <w:r w:rsidR="0025466E">
              <w:rPr>
                <w:szCs w:val="20"/>
              </w:rPr>
              <w:t>,632.75 (Genotyping more costly and more effective)</w:t>
            </w:r>
          </w:p>
        </w:tc>
      </w:tr>
      <w:tr w:rsidR="009C4BDD" w:rsidRPr="00CE28E3" w14:paraId="31332DBE" w14:textId="77777777" w:rsidTr="00FB6DF0">
        <w:trPr>
          <w:cantSplit/>
          <w:trHeight w:val="283"/>
        </w:trPr>
        <w:tc>
          <w:tcPr>
            <w:tcW w:w="626" w:type="pct"/>
            <w:shd w:val="clear" w:color="auto" w:fill="auto"/>
          </w:tcPr>
          <w:p w14:paraId="6A646A42" w14:textId="034F5439" w:rsidR="009C4BDD" w:rsidRPr="00E6785D" w:rsidRDefault="00E92A18" w:rsidP="0034139B">
            <w:pPr>
              <w:pStyle w:val="TableText"/>
              <w:keepNext/>
              <w:keepLines/>
            </w:pPr>
            <w:r w:rsidRPr="00FB6DF0">
              <w:rPr>
                <w:rFonts w:hint="eastAsia"/>
                <w:szCs w:val="20"/>
              </w:rPr>
              <w:t>$</w:t>
            </w:r>
            <w:r w:rsidR="00DE5725" w:rsidRPr="00FB6DF0">
              <w:rPr>
                <w:rFonts w:hint="eastAsia"/>
                <w:szCs w:val="20"/>
              </w:rPr>
              <w:t>2,187.45</w:t>
            </w:r>
          </w:p>
        </w:tc>
        <w:tc>
          <w:tcPr>
            <w:tcW w:w="786" w:type="pct"/>
            <w:shd w:val="clear" w:color="auto" w:fill="auto"/>
          </w:tcPr>
          <w:p w14:paraId="294D6761" w14:textId="4875E1A4" w:rsidR="009C4BDD" w:rsidRPr="00E6785D" w:rsidRDefault="00636789" w:rsidP="0034139B">
            <w:pPr>
              <w:pStyle w:val="TableText"/>
              <w:keepNext/>
              <w:keepLines/>
            </w:pPr>
            <w:r>
              <w:t>-$4</w:t>
            </w:r>
            <w:r w:rsidR="003C4EB6">
              <w:t>99.04</w:t>
            </w:r>
          </w:p>
        </w:tc>
        <w:tc>
          <w:tcPr>
            <w:tcW w:w="865" w:type="pct"/>
            <w:shd w:val="clear" w:color="auto" w:fill="auto"/>
          </w:tcPr>
          <w:p w14:paraId="1983C251" w14:textId="27B2D800" w:rsidR="009C4BDD" w:rsidRPr="00CE28E3" w:rsidRDefault="003C4EB6" w:rsidP="0034139B">
            <w:pPr>
              <w:pStyle w:val="TableText"/>
              <w:keepNext/>
              <w:keepLines/>
            </w:pPr>
            <w:r>
              <w:t>0.00027</w:t>
            </w:r>
          </w:p>
        </w:tc>
        <w:tc>
          <w:tcPr>
            <w:tcW w:w="2723" w:type="pct"/>
            <w:shd w:val="clear" w:color="auto" w:fill="auto"/>
          </w:tcPr>
          <w:p w14:paraId="6EC25B3D" w14:textId="621CDF7E" w:rsidR="009C4BDD" w:rsidRPr="00E6785D" w:rsidRDefault="003C4EB6" w:rsidP="0034139B">
            <w:pPr>
              <w:pStyle w:val="TableText"/>
              <w:keepNext/>
              <w:keepLines/>
            </w:pPr>
            <w:r>
              <w:t>-$</w:t>
            </w:r>
            <w:r w:rsidR="00AC3245">
              <w:t>1,822,628.10 (Genotyping far less costly and more effective)</w:t>
            </w:r>
          </w:p>
        </w:tc>
      </w:tr>
    </w:tbl>
    <w:p w14:paraId="10A4C4BA" w14:textId="77777777" w:rsidR="00833537" w:rsidRDefault="002D6934" w:rsidP="422CAA86">
      <w:pPr>
        <w:pStyle w:val="Instructionaltext"/>
        <w:spacing w:before="240"/>
        <w:rPr>
          <w:sz w:val="22"/>
          <w:szCs w:val="22"/>
        </w:rPr>
        <w:sectPr w:rsidR="00833537" w:rsidSect="00E95603">
          <w:headerReference w:type="even" r:id="rId14"/>
          <w:headerReference w:type="default" r:id="rId15"/>
          <w:footerReference w:type="even" r:id="rId16"/>
          <w:footerReference w:type="default" r:id="rId17"/>
          <w:headerReference w:type="first" r:id="rId18"/>
          <w:footerReference w:type="first" r:id="rId19"/>
          <w:type w:val="oddPage"/>
          <w:pgSz w:w="11906" w:h="16838"/>
          <w:pgMar w:top="1440" w:right="1440" w:bottom="1440" w:left="1440" w:header="708" w:footer="708" w:gutter="0"/>
          <w:cols w:space="708"/>
          <w:docGrid w:linePitch="360"/>
        </w:sectPr>
      </w:pPr>
      <w:r w:rsidRPr="422CAA86">
        <w:rPr>
          <w:rFonts w:eastAsiaTheme="minorEastAsia"/>
          <w:sz w:val="22"/>
          <w:szCs w:val="22"/>
        </w:rPr>
        <w:t>Thes</w:t>
      </w:r>
      <w:r w:rsidR="006B3F6C" w:rsidRPr="422CAA86">
        <w:rPr>
          <w:rFonts w:eastAsiaTheme="minorEastAsia"/>
          <w:sz w:val="22"/>
          <w:szCs w:val="22"/>
        </w:rPr>
        <w:t>e</w:t>
      </w:r>
      <w:r w:rsidRPr="422CAA86">
        <w:rPr>
          <w:rFonts w:eastAsiaTheme="minorEastAsia"/>
          <w:sz w:val="22"/>
          <w:szCs w:val="22"/>
        </w:rPr>
        <w:t xml:space="preserve"> results are largely dependent on clinical evidence </w:t>
      </w:r>
      <w:r w:rsidR="561B710A" w:rsidRPr="422CAA86">
        <w:rPr>
          <w:rFonts w:eastAsiaTheme="minorEastAsia"/>
          <w:sz w:val="22"/>
          <w:szCs w:val="22"/>
        </w:rPr>
        <w:t>that</w:t>
      </w:r>
      <w:r w:rsidR="00C866B6" w:rsidRPr="422CAA86">
        <w:rPr>
          <w:rFonts w:eastAsiaTheme="minorEastAsia"/>
          <w:sz w:val="22"/>
          <w:szCs w:val="22"/>
        </w:rPr>
        <w:t>, as discussed in the previous section</w:t>
      </w:r>
      <w:r w:rsidR="00726E75" w:rsidRPr="422CAA86">
        <w:rPr>
          <w:rFonts w:eastAsiaTheme="minorEastAsia"/>
          <w:sz w:val="22"/>
          <w:szCs w:val="22"/>
        </w:rPr>
        <w:t xml:space="preserve"> </w:t>
      </w:r>
      <w:r w:rsidR="561B710A" w:rsidRPr="422CAA86">
        <w:rPr>
          <w:rFonts w:eastAsiaTheme="minorEastAsia"/>
          <w:sz w:val="22"/>
          <w:szCs w:val="22"/>
        </w:rPr>
        <w:t>do</w:t>
      </w:r>
      <w:r w:rsidRPr="422CAA86">
        <w:rPr>
          <w:rFonts w:eastAsiaTheme="minorEastAsia"/>
          <w:sz w:val="22"/>
          <w:szCs w:val="22"/>
        </w:rPr>
        <w:t xml:space="preserve"> not fully support </w:t>
      </w:r>
      <w:r w:rsidR="00E14764" w:rsidRPr="422CAA86">
        <w:rPr>
          <w:rFonts w:eastAsiaTheme="minorEastAsia"/>
          <w:sz w:val="22"/>
          <w:szCs w:val="22"/>
        </w:rPr>
        <w:t xml:space="preserve">the claim of </w:t>
      </w:r>
      <w:r w:rsidRPr="422CAA86">
        <w:rPr>
          <w:rFonts w:eastAsiaTheme="minorEastAsia"/>
          <w:sz w:val="22"/>
          <w:szCs w:val="22"/>
        </w:rPr>
        <w:t xml:space="preserve">clinical effectiveness </w:t>
      </w:r>
      <w:r w:rsidR="00444001" w:rsidRPr="422CAA86">
        <w:rPr>
          <w:rFonts w:eastAsiaTheme="minorEastAsia"/>
          <w:sz w:val="22"/>
          <w:szCs w:val="22"/>
        </w:rPr>
        <w:t>in</w:t>
      </w:r>
      <w:r w:rsidRPr="422CAA86">
        <w:rPr>
          <w:rFonts w:eastAsiaTheme="minorEastAsia"/>
          <w:sz w:val="22"/>
          <w:szCs w:val="22"/>
        </w:rPr>
        <w:t xml:space="preserve"> reducing drug-related hypersensitivity reactions. Additionally, the evidence regarding the allele frequencies of </w:t>
      </w:r>
      <w:r w:rsidR="000611A1" w:rsidRPr="000611A1">
        <w:rPr>
          <w:rFonts w:eastAsiaTheme="minorEastAsia"/>
          <w:i/>
          <w:iCs/>
          <w:sz w:val="22"/>
          <w:szCs w:val="22"/>
        </w:rPr>
        <w:t>HLA-</w:t>
      </w:r>
      <w:r w:rsidRPr="00F4140D">
        <w:rPr>
          <w:rFonts w:eastAsiaTheme="minorEastAsia"/>
          <w:i/>
          <w:iCs/>
          <w:sz w:val="22"/>
          <w:szCs w:val="22"/>
        </w:rPr>
        <w:t>A31:01</w:t>
      </w:r>
      <w:r w:rsidRPr="422CAA86">
        <w:rPr>
          <w:rFonts w:eastAsiaTheme="minorEastAsia"/>
          <w:sz w:val="22"/>
          <w:szCs w:val="22"/>
        </w:rPr>
        <w:t xml:space="preserve"> and </w:t>
      </w:r>
      <w:r w:rsidR="000611A1" w:rsidRPr="000611A1">
        <w:rPr>
          <w:rFonts w:eastAsiaTheme="minorEastAsia"/>
          <w:i/>
          <w:iCs/>
          <w:sz w:val="22"/>
          <w:szCs w:val="22"/>
        </w:rPr>
        <w:t>HLA-</w:t>
      </w:r>
      <w:r w:rsidRPr="00F4140D">
        <w:rPr>
          <w:rFonts w:eastAsiaTheme="minorEastAsia"/>
          <w:i/>
          <w:iCs/>
          <w:sz w:val="22"/>
          <w:szCs w:val="22"/>
        </w:rPr>
        <w:t>B15:02</w:t>
      </w:r>
      <w:r w:rsidRPr="422CAA86">
        <w:rPr>
          <w:rFonts w:eastAsiaTheme="minorEastAsia"/>
          <w:sz w:val="22"/>
          <w:szCs w:val="22"/>
        </w:rPr>
        <w:t xml:space="preserve"> across different population groups is not robust. Therefore, the interpretation of the cost-effectiveness evidence should be approached with caution</w:t>
      </w:r>
      <w:r w:rsidR="006B3F6C" w:rsidRPr="422CAA86">
        <w:rPr>
          <w:rFonts w:eastAsiaTheme="minorEastAsia"/>
          <w:sz w:val="22"/>
          <w:szCs w:val="22"/>
        </w:rPr>
        <w:t>.</w:t>
      </w:r>
      <w:r w:rsidR="001A4968" w:rsidRPr="422CAA86">
        <w:rPr>
          <w:rFonts w:eastAsiaTheme="minorEastAsia"/>
          <w:sz w:val="22"/>
          <w:szCs w:val="22"/>
        </w:rPr>
        <w:t xml:space="preserve"> In addition, </w:t>
      </w:r>
      <w:r w:rsidR="001A4968" w:rsidRPr="422CAA86">
        <w:rPr>
          <w:sz w:val="22"/>
          <w:szCs w:val="22"/>
        </w:rPr>
        <w:t xml:space="preserve">to estimate the cost of hospitalisation, AR-DRG codes were identified that could be considered related to the skin hypersensitivity reactions. </w:t>
      </w:r>
      <w:r w:rsidR="00B16A2C" w:rsidRPr="422CAA86">
        <w:rPr>
          <w:sz w:val="22"/>
          <w:szCs w:val="22"/>
        </w:rPr>
        <w:t xml:space="preserve">Costs associated with </w:t>
      </w:r>
      <w:r w:rsidR="001A4968" w:rsidRPr="422CAA86">
        <w:rPr>
          <w:sz w:val="22"/>
          <w:szCs w:val="22"/>
        </w:rPr>
        <w:t xml:space="preserve">AR-DRG code J68A Major Skin Disorders, Major Complexity </w:t>
      </w:r>
      <w:r w:rsidR="00B16A2C" w:rsidRPr="422CAA86">
        <w:rPr>
          <w:sz w:val="22"/>
          <w:szCs w:val="22"/>
        </w:rPr>
        <w:t xml:space="preserve">were </w:t>
      </w:r>
      <w:r w:rsidR="001A4968" w:rsidRPr="422CAA86">
        <w:rPr>
          <w:sz w:val="22"/>
          <w:szCs w:val="22"/>
        </w:rPr>
        <w:t xml:space="preserve">considered the most appropriate </w:t>
      </w:r>
      <w:r w:rsidR="00B16A2C" w:rsidRPr="422CAA86">
        <w:rPr>
          <w:sz w:val="22"/>
          <w:szCs w:val="22"/>
        </w:rPr>
        <w:t xml:space="preserve">but </w:t>
      </w:r>
      <w:r w:rsidR="001A4968" w:rsidRPr="422CAA86">
        <w:rPr>
          <w:sz w:val="22"/>
          <w:szCs w:val="22"/>
        </w:rPr>
        <w:t>as with all AR-DRG codes, the</w:t>
      </w:r>
      <w:r w:rsidR="00A40ED3" w:rsidRPr="422CAA86">
        <w:rPr>
          <w:sz w:val="22"/>
          <w:szCs w:val="22"/>
        </w:rPr>
        <w:t xml:space="preserve"> resulting costs are meant to only serve as an approximation to the actual costs that may be incurred</w:t>
      </w:r>
      <w:r w:rsidR="007A0B55" w:rsidRPr="422CAA86">
        <w:rPr>
          <w:sz w:val="22"/>
          <w:szCs w:val="22"/>
        </w:rPr>
        <w:t xml:space="preserve"> given the very specific </w:t>
      </w:r>
      <w:r w:rsidR="000F7C46" w:rsidRPr="422CAA86">
        <w:rPr>
          <w:sz w:val="22"/>
          <w:szCs w:val="22"/>
        </w:rPr>
        <w:t>hypersensitivity reactions being costed here</w:t>
      </w:r>
      <w:r w:rsidR="00A40ED3" w:rsidRPr="422CAA86">
        <w:rPr>
          <w:sz w:val="22"/>
          <w:szCs w:val="22"/>
        </w:rPr>
        <w:t>.</w:t>
      </w:r>
    </w:p>
    <w:p w14:paraId="17878644" w14:textId="488917DB" w:rsidR="00B30B2E" w:rsidRDefault="00C3419A" w:rsidP="422CAA86">
      <w:pPr>
        <w:pStyle w:val="Instructionaltext"/>
        <w:spacing w:before="240"/>
        <w:rPr>
          <w:sz w:val="22"/>
          <w:szCs w:val="22"/>
        </w:rPr>
      </w:pPr>
      <w:r>
        <w:rPr>
          <w:noProof/>
        </w:rPr>
        <w:lastRenderedPageBreak/>
        <w:drawing>
          <wp:inline distT="0" distB="0" distL="0" distR="0" wp14:anchorId="4E64FC5B" wp14:editId="6FCFD9F7">
            <wp:extent cx="7515225" cy="4228190"/>
            <wp:effectExtent l="0" t="0" r="0" b="1270"/>
            <wp:docPr id="210014650" name="Picture 1" descr="Tornado diagram for one-way sensitivity analysis for epile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4650" name="Picture 1" descr="Tornado diagram for one-way sensitivity analysis for epileps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37311" cy="4240616"/>
                    </a:xfrm>
                    <a:prstGeom prst="rect">
                      <a:avLst/>
                    </a:prstGeom>
                    <a:noFill/>
                    <a:ln>
                      <a:noFill/>
                    </a:ln>
                  </pic:spPr>
                </pic:pic>
              </a:graphicData>
            </a:graphic>
          </wp:inline>
        </w:drawing>
      </w:r>
    </w:p>
    <w:p w14:paraId="7BBE13E6" w14:textId="229DF023" w:rsidR="00ED47ED" w:rsidRDefault="00ED47ED" w:rsidP="00ED47ED">
      <w:pPr>
        <w:pStyle w:val="Caption"/>
      </w:pPr>
      <w:bookmarkStart w:id="32" w:name="_Ref181832786"/>
      <w:r>
        <w:t xml:space="preserve">Figure </w:t>
      </w:r>
      <w:bookmarkEnd w:id="32"/>
      <w:r w:rsidR="008465D1">
        <w:t>1</w:t>
      </w:r>
      <w:r>
        <w:t xml:space="preserve"> </w:t>
      </w:r>
      <w:r w:rsidRPr="0051338B">
        <w:t>Tornado diagram for one-way sensitivity analysis</w:t>
      </w:r>
      <w:r>
        <w:t xml:space="preserve"> for epilepsy</w:t>
      </w:r>
    </w:p>
    <w:p w14:paraId="460E6786" w14:textId="77777777" w:rsidR="00ED47ED" w:rsidRDefault="00ED47ED" w:rsidP="00ED47ED">
      <w:pPr>
        <w:pStyle w:val="TableFigureFooter"/>
      </w:pPr>
      <w:r>
        <w:rPr>
          <w:rFonts w:eastAsiaTheme="minorEastAsia"/>
          <w:lang w:eastAsia="zh-CN"/>
        </w:rPr>
        <w:t xml:space="preserve">For </w:t>
      </w:r>
      <w:r w:rsidRPr="006758D2">
        <w:t>each bar, the blue portion represents the part of the input range from the lower bound to the base case value, while the red portion represents the part of the input range from the base case value to the upper bound.</w:t>
      </w:r>
    </w:p>
    <w:p w14:paraId="31A65B05" w14:textId="77777777" w:rsidR="00ED47ED" w:rsidRDefault="00ED47ED" w:rsidP="00ED47ED">
      <w:pPr>
        <w:pStyle w:val="TableFigureFooter"/>
      </w:pPr>
      <w:r>
        <w:t>Abbreviations: CBZ=</w:t>
      </w:r>
      <w:r>
        <w:rPr>
          <w:iCs/>
        </w:rPr>
        <w:t>c</w:t>
      </w:r>
      <w:r w:rsidRPr="00A25934">
        <w:rPr>
          <w:iCs/>
        </w:rPr>
        <w:t>arbamazepine</w:t>
      </w:r>
      <w:r>
        <w:rPr>
          <w:iCs/>
        </w:rPr>
        <w:t xml:space="preserve">; </w:t>
      </w:r>
      <w:r>
        <w:t>DRESS=</w:t>
      </w:r>
      <w:r w:rsidRPr="00D904FF">
        <w:t>drug reaction with eosinophilia and systemic symptoms</w:t>
      </w:r>
      <w:r>
        <w:t>; HLA=</w:t>
      </w:r>
      <w:r w:rsidRPr="00D904FF">
        <w:t>human leukocyte antigen</w:t>
      </w:r>
      <w:r>
        <w:t xml:space="preserve">; </w:t>
      </w:r>
      <w:r w:rsidRPr="00333763">
        <w:rPr>
          <w:rFonts w:eastAsiaTheme="minorEastAsia"/>
        </w:rPr>
        <w:t>ICER=Incremental cost-effectiveness ratio</w:t>
      </w:r>
      <w:r>
        <w:rPr>
          <w:iCs/>
        </w:rPr>
        <w:t>; OXC=</w:t>
      </w:r>
      <w:r w:rsidRPr="00CE4063">
        <w:rPr>
          <w:iCs/>
        </w:rPr>
        <w:t>oxcarbazepine</w:t>
      </w:r>
      <w:r>
        <w:rPr>
          <w:iCs/>
        </w:rPr>
        <w:t>; SJS=</w:t>
      </w:r>
      <w:r w:rsidRPr="00C537F9">
        <w:t>Stevens–Johnson syndrome</w:t>
      </w:r>
      <w:r>
        <w:t>; TEN=</w:t>
      </w:r>
      <w:r w:rsidRPr="00D904FF">
        <w:t xml:space="preserve"> </w:t>
      </w:r>
      <w:r w:rsidRPr="00C537F9">
        <w:t>toxic epidermal necrolysis</w:t>
      </w:r>
      <w:r>
        <w:t>;</w:t>
      </w:r>
      <w:r w:rsidRPr="002B72DD">
        <w:rPr>
          <w:rFonts w:eastAsiaTheme="minorEastAsia" w:hint="eastAsia"/>
          <w:lang w:eastAsia="zh-CN"/>
        </w:rPr>
        <w:t xml:space="preserve"> </w:t>
      </w:r>
      <w:r>
        <w:rPr>
          <w:rFonts w:eastAsiaTheme="minorEastAsia" w:hint="eastAsia"/>
          <w:lang w:eastAsia="zh-CN"/>
        </w:rPr>
        <w:t>VPA=</w:t>
      </w:r>
      <w:r w:rsidRPr="000D2951">
        <w:t xml:space="preserve"> </w:t>
      </w:r>
      <w:r w:rsidRPr="000D2951">
        <w:rPr>
          <w:rFonts w:eastAsiaTheme="minorEastAsia"/>
          <w:lang w:eastAsia="zh-CN"/>
        </w:rPr>
        <w:t>Valproate</w:t>
      </w:r>
      <w:r>
        <w:rPr>
          <w:rFonts w:eastAsiaTheme="minorEastAsia"/>
          <w:lang w:eastAsia="zh-CN"/>
        </w:rPr>
        <w:t xml:space="preserve">. </w:t>
      </w:r>
    </w:p>
    <w:p w14:paraId="58BE169D" w14:textId="77777777" w:rsidR="00ED47ED" w:rsidRDefault="00ED47ED" w:rsidP="422CAA86">
      <w:pPr>
        <w:pStyle w:val="Instructionaltext"/>
        <w:spacing w:before="240"/>
        <w:rPr>
          <w:b/>
          <w:bCs/>
          <w:i/>
          <w:iCs/>
          <w:sz w:val="22"/>
          <w:szCs w:val="22"/>
          <w:u w:val="single"/>
        </w:rPr>
        <w:sectPr w:rsidR="00ED47ED" w:rsidSect="00AB3DA3">
          <w:pgSz w:w="16838" w:h="11906" w:orient="landscape"/>
          <w:pgMar w:top="1440" w:right="1440" w:bottom="1440" w:left="1440" w:header="708" w:footer="708" w:gutter="0"/>
          <w:cols w:space="708"/>
          <w:docGrid w:linePitch="360"/>
        </w:sectPr>
      </w:pPr>
    </w:p>
    <w:p w14:paraId="7327B934" w14:textId="77777777" w:rsidR="00833537" w:rsidRDefault="00CE0749" w:rsidP="422CAA86">
      <w:pPr>
        <w:pStyle w:val="Instructionaltext"/>
        <w:spacing w:before="240"/>
        <w:rPr>
          <w:b/>
          <w:bCs/>
          <w:i/>
          <w:iCs/>
          <w:sz w:val="22"/>
          <w:szCs w:val="22"/>
          <w:u w:val="single"/>
        </w:rPr>
      </w:pPr>
      <w:r>
        <w:rPr>
          <w:noProof/>
        </w:rPr>
        <w:lastRenderedPageBreak/>
        <w:drawing>
          <wp:inline distT="0" distB="0" distL="0" distR="0" wp14:anchorId="22E4140E" wp14:editId="568CBA31">
            <wp:extent cx="7772400" cy="4375635"/>
            <wp:effectExtent l="0" t="0" r="0" b="6350"/>
            <wp:docPr id="1170044937" name="Picture 2" descr="Cost-effectiveness scatterplot for probability sensitivity analysis for epile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44937" name="Picture 2" descr="Cost-effectiveness scatterplot for probability sensitivity analysis for epileps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88008" cy="4384422"/>
                    </a:xfrm>
                    <a:prstGeom prst="rect">
                      <a:avLst/>
                    </a:prstGeom>
                    <a:noFill/>
                    <a:ln>
                      <a:noFill/>
                    </a:ln>
                  </pic:spPr>
                </pic:pic>
              </a:graphicData>
            </a:graphic>
          </wp:inline>
        </w:drawing>
      </w:r>
    </w:p>
    <w:p w14:paraId="698117CD" w14:textId="653C61E4" w:rsidR="006C6D0A" w:rsidRPr="00354781" w:rsidRDefault="006C6D0A" w:rsidP="006C6D0A">
      <w:pPr>
        <w:pStyle w:val="Caption"/>
      </w:pPr>
      <w:bookmarkStart w:id="33" w:name="_Ref181744730"/>
      <w:bookmarkStart w:id="34" w:name="_Ref181744724"/>
      <w:r>
        <w:t xml:space="preserve">Figure </w:t>
      </w:r>
      <w:bookmarkEnd w:id="33"/>
      <w:r w:rsidR="008465D1">
        <w:t>2</w:t>
      </w:r>
      <w:r>
        <w:t xml:space="preserve"> </w:t>
      </w:r>
      <w:r w:rsidRPr="00052D21">
        <w:t>Cost-effectiveness scatter</w:t>
      </w:r>
      <w:r>
        <w:t>p</w:t>
      </w:r>
      <w:r w:rsidRPr="00052D21">
        <w:t>lot for probability sensitivity analysis</w:t>
      </w:r>
      <w:bookmarkEnd w:id="34"/>
      <w:r>
        <w:t xml:space="preserve"> for epilepsy</w:t>
      </w:r>
    </w:p>
    <w:p w14:paraId="187B152D" w14:textId="77777777" w:rsidR="006C6D0A" w:rsidRDefault="006C6D0A" w:rsidP="006C6D0A">
      <w:pPr>
        <w:pStyle w:val="TableFigureFooter"/>
      </w:pPr>
      <w:r w:rsidRPr="0017103A">
        <w:t xml:space="preserve">The model calculations which favour </w:t>
      </w:r>
      <w:r>
        <w:t>no testing</w:t>
      </w:r>
      <w:r w:rsidRPr="0017103A">
        <w:t xml:space="preserve"> are shown in green, whilst those model calculations which favour the </w:t>
      </w:r>
      <w:r>
        <w:t>genotyping</w:t>
      </w:r>
      <w:r w:rsidRPr="0017103A">
        <w:t xml:space="preserve"> strategy are shown in red.</w:t>
      </w:r>
      <w:r>
        <w:t xml:space="preserve"> Note: WTP is only for reference not for decision-making.</w:t>
      </w:r>
    </w:p>
    <w:p w14:paraId="44E822EF" w14:textId="77777777" w:rsidR="006C6D0A" w:rsidRDefault="006C6D0A" w:rsidP="006C6D0A">
      <w:pPr>
        <w:pStyle w:val="TableFigureFooter"/>
      </w:pPr>
      <w:r>
        <w:t>Abbreviations: ICE=incremental cost-effectiveness; HLA=</w:t>
      </w:r>
      <w:r w:rsidRPr="00D904FF">
        <w:t>human leukocyte antigen</w:t>
      </w:r>
      <w:r>
        <w:t>; WTP=willingness to pay.</w:t>
      </w:r>
    </w:p>
    <w:p w14:paraId="2AD5E5C0" w14:textId="2D369AF9" w:rsidR="006C6D0A" w:rsidRDefault="006C6D0A" w:rsidP="422CAA86">
      <w:pPr>
        <w:pStyle w:val="Instructionaltext"/>
        <w:spacing w:before="240"/>
        <w:rPr>
          <w:b/>
          <w:bCs/>
          <w:i/>
          <w:iCs/>
          <w:sz w:val="22"/>
          <w:szCs w:val="22"/>
          <w:u w:val="single"/>
        </w:rPr>
        <w:sectPr w:rsidR="006C6D0A" w:rsidSect="00866E65">
          <w:pgSz w:w="16838" w:h="11906" w:orient="landscape"/>
          <w:pgMar w:top="1440" w:right="1440" w:bottom="1440" w:left="1440" w:header="708" w:footer="708" w:gutter="0"/>
          <w:cols w:space="708"/>
          <w:docGrid w:linePitch="360"/>
        </w:sectPr>
      </w:pPr>
    </w:p>
    <w:p w14:paraId="6736ACEC" w14:textId="20BB573F" w:rsidR="00EC4776" w:rsidRPr="00866E65" w:rsidRDefault="00B069A7" w:rsidP="422CAA86">
      <w:pPr>
        <w:pStyle w:val="Instructionaltext"/>
        <w:spacing w:before="240"/>
        <w:rPr>
          <w:b/>
          <w:bCs/>
          <w:i/>
          <w:iCs/>
          <w:sz w:val="22"/>
          <w:szCs w:val="22"/>
          <w:u w:val="single"/>
        </w:rPr>
      </w:pPr>
      <w:r w:rsidRPr="00866E65">
        <w:rPr>
          <w:b/>
          <w:bCs/>
          <w:i/>
          <w:iCs/>
          <w:sz w:val="22"/>
          <w:szCs w:val="22"/>
          <w:u w:val="single"/>
        </w:rPr>
        <w:lastRenderedPageBreak/>
        <w:t>A</w:t>
      </w:r>
      <w:r w:rsidR="00EC4776" w:rsidRPr="00866E65">
        <w:rPr>
          <w:b/>
          <w:bCs/>
          <w:i/>
          <w:iCs/>
          <w:sz w:val="22"/>
          <w:szCs w:val="22"/>
          <w:u w:val="single"/>
        </w:rPr>
        <w:t>mendments to the economic evaluation</w:t>
      </w:r>
    </w:p>
    <w:p w14:paraId="02D5CBA2" w14:textId="564D3418" w:rsidR="00C958BB" w:rsidRDefault="00572873" w:rsidP="422CAA86">
      <w:pPr>
        <w:pStyle w:val="Instructionaltext"/>
        <w:spacing w:before="240"/>
        <w:rPr>
          <w:i/>
          <w:iCs/>
          <w:sz w:val="22"/>
          <w:szCs w:val="22"/>
        </w:rPr>
      </w:pPr>
      <w:r w:rsidRPr="008F573A">
        <w:rPr>
          <w:i/>
          <w:iCs/>
          <w:sz w:val="22"/>
          <w:szCs w:val="22"/>
        </w:rPr>
        <w:t xml:space="preserve">ESC requested a revised economic evaluation because of </w:t>
      </w:r>
      <w:r w:rsidR="00CC6992" w:rsidRPr="008F573A">
        <w:rPr>
          <w:i/>
          <w:iCs/>
          <w:sz w:val="22"/>
          <w:szCs w:val="22"/>
        </w:rPr>
        <w:t xml:space="preserve">errors due to the incorrect entry of input variables </w:t>
      </w:r>
      <w:r w:rsidRPr="008F573A">
        <w:rPr>
          <w:i/>
          <w:iCs/>
          <w:sz w:val="22"/>
          <w:szCs w:val="22"/>
        </w:rPr>
        <w:t>in the epilepsy model</w:t>
      </w:r>
      <w:r w:rsidR="00FA3029">
        <w:rPr>
          <w:i/>
          <w:iCs/>
          <w:sz w:val="22"/>
          <w:szCs w:val="22"/>
        </w:rPr>
        <w:t xml:space="preserve"> which also affected the </w:t>
      </w:r>
      <w:r w:rsidR="002F74A9">
        <w:rPr>
          <w:i/>
          <w:iCs/>
          <w:sz w:val="22"/>
          <w:szCs w:val="22"/>
        </w:rPr>
        <w:t>appropriateness of the previous model’s structure</w:t>
      </w:r>
      <w:r w:rsidRPr="008F573A">
        <w:rPr>
          <w:i/>
          <w:iCs/>
          <w:sz w:val="22"/>
          <w:szCs w:val="22"/>
        </w:rPr>
        <w:t xml:space="preserve">. </w:t>
      </w:r>
      <w:r w:rsidR="002C1748" w:rsidRPr="008F573A">
        <w:rPr>
          <w:i/>
          <w:iCs/>
          <w:sz w:val="22"/>
          <w:szCs w:val="22"/>
        </w:rPr>
        <w:t xml:space="preserve">The applicant’s pre-ESC response also identified a costing error in the TN model due to the same annual cost ($524.51) being used for the treatment of epilepsy and trigeminal neuralgia, </w:t>
      </w:r>
      <w:r w:rsidR="00A55130" w:rsidRPr="008F573A">
        <w:rPr>
          <w:i/>
          <w:iCs/>
          <w:sz w:val="22"/>
          <w:szCs w:val="22"/>
        </w:rPr>
        <w:t>Post—ESC</w:t>
      </w:r>
      <w:r w:rsidR="005A62C0" w:rsidRPr="008F573A">
        <w:rPr>
          <w:i/>
          <w:iCs/>
          <w:sz w:val="22"/>
          <w:szCs w:val="22"/>
        </w:rPr>
        <w:t>,</w:t>
      </w:r>
      <w:r w:rsidR="00A55130" w:rsidRPr="008F573A">
        <w:rPr>
          <w:i/>
          <w:iCs/>
          <w:sz w:val="22"/>
          <w:szCs w:val="22"/>
        </w:rPr>
        <w:t xml:space="preserve"> </w:t>
      </w:r>
      <w:r w:rsidR="008D24CF" w:rsidRPr="008F573A">
        <w:rPr>
          <w:i/>
          <w:iCs/>
          <w:sz w:val="22"/>
          <w:szCs w:val="22"/>
        </w:rPr>
        <w:t>the economic</w:t>
      </w:r>
      <w:r w:rsidR="007E3D0E" w:rsidRPr="008F573A">
        <w:rPr>
          <w:i/>
          <w:iCs/>
          <w:sz w:val="22"/>
          <w:szCs w:val="22"/>
        </w:rPr>
        <w:t xml:space="preserve"> evaluations </w:t>
      </w:r>
      <w:r w:rsidR="00FE188A" w:rsidRPr="008F573A">
        <w:rPr>
          <w:i/>
          <w:iCs/>
          <w:sz w:val="22"/>
          <w:szCs w:val="22"/>
        </w:rPr>
        <w:t>for epilepsy</w:t>
      </w:r>
      <w:r w:rsidR="002C1748" w:rsidRPr="008F573A">
        <w:rPr>
          <w:i/>
          <w:iCs/>
          <w:sz w:val="22"/>
          <w:szCs w:val="22"/>
        </w:rPr>
        <w:t xml:space="preserve"> and TN</w:t>
      </w:r>
      <w:r w:rsidR="008D24CF" w:rsidRPr="008F573A">
        <w:rPr>
          <w:i/>
          <w:iCs/>
          <w:sz w:val="22"/>
          <w:szCs w:val="22"/>
        </w:rPr>
        <w:t xml:space="preserve"> </w:t>
      </w:r>
      <w:r w:rsidR="00FE188A" w:rsidRPr="008F573A">
        <w:rPr>
          <w:i/>
          <w:iCs/>
          <w:sz w:val="22"/>
          <w:szCs w:val="22"/>
        </w:rPr>
        <w:t>w</w:t>
      </w:r>
      <w:r w:rsidR="007E3D0E" w:rsidRPr="008F573A">
        <w:rPr>
          <w:i/>
          <w:iCs/>
          <w:sz w:val="22"/>
          <w:szCs w:val="22"/>
        </w:rPr>
        <w:t>ere</w:t>
      </w:r>
      <w:r w:rsidR="00FE188A" w:rsidRPr="008F573A">
        <w:rPr>
          <w:i/>
          <w:iCs/>
          <w:sz w:val="22"/>
          <w:szCs w:val="22"/>
        </w:rPr>
        <w:t xml:space="preserve"> revised. </w:t>
      </w:r>
    </w:p>
    <w:p w14:paraId="4D77E102" w14:textId="3DA99075" w:rsidR="00C958BB" w:rsidRDefault="00C958BB" w:rsidP="422CAA86">
      <w:pPr>
        <w:pStyle w:val="Instructionaltext"/>
        <w:spacing w:before="240"/>
        <w:rPr>
          <w:i/>
          <w:iCs/>
          <w:sz w:val="22"/>
          <w:szCs w:val="22"/>
        </w:rPr>
      </w:pPr>
      <w:r>
        <w:rPr>
          <w:i/>
          <w:iCs/>
          <w:sz w:val="22"/>
          <w:szCs w:val="22"/>
        </w:rPr>
        <w:t xml:space="preserve">The structure of the previous model is presented in </w:t>
      </w:r>
      <w:r w:rsidRPr="00084667">
        <w:rPr>
          <w:b/>
          <w:bCs/>
          <w:i/>
          <w:iCs/>
          <w:sz w:val="22"/>
          <w:szCs w:val="22"/>
        </w:rPr>
        <w:t>Figure 3.</w:t>
      </w:r>
    </w:p>
    <w:p w14:paraId="255CBD61" w14:textId="5790BAB8" w:rsidR="00C958BB" w:rsidRDefault="006B7835" w:rsidP="422CAA86">
      <w:pPr>
        <w:pStyle w:val="Instructionaltext"/>
        <w:spacing w:before="240"/>
        <w:rPr>
          <w:i/>
          <w:iCs/>
          <w:sz w:val="22"/>
          <w:szCs w:val="22"/>
        </w:rPr>
      </w:pPr>
      <w:r w:rsidRPr="006B7835">
        <w:rPr>
          <w:i/>
          <w:iCs/>
          <w:noProof/>
          <w:sz w:val="22"/>
          <w:szCs w:val="22"/>
        </w:rPr>
        <w:drawing>
          <wp:inline distT="0" distB="0" distL="0" distR="0" wp14:anchorId="6657F816" wp14:editId="1AD77413">
            <wp:extent cx="5731510" cy="2930525"/>
            <wp:effectExtent l="0" t="0" r="2540" b="3175"/>
            <wp:docPr id="3" name="Picture 2" descr="Figure 3 shows the original economic model (decision tree + Markov model) of pre-treatment HLA-A*31:01 and HLA-B*15:02 genotyping for patients about to commence therapy with CBZ and OXC for epilepsy">
              <a:extLst xmlns:a="http://schemas.openxmlformats.org/drawingml/2006/main">
                <a:ext uri="{FF2B5EF4-FFF2-40B4-BE49-F238E27FC236}">
                  <a16:creationId xmlns:a16="http://schemas.microsoft.com/office/drawing/2014/main" id="{128E2616-812C-95E9-18A6-CB48403039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Figure 3 shows the original economic model (decision tree + Markov model) of pre-treatment HLA-A*31:01 and HLA-B*15:02 genotyping for patients about to commence therapy with CBZ and OXC for epilepsy">
                      <a:extLst>
                        <a:ext uri="{FF2B5EF4-FFF2-40B4-BE49-F238E27FC236}">
                          <a16:creationId xmlns:a16="http://schemas.microsoft.com/office/drawing/2014/main" id="{128E2616-812C-95E9-18A6-CB48403039B4}"/>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31510" cy="2930525"/>
                    </a:xfrm>
                    <a:prstGeom prst="rect">
                      <a:avLst/>
                    </a:prstGeom>
                    <a:noFill/>
                  </pic:spPr>
                </pic:pic>
              </a:graphicData>
            </a:graphic>
          </wp:inline>
        </w:drawing>
      </w:r>
    </w:p>
    <w:p w14:paraId="10E4F145" w14:textId="05DC86B5" w:rsidR="00C958BB" w:rsidRPr="00750D59" w:rsidRDefault="00B23C43" w:rsidP="422CAA86">
      <w:pPr>
        <w:pStyle w:val="Instructionaltext"/>
        <w:spacing w:before="240"/>
        <w:rPr>
          <w:rFonts w:ascii="Arial Narrow" w:hAnsi="Arial Narrow"/>
          <w:b/>
          <w:i/>
          <w:sz w:val="20"/>
          <w:szCs w:val="20"/>
        </w:rPr>
      </w:pPr>
      <w:r w:rsidRPr="00866E65">
        <w:rPr>
          <w:rFonts w:ascii="Arial Narrow" w:hAnsi="Arial Narrow"/>
          <w:b/>
          <w:bCs/>
          <w:i/>
          <w:iCs/>
          <w:sz w:val="20"/>
          <w:szCs w:val="20"/>
        </w:rPr>
        <w:t xml:space="preserve">Figure </w:t>
      </w:r>
      <w:r>
        <w:rPr>
          <w:rFonts w:ascii="Arial Narrow" w:hAnsi="Arial Narrow"/>
          <w:b/>
          <w:bCs/>
          <w:i/>
          <w:iCs/>
          <w:sz w:val="20"/>
          <w:szCs w:val="20"/>
        </w:rPr>
        <w:t>3</w:t>
      </w:r>
      <w:r w:rsidRPr="00866E65">
        <w:rPr>
          <w:rFonts w:ascii="Arial Narrow" w:hAnsi="Arial Narrow"/>
          <w:b/>
          <w:bCs/>
          <w:i/>
          <w:iCs/>
          <w:sz w:val="20"/>
          <w:szCs w:val="20"/>
        </w:rPr>
        <w:t xml:space="preserve"> </w:t>
      </w:r>
      <w:r w:rsidR="003A2103">
        <w:rPr>
          <w:rFonts w:ascii="Arial Narrow" w:hAnsi="Arial Narrow"/>
          <w:b/>
          <w:bCs/>
          <w:i/>
          <w:iCs/>
          <w:sz w:val="20"/>
          <w:szCs w:val="20"/>
        </w:rPr>
        <w:t>Original e</w:t>
      </w:r>
      <w:r w:rsidRPr="00866E65">
        <w:rPr>
          <w:rFonts w:ascii="Arial Narrow" w:hAnsi="Arial Narrow"/>
          <w:b/>
          <w:bCs/>
          <w:i/>
          <w:iCs/>
          <w:sz w:val="20"/>
          <w:szCs w:val="20"/>
        </w:rPr>
        <w:t xml:space="preserve">conomic model (decision tree + Markov model) of pre-treatment </w:t>
      </w:r>
      <w:r w:rsidRPr="00394393">
        <w:rPr>
          <w:rFonts w:ascii="Arial Narrow" w:hAnsi="Arial Narrow"/>
          <w:b/>
          <w:bCs/>
          <w:i/>
          <w:iCs/>
          <w:sz w:val="20"/>
          <w:szCs w:val="20"/>
        </w:rPr>
        <w:t xml:space="preserve">HLA-A*31:01 </w:t>
      </w:r>
      <w:r w:rsidRPr="00866E65">
        <w:rPr>
          <w:rFonts w:ascii="Arial Narrow" w:hAnsi="Arial Narrow"/>
          <w:b/>
          <w:bCs/>
          <w:i/>
          <w:iCs/>
          <w:sz w:val="20"/>
          <w:szCs w:val="20"/>
        </w:rPr>
        <w:t xml:space="preserve">and </w:t>
      </w:r>
      <w:r w:rsidRPr="00394393">
        <w:rPr>
          <w:rFonts w:ascii="Arial Narrow" w:hAnsi="Arial Narrow"/>
          <w:b/>
          <w:bCs/>
          <w:i/>
          <w:iCs/>
          <w:sz w:val="20"/>
          <w:szCs w:val="20"/>
        </w:rPr>
        <w:t xml:space="preserve">HLA-B*15:02 </w:t>
      </w:r>
      <w:r w:rsidRPr="00866E65">
        <w:rPr>
          <w:rFonts w:ascii="Arial Narrow" w:hAnsi="Arial Narrow"/>
          <w:b/>
          <w:bCs/>
          <w:i/>
          <w:iCs/>
          <w:sz w:val="20"/>
          <w:szCs w:val="20"/>
        </w:rPr>
        <w:t>genotyping for patients about to commence therapy with CBZ and OXC for epilepsy</w:t>
      </w:r>
    </w:p>
    <w:p w14:paraId="52BF7C1F" w14:textId="0236DB90" w:rsidR="00DE509F" w:rsidRPr="008F573A" w:rsidRDefault="00DF118F" w:rsidP="422CAA86">
      <w:pPr>
        <w:pStyle w:val="Instructionaltext"/>
        <w:spacing w:before="240"/>
        <w:rPr>
          <w:i/>
          <w:iCs/>
          <w:sz w:val="22"/>
          <w:szCs w:val="22"/>
        </w:rPr>
      </w:pPr>
      <w:r w:rsidRPr="008F573A">
        <w:rPr>
          <w:i/>
          <w:iCs/>
          <w:sz w:val="22"/>
          <w:szCs w:val="22"/>
        </w:rPr>
        <w:t>The structure of the revised model</w:t>
      </w:r>
      <w:r w:rsidR="007E3D0E" w:rsidRPr="008F573A">
        <w:rPr>
          <w:i/>
          <w:iCs/>
          <w:sz w:val="22"/>
          <w:szCs w:val="22"/>
        </w:rPr>
        <w:t xml:space="preserve"> for epilepsy</w:t>
      </w:r>
      <w:r w:rsidRPr="008F573A">
        <w:rPr>
          <w:i/>
          <w:iCs/>
          <w:sz w:val="22"/>
          <w:szCs w:val="22"/>
        </w:rPr>
        <w:t xml:space="preserve"> is presented </w:t>
      </w:r>
      <w:r w:rsidR="00B23C43">
        <w:rPr>
          <w:i/>
          <w:iCs/>
          <w:sz w:val="22"/>
          <w:szCs w:val="22"/>
        </w:rPr>
        <w:t xml:space="preserve">in </w:t>
      </w:r>
      <w:r w:rsidR="00B23C43" w:rsidRPr="00084667">
        <w:rPr>
          <w:b/>
          <w:bCs/>
          <w:i/>
          <w:iCs/>
          <w:sz w:val="22"/>
          <w:szCs w:val="22"/>
        </w:rPr>
        <w:t>Figure 4</w:t>
      </w:r>
      <w:r w:rsidR="00B23C43">
        <w:rPr>
          <w:i/>
          <w:iCs/>
          <w:sz w:val="22"/>
          <w:szCs w:val="22"/>
        </w:rPr>
        <w:t>.</w:t>
      </w:r>
    </w:p>
    <w:p w14:paraId="198F4CD0" w14:textId="245C37A4" w:rsidR="00EC4776" w:rsidRPr="00866E65" w:rsidRDefault="003A2103" w:rsidP="422CAA86">
      <w:pPr>
        <w:pStyle w:val="Instructionaltext"/>
        <w:spacing w:before="240"/>
        <w:rPr>
          <w:i/>
          <w:iCs/>
          <w:sz w:val="22"/>
          <w:szCs w:val="22"/>
        </w:rPr>
      </w:pPr>
      <w:r w:rsidRPr="003A2103">
        <w:rPr>
          <w:i/>
          <w:iCs/>
          <w:noProof/>
          <w:sz w:val="22"/>
          <w:szCs w:val="22"/>
        </w:rPr>
        <w:drawing>
          <wp:inline distT="0" distB="0" distL="0" distR="0" wp14:anchorId="7BCCD161" wp14:editId="5A376982">
            <wp:extent cx="5731510" cy="2299970"/>
            <wp:effectExtent l="0" t="0" r="2540" b="5080"/>
            <wp:docPr id="15" name="Picture 1" descr="A diagram of the revised economic model (decision tree + Markov model) of pre-treatment HLA-A*31:01 and HLA-B*15:02 genotyping for patients about to commence therapy with CBZ and OXC for epilepsy">
              <a:extLst xmlns:a="http://schemas.openxmlformats.org/drawingml/2006/main">
                <a:ext uri="{FF2B5EF4-FFF2-40B4-BE49-F238E27FC236}">
                  <a16:creationId xmlns:a16="http://schemas.microsoft.com/office/drawing/2014/main" id="{7CB38F75-3340-D893-043D-9A23DE2AD8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diagram of the revised economic model (decision tree + Markov model) of pre-treatment HLA-A*31:01 and HLA-B*15:02 genotyping for patients about to commence therapy with CBZ and OXC for epilepsy">
                      <a:extLst>
                        <a:ext uri="{FF2B5EF4-FFF2-40B4-BE49-F238E27FC236}">
                          <a16:creationId xmlns:a16="http://schemas.microsoft.com/office/drawing/2014/main" id="{7CB38F75-3340-D893-043D-9A23DE2AD8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2299970"/>
                    </a:xfrm>
                    <a:prstGeom prst="rect">
                      <a:avLst/>
                    </a:prstGeom>
                    <a:noFill/>
                  </pic:spPr>
                </pic:pic>
              </a:graphicData>
            </a:graphic>
          </wp:inline>
        </w:drawing>
      </w:r>
    </w:p>
    <w:p w14:paraId="5C220944" w14:textId="6D850EC9" w:rsidR="00C245AD" w:rsidRPr="00866E65" w:rsidRDefault="00DF118F" w:rsidP="422CAA86">
      <w:pPr>
        <w:pStyle w:val="Instructionaltext"/>
        <w:spacing w:before="240"/>
        <w:rPr>
          <w:rFonts w:ascii="Arial Narrow" w:hAnsi="Arial Narrow"/>
          <w:b/>
          <w:bCs/>
          <w:i/>
          <w:iCs/>
          <w:sz w:val="20"/>
          <w:szCs w:val="20"/>
        </w:rPr>
      </w:pPr>
      <w:r w:rsidRPr="00866E65">
        <w:rPr>
          <w:rFonts w:ascii="Arial Narrow" w:hAnsi="Arial Narrow"/>
          <w:b/>
          <w:bCs/>
          <w:i/>
          <w:iCs/>
          <w:sz w:val="20"/>
          <w:szCs w:val="20"/>
        </w:rPr>
        <w:t xml:space="preserve">Figure </w:t>
      </w:r>
      <w:r w:rsidR="003A2103">
        <w:rPr>
          <w:rFonts w:ascii="Arial Narrow" w:hAnsi="Arial Narrow"/>
          <w:b/>
          <w:bCs/>
          <w:i/>
          <w:iCs/>
          <w:sz w:val="20"/>
          <w:szCs w:val="20"/>
        </w:rPr>
        <w:t>4</w:t>
      </w:r>
      <w:r w:rsidRPr="00866E65">
        <w:rPr>
          <w:rFonts w:ascii="Arial Narrow" w:hAnsi="Arial Narrow"/>
          <w:b/>
          <w:bCs/>
          <w:i/>
          <w:iCs/>
          <w:sz w:val="20"/>
          <w:szCs w:val="20"/>
        </w:rPr>
        <w:t xml:space="preserve"> </w:t>
      </w:r>
      <w:r w:rsidR="003A2103">
        <w:rPr>
          <w:rFonts w:ascii="Arial Narrow" w:hAnsi="Arial Narrow"/>
          <w:b/>
          <w:bCs/>
          <w:i/>
          <w:iCs/>
          <w:sz w:val="20"/>
          <w:szCs w:val="20"/>
        </w:rPr>
        <w:t>Revised e</w:t>
      </w:r>
      <w:r w:rsidRPr="00866E65">
        <w:rPr>
          <w:rFonts w:ascii="Arial Narrow" w:hAnsi="Arial Narrow"/>
          <w:b/>
          <w:bCs/>
          <w:i/>
          <w:iCs/>
          <w:sz w:val="20"/>
          <w:szCs w:val="20"/>
        </w:rPr>
        <w:t xml:space="preserve">conomic model (decision tree + Markov model) of pre-treatment </w:t>
      </w:r>
      <w:r w:rsidR="003975F2" w:rsidRPr="00394393">
        <w:rPr>
          <w:rFonts w:ascii="Arial Narrow" w:hAnsi="Arial Narrow"/>
          <w:b/>
          <w:bCs/>
          <w:i/>
          <w:iCs/>
          <w:sz w:val="20"/>
          <w:szCs w:val="20"/>
        </w:rPr>
        <w:t xml:space="preserve">HLA-A*31:01 </w:t>
      </w:r>
      <w:r w:rsidRPr="00866E65">
        <w:rPr>
          <w:rFonts w:ascii="Arial Narrow" w:hAnsi="Arial Narrow"/>
          <w:b/>
          <w:bCs/>
          <w:i/>
          <w:iCs/>
          <w:sz w:val="20"/>
          <w:szCs w:val="20"/>
        </w:rPr>
        <w:t xml:space="preserve">and </w:t>
      </w:r>
      <w:r w:rsidR="003975F2" w:rsidRPr="00394393">
        <w:rPr>
          <w:rFonts w:ascii="Arial Narrow" w:hAnsi="Arial Narrow"/>
          <w:b/>
          <w:bCs/>
          <w:i/>
          <w:iCs/>
          <w:sz w:val="20"/>
          <w:szCs w:val="20"/>
        </w:rPr>
        <w:t xml:space="preserve">HLA-B*15:02 </w:t>
      </w:r>
      <w:r w:rsidRPr="00866E65">
        <w:rPr>
          <w:rFonts w:ascii="Arial Narrow" w:hAnsi="Arial Narrow"/>
          <w:b/>
          <w:bCs/>
          <w:i/>
          <w:iCs/>
          <w:sz w:val="20"/>
          <w:szCs w:val="20"/>
        </w:rPr>
        <w:t>genotyping for patients about to commence therapy with CBZ and OXC for epilepsy</w:t>
      </w:r>
    </w:p>
    <w:p w14:paraId="5F5F147A" w14:textId="20542158" w:rsidR="00FF310F" w:rsidRDefault="00FF310F" w:rsidP="0034139B">
      <w:pPr>
        <w:keepNext/>
        <w:keepLines/>
        <w:spacing w:before="240" w:after="240"/>
        <w:rPr>
          <w:i/>
          <w:iCs/>
          <w:sz w:val="22"/>
          <w:szCs w:val="22"/>
        </w:rPr>
      </w:pPr>
      <w:bookmarkStart w:id="35" w:name="_Ref181744328"/>
      <w:r>
        <w:rPr>
          <w:i/>
          <w:iCs/>
          <w:sz w:val="22"/>
          <w:szCs w:val="22"/>
        </w:rPr>
        <w:lastRenderedPageBreak/>
        <w:t>Key changes in the revised economic model were as follows:</w:t>
      </w:r>
    </w:p>
    <w:p w14:paraId="43F8BE56" w14:textId="664BE8E2" w:rsidR="00FF310F" w:rsidRPr="00FF310F" w:rsidRDefault="00FF310F" w:rsidP="0034139B">
      <w:pPr>
        <w:keepNext/>
        <w:keepLines/>
        <w:numPr>
          <w:ilvl w:val="0"/>
          <w:numId w:val="30"/>
        </w:numPr>
        <w:spacing w:before="240" w:after="240"/>
        <w:rPr>
          <w:i/>
          <w:iCs/>
          <w:sz w:val="22"/>
          <w:szCs w:val="22"/>
        </w:rPr>
      </w:pPr>
      <w:r w:rsidRPr="00FF310F">
        <w:rPr>
          <w:i/>
          <w:iCs/>
          <w:sz w:val="22"/>
          <w:szCs w:val="22"/>
        </w:rPr>
        <w:t>The decision tree was modified based on feedback from the ESC discussant</w:t>
      </w:r>
      <w:r>
        <w:rPr>
          <w:i/>
          <w:iCs/>
          <w:sz w:val="22"/>
          <w:szCs w:val="22"/>
        </w:rPr>
        <w:t>.</w:t>
      </w:r>
    </w:p>
    <w:p w14:paraId="38AAC7F4" w14:textId="77777777" w:rsidR="00FF310F" w:rsidRPr="00FF310F" w:rsidRDefault="00FF310F" w:rsidP="0034139B">
      <w:pPr>
        <w:keepNext/>
        <w:keepLines/>
        <w:numPr>
          <w:ilvl w:val="0"/>
          <w:numId w:val="30"/>
        </w:numPr>
        <w:spacing w:before="240" w:after="240"/>
        <w:rPr>
          <w:i/>
          <w:iCs/>
          <w:sz w:val="22"/>
          <w:szCs w:val="22"/>
        </w:rPr>
      </w:pPr>
      <w:r w:rsidRPr="00FF310F">
        <w:rPr>
          <w:i/>
          <w:iCs/>
          <w:sz w:val="22"/>
          <w:szCs w:val="22"/>
        </w:rPr>
        <w:t>The model was changed to incorporate half cycle corrections</w:t>
      </w:r>
    </w:p>
    <w:p w14:paraId="0AC5A5E6" w14:textId="77777777" w:rsidR="00FF310F" w:rsidRPr="00FF310F" w:rsidRDefault="00FF310F" w:rsidP="00FF310F">
      <w:pPr>
        <w:numPr>
          <w:ilvl w:val="0"/>
          <w:numId w:val="30"/>
        </w:numPr>
        <w:spacing w:before="240" w:after="240"/>
        <w:rPr>
          <w:i/>
          <w:iCs/>
          <w:sz w:val="22"/>
          <w:szCs w:val="22"/>
        </w:rPr>
      </w:pPr>
      <w:r w:rsidRPr="00FF310F">
        <w:rPr>
          <w:i/>
          <w:iCs/>
          <w:sz w:val="22"/>
          <w:szCs w:val="22"/>
        </w:rPr>
        <w:t>The model variables were cleaned up (unused variables removed) to make the model easier to validate (no effect on the model)</w:t>
      </w:r>
    </w:p>
    <w:p w14:paraId="1B408F34" w14:textId="3390D593" w:rsidR="00F07111" w:rsidRPr="00D155C0" w:rsidRDefault="00DF118F" w:rsidP="00D155C0">
      <w:pPr>
        <w:spacing w:before="240" w:after="240"/>
        <w:rPr>
          <w:i/>
          <w:iCs/>
          <w:sz w:val="22"/>
          <w:szCs w:val="22"/>
        </w:rPr>
      </w:pPr>
      <w:r w:rsidRPr="008F573A">
        <w:rPr>
          <w:i/>
          <w:iCs/>
          <w:sz w:val="22"/>
          <w:szCs w:val="22"/>
        </w:rPr>
        <w:t xml:space="preserve">The revised model estimated a cost per QALY gained for epilepsy from </w:t>
      </w:r>
      <w:r w:rsidR="003975F2" w:rsidRPr="00394393">
        <w:rPr>
          <w:i/>
          <w:iCs/>
          <w:sz w:val="22"/>
          <w:szCs w:val="22"/>
        </w:rPr>
        <w:t xml:space="preserve">HLA-A*31:01 </w:t>
      </w:r>
      <w:r w:rsidRPr="008F573A">
        <w:rPr>
          <w:i/>
          <w:iCs/>
          <w:sz w:val="22"/>
          <w:szCs w:val="22"/>
        </w:rPr>
        <w:t xml:space="preserve">and </w:t>
      </w:r>
      <w:r w:rsidR="003975F2" w:rsidRPr="00394393">
        <w:rPr>
          <w:i/>
          <w:iCs/>
          <w:sz w:val="22"/>
          <w:szCs w:val="22"/>
        </w:rPr>
        <w:t xml:space="preserve">HLA-B*15:02 </w:t>
      </w:r>
      <w:r w:rsidRPr="008F573A">
        <w:rPr>
          <w:i/>
          <w:iCs/>
          <w:sz w:val="22"/>
          <w:szCs w:val="22"/>
        </w:rPr>
        <w:t>genotyping of $</w:t>
      </w:r>
      <w:r w:rsidR="005C4216" w:rsidRPr="008F573A">
        <w:rPr>
          <w:i/>
          <w:iCs/>
          <w:sz w:val="22"/>
          <w:szCs w:val="22"/>
        </w:rPr>
        <w:t>825,763</w:t>
      </w:r>
      <w:r w:rsidR="00EB12D6" w:rsidRPr="008F573A">
        <w:rPr>
          <w:i/>
          <w:iCs/>
          <w:sz w:val="22"/>
          <w:szCs w:val="22"/>
        </w:rPr>
        <w:t xml:space="preserve">. In addition, the ICER from </w:t>
      </w:r>
      <w:r w:rsidR="00EB12D6" w:rsidRPr="00394393">
        <w:rPr>
          <w:i/>
          <w:iCs/>
          <w:sz w:val="22"/>
          <w:szCs w:val="22"/>
        </w:rPr>
        <w:t xml:space="preserve">HLA-A*31:01 </w:t>
      </w:r>
      <w:r w:rsidR="00EB12D6" w:rsidRPr="008F573A">
        <w:rPr>
          <w:i/>
          <w:iCs/>
          <w:sz w:val="22"/>
          <w:szCs w:val="22"/>
        </w:rPr>
        <w:t xml:space="preserve">and </w:t>
      </w:r>
      <w:r w:rsidR="00EB12D6" w:rsidRPr="00394393">
        <w:rPr>
          <w:i/>
          <w:iCs/>
          <w:sz w:val="22"/>
          <w:szCs w:val="22"/>
        </w:rPr>
        <w:t xml:space="preserve">HLA-B*15:02 </w:t>
      </w:r>
      <w:r w:rsidR="00EB12D6" w:rsidRPr="008F573A">
        <w:rPr>
          <w:i/>
          <w:iCs/>
          <w:sz w:val="22"/>
          <w:szCs w:val="22"/>
        </w:rPr>
        <w:t>genotyping of TN patients was found to be dominated on a cost per pain controlled case measure</w:t>
      </w:r>
      <w:r w:rsidR="006707AF" w:rsidRPr="008F573A">
        <w:rPr>
          <w:i/>
          <w:iCs/>
          <w:sz w:val="22"/>
          <w:szCs w:val="22"/>
        </w:rPr>
        <w:t xml:space="preserve"> (see Table 1</w:t>
      </w:r>
      <w:r w:rsidR="00031E22">
        <w:rPr>
          <w:i/>
          <w:iCs/>
          <w:sz w:val="22"/>
          <w:szCs w:val="22"/>
        </w:rPr>
        <w:t>1</w:t>
      </w:r>
      <w:r w:rsidR="00C65D5A">
        <w:rPr>
          <w:i/>
          <w:iCs/>
          <w:sz w:val="22"/>
          <w:szCs w:val="22"/>
        </w:rPr>
        <w:t xml:space="preserve"> which omits Steps 1 and 2 </w:t>
      </w:r>
      <w:r w:rsidR="001638D2">
        <w:rPr>
          <w:i/>
          <w:iCs/>
          <w:sz w:val="22"/>
          <w:szCs w:val="22"/>
        </w:rPr>
        <w:t xml:space="preserve">which report similar values as Table </w:t>
      </w:r>
      <w:r w:rsidR="00031E22">
        <w:rPr>
          <w:i/>
          <w:iCs/>
          <w:sz w:val="22"/>
          <w:szCs w:val="22"/>
        </w:rPr>
        <w:t>8</w:t>
      </w:r>
      <w:r w:rsidR="001638D2">
        <w:rPr>
          <w:i/>
          <w:iCs/>
          <w:sz w:val="22"/>
          <w:szCs w:val="22"/>
        </w:rPr>
        <w:t xml:space="preserve"> but includes the previous </w:t>
      </w:r>
      <w:r w:rsidR="00894E0C">
        <w:rPr>
          <w:i/>
          <w:iCs/>
          <w:sz w:val="22"/>
          <w:szCs w:val="22"/>
        </w:rPr>
        <w:t xml:space="preserve">values for Step 3 from Table </w:t>
      </w:r>
      <w:r w:rsidR="00031E22">
        <w:rPr>
          <w:i/>
          <w:iCs/>
          <w:sz w:val="22"/>
          <w:szCs w:val="22"/>
        </w:rPr>
        <w:t>8</w:t>
      </w:r>
      <w:r w:rsidR="00894E0C">
        <w:rPr>
          <w:i/>
          <w:iCs/>
          <w:sz w:val="22"/>
          <w:szCs w:val="22"/>
        </w:rPr>
        <w:t xml:space="preserve"> for comparison</w:t>
      </w:r>
      <w:r w:rsidR="006707AF" w:rsidRPr="008F573A">
        <w:rPr>
          <w:i/>
          <w:iCs/>
          <w:sz w:val="22"/>
          <w:szCs w:val="22"/>
        </w:rPr>
        <w:t xml:space="preserve">). </w:t>
      </w:r>
      <w:bookmarkEnd w:id="35"/>
    </w:p>
    <w:p w14:paraId="052660A0" w14:textId="070C88A5" w:rsidR="00EB12D6" w:rsidRPr="0082712F" w:rsidRDefault="00EB12D6" w:rsidP="00D155C0">
      <w:pPr>
        <w:keepNext/>
        <w:keepLines/>
        <w:rPr>
          <w:rFonts w:ascii="Arial Narrow" w:hAnsi="Arial Narrow"/>
          <w:b/>
          <w:bCs/>
          <w:i/>
          <w:iCs/>
          <w:sz w:val="20"/>
          <w:szCs w:val="20"/>
        </w:rPr>
      </w:pPr>
      <w:r w:rsidRPr="0082712F">
        <w:rPr>
          <w:rFonts w:ascii="Arial Narrow" w:hAnsi="Arial Narrow"/>
          <w:b/>
          <w:bCs/>
          <w:i/>
          <w:iCs/>
          <w:sz w:val="20"/>
          <w:szCs w:val="20"/>
        </w:rPr>
        <w:t>Table 1</w:t>
      </w:r>
      <w:r w:rsidR="00031E22">
        <w:rPr>
          <w:rFonts w:ascii="Arial Narrow" w:hAnsi="Arial Narrow"/>
          <w:b/>
          <w:bCs/>
          <w:i/>
          <w:iCs/>
          <w:sz w:val="20"/>
          <w:szCs w:val="20"/>
        </w:rPr>
        <w:t>1</w:t>
      </w:r>
      <w:r w:rsidRPr="0082712F">
        <w:rPr>
          <w:rFonts w:ascii="Arial Narrow" w:hAnsi="Arial Narrow"/>
          <w:b/>
          <w:bCs/>
          <w:i/>
          <w:iCs/>
          <w:sz w:val="20"/>
          <w:szCs w:val="20"/>
        </w:rPr>
        <w:t xml:space="preserve"> Results of the stepped economic analysis</w:t>
      </w:r>
    </w:p>
    <w:tbl>
      <w:tblPr>
        <w:tblW w:w="0" w:type="auto"/>
        <w:tblLayout w:type="fixed"/>
        <w:tblCellMar>
          <w:top w:w="57" w:type="dxa"/>
          <w:left w:w="28" w:type="dxa"/>
          <w:bottom w:w="57" w:type="dxa"/>
          <w:right w:w="28" w:type="dxa"/>
        </w:tblCellMar>
        <w:tblLook w:val="04A0" w:firstRow="1" w:lastRow="0" w:firstColumn="1" w:lastColumn="0" w:noHBand="0" w:noVBand="1"/>
        <w:tblCaption w:val="Results of the stepped economic analyses"/>
      </w:tblPr>
      <w:tblGrid>
        <w:gridCol w:w="2266"/>
        <w:gridCol w:w="2051"/>
        <w:gridCol w:w="1642"/>
        <w:gridCol w:w="1429"/>
        <w:gridCol w:w="1402"/>
      </w:tblGrid>
      <w:tr w:rsidR="00EB12D6" w:rsidRPr="0082712F" w14:paraId="745BFB9B" w14:textId="77777777" w:rsidTr="00EB12D6">
        <w:trPr>
          <w:cantSplit/>
          <w:trHeight w:val="300"/>
        </w:trPr>
        <w:tc>
          <w:tcPr>
            <w:tcW w:w="2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C559672" w14:textId="77777777" w:rsidR="00EB12D6" w:rsidRPr="0082712F" w:rsidRDefault="00EB12D6" w:rsidP="00D155C0">
            <w:pPr>
              <w:keepNext/>
              <w:keepLines/>
              <w:rPr>
                <w:rFonts w:ascii="Arial Narrow" w:hAnsi="Arial Narrow"/>
                <w:b/>
                <w:bCs/>
                <w:i/>
                <w:iCs/>
                <w:sz w:val="20"/>
                <w:szCs w:val="20"/>
              </w:rPr>
            </w:pPr>
            <w:r w:rsidRPr="0082712F">
              <w:rPr>
                <w:rFonts w:ascii="Arial Narrow" w:hAnsi="Arial Narrow"/>
                <w:b/>
                <w:bCs/>
                <w:i/>
                <w:iCs/>
                <w:sz w:val="20"/>
                <w:szCs w:val="20"/>
              </w:rPr>
              <w:t>Step</w:t>
            </w:r>
          </w:p>
        </w:tc>
        <w:tc>
          <w:tcPr>
            <w:tcW w:w="2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A794F5B" w14:textId="77777777" w:rsidR="00EB12D6" w:rsidRPr="0082712F" w:rsidRDefault="00EB12D6" w:rsidP="00D155C0">
            <w:pPr>
              <w:keepNext/>
              <w:keepLines/>
              <w:rPr>
                <w:rFonts w:ascii="Arial Narrow" w:hAnsi="Arial Narrow"/>
                <w:b/>
                <w:bCs/>
                <w:i/>
                <w:iCs/>
                <w:sz w:val="20"/>
                <w:szCs w:val="20"/>
              </w:rPr>
            </w:pPr>
            <w:r w:rsidRPr="00394393">
              <w:rPr>
                <w:rFonts w:ascii="Arial Narrow" w:hAnsi="Arial Narrow"/>
                <w:b/>
                <w:bCs/>
                <w:i/>
                <w:iCs/>
                <w:sz w:val="20"/>
                <w:szCs w:val="20"/>
              </w:rPr>
              <w:t>HLA-A*31:01</w:t>
            </w:r>
            <w:r w:rsidRPr="0082712F">
              <w:rPr>
                <w:rFonts w:ascii="Arial Narrow" w:hAnsi="Arial Narrow"/>
                <w:b/>
                <w:bCs/>
                <w:i/>
                <w:iCs/>
                <w:sz w:val="20"/>
                <w:szCs w:val="20"/>
              </w:rPr>
              <w:t xml:space="preserve"> and </w:t>
            </w:r>
            <w:r w:rsidRPr="00394393">
              <w:rPr>
                <w:rFonts w:ascii="Arial Narrow" w:hAnsi="Arial Narrow"/>
                <w:b/>
                <w:bCs/>
                <w:i/>
                <w:iCs/>
                <w:sz w:val="20"/>
                <w:szCs w:val="20"/>
              </w:rPr>
              <w:t>HLA-B*15:02</w:t>
            </w:r>
            <w:r w:rsidRPr="0082712F">
              <w:rPr>
                <w:rFonts w:ascii="Arial Narrow" w:hAnsi="Arial Narrow"/>
                <w:b/>
                <w:bCs/>
                <w:i/>
                <w:iCs/>
                <w:sz w:val="20"/>
                <w:szCs w:val="20"/>
              </w:rPr>
              <w:t xml:space="preserve"> genotyping</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AE63BE3" w14:textId="77777777" w:rsidR="00EB12D6" w:rsidRPr="0082712F" w:rsidRDefault="00EB12D6" w:rsidP="00D155C0">
            <w:pPr>
              <w:keepNext/>
              <w:keepLines/>
              <w:rPr>
                <w:rFonts w:ascii="Arial Narrow" w:hAnsi="Arial Narrow"/>
                <w:b/>
                <w:bCs/>
                <w:i/>
                <w:iCs/>
                <w:sz w:val="20"/>
                <w:szCs w:val="20"/>
              </w:rPr>
            </w:pPr>
            <w:r w:rsidRPr="0082712F">
              <w:rPr>
                <w:rFonts w:ascii="Arial Narrow" w:hAnsi="Arial Narrow"/>
                <w:b/>
                <w:bCs/>
                <w:i/>
                <w:iCs/>
                <w:sz w:val="20"/>
                <w:szCs w:val="20"/>
              </w:rPr>
              <w:t>No testing</w:t>
            </w:r>
          </w:p>
        </w:tc>
        <w:tc>
          <w:tcPr>
            <w:tcW w:w="14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D944788" w14:textId="77777777" w:rsidR="00EB12D6" w:rsidRPr="0082712F" w:rsidRDefault="00EB12D6" w:rsidP="00D155C0">
            <w:pPr>
              <w:keepNext/>
              <w:keepLines/>
              <w:rPr>
                <w:rFonts w:ascii="Arial Narrow" w:hAnsi="Arial Narrow"/>
                <w:b/>
                <w:bCs/>
                <w:i/>
                <w:iCs/>
                <w:sz w:val="20"/>
                <w:szCs w:val="20"/>
              </w:rPr>
            </w:pPr>
            <w:r w:rsidRPr="0082712F">
              <w:rPr>
                <w:rFonts w:ascii="Arial Narrow" w:hAnsi="Arial Narrow"/>
                <w:b/>
                <w:bCs/>
                <w:i/>
                <w:iCs/>
                <w:sz w:val="20"/>
                <w:szCs w:val="20"/>
              </w:rPr>
              <w:t>Increment</w:t>
            </w:r>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8924F7" w14:textId="77777777" w:rsidR="00EB12D6" w:rsidRPr="0082712F" w:rsidRDefault="00EB12D6" w:rsidP="00D155C0">
            <w:pPr>
              <w:keepNext/>
              <w:keepLines/>
              <w:rPr>
                <w:rFonts w:ascii="Arial Narrow" w:hAnsi="Arial Narrow"/>
                <w:b/>
                <w:bCs/>
                <w:i/>
                <w:iCs/>
                <w:sz w:val="20"/>
                <w:szCs w:val="20"/>
              </w:rPr>
            </w:pPr>
            <w:r w:rsidRPr="0082712F">
              <w:rPr>
                <w:rFonts w:ascii="Arial Narrow" w:hAnsi="Arial Narrow"/>
                <w:b/>
                <w:bCs/>
                <w:i/>
                <w:iCs/>
                <w:sz w:val="20"/>
                <w:szCs w:val="20"/>
              </w:rPr>
              <w:t>ICER</w:t>
            </w:r>
          </w:p>
        </w:tc>
      </w:tr>
      <w:tr w:rsidR="00EB12D6" w:rsidRPr="0082712F" w14:paraId="77D6DCC7" w14:textId="77777777" w:rsidTr="00EB12D6">
        <w:trPr>
          <w:cantSplit/>
          <w:trHeight w:val="300"/>
        </w:trPr>
        <w:tc>
          <w:tcPr>
            <w:tcW w:w="8790" w:type="dxa"/>
            <w:gridSpan w:val="5"/>
            <w:tcBorders>
              <w:top w:val="single" w:sz="4" w:space="0" w:color="auto"/>
              <w:left w:val="single" w:sz="4" w:space="0" w:color="auto"/>
              <w:bottom w:val="single" w:sz="4" w:space="0" w:color="auto"/>
              <w:right w:val="single" w:sz="4" w:space="0" w:color="auto"/>
            </w:tcBorders>
            <w:noWrap/>
            <w:hideMark/>
          </w:tcPr>
          <w:p w14:paraId="09B174B4" w14:textId="68D367B6" w:rsidR="00EB12D6" w:rsidRPr="0082712F" w:rsidRDefault="00CE031A" w:rsidP="00D155C0">
            <w:pPr>
              <w:keepNext/>
              <w:keepLines/>
              <w:rPr>
                <w:rFonts w:ascii="Arial Narrow" w:hAnsi="Arial Narrow"/>
                <w:i/>
                <w:iCs/>
                <w:sz w:val="20"/>
                <w:szCs w:val="20"/>
              </w:rPr>
            </w:pPr>
            <w:r w:rsidRPr="0082712F">
              <w:rPr>
                <w:rFonts w:ascii="Arial Narrow" w:hAnsi="Arial Narrow"/>
                <w:sz w:val="20"/>
                <w:szCs w:val="20"/>
              </w:rPr>
              <w:t xml:space="preserve">Step 3 </w:t>
            </w:r>
            <w:r w:rsidR="0057072A">
              <w:rPr>
                <w:rFonts w:ascii="Arial Narrow" w:hAnsi="Arial Narrow"/>
                <w:sz w:val="20"/>
                <w:szCs w:val="20"/>
              </w:rPr>
              <w:t xml:space="preserve">from original model </w:t>
            </w:r>
            <w:r w:rsidRPr="0082712F">
              <w:rPr>
                <w:rFonts w:ascii="Arial Narrow" w:hAnsi="Arial Narrow"/>
                <w:sz w:val="20"/>
                <w:szCs w:val="20"/>
              </w:rPr>
              <w:t>– Cost per QALY (for epilepsy)</w:t>
            </w:r>
          </w:p>
        </w:tc>
      </w:tr>
      <w:tr w:rsidR="00EB12D6" w:rsidRPr="0082712F" w14:paraId="4D5BFDDA" w14:textId="77777777" w:rsidTr="00EB12D6">
        <w:trPr>
          <w:cantSplit/>
          <w:trHeight w:val="300"/>
        </w:trPr>
        <w:tc>
          <w:tcPr>
            <w:tcW w:w="2266" w:type="dxa"/>
            <w:tcBorders>
              <w:top w:val="single" w:sz="4" w:space="0" w:color="auto"/>
              <w:left w:val="single" w:sz="4" w:space="0" w:color="auto"/>
              <w:bottom w:val="single" w:sz="4" w:space="0" w:color="auto"/>
              <w:right w:val="single" w:sz="4" w:space="0" w:color="auto"/>
            </w:tcBorders>
            <w:noWrap/>
            <w:hideMark/>
          </w:tcPr>
          <w:p w14:paraId="08E0B1C3" w14:textId="77777777" w:rsidR="00EB12D6" w:rsidRPr="00DE1BAD" w:rsidRDefault="00EB12D6" w:rsidP="00D155C0">
            <w:pPr>
              <w:keepNext/>
              <w:keepLines/>
              <w:rPr>
                <w:rFonts w:ascii="Arial Narrow" w:hAnsi="Arial Narrow"/>
                <w:sz w:val="20"/>
                <w:szCs w:val="20"/>
              </w:rPr>
            </w:pPr>
            <w:r w:rsidRPr="00DE1BAD">
              <w:rPr>
                <w:rFonts w:ascii="Arial Narrow" w:hAnsi="Arial Narrow"/>
                <w:sz w:val="20"/>
                <w:szCs w:val="20"/>
              </w:rPr>
              <w:t>Costs</w:t>
            </w:r>
          </w:p>
        </w:tc>
        <w:tc>
          <w:tcPr>
            <w:tcW w:w="2051" w:type="dxa"/>
            <w:tcBorders>
              <w:top w:val="single" w:sz="4" w:space="0" w:color="auto"/>
              <w:left w:val="single" w:sz="4" w:space="0" w:color="auto"/>
              <w:bottom w:val="single" w:sz="4" w:space="0" w:color="auto"/>
              <w:right w:val="single" w:sz="4" w:space="0" w:color="auto"/>
            </w:tcBorders>
            <w:noWrap/>
            <w:hideMark/>
          </w:tcPr>
          <w:p w14:paraId="2F1035DF" w14:textId="43339407" w:rsidR="00EB12D6" w:rsidRPr="00DE1BAD" w:rsidRDefault="001D1427" w:rsidP="00D155C0">
            <w:pPr>
              <w:keepNext/>
              <w:keepLines/>
              <w:rPr>
                <w:rFonts w:ascii="Arial Narrow" w:hAnsi="Arial Narrow"/>
                <w:sz w:val="20"/>
                <w:szCs w:val="20"/>
              </w:rPr>
            </w:pPr>
            <w:r w:rsidRPr="0082712F">
              <w:rPr>
                <w:rFonts w:ascii="Arial Narrow" w:hAnsi="Arial Narrow"/>
                <w:sz w:val="20"/>
                <w:szCs w:val="20"/>
              </w:rPr>
              <w:t>$76,727.89</w:t>
            </w:r>
          </w:p>
        </w:tc>
        <w:tc>
          <w:tcPr>
            <w:tcW w:w="1642" w:type="dxa"/>
            <w:tcBorders>
              <w:top w:val="single" w:sz="4" w:space="0" w:color="auto"/>
              <w:left w:val="single" w:sz="4" w:space="0" w:color="auto"/>
              <w:bottom w:val="single" w:sz="4" w:space="0" w:color="auto"/>
              <w:right w:val="single" w:sz="4" w:space="0" w:color="auto"/>
            </w:tcBorders>
            <w:noWrap/>
            <w:hideMark/>
          </w:tcPr>
          <w:p w14:paraId="1BEF700D" w14:textId="2CC2A30A" w:rsidR="00EB12D6" w:rsidRPr="00DE1BAD" w:rsidRDefault="0024674A" w:rsidP="00D155C0">
            <w:pPr>
              <w:keepNext/>
              <w:keepLines/>
              <w:rPr>
                <w:rFonts w:ascii="Arial Narrow" w:hAnsi="Arial Narrow"/>
                <w:sz w:val="20"/>
                <w:szCs w:val="20"/>
              </w:rPr>
            </w:pPr>
            <w:r w:rsidRPr="0082712F">
              <w:rPr>
                <w:rFonts w:ascii="Arial Narrow" w:hAnsi="Arial Narrow"/>
                <w:sz w:val="20"/>
                <w:szCs w:val="20"/>
              </w:rPr>
              <w:t>$76,842.47</w:t>
            </w:r>
          </w:p>
        </w:tc>
        <w:tc>
          <w:tcPr>
            <w:tcW w:w="1429" w:type="dxa"/>
            <w:tcBorders>
              <w:top w:val="single" w:sz="4" w:space="0" w:color="auto"/>
              <w:left w:val="single" w:sz="4" w:space="0" w:color="auto"/>
              <w:bottom w:val="single" w:sz="4" w:space="0" w:color="auto"/>
              <w:right w:val="single" w:sz="4" w:space="0" w:color="auto"/>
            </w:tcBorders>
            <w:noWrap/>
            <w:hideMark/>
          </w:tcPr>
          <w:p w14:paraId="4BAA5380" w14:textId="41F58FF3" w:rsidR="00EB12D6" w:rsidRPr="00DE1BAD" w:rsidRDefault="006C3999" w:rsidP="00D155C0">
            <w:pPr>
              <w:keepNext/>
              <w:keepLines/>
              <w:rPr>
                <w:rFonts w:ascii="Arial Narrow" w:hAnsi="Arial Narrow"/>
                <w:sz w:val="20"/>
                <w:szCs w:val="20"/>
              </w:rPr>
            </w:pPr>
            <w:r w:rsidRPr="0082712F">
              <w:rPr>
                <w:rFonts w:ascii="Arial Narrow" w:hAnsi="Arial Narrow"/>
                <w:sz w:val="20"/>
                <w:szCs w:val="20"/>
              </w:rPr>
              <w:t>-$114.58</w:t>
            </w:r>
          </w:p>
        </w:t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14:paraId="605238DA" w14:textId="04A0248A" w:rsidR="00EB12D6" w:rsidRPr="00DE1BAD" w:rsidRDefault="00917DC8" w:rsidP="00D155C0">
            <w:pPr>
              <w:keepNext/>
              <w:keepLines/>
              <w:rPr>
                <w:rFonts w:ascii="Arial Narrow" w:hAnsi="Arial Narrow"/>
                <w:sz w:val="20"/>
                <w:szCs w:val="20"/>
              </w:rPr>
            </w:pPr>
            <w:r w:rsidRPr="0082712F">
              <w:rPr>
                <w:rFonts w:ascii="Arial Narrow" w:hAnsi="Arial Narrow"/>
                <w:sz w:val="20"/>
                <w:szCs w:val="20"/>
              </w:rPr>
              <w:t>Genotyping is a dominant strategy (Genotyping less costly and slightly more effective)</w:t>
            </w:r>
          </w:p>
        </w:tc>
      </w:tr>
      <w:tr w:rsidR="00EB12D6" w:rsidRPr="0082712F" w14:paraId="7490B1C6" w14:textId="77777777" w:rsidTr="00EB12D6">
        <w:trPr>
          <w:cantSplit/>
          <w:trHeight w:val="300"/>
        </w:trPr>
        <w:tc>
          <w:tcPr>
            <w:tcW w:w="2266" w:type="dxa"/>
            <w:tcBorders>
              <w:top w:val="single" w:sz="4" w:space="0" w:color="auto"/>
              <w:left w:val="single" w:sz="4" w:space="0" w:color="auto"/>
              <w:bottom w:val="single" w:sz="4" w:space="0" w:color="auto"/>
              <w:right w:val="single" w:sz="4" w:space="0" w:color="auto"/>
            </w:tcBorders>
            <w:noWrap/>
            <w:hideMark/>
          </w:tcPr>
          <w:p w14:paraId="5D267B4C" w14:textId="343DBCAE" w:rsidR="00EB12D6" w:rsidRPr="00DE1BAD" w:rsidRDefault="00DE1BAD" w:rsidP="00D155C0">
            <w:pPr>
              <w:keepNext/>
              <w:keepLines/>
              <w:rPr>
                <w:rFonts w:ascii="Arial Narrow" w:hAnsi="Arial Narrow"/>
                <w:sz w:val="20"/>
                <w:szCs w:val="20"/>
              </w:rPr>
            </w:pPr>
            <w:r w:rsidRPr="0082712F">
              <w:rPr>
                <w:rFonts w:ascii="Arial Narrow" w:hAnsi="Arial Narrow"/>
                <w:sz w:val="20"/>
                <w:szCs w:val="20"/>
              </w:rPr>
              <w:t>Outcome 3 (QALY)</w:t>
            </w:r>
          </w:p>
        </w:tc>
        <w:tc>
          <w:tcPr>
            <w:tcW w:w="2051" w:type="dxa"/>
            <w:tcBorders>
              <w:top w:val="single" w:sz="4" w:space="0" w:color="auto"/>
              <w:left w:val="single" w:sz="4" w:space="0" w:color="auto"/>
              <w:bottom w:val="single" w:sz="4" w:space="0" w:color="auto"/>
              <w:right w:val="single" w:sz="4" w:space="0" w:color="auto"/>
            </w:tcBorders>
            <w:noWrap/>
            <w:vAlign w:val="center"/>
            <w:hideMark/>
          </w:tcPr>
          <w:p w14:paraId="2854EA0D" w14:textId="3F7C32FB" w:rsidR="00EB12D6" w:rsidRPr="00DE1BAD" w:rsidRDefault="009E38D9" w:rsidP="00D155C0">
            <w:pPr>
              <w:keepNext/>
              <w:keepLines/>
              <w:rPr>
                <w:rFonts w:ascii="Arial Narrow" w:hAnsi="Arial Narrow"/>
                <w:sz w:val="20"/>
                <w:szCs w:val="20"/>
              </w:rPr>
            </w:pPr>
            <w:r w:rsidRPr="0082712F">
              <w:rPr>
                <w:rFonts w:ascii="Arial Narrow" w:hAnsi="Arial Narrow"/>
                <w:sz w:val="20"/>
                <w:szCs w:val="20"/>
              </w:rPr>
              <w:t>16.11853</w:t>
            </w:r>
          </w:p>
        </w:tc>
        <w:tc>
          <w:tcPr>
            <w:tcW w:w="1642" w:type="dxa"/>
            <w:tcBorders>
              <w:top w:val="single" w:sz="4" w:space="0" w:color="auto"/>
              <w:left w:val="single" w:sz="4" w:space="0" w:color="auto"/>
              <w:bottom w:val="single" w:sz="4" w:space="0" w:color="auto"/>
              <w:right w:val="single" w:sz="4" w:space="0" w:color="auto"/>
            </w:tcBorders>
            <w:noWrap/>
            <w:vAlign w:val="center"/>
            <w:hideMark/>
          </w:tcPr>
          <w:p w14:paraId="5CA3CD96" w14:textId="1ABCA3DF" w:rsidR="00EB12D6" w:rsidRPr="00DE1BAD" w:rsidRDefault="005D28A0" w:rsidP="00D155C0">
            <w:pPr>
              <w:keepNext/>
              <w:keepLines/>
              <w:rPr>
                <w:rFonts w:ascii="Arial Narrow" w:hAnsi="Arial Narrow"/>
                <w:sz w:val="20"/>
                <w:szCs w:val="20"/>
              </w:rPr>
            </w:pPr>
            <w:r w:rsidRPr="0082712F">
              <w:rPr>
                <w:rFonts w:ascii="Arial Narrow" w:hAnsi="Arial Narrow"/>
                <w:sz w:val="20"/>
                <w:szCs w:val="20"/>
              </w:rPr>
              <w:t>16.11826</w:t>
            </w:r>
          </w:p>
        </w:tc>
        <w:tc>
          <w:tcPr>
            <w:tcW w:w="1429" w:type="dxa"/>
            <w:tcBorders>
              <w:top w:val="single" w:sz="4" w:space="0" w:color="auto"/>
              <w:left w:val="single" w:sz="4" w:space="0" w:color="auto"/>
              <w:bottom w:val="single" w:sz="4" w:space="0" w:color="auto"/>
              <w:right w:val="single" w:sz="4" w:space="0" w:color="auto"/>
            </w:tcBorders>
            <w:noWrap/>
            <w:vAlign w:val="center"/>
            <w:hideMark/>
          </w:tcPr>
          <w:p w14:paraId="1312DDAB" w14:textId="51E76FF0" w:rsidR="00EB12D6" w:rsidRPr="00DE1BAD" w:rsidRDefault="001578C5" w:rsidP="00D155C0">
            <w:pPr>
              <w:keepNext/>
              <w:keepLines/>
              <w:rPr>
                <w:rFonts w:ascii="Arial Narrow" w:hAnsi="Arial Narrow"/>
                <w:sz w:val="20"/>
                <w:szCs w:val="20"/>
              </w:rPr>
            </w:pPr>
            <w:r w:rsidRPr="0082712F">
              <w:rPr>
                <w:rFonts w:ascii="Arial Narrow" w:hAnsi="Arial Narrow"/>
                <w:sz w:val="20"/>
                <w:szCs w:val="20"/>
              </w:rPr>
              <w:t>0.00027</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55CEAB5B" w14:textId="77777777" w:rsidR="00EB12D6" w:rsidRPr="0082712F" w:rsidRDefault="00EB12D6" w:rsidP="00D155C0">
            <w:pPr>
              <w:keepNext/>
              <w:keepLines/>
              <w:rPr>
                <w:rFonts w:ascii="Arial Narrow" w:hAnsi="Arial Narrow"/>
                <w:i/>
                <w:iCs/>
                <w:sz w:val="20"/>
                <w:szCs w:val="20"/>
              </w:rPr>
            </w:pPr>
          </w:p>
        </w:tc>
      </w:tr>
      <w:tr w:rsidR="00EB12D6" w:rsidRPr="0082712F" w14:paraId="35628AAF" w14:textId="77777777" w:rsidTr="00EB12D6">
        <w:trPr>
          <w:cantSplit/>
          <w:trHeight w:val="300"/>
        </w:trPr>
        <w:tc>
          <w:tcPr>
            <w:tcW w:w="8790" w:type="dxa"/>
            <w:gridSpan w:val="5"/>
            <w:tcBorders>
              <w:top w:val="single" w:sz="4" w:space="0" w:color="auto"/>
              <w:left w:val="single" w:sz="4" w:space="0" w:color="auto"/>
              <w:bottom w:val="single" w:sz="4" w:space="0" w:color="auto"/>
              <w:right w:val="single" w:sz="4" w:space="0" w:color="auto"/>
            </w:tcBorders>
            <w:noWrap/>
            <w:hideMark/>
          </w:tcPr>
          <w:p w14:paraId="6E00F276" w14:textId="404627B4" w:rsidR="00EB12D6" w:rsidRPr="0082712F" w:rsidRDefault="00DE1BAD" w:rsidP="00D155C0">
            <w:pPr>
              <w:keepNext/>
              <w:keepLines/>
              <w:rPr>
                <w:rFonts w:ascii="Arial Narrow" w:hAnsi="Arial Narrow"/>
                <w:i/>
                <w:iCs/>
                <w:sz w:val="20"/>
                <w:szCs w:val="20"/>
              </w:rPr>
            </w:pPr>
            <w:r>
              <w:rPr>
                <w:rFonts w:ascii="Arial Narrow" w:hAnsi="Arial Narrow"/>
                <w:i/>
                <w:iCs/>
                <w:sz w:val="20"/>
                <w:szCs w:val="20"/>
              </w:rPr>
              <w:t xml:space="preserve">Revised </w:t>
            </w:r>
            <w:r w:rsidRPr="00D964E9">
              <w:rPr>
                <w:rFonts w:ascii="Arial Narrow" w:hAnsi="Arial Narrow"/>
                <w:i/>
                <w:iCs/>
                <w:sz w:val="20"/>
                <w:szCs w:val="20"/>
              </w:rPr>
              <w:t>Step 3 – Cost per QALY (for epilepsy)</w:t>
            </w:r>
          </w:p>
        </w:tc>
      </w:tr>
      <w:tr w:rsidR="00DE1BAD" w:rsidRPr="0082712F" w14:paraId="5602C041" w14:textId="77777777" w:rsidTr="0082712F">
        <w:trPr>
          <w:cantSplit/>
          <w:trHeight w:val="300"/>
        </w:trPr>
        <w:tc>
          <w:tcPr>
            <w:tcW w:w="2266" w:type="dxa"/>
            <w:tcBorders>
              <w:top w:val="single" w:sz="4" w:space="0" w:color="auto"/>
              <w:left w:val="single" w:sz="4" w:space="0" w:color="auto"/>
              <w:bottom w:val="single" w:sz="4" w:space="0" w:color="auto"/>
              <w:right w:val="single" w:sz="4" w:space="0" w:color="auto"/>
            </w:tcBorders>
            <w:noWrap/>
            <w:hideMark/>
          </w:tcPr>
          <w:p w14:paraId="206F321E" w14:textId="18093E89" w:rsidR="00DE1BAD" w:rsidRPr="0082712F" w:rsidRDefault="00DE1BAD" w:rsidP="00D155C0">
            <w:pPr>
              <w:keepNext/>
              <w:keepLines/>
              <w:rPr>
                <w:rFonts w:ascii="Arial Narrow" w:hAnsi="Arial Narrow"/>
                <w:i/>
                <w:iCs/>
                <w:sz w:val="20"/>
                <w:szCs w:val="20"/>
              </w:rPr>
            </w:pPr>
            <w:r w:rsidRPr="00D964E9">
              <w:rPr>
                <w:rFonts w:ascii="Arial Narrow" w:hAnsi="Arial Narrow"/>
                <w:i/>
                <w:iCs/>
                <w:sz w:val="20"/>
                <w:szCs w:val="20"/>
              </w:rPr>
              <w:t>Costs</w:t>
            </w:r>
          </w:p>
        </w:tc>
        <w:tc>
          <w:tcPr>
            <w:tcW w:w="2051" w:type="dxa"/>
            <w:tcBorders>
              <w:top w:val="single" w:sz="4" w:space="0" w:color="auto"/>
              <w:left w:val="single" w:sz="4" w:space="0" w:color="auto"/>
              <w:bottom w:val="single" w:sz="4" w:space="0" w:color="auto"/>
              <w:right w:val="single" w:sz="4" w:space="0" w:color="auto"/>
            </w:tcBorders>
            <w:noWrap/>
            <w:vAlign w:val="bottom"/>
            <w:hideMark/>
          </w:tcPr>
          <w:p w14:paraId="64E27ADE" w14:textId="35B0BD46" w:rsidR="00DE1BAD" w:rsidRPr="0082712F" w:rsidRDefault="00DE1BAD" w:rsidP="00D155C0">
            <w:pPr>
              <w:keepNext/>
              <w:keepLines/>
              <w:rPr>
                <w:rFonts w:ascii="Arial Narrow" w:hAnsi="Arial Narrow"/>
                <w:i/>
                <w:iCs/>
                <w:sz w:val="20"/>
                <w:szCs w:val="20"/>
              </w:rPr>
            </w:pPr>
            <w:r w:rsidRPr="00D964E9">
              <w:rPr>
                <w:rFonts w:ascii="Arial Narrow" w:hAnsi="Arial Narrow"/>
                <w:i/>
                <w:iCs/>
                <w:sz w:val="20"/>
                <w:szCs w:val="20"/>
              </w:rPr>
              <w:t>$51,364</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F908BE9" w14:textId="585A0669" w:rsidR="00DE1BAD" w:rsidRPr="0082712F" w:rsidRDefault="00DE1BAD" w:rsidP="00D155C0">
            <w:pPr>
              <w:keepNext/>
              <w:keepLines/>
              <w:rPr>
                <w:rFonts w:ascii="Arial Narrow" w:hAnsi="Arial Narrow"/>
                <w:i/>
                <w:iCs/>
                <w:sz w:val="20"/>
                <w:szCs w:val="20"/>
              </w:rPr>
            </w:pPr>
            <w:r w:rsidRPr="00D964E9">
              <w:rPr>
                <w:rFonts w:ascii="Arial Narrow" w:hAnsi="Arial Narrow"/>
                <w:i/>
                <w:iCs/>
                <w:sz w:val="20"/>
                <w:szCs w:val="20"/>
              </w:rPr>
              <w:t>$50,980</w:t>
            </w:r>
          </w:p>
        </w:tc>
        <w:tc>
          <w:tcPr>
            <w:tcW w:w="1429" w:type="dxa"/>
            <w:tcBorders>
              <w:top w:val="single" w:sz="4" w:space="0" w:color="auto"/>
              <w:left w:val="single" w:sz="4" w:space="0" w:color="auto"/>
              <w:bottom w:val="single" w:sz="4" w:space="0" w:color="auto"/>
              <w:right w:val="single" w:sz="4" w:space="0" w:color="auto"/>
            </w:tcBorders>
            <w:noWrap/>
            <w:vAlign w:val="bottom"/>
            <w:hideMark/>
          </w:tcPr>
          <w:p w14:paraId="47544DC0" w14:textId="10B4DE23" w:rsidR="00DE1BAD" w:rsidRPr="0082712F" w:rsidRDefault="00DE1BAD" w:rsidP="00D155C0">
            <w:pPr>
              <w:keepNext/>
              <w:keepLines/>
              <w:rPr>
                <w:rFonts w:ascii="Arial Narrow" w:hAnsi="Arial Narrow"/>
                <w:i/>
                <w:iCs/>
                <w:sz w:val="20"/>
                <w:szCs w:val="20"/>
              </w:rPr>
            </w:pPr>
            <w:r w:rsidRPr="00D964E9">
              <w:rPr>
                <w:rFonts w:ascii="Arial Narrow" w:hAnsi="Arial Narrow"/>
                <w:i/>
                <w:iCs/>
                <w:sz w:val="20"/>
                <w:szCs w:val="20"/>
              </w:rPr>
              <w:t>$385</w:t>
            </w:r>
          </w:p>
        </w:t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14:paraId="08378C01" w14:textId="05BA9F16" w:rsidR="00DE1BAD" w:rsidRPr="0082712F" w:rsidRDefault="00DE1BAD" w:rsidP="00D155C0">
            <w:pPr>
              <w:keepNext/>
              <w:keepLines/>
              <w:rPr>
                <w:rFonts w:ascii="Arial Narrow" w:hAnsi="Arial Narrow"/>
                <w:i/>
                <w:iCs/>
                <w:sz w:val="20"/>
                <w:szCs w:val="20"/>
              </w:rPr>
            </w:pPr>
            <w:r w:rsidRPr="00D964E9">
              <w:rPr>
                <w:rFonts w:ascii="Arial Narrow" w:hAnsi="Arial Narrow"/>
                <w:i/>
                <w:iCs/>
                <w:sz w:val="20"/>
                <w:szCs w:val="20"/>
              </w:rPr>
              <w:t>$825,763</w:t>
            </w:r>
          </w:p>
        </w:tc>
      </w:tr>
      <w:tr w:rsidR="00DE1BAD" w:rsidRPr="0082712F" w14:paraId="66CCCFB6" w14:textId="77777777" w:rsidTr="0082712F">
        <w:trPr>
          <w:cantSplit/>
          <w:trHeight w:val="300"/>
        </w:trPr>
        <w:tc>
          <w:tcPr>
            <w:tcW w:w="2266" w:type="dxa"/>
            <w:tcBorders>
              <w:top w:val="single" w:sz="4" w:space="0" w:color="auto"/>
              <w:left w:val="single" w:sz="4" w:space="0" w:color="auto"/>
              <w:bottom w:val="single" w:sz="4" w:space="0" w:color="auto"/>
              <w:right w:val="single" w:sz="4" w:space="0" w:color="auto"/>
            </w:tcBorders>
            <w:noWrap/>
            <w:hideMark/>
          </w:tcPr>
          <w:p w14:paraId="429658CD" w14:textId="7953ABA5" w:rsidR="00DE1BAD" w:rsidRPr="0082712F" w:rsidRDefault="00DE1BAD" w:rsidP="00D155C0">
            <w:pPr>
              <w:keepNext/>
              <w:keepLines/>
              <w:rPr>
                <w:rFonts w:ascii="Arial Narrow" w:hAnsi="Arial Narrow"/>
                <w:i/>
                <w:iCs/>
                <w:sz w:val="20"/>
                <w:szCs w:val="20"/>
              </w:rPr>
            </w:pPr>
            <w:r w:rsidRPr="00D964E9">
              <w:rPr>
                <w:rFonts w:ascii="Arial Narrow" w:hAnsi="Arial Narrow"/>
                <w:i/>
                <w:iCs/>
                <w:sz w:val="20"/>
                <w:szCs w:val="20"/>
              </w:rPr>
              <w:t>Outcome 3 (QALY)</w:t>
            </w:r>
          </w:p>
        </w:tc>
        <w:tc>
          <w:tcPr>
            <w:tcW w:w="2051" w:type="dxa"/>
            <w:tcBorders>
              <w:top w:val="single" w:sz="4" w:space="0" w:color="auto"/>
              <w:left w:val="single" w:sz="4" w:space="0" w:color="auto"/>
              <w:bottom w:val="single" w:sz="4" w:space="0" w:color="auto"/>
              <w:right w:val="single" w:sz="4" w:space="0" w:color="auto"/>
            </w:tcBorders>
            <w:noWrap/>
            <w:vAlign w:val="bottom"/>
            <w:hideMark/>
          </w:tcPr>
          <w:p w14:paraId="1CD98C7D" w14:textId="19ECE1C3" w:rsidR="00DE1BAD" w:rsidRPr="0082712F" w:rsidRDefault="00DE1BAD" w:rsidP="00D155C0">
            <w:pPr>
              <w:keepNext/>
              <w:keepLines/>
              <w:rPr>
                <w:rFonts w:ascii="Arial Narrow" w:hAnsi="Arial Narrow"/>
                <w:i/>
                <w:iCs/>
                <w:sz w:val="20"/>
                <w:szCs w:val="20"/>
              </w:rPr>
            </w:pPr>
            <w:r w:rsidRPr="00D964E9">
              <w:rPr>
                <w:rFonts w:ascii="Arial Narrow" w:hAnsi="Arial Narrow"/>
                <w:i/>
                <w:iCs/>
                <w:sz w:val="20"/>
                <w:szCs w:val="20"/>
              </w:rPr>
              <w:t>15.4183</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60EF4CFB" w14:textId="2F9DC364" w:rsidR="00DE1BAD" w:rsidRPr="0082712F" w:rsidRDefault="00DE1BAD" w:rsidP="00D155C0">
            <w:pPr>
              <w:keepNext/>
              <w:keepLines/>
              <w:rPr>
                <w:rFonts w:ascii="Arial Narrow" w:hAnsi="Arial Narrow"/>
                <w:i/>
                <w:iCs/>
                <w:sz w:val="20"/>
                <w:szCs w:val="20"/>
              </w:rPr>
            </w:pPr>
            <w:r w:rsidRPr="00D964E9">
              <w:rPr>
                <w:rFonts w:ascii="Arial Narrow" w:hAnsi="Arial Narrow"/>
                <w:i/>
                <w:iCs/>
                <w:sz w:val="20"/>
                <w:szCs w:val="20"/>
              </w:rPr>
              <w:t>15.4178</w:t>
            </w:r>
          </w:p>
        </w:tc>
        <w:tc>
          <w:tcPr>
            <w:tcW w:w="1429" w:type="dxa"/>
            <w:tcBorders>
              <w:top w:val="single" w:sz="4" w:space="0" w:color="auto"/>
              <w:left w:val="single" w:sz="4" w:space="0" w:color="auto"/>
              <w:bottom w:val="single" w:sz="4" w:space="0" w:color="auto"/>
              <w:right w:val="single" w:sz="4" w:space="0" w:color="auto"/>
            </w:tcBorders>
            <w:noWrap/>
            <w:vAlign w:val="bottom"/>
            <w:hideMark/>
          </w:tcPr>
          <w:p w14:paraId="57693484" w14:textId="525DAD17" w:rsidR="00DE1BAD" w:rsidRPr="0082712F" w:rsidRDefault="00DE1BAD" w:rsidP="00D155C0">
            <w:pPr>
              <w:keepNext/>
              <w:keepLines/>
              <w:rPr>
                <w:rFonts w:ascii="Arial Narrow" w:hAnsi="Arial Narrow"/>
                <w:i/>
                <w:iCs/>
                <w:sz w:val="20"/>
                <w:szCs w:val="20"/>
              </w:rPr>
            </w:pPr>
            <w:r w:rsidRPr="00D964E9">
              <w:rPr>
                <w:rFonts w:ascii="Arial Narrow" w:hAnsi="Arial Narrow"/>
                <w:i/>
                <w:iCs/>
                <w:sz w:val="20"/>
                <w:szCs w:val="20"/>
              </w:rPr>
              <w:t>0.00047</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7A10850A" w14:textId="77777777" w:rsidR="00DE1BAD" w:rsidRPr="0082712F" w:rsidRDefault="00DE1BAD" w:rsidP="00D155C0">
            <w:pPr>
              <w:keepNext/>
              <w:keepLines/>
              <w:rPr>
                <w:rFonts w:ascii="Arial Narrow" w:hAnsi="Arial Narrow"/>
                <w:i/>
                <w:iCs/>
                <w:sz w:val="20"/>
                <w:szCs w:val="20"/>
              </w:rPr>
            </w:pPr>
          </w:p>
        </w:tc>
      </w:tr>
      <w:tr w:rsidR="00EB12D6" w:rsidRPr="0082712F" w14:paraId="4A5C4E89" w14:textId="77777777" w:rsidTr="00EB12D6">
        <w:trPr>
          <w:cantSplit/>
          <w:trHeight w:val="300"/>
        </w:trPr>
        <w:tc>
          <w:tcPr>
            <w:tcW w:w="8790" w:type="dxa"/>
            <w:gridSpan w:val="5"/>
            <w:tcBorders>
              <w:top w:val="single" w:sz="4" w:space="0" w:color="auto"/>
              <w:left w:val="single" w:sz="4" w:space="0" w:color="auto"/>
              <w:bottom w:val="single" w:sz="4" w:space="0" w:color="auto"/>
              <w:right w:val="single" w:sz="4" w:space="0" w:color="auto"/>
            </w:tcBorders>
            <w:noWrap/>
            <w:hideMark/>
          </w:tcPr>
          <w:p w14:paraId="5A49555A" w14:textId="3F1496E8" w:rsidR="00EB12D6" w:rsidRPr="0082712F" w:rsidRDefault="00DA4AC1" w:rsidP="00D155C0">
            <w:pPr>
              <w:keepNext/>
              <w:keepLines/>
              <w:rPr>
                <w:rFonts w:ascii="Arial Narrow" w:hAnsi="Arial Narrow"/>
                <w:i/>
                <w:iCs/>
                <w:sz w:val="20"/>
                <w:szCs w:val="20"/>
              </w:rPr>
            </w:pPr>
            <w:r w:rsidRPr="0082712F">
              <w:rPr>
                <w:rFonts w:ascii="Arial Narrow" w:hAnsi="Arial Narrow"/>
                <w:sz w:val="20"/>
                <w:szCs w:val="20"/>
              </w:rPr>
              <w:t>Step 3 from original model – Cost per pain-controlled case (for TN)</w:t>
            </w:r>
          </w:p>
        </w:tc>
      </w:tr>
      <w:tr w:rsidR="00EB12D6" w:rsidRPr="0082712F" w14:paraId="7C08F3DB" w14:textId="77777777" w:rsidTr="00EB12D6">
        <w:trPr>
          <w:cantSplit/>
          <w:trHeight w:val="300"/>
        </w:trPr>
        <w:tc>
          <w:tcPr>
            <w:tcW w:w="2266" w:type="dxa"/>
            <w:tcBorders>
              <w:top w:val="single" w:sz="4" w:space="0" w:color="auto"/>
              <w:left w:val="single" w:sz="4" w:space="0" w:color="auto"/>
              <w:bottom w:val="single" w:sz="4" w:space="0" w:color="auto"/>
              <w:right w:val="single" w:sz="4" w:space="0" w:color="auto"/>
            </w:tcBorders>
            <w:noWrap/>
            <w:hideMark/>
          </w:tcPr>
          <w:p w14:paraId="523DCCBD" w14:textId="77777777" w:rsidR="00EB12D6" w:rsidRPr="00510990" w:rsidRDefault="00EB12D6" w:rsidP="00D155C0">
            <w:pPr>
              <w:keepNext/>
              <w:keepLines/>
              <w:rPr>
                <w:rFonts w:ascii="Arial Narrow" w:hAnsi="Arial Narrow"/>
                <w:sz w:val="20"/>
                <w:szCs w:val="20"/>
              </w:rPr>
            </w:pPr>
            <w:r w:rsidRPr="00510990">
              <w:rPr>
                <w:rFonts w:ascii="Arial Narrow" w:hAnsi="Arial Narrow"/>
                <w:sz w:val="20"/>
                <w:szCs w:val="20"/>
              </w:rPr>
              <w:t>Costs</w:t>
            </w:r>
          </w:p>
        </w:tc>
        <w:tc>
          <w:tcPr>
            <w:tcW w:w="2051" w:type="dxa"/>
            <w:tcBorders>
              <w:top w:val="single" w:sz="4" w:space="0" w:color="auto"/>
              <w:left w:val="nil"/>
              <w:bottom w:val="single" w:sz="4" w:space="0" w:color="auto"/>
              <w:right w:val="single" w:sz="4" w:space="0" w:color="auto"/>
            </w:tcBorders>
            <w:noWrap/>
            <w:vAlign w:val="bottom"/>
            <w:hideMark/>
          </w:tcPr>
          <w:p w14:paraId="27E448E0" w14:textId="44EA9E32" w:rsidR="00EB12D6" w:rsidRPr="00510990" w:rsidRDefault="00F90D19" w:rsidP="00D155C0">
            <w:pPr>
              <w:keepNext/>
              <w:keepLines/>
              <w:rPr>
                <w:rFonts w:ascii="Arial Narrow" w:hAnsi="Arial Narrow"/>
                <w:sz w:val="20"/>
                <w:szCs w:val="20"/>
              </w:rPr>
            </w:pPr>
            <w:r w:rsidRPr="0082712F">
              <w:rPr>
                <w:rFonts w:ascii="Arial Narrow" w:hAnsi="Arial Narrow"/>
                <w:sz w:val="20"/>
                <w:szCs w:val="20"/>
              </w:rPr>
              <w:t>$16,418.01</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7BCC8786" w14:textId="77C3C977" w:rsidR="00EB12D6" w:rsidRPr="00510990" w:rsidRDefault="001C48FB" w:rsidP="00D155C0">
            <w:pPr>
              <w:keepNext/>
              <w:keepLines/>
              <w:rPr>
                <w:rFonts w:ascii="Arial Narrow" w:hAnsi="Arial Narrow"/>
                <w:sz w:val="20"/>
                <w:szCs w:val="20"/>
              </w:rPr>
            </w:pPr>
            <w:r w:rsidRPr="0082712F">
              <w:rPr>
                <w:rFonts w:ascii="Arial Narrow" w:hAnsi="Arial Narrow"/>
                <w:sz w:val="20"/>
                <w:szCs w:val="20"/>
              </w:rPr>
              <w:t>$16,465.61</w:t>
            </w:r>
          </w:p>
        </w:tc>
        <w:tc>
          <w:tcPr>
            <w:tcW w:w="1429" w:type="dxa"/>
            <w:tcBorders>
              <w:top w:val="single" w:sz="4" w:space="0" w:color="auto"/>
              <w:left w:val="single" w:sz="4" w:space="0" w:color="auto"/>
              <w:bottom w:val="single" w:sz="4" w:space="0" w:color="auto"/>
              <w:right w:val="nil"/>
            </w:tcBorders>
            <w:noWrap/>
            <w:vAlign w:val="bottom"/>
            <w:hideMark/>
          </w:tcPr>
          <w:p w14:paraId="70780AD3" w14:textId="2D14CA40" w:rsidR="00EB12D6" w:rsidRPr="00510990" w:rsidRDefault="006336CA" w:rsidP="00D155C0">
            <w:pPr>
              <w:keepNext/>
              <w:keepLines/>
              <w:rPr>
                <w:rFonts w:ascii="Arial Narrow" w:hAnsi="Arial Narrow"/>
                <w:sz w:val="20"/>
                <w:szCs w:val="20"/>
              </w:rPr>
            </w:pPr>
            <w:r w:rsidRPr="0082712F">
              <w:rPr>
                <w:rFonts w:ascii="Arial Narrow" w:hAnsi="Arial Narrow"/>
                <w:sz w:val="20"/>
                <w:szCs w:val="20"/>
              </w:rPr>
              <w:t>-$47.61</w:t>
            </w:r>
          </w:p>
        </w:t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14:paraId="67B94156" w14:textId="77777777" w:rsidR="00510990" w:rsidRPr="0082712F" w:rsidRDefault="00510990" w:rsidP="00D155C0">
            <w:pPr>
              <w:keepNext/>
              <w:keepLines/>
              <w:rPr>
                <w:rFonts w:ascii="Arial Narrow" w:hAnsi="Arial Narrow"/>
                <w:sz w:val="20"/>
                <w:szCs w:val="20"/>
              </w:rPr>
            </w:pPr>
            <w:r w:rsidRPr="0082712F">
              <w:rPr>
                <w:rFonts w:ascii="Arial Narrow" w:hAnsi="Arial Narrow"/>
                <w:sz w:val="20"/>
                <w:szCs w:val="20"/>
              </w:rPr>
              <w:t>$712.06</w:t>
            </w:r>
          </w:p>
          <w:p w14:paraId="48443743" w14:textId="119FC202" w:rsidR="00EB12D6" w:rsidRPr="0082712F" w:rsidRDefault="00510990" w:rsidP="00D155C0">
            <w:pPr>
              <w:keepNext/>
              <w:keepLines/>
              <w:rPr>
                <w:rFonts w:ascii="Arial Narrow" w:hAnsi="Arial Narrow"/>
                <w:i/>
                <w:iCs/>
                <w:sz w:val="20"/>
                <w:szCs w:val="20"/>
              </w:rPr>
            </w:pPr>
            <w:r w:rsidRPr="0082712F">
              <w:rPr>
                <w:rFonts w:ascii="Arial Narrow" w:hAnsi="Arial Narrow"/>
                <w:sz w:val="20"/>
                <w:szCs w:val="20"/>
              </w:rPr>
              <w:t>(Genotyping less costly and less effective</w:t>
            </w:r>
          </w:p>
        </w:tc>
      </w:tr>
      <w:tr w:rsidR="00EB12D6" w:rsidRPr="0082712F" w14:paraId="5BD95D4F" w14:textId="77777777" w:rsidTr="00EB12D6">
        <w:trPr>
          <w:cantSplit/>
          <w:trHeight w:val="300"/>
        </w:trPr>
        <w:tc>
          <w:tcPr>
            <w:tcW w:w="2266" w:type="dxa"/>
            <w:tcBorders>
              <w:top w:val="single" w:sz="4" w:space="0" w:color="auto"/>
              <w:left w:val="single" w:sz="4" w:space="0" w:color="auto"/>
              <w:bottom w:val="single" w:sz="4" w:space="0" w:color="auto"/>
              <w:right w:val="single" w:sz="4" w:space="0" w:color="auto"/>
            </w:tcBorders>
            <w:noWrap/>
            <w:hideMark/>
          </w:tcPr>
          <w:p w14:paraId="7E8015AF" w14:textId="00DE1559" w:rsidR="00EB12D6" w:rsidRPr="00510990" w:rsidRDefault="00DA4AC1" w:rsidP="00D155C0">
            <w:pPr>
              <w:keepNext/>
              <w:keepLines/>
              <w:rPr>
                <w:rFonts w:ascii="Arial Narrow" w:hAnsi="Arial Narrow"/>
                <w:sz w:val="20"/>
                <w:szCs w:val="20"/>
              </w:rPr>
            </w:pPr>
            <w:r w:rsidRPr="0082712F">
              <w:rPr>
                <w:rFonts w:ascii="Arial Narrow" w:hAnsi="Arial Narrow"/>
                <w:sz w:val="20"/>
                <w:szCs w:val="20"/>
              </w:rPr>
              <w:t>Outcome 3 (Pain)</w:t>
            </w:r>
          </w:p>
        </w:tc>
        <w:tc>
          <w:tcPr>
            <w:tcW w:w="2051" w:type="dxa"/>
            <w:tcBorders>
              <w:top w:val="single" w:sz="4" w:space="0" w:color="auto"/>
              <w:left w:val="nil"/>
              <w:bottom w:val="single" w:sz="4" w:space="0" w:color="auto"/>
              <w:right w:val="single" w:sz="4" w:space="0" w:color="auto"/>
            </w:tcBorders>
            <w:noWrap/>
            <w:vAlign w:val="bottom"/>
            <w:hideMark/>
          </w:tcPr>
          <w:p w14:paraId="12CCE7F8" w14:textId="62E5AEA1" w:rsidR="00EB12D6" w:rsidRPr="00510990" w:rsidRDefault="00F3542E" w:rsidP="00D155C0">
            <w:pPr>
              <w:keepNext/>
              <w:keepLines/>
              <w:rPr>
                <w:rFonts w:ascii="Arial Narrow" w:hAnsi="Arial Narrow"/>
                <w:sz w:val="20"/>
                <w:szCs w:val="20"/>
              </w:rPr>
            </w:pPr>
            <w:r w:rsidRPr="0082712F">
              <w:rPr>
                <w:rFonts w:ascii="Arial Narrow" w:hAnsi="Arial Narrow"/>
                <w:sz w:val="20"/>
                <w:szCs w:val="20"/>
              </w:rPr>
              <w:t>8.7653</w:t>
            </w:r>
          </w:p>
        </w:tc>
        <w:tc>
          <w:tcPr>
            <w:tcW w:w="1642" w:type="dxa"/>
            <w:tcBorders>
              <w:top w:val="single" w:sz="4" w:space="0" w:color="auto"/>
              <w:left w:val="single" w:sz="4" w:space="0" w:color="auto"/>
              <w:bottom w:val="single" w:sz="4" w:space="0" w:color="auto"/>
              <w:right w:val="single" w:sz="4" w:space="0" w:color="auto"/>
            </w:tcBorders>
            <w:noWrap/>
            <w:vAlign w:val="bottom"/>
            <w:hideMark/>
          </w:tcPr>
          <w:p w14:paraId="59EBBF47" w14:textId="20693247" w:rsidR="00EB12D6" w:rsidRPr="00510990" w:rsidRDefault="00A57173" w:rsidP="00D155C0">
            <w:pPr>
              <w:keepNext/>
              <w:keepLines/>
              <w:rPr>
                <w:rFonts w:ascii="Arial Narrow" w:hAnsi="Arial Narrow"/>
                <w:sz w:val="20"/>
                <w:szCs w:val="20"/>
              </w:rPr>
            </w:pPr>
            <w:r w:rsidRPr="0082712F">
              <w:rPr>
                <w:rFonts w:ascii="Arial Narrow" w:hAnsi="Arial Narrow"/>
                <w:sz w:val="20"/>
                <w:szCs w:val="20"/>
              </w:rPr>
              <w:t>8.8322</w:t>
            </w:r>
          </w:p>
        </w:tc>
        <w:tc>
          <w:tcPr>
            <w:tcW w:w="1429" w:type="dxa"/>
            <w:tcBorders>
              <w:top w:val="single" w:sz="4" w:space="0" w:color="auto"/>
              <w:left w:val="single" w:sz="4" w:space="0" w:color="auto"/>
              <w:bottom w:val="single" w:sz="4" w:space="0" w:color="auto"/>
              <w:right w:val="nil"/>
            </w:tcBorders>
            <w:noWrap/>
            <w:vAlign w:val="bottom"/>
            <w:hideMark/>
          </w:tcPr>
          <w:p w14:paraId="4415EABF" w14:textId="7EBAA049" w:rsidR="00EB12D6" w:rsidRPr="00510990" w:rsidRDefault="00F65C3E" w:rsidP="00D155C0">
            <w:pPr>
              <w:keepNext/>
              <w:keepLines/>
              <w:rPr>
                <w:rFonts w:ascii="Arial Narrow" w:hAnsi="Arial Narrow"/>
                <w:sz w:val="20"/>
                <w:szCs w:val="20"/>
              </w:rPr>
            </w:pPr>
            <w:r w:rsidRPr="0082712F">
              <w:rPr>
                <w:rFonts w:ascii="Arial Narrow" w:hAnsi="Arial Narrow"/>
                <w:sz w:val="20"/>
                <w:szCs w:val="20"/>
              </w:rPr>
              <w:t>-0.0669</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7DB8711" w14:textId="77777777" w:rsidR="00EB12D6" w:rsidRPr="0082712F" w:rsidRDefault="00EB12D6" w:rsidP="00D155C0">
            <w:pPr>
              <w:keepNext/>
              <w:keepLines/>
              <w:rPr>
                <w:rFonts w:ascii="Arial Narrow" w:hAnsi="Arial Narrow"/>
                <w:i/>
                <w:iCs/>
                <w:sz w:val="20"/>
                <w:szCs w:val="20"/>
              </w:rPr>
            </w:pPr>
          </w:p>
        </w:tc>
      </w:tr>
      <w:tr w:rsidR="00EB12D6" w:rsidRPr="0082712F" w14:paraId="17A373C6" w14:textId="77777777" w:rsidTr="00EB12D6">
        <w:trPr>
          <w:cantSplit/>
          <w:trHeight w:val="300"/>
        </w:trPr>
        <w:tc>
          <w:tcPr>
            <w:tcW w:w="8790" w:type="dxa"/>
            <w:gridSpan w:val="5"/>
            <w:tcBorders>
              <w:top w:val="single" w:sz="4" w:space="0" w:color="auto"/>
              <w:left w:val="single" w:sz="4" w:space="0" w:color="auto"/>
              <w:bottom w:val="single" w:sz="4" w:space="0" w:color="auto"/>
              <w:right w:val="single" w:sz="4" w:space="0" w:color="auto"/>
            </w:tcBorders>
            <w:noWrap/>
            <w:hideMark/>
          </w:tcPr>
          <w:p w14:paraId="3CDD7A23" w14:textId="74D0AD34" w:rsidR="00EB12D6" w:rsidRPr="0082712F" w:rsidRDefault="00EC7D49" w:rsidP="00D155C0">
            <w:pPr>
              <w:keepNext/>
              <w:keepLines/>
              <w:rPr>
                <w:rFonts w:ascii="Arial Narrow" w:hAnsi="Arial Narrow"/>
                <w:i/>
                <w:iCs/>
                <w:sz w:val="20"/>
                <w:szCs w:val="20"/>
              </w:rPr>
            </w:pPr>
            <w:r>
              <w:rPr>
                <w:rFonts w:ascii="Arial Narrow" w:hAnsi="Arial Narrow"/>
                <w:i/>
                <w:iCs/>
                <w:sz w:val="20"/>
                <w:szCs w:val="20"/>
              </w:rPr>
              <w:t xml:space="preserve">Revised </w:t>
            </w:r>
            <w:r w:rsidR="00EB12D6" w:rsidRPr="0082712F">
              <w:rPr>
                <w:rFonts w:ascii="Arial Narrow" w:hAnsi="Arial Narrow"/>
                <w:i/>
                <w:iCs/>
                <w:sz w:val="20"/>
                <w:szCs w:val="20"/>
              </w:rPr>
              <w:t>Step 3 – Cost per pain-controlled case (for TN)</w:t>
            </w:r>
          </w:p>
        </w:tc>
      </w:tr>
      <w:tr w:rsidR="00EB12D6" w:rsidRPr="0082712F" w14:paraId="681A231C" w14:textId="77777777" w:rsidTr="00EB12D6">
        <w:trPr>
          <w:cantSplit/>
          <w:trHeight w:val="300"/>
        </w:trPr>
        <w:tc>
          <w:tcPr>
            <w:tcW w:w="2266" w:type="dxa"/>
            <w:tcBorders>
              <w:top w:val="single" w:sz="4" w:space="0" w:color="auto"/>
              <w:left w:val="single" w:sz="4" w:space="0" w:color="auto"/>
              <w:bottom w:val="single" w:sz="4" w:space="0" w:color="auto"/>
              <w:right w:val="single" w:sz="4" w:space="0" w:color="auto"/>
            </w:tcBorders>
            <w:noWrap/>
            <w:hideMark/>
          </w:tcPr>
          <w:p w14:paraId="749D2B59" w14:textId="77777777" w:rsidR="00EB12D6" w:rsidRPr="0082712F" w:rsidRDefault="00EB12D6" w:rsidP="00D155C0">
            <w:pPr>
              <w:keepNext/>
              <w:keepLines/>
              <w:rPr>
                <w:rFonts w:ascii="Arial Narrow" w:hAnsi="Arial Narrow"/>
                <w:i/>
                <w:iCs/>
                <w:sz w:val="20"/>
                <w:szCs w:val="20"/>
              </w:rPr>
            </w:pPr>
            <w:r w:rsidRPr="0082712F">
              <w:rPr>
                <w:rFonts w:ascii="Arial Narrow" w:hAnsi="Arial Narrow"/>
                <w:i/>
                <w:iCs/>
                <w:sz w:val="20"/>
                <w:szCs w:val="20"/>
              </w:rPr>
              <w:t>Costs</w:t>
            </w:r>
          </w:p>
        </w:tc>
        <w:tc>
          <w:tcPr>
            <w:tcW w:w="2051" w:type="dxa"/>
            <w:tcBorders>
              <w:top w:val="single" w:sz="4" w:space="0" w:color="auto"/>
              <w:left w:val="single" w:sz="4" w:space="0" w:color="auto"/>
              <w:bottom w:val="single" w:sz="4" w:space="0" w:color="auto"/>
              <w:right w:val="single" w:sz="4" w:space="0" w:color="auto"/>
            </w:tcBorders>
            <w:noWrap/>
            <w:hideMark/>
          </w:tcPr>
          <w:p w14:paraId="4C94ECEB" w14:textId="77777777" w:rsidR="00EB12D6" w:rsidRPr="0082712F" w:rsidRDefault="00EB12D6" w:rsidP="00D155C0">
            <w:pPr>
              <w:keepNext/>
              <w:keepLines/>
              <w:rPr>
                <w:rFonts w:ascii="Arial Narrow" w:hAnsi="Arial Narrow"/>
                <w:i/>
                <w:iCs/>
                <w:sz w:val="20"/>
                <w:szCs w:val="20"/>
              </w:rPr>
            </w:pPr>
            <w:r w:rsidRPr="0082712F">
              <w:rPr>
                <w:rFonts w:ascii="Arial Narrow" w:hAnsi="Arial Narrow"/>
                <w:i/>
                <w:iCs/>
                <w:sz w:val="20"/>
                <w:szCs w:val="20"/>
              </w:rPr>
              <w:t>$14,325</w:t>
            </w:r>
          </w:p>
        </w:tc>
        <w:tc>
          <w:tcPr>
            <w:tcW w:w="1642" w:type="dxa"/>
            <w:tcBorders>
              <w:top w:val="single" w:sz="4" w:space="0" w:color="auto"/>
              <w:left w:val="single" w:sz="4" w:space="0" w:color="auto"/>
              <w:bottom w:val="single" w:sz="4" w:space="0" w:color="auto"/>
              <w:right w:val="single" w:sz="4" w:space="0" w:color="auto"/>
            </w:tcBorders>
            <w:noWrap/>
            <w:hideMark/>
          </w:tcPr>
          <w:p w14:paraId="0851C951" w14:textId="77777777" w:rsidR="00EB12D6" w:rsidRPr="0082712F" w:rsidRDefault="00EB12D6" w:rsidP="00D155C0">
            <w:pPr>
              <w:keepNext/>
              <w:keepLines/>
              <w:rPr>
                <w:rFonts w:ascii="Arial Narrow" w:hAnsi="Arial Narrow"/>
                <w:i/>
                <w:iCs/>
                <w:sz w:val="20"/>
                <w:szCs w:val="20"/>
              </w:rPr>
            </w:pPr>
            <w:r w:rsidRPr="0082712F">
              <w:rPr>
                <w:rFonts w:ascii="Arial Narrow" w:hAnsi="Arial Narrow"/>
                <w:i/>
                <w:iCs/>
                <w:sz w:val="20"/>
                <w:szCs w:val="20"/>
              </w:rPr>
              <w:t>$14,179</w:t>
            </w:r>
          </w:p>
        </w:tc>
        <w:tc>
          <w:tcPr>
            <w:tcW w:w="1429" w:type="dxa"/>
            <w:tcBorders>
              <w:top w:val="single" w:sz="4" w:space="0" w:color="auto"/>
              <w:left w:val="single" w:sz="4" w:space="0" w:color="auto"/>
              <w:bottom w:val="single" w:sz="4" w:space="0" w:color="auto"/>
              <w:right w:val="single" w:sz="4" w:space="0" w:color="auto"/>
            </w:tcBorders>
            <w:noWrap/>
            <w:hideMark/>
          </w:tcPr>
          <w:p w14:paraId="44A4E904" w14:textId="77777777" w:rsidR="00EB12D6" w:rsidRPr="0082712F" w:rsidRDefault="00EB12D6" w:rsidP="00D155C0">
            <w:pPr>
              <w:keepNext/>
              <w:keepLines/>
              <w:rPr>
                <w:rFonts w:ascii="Arial Narrow" w:hAnsi="Arial Narrow"/>
                <w:i/>
                <w:iCs/>
                <w:sz w:val="20"/>
                <w:szCs w:val="20"/>
              </w:rPr>
            </w:pPr>
            <w:r w:rsidRPr="0082712F">
              <w:rPr>
                <w:rFonts w:ascii="Arial Narrow" w:hAnsi="Arial Narrow"/>
                <w:i/>
                <w:iCs/>
                <w:sz w:val="20"/>
                <w:szCs w:val="20"/>
              </w:rPr>
              <w:t>$147</w:t>
            </w:r>
          </w:p>
        </w:t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14:paraId="058C07F6" w14:textId="77777777" w:rsidR="00EB12D6" w:rsidRPr="0082712F" w:rsidRDefault="00EB12D6" w:rsidP="00D155C0">
            <w:pPr>
              <w:keepNext/>
              <w:keepLines/>
              <w:rPr>
                <w:rFonts w:ascii="Arial Narrow" w:hAnsi="Arial Narrow"/>
                <w:i/>
                <w:iCs/>
                <w:sz w:val="20"/>
                <w:szCs w:val="20"/>
              </w:rPr>
            </w:pPr>
            <w:r w:rsidRPr="0082712F">
              <w:rPr>
                <w:rFonts w:ascii="Arial Narrow" w:hAnsi="Arial Narrow"/>
                <w:i/>
                <w:iCs/>
                <w:sz w:val="20"/>
                <w:szCs w:val="20"/>
              </w:rPr>
              <w:t>Dominated</w:t>
            </w:r>
          </w:p>
        </w:tc>
      </w:tr>
      <w:tr w:rsidR="00EB12D6" w:rsidRPr="0082712F" w14:paraId="47140F52" w14:textId="77777777" w:rsidTr="00EB12D6">
        <w:trPr>
          <w:cantSplit/>
          <w:trHeight w:val="300"/>
        </w:trPr>
        <w:tc>
          <w:tcPr>
            <w:tcW w:w="2266" w:type="dxa"/>
            <w:tcBorders>
              <w:top w:val="single" w:sz="4" w:space="0" w:color="auto"/>
              <w:left w:val="single" w:sz="4" w:space="0" w:color="auto"/>
              <w:bottom w:val="single" w:sz="4" w:space="0" w:color="auto"/>
              <w:right w:val="single" w:sz="4" w:space="0" w:color="auto"/>
            </w:tcBorders>
            <w:noWrap/>
            <w:hideMark/>
          </w:tcPr>
          <w:p w14:paraId="4DC1D298" w14:textId="77777777" w:rsidR="00EB12D6" w:rsidRPr="0082712F" w:rsidRDefault="00EB12D6" w:rsidP="00D155C0">
            <w:pPr>
              <w:keepNext/>
              <w:keepLines/>
              <w:rPr>
                <w:rFonts w:ascii="Arial Narrow" w:hAnsi="Arial Narrow"/>
                <w:i/>
                <w:iCs/>
                <w:sz w:val="20"/>
                <w:szCs w:val="20"/>
              </w:rPr>
            </w:pPr>
            <w:r w:rsidRPr="0082712F">
              <w:rPr>
                <w:rFonts w:ascii="Arial Narrow" w:hAnsi="Arial Narrow"/>
                <w:i/>
                <w:iCs/>
                <w:sz w:val="20"/>
                <w:szCs w:val="20"/>
              </w:rPr>
              <w:t>Outcome 3 (Pain)</w:t>
            </w:r>
          </w:p>
        </w:tc>
        <w:tc>
          <w:tcPr>
            <w:tcW w:w="2051" w:type="dxa"/>
            <w:tcBorders>
              <w:top w:val="single" w:sz="4" w:space="0" w:color="auto"/>
              <w:left w:val="single" w:sz="4" w:space="0" w:color="auto"/>
              <w:bottom w:val="single" w:sz="4" w:space="0" w:color="auto"/>
              <w:right w:val="single" w:sz="4" w:space="0" w:color="auto"/>
            </w:tcBorders>
            <w:noWrap/>
            <w:hideMark/>
          </w:tcPr>
          <w:p w14:paraId="1FB900DD" w14:textId="77777777" w:rsidR="00EB12D6" w:rsidRPr="0082712F" w:rsidRDefault="00EB12D6" w:rsidP="00D155C0">
            <w:pPr>
              <w:keepNext/>
              <w:keepLines/>
              <w:rPr>
                <w:rFonts w:ascii="Arial Narrow" w:hAnsi="Arial Narrow"/>
                <w:i/>
                <w:iCs/>
                <w:sz w:val="20"/>
                <w:szCs w:val="20"/>
              </w:rPr>
            </w:pPr>
            <w:r w:rsidRPr="0082712F">
              <w:rPr>
                <w:rFonts w:ascii="Arial Narrow" w:hAnsi="Arial Narrow"/>
                <w:i/>
                <w:iCs/>
                <w:sz w:val="20"/>
                <w:szCs w:val="20"/>
              </w:rPr>
              <w:t>8.7643</w:t>
            </w:r>
          </w:p>
        </w:tc>
        <w:tc>
          <w:tcPr>
            <w:tcW w:w="1642" w:type="dxa"/>
            <w:tcBorders>
              <w:top w:val="single" w:sz="4" w:space="0" w:color="auto"/>
              <w:left w:val="single" w:sz="4" w:space="0" w:color="auto"/>
              <w:bottom w:val="single" w:sz="4" w:space="0" w:color="auto"/>
              <w:right w:val="single" w:sz="4" w:space="0" w:color="auto"/>
            </w:tcBorders>
            <w:noWrap/>
            <w:hideMark/>
          </w:tcPr>
          <w:p w14:paraId="1762EA7D" w14:textId="77777777" w:rsidR="00EB12D6" w:rsidRPr="0082712F" w:rsidRDefault="00EB12D6" w:rsidP="00D155C0">
            <w:pPr>
              <w:keepNext/>
              <w:keepLines/>
              <w:rPr>
                <w:rFonts w:ascii="Arial Narrow" w:hAnsi="Arial Narrow"/>
                <w:i/>
                <w:iCs/>
                <w:sz w:val="20"/>
                <w:szCs w:val="20"/>
              </w:rPr>
            </w:pPr>
            <w:r w:rsidRPr="0082712F">
              <w:rPr>
                <w:rFonts w:ascii="Arial Narrow" w:hAnsi="Arial Narrow"/>
                <w:i/>
                <w:iCs/>
                <w:sz w:val="20"/>
                <w:szCs w:val="20"/>
              </w:rPr>
              <w:t>8.8322</w:t>
            </w:r>
          </w:p>
        </w:tc>
        <w:tc>
          <w:tcPr>
            <w:tcW w:w="1429" w:type="dxa"/>
            <w:tcBorders>
              <w:top w:val="single" w:sz="4" w:space="0" w:color="auto"/>
              <w:left w:val="single" w:sz="4" w:space="0" w:color="auto"/>
              <w:bottom w:val="single" w:sz="4" w:space="0" w:color="auto"/>
              <w:right w:val="single" w:sz="4" w:space="0" w:color="auto"/>
            </w:tcBorders>
            <w:noWrap/>
            <w:hideMark/>
          </w:tcPr>
          <w:p w14:paraId="48CA8CD5" w14:textId="77777777" w:rsidR="00EB12D6" w:rsidRPr="0082712F" w:rsidRDefault="00EB12D6" w:rsidP="00D155C0">
            <w:pPr>
              <w:keepNext/>
              <w:keepLines/>
              <w:rPr>
                <w:rFonts w:ascii="Arial Narrow" w:hAnsi="Arial Narrow"/>
                <w:i/>
                <w:iCs/>
                <w:sz w:val="20"/>
                <w:szCs w:val="20"/>
              </w:rPr>
            </w:pPr>
            <w:r w:rsidRPr="0082712F">
              <w:rPr>
                <w:rFonts w:ascii="Arial Narrow" w:hAnsi="Arial Narrow"/>
                <w:i/>
                <w:iCs/>
                <w:sz w:val="20"/>
                <w:szCs w:val="20"/>
              </w:rPr>
              <w:t>-0.0669</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D89B5E7" w14:textId="77777777" w:rsidR="00EB12D6" w:rsidRPr="0082712F" w:rsidRDefault="00EB12D6" w:rsidP="00D155C0">
            <w:pPr>
              <w:keepNext/>
              <w:keepLines/>
              <w:rPr>
                <w:rFonts w:ascii="Arial Narrow" w:hAnsi="Arial Narrow"/>
                <w:i/>
                <w:iCs/>
                <w:sz w:val="20"/>
                <w:szCs w:val="20"/>
              </w:rPr>
            </w:pPr>
          </w:p>
        </w:tc>
      </w:tr>
    </w:tbl>
    <w:p w14:paraId="0FE75337" w14:textId="2509DA9E" w:rsidR="00337892" w:rsidRPr="00D155C0" w:rsidRDefault="005C4216" w:rsidP="00D155C0">
      <w:pPr>
        <w:pStyle w:val="Instructionaltext"/>
        <w:spacing w:before="240" w:after="240"/>
        <w:rPr>
          <w:i/>
          <w:iCs/>
          <w:sz w:val="22"/>
          <w:szCs w:val="22"/>
        </w:rPr>
      </w:pPr>
      <w:r w:rsidRPr="0082712F">
        <w:rPr>
          <w:i/>
          <w:iCs/>
          <w:sz w:val="22"/>
          <w:szCs w:val="22"/>
        </w:rPr>
        <w:t xml:space="preserve">The key drivers of the revised </w:t>
      </w:r>
      <w:r w:rsidR="006A127B" w:rsidRPr="0082712F">
        <w:rPr>
          <w:i/>
          <w:iCs/>
          <w:sz w:val="22"/>
          <w:szCs w:val="22"/>
        </w:rPr>
        <w:t>model</w:t>
      </w:r>
      <w:r w:rsidR="00D50AEA" w:rsidRPr="0082712F">
        <w:rPr>
          <w:i/>
          <w:iCs/>
          <w:sz w:val="22"/>
          <w:szCs w:val="22"/>
        </w:rPr>
        <w:t xml:space="preserve"> for epilepsy</w:t>
      </w:r>
      <w:r w:rsidR="006A127B" w:rsidRPr="0082712F">
        <w:rPr>
          <w:i/>
          <w:iCs/>
          <w:sz w:val="22"/>
          <w:szCs w:val="22"/>
        </w:rPr>
        <w:t xml:space="preserve"> </w:t>
      </w:r>
      <w:r w:rsidR="00AC4F44" w:rsidRPr="0082712F">
        <w:rPr>
          <w:i/>
          <w:iCs/>
          <w:sz w:val="22"/>
          <w:szCs w:val="22"/>
        </w:rPr>
        <w:t>and</w:t>
      </w:r>
      <w:r w:rsidR="00191A47" w:rsidRPr="0082712F">
        <w:rPr>
          <w:i/>
          <w:iCs/>
          <w:sz w:val="22"/>
          <w:szCs w:val="22"/>
        </w:rPr>
        <w:t xml:space="preserve"> the specific results from</w:t>
      </w:r>
      <w:r w:rsidR="00AC4F44" w:rsidRPr="0082712F">
        <w:rPr>
          <w:i/>
          <w:iCs/>
          <w:sz w:val="22"/>
          <w:szCs w:val="22"/>
        </w:rPr>
        <w:t xml:space="preserve"> other </w:t>
      </w:r>
      <w:r w:rsidRPr="0082712F">
        <w:rPr>
          <w:i/>
          <w:iCs/>
          <w:sz w:val="22"/>
          <w:szCs w:val="22"/>
        </w:rPr>
        <w:t>one-way sensitivity analys</w:t>
      </w:r>
      <w:r w:rsidR="00AC4F44" w:rsidRPr="0082712F">
        <w:rPr>
          <w:i/>
          <w:iCs/>
          <w:sz w:val="22"/>
          <w:szCs w:val="22"/>
        </w:rPr>
        <w:t>es</w:t>
      </w:r>
      <w:r w:rsidRPr="0082712F">
        <w:rPr>
          <w:i/>
          <w:iCs/>
          <w:sz w:val="22"/>
          <w:szCs w:val="22"/>
        </w:rPr>
        <w:t xml:space="preserve"> are presented in</w:t>
      </w:r>
      <w:r w:rsidR="006A127B" w:rsidRPr="0082712F">
        <w:rPr>
          <w:i/>
          <w:iCs/>
          <w:sz w:val="22"/>
          <w:szCs w:val="22"/>
        </w:rPr>
        <w:t xml:space="preserve"> Table</w:t>
      </w:r>
      <w:r w:rsidR="00D50AEA" w:rsidRPr="0082712F">
        <w:rPr>
          <w:i/>
          <w:iCs/>
          <w:sz w:val="22"/>
          <w:szCs w:val="22"/>
        </w:rPr>
        <w:t>s</w:t>
      </w:r>
      <w:r w:rsidR="006A127B" w:rsidRPr="0082712F">
        <w:rPr>
          <w:i/>
          <w:iCs/>
          <w:sz w:val="22"/>
          <w:szCs w:val="22"/>
        </w:rPr>
        <w:t xml:space="preserve"> 1</w:t>
      </w:r>
      <w:r w:rsidR="00031E22">
        <w:rPr>
          <w:i/>
          <w:iCs/>
          <w:sz w:val="22"/>
          <w:szCs w:val="22"/>
        </w:rPr>
        <w:t>2</w:t>
      </w:r>
      <w:r w:rsidR="00C8318A" w:rsidRPr="0082712F">
        <w:rPr>
          <w:i/>
          <w:iCs/>
          <w:sz w:val="22"/>
          <w:szCs w:val="22"/>
        </w:rPr>
        <w:t xml:space="preserve"> </w:t>
      </w:r>
      <w:r w:rsidR="00D50AEA" w:rsidRPr="0082712F">
        <w:rPr>
          <w:i/>
          <w:iCs/>
          <w:sz w:val="22"/>
          <w:szCs w:val="22"/>
        </w:rPr>
        <w:t>and 1</w:t>
      </w:r>
      <w:r w:rsidR="00031E22">
        <w:rPr>
          <w:i/>
          <w:iCs/>
          <w:sz w:val="22"/>
          <w:szCs w:val="22"/>
        </w:rPr>
        <w:t>3</w:t>
      </w:r>
      <w:r w:rsidR="00D50AEA" w:rsidRPr="0082712F">
        <w:rPr>
          <w:i/>
          <w:iCs/>
          <w:sz w:val="22"/>
          <w:szCs w:val="22"/>
        </w:rPr>
        <w:t xml:space="preserve"> </w:t>
      </w:r>
      <w:r w:rsidR="00191A47" w:rsidRPr="0082712F">
        <w:rPr>
          <w:i/>
          <w:iCs/>
          <w:sz w:val="22"/>
          <w:szCs w:val="22"/>
        </w:rPr>
        <w:t xml:space="preserve">respectively </w:t>
      </w:r>
      <w:r w:rsidR="00C8318A" w:rsidRPr="0082712F">
        <w:rPr>
          <w:i/>
          <w:iCs/>
          <w:sz w:val="22"/>
          <w:szCs w:val="22"/>
        </w:rPr>
        <w:t xml:space="preserve">and </w:t>
      </w:r>
      <w:r w:rsidR="000018B5" w:rsidRPr="0082712F">
        <w:rPr>
          <w:i/>
          <w:iCs/>
          <w:sz w:val="22"/>
          <w:szCs w:val="22"/>
        </w:rPr>
        <w:t xml:space="preserve">the tornado diagram for </w:t>
      </w:r>
      <w:r w:rsidR="00D50AEA" w:rsidRPr="0082712F">
        <w:rPr>
          <w:i/>
          <w:iCs/>
          <w:sz w:val="22"/>
          <w:szCs w:val="22"/>
        </w:rPr>
        <w:t>these analyses</w:t>
      </w:r>
      <w:r w:rsidR="000018B5" w:rsidRPr="0082712F">
        <w:rPr>
          <w:i/>
          <w:iCs/>
          <w:sz w:val="22"/>
          <w:szCs w:val="22"/>
        </w:rPr>
        <w:t xml:space="preserve"> </w:t>
      </w:r>
      <w:r w:rsidR="00D50AEA" w:rsidRPr="0082712F">
        <w:rPr>
          <w:i/>
          <w:iCs/>
          <w:sz w:val="22"/>
          <w:szCs w:val="22"/>
        </w:rPr>
        <w:t>are</w:t>
      </w:r>
      <w:r w:rsidR="000018B5" w:rsidRPr="0082712F">
        <w:rPr>
          <w:i/>
          <w:iCs/>
          <w:sz w:val="22"/>
          <w:szCs w:val="22"/>
        </w:rPr>
        <w:t xml:space="preserve"> presented in Figure </w:t>
      </w:r>
      <w:r w:rsidR="00EF1E50">
        <w:rPr>
          <w:i/>
          <w:iCs/>
          <w:sz w:val="22"/>
          <w:szCs w:val="22"/>
        </w:rPr>
        <w:t>3</w:t>
      </w:r>
      <w:r w:rsidRPr="0082712F">
        <w:rPr>
          <w:i/>
          <w:iCs/>
          <w:sz w:val="22"/>
          <w:szCs w:val="22"/>
        </w:rPr>
        <w:t>.</w:t>
      </w:r>
      <w:r w:rsidR="002C66E6" w:rsidRPr="0082712F">
        <w:rPr>
          <w:i/>
          <w:iCs/>
          <w:sz w:val="22"/>
          <w:szCs w:val="22"/>
        </w:rPr>
        <w:t xml:space="preserve"> </w:t>
      </w:r>
      <w:r w:rsidR="004A311B">
        <w:rPr>
          <w:i/>
          <w:iCs/>
          <w:sz w:val="22"/>
          <w:szCs w:val="22"/>
        </w:rPr>
        <w:t xml:space="preserve">Note that the previous </w:t>
      </w:r>
      <w:r w:rsidR="00AF1A57">
        <w:rPr>
          <w:i/>
          <w:iCs/>
          <w:sz w:val="22"/>
          <w:szCs w:val="22"/>
        </w:rPr>
        <w:t xml:space="preserve">key drivers table (Table 8) only tabulated key drivers which </w:t>
      </w:r>
      <w:r w:rsidR="00866E65">
        <w:rPr>
          <w:i/>
          <w:iCs/>
          <w:sz w:val="22"/>
          <w:szCs w:val="22"/>
        </w:rPr>
        <w:t xml:space="preserve">did not have unbounded impacts. </w:t>
      </w:r>
    </w:p>
    <w:p w14:paraId="6C196FD9" w14:textId="3429A051" w:rsidR="00A941B5" w:rsidRPr="00866E65" w:rsidRDefault="00A941B5" w:rsidP="00D155C0">
      <w:pPr>
        <w:keepNext/>
        <w:keepLines/>
        <w:rPr>
          <w:rFonts w:ascii="Arial Narrow" w:hAnsi="Arial Narrow"/>
          <w:b/>
          <w:bCs/>
          <w:i/>
          <w:iCs/>
          <w:sz w:val="20"/>
          <w:szCs w:val="20"/>
        </w:rPr>
      </w:pPr>
      <w:r w:rsidRPr="00866E65">
        <w:rPr>
          <w:rFonts w:ascii="Arial Narrow" w:hAnsi="Arial Narrow"/>
          <w:b/>
          <w:bCs/>
          <w:i/>
          <w:iCs/>
          <w:sz w:val="20"/>
          <w:szCs w:val="20"/>
        </w:rPr>
        <w:lastRenderedPageBreak/>
        <w:t xml:space="preserve">Table </w:t>
      </w:r>
      <w:r w:rsidR="006A127B" w:rsidRPr="00866E65">
        <w:rPr>
          <w:rFonts w:ascii="Arial Narrow" w:hAnsi="Arial Narrow"/>
          <w:b/>
          <w:bCs/>
          <w:i/>
          <w:iCs/>
          <w:sz w:val="20"/>
          <w:szCs w:val="20"/>
        </w:rPr>
        <w:t>1</w:t>
      </w:r>
      <w:r w:rsidR="00031E22">
        <w:rPr>
          <w:rFonts w:ascii="Arial Narrow" w:hAnsi="Arial Narrow"/>
          <w:b/>
          <w:bCs/>
          <w:i/>
          <w:iCs/>
          <w:sz w:val="20"/>
          <w:szCs w:val="20"/>
        </w:rPr>
        <w:t>2</w:t>
      </w:r>
      <w:r w:rsidRPr="00866E65">
        <w:rPr>
          <w:rFonts w:ascii="Arial Narrow" w:hAnsi="Arial Narrow"/>
          <w:b/>
          <w:bCs/>
          <w:i/>
          <w:iCs/>
          <w:sz w:val="20"/>
          <w:szCs w:val="20"/>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28" w:type="dxa"/>
        </w:tblCellMar>
        <w:tblLook w:val="04A0" w:firstRow="1" w:lastRow="0" w:firstColumn="1" w:lastColumn="0" w:noHBand="0" w:noVBand="1"/>
      </w:tblPr>
      <w:tblGrid>
        <w:gridCol w:w="2405"/>
        <w:gridCol w:w="4254"/>
        <w:gridCol w:w="2357"/>
      </w:tblGrid>
      <w:tr w:rsidR="00A941B5" w:rsidRPr="00866E65" w14:paraId="1DDBFF48" w14:textId="77777777">
        <w:trPr>
          <w:tblHeader/>
        </w:trPr>
        <w:tc>
          <w:tcPr>
            <w:tcW w:w="1334" w:type="pct"/>
            <w:shd w:val="clear" w:color="auto" w:fill="D9D9D9" w:themeFill="background1" w:themeFillShade="D9"/>
            <w:vAlign w:val="center"/>
          </w:tcPr>
          <w:p w14:paraId="26E4CD52" w14:textId="77777777" w:rsidR="00A941B5" w:rsidRPr="00866E65" w:rsidRDefault="00A941B5" w:rsidP="00D155C0">
            <w:pPr>
              <w:pStyle w:val="2024TABLEHEADING"/>
              <w:keepLines/>
              <w:rPr>
                <w:i/>
                <w:iCs/>
              </w:rPr>
            </w:pPr>
            <w:r w:rsidRPr="00866E65">
              <w:rPr>
                <w:i/>
                <w:iCs/>
              </w:rPr>
              <w:t>Description</w:t>
            </w:r>
          </w:p>
        </w:tc>
        <w:tc>
          <w:tcPr>
            <w:tcW w:w="2359" w:type="pct"/>
            <w:shd w:val="clear" w:color="auto" w:fill="D9D9D9" w:themeFill="background1" w:themeFillShade="D9"/>
            <w:vAlign w:val="center"/>
          </w:tcPr>
          <w:p w14:paraId="32A59570" w14:textId="77777777" w:rsidR="00A941B5" w:rsidRPr="00866E65" w:rsidRDefault="00A941B5" w:rsidP="00D155C0">
            <w:pPr>
              <w:pStyle w:val="2024TABLEHEADING"/>
              <w:keepLines/>
              <w:rPr>
                <w:i/>
                <w:iCs/>
              </w:rPr>
            </w:pPr>
            <w:r w:rsidRPr="00866E65">
              <w:rPr>
                <w:i/>
                <w:iCs/>
              </w:rPr>
              <w:t>Method/Value</w:t>
            </w:r>
          </w:p>
        </w:tc>
        <w:tc>
          <w:tcPr>
            <w:tcW w:w="1307" w:type="pct"/>
            <w:shd w:val="clear" w:color="auto" w:fill="D9D9D9" w:themeFill="background1" w:themeFillShade="D9"/>
            <w:vAlign w:val="center"/>
          </w:tcPr>
          <w:p w14:paraId="1562AA94" w14:textId="77777777" w:rsidR="00A941B5" w:rsidRPr="00866E65" w:rsidRDefault="00A941B5" w:rsidP="00D155C0">
            <w:pPr>
              <w:pStyle w:val="2024TABLEHEADING"/>
              <w:keepLines/>
              <w:rPr>
                <w:i/>
                <w:iCs/>
              </w:rPr>
            </w:pPr>
            <w:r w:rsidRPr="00866E65">
              <w:rPr>
                <w:i/>
                <w:iCs/>
              </w:rPr>
              <w:t>Impact</w:t>
            </w:r>
          </w:p>
          <w:p w14:paraId="0536AEC9" w14:textId="4301A5D4" w:rsidR="00A941B5" w:rsidRPr="00866E65" w:rsidRDefault="00A941B5" w:rsidP="00D155C0">
            <w:pPr>
              <w:pStyle w:val="2024TABLEHEADING"/>
              <w:keepLines/>
              <w:rPr>
                <w:i/>
                <w:iCs/>
              </w:rPr>
            </w:pPr>
            <w:r w:rsidRPr="00866E65">
              <w:rPr>
                <w:i/>
                <w:iCs/>
              </w:rPr>
              <w:t xml:space="preserve">Base case: </w:t>
            </w:r>
            <w:r w:rsidR="003975F2" w:rsidRPr="00394393">
              <w:rPr>
                <w:i/>
                <w:iCs/>
              </w:rPr>
              <w:t xml:space="preserve">HLA-A*31:01 </w:t>
            </w:r>
            <w:r w:rsidRPr="00866E65">
              <w:rPr>
                <w:i/>
                <w:iCs/>
              </w:rPr>
              <w:t xml:space="preserve">and </w:t>
            </w:r>
            <w:r w:rsidR="003975F2" w:rsidRPr="00394393">
              <w:rPr>
                <w:i/>
                <w:iCs/>
              </w:rPr>
              <w:t xml:space="preserve">HLA-B*15:02 </w:t>
            </w:r>
          </w:p>
        </w:tc>
      </w:tr>
      <w:tr w:rsidR="00A941B5" w:rsidRPr="00866E65" w14:paraId="107ADD00" w14:textId="77777777">
        <w:tc>
          <w:tcPr>
            <w:tcW w:w="1334" w:type="pct"/>
            <w:shd w:val="clear" w:color="auto" w:fill="auto"/>
            <w:vAlign w:val="center"/>
          </w:tcPr>
          <w:p w14:paraId="1BDD31B8" w14:textId="77777777" w:rsidR="00A941B5" w:rsidRPr="00866E65" w:rsidRDefault="00A941B5" w:rsidP="00D155C0">
            <w:pPr>
              <w:pStyle w:val="2024TABLETEXT"/>
              <w:keepNext/>
              <w:keepLines/>
              <w:rPr>
                <w:rFonts w:eastAsiaTheme="minorEastAsia"/>
                <w:i/>
                <w:iCs/>
              </w:rPr>
            </w:pPr>
            <w:r w:rsidRPr="00866E65">
              <w:rPr>
                <w:rFonts w:eastAsiaTheme="minorEastAsia" w:hint="eastAsia"/>
                <w:i/>
                <w:iCs/>
              </w:rPr>
              <w:t>Probability of patients treated with CBZ or OXC transitioned from uncontrolled epilepsy to remission</w:t>
            </w:r>
          </w:p>
        </w:tc>
        <w:tc>
          <w:tcPr>
            <w:tcW w:w="2359" w:type="pct"/>
            <w:shd w:val="clear" w:color="auto" w:fill="auto"/>
          </w:tcPr>
          <w:p w14:paraId="0FC91B0A" w14:textId="77777777" w:rsidR="00A941B5" w:rsidRPr="00866E65" w:rsidRDefault="00A941B5" w:rsidP="00D155C0">
            <w:pPr>
              <w:pStyle w:val="2024TABLETEXT"/>
              <w:keepNext/>
              <w:keepLines/>
              <w:rPr>
                <w:rFonts w:eastAsiaTheme="minorEastAsia"/>
                <w:i/>
                <w:iCs/>
              </w:rPr>
            </w:pPr>
            <w:r w:rsidRPr="00866E65">
              <w:rPr>
                <w:rFonts w:eastAsiaTheme="minorEastAsia" w:hint="eastAsia"/>
                <w:i/>
                <w:iCs/>
              </w:rPr>
              <w:t xml:space="preserve">Percentage of 12-month remission of CBZ (254/362) from the SANDA study which was an unblinded RCT in hospital-based outpatient clinics in the UK </w:t>
            </w:r>
            <w:r w:rsidRPr="00866E65">
              <w:rPr>
                <w:rFonts w:eastAsiaTheme="minorEastAsia"/>
                <w:i/>
                <w:iCs/>
              </w:rPr>
              <w:fldChar w:fldCharType="begin">
                <w:fldData xml:space="preserve">PEVuZE5vdGU+PENpdGU+PEF1dGhvcj5NYXJzb248L0F1dGhvcj48WWVhcj4yMDA3PC9ZZWFyPjxS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</w:fldData>
              </w:fldChar>
            </w:r>
            <w:r w:rsidRPr="00866E65">
              <w:rPr>
                <w:rFonts w:eastAsiaTheme="minorEastAsia"/>
                <w:i/>
                <w:iCs/>
              </w:rPr>
              <w:instrText xml:space="preserve"> ADDIN EN.CITE </w:instrText>
            </w:r>
            <w:r w:rsidRPr="00866E65">
              <w:rPr>
                <w:rFonts w:eastAsiaTheme="minorEastAsia"/>
                <w:i/>
                <w:iCs/>
              </w:rPr>
              <w:fldChar w:fldCharType="begin">
                <w:fldData xml:space="preserve">PEVuZE5vdGU+PENpdGU+PEF1dGhvcj5NYXJzb248L0F1dGhvcj48WWVhcj4yMDA3PC9ZZWFyPjxS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</w:fldData>
              </w:fldChar>
            </w:r>
            <w:r w:rsidRPr="00866E65">
              <w:rPr>
                <w:rFonts w:eastAsiaTheme="minorEastAsia"/>
                <w:i/>
                <w:iCs/>
              </w:rPr>
              <w:instrText xml:space="preserve"> ADDIN EN.CITE.DATA </w:instrText>
            </w:r>
            <w:r w:rsidRPr="00866E65">
              <w:rPr>
                <w:rFonts w:eastAsiaTheme="minorEastAsia"/>
                <w:i/>
                <w:iCs/>
              </w:rPr>
            </w:r>
            <w:r w:rsidRPr="00866E65">
              <w:rPr>
                <w:rFonts w:eastAsiaTheme="minorEastAsia"/>
                <w:i/>
                <w:iCs/>
              </w:rPr>
              <w:fldChar w:fldCharType="end"/>
            </w:r>
            <w:r w:rsidRPr="00866E65">
              <w:rPr>
                <w:rFonts w:eastAsiaTheme="minorEastAsia"/>
                <w:i/>
                <w:iCs/>
              </w:rPr>
            </w:r>
            <w:r w:rsidRPr="00866E65">
              <w:rPr>
                <w:rFonts w:eastAsiaTheme="minorEastAsia"/>
                <w:i/>
                <w:iCs/>
              </w:rPr>
              <w:fldChar w:fldCharType="separate"/>
            </w:r>
            <w:r w:rsidRPr="00866E65">
              <w:rPr>
                <w:rFonts w:eastAsiaTheme="minorEastAsia"/>
                <w:i/>
                <w:iCs/>
                <w:noProof/>
              </w:rPr>
              <w:t>(Marson et al., 2007)</w:t>
            </w:r>
            <w:r w:rsidRPr="00866E65">
              <w:rPr>
                <w:rFonts w:eastAsiaTheme="minorEastAsia"/>
                <w:i/>
                <w:iCs/>
              </w:rPr>
              <w:fldChar w:fldCharType="end"/>
            </w:r>
            <w:r w:rsidRPr="00866E65">
              <w:rPr>
                <w:rFonts w:eastAsiaTheme="minorEastAsia"/>
                <w:i/>
                <w:iCs/>
              </w:rPr>
              <w:t>.</w:t>
            </w:r>
          </w:p>
        </w:tc>
        <w:tc>
          <w:tcPr>
            <w:tcW w:w="1307" w:type="pct"/>
            <w:shd w:val="clear" w:color="auto" w:fill="auto"/>
            <w:vAlign w:val="center"/>
          </w:tcPr>
          <w:p w14:paraId="311F1524" w14:textId="77777777" w:rsidR="00A941B5" w:rsidRPr="00866E65" w:rsidRDefault="00A941B5" w:rsidP="00D155C0">
            <w:pPr>
              <w:pStyle w:val="2024TABLETEXT"/>
              <w:keepNext/>
              <w:keepLines/>
              <w:rPr>
                <w:i/>
                <w:iCs/>
                <w:lang w:val="en-US"/>
              </w:rPr>
            </w:pPr>
            <w:r w:rsidRPr="00866E65">
              <w:rPr>
                <w:i/>
                <w:iCs/>
                <w:lang w:val="en-US"/>
              </w:rPr>
              <w:t>The variable has such a large effect that the outcome is essentially unbounded within the given range (</w:t>
            </w:r>
            <w:r w:rsidRPr="00866E65">
              <w:rPr>
                <w:i/>
                <w:iCs/>
              </w:rPr>
              <w:t>±</w:t>
            </w:r>
            <w:r w:rsidRPr="00866E65">
              <w:rPr>
                <w:rFonts w:eastAsiaTheme="minorEastAsia" w:hint="eastAsia"/>
                <w:i/>
                <w:iCs/>
              </w:rPr>
              <w:t>2</w:t>
            </w:r>
            <w:r w:rsidRPr="00866E65">
              <w:rPr>
                <w:i/>
                <w:iCs/>
              </w:rPr>
              <w:t>0%</w:t>
            </w:r>
            <w:r w:rsidRPr="00866E65">
              <w:rPr>
                <w:i/>
                <w:iCs/>
                <w:lang w:val="en-US"/>
              </w:rPr>
              <w:t>).</w:t>
            </w:r>
          </w:p>
        </w:tc>
      </w:tr>
      <w:tr w:rsidR="00A941B5" w:rsidRPr="00866E65" w14:paraId="7D1BDB29" w14:textId="77777777">
        <w:tc>
          <w:tcPr>
            <w:tcW w:w="1334" w:type="pct"/>
            <w:shd w:val="clear" w:color="auto" w:fill="auto"/>
            <w:vAlign w:val="center"/>
          </w:tcPr>
          <w:p w14:paraId="547CF116" w14:textId="77777777" w:rsidR="00A941B5" w:rsidRPr="00866E65" w:rsidRDefault="00A941B5" w:rsidP="00D155C0">
            <w:pPr>
              <w:pStyle w:val="2024TABLETEXT"/>
              <w:keepNext/>
              <w:keepLines/>
              <w:rPr>
                <w:rFonts w:eastAsiaTheme="minorEastAsia"/>
                <w:i/>
                <w:iCs/>
              </w:rPr>
            </w:pPr>
            <w:r w:rsidRPr="00866E65">
              <w:rPr>
                <w:rFonts w:eastAsiaTheme="minorEastAsia" w:hint="eastAsia"/>
                <w:i/>
                <w:iCs/>
              </w:rPr>
              <w:t xml:space="preserve">Probability of people who carry at </w:t>
            </w:r>
            <w:r w:rsidRPr="00866E65">
              <w:rPr>
                <w:rFonts w:eastAsiaTheme="minorEastAsia"/>
                <w:i/>
                <w:iCs/>
              </w:rPr>
              <w:t>least</w:t>
            </w:r>
            <w:r w:rsidRPr="00866E65">
              <w:rPr>
                <w:rFonts w:eastAsiaTheme="minorEastAsia" w:hint="eastAsia"/>
                <w:i/>
                <w:iCs/>
              </w:rPr>
              <w:t xml:space="preserve"> one of the 2 alleles</w:t>
            </w:r>
          </w:p>
        </w:tc>
        <w:tc>
          <w:tcPr>
            <w:tcW w:w="2359" w:type="pct"/>
            <w:shd w:val="clear" w:color="auto" w:fill="auto"/>
            <w:vAlign w:val="center"/>
          </w:tcPr>
          <w:p w14:paraId="5839B9A6" w14:textId="77777777" w:rsidR="00A941B5" w:rsidRPr="00866E65" w:rsidRDefault="00A941B5" w:rsidP="00D155C0">
            <w:pPr>
              <w:pStyle w:val="2024TABLETEXT"/>
              <w:keepNext/>
              <w:keepLines/>
              <w:rPr>
                <w:rFonts w:eastAsiaTheme="minorEastAsia"/>
                <w:i/>
                <w:iCs/>
              </w:rPr>
            </w:pPr>
            <w:r w:rsidRPr="00866E65">
              <w:rPr>
                <w:rFonts w:eastAsiaTheme="minorEastAsia" w:hint="eastAsia"/>
                <w:i/>
                <w:iCs/>
              </w:rPr>
              <w:t>C</w:t>
            </w:r>
            <w:r w:rsidRPr="00866E65">
              <w:rPr>
                <w:i/>
                <w:iCs/>
              </w:rPr>
              <w:t>alculated</w:t>
            </w:r>
            <w:r w:rsidRPr="00866E65">
              <w:rPr>
                <w:rFonts w:eastAsiaTheme="minorEastAsia" w:hint="eastAsia"/>
                <w:i/>
                <w:iCs/>
              </w:rPr>
              <w:t xml:space="preserve"> estimate (detailed </w:t>
            </w:r>
            <w:r w:rsidRPr="00866E65">
              <w:rPr>
                <w:rFonts w:eastAsiaTheme="minorEastAsia"/>
                <w:i/>
                <w:iCs/>
              </w:rPr>
              <w:t>calculat</w:t>
            </w:r>
            <w:r w:rsidRPr="00866E65">
              <w:rPr>
                <w:rFonts w:eastAsiaTheme="minorEastAsia" w:hint="eastAsia"/>
                <w:i/>
                <w:iCs/>
              </w:rPr>
              <w:t>ion presented in Section 3A.2.4)</w:t>
            </w:r>
          </w:p>
        </w:tc>
        <w:tc>
          <w:tcPr>
            <w:tcW w:w="1307" w:type="pct"/>
            <w:shd w:val="clear" w:color="auto" w:fill="auto"/>
            <w:vAlign w:val="center"/>
          </w:tcPr>
          <w:p w14:paraId="3993FB48" w14:textId="77777777" w:rsidR="00A941B5" w:rsidRPr="00866E65" w:rsidRDefault="00A941B5" w:rsidP="00D155C0">
            <w:pPr>
              <w:pStyle w:val="2024TABLETEXT"/>
              <w:keepNext/>
              <w:keepLines/>
              <w:rPr>
                <w:i/>
                <w:iCs/>
                <w:lang w:val="en-US"/>
              </w:rPr>
            </w:pPr>
            <w:r w:rsidRPr="00866E65">
              <w:rPr>
                <w:i/>
                <w:iCs/>
                <w:lang w:val="en-US"/>
              </w:rPr>
              <w:t>The variable has such a large effect that the outcome is essentially unbounded within the given range (</w:t>
            </w:r>
            <w:r w:rsidRPr="00866E65">
              <w:rPr>
                <w:i/>
                <w:iCs/>
              </w:rPr>
              <w:t>±</w:t>
            </w:r>
            <w:r w:rsidRPr="00866E65">
              <w:rPr>
                <w:rFonts w:eastAsiaTheme="minorEastAsia" w:hint="eastAsia"/>
                <w:i/>
                <w:iCs/>
              </w:rPr>
              <w:t>2</w:t>
            </w:r>
            <w:r w:rsidRPr="00866E65">
              <w:rPr>
                <w:i/>
                <w:iCs/>
              </w:rPr>
              <w:t>0%</w:t>
            </w:r>
            <w:r w:rsidRPr="00866E65">
              <w:rPr>
                <w:i/>
                <w:iCs/>
                <w:lang w:val="en-US"/>
              </w:rPr>
              <w:t>).</w:t>
            </w:r>
          </w:p>
        </w:tc>
      </w:tr>
      <w:tr w:rsidR="00A941B5" w:rsidRPr="00866E65" w14:paraId="7E124724" w14:textId="77777777">
        <w:tc>
          <w:tcPr>
            <w:tcW w:w="1334" w:type="pct"/>
            <w:shd w:val="clear" w:color="auto" w:fill="auto"/>
          </w:tcPr>
          <w:p w14:paraId="30B3A437" w14:textId="77777777" w:rsidR="00A941B5" w:rsidRPr="00866E65" w:rsidRDefault="00A941B5" w:rsidP="00D155C0">
            <w:pPr>
              <w:pStyle w:val="2024TABLETEXT"/>
              <w:keepNext/>
              <w:keepLines/>
              <w:rPr>
                <w:i/>
                <w:iCs/>
              </w:rPr>
            </w:pPr>
            <w:r w:rsidRPr="00866E65">
              <w:rPr>
                <w:i/>
                <w:iCs/>
              </w:rPr>
              <w:t>Probability of patients treated with VPA transitioned from uncontrolled epilepsy to remission</w:t>
            </w:r>
          </w:p>
        </w:tc>
        <w:tc>
          <w:tcPr>
            <w:tcW w:w="2359" w:type="pct"/>
            <w:shd w:val="clear" w:color="auto" w:fill="auto"/>
          </w:tcPr>
          <w:p w14:paraId="76AF903E" w14:textId="77777777" w:rsidR="00A941B5" w:rsidRPr="00866E65" w:rsidRDefault="00A941B5" w:rsidP="00D155C0">
            <w:pPr>
              <w:pStyle w:val="2024TABLETEXT"/>
              <w:keepNext/>
              <w:keepLines/>
              <w:rPr>
                <w:i/>
                <w:iCs/>
              </w:rPr>
            </w:pPr>
            <w:r w:rsidRPr="00866E65">
              <w:rPr>
                <w:rFonts w:eastAsiaTheme="minorEastAsia" w:hint="eastAsia"/>
                <w:i/>
                <w:iCs/>
              </w:rPr>
              <w:t xml:space="preserve">The HR of remission with VPA </w:t>
            </w:r>
            <w:r w:rsidRPr="00866E65">
              <w:rPr>
                <w:rFonts w:eastAsiaTheme="minorEastAsia"/>
                <w:i/>
                <w:iCs/>
              </w:rPr>
              <w:t>compared</w:t>
            </w:r>
            <w:r w:rsidRPr="00866E65">
              <w:rPr>
                <w:rFonts w:eastAsiaTheme="minorEastAsia" w:hint="eastAsia"/>
                <w:i/>
                <w:iCs/>
              </w:rPr>
              <w:t xml:space="preserve"> to CBZ was 0.83, </w:t>
            </w:r>
            <w:r w:rsidRPr="00866E65">
              <w:rPr>
                <w:rFonts w:eastAsiaTheme="minorEastAsia"/>
                <w:i/>
                <w:iCs/>
              </w:rPr>
              <w:t>that</w:t>
            </w:r>
            <w:r w:rsidRPr="00866E65">
              <w:rPr>
                <w:rFonts w:eastAsiaTheme="minorEastAsia" w:hint="eastAsia"/>
                <w:i/>
                <w:iCs/>
              </w:rPr>
              <w:t xml:space="preserve"> was 0.7017*0.83=0.5824 </w:t>
            </w:r>
            <w:r w:rsidRPr="00866E65">
              <w:rPr>
                <w:rFonts w:eastAsiaTheme="minorEastAsia"/>
                <w:i/>
                <w:iCs/>
              </w:rPr>
              <w:fldChar w:fldCharType="begin">
                <w:fldData xml:space="preserve">PEVuZE5vdGU+PENpdGU+PEF1dGhvcj5NYXJzb248L0F1dGhvcj48WWVhcj4yMDA3PC9ZZWFyPjxS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</w:fldData>
              </w:fldChar>
            </w:r>
            <w:r w:rsidRPr="00866E65">
              <w:rPr>
                <w:rFonts w:eastAsiaTheme="minorEastAsia"/>
                <w:i/>
                <w:iCs/>
              </w:rPr>
              <w:instrText xml:space="preserve"> ADDIN EN.CITE </w:instrText>
            </w:r>
            <w:r w:rsidRPr="00866E65">
              <w:rPr>
                <w:rFonts w:eastAsiaTheme="minorEastAsia"/>
                <w:i/>
                <w:iCs/>
              </w:rPr>
              <w:fldChar w:fldCharType="begin">
                <w:fldData xml:space="preserve">PEVuZE5vdGU+PENpdGU+PEF1dGhvcj5NYXJzb248L0F1dGhvcj48WWVhcj4yMDA3PC9ZZWFyPjxS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</w:fldData>
              </w:fldChar>
            </w:r>
            <w:r w:rsidRPr="00866E65">
              <w:rPr>
                <w:rFonts w:eastAsiaTheme="minorEastAsia"/>
                <w:i/>
                <w:iCs/>
              </w:rPr>
              <w:instrText xml:space="preserve"> ADDIN EN.CITE.DATA </w:instrText>
            </w:r>
            <w:r w:rsidRPr="00866E65">
              <w:rPr>
                <w:rFonts w:eastAsiaTheme="minorEastAsia"/>
                <w:i/>
                <w:iCs/>
              </w:rPr>
            </w:r>
            <w:r w:rsidRPr="00866E65">
              <w:rPr>
                <w:rFonts w:eastAsiaTheme="minorEastAsia"/>
                <w:i/>
                <w:iCs/>
              </w:rPr>
              <w:fldChar w:fldCharType="end"/>
            </w:r>
            <w:r w:rsidRPr="00866E65">
              <w:rPr>
                <w:rFonts w:eastAsiaTheme="minorEastAsia"/>
                <w:i/>
                <w:iCs/>
              </w:rPr>
            </w:r>
            <w:r w:rsidRPr="00866E65">
              <w:rPr>
                <w:rFonts w:eastAsiaTheme="minorEastAsia"/>
                <w:i/>
                <w:iCs/>
              </w:rPr>
              <w:fldChar w:fldCharType="separate"/>
            </w:r>
            <w:r w:rsidRPr="00866E65">
              <w:rPr>
                <w:rFonts w:eastAsiaTheme="minorEastAsia"/>
                <w:i/>
                <w:iCs/>
                <w:noProof/>
              </w:rPr>
              <w:t>(Marson et al., 2007, Plumpton et al., 2015)</w:t>
            </w:r>
            <w:r w:rsidRPr="00866E65">
              <w:rPr>
                <w:rFonts w:eastAsiaTheme="minorEastAsia"/>
                <w:i/>
                <w:iCs/>
              </w:rPr>
              <w:fldChar w:fldCharType="end"/>
            </w:r>
          </w:p>
        </w:tc>
        <w:tc>
          <w:tcPr>
            <w:tcW w:w="1307" w:type="pct"/>
            <w:shd w:val="clear" w:color="auto" w:fill="auto"/>
            <w:vAlign w:val="center"/>
          </w:tcPr>
          <w:p w14:paraId="483D988D" w14:textId="77777777" w:rsidR="00A941B5" w:rsidRPr="00866E65" w:rsidRDefault="00A941B5" w:rsidP="00D155C0">
            <w:pPr>
              <w:pStyle w:val="2024TABLETEXT"/>
              <w:keepNext/>
              <w:keepLines/>
              <w:rPr>
                <w:i/>
                <w:iCs/>
              </w:rPr>
            </w:pPr>
            <w:r w:rsidRPr="00866E65">
              <w:rPr>
                <w:i/>
                <w:iCs/>
                <w:lang w:val="en-US"/>
              </w:rPr>
              <w:t>The variable has such a large effect that the outcome is essentially unbounded within the given range (</w:t>
            </w:r>
            <w:r w:rsidRPr="00866E65">
              <w:rPr>
                <w:i/>
                <w:iCs/>
              </w:rPr>
              <w:t>±</w:t>
            </w:r>
            <w:r w:rsidRPr="00866E65">
              <w:rPr>
                <w:rFonts w:eastAsiaTheme="minorEastAsia" w:hint="eastAsia"/>
                <w:i/>
                <w:iCs/>
              </w:rPr>
              <w:t>2</w:t>
            </w:r>
            <w:r w:rsidRPr="00866E65">
              <w:rPr>
                <w:i/>
                <w:iCs/>
              </w:rPr>
              <w:t>0%</w:t>
            </w:r>
            <w:r w:rsidRPr="00866E65">
              <w:rPr>
                <w:i/>
                <w:iCs/>
                <w:lang w:val="en-US"/>
              </w:rPr>
              <w:t>).</w:t>
            </w:r>
          </w:p>
        </w:tc>
      </w:tr>
      <w:tr w:rsidR="00A941B5" w:rsidRPr="00866E65" w14:paraId="16A9B96F" w14:textId="77777777">
        <w:tc>
          <w:tcPr>
            <w:tcW w:w="1334" w:type="pct"/>
            <w:shd w:val="clear" w:color="auto" w:fill="auto"/>
            <w:vAlign w:val="center"/>
          </w:tcPr>
          <w:p w14:paraId="1E401BD4" w14:textId="77777777" w:rsidR="00A941B5" w:rsidRPr="00866E65" w:rsidRDefault="00A941B5" w:rsidP="00D155C0">
            <w:pPr>
              <w:pStyle w:val="2024TABLETEXT"/>
              <w:keepNext/>
              <w:keepLines/>
              <w:rPr>
                <w:rFonts w:eastAsiaTheme="minorEastAsia"/>
                <w:i/>
                <w:iCs/>
              </w:rPr>
            </w:pPr>
            <w:r w:rsidRPr="00866E65">
              <w:rPr>
                <w:rFonts w:eastAsiaTheme="minorEastAsia" w:hint="eastAsia"/>
                <w:i/>
                <w:iCs/>
              </w:rPr>
              <w:t xml:space="preserve">Utility score of patient who </w:t>
            </w:r>
            <w:r w:rsidRPr="00866E65">
              <w:rPr>
                <w:rFonts w:eastAsiaTheme="minorEastAsia"/>
                <w:i/>
                <w:iCs/>
              </w:rPr>
              <w:t>experience</w:t>
            </w:r>
            <w:r w:rsidRPr="00866E65">
              <w:rPr>
                <w:rFonts w:eastAsiaTheme="minorEastAsia" w:hint="eastAsia"/>
                <w:i/>
                <w:iCs/>
              </w:rPr>
              <w:t xml:space="preserve"> uncontrolled </w:t>
            </w:r>
            <w:r w:rsidRPr="00866E65">
              <w:rPr>
                <w:rFonts w:eastAsiaTheme="minorEastAsia"/>
                <w:i/>
                <w:iCs/>
              </w:rPr>
              <w:t>epilepsy</w:t>
            </w:r>
          </w:p>
        </w:tc>
        <w:tc>
          <w:tcPr>
            <w:tcW w:w="2359" w:type="pct"/>
            <w:shd w:val="clear" w:color="auto" w:fill="auto"/>
          </w:tcPr>
          <w:p w14:paraId="1C784F49" w14:textId="77777777" w:rsidR="00A941B5" w:rsidRPr="00866E65" w:rsidRDefault="00A941B5" w:rsidP="00D155C0">
            <w:pPr>
              <w:pStyle w:val="2024TABLETEXT"/>
              <w:keepNext/>
              <w:keepLines/>
              <w:rPr>
                <w:rFonts w:eastAsiaTheme="minorEastAsia"/>
                <w:i/>
                <w:iCs/>
              </w:rPr>
            </w:pPr>
            <w:r w:rsidRPr="00866E65">
              <w:rPr>
                <w:rFonts w:eastAsiaTheme="minorEastAsia" w:hint="eastAsia"/>
                <w:i/>
                <w:iCs/>
              </w:rPr>
              <w:t xml:space="preserve">Assumed equivalent to the </w:t>
            </w:r>
            <w:r w:rsidRPr="00866E65">
              <w:rPr>
                <w:rFonts w:eastAsiaTheme="minorEastAsia"/>
                <w:i/>
                <w:iCs/>
              </w:rPr>
              <w:t>utility</w:t>
            </w:r>
            <w:r w:rsidRPr="00866E65">
              <w:rPr>
                <w:rFonts w:eastAsiaTheme="minorEastAsia" w:hint="eastAsia"/>
                <w:i/>
                <w:iCs/>
              </w:rPr>
              <w:t xml:space="preserve"> score of patients who experience 10+ </w:t>
            </w:r>
            <w:r w:rsidRPr="00866E65">
              <w:rPr>
                <w:i/>
                <w:iCs/>
              </w:rPr>
              <w:t xml:space="preserve">seizures per year </w:t>
            </w:r>
            <w:r w:rsidRPr="00866E65">
              <w:rPr>
                <w:rFonts w:eastAsiaTheme="minorEastAsia" w:hint="eastAsia"/>
                <w:i/>
                <w:iCs/>
              </w:rPr>
              <w:t xml:space="preserve">in the </w:t>
            </w:r>
            <w:r w:rsidRPr="00866E65">
              <w:rPr>
                <w:i/>
                <w:iCs/>
              </w:rPr>
              <w:t>usual care group</w:t>
            </w:r>
            <w:r w:rsidRPr="00866E65">
              <w:rPr>
                <w:rFonts w:eastAsiaTheme="minorEastAsia"/>
                <w:i/>
                <w:iCs/>
              </w:rPr>
              <w:t xml:space="preserve"> </w:t>
            </w:r>
            <w:r w:rsidRPr="00866E65">
              <w:rPr>
                <w:rFonts w:eastAsiaTheme="minorEastAsia"/>
                <w:i/>
                <w:iCs/>
              </w:rPr>
              <w:fldChar w:fldCharType="begin">
                <w:fldData xml:space="preserve">PEVuZE5vdGU+PENpdGU+PEF1dGhvcj5Hb3Jkb248L0F1dGhvcj48WWVhcj4yMDIyPC9ZZWFyPjxS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</w:fldData>
              </w:fldChar>
            </w:r>
            <w:r w:rsidRPr="00866E65">
              <w:rPr>
                <w:rFonts w:eastAsiaTheme="minorEastAsia"/>
                <w:i/>
                <w:iCs/>
              </w:rPr>
              <w:instrText xml:space="preserve"> ADDIN EN.CITE </w:instrText>
            </w:r>
            <w:r w:rsidRPr="00866E65">
              <w:rPr>
                <w:rFonts w:eastAsiaTheme="minorEastAsia"/>
                <w:i/>
                <w:iCs/>
              </w:rPr>
              <w:fldChar w:fldCharType="begin">
                <w:fldData xml:space="preserve">PEVuZE5vdGU+PENpdGU+PEF1dGhvcj5Hb3Jkb248L0F1dGhvcj48WWVhcj4yMDIyPC9ZZWFyPjxS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</w:fldData>
              </w:fldChar>
            </w:r>
            <w:r w:rsidRPr="00866E65">
              <w:rPr>
                <w:rFonts w:eastAsiaTheme="minorEastAsia"/>
                <w:i/>
                <w:iCs/>
              </w:rPr>
              <w:instrText xml:space="preserve"> ADDIN EN.CITE.DATA </w:instrText>
            </w:r>
            <w:r w:rsidRPr="00866E65">
              <w:rPr>
                <w:rFonts w:eastAsiaTheme="minorEastAsia"/>
                <w:i/>
                <w:iCs/>
              </w:rPr>
            </w:r>
            <w:r w:rsidRPr="00866E65">
              <w:rPr>
                <w:rFonts w:eastAsiaTheme="minorEastAsia"/>
                <w:i/>
                <w:iCs/>
              </w:rPr>
              <w:fldChar w:fldCharType="end"/>
            </w:r>
            <w:r w:rsidRPr="00866E65">
              <w:rPr>
                <w:rFonts w:eastAsiaTheme="minorEastAsia"/>
                <w:i/>
                <w:iCs/>
              </w:rPr>
            </w:r>
            <w:r w:rsidRPr="00866E65">
              <w:rPr>
                <w:rFonts w:eastAsiaTheme="minorEastAsia"/>
                <w:i/>
                <w:iCs/>
              </w:rPr>
              <w:fldChar w:fldCharType="separate"/>
            </w:r>
            <w:r w:rsidRPr="00866E65">
              <w:rPr>
                <w:rFonts w:eastAsiaTheme="minorEastAsia"/>
                <w:i/>
                <w:iCs/>
                <w:noProof/>
              </w:rPr>
              <w:t>(Gordon et al., 2022)</w:t>
            </w:r>
            <w:r w:rsidRPr="00866E65">
              <w:rPr>
                <w:rFonts w:eastAsiaTheme="minorEastAsia"/>
                <w:i/>
                <w:iCs/>
              </w:rPr>
              <w:fldChar w:fldCharType="end"/>
            </w:r>
            <w:r w:rsidRPr="00866E65">
              <w:rPr>
                <w:rFonts w:eastAsiaTheme="minorEastAsia"/>
                <w:i/>
                <w:iCs/>
              </w:rPr>
              <w:t>.</w:t>
            </w:r>
          </w:p>
        </w:tc>
        <w:tc>
          <w:tcPr>
            <w:tcW w:w="1307" w:type="pct"/>
            <w:shd w:val="clear" w:color="auto" w:fill="auto"/>
            <w:vAlign w:val="center"/>
          </w:tcPr>
          <w:p w14:paraId="4E8670FF" w14:textId="77777777" w:rsidR="00A941B5" w:rsidRPr="00866E65" w:rsidRDefault="00A941B5" w:rsidP="00D155C0">
            <w:pPr>
              <w:pStyle w:val="2024TABLETEXT"/>
              <w:keepNext/>
              <w:keepLines/>
              <w:rPr>
                <w:i/>
                <w:iCs/>
                <w:lang w:val="en-US"/>
              </w:rPr>
            </w:pPr>
            <w:r w:rsidRPr="00866E65">
              <w:rPr>
                <w:i/>
                <w:iCs/>
                <w:lang w:val="en-US"/>
              </w:rPr>
              <w:t>The variable has such a large effect that the outcome is essentially unbounded within the given range (</w:t>
            </w:r>
            <w:r w:rsidRPr="00866E65">
              <w:rPr>
                <w:i/>
                <w:iCs/>
              </w:rPr>
              <w:t>±</w:t>
            </w:r>
            <w:r w:rsidRPr="00866E65">
              <w:rPr>
                <w:rFonts w:eastAsiaTheme="minorEastAsia" w:hint="eastAsia"/>
                <w:i/>
                <w:iCs/>
              </w:rPr>
              <w:t>2</w:t>
            </w:r>
            <w:r w:rsidRPr="00866E65">
              <w:rPr>
                <w:i/>
                <w:iCs/>
              </w:rPr>
              <w:t>0%</w:t>
            </w:r>
            <w:r w:rsidRPr="00866E65">
              <w:rPr>
                <w:i/>
                <w:iCs/>
                <w:lang w:val="en-US"/>
              </w:rPr>
              <w:t>).</w:t>
            </w:r>
          </w:p>
        </w:tc>
      </w:tr>
      <w:tr w:rsidR="00A941B5" w:rsidRPr="00866E65" w14:paraId="3A8C73C4" w14:textId="77777777">
        <w:tc>
          <w:tcPr>
            <w:tcW w:w="1334" w:type="pct"/>
            <w:shd w:val="clear" w:color="auto" w:fill="auto"/>
            <w:vAlign w:val="center"/>
          </w:tcPr>
          <w:p w14:paraId="083BA627" w14:textId="77777777" w:rsidR="00A941B5" w:rsidRPr="00866E65" w:rsidRDefault="00A941B5" w:rsidP="00D155C0">
            <w:pPr>
              <w:pStyle w:val="2024TABLETEXT"/>
              <w:keepNext/>
              <w:keepLines/>
              <w:rPr>
                <w:rFonts w:eastAsiaTheme="minorEastAsia"/>
                <w:i/>
                <w:iCs/>
              </w:rPr>
            </w:pPr>
            <w:r w:rsidRPr="00866E65">
              <w:rPr>
                <w:rFonts w:eastAsiaTheme="minorEastAsia"/>
                <w:i/>
                <w:iCs/>
              </w:rPr>
              <w:t>Utility</w:t>
            </w:r>
            <w:r w:rsidRPr="00866E65">
              <w:rPr>
                <w:rFonts w:eastAsiaTheme="minorEastAsia" w:hint="eastAsia"/>
                <w:i/>
                <w:iCs/>
              </w:rPr>
              <w:t xml:space="preserve"> score of patient with remission not experiencing SJS-TEN/DRESS</w:t>
            </w:r>
          </w:p>
        </w:tc>
        <w:tc>
          <w:tcPr>
            <w:tcW w:w="2359" w:type="pct"/>
            <w:shd w:val="clear" w:color="auto" w:fill="auto"/>
          </w:tcPr>
          <w:p w14:paraId="7361DCF0" w14:textId="77777777" w:rsidR="00A941B5" w:rsidRPr="00866E65" w:rsidRDefault="00A941B5" w:rsidP="00D155C0">
            <w:pPr>
              <w:pStyle w:val="2024TABLETEXT"/>
              <w:keepNext/>
              <w:keepLines/>
              <w:rPr>
                <w:rFonts w:eastAsiaTheme="minorEastAsia"/>
                <w:i/>
                <w:iCs/>
              </w:rPr>
            </w:pPr>
            <w:r w:rsidRPr="00866E65">
              <w:rPr>
                <w:rFonts w:eastAsiaTheme="minorEastAsia" w:hint="eastAsia"/>
                <w:i/>
                <w:iCs/>
              </w:rPr>
              <w:t>Assumed equivalent</w:t>
            </w:r>
            <w:r w:rsidRPr="00866E65">
              <w:rPr>
                <w:rFonts w:eastAsiaTheme="minorEastAsia"/>
                <w:i/>
                <w:iCs/>
              </w:rPr>
              <w:t xml:space="preserve"> to </w:t>
            </w:r>
            <w:r w:rsidRPr="00866E65">
              <w:rPr>
                <w:rFonts w:eastAsiaTheme="minorEastAsia" w:hint="eastAsia"/>
                <w:i/>
                <w:iCs/>
              </w:rPr>
              <w:t xml:space="preserve">the </w:t>
            </w:r>
            <w:r w:rsidRPr="00866E65">
              <w:rPr>
                <w:rFonts w:eastAsiaTheme="minorEastAsia"/>
                <w:i/>
                <w:iCs/>
              </w:rPr>
              <w:t>utility</w:t>
            </w:r>
            <w:r w:rsidRPr="00866E65">
              <w:rPr>
                <w:rFonts w:eastAsiaTheme="minorEastAsia" w:hint="eastAsia"/>
                <w:i/>
                <w:iCs/>
              </w:rPr>
              <w:t xml:space="preserve"> score of </w:t>
            </w:r>
            <w:r w:rsidRPr="00866E65">
              <w:rPr>
                <w:rFonts w:eastAsiaTheme="minorEastAsia"/>
                <w:i/>
                <w:iCs/>
              </w:rPr>
              <w:t xml:space="preserve">patients </w:t>
            </w:r>
            <w:r w:rsidRPr="00866E65">
              <w:rPr>
                <w:i/>
                <w:iCs/>
              </w:rPr>
              <w:t>with 1–3 seizures in the past year</w:t>
            </w:r>
            <w:r w:rsidRPr="00866E65">
              <w:rPr>
                <w:rFonts w:eastAsiaTheme="minorEastAsia" w:hint="eastAsia"/>
                <w:i/>
                <w:iCs/>
              </w:rPr>
              <w:t xml:space="preserve"> </w:t>
            </w:r>
            <w:r w:rsidRPr="00866E65">
              <w:rPr>
                <w:rFonts w:eastAsiaTheme="minorEastAsia"/>
                <w:i/>
                <w:iCs/>
              </w:rPr>
              <w:fldChar w:fldCharType="begin">
                <w:fldData xml:space="preserve">PEVuZE5vdGU+PENpdGU+PEF1dGhvcj5Hb3Jkb248L0F1dGhvcj48WWVhcj4yMDIyPC9ZZWFyPjxS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</w:fldData>
              </w:fldChar>
            </w:r>
            <w:r w:rsidRPr="00866E65">
              <w:rPr>
                <w:rFonts w:eastAsiaTheme="minorEastAsia"/>
                <w:i/>
                <w:iCs/>
              </w:rPr>
              <w:instrText xml:space="preserve"> ADDIN EN.CITE </w:instrText>
            </w:r>
            <w:r w:rsidRPr="00866E65">
              <w:rPr>
                <w:rFonts w:eastAsiaTheme="minorEastAsia"/>
                <w:i/>
                <w:iCs/>
              </w:rPr>
              <w:fldChar w:fldCharType="begin">
                <w:fldData xml:space="preserve">PEVuZE5vdGU+PENpdGU+PEF1dGhvcj5Hb3Jkb248L0F1dGhvcj48WWVhcj4yMDIyPC9ZZWFyPjxS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</w:fldData>
              </w:fldChar>
            </w:r>
            <w:r w:rsidRPr="00866E65">
              <w:rPr>
                <w:rFonts w:eastAsiaTheme="minorEastAsia"/>
                <w:i/>
                <w:iCs/>
              </w:rPr>
              <w:instrText xml:space="preserve"> ADDIN EN.CITE.DATA </w:instrText>
            </w:r>
            <w:r w:rsidRPr="00866E65">
              <w:rPr>
                <w:rFonts w:eastAsiaTheme="minorEastAsia"/>
                <w:i/>
                <w:iCs/>
              </w:rPr>
            </w:r>
            <w:r w:rsidRPr="00866E65">
              <w:rPr>
                <w:rFonts w:eastAsiaTheme="minorEastAsia"/>
                <w:i/>
                <w:iCs/>
              </w:rPr>
              <w:fldChar w:fldCharType="end"/>
            </w:r>
            <w:r w:rsidRPr="00866E65">
              <w:rPr>
                <w:rFonts w:eastAsiaTheme="minorEastAsia"/>
                <w:i/>
                <w:iCs/>
              </w:rPr>
            </w:r>
            <w:r w:rsidRPr="00866E65">
              <w:rPr>
                <w:rFonts w:eastAsiaTheme="minorEastAsia"/>
                <w:i/>
                <w:iCs/>
              </w:rPr>
              <w:fldChar w:fldCharType="separate"/>
            </w:r>
            <w:r w:rsidRPr="00866E65">
              <w:rPr>
                <w:rFonts w:eastAsiaTheme="minorEastAsia"/>
                <w:i/>
                <w:iCs/>
                <w:noProof/>
              </w:rPr>
              <w:t>(Gordon et al., 2022)</w:t>
            </w:r>
            <w:r w:rsidRPr="00866E65">
              <w:rPr>
                <w:rFonts w:eastAsiaTheme="minorEastAsia"/>
                <w:i/>
                <w:iCs/>
              </w:rPr>
              <w:fldChar w:fldCharType="end"/>
            </w:r>
            <w:r w:rsidRPr="00866E65">
              <w:rPr>
                <w:rFonts w:eastAsiaTheme="minorEastAsia"/>
                <w:i/>
                <w:iCs/>
              </w:rPr>
              <w:t>.</w:t>
            </w:r>
          </w:p>
        </w:tc>
        <w:tc>
          <w:tcPr>
            <w:tcW w:w="1307" w:type="pct"/>
            <w:shd w:val="clear" w:color="auto" w:fill="auto"/>
            <w:vAlign w:val="center"/>
          </w:tcPr>
          <w:p w14:paraId="0C65DAED" w14:textId="77777777" w:rsidR="00A941B5" w:rsidRPr="00866E65" w:rsidRDefault="00A941B5" w:rsidP="00D155C0">
            <w:pPr>
              <w:pStyle w:val="2024TABLETEXT"/>
              <w:keepNext/>
              <w:keepLines/>
              <w:rPr>
                <w:i/>
                <w:iCs/>
                <w:lang w:val="en-US"/>
              </w:rPr>
            </w:pPr>
            <w:r w:rsidRPr="00866E65">
              <w:rPr>
                <w:i/>
                <w:iCs/>
                <w:lang w:val="en-US"/>
              </w:rPr>
              <w:t>The variable has such a large effect that the outcome is essentially unbounded within the given range (</w:t>
            </w:r>
            <w:r w:rsidRPr="00866E65">
              <w:rPr>
                <w:i/>
                <w:iCs/>
              </w:rPr>
              <w:t>±</w:t>
            </w:r>
            <w:r w:rsidRPr="00866E65">
              <w:rPr>
                <w:rFonts w:eastAsiaTheme="minorEastAsia" w:hint="eastAsia"/>
                <w:i/>
                <w:iCs/>
              </w:rPr>
              <w:t>2</w:t>
            </w:r>
            <w:r w:rsidRPr="00866E65">
              <w:rPr>
                <w:i/>
                <w:iCs/>
              </w:rPr>
              <w:t>0%</w:t>
            </w:r>
            <w:r w:rsidRPr="00866E65">
              <w:rPr>
                <w:i/>
                <w:iCs/>
                <w:lang w:val="en-US"/>
              </w:rPr>
              <w:t>).</w:t>
            </w:r>
          </w:p>
        </w:tc>
      </w:tr>
      <w:tr w:rsidR="00A941B5" w:rsidRPr="00866E65" w14:paraId="59B5DC9B" w14:textId="77777777">
        <w:tc>
          <w:tcPr>
            <w:tcW w:w="1334" w:type="pct"/>
            <w:shd w:val="clear" w:color="auto" w:fill="auto"/>
            <w:vAlign w:val="center"/>
          </w:tcPr>
          <w:p w14:paraId="5619BF0C" w14:textId="3B4AB18E" w:rsidR="00A941B5" w:rsidRPr="00D155C0" w:rsidRDefault="00A941B5" w:rsidP="00D155C0">
            <w:pPr>
              <w:pStyle w:val="2024TABLETEXT"/>
              <w:keepNext/>
              <w:keepLines/>
              <w:rPr>
                <w:i/>
                <w:iCs/>
              </w:rPr>
            </w:pPr>
            <w:r w:rsidRPr="00866E65">
              <w:rPr>
                <w:i/>
                <w:iCs/>
              </w:rPr>
              <w:t>Probability of treatment-induced SJS</w:t>
            </w:r>
            <w:r w:rsidRPr="00866E65">
              <w:rPr>
                <w:rFonts w:eastAsiaTheme="minorEastAsia" w:hint="eastAsia"/>
                <w:i/>
                <w:iCs/>
              </w:rPr>
              <w:t>-</w:t>
            </w:r>
            <w:r w:rsidRPr="00866E65">
              <w:rPr>
                <w:i/>
                <w:iCs/>
              </w:rPr>
              <w:t xml:space="preserve">TEN/DRESS in non-carriers of </w:t>
            </w:r>
            <w:r w:rsidR="003975F2" w:rsidRPr="00394393">
              <w:rPr>
                <w:i/>
                <w:iCs/>
              </w:rPr>
              <w:t xml:space="preserve">HLA-A*31:01 </w:t>
            </w:r>
            <w:r w:rsidRPr="00866E65">
              <w:rPr>
                <w:i/>
                <w:iCs/>
              </w:rPr>
              <w:t xml:space="preserve">and </w:t>
            </w:r>
            <w:r w:rsidR="003975F2" w:rsidRPr="00394393">
              <w:rPr>
                <w:i/>
                <w:iCs/>
              </w:rPr>
              <w:t xml:space="preserve">HLA-B*15:02 </w:t>
            </w:r>
            <w:r w:rsidRPr="00866E65">
              <w:rPr>
                <w:i/>
                <w:iCs/>
              </w:rPr>
              <w:t>alleles</w:t>
            </w:r>
          </w:p>
        </w:tc>
        <w:tc>
          <w:tcPr>
            <w:tcW w:w="2359" w:type="pct"/>
            <w:shd w:val="clear" w:color="auto" w:fill="auto"/>
            <w:vAlign w:val="center"/>
          </w:tcPr>
          <w:p w14:paraId="34C30EE5" w14:textId="77777777" w:rsidR="00A941B5" w:rsidRPr="00866E65" w:rsidRDefault="00A941B5" w:rsidP="00D155C0">
            <w:pPr>
              <w:pStyle w:val="2024TABLETEXT"/>
              <w:keepNext/>
              <w:keepLines/>
              <w:rPr>
                <w:rFonts w:eastAsiaTheme="minorEastAsia"/>
                <w:i/>
                <w:iCs/>
                <w:highlight w:val="yellow"/>
                <w:lang w:val="en-US"/>
              </w:rPr>
            </w:pPr>
            <w:r w:rsidRPr="00866E65">
              <w:rPr>
                <w:rFonts w:eastAsiaTheme="minorEastAsia" w:hint="eastAsia"/>
                <w:i/>
                <w:iCs/>
              </w:rPr>
              <w:t>C</w:t>
            </w:r>
            <w:r w:rsidRPr="00866E65">
              <w:rPr>
                <w:i/>
                <w:iCs/>
              </w:rPr>
              <w:t>alculated</w:t>
            </w:r>
            <w:r w:rsidRPr="00866E65">
              <w:rPr>
                <w:rFonts w:eastAsiaTheme="minorEastAsia" w:hint="eastAsia"/>
                <w:i/>
                <w:iCs/>
              </w:rPr>
              <w:t xml:space="preserve"> estimate (detailed </w:t>
            </w:r>
            <w:r w:rsidRPr="00866E65">
              <w:rPr>
                <w:rFonts w:eastAsiaTheme="minorEastAsia"/>
                <w:i/>
                <w:iCs/>
              </w:rPr>
              <w:t>calculat</w:t>
            </w:r>
            <w:r w:rsidRPr="00866E65">
              <w:rPr>
                <w:rFonts w:eastAsiaTheme="minorEastAsia" w:hint="eastAsia"/>
                <w:i/>
                <w:iCs/>
              </w:rPr>
              <w:t>ion presented in Section 3A.2.4)</w:t>
            </w:r>
          </w:p>
        </w:tc>
        <w:tc>
          <w:tcPr>
            <w:tcW w:w="1307" w:type="pct"/>
            <w:shd w:val="clear" w:color="auto" w:fill="auto"/>
            <w:vAlign w:val="center"/>
          </w:tcPr>
          <w:p w14:paraId="3A1F315F" w14:textId="77777777" w:rsidR="00A941B5" w:rsidRPr="00866E65" w:rsidRDefault="00A941B5" w:rsidP="00D155C0">
            <w:pPr>
              <w:pStyle w:val="2024TABLETEXT"/>
              <w:keepNext/>
              <w:keepLines/>
              <w:rPr>
                <w:i/>
                <w:iCs/>
                <w:lang w:val="en-US"/>
              </w:rPr>
            </w:pPr>
            <w:r w:rsidRPr="00866E65">
              <w:rPr>
                <w:i/>
                <w:iCs/>
                <w:lang w:val="en-US"/>
              </w:rPr>
              <w:t>The variable has such a large effect that the outcome is essentially unbounded within the given range (</w:t>
            </w:r>
            <w:r w:rsidRPr="00866E65">
              <w:rPr>
                <w:i/>
                <w:iCs/>
              </w:rPr>
              <w:t>±</w:t>
            </w:r>
            <w:r w:rsidRPr="00866E65">
              <w:rPr>
                <w:rFonts w:eastAsiaTheme="minorEastAsia" w:hint="eastAsia"/>
                <w:i/>
                <w:iCs/>
              </w:rPr>
              <w:t>2</w:t>
            </w:r>
            <w:r w:rsidRPr="00866E65">
              <w:rPr>
                <w:i/>
                <w:iCs/>
              </w:rPr>
              <w:t>0%</w:t>
            </w:r>
            <w:r w:rsidRPr="00866E65">
              <w:rPr>
                <w:i/>
                <w:iCs/>
                <w:lang w:val="en-US"/>
              </w:rPr>
              <w:t>).</w:t>
            </w:r>
          </w:p>
        </w:tc>
      </w:tr>
      <w:tr w:rsidR="00A941B5" w:rsidRPr="00866E65" w14:paraId="400069F7" w14:textId="77777777">
        <w:trPr>
          <w:trHeight w:val="33"/>
        </w:trPr>
        <w:tc>
          <w:tcPr>
            <w:tcW w:w="1334" w:type="pct"/>
            <w:shd w:val="clear" w:color="auto" w:fill="auto"/>
            <w:vAlign w:val="center"/>
          </w:tcPr>
          <w:p w14:paraId="30DD1102" w14:textId="77777777" w:rsidR="00A941B5" w:rsidRPr="00866E65" w:rsidRDefault="00A941B5" w:rsidP="00D155C0">
            <w:pPr>
              <w:pStyle w:val="2024TABLETEXT"/>
              <w:keepNext/>
              <w:keepLines/>
              <w:rPr>
                <w:i/>
                <w:iCs/>
                <w:highlight w:val="yellow"/>
                <w:lang w:val="en-US"/>
              </w:rPr>
            </w:pPr>
            <w:r w:rsidRPr="00866E65">
              <w:rPr>
                <w:i/>
                <w:iCs/>
              </w:rPr>
              <w:t>Probability of overall CBZ/OXC-induced SJS-TEN/DRESS</w:t>
            </w:r>
          </w:p>
        </w:tc>
        <w:tc>
          <w:tcPr>
            <w:tcW w:w="2359" w:type="pct"/>
            <w:shd w:val="clear" w:color="auto" w:fill="auto"/>
            <w:vAlign w:val="center"/>
          </w:tcPr>
          <w:p w14:paraId="2BE24661" w14:textId="77777777" w:rsidR="00A941B5" w:rsidRPr="00866E65" w:rsidRDefault="00A941B5" w:rsidP="00D155C0">
            <w:pPr>
              <w:pStyle w:val="2024TABLETEXT"/>
              <w:keepNext/>
              <w:keepLines/>
              <w:rPr>
                <w:i/>
                <w:iCs/>
                <w:highlight w:val="yellow"/>
              </w:rPr>
            </w:pPr>
            <w:r w:rsidRPr="00866E65">
              <w:rPr>
                <w:rFonts w:eastAsiaTheme="minorEastAsia"/>
                <w:i/>
                <w:iCs/>
              </w:rPr>
              <w:t>The studies (identified in Section 2) had a range of between 2.3% and 25% of patients having a SCAR reaction. The 2.3% was used in the model aligning with the overall estimate of hypersensitivity reactions highlighted in the PICO (</w:t>
            </w:r>
            <w:hyperlink r:id="rId24" w:history="1">
              <w:r w:rsidRPr="00866E65">
                <w:rPr>
                  <w:rStyle w:val="Hyperlink"/>
                  <w:i/>
                  <w:iCs/>
                </w:rPr>
                <w:t>ratified PICO</w:t>
              </w:r>
            </w:hyperlink>
            <w:r w:rsidRPr="00866E65">
              <w:rPr>
                <w:rFonts w:eastAsiaTheme="minorEastAsia"/>
                <w:i/>
                <w:iCs/>
              </w:rPr>
              <w:t>).</w:t>
            </w:r>
            <w:r w:rsidRPr="00866E65">
              <w:rPr>
                <w:rFonts w:eastAsiaTheme="minorEastAsia" w:hint="eastAsia"/>
                <w:i/>
                <w:iCs/>
              </w:rPr>
              <w:t xml:space="preserve"> </w:t>
            </w:r>
          </w:p>
        </w:tc>
        <w:tc>
          <w:tcPr>
            <w:tcW w:w="1307" w:type="pct"/>
            <w:shd w:val="clear" w:color="auto" w:fill="auto"/>
            <w:vAlign w:val="center"/>
          </w:tcPr>
          <w:p w14:paraId="22B2CA1C" w14:textId="77777777" w:rsidR="00A941B5" w:rsidRPr="00866E65" w:rsidRDefault="00A941B5" w:rsidP="00D155C0">
            <w:pPr>
              <w:pStyle w:val="2024TABLETEXT"/>
              <w:keepNext/>
              <w:keepLines/>
              <w:rPr>
                <w:i/>
                <w:iCs/>
                <w:lang w:val="en-US"/>
              </w:rPr>
            </w:pPr>
            <w:r w:rsidRPr="00866E65">
              <w:rPr>
                <w:i/>
                <w:iCs/>
                <w:lang w:val="en-US"/>
              </w:rPr>
              <w:t>The variable has such a large effect that the outcome is essentially unbounded within the given range (</w:t>
            </w:r>
            <w:r w:rsidRPr="00866E65">
              <w:rPr>
                <w:i/>
                <w:iCs/>
              </w:rPr>
              <w:t>±</w:t>
            </w:r>
            <w:r w:rsidRPr="00866E65">
              <w:rPr>
                <w:rFonts w:eastAsiaTheme="minorEastAsia" w:hint="eastAsia"/>
                <w:i/>
                <w:iCs/>
              </w:rPr>
              <w:t>2</w:t>
            </w:r>
            <w:r w:rsidRPr="00866E65">
              <w:rPr>
                <w:i/>
                <w:iCs/>
              </w:rPr>
              <w:t>0%</w:t>
            </w:r>
            <w:r w:rsidRPr="00866E65">
              <w:rPr>
                <w:i/>
                <w:iCs/>
                <w:lang w:val="en-US"/>
              </w:rPr>
              <w:t>).</w:t>
            </w:r>
          </w:p>
        </w:tc>
      </w:tr>
    </w:tbl>
    <w:p w14:paraId="6AEE01BE" w14:textId="77777777" w:rsidR="00A941B5" w:rsidRPr="00866E65" w:rsidRDefault="00A941B5" w:rsidP="00D155C0">
      <w:pPr>
        <w:pStyle w:val="TableFigureFooter"/>
        <w:rPr>
          <w:rFonts w:eastAsiaTheme="minorEastAsia"/>
          <w:i/>
          <w:iCs/>
        </w:rPr>
      </w:pPr>
      <w:r w:rsidRPr="00866E65">
        <w:rPr>
          <w:i/>
          <w:iCs/>
        </w:rPr>
        <w:t xml:space="preserve">Abbreviations: </w:t>
      </w:r>
      <w:r w:rsidRPr="00866E65">
        <w:rPr>
          <w:rFonts w:eastAsiaTheme="minorEastAsia" w:hint="eastAsia"/>
          <w:i/>
          <w:iCs/>
        </w:rPr>
        <w:t>CBZ=</w:t>
      </w:r>
      <w:r w:rsidRPr="00866E65">
        <w:rPr>
          <w:i/>
          <w:iCs/>
        </w:rPr>
        <w:t xml:space="preserve"> </w:t>
      </w:r>
      <w:r w:rsidRPr="00866E65">
        <w:rPr>
          <w:rFonts w:eastAsiaTheme="minorEastAsia"/>
          <w:i/>
          <w:iCs/>
        </w:rPr>
        <w:t>carbamazepine</w:t>
      </w:r>
      <w:r w:rsidRPr="00866E65">
        <w:rPr>
          <w:rFonts w:eastAsiaTheme="minorEastAsia" w:hint="eastAsia"/>
          <w:i/>
          <w:iCs/>
        </w:rPr>
        <w:t>; DRESS=</w:t>
      </w:r>
      <w:r w:rsidRPr="00866E65">
        <w:rPr>
          <w:i/>
          <w:iCs/>
        </w:rPr>
        <w:t xml:space="preserve"> </w:t>
      </w:r>
      <w:r w:rsidRPr="00866E65">
        <w:rPr>
          <w:rFonts w:eastAsiaTheme="minorEastAsia"/>
          <w:i/>
          <w:iCs/>
        </w:rPr>
        <w:t>drug reaction with eosinophilia and systemic symptoms</w:t>
      </w:r>
      <w:r w:rsidRPr="00866E65">
        <w:rPr>
          <w:rFonts w:eastAsiaTheme="minorEastAsia" w:hint="eastAsia"/>
          <w:i/>
          <w:iCs/>
        </w:rPr>
        <w:t>; OXC=</w:t>
      </w:r>
      <w:r w:rsidRPr="00866E65">
        <w:rPr>
          <w:rFonts w:cs="Courier New"/>
          <w:i/>
          <w:iCs/>
          <w:szCs w:val="20"/>
        </w:rPr>
        <w:t>oxcarbazepine</w:t>
      </w:r>
      <w:r w:rsidRPr="00866E65">
        <w:rPr>
          <w:rFonts w:eastAsiaTheme="minorEastAsia" w:cs="Courier New" w:hint="eastAsia"/>
          <w:i/>
          <w:iCs/>
          <w:szCs w:val="20"/>
        </w:rPr>
        <w:t xml:space="preserve">; PPV= </w:t>
      </w:r>
      <w:r w:rsidRPr="00866E65">
        <w:rPr>
          <w:rFonts w:eastAsiaTheme="minorEastAsia" w:cs="Courier New"/>
          <w:i/>
          <w:iCs/>
          <w:szCs w:val="20"/>
        </w:rPr>
        <w:t>Positive predict value</w:t>
      </w:r>
      <w:r w:rsidRPr="00866E65">
        <w:rPr>
          <w:rFonts w:eastAsiaTheme="minorEastAsia" w:cs="Courier New" w:hint="eastAsia"/>
          <w:i/>
          <w:iCs/>
          <w:szCs w:val="20"/>
        </w:rPr>
        <w:t xml:space="preserve">; </w:t>
      </w:r>
      <w:r w:rsidRPr="00866E65">
        <w:rPr>
          <w:rFonts w:eastAsiaTheme="minorEastAsia" w:hint="eastAsia"/>
          <w:i/>
          <w:iCs/>
        </w:rPr>
        <w:t>SJS=</w:t>
      </w:r>
      <w:r w:rsidRPr="00866E65">
        <w:rPr>
          <w:i/>
          <w:iCs/>
        </w:rPr>
        <w:t xml:space="preserve"> </w:t>
      </w:r>
      <w:r w:rsidRPr="00866E65">
        <w:rPr>
          <w:rFonts w:eastAsiaTheme="minorEastAsia"/>
          <w:i/>
          <w:iCs/>
        </w:rPr>
        <w:t>Stevens–Johnson syndrome</w:t>
      </w:r>
      <w:r w:rsidRPr="00866E65">
        <w:rPr>
          <w:rFonts w:eastAsiaTheme="minorEastAsia" w:hint="eastAsia"/>
          <w:i/>
          <w:iCs/>
        </w:rPr>
        <w:t>; TEN=</w:t>
      </w:r>
      <w:r w:rsidRPr="00866E65">
        <w:rPr>
          <w:i/>
          <w:iCs/>
        </w:rPr>
        <w:t xml:space="preserve"> </w:t>
      </w:r>
      <w:r w:rsidRPr="00866E65">
        <w:rPr>
          <w:rFonts w:eastAsiaTheme="minorEastAsia"/>
          <w:i/>
          <w:iCs/>
        </w:rPr>
        <w:t>toxic epidermal necrolysis</w:t>
      </w:r>
      <w:r w:rsidRPr="00866E65">
        <w:rPr>
          <w:rFonts w:eastAsiaTheme="minorEastAsia" w:hint="eastAsia"/>
          <w:i/>
          <w:iCs/>
        </w:rPr>
        <w:t>.</w:t>
      </w:r>
    </w:p>
    <w:p w14:paraId="4C067422" w14:textId="3BF81FF6" w:rsidR="00191A47" w:rsidRPr="00866E65" w:rsidRDefault="00191A47" w:rsidP="00D155C0">
      <w:pPr>
        <w:pStyle w:val="Instructionaltext"/>
        <w:keepNext/>
        <w:keepLines/>
        <w:spacing w:before="240"/>
        <w:rPr>
          <w:rFonts w:ascii="Arial Narrow" w:hAnsi="Arial Narrow"/>
          <w:b/>
          <w:bCs/>
          <w:i/>
          <w:iCs/>
          <w:sz w:val="20"/>
          <w:szCs w:val="20"/>
        </w:rPr>
      </w:pPr>
      <w:r w:rsidRPr="00866E65">
        <w:rPr>
          <w:rFonts w:ascii="Arial Narrow" w:hAnsi="Arial Narrow"/>
          <w:b/>
          <w:bCs/>
          <w:i/>
          <w:iCs/>
          <w:sz w:val="20"/>
          <w:szCs w:val="20"/>
        </w:rPr>
        <w:lastRenderedPageBreak/>
        <w:t>Table 1</w:t>
      </w:r>
      <w:r w:rsidR="00031E22">
        <w:rPr>
          <w:rFonts w:ascii="Arial Narrow" w:hAnsi="Arial Narrow"/>
          <w:b/>
          <w:bCs/>
          <w:i/>
          <w:iCs/>
          <w:sz w:val="20"/>
          <w:szCs w:val="20"/>
        </w:rPr>
        <w:t>3</w:t>
      </w:r>
      <w:r w:rsidRPr="00866E65">
        <w:rPr>
          <w:rFonts w:ascii="Arial Narrow" w:hAnsi="Arial Narrow"/>
          <w:b/>
          <w:bCs/>
          <w:i/>
          <w:iCs/>
          <w:sz w:val="20"/>
          <w:szCs w:val="20"/>
        </w:rPr>
        <w:t xml:space="preserve">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4A0" w:firstRow="1" w:lastRow="0" w:firstColumn="1" w:lastColumn="0" w:noHBand="0" w:noVBand="1"/>
      </w:tblPr>
      <w:tblGrid>
        <w:gridCol w:w="1129"/>
        <w:gridCol w:w="1417"/>
        <w:gridCol w:w="1560"/>
        <w:gridCol w:w="4910"/>
      </w:tblGrid>
      <w:tr w:rsidR="00191A47" w:rsidRPr="00146149" w14:paraId="59954C55" w14:textId="77777777" w:rsidTr="00191A47">
        <w:trPr>
          <w:cantSplit/>
          <w:trHeight w:val="420"/>
          <w:tblHeader/>
        </w:trPr>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2161E" w14:textId="77777777" w:rsidR="00191A47" w:rsidRPr="00146149" w:rsidRDefault="00191A47" w:rsidP="00146149">
            <w:pPr>
              <w:pStyle w:val="Instructionaltext"/>
              <w:keepNext/>
              <w:keepLines/>
              <w:spacing w:before="40" w:after="40"/>
              <w:rPr>
                <w:rFonts w:ascii="Arial Narrow" w:hAnsi="Arial Narrow"/>
                <w:b/>
                <w:i/>
                <w:sz w:val="20"/>
                <w:szCs w:val="20"/>
                <w:lang w:val="en-US"/>
              </w:rPr>
            </w:pPr>
            <w:r w:rsidRPr="00146149">
              <w:rPr>
                <w:rFonts w:ascii="Arial Narrow" w:hAnsi="Arial Narrow"/>
                <w:b/>
                <w:i/>
                <w:sz w:val="20"/>
                <w:szCs w:val="20"/>
                <w:lang w:val="en-US"/>
              </w:rPr>
              <w:t>Analyses</w:t>
            </w:r>
          </w:p>
        </w:tc>
        <w:tc>
          <w:tcPr>
            <w:tcW w:w="7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37479B" w14:textId="77777777" w:rsidR="00191A47" w:rsidRPr="00146149" w:rsidRDefault="00191A47" w:rsidP="00146149">
            <w:pPr>
              <w:pStyle w:val="Instructionaltext"/>
              <w:keepNext/>
              <w:keepLines/>
              <w:spacing w:before="40" w:after="40"/>
              <w:rPr>
                <w:rFonts w:ascii="Arial Narrow" w:hAnsi="Arial Narrow"/>
                <w:b/>
                <w:i/>
                <w:sz w:val="20"/>
                <w:szCs w:val="20"/>
                <w:lang w:val="en-US"/>
              </w:rPr>
            </w:pPr>
            <w:r w:rsidRPr="00146149">
              <w:rPr>
                <w:rFonts w:ascii="Arial Narrow" w:hAnsi="Arial Narrow"/>
                <w:b/>
                <w:i/>
                <w:sz w:val="20"/>
                <w:szCs w:val="20"/>
                <w:lang w:val="en-US"/>
              </w:rPr>
              <w:t>Incremental cost</w:t>
            </w:r>
          </w:p>
        </w:tc>
        <w:tc>
          <w:tcPr>
            <w:tcW w:w="8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2BC75" w14:textId="77777777" w:rsidR="00191A47" w:rsidRPr="00146149" w:rsidRDefault="00191A47" w:rsidP="00146149">
            <w:pPr>
              <w:pStyle w:val="Instructionaltext"/>
              <w:keepNext/>
              <w:keepLines/>
              <w:spacing w:before="40" w:after="40"/>
              <w:rPr>
                <w:rFonts w:ascii="Arial Narrow" w:hAnsi="Arial Narrow"/>
                <w:b/>
                <w:i/>
                <w:sz w:val="20"/>
                <w:szCs w:val="20"/>
                <w:lang w:val="en-US"/>
              </w:rPr>
            </w:pPr>
            <w:r w:rsidRPr="00146149">
              <w:rPr>
                <w:rFonts w:ascii="Arial Narrow" w:hAnsi="Arial Narrow"/>
                <w:b/>
                <w:i/>
                <w:sz w:val="20"/>
                <w:szCs w:val="20"/>
                <w:lang w:val="en-US"/>
              </w:rPr>
              <w:t>Incremental QALY</w:t>
            </w:r>
          </w:p>
        </w:tc>
        <w:tc>
          <w:tcPr>
            <w:tcW w:w="2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C4A25A" w14:textId="77777777" w:rsidR="00191A47" w:rsidRPr="00146149" w:rsidRDefault="00191A47" w:rsidP="00146149">
            <w:pPr>
              <w:pStyle w:val="Instructionaltext"/>
              <w:keepNext/>
              <w:keepLines/>
              <w:spacing w:before="40" w:after="40"/>
              <w:rPr>
                <w:rFonts w:ascii="Arial Narrow" w:hAnsi="Arial Narrow"/>
                <w:b/>
                <w:i/>
                <w:sz w:val="20"/>
                <w:szCs w:val="20"/>
                <w:lang w:val="en-US"/>
              </w:rPr>
            </w:pPr>
            <w:r w:rsidRPr="00146149">
              <w:rPr>
                <w:rFonts w:ascii="Arial Narrow" w:hAnsi="Arial Narrow"/>
                <w:b/>
                <w:i/>
                <w:sz w:val="20"/>
                <w:szCs w:val="20"/>
                <w:lang w:val="en-US"/>
              </w:rPr>
              <w:t>ICER</w:t>
            </w:r>
          </w:p>
        </w:tc>
      </w:tr>
      <w:tr w:rsidR="00191A47" w:rsidRPr="00146149" w14:paraId="1BB124DE" w14:textId="77777777" w:rsidTr="00191A47">
        <w:trPr>
          <w:cantSplit/>
        </w:trPr>
        <w:tc>
          <w:tcPr>
            <w:tcW w:w="626" w:type="pct"/>
            <w:tcBorders>
              <w:top w:val="single" w:sz="4" w:space="0" w:color="auto"/>
              <w:left w:val="single" w:sz="4" w:space="0" w:color="auto"/>
              <w:bottom w:val="single" w:sz="4" w:space="0" w:color="auto"/>
              <w:right w:val="single" w:sz="4" w:space="0" w:color="auto"/>
            </w:tcBorders>
            <w:hideMark/>
          </w:tcPr>
          <w:p w14:paraId="4F9E399C" w14:textId="77777777"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Base case</w:t>
            </w:r>
          </w:p>
        </w:tc>
        <w:tc>
          <w:tcPr>
            <w:tcW w:w="786" w:type="pct"/>
            <w:tcBorders>
              <w:top w:val="single" w:sz="4" w:space="0" w:color="auto"/>
              <w:left w:val="single" w:sz="4" w:space="0" w:color="auto"/>
              <w:bottom w:val="single" w:sz="4" w:space="0" w:color="auto"/>
              <w:right w:val="single" w:sz="4" w:space="0" w:color="auto"/>
            </w:tcBorders>
            <w:hideMark/>
          </w:tcPr>
          <w:p w14:paraId="0415029F" w14:textId="77777777"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$385</w:t>
            </w:r>
          </w:p>
        </w:tc>
        <w:tc>
          <w:tcPr>
            <w:tcW w:w="865" w:type="pct"/>
            <w:tcBorders>
              <w:top w:val="single" w:sz="4" w:space="0" w:color="auto"/>
              <w:left w:val="single" w:sz="4" w:space="0" w:color="auto"/>
              <w:bottom w:val="single" w:sz="4" w:space="0" w:color="auto"/>
              <w:right w:val="single" w:sz="4" w:space="0" w:color="auto"/>
            </w:tcBorders>
            <w:hideMark/>
          </w:tcPr>
          <w:p w14:paraId="35124549" w14:textId="77777777"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0.0005</w:t>
            </w:r>
          </w:p>
        </w:tc>
        <w:tc>
          <w:tcPr>
            <w:tcW w:w="2723" w:type="pct"/>
            <w:tcBorders>
              <w:top w:val="single" w:sz="4" w:space="0" w:color="auto"/>
              <w:left w:val="single" w:sz="4" w:space="0" w:color="auto"/>
              <w:bottom w:val="single" w:sz="4" w:space="0" w:color="auto"/>
              <w:right w:val="single" w:sz="4" w:space="0" w:color="auto"/>
            </w:tcBorders>
            <w:hideMark/>
          </w:tcPr>
          <w:p w14:paraId="18F8CBDA" w14:textId="77777777"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$825,763</w:t>
            </w:r>
          </w:p>
        </w:tc>
      </w:tr>
      <w:tr w:rsidR="00191A47" w:rsidRPr="00146149" w14:paraId="30888A6D" w14:textId="77777777" w:rsidTr="00191A47">
        <w:trPr>
          <w:cantSplit/>
        </w:trPr>
        <w:tc>
          <w:tcPr>
            <w:tcW w:w="5000" w:type="pct"/>
            <w:gridSpan w:val="4"/>
            <w:tcBorders>
              <w:top w:val="single" w:sz="4" w:space="0" w:color="auto"/>
              <w:left w:val="single" w:sz="4" w:space="0" w:color="auto"/>
              <w:bottom w:val="single" w:sz="4" w:space="0" w:color="auto"/>
              <w:right w:val="single" w:sz="4" w:space="0" w:color="auto"/>
            </w:tcBorders>
            <w:hideMark/>
          </w:tcPr>
          <w:p w14:paraId="75E014BD" w14:textId="77777777"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Probability of patients treated with CBZ or OXC transitioned from uncontrolled epilepsy to remission (base case 0.702; ±20%)</w:t>
            </w:r>
          </w:p>
        </w:tc>
      </w:tr>
      <w:tr w:rsidR="00191A47" w:rsidRPr="00146149" w14:paraId="57DA9CB0" w14:textId="77777777" w:rsidTr="00191A47">
        <w:trPr>
          <w:cantSplit/>
        </w:trPr>
        <w:tc>
          <w:tcPr>
            <w:tcW w:w="626" w:type="pct"/>
            <w:tcBorders>
              <w:top w:val="single" w:sz="4" w:space="0" w:color="auto"/>
              <w:left w:val="single" w:sz="4" w:space="0" w:color="auto"/>
              <w:bottom w:val="single" w:sz="4" w:space="0" w:color="auto"/>
              <w:right w:val="single" w:sz="4" w:space="0" w:color="auto"/>
            </w:tcBorders>
            <w:hideMark/>
          </w:tcPr>
          <w:p w14:paraId="01334381" w14:textId="77777777"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0.561</w:t>
            </w:r>
          </w:p>
        </w:tc>
        <w:tc>
          <w:tcPr>
            <w:tcW w:w="786" w:type="pct"/>
            <w:tcBorders>
              <w:top w:val="single" w:sz="4" w:space="0" w:color="auto"/>
              <w:left w:val="single" w:sz="4" w:space="0" w:color="auto"/>
              <w:bottom w:val="single" w:sz="4" w:space="0" w:color="auto"/>
              <w:right w:val="single" w:sz="4" w:space="0" w:color="auto"/>
            </w:tcBorders>
            <w:hideMark/>
          </w:tcPr>
          <w:p w14:paraId="26B15F6A" w14:textId="5B485732"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w:t>
            </w:r>
            <w:r w:rsidR="00967ABA" w:rsidRPr="00146149">
              <w:rPr>
                <w:rFonts w:ascii="Arial Narrow" w:hAnsi="Arial Narrow"/>
                <w:i/>
                <w:sz w:val="20"/>
                <w:szCs w:val="20"/>
              </w:rPr>
              <w:t>92</w:t>
            </w:r>
          </w:p>
        </w:tc>
        <w:tc>
          <w:tcPr>
            <w:tcW w:w="865" w:type="pct"/>
            <w:tcBorders>
              <w:top w:val="single" w:sz="4" w:space="0" w:color="auto"/>
              <w:left w:val="single" w:sz="4" w:space="0" w:color="auto"/>
              <w:bottom w:val="single" w:sz="4" w:space="0" w:color="auto"/>
              <w:right w:val="single" w:sz="4" w:space="0" w:color="auto"/>
            </w:tcBorders>
            <w:hideMark/>
          </w:tcPr>
          <w:p w14:paraId="7DA63E25" w14:textId="6D15E69A"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0.00</w:t>
            </w:r>
            <w:r w:rsidR="00967ABA" w:rsidRPr="00146149">
              <w:rPr>
                <w:rFonts w:ascii="Arial Narrow" w:hAnsi="Arial Narrow"/>
                <w:i/>
                <w:sz w:val="20"/>
                <w:szCs w:val="20"/>
              </w:rPr>
              <w:t>18</w:t>
            </w:r>
          </w:p>
        </w:tc>
        <w:tc>
          <w:tcPr>
            <w:tcW w:w="2723" w:type="pct"/>
            <w:tcBorders>
              <w:top w:val="single" w:sz="4" w:space="0" w:color="auto"/>
              <w:left w:val="single" w:sz="4" w:space="0" w:color="auto"/>
              <w:bottom w:val="single" w:sz="4" w:space="0" w:color="auto"/>
              <w:right w:val="single" w:sz="4" w:space="0" w:color="auto"/>
            </w:tcBorders>
            <w:hideMark/>
          </w:tcPr>
          <w:p w14:paraId="6DAB1892" w14:textId="77777777"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$51,359</w:t>
            </w:r>
          </w:p>
        </w:tc>
      </w:tr>
      <w:tr w:rsidR="00191A47" w:rsidRPr="00146149" w14:paraId="2A6A3878" w14:textId="77777777" w:rsidTr="00191A47">
        <w:trPr>
          <w:cantSplit/>
          <w:trHeight w:val="283"/>
        </w:trPr>
        <w:tc>
          <w:tcPr>
            <w:tcW w:w="626" w:type="pct"/>
            <w:tcBorders>
              <w:top w:val="single" w:sz="4" w:space="0" w:color="auto"/>
              <w:left w:val="single" w:sz="4" w:space="0" w:color="auto"/>
              <w:bottom w:val="single" w:sz="4" w:space="0" w:color="auto"/>
              <w:right w:val="single" w:sz="4" w:space="0" w:color="auto"/>
            </w:tcBorders>
            <w:hideMark/>
          </w:tcPr>
          <w:p w14:paraId="78B9EB51" w14:textId="77777777"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0.842</w:t>
            </w:r>
          </w:p>
        </w:tc>
        <w:tc>
          <w:tcPr>
            <w:tcW w:w="786" w:type="pct"/>
            <w:tcBorders>
              <w:top w:val="single" w:sz="4" w:space="0" w:color="auto"/>
              <w:left w:val="single" w:sz="4" w:space="0" w:color="auto"/>
              <w:bottom w:val="single" w:sz="4" w:space="0" w:color="auto"/>
              <w:right w:val="single" w:sz="4" w:space="0" w:color="auto"/>
            </w:tcBorders>
            <w:hideMark/>
          </w:tcPr>
          <w:p w14:paraId="0F858B66" w14:textId="3A957A2D"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w:t>
            </w:r>
            <w:r w:rsidR="00967ABA" w:rsidRPr="00146149">
              <w:rPr>
                <w:rFonts w:ascii="Arial Narrow" w:hAnsi="Arial Narrow"/>
                <w:i/>
                <w:sz w:val="20"/>
                <w:szCs w:val="20"/>
              </w:rPr>
              <w:t>585</w:t>
            </w:r>
          </w:p>
        </w:tc>
        <w:tc>
          <w:tcPr>
            <w:tcW w:w="865" w:type="pct"/>
            <w:tcBorders>
              <w:top w:val="single" w:sz="4" w:space="0" w:color="auto"/>
              <w:left w:val="single" w:sz="4" w:space="0" w:color="auto"/>
              <w:bottom w:val="single" w:sz="4" w:space="0" w:color="auto"/>
              <w:right w:val="single" w:sz="4" w:space="0" w:color="auto"/>
            </w:tcBorders>
            <w:hideMark/>
          </w:tcPr>
          <w:p w14:paraId="11417D08" w14:textId="52771B67" w:rsidR="00191A47" w:rsidRPr="00146149" w:rsidRDefault="00967ABA"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w:t>
            </w:r>
            <w:r w:rsidR="00191A47" w:rsidRPr="00146149">
              <w:rPr>
                <w:rFonts w:ascii="Arial Narrow" w:hAnsi="Arial Narrow"/>
                <w:i/>
                <w:sz w:val="20"/>
                <w:szCs w:val="20"/>
              </w:rPr>
              <w:t>0.000</w:t>
            </w:r>
            <w:r w:rsidRPr="00146149">
              <w:rPr>
                <w:rFonts w:ascii="Arial Narrow" w:hAnsi="Arial Narrow"/>
                <w:i/>
                <w:sz w:val="20"/>
                <w:szCs w:val="20"/>
              </w:rPr>
              <w:t>4</w:t>
            </w:r>
          </w:p>
        </w:tc>
        <w:tc>
          <w:tcPr>
            <w:tcW w:w="2723" w:type="pct"/>
            <w:tcBorders>
              <w:top w:val="single" w:sz="4" w:space="0" w:color="auto"/>
              <w:left w:val="single" w:sz="4" w:space="0" w:color="auto"/>
              <w:bottom w:val="single" w:sz="4" w:space="0" w:color="auto"/>
              <w:right w:val="single" w:sz="4" w:space="0" w:color="auto"/>
            </w:tcBorders>
            <w:hideMark/>
          </w:tcPr>
          <w:p w14:paraId="18665F7F" w14:textId="77777777"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 xml:space="preserve">Dominated </w:t>
            </w:r>
          </w:p>
        </w:tc>
      </w:tr>
      <w:tr w:rsidR="00191A47" w:rsidRPr="00146149" w14:paraId="090EB41D" w14:textId="77777777" w:rsidTr="00191A47">
        <w:trPr>
          <w:cantSplit/>
        </w:trPr>
        <w:tc>
          <w:tcPr>
            <w:tcW w:w="5000" w:type="pct"/>
            <w:gridSpan w:val="4"/>
            <w:tcBorders>
              <w:top w:val="single" w:sz="4" w:space="0" w:color="auto"/>
              <w:left w:val="single" w:sz="4" w:space="0" w:color="auto"/>
              <w:bottom w:val="single" w:sz="4" w:space="0" w:color="auto"/>
              <w:right w:val="single" w:sz="4" w:space="0" w:color="auto"/>
            </w:tcBorders>
            <w:hideMark/>
          </w:tcPr>
          <w:p w14:paraId="48052950" w14:textId="77777777"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Annual cost of remission treated with CBZ/OXC without SJS-TEN/DRESS (base case $1,822.87; ±20%)</w:t>
            </w:r>
          </w:p>
        </w:tc>
      </w:tr>
      <w:tr w:rsidR="00191A47" w:rsidRPr="00146149" w14:paraId="06745F98" w14:textId="77777777" w:rsidTr="00191A47">
        <w:trPr>
          <w:cantSplit/>
        </w:trPr>
        <w:tc>
          <w:tcPr>
            <w:tcW w:w="626" w:type="pct"/>
            <w:tcBorders>
              <w:top w:val="single" w:sz="4" w:space="0" w:color="auto"/>
              <w:left w:val="single" w:sz="4" w:space="0" w:color="auto"/>
              <w:bottom w:val="single" w:sz="4" w:space="0" w:color="auto"/>
              <w:right w:val="single" w:sz="4" w:space="0" w:color="auto"/>
            </w:tcBorders>
            <w:hideMark/>
          </w:tcPr>
          <w:p w14:paraId="14206C0B" w14:textId="77777777"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$1,458.30</w:t>
            </w:r>
          </w:p>
        </w:tc>
        <w:tc>
          <w:tcPr>
            <w:tcW w:w="786" w:type="pct"/>
            <w:tcBorders>
              <w:top w:val="single" w:sz="4" w:space="0" w:color="auto"/>
              <w:left w:val="single" w:sz="4" w:space="0" w:color="auto"/>
              <w:bottom w:val="single" w:sz="4" w:space="0" w:color="auto"/>
              <w:right w:val="single" w:sz="4" w:space="0" w:color="auto"/>
            </w:tcBorders>
            <w:hideMark/>
          </w:tcPr>
          <w:p w14:paraId="3ADD9B9E" w14:textId="77777777"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$762</w:t>
            </w:r>
          </w:p>
        </w:tc>
        <w:tc>
          <w:tcPr>
            <w:tcW w:w="865" w:type="pct"/>
            <w:tcBorders>
              <w:top w:val="single" w:sz="4" w:space="0" w:color="auto"/>
              <w:left w:val="single" w:sz="4" w:space="0" w:color="auto"/>
              <w:bottom w:val="single" w:sz="4" w:space="0" w:color="auto"/>
              <w:right w:val="single" w:sz="4" w:space="0" w:color="auto"/>
            </w:tcBorders>
            <w:hideMark/>
          </w:tcPr>
          <w:p w14:paraId="62A7CA06" w14:textId="77777777"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0.0005</w:t>
            </w:r>
          </w:p>
        </w:tc>
        <w:tc>
          <w:tcPr>
            <w:tcW w:w="2723" w:type="pct"/>
            <w:tcBorders>
              <w:top w:val="single" w:sz="4" w:space="0" w:color="auto"/>
              <w:left w:val="single" w:sz="4" w:space="0" w:color="auto"/>
              <w:bottom w:val="single" w:sz="4" w:space="0" w:color="auto"/>
              <w:right w:val="single" w:sz="4" w:space="0" w:color="auto"/>
            </w:tcBorders>
            <w:hideMark/>
          </w:tcPr>
          <w:p w14:paraId="59FE28E9" w14:textId="77777777"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$1,635,545</w:t>
            </w:r>
          </w:p>
        </w:tc>
      </w:tr>
      <w:tr w:rsidR="00191A47" w:rsidRPr="00146149" w14:paraId="55567918" w14:textId="77777777" w:rsidTr="00191A47">
        <w:trPr>
          <w:cantSplit/>
          <w:trHeight w:val="283"/>
        </w:trPr>
        <w:tc>
          <w:tcPr>
            <w:tcW w:w="626" w:type="pct"/>
            <w:tcBorders>
              <w:top w:val="single" w:sz="4" w:space="0" w:color="auto"/>
              <w:left w:val="single" w:sz="4" w:space="0" w:color="auto"/>
              <w:bottom w:val="single" w:sz="4" w:space="0" w:color="auto"/>
              <w:right w:val="single" w:sz="4" w:space="0" w:color="auto"/>
            </w:tcBorders>
            <w:hideMark/>
          </w:tcPr>
          <w:p w14:paraId="398401BE" w14:textId="77777777"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$2,187.45</w:t>
            </w:r>
          </w:p>
        </w:tc>
        <w:tc>
          <w:tcPr>
            <w:tcW w:w="786" w:type="pct"/>
            <w:tcBorders>
              <w:top w:val="single" w:sz="4" w:space="0" w:color="auto"/>
              <w:left w:val="single" w:sz="4" w:space="0" w:color="auto"/>
              <w:bottom w:val="single" w:sz="4" w:space="0" w:color="auto"/>
              <w:right w:val="single" w:sz="4" w:space="0" w:color="auto"/>
            </w:tcBorders>
            <w:hideMark/>
          </w:tcPr>
          <w:p w14:paraId="1843A05B" w14:textId="77777777"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$7</w:t>
            </w:r>
          </w:p>
        </w:tc>
        <w:tc>
          <w:tcPr>
            <w:tcW w:w="865" w:type="pct"/>
            <w:tcBorders>
              <w:top w:val="single" w:sz="4" w:space="0" w:color="auto"/>
              <w:left w:val="single" w:sz="4" w:space="0" w:color="auto"/>
              <w:bottom w:val="single" w:sz="4" w:space="0" w:color="auto"/>
              <w:right w:val="single" w:sz="4" w:space="0" w:color="auto"/>
            </w:tcBorders>
            <w:hideMark/>
          </w:tcPr>
          <w:p w14:paraId="756B7DB9" w14:textId="77777777"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0.0005</w:t>
            </w:r>
          </w:p>
        </w:tc>
        <w:tc>
          <w:tcPr>
            <w:tcW w:w="2723" w:type="pct"/>
            <w:tcBorders>
              <w:top w:val="single" w:sz="4" w:space="0" w:color="auto"/>
              <w:left w:val="single" w:sz="4" w:space="0" w:color="auto"/>
              <w:bottom w:val="single" w:sz="4" w:space="0" w:color="auto"/>
              <w:right w:val="single" w:sz="4" w:space="0" w:color="auto"/>
            </w:tcBorders>
            <w:hideMark/>
          </w:tcPr>
          <w:p w14:paraId="37C32B07" w14:textId="77777777" w:rsidR="00191A47" w:rsidRPr="00146149" w:rsidRDefault="00191A47" w:rsidP="00146149">
            <w:pPr>
              <w:pStyle w:val="Instructionaltext"/>
              <w:keepNext/>
              <w:keepLines/>
              <w:spacing w:before="40" w:after="40"/>
              <w:rPr>
                <w:rFonts w:ascii="Arial Narrow" w:hAnsi="Arial Narrow"/>
                <w:i/>
                <w:sz w:val="20"/>
                <w:szCs w:val="20"/>
              </w:rPr>
            </w:pPr>
            <w:r w:rsidRPr="00146149">
              <w:rPr>
                <w:rFonts w:ascii="Arial Narrow" w:hAnsi="Arial Narrow"/>
                <w:i/>
                <w:sz w:val="20"/>
                <w:szCs w:val="20"/>
              </w:rPr>
              <w:t xml:space="preserve">$15,981 </w:t>
            </w:r>
          </w:p>
        </w:tc>
      </w:tr>
    </w:tbl>
    <w:p w14:paraId="63366A4B" w14:textId="6A540A1A" w:rsidR="006301DB" w:rsidRDefault="004336D9" w:rsidP="00A737D1">
      <w:pPr>
        <w:pStyle w:val="Instructionaltext"/>
        <w:keepNext/>
        <w:keepLines/>
        <w:spacing w:before="240"/>
        <w:rPr>
          <w:sz w:val="22"/>
          <w:szCs w:val="22"/>
        </w:rPr>
      </w:pPr>
      <w:r>
        <w:rPr>
          <w:b/>
          <w:bCs/>
          <w:noProof/>
          <w:highlight w:val="yellow"/>
        </w:rPr>
        <w:drawing>
          <wp:inline distT="0" distB="0" distL="0" distR="0" wp14:anchorId="35146748" wp14:editId="63CD68B9">
            <wp:extent cx="5600700" cy="3218180"/>
            <wp:effectExtent l="0" t="0" r="0" b="1270"/>
            <wp:docPr id="253646946" name="Picture 1" descr="Tornado diagram for one-way sensitivity analysis for epile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46946" name="Picture 1" descr="Tornado diagram for one-way sensitivity analysis for epilepsy"/>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00700" cy="3218180"/>
                    </a:xfrm>
                    <a:prstGeom prst="rect">
                      <a:avLst/>
                    </a:prstGeom>
                    <a:noFill/>
                    <a:ln>
                      <a:noFill/>
                    </a:ln>
                  </pic:spPr>
                </pic:pic>
              </a:graphicData>
            </a:graphic>
          </wp:inline>
        </w:drawing>
      </w:r>
    </w:p>
    <w:p w14:paraId="2FB9C135" w14:textId="38EF06B8" w:rsidR="006301DB" w:rsidRDefault="00D83972" w:rsidP="00A737D1">
      <w:pPr>
        <w:pStyle w:val="Instructionaltext"/>
        <w:keepNext/>
        <w:keepLines/>
        <w:spacing w:before="240"/>
        <w:rPr>
          <w:rFonts w:ascii="Arial Narrow" w:hAnsi="Arial Narrow"/>
          <w:b/>
          <w:bCs/>
          <w:sz w:val="20"/>
          <w:szCs w:val="20"/>
        </w:rPr>
      </w:pPr>
      <w:r w:rsidRPr="00DE06DF">
        <w:rPr>
          <w:rFonts w:ascii="Arial Narrow" w:hAnsi="Arial Narrow"/>
          <w:b/>
          <w:bCs/>
          <w:sz w:val="20"/>
          <w:szCs w:val="20"/>
        </w:rPr>
        <w:t xml:space="preserve">Figure </w:t>
      </w:r>
      <w:r w:rsidR="00E7059E">
        <w:rPr>
          <w:rFonts w:ascii="Arial Narrow" w:hAnsi="Arial Narrow"/>
          <w:b/>
          <w:bCs/>
          <w:sz w:val="20"/>
          <w:szCs w:val="20"/>
        </w:rPr>
        <w:t>5</w:t>
      </w:r>
      <w:r>
        <w:rPr>
          <w:rFonts w:ascii="Arial Narrow" w:hAnsi="Arial Narrow"/>
          <w:b/>
          <w:bCs/>
          <w:sz w:val="20"/>
          <w:szCs w:val="20"/>
        </w:rPr>
        <w:t xml:space="preserve">: </w:t>
      </w:r>
      <w:r w:rsidR="00757CF6" w:rsidRPr="00757CF6">
        <w:rPr>
          <w:rFonts w:ascii="Arial Narrow" w:hAnsi="Arial Narrow"/>
          <w:b/>
          <w:bCs/>
          <w:sz w:val="20"/>
          <w:szCs w:val="20"/>
        </w:rPr>
        <w:t>Tornado diagram for one-way sensitivity analysis for epilepsy</w:t>
      </w:r>
    </w:p>
    <w:p w14:paraId="1EA87561" w14:textId="15D489C6" w:rsidR="00303781" w:rsidRPr="00BA1003" w:rsidRDefault="00303781" w:rsidP="00A737D1">
      <w:pPr>
        <w:keepNext/>
        <w:keepLines/>
        <w:rPr>
          <w:noProof/>
          <w:sz w:val="16"/>
          <w:szCs w:val="18"/>
        </w:rPr>
      </w:pPr>
      <w:r w:rsidRPr="00BA1003">
        <w:rPr>
          <w:noProof/>
          <w:sz w:val="16"/>
          <w:szCs w:val="18"/>
        </w:rPr>
        <w:t>For each bar, the blue portion represents the part of the input range from the lower bound to the base case value, while the red portion represents the part of the input range from the base case value to the upper bound.</w:t>
      </w:r>
      <w:r w:rsidR="00E65262" w:rsidRPr="00E65262">
        <w:t xml:space="preserve"> </w:t>
      </w:r>
      <w:r w:rsidR="00E65262">
        <w:rPr>
          <w:noProof/>
          <w:sz w:val="16"/>
          <w:szCs w:val="18"/>
        </w:rPr>
        <w:t>The l</w:t>
      </w:r>
      <w:r w:rsidR="00E65262" w:rsidRPr="00E65262">
        <w:rPr>
          <w:noProof/>
          <w:sz w:val="16"/>
          <w:szCs w:val="18"/>
        </w:rPr>
        <w:t>ack of results for the first seven variables</w:t>
      </w:r>
      <w:r w:rsidR="00E65262">
        <w:rPr>
          <w:noProof/>
          <w:sz w:val="16"/>
          <w:szCs w:val="18"/>
        </w:rPr>
        <w:t xml:space="preserve"> is because t</w:t>
      </w:r>
      <w:r w:rsidR="00E65262" w:rsidRPr="00E65262">
        <w:rPr>
          <w:noProof/>
          <w:sz w:val="16"/>
          <w:szCs w:val="18"/>
        </w:rPr>
        <w:t>he variable has such a large effect that the outcome is essentially unbounded within the given range</w:t>
      </w:r>
      <w:r w:rsidR="00E65262">
        <w:rPr>
          <w:noProof/>
          <w:sz w:val="16"/>
          <w:szCs w:val="18"/>
        </w:rPr>
        <w:t xml:space="preserve">. </w:t>
      </w:r>
    </w:p>
    <w:p w14:paraId="709D3849" w14:textId="3FABDADD" w:rsidR="00757CF6" w:rsidRDefault="00303781" w:rsidP="00A737D1">
      <w:pPr>
        <w:pStyle w:val="Instructionaltext"/>
        <w:keepNext/>
        <w:keepLines/>
        <w:spacing w:before="240"/>
        <w:rPr>
          <w:rFonts w:ascii="Arial Narrow" w:hAnsi="Arial Narrow"/>
          <w:b/>
          <w:bCs/>
          <w:sz w:val="20"/>
          <w:szCs w:val="20"/>
        </w:rPr>
      </w:pPr>
      <w:r w:rsidRPr="00BA1003">
        <w:rPr>
          <w:noProof/>
          <w:sz w:val="16"/>
          <w:szCs w:val="18"/>
        </w:rPr>
        <w:t>Abbreviations: CBZ=carbamazepine; DRESS=drug reaction with eosinophilia and systemic symptoms; HLA=human leukocyte antigen; ICER=Incremental cost-effectiveness ratio; OXC=oxcarbazepine; SJS=Stevens–Johnson syndrome; TEN= toxic epidermal necrolysis; VPA= Valproate</w:t>
      </w:r>
    </w:p>
    <w:p w14:paraId="3942B573" w14:textId="1477E1C1" w:rsidR="006301DB" w:rsidRDefault="002C66E6" w:rsidP="422CAA86">
      <w:pPr>
        <w:pStyle w:val="Instructionaltext"/>
        <w:spacing w:before="240"/>
        <w:rPr>
          <w:sz w:val="22"/>
          <w:szCs w:val="22"/>
        </w:rPr>
      </w:pPr>
      <w:r>
        <w:rPr>
          <w:b/>
          <w:bCs/>
          <w:noProof/>
          <w:highlight w:val="yellow"/>
        </w:rPr>
        <w:lastRenderedPageBreak/>
        <w:drawing>
          <wp:inline distT="0" distB="0" distL="0" distR="0" wp14:anchorId="561C705E" wp14:editId="61348F16">
            <wp:extent cx="5563590" cy="3218180"/>
            <wp:effectExtent l="0" t="0" r="0" b="1270"/>
            <wp:docPr id="697595727" name="Picture 2" descr="Cost-effectiveness scatter plot for probabilistic sensitivity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595727" name="Picture 2" descr="Cost-effectiveness scatter plot for probabilistic sensitivity analysi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64977" cy="3218982"/>
                    </a:xfrm>
                    <a:prstGeom prst="rect">
                      <a:avLst/>
                    </a:prstGeom>
                    <a:noFill/>
                    <a:ln>
                      <a:noFill/>
                    </a:ln>
                  </pic:spPr>
                </pic:pic>
              </a:graphicData>
            </a:graphic>
          </wp:inline>
        </w:drawing>
      </w:r>
    </w:p>
    <w:p w14:paraId="059F16E7" w14:textId="44E19F54" w:rsidR="00C245AD" w:rsidRPr="00B233F7" w:rsidRDefault="002C66E6" w:rsidP="422CAA86">
      <w:pPr>
        <w:pStyle w:val="Instructionaltext"/>
        <w:spacing w:before="240"/>
        <w:rPr>
          <w:sz w:val="22"/>
          <w:szCs w:val="22"/>
        </w:rPr>
      </w:pPr>
      <w:r w:rsidRPr="00DE06DF">
        <w:rPr>
          <w:rFonts w:ascii="Arial Narrow" w:hAnsi="Arial Narrow"/>
          <w:b/>
          <w:bCs/>
          <w:sz w:val="20"/>
          <w:szCs w:val="20"/>
        </w:rPr>
        <w:t xml:space="preserve">Figure </w:t>
      </w:r>
      <w:r w:rsidR="00E7059E">
        <w:rPr>
          <w:rFonts w:ascii="Arial Narrow" w:hAnsi="Arial Narrow"/>
          <w:b/>
          <w:bCs/>
          <w:sz w:val="20"/>
          <w:szCs w:val="20"/>
        </w:rPr>
        <w:t>6</w:t>
      </w:r>
      <w:r>
        <w:rPr>
          <w:rFonts w:ascii="Arial Narrow" w:hAnsi="Arial Narrow"/>
          <w:b/>
          <w:bCs/>
          <w:sz w:val="20"/>
          <w:szCs w:val="20"/>
        </w:rPr>
        <w:t>:</w:t>
      </w:r>
      <w:r w:rsidR="000A1BF9" w:rsidRPr="000A1BF9">
        <w:t xml:space="preserve"> </w:t>
      </w:r>
      <w:r w:rsidR="000A1BF9" w:rsidRPr="000A1BF9">
        <w:rPr>
          <w:rFonts w:ascii="Arial Narrow" w:hAnsi="Arial Narrow"/>
          <w:b/>
          <w:bCs/>
          <w:sz w:val="20"/>
          <w:szCs w:val="20"/>
        </w:rPr>
        <w:t xml:space="preserve">Cost-effectiveness scatter </w:t>
      </w:r>
      <w:r w:rsidR="000A1BF9">
        <w:rPr>
          <w:rFonts w:ascii="Arial Narrow" w:hAnsi="Arial Narrow"/>
          <w:b/>
          <w:bCs/>
          <w:sz w:val="20"/>
          <w:szCs w:val="20"/>
        </w:rPr>
        <w:t>p</w:t>
      </w:r>
      <w:r w:rsidR="000A1BF9" w:rsidRPr="000A1BF9">
        <w:rPr>
          <w:rFonts w:ascii="Arial Narrow" w:hAnsi="Arial Narrow"/>
          <w:b/>
          <w:bCs/>
          <w:sz w:val="20"/>
          <w:szCs w:val="20"/>
        </w:rPr>
        <w:t>lot for probabili</w:t>
      </w:r>
      <w:r w:rsidR="00F316F3">
        <w:rPr>
          <w:rFonts w:ascii="Arial Narrow" w:hAnsi="Arial Narrow"/>
          <w:b/>
          <w:bCs/>
          <w:sz w:val="20"/>
          <w:szCs w:val="20"/>
        </w:rPr>
        <w:t>stic</w:t>
      </w:r>
      <w:r w:rsidR="000A1BF9" w:rsidRPr="000A1BF9">
        <w:rPr>
          <w:rFonts w:ascii="Arial Narrow" w:hAnsi="Arial Narrow"/>
          <w:b/>
          <w:bCs/>
          <w:sz w:val="20"/>
          <w:szCs w:val="20"/>
        </w:rPr>
        <w:t xml:space="preserve"> sensitivity analysis</w:t>
      </w:r>
    </w:p>
    <w:p w14:paraId="25AE2BAC" w14:textId="2BFE5680" w:rsidR="00772829" w:rsidRPr="00CE28E3" w:rsidRDefault="00772829" w:rsidP="00A737D1">
      <w:pPr>
        <w:pStyle w:val="Heading2"/>
        <w:numPr>
          <w:ilvl w:val="0"/>
          <w:numId w:val="21"/>
        </w:numPr>
        <w:ind w:hanging="720"/>
      </w:pPr>
      <w:bookmarkStart w:id="36" w:name="_Toc184825878"/>
      <w:r w:rsidRPr="00CE28E3">
        <w:t>Financial/budgetary impacts</w:t>
      </w:r>
      <w:bookmarkEnd w:id="36"/>
    </w:p>
    <w:p w14:paraId="0B74B1E3" w14:textId="4C7C3A04" w:rsidR="000776ED" w:rsidRPr="00B233F7" w:rsidRDefault="000776ED" w:rsidP="422CAA86">
      <w:pPr>
        <w:rPr>
          <w:sz w:val="22"/>
          <w:szCs w:val="22"/>
        </w:rPr>
      </w:pPr>
      <w:bookmarkStart w:id="37" w:name="_Ref172298923"/>
      <w:r w:rsidRPr="422CAA86">
        <w:rPr>
          <w:sz w:val="22"/>
          <w:szCs w:val="22"/>
        </w:rPr>
        <w:t xml:space="preserve">A market share approach, supported by epidemiological data was used to estimate the financial implications of the introduction of </w:t>
      </w:r>
      <w:r w:rsidR="003975F2" w:rsidRPr="003975F2">
        <w:rPr>
          <w:i/>
          <w:iCs/>
          <w:sz w:val="22"/>
          <w:szCs w:val="22"/>
        </w:rPr>
        <w:t xml:space="preserve">HLA-A*31:01 </w:t>
      </w:r>
      <w:r w:rsidR="009329F6" w:rsidRPr="422CAA86">
        <w:rPr>
          <w:sz w:val="22"/>
          <w:szCs w:val="22"/>
        </w:rPr>
        <w:t xml:space="preserve">and </w:t>
      </w:r>
      <w:r w:rsidR="003975F2" w:rsidRPr="003975F2">
        <w:rPr>
          <w:i/>
          <w:iCs/>
          <w:sz w:val="22"/>
          <w:szCs w:val="22"/>
        </w:rPr>
        <w:t xml:space="preserve">HLA-B*15:02 </w:t>
      </w:r>
      <w:r w:rsidRPr="422CAA86">
        <w:rPr>
          <w:sz w:val="22"/>
          <w:szCs w:val="22"/>
        </w:rPr>
        <w:t>genotyping</w:t>
      </w:r>
      <w:r w:rsidR="009329F6" w:rsidRPr="422CAA86">
        <w:rPr>
          <w:sz w:val="22"/>
          <w:szCs w:val="22"/>
        </w:rPr>
        <w:t xml:space="preserve"> prior to the commencement of carbamazepine or oxcarbazepine</w:t>
      </w:r>
      <w:r w:rsidRPr="422CAA86">
        <w:rPr>
          <w:sz w:val="22"/>
          <w:szCs w:val="22"/>
        </w:rPr>
        <w:t xml:space="preserve">. It was assumed that HLA genotyping would only be used for patients that were </w:t>
      </w:r>
      <w:r w:rsidR="00EF7031" w:rsidRPr="422CAA86">
        <w:rPr>
          <w:sz w:val="22"/>
          <w:szCs w:val="22"/>
        </w:rPr>
        <w:t xml:space="preserve">about to be </w:t>
      </w:r>
      <w:r w:rsidRPr="422CAA86">
        <w:rPr>
          <w:sz w:val="22"/>
          <w:szCs w:val="22"/>
        </w:rPr>
        <w:t>initiated on CBZ or OXC.</w:t>
      </w:r>
      <w:r w:rsidR="00B31389" w:rsidRPr="422CAA86">
        <w:rPr>
          <w:sz w:val="22"/>
          <w:szCs w:val="22"/>
        </w:rPr>
        <w:t xml:space="preserve"> While the proposed MBS fee of HLA genotyping (Item AAAA) is $188, in estimating the financial cost of the item to the MBS it was assumed that 30% of patients would be tested in hospital where a 75% benefit would apply while the remainder would occur out of hospital and the 85% benefit would apply.</w:t>
      </w:r>
    </w:p>
    <w:p w14:paraId="4EE79A2D" w14:textId="1EAA353B" w:rsidR="005A1F32" w:rsidRDefault="005A1F32" w:rsidP="005A1F32">
      <w:pPr>
        <w:pStyle w:val="Caption"/>
      </w:pPr>
      <w:r>
        <w:t xml:space="preserve">Table </w:t>
      </w:r>
      <w:bookmarkEnd w:id="37"/>
      <w:r w:rsidR="005265C5">
        <w:t>1</w:t>
      </w:r>
      <w:r w:rsidR="002F6C3A">
        <w:t>4</w:t>
      </w:r>
      <w:r w:rsidR="00A94B72">
        <w:t xml:space="preserve"> </w:t>
      </w:r>
      <w:r w:rsidRPr="00B955E5">
        <w:t>Data sources and parameter values applied in the utilisation and financial estimates.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245"/>
      </w:tblGrid>
      <w:tr w:rsidR="00E13BAC" w:rsidRPr="00FF4BE1" w14:paraId="6A6B4D99" w14:textId="77777777" w:rsidTr="422CAA86">
        <w:tc>
          <w:tcPr>
            <w:tcW w:w="4248" w:type="dxa"/>
            <w:shd w:val="clear" w:color="auto" w:fill="D9D9D9" w:themeFill="background1" w:themeFillShade="D9"/>
          </w:tcPr>
          <w:p w14:paraId="1226D70B" w14:textId="77777777" w:rsidR="00E13BAC" w:rsidRPr="00FF4BE1" w:rsidRDefault="00E13BAC">
            <w:pPr>
              <w:pStyle w:val="TableHeading"/>
              <w:rPr>
                <w:szCs w:val="20"/>
              </w:rPr>
            </w:pPr>
            <w:r w:rsidRPr="00FF4BE1">
              <w:rPr>
                <w:szCs w:val="20"/>
              </w:rPr>
              <w:t>Data source</w:t>
            </w:r>
          </w:p>
        </w:tc>
        <w:tc>
          <w:tcPr>
            <w:tcW w:w="5245" w:type="dxa"/>
            <w:shd w:val="clear" w:color="auto" w:fill="D9D9D9" w:themeFill="background1" w:themeFillShade="D9"/>
          </w:tcPr>
          <w:p w14:paraId="77148CD2" w14:textId="77777777" w:rsidR="00E13BAC" w:rsidRPr="00FF4BE1" w:rsidRDefault="00E13BAC">
            <w:pPr>
              <w:pStyle w:val="TableHeading"/>
              <w:rPr>
                <w:szCs w:val="20"/>
              </w:rPr>
            </w:pPr>
            <w:r w:rsidRPr="00FF4BE1">
              <w:rPr>
                <w:szCs w:val="20"/>
              </w:rPr>
              <w:t>Justification</w:t>
            </w:r>
          </w:p>
        </w:tc>
      </w:tr>
      <w:tr w:rsidR="00E13BAC" w:rsidRPr="00FF4BE1" w14:paraId="6A552F94" w14:textId="77777777" w:rsidTr="422CAA86">
        <w:tc>
          <w:tcPr>
            <w:tcW w:w="4248" w:type="dxa"/>
          </w:tcPr>
          <w:p w14:paraId="3B822179" w14:textId="2112E237" w:rsidR="00E13BAC" w:rsidRPr="00FF4BE1" w:rsidRDefault="000776ED">
            <w:pPr>
              <w:pStyle w:val="TableText"/>
            </w:pPr>
            <w:r w:rsidRPr="422CAA86">
              <w:t>PBS - R2024-093: Patient counts either for drugs Carbamazepine or Oxcarbazepine by quarter and financial year from 2018-19 to 2022-23.</w:t>
            </w:r>
          </w:p>
        </w:tc>
        <w:tc>
          <w:tcPr>
            <w:tcW w:w="5245" w:type="dxa"/>
          </w:tcPr>
          <w:p w14:paraId="79C73550" w14:textId="1BC92905" w:rsidR="00E13BAC" w:rsidRPr="00FF4BE1" w:rsidRDefault="000776ED">
            <w:pPr>
              <w:pStyle w:val="TableText"/>
            </w:pPr>
            <w:r w:rsidRPr="422CAA86">
              <w:t xml:space="preserve">The epidemiology of epilepsy, trigeminal neuralgia and bipolar, and the proportion of </w:t>
            </w:r>
            <w:r w:rsidR="002D057C" w:rsidRPr="422CAA86">
              <w:t xml:space="preserve">patients </w:t>
            </w:r>
            <w:r w:rsidRPr="422CAA86">
              <w:t xml:space="preserve">receiving either CBZ or OXC is poorly understood. Data on the actual figures of patients receiving CBZ and OXC is more accurate and less open to biases in the estimates of people likely to receive CBZ or OXC in the future. </w:t>
            </w:r>
          </w:p>
        </w:tc>
      </w:tr>
      <w:tr w:rsidR="00E13BAC" w:rsidRPr="00FF4BE1" w14:paraId="66948198" w14:textId="77777777" w:rsidTr="422CAA86">
        <w:tc>
          <w:tcPr>
            <w:tcW w:w="4248" w:type="dxa"/>
          </w:tcPr>
          <w:p w14:paraId="59A95208" w14:textId="77777777" w:rsidR="000776ED" w:rsidRDefault="000776ED" w:rsidP="000776ED">
            <w:pPr>
              <w:pStyle w:val="TableText"/>
            </w:pPr>
            <w:r w:rsidRPr="00FF4BE1">
              <w:t>Requested PBS and RPBS items processed from July 202</w:t>
            </w:r>
            <w:r>
              <w:t>3</w:t>
            </w:r>
            <w:r w:rsidRPr="00FF4BE1">
              <w:t xml:space="preserve"> to 202</w:t>
            </w:r>
            <w:r>
              <w:t>4</w:t>
            </w:r>
          </w:p>
          <w:p w14:paraId="4FBCE7FA" w14:textId="35638AEC" w:rsidR="000776ED" w:rsidRDefault="000776ED" w:rsidP="000776ED">
            <w:pPr>
              <w:pStyle w:val="TableText"/>
            </w:pPr>
            <w:r w:rsidRPr="00FF4BE1">
              <w:t xml:space="preserve">Pharmaceutical Benefits Schedule Item Reports </w:t>
            </w:r>
            <w:r>
              <w:fldChar w:fldCharType="begin"/>
            </w:r>
            <w:r w:rsidR="00AA706C">
              <w:instrText xml:space="preserve"> ADDIN EN.CITE &lt;EndNote&gt;&lt;Cite&gt;&lt;Author&gt;Services Australia&lt;/Author&gt;&lt;Year&gt;2024&lt;/Year&gt;&lt;RecNum&gt;54&lt;/RecNum&gt;&lt;DisplayText&gt;(Services Australia, 2024)&lt;/DisplayText&gt;&lt;record&gt;&lt;rec-number&gt;54&lt;/rec-number&gt;&lt;foreign-keys&gt;&lt;key app="EN" db-id="5aadsstv3sv996esway5vazsepfefazvfdps" timestamp="1730892159"&gt;54&lt;/key&gt;&lt;/foreign-keys&gt;&lt;ref-type name="Web Page"&gt;12&lt;/ref-type&gt;&lt;contributors&gt;&lt;authors&gt;&lt;author&gt;Services Australia,&lt;/author&gt;&lt;/authors&gt;&lt;/contributors&gt;&lt;titles&gt;&lt;title&gt;Pharmaceutical Benefits Schedule Item Reports&lt;/title&gt;&lt;/titles&gt;&lt;dates&gt;&lt;year&gt;2024&lt;/year&gt;&lt;/dates&gt;&lt;publisher&gt;Australian Government&lt;/publisher&gt;&lt;urls&gt;&lt;related-urls&gt;&lt;url&gt;http://medicarestatistics.humanservices.gov.au/statistics/pbs_item.jsp&lt;/url&gt;&lt;/related-urls&gt;&lt;/urls&gt;&lt;/record&gt;&lt;/Cite&gt;&lt;/EndNote&gt;</w:instrText>
            </w:r>
            <w:r>
              <w:fldChar w:fldCharType="separate"/>
            </w:r>
            <w:r w:rsidR="00AA706C">
              <w:rPr>
                <w:noProof/>
              </w:rPr>
              <w:t>(Services Australia, 2024)</w:t>
            </w:r>
            <w:r>
              <w:fldChar w:fldCharType="end"/>
            </w:r>
          </w:p>
          <w:p w14:paraId="6C619513" w14:textId="611959D3" w:rsidR="00E13BAC" w:rsidRPr="00FF4BE1" w:rsidRDefault="000776ED">
            <w:pPr>
              <w:pStyle w:val="TableText"/>
              <w:rPr>
                <w:szCs w:val="20"/>
              </w:rPr>
            </w:pPr>
            <w:r>
              <w:t>Proportion: CBZ 87.2%/</w:t>
            </w:r>
            <w:r w:rsidR="009E0B17">
              <w:t>OXC</w:t>
            </w:r>
            <w:r>
              <w:t xml:space="preserve"> 12.8%</w:t>
            </w:r>
          </w:p>
        </w:tc>
        <w:tc>
          <w:tcPr>
            <w:tcW w:w="5245" w:type="dxa"/>
          </w:tcPr>
          <w:p w14:paraId="168E27AB" w14:textId="569FB3F7" w:rsidR="00E13BAC" w:rsidRPr="00FF4BE1" w:rsidRDefault="000776ED">
            <w:pPr>
              <w:pStyle w:val="TableText"/>
              <w:rPr>
                <w:szCs w:val="20"/>
              </w:rPr>
            </w:pPr>
            <w:r w:rsidRPr="00FF4BE1">
              <w:t xml:space="preserve">Proportion of prescriptions dispensed for either </w:t>
            </w:r>
            <w:r>
              <w:t>CBZ or OXC needed to work out the number of patients prescribed each from the PBS data above.</w:t>
            </w:r>
          </w:p>
        </w:tc>
      </w:tr>
      <w:tr w:rsidR="00E13BAC" w:rsidRPr="00FF4BE1" w14:paraId="43EABB5E" w14:textId="77777777" w:rsidTr="422CAA86">
        <w:tc>
          <w:tcPr>
            <w:tcW w:w="4248" w:type="dxa"/>
          </w:tcPr>
          <w:p w14:paraId="47C7F880" w14:textId="18D996DC" w:rsidR="000776ED" w:rsidRDefault="000776ED" w:rsidP="000776ED">
            <w:pPr>
              <w:pStyle w:val="Default"/>
              <w:rPr>
                <w:rFonts w:ascii="Arial Narrow" w:hAnsi="Arial Narrow"/>
                <w:sz w:val="20"/>
                <w:szCs w:val="20"/>
              </w:rPr>
            </w:pPr>
            <w:r w:rsidRPr="0087111A">
              <w:rPr>
                <w:rFonts w:ascii="Arial Narrow" w:hAnsi="Arial Narrow"/>
                <w:sz w:val="20"/>
                <w:szCs w:val="20"/>
              </w:rPr>
              <w:t>Prevalence and incidence of epilepsy: A systematic review and meta-analysis of international studies</w:t>
            </w:r>
            <w:r>
              <w:rPr>
                <w:rFonts w:ascii="Arial Narrow" w:hAnsi="Arial Narrow"/>
                <w:sz w:val="20"/>
                <w:szCs w:val="20"/>
              </w:rPr>
              <w:t xml:space="preserve"> </w:t>
            </w:r>
            <w:r>
              <w:rPr>
                <w:rFonts w:ascii="Arial Narrow" w:hAnsi="Arial Narrow"/>
                <w:sz w:val="20"/>
                <w:szCs w:val="20"/>
              </w:rPr>
              <w:fldChar w:fldCharType="begin"/>
            </w:r>
            <w:r w:rsidR="00AA706C">
              <w:rPr>
                <w:rFonts w:ascii="Arial Narrow" w:hAnsi="Arial Narrow"/>
                <w:sz w:val="20"/>
                <w:szCs w:val="20"/>
              </w:rPr>
              <w:instrText xml:space="preserve"> ADDIN EN.CITE &lt;EndNote&gt;&lt;Cite&gt;&lt;Author&gt;Fiest&lt;/Author&gt;&lt;Year&gt;2017&lt;/Year&gt;&lt;RecNum&gt;57&lt;/RecNum&gt;&lt;DisplayText&gt;(Kirsten M. Fiest et al., 2017)&lt;/DisplayText&gt;&lt;record&gt;&lt;rec-number&gt;57&lt;/rec-number&gt;&lt;foreign-keys&gt;&lt;key app="EN" db-id="5aadsstv3sv996esway5vazsepfefazvfdps" timestamp="1730893681"&gt;57&lt;/key&gt;&lt;/foreign-keys&gt;&lt;ref-type name="Journal Article"&gt;17&lt;/ref-type&gt;&lt;contributors&gt;&lt;authors&gt;&lt;author&gt;Fiest, Kirsten M.&lt;/author&gt;&lt;author&gt;Sauro, Khara M.&lt;/author&gt;&lt;author&gt;Wiebe, Samuel&lt;/author&gt;&lt;author&gt;Patten, Scott B.&lt;/author&gt;&lt;author&gt;Kwon, Churl-Su&lt;/author&gt;&lt;author&gt;Dykeman, Jonathan&lt;/author&gt;&lt;author&gt;Pringsheim, Tamara&lt;/author&gt;&lt;author&gt;Lorenzetti, Diane L.&lt;/author&gt;&lt;author&gt;Jetté, Nathalie&lt;/author&gt;&lt;/authors&gt;&lt;/contributors&gt;&lt;titles&gt;&lt;title&gt;Prevalence and incidence of epilepsy&lt;/title&gt;&lt;secondary-title&gt;Neurology&lt;/secondary-title&gt;&lt;/titles&gt;&lt;periodical&gt;&lt;full-title&gt;Neurology&lt;/full-title&gt;&lt;/periodical&gt;&lt;pages&gt;296-303&lt;/pages&gt;&lt;volume&gt;88&lt;/volume&gt;&lt;number&gt;3&lt;/number&gt;&lt;dates&gt;&lt;year&gt;2017&lt;/year&gt;&lt;pub-dates&gt;&lt;date&gt;2017/01/17&lt;/date&gt;&lt;/pub-dates&gt;&lt;/dates&gt;&lt;publisher&gt;Wolters Kluwer&lt;/publisher&gt;&lt;urls&gt;&lt;related-urls&gt;&lt;url&gt;https://doi.org/10.1212/WNL.0000000000003509&lt;/url&gt;&lt;/related-urls&gt;&lt;/urls&gt;&lt;electronic-resource-num&gt;10.1212/WNL.0000000000003509&lt;/electronic-resource-num&gt;&lt;access-date&gt;2024/11/06&lt;/access-date&gt;&lt;/record&gt;&lt;/Cite&gt;&lt;/EndNote&gt;</w:instrText>
            </w:r>
            <w:r>
              <w:rPr>
                <w:rFonts w:ascii="Arial Narrow" w:hAnsi="Arial Narrow"/>
                <w:sz w:val="20"/>
                <w:szCs w:val="20"/>
              </w:rPr>
              <w:fldChar w:fldCharType="separate"/>
            </w:r>
            <w:r w:rsidR="00AA706C">
              <w:rPr>
                <w:rFonts w:ascii="Arial Narrow" w:hAnsi="Arial Narrow"/>
                <w:noProof/>
                <w:sz w:val="20"/>
                <w:szCs w:val="20"/>
              </w:rPr>
              <w:t>(Kirsten M. Fiest et al., 2017)</w:t>
            </w:r>
            <w:r>
              <w:rPr>
                <w:rFonts w:ascii="Arial Narrow" w:hAnsi="Arial Narrow"/>
                <w:sz w:val="20"/>
                <w:szCs w:val="20"/>
              </w:rPr>
              <w:fldChar w:fldCharType="end"/>
            </w:r>
          </w:p>
          <w:p w14:paraId="6202C4B3" w14:textId="5D95244F" w:rsidR="00E13BAC" w:rsidRPr="00FF4BE1" w:rsidRDefault="000776ED">
            <w:pPr>
              <w:pStyle w:val="TableText"/>
              <w:rPr>
                <w:szCs w:val="20"/>
              </w:rPr>
            </w:pPr>
            <w:r w:rsidRPr="00F961C9">
              <w:rPr>
                <w:szCs w:val="20"/>
              </w:rPr>
              <w:t>Epilepsy (61.44 per 100,000 person-years)</w:t>
            </w:r>
          </w:p>
        </w:tc>
        <w:tc>
          <w:tcPr>
            <w:tcW w:w="5245" w:type="dxa"/>
          </w:tcPr>
          <w:p w14:paraId="16C5F8E9" w14:textId="543D7D04" w:rsidR="00E13BAC" w:rsidRPr="00FF4BE1" w:rsidRDefault="000776ED">
            <w:pPr>
              <w:pStyle w:val="TableText"/>
              <w:rPr>
                <w:szCs w:val="20"/>
              </w:rPr>
            </w:pPr>
            <w:r>
              <w:t xml:space="preserve">Only prevalence data </w:t>
            </w:r>
            <w:r w:rsidR="00C662BA">
              <w:t>wa</w:t>
            </w:r>
            <w:r>
              <w:t xml:space="preserve">s available for Australia. This presents the best incidence rate. </w:t>
            </w:r>
          </w:p>
        </w:tc>
      </w:tr>
      <w:tr w:rsidR="00E13BAC" w:rsidRPr="00FF4BE1" w14:paraId="09790BF2" w14:textId="77777777" w:rsidTr="422CAA86">
        <w:tc>
          <w:tcPr>
            <w:tcW w:w="4248" w:type="dxa"/>
          </w:tcPr>
          <w:p w14:paraId="11481864" w14:textId="1629FA50" w:rsidR="000776ED" w:rsidRDefault="000776ED" w:rsidP="000776ED">
            <w:pPr>
              <w:pStyle w:val="Default"/>
              <w:rPr>
                <w:rFonts w:ascii="Arial Narrow" w:hAnsi="Arial Narrow"/>
                <w:sz w:val="20"/>
                <w:szCs w:val="20"/>
              </w:rPr>
            </w:pPr>
            <w:r w:rsidRPr="00C6145D">
              <w:rPr>
                <w:rFonts w:ascii="Arial Narrow" w:hAnsi="Arial Narrow"/>
                <w:sz w:val="20"/>
                <w:szCs w:val="20"/>
              </w:rPr>
              <w:t>The incidence and lifetime prevalence of neurological disorders in a prospective community-based study in the UK</w:t>
            </w:r>
            <w:r>
              <w:rPr>
                <w:rFonts w:ascii="Arial Narrow" w:hAnsi="Arial Narrow"/>
                <w:sz w:val="20"/>
                <w:szCs w:val="20"/>
              </w:rPr>
              <w:t xml:space="preserve"> </w:t>
            </w:r>
            <w:r>
              <w:rPr>
                <w:rFonts w:ascii="Arial Narrow" w:hAnsi="Arial Narrow"/>
                <w:sz w:val="20"/>
                <w:szCs w:val="20"/>
              </w:rPr>
              <w:fldChar w:fldCharType="begin"/>
            </w:r>
            <w:r w:rsidR="00AA706C">
              <w:rPr>
                <w:rFonts w:ascii="Arial Narrow" w:hAnsi="Arial Narrow"/>
                <w:sz w:val="20"/>
                <w:szCs w:val="20"/>
              </w:rPr>
              <w:instrText xml:space="preserve"> ADDIN EN.CITE &lt;EndNote&gt;&lt;Cite&gt;&lt;Author&gt;MacDonald&lt;/Author&gt;&lt;Year&gt;2000&lt;/Year&gt;&lt;RecNum&gt;58&lt;/RecNum&gt;&lt;DisplayText&gt;(MacDonald et al., 2000)&lt;/DisplayText&gt;&lt;record&gt;&lt;rec-number&gt;58&lt;/rec-number&gt;&lt;foreign-keys&gt;&lt;key app="EN" db-id="5aadsstv3sv996esway5vazsepfefazvfdps" timestamp="1730893716"&gt;58&lt;/key&gt;&lt;/foreign-keys&gt;&lt;ref-type name="Journal Article"&gt;17&lt;/ref-type&gt;&lt;contributors&gt;&lt;authors&gt;&lt;author&gt;MacDonald, B. K.&lt;/author&gt;&lt;author&gt;Cockerell, O. C.&lt;/author&gt;&lt;author&gt;Sander, J. W. A. S.&lt;/author&gt;&lt;author&gt;Shorvon, S. D.&lt;/author&gt;&lt;/authors&gt;&lt;/contributors&gt;&lt;titles&gt;&lt;title&gt;The incidence and lifetime prevalence of neurological disorders in a prospective community-based study in the UK&lt;/title&gt;&lt;secondary-title&gt;Brain&lt;/secondary-title&gt;&lt;/titles&gt;&lt;periodical&gt;&lt;full-title&gt;Brain&lt;/full-title&gt;&lt;/periodical&gt;&lt;pages&gt;665-676&lt;/pages&gt;&lt;volume&gt;123&lt;/volume&gt;&lt;number&gt;4&lt;/number&gt;&lt;dates&gt;&lt;year&gt;2000&lt;/year&gt;&lt;/dates&gt;&lt;isbn&gt;0006-8950&lt;/isbn&gt;&lt;urls&gt;&lt;related-urls&gt;&lt;url&gt;https://doi.org/10.1093/brain/123.4.665&lt;/url&gt;&lt;/related-urls&gt;&lt;/urls&gt;&lt;electronic-resource-num&gt;10.1093/brain/123.4.665&lt;/electronic-resource-num&gt;&lt;access-date&gt;11/6/2024&lt;/access-date&gt;&lt;/record&gt;&lt;/Cite&gt;&lt;/EndNote&gt;</w:instrText>
            </w:r>
            <w:r>
              <w:rPr>
                <w:rFonts w:ascii="Arial Narrow" w:hAnsi="Arial Narrow"/>
                <w:sz w:val="20"/>
                <w:szCs w:val="20"/>
              </w:rPr>
              <w:fldChar w:fldCharType="separate"/>
            </w:r>
            <w:r w:rsidR="00AA706C">
              <w:rPr>
                <w:rFonts w:ascii="Arial Narrow" w:hAnsi="Arial Narrow"/>
                <w:noProof/>
                <w:sz w:val="20"/>
                <w:szCs w:val="20"/>
              </w:rPr>
              <w:t>(MacDonald et al., 2000)</w:t>
            </w:r>
            <w:r>
              <w:rPr>
                <w:rFonts w:ascii="Arial Narrow" w:hAnsi="Arial Narrow"/>
                <w:sz w:val="20"/>
                <w:szCs w:val="20"/>
              </w:rPr>
              <w:fldChar w:fldCharType="end"/>
            </w:r>
          </w:p>
          <w:p w14:paraId="5A2E4A54" w14:textId="15DC700D" w:rsidR="00E13BAC" w:rsidRPr="00FF4BE1" w:rsidRDefault="000776ED">
            <w:pPr>
              <w:pStyle w:val="TableText"/>
              <w:rPr>
                <w:szCs w:val="20"/>
              </w:rPr>
            </w:pPr>
            <w:r w:rsidRPr="005F7DD7">
              <w:rPr>
                <w:szCs w:val="20"/>
              </w:rPr>
              <w:lastRenderedPageBreak/>
              <w:t>Trigeminal neuralgia (6.15 per 100,000 person-years)</w:t>
            </w:r>
          </w:p>
        </w:tc>
        <w:tc>
          <w:tcPr>
            <w:tcW w:w="5245" w:type="dxa"/>
          </w:tcPr>
          <w:p w14:paraId="686518E6" w14:textId="44C34D48" w:rsidR="00E13BAC" w:rsidRPr="00FF4BE1" w:rsidRDefault="000776ED">
            <w:pPr>
              <w:pStyle w:val="TableText"/>
              <w:rPr>
                <w:szCs w:val="20"/>
              </w:rPr>
            </w:pPr>
            <w:r>
              <w:lastRenderedPageBreak/>
              <w:t xml:space="preserve">No data on the prevalence of </w:t>
            </w:r>
            <w:r>
              <w:rPr>
                <w:szCs w:val="20"/>
              </w:rPr>
              <w:t>t</w:t>
            </w:r>
            <w:r w:rsidRPr="005F7DD7">
              <w:rPr>
                <w:szCs w:val="20"/>
              </w:rPr>
              <w:t>rigeminal neuralgia</w:t>
            </w:r>
            <w:r>
              <w:t xml:space="preserve"> is available for Australia. This Paper is the best estimate for a similar population. </w:t>
            </w:r>
          </w:p>
        </w:tc>
      </w:tr>
      <w:tr w:rsidR="000776ED" w:rsidRPr="00FF4BE1" w14:paraId="5BA11C5A" w14:textId="77777777" w:rsidTr="422CAA86">
        <w:tc>
          <w:tcPr>
            <w:tcW w:w="4248" w:type="dxa"/>
          </w:tcPr>
          <w:p w14:paraId="4EC990EC" w14:textId="77777777" w:rsidR="000776ED" w:rsidRDefault="000776ED" w:rsidP="000776ED">
            <w:pPr>
              <w:pStyle w:val="Default"/>
              <w:rPr>
                <w:rFonts w:ascii="Arial Narrow" w:hAnsi="Arial Narrow"/>
                <w:sz w:val="20"/>
                <w:szCs w:val="20"/>
              </w:rPr>
            </w:pPr>
            <w:r>
              <w:rPr>
                <w:rFonts w:ascii="Arial Narrow" w:hAnsi="Arial Narrow"/>
                <w:sz w:val="20"/>
                <w:szCs w:val="20"/>
              </w:rPr>
              <w:t xml:space="preserve">ABS </w:t>
            </w:r>
            <w:r w:rsidRPr="00D42E76">
              <w:rPr>
                <w:rFonts w:ascii="Arial Narrow" w:hAnsi="Arial Narrow"/>
                <w:sz w:val="20"/>
                <w:szCs w:val="20"/>
              </w:rPr>
              <w:t>National Study of Mental Health and Wellbeing</w:t>
            </w:r>
          </w:p>
          <w:p w14:paraId="30E57A78" w14:textId="022E5D2E" w:rsidR="000776ED" w:rsidRPr="00C6145D" w:rsidRDefault="000776ED" w:rsidP="000776ED">
            <w:pPr>
              <w:pStyle w:val="Default"/>
              <w:rPr>
                <w:rFonts w:ascii="Arial Narrow" w:hAnsi="Arial Narrow"/>
                <w:sz w:val="20"/>
                <w:szCs w:val="20"/>
              </w:rPr>
            </w:pPr>
            <w:r w:rsidRPr="00F00FE3">
              <w:rPr>
                <w:rFonts w:ascii="Arial Narrow" w:hAnsi="Arial Narrow"/>
                <w:sz w:val="20"/>
                <w:szCs w:val="20"/>
              </w:rPr>
              <w:t>Bipolar disorder (4 per 100,000 person-years)</w:t>
            </w:r>
            <w:r>
              <w:rPr>
                <w:rFonts w:ascii="Arial Narrow" w:hAnsi="Arial Narrow"/>
                <w:sz w:val="20"/>
                <w:szCs w:val="20"/>
              </w:rPr>
              <w:t xml:space="preserve"> </w:t>
            </w:r>
            <w:r>
              <w:rPr>
                <w:rFonts w:ascii="Arial Narrow" w:hAnsi="Arial Narrow"/>
                <w:sz w:val="20"/>
                <w:szCs w:val="20"/>
              </w:rPr>
              <w:fldChar w:fldCharType="begin"/>
            </w:r>
            <w:r w:rsidR="00AA706C">
              <w:rPr>
                <w:rFonts w:ascii="Arial Narrow" w:hAnsi="Arial Narrow"/>
                <w:sz w:val="20"/>
                <w:szCs w:val="20"/>
              </w:rPr>
              <w:instrText xml:space="preserve"> ADDIN EN.CITE &lt;EndNote&gt;&lt;Cite&gt;&lt;Author&gt;Australian Bureau of Statistics&lt;/Author&gt;&lt;Year&gt;2020-2022&lt;/Year&gt;&lt;RecNum&gt;59&lt;/RecNum&gt;&lt;DisplayText&gt;(Australian Bureau of Statistics, 2020-2022)&lt;/DisplayText&gt;&lt;record&gt;&lt;rec-number&gt;59&lt;/rec-number&gt;&lt;foreign-keys&gt;&lt;key app="EN" db-id="5aadsstv3sv996esway5vazsepfefazvfdps" timestamp="1730893782"&gt;59&lt;/key&gt;&lt;/foreign-keys&gt;&lt;ref-type name="Web Page"&gt;12&lt;/ref-type&gt;&lt;contributors&gt;&lt;authors&gt;&lt;author&gt;Australian Bureau of Statistics,&lt;/author&gt;&lt;/authors&gt;&lt;/contributors&gt;&lt;titles&gt;&lt;title&gt;National Study of Mental Health and Wellbeing&lt;/title&gt;&lt;/titles&gt;&lt;dates&gt;&lt;year&gt;2020-2022&lt;/year&gt;&lt;/dates&gt;&lt;publisher&gt;ABS&lt;/publisher&gt;&lt;urls&gt;&lt;related-urls&gt;&lt;url&gt;https://www.abs.gov.au/statistics/health/mental-health/national-study-mental-health-and-wellbeing/latest-release&lt;/url&gt;&lt;/related-urls&gt;&lt;/urls&gt;&lt;/record&gt;&lt;/Cite&gt;&lt;/EndNote&gt;</w:instrText>
            </w:r>
            <w:r>
              <w:rPr>
                <w:rFonts w:ascii="Arial Narrow" w:hAnsi="Arial Narrow"/>
                <w:sz w:val="20"/>
                <w:szCs w:val="20"/>
              </w:rPr>
              <w:fldChar w:fldCharType="separate"/>
            </w:r>
            <w:r w:rsidR="00AA706C">
              <w:rPr>
                <w:rFonts w:ascii="Arial Narrow" w:hAnsi="Arial Narrow"/>
                <w:noProof/>
                <w:sz w:val="20"/>
                <w:szCs w:val="20"/>
              </w:rPr>
              <w:t>(Australian Bureau of Statistics, 2020-2022)</w:t>
            </w:r>
            <w:r>
              <w:rPr>
                <w:rFonts w:ascii="Arial Narrow" w:hAnsi="Arial Narrow"/>
                <w:sz w:val="20"/>
                <w:szCs w:val="20"/>
              </w:rPr>
              <w:fldChar w:fldCharType="end"/>
            </w:r>
          </w:p>
        </w:tc>
        <w:tc>
          <w:tcPr>
            <w:tcW w:w="5245" w:type="dxa"/>
          </w:tcPr>
          <w:p w14:paraId="6E98166C" w14:textId="3D719A73" w:rsidR="000776ED" w:rsidRDefault="000776ED" w:rsidP="000776ED">
            <w:pPr>
              <w:pStyle w:val="TableText"/>
            </w:pPr>
            <w:r>
              <w:t>This is the best estimate of bipolar disorder in Australia.</w:t>
            </w:r>
          </w:p>
        </w:tc>
      </w:tr>
      <w:tr w:rsidR="000776ED" w:rsidRPr="00FF4BE1" w14:paraId="0101DAE2" w14:textId="77777777" w:rsidTr="422CAA86">
        <w:tc>
          <w:tcPr>
            <w:tcW w:w="4248" w:type="dxa"/>
          </w:tcPr>
          <w:p w14:paraId="3F36CDC5" w14:textId="268AD71D" w:rsidR="000776ED" w:rsidRDefault="000776ED" w:rsidP="000776ED">
            <w:pPr>
              <w:pStyle w:val="Default"/>
              <w:rPr>
                <w:rFonts w:ascii="Arial Narrow" w:hAnsi="Arial Narrow"/>
                <w:sz w:val="20"/>
                <w:szCs w:val="20"/>
              </w:rPr>
            </w:pPr>
            <w:r w:rsidRPr="008D54B9">
              <w:rPr>
                <w:rFonts w:ascii="Arial Narrow" w:hAnsi="Arial Narrow"/>
                <w:sz w:val="20"/>
                <w:szCs w:val="20"/>
              </w:rPr>
              <w:t>Australian Institute of Health and Welfare (2022)</w:t>
            </w:r>
            <w:r>
              <w:rPr>
                <w:rFonts w:ascii="Arial Narrow" w:hAnsi="Arial Narrow"/>
                <w:sz w:val="20"/>
                <w:szCs w:val="20"/>
              </w:rPr>
              <w:t xml:space="preserve"> – </w:t>
            </w:r>
            <w:r w:rsidRPr="008D54B9">
              <w:rPr>
                <w:rFonts w:ascii="Arial Narrow" w:hAnsi="Arial Narrow"/>
                <w:sz w:val="20"/>
                <w:szCs w:val="20"/>
              </w:rPr>
              <w:t>Epilepsy in Australia</w:t>
            </w:r>
            <w:r>
              <w:rPr>
                <w:rFonts w:ascii="Arial Narrow" w:hAnsi="Arial Narrow"/>
                <w:sz w:val="20"/>
                <w:szCs w:val="20"/>
              </w:rPr>
              <w:t xml:space="preserve"> </w:t>
            </w:r>
            <w:r>
              <w:rPr>
                <w:rFonts w:ascii="Arial Narrow" w:hAnsi="Arial Narrow"/>
                <w:sz w:val="20"/>
                <w:szCs w:val="20"/>
              </w:rPr>
              <w:fldChar w:fldCharType="begin"/>
            </w:r>
            <w:r w:rsidR="00AA706C">
              <w:rPr>
                <w:rFonts w:ascii="Arial Narrow" w:hAnsi="Arial Narrow"/>
                <w:sz w:val="20"/>
                <w:szCs w:val="20"/>
              </w:rPr>
              <w:instrText xml:space="preserve"> ADDIN EN.CITE &lt;EndNote&gt;&lt;Cite&gt;&lt;Author&gt;Health&lt;/Author&gt;&lt;Year&gt;2022&lt;/Year&gt;&lt;RecNum&gt;60&lt;/RecNum&gt;&lt;DisplayText&gt;(Health &amp;amp; Welfare, 2022)&lt;/DisplayText&gt;&lt;record&gt;&lt;rec-number&gt;60&lt;/rec-number&gt;&lt;foreign-keys&gt;&lt;key app="EN" db-id="5aadsstv3sv996esway5vazsepfefazvfdps" timestamp="1730893822"&gt;60&lt;/key&gt;&lt;/foreign-keys&gt;&lt;ref-type name="Report"&gt;27&lt;/ref-type&gt;&lt;contributors&gt;&lt;authors&gt;&lt;author&gt;Australian Institute of Health&lt;/author&gt;&lt;author&gt;Welfare&lt;/author&gt;&lt;/authors&gt;&lt;/contributors&gt;&lt;titles&gt;&lt;title&gt;Epilepsy in Australia&lt;/title&gt;&lt;/titles&gt;&lt;dates&gt;&lt;year&gt;2022&lt;/year&gt;&lt;/dates&gt;&lt;pub-location&gt;Canberra&lt;/pub-location&gt;&lt;publisher&gt;AIHW&lt;/publisher&gt;&lt;urls&gt;&lt;related-urls&gt;&lt;url&gt;https://www.aihw.gov.au/reports/chronic-disease/epilepsy-in-australia&lt;/url&gt;&lt;/related-urls&gt;&lt;/urls&gt;&lt;/record&gt;&lt;/Cite&gt;&lt;/EndNote&gt;</w:instrText>
            </w:r>
            <w:r>
              <w:rPr>
                <w:rFonts w:ascii="Arial Narrow" w:hAnsi="Arial Narrow"/>
                <w:sz w:val="20"/>
                <w:szCs w:val="20"/>
              </w:rPr>
              <w:fldChar w:fldCharType="separate"/>
            </w:r>
            <w:r w:rsidR="00AA706C">
              <w:rPr>
                <w:rFonts w:ascii="Arial Narrow" w:hAnsi="Arial Narrow"/>
                <w:noProof/>
                <w:sz w:val="20"/>
                <w:szCs w:val="20"/>
              </w:rPr>
              <w:t>(Health &amp; Welfare, 2022)</w:t>
            </w:r>
            <w:r>
              <w:rPr>
                <w:rFonts w:ascii="Arial Narrow" w:hAnsi="Arial Narrow"/>
                <w:sz w:val="20"/>
                <w:szCs w:val="20"/>
              </w:rPr>
              <w:fldChar w:fldCharType="end"/>
            </w:r>
          </w:p>
          <w:p w14:paraId="189697E0" w14:textId="3480C4DA" w:rsidR="000776ED" w:rsidRDefault="000776ED" w:rsidP="000776ED">
            <w:pPr>
              <w:pStyle w:val="Default"/>
              <w:rPr>
                <w:rFonts w:ascii="Arial Narrow" w:hAnsi="Arial Narrow"/>
                <w:sz w:val="20"/>
                <w:szCs w:val="20"/>
              </w:rPr>
            </w:pPr>
            <w:r w:rsidRPr="00357428">
              <w:rPr>
                <w:rFonts w:ascii="Arial Narrow" w:hAnsi="Arial Narrow"/>
                <w:sz w:val="20"/>
                <w:szCs w:val="20"/>
              </w:rPr>
              <w:t>Number of people with epilepsy treated with carbamazepine (9.4%) or oxcarbazepine (0.8%)</w:t>
            </w:r>
          </w:p>
        </w:tc>
        <w:tc>
          <w:tcPr>
            <w:tcW w:w="5245" w:type="dxa"/>
          </w:tcPr>
          <w:p w14:paraId="644D3547" w14:textId="77777777" w:rsidR="000776ED" w:rsidRDefault="000776ED" w:rsidP="000776ED">
            <w:pPr>
              <w:pStyle w:val="TableText"/>
            </w:pPr>
          </w:p>
        </w:tc>
      </w:tr>
      <w:tr w:rsidR="000776ED" w:rsidRPr="00FF4BE1" w14:paraId="3C1F2E29" w14:textId="77777777" w:rsidTr="422CAA86">
        <w:tc>
          <w:tcPr>
            <w:tcW w:w="4248" w:type="dxa"/>
          </w:tcPr>
          <w:p w14:paraId="133ABEC7" w14:textId="3EA05AED" w:rsidR="000776ED" w:rsidRDefault="000776ED" w:rsidP="000776ED">
            <w:pPr>
              <w:pStyle w:val="Default"/>
              <w:rPr>
                <w:rFonts w:ascii="Arial Narrow" w:hAnsi="Arial Narrow"/>
                <w:sz w:val="20"/>
                <w:szCs w:val="20"/>
              </w:rPr>
            </w:pPr>
            <w:r w:rsidRPr="00896C04">
              <w:rPr>
                <w:rFonts w:ascii="Arial Narrow" w:hAnsi="Arial Narrow"/>
                <w:sz w:val="20"/>
                <w:szCs w:val="20"/>
              </w:rPr>
              <w:t>Preliminary results from the Australian Genetics of Bipolar Disorder Study: A nation-wide cohort</w:t>
            </w:r>
            <w:r>
              <w:rPr>
                <w:rFonts w:ascii="Arial Narrow" w:hAnsi="Arial Narrow"/>
                <w:sz w:val="20"/>
                <w:szCs w:val="20"/>
              </w:rPr>
              <w:t xml:space="preserve"> </w:t>
            </w:r>
            <w:r>
              <w:rPr>
                <w:rFonts w:ascii="Arial Narrow" w:hAnsi="Arial Narrow"/>
                <w:sz w:val="20"/>
                <w:szCs w:val="20"/>
              </w:rPr>
              <w:fldChar w:fldCharType="begin">
                <w:fldData xml:space="preserve">PEVuZE5vdGU+PENpdGU+PEF1dGhvcj5MaW5kPC9BdXRob3I+PFllYXI+MjAyMzwvWWVhcj48UmVj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</w:fldData>
              </w:fldChar>
            </w:r>
            <w:r w:rsidR="00AA706C">
              <w:rPr>
                <w:rFonts w:ascii="Arial Narrow" w:hAnsi="Arial Narrow"/>
                <w:sz w:val="20"/>
                <w:szCs w:val="20"/>
              </w:rPr>
              <w:instrText xml:space="preserve"> ADDIN EN.CITE </w:instrText>
            </w:r>
            <w:r w:rsidR="00AA706C">
              <w:rPr>
                <w:rFonts w:ascii="Arial Narrow" w:hAnsi="Arial Narrow"/>
                <w:sz w:val="20"/>
                <w:szCs w:val="20"/>
              </w:rPr>
              <w:fldChar w:fldCharType="begin">
                <w:fldData xml:space="preserve">PEVuZE5vdGU+PENpdGU+PEF1dGhvcj5MaW5kPC9BdXRob3I+PFllYXI+MjAyMzwvWWVhcj48UmVj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</w:fldData>
              </w:fldChar>
            </w:r>
            <w:r w:rsidR="00AA706C">
              <w:rPr>
                <w:rFonts w:ascii="Arial Narrow" w:hAnsi="Arial Narrow"/>
                <w:sz w:val="20"/>
                <w:szCs w:val="20"/>
              </w:rPr>
              <w:instrText xml:space="preserve"> ADDIN EN.CITE.DATA </w:instrText>
            </w:r>
            <w:r w:rsidR="00AA706C">
              <w:rPr>
                <w:rFonts w:ascii="Arial Narrow" w:hAnsi="Arial Narrow"/>
                <w:sz w:val="20"/>
                <w:szCs w:val="20"/>
              </w:rPr>
            </w:r>
            <w:r w:rsidR="00AA706C">
              <w:rPr>
                <w:rFonts w:ascii="Arial Narrow" w:hAnsi="Arial Narrow"/>
                <w:sz w:val="20"/>
                <w:szCs w:val="20"/>
              </w:rPr>
              <w:fldChar w:fldCharType="end"/>
            </w:r>
            <w:r>
              <w:rPr>
                <w:rFonts w:ascii="Arial Narrow" w:hAnsi="Arial Narrow"/>
                <w:sz w:val="20"/>
                <w:szCs w:val="20"/>
              </w:rPr>
            </w:r>
            <w:r>
              <w:rPr>
                <w:rFonts w:ascii="Arial Narrow" w:hAnsi="Arial Narrow"/>
                <w:sz w:val="20"/>
                <w:szCs w:val="20"/>
              </w:rPr>
              <w:fldChar w:fldCharType="separate"/>
            </w:r>
            <w:r w:rsidR="00AA706C">
              <w:rPr>
                <w:rFonts w:ascii="Arial Narrow" w:hAnsi="Arial Narrow"/>
                <w:noProof/>
                <w:sz w:val="20"/>
                <w:szCs w:val="20"/>
              </w:rPr>
              <w:t>(Lind et al., 2023)</w:t>
            </w:r>
            <w:r>
              <w:rPr>
                <w:rFonts w:ascii="Arial Narrow" w:hAnsi="Arial Narrow"/>
                <w:sz w:val="20"/>
                <w:szCs w:val="20"/>
              </w:rPr>
              <w:fldChar w:fldCharType="end"/>
            </w:r>
          </w:p>
          <w:p w14:paraId="4EC239FB" w14:textId="4FB590A3" w:rsidR="000776ED" w:rsidRPr="008D54B9" w:rsidRDefault="000776ED" w:rsidP="000776ED">
            <w:pPr>
              <w:pStyle w:val="Default"/>
              <w:rPr>
                <w:rFonts w:ascii="Arial Narrow" w:hAnsi="Arial Narrow"/>
                <w:sz w:val="20"/>
                <w:szCs w:val="20"/>
              </w:rPr>
            </w:pPr>
            <w:r>
              <w:rPr>
                <w:rFonts w:ascii="Arial Narrow" w:hAnsi="Arial Narrow"/>
                <w:sz w:val="20"/>
                <w:szCs w:val="20"/>
              </w:rPr>
              <w:t>Proportion of Bipolar disorder patients receiving CBZ = 10.3%</w:t>
            </w:r>
          </w:p>
        </w:tc>
        <w:tc>
          <w:tcPr>
            <w:tcW w:w="5245" w:type="dxa"/>
          </w:tcPr>
          <w:p w14:paraId="0C372F53" w14:textId="037AADD6" w:rsidR="000776ED" w:rsidRDefault="000776ED" w:rsidP="000776ED">
            <w:pPr>
              <w:pStyle w:val="TableText"/>
            </w:pPr>
            <w:r w:rsidRPr="00896C04">
              <w:t>The Australian Genetics of Bipolar Disorder Study is a nation-wide cohort of adults living with bipolar disorder.</w:t>
            </w:r>
          </w:p>
        </w:tc>
      </w:tr>
      <w:tr w:rsidR="000776ED" w:rsidRPr="00FF4BE1" w14:paraId="4FBB8886" w14:textId="77777777" w:rsidTr="422CAA86">
        <w:tc>
          <w:tcPr>
            <w:tcW w:w="4248" w:type="dxa"/>
          </w:tcPr>
          <w:p w14:paraId="68715791" w14:textId="4A357646" w:rsidR="000776ED" w:rsidRDefault="000776ED" w:rsidP="000776ED">
            <w:pPr>
              <w:pStyle w:val="TableText"/>
            </w:pPr>
            <w:r w:rsidRPr="001A6231">
              <w:t xml:space="preserve">Epidemiology and treatment of neuropathic pain: the UK primary care perspective </w:t>
            </w:r>
            <w:r>
              <w:fldChar w:fldCharType="begin">
                <w:fldData xml:space="preserve">PEVuZE5vdGU+PENpdGU+PEF1dGhvcj5IYWxsPC9BdXRob3I+PFllYXI+MjAwNjwvWWVhcj48UmVj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</w:fldData>
              </w:fldChar>
            </w:r>
            <w:r w:rsidR="00AA706C">
              <w:instrText xml:space="preserve"> ADDIN EN.CITE </w:instrText>
            </w:r>
            <w:r w:rsidR="00AA706C">
              <w:fldChar w:fldCharType="begin">
                <w:fldData xml:space="preserve">PEVuZE5vdGU+PENpdGU+PEF1dGhvcj5IYWxsPC9BdXRob3I+PFllYXI+MjAwNjwvWWVhcj48UmVj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</w:fldData>
              </w:fldChar>
            </w:r>
            <w:r w:rsidR="00AA706C">
              <w:instrText xml:space="preserve"> ADDIN EN.CITE.DATA </w:instrText>
            </w:r>
            <w:r w:rsidR="00AA706C">
              <w:fldChar w:fldCharType="end"/>
            </w:r>
            <w:r>
              <w:fldChar w:fldCharType="separate"/>
            </w:r>
            <w:r w:rsidR="00AA706C">
              <w:rPr>
                <w:noProof/>
              </w:rPr>
              <w:t>(Hall et al., 2006)</w:t>
            </w:r>
            <w:r>
              <w:fldChar w:fldCharType="end"/>
            </w:r>
          </w:p>
          <w:p w14:paraId="40BE5C84" w14:textId="5F393C2D" w:rsidR="000776ED" w:rsidRPr="006918B8" w:rsidRDefault="000776ED" w:rsidP="006918B8">
            <w:pPr>
              <w:pStyle w:val="TableText"/>
            </w:pPr>
            <w:r>
              <w:t>Number of people with trigeminal neuralgia treated with carbamazepine = 58%</w:t>
            </w:r>
          </w:p>
        </w:tc>
        <w:tc>
          <w:tcPr>
            <w:tcW w:w="5245" w:type="dxa"/>
          </w:tcPr>
          <w:p w14:paraId="61F0034D" w14:textId="31C676C5" w:rsidR="000776ED" w:rsidRPr="00896C04" w:rsidRDefault="000776ED" w:rsidP="000776ED">
            <w:pPr>
              <w:pStyle w:val="TableText"/>
            </w:pPr>
            <w:r>
              <w:t>Local expert opinion estimates 100%</w:t>
            </w:r>
          </w:p>
        </w:tc>
      </w:tr>
      <w:tr w:rsidR="000776ED" w:rsidRPr="00FF4BE1" w14:paraId="0F4AC63E" w14:textId="77777777" w:rsidTr="422CAA86">
        <w:tc>
          <w:tcPr>
            <w:tcW w:w="4248" w:type="dxa"/>
          </w:tcPr>
          <w:p w14:paraId="2750BA46" w14:textId="712D31C9" w:rsidR="000776ED" w:rsidRDefault="000776ED" w:rsidP="000776ED">
            <w:pPr>
              <w:pStyle w:val="TableText"/>
            </w:pPr>
            <w:r w:rsidRPr="005D534C">
              <w:t>Census of Population and Housing: Cultural diversity data summary, 2021</w:t>
            </w:r>
            <w:r>
              <w:t xml:space="preserve"> </w:t>
            </w:r>
            <w:r>
              <w:fldChar w:fldCharType="begin"/>
            </w:r>
            <w:r w:rsidR="00AA706C">
              <w:instrText xml:space="preserve"> ADDIN EN.CITE &lt;EndNote&gt;&lt;Cite&gt;&lt;Author&gt;Australian Bureau of Statistics&lt;/Author&gt;&lt;Year&gt;2021&lt;/Year&gt;&lt;RecNum&gt;55&lt;/RecNum&gt;&lt;DisplayText&gt;(Australian Bureau of Statistics, 2021)&lt;/DisplayText&gt;&lt;record&gt;&lt;rec-number&gt;55&lt;/rec-number&gt;&lt;foreign-keys&gt;&lt;key app="EN" db-id="5aadsstv3sv996esway5vazsepfefazvfdps" timestamp="1730892387"&gt;55&lt;/key&gt;&lt;/foreign-keys&gt;&lt;ref-type name="Web Page"&gt;12&lt;/ref-type&gt;&lt;contributors&gt;&lt;authors&gt;&lt;author&gt;Australian Bureau of Statistics,&lt;/author&gt;&lt;/authors&gt;&lt;/contributors&gt;&lt;titles&gt;&lt;title&gt;Cultural diversity: Census&lt;/title&gt;&lt;/titles&gt;&lt;dates&gt;&lt;year&gt;2021&lt;/year&gt;&lt;/dates&gt;&lt;publisher&gt;ABS&lt;/publisher&gt;&lt;urls&gt;&lt;related-urls&gt;&lt;url&gt;https://www.abs.gov.au/statistics/people/people-and-communities/cultural-diversity-census/latest-release&lt;/url&gt;&lt;/related-urls&gt;&lt;/urls&gt;&lt;/record&gt;&lt;/Cite&gt;&lt;/EndNote&gt;</w:instrText>
            </w:r>
            <w:r>
              <w:fldChar w:fldCharType="separate"/>
            </w:r>
            <w:r w:rsidR="00AA706C">
              <w:rPr>
                <w:noProof/>
              </w:rPr>
              <w:t>(Australian Bureau of Statistics, 2021)</w:t>
            </w:r>
            <w:r>
              <w:fldChar w:fldCharType="end"/>
            </w:r>
          </w:p>
          <w:p w14:paraId="5F06E479" w14:textId="77777777" w:rsidR="000776ED" w:rsidRDefault="000776ED" w:rsidP="000776ED">
            <w:pPr>
              <w:pStyle w:val="TableText"/>
            </w:pPr>
            <w:r>
              <w:t>and</w:t>
            </w:r>
          </w:p>
          <w:p w14:paraId="52D062D3" w14:textId="06B0AD16" w:rsidR="000776ED" w:rsidRPr="001A6231" w:rsidRDefault="000776ED" w:rsidP="000776ED">
            <w:pPr>
              <w:pStyle w:val="TableText"/>
            </w:pPr>
            <w:r w:rsidRPr="00694CD5">
              <w:t xml:space="preserve">Clinical Pharmacogenetics Implementation Consortium Guideline for HLA Genotype and Use of Carbamazepine and Oxcarbazepine: 2017 Update. </w:t>
            </w:r>
            <w:r>
              <w:fldChar w:fldCharType="begin">
                <w:fldData xml:space="preserve">PEVuZE5vdGU+PENpdGU+PEF1dGhvcj5QaGlsbGlwczwvQXV0aG9yPjxZZWFyPjIwMTg8L1llYXI+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</w:fldData>
              </w:fldChar>
            </w:r>
            <w:r w:rsidR="00AA706C">
              <w:instrText xml:space="preserve"> ADDIN EN.CITE </w:instrText>
            </w:r>
            <w:r w:rsidR="00AA706C">
              <w:fldChar w:fldCharType="begin">
                <w:fldData xml:space="preserve">PEVuZE5vdGU+PENpdGU+PEF1dGhvcj5QaGlsbGlwczwvQXV0aG9yPjxZZWFyPjIwMTg8L1llYXI+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</w:fldData>
              </w:fldChar>
            </w:r>
            <w:r w:rsidR="00AA706C">
              <w:instrText xml:space="preserve"> ADDIN EN.CITE.DATA </w:instrText>
            </w:r>
            <w:r w:rsidR="00AA706C">
              <w:fldChar w:fldCharType="end"/>
            </w:r>
            <w:r>
              <w:fldChar w:fldCharType="separate"/>
            </w:r>
            <w:r w:rsidR="00AA706C">
              <w:rPr>
                <w:noProof/>
              </w:rPr>
              <w:t>(Phillips et al., 2018)</w:t>
            </w:r>
            <w:r>
              <w:fldChar w:fldCharType="end"/>
            </w:r>
          </w:p>
        </w:tc>
        <w:tc>
          <w:tcPr>
            <w:tcW w:w="5245" w:type="dxa"/>
          </w:tcPr>
          <w:p w14:paraId="1F6C0D66" w14:textId="2138F079" w:rsidR="000776ED" w:rsidRDefault="000776ED" w:rsidP="000776ED">
            <w:pPr>
              <w:pStyle w:val="TableText"/>
            </w:pPr>
            <w:r>
              <w:t xml:space="preserve">As no carrier frequency information available for Australia the frequency is based on published data on </w:t>
            </w:r>
            <w:r w:rsidR="00E730F9">
              <w:t>ancestry</w:t>
            </w:r>
            <w:r>
              <w:t xml:space="preserve"> and carrier frequency and on Australian </w:t>
            </w:r>
            <w:r w:rsidR="00E730F9">
              <w:t>ancestry</w:t>
            </w:r>
            <w:r>
              <w:t xml:space="preserve"> data.</w:t>
            </w:r>
          </w:p>
        </w:tc>
      </w:tr>
      <w:tr w:rsidR="000776ED" w:rsidRPr="00FF4BE1" w14:paraId="6D0736BE" w14:textId="77777777" w:rsidTr="422CAA86">
        <w:tc>
          <w:tcPr>
            <w:tcW w:w="4248" w:type="dxa"/>
            <w:vAlign w:val="center"/>
          </w:tcPr>
          <w:p w14:paraId="48CC0505" w14:textId="77777777" w:rsidR="000776ED" w:rsidRPr="00FF4BE1" w:rsidRDefault="000776ED" w:rsidP="000776ED">
            <w:pPr>
              <w:pStyle w:val="TableText"/>
            </w:pPr>
            <w:r w:rsidRPr="00FF4BE1">
              <w:t>Australian refined diagnosis-related groups (AR-DRG) data cubes</w:t>
            </w:r>
          </w:p>
          <w:p w14:paraId="62F93DC2" w14:textId="59221AF8" w:rsidR="000776ED" w:rsidRPr="005D534C" w:rsidRDefault="000776ED" w:rsidP="000776ED">
            <w:pPr>
              <w:pStyle w:val="TableText"/>
            </w:pPr>
            <w:r w:rsidRPr="00893E01">
              <w:rPr>
                <w:rFonts w:eastAsiaTheme="minorHAnsi"/>
                <w:szCs w:val="20"/>
              </w:rPr>
              <w:t xml:space="preserve">Australian refined diagnosis-related groups (AR-DRG) data from the </w:t>
            </w:r>
            <w:r w:rsidRPr="00893E01">
              <w:rPr>
                <w:rFonts w:eastAsiaTheme="minorEastAsia"/>
                <w:szCs w:val="20"/>
              </w:rPr>
              <w:t xml:space="preserve">National Hospital Cost Data Collection Report version 11 </w:t>
            </w:r>
            <w:r w:rsidRPr="00893E01">
              <w:rPr>
                <w:rFonts w:eastAsiaTheme="minorEastAsia"/>
                <w:szCs w:val="20"/>
              </w:rPr>
              <w:fldChar w:fldCharType="begin"/>
            </w:r>
            <w:r w:rsidR="00AA706C">
              <w:rPr>
                <w:rFonts w:eastAsiaTheme="minorEastAsia"/>
                <w:szCs w:val="20"/>
              </w:rPr>
              <w:instrText xml:space="preserve"> ADDIN EN.CITE &lt;EndNote&gt;&lt;Cite&gt;&lt;Author&gt;Independent Health and Aged Care Pricing Authority&lt;/Author&gt;&lt;Year&gt;2023&lt;/Year&gt;&lt;RecNum&gt;88&lt;/RecNum&gt;&lt;DisplayText&gt;(Independent Health and Aged Care Pricing Authority, 2023b)&lt;/DisplayText&gt;&lt;record&gt;&lt;rec-number&gt;88&lt;/rec-number&gt;&lt;foreign-keys&gt;&lt;key app="EN" db-id="exf2t00emp9exse5ws0vzt5lvwxxfwdx5fxx" timestamp="1721381104"&gt;88&lt;/key&gt;&lt;/foreign-keys&gt;&lt;ref-type name="Online Database"&gt;45&lt;/ref-type&gt;&lt;contributors&gt;&lt;authors&gt;&lt;author&gt;Independent Health and Aged Care Pricing Authority,&lt;/author&gt;&lt;/authors&gt;&lt;/contributors&gt;&lt;titles&gt;&lt;title&gt;National Hospital Cost Data Collection (NHCDC) Public Sector Report 2020-21 | Resources | IHACPA&lt;/title&gt;&lt;/titles&gt;&lt;dates&gt;&lt;year&gt;2023&lt;/year&gt;&lt;/dates&gt;&lt;urls&gt;&lt;related-urls&gt;&lt;url&gt;https://www.ihacpa.gov.au/resources/national-hospital-cost-data-collection-nhcdc-public-sector-report-2020-21&lt;/url&gt;&lt;/related-urls&gt;&lt;/urls&gt;&lt;language&gt;en&lt;/language&gt;&lt;access-date&gt;2024/07/19/09:24:45&lt;/access-date&gt;&lt;/record&gt;&lt;/Cite&gt;&lt;/EndNote&gt;</w:instrText>
            </w:r>
            <w:r w:rsidRPr="00893E01">
              <w:rPr>
                <w:rFonts w:eastAsiaTheme="minorEastAsia"/>
                <w:szCs w:val="20"/>
              </w:rPr>
              <w:fldChar w:fldCharType="separate"/>
            </w:r>
            <w:r w:rsidR="00AA706C">
              <w:rPr>
                <w:rFonts w:eastAsiaTheme="minorEastAsia"/>
                <w:noProof/>
                <w:szCs w:val="20"/>
              </w:rPr>
              <w:t>(Independent Health and Aged Care Pricing Authority, 2023b)</w:t>
            </w:r>
            <w:r w:rsidRPr="00893E01">
              <w:rPr>
                <w:rFonts w:eastAsiaTheme="minorEastAsia"/>
                <w:szCs w:val="20"/>
              </w:rPr>
              <w:fldChar w:fldCharType="end"/>
            </w:r>
            <w:r w:rsidRPr="00893E01">
              <w:rPr>
                <w:rFonts w:eastAsiaTheme="minorEastAsia"/>
                <w:szCs w:val="20"/>
              </w:rPr>
              <w:t xml:space="preserve"> </w:t>
            </w:r>
          </w:p>
        </w:tc>
        <w:tc>
          <w:tcPr>
            <w:tcW w:w="5245" w:type="dxa"/>
          </w:tcPr>
          <w:p w14:paraId="0EC314F2" w14:textId="5D9AA8F4" w:rsidR="000776ED" w:rsidRDefault="000776ED" w:rsidP="000776ED">
            <w:pPr>
              <w:pStyle w:val="TableText"/>
            </w:pPr>
            <w:r w:rsidRPr="422CAA86">
              <w:t xml:space="preserve">Costs associated with SJS/TEN were based on ARDRG J68A and updated to match length of stay demonstrated in </w:t>
            </w:r>
          </w:p>
        </w:tc>
      </w:tr>
      <w:tr w:rsidR="000776ED" w:rsidRPr="00FF4BE1" w14:paraId="668A90F1" w14:textId="77777777" w:rsidTr="422CAA86">
        <w:tc>
          <w:tcPr>
            <w:tcW w:w="4248" w:type="dxa"/>
            <w:vAlign w:val="center"/>
          </w:tcPr>
          <w:p w14:paraId="6CE756AC" w14:textId="77777777" w:rsidR="000776ED" w:rsidRDefault="000776ED" w:rsidP="000776ED">
            <w:pPr>
              <w:pStyle w:val="TableText"/>
            </w:pPr>
            <w:r w:rsidRPr="00FF4BE1">
              <w:t xml:space="preserve">Published literature </w:t>
            </w:r>
            <w:r>
              <w:t xml:space="preserve">on proportion of people with CBZ/OXC hypersensitivity reactions. </w:t>
            </w:r>
          </w:p>
          <w:p w14:paraId="6DB96B61" w14:textId="01F4FE9F" w:rsidR="000776ED" w:rsidRPr="00FF4BE1" w:rsidRDefault="000776ED" w:rsidP="000776ED">
            <w:pPr>
              <w:pStyle w:val="TableText"/>
            </w:pPr>
            <w:r w:rsidRPr="0026195D">
              <w:t>Shah et al. 2017</w:t>
            </w:r>
          </w:p>
        </w:tc>
        <w:tc>
          <w:tcPr>
            <w:tcW w:w="5245" w:type="dxa"/>
          </w:tcPr>
          <w:p w14:paraId="7D595122" w14:textId="44B94401" w:rsidR="000776ED" w:rsidRPr="00FF4BE1" w:rsidRDefault="000776ED" w:rsidP="000776ED">
            <w:pPr>
              <w:pStyle w:val="TableText"/>
            </w:pPr>
            <w:r w:rsidRPr="422CAA86">
              <w:t xml:space="preserve">The evidence on the proportion of patients with a </w:t>
            </w:r>
            <w:r w:rsidR="003975F2" w:rsidRPr="003975F2">
              <w:rPr>
                <w:i/>
                <w:iCs/>
              </w:rPr>
              <w:t xml:space="preserve">HLA-B*15:02 </w:t>
            </w:r>
            <w:r w:rsidRPr="422CAA86">
              <w:t xml:space="preserve">or </w:t>
            </w:r>
            <w:r w:rsidR="000611A1" w:rsidRPr="000611A1">
              <w:rPr>
                <w:i/>
                <w:iCs/>
              </w:rPr>
              <w:t>HLA-</w:t>
            </w:r>
            <w:r w:rsidRPr="422CAA86">
              <w:rPr>
                <w:i/>
                <w:iCs/>
              </w:rPr>
              <w:t>A*31:10</w:t>
            </w:r>
            <w:r w:rsidRPr="422CAA86">
              <w:t xml:space="preserve"> genotype that would lead to a hypersensitivity reaction was limited and poor quality. The studies had a range of between 2.3 and 25% of patients having a SCAR reaction. The 2.3% estimate was used as </w:t>
            </w:r>
            <w:r w:rsidR="00CA66CC" w:rsidRPr="422CAA86">
              <w:t>i</w:t>
            </w:r>
            <w:r w:rsidRPr="422CAA86">
              <w:t xml:space="preserve">t aligns with the overall estimates of hypersensitivity reactions highlighted in the PICO. </w:t>
            </w:r>
          </w:p>
        </w:tc>
      </w:tr>
    </w:tbl>
    <w:p w14:paraId="2A558606" w14:textId="77777777" w:rsidR="000776ED" w:rsidRPr="003A7DE5" w:rsidRDefault="000776ED" w:rsidP="000776ED">
      <w:pPr>
        <w:pStyle w:val="TableFooter"/>
        <w:rPr>
          <w:sz w:val="16"/>
          <w:szCs w:val="16"/>
        </w:rPr>
      </w:pPr>
      <w:bookmarkStart w:id="38" w:name="_Ref172297976"/>
      <w:bookmarkStart w:id="39" w:name="_Ref69726382"/>
      <w:r w:rsidRPr="003A7DE5">
        <w:rPr>
          <w:rStyle w:val="CommentReference"/>
        </w:rPr>
        <w:t>Abbreviations: AR-DRG= Australian refined diagnosis-related groups; CBZ=carbamazepine; DRESS=drug reaction with eosinophilia and systemic symptoms; HLA=human leukocyte antigen; OXC=oxcarbazepine; PBS= Pharmaceutical Benefits Scheme; RPBS= Repatriation Pharmaceutical Benefits Scheme; SJS=Stevens–Johnson syndrome; TEN= toxic epidermal necrolysis; SCAR= severe cutaneous allergic reactions</w:t>
      </w:r>
    </w:p>
    <w:p w14:paraId="5269F3E6" w14:textId="02C8D880" w:rsidR="00A40B17" w:rsidRPr="00CE28E3" w:rsidRDefault="00D428B9" w:rsidP="00A737D1">
      <w:pPr>
        <w:pStyle w:val="Caption"/>
        <w:keepLines/>
      </w:pPr>
      <w:r w:rsidRPr="00CE28E3">
        <w:lastRenderedPageBreak/>
        <w:t>Table</w:t>
      </w:r>
      <w:r w:rsidR="003571C2">
        <w:t> </w:t>
      </w:r>
      <w:r w:rsidR="00A94B72">
        <w:t>1</w:t>
      </w:r>
      <w:r w:rsidR="002F6C3A">
        <w:t>5</w:t>
      </w:r>
      <w:r w:rsidR="00A94B72">
        <w:t xml:space="preserve"> </w:t>
      </w:r>
      <w:bookmarkEnd w:id="38"/>
      <w:bookmarkEnd w:id="39"/>
      <w:r w:rsidR="00A40B17" w:rsidRPr="00CE28E3">
        <w:tab/>
        <w:t xml:space="preserve">Net financial implications of </w:t>
      </w:r>
      <w:r w:rsidR="003975F2" w:rsidRPr="003975F2">
        <w:rPr>
          <w:i/>
        </w:rPr>
        <w:t xml:space="preserve">HLA-A*31:01 </w:t>
      </w:r>
      <w:r w:rsidR="009329F6">
        <w:t xml:space="preserve">and </w:t>
      </w:r>
      <w:r w:rsidR="003975F2" w:rsidRPr="003975F2">
        <w:rPr>
          <w:i/>
          <w:iCs/>
        </w:rPr>
        <w:t xml:space="preserve">HLA-B*15:02 </w:t>
      </w:r>
      <w:r w:rsidR="00A40B17">
        <w:t>genotyping</w:t>
      </w:r>
      <w:r w:rsidR="00A40B17" w:rsidRPr="00CE28E3">
        <w:t xml:space="preserve"> </w:t>
      </w:r>
      <w:r w:rsidR="009329F6">
        <w:t xml:space="preserve">prior to the commencement of </w:t>
      </w:r>
      <w:r w:rsidR="009329F6" w:rsidRPr="51DBDE6B">
        <w:t>carbamazepine or oxcarbazepine</w:t>
      </w:r>
      <w:r w:rsidR="009329F6" w:rsidRPr="00CE28E3">
        <w:t xml:space="preserve"> </w:t>
      </w:r>
      <w:r w:rsidR="00A40B17" w:rsidRPr="00CE28E3">
        <w:t xml:space="preserve">to </w:t>
      </w:r>
      <w:r w:rsidR="00A40B17">
        <w:t>MBS</w:t>
      </w:r>
      <w:r w:rsidR="009329F6">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86"/>
        <w:gridCol w:w="1287"/>
        <w:gridCol w:w="1286"/>
        <w:gridCol w:w="1287"/>
        <w:gridCol w:w="1286"/>
        <w:gridCol w:w="1287"/>
        <w:gridCol w:w="1287"/>
      </w:tblGrid>
      <w:tr w:rsidR="00A40B17" w:rsidRPr="00CE28E3" w14:paraId="28DB5DA7" w14:textId="77777777" w:rsidTr="422CAA86">
        <w:tc>
          <w:tcPr>
            <w:tcW w:w="1286" w:type="dxa"/>
            <w:shd w:val="clear" w:color="auto" w:fill="D9D9D9" w:themeFill="background1" w:themeFillShade="D9"/>
            <w:tcMar>
              <w:top w:w="0" w:type="dxa"/>
              <w:left w:w="108" w:type="dxa"/>
              <w:bottom w:w="0" w:type="dxa"/>
              <w:right w:w="108" w:type="dxa"/>
            </w:tcMar>
          </w:tcPr>
          <w:p w14:paraId="45BE91E0" w14:textId="77777777" w:rsidR="00A40B17" w:rsidRPr="006918B8" w:rsidRDefault="00A40B17" w:rsidP="00A737D1">
            <w:pPr>
              <w:pStyle w:val="TableHeading"/>
              <w:keepLines/>
              <w:rPr>
                <w:szCs w:val="20"/>
              </w:rPr>
            </w:pPr>
            <w:r w:rsidRPr="006918B8">
              <w:rPr>
                <w:szCs w:val="20"/>
              </w:rPr>
              <w:t xml:space="preserve">Parameter </w:t>
            </w:r>
          </w:p>
        </w:tc>
        <w:tc>
          <w:tcPr>
            <w:tcW w:w="1287" w:type="dxa"/>
            <w:shd w:val="clear" w:color="auto" w:fill="D9D9D9" w:themeFill="background1" w:themeFillShade="D9"/>
            <w:tcMar>
              <w:top w:w="0" w:type="dxa"/>
              <w:left w:w="108" w:type="dxa"/>
              <w:bottom w:w="0" w:type="dxa"/>
              <w:right w:w="108" w:type="dxa"/>
            </w:tcMar>
            <w:vAlign w:val="center"/>
            <w:hideMark/>
          </w:tcPr>
          <w:p w14:paraId="3AEF179D" w14:textId="77777777" w:rsidR="00A40B17" w:rsidRPr="006918B8" w:rsidRDefault="00A40B17" w:rsidP="00A737D1">
            <w:pPr>
              <w:pStyle w:val="TableHeading"/>
              <w:keepLines/>
              <w:jc w:val="center"/>
              <w:rPr>
                <w:szCs w:val="20"/>
              </w:rPr>
            </w:pPr>
            <w:r w:rsidRPr="006918B8">
              <w:rPr>
                <w:szCs w:val="20"/>
              </w:rPr>
              <w:t>2025</w:t>
            </w:r>
          </w:p>
        </w:tc>
        <w:tc>
          <w:tcPr>
            <w:tcW w:w="1286" w:type="dxa"/>
            <w:shd w:val="clear" w:color="auto" w:fill="D9D9D9" w:themeFill="background1" w:themeFillShade="D9"/>
            <w:tcMar>
              <w:top w:w="0" w:type="dxa"/>
              <w:left w:w="108" w:type="dxa"/>
              <w:bottom w:w="0" w:type="dxa"/>
              <w:right w:w="108" w:type="dxa"/>
            </w:tcMar>
            <w:vAlign w:val="center"/>
            <w:hideMark/>
          </w:tcPr>
          <w:p w14:paraId="0169C8B1" w14:textId="77777777" w:rsidR="00A40B17" w:rsidRPr="006918B8" w:rsidRDefault="00A40B17" w:rsidP="00A737D1">
            <w:pPr>
              <w:pStyle w:val="TableHeading"/>
              <w:keepLines/>
              <w:jc w:val="center"/>
              <w:rPr>
                <w:szCs w:val="20"/>
              </w:rPr>
            </w:pPr>
            <w:r w:rsidRPr="006918B8">
              <w:rPr>
                <w:szCs w:val="20"/>
              </w:rPr>
              <w:t>2026</w:t>
            </w:r>
          </w:p>
        </w:tc>
        <w:tc>
          <w:tcPr>
            <w:tcW w:w="1287" w:type="dxa"/>
            <w:shd w:val="clear" w:color="auto" w:fill="D9D9D9" w:themeFill="background1" w:themeFillShade="D9"/>
            <w:tcMar>
              <w:top w:w="0" w:type="dxa"/>
              <w:left w:w="108" w:type="dxa"/>
              <w:bottom w:w="0" w:type="dxa"/>
              <w:right w:w="108" w:type="dxa"/>
            </w:tcMar>
            <w:vAlign w:val="center"/>
            <w:hideMark/>
          </w:tcPr>
          <w:p w14:paraId="5244DBEE" w14:textId="77777777" w:rsidR="00A40B17" w:rsidRPr="006918B8" w:rsidRDefault="00A40B17" w:rsidP="00A737D1">
            <w:pPr>
              <w:pStyle w:val="TableHeading"/>
              <w:keepLines/>
              <w:jc w:val="center"/>
              <w:rPr>
                <w:szCs w:val="20"/>
              </w:rPr>
            </w:pPr>
            <w:r w:rsidRPr="006918B8">
              <w:rPr>
                <w:szCs w:val="20"/>
              </w:rPr>
              <w:t>2027</w:t>
            </w:r>
          </w:p>
        </w:tc>
        <w:tc>
          <w:tcPr>
            <w:tcW w:w="1286" w:type="dxa"/>
            <w:shd w:val="clear" w:color="auto" w:fill="D9D9D9" w:themeFill="background1" w:themeFillShade="D9"/>
            <w:tcMar>
              <w:top w:w="0" w:type="dxa"/>
              <w:left w:w="108" w:type="dxa"/>
              <w:bottom w:w="0" w:type="dxa"/>
              <w:right w:w="108" w:type="dxa"/>
            </w:tcMar>
            <w:vAlign w:val="center"/>
            <w:hideMark/>
          </w:tcPr>
          <w:p w14:paraId="36B62B0E" w14:textId="77777777" w:rsidR="00A40B17" w:rsidRPr="006918B8" w:rsidRDefault="00A40B17" w:rsidP="00A737D1">
            <w:pPr>
              <w:pStyle w:val="TableHeading"/>
              <w:keepLines/>
              <w:jc w:val="center"/>
              <w:rPr>
                <w:szCs w:val="20"/>
              </w:rPr>
            </w:pPr>
            <w:r w:rsidRPr="006918B8">
              <w:rPr>
                <w:szCs w:val="20"/>
              </w:rPr>
              <w:t>2028</w:t>
            </w:r>
          </w:p>
        </w:tc>
        <w:tc>
          <w:tcPr>
            <w:tcW w:w="1287" w:type="dxa"/>
            <w:shd w:val="clear" w:color="auto" w:fill="D9D9D9" w:themeFill="background1" w:themeFillShade="D9"/>
            <w:tcMar>
              <w:top w:w="0" w:type="dxa"/>
              <w:left w:w="108" w:type="dxa"/>
              <w:bottom w:w="0" w:type="dxa"/>
              <w:right w:w="108" w:type="dxa"/>
            </w:tcMar>
            <w:vAlign w:val="center"/>
            <w:hideMark/>
          </w:tcPr>
          <w:p w14:paraId="059E851E" w14:textId="77777777" w:rsidR="00A40B17" w:rsidRPr="006918B8" w:rsidRDefault="00A40B17" w:rsidP="00A737D1">
            <w:pPr>
              <w:pStyle w:val="TableHeading"/>
              <w:keepLines/>
              <w:jc w:val="center"/>
              <w:rPr>
                <w:szCs w:val="20"/>
              </w:rPr>
            </w:pPr>
            <w:r w:rsidRPr="006918B8">
              <w:rPr>
                <w:szCs w:val="20"/>
              </w:rPr>
              <w:t>2029</w:t>
            </w:r>
          </w:p>
        </w:tc>
        <w:tc>
          <w:tcPr>
            <w:tcW w:w="1287" w:type="dxa"/>
            <w:shd w:val="clear" w:color="auto" w:fill="D9D9D9" w:themeFill="background1" w:themeFillShade="D9"/>
            <w:tcMar>
              <w:top w:w="0" w:type="dxa"/>
              <w:left w:w="108" w:type="dxa"/>
              <w:bottom w:w="0" w:type="dxa"/>
              <w:right w:w="108" w:type="dxa"/>
            </w:tcMar>
            <w:vAlign w:val="center"/>
            <w:hideMark/>
          </w:tcPr>
          <w:p w14:paraId="2D6578E3" w14:textId="77777777" w:rsidR="00A40B17" w:rsidRPr="006918B8" w:rsidRDefault="00A40B17" w:rsidP="00A737D1">
            <w:pPr>
              <w:pStyle w:val="TableHeading"/>
              <w:keepLines/>
              <w:jc w:val="center"/>
              <w:rPr>
                <w:szCs w:val="20"/>
              </w:rPr>
            </w:pPr>
            <w:r w:rsidRPr="006918B8">
              <w:rPr>
                <w:szCs w:val="20"/>
              </w:rPr>
              <w:t>2030</w:t>
            </w:r>
          </w:p>
        </w:tc>
      </w:tr>
      <w:tr w:rsidR="00A40B17" w:rsidRPr="00CE28E3" w14:paraId="022FF018" w14:textId="77777777" w:rsidTr="422CAA86">
        <w:tc>
          <w:tcPr>
            <w:tcW w:w="9006" w:type="dxa"/>
            <w:gridSpan w:val="7"/>
            <w:shd w:val="clear" w:color="auto" w:fill="F2F2F2" w:themeFill="background1" w:themeFillShade="F2"/>
            <w:tcMar>
              <w:top w:w="0" w:type="dxa"/>
              <w:left w:w="108" w:type="dxa"/>
              <w:bottom w:w="0" w:type="dxa"/>
              <w:right w:w="108" w:type="dxa"/>
            </w:tcMar>
            <w:hideMark/>
          </w:tcPr>
          <w:p w14:paraId="02A4AA8F" w14:textId="77777777" w:rsidR="00A40B17" w:rsidRPr="006918B8" w:rsidRDefault="00A40B17" w:rsidP="00A737D1">
            <w:pPr>
              <w:pStyle w:val="TableText"/>
              <w:keepNext/>
              <w:keepLines/>
            </w:pPr>
            <w:r w:rsidRPr="006918B8">
              <w:t>Estimated use and cost of the proposed health technology</w:t>
            </w:r>
          </w:p>
        </w:tc>
      </w:tr>
      <w:tr w:rsidR="00A40B17" w:rsidRPr="004830D4" w14:paraId="053CFAB5" w14:textId="77777777" w:rsidTr="422CAA86">
        <w:tc>
          <w:tcPr>
            <w:tcW w:w="1286" w:type="dxa"/>
            <w:tcMar>
              <w:top w:w="0" w:type="dxa"/>
              <w:left w:w="108" w:type="dxa"/>
              <w:bottom w:w="0" w:type="dxa"/>
              <w:right w:w="108" w:type="dxa"/>
            </w:tcMar>
            <w:vAlign w:val="center"/>
            <w:hideMark/>
          </w:tcPr>
          <w:p w14:paraId="041A686B" w14:textId="147716B7" w:rsidR="00A40B17" w:rsidRPr="00CE28E3" w:rsidRDefault="006C1FD3" w:rsidP="00A737D1">
            <w:pPr>
              <w:pStyle w:val="TableText"/>
              <w:keepNext/>
              <w:keepLines/>
            </w:pPr>
            <w:r w:rsidRPr="002C5B13">
              <w:rPr>
                <w:snapToGrid w:val="0"/>
              </w:rPr>
              <w:t xml:space="preserve">Total eligible </w:t>
            </w:r>
            <w:r w:rsidR="00C0241D" w:rsidRPr="002C5B13">
              <w:rPr>
                <w:snapToGrid w:val="0"/>
              </w:rPr>
              <w:t>number of patients</w:t>
            </w:r>
          </w:p>
        </w:tc>
        <w:tc>
          <w:tcPr>
            <w:tcW w:w="1287" w:type="dxa"/>
            <w:shd w:val="clear" w:color="auto" w:fill="FFFFFF" w:themeFill="background1"/>
            <w:tcMar>
              <w:top w:w="0" w:type="dxa"/>
              <w:left w:w="108" w:type="dxa"/>
              <w:bottom w:w="0" w:type="dxa"/>
              <w:right w:w="108" w:type="dxa"/>
            </w:tcMar>
            <w:vAlign w:val="center"/>
          </w:tcPr>
          <w:p w14:paraId="042494FB" w14:textId="4EABAEEF" w:rsidR="00A40B17" w:rsidRPr="004830D4" w:rsidRDefault="00C0241D" w:rsidP="00A737D1">
            <w:pPr>
              <w:pStyle w:val="TableText"/>
              <w:keepNext/>
              <w:keepLines/>
              <w:jc w:val="center"/>
              <w:rPr>
                <w:szCs w:val="20"/>
              </w:rPr>
            </w:pPr>
            <w:r>
              <w:t>9,506</w:t>
            </w:r>
          </w:p>
        </w:tc>
        <w:tc>
          <w:tcPr>
            <w:tcW w:w="1286" w:type="dxa"/>
            <w:shd w:val="clear" w:color="auto" w:fill="FFFFFF" w:themeFill="background1"/>
            <w:tcMar>
              <w:top w:w="0" w:type="dxa"/>
              <w:left w:w="108" w:type="dxa"/>
              <w:bottom w:w="0" w:type="dxa"/>
              <w:right w:w="108" w:type="dxa"/>
            </w:tcMar>
            <w:vAlign w:val="center"/>
          </w:tcPr>
          <w:p w14:paraId="0A74114E" w14:textId="2B62DECB" w:rsidR="00A40B17" w:rsidRPr="004830D4" w:rsidRDefault="00C0241D" w:rsidP="00A737D1">
            <w:pPr>
              <w:pStyle w:val="TableText"/>
              <w:keepNext/>
              <w:keepLines/>
              <w:jc w:val="center"/>
              <w:rPr>
                <w:szCs w:val="20"/>
              </w:rPr>
            </w:pPr>
            <w:r>
              <w:t>8,991</w:t>
            </w:r>
          </w:p>
        </w:tc>
        <w:tc>
          <w:tcPr>
            <w:tcW w:w="1287" w:type="dxa"/>
            <w:shd w:val="clear" w:color="auto" w:fill="FFFFFF" w:themeFill="background1"/>
            <w:tcMar>
              <w:top w:w="0" w:type="dxa"/>
              <w:left w:w="108" w:type="dxa"/>
              <w:bottom w:w="0" w:type="dxa"/>
              <w:right w:w="108" w:type="dxa"/>
            </w:tcMar>
            <w:vAlign w:val="center"/>
          </w:tcPr>
          <w:p w14:paraId="21C898DD" w14:textId="0B09CEAB" w:rsidR="00A40B17" w:rsidRPr="004830D4" w:rsidRDefault="00C0241D" w:rsidP="00A737D1">
            <w:pPr>
              <w:pStyle w:val="TableText"/>
              <w:keepNext/>
              <w:keepLines/>
              <w:jc w:val="center"/>
              <w:rPr>
                <w:szCs w:val="20"/>
              </w:rPr>
            </w:pPr>
            <w:r>
              <w:t>8,476</w:t>
            </w:r>
          </w:p>
        </w:tc>
        <w:tc>
          <w:tcPr>
            <w:tcW w:w="1286" w:type="dxa"/>
            <w:shd w:val="clear" w:color="auto" w:fill="FFFFFF" w:themeFill="background1"/>
            <w:tcMar>
              <w:top w:w="0" w:type="dxa"/>
              <w:left w:w="108" w:type="dxa"/>
              <w:bottom w:w="0" w:type="dxa"/>
              <w:right w:w="108" w:type="dxa"/>
            </w:tcMar>
            <w:vAlign w:val="center"/>
          </w:tcPr>
          <w:p w14:paraId="279D2159" w14:textId="124A1D16" w:rsidR="00A40B17" w:rsidRPr="004830D4" w:rsidRDefault="00C0241D" w:rsidP="00A737D1">
            <w:pPr>
              <w:pStyle w:val="TableText"/>
              <w:keepNext/>
              <w:keepLines/>
              <w:jc w:val="center"/>
              <w:rPr>
                <w:szCs w:val="20"/>
              </w:rPr>
            </w:pPr>
            <w:r>
              <w:t>7,960</w:t>
            </w:r>
          </w:p>
        </w:tc>
        <w:tc>
          <w:tcPr>
            <w:tcW w:w="1287" w:type="dxa"/>
            <w:shd w:val="clear" w:color="auto" w:fill="FFFFFF" w:themeFill="background1"/>
            <w:tcMar>
              <w:top w:w="0" w:type="dxa"/>
              <w:left w:w="108" w:type="dxa"/>
              <w:bottom w:w="0" w:type="dxa"/>
              <w:right w:w="108" w:type="dxa"/>
            </w:tcMar>
            <w:vAlign w:val="center"/>
          </w:tcPr>
          <w:p w14:paraId="52150ED3" w14:textId="08FD1744" w:rsidR="00A40B17" w:rsidRPr="004830D4" w:rsidRDefault="00C0241D" w:rsidP="00A737D1">
            <w:pPr>
              <w:pStyle w:val="TableText"/>
              <w:keepNext/>
              <w:keepLines/>
              <w:jc w:val="center"/>
              <w:rPr>
                <w:szCs w:val="20"/>
              </w:rPr>
            </w:pPr>
            <w:r>
              <w:t>7,445</w:t>
            </w:r>
          </w:p>
        </w:tc>
        <w:tc>
          <w:tcPr>
            <w:tcW w:w="1287" w:type="dxa"/>
            <w:shd w:val="clear" w:color="auto" w:fill="FFFFFF" w:themeFill="background1"/>
            <w:tcMar>
              <w:top w:w="0" w:type="dxa"/>
              <w:left w:w="108" w:type="dxa"/>
              <w:bottom w:w="0" w:type="dxa"/>
              <w:right w:w="108" w:type="dxa"/>
            </w:tcMar>
            <w:vAlign w:val="center"/>
          </w:tcPr>
          <w:p w14:paraId="0CE69709" w14:textId="707241B9" w:rsidR="00A40B17" w:rsidRPr="004830D4" w:rsidRDefault="00C0241D" w:rsidP="00A737D1">
            <w:pPr>
              <w:pStyle w:val="TableText"/>
              <w:keepNext/>
              <w:keepLines/>
              <w:jc w:val="center"/>
              <w:rPr>
                <w:szCs w:val="20"/>
              </w:rPr>
            </w:pPr>
            <w:r>
              <w:t>6,929</w:t>
            </w:r>
          </w:p>
        </w:tc>
      </w:tr>
      <w:tr w:rsidR="006C1FD3" w:rsidRPr="004830D4" w14:paraId="06A8543B" w14:textId="77777777" w:rsidTr="422CAA86">
        <w:tc>
          <w:tcPr>
            <w:tcW w:w="1286" w:type="dxa"/>
            <w:tcMar>
              <w:top w:w="0" w:type="dxa"/>
              <w:left w:w="108" w:type="dxa"/>
              <w:bottom w:w="0" w:type="dxa"/>
              <w:right w:w="108" w:type="dxa"/>
            </w:tcMar>
            <w:vAlign w:val="center"/>
          </w:tcPr>
          <w:p w14:paraId="74BF105B" w14:textId="72C153D8" w:rsidR="006C1FD3" w:rsidRPr="006918B8" w:rsidRDefault="00C0241D" w:rsidP="00A737D1">
            <w:pPr>
              <w:pStyle w:val="TableText"/>
              <w:keepNext/>
              <w:keepLines/>
            </w:pPr>
            <w:r w:rsidRPr="00AB1361">
              <w:rPr>
                <w:snapToGrid w:val="0"/>
              </w:rPr>
              <w:t>Uptake if reimbursed</w:t>
            </w:r>
          </w:p>
        </w:tc>
        <w:tc>
          <w:tcPr>
            <w:tcW w:w="1287" w:type="dxa"/>
            <w:shd w:val="clear" w:color="auto" w:fill="FFFFFF" w:themeFill="background1"/>
            <w:tcMar>
              <w:top w:w="0" w:type="dxa"/>
              <w:left w:w="108" w:type="dxa"/>
              <w:bottom w:w="0" w:type="dxa"/>
              <w:right w:w="108" w:type="dxa"/>
            </w:tcMar>
            <w:vAlign w:val="center"/>
          </w:tcPr>
          <w:p w14:paraId="60E35FA1" w14:textId="7DBA83CB" w:rsidR="006C1FD3" w:rsidRPr="006918B8" w:rsidRDefault="00C0241D" w:rsidP="00A737D1">
            <w:pPr>
              <w:pStyle w:val="TableText"/>
              <w:keepNext/>
              <w:keepLines/>
              <w:jc w:val="center"/>
            </w:pPr>
            <w:r>
              <w:t>50%</w:t>
            </w:r>
          </w:p>
        </w:tc>
        <w:tc>
          <w:tcPr>
            <w:tcW w:w="1286" w:type="dxa"/>
            <w:shd w:val="clear" w:color="auto" w:fill="FFFFFF" w:themeFill="background1"/>
            <w:tcMar>
              <w:top w:w="0" w:type="dxa"/>
              <w:left w:w="108" w:type="dxa"/>
              <w:bottom w:w="0" w:type="dxa"/>
              <w:right w:w="108" w:type="dxa"/>
            </w:tcMar>
            <w:vAlign w:val="center"/>
          </w:tcPr>
          <w:p w14:paraId="0DD884F9" w14:textId="775F0C63" w:rsidR="006C1FD3" w:rsidRPr="006918B8" w:rsidRDefault="00C0241D" w:rsidP="00A737D1">
            <w:pPr>
              <w:pStyle w:val="TableText"/>
              <w:keepNext/>
              <w:keepLines/>
              <w:jc w:val="center"/>
            </w:pPr>
            <w:r>
              <w:t>60%</w:t>
            </w:r>
          </w:p>
        </w:tc>
        <w:tc>
          <w:tcPr>
            <w:tcW w:w="1287" w:type="dxa"/>
            <w:shd w:val="clear" w:color="auto" w:fill="FFFFFF" w:themeFill="background1"/>
            <w:tcMar>
              <w:top w:w="0" w:type="dxa"/>
              <w:left w:w="108" w:type="dxa"/>
              <w:bottom w:w="0" w:type="dxa"/>
              <w:right w:w="108" w:type="dxa"/>
            </w:tcMar>
            <w:vAlign w:val="center"/>
          </w:tcPr>
          <w:p w14:paraId="467203FF" w14:textId="146B25BB" w:rsidR="006C1FD3" w:rsidRPr="006918B8" w:rsidRDefault="00C0241D" w:rsidP="00A737D1">
            <w:pPr>
              <w:pStyle w:val="TableText"/>
              <w:keepNext/>
              <w:keepLines/>
              <w:jc w:val="center"/>
            </w:pPr>
            <w:r>
              <w:t>70%</w:t>
            </w:r>
          </w:p>
        </w:tc>
        <w:tc>
          <w:tcPr>
            <w:tcW w:w="1286" w:type="dxa"/>
            <w:shd w:val="clear" w:color="auto" w:fill="FFFFFF" w:themeFill="background1"/>
            <w:tcMar>
              <w:top w:w="0" w:type="dxa"/>
              <w:left w:w="108" w:type="dxa"/>
              <w:bottom w:w="0" w:type="dxa"/>
              <w:right w:w="108" w:type="dxa"/>
            </w:tcMar>
            <w:vAlign w:val="center"/>
          </w:tcPr>
          <w:p w14:paraId="1F1028AD" w14:textId="6D9342D5" w:rsidR="006C1FD3" w:rsidRPr="006918B8" w:rsidRDefault="00C0241D" w:rsidP="00A737D1">
            <w:pPr>
              <w:pStyle w:val="TableText"/>
              <w:keepNext/>
              <w:keepLines/>
              <w:jc w:val="center"/>
            </w:pPr>
            <w:r>
              <w:t>80%</w:t>
            </w:r>
          </w:p>
        </w:tc>
        <w:tc>
          <w:tcPr>
            <w:tcW w:w="1287" w:type="dxa"/>
            <w:shd w:val="clear" w:color="auto" w:fill="FFFFFF" w:themeFill="background1"/>
            <w:tcMar>
              <w:top w:w="0" w:type="dxa"/>
              <w:left w:w="108" w:type="dxa"/>
              <w:bottom w:w="0" w:type="dxa"/>
              <w:right w:w="108" w:type="dxa"/>
            </w:tcMar>
            <w:vAlign w:val="center"/>
          </w:tcPr>
          <w:p w14:paraId="49F542EC" w14:textId="4577E5A8" w:rsidR="006C1FD3" w:rsidRPr="006918B8" w:rsidRDefault="00C0241D" w:rsidP="00A737D1">
            <w:pPr>
              <w:pStyle w:val="TableText"/>
              <w:keepNext/>
              <w:keepLines/>
              <w:jc w:val="center"/>
            </w:pPr>
            <w:r>
              <w:t>90%</w:t>
            </w:r>
          </w:p>
        </w:tc>
        <w:tc>
          <w:tcPr>
            <w:tcW w:w="1287" w:type="dxa"/>
            <w:shd w:val="clear" w:color="auto" w:fill="FFFFFF" w:themeFill="background1"/>
            <w:tcMar>
              <w:top w:w="0" w:type="dxa"/>
              <w:left w:w="108" w:type="dxa"/>
              <w:bottom w:w="0" w:type="dxa"/>
              <w:right w:w="108" w:type="dxa"/>
            </w:tcMar>
            <w:vAlign w:val="center"/>
          </w:tcPr>
          <w:p w14:paraId="61153BE9" w14:textId="23B236AC" w:rsidR="006C1FD3" w:rsidRPr="006918B8" w:rsidRDefault="00C0241D" w:rsidP="00A737D1">
            <w:pPr>
              <w:pStyle w:val="TableText"/>
              <w:keepNext/>
              <w:keepLines/>
              <w:jc w:val="center"/>
            </w:pPr>
            <w:r>
              <w:t>100%</w:t>
            </w:r>
          </w:p>
        </w:tc>
      </w:tr>
      <w:tr w:rsidR="006C1FD3" w:rsidRPr="004830D4" w14:paraId="7289E707" w14:textId="77777777" w:rsidTr="422CAA86">
        <w:tc>
          <w:tcPr>
            <w:tcW w:w="1286" w:type="dxa"/>
            <w:tcMar>
              <w:top w:w="0" w:type="dxa"/>
              <w:left w:w="108" w:type="dxa"/>
              <w:bottom w:w="0" w:type="dxa"/>
              <w:right w:w="108" w:type="dxa"/>
            </w:tcMar>
            <w:vAlign w:val="center"/>
          </w:tcPr>
          <w:p w14:paraId="7CD65157" w14:textId="06E839C2" w:rsidR="006C1FD3" w:rsidRPr="006918B8" w:rsidRDefault="00C0241D" w:rsidP="00A737D1">
            <w:pPr>
              <w:pStyle w:val="TableText"/>
              <w:keepNext/>
              <w:keepLines/>
            </w:pPr>
            <w:r w:rsidRPr="422CAA86">
              <w:rPr>
                <w:snapToGrid w:val="0"/>
              </w:rPr>
              <w:t>Utilisation of AAAA (</w:t>
            </w:r>
            <w:proofErr w:type="spellStart"/>
            <w:r w:rsidRPr="422CAA86">
              <w:rPr>
                <w:snapToGrid w:val="0"/>
              </w:rPr>
              <w:t>AxB</w:t>
            </w:r>
            <w:proofErr w:type="spellEnd"/>
            <w:r w:rsidRPr="422CAA86">
              <w:rPr>
                <w:snapToGrid w:val="0"/>
              </w:rPr>
              <w:t>)</w:t>
            </w:r>
          </w:p>
        </w:tc>
        <w:tc>
          <w:tcPr>
            <w:tcW w:w="1287" w:type="dxa"/>
            <w:shd w:val="clear" w:color="auto" w:fill="FFFFFF" w:themeFill="background1"/>
            <w:tcMar>
              <w:top w:w="0" w:type="dxa"/>
              <w:left w:w="108" w:type="dxa"/>
              <w:bottom w:w="0" w:type="dxa"/>
              <w:right w:w="108" w:type="dxa"/>
            </w:tcMar>
            <w:vAlign w:val="center"/>
          </w:tcPr>
          <w:p w14:paraId="44FB6054" w14:textId="6A5054FC" w:rsidR="006C1FD3" w:rsidRPr="006918B8" w:rsidRDefault="00C0241D" w:rsidP="00A737D1">
            <w:pPr>
              <w:pStyle w:val="TableText"/>
              <w:keepNext/>
              <w:keepLines/>
              <w:jc w:val="center"/>
            </w:pPr>
            <w:r>
              <w:t>4,753</w:t>
            </w:r>
          </w:p>
        </w:tc>
        <w:tc>
          <w:tcPr>
            <w:tcW w:w="1286" w:type="dxa"/>
            <w:shd w:val="clear" w:color="auto" w:fill="FFFFFF" w:themeFill="background1"/>
            <w:tcMar>
              <w:top w:w="0" w:type="dxa"/>
              <w:left w:w="108" w:type="dxa"/>
              <w:bottom w:w="0" w:type="dxa"/>
              <w:right w:w="108" w:type="dxa"/>
            </w:tcMar>
            <w:vAlign w:val="center"/>
          </w:tcPr>
          <w:p w14:paraId="7AAB5BBE" w14:textId="26D92E47" w:rsidR="006C1FD3" w:rsidRPr="006918B8" w:rsidRDefault="00C0241D" w:rsidP="00A737D1">
            <w:pPr>
              <w:pStyle w:val="TableText"/>
              <w:keepNext/>
              <w:keepLines/>
              <w:jc w:val="center"/>
            </w:pPr>
            <w:r>
              <w:t>5,395</w:t>
            </w:r>
          </w:p>
        </w:tc>
        <w:tc>
          <w:tcPr>
            <w:tcW w:w="1287" w:type="dxa"/>
            <w:shd w:val="clear" w:color="auto" w:fill="FFFFFF" w:themeFill="background1"/>
            <w:tcMar>
              <w:top w:w="0" w:type="dxa"/>
              <w:left w:w="108" w:type="dxa"/>
              <w:bottom w:w="0" w:type="dxa"/>
              <w:right w:w="108" w:type="dxa"/>
            </w:tcMar>
            <w:vAlign w:val="center"/>
          </w:tcPr>
          <w:p w14:paraId="1AEB7113" w14:textId="74D10E64" w:rsidR="006C1FD3" w:rsidRPr="006918B8" w:rsidRDefault="00C0241D" w:rsidP="00A737D1">
            <w:pPr>
              <w:pStyle w:val="TableText"/>
              <w:keepNext/>
              <w:keepLines/>
              <w:jc w:val="center"/>
            </w:pPr>
            <w:r>
              <w:t>5,933</w:t>
            </w:r>
          </w:p>
        </w:tc>
        <w:tc>
          <w:tcPr>
            <w:tcW w:w="1286" w:type="dxa"/>
            <w:shd w:val="clear" w:color="auto" w:fill="FFFFFF" w:themeFill="background1"/>
            <w:tcMar>
              <w:top w:w="0" w:type="dxa"/>
              <w:left w:w="108" w:type="dxa"/>
              <w:bottom w:w="0" w:type="dxa"/>
              <w:right w:w="108" w:type="dxa"/>
            </w:tcMar>
            <w:vAlign w:val="center"/>
          </w:tcPr>
          <w:p w14:paraId="555DB2B4" w14:textId="1321FFCD" w:rsidR="006C1FD3" w:rsidRPr="006918B8" w:rsidRDefault="00C0241D" w:rsidP="00A737D1">
            <w:pPr>
              <w:pStyle w:val="TableText"/>
              <w:keepNext/>
              <w:keepLines/>
              <w:jc w:val="center"/>
            </w:pPr>
            <w:r>
              <w:t>6,368</w:t>
            </w:r>
          </w:p>
        </w:tc>
        <w:tc>
          <w:tcPr>
            <w:tcW w:w="1287" w:type="dxa"/>
            <w:shd w:val="clear" w:color="auto" w:fill="FFFFFF" w:themeFill="background1"/>
            <w:tcMar>
              <w:top w:w="0" w:type="dxa"/>
              <w:left w:w="108" w:type="dxa"/>
              <w:bottom w:w="0" w:type="dxa"/>
              <w:right w:w="108" w:type="dxa"/>
            </w:tcMar>
            <w:vAlign w:val="center"/>
          </w:tcPr>
          <w:p w14:paraId="069D8434" w14:textId="1A5F1D7D" w:rsidR="006C1FD3" w:rsidRPr="006918B8" w:rsidRDefault="00C0241D" w:rsidP="00A737D1">
            <w:pPr>
              <w:pStyle w:val="TableText"/>
              <w:keepNext/>
              <w:keepLines/>
              <w:jc w:val="center"/>
            </w:pPr>
            <w:r>
              <w:t>6,700</w:t>
            </w:r>
          </w:p>
        </w:tc>
        <w:tc>
          <w:tcPr>
            <w:tcW w:w="1287" w:type="dxa"/>
            <w:shd w:val="clear" w:color="auto" w:fill="FFFFFF" w:themeFill="background1"/>
            <w:tcMar>
              <w:top w:w="0" w:type="dxa"/>
              <w:left w:w="108" w:type="dxa"/>
              <w:bottom w:w="0" w:type="dxa"/>
              <w:right w:w="108" w:type="dxa"/>
            </w:tcMar>
            <w:vAlign w:val="center"/>
          </w:tcPr>
          <w:p w14:paraId="63E56614" w14:textId="4DFAF8DC" w:rsidR="006C1FD3" w:rsidRPr="006918B8" w:rsidRDefault="00C0241D" w:rsidP="00A737D1">
            <w:pPr>
              <w:pStyle w:val="TableText"/>
              <w:keepNext/>
              <w:keepLines/>
              <w:jc w:val="center"/>
            </w:pPr>
            <w:r>
              <w:t>6,929</w:t>
            </w:r>
          </w:p>
        </w:tc>
      </w:tr>
      <w:tr w:rsidR="00A40B17" w:rsidRPr="00CE28E3" w14:paraId="6317D1DC" w14:textId="77777777" w:rsidTr="422CAA86">
        <w:tc>
          <w:tcPr>
            <w:tcW w:w="1286" w:type="dxa"/>
            <w:tcMar>
              <w:top w:w="0" w:type="dxa"/>
              <w:left w:w="108" w:type="dxa"/>
              <w:bottom w:w="0" w:type="dxa"/>
              <w:right w:w="108" w:type="dxa"/>
            </w:tcMar>
            <w:vAlign w:val="center"/>
            <w:hideMark/>
          </w:tcPr>
          <w:p w14:paraId="0F6A9B58" w14:textId="230C59EF" w:rsidR="00A40B17" w:rsidRPr="00CE28E3" w:rsidRDefault="009329F6" w:rsidP="00A737D1">
            <w:pPr>
              <w:pStyle w:val="TableText"/>
              <w:keepNext/>
              <w:keepLines/>
            </w:pPr>
            <w:r w:rsidRPr="00C9783E">
              <w:t>Item AAAA</w:t>
            </w:r>
            <w:r>
              <w:t xml:space="preserve"> </w:t>
            </w:r>
            <w:r w:rsidRPr="00C9783E">
              <w:t>Cost</w:t>
            </w:r>
          </w:p>
        </w:tc>
        <w:tc>
          <w:tcPr>
            <w:tcW w:w="1287" w:type="dxa"/>
            <w:shd w:val="clear" w:color="auto" w:fill="FFFFFF" w:themeFill="background1"/>
            <w:tcMar>
              <w:top w:w="0" w:type="dxa"/>
              <w:left w:w="108" w:type="dxa"/>
              <w:bottom w:w="0" w:type="dxa"/>
              <w:right w:w="108" w:type="dxa"/>
            </w:tcMar>
            <w:vAlign w:val="center"/>
          </w:tcPr>
          <w:p w14:paraId="07D62B2E" w14:textId="5E0F0C67" w:rsidR="00A40B17" w:rsidRPr="00B55624" w:rsidRDefault="00902192" w:rsidP="00A737D1">
            <w:pPr>
              <w:pStyle w:val="TableText"/>
              <w:keepNext/>
              <w:keepLines/>
              <w:jc w:val="right"/>
            </w:pPr>
            <w:r>
              <w:rPr>
                <w:rFonts w:cs="Arial"/>
                <w:color w:val="000000"/>
                <w:szCs w:val="20"/>
              </w:rPr>
              <w:t>$732,753</w:t>
            </w:r>
          </w:p>
        </w:tc>
        <w:tc>
          <w:tcPr>
            <w:tcW w:w="12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E433DA2" w14:textId="65419A7B" w:rsidR="00A40B17" w:rsidRPr="00B55624" w:rsidRDefault="00902192" w:rsidP="00A737D1">
            <w:pPr>
              <w:pStyle w:val="TableText"/>
              <w:keepNext/>
              <w:keepLines/>
              <w:jc w:val="right"/>
              <w:rPr>
                <w:szCs w:val="20"/>
              </w:rPr>
            </w:pPr>
            <w:r>
              <w:rPr>
                <w:rFonts w:cs="Arial"/>
                <w:color w:val="000000"/>
                <w:szCs w:val="20"/>
              </w:rPr>
              <w:t>$831,632</w:t>
            </w:r>
          </w:p>
        </w:tc>
        <w:tc>
          <w:tcPr>
            <w:tcW w:w="128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4A032FD" w14:textId="20D04CBB" w:rsidR="00A40B17" w:rsidRPr="00B55624" w:rsidRDefault="00902192" w:rsidP="00A737D1">
            <w:pPr>
              <w:pStyle w:val="TableText"/>
              <w:keepNext/>
              <w:keepLines/>
              <w:jc w:val="right"/>
              <w:rPr>
                <w:szCs w:val="20"/>
              </w:rPr>
            </w:pPr>
            <w:r>
              <w:rPr>
                <w:rFonts w:cs="Arial"/>
                <w:color w:val="000000"/>
                <w:szCs w:val="20"/>
              </w:rPr>
              <w:t>$914,631</w:t>
            </w:r>
          </w:p>
        </w:tc>
        <w:tc>
          <w:tcPr>
            <w:tcW w:w="12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0D0E42A" w14:textId="721C78EC" w:rsidR="00A40B17" w:rsidRPr="00B55624" w:rsidRDefault="00902192" w:rsidP="00A737D1">
            <w:pPr>
              <w:pStyle w:val="TableText"/>
              <w:keepNext/>
              <w:keepLines/>
              <w:jc w:val="right"/>
              <w:rPr>
                <w:szCs w:val="20"/>
              </w:rPr>
            </w:pPr>
            <w:r>
              <w:rPr>
                <w:rFonts w:cs="Arial"/>
                <w:color w:val="000000"/>
                <w:szCs w:val="20"/>
              </w:rPr>
              <w:t>$981,691</w:t>
            </w:r>
          </w:p>
        </w:tc>
        <w:tc>
          <w:tcPr>
            <w:tcW w:w="128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8CDC0F9" w14:textId="4957F184" w:rsidR="00A40B17" w:rsidRPr="00B55624" w:rsidRDefault="00902192" w:rsidP="00A737D1">
            <w:pPr>
              <w:pStyle w:val="TableText"/>
              <w:keepNext/>
              <w:keepLines/>
              <w:jc w:val="right"/>
              <w:rPr>
                <w:szCs w:val="20"/>
              </w:rPr>
            </w:pPr>
            <w:r>
              <w:rPr>
                <w:rFonts w:cs="Arial"/>
                <w:color w:val="000000"/>
                <w:szCs w:val="20"/>
              </w:rPr>
              <w:t>$1,032,872</w:t>
            </w:r>
          </w:p>
        </w:tc>
        <w:tc>
          <w:tcPr>
            <w:tcW w:w="128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871069F" w14:textId="4DD9317D" w:rsidR="00A40B17" w:rsidRPr="00B55624" w:rsidRDefault="00902192" w:rsidP="00A737D1">
            <w:pPr>
              <w:pStyle w:val="TableText"/>
              <w:keepNext/>
              <w:keepLines/>
              <w:jc w:val="right"/>
              <w:rPr>
                <w:szCs w:val="20"/>
              </w:rPr>
            </w:pPr>
            <w:r>
              <w:rPr>
                <w:rFonts w:cs="Arial"/>
                <w:color w:val="000000"/>
                <w:szCs w:val="20"/>
              </w:rPr>
              <w:t>$1,068,175</w:t>
            </w:r>
          </w:p>
        </w:tc>
      </w:tr>
      <w:tr w:rsidR="00A40B17" w:rsidRPr="00CE28E3" w14:paraId="7245D8A6" w14:textId="77777777" w:rsidTr="422CAA86">
        <w:tc>
          <w:tcPr>
            <w:tcW w:w="1286" w:type="dxa"/>
            <w:tcMar>
              <w:top w:w="0" w:type="dxa"/>
              <w:left w:w="108" w:type="dxa"/>
              <w:bottom w:w="0" w:type="dxa"/>
              <w:right w:w="108" w:type="dxa"/>
            </w:tcMar>
            <w:vAlign w:val="center"/>
            <w:hideMark/>
          </w:tcPr>
          <w:p w14:paraId="23DAC56E" w14:textId="6CA11E47" w:rsidR="00A40B17" w:rsidRPr="00CE28E3" w:rsidRDefault="009329F6" w:rsidP="00A737D1">
            <w:pPr>
              <w:pStyle w:val="TableText"/>
              <w:keepNext/>
              <w:keepLines/>
            </w:pPr>
            <w:r w:rsidRPr="00CB3EDE">
              <w:t>Financial implications for the MBS</w:t>
            </w:r>
          </w:p>
        </w:tc>
        <w:tc>
          <w:tcPr>
            <w:tcW w:w="128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AD4E501" w14:textId="204C6EC4" w:rsidR="00A40B17" w:rsidRPr="00CE28E3" w:rsidRDefault="00902192" w:rsidP="00A737D1">
            <w:pPr>
              <w:pStyle w:val="TableText"/>
              <w:keepNext/>
              <w:keepLines/>
              <w:jc w:val="right"/>
            </w:pPr>
            <w:r>
              <w:rPr>
                <w:rFonts w:cs="Arial"/>
                <w:color w:val="000000"/>
                <w:szCs w:val="20"/>
              </w:rPr>
              <w:t>$732,753</w:t>
            </w:r>
          </w:p>
        </w:tc>
        <w:tc>
          <w:tcPr>
            <w:tcW w:w="12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4621B3F" w14:textId="2F420D53" w:rsidR="00A40B17" w:rsidRPr="00CE28E3" w:rsidRDefault="00902192" w:rsidP="00A737D1">
            <w:pPr>
              <w:pStyle w:val="TableText"/>
              <w:keepNext/>
              <w:keepLines/>
              <w:jc w:val="right"/>
            </w:pPr>
            <w:r>
              <w:rPr>
                <w:rFonts w:cs="Arial"/>
                <w:color w:val="000000"/>
                <w:szCs w:val="20"/>
              </w:rPr>
              <w:t>$831,632</w:t>
            </w:r>
          </w:p>
        </w:tc>
        <w:tc>
          <w:tcPr>
            <w:tcW w:w="128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2BC2F74" w14:textId="140604DE" w:rsidR="00A40B17" w:rsidRPr="00CE28E3" w:rsidRDefault="00902192" w:rsidP="00A737D1">
            <w:pPr>
              <w:pStyle w:val="TableText"/>
              <w:keepNext/>
              <w:keepLines/>
              <w:jc w:val="right"/>
            </w:pPr>
            <w:r>
              <w:rPr>
                <w:rFonts w:cs="Arial"/>
                <w:color w:val="000000"/>
                <w:szCs w:val="20"/>
              </w:rPr>
              <w:t>$914,631</w:t>
            </w:r>
          </w:p>
        </w:tc>
        <w:tc>
          <w:tcPr>
            <w:tcW w:w="12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87560D0" w14:textId="45F578B6" w:rsidR="00A40B17" w:rsidRPr="00CE28E3" w:rsidRDefault="00902192" w:rsidP="00A737D1">
            <w:pPr>
              <w:pStyle w:val="TableText"/>
              <w:keepNext/>
              <w:keepLines/>
              <w:jc w:val="right"/>
            </w:pPr>
            <w:r>
              <w:rPr>
                <w:rFonts w:cs="Arial"/>
                <w:color w:val="000000"/>
                <w:szCs w:val="20"/>
              </w:rPr>
              <w:t>$981,691</w:t>
            </w:r>
          </w:p>
        </w:tc>
        <w:tc>
          <w:tcPr>
            <w:tcW w:w="128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A0FE628" w14:textId="7524C391" w:rsidR="00A40B17" w:rsidRPr="00CE28E3" w:rsidRDefault="00902192" w:rsidP="00A737D1">
            <w:pPr>
              <w:pStyle w:val="TableText"/>
              <w:keepNext/>
              <w:keepLines/>
              <w:jc w:val="right"/>
            </w:pPr>
            <w:r>
              <w:rPr>
                <w:rFonts w:cs="Arial"/>
                <w:color w:val="000000"/>
                <w:szCs w:val="20"/>
              </w:rPr>
              <w:t>$1,032,872</w:t>
            </w:r>
          </w:p>
        </w:tc>
        <w:tc>
          <w:tcPr>
            <w:tcW w:w="128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EFD30CD" w14:textId="1E6F8FA2" w:rsidR="00A40B17" w:rsidRPr="00CE28E3" w:rsidRDefault="00902192" w:rsidP="00A737D1">
            <w:pPr>
              <w:pStyle w:val="TableText"/>
              <w:keepNext/>
              <w:keepLines/>
              <w:jc w:val="right"/>
            </w:pPr>
            <w:r>
              <w:rPr>
                <w:rFonts w:cs="Arial"/>
                <w:color w:val="000000"/>
                <w:szCs w:val="20"/>
              </w:rPr>
              <w:t>$1,068,175</w:t>
            </w:r>
          </w:p>
        </w:tc>
      </w:tr>
      <w:tr w:rsidR="00A169F7" w:rsidRPr="00CE28E3" w14:paraId="15835A57" w14:textId="77777777" w:rsidTr="422CAA86">
        <w:tc>
          <w:tcPr>
            <w:tcW w:w="1286" w:type="dxa"/>
            <w:tcMar>
              <w:top w:w="0" w:type="dxa"/>
              <w:left w:w="108" w:type="dxa"/>
              <w:bottom w:w="0" w:type="dxa"/>
              <w:right w:w="108" w:type="dxa"/>
            </w:tcMar>
            <w:hideMark/>
          </w:tcPr>
          <w:p w14:paraId="7E632B3B" w14:textId="58DDD1DA" w:rsidR="00A169F7" w:rsidRPr="00A169F7" w:rsidRDefault="00A169F7" w:rsidP="00A737D1">
            <w:pPr>
              <w:pStyle w:val="TableText"/>
              <w:keepNext/>
              <w:keepLines/>
              <w:rPr>
                <w:b/>
                <w:bCs/>
              </w:rPr>
            </w:pPr>
            <w:r w:rsidRPr="422CAA86">
              <w:rPr>
                <w:b/>
                <w:bCs/>
              </w:rPr>
              <w:t>Net financial impact to the MBS</w:t>
            </w:r>
          </w:p>
        </w:tc>
        <w:tc>
          <w:tcPr>
            <w:tcW w:w="128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D7E7B22" w14:textId="38E5FA5E" w:rsidR="00A169F7" w:rsidRPr="00902192" w:rsidRDefault="00902192" w:rsidP="00A737D1">
            <w:pPr>
              <w:pStyle w:val="TableText"/>
              <w:keepNext/>
              <w:keepLines/>
              <w:rPr>
                <w:b/>
              </w:rPr>
            </w:pPr>
            <w:r w:rsidRPr="00902192">
              <w:rPr>
                <w:rFonts w:cs="Arial"/>
                <w:b/>
                <w:bCs/>
                <w:color w:val="000000"/>
                <w:szCs w:val="20"/>
              </w:rPr>
              <w:t>$732,753</w:t>
            </w:r>
          </w:p>
        </w:tc>
        <w:tc>
          <w:tcPr>
            <w:tcW w:w="12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8469534" w14:textId="69C2AAAF" w:rsidR="00A169F7" w:rsidRPr="00902192" w:rsidRDefault="00902192" w:rsidP="00A737D1">
            <w:pPr>
              <w:pStyle w:val="TableText"/>
              <w:keepNext/>
              <w:keepLines/>
              <w:rPr>
                <w:b/>
              </w:rPr>
            </w:pPr>
            <w:r w:rsidRPr="00902192">
              <w:rPr>
                <w:rFonts w:cs="Arial"/>
                <w:b/>
                <w:bCs/>
                <w:color w:val="000000"/>
                <w:szCs w:val="20"/>
              </w:rPr>
              <w:t>$831,632</w:t>
            </w:r>
          </w:p>
        </w:tc>
        <w:tc>
          <w:tcPr>
            <w:tcW w:w="128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6D6BB2B" w14:textId="6C1AE0CD" w:rsidR="00A169F7" w:rsidRPr="00902192" w:rsidRDefault="00902192" w:rsidP="00A737D1">
            <w:pPr>
              <w:pStyle w:val="TableText"/>
              <w:keepNext/>
              <w:keepLines/>
              <w:rPr>
                <w:b/>
              </w:rPr>
            </w:pPr>
            <w:r w:rsidRPr="00902192">
              <w:rPr>
                <w:rFonts w:cs="Arial"/>
                <w:b/>
                <w:bCs/>
                <w:color w:val="000000"/>
                <w:szCs w:val="20"/>
              </w:rPr>
              <w:t>$914,631</w:t>
            </w:r>
          </w:p>
        </w:tc>
        <w:tc>
          <w:tcPr>
            <w:tcW w:w="128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6D71AD6" w14:textId="5E2F0185" w:rsidR="00A169F7" w:rsidRPr="00902192" w:rsidRDefault="00902192" w:rsidP="00A737D1">
            <w:pPr>
              <w:pStyle w:val="TableText"/>
              <w:keepNext/>
              <w:keepLines/>
              <w:rPr>
                <w:b/>
              </w:rPr>
            </w:pPr>
            <w:r w:rsidRPr="00902192">
              <w:rPr>
                <w:rFonts w:cs="Arial"/>
                <w:b/>
                <w:bCs/>
                <w:color w:val="000000"/>
                <w:szCs w:val="20"/>
              </w:rPr>
              <w:t>$981,691</w:t>
            </w:r>
          </w:p>
        </w:tc>
        <w:tc>
          <w:tcPr>
            <w:tcW w:w="128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52D891E" w14:textId="4C5A3EA1" w:rsidR="00A169F7" w:rsidRPr="00902192" w:rsidRDefault="00902192" w:rsidP="00A737D1">
            <w:pPr>
              <w:pStyle w:val="TableText"/>
              <w:keepNext/>
              <w:keepLines/>
              <w:rPr>
                <w:b/>
              </w:rPr>
            </w:pPr>
            <w:r w:rsidRPr="00902192">
              <w:rPr>
                <w:rFonts w:cs="Arial"/>
                <w:b/>
                <w:bCs/>
                <w:color w:val="000000"/>
                <w:szCs w:val="20"/>
              </w:rPr>
              <w:t>$1,032,872</w:t>
            </w:r>
          </w:p>
        </w:tc>
        <w:tc>
          <w:tcPr>
            <w:tcW w:w="128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EF203AA" w14:textId="3D21953C" w:rsidR="00A169F7" w:rsidRPr="00902192" w:rsidRDefault="00902192" w:rsidP="00A737D1">
            <w:pPr>
              <w:pStyle w:val="TableText"/>
              <w:keepNext/>
              <w:keepLines/>
              <w:rPr>
                <w:b/>
              </w:rPr>
            </w:pPr>
            <w:r w:rsidRPr="00902192">
              <w:rPr>
                <w:rFonts w:cs="Arial"/>
                <w:b/>
                <w:bCs/>
                <w:color w:val="000000"/>
                <w:szCs w:val="20"/>
              </w:rPr>
              <w:t>$1,068,175</w:t>
            </w:r>
          </w:p>
        </w:tc>
      </w:tr>
    </w:tbl>
    <w:p w14:paraId="2970DC97" w14:textId="630BBCDF" w:rsidR="00A40B17" w:rsidRDefault="00A40B17" w:rsidP="00A737D1">
      <w:pPr>
        <w:pStyle w:val="TableFigureFooter"/>
        <w:keepNext/>
        <w:keepLines/>
      </w:pPr>
      <w:r>
        <w:t>Abbreviations: MBS = Medical Benefits Scheme</w:t>
      </w:r>
      <w:r w:rsidR="00287853">
        <w:t xml:space="preserve">; </w:t>
      </w:r>
      <w:r w:rsidR="00287853" w:rsidRPr="00287853">
        <w:t>HLA=human leukocyte antigen</w:t>
      </w:r>
    </w:p>
    <w:p w14:paraId="69CB5589" w14:textId="511A973A" w:rsidR="00A40B17" w:rsidRPr="00B233F7" w:rsidRDefault="00A40B17" w:rsidP="00A40B17">
      <w:pPr>
        <w:rPr>
          <w:sz w:val="22"/>
          <w:szCs w:val="22"/>
        </w:rPr>
      </w:pPr>
      <w:r w:rsidRPr="00B233F7">
        <w:rPr>
          <w:sz w:val="22"/>
          <w:szCs w:val="22"/>
        </w:rPr>
        <w:t xml:space="preserve">It was estimated that in the first year of listing the new MBS item would have a net financial implication of </w:t>
      </w:r>
      <w:r w:rsidR="00A169F7" w:rsidRPr="00B233F7">
        <w:rPr>
          <w:sz w:val="22"/>
          <w:szCs w:val="22"/>
        </w:rPr>
        <w:t>$</w:t>
      </w:r>
      <w:r w:rsidR="007B3AE7" w:rsidRPr="00B233F7">
        <w:rPr>
          <w:sz w:val="22"/>
          <w:szCs w:val="22"/>
        </w:rPr>
        <w:t>733</w:t>
      </w:r>
      <w:r w:rsidR="00A169F7" w:rsidRPr="00B233F7">
        <w:rPr>
          <w:sz w:val="22"/>
          <w:szCs w:val="22"/>
        </w:rPr>
        <w:t>,000, rising to $</w:t>
      </w:r>
      <w:r w:rsidR="007B3AE7" w:rsidRPr="00B233F7">
        <w:rPr>
          <w:sz w:val="22"/>
          <w:szCs w:val="22"/>
        </w:rPr>
        <w:t xml:space="preserve">1.068 million </w:t>
      </w:r>
      <w:r w:rsidR="00A169F7" w:rsidRPr="00B233F7">
        <w:rPr>
          <w:sz w:val="22"/>
          <w:szCs w:val="22"/>
        </w:rPr>
        <w:t>in year 6. This equates to a net six-year financial implication of approximately $5.</w:t>
      </w:r>
      <w:r w:rsidR="007B3AE7" w:rsidRPr="00B233F7">
        <w:rPr>
          <w:sz w:val="22"/>
          <w:szCs w:val="22"/>
        </w:rPr>
        <w:t>6</w:t>
      </w:r>
      <w:r w:rsidR="00A169F7" w:rsidRPr="00B233F7">
        <w:rPr>
          <w:sz w:val="22"/>
          <w:szCs w:val="22"/>
        </w:rPr>
        <w:t xml:space="preserve"> million.</w:t>
      </w:r>
      <w:r w:rsidRPr="00B233F7">
        <w:rPr>
          <w:sz w:val="22"/>
          <w:szCs w:val="22"/>
        </w:rPr>
        <w:t xml:space="preserve"> </w:t>
      </w:r>
    </w:p>
    <w:p w14:paraId="389D49F4" w14:textId="77777777" w:rsidR="00A40B17" w:rsidRPr="00B233F7" w:rsidRDefault="4E5FA6DB" w:rsidP="0041262B">
      <w:pPr>
        <w:pStyle w:val="Instructionaltext"/>
        <w:numPr>
          <w:ilvl w:val="0"/>
          <w:numId w:val="9"/>
        </w:numPr>
        <w:spacing w:after="0"/>
        <w:rPr>
          <w:color w:val="auto"/>
          <w:sz w:val="22"/>
          <w:szCs w:val="22"/>
        </w:rPr>
      </w:pPr>
      <w:r w:rsidRPr="00B233F7">
        <w:rPr>
          <w:color w:val="auto"/>
          <w:sz w:val="22"/>
          <w:szCs w:val="22"/>
        </w:rPr>
        <w:t>The average cost of the proposed technology per patient per once in a lifetime is $188.</w:t>
      </w:r>
    </w:p>
    <w:p w14:paraId="052ADFAC" w14:textId="77777777" w:rsidR="00A40B17" w:rsidRPr="00B233F7" w:rsidRDefault="00A40B17" w:rsidP="0041262B">
      <w:pPr>
        <w:pStyle w:val="Instructionaltext"/>
        <w:numPr>
          <w:ilvl w:val="0"/>
          <w:numId w:val="9"/>
        </w:numPr>
        <w:spacing w:after="0"/>
        <w:rPr>
          <w:color w:val="auto"/>
          <w:sz w:val="22"/>
          <w:szCs w:val="22"/>
        </w:rPr>
      </w:pPr>
      <w:r w:rsidRPr="00B233F7">
        <w:rPr>
          <w:color w:val="auto"/>
          <w:sz w:val="22"/>
          <w:szCs w:val="22"/>
        </w:rPr>
        <w:t>The average frequency of use of the proposed technology is once per lifetime.</w:t>
      </w:r>
    </w:p>
    <w:p w14:paraId="1F16836A" w14:textId="45C77206" w:rsidR="005A020A" w:rsidRPr="00B233F7" w:rsidRDefault="00944A15" w:rsidP="003D3843">
      <w:pPr>
        <w:pStyle w:val="Instructionaltext"/>
        <w:spacing w:after="0"/>
        <w:rPr>
          <w:color w:val="auto"/>
          <w:sz w:val="22"/>
          <w:szCs w:val="22"/>
        </w:rPr>
      </w:pPr>
      <w:r w:rsidRPr="00B233F7">
        <w:rPr>
          <w:sz w:val="22"/>
          <w:szCs w:val="22"/>
        </w:rPr>
        <w:t xml:space="preserve">It is expected that the listing of </w:t>
      </w:r>
      <w:r w:rsidRPr="00B233F7">
        <w:rPr>
          <w:i/>
          <w:sz w:val="22"/>
          <w:szCs w:val="22"/>
        </w:rPr>
        <w:t>HLA</w:t>
      </w:r>
      <w:r w:rsidRPr="00B233F7">
        <w:rPr>
          <w:sz w:val="22"/>
          <w:szCs w:val="22"/>
        </w:rPr>
        <w:t xml:space="preserve"> genotyping will lead to a change in</w:t>
      </w:r>
      <w:r w:rsidR="00444F00" w:rsidRPr="00B233F7">
        <w:rPr>
          <w:sz w:val="22"/>
          <w:szCs w:val="22"/>
        </w:rPr>
        <w:t xml:space="preserve"> use of PBS items </w:t>
      </w:r>
      <w:r w:rsidRPr="00B233F7">
        <w:rPr>
          <w:sz w:val="22"/>
          <w:szCs w:val="22"/>
        </w:rPr>
        <w:t>from CBZ/OXC to</w:t>
      </w:r>
      <w:r w:rsidR="00444F00" w:rsidRPr="00B233F7">
        <w:rPr>
          <w:sz w:val="22"/>
          <w:szCs w:val="22"/>
        </w:rPr>
        <w:t xml:space="preserve"> Valproate/Gabapentin</w:t>
      </w:r>
      <w:r w:rsidR="00D34B83" w:rsidRPr="00B233F7">
        <w:rPr>
          <w:sz w:val="22"/>
          <w:szCs w:val="22"/>
        </w:rPr>
        <w:t xml:space="preserve">. </w:t>
      </w:r>
      <w:r w:rsidRPr="00B233F7">
        <w:rPr>
          <w:sz w:val="22"/>
          <w:szCs w:val="22"/>
        </w:rPr>
        <w:t xml:space="preserve">It is estimated that </w:t>
      </w:r>
      <w:r w:rsidRPr="00B233F7">
        <w:rPr>
          <w:i/>
          <w:sz w:val="22"/>
          <w:szCs w:val="22"/>
        </w:rPr>
        <w:t>HLA</w:t>
      </w:r>
      <w:r w:rsidRPr="00B233F7">
        <w:rPr>
          <w:sz w:val="22"/>
          <w:szCs w:val="22"/>
        </w:rPr>
        <w:t xml:space="preserve"> genotyping will save the PBS between $22,000 in year one to $32,000 by year six</w:t>
      </w:r>
      <w:r w:rsidR="00D34B83" w:rsidRPr="00B233F7">
        <w:rPr>
          <w:sz w:val="22"/>
          <w:szCs w:val="22"/>
        </w:rPr>
        <w:t xml:space="preserve"> (</w:t>
      </w:r>
      <w:r w:rsidR="004A1EB6">
        <w:rPr>
          <w:sz w:val="22"/>
          <w:szCs w:val="22"/>
        </w:rPr>
        <w:t>Table 1</w:t>
      </w:r>
      <w:r w:rsidR="002F6C3A">
        <w:rPr>
          <w:sz w:val="22"/>
          <w:szCs w:val="22"/>
        </w:rPr>
        <w:t>6</w:t>
      </w:r>
      <w:r w:rsidR="00D34B83" w:rsidRPr="00B233F7">
        <w:rPr>
          <w:sz w:val="22"/>
          <w:szCs w:val="22"/>
        </w:rPr>
        <w:t>)</w:t>
      </w:r>
      <w:r w:rsidRPr="00B233F7">
        <w:rPr>
          <w:sz w:val="22"/>
          <w:szCs w:val="22"/>
        </w:rPr>
        <w:t xml:space="preserve">. </w:t>
      </w:r>
    </w:p>
    <w:p w14:paraId="42E0204B" w14:textId="0F6E34E3" w:rsidR="00D34B83" w:rsidRDefault="00D34B83" w:rsidP="003D3843">
      <w:pPr>
        <w:pStyle w:val="Caption"/>
      </w:pPr>
      <w:bookmarkStart w:id="40" w:name="_Ref184729560"/>
      <w:r>
        <w:t xml:space="preserve">Table </w:t>
      </w:r>
      <w:r w:rsidR="00A94B72">
        <w:t>1</w:t>
      </w:r>
      <w:r w:rsidR="002F6C3A">
        <w:t>6</w:t>
      </w:r>
      <w:bookmarkEnd w:id="40"/>
      <w:r>
        <w:t xml:space="preserve"> </w:t>
      </w:r>
      <w:r w:rsidRPr="00724A63">
        <w:t>Net financial implications of HLA genotyping to the PBS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037"/>
        <w:gridCol w:w="1037"/>
        <w:gridCol w:w="1037"/>
        <w:gridCol w:w="1037"/>
        <w:gridCol w:w="1129"/>
        <w:gridCol w:w="1129"/>
      </w:tblGrid>
      <w:tr w:rsidR="00E30D59" w:rsidRPr="00265092" w14:paraId="34471396" w14:textId="77777777">
        <w:trPr>
          <w:trHeight w:val="263"/>
        </w:trPr>
        <w:tc>
          <w:tcPr>
            <w:tcW w:w="1447" w:type="pct"/>
            <w:shd w:val="clear" w:color="000000" w:fill="D9D9D9"/>
            <w:vAlign w:val="center"/>
            <w:hideMark/>
          </w:tcPr>
          <w:p w14:paraId="2E93BC37" w14:textId="77777777" w:rsidR="00832145" w:rsidRPr="00265092" w:rsidRDefault="00832145">
            <w:pPr>
              <w:spacing w:before="0" w:after="0"/>
              <w:jc w:val="right"/>
              <w:rPr>
                <w:rFonts w:ascii="Arial Narrow" w:hAnsi="Arial Narrow" w:cs="Arial"/>
                <w:b/>
                <w:bCs/>
                <w:sz w:val="20"/>
                <w:szCs w:val="20"/>
                <w:lang w:eastAsia="en-AU"/>
              </w:rPr>
            </w:pPr>
            <w:r w:rsidRPr="00265092">
              <w:rPr>
                <w:rFonts w:ascii="Arial Narrow" w:hAnsi="Arial Narrow" w:cs="Arial"/>
                <w:b/>
                <w:bCs/>
                <w:sz w:val="20"/>
                <w:szCs w:val="20"/>
                <w:lang w:eastAsia="en-AU"/>
              </w:rPr>
              <w:t> </w:t>
            </w:r>
          </w:p>
        </w:tc>
        <w:tc>
          <w:tcPr>
            <w:tcW w:w="575" w:type="pct"/>
            <w:shd w:val="clear" w:color="000000" w:fill="D9D9D9"/>
            <w:noWrap/>
            <w:vAlign w:val="center"/>
            <w:hideMark/>
          </w:tcPr>
          <w:p w14:paraId="74A84E76" w14:textId="77777777" w:rsidR="00832145" w:rsidRPr="00265092" w:rsidRDefault="00832145">
            <w:pPr>
              <w:spacing w:before="0" w:after="0"/>
              <w:jc w:val="center"/>
              <w:rPr>
                <w:rFonts w:ascii="Arial Narrow" w:hAnsi="Arial Narrow" w:cs="Arial"/>
                <w:b/>
                <w:bCs/>
                <w:sz w:val="20"/>
                <w:szCs w:val="20"/>
                <w:lang w:eastAsia="en-AU"/>
              </w:rPr>
            </w:pPr>
            <w:r w:rsidRPr="00265092">
              <w:rPr>
                <w:rFonts w:ascii="Arial Narrow" w:hAnsi="Arial Narrow" w:cs="Arial"/>
                <w:b/>
                <w:bCs/>
                <w:sz w:val="20"/>
                <w:szCs w:val="20"/>
                <w:lang w:eastAsia="en-AU"/>
              </w:rPr>
              <w:t>2025</w:t>
            </w:r>
          </w:p>
        </w:tc>
        <w:tc>
          <w:tcPr>
            <w:tcW w:w="575" w:type="pct"/>
            <w:shd w:val="clear" w:color="000000" w:fill="D9D9D9"/>
            <w:noWrap/>
            <w:vAlign w:val="center"/>
            <w:hideMark/>
          </w:tcPr>
          <w:p w14:paraId="77D705D1" w14:textId="77777777" w:rsidR="00832145" w:rsidRPr="00265092" w:rsidRDefault="00832145">
            <w:pPr>
              <w:spacing w:before="0" w:after="0"/>
              <w:jc w:val="center"/>
              <w:rPr>
                <w:rFonts w:ascii="Arial Narrow" w:hAnsi="Arial Narrow" w:cs="Arial"/>
                <w:b/>
                <w:bCs/>
                <w:sz w:val="20"/>
                <w:szCs w:val="20"/>
                <w:lang w:eastAsia="en-AU"/>
              </w:rPr>
            </w:pPr>
            <w:r w:rsidRPr="00265092">
              <w:rPr>
                <w:rFonts w:ascii="Arial Narrow" w:hAnsi="Arial Narrow" w:cs="Arial"/>
                <w:b/>
                <w:bCs/>
                <w:sz w:val="20"/>
                <w:szCs w:val="20"/>
                <w:lang w:eastAsia="en-AU"/>
              </w:rPr>
              <w:t>2026</w:t>
            </w:r>
          </w:p>
        </w:tc>
        <w:tc>
          <w:tcPr>
            <w:tcW w:w="575" w:type="pct"/>
            <w:shd w:val="clear" w:color="000000" w:fill="D9D9D9"/>
            <w:noWrap/>
            <w:vAlign w:val="center"/>
            <w:hideMark/>
          </w:tcPr>
          <w:p w14:paraId="0F0713FF" w14:textId="77777777" w:rsidR="00832145" w:rsidRPr="00265092" w:rsidRDefault="00832145">
            <w:pPr>
              <w:spacing w:before="0" w:after="0"/>
              <w:jc w:val="center"/>
              <w:rPr>
                <w:rFonts w:ascii="Arial Narrow" w:hAnsi="Arial Narrow" w:cs="Arial"/>
                <w:b/>
                <w:bCs/>
                <w:sz w:val="20"/>
                <w:szCs w:val="20"/>
                <w:lang w:eastAsia="en-AU"/>
              </w:rPr>
            </w:pPr>
            <w:r w:rsidRPr="00265092">
              <w:rPr>
                <w:rFonts w:ascii="Arial Narrow" w:hAnsi="Arial Narrow" w:cs="Arial"/>
                <w:b/>
                <w:bCs/>
                <w:sz w:val="20"/>
                <w:szCs w:val="20"/>
                <w:lang w:eastAsia="en-AU"/>
              </w:rPr>
              <w:t>2027</w:t>
            </w:r>
          </w:p>
        </w:tc>
        <w:tc>
          <w:tcPr>
            <w:tcW w:w="575" w:type="pct"/>
            <w:shd w:val="clear" w:color="000000" w:fill="D9D9D9"/>
            <w:noWrap/>
            <w:vAlign w:val="center"/>
            <w:hideMark/>
          </w:tcPr>
          <w:p w14:paraId="1D96D4DC" w14:textId="77777777" w:rsidR="00832145" w:rsidRPr="00265092" w:rsidRDefault="00832145">
            <w:pPr>
              <w:spacing w:before="0" w:after="0"/>
              <w:jc w:val="center"/>
              <w:rPr>
                <w:rFonts w:ascii="Arial Narrow" w:hAnsi="Arial Narrow" w:cs="Arial"/>
                <w:b/>
                <w:bCs/>
                <w:sz w:val="20"/>
                <w:szCs w:val="20"/>
                <w:lang w:eastAsia="en-AU"/>
              </w:rPr>
            </w:pPr>
            <w:r w:rsidRPr="00265092">
              <w:rPr>
                <w:rFonts w:ascii="Arial Narrow" w:hAnsi="Arial Narrow" w:cs="Arial"/>
                <w:b/>
                <w:bCs/>
                <w:sz w:val="20"/>
                <w:szCs w:val="20"/>
                <w:lang w:eastAsia="en-AU"/>
              </w:rPr>
              <w:t>2028</w:t>
            </w:r>
          </w:p>
        </w:tc>
        <w:tc>
          <w:tcPr>
            <w:tcW w:w="626" w:type="pct"/>
            <w:shd w:val="clear" w:color="000000" w:fill="D9D9D9"/>
            <w:noWrap/>
            <w:vAlign w:val="center"/>
            <w:hideMark/>
          </w:tcPr>
          <w:p w14:paraId="3E70D0BE" w14:textId="77777777" w:rsidR="00832145" w:rsidRPr="00265092" w:rsidRDefault="00832145">
            <w:pPr>
              <w:spacing w:before="0" w:after="0"/>
              <w:jc w:val="center"/>
              <w:rPr>
                <w:rFonts w:ascii="Arial Narrow" w:hAnsi="Arial Narrow" w:cs="Arial"/>
                <w:b/>
                <w:bCs/>
                <w:sz w:val="20"/>
                <w:szCs w:val="20"/>
                <w:lang w:eastAsia="en-AU"/>
              </w:rPr>
            </w:pPr>
            <w:r w:rsidRPr="00265092">
              <w:rPr>
                <w:rFonts w:ascii="Arial Narrow" w:hAnsi="Arial Narrow" w:cs="Arial"/>
                <w:b/>
                <w:bCs/>
                <w:sz w:val="20"/>
                <w:szCs w:val="20"/>
                <w:lang w:eastAsia="en-AU"/>
              </w:rPr>
              <w:t>2029</w:t>
            </w:r>
          </w:p>
        </w:tc>
        <w:tc>
          <w:tcPr>
            <w:tcW w:w="626" w:type="pct"/>
            <w:shd w:val="clear" w:color="000000" w:fill="D9D9D9"/>
            <w:noWrap/>
            <w:vAlign w:val="center"/>
            <w:hideMark/>
          </w:tcPr>
          <w:p w14:paraId="0904D42E" w14:textId="77777777" w:rsidR="00832145" w:rsidRPr="00265092" w:rsidRDefault="00832145">
            <w:pPr>
              <w:spacing w:before="0" w:after="0"/>
              <w:jc w:val="center"/>
              <w:rPr>
                <w:rFonts w:ascii="Arial Narrow" w:hAnsi="Arial Narrow" w:cs="Arial"/>
                <w:b/>
                <w:bCs/>
                <w:sz w:val="20"/>
                <w:szCs w:val="20"/>
                <w:lang w:eastAsia="en-AU"/>
              </w:rPr>
            </w:pPr>
            <w:r w:rsidRPr="00265092">
              <w:rPr>
                <w:rFonts w:ascii="Arial Narrow" w:hAnsi="Arial Narrow" w:cs="Arial"/>
                <w:b/>
                <w:bCs/>
                <w:sz w:val="20"/>
                <w:szCs w:val="20"/>
                <w:lang w:eastAsia="en-AU"/>
              </w:rPr>
              <w:t>2030</w:t>
            </w:r>
          </w:p>
        </w:tc>
      </w:tr>
      <w:tr w:rsidR="00E30D59" w:rsidRPr="00602C24" w14:paraId="58DA24EC" w14:textId="77777777">
        <w:trPr>
          <w:trHeight w:val="263"/>
        </w:trPr>
        <w:tc>
          <w:tcPr>
            <w:tcW w:w="1447" w:type="pct"/>
            <w:shd w:val="clear" w:color="auto" w:fill="auto"/>
            <w:vAlign w:val="center"/>
            <w:hideMark/>
          </w:tcPr>
          <w:p w14:paraId="2C21C2D3" w14:textId="77777777" w:rsidR="00832145" w:rsidRPr="006A2485" w:rsidRDefault="00832145">
            <w:pPr>
              <w:pStyle w:val="Tabletext0"/>
              <w:rPr>
                <w:rFonts w:cs="Arial"/>
                <w:color w:val="000000"/>
              </w:rPr>
            </w:pPr>
            <w:r w:rsidRPr="006A2485">
              <w:rPr>
                <w:rFonts w:cs="Arial"/>
                <w:color w:val="000000"/>
              </w:rPr>
              <w:t xml:space="preserve">Cost with listing </w:t>
            </w:r>
            <w:r w:rsidRPr="005A79B4">
              <w:rPr>
                <w:i/>
              </w:rPr>
              <w:t xml:space="preserve">HLA </w:t>
            </w:r>
          </w:p>
        </w:tc>
        <w:tc>
          <w:tcPr>
            <w:tcW w:w="575" w:type="pct"/>
            <w:shd w:val="clear" w:color="000000" w:fill="FFFFFF"/>
            <w:vAlign w:val="bottom"/>
            <w:hideMark/>
          </w:tcPr>
          <w:p w14:paraId="263BEA2D" w14:textId="77777777" w:rsidR="00832145" w:rsidRPr="006A2485" w:rsidRDefault="00832145">
            <w:pPr>
              <w:pStyle w:val="Tabletext0"/>
              <w:jc w:val="right"/>
              <w:rPr>
                <w:rFonts w:cs="Arial"/>
                <w:color w:val="000000"/>
              </w:rPr>
            </w:pPr>
            <w:r>
              <w:rPr>
                <w:rFonts w:cs="Arial"/>
                <w:color w:val="000000"/>
              </w:rPr>
              <w:t>$66,796</w:t>
            </w:r>
          </w:p>
        </w:tc>
        <w:tc>
          <w:tcPr>
            <w:tcW w:w="575" w:type="pct"/>
            <w:shd w:val="clear" w:color="000000" w:fill="FFFFFF"/>
            <w:vAlign w:val="bottom"/>
            <w:hideMark/>
          </w:tcPr>
          <w:p w14:paraId="63938BCC" w14:textId="77777777" w:rsidR="00832145" w:rsidRPr="006A2485" w:rsidRDefault="00832145">
            <w:pPr>
              <w:pStyle w:val="Tabletext0"/>
              <w:jc w:val="right"/>
              <w:rPr>
                <w:rFonts w:cs="Arial"/>
                <w:color w:val="000000"/>
              </w:rPr>
            </w:pPr>
            <w:r>
              <w:rPr>
                <w:rFonts w:cs="Arial"/>
                <w:color w:val="000000"/>
              </w:rPr>
              <w:t>$75,810</w:t>
            </w:r>
          </w:p>
        </w:tc>
        <w:tc>
          <w:tcPr>
            <w:tcW w:w="575" w:type="pct"/>
            <w:shd w:val="clear" w:color="000000" w:fill="FFFFFF"/>
            <w:vAlign w:val="bottom"/>
            <w:hideMark/>
          </w:tcPr>
          <w:p w14:paraId="2E670DF1" w14:textId="77777777" w:rsidR="00832145" w:rsidRPr="006A2485" w:rsidRDefault="00832145">
            <w:pPr>
              <w:pStyle w:val="Tabletext0"/>
              <w:jc w:val="right"/>
              <w:rPr>
                <w:rFonts w:cs="Arial"/>
                <w:color w:val="000000"/>
              </w:rPr>
            </w:pPr>
            <w:r>
              <w:rPr>
                <w:rFonts w:cs="Arial"/>
                <w:color w:val="000000"/>
              </w:rPr>
              <w:t>$83,376</w:t>
            </w:r>
          </w:p>
        </w:tc>
        <w:tc>
          <w:tcPr>
            <w:tcW w:w="575" w:type="pct"/>
            <w:shd w:val="clear" w:color="000000" w:fill="FFFFFF"/>
            <w:vAlign w:val="bottom"/>
            <w:hideMark/>
          </w:tcPr>
          <w:p w14:paraId="428EA18E" w14:textId="77777777" w:rsidR="00832145" w:rsidRPr="006A2485" w:rsidRDefault="00832145">
            <w:pPr>
              <w:pStyle w:val="Tabletext0"/>
              <w:jc w:val="right"/>
              <w:rPr>
                <w:rFonts w:cs="Arial"/>
                <w:color w:val="000000"/>
              </w:rPr>
            </w:pPr>
            <w:r>
              <w:rPr>
                <w:rFonts w:cs="Arial"/>
                <w:color w:val="000000"/>
              </w:rPr>
              <w:t>$89,489</w:t>
            </w:r>
          </w:p>
        </w:tc>
        <w:tc>
          <w:tcPr>
            <w:tcW w:w="626" w:type="pct"/>
            <w:shd w:val="clear" w:color="000000" w:fill="FFFFFF"/>
            <w:vAlign w:val="bottom"/>
            <w:hideMark/>
          </w:tcPr>
          <w:p w14:paraId="74D8979B" w14:textId="77777777" w:rsidR="00832145" w:rsidRPr="006A2485" w:rsidRDefault="00832145">
            <w:pPr>
              <w:pStyle w:val="Tabletext0"/>
              <w:jc w:val="right"/>
              <w:rPr>
                <w:rFonts w:cs="Arial"/>
                <w:color w:val="000000"/>
              </w:rPr>
            </w:pPr>
            <w:r>
              <w:rPr>
                <w:rFonts w:cs="Arial"/>
                <w:color w:val="000000"/>
              </w:rPr>
              <w:t>$94,155</w:t>
            </w:r>
          </w:p>
        </w:tc>
        <w:tc>
          <w:tcPr>
            <w:tcW w:w="626" w:type="pct"/>
            <w:shd w:val="clear" w:color="000000" w:fill="FFFFFF"/>
            <w:vAlign w:val="bottom"/>
            <w:hideMark/>
          </w:tcPr>
          <w:p w14:paraId="343CF90A" w14:textId="77777777" w:rsidR="00832145" w:rsidRPr="006A2485" w:rsidRDefault="00832145">
            <w:pPr>
              <w:pStyle w:val="Tabletext0"/>
              <w:jc w:val="right"/>
              <w:rPr>
                <w:rFonts w:cs="Arial"/>
                <w:color w:val="000000"/>
              </w:rPr>
            </w:pPr>
            <w:r>
              <w:rPr>
                <w:rFonts w:cs="Arial"/>
                <w:color w:val="000000"/>
              </w:rPr>
              <w:t>$97,373</w:t>
            </w:r>
          </w:p>
        </w:tc>
      </w:tr>
      <w:tr w:rsidR="00E30D59" w:rsidRPr="00602C24" w14:paraId="1C07443E" w14:textId="77777777">
        <w:trPr>
          <w:trHeight w:val="263"/>
        </w:trPr>
        <w:tc>
          <w:tcPr>
            <w:tcW w:w="1447" w:type="pct"/>
            <w:shd w:val="clear" w:color="auto" w:fill="auto"/>
            <w:vAlign w:val="center"/>
            <w:hideMark/>
          </w:tcPr>
          <w:p w14:paraId="5DE6D925" w14:textId="77777777" w:rsidR="00832145" w:rsidRPr="00602C24" w:rsidRDefault="00832145">
            <w:pPr>
              <w:pStyle w:val="Tabletext0"/>
              <w:rPr>
                <w:rFonts w:cs="Arial"/>
                <w:color w:val="000000"/>
              </w:rPr>
            </w:pPr>
            <w:r w:rsidRPr="00602C24">
              <w:rPr>
                <w:rFonts w:cs="Arial"/>
                <w:color w:val="000000"/>
              </w:rPr>
              <w:t xml:space="preserve">Cost without listing </w:t>
            </w:r>
            <w:r w:rsidRPr="005A79B4">
              <w:rPr>
                <w:i/>
              </w:rPr>
              <w:t>HLA</w:t>
            </w:r>
          </w:p>
        </w:tc>
        <w:tc>
          <w:tcPr>
            <w:tcW w:w="575" w:type="pct"/>
            <w:shd w:val="clear" w:color="000000" w:fill="FFFFFF"/>
            <w:vAlign w:val="bottom"/>
            <w:hideMark/>
          </w:tcPr>
          <w:p w14:paraId="7C255BFF" w14:textId="77777777" w:rsidR="00832145" w:rsidRPr="00602C24" w:rsidRDefault="00832145">
            <w:pPr>
              <w:pStyle w:val="Tabletext0"/>
              <w:jc w:val="right"/>
              <w:rPr>
                <w:rFonts w:cs="Arial"/>
                <w:color w:val="000000"/>
              </w:rPr>
            </w:pPr>
            <w:r>
              <w:rPr>
                <w:rFonts w:cs="Arial"/>
                <w:color w:val="000000"/>
              </w:rPr>
              <w:t>$89,010</w:t>
            </w:r>
          </w:p>
        </w:tc>
        <w:tc>
          <w:tcPr>
            <w:tcW w:w="575" w:type="pct"/>
            <w:shd w:val="clear" w:color="000000" w:fill="FFFFFF"/>
            <w:vAlign w:val="bottom"/>
            <w:hideMark/>
          </w:tcPr>
          <w:p w14:paraId="404733A2" w14:textId="77777777" w:rsidR="00832145" w:rsidRPr="00602C24" w:rsidRDefault="00832145">
            <w:pPr>
              <w:pStyle w:val="Tabletext0"/>
              <w:jc w:val="right"/>
              <w:rPr>
                <w:rFonts w:cs="Arial"/>
                <w:color w:val="000000"/>
              </w:rPr>
            </w:pPr>
            <w:r>
              <w:rPr>
                <w:rFonts w:cs="Arial"/>
                <w:color w:val="000000"/>
              </w:rPr>
              <w:t>$101,022</w:t>
            </w:r>
          </w:p>
        </w:tc>
        <w:tc>
          <w:tcPr>
            <w:tcW w:w="575" w:type="pct"/>
            <w:shd w:val="clear" w:color="000000" w:fill="FFFFFF"/>
            <w:vAlign w:val="bottom"/>
            <w:hideMark/>
          </w:tcPr>
          <w:p w14:paraId="06949A35" w14:textId="77777777" w:rsidR="00832145" w:rsidRPr="00602C24" w:rsidRDefault="00832145">
            <w:pPr>
              <w:pStyle w:val="Tabletext0"/>
              <w:jc w:val="right"/>
              <w:rPr>
                <w:rFonts w:cs="Arial"/>
                <w:color w:val="000000"/>
              </w:rPr>
            </w:pPr>
            <w:r>
              <w:rPr>
                <w:rFonts w:cs="Arial"/>
                <w:color w:val="000000"/>
              </w:rPr>
              <w:t>$111,104</w:t>
            </w:r>
          </w:p>
        </w:tc>
        <w:tc>
          <w:tcPr>
            <w:tcW w:w="575" w:type="pct"/>
            <w:shd w:val="clear" w:color="000000" w:fill="FFFFFF"/>
            <w:vAlign w:val="bottom"/>
            <w:hideMark/>
          </w:tcPr>
          <w:p w14:paraId="0DEC9A41" w14:textId="77777777" w:rsidR="00832145" w:rsidRPr="00602C24" w:rsidRDefault="00832145">
            <w:pPr>
              <w:pStyle w:val="Tabletext0"/>
              <w:jc w:val="right"/>
              <w:rPr>
                <w:rFonts w:cs="Arial"/>
                <w:color w:val="000000"/>
              </w:rPr>
            </w:pPr>
            <w:r>
              <w:rPr>
                <w:rFonts w:cs="Arial"/>
                <w:color w:val="000000"/>
              </w:rPr>
              <w:t>$119,250</w:t>
            </w:r>
          </w:p>
        </w:tc>
        <w:tc>
          <w:tcPr>
            <w:tcW w:w="626" w:type="pct"/>
            <w:shd w:val="clear" w:color="000000" w:fill="FFFFFF"/>
            <w:vAlign w:val="bottom"/>
            <w:hideMark/>
          </w:tcPr>
          <w:p w14:paraId="48E66F87" w14:textId="77777777" w:rsidR="00832145" w:rsidRPr="00602C24" w:rsidRDefault="00832145">
            <w:pPr>
              <w:pStyle w:val="Tabletext0"/>
              <w:jc w:val="right"/>
              <w:rPr>
                <w:rFonts w:cs="Arial"/>
                <w:color w:val="000000"/>
              </w:rPr>
            </w:pPr>
            <w:r>
              <w:rPr>
                <w:rFonts w:cs="Arial"/>
                <w:color w:val="000000"/>
              </w:rPr>
              <w:t>$125,467</w:t>
            </w:r>
          </w:p>
        </w:tc>
        <w:tc>
          <w:tcPr>
            <w:tcW w:w="626" w:type="pct"/>
            <w:shd w:val="clear" w:color="000000" w:fill="FFFFFF"/>
            <w:vAlign w:val="bottom"/>
            <w:hideMark/>
          </w:tcPr>
          <w:p w14:paraId="4B51658F" w14:textId="77777777" w:rsidR="00832145" w:rsidRPr="00602C24" w:rsidRDefault="00832145">
            <w:pPr>
              <w:pStyle w:val="Tabletext0"/>
              <w:jc w:val="right"/>
              <w:rPr>
                <w:rFonts w:cs="Arial"/>
                <w:color w:val="000000"/>
              </w:rPr>
            </w:pPr>
            <w:r>
              <w:rPr>
                <w:rFonts w:cs="Arial"/>
                <w:color w:val="000000"/>
              </w:rPr>
              <w:t>$129,755</w:t>
            </w:r>
          </w:p>
        </w:tc>
      </w:tr>
      <w:tr w:rsidR="00E30D59" w:rsidRPr="00477F1D" w14:paraId="261A5BDD" w14:textId="77777777">
        <w:trPr>
          <w:trHeight w:val="263"/>
        </w:trPr>
        <w:tc>
          <w:tcPr>
            <w:tcW w:w="1447" w:type="pct"/>
            <w:shd w:val="clear" w:color="000000" w:fill="FFFFFF"/>
            <w:vAlign w:val="center"/>
            <w:hideMark/>
          </w:tcPr>
          <w:p w14:paraId="238824B6" w14:textId="77777777" w:rsidR="00832145" w:rsidRPr="005E107C" w:rsidRDefault="00832145">
            <w:pPr>
              <w:pStyle w:val="Tabletext0"/>
              <w:rPr>
                <w:rFonts w:cs="Arial"/>
                <w:b/>
                <w:bCs/>
                <w:color w:val="000000"/>
              </w:rPr>
            </w:pPr>
            <w:r w:rsidRPr="005E107C">
              <w:rPr>
                <w:rFonts w:cs="Arial"/>
                <w:b/>
                <w:bCs/>
                <w:color w:val="000000"/>
              </w:rPr>
              <w:t>Net cost to PBS</w:t>
            </w:r>
          </w:p>
        </w:tc>
        <w:tc>
          <w:tcPr>
            <w:tcW w:w="575" w:type="pct"/>
            <w:shd w:val="clear" w:color="000000" w:fill="FFFFFF"/>
            <w:vAlign w:val="bottom"/>
            <w:hideMark/>
          </w:tcPr>
          <w:p w14:paraId="38F51CBB" w14:textId="77777777" w:rsidR="00832145" w:rsidRPr="005E107C" w:rsidRDefault="00832145">
            <w:pPr>
              <w:pStyle w:val="Tabletext0"/>
              <w:jc w:val="right"/>
              <w:rPr>
                <w:rFonts w:cs="Arial"/>
                <w:b/>
                <w:bCs/>
                <w:color w:val="FF0000"/>
              </w:rPr>
            </w:pPr>
            <w:r w:rsidRPr="005E107C">
              <w:rPr>
                <w:rFonts w:cs="Arial"/>
                <w:b/>
                <w:bCs/>
                <w:color w:val="000000"/>
              </w:rPr>
              <w:t>-$22,214</w:t>
            </w:r>
          </w:p>
        </w:tc>
        <w:tc>
          <w:tcPr>
            <w:tcW w:w="575" w:type="pct"/>
            <w:shd w:val="clear" w:color="000000" w:fill="FFFFFF"/>
            <w:vAlign w:val="bottom"/>
            <w:hideMark/>
          </w:tcPr>
          <w:p w14:paraId="2E5BF7C5" w14:textId="77777777" w:rsidR="00832145" w:rsidRPr="005E107C" w:rsidRDefault="00832145">
            <w:pPr>
              <w:pStyle w:val="Tabletext0"/>
              <w:jc w:val="right"/>
              <w:rPr>
                <w:rFonts w:cs="Arial"/>
                <w:b/>
                <w:bCs/>
                <w:color w:val="FF0000"/>
              </w:rPr>
            </w:pPr>
            <w:r w:rsidRPr="005E107C">
              <w:rPr>
                <w:rFonts w:cs="Arial"/>
                <w:b/>
                <w:bCs/>
                <w:color w:val="000000"/>
              </w:rPr>
              <w:t>-$25,212</w:t>
            </w:r>
          </w:p>
        </w:tc>
        <w:tc>
          <w:tcPr>
            <w:tcW w:w="575" w:type="pct"/>
            <w:shd w:val="clear" w:color="000000" w:fill="FFFFFF"/>
            <w:vAlign w:val="bottom"/>
            <w:hideMark/>
          </w:tcPr>
          <w:p w14:paraId="193CFF22" w14:textId="77777777" w:rsidR="00832145" w:rsidRPr="005E107C" w:rsidRDefault="00832145">
            <w:pPr>
              <w:pStyle w:val="Tabletext0"/>
              <w:jc w:val="right"/>
              <w:rPr>
                <w:rFonts w:cs="Arial"/>
                <w:b/>
                <w:bCs/>
                <w:color w:val="FF0000"/>
              </w:rPr>
            </w:pPr>
            <w:r w:rsidRPr="005E107C">
              <w:rPr>
                <w:rFonts w:cs="Arial"/>
                <w:b/>
                <w:bCs/>
                <w:color w:val="000000"/>
              </w:rPr>
              <w:t>-$27,728</w:t>
            </w:r>
          </w:p>
        </w:tc>
        <w:tc>
          <w:tcPr>
            <w:tcW w:w="575" w:type="pct"/>
            <w:shd w:val="clear" w:color="000000" w:fill="FFFFFF"/>
            <w:vAlign w:val="bottom"/>
            <w:hideMark/>
          </w:tcPr>
          <w:p w14:paraId="54148887" w14:textId="77777777" w:rsidR="00832145" w:rsidRPr="005E107C" w:rsidRDefault="00832145">
            <w:pPr>
              <w:pStyle w:val="Tabletext0"/>
              <w:jc w:val="right"/>
              <w:rPr>
                <w:rFonts w:cs="Arial"/>
                <w:b/>
                <w:bCs/>
                <w:color w:val="FF0000"/>
              </w:rPr>
            </w:pPr>
            <w:r w:rsidRPr="005E107C">
              <w:rPr>
                <w:rFonts w:cs="Arial"/>
                <w:b/>
                <w:bCs/>
                <w:color w:val="000000"/>
              </w:rPr>
              <w:t>-$29,761</w:t>
            </w:r>
          </w:p>
        </w:tc>
        <w:tc>
          <w:tcPr>
            <w:tcW w:w="626" w:type="pct"/>
            <w:shd w:val="clear" w:color="000000" w:fill="FFFFFF"/>
            <w:vAlign w:val="bottom"/>
            <w:hideMark/>
          </w:tcPr>
          <w:p w14:paraId="32C68054" w14:textId="77777777" w:rsidR="00832145" w:rsidRPr="005E107C" w:rsidRDefault="00832145">
            <w:pPr>
              <w:pStyle w:val="Tabletext0"/>
              <w:jc w:val="right"/>
              <w:rPr>
                <w:rFonts w:cs="Arial"/>
                <w:b/>
                <w:bCs/>
                <w:color w:val="FF0000"/>
              </w:rPr>
            </w:pPr>
            <w:r w:rsidRPr="005E107C">
              <w:rPr>
                <w:rFonts w:cs="Arial"/>
                <w:b/>
                <w:bCs/>
                <w:color w:val="000000"/>
              </w:rPr>
              <w:t>-$31,313</w:t>
            </w:r>
          </w:p>
        </w:tc>
        <w:tc>
          <w:tcPr>
            <w:tcW w:w="626" w:type="pct"/>
            <w:shd w:val="clear" w:color="000000" w:fill="FFFFFF"/>
            <w:vAlign w:val="bottom"/>
            <w:hideMark/>
          </w:tcPr>
          <w:p w14:paraId="0435F5D4" w14:textId="77777777" w:rsidR="00832145" w:rsidRPr="005E107C" w:rsidRDefault="00832145">
            <w:pPr>
              <w:pStyle w:val="Tabletext0"/>
              <w:jc w:val="right"/>
              <w:rPr>
                <w:rFonts w:cs="Arial"/>
                <w:b/>
                <w:bCs/>
                <w:color w:val="FF0000"/>
              </w:rPr>
            </w:pPr>
            <w:r w:rsidRPr="005E107C">
              <w:rPr>
                <w:rFonts w:cs="Arial"/>
                <w:b/>
                <w:bCs/>
                <w:color w:val="000000"/>
              </w:rPr>
              <w:t>-$32,383</w:t>
            </w:r>
          </w:p>
        </w:tc>
      </w:tr>
    </w:tbl>
    <w:p w14:paraId="0754601F" w14:textId="2746549A" w:rsidR="00832145" w:rsidRPr="003D3843" w:rsidRDefault="00832145" w:rsidP="422CAA86">
      <w:pPr>
        <w:pStyle w:val="TableFigureFooter"/>
        <w:rPr>
          <w:b/>
          <w:bCs/>
        </w:rPr>
      </w:pPr>
      <w:r w:rsidRPr="422CAA86">
        <w:t xml:space="preserve">Source: Excel workbook “Utilisation and Cost </w:t>
      </w:r>
      <w:proofErr w:type="spellStart"/>
      <w:r w:rsidRPr="422CAA86">
        <w:t>Model_basecase</w:t>
      </w:r>
      <w:proofErr w:type="spellEnd"/>
      <w:r w:rsidRPr="422CAA86">
        <w:t>”, sheet ““3. PBS costs””.</w:t>
      </w:r>
      <w:r>
        <w:br/>
      </w:r>
      <w:r w:rsidRPr="422CAA86">
        <w:t>Abbreivations: PBS= = Pharmaceutical Benefits Scheme</w:t>
      </w:r>
    </w:p>
    <w:p w14:paraId="4345B412" w14:textId="7E9A784B" w:rsidR="009329F6" w:rsidRPr="00B233F7" w:rsidRDefault="00984637" w:rsidP="422CAA86">
      <w:pPr>
        <w:spacing w:before="0"/>
        <w:rPr>
          <w:sz w:val="22"/>
          <w:szCs w:val="22"/>
        </w:rPr>
      </w:pPr>
      <w:r w:rsidRPr="422CAA86">
        <w:rPr>
          <w:sz w:val="22"/>
          <w:szCs w:val="22"/>
        </w:rPr>
        <w:t xml:space="preserve">It is expected that the listing of </w:t>
      </w:r>
      <w:r w:rsidRPr="422CAA86">
        <w:rPr>
          <w:i/>
          <w:iCs/>
          <w:sz w:val="22"/>
          <w:szCs w:val="22"/>
        </w:rPr>
        <w:t>HLA</w:t>
      </w:r>
      <w:r w:rsidRPr="422CAA86">
        <w:rPr>
          <w:sz w:val="22"/>
          <w:szCs w:val="22"/>
        </w:rPr>
        <w:t xml:space="preserve"> genotyping will lead to a reduction in</w:t>
      </w:r>
      <w:r w:rsidR="00AE3541" w:rsidRPr="422CAA86">
        <w:rPr>
          <w:sz w:val="22"/>
          <w:szCs w:val="22"/>
        </w:rPr>
        <w:t xml:space="preserve"> costs to state </w:t>
      </w:r>
      <w:r w:rsidR="00C7266A" w:rsidRPr="422CAA86">
        <w:rPr>
          <w:sz w:val="22"/>
          <w:szCs w:val="22"/>
        </w:rPr>
        <w:t>governments due to a reduction in h</w:t>
      </w:r>
      <w:r w:rsidR="00AE3541" w:rsidRPr="422CAA86">
        <w:rPr>
          <w:sz w:val="22"/>
          <w:szCs w:val="22"/>
        </w:rPr>
        <w:t xml:space="preserve">ospitalisation </w:t>
      </w:r>
      <w:r w:rsidR="00C7266A" w:rsidRPr="422CAA86">
        <w:rPr>
          <w:sz w:val="22"/>
          <w:szCs w:val="22"/>
        </w:rPr>
        <w:t>from</w:t>
      </w:r>
      <w:r w:rsidR="00AE3541" w:rsidRPr="422CAA86">
        <w:rPr>
          <w:sz w:val="22"/>
          <w:szCs w:val="22"/>
        </w:rPr>
        <w:t xml:space="preserve"> CBZ/OXC hypersensitivity reactions.</w:t>
      </w:r>
      <w:r w:rsidRPr="422CAA86">
        <w:rPr>
          <w:sz w:val="22"/>
          <w:szCs w:val="22"/>
        </w:rPr>
        <w:t xml:space="preserve"> </w:t>
      </w:r>
    </w:p>
    <w:p w14:paraId="6361380B" w14:textId="4F924AA0" w:rsidR="009329F6" w:rsidRPr="00B233F7" w:rsidRDefault="004A1EB6" w:rsidP="0041262B">
      <w:pPr>
        <w:spacing w:before="0"/>
        <w:rPr>
          <w:sz w:val="22"/>
          <w:szCs w:val="22"/>
        </w:rPr>
      </w:pPr>
      <w:r>
        <w:rPr>
          <w:sz w:val="22"/>
          <w:szCs w:val="22"/>
        </w:rPr>
        <w:t>Table 1</w:t>
      </w:r>
      <w:r w:rsidR="002F6C3A">
        <w:rPr>
          <w:sz w:val="22"/>
          <w:szCs w:val="22"/>
        </w:rPr>
        <w:t>7</w:t>
      </w:r>
      <w:r>
        <w:rPr>
          <w:sz w:val="22"/>
          <w:szCs w:val="22"/>
        </w:rPr>
        <w:t xml:space="preserve"> </w:t>
      </w:r>
      <w:r w:rsidR="00A40B17" w:rsidRPr="00B233F7">
        <w:rPr>
          <w:sz w:val="22"/>
          <w:szCs w:val="22"/>
        </w:rPr>
        <w:t xml:space="preserve">summarises the total cost to state/territory and commonwealth government health budgets. The listing of </w:t>
      </w:r>
      <w:r w:rsidR="009329F6" w:rsidRPr="00B233F7">
        <w:rPr>
          <w:i/>
          <w:iCs/>
          <w:sz w:val="22"/>
          <w:szCs w:val="22"/>
        </w:rPr>
        <w:t>HLA</w:t>
      </w:r>
      <w:r w:rsidR="00A40B17" w:rsidRPr="00B233F7">
        <w:rPr>
          <w:sz w:val="22"/>
          <w:szCs w:val="22"/>
        </w:rPr>
        <w:t xml:space="preserve"> genotyping will lead to a </w:t>
      </w:r>
      <w:r w:rsidR="00882286" w:rsidRPr="00B233F7">
        <w:rPr>
          <w:sz w:val="22"/>
          <w:szCs w:val="22"/>
        </w:rPr>
        <w:t>cost to the government health budgets of $</w:t>
      </w:r>
      <w:r w:rsidR="00246AFF" w:rsidRPr="00B233F7">
        <w:rPr>
          <w:sz w:val="22"/>
          <w:szCs w:val="22"/>
        </w:rPr>
        <w:t>3</w:t>
      </w:r>
      <w:r w:rsidR="00DF4217" w:rsidRPr="00B233F7">
        <w:rPr>
          <w:sz w:val="22"/>
          <w:szCs w:val="22"/>
        </w:rPr>
        <w:t>85</w:t>
      </w:r>
      <w:r w:rsidR="00882286" w:rsidRPr="00B233F7">
        <w:rPr>
          <w:sz w:val="22"/>
          <w:szCs w:val="22"/>
        </w:rPr>
        <w:t>,000 in year one, rising to $</w:t>
      </w:r>
      <w:r w:rsidR="00DF4217" w:rsidRPr="00B233F7">
        <w:rPr>
          <w:sz w:val="22"/>
          <w:szCs w:val="22"/>
        </w:rPr>
        <w:t>562</w:t>
      </w:r>
      <w:r w:rsidR="00882286" w:rsidRPr="00B233F7">
        <w:rPr>
          <w:sz w:val="22"/>
          <w:szCs w:val="22"/>
        </w:rPr>
        <w:t xml:space="preserve">,000 by year six. </w:t>
      </w:r>
      <w:r w:rsidR="00690F8D" w:rsidRPr="00B233F7">
        <w:rPr>
          <w:sz w:val="22"/>
          <w:szCs w:val="22"/>
        </w:rPr>
        <w:t xml:space="preserve">This is a </w:t>
      </w:r>
      <w:r w:rsidR="00882286" w:rsidRPr="00B233F7">
        <w:rPr>
          <w:sz w:val="22"/>
          <w:szCs w:val="22"/>
        </w:rPr>
        <w:t>total cost of approximately $2.</w:t>
      </w:r>
      <w:r w:rsidR="00DF4217" w:rsidRPr="00B233F7">
        <w:rPr>
          <w:sz w:val="22"/>
          <w:szCs w:val="22"/>
        </w:rPr>
        <w:t>9</w:t>
      </w:r>
      <w:r w:rsidR="006D2A8A" w:rsidRPr="00B233F7">
        <w:rPr>
          <w:sz w:val="22"/>
          <w:szCs w:val="22"/>
        </w:rPr>
        <w:t xml:space="preserve"> </w:t>
      </w:r>
      <w:r w:rsidR="00882286" w:rsidRPr="00B233F7">
        <w:rPr>
          <w:sz w:val="22"/>
          <w:szCs w:val="22"/>
        </w:rPr>
        <w:t>million over the first six years of listing.</w:t>
      </w:r>
    </w:p>
    <w:p w14:paraId="6996E637" w14:textId="3A45B896" w:rsidR="00A40B17" w:rsidRDefault="00A40B17" w:rsidP="00A737D1">
      <w:pPr>
        <w:pStyle w:val="TableHeading0"/>
        <w:keepNext/>
        <w:keepLines/>
        <w:spacing w:before="360"/>
      </w:pPr>
      <w:bookmarkStart w:id="41" w:name="_Ref172297989"/>
      <w:r>
        <w:lastRenderedPageBreak/>
        <w:t xml:space="preserve">Table </w:t>
      </w:r>
      <w:r w:rsidR="00A94B72">
        <w:t>1</w:t>
      </w:r>
      <w:r w:rsidR="005D37B3">
        <w:t>7</w:t>
      </w:r>
      <w:bookmarkEnd w:id="41"/>
      <w:r>
        <w:t xml:space="preserve"> Total cost to government health budgets</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78"/>
        <w:gridCol w:w="1176"/>
        <w:gridCol w:w="1176"/>
        <w:gridCol w:w="1176"/>
        <w:gridCol w:w="1176"/>
        <w:gridCol w:w="1176"/>
        <w:gridCol w:w="1172"/>
      </w:tblGrid>
      <w:tr w:rsidR="00A40B17" w:rsidRPr="001C55D5" w14:paraId="6C471CC8" w14:textId="77777777">
        <w:trPr>
          <w:trHeight w:val="200"/>
        </w:trPr>
        <w:tc>
          <w:tcPr>
            <w:tcW w:w="1095" w:type="pct"/>
            <w:shd w:val="clear" w:color="auto" w:fill="D9D9D9" w:themeFill="background1" w:themeFillShade="D9"/>
            <w:noWrap/>
            <w:vAlign w:val="bottom"/>
            <w:hideMark/>
          </w:tcPr>
          <w:p w14:paraId="5D0ACC42" w14:textId="77777777" w:rsidR="00A40B17" w:rsidRPr="001C55D5" w:rsidRDefault="00A40B17" w:rsidP="00A737D1">
            <w:pPr>
              <w:pStyle w:val="TableText"/>
              <w:keepNext/>
              <w:keepLines/>
              <w:rPr>
                <w:b/>
              </w:rPr>
            </w:pPr>
            <w:r w:rsidRPr="001C55D5">
              <w:rPr>
                <w:b/>
              </w:rPr>
              <w:t> </w:t>
            </w:r>
          </w:p>
        </w:tc>
        <w:tc>
          <w:tcPr>
            <w:tcW w:w="651" w:type="pct"/>
            <w:shd w:val="clear" w:color="auto" w:fill="D9D9D9" w:themeFill="background1" w:themeFillShade="D9"/>
            <w:noWrap/>
            <w:vAlign w:val="center"/>
            <w:hideMark/>
          </w:tcPr>
          <w:p w14:paraId="024AD89F" w14:textId="77777777" w:rsidR="00A40B17" w:rsidRPr="001C55D5" w:rsidRDefault="00A40B17" w:rsidP="00A737D1">
            <w:pPr>
              <w:pStyle w:val="TableText"/>
              <w:keepNext/>
              <w:keepLines/>
              <w:jc w:val="center"/>
              <w:rPr>
                <w:b/>
              </w:rPr>
            </w:pPr>
            <w:r w:rsidRPr="001C55D5">
              <w:rPr>
                <w:rFonts w:cs="Arial"/>
                <w:b/>
                <w:bCs/>
                <w:szCs w:val="20"/>
                <w:lang w:eastAsia="en-AU"/>
              </w:rPr>
              <w:t>2025</w:t>
            </w:r>
          </w:p>
        </w:tc>
        <w:tc>
          <w:tcPr>
            <w:tcW w:w="651" w:type="pct"/>
            <w:shd w:val="clear" w:color="auto" w:fill="D9D9D9" w:themeFill="background1" w:themeFillShade="D9"/>
            <w:noWrap/>
            <w:vAlign w:val="center"/>
            <w:hideMark/>
          </w:tcPr>
          <w:p w14:paraId="0C64FAAC" w14:textId="77777777" w:rsidR="00A40B17" w:rsidRPr="001C55D5" w:rsidRDefault="00A40B17" w:rsidP="00A737D1">
            <w:pPr>
              <w:pStyle w:val="TableText"/>
              <w:keepNext/>
              <w:keepLines/>
              <w:jc w:val="center"/>
              <w:rPr>
                <w:b/>
              </w:rPr>
            </w:pPr>
            <w:r w:rsidRPr="001C55D5">
              <w:rPr>
                <w:rFonts w:cs="Arial"/>
                <w:b/>
                <w:bCs/>
                <w:szCs w:val="20"/>
                <w:lang w:eastAsia="en-AU"/>
              </w:rPr>
              <w:t>2026</w:t>
            </w:r>
          </w:p>
        </w:tc>
        <w:tc>
          <w:tcPr>
            <w:tcW w:w="651" w:type="pct"/>
            <w:shd w:val="clear" w:color="auto" w:fill="D9D9D9" w:themeFill="background1" w:themeFillShade="D9"/>
            <w:noWrap/>
            <w:vAlign w:val="center"/>
            <w:hideMark/>
          </w:tcPr>
          <w:p w14:paraId="18F140BA" w14:textId="77777777" w:rsidR="00A40B17" w:rsidRPr="001C55D5" w:rsidRDefault="00A40B17" w:rsidP="00A737D1">
            <w:pPr>
              <w:pStyle w:val="TableText"/>
              <w:keepNext/>
              <w:keepLines/>
              <w:jc w:val="center"/>
              <w:rPr>
                <w:b/>
              </w:rPr>
            </w:pPr>
            <w:r w:rsidRPr="001C55D5">
              <w:rPr>
                <w:rFonts w:cs="Arial"/>
                <w:b/>
                <w:bCs/>
                <w:szCs w:val="20"/>
                <w:lang w:eastAsia="en-AU"/>
              </w:rPr>
              <w:t>2027</w:t>
            </w:r>
          </w:p>
        </w:tc>
        <w:tc>
          <w:tcPr>
            <w:tcW w:w="651" w:type="pct"/>
            <w:shd w:val="clear" w:color="auto" w:fill="D9D9D9" w:themeFill="background1" w:themeFillShade="D9"/>
            <w:noWrap/>
            <w:vAlign w:val="center"/>
            <w:hideMark/>
          </w:tcPr>
          <w:p w14:paraId="7A4CD86E" w14:textId="77777777" w:rsidR="00A40B17" w:rsidRPr="001C55D5" w:rsidRDefault="00A40B17" w:rsidP="00A737D1">
            <w:pPr>
              <w:pStyle w:val="TableText"/>
              <w:keepNext/>
              <w:keepLines/>
              <w:jc w:val="center"/>
              <w:rPr>
                <w:b/>
              </w:rPr>
            </w:pPr>
            <w:r w:rsidRPr="001C55D5">
              <w:rPr>
                <w:rFonts w:cs="Arial"/>
                <w:b/>
                <w:bCs/>
                <w:szCs w:val="20"/>
                <w:lang w:eastAsia="en-AU"/>
              </w:rPr>
              <w:t>2028</w:t>
            </w:r>
          </w:p>
        </w:tc>
        <w:tc>
          <w:tcPr>
            <w:tcW w:w="651" w:type="pct"/>
            <w:shd w:val="clear" w:color="auto" w:fill="D9D9D9" w:themeFill="background1" w:themeFillShade="D9"/>
            <w:noWrap/>
            <w:vAlign w:val="center"/>
            <w:hideMark/>
          </w:tcPr>
          <w:p w14:paraId="7117DFBE" w14:textId="77777777" w:rsidR="00A40B17" w:rsidRPr="001C55D5" w:rsidRDefault="00A40B17" w:rsidP="00A737D1">
            <w:pPr>
              <w:pStyle w:val="TableText"/>
              <w:keepNext/>
              <w:keepLines/>
              <w:jc w:val="center"/>
              <w:rPr>
                <w:b/>
              </w:rPr>
            </w:pPr>
            <w:r w:rsidRPr="001C55D5">
              <w:rPr>
                <w:rFonts w:cs="Arial"/>
                <w:b/>
                <w:bCs/>
                <w:szCs w:val="20"/>
                <w:lang w:eastAsia="en-AU"/>
              </w:rPr>
              <w:t>2029</w:t>
            </w:r>
          </w:p>
        </w:tc>
        <w:tc>
          <w:tcPr>
            <w:tcW w:w="649" w:type="pct"/>
            <w:shd w:val="clear" w:color="auto" w:fill="D9D9D9" w:themeFill="background1" w:themeFillShade="D9"/>
            <w:noWrap/>
            <w:vAlign w:val="center"/>
            <w:hideMark/>
          </w:tcPr>
          <w:p w14:paraId="3BEF7422" w14:textId="77777777" w:rsidR="00A40B17" w:rsidRPr="001C55D5" w:rsidRDefault="00A40B17" w:rsidP="00A737D1">
            <w:pPr>
              <w:pStyle w:val="TableText"/>
              <w:keepNext/>
              <w:keepLines/>
              <w:jc w:val="center"/>
              <w:rPr>
                <w:b/>
              </w:rPr>
            </w:pPr>
            <w:r w:rsidRPr="001C55D5">
              <w:rPr>
                <w:rFonts w:cs="Arial"/>
                <w:b/>
                <w:bCs/>
                <w:szCs w:val="20"/>
                <w:lang w:eastAsia="en-AU"/>
              </w:rPr>
              <w:t>2030</w:t>
            </w:r>
          </w:p>
        </w:tc>
      </w:tr>
      <w:tr w:rsidR="00882286" w:rsidRPr="001C55D5" w14:paraId="4FD7525B" w14:textId="77777777" w:rsidTr="1E4F44A5">
        <w:trPr>
          <w:trHeight w:val="200"/>
        </w:trPr>
        <w:tc>
          <w:tcPr>
            <w:tcW w:w="1095" w:type="pct"/>
            <w:shd w:val="clear" w:color="auto" w:fill="FFFFFF" w:themeFill="background1"/>
            <w:noWrap/>
            <w:vAlign w:val="center"/>
            <w:hideMark/>
          </w:tcPr>
          <w:p w14:paraId="7F281C17" w14:textId="77777777" w:rsidR="00882286" w:rsidRPr="00882286" w:rsidRDefault="00882286" w:rsidP="00A737D1">
            <w:pPr>
              <w:pStyle w:val="TableText"/>
              <w:keepNext/>
              <w:keepLines/>
            </w:pPr>
            <w:r w:rsidRPr="00882286">
              <w:t>Total cost to state governments</w:t>
            </w:r>
          </w:p>
        </w:tc>
        <w:tc>
          <w:tcPr>
            <w:tcW w:w="651" w:type="pct"/>
            <w:tcBorders>
              <w:top w:val="single" w:sz="4" w:space="0" w:color="auto"/>
              <w:left w:val="nil"/>
              <w:bottom w:val="single" w:sz="4" w:space="0" w:color="auto"/>
              <w:right w:val="single" w:sz="4" w:space="0" w:color="auto"/>
            </w:tcBorders>
            <w:shd w:val="clear" w:color="auto" w:fill="FFFFFF" w:themeFill="background1"/>
            <w:noWrap/>
            <w:vAlign w:val="center"/>
          </w:tcPr>
          <w:p w14:paraId="40CA8CBA" w14:textId="2CE7E20E" w:rsidR="00882286" w:rsidRPr="00882286" w:rsidRDefault="009B1391" w:rsidP="00A737D1">
            <w:pPr>
              <w:pStyle w:val="TableText"/>
              <w:keepNext/>
              <w:keepLines/>
              <w:jc w:val="right"/>
            </w:pPr>
            <w:r>
              <w:rPr>
                <w:rFonts w:cs="Arial"/>
                <w:color w:val="000000" w:themeColor="text1"/>
                <w:szCs w:val="20"/>
              </w:rPr>
              <w:t>-</w:t>
            </w:r>
            <w:r w:rsidR="00431668" w:rsidRPr="00431668">
              <w:rPr>
                <w:rFonts w:cs="Arial"/>
                <w:color w:val="000000" w:themeColor="text1"/>
                <w:szCs w:val="20"/>
              </w:rPr>
              <w:t>$325,209</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85847A" w14:textId="56D7F0AD" w:rsidR="00882286" w:rsidRPr="00882286" w:rsidRDefault="009B1391" w:rsidP="00A737D1">
            <w:pPr>
              <w:pStyle w:val="TableText"/>
              <w:keepNext/>
              <w:keepLines/>
              <w:jc w:val="right"/>
            </w:pPr>
            <w:r>
              <w:rPr>
                <w:rFonts w:cs="Arial"/>
                <w:color w:val="000000" w:themeColor="text1"/>
                <w:szCs w:val="20"/>
              </w:rPr>
              <w:t>-</w:t>
            </w:r>
            <w:r w:rsidR="00431668" w:rsidRPr="00431668">
              <w:rPr>
                <w:rFonts w:cs="Arial"/>
                <w:color w:val="000000" w:themeColor="text1"/>
                <w:szCs w:val="20"/>
              </w:rPr>
              <w:t>$369,093</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380C0B" w14:textId="35390287" w:rsidR="00882286" w:rsidRPr="00882286" w:rsidRDefault="009B1391" w:rsidP="00A737D1">
            <w:pPr>
              <w:pStyle w:val="TableText"/>
              <w:keepNext/>
              <w:keepLines/>
              <w:jc w:val="right"/>
            </w:pPr>
            <w:r>
              <w:rPr>
                <w:rFonts w:cs="Arial"/>
                <w:color w:val="000000" w:themeColor="text1"/>
                <w:szCs w:val="20"/>
              </w:rPr>
              <w:t>-</w:t>
            </w:r>
            <w:r w:rsidR="00431668" w:rsidRPr="00431668">
              <w:rPr>
                <w:rFonts w:cs="Arial"/>
                <w:color w:val="000000" w:themeColor="text1"/>
                <w:szCs w:val="20"/>
              </w:rPr>
              <w:t>$405,930</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32E607" w14:textId="6722BB2C" w:rsidR="00882286" w:rsidRPr="00882286" w:rsidRDefault="009B1391" w:rsidP="00A737D1">
            <w:pPr>
              <w:pStyle w:val="TableText"/>
              <w:keepNext/>
              <w:keepLines/>
              <w:jc w:val="right"/>
            </w:pPr>
            <w:r>
              <w:rPr>
                <w:rFonts w:cs="Arial"/>
                <w:color w:val="000000" w:themeColor="text1"/>
                <w:szCs w:val="20"/>
              </w:rPr>
              <w:t>-</w:t>
            </w:r>
            <w:r w:rsidR="00431668" w:rsidRPr="00431668">
              <w:rPr>
                <w:rFonts w:cs="Arial"/>
                <w:color w:val="000000" w:themeColor="text1"/>
                <w:szCs w:val="20"/>
              </w:rPr>
              <w:t>$435,692</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AF60D3" w14:textId="3A7387C9" w:rsidR="00882286" w:rsidRPr="00882286" w:rsidRDefault="009B1391" w:rsidP="00A737D1">
            <w:pPr>
              <w:pStyle w:val="TableText"/>
              <w:keepNext/>
              <w:keepLines/>
              <w:jc w:val="right"/>
            </w:pPr>
            <w:r>
              <w:rPr>
                <w:rFonts w:cs="Arial"/>
                <w:color w:val="000000" w:themeColor="text1"/>
                <w:szCs w:val="20"/>
              </w:rPr>
              <w:t>-</w:t>
            </w:r>
            <w:r w:rsidR="00431668" w:rsidRPr="00431668">
              <w:rPr>
                <w:rFonts w:cs="Arial"/>
                <w:color w:val="000000" w:themeColor="text1"/>
                <w:szCs w:val="20"/>
              </w:rPr>
              <w:t>$458,407</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26706" w14:textId="7D2D0D12" w:rsidR="00882286" w:rsidRPr="00882286" w:rsidRDefault="009B1391" w:rsidP="00A737D1">
            <w:pPr>
              <w:pStyle w:val="TableText"/>
              <w:keepNext/>
              <w:keepLines/>
              <w:jc w:val="right"/>
            </w:pPr>
            <w:r>
              <w:rPr>
                <w:rFonts w:cs="Arial"/>
                <w:color w:val="000000" w:themeColor="text1"/>
                <w:szCs w:val="20"/>
              </w:rPr>
              <w:t>-</w:t>
            </w:r>
            <w:r w:rsidR="00431668" w:rsidRPr="00431668">
              <w:rPr>
                <w:rFonts w:cs="Arial"/>
                <w:color w:val="000000" w:themeColor="text1"/>
                <w:szCs w:val="20"/>
              </w:rPr>
              <w:t>$474,075</w:t>
            </w:r>
          </w:p>
        </w:tc>
      </w:tr>
      <w:tr w:rsidR="00882286" w:rsidRPr="001C55D5" w14:paraId="36E94E6E" w14:textId="77777777" w:rsidTr="1E4F44A5">
        <w:trPr>
          <w:trHeight w:val="200"/>
        </w:trPr>
        <w:tc>
          <w:tcPr>
            <w:tcW w:w="1095" w:type="pct"/>
            <w:shd w:val="clear" w:color="auto" w:fill="FFFFFF" w:themeFill="background1"/>
            <w:noWrap/>
            <w:vAlign w:val="center"/>
            <w:hideMark/>
          </w:tcPr>
          <w:p w14:paraId="127F4C98" w14:textId="77777777" w:rsidR="00882286" w:rsidRPr="00882286" w:rsidRDefault="00882286" w:rsidP="00A737D1">
            <w:pPr>
              <w:pStyle w:val="TableText"/>
              <w:keepNext/>
              <w:keepLines/>
            </w:pPr>
            <w:r w:rsidRPr="00882286">
              <w:t>Total cost to Commonwealth government</w:t>
            </w:r>
          </w:p>
        </w:tc>
        <w:tc>
          <w:tcPr>
            <w:tcW w:w="651" w:type="pct"/>
            <w:tcBorders>
              <w:bottom w:val="single" w:sz="4" w:space="0" w:color="auto"/>
            </w:tcBorders>
            <w:shd w:val="clear" w:color="auto" w:fill="FFFFFF" w:themeFill="background1"/>
            <w:noWrap/>
            <w:vAlign w:val="center"/>
          </w:tcPr>
          <w:p w14:paraId="38AA2D66" w14:textId="066C96DE" w:rsidR="00882286" w:rsidRPr="00882286" w:rsidRDefault="000F2B9E" w:rsidP="00A737D1">
            <w:pPr>
              <w:pStyle w:val="TableText"/>
              <w:keepNext/>
              <w:keepLines/>
              <w:jc w:val="right"/>
            </w:pPr>
            <w:r w:rsidRPr="000F2B9E">
              <w:t>$710,539</w:t>
            </w:r>
          </w:p>
        </w:tc>
        <w:tc>
          <w:tcPr>
            <w:tcW w:w="651" w:type="pct"/>
            <w:tcBorders>
              <w:bottom w:val="single" w:sz="4" w:space="0" w:color="auto"/>
            </w:tcBorders>
            <w:shd w:val="clear" w:color="auto" w:fill="FFFFFF" w:themeFill="background1"/>
            <w:noWrap/>
            <w:vAlign w:val="center"/>
          </w:tcPr>
          <w:p w14:paraId="739C7526" w14:textId="07FD27FE" w:rsidR="00882286" w:rsidRPr="00882286" w:rsidRDefault="000F2B9E" w:rsidP="00A737D1">
            <w:pPr>
              <w:pStyle w:val="TableText"/>
              <w:keepNext/>
              <w:keepLines/>
              <w:jc w:val="right"/>
            </w:pPr>
            <w:r w:rsidRPr="000F2B9E">
              <w:t>$806,420</w:t>
            </w:r>
          </w:p>
        </w:tc>
        <w:tc>
          <w:tcPr>
            <w:tcW w:w="651" w:type="pct"/>
            <w:tcBorders>
              <w:bottom w:val="single" w:sz="4" w:space="0" w:color="auto"/>
            </w:tcBorders>
            <w:shd w:val="clear" w:color="auto" w:fill="FFFFFF" w:themeFill="background1"/>
            <w:noWrap/>
            <w:vAlign w:val="center"/>
          </w:tcPr>
          <w:p w14:paraId="54471D80" w14:textId="07A020B7" w:rsidR="00882286" w:rsidRPr="00882286" w:rsidRDefault="000F2B9E" w:rsidP="00A737D1">
            <w:pPr>
              <w:pStyle w:val="TableText"/>
              <w:keepNext/>
              <w:keepLines/>
              <w:jc w:val="right"/>
            </w:pPr>
            <w:r w:rsidRPr="000F2B9E">
              <w:t>$886,903</w:t>
            </w:r>
          </w:p>
        </w:tc>
        <w:tc>
          <w:tcPr>
            <w:tcW w:w="651" w:type="pct"/>
            <w:tcBorders>
              <w:bottom w:val="single" w:sz="4" w:space="0" w:color="auto"/>
            </w:tcBorders>
            <w:shd w:val="clear" w:color="auto" w:fill="FFFFFF" w:themeFill="background1"/>
            <w:noWrap/>
            <w:vAlign w:val="center"/>
          </w:tcPr>
          <w:p w14:paraId="4743AA84" w14:textId="5DA24945" w:rsidR="00882286" w:rsidRPr="00882286" w:rsidRDefault="000F2B9E" w:rsidP="00A737D1">
            <w:pPr>
              <w:pStyle w:val="TableText"/>
              <w:keepNext/>
              <w:keepLines/>
              <w:jc w:val="right"/>
            </w:pPr>
            <w:r w:rsidRPr="000F2B9E">
              <w:t>$951,930</w:t>
            </w:r>
          </w:p>
        </w:tc>
        <w:tc>
          <w:tcPr>
            <w:tcW w:w="651" w:type="pct"/>
            <w:tcBorders>
              <w:bottom w:val="single" w:sz="4" w:space="0" w:color="auto"/>
            </w:tcBorders>
            <w:shd w:val="clear" w:color="auto" w:fill="FFFFFF" w:themeFill="background1"/>
            <w:noWrap/>
            <w:vAlign w:val="center"/>
          </w:tcPr>
          <w:p w14:paraId="09F15CD4" w14:textId="1DAE2E81" w:rsidR="00882286" w:rsidRPr="00882286" w:rsidRDefault="000F2B9E" w:rsidP="00A737D1">
            <w:pPr>
              <w:pStyle w:val="TableText"/>
              <w:keepNext/>
              <w:keepLines/>
              <w:jc w:val="right"/>
            </w:pPr>
            <w:r w:rsidRPr="000F2B9E">
              <w:t>$1,001,559</w:t>
            </w:r>
          </w:p>
        </w:tc>
        <w:tc>
          <w:tcPr>
            <w:tcW w:w="649" w:type="pct"/>
            <w:tcBorders>
              <w:bottom w:val="single" w:sz="4" w:space="0" w:color="auto"/>
            </w:tcBorders>
            <w:shd w:val="clear" w:color="auto" w:fill="FFFFFF" w:themeFill="background1"/>
            <w:noWrap/>
            <w:vAlign w:val="center"/>
          </w:tcPr>
          <w:p w14:paraId="0B82E073" w14:textId="5C942E64" w:rsidR="00882286" w:rsidRPr="00882286" w:rsidRDefault="000F2B9E" w:rsidP="00A737D1">
            <w:pPr>
              <w:pStyle w:val="TableText"/>
              <w:keepNext/>
              <w:keepLines/>
              <w:jc w:val="right"/>
            </w:pPr>
            <w:r w:rsidRPr="000F2B9E">
              <w:t>$1,035,792</w:t>
            </w:r>
          </w:p>
        </w:tc>
      </w:tr>
      <w:tr w:rsidR="00882286" w:rsidRPr="000415B1" w14:paraId="323F9487" w14:textId="77777777">
        <w:trPr>
          <w:trHeight w:val="200"/>
        </w:trPr>
        <w:tc>
          <w:tcPr>
            <w:tcW w:w="1095" w:type="pct"/>
            <w:shd w:val="clear" w:color="auto" w:fill="FFFFFF" w:themeFill="background1"/>
            <w:noWrap/>
            <w:vAlign w:val="center"/>
            <w:hideMark/>
          </w:tcPr>
          <w:p w14:paraId="2F72A3B6" w14:textId="77777777" w:rsidR="00882286" w:rsidRPr="00882286" w:rsidRDefault="00882286" w:rsidP="00A737D1">
            <w:pPr>
              <w:pStyle w:val="TableText"/>
              <w:keepNext/>
              <w:keepLines/>
              <w:rPr>
                <w:b/>
              </w:rPr>
            </w:pPr>
            <w:r w:rsidRPr="00882286">
              <w:rPr>
                <w:b/>
              </w:rPr>
              <w:t>Net cost to government</w:t>
            </w:r>
          </w:p>
        </w:tc>
        <w:tc>
          <w:tcPr>
            <w:tcW w:w="651" w:type="pct"/>
            <w:tcBorders>
              <w:top w:val="nil"/>
              <w:left w:val="nil"/>
              <w:bottom w:val="single" w:sz="8" w:space="0" w:color="auto"/>
              <w:right w:val="single" w:sz="8" w:space="0" w:color="auto"/>
            </w:tcBorders>
            <w:shd w:val="clear" w:color="000000" w:fill="FFFFFF"/>
            <w:noWrap/>
            <w:vAlign w:val="center"/>
          </w:tcPr>
          <w:p w14:paraId="5BFF371C" w14:textId="6E0AC861" w:rsidR="00882286" w:rsidRPr="00882286" w:rsidRDefault="009F3438" w:rsidP="00A737D1">
            <w:pPr>
              <w:pStyle w:val="TableText"/>
              <w:keepNext/>
              <w:keepLines/>
              <w:jc w:val="right"/>
              <w:rPr>
                <w:b/>
              </w:rPr>
            </w:pPr>
            <w:r w:rsidRPr="009F3438">
              <w:rPr>
                <w:rFonts w:cs="Arial"/>
                <w:b/>
                <w:bCs/>
                <w:color w:val="000000"/>
                <w:szCs w:val="20"/>
              </w:rPr>
              <w:t>$385,330</w:t>
            </w:r>
          </w:p>
        </w:tc>
        <w:tc>
          <w:tcPr>
            <w:tcW w:w="651" w:type="pct"/>
            <w:tcBorders>
              <w:top w:val="nil"/>
              <w:left w:val="nil"/>
              <w:bottom w:val="single" w:sz="8" w:space="0" w:color="auto"/>
              <w:right w:val="single" w:sz="8" w:space="0" w:color="auto"/>
            </w:tcBorders>
            <w:shd w:val="clear" w:color="000000" w:fill="FFFFFF"/>
            <w:noWrap/>
            <w:vAlign w:val="center"/>
          </w:tcPr>
          <w:p w14:paraId="68F21DA3" w14:textId="1BCAADDF" w:rsidR="00882286" w:rsidRPr="00882286" w:rsidRDefault="009F3438" w:rsidP="00A737D1">
            <w:pPr>
              <w:pStyle w:val="TableText"/>
              <w:keepNext/>
              <w:keepLines/>
              <w:jc w:val="right"/>
              <w:rPr>
                <w:b/>
              </w:rPr>
            </w:pPr>
            <w:r w:rsidRPr="009F3438">
              <w:rPr>
                <w:rFonts w:cs="Arial"/>
                <w:b/>
                <w:bCs/>
                <w:color w:val="000000"/>
                <w:szCs w:val="20"/>
              </w:rPr>
              <w:t>$437,327</w:t>
            </w:r>
          </w:p>
        </w:tc>
        <w:tc>
          <w:tcPr>
            <w:tcW w:w="651" w:type="pct"/>
            <w:tcBorders>
              <w:top w:val="nil"/>
              <w:left w:val="nil"/>
              <w:bottom w:val="single" w:sz="8" w:space="0" w:color="auto"/>
              <w:right w:val="single" w:sz="8" w:space="0" w:color="auto"/>
            </w:tcBorders>
            <w:shd w:val="clear" w:color="000000" w:fill="FFFFFF"/>
            <w:noWrap/>
            <w:vAlign w:val="center"/>
          </w:tcPr>
          <w:p w14:paraId="2B67E8B5" w14:textId="5ED83269" w:rsidR="00882286" w:rsidRPr="00882286" w:rsidRDefault="009F3438" w:rsidP="00A737D1">
            <w:pPr>
              <w:pStyle w:val="TableText"/>
              <w:keepNext/>
              <w:keepLines/>
              <w:jc w:val="right"/>
              <w:rPr>
                <w:b/>
              </w:rPr>
            </w:pPr>
            <w:r w:rsidRPr="009F3438">
              <w:rPr>
                <w:rFonts w:cs="Arial"/>
                <w:b/>
                <w:bCs/>
                <w:color w:val="000000"/>
                <w:szCs w:val="20"/>
              </w:rPr>
              <w:t>$480,974</w:t>
            </w:r>
          </w:p>
        </w:tc>
        <w:tc>
          <w:tcPr>
            <w:tcW w:w="651" w:type="pct"/>
            <w:tcBorders>
              <w:top w:val="nil"/>
              <w:left w:val="nil"/>
              <w:bottom w:val="single" w:sz="8" w:space="0" w:color="auto"/>
              <w:right w:val="single" w:sz="8" w:space="0" w:color="auto"/>
            </w:tcBorders>
            <w:shd w:val="clear" w:color="000000" w:fill="FFFFFF"/>
            <w:noWrap/>
            <w:vAlign w:val="center"/>
          </w:tcPr>
          <w:p w14:paraId="4C573036" w14:textId="17B4BD31" w:rsidR="00882286" w:rsidRPr="00882286" w:rsidRDefault="009F3438" w:rsidP="00A737D1">
            <w:pPr>
              <w:pStyle w:val="TableText"/>
              <w:keepNext/>
              <w:keepLines/>
              <w:jc w:val="right"/>
              <w:rPr>
                <w:b/>
              </w:rPr>
            </w:pPr>
            <w:r w:rsidRPr="009F3438">
              <w:rPr>
                <w:rFonts w:cs="Arial"/>
                <w:b/>
                <w:bCs/>
                <w:color w:val="000000"/>
                <w:szCs w:val="20"/>
              </w:rPr>
              <w:t>$516,238</w:t>
            </w:r>
          </w:p>
        </w:tc>
        <w:tc>
          <w:tcPr>
            <w:tcW w:w="651" w:type="pct"/>
            <w:tcBorders>
              <w:top w:val="nil"/>
              <w:left w:val="nil"/>
              <w:bottom w:val="single" w:sz="8" w:space="0" w:color="auto"/>
              <w:right w:val="single" w:sz="8" w:space="0" w:color="auto"/>
            </w:tcBorders>
            <w:shd w:val="clear" w:color="000000" w:fill="FFFFFF"/>
            <w:noWrap/>
            <w:vAlign w:val="center"/>
          </w:tcPr>
          <w:p w14:paraId="47E153E5" w14:textId="7D8955E6" w:rsidR="00882286" w:rsidRPr="00882286" w:rsidRDefault="009F3438" w:rsidP="00A737D1">
            <w:pPr>
              <w:pStyle w:val="TableText"/>
              <w:keepNext/>
              <w:keepLines/>
              <w:jc w:val="right"/>
              <w:rPr>
                <w:b/>
              </w:rPr>
            </w:pPr>
            <w:r w:rsidRPr="009F3438">
              <w:rPr>
                <w:rFonts w:cs="Arial"/>
                <w:b/>
                <w:bCs/>
                <w:color w:val="000000"/>
                <w:szCs w:val="20"/>
              </w:rPr>
              <w:t>$543,152</w:t>
            </w:r>
          </w:p>
        </w:tc>
        <w:tc>
          <w:tcPr>
            <w:tcW w:w="649" w:type="pct"/>
            <w:tcBorders>
              <w:top w:val="nil"/>
              <w:left w:val="nil"/>
              <w:bottom w:val="single" w:sz="8" w:space="0" w:color="auto"/>
              <w:right w:val="single" w:sz="8" w:space="0" w:color="auto"/>
            </w:tcBorders>
            <w:shd w:val="clear" w:color="000000" w:fill="FFFFFF"/>
            <w:noWrap/>
            <w:vAlign w:val="center"/>
          </w:tcPr>
          <w:p w14:paraId="2A5C4E96" w14:textId="637960BF" w:rsidR="00882286" w:rsidRPr="00882286" w:rsidRDefault="009F3438" w:rsidP="00A737D1">
            <w:pPr>
              <w:pStyle w:val="TableText"/>
              <w:keepNext/>
              <w:keepLines/>
              <w:jc w:val="right"/>
              <w:rPr>
                <w:b/>
              </w:rPr>
            </w:pPr>
            <w:r w:rsidRPr="009F3438">
              <w:rPr>
                <w:rFonts w:cs="Arial"/>
                <w:b/>
                <w:bCs/>
                <w:color w:val="000000"/>
                <w:szCs w:val="20"/>
              </w:rPr>
              <w:t>$561,717</w:t>
            </w:r>
          </w:p>
        </w:tc>
      </w:tr>
    </w:tbl>
    <w:p w14:paraId="2E467872" w14:textId="3BE7BEE3" w:rsidR="00882286" w:rsidRPr="00761712" w:rsidRDefault="00C7266A" w:rsidP="422CAA86">
      <w:pPr>
        <w:spacing w:before="240"/>
        <w:rPr>
          <w:sz w:val="22"/>
          <w:szCs w:val="22"/>
        </w:rPr>
      </w:pPr>
      <w:r w:rsidRPr="422CAA86">
        <w:rPr>
          <w:sz w:val="22"/>
          <w:szCs w:val="22"/>
        </w:rPr>
        <w:t>S</w:t>
      </w:r>
      <w:r w:rsidR="00A40B17" w:rsidRPr="422CAA86">
        <w:rPr>
          <w:sz w:val="22"/>
          <w:szCs w:val="22"/>
        </w:rPr>
        <w:t>ensitivity analys</w:t>
      </w:r>
      <w:r w:rsidRPr="422CAA86">
        <w:rPr>
          <w:sz w:val="22"/>
          <w:szCs w:val="22"/>
        </w:rPr>
        <w:t>e</w:t>
      </w:r>
      <w:r w:rsidR="00A40B17" w:rsidRPr="422CAA86">
        <w:rPr>
          <w:sz w:val="22"/>
          <w:szCs w:val="22"/>
        </w:rPr>
        <w:t xml:space="preserve">s </w:t>
      </w:r>
      <w:r w:rsidRPr="422CAA86">
        <w:rPr>
          <w:sz w:val="22"/>
          <w:szCs w:val="22"/>
        </w:rPr>
        <w:t>were</w:t>
      </w:r>
      <w:r w:rsidR="00A40B17" w:rsidRPr="422CAA86">
        <w:rPr>
          <w:sz w:val="22"/>
          <w:szCs w:val="22"/>
        </w:rPr>
        <w:t xml:space="preserve"> conducted due to some uncertainties and </w:t>
      </w:r>
      <w:r w:rsidR="004A1EB6">
        <w:rPr>
          <w:sz w:val="22"/>
          <w:szCs w:val="22"/>
        </w:rPr>
        <w:t>are</w:t>
      </w:r>
      <w:r w:rsidR="00A40B17" w:rsidRPr="422CAA86">
        <w:rPr>
          <w:sz w:val="22"/>
          <w:szCs w:val="22"/>
        </w:rPr>
        <w:t xml:space="preserve"> presented in </w:t>
      </w:r>
      <w:r w:rsidR="004A1EB6">
        <w:rPr>
          <w:sz w:val="22"/>
          <w:szCs w:val="22"/>
        </w:rPr>
        <w:t>Table 1</w:t>
      </w:r>
      <w:r w:rsidR="005D37B3">
        <w:rPr>
          <w:sz w:val="22"/>
          <w:szCs w:val="22"/>
        </w:rPr>
        <w:t>8</w:t>
      </w:r>
      <w:r w:rsidR="004A1EB6">
        <w:rPr>
          <w:sz w:val="22"/>
          <w:szCs w:val="22"/>
        </w:rPr>
        <w:t xml:space="preserve"> </w:t>
      </w:r>
      <w:r w:rsidR="00A40B17" w:rsidRPr="422CAA86">
        <w:rPr>
          <w:sz w:val="22"/>
          <w:szCs w:val="22"/>
        </w:rPr>
        <w:t xml:space="preserve">below. Sensitivity analysis demonstrated that the budget impact is most </w:t>
      </w:r>
      <w:r w:rsidR="00882286" w:rsidRPr="422CAA86">
        <w:rPr>
          <w:sz w:val="22"/>
          <w:szCs w:val="22"/>
        </w:rPr>
        <w:t xml:space="preserve">sensitive to the difference in the proportion of </w:t>
      </w:r>
      <w:r w:rsidR="000611A1" w:rsidRPr="000611A1">
        <w:rPr>
          <w:i/>
          <w:iCs/>
          <w:sz w:val="22"/>
          <w:szCs w:val="22"/>
        </w:rPr>
        <w:t>HLA-</w:t>
      </w:r>
      <w:r w:rsidR="00882286" w:rsidRPr="00F4140D">
        <w:rPr>
          <w:i/>
          <w:iCs/>
          <w:sz w:val="22"/>
          <w:szCs w:val="22"/>
        </w:rPr>
        <w:t>B*15:02/</w:t>
      </w:r>
      <w:r w:rsidR="000611A1" w:rsidRPr="000611A1">
        <w:rPr>
          <w:i/>
          <w:iCs/>
          <w:sz w:val="22"/>
          <w:szCs w:val="22"/>
        </w:rPr>
        <w:t>HLA-</w:t>
      </w:r>
      <w:r w:rsidR="00882286" w:rsidRPr="00F4140D">
        <w:rPr>
          <w:i/>
          <w:iCs/>
          <w:sz w:val="22"/>
          <w:szCs w:val="22"/>
        </w:rPr>
        <w:t>A*31:10</w:t>
      </w:r>
      <w:r w:rsidR="00882286" w:rsidRPr="422CAA86">
        <w:rPr>
          <w:sz w:val="22"/>
          <w:szCs w:val="22"/>
        </w:rPr>
        <w:t xml:space="preserve"> patients that develop hypersensitivity reactions, which can change the estimates from cost saving to having a budget impact of costing up to $4.</w:t>
      </w:r>
      <w:r w:rsidR="00A411E9" w:rsidRPr="422CAA86">
        <w:rPr>
          <w:sz w:val="22"/>
          <w:szCs w:val="22"/>
        </w:rPr>
        <w:t>9</w:t>
      </w:r>
      <w:r w:rsidR="00882286" w:rsidRPr="422CAA86">
        <w:rPr>
          <w:sz w:val="22"/>
          <w:szCs w:val="22"/>
        </w:rPr>
        <w:t xml:space="preserve"> million in year six.</w:t>
      </w:r>
    </w:p>
    <w:p w14:paraId="2ECDCC42" w14:textId="4492E67A" w:rsidR="00A40B17" w:rsidRDefault="00A40B17" w:rsidP="00A40B17">
      <w:pPr>
        <w:pStyle w:val="Caption"/>
        <w:tabs>
          <w:tab w:val="left" w:pos="1134"/>
        </w:tabs>
        <w:ind w:left="851" w:hanging="851"/>
      </w:pPr>
      <w:bookmarkStart w:id="42" w:name="_Ref172298006"/>
      <w:r w:rsidRPr="422CAA86">
        <w:t xml:space="preserve">Table </w:t>
      </w:r>
      <w:r w:rsidR="00A94B72">
        <w:t>1</w:t>
      </w:r>
      <w:r w:rsidR="005D37B3">
        <w:t>8</w:t>
      </w:r>
      <w:bookmarkEnd w:id="42"/>
      <w:r w:rsidRPr="422CAA86">
        <w:t xml:space="preserve"> </w:t>
      </w:r>
      <w:r>
        <w:tab/>
      </w:r>
      <w:r w:rsidRPr="422CAA86">
        <w:t>Results of sensitivity analys</w:t>
      </w:r>
      <w:r w:rsidR="00C7266A" w:rsidRPr="422CAA86">
        <w:t>e</w:t>
      </w:r>
      <w:r w:rsidRPr="422CAA86">
        <w:t xml:space="preserve">s for net budget impact of making </w:t>
      </w:r>
      <w:r w:rsidR="0041262B" w:rsidRPr="422CAA86">
        <w:t>HLA testing</w:t>
      </w:r>
      <w:r w:rsidRPr="422CAA86">
        <w:t xml:space="preserve"> available for patients about to </w:t>
      </w:r>
      <w:r w:rsidR="0041262B" w:rsidRPr="422CAA86">
        <w:t>commence carbamazepine or oxcarbazepine</w:t>
      </w:r>
      <w:r w:rsidRPr="422CAA86">
        <w:t>.</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28" w:type="dxa"/>
          <w:left w:w="85" w:type="dxa"/>
          <w:bottom w:w="28" w:type="dxa"/>
          <w:right w:w="57" w:type="dxa"/>
        </w:tblCellMar>
        <w:tblLook w:val="04A0" w:firstRow="1" w:lastRow="0" w:firstColumn="1" w:lastColumn="0" w:noHBand="0" w:noVBand="1"/>
      </w:tblPr>
      <w:tblGrid>
        <w:gridCol w:w="1326"/>
        <w:gridCol w:w="1330"/>
        <w:gridCol w:w="34"/>
        <w:gridCol w:w="1293"/>
        <w:gridCol w:w="34"/>
        <w:gridCol w:w="1220"/>
        <w:gridCol w:w="34"/>
        <w:gridCol w:w="1369"/>
        <w:gridCol w:w="35"/>
        <w:gridCol w:w="983"/>
        <w:gridCol w:w="34"/>
        <w:gridCol w:w="1328"/>
      </w:tblGrid>
      <w:tr w:rsidR="00E30D59" w:rsidRPr="00984B34" w14:paraId="03F048B2" w14:textId="77777777" w:rsidTr="422CAA86">
        <w:trPr>
          <w:trHeight w:val="200"/>
        </w:trPr>
        <w:tc>
          <w:tcPr>
            <w:tcW w:w="717" w:type="pct"/>
            <w:shd w:val="clear" w:color="auto" w:fill="FFFFFF" w:themeFill="background1"/>
            <w:vAlign w:val="center"/>
            <w:hideMark/>
          </w:tcPr>
          <w:p w14:paraId="6A87C5DA" w14:textId="77777777" w:rsidR="00882286" w:rsidRPr="00984B34" w:rsidRDefault="00882286" w:rsidP="00882286">
            <w:pPr>
              <w:pStyle w:val="TableText"/>
              <w:rPr>
                <w:b/>
                <w:color w:val="000000" w:themeColor="text1"/>
                <w:szCs w:val="20"/>
              </w:rPr>
            </w:pPr>
          </w:p>
        </w:tc>
        <w:tc>
          <w:tcPr>
            <w:tcW w:w="756" w:type="pct"/>
            <w:gridSpan w:val="2"/>
            <w:shd w:val="clear" w:color="auto" w:fill="FFFFFF" w:themeFill="background1"/>
            <w:vAlign w:val="center"/>
            <w:hideMark/>
          </w:tcPr>
          <w:p w14:paraId="75BE2E62" w14:textId="77777777" w:rsidR="00882286" w:rsidRPr="00984B34" w:rsidRDefault="00882286" w:rsidP="00882286">
            <w:pPr>
              <w:pStyle w:val="TableText"/>
              <w:rPr>
                <w:b/>
                <w:color w:val="000000" w:themeColor="text1"/>
                <w:szCs w:val="20"/>
              </w:rPr>
            </w:pPr>
            <w:r w:rsidRPr="00984B34">
              <w:rPr>
                <w:b/>
                <w:color w:val="000000" w:themeColor="text1"/>
                <w:szCs w:val="20"/>
              </w:rPr>
              <w:t>2025</w:t>
            </w:r>
          </w:p>
        </w:tc>
        <w:tc>
          <w:tcPr>
            <w:tcW w:w="736" w:type="pct"/>
            <w:gridSpan w:val="2"/>
            <w:shd w:val="clear" w:color="auto" w:fill="FFFFFF" w:themeFill="background1"/>
            <w:vAlign w:val="center"/>
            <w:hideMark/>
          </w:tcPr>
          <w:p w14:paraId="1C065EEA" w14:textId="77777777" w:rsidR="00882286" w:rsidRPr="00984B34" w:rsidRDefault="00882286" w:rsidP="00882286">
            <w:pPr>
              <w:pStyle w:val="TableText"/>
              <w:rPr>
                <w:b/>
                <w:color w:val="000000" w:themeColor="text1"/>
                <w:szCs w:val="20"/>
              </w:rPr>
            </w:pPr>
            <w:r w:rsidRPr="00984B34">
              <w:rPr>
                <w:b/>
                <w:color w:val="000000" w:themeColor="text1"/>
                <w:szCs w:val="20"/>
              </w:rPr>
              <w:t>2026</w:t>
            </w:r>
          </w:p>
        </w:tc>
        <w:tc>
          <w:tcPr>
            <w:tcW w:w="695" w:type="pct"/>
            <w:gridSpan w:val="2"/>
            <w:shd w:val="clear" w:color="auto" w:fill="FFFFFF" w:themeFill="background1"/>
            <w:vAlign w:val="center"/>
            <w:hideMark/>
          </w:tcPr>
          <w:p w14:paraId="3B73ED7B" w14:textId="77777777" w:rsidR="00882286" w:rsidRPr="00984B34" w:rsidRDefault="00882286" w:rsidP="00882286">
            <w:pPr>
              <w:pStyle w:val="TableText"/>
              <w:rPr>
                <w:b/>
                <w:color w:val="000000" w:themeColor="text1"/>
                <w:szCs w:val="20"/>
              </w:rPr>
            </w:pPr>
            <w:r w:rsidRPr="00984B34">
              <w:rPr>
                <w:b/>
                <w:color w:val="000000" w:themeColor="text1"/>
                <w:szCs w:val="20"/>
              </w:rPr>
              <w:t>2027</w:t>
            </w:r>
          </w:p>
        </w:tc>
        <w:tc>
          <w:tcPr>
            <w:tcW w:w="778" w:type="pct"/>
            <w:gridSpan w:val="2"/>
            <w:shd w:val="clear" w:color="auto" w:fill="FFFFFF" w:themeFill="background1"/>
            <w:vAlign w:val="center"/>
            <w:hideMark/>
          </w:tcPr>
          <w:p w14:paraId="696A638B" w14:textId="77777777" w:rsidR="00882286" w:rsidRPr="00984B34" w:rsidRDefault="00882286" w:rsidP="00882286">
            <w:pPr>
              <w:pStyle w:val="TableText"/>
              <w:rPr>
                <w:b/>
                <w:color w:val="000000" w:themeColor="text1"/>
                <w:szCs w:val="20"/>
              </w:rPr>
            </w:pPr>
            <w:r w:rsidRPr="00984B34">
              <w:rPr>
                <w:b/>
                <w:color w:val="000000" w:themeColor="text1"/>
                <w:szCs w:val="20"/>
              </w:rPr>
              <w:t>2028</w:t>
            </w:r>
          </w:p>
        </w:tc>
        <w:tc>
          <w:tcPr>
            <w:tcW w:w="564" w:type="pct"/>
            <w:gridSpan w:val="2"/>
            <w:shd w:val="clear" w:color="auto" w:fill="FFFFFF" w:themeFill="background1"/>
            <w:vAlign w:val="center"/>
            <w:hideMark/>
          </w:tcPr>
          <w:p w14:paraId="3179BFDC" w14:textId="77777777" w:rsidR="00882286" w:rsidRPr="00984B34" w:rsidRDefault="00882286" w:rsidP="00882286">
            <w:pPr>
              <w:pStyle w:val="TableText"/>
              <w:rPr>
                <w:b/>
                <w:color w:val="000000" w:themeColor="text1"/>
                <w:szCs w:val="20"/>
              </w:rPr>
            </w:pPr>
            <w:r w:rsidRPr="00984B34">
              <w:rPr>
                <w:b/>
                <w:color w:val="000000" w:themeColor="text1"/>
                <w:szCs w:val="20"/>
              </w:rPr>
              <w:t>2029</w:t>
            </w:r>
          </w:p>
        </w:tc>
        <w:tc>
          <w:tcPr>
            <w:tcW w:w="754" w:type="pct"/>
            <w:shd w:val="clear" w:color="auto" w:fill="FFFFFF" w:themeFill="background1"/>
            <w:vAlign w:val="center"/>
            <w:hideMark/>
          </w:tcPr>
          <w:p w14:paraId="26C23822" w14:textId="77777777" w:rsidR="00882286" w:rsidRPr="00984B34" w:rsidRDefault="00882286" w:rsidP="00882286">
            <w:pPr>
              <w:pStyle w:val="TableText"/>
              <w:rPr>
                <w:b/>
                <w:color w:val="000000" w:themeColor="text1"/>
                <w:szCs w:val="20"/>
              </w:rPr>
            </w:pPr>
            <w:r w:rsidRPr="00984B34">
              <w:rPr>
                <w:b/>
                <w:color w:val="000000" w:themeColor="text1"/>
                <w:szCs w:val="20"/>
              </w:rPr>
              <w:t>2030</w:t>
            </w:r>
          </w:p>
        </w:tc>
      </w:tr>
      <w:tr w:rsidR="00E30D59" w:rsidRPr="00984B34" w14:paraId="5616A510" w14:textId="77777777" w:rsidTr="422CAA86">
        <w:trPr>
          <w:trHeight w:val="19"/>
        </w:trPr>
        <w:tc>
          <w:tcPr>
            <w:tcW w:w="717" w:type="pct"/>
            <w:shd w:val="clear" w:color="auto" w:fill="FFFFFF" w:themeFill="background1"/>
            <w:vAlign w:val="center"/>
          </w:tcPr>
          <w:p w14:paraId="34218E0F" w14:textId="77777777" w:rsidR="00882286" w:rsidRPr="00984B34" w:rsidRDefault="00882286" w:rsidP="00882286">
            <w:pPr>
              <w:pStyle w:val="TableText"/>
              <w:rPr>
                <w:b/>
                <w:color w:val="000000" w:themeColor="text1"/>
                <w:szCs w:val="20"/>
              </w:rPr>
            </w:pPr>
            <w:r w:rsidRPr="00984B34">
              <w:rPr>
                <w:b/>
                <w:color w:val="000000" w:themeColor="text1"/>
                <w:szCs w:val="20"/>
              </w:rPr>
              <w:t>Base case</w:t>
            </w:r>
          </w:p>
        </w:tc>
        <w:tc>
          <w:tcPr>
            <w:tcW w:w="756" w:type="pct"/>
            <w:gridSpan w:val="2"/>
            <w:tcBorders>
              <w:top w:val="nil"/>
              <w:left w:val="nil"/>
              <w:bottom w:val="single" w:sz="8" w:space="0" w:color="auto"/>
              <w:right w:val="single" w:sz="8" w:space="0" w:color="auto"/>
            </w:tcBorders>
            <w:shd w:val="clear" w:color="auto" w:fill="FFFFFF" w:themeFill="background1"/>
            <w:noWrap/>
            <w:vAlign w:val="center"/>
          </w:tcPr>
          <w:p w14:paraId="0653B489" w14:textId="7C00B032" w:rsidR="00882286" w:rsidRPr="00984B34" w:rsidRDefault="009F3438" w:rsidP="009F3438">
            <w:pPr>
              <w:pStyle w:val="TableText"/>
              <w:jc w:val="right"/>
              <w:rPr>
                <w:b/>
                <w:color w:val="000000" w:themeColor="text1"/>
                <w:szCs w:val="20"/>
              </w:rPr>
            </w:pPr>
            <w:r w:rsidRPr="009F3438">
              <w:rPr>
                <w:rFonts w:cs="Arial"/>
                <w:b/>
                <w:bCs/>
                <w:color w:val="000000"/>
                <w:szCs w:val="20"/>
              </w:rPr>
              <w:t>$385,330</w:t>
            </w:r>
          </w:p>
        </w:tc>
        <w:tc>
          <w:tcPr>
            <w:tcW w:w="736" w:type="pct"/>
            <w:gridSpan w:val="2"/>
            <w:tcBorders>
              <w:top w:val="nil"/>
              <w:left w:val="nil"/>
              <w:bottom w:val="single" w:sz="8" w:space="0" w:color="auto"/>
              <w:right w:val="single" w:sz="8" w:space="0" w:color="auto"/>
            </w:tcBorders>
            <w:shd w:val="clear" w:color="auto" w:fill="FFFFFF" w:themeFill="background1"/>
            <w:noWrap/>
            <w:vAlign w:val="center"/>
          </w:tcPr>
          <w:p w14:paraId="5441B280" w14:textId="2839DAA9" w:rsidR="00882286" w:rsidRPr="00984B34" w:rsidRDefault="009F3438" w:rsidP="009F3438">
            <w:pPr>
              <w:pStyle w:val="TableText"/>
              <w:jc w:val="right"/>
              <w:rPr>
                <w:b/>
                <w:color w:val="000000" w:themeColor="text1"/>
                <w:szCs w:val="20"/>
              </w:rPr>
            </w:pPr>
            <w:r w:rsidRPr="009F3438">
              <w:rPr>
                <w:rFonts w:cs="Arial"/>
                <w:b/>
                <w:bCs/>
                <w:color w:val="000000"/>
                <w:szCs w:val="20"/>
              </w:rPr>
              <w:t>$437,327</w:t>
            </w:r>
          </w:p>
        </w:tc>
        <w:tc>
          <w:tcPr>
            <w:tcW w:w="695" w:type="pct"/>
            <w:gridSpan w:val="2"/>
            <w:tcBorders>
              <w:top w:val="nil"/>
              <w:left w:val="nil"/>
              <w:bottom w:val="single" w:sz="8" w:space="0" w:color="auto"/>
              <w:right w:val="single" w:sz="8" w:space="0" w:color="auto"/>
            </w:tcBorders>
            <w:shd w:val="clear" w:color="auto" w:fill="FFFFFF" w:themeFill="background1"/>
            <w:noWrap/>
            <w:vAlign w:val="center"/>
          </w:tcPr>
          <w:p w14:paraId="7769C452" w14:textId="13ACF639" w:rsidR="00882286" w:rsidRPr="00984B34" w:rsidRDefault="009F3438" w:rsidP="009F3438">
            <w:pPr>
              <w:pStyle w:val="TableText"/>
              <w:jc w:val="right"/>
              <w:rPr>
                <w:b/>
                <w:color w:val="000000" w:themeColor="text1"/>
                <w:szCs w:val="20"/>
              </w:rPr>
            </w:pPr>
            <w:r w:rsidRPr="009F3438">
              <w:rPr>
                <w:rFonts w:cs="Arial"/>
                <w:b/>
                <w:bCs/>
                <w:color w:val="000000"/>
                <w:szCs w:val="20"/>
              </w:rPr>
              <w:t>$480,974</w:t>
            </w:r>
          </w:p>
        </w:tc>
        <w:tc>
          <w:tcPr>
            <w:tcW w:w="778" w:type="pct"/>
            <w:gridSpan w:val="2"/>
            <w:tcBorders>
              <w:top w:val="nil"/>
              <w:left w:val="nil"/>
              <w:bottom w:val="single" w:sz="8" w:space="0" w:color="auto"/>
              <w:right w:val="single" w:sz="8" w:space="0" w:color="auto"/>
            </w:tcBorders>
            <w:shd w:val="clear" w:color="auto" w:fill="FFFFFF" w:themeFill="background1"/>
            <w:noWrap/>
            <w:vAlign w:val="center"/>
          </w:tcPr>
          <w:p w14:paraId="2F9D663E" w14:textId="4802E1E4" w:rsidR="00882286" w:rsidRPr="00984B34" w:rsidRDefault="009F3438" w:rsidP="009F3438">
            <w:pPr>
              <w:pStyle w:val="TableText"/>
              <w:jc w:val="right"/>
              <w:rPr>
                <w:b/>
                <w:color w:val="000000" w:themeColor="text1"/>
                <w:szCs w:val="20"/>
              </w:rPr>
            </w:pPr>
            <w:r w:rsidRPr="009F3438">
              <w:rPr>
                <w:rFonts w:cs="Arial"/>
                <w:b/>
                <w:bCs/>
                <w:color w:val="000000"/>
                <w:szCs w:val="20"/>
              </w:rPr>
              <w:t>$516,238</w:t>
            </w:r>
          </w:p>
        </w:tc>
        <w:tc>
          <w:tcPr>
            <w:tcW w:w="564" w:type="pct"/>
            <w:gridSpan w:val="2"/>
            <w:tcBorders>
              <w:top w:val="nil"/>
              <w:left w:val="nil"/>
              <w:bottom w:val="single" w:sz="8" w:space="0" w:color="auto"/>
              <w:right w:val="single" w:sz="8" w:space="0" w:color="auto"/>
            </w:tcBorders>
            <w:shd w:val="clear" w:color="auto" w:fill="FFFFFF" w:themeFill="background1"/>
            <w:noWrap/>
            <w:vAlign w:val="center"/>
          </w:tcPr>
          <w:p w14:paraId="44681417" w14:textId="00E77B24" w:rsidR="00882286" w:rsidRPr="00984B34" w:rsidRDefault="009F3438" w:rsidP="009F3438">
            <w:pPr>
              <w:pStyle w:val="TableText"/>
              <w:jc w:val="right"/>
              <w:rPr>
                <w:b/>
                <w:color w:val="000000" w:themeColor="text1"/>
                <w:szCs w:val="20"/>
              </w:rPr>
            </w:pPr>
            <w:r w:rsidRPr="009F3438">
              <w:rPr>
                <w:rFonts w:cs="Arial"/>
                <w:b/>
                <w:bCs/>
                <w:color w:val="000000"/>
                <w:szCs w:val="20"/>
              </w:rPr>
              <w:t>$543,152</w:t>
            </w:r>
          </w:p>
        </w:tc>
        <w:tc>
          <w:tcPr>
            <w:tcW w:w="754" w:type="pct"/>
            <w:tcBorders>
              <w:top w:val="nil"/>
              <w:left w:val="nil"/>
              <w:bottom w:val="single" w:sz="8" w:space="0" w:color="auto"/>
              <w:right w:val="single" w:sz="8" w:space="0" w:color="auto"/>
            </w:tcBorders>
            <w:shd w:val="clear" w:color="auto" w:fill="FFFFFF" w:themeFill="background1"/>
            <w:noWrap/>
            <w:vAlign w:val="center"/>
          </w:tcPr>
          <w:p w14:paraId="67D79FB4" w14:textId="7EDF3AC2" w:rsidR="00882286" w:rsidRPr="00984B34" w:rsidRDefault="009F3438" w:rsidP="009F3438">
            <w:pPr>
              <w:pStyle w:val="TableText"/>
              <w:jc w:val="right"/>
              <w:rPr>
                <w:b/>
                <w:color w:val="000000" w:themeColor="text1"/>
                <w:szCs w:val="20"/>
              </w:rPr>
            </w:pPr>
            <w:r w:rsidRPr="009F3438">
              <w:rPr>
                <w:rFonts w:cs="Arial"/>
                <w:b/>
                <w:bCs/>
                <w:color w:val="000000"/>
                <w:szCs w:val="20"/>
              </w:rPr>
              <w:t>$561,717</w:t>
            </w:r>
          </w:p>
        </w:tc>
      </w:tr>
      <w:tr w:rsidR="00882286" w:rsidRPr="00984B34" w14:paraId="21F4F68D" w14:textId="77777777" w:rsidTr="422CAA86">
        <w:trPr>
          <w:trHeight w:val="19"/>
        </w:trPr>
        <w:tc>
          <w:tcPr>
            <w:tcW w:w="5000" w:type="pct"/>
            <w:gridSpan w:val="12"/>
            <w:shd w:val="clear" w:color="auto" w:fill="FFFFFF" w:themeFill="background1"/>
            <w:vAlign w:val="center"/>
          </w:tcPr>
          <w:p w14:paraId="3DC74D80" w14:textId="77777777" w:rsidR="00882286" w:rsidRPr="00984B34" w:rsidRDefault="00882286" w:rsidP="00882286">
            <w:pPr>
              <w:pStyle w:val="TableText"/>
              <w:rPr>
                <w:rFonts w:cs="Calibri"/>
                <w:b/>
                <w:color w:val="000000" w:themeColor="text1"/>
                <w:szCs w:val="20"/>
              </w:rPr>
            </w:pPr>
            <w:r w:rsidRPr="00984B34">
              <w:rPr>
                <w:rFonts w:cs="Calibri"/>
                <w:b/>
                <w:i/>
                <w:color w:val="000000" w:themeColor="text1"/>
                <w:szCs w:val="20"/>
              </w:rPr>
              <w:t>HLA</w:t>
            </w:r>
            <w:r w:rsidRPr="00984B34">
              <w:rPr>
                <w:rFonts w:cs="Calibri"/>
                <w:b/>
                <w:color w:val="000000" w:themeColor="text1"/>
                <w:szCs w:val="20"/>
              </w:rPr>
              <w:t xml:space="preserve"> genotyping uptake (base case = 20% in 2025 rising to 100% in 2030)</w:t>
            </w:r>
          </w:p>
        </w:tc>
      </w:tr>
      <w:tr w:rsidR="00761D44" w:rsidRPr="00984B34" w14:paraId="72861839" w14:textId="77777777" w:rsidTr="422CAA86">
        <w:trPr>
          <w:trHeight w:val="19"/>
        </w:trPr>
        <w:tc>
          <w:tcPr>
            <w:tcW w:w="735" w:type="pct"/>
            <w:shd w:val="clear" w:color="auto" w:fill="FFFFFF" w:themeFill="background1"/>
            <w:vAlign w:val="center"/>
          </w:tcPr>
          <w:p w14:paraId="3709F72F" w14:textId="77777777" w:rsidR="00104CB0" w:rsidRPr="00984B34" w:rsidRDefault="00104CB0">
            <w:pPr>
              <w:pStyle w:val="TableText"/>
              <w:rPr>
                <w:color w:val="000000" w:themeColor="text1"/>
                <w:szCs w:val="20"/>
              </w:rPr>
            </w:pPr>
            <w:r w:rsidRPr="00984B34">
              <w:rPr>
                <w:rFonts w:cs="Calibri"/>
                <w:color w:val="000000" w:themeColor="text1"/>
                <w:szCs w:val="20"/>
              </w:rPr>
              <w:t>100% uptake all years</w:t>
            </w:r>
          </w:p>
        </w:tc>
        <w:tc>
          <w:tcPr>
            <w:tcW w:w="737" w:type="pct"/>
            <w:tcBorders>
              <w:top w:val="nil"/>
              <w:left w:val="nil"/>
              <w:bottom w:val="single" w:sz="8" w:space="0" w:color="auto"/>
              <w:right w:val="single" w:sz="8" w:space="0" w:color="auto"/>
            </w:tcBorders>
            <w:shd w:val="clear" w:color="auto" w:fill="FFFFFF" w:themeFill="background1"/>
            <w:noWrap/>
            <w:vAlign w:val="center"/>
          </w:tcPr>
          <w:p w14:paraId="145C9B92" w14:textId="77777777" w:rsidR="00104CB0" w:rsidRPr="00984B34" w:rsidRDefault="00104CB0">
            <w:pPr>
              <w:pStyle w:val="TableText"/>
              <w:jc w:val="right"/>
              <w:rPr>
                <w:rFonts w:cs="Calibri"/>
                <w:color w:val="000000" w:themeColor="text1"/>
                <w:szCs w:val="20"/>
              </w:rPr>
            </w:pPr>
            <w:r>
              <w:rPr>
                <w:rFonts w:cs="Arial"/>
                <w:color w:val="000000"/>
                <w:szCs w:val="20"/>
              </w:rPr>
              <w:t>$770,660</w:t>
            </w:r>
          </w:p>
        </w:tc>
        <w:tc>
          <w:tcPr>
            <w:tcW w:w="736" w:type="pct"/>
            <w:gridSpan w:val="2"/>
            <w:tcBorders>
              <w:top w:val="nil"/>
              <w:left w:val="nil"/>
              <w:bottom w:val="single" w:sz="8" w:space="0" w:color="auto"/>
              <w:right w:val="single" w:sz="8" w:space="0" w:color="auto"/>
            </w:tcBorders>
            <w:shd w:val="clear" w:color="auto" w:fill="FFFFFF" w:themeFill="background1"/>
            <w:noWrap/>
            <w:vAlign w:val="center"/>
          </w:tcPr>
          <w:p w14:paraId="3FC8ED2E" w14:textId="77777777" w:rsidR="00104CB0" w:rsidRPr="00984B34" w:rsidRDefault="00104CB0">
            <w:pPr>
              <w:pStyle w:val="TableText"/>
              <w:jc w:val="right"/>
              <w:rPr>
                <w:rFonts w:cs="Calibri"/>
                <w:color w:val="000000" w:themeColor="text1"/>
                <w:szCs w:val="20"/>
              </w:rPr>
            </w:pPr>
            <w:r>
              <w:rPr>
                <w:rFonts w:cs="Arial"/>
                <w:color w:val="000000"/>
                <w:szCs w:val="20"/>
              </w:rPr>
              <w:t>$728,878</w:t>
            </w:r>
          </w:p>
        </w:tc>
        <w:tc>
          <w:tcPr>
            <w:tcW w:w="695" w:type="pct"/>
            <w:gridSpan w:val="2"/>
            <w:tcBorders>
              <w:top w:val="nil"/>
              <w:left w:val="nil"/>
              <w:bottom w:val="single" w:sz="8" w:space="0" w:color="auto"/>
              <w:right w:val="single" w:sz="8" w:space="0" w:color="auto"/>
            </w:tcBorders>
            <w:shd w:val="clear" w:color="auto" w:fill="FFFFFF" w:themeFill="background1"/>
            <w:noWrap/>
            <w:vAlign w:val="center"/>
          </w:tcPr>
          <w:p w14:paraId="1A3FDFF2" w14:textId="77777777" w:rsidR="00104CB0" w:rsidRPr="00984B34" w:rsidRDefault="00104CB0">
            <w:pPr>
              <w:pStyle w:val="TableText"/>
              <w:jc w:val="right"/>
              <w:rPr>
                <w:rFonts w:cs="Calibri"/>
                <w:color w:val="000000" w:themeColor="text1"/>
                <w:szCs w:val="20"/>
              </w:rPr>
            </w:pPr>
            <w:r>
              <w:rPr>
                <w:rFonts w:cs="Arial"/>
                <w:color w:val="000000"/>
                <w:szCs w:val="20"/>
              </w:rPr>
              <w:t>$687,128</w:t>
            </w:r>
          </w:p>
        </w:tc>
        <w:tc>
          <w:tcPr>
            <w:tcW w:w="778" w:type="pct"/>
            <w:gridSpan w:val="2"/>
            <w:tcBorders>
              <w:top w:val="nil"/>
              <w:left w:val="nil"/>
              <w:bottom w:val="single" w:sz="8" w:space="0" w:color="auto"/>
              <w:right w:val="single" w:sz="8" w:space="0" w:color="auto"/>
            </w:tcBorders>
            <w:shd w:val="clear" w:color="auto" w:fill="FFFFFF" w:themeFill="background1"/>
            <w:noWrap/>
            <w:vAlign w:val="center"/>
          </w:tcPr>
          <w:p w14:paraId="1F7EFF6A" w14:textId="77777777" w:rsidR="00104CB0" w:rsidRPr="00984B34" w:rsidRDefault="00104CB0">
            <w:pPr>
              <w:pStyle w:val="TableText"/>
              <w:jc w:val="right"/>
              <w:rPr>
                <w:rFonts w:cs="Calibri"/>
                <w:color w:val="000000" w:themeColor="text1"/>
                <w:szCs w:val="20"/>
              </w:rPr>
            </w:pPr>
            <w:r>
              <w:rPr>
                <w:rFonts w:cs="Arial"/>
                <w:color w:val="000000"/>
                <w:szCs w:val="20"/>
              </w:rPr>
              <w:t>$645,297</w:t>
            </w:r>
          </w:p>
        </w:tc>
        <w:tc>
          <w:tcPr>
            <w:tcW w:w="564" w:type="pct"/>
            <w:gridSpan w:val="2"/>
            <w:tcBorders>
              <w:top w:val="nil"/>
              <w:left w:val="nil"/>
              <w:bottom w:val="single" w:sz="8" w:space="0" w:color="auto"/>
              <w:right w:val="single" w:sz="8" w:space="0" w:color="auto"/>
            </w:tcBorders>
            <w:shd w:val="clear" w:color="auto" w:fill="FFFFFF" w:themeFill="background1"/>
            <w:noWrap/>
            <w:vAlign w:val="center"/>
          </w:tcPr>
          <w:p w14:paraId="66193755" w14:textId="77777777" w:rsidR="00104CB0" w:rsidRPr="00984B34" w:rsidRDefault="00104CB0">
            <w:pPr>
              <w:pStyle w:val="TableText"/>
              <w:jc w:val="right"/>
              <w:rPr>
                <w:rFonts w:cs="Calibri"/>
                <w:color w:val="000000" w:themeColor="text1"/>
                <w:szCs w:val="20"/>
              </w:rPr>
            </w:pPr>
            <w:r>
              <w:rPr>
                <w:rFonts w:cs="Arial"/>
                <w:color w:val="000000"/>
                <w:szCs w:val="20"/>
              </w:rPr>
              <w:t>$603,548</w:t>
            </w:r>
          </w:p>
        </w:tc>
        <w:tc>
          <w:tcPr>
            <w:tcW w:w="754" w:type="pct"/>
            <w:gridSpan w:val="2"/>
            <w:tcBorders>
              <w:top w:val="nil"/>
              <w:left w:val="nil"/>
              <w:bottom w:val="single" w:sz="8" w:space="0" w:color="auto"/>
              <w:right w:val="single" w:sz="8" w:space="0" w:color="auto"/>
            </w:tcBorders>
            <w:shd w:val="clear" w:color="auto" w:fill="FFFFFF" w:themeFill="background1"/>
            <w:noWrap/>
            <w:vAlign w:val="center"/>
          </w:tcPr>
          <w:p w14:paraId="706CB010" w14:textId="77777777" w:rsidR="00104CB0" w:rsidRPr="00984B34" w:rsidRDefault="00104CB0">
            <w:pPr>
              <w:pStyle w:val="TableText"/>
              <w:jc w:val="right"/>
              <w:rPr>
                <w:rFonts w:cs="Calibri"/>
                <w:color w:val="000000" w:themeColor="text1"/>
                <w:szCs w:val="20"/>
              </w:rPr>
            </w:pPr>
            <w:r>
              <w:rPr>
                <w:rFonts w:cs="Arial"/>
                <w:color w:val="000000"/>
                <w:szCs w:val="20"/>
              </w:rPr>
              <w:t>$561,717</w:t>
            </w:r>
          </w:p>
        </w:tc>
      </w:tr>
      <w:tr w:rsidR="009377F4" w:rsidRPr="00984B34" w14:paraId="184A2FE3" w14:textId="77777777" w:rsidTr="422CAA86">
        <w:trPr>
          <w:trHeight w:val="120"/>
        </w:trPr>
        <w:tc>
          <w:tcPr>
            <w:tcW w:w="5000" w:type="pct"/>
            <w:gridSpan w:val="12"/>
            <w:shd w:val="clear" w:color="auto" w:fill="FFFFFF" w:themeFill="background1"/>
            <w:vAlign w:val="center"/>
          </w:tcPr>
          <w:p w14:paraId="08555424" w14:textId="77777777" w:rsidR="00104CB0" w:rsidRPr="00984B34" w:rsidRDefault="00104CB0">
            <w:pPr>
              <w:pStyle w:val="TableText"/>
              <w:rPr>
                <w:b/>
                <w:color w:val="000000" w:themeColor="text1"/>
                <w:szCs w:val="20"/>
              </w:rPr>
            </w:pPr>
            <w:r>
              <w:rPr>
                <w:b/>
                <w:color w:val="000000" w:themeColor="text1"/>
                <w:szCs w:val="20"/>
              </w:rPr>
              <w:t>Proportion</w:t>
            </w:r>
            <w:r w:rsidRPr="00984B34">
              <w:rPr>
                <w:b/>
                <w:color w:val="000000" w:themeColor="text1"/>
                <w:szCs w:val="20"/>
              </w:rPr>
              <w:t xml:space="preserve"> of </w:t>
            </w:r>
            <w:r>
              <w:rPr>
                <w:b/>
                <w:color w:val="000000" w:themeColor="text1"/>
                <w:szCs w:val="20"/>
              </w:rPr>
              <w:t>trigeminal neuralgia patients</w:t>
            </w:r>
            <w:r w:rsidRPr="00984B34">
              <w:rPr>
                <w:b/>
                <w:color w:val="000000" w:themeColor="text1"/>
                <w:szCs w:val="20"/>
              </w:rPr>
              <w:t xml:space="preserve"> treated with CBZ (Base case = 58%)</w:t>
            </w:r>
            <w:r>
              <w:rPr>
                <w:b/>
                <w:color w:val="000000" w:themeColor="text1"/>
                <w:szCs w:val="20"/>
              </w:rPr>
              <w:t xml:space="preserve"> </w:t>
            </w:r>
          </w:p>
        </w:tc>
      </w:tr>
      <w:tr w:rsidR="00761D44" w:rsidRPr="00984B34" w14:paraId="3B62B692" w14:textId="77777777" w:rsidTr="422CAA86">
        <w:trPr>
          <w:trHeight w:val="217"/>
        </w:trPr>
        <w:tc>
          <w:tcPr>
            <w:tcW w:w="735" w:type="pct"/>
            <w:shd w:val="clear" w:color="auto" w:fill="FFFFFF" w:themeFill="background1"/>
            <w:vAlign w:val="center"/>
          </w:tcPr>
          <w:p w14:paraId="55537040" w14:textId="77777777" w:rsidR="00104CB0" w:rsidRPr="00984B34" w:rsidRDefault="00104CB0">
            <w:pPr>
              <w:pStyle w:val="TableText"/>
              <w:rPr>
                <w:color w:val="000000" w:themeColor="text1"/>
                <w:szCs w:val="20"/>
              </w:rPr>
            </w:pPr>
            <w:r w:rsidRPr="00984B34">
              <w:rPr>
                <w:color w:val="000000" w:themeColor="text1"/>
                <w:szCs w:val="20"/>
              </w:rPr>
              <w:t>100%</w:t>
            </w:r>
          </w:p>
        </w:tc>
        <w:tc>
          <w:tcPr>
            <w:tcW w:w="737" w:type="pct"/>
            <w:tcBorders>
              <w:top w:val="nil"/>
              <w:left w:val="nil"/>
              <w:bottom w:val="single" w:sz="8" w:space="0" w:color="auto"/>
              <w:right w:val="single" w:sz="8" w:space="0" w:color="auto"/>
            </w:tcBorders>
            <w:shd w:val="clear" w:color="auto" w:fill="FFFFFF" w:themeFill="background1"/>
            <w:noWrap/>
            <w:vAlign w:val="center"/>
          </w:tcPr>
          <w:p w14:paraId="7D0625A8" w14:textId="77777777" w:rsidR="00104CB0" w:rsidRPr="00984B34" w:rsidRDefault="00104CB0">
            <w:pPr>
              <w:pStyle w:val="TableText"/>
              <w:jc w:val="right"/>
              <w:rPr>
                <w:color w:val="000000" w:themeColor="text1"/>
                <w:szCs w:val="20"/>
              </w:rPr>
            </w:pPr>
            <w:r>
              <w:rPr>
                <w:rFonts w:cs="Arial"/>
                <w:color w:val="000000"/>
                <w:szCs w:val="20"/>
              </w:rPr>
              <w:t>$382,912</w:t>
            </w:r>
          </w:p>
        </w:tc>
        <w:tc>
          <w:tcPr>
            <w:tcW w:w="736" w:type="pct"/>
            <w:gridSpan w:val="2"/>
            <w:tcBorders>
              <w:top w:val="nil"/>
              <w:left w:val="nil"/>
              <w:bottom w:val="single" w:sz="8" w:space="0" w:color="auto"/>
              <w:right w:val="single" w:sz="8" w:space="0" w:color="auto"/>
            </w:tcBorders>
            <w:shd w:val="clear" w:color="auto" w:fill="FFFFFF" w:themeFill="background1"/>
            <w:noWrap/>
            <w:vAlign w:val="center"/>
          </w:tcPr>
          <w:p w14:paraId="6FDF9923" w14:textId="77777777" w:rsidR="00104CB0" w:rsidRPr="00984B34" w:rsidRDefault="00104CB0">
            <w:pPr>
              <w:pStyle w:val="TableText"/>
              <w:jc w:val="right"/>
              <w:rPr>
                <w:color w:val="000000" w:themeColor="text1"/>
                <w:szCs w:val="20"/>
              </w:rPr>
            </w:pPr>
            <w:r>
              <w:rPr>
                <w:rFonts w:cs="Arial"/>
                <w:color w:val="000000"/>
                <w:szCs w:val="20"/>
              </w:rPr>
              <w:t>$434,583</w:t>
            </w:r>
          </w:p>
        </w:tc>
        <w:tc>
          <w:tcPr>
            <w:tcW w:w="695" w:type="pct"/>
            <w:gridSpan w:val="2"/>
            <w:tcBorders>
              <w:top w:val="nil"/>
              <w:left w:val="nil"/>
              <w:bottom w:val="single" w:sz="8" w:space="0" w:color="auto"/>
              <w:right w:val="single" w:sz="8" w:space="0" w:color="auto"/>
            </w:tcBorders>
            <w:shd w:val="clear" w:color="auto" w:fill="FFFFFF" w:themeFill="background1"/>
            <w:noWrap/>
            <w:vAlign w:val="center"/>
          </w:tcPr>
          <w:p w14:paraId="7002BE56" w14:textId="77777777" w:rsidR="00104CB0" w:rsidRPr="00984B34" w:rsidRDefault="00104CB0">
            <w:pPr>
              <w:pStyle w:val="TableText"/>
              <w:jc w:val="right"/>
              <w:rPr>
                <w:color w:val="000000" w:themeColor="text1"/>
                <w:szCs w:val="20"/>
              </w:rPr>
            </w:pPr>
            <w:r>
              <w:rPr>
                <w:rFonts w:cs="Arial"/>
                <w:color w:val="000000"/>
                <w:szCs w:val="20"/>
              </w:rPr>
              <w:t>$477,956</w:t>
            </w:r>
          </w:p>
        </w:tc>
        <w:tc>
          <w:tcPr>
            <w:tcW w:w="778" w:type="pct"/>
            <w:gridSpan w:val="2"/>
            <w:tcBorders>
              <w:top w:val="nil"/>
              <w:left w:val="nil"/>
              <w:bottom w:val="single" w:sz="8" w:space="0" w:color="auto"/>
              <w:right w:val="single" w:sz="8" w:space="0" w:color="auto"/>
            </w:tcBorders>
            <w:shd w:val="clear" w:color="auto" w:fill="FFFFFF" w:themeFill="background1"/>
            <w:noWrap/>
            <w:vAlign w:val="center"/>
          </w:tcPr>
          <w:p w14:paraId="344CD55D" w14:textId="77777777" w:rsidR="00104CB0" w:rsidRPr="00984B34" w:rsidRDefault="00104CB0">
            <w:pPr>
              <w:pStyle w:val="TableText"/>
              <w:jc w:val="right"/>
              <w:rPr>
                <w:color w:val="000000" w:themeColor="text1"/>
                <w:szCs w:val="20"/>
              </w:rPr>
            </w:pPr>
            <w:r>
              <w:rPr>
                <w:rFonts w:cs="Arial"/>
                <w:color w:val="000000"/>
                <w:szCs w:val="20"/>
              </w:rPr>
              <w:t>$512,999</w:t>
            </w:r>
          </w:p>
        </w:tc>
        <w:tc>
          <w:tcPr>
            <w:tcW w:w="564" w:type="pct"/>
            <w:gridSpan w:val="2"/>
            <w:tcBorders>
              <w:top w:val="nil"/>
              <w:left w:val="nil"/>
              <w:bottom w:val="single" w:sz="8" w:space="0" w:color="auto"/>
              <w:right w:val="single" w:sz="8" w:space="0" w:color="auto"/>
            </w:tcBorders>
            <w:shd w:val="clear" w:color="auto" w:fill="FFFFFF" w:themeFill="background1"/>
            <w:noWrap/>
            <w:vAlign w:val="center"/>
          </w:tcPr>
          <w:p w14:paraId="02A22ED3" w14:textId="77777777" w:rsidR="00104CB0" w:rsidRPr="00984B34" w:rsidRDefault="00104CB0">
            <w:pPr>
              <w:pStyle w:val="TableText"/>
              <w:jc w:val="right"/>
              <w:rPr>
                <w:color w:val="000000" w:themeColor="text1"/>
                <w:szCs w:val="20"/>
              </w:rPr>
            </w:pPr>
            <w:r>
              <w:rPr>
                <w:rFonts w:cs="Arial"/>
                <w:color w:val="000000"/>
                <w:szCs w:val="20"/>
              </w:rPr>
              <w:t>$539,745</w:t>
            </w:r>
          </w:p>
        </w:tc>
        <w:tc>
          <w:tcPr>
            <w:tcW w:w="754" w:type="pct"/>
            <w:gridSpan w:val="2"/>
            <w:tcBorders>
              <w:top w:val="nil"/>
              <w:left w:val="nil"/>
              <w:bottom w:val="single" w:sz="8" w:space="0" w:color="auto"/>
              <w:right w:val="single" w:sz="8" w:space="0" w:color="auto"/>
            </w:tcBorders>
            <w:shd w:val="clear" w:color="auto" w:fill="FFFFFF" w:themeFill="background1"/>
            <w:noWrap/>
            <w:vAlign w:val="center"/>
          </w:tcPr>
          <w:p w14:paraId="22EB068F" w14:textId="77777777" w:rsidR="00104CB0" w:rsidRPr="00984B34" w:rsidRDefault="00104CB0">
            <w:pPr>
              <w:pStyle w:val="TableText"/>
              <w:jc w:val="right"/>
              <w:rPr>
                <w:color w:val="000000" w:themeColor="text1"/>
                <w:szCs w:val="20"/>
              </w:rPr>
            </w:pPr>
            <w:r>
              <w:rPr>
                <w:rFonts w:cs="Arial"/>
                <w:color w:val="000000"/>
                <w:szCs w:val="20"/>
              </w:rPr>
              <w:t>$558,193</w:t>
            </w:r>
          </w:p>
        </w:tc>
      </w:tr>
      <w:tr w:rsidR="009377F4" w:rsidRPr="00984B34" w14:paraId="7E6E28DF" w14:textId="77777777" w:rsidTr="422CAA86">
        <w:trPr>
          <w:trHeight w:val="120"/>
        </w:trPr>
        <w:tc>
          <w:tcPr>
            <w:tcW w:w="5000" w:type="pct"/>
            <w:gridSpan w:val="12"/>
            <w:shd w:val="clear" w:color="auto" w:fill="FFFFFF" w:themeFill="background1"/>
            <w:vAlign w:val="center"/>
          </w:tcPr>
          <w:p w14:paraId="6F36B315" w14:textId="45DB48F5" w:rsidR="00104CB0" w:rsidRPr="00984B34" w:rsidRDefault="00104CB0">
            <w:pPr>
              <w:pStyle w:val="TableText"/>
              <w:rPr>
                <w:b/>
                <w:color w:val="000000" w:themeColor="text1"/>
                <w:szCs w:val="20"/>
              </w:rPr>
            </w:pPr>
            <w:r w:rsidRPr="00984B34">
              <w:rPr>
                <w:b/>
                <w:color w:val="000000" w:themeColor="text1"/>
                <w:szCs w:val="20"/>
              </w:rPr>
              <w:t xml:space="preserve">Proportion of patients with </w:t>
            </w:r>
            <w:r w:rsidR="000611A1" w:rsidRPr="000611A1">
              <w:rPr>
                <w:b/>
                <w:i/>
                <w:color w:val="000000" w:themeColor="text1"/>
                <w:szCs w:val="20"/>
              </w:rPr>
              <w:t>HLA-</w:t>
            </w:r>
            <w:r w:rsidRPr="00984B34">
              <w:rPr>
                <w:b/>
                <w:color w:val="000000" w:themeColor="text1"/>
                <w:szCs w:val="20"/>
              </w:rPr>
              <w:t>B*15:02/</w:t>
            </w:r>
            <w:r w:rsidR="000611A1" w:rsidRPr="000611A1">
              <w:rPr>
                <w:b/>
                <w:i/>
                <w:color w:val="000000" w:themeColor="text1"/>
                <w:szCs w:val="20"/>
              </w:rPr>
              <w:t>HLA-</w:t>
            </w:r>
            <w:r w:rsidRPr="00984B34">
              <w:rPr>
                <w:b/>
                <w:color w:val="000000" w:themeColor="text1"/>
                <w:szCs w:val="20"/>
              </w:rPr>
              <w:t>A*31:10 with hypersensitivity reaction (Base</w:t>
            </w:r>
            <w:r>
              <w:rPr>
                <w:b/>
                <w:color w:val="000000" w:themeColor="text1"/>
                <w:szCs w:val="20"/>
              </w:rPr>
              <w:t xml:space="preserve"> </w:t>
            </w:r>
            <w:r w:rsidRPr="00984B34">
              <w:rPr>
                <w:b/>
                <w:color w:val="000000" w:themeColor="text1"/>
                <w:szCs w:val="20"/>
              </w:rPr>
              <w:t>case 2.3%)</w:t>
            </w:r>
            <w:r>
              <w:rPr>
                <w:b/>
                <w:color w:val="000000" w:themeColor="text1"/>
                <w:szCs w:val="20"/>
              </w:rPr>
              <w:t xml:space="preserve"> </w:t>
            </w:r>
          </w:p>
        </w:tc>
      </w:tr>
      <w:tr w:rsidR="00761D44" w:rsidRPr="00984B34" w14:paraId="0ABAA4DA" w14:textId="77777777" w:rsidTr="422CAA86">
        <w:trPr>
          <w:trHeight w:val="120"/>
        </w:trPr>
        <w:tc>
          <w:tcPr>
            <w:tcW w:w="735" w:type="pct"/>
            <w:shd w:val="clear" w:color="auto" w:fill="FFFFFF" w:themeFill="background1"/>
            <w:vAlign w:val="center"/>
          </w:tcPr>
          <w:p w14:paraId="125A8A7A" w14:textId="77777777" w:rsidR="00104CB0" w:rsidRPr="00984B34" w:rsidRDefault="00104CB0">
            <w:pPr>
              <w:pStyle w:val="TableText"/>
              <w:rPr>
                <w:color w:val="000000" w:themeColor="text1"/>
                <w:szCs w:val="20"/>
              </w:rPr>
            </w:pPr>
            <w:r w:rsidRPr="00984B34">
              <w:rPr>
                <w:color w:val="000000" w:themeColor="text1"/>
                <w:szCs w:val="20"/>
              </w:rPr>
              <w:t xml:space="preserve">25% </w:t>
            </w:r>
          </w:p>
        </w:tc>
        <w:tc>
          <w:tcPr>
            <w:tcW w:w="737" w:type="pct"/>
            <w:tcBorders>
              <w:top w:val="nil"/>
              <w:left w:val="nil"/>
              <w:bottom w:val="single" w:sz="8" w:space="0" w:color="auto"/>
              <w:right w:val="single" w:sz="8" w:space="0" w:color="auto"/>
            </w:tcBorders>
            <w:shd w:val="clear" w:color="auto" w:fill="FFFFFF" w:themeFill="background1"/>
            <w:noWrap/>
            <w:vAlign w:val="center"/>
          </w:tcPr>
          <w:p w14:paraId="367F2883" w14:textId="77777777" w:rsidR="00104CB0" w:rsidRPr="00356E64" w:rsidRDefault="00104CB0">
            <w:pPr>
              <w:pStyle w:val="TableText"/>
              <w:jc w:val="right"/>
              <w:rPr>
                <w:szCs w:val="20"/>
              </w:rPr>
            </w:pPr>
            <w:r w:rsidRPr="00356E64">
              <w:rPr>
                <w:rFonts w:cs="Arial"/>
                <w:szCs w:val="20"/>
              </w:rPr>
              <w:t>-$2,824,342</w:t>
            </w:r>
          </w:p>
        </w:tc>
        <w:tc>
          <w:tcPr>
            <w:tcW w:w="736" w:type="pct"/>
            <w:gridSpan w:val="2"/>
            <w:tcBorders>
              <w:top w:val="nil"/>
              <w:left w:val="nil"/>
              <w:bottom w:val="single" w:sz="8" w:space="0" w:color="auto"/>
              <w:right w:val="single" w:sz="8" w:space="0" w:color="auto"/>
            </w:tcBorders>
            <w:shd w:val="clear" w:color="auto" w:fill="FFFFFF" w:themeFill="background1"/>
            <w:noWrap/>
            <w:vAlign w:val="center"/>
          </w:tcPr>
          <w:p w14:paraId="4741FA4A" w14:textId="77777777" w:rsidR="00104CB0" w:rsidRPr="00356E64" w:rsidRDefault="00104CB0">
            <w:pPr>
              <w:pStyle w:val="TableText"/>
              <w:jc w:val="right"/>
              <w:rPr>
                <w:szCs w:val="20"/>
              </w:rPr>
            </w:pPr>
            <w:r w:rsidRPr="00356E64">
              <w:rPr>
                <w:rFonts w:cs="Arial"/>
                <w:szCs w:val="20"/>
              </w:rPr>
              <w:t>-$3,205,461</w:t>
            </w:r>
          </w:p>
        </w:tc>
        <w:tc>
          <w:tcPr>
            <w:tcW w:w="695" w:type="pct"/>
            <w:gridSpan w:val="2"/>
            <w:tcBorders>
              <w:top w:val="nil"/>
              <w:left w:val="nil"/>
              <w:bottom w:val="single" w:sz="8" w:space="0" w:color="auto"/>
              <w:right w:val="single" w:sz="8" w:space="0" w:color="auto"/>
            </w:tcBorders>
            <w:shd w:val="clear" w:color="auto" w:fill="FFFFFF" w:themeFill="background1"/>
            <w:noWrap/>
            <w:vAlign w:val="center"/>
          </w:tcPr>
          <w:p w14:paraId="492BB469" w14:textId="77777777" w:rsidR="00104CB0" w:rsidRPr="00356E64" w:rsidRDefault="00104CB0">
            <w:pPr>
              <w:pStyle w:val="TableText"/>
              <w:jc w:val="right"/>
              <w:rPr>
                <w:szCs w:val="20"/>
              </w:rPr>
            </w:pPr>
            <w:r w:rsidRPr="00356E64">
              <w:rPr>
                <w:rFonts w:cs="Arial"/>
                <w:szCs w:val="20"/>
              </w:rPr>
              <w:t>-$3,525,377</w:t>
            </w:r>
          </w:p>
        </w:tc>
        <w:tc>
          <w:tcPr>
            <w:tcW w:w="778" w:type="pct"/>
            <w:gridSpan w:val="2"/>
            <w:tcBorders>
              <w:top w:val="nil"/>
              <w:left w:val="nil"/>
              <w:bottom w:val="single" w:sz="8" w:space="0" w:color="auto"/>
              <w:right w:val="single" w:sz="8" w:space="0" w:color="auto"/>
            </w:tcBorders>
            <w:shd w:val="clear" w:color="auto" w:fill="FFFFFF" w:themeFill="background1"/>
            <w:noWrap/>
            <w:vAlign w:val="center"/>
          </w:tcPr>
          <w:p w14:paraId="2CB4FD95" w14:textId="77777777" w:rsidR="00104CB0" w:rsidRPr="00356E64" w:rsidRDefault="00104CB0">
            <w:pPr>
              <w:pStyle w:val="TableText"/>
              <w:jc w:val="right"/>
              <w:rPr>
                <w:szCs w:val="20"/>
              </w:rPr>
            </w:pPr>
            <w:r w:rsidRPr="00356E64">
              <w:rPr>
                <w:rFonts w:cs="Arial"/>
                <w:szCs w:val="20"/>
              </w:rPr>
              <w:t>-$3,783,853</w:t>
            </w:r>
          </w:p>
        </w:tc>
        <w:tc>
          <w:tcPr>
            <w:tcW w:w="564" w:type="pct"/>
            <w:gridSpan w:val="2"/>
            <w:tcBorders>
              <w:top w:val="nil"/>
              <w:left w:val="nil"/>
              <w:bottom w:val="single" w:sz="8" w:space="0" w:color="auto"/>
              <w:right w:val="single" w:sz="8" w:space="0" w:color="auto"/>
            </w:tcBorders>
            <w:shd w:val="clear" w:color="auto" w:fill="FFFFFF" w:themeFill="background1"/>
            <w:noWrap/>
            <w:vAlign w:val="center"/>
          </w:tcPr>
          <w:p w14:paraId="36710403" w14:textId="77777777" w:rsidR="00104CB0" w:rsidRPr="00356E64" w:rsidRDefault="00104CB0">
            <w:pPr>
              <w:pStyle w:val="TableText"/>
              <w:jc w:val="right"/>
              <w:rPr>
                <w:szCs w:val="20"/>
              </w:rPr>
            </w:pPr>
            <w:r w:rsidRPr="00356E64">
              <w:rPr>
                <w:rFonts w:cs="Arial"/>
                <w:szCs w:val="20"/>
              </w:rPr>
              <w:t>-$3,981,127</w:t>
            </w:r>
          </w:p>
        </w:tc>
        <w:tc>
          <w:tcPr>
            <w:tcW w:w="754" w:type="pct"/>
            <w:gridSpan w:val="2"/>
            <w:tcBorders>
              <w:top w:val="nil"/>
              <w:left w:val="nil"/>
              <w:bottom w:val="single" w:sz="8" w:space="0" w:color="auto"/>
              <w:right w:val="single" w:sz="8" w:space="0" w:color="auto"/>
            </w:tcBorders>
            <w:shd w:val="clear" w:color="auto" w:fill="FFFFFF" w:themeFill="background1"/>
            <w:noWrap/>
            <w:vAlign w:val="center"/>
          </w:tcPr>
          <w:p w14:paraId="28B3BA7D" w14:textId="77777777" w:rsidR="00104CB0" w:rsidRPr="00356E64" w:rsidRDefault="00104CB0">
            <w:pPr>
              <w:pStyle w:val="TableText"/>
              <w:jc w:val="right"/>
              <w:rPr>
                <w:szCs w:val="20"/>
              </w:rPr>
            </w:pPr>
            <w:r w:rsidRPr="00356E64">
              <w:rPr>
                <w:rFonts w:cs="Arial"/>
                <w:szCs w:val="20"/>
              </w:rPr>
              <w:t>-$4,117,198</w:t>
            </w:r>
          </w:p>
        </w:tc>
      </w:tr>
      <w:tr w:rsidR="00761D44" w:rsidRPr="00984B34" w14:paraId="415CDFAA" w14:textId="77777777" w:rsidTr="422CAA86">
        <w:trPr>
          <w:trHeight w:val="120"/>
        </w:trPr>
        <w:tc>
          <w:tcPr>
            <w:tcW w:w="735" w:type="pct"/>
            <w:shd w:val="clear" w:color="auto" w:fill="FFFFFF" w:themeFill="background1"/>
            <w:vAlign w:val="center"/>
          </w:tcPr>
          <w:p w14:paraId="0C512B26" w14:textId="77777777" w:rsidR="00104CB0" w:rsidRPr="00984B34" w:rsidRDefault="00104CB0">
            <w:pPr>
              <w:pStyle w:val="TableText"/>
              <w:rPr>
                <w:color w:val="000000" w:themeColor="text1"/>
                <w:szCs w:val="20"/>
              </w:rPr>
            </w:pPr>
            <w:r w:rsidRPr="00984B34">
              <w:rPr>
                <w:color w:val="000000" w:themeColor="text1"/>
                <w:szCs w:val="20"/>
              </w:rPr>
              <w:t>5%</w:t>
            </w:r>
          </w:p>
        </w:tc>
        <w:tc>
          <w:tcPr>
            <w:tcW w:w="737" w:type="pct"/>
            <w:tcBorders>
              <w:top w:val="nil"/>
              <w:left w:val="nil"/>
              <w:bottom w:val="single" w:sz="8" w:space="0" w:color="auto"/>
              <w:right w:val="single" w:sz="8" w:space="0" w:color="auto"/>
            </w:tcBorders>
            <w:shd w:val="clear" w:color="auto" w:fill="FFFFFF" w:themeFill="background1"/>
            <w:noWrap/>
            <w:vAlign w:val="center"/>
          </w:tcPr>
          <w:p w14:paraId="20F0FED0" w14:textId="77777777" w:rsidR="00104CB0" w:rsidRPr="00984B34" w:rsidRDefault="00104CB0">
            <w:pPr>
              <w:pStyle w:val="TableText"/>
              <w:jc w:val="right"/>
              <w:rPr>
                <w:rFonts w:cs="Arial"/>
                <w:color w:val="000000" w:themeColor="text1"/>
                <w:szCs w:val="20"/>
              </w:rPr>
            </w:pPr>
            <w:r>
              <w:rPr>
                <w:rFonts w:cs="Arial"/>
                <w:color w:val="000000"/>
                <w:szCs w:val="20"/>
              </w:rPr>
              <w:t>$3,563</w:t>
            </w:r>
          </w:p>
        </w:tc>
        <w:tc>
          <w:tcPr>
            <w:tcW w:w="736" w:type="pct"/>
            <w:gridSpan w:val="2"/>
            <w:tcBorders>
              <w:top w:val="nil"/>
              <w:left w:val="nil"/>
              <w:bottom w:val="single" w:sz="8" w:space="0" w:color="auto"/>
              <w:right w:val="single" w:sz="8" w:space="0" w:color="auto"/>
            </w:tcBorders>
            <w:shd w:val="clear" w:color="auto" w:fill="FFFFFF" w:themeFill="background1"/>
            <w:noWrap/>
            <w:vAlign w:val="center"/>
          </w:tcPr>
          <w:p w14:paraId="586C3945" w14:textId="77777777" w:rsidR="00104CB0" w:rsidRPr="00984B34" w:rsidRDefault="00104CB0">
            <w:pPr>
              <w:pStyle w:val="TableText"/>
              <w:jc w:val="right"/>
              <w:rPr>
                <w:rFonts w:cs="Arial"/>
                <w:color w:val="000000" w:themeColor="text1"/>
                <w:szCs w:val="20"/>
              </w:rPr>
            </w:pPr>
            <w:r>
              <w:rPr>
                <w:rFonts w:cs="Arial"/>
                <w:color w:val="000000"/>
                <w:szCs w:val="20"/>
              </w:rPr>
              <w:t>$4,044</w:t>
            </w:r>
          </w:p>
        </w:tc>
        <w:tc>
          <w:tcPr>
            <w:tcW w:w="695" w:type="pct"/>
            <w:gridSpan w:val="2"/>
            <w:tcBorders>
              <w:top w:val="nil"/>
              <w:left w:val="nil"/>
              <w:bottom w:val="single" w:sz="8" w:space="0" w:color="auto"/>
              <w:right w:val="single" w:sz="8" w:space="0" w:color="auto"/>
            </w:tcBorders>
            <w:shd w:val="clear" w:color="auto" w:fill="FFFFFF" w:themeFill="background1"/>
            <w:noWrap/>
            <w:vAlign w:val="center"/>
          </w:tcPr>
          <w:p w14:paraId="4ADDDF63" w14:textId="77777777" w:rsidR="00104CB0" w:rsidRPr="00984B34" w:rsidRDefault="00104CB0">
            <w:pPr>
              <w:pStyle w:val="TableText"/>
              <w:jc w:val="right"/>
              <w:rPr>
                <w:rFonts w:cs="Arial"/>
                <w:color w:val="000000" w:themeColor="text1"/>
                <w:szCs w:val="20"/>
              </w:rPr>
            </w:pPr>
            <w:r>
              <w:rPr>
                <w:rFonts w:cs="Arial"/>
                <w:color w:val="000000"/>
                <w:szCs w:val="20"/>
              </w:rPr>
              <w:t>$4,447</w:t>
            </w:r>
          </w:p>
        </w:tc>
        <w:tc>
          <w:tcPr>
            <w:tcW w:w="778" w:type="pct"/>
            <w:gridSpan w:val="2"/>
            <w:tcBorders>
              <w:top w:val="nil"/>
              <w:left w:val="nil"/>
              <w:bottom w:val="single" w:sz="8" w:space="0" w:color="auto"/>
              <w:right w:val="single" w:sz="8" w:space="0" w:color="auto"/>
            </w:tcBorders>
            <w:shd w:val="clear" w:color="auto" w:fill="FFFFFF" w:themeFill="background1"/>
            <w:noWrap/>
            <w:vAlign w:val="center"/>
          </w:tcPr>
          <w:p w14:paraId="3CCFB234" w14:textId="77777777" w:rsidR="00104CB0" w:rsidRPr="00984B34" w:rsidRDefault="00104CB0">
            <w:pPr>
              <w:pStyle w:val="TableText"/>
              <w:jc w:val="right"/>
              <w:rPr>
                <w:rFonts w:cs="Arial"/>
                <w:color w:val="000000" w:themeColor="text1"/>
                <w:szCs w:val="20"/>
              </w:rPr>
            </w:pPr>
            <w:r>
              <w:rPr>
                <w:rFonts w:cs="Arial"/>
                <w:color w:val="000000"/>
                <w:szCs w:val="20"/>
              </w:rPr>
              <w:t>$4,773</w:t>
            </w:r>
          </w:p>
        </w:tc>
        <w:tc>
          <w:tcPr>
            <w:tcW w:w="564" w:type="pct"/>
            <w:gridSpan w:val="2"/>
            <w:tcBorders>
              <w:top w:val="nil"/>
              <w:left w:val="nil"/>
              <w:bottom w:val="single" w:sz="8" w:space="0" w:color="auto"/>
              <w:right w:val="single" w:sz="8" w:space="0" w:color="auto"/>
            </w:tcBorders>
            <w:shd w:val="clear" w:color="auto" w:fill="FFFFFF" w:themeFill="background1"/>
            <w:noWrap/>
            <w:vAlign w:val="center"/>
          </w:tcPr>
          <w:p w14:paraId="06F45B8C" w14:textId="77777777" w:rsidR="00104CB0" w:rsidRPr="00984B34" w:rsidRDefault="00104CB0">
            <w:pPr>
              <w:pStyle w:val="TableText"/>
              <w:jc w:val="right"/>
              <w:rPr>
                <w:rFonts w:cs="Arial"/>
                <w:color w:val="000000" w:themeColor="text1"/>
                <w:szCs w:val="20"/>
              </w:rPr>
            </w:pPr>
            <w:r>
              <w:rPr>
                <w:rFonts w:cs="Arial"/>
                <w:color w:val="000000"/>
                <w:szCs w:val="20"/>
              </w:rPr>
              <w:t>$5,022</w:t>
            </w:r>
          </w:p>
        </w:tc>
        <w:tc>
          <w:tcPr>
            <w:tcW w:w="754" w:type="pct"/>
            <w:gridSpan w:val="2"/>
            <w:tcBorders>
              <w:top w:val="nil"/>
              <w:left w:val="nil"/>
              <w:bottom w:val="single" w:sz="8" w:space="0" w:color="auto"/>
              <w:right w:val="single" w:sz="8" w:space="0" w:color="auto"/>
            </w:tcBorders>
            <w:shd w:val="clear" w:color="auto" w:fill="FFFFFF" w:themeFill="background1"/>
            <w:noWrap/>
            <w:vAlign w:val="center"/>
          </w:tcPr>
          <w:p w14:paraId="6768B77D" w14:textId="77777777" w:rsidR="00104CB0" w:rsidRPr="00984B34" w:rsidRDefault="00104CB0">
            <w:pPr>
              <w:pStyle w:val="TableText"/>
              <w:jc w:val="right"/>
              <w:rPr>
                <w:rFonts w:cs="Arial"/>
                <w:color w:val="000000" w:themeColor="text1"/>
                <w:szCs w:val="20"/>
              </w:rPr>
            </w:pPr>
            <w:r>
              <w:rPr>
                <w:rFonts w:cs="Arial"/>
                <w:color w:val="000000"/>
                <w:szCs w:val="20"/>
              </w:rPr>
              <w:t>$5,194</w:t>
            </w:r>
          </w:p>
        </w:tc>
      </w:tr>
      <w:tr w:rsidR="006A5221" w:rsidRPr="00984B34" w14:paraId="2D1050A7" w14:textId="77777777" w:rsidTr="422CAA86">
        <w:trPr>
          <w:trHeight w:val="120"/>
        </w:trPr>
        <w:tc>
          <w:tcPr>
            <w:tcW w:w="735" w:type="pct"/>
            <w:shd w:val="clear" w:color="auto" w:fill="FFFFFF" w:themeFill="background1"/>
            <w:vAlign w:val="center"/>
          </w:tcPr>
          <w:p w14:paraId="328F6FED" w14:textId="77777777" w:rsidR="00104CB0" w:rsidRPr="00984B34" w:rsidRDefault="00104CB0">
            <w:pPr>
              <w:pStyle w:val="TableText"/>
              <w:rPr>
                <w:color w:val="000000" w:themeColor="text1"/>
                <w:szCs w:val="20"/>
              </w:rPr>
            </w:pPr>
            <w:r>
              <w:rPr>
                <w:color w:val="000000" w:themeColor="text1"/>
                <w:szCs w:val="20"/>
              </w:rPr>
              <w:t>0.5%</w:t>
            </w:r>
          </w:p>
        </w:tc>
        <w:tc>
          <w:tcPr>
            <w:tcW w:w="737" w:type="pct"/>
            <w:tcBorders>
              <w:top w:val="nil"/>
              <w:left w:val="nil"/>
              <w:bottom w:val="single" w:sz="8" w:space="0" w:color="auto"/>
              <w:right w:val="single" w:sz="8" w:space="0" w:color="auto"/>
            </w:tcBorders>
            <w:shd w:val="clear" w:color="auto" w:fill="FFFFFF" w:themeFill="background1"/>
            <w:noWrap/>
            <w:vAlign w:val="center"/>
          </w:tcPr>
          <w:p w14:paraId="43C5AE77" w14:textId="77777777" w:rsidR="00104CB0" w:rsidRDefault="00104CB0">
            <w:pPr>
              <w:pStyle w:val="TableText"/>
              <w:jc w:val="right"/>
              <w:rPr>
                <w:rFonts w:cs="Arial"/>
                <w:color w:val="000000"/>
                <w:szCs w:val="20"/>
              </w:rPr>
            </w:pPr>
            <w:r>
              <w:rPr>
                <w:rFonts w:cs="Arial"/>
                <w:color w:val="000000"/>
                <w:szCs w:val="20"/>
              </w:rPr>
              <w:t>$639,842</w:t>
            </w:r>
          </w:p>
        </w:tc>
        <w:tc>
          <w:tcPr>
            <w:tcW w:w="736" w:type="pct"/>
            <w:gridSpan w:val="2"/>
            <w:tcBorders>
              <w:top w:val="nil"/>
              <w:left w:val="nil"/>
              <w:bottom w:val="single" w:sz="8" w:space="0" w:color="auto"/>
              <w:right w:val="single" w:sz="8" w:space="0" w:color="auto"/>
            </w:tcBorders>
            <w:shd w:val="clear" w:color="auto" w:fill="FFFFFF" w:themeFill="background1"/>
            <w:noWrap/>
            <w:vAlign w:val="center"/>
          </w:tcPr>
          <w:p w14:paraId="11C2DD21" w14:textId="77777777" w:rsidR="00104CB0" w:rsidRDefault="00104CB0">
            <w:pPr>
              <w:pStyle w:val="TableText"/>
              <w:jc w:val="right"/>
              <w:rPr>
                <w:rFonts w:cs="Arial"/>
                <w:color w:val="000000"/>
                <w:szCs w:val="20"/>
              </w:rPr>
            </w:pPr>
            <w:r>
              <w:rPr>
                <w:rFonts w:cs="Arial"/>
                <w:color w:val="000000"/>
                <w:szCs w:val="20"/>
              </w:rPr>
              <w:t>$726,182</w:t>
            </w:r>
          </w:p>
        </w:tc>
        <w:tc>
          <w:tcPr>
            <w:tcW w:w="695" w:type="pct"/>
            <w:gridSpan w:val="2"/>
            <w:tcBorders>
              <w:top w:val="nil"/>
              <w:left w:val="nil"/>
              <w:bottom w:val="single" w:sz="8" w:space="0" w:color="auto"/>
              <w:right w:val="single" w:sz="8" w:space="0" w:color="auto"/>
            </w:tcBorders>
            <w:shd w:val="clear" w:color="auto" w:fill="FFFFFF" w:themeFill="background1"/>
            <w:noWrap/>
            <w:vAlign w:val="center"/>
          </w:tcPr>
          <w:p w14:paraId="7BAA02EB" w14:textId="77777777" w:rsidR="00104CB0" w:rsidRDefault="00104CB0">
            <w:pPr>
              <w:pStyle w:val="TableText"/>
              <w:jc w:val="right"/>
              <w:rPr>
                <w:rFonts w:cs="Arial"/>
                <w:color w:val="000000"/>
                <w:szCs w:val="20"/>
              </w:rPr>
            </w:pPr>
            <w:r>
              <w:rPr>
                <w:rFonts w:cs="Arial"/>
                <w:color w:val="000000"/>
                <w:szCs w:val="20"/>
              </w:rPr>
              <w:t>$798,658</w:t>
            </w:r>
          </w:p>
        </w:tc>
        <w:tc>
          <w:tcPr>
            <w:tcW w:w="778" w:type="pct"/>
            <w:gridSpan w:val="2"/>
            <w:tcBorders>
              <w:top w:val="nil"/>
              <w:left w:val="nil"/>
              <w:bottom w:val="single" w:sz="8" w:space="0" w:color="auto"/>
              <w:right w:val="single" w:sz="8" w:space="0" w:color="auto"/>
            </w:tcBorders>
            <w:shd w:val="clear" w:color="auto" w:fill="FFFFFF" w:themeFill="background1"/>
            <w:noWrap/>
            <w:vAlign w:val="center"/>
          </w:tcPr>
          <w:p w14:paraId="443ED999" w14:textId="77777777" w:rsidR="00104CB0" w:rsidRDefault="00104CB0">
            <w:pPr>
              <w:pStyle w:val="TableText"/>
              <w:jc w:val="right"/>
              <w:rPr>
                <w:rFonts w:cs="Arial"/>
                <w:color w:val="000000"/>
                <w:szCs w:val="20"/>
              </w:rPr>
            </w:pPr>
            <w:r>
              <w:rPr>
                <w:rFonts w:cs="Arial"/>
                <w:color w:val="000000"/>
                <w:szCs w:val="20"/>
              </w:rPr>
              <w:t>$857,214</w:t>
            </w:r>
          </w:p>
        </w:tc>
        <w:tc>
          <w:tcPr>
            <w:tcW w:w="564" w:type="pct"/>
            <w:gridSpan w:val="2"/>
            <w:tcBorders>
              <w:top w:val="nil"/>
              <w:left w:val="nil"/>
              <w:bottom w:val="single" w:sz="8" w:space="0" w:color="auto"/>
              <w:right w:val="single" w:sz="8" w:space="0" w:color="auto"/>
            </w:tcBorders>
            <w:shd w:val="clear" w:color="auto" w:fill="FFFFFF" w:themeFill="background1"/>
            <w:noWrap/>
            <w:vAlign w:val="center"/>
          </w:tcPr>
          <w:p w14:paraId="3A2E8F89" w14:textId="77777777" w:rsidR="00104CB0" w:rsidRDefault="00104CB0">
            <w:pPr>
              <w:pStyle w:val="TableText"/>
              <w:jc w:val="right"/>
              <w:rPr>
                <w:rFonts w:cs="Arial"/>
                <w:color w:val="000000"/>
                <w:szCs w:val="20"/>
              </w:rPr>
            </w:pPr>
            <w:r>
              <w:rPr>
                <w:rFonts w:cs="Arial"/>
                <w:color w:val="000000"/>
                <w:szCs w:val="20"/>
              </w:rPr>
              <w:t>$901,906</w:t>
            </w:r>
          </w:p>
        </w:tc>
        <w:tc>
          <w:tcPr>
            <w:tcW w:w="754" w:type="pct"/>
            <w:gridSpan w:val="2"/>
            <w:tcBorders>
              <w:top w:val="nil"/>
              <w:left w:val="nil"/>
              <w:bottom w:val="single" w:sz="8" w:space="0" w:color="auto"/>
              <w:right w:val="single" w:sz="8" w:space="0" w:color="auto"/>
            </w:tcBorders>
            <w:shd w:val="clear" w:color="auto" w:fill="FFFFFF" w:themeFill="background1"/>
            <w:noWrap/>
            <w:vAlign w:val="center"/>
          </w:tcPr>
          <w:p w14:paraId="27454327" w14:textId="77777777" w:rsidR="00104CB0" w:rsidRDefault="00104CB0">
            <w:pPr>
              <w:pStyle w:val="TableText"/>
              <w:jc w:val="right"/>
              <w:rPr>
                <w:rFonts w:cs="Arial"/>
                <w:color w:val="000000"/>
                <w:szCs w:val="20"/>
              </w:rPr>
            </w:pPr>
            <w:r>
              <w:rPr>
                <w:rFonts w:cs="Arial"/>
                <w:color w:val="000000"/>
                <w:szCs w:val="20"/>
              </w:rPr>
              <w:t>$932,732</w:t>
            </w:r>
          </w:p>
        </w:tc>
      </w:tr>
      <w:tr w:rsidR="005F11F0" w:rsidRPr="00984B34" w14:paraId="62ED7B25" w14:textId="77777777" w:rsidTr="422CAA86">
        <w:trPr>
          <w:trHeight w:val="120"/>
        </w:trPr>
        <w:tc>
          <w:tcPr>
            <w:tcW w:w="5000" w:type="pct"/>
            <w:gridSpan w:val="12"/>
            <w:tcBorders>
              <w:bottom w:val="single" w:sz="4" w:space="0" w:color="auto"/>
            </w:tcBorders>
            <w:shd w:val="clear" w:color="auto" w:fill="FFFFFF" w:themeFill="background1"/>
            <w:vAlign w:val="center"/>
          </w:tcPr>
          <w:p w14:paraId="2908C6D6" w14:textId="204344F4" w:rsidR="00104CB0" w:rsidRPr="003D3843" w:rsidRDefault="00104CB0" w:rsidP="422CAA86">
            <w:pPr>
              <w:pStyle w:val="TableText"/>
              <w:rPr>
                <w:rFonts w:cs="Arial"/>
                <w:b/>
                <w:bCs/>
                <w:color w:val="000000" w:themeColor="text1"/>
              </w:rPr>
            </w:pPr>
            <w:r w:rsidRPr="422CAA86">
              <w:rPr>
                <w:rFonts w:cs="Arial"/>
                <w:b/>
                <w:bCs/>
                <w:color w:val="000000" w:themeColor="text1"/>
              </w:rPr>
              <w:t>MBS Item fee (base case = $188)*</w:t>
            </w:r>
          </w:p>
        </w:tc>
      </w:tr>
      <w:tr w:rsidR="00761D44" w:rsidRPr="00984B34" w14:paraId="47C3189D" w14:textId="77777777" w:rsidTr="422CAA86">
        <w:trPr>
          <w:trHeight w:val="120"/>
        </w:trPr>
        <w:tc>
          <w:tcPr>
            <w:tcW w:w="735" w:type="pct"/>
            <w:tcBorders>
              <w:top w:val="single" w:sz="4" w:space="0" w:color="auto"/>
              <w:bottom w:val="single" w:sz="4" w:space="0" w:color="auto"/>
              <w:right w:val="single" w:sz="4" w:space="0" w:color="auto"/>
            </w:tcBorders>
            <w:shd w:val="clear" w:color="auto" w:fill="FFFFFF" w:themeFill="background1"/>
            <w:vAlign w:val="center"/>
          </w:tcPr>
          <w:p w14:paraId="0E152116" w14:textId="77777777" w:rsidR="00104CB0" w:rsidRPr="00984B34" w:rsidRDefault="00104CB0">
            <w:pPr>
              <w:pStyle w:val="TableText"/>
              <w:rPr>
                <w:color w:val="000000" w:themeColor="text1"/>
                <w:szCs w:val="20"/>
              </w:rPr>
            </w:pPr>
            <w:r>
              <w:rPr>
                <w:color w:val="000000" w:themeColor="text1"/>
                <w:szCs w:val="20"/>
              </w:rPr>
              <w:t>$182</w:t>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A2F439" w14:textId="77777777" w:rsidR="00104CB0" w:rsidRPr="00984B34" w:rsidRDefault="00104CB0">
            <w:pPr>
              <w:pStyle w:val="TableText"/>
              <w:jc w:val="right"/>
              <w:rPr>
                <w:rFonts w:cs="Arial"/>
                <w:color w:val="000000" w:themeColor="text1"/>
                <w:szCs w:val="20"/>
              </w:rPr>
            </w:pPr>
            <w:r>
              <w:rPr>
                <w:rFonts w:cs="Arial"/>
                <w:color w:val="000000"/>
                <w:szCs w:val="20"/>
              </w:rPr>
              <w:t>$341,633</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80277F" w14:textId="77777777" w:rsidR="00104CB0" w:rsidRPr="00984B34" w:rsidRDefault="00104CB0">
            <w:pPr>
              <w:pStyle w:val="TableText"/>
              <w:jc w:val="right"/>
              <w:rPr>
                <w:rFonts w:cs="Arial"/>
                <w:color w:val="000000" w:themeColor="text1"/>
                <w:szCs w:val="20"/>
              </w:rPr>
            </w:pPr>
            <w:r>
              <w:rPr>
                <w:rFonts w:cs="Arial"/>
                <w:color w:val="000000"/>
                <w:szCs w:val="20"/>
              </w:rPr>
              <w:t>$387,461</w:t>
            </w:r>
          </w:p>
        </w:tc>
        <w:tc>
          <w:tcPr>
            <w:tcW w:w="69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77DF1E" w14:textId="77777777" w:rsidR="00104CB0" w:rsidRPr="00984B34" w:rsidRDefault="00104CB0">
            <w:pPr>
              <w:pStyle w:val="TableText"/>
              <w:jc w:val="right"/>
              <w:rPr>
                <w:rFonts w:cs="Arial"/>
                <w:color w:val="000000" w:themeColor="text1"/>
                <w:szCs w:val="20"/>
              </w:rPr>
            </w:pPr>
            <w:r>
              <w:rPr>
                <w:rFonts w:cs="Arial"/>
                <w:color w:val="000000"/>
                <w:szCs w:val="20"/>
              </w:rPr>
              <w:t>$425,930</w:t>
            </w:r>
          </w:p>
        </w:tc>
        <w:tc>
          <w:tcPr>
            <w:tcW w:w="77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B773A4" w14:textId="77777777" w:rsidR="00104CB0" w:rsidRPr="00984B34" w:rsidRDefault="00104CB0">
            <w:pPr>
              <w:pStyle w:val="TableText"/>
              <w:jc w:val="right"/>
              <w:rPr>
                <w:rFonts w:cs="Arial"/>
                <w:color w:val="000000" w:themeColor="text1"/>
                <w:szCs w:val="20"/>
              </w:rPr>
            </w:pPr>
            <w:r>
              <w:rPr>
                <w:rFonts w:cs="Arial"/>
                <w:color w:val="000000"/>
                <w:szCs w:val="20"/>
              </w:rPr>
              <w:t>$457,010</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DC2A3A" w14:textId="77777777" w:rsidR="00104CB0" w:rsidRPr="00984B34" w:rsidRDefault="00104CB0">
            <w:pPr>
              <w:pStyle w:val="TableText"/>
              <w:jc w:val="right"/>
              <w:rPr>
                <w:rFonts w:cs="Arial"/>
                <w:color w:val="000000" w:themeColor="text1"/>
                <w:szCs w:val="20"/>
              </w:rPr>
            </w:pPr>
            <w:r>
              <w:rPr>
                <w:rFonts w:cs="Arial"/>
                <w:color w:val="000000"/>
                <w:szCs w:val="20"/>
              </w:rPr>
              <w:t>$480,732</w:t>
            </w:r>
          </w:p>
        </w:tc>
        <w:tc>
          <w:tcPr>
            <w:tcW w:w="75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4CD021" w14:textId="77777777" w:rsidR="00104CB0" w:rsidRPr="00984B34" w:rsidRDefault="00104CB0">
            <w:pPr>
              <w:pStyle w:val="TableText"/>
              <w:jc w:val="right"/>
              <w:rPr>
                <w:rFonts w:cs="Arial"/>
                <w:color w:val="000000" w:themeColor="text1"/>
                <w:szCs w:val="20"/>
              </w:rPr>
            </w:pPr>
            <w:r>
              <w:rPr>
                <w:rFonts w:cs="Arial"/>
                <w:color w:val="000000"/>
                <w:szCs w:val="20"/>
              </w:rPr>
              <w:t>$497,095</w:t>
            </w:r>
          </w:p>
        </w:tc>
      </w:tr>
      <w:tr w:rsidR="006A5221" w:rsidRPr="00984B34" w14:paraId="739EA9FC" w14:textId="77777777" w:rsidTr="422CAA86">
        <w:trPr>
          <w:trHeight w:val="120"/>
        </w:trPr>
        <w:tc>
          <w:tcPr>
            <w:tcW w:w="735" w:type="pct"/>
            <w:tcBorders>
              <w:top w:val="single" w:sz="4" w:space="0" w:color="auto"/>
              <w:bottom w:val="single" w:sz="4" w:space="0" w:color="auto"/>
              <w:right w:val="single" w:sz="4" w:space="0" w:color="auto"/>
            </w:tcBorders>
            <w:shd w:val="clear" w:color="auto" w:fill="FFFFFF" w:themeFill="background1"/>
            <w:vAlign w:val="center"/>
          </w:tcPr>
          <w:p w14:paraId="64143E1D" w14:textId="77777777" w:rsidR="00104CB0" w:rsidRDefault="00104CB0">
            <w:pPr>
              <w:pStyle w:val="TableText"/>
              <w:rPr>
                <w:color w:val="000000" w:themeColor="text1"/>
                <w:szCs w:val="20"/>
              </w:rPr>
            </w:pPr>
            <w:r>
              <w:rPr>
                <w:color w:val="000000" w:themeColor="text1"/>
                <w:szCs w:val="20"/>
              </w:rPr>
              <w:t>$</w:t>
            </w:r>
            <w:r w:rsidRPr="0095221F">
              <w:rPr>
                <w:color w:val="000000" w:themeColor="text1"/>
                <w:szCs w:val="20"/>
              </w:rPr>
              <w:t>139</w:t>
            </w:r>
          </w:p>
        </w:tc>
        <w:tc>
          <w:tcPr>
            <w:tcW w:w="737" w:type="pct"/>
            <w:tcBorders>
              <w:top w:val="nil"/>
              <w:left w:val="nil"/>
              <w:bottom w:val="single" w:sz="8" w:space="0" w:color="auto"/>
              <w:right w:val="single" w:sz="8" w:space="0" w:color="auto"/>
            </w:tcBorders>
            <w:shd w:val="clear" w:color="auto" w:fill="FFFFFF" w:themeFill="background1"/>
            <w:noWrap/>
            <w:vAlign w:val="center"/>
          </w:tcPr>
          <w:p w14:paraId="779FBCDE" w14:textId="77777777" w:rsidR="00104CB0" w:rsidRDefault="00104CB0">
            <w:pPr>
              <w:pStyle w:val="TableText"/>
              <w:jc w:val="right"/>
              <w:rPr>
                <w:rFonts w:cs="Arial"/>
                <w:color w:val="000000"/>
                <w:szCs w:val="20"/>
              </w:rPr>
            </w:pPr>
            <w:r>
              <w:rPr>
                <w:rFonts w:cs="Arial"/>
                <w:color w:val="000000"/>
                <w:szCs w:val="20"/>
              </w:rPr>
              <w:t>$194,347</w:t>
            </w:r>
          </w:p>
        </w:tc>
        <w:tc>
          <w:tcPr>
            <w:tcW w:w="736" w:type="pct"/>
            <w:gridSpan w:val="2"/>
            <w:tcBorders>
              <w:top w:val="nil"/>
              <w:left w:val="nil"/>
              <w:bottom w:val="single" w:sz="8" w:space="0" w:color="auto"/>
              <w:right w:val="single" w:sz="8" w:space="0" w:color="auto"/>
            </w:tcBorders>
            <w:shd w:val="clear" w:color="auto" w:fill="FFFFFF" w:themeFill="background1"/>
            <w:noWrap/>
            <w:vAlign w:val="center"/>
          </w:tcPr>
          <w:p w14:paraId="461D84CA" w14:textId="77777777" w:rsidR="00104CB0" w:rsidRDefault="00104CB0">
            <w:pPr>
              <w:pStyle w:val="TableText"/>
              <w:jc w:val="right"/>
              <w:rPr>
                <w:rFonts w:cs="Arial"/>
                <w:color w:val="000000"/>
                <w:szCs w:val="20"/>
              </w:rPr>
            </w:pPr>
            <w:r>
              <w:rPr>
                <w:rFonts w:cs="Arial"/>
                <w:color w:val="000000"/>
                <w:szCs w:val="20"/>
              </w:rPr>
              <w:t>$220,572</w:t>
            </w:r>
          </w:p>
        </w:tc>
        <w:tc>
          <w:tcPr>
            <w:tcW w:w="695" w:type="pct"/>
            <w:gridSpan w:val="2"/>
            <w:tcBorders>
              <w:top w:val="nil"/>
              <w:left w:val="nil"/>
              <w:bottom w:val="single" w:sz="8" w:space="0" w:color="auto"/>
              <w:right w:val="single" w:sz="8" w:space="0" w:color="auto"/>
            </w:tcBorders>
            <w:shd w:val="clear" w:color="auto" w:fill="FFFFFF" w:themeFill="background1"/>
            <w:noWrap/>
            <w:vAlign w:val="center"/>
          </w:tcPr>
          <w:p w14:paraId="757C01D6" w14:textId="77777777" w:rsidR="00104CB0" w:rsidRDefault="00104CB0">
            <w:pPr>
              <w:pStyle w:val="TableText"/>
              <w:jc w:val="right"/>
              <w:rPr>
                <w:rFonts w:cs="Arial"/>
                <w:color w:val="000000"/>
                <w:szCs w:val="20"/>
              </w:rPr>
            </w:pPr>
            <w:r>
              <w:rPr>
                <w:rFonts w:cs="Arial"/>
                <w:color w:val="000000"/>
                <w:szCs w:val="20"/>
              </w:rPr>
              <w:t>$242,586</w:t>
            </w:r>
          </w:p>
        </w:tc>
        <w:tc>
          <w:tcPr>
            <w:tcW w:w="778" w:type="pct"/>
            <w:gridSpan w:val="2"/>
            <w:tcBorders>
              <w:top w:val="nil"/>
              <w:left w:val="nil"/>
              <w:bottom w:val="single" w:sz="8" w:space="0" w:color="auto"/>
              <w:right w:val="single" w:sz="8" w:space="0" w:color="auto"/>
            </w:tcBorders>
            <w:shd w:val="clear" w:color="auto" w:fill="FFFFFF" w:themeFill="background1"/>
            <w:noWrap/>
            <w:vAlign w:val="center"/>
          </w:tcPr>
          <w:p w14:paraId="315F6162" w14:textId="77777777" w:rsidR="00104CB0" w:rsidRDefault="00104CB0">
            <w:pPr>
              <w:pStyle w:val="TableText"/>
              <w:jc w:val="right"/>
              <w:rPr>
                <w:rFonts w:cs="Arial"/>
                <w:color w:val="000000"/>
                <w:szCs w:val="20"/>
              </w:rPr>
            </w:pPr>
            <w:r>
              <w:rPr>
                <w:rFonts w:cs="Arial"/>
                <w:color w:val="000000"/>
                <w:szCs w:val="20"/>
              </w:rPr>
              <w:t>$260,372</w:t>
            </w:r>
          </w:p>
        </w:tc>
        <w:tc>
          <w:tcPr>
            <w:tcW w:w="564" w:type="pct"/>
            <w:gridSpan w:val="2"/>
            <w:tcBorders>
              <w:top w:val="nil"/>
              <w:left w:val="nil"/>
              <w:bottom w:val="single" w:sz="8" w:space="0" w:color="auto"/>
              <w:right w:val="single" w:sz="8" w:space="0" w:color="auto"/>
            </w:tcBorders>
            <w:shd w:val="clear" w:color="auto" w:fill="FFFFFF" w:themeFill="background1"/>
            <w:noWrap/>
            <w:vAlign w:val="center"/>
          </w:tcPr>
          <w:p w14:paraId="3327C325" w14:textId="77777777" w:rsidR="00104CB0" w:rsidRDefault="00104CB0">
            <w:pPr>
              <w:pStyle w:val="TableText"/>
              <w:jc w:val="right"/>
              <w:rPr>
                <w:rFonts w:cs="Arial"/>
                <w:color w:val="000000"/>
                <w:szCs w:val="20"/>
              </w:rPr>
            </w:pPr>
            <w:r>
              <w:rPr>
                <w:rFonts w:cs="Arial"/>
                <w:color w:val="000000"/>
                <w:szCs w:val="20"/>
              </w:rPr>
              <w:t>$273,946</w:t>
            </w:r>
          </w:p>
        </w:tc>
        <w:tc>
          <w:tcPr>
            <w:tcW w:w="754" w:type="pct"/>
            <w:gridSpan w:val="2"/>
            <w:tcBorders>
              <w:top w:val="nil"/>
              <w:left w:val="nil"/>
              <w:bottom w:val="single" w:sz="8" w:space="0" w:color="auto"/>
              <w:right w:val="single" w:sz="8" w:space="0" w:color="auto"/>
            </w:tcBorders>
            <w:shd w:val="clear" w:color="auto" w:fill="FFFFFF" w:themeFill="background1"/>
            <w:noWrap/>
            <w:vAlign w:val="center"/>
          </w:tcPr>
          <w:p w14:paraId="1776346A" w14:textId="77777777" w:rsidR="00104CB0" w:rsidRDefault="00104CB0">
            <w:pPr>
              <w:pStyle w:val="TableText"/>
              <w:jc w:val="right"/>
              <w:rPr>
                <w:rFonts w:cs="Arial"/>
                <w:color w:val="000000"/>
                <w:szCs w:val="20"/>
              </w:rPr>
            </w:pPr>
            <w:r>
              <w:rPr>
                <w:rFonts w:cs="Arial"/>
                <w:color w:val="000000"/>
                <w:szCs w:val="20"/>
              </w:rPr>
              <w:t>$283,310</w:t>
            </w:r>
          </w:p>
        </w:tc>
      </w:tr>
      <w:tr w:rsidR="006A5221" w:rsidRPr="00984B34" w14:paraId="44A4F679" w14:textId="77777777" w:rsidTr="422CAA86">
        <w:trPr>
          <w:trHeight w:val="120"/>
        </w:trPr>
        <w:tc>
          <w:tcPr>
            <w:tcW w:w="735" w:type="pct"/>
            <w:tcBorders>
              <w:top w:val="single" w:sz="4" w:space="0" w:color="auto"/>
              <w:bottom w:val="single" w:sz="4" w:space="0" w:color="auto"/>
              <w:right w:val="single" w:sz="4" w:space="0" w:color="auto"/>
            </w:tcBorders>
            <w:shd w:val="clear" w:color="auto" w:fill="FFFFFF" w:themeFill="background1"/>
            <w:vAlign w:val="center"/>
          </w:tcPr>
          <w:p w14:paraId="33019AE3" w14:textId="77777777" w:rsidR="00104CB0" w:rsidRDefault="00104CB0">
            <w:pPr>
              <w:pStyle w:val="TableText"/>
              <w:rPr>
                <w:color w:val="000000" w:themeColor="text1"/>
                <w:szCs w:val="20"/>
              </w:rPr>
            </w:pPr>
            <w:r>
              <w:rPr>
                <w:color w:val="000000" w:themeColor="text1"/>
                <w:szCs w:val="20"/>
              </w:rPr>
              <w:t>$89.13</w:t>
            </w:r>
          </w:p>
        </w:tc>
        <w:tc>
          <w:tcPr>
            <w:tcW w:w="737" w:type="pct"/>
            <w:tcBorders>
              <w:top w:val="nil"/>
              <w:left w:val="nil"/>
              <w:bottom w:val="single" w:sz="8" w:space="0" w:color="auto"/>
              <w:right w:val="single" w:sz="8" w:space="0" w:color="auto"/>
            </w:tcBorders>
            <w:shd w:val="clear" w:color="auto" w:fill="FFFFFF" w:themeFill="background1"/>
            <w:noWrap/>
            <w:vAlign w:val="center"/>
          </w:tcPr>
          <w:p w14:paraId="5F9FC3B7" w14:textId="77777777" w:rsidR="00104CB0" w:rsidRPr="00AF5284" w:rsidRDefault="00104CB0">
            <w:pPr>
              <w:pStyle w:val="TableText"/>
              <w:jc w:val="right"/>
              <w:rPr>
                <w:rFonts w:cs="Arial"/>
                <w:szCs w:val="20"/>
              </w:rPr>
            </w:pPr>
            <w:r w:rsidRPr="00AF5284">
              <w:rPr>
                <w:rFonts w:cs="Arial"/>
                <w:szCs w:val="20"/>
              </w:rPr>
              <w:t>-$28</w:t>
            </w:r>
          </w:p>
        </w:tc>
        <w:tc>
          <w:tcPr>
            <w:tcW w:w="736" w:type="pct"/>
            <w:gridSpan w:val="2"/>
            <w:tcBorders>
              <w:top w:val="nil"/>
              <w:left w:val="nil"/>
              <w:bottom w:val="single" w:sz="8" w:space="0" w:color="auto"/>
              <w:right w:val="single" w:sz="8" w:space="0" w:color="auto"/>
            </w:tcBorders>
            <w:shd w:val="clear" w:color="auto" w:fill="FFFFFF" w:themeFill="background1"/>
            <w:noWrap/>
            <w:vAlign w:val="center"/>
          </w:tcPr>
          <w:p w14:paraId="0F2427BD" w14:textId="77777777" w:rsidR="00104CB0" w:rsidRPr="00AF5284" w:rsidRDefault="00104CB0">
            <w:pPr>
              <w:pStyle w:val="TableText"/>
              <w:jc w:val="right"/>
              <w:rPr>
                <w:rFonts w:cs="Arial"/>
                <w:szCs w:val="20"/>
              </w:rPr>
            </w:pPr>
            <w:r w:rsidRPr="00AF5284">
              <w:rPr>
                <w:rFonts w:cs="Arial"/>
                <w:szCs w:val="20"/>
              </w:rPr>
              <w:t>-$32</w:t>
            </w:r>
          </w:p>
        </w:tc>
        <w:tc>
          <w:tcPr>
            <w:tcW w:w="695" w:type="pct"/>
            <w:gridSpan w:val="2"/>
            <w:tcBorders>
              <w:top w:val="nil"/>
              <w:left w:val="nil"/>
              <w:bottom w:val="single" w:sz="8" w:space="0" w:color="auto"/>
              <w:right w:val="single" w:sz="8" w:space="0" w:color="auto"/>
            </w:tcBorders>
            <w:shd w:val="clear" w:color="auto" w:fill="FFFFFF" w:themeFill="background1"/>
            <w:noWrap/>
            <w:vAlign w:val="center"/>
          </w:tcPr>
          <w:p w14:paraId="7915327B" w14:textId="77777777" w:rsidR="00104CB0" w:rsidRPr="00AF5284" w:rsidRDefault="00104CB0">
            <w:pPr>
              <w:pStyle w:val="TableText"/>
              <w:jc w:val="right"/>
              <w:rPr>
                <w:rFonts w:cs="Arial"/>
                <w:szCs w:val="20"/>
              </w:rPr>
            </w:pPr>
            <w:r w:rsidRPr="00AF5284">
              <w:rPr>
                <w:rFonts w:cs="Arial"/>
                <w:szCs w:val="20"/>
              </w:rPr>
              <w:t>-$35</w:t>
            </w:r>
          </w:p>
        </w:tc>
        <w:tc>
          <w:tcPr>
            <w:tcW w:w="778" w:type="pct"/>
            <w:gridSpan w:val="2"/>
            <w:tcBorders>
              <w:top w:val="nil"/>
              <w:left w:val="nil"/>
              <w:bottom w:val="single" w:sz="8" w:space="0" w:color="auto"/>
              <w:right w:val="single" w:sz="8" w:space="0" w:color="auto"/>
            </w:tcBorders>
            <w:shd w:val="clear" w:color="auto" w:fill="FFFFFF" w:themeFill="background1"/>
            <w:noWrap/>
            <w:vAlign w:val="center"/>
          </w:tcPr>
          <w:p w14:paraId="3D3E9B0F" w14:textId="77777777" w:rsidR="00104CB0" w:rsidRPr="00AF5284" w:rsidRDefault="00104CB0">
            <w:pPr>
              <w:pStyle w:val="TableText"/>
              <w:jc w:val="right"/>
              <w:rPr>
                <w:rFonts w:cs="Arial"/>
                <w:szCs w:val="20"/>
              </w:rPr>
            </w:pPr>
            <w:r w:rsidRPr="00AF5284">
              <w:rPr>
                <w:rFonts w:cs="Arial"/>
                <w:szCs w:val="20"/>
              </w:rPr>
              <w:t>-$37</w:t>
            </w:r>
          </w:p>
        </w:tc>
        <w:tc>
          <w:tcPr>
            <w:tcW w:w="564" w:type="pct"/>
            <w:gridSpan w:val="2"/>
            <w:tcBorders>
              <w:top w:val="nil"/>
              <w:left w:val="nil"/>
              <w:bottom w:val="single" w:sz="8" w:space="0" w:color="auto"/>
              <w:right w:val="single" w:sz="8" w:space="0" w:color="auto"/>
            </w:tcBorders>
            <w:shd w:val="clear" w:color="auto" w:fill="FFFFFF" w:themeFill="background1"/>
            <w:noWrap/>
            <w:vAlign w:val="center"/>
          </w:tcPr>
          <w:p w14:paraId="25CF6A63" w14:textId="77777777" w:rsidR="00104CB0" w:rsidRPr="00AF5284" w:rsidRDefault="00104CB0">
            <w:pPr>
              <w:pStyle w:val="TableText"/>
              <w:jc w:val="right"/>
              <w:rPr>
                <w:rFonts w:cs="Arial"/>
                <w:szCs w:val="20"/>
              </w:rPr>
            </w:pPr>
            <w:r w:rsidRPr="00AF5284">
              <w:rPr>
                <w:rFonts w:cs="Arial"/>
                <w:szCs w:val="20"/>
              </w:rPr>
              <w:t>-$39</w:t>
            </w:r>
          </w:p>
        </w:tc>
        <w:tc>
          <w:tcPr>
            <w:tcW w:w="754" w:type="pct"/>
            <w:gridSpan w:val="2"/>
            <w:tcBorders>
              <w:top w:val="nil"/>
              <w:left w:val="nil"/>
              <w:bottom w:val="single" w:sz="8" w:space="0" w:color="auto"/>
              <w:right w:val="single" w:sz="8" w:space="0" w:color="auto"/>
            </w:tcBorders>
            <w:shd w:val="clear" w:color="auto" w:fill="FFFFFF" w:themeFill="background1"/>
            <w:noWrap/>
            <w:vAlign w:val="center"/>
          </w:tcPr>
          <w:p w14:paraId="21312CF0" w14:textId="77777777" w:rsidR="00104CB0" w:rsidRPr="00AF5284" w:rsidRDefault="00104CB0">
            <w:pPr>
              <w:pStyle w:val="TableText"/>
              <w:jc w:val="right"/>
              <w:rPr>
                <w:rFonts w:cs="Arial"/>
                <w:szCs w:val="20"/>
              </w:rPr>
            </w:pPr>
            <w:r w:rsidRPr="00AF5284">
              <w:rPr>
                <w:rFonts w:cs="Arial"/>
                <w:szCs w:val="20"/>
              </w:rPr>
              <w:t>-$41</w:t>
            </w:r>
          </w:p>
        </w:tc>
      </w:tr>
      <w:tr w:rsidR="005F11F0" w:rsidRPr="00984B34" w14:paraId="0027F392" w14:textId="77777777" w:rsidTr="422CAA86">
        <w:trPr>
          <w:trHeight w:val="120"/>
        </w:trPr>
        <w:tc>
          <w:tcPr>
            <w:tcW w:w="5000" w:type="pct"/>
            <w:gridSpan w:val="12"/>
            <w:tcBorders>
              <w:top w:val="single" w:sz="4" w:space="0" w:color="auto"/>
              <w:bottom w:val="single" w:sz="4" w:space="0" w:color="auto"/>
              <w:right w:val="single" w:sz="4" w:space="0" w:color="auto"/>
            </w:tcBorders>
            <w:shd w:val="clear" w:color="auto" w:fill="FFFFFF" w:themeFill="background1"/>
            <w:vAlign w:val="center"/>
          </w:tcPr>
          <w:p w14:paraId="660ADAB9" w14:textId="582FB070" w:rsidR="00104CB0" w:rsidRPr="003D3843" w:rsidRDefault="00104CB0" w:rsidP="422CAA86">
            <w:pPr>
              <w:pStyle w:val="TableText"/>
              <w:rPr>
                <w:rFonts w:cs="Arial"/>
                <w:b/>
                <w:bCs/>
                <w:color w:val="000000"/>
              </w:rPr>
            </w:pPr>
            <w:r w:rsidRPr="422CAA86">
              <w:rPr>
                <w:rFonts w:cs="Arial"/>
                <w:b/>
                <w:bCs/>
                <w:color w:val="000000" w:themeColor="text1"/>
              </w:rPr>
              <w:t>MBS Benefit Split (base case =</w:t>
            </w:r>
            <w:r w:rsidRPr="422CAA86">
              <w:t xml:space="preserve"> </w:t>
            </w:r>
            <w:r w:rsidRPr="422CAA86">
              <w:rPr>
                <w:rFonts w:cs="Arial"/>
                <w:b/>
                <w:bCs/>
                <w:color w:val="000000" w:themeColor="text1"/>
              </w:rPr>
              <w:t>70% of patients at 85% benefit, remainder at 75% benefit)</w:t>
            </w:r>
          </w:p>
        </w:tc>
      </w:tr>
      <w:tr w:rsidR="006A5221" w:rsidRPr="00984B34" w14:paraId="0DC407EA" w14:textId="77777777" w:rsidTr="422CAA86">
        <w:trPr>
          <w:trHeight w:val="120"/>
        </w:trPr>
        <w:tc>
          <w:tcPr>
            <w:tcW w:w="735" w:type="pct"/>
            <w:tcBorders>
              <w:top w:val="single" w:sz="4" w:space="0" w:color="auto"/>
              <w:bottom w:val="single" w:sz="4" w:space="0" w:color="auto"/>
              <w:right w:val="single" w:sz="4" w:space="0" w:color="auto"/>
            </w:tcBorders>
            <w:shd w:val="clear" w:color="auto" w:fill="FFFFFF" w:themeFill="background1"/>
            <w:vAlign w:val="center"/>
          </w:tcPr>
          <w:p w14:paraId="46712AE5" w14:textId="77777777" w:rsidR="00104CB0" w:rsidRDefault="00104CB0">
            <w:pPr>
              <w:pStyle w:val="TableText"/>
              <w:rPr>
                <w:color w:val="000000" w:themeColor="text1"/>
                <w:szCs w:val="20"/>
              </w:rPr>
            </w:pPr>
            <w:r w:rsidRPr="0003417A">
              <w:rPr>
                <w:rFonts w:cs="Arial"/>
                <w:b/>
                <w:bCs/>
                <w:color w:val="000000"/>
                <w:szCs w:val="20"/>
              </w:rPr>
              <w:t xml:space="preserve">100% at </w:t>
            </w:r>
            <w:r>
              <w:rPr>
                <w:rFonts w:cs="Arial"/>
                <w:b/>
                <w:bCs/>
                <w:color w:val="000000"/>
                <w:szCs w:val="20"/>
              </w:rPr>
              <w:t>7</w:t>
            </w:r>
            <w:r w:rsidRPr="0003417A">
              <w:rPr>
                <w:rFonts w:cs="Arial"/>
                <w:b/>
                <w:bCs/>
                <w:color w:val="000000"/>
                <w:szCs w:val="20"/>
              </w:rPr>
              <w:t>5% benefit</w:t>
            </w:r>
          </w:p>
        </w:tc>
        <w:tc>
          <w:tcPr>
            <w:tcW w:w="737" w:type="pct"/>
            <w:tcBorders>
              <w:top w:val="nil"/>
              <w:left w:val="nil"/>
              <w:bottom w:val="single" w:sz="8" w:space="0" w:color="auto"/>
              <w:right w:val="single" w:sz="8" w:space="0" w:color="auto"/>
            </w:tcBorders>
            <w:shd w:val="clear" w:color="auto" w:fill="FFFFFF" w:themeFill="background1"/>
            <w:noWrap/>
            <w:vAlign w:val="center"/>
          </w:tcPr>
          <w:p w14:paraId="7E875BCB" w14:textId="77777777" w:rsidR="00104CB0" w:rsidRDefault="00104CB0">
            <w:pPr>
              <w:pStyle w:val="TableText"/>
              <w:jc w:val="right"/>
              <w:rPr>
                <w:rFonts w:cs="Arial"/>
                <w:color w:val="000000"/>
                <w:szCs w:val="20"/>
              </w:rPr>
            </w:pPr>
            <w:r>
              <w:rPr>
                <w:rFonts w:cs="Arial"/>
                <w:color w:val="000000"/>
                <w:szCs w:val="20"/>
              </w:rPr>
              <w:t>$322,778</w:t>
            </w:r>
          </w:p>
        </w:tc>
        <w:tc>
          <w:tcPr>
            <w:tcW w:w="736" w:type="pct"/>
            <w:gridSpan w:val="2"/>
            <w:tcBorders>
              <w:top w:val="nil"/>
              <w:left w:val="nil"/>
              <w:bottom w:val="single" w:sz="8" w:space="0" w:color="auto"/>
              <w:right w:val="single" w:sz="8" w:space="0" w:color="auto"/>
            </w:tcBorders>
            <w:shd w:val="clear" w:color="auto" w:fill="FFFFFF" w:themeFill="background1"/>
            <w:noWrap/>
            <w:vAlign w:val="center"/>
          </w:tcPr>
          <w:p w14:paraId="29D97B53" w14:textId="77777777" w:rsidR="00104CB0" w:rsidRDefault="00104CB0">
            <w:pPr>
              <w:pStyle w:val="TableText"/>
              <w:jc w:val="right"/>
              <w:rPr>
                <w:rFonts w:cs="Arial"/>
                <w:color w:val="000000"/>
                <w:szCs w:val="20"/>
              </w:rPr>
            </w:pPr>
            <w:r>
              <w:rPr>
                <w:rFonts w:cs="Arial"/>
                <w:color w:val="000000"/>
                <w:szCs w:val="20"/>
              </w:rPr>
              <w:t>$366,334</w:t>
            </w:r>
          </w:p>
        </w:tc>
        <w:tc>
          <w:tcPr>
            <w:tcW w:w="695" w:type="pct"/>
            <w:gridSpan w:val="2"/>
            <w:tcBorders>
              <w:top w:val="nil"/>
              <w:left w:val="nil"/>
              <w:bottom w:val="single" w:sz="8" w:space="0" w:color="auto"/>
              <w:right w:val="single" w:sz="8" w:space="0" w:color="auto"/>
            </w:tcBorders>
            <w:shd w:val="clear" w:color="auto" w:fill="FFFFFF" w:themeFill="background1"/>
            <w:noWrap/>
            <w:vAlign w:val="center"/>
          </w:tcPr>
          <w:p w14:paraId="175CED4E" w14:textId="77777777" w:rsidR="00104CB0" w:rsidRDefault="00104CB0">
            <w:pPr>
              <w:pStyle w:val="TableText"/>
              <w:jc w:val="right"/>
              <w:rPr>
                <w:rFonts w:cs="Arial"/>
                <w:color w:val="000000"/>
                <w:szCs w:val="20"/>
              </w:rPr>
            </w:pPr>
            <w:r>
              <w:rPr>
                <w:rFonts w:cs="Arial"/>
                <w:color w:val="000000"/>
                <w:szCs w:val="20"/>
              </w:rPr>
              <w:t>$402,895</w:t>
            </w:r>
          </w:p>
        </w:tc>
        <w:tc>
          <w:tcPr>
            <w:tcW w:w="778" w:type="pct"/>
            <w:gridSpan w:val="2"/>
            <w:tcBorders>
              <w:top w:val="nil"/>
              <w:left w:val="nil"/>
              <w:bottom w:val="single" w:sz="8" w:space="0" w:color="auto"/>
              <w:right w:val="single" w:sz="8" w:space="0" w:color="auto"/>
            </w:tcBorders>
            <w:shd w:val="clear" w:color="auto" w:fill="FFFFFF" w:themeFill="background1"/>
            <w:noWrap/>
            <w:vAlign w:val="center"/>
          </w:tcPr>
          <w:p w14:paraId="63088E1E" w14:textId="77777777" w:rsidR="00104CB0" w:rsidRDefault="00104CB0">
            <w:pPr>
              <w:pStyle w:val="TableText"/>
              <w:jc w:val="right"/>
              <w:rPr>
                <w:rFonts w:cs="Arial"/>
                <w:color w:val="000000"/>
                <w:szCs w:val="20"/>
              </w:rPr>
            </w:pPr>
            <w:r>
              <w:rPr>
                <w:rFonts w:cs="Arial"/>
                <w:color w:val="000000"/>
                <w:szCs w:val="20"/>
              </w:rPr>
              <w:t>$432,435</w:t>
            </w:r>
          </w:p>
        </w:tc>
        <w:tc>
          <w:tcPr>
            <w:tcW w:w="564" w:type="pct"/>
            <w:gridSpan w:val="2"/>
            <w:tcBorders>
              <w:top w:val="nil"/>
              <w:left w:val="nil"/>
              <w:bottom w:val="single" w:sz="8" w:space="0" w:color="auto"/>
              <w:right w:val="single" w:sz="8" w:space="0" w:color="auto"/>
            </w:tcBorders>
            <w:shd w:val="clear" w:color="auto" w:fill="FFFFFF" w:themeFill="background1"/>
            <w:noWrap/>
            <w:vAlign w:val="center"/>
          </w:tcPr>
          <w:p w14:paraId="5A410B5C" w14:textId="77777777" w:rsidR="00104CB0" w:rsidRDefault="00104CB0">
            <w:pPr>
              <w:pStyle w:val="TableText"/>
              <w:jc w:val="right"/>
              <w:rPr>
                <w:rFonts w:cs="Arial"/>
                <w:color w:val="000000"/>
                <w:szCs w:val="20"/>
              </w:rPr>
            </w:pPr>
            <w:r>
              <w:rPr>
                <w:rFonts w:cs="Arial"/>
                <w:color w:val="000000"/>
                <w:szCs w:val="20"/>
              </w:rPr>
              <w:t>$454,980</w:t>
            </w:r>
          </w:p>
        </w:tc>
        <w:tc>
          <w:tcPr>
            <w:tcW w:w="754" w:type="pct"/>
            <w:gridSpan w:val="2"/>
            <w:tcBorders>
              <w:top w:val="nil"/>
              <w:left w:val="nil"/>
              <w:bottom w:val="single" w:sz="8" w:space="0" w:color="auto"/>
              <w:right w:val="single" w:sz="8" w:space="0" w:color="auto"/>
            </w:tcBorders>
            <w:shd w:val="clear" w:color="auto" w:fill="FFFFFF" w:themeFill="background1"/>
            <w:noWrap/>
            <w:vAlign w:val="center"/>
          </w:tcPr>
          <w:p w14:paraId="0C5DA8EF" w14:textId="77777777" w:rsidR="00104CB0" w:rsidRDefault="00104CB0">
            <w:pPr>
              <w:pStyle w:val="TableText"/>
              <w:jc w:val="right"/>
              <w:rPr>
                <w:rFonts w:cs="Arial"/>
                <w:color w:val="000000"/>
                <w:szCs w:val="20"/>
              </w:rPr>
            </w:pPr>
            <w:r>
              <w:rPr>
                <w:rFonts w:cs="Arial"/>
                <w:color w:val="000000"/>
                <w:szCs w:val="20"/>
              </w:rPr>
              <w:t>$470,531</w:t>
            </w:r>
          </w:p>
        </w:tc>
      </w:tr>
    </w:tbl>
    <w:p w14:paraId="143E80D4" w14:textId="388BD38C" w:rsidR="00A40B17" w:rsidRDefault="00A40B17" w:rsidP="00CF1E24">
      <w:pPr>
        <w:pStyle w:val="TableFigureFooter"/>
        <w:rPr>
          <w:rFonts w:eastAsiaTheme="minorEastAsia"/>
          <w:lang w:eastAsia="zh-CN"/>
        </w:rPr>
      </w:pPr>
      <w:r>
        <w:rPr>
          <w:rFonts w:eastAsiaTheme="minorEastAsia"/>
          <w:lang w:eastAsia="zh-CN"/>
        </w:rPr>
        <w:t xml:space="preserve">Source: </w:t>
      </w:r>
      <w:r w:rsidRPr="00B36086">
        <w:rPr>
          <w:rFonts w:eastAsiaTheme="minorEastAsia"/>
          <w:lang w:eastAsia="zh-CN"/>
        </w:rPr>
        <w:t>Excel workbook “Utilisation and Cost Model”</w:t>
      </w:r>
    </w:p>
    <w:p w14:paraId="3CE10A2D" w14:textId="59C42E29" w:rsidR="00A40B17" w:rsidRPr="00EF2A20" w:rsidRDefault="00882286" w:rsidP="00CF1E24">
      <w:pPr>
        <w:pStyle w:val="TableFigureFooter"/>
      </w:pPr>
      <w:r>
        <w:t>Abbreviations:</w:t>
      </w:r>
      <w:r w:rsidRPr="003A7DE5">
        <w:rPr>
          <w:rStyle w:val="CommentReference"/>
        </w:rPr>
        <w:t xml:space="preserve"> CBZ=carbamazepine; HLA=human leukocyte antigen; OXC=oxcarbazepine</w:t>
      </w:r>
    </w:p>
    <w:p w14:paraId="243B7167" w14:textId="54D91604" w:rsidR="00882286" w:rsidRPr="00761712" w:rsidRDefault="00882286" w:rsidP="00882286">
      <w:pPr>
        <w:rPr>
          <w:sz w:val="22"/>
          <w:szCs w:val="22"/>
        </w:rPr>
      </w:pPr>
      <w:r w:rsidRPr="00761712">
        <w:rPr>
          <w:sz w:val="22"/>
          <w:szCs w:val="22"/>
        </w:rPr>
        <w:t xml:space="preserve">The clinical uncertainty around the efficacy of </w:t>
      </w:r>
      <w:r w:rsidRPr="00761712">
        <w:rPr>
          <w:i/>
          <w:iCs/>
          <w:sz w:val="22"/>
          <w:szCs w:val="22"/>
        </w:rPr>
        <w:t>HLA</w:t>
      </w:r>
      <w:r w:rsidRPr="00761712">
        <w:rPr>
          <w:sz w:val="22"/>
          <w:szCs w:val="22"/>
        </w:rPr>
        <w:t xml:space="preserve"> genotyping and the ability of reduced hypersensitivity reactions has the biggest impact on the financial implications. </w:t>
      </w:r>
    </w:p>
    <w:p w14:paraId="7838A9FF" w14:textId="4F409EFD" w:rsidR="00772829" w:rsidRPr="00CE28E3" w:rsidRDefault="00772829" w:rsidP="00A737D1">
      <w:pPr>
        <w:pStyle w:val="Heading2"/>
        <w:numPr>
          <w:ilvl w:val="0"/>
          <w:numId w:val="21"/>
        </w:numPr>
        <w:ind w:hanging="720"/>
      </w:pPr>
      <w:bookmarkStart w:id="43" w:name="_Toc184825879"/>
      <w:r w:rsidRPr="00CE28E3">
        <w:lastRenderedPageBreak/>
        <w:t xml:space="preserve">Other relevant </w:t>
      </w:r>
      <w:r w:rsidR="00FA5766">
        <w:t>information</w:t>
      </w:r>
      <w:bookmarkEnd w:id="43"/>
    </w:p>
    <w:p w14:paraId="202D3628" w14:textId="77777777" w:rsidR="00B9237D" w:rsidRPr="00761712" w:rsidRDefault="00B9237D" w:rsidP="00B9237D">
      <w:pPr>
        <w:rPr>
          <w:sz w:val="22"/>
          <w:szCs w:val="22"/>
        </w:rPr>
      </w:pPr>
      <w:r w:rsidRPr="00761712">
        <w:rPr>
          <w:sz w:val="22"/>
          <w:szCs w:val="22"/>
        </w:rPr>
        <w:t>Other considerations include:</w:t>
      </w:r>
    </w:p>
    <w:p w14:paraId="01835A80" w14:textId="692C29F6" w:rsidR="00B9237D" w:rsidRPr="00761712" w:rsidRDefault="00B9237D" w:rsidP="00A71A47">
      <w:pPr>
        <w:pStyle w:val="ListParagraph"/>
        <w:numPr>
          <w:ilvl w:val="0"/>
          <w:numId w:val="15"/>
        </w:numPr>
        <w:rPr>
          <w:sz w:val="22"/>
          <w:szCs w:val="22"/>
        </w:rPr>
      </w:pPr>
      <w:r w:rsidRPr="422CAA86">
        <w:rPr>
          <w:sz w:val="22"/>
          <w:szCs w:val="22"/>
        </w:rPr>
        <w:t xml:space="preserve">Equity related to access: </w:t>
      </w:r>
      <w:r w:rsidRPr="422CAA86">
        <w:rPr>
          <w:i/>
          <w:iCs/>
          <w:sz w:val="22"/>
          <w:szCs w:val="22"/>
        </w:rPr>
        <w:t>HLA</w:t>
      </w:r>
      <w:r w:rsidRPr="422CAA86">
        <w:rPr>
          <w:sz w:val="22"/>
          <w:szCs w:val="22"/>
        </w:rPr>
        <w:t xml:space="preserve"> genotype testing is not yet widely available; therefore, specimens may need to be sent interregional or interstate</w:t>
      </w:r>
      <w:r w:rsidRPr="422CAA86">
        <w:rPr>
          <w:rFonts w:cs="Calibri"/>
          <w:sz w:val="22"/>
          <w:szCs w:val="22"/>
        </w:rPr>
        <w:t xml:space="preserve">. This may have implications for equity of access for those in rural, regional or remote areas. There is also the potential that </w:t>
      </w:r>
      <w:r w:rsidRPr="422CAA86">
        <w:rPr>
          <w:rFonts w:cs="Calibri"/>
          <w:i/>
          <w:iCs/>
          <w:sz w:val="22"/>
          <w:szCs w:val="22"/>
        </w:rPr>
        <w:t>HLA</w:t>
      </w:r>
      <w:r w:rsidRPr="422CAA86">
        <w:rPr>
          <w:rFonts w:cs="Calibri"/>
          <w:sz w:val="22"/>
          <w:szCs w:val="22"/>
        </w:rPr>
        <w:t xml:space="preserve"> testing may delay treatment commencement; availability and access of the test – particularly for those outside metro areas – </w:t>
      </w:r>
      <w:r w:rsidR="007F497C" w:rsidRPr="422CAA86">
        <w:rPr>
          <w:rFonts w:cs="Calibri"/>
          <w:sz w:val="22"/>
          <w:szCs w:val="22"/>
        </w:rPr>
        <w:t xml:space="preserve">which </w:t>
      </w:r>
      <w:r w:rsidRPr="422CAA86">
        <w:rPr>
          <w:rFonts w:cs="Calibri"/>
          <w:sz w:val="22"/>
          <w:szCs w:val="22"/>
        </w:rPr>
        <w:t xml:space="preserve">may result in further delays. </w:t>
      </w:r>
    </w:p>
    <w:p w14:paraId="27339C4B" w14:textId="39671AAA" w:rsidR="00B9237D" w:rsidRPr="00761712" w:rsidRDefault="00B9237D" w:rsidP="00A71A47">
      <w:pPr>
        <w:pStyle w:val="ListParagraph"/>
        <w:numPr>
          <w:ilvl w:val="0"/>
          <w:numId w:val="15"/>
        </w:numPr>
        <w:rPr>
          <w:sz w:val="22"/>
          <w:szCs w:val="22"/>
        </w:rPr>
      </w:pPr>
      <w:r w:rsidRPr="422CAA86">
        <w:rPr>
          <w:sz w:val="22"/>
          <w:szCs w:val="22"/>
        </w:rPr>
        <w:t>Equity related</w:t>
      </w:r>
      <w:r w:rsidRPr="422CAA86">
        <w:rPr>
          <w:rFonts w:cs="Calibri"/>
          <w:sz w:val="22"/>
          <w:szCs w:val="22"/>
        </w:rPr>
        <w:t xml:space="preserve"> to </w:t>
      </w:r>
      <w:r w:rsidR="2D0E3C2F" w:rsidRPr="422CAA86">
        <w:rPr>
          <w:sz w:val="22"/>
          <w:szCs w:val="22"/>
        </w:rPr>
        <w:t>First Nations people</w:t>
      </w:r>
      <w:r w:rsidRPr="422CAA86">
        <w:rPr>
          <w:sz w:val="22"/>
          <w:szCs w:val="22"/>
        </w:rPr>
        <w:t xml:space="preserve">: There is currently a lack of evidence for all outcomes in </w:t>
      </w:r>
      <w:r w:rsidR="7EC8464B" w:rsidRPr="422CAA86">
        <w:rPr>
          <w:sz w:val="22"/>
          <w:szCs w:val="22"/>
        </w:rPr>
        <w:t>First Nations people</w:t>
      </w:r>
      <w:r w:rsidRPr="422CAA86">
        <w:rPr>
          <w:sz w:val="22"/>
          <w:szCs w:val="22"/>
        </w:rPr>
        <w:t>. As there were no published studies identified which were conducted in an</w:t>
      </w:r>
      <w:r w:rsidR="005F11F0" w:rsidRPr="422CAA86">
        <w:rPr>
          <w:sz w:val="22"/>
          <w:szCs w:val="22"/>
        </w:rPr>
        <w:t>y</w:t>
      </w:r>
      <w:r w:rsidRPr="422CAA86">
        <w:rPr>
          <w:sz w:val="22"/>
          <w:szCs w:val="22"/>
        </w:rPr>
        <w:t xml:space="preserve"> Australian sample. </w:t>
      </w:r>
      <w:r w:rsidR="00DE6BE6" w:rsidRPr="422CAA86">
        <w:rPr>
          <w:sz w:val="22"/>
          <w:szCs w:val="22"/>
        </w:rPr>
        <w:t xml:space="preserve">However, there is some data on </w:t>
      </w:r>
      <w:hyperlink r:id="rId27">
        <w:r w:rsidR="00DE6BE6" w:rsidRPr="422CAA86">
          <w:rPr>
            <w:rStyle w:val="Hyperlink"/>
            <w:sz w:val="22"/>
            <w:szCs w:val="22"/>
          </w:rPr>
          <w:t>http://www.allelefrequencies.net/</w:t>
        </w:r>
      </w:hyperlink>
      <w:r w:rsidR="00DE6BE6" w:rsidRPr="422CAA86">
        <w:rPr>
          <w:sz w:val="22"/>
          <w:szCs w:val="22"/>
        </w:rPr>
        <w:t xml:space="preserve"> that included allele frequencies of </w:t>
      </w:r>
      <w:r w:rsidR="003975F2" w:rsidRPr="003975F2">
        <w:rPr>
          <w:i/>
          <w:iCs/>
          <w:sz w:val="22"/>
          <w:szCs w:val="22"/>
        </w:rPr>
        <w:t xml:space="preserve">HLA-A*31:01 </w:t>
      </w:r>
      <w:r w:rsidR="00DE6BE6" w:rsidRPr="422CAA86">
        <w:rPr>
          <w:sz w:val="22"/>
          <w:szCs w:val="22"/>
        </w:rPr>
        <w:t xml:space="preserve">for </w:t>
      </w:r>
      <w:r w:rsidR="26A7ED0A" w:rsidRPr="422CAA86">
        <w:rPr>
          <w:sz w:val="22"/>
          <w:szCs w:val="22"/>
        </w:rPr>
        <w:t>First Nations people</w:t>
      </w:r>
      <w:r w:rsidR="00DE6BE6" w:rsidRPr="422CAA86">
        <w:rPr>
          <w:sz w:val="22"/>
          <w:szCs w:val="22"/>
        </w:rPr>
        <w:t xml:space="preserve"> from Australia Yuendumu Aborigine (2.9%) and the Australia Cape York Peninsula Aborigine (0.5%). Neither population had </w:t>
      </w:r>
      <w:r w:rsidR="003975F2" w:rsidRPr="003975F2">
        <w:rPr>
          <w:i/>
          <w:iCs/>
          <w:sz w:val="22"/>
          <w:szCs w:val="22"/>
        </w:rPr>
        <w:t xml:space="preserve">HLA-B*15:02 </w:t>
      </w:r>
      <w:r w:rsidR="00DE6BE6" w:rsidRPr="422CAA86">
        <w:rPr>
          <w:sz w:val="22"/>
          <w:szCs w:val="22"/>
        </w:rPr>
        <w:t>present</w:t>
      </w:r>
      <w:r w:rsidR="00937CB5">
        <w:rPr>
          <w:sz w:val="22"/>
          <w:szCs w:val="22"/>
        </w:rPr>
        <w:t xml:space="preserve"> though there are other First Nations people listed on the database which did have </w:t>
      </w:r>
      <w:r w:rsidR="000611A1" w:rsidRPr="000611A1">
        <w:rPr>
          <w:i/>
          <w:iCs/>
          <w:sz w:val="22"/>
          <w:szCs w:val="22"/>
        </w:rPr>
        <w:t>HLA-</w:t>
      </w:r>
      <w:r w:rsidR="00937CB5" w:rsidRPr="422CAA86">
        <w:rPr>
          <w:i/>
          <w:iCs/>
          <w:sz w:val="22"/>
          <w:szCs w:val="22"/>
        </w:rPr>
        <w:t>B*15:02</w:t>
      </w:r>
      <w:r w:rsidR="00DE6BE6" w:rsidRPr="422CAA86">
        <w:rPr>
          <w:sz w:val="22"/>
          <w:szCs w:val="22"/>
        </w:rPr>
        <w:t>. There was no way to determine the exact source of this information,</w:t>
      </w:r>
    </w:p>
    <w:p w14:paraId="01FFC124" w14:textId="330EF2B3" w:rsidR="00B9237D" w:rsidRPr="00761712" w:rsidRDefault="00B9237D" w:rsidP="00A71A47">
      <w:pPr>
        <w:pStyle w:val="ListParagraph"/>
        <w:numPr>
          <w:ilvl w:val="0"/>
          <w:numId w:val="15"/>
        </w:numPr>
        <w:rPr>
          <w:sz w:val="22"/>
          <w:szCs w:val="22"/>
        </w:rPr>
      </w:pPr>
      <w:r w:rsidRPr="422CAA86">
        <w:rPr>
          <w:sz w:val="22"/>
          <w:szCs w:val="22"/>
        </w:rPr>
        <w:t xml:space="preserve">Ethical considerations: </w:t>
      </w:r>
      <w:r w:rsidR="003F6B70" w:rsidRPr="422CAA86">
        <w:rPr>
          <w:i/>
          <w:iCs/>
          <w:sz w:val="22"/>
          <w:szCs w:val="22"/>
        </w:rPr>
        <w:t>HLA</w:t>
      </w:r>
      <w:r w:rsidRPr="422CAA86">
        <w:rPr>
          <w:sz w:val="22"/>
          <w:szCs w:val="22"/>
        </w:rPr>
        <w:t xml:space="preserve"> genotyping does not have the same ethical considerations as other types of genetic testing. This test only provides useful information for an individual about their </w:t>
      </w:r>
      <w:r w:rsidR="003F6B70" w:rsidRPr="422CAA86">
        <w:rPr>
          <w:sz w:val="22"/>
          <w:szCs w:val="22"/>
        </w:rPr>
        <w:t>risk of experiencing hypersensitivity reactions</w:t>
      </w:r>
      <w:r w:rsidRPr="422CAA86">
        <w:rPr>
          <w:sz w:val="22"/>
          <w:szCs w:val="22"/>
        </w:rPr>
        <w:t>. As such, findings with any other clinical utility or meaning are highly unlikely</w:t>
      </w:r>
      <w:r w:rsidR="00984F6F" w:rsidRPr="422CAA86">
        <w:rPr>
          <w:sz w:val="22"/>
          <w:szCs w:val="22"/>
        </w:rPr>
        <w:t xml:space="preserve">, </w:t>
      </w:r>
      <w:proofErr w:type="spellStart"/>
      <w:r w:rsidR="00984F6F" w:rsidRPr="422CAA86">
        <w:rPr>
          <w:sz w:val="22"/>
          <w:szCs w:val="22"/>
        </w:rPr>
        <w:t>i.e</w:t>
      </w:r>
      <w:proofErr w:type="spellEnd"/>
      <w:r w:rsidR="00984F6F" w:rsidRPr="422CAA86">
        <w:rPr>
          <w:sz w:val="22"/>
          <w:szCs w:val="22"/>
        </w:rPr>
        <w:t xml:space="preserve"> it won’t give information about other conditions</w:t>
      </w:r>
      <w:r w:rsidRPr="422CAA86">
        <w:rPr>
          <w:sz w:val="22"/>
          <w:szCs w:val="22"/>
        </w:rPr>
        <w:t>. In addition, it provides little information for family or relatives</w:t>
      </w:r>
      <w:r w:rsidR="00984F6F" w:rsidRPr="422CAA86">
        <w:rPr>
          <w:sz w:val="22"/>
          <w:szCs w:val="22"/>
        </w:rPr>
        <w:t xml:space="preserve"> as it is only relevant to patients </w:t>
      </w:r>
      <w:r w:rsidR="00781F34" w:rsidRPr="422CAA86">
        <w:rPr>
          <w:sz w:val="22"/>
          <w:szCs w:val="22"/>
        </w:rPr>
        <w:t>about to be treated with CBZ/OXC</w:t>
      </w:r>
      <w:r w:rsidR="00F70AD2" w:rsidRPr="422CAA86">
        <w:rPr>
          <w:sz w:val="22"/>
          <w:szCs w:val="22"/>
        </w:rPr>
        <w:t>.</w:t>
      </w:r>
      <w:r w:rsidR="00F858AA" w:rsidRPr="422CAA86">
        <w:rPr>
          <w:sz w:val="22"/>
          <w:szCs w:val="22"/>
        </w:rPr>
        <w:t xml:space="preserve"> </w:t>
      </w:r>
      <w:r w:rsidR="00F70AD2" w:rsidRPr="422CAA86">
        <w:rPr>
          <w:sz w:val="22"/>
          <w:szCs w:val="22"/>
        </w:rPr>
        <w:t xml:space="preserve">Cascade </w:t>
      </w:r>
      <w:r w:rsidRPr="422CAA86">
        <w:rPr>
          <w:sz w:val="22"/>
          <w:szCs w:val="22"/>
        </w:rPr>
        <w:t>testing is not recommended</w:t>
      </w:r>
      <w:r w:rsidR="00781F34" w:rsidRPr="422CAA86">
        <w:rPr>
          <w:sz w:val="22"/>
          <w:szCs w:val="22"/>
        </w:rPr>
        <w:t xml:space="preserve"> as </w:t>
      </w:r>
      <w:r w:rsidR="00F70AD2" w:rsidRPr="422CAA86">
        <w:rPr>
          <w:sz w:val="22"/>
          <w:szCs w:val="22"/>
        </w:rPr>
        <w:t>it won’t give any information to the relatives that can be actioned</w:t>
      </w:r>
      <w:r w:rsidRPr="422CAA86">
        <w:rPr>
          <w:sz w:val="22"/>
          <w:szCs w:val="22"/>
        </w:rPr>
        <w:t>.</w:t>
      </w:r>
    </w:p>
    <w:p w14:paraId="59A8D17C" w14:textId="77777777" w:rsidR="00A737D1" w:rsidRPr="00A737D1" w:rsidRDefault="00A737D1" w:rsidP="00A737D1">
      <w:pPr>
        <w:pStyle w:val="Heading2"/>
        <w:numPr>
          <w:ilvl w:val="0"/>
          <w:numId w:val="21"/>
        </w:numPr>
        <w:ind w:hanging="720"/>
      </w:pPr>
      <w:bookmarkStart w:id="44" w:name="_Toc145678765"/>
      <w:bookmarkStart w:id="45" w:name="_Toc150172410"/>
      <w:bookmarkStart w:id="46" w:name="_Toc153462785"/>
      <w:r w:rsidRPr="003A793E">
        <w:t>Key issues from ESC to MSAC</w:t>
      </w:r>
    </w:p>
    <w:bookmarkEnd w:id="44"/>
    <w:bookmarkEnd w:id="45"/>
    <w:bookmarkEnd w:id="46"/>
    <w:p w14:paraId="6D572D1A" w14:textId="2FAE74DE" w:rsidR="00D155C0" w:rsidRDefault="00D155C0" w:rsidP="00543C46">
      <w:pPr>
        <w:pStyle w:val="BoxName0"/>
        <w:ind w:left="0" w:firstLine="0"/>
      </w:pPr>
      <w:r>
        <w:t xml:space="preserve">Note: This ESC report includes </w:t>
      </w:r>
      <w:r w:rsidRPr="00304C5B">
        <w:t>information regarding the medicines in scope and the economic evaluation provided by the assessment group after the ESC meeting which respond to ESC requests for clarification.</w:t>
      </w:r>
      <w:r w:rsidRPr="008A13B2">
        <w:t xml:space="preserve"> </w:t>
      </w:r>
      <w:r>
        <w:t>P</w:t>
      </w:r>
      <w:r w:rsidRPr="008A13B2">
        <w:t>ost-ESC information is highlighted</w:t>
      </w:r>
      <w:r>
        <w:t xml:space="preserve"> in italics. </w:t>
      </w:r>
    </w:p>
    <w:p w14:paraId="446A313C" w14:textId="77777777" w:rsidR="00D155C0" w:rsidRDefault="00D155C0" w:rsidP="00D155C0">
      <w:pPr>
        <w:pStyle w:val="BoxName0"/>
      </w:pPr>
      <w:r w:rsidRPr="422CAA86">
        <w:t>Main issues for MSAC consideration</w:t>
      </w:r>
    </w:p>
    <w:p w14:paraId="38EFAF20" w14:textId="77777777" w:rsidR="00D155C0" w:rsidRDefault="00D155C0" w:rsidP="00D155C0">
      <w:pPr>
        <w:pStyle w:val="BoxName0"/>
      </w:pPr>
      <w:r>
        <w:t>Clinical issues:</w:t>
      </w:r>
    </w:p>
    <w:p w14:paraId="5E1E40C8" w14:textId="77777777" w:rsidR="00D155C0" w:rsidRDefault="00D155C0" w:rsidP="00D155C0">
      <w:pPr>
        <w:pStyle w:val="BoxBullet"/>
      </w:pPr>
      <w:r w:rsidRPr="422CAA86">
        <w:t xml:space="preserve">There are a lack of data for the Australian population, for both First Nations people and the general population. There is higher prevalence of the alleles in people with partial or complete </w:t>
      </w:r>
      <w:r>
        <w:t xml:space="preserve">East </w:t>
      </w:r>
      <w:r w:rsidRPr="422CAA86">
        <w:t xml:space="preserve">Asian ancestry, especially for </w:t>
      </w:r>
      <w:r w:rsidRPr="000611A1">
        <w:rPr>
          <w:i/>
          <w:iCs/>
        </w:rPr>
        <w:t>HLA-</w:t>
      </w:r>
      <w:r w:rsidRPr="422CAA86">
        <w:t>B*15:02. The included studies have a high risk of bias, as they primarily included a</w:t>
      </w:r>
      <w:r>
        <w:t>n East</w:t>
      </w:r>
      <w:r w:rsidRPr="422CAA86">
        <w:t xml:space="preserve"> Asian population.</w:t>
      </w:r>
      <w:r>
        <w:t xml:space="preserve"> The applicability of these studies to the Australian population is uncertain. </w:t>
      </w:r>
    </w:p>
    <w:p w14:paraId="49A8108C" w14:textId="77777777" w:rsidR="00D155C0" w:rsidRPr="00506721" w:rsidRDefault="00D155C0" w:rsidP="00D155C0">
      <w:pPr>
        <w:pStyle w:val="BoxBullet"/>
      </w:pPr>
      <w:r w:rsidRPr="70668EA8">
        <w:rPr>
          <w:lang w:val="en-GB"/>
        </w:rPr>
        <w:t>There was no evidence presented to support the claim that alternative treatments</w:t>
      </w:r>
      <w:r>
        <w:rPr>
          <w:lang w:val="en-GB"/>
        </w:rPr>
        <w:t xml:space="preserve"> </w:t>
      </w:r>
      <w:r w:rsidRPr="70668EA8">
        <w:rPr>
          <w:lang w:val="en-GB"/>
        </w:rPr>
        <w:t>are non-inferior in terms of effectiveness if CBZ/OXC are withheld due to predicted adverse drug reactions (either due to a positive genotype test or influenced by any genotyping guideline in the absence of testing).</w:t>
      </w:r>
    </w:p>
    <w:p w14:paraId="4F8FA72C" w14:textId="77777777" w:rsidR="00D155C0" w:rsidRPr="00F115E6" w:rsidRDefault="00D155C0" w:rsidP="00D155C0">
      <w:pPr>
        <w:pStyle w:val="BoxBullet"/>
      </w:pPr>
      <w:r>
        <w:rPr>
          <w:lang w:val="en-GB"/>
        </w:rPr>
        <w:t xml:space="preserve">There is insufficient information to determine whether it is appropriate </w:t>
      </w:r>
      <w:r w:rsidRPr="00011ACD">
        <w:rPr>
          <w:lang w:val="en-GB"/>
        </w:rPr>
        <w:t>to expand the testing under the proposed service to all drugs in the dibenzoazepine class.</w:t>
      </w:r>
    </w:p>
    <w:p w14:paraId="550D146E" w14:textId="77777777" w:rsidR="00D155C0" w:rsidRDefault="00D155C0" w:rsidP="00D155C0">
      <w:pPr>
        <w:pStyle w:val="BoxBullet"/>
      </w:pPr>
      <w:r w:rsidRPr="00B839C8">
        <w:t xml:space="preserve">ESC considered it appropriate to revise the item descriptor to allow testing during the initiation of treatment but only in cases of </w:t>
      </w:r>
      <w:r>
        <w:t>urgent clinical need</w:t>
      </w:r>
      <w:r w:rsidRPr="00B839C8">
        <w:t xml:space="preserve">. </w:t>
      </w:r>
      <w:r>
        <w:t xml:space="preserve">However, </w:t>
      </w:r>
      <w:r w:rsidRPr="00B839C8">
        <w:t>testing before treatment has started should still be the preferred clinical practice.</w:t>
      </w:r>
    </w:p>
    <w:p w14:paraId="71D5AACE" w14:textId="77777777" w:rsidR="00D155C0" w:rsidRDefault="00D155C0" w:rsidP="00D155C0">
      <w:pPr>
        <w:pStyle w:val="BoxHeading"/>
      </w:pPr>
      <w:r>
        <w:lastRenderedPageBreak/>
        <w:t>Economic issues:</w:t>
      </w:r>
    </w:p>
    <w:p w14:paraId="2D06A1CA" w14:textId="6E61D4E8" w:rsidR="00D155C0" w:rsidRDefault="00D155C0" w:rsidP="00D155C0">
      <w:pPr>
        <w:pStyle w:val="BoxBullet"/>
      </w:pPr>
      <w:r w:rsidRPr="00C41FFE">
        <w:rPr>
          <w:i/>
          <w:iCs/>
        </w:rPr>
        <w:t>The revised ICER for testing of patients with epilepsy was more than $800,000 per QALY</w:t>
      </w:r>
      <w:r>
        <w:rPr>
          <w:i/>
          <w:iCs/>
        </w:rPr>
        <w:t>.</w:t>
      </w:r>
      <w:r w:rsidRPr="0080572A">
        <w:t xml:space="preserve"> </w:t>
      </w:r>
      <w:r w:rsidRPr="0080572A">
        <w:rPr>
          <w:i/>
          <w:iCs/>
        </w:rPr>
        <w:t>Pre-treatment HLA genotyping for trigeminal neuralgia was dominated by usual care (where the health outcome reported was in terms of pain controlled cases avoided).</w:t>
      </w:r>
      <w:r w:rsidR="00543C46">
        <w:rPr>
          <w:i/>
          <w:iCs/>
        </w:rPr>
        <w:t xml:space="preserve"> </w:t>
      </w:r>
      <w:r>
        <w:rPr>
          <w:i/>
          <w:iCs/>
        </w:rPr>
        <w:t xml:space="preserve">However </w:t>
      </w:r>
      <w:r w:rsidRPr="00C41FFE">
        <w:rPr>
          <w:i/>
          <w:iCs/>
        </w:rPr>
        <w:t>th</w:t>
      </w:r>
      <w:r>
        <w:rPr>
          <w:i/>
          <w:iCs/>
        </w:rPr>
        <w:t>ese</w:t>
      </w:r>
      <w:r w:rsidRPr="00C41FFE">
        <w:rPr>
          <w:i/>
          <w:iCs/>
        </w:rPr>
        <w:t xml:space="preserve"> finding</w:t>
      </w:r>
      <w:r>
        <w:rPr>
          <w:i/>
          <w:iCs/>
        </w:rPr>
        <w:t xml:space="preserve">s are </w:t>
      </w:r>
      <w:r w:rsidRPr="00C41FFE">
        <w:rPr>
          <w:i/>
          <w:iCs/>
        </w:rPr>
        <w:t>highly uncertain, reflecting the uncertainty on the clinical evidence</w:t>
      </w:r>
      <w:r>
        <w:t xml:space="preserve">. </w:t>
      </w:r>
    </w:p>
    <w:p w14:paraId="72798D15" w14:textId="77777777" w:rsidR="00D155C0" w:rsidRDefault="00D155C0" w:rsidP="00D155C0">
      <w:pPr>
        <w:pStyle w:val="BoxBullet"/>
      </w:pPr>
      <w:r>
        <w:t>Given t</w:t>
      </w:r>
      <w:r w:rsidRPr="005B1071">
        <w:t>he scarcity of evidence</w:t>
      </w:r>
      <w:r>
        <w:t>,</w:t>
      </w:r>
      <w:r w:rsidRPr="005B1071">
        <w:t xml:space="preserve"> the models </w:t>
      </w:r>
      <w:r>
        <w:t>relied</w:t>
      </w:r>
      <w:r w:rsidRPr="005B1071">
        <w:t xml:space="preserve"> on many assumptions regarding the utilities and costs which were highly uncertain. In particular, utilities were applied for remission and uncontrolled epilepsy </w:t>
      </w:r>
      <w:r>
        <w:t>based on quantity of</w:t>
      </w:r>
      <w:r w:rsidRPr="005B1071">
        <w:t xml:space="preserve"> seizures per year, but </w:t>
      </w:r>
      <w:r>
        <w:t xml:space="preserve">depending on the types of seizures experienced, </w:t>
      </w:r>
      <w:r w:rsidRPr="005B1071">
        <w:t xml:space="preserve">seizure quantity does not necessarily equate to severity. </w:t>
      </w:r>
      <w:r>
        <w:t xml:space="preserve">Simplifying assumptions were also made about the </w:t>
      </w:r>
      <w:r w:rsidRPr="005B1071">
        <w:t xml:space="preserve">direct health care costs for people with uncontrolled epilepsy </w:t>
      </w:r>
      <w:r>
        <w:t xml:space="preserve">compared to direct health care costs for those with controlled </w:t>
      </w:r>
      <w:r w:rsidRPr="005B1071">
        <w:t>epilep</w:t>
      </w:r>
      <w:r>
        <w:t>sy</w:t>
      </w:r>
      <w:r w:rsidRPr="422CAA86">
        <w:t>.</w:t>
      </w:r>
    </w:p>
    <w:p w14:paraId="3C266281" w14:textId="77777777" w:rsidR="00D155C0" w:rsidRDefault="00D155C0" w:rsidP="00D155C0">
      <w:pPr>
        <w:pStyle w:val="BoxBullet"/>
        <w:numPr>
          <w:ilvl w:val="0"/>
          <w:numId w:val="0"/>
        </w:numPr>
      </w:pPr>
      <w:r w:rsidRPr="00327B1E">
        <w:rPr>
          <w:b/>
        </w:rPr>
        <w:t>Financial issues:</w:t>
      </w:r>
    </w:p>
    <w:p w14:paraId="279DBCB7" w14:textId="77777777" w:rsidR="00D155C0" w:rsidRDefault="00D155C0" w:rsidP="00D155C0">
      <w:pPr>
        <w:pStyle w:val="BoxBullet"/>
      </w:pPr>
      <w:r w:rsidRPr="422CAA86">
        <w:t xml:space="preserve">The uptake rate of </w:t>
      </w:r>
      <w:r w:rsidRPr="422CAA86">
        <w:rPr>
          <w:i/>
          <w:iCs/>
        </w:rPr>
        <w:t>HLA</w:t>
      </w:r>
      <w:r w:rsidRPr="422CAA86">
        <w:t xml:space="preserve"> genotyping is unclear. This has a major impact on </w:t>
      </w:r>
      <w:r>
        <w:t>the MBS budget projections</w:t>
      </w:r>
      <w:r w:rsidRPr="422CAA86">
        <w:t xml:space="preserve">, making the financial impact uncertain. This is problematic if clinical acceptance and use are </w:t>
      </w:r>
      <w:r>
        <w:t>lower than expected</w:t>
      </w:r>
      <w:r w:rsidRPr="422CAA86">
        <w:t>.</w:t>
      </w:r>
    </w:p>
    <w:p w14:paraId="2DB8A6AD" w14:textId="77777777" w:rsidR="00D155C0" w:rsidRDefault="00D155C0" w:rsidP="00A737D1">
      <w:pPr>
        <w:spacing w:before="240"/>
        <w:rPr>
          <w:rStyle w:val="Strong"/>
        </w:rPr>
      </w:pPr>
      <w:r w:rsidRPr="00194327">
        <w:rPr>
          <w:rStyle w:val="Strong"/>
        </w:rPr>
        <w:t>ESC discussion</w:t>
      </w:r>
    </w:p>
    <w:p w14:paraId="1FDEFA9D" w14:textId="77777777" w:rsidR="00D155C0" w:rsidRPr="00C25FFC" w:rsidRDefault="00D155C0" w:rsidP="00D155C0">
      <w:pPr>
        <w:rPr>
          <w:sz w:val="22"/>
          <w:szCs w:val="22"/>
        </w:rPr>
      </w:pPr>
      <w:r w:rsidRPr="00C25FFC">
        <w:rPr>
          <w:sz w:val="22"/>
          <w:szCs w:val="22"/>
        </w:rPr>
        <w:t xml:space="preserve">ESC noted this application from the Royal College of Pathologists of Australasia (RCPA) is for Medicare Benefits Schedule (MBS) listing of </w:t>
      </w:r>
      <w:r w:rsidRPr="00C25FFC">
        <w:rPr>
          <w:rStyle w:val="Strong"/>
          <w:b w:val="0"/>
          <w:bCs w:val="0"/>
          <w:sz w:val="22"/>
          <w:szCs w:val="22"/>
        </w:rPr>
        <w:t>human leukocyte antigen</w:t>
      </w:r>
      <w:r w:rsidRPr="00C25FFC">
        <w:rPr>
          <w:rStyle w:val="Strong"/>
          <w:sz w:val="22"/>
          <w:szCs w:val="22"/>
        </w:rPr>
        <w:t xml:space="preserve"> (</w:t>
      </w:r>
      <w:r w:rsidRPr="00C25FFC">
        <w:rPr>
          <w:i/>
          <w:iCs/>
          <w:sz w:val="22"/>
          <w:szCs w:val="22"/>
        </w:rPr>
        <w:t>HLA</w:t>
      </w:r>
      <w:r w:rsidRPr="00C25FFC">
        <w:rPr>
          <w:sz w:val="22"/>
          <w:szCs w:val="22"/>
        </w:rPr>
        <w:t xml:space="preserve">)-A*31:01 and </w:t>
      </w:r>
      <w:r w:rsidRPr="003975F2">
        <w:rPr>
          <w:i/>
          <w:iCs/>
          <w:sz w:val="22"/>
          <w:szCs w:val="22"/>
        </w:rPr>
        <w:t xml:space="preserve">HLA-B*15:02 </w:t>
      </w:r>
      <w:r w:rsidRPr="00C25FFC">
        <w:rPr>
          <w:sz w:val="22"/>
          <w:szCs w:val="22"/>
        </w:rPr>
        <w:t>genotyping to predict carbamazepine- (CBZ-) or oxcarbazepine- (OXC-) related drug hypersensitivity reactions in patients who are about to start CBZ or OXC treatment. This is the first time MSAC has considered this application.</w:t>
      </w:r>
    </w:p>
    <w:p w14:paraId="4841229D" w14:textId="77777777" w:rsidR="00D155C0" w:rsidRPr="007375DE" w:rsidRDefault="00D155C0" w:rsidP="00D155C0">
      <w:pPr>
        <w:pStyle w:val="BodyText"/>
        <w:rPr>
          <w:rStyle w:val="Strong"/>
          <w:b w:val="0"/>
          <w:bCs w:val="0"/>
        </w:rPr>
      </w:pPr>
      <w:r w:rsidRPr="422CAA86">
        <w:rPr>
          <w:rStyle w:val="Strong"/>
          <w:b w:val="0"/>
          <w:bCs w:val="0"/>
        </w:rPr>
        <w:t>ESC noted that CBZ is an anti</w:t>
      </w:r>
      <w:r>
        <w:rPr>
          <w:rStyle w:val="Strong"/>
          <w:b w:val="0"/>
          <w:bCs w:val="0"/>
        </w:rPr>
        <w:t>epileptic</w:t>
      </w:r>
      <w:r w:rsidRPr="422CAA86">
        <w:rPr>
          <w:rStyle w:val="Strong"/>
          <w:b w:val="0"/>
          <w:bCs w:val="0"/>
        </w:rPr>
        <w:t xml:space="preserve"> medication commonly used </w:t>
      </w:r>
      <w:r>
        <w:rPr>
          <w:rStyle w:val="Strong"/>
          <w:b w:val="0"/>
          <w:bCs w:val="0"/>
        </w:rPr>
        <w:t>to treat</w:t>
      </w:r>
      <w:r w:rsidRPr="422CAA86">
        <w:rPr>
          <w:rStyle w:val="Strong"/>
          <w:b w:val="0"/>
          <w:bCs w:val="0"/>
        </w:rPr>
        <w:t xml:space="preserve"> various conditions, including epilepsy, trigeminal neuralgia (TN), mania and bipolar affective disorders. OXC is an anti</w:t>
      </w:r>
      <w:r>
        <w:rPr>
          <w:rStyle w:val="Strong"/>
          <w:b w:val="0"/>
          <w:bCs w:val="0"/>
        </w:rPr>
        <w:t>epileptic</w:t>
      </w:r>
      <w:r w:rsidRPr="422CAA86">
        <w:rPr>
          <w:rStyle w:val="Strong"/>
          <w:b w:val="0"/>
          <w:bCs w:val="0"/>
        </w:rPr>
        <w:t xml:space="preserve"> medication used as a first-line treatment for epilepsy. Some patients are hypersensitive to these medications due to a variant in their </w:t>
      </w:r>
      <w:r w:rsidRPr="422CAA86">
        <w:rPr>
          <w:rStyle w:val="Strong"/>
          <w:b w:val="0"/>
          <w:bCs w:val="0"/>
          <w:i/>
          <w:iCs/>
        </w:rPr>
        <w:t>HLA</w:t>
      </w:r>
      <w:r w:rsidRPr="422CAA86">
        <w:rPr>
          <w:rStyle w:val="Strong"/>
          <w:b w:val="0"/>
          <w:bCs w:val="0"/>
        </w:rPr>
        <w:t xml:space="preserve"> gene, which can cause adverse drug reactions. Some of these </w:t>
      </w:r>
      <w:r>
        <w:rPr>
          <w:rStyle w:val="Strong"/>
          <w:b w:val="0"/>
          <w:bCs w:val="0"/>
        </w:rPr>
        <w:t xml:space="preserve">reactions </w:t>
      </w:r>
      <w:r w:rsidRPr="422CAA86">
        <w:rPr>
          <w:rStyle w:val="Strong"/>
          <w:b w:val="0"/>
          <w:bCs w:val="0"/>
        </w:rPr>
        <w:t>are severe, including Stevens-Johnson syndrome (SJS), toxic epidermal necrosis (TEN) and drug reaction with eosinophilia and systemic symptoms (DRESS) syndrome. This proposed testing will</w:t>
      </w:r>
      <w:r>
        <w:rPr>
          <w:rStyle w:val="Strong"/>
          <w:b w:val="0"/>
          <w:bCs w:val="0"/>
        </w:rPr>
        <w:t xml:space="preserve"> potentially</w:t>
      </w:r>
      <w:r w:rsidRPr="422CAA86">
        <w:rPr>
          <w:rStyle w:val="Strong"/>
          <w:b w:val="0"/>
          <w:bCs w:val="0"/>
        </w:rPr>
        <w:t xml:space="preserve"> identify patients who are at-risk to severe drug reactions before they start treatment</w:t>
      </w:r>
      <w:r>
        <w:rPr>
          <w:rStyle w:val="Strong"/>
          <w:b w:val="0"/>
          <w:bCs w:val="0"/>
        </w:rPr>
        <w:t xml:space="preserve"> with these drugs</w:t>
      </w:r>
      <w:r w:rsidRPr="422CAA86">
        <w:rPr>
          <w:rStyle w:val="Strong"/>
          <w:b w:val="0"/>
          <w:bCs w:val="0"/>
        </w:rPr>
        <w:t>.</w:t>
      </w:r>
    </w:p>
    <w:p w14:paraId="05D9C91D" w14:textId="77777777" w:rsidR="00D155C0" w:rsidRPr="007375DE" w:rsidRDefault="00D155C0" w:rsidP="00D155C0">
      <w:pPr>
        <w:pStyle w:val="BodyText"/>
        <w:rPr>
          <w:rStyle w:val="Strong"/>
          <w:b w:val="0"/>
          <w:lang w:val="en-GB"/>
        </w:rPr>
      </w:pPr>
      <w:r w:rsidRPr="70668EA8">
        <w:rPr>
          <w:rStyle w:val="Strong"/>
          <w:b w:val="0"/>
          <w:lang w:val="en-GB"/>
        </w:rPr>
        <w:t>ESC noted the consultation feedback, which comprised seven responses and was largely supportive of the application. Submissions stated that any disadvantages from waiting for the test results before starting treatment were insignificant compared to the benefits of testing</w:t>
      </w:r>
      <w:r>
        <w:rPr>
          <w:rStyle w:val="Strong"/>
          <w:b w:val="0"/>
          <w:lang w:val="en-GB"/>
        </w:rPr>
        <w:t>. O</w:t>
      </w:r>
      <w:r w:rsidRPr="70668EA8">
        <w:rPr>
          <w:rStyle w:val="Strong"/>
          <w:b w:val="0"/>
          <w:lang w:val="en-GB"/>
        </w:rPr>
        <w:t xml:space="preserve">ne submission noted that </w:t>
      </w:r>
      <w:r w:rsidRPr="70668EA8">
        <w:rPr>
          <w:lang w:val="en-GB"/>
        </w:rPr>
        <w:t>public funding of HLA genotyping would ensure alignment with international guidelines and standards</w:t>
      </w:r>
      <w:r w:rsidRPr="70668EA8">
        <w:rPr>
          <w:rStyle w:val="Strong"/>
          <w:b w:val="0"/>
          <w:lang w:val="en-GB"/>
        </w:rPr>
        <w:t xml:space="preserve">. Many organisations noted the higher prevalence of the target </w:t>
      </w:r>
      <w:r w:rsidRPr="70668EA8">
        <w:rPr>
          <w:rStyle w:val="Strong"/>
          <w:b w:val="0"/>
          <w:i/>
          <w:lang w:val="en-GB"/>
        </w:rPr>
        <w:t>HLA</w:t>
      </w:r>
      <w:r w:rsidRPr="70668EA8">
        <w:rPr>
          <w:rStyle w:val="Strong"/>
          <w:b w:val="0"/>
          <w:lang w:val="en-GB"/>
        </w:rPr>
        <w:t xml:space="preserve"> variants in people of Asian ancestry and stated that this group was especially important to test. The pre-ESC response also referred to this and cited the fact that </w:t>
      </w:r>
      <w:r>
        <w:rPr>
          <w:rStyle w:val="Strong"/>
          <w:b w:val="0"/>
          <w:lang w:val="en-GB"/>
        </w:rPr>
        <w:t>17.4</w:t>
      </w:r>
      <w:r w:rsidRPr="70668EA8">
        <w:rPr>
          <w:rStyle w:val="Strong"/>
          <w:b w:val="0"/>
          <w:lang w:val="en-GB"/>
        </w:rPr>
        <w:t xml:space="preserve">% of people in Australia self-reported Asian </w:t>
      </w:r>
      <w:r>
        <w:rPr>
          <w:rStyle w:val="Strong"/>
          <w:b w:val="0"/>
          <w:lang w:val="en-GB"/>
        </w:rPr>
        <w:t>ancestry</w:t>
      </w:r>
      <w:r w:rsidRPr="70668EA8">
        <w:rPr>
          <w:rStyle w:val="Strong"/>
          <w:b w:val="0"/>
          <w:lang w:val="en-GB"/>
        </w:rPr>
        <w:t xml:space="preserve"> in the 2021 Census. However, ESC noted the proven unreliability of people self-identifying their ancestry and therefore considered that the test should be available to all people, regardless of </w:t>
      </w:r>
      <w:r>
        <w:rPr>
          <w:rStyle w:val="Strong"/>
          <w:b w:val="0"/>
          <w:lang w:val="en-GB"/>
        </w:rPr>
        <w:t xml:space="preserve">their </w:t>
      </w:r>
      <w:r w:rsidRPr="70668EA8">
        <w:rPr>
          <w:rStyle w:val="Strong"/>
          <w:b w:val="0"/>
          <w:lang w:val="en-GB"/>
        </w:rPr>
        <w:t>ancestry.</w:t>
      </w:r>
    </w:p>
    <w:p w14:paraId="0F051C7A" w14:textId="77777777" w:rsidR="00D155C0" w:rsidRDefault="00D155C0" w:rsidP="00D155C0">
      <w:pPr>
        <w:pStyle w:val="BodyText"/>
        <w:rPr>
          <w:rStyle w:val="Strong"/>
          <w:b w:val="0"/>
          <w:bCs w:val="0"/>
        </w:rPr>
      </w:pPr>
      <w:r>
        <w:rPr>
          <w:rStyle w:val="Strong"/>
          <w:b w:val="0"/>
          <w:bCs w:val="0"/>
        </w:rPr>
        <w:t>ESC noted that consultation f</w:t>
      </w:r>
      <w:r w:rsidRPr="007375DE">
        <w:rPr>
          <w:rStyle w:val="Strong"/>
          <w:b w:val="0"/>
          <w:bCs w:val="0"/>
        </w:rPr>
        <w:t xml:space="preserve">eedback also raised </w:t>
      </w:r>
      <w:r w:rsidRPr="71E045BE">
        <w:rPr>
          <w:rStyle w:val="Strong"/>
          <w:b w:val="0"/>
          <w:bCs w:val="0"/>
        </w:rPr>
        <w:t xml:space="preserve">the issue </w:t>
      </w:r>
      <w:r w:rsidRPr="007375DE">
        <w:rPr>
          <w:rStyle w:val="Strong"/>
          <w:b w:val="0"/>
          <w:bCs w:val="0"/>
        </w:rPr>
        <w:t xml:space="preserve">that the proposed descriptor should not be limited to people with certain </w:t>
      </w:r>
      <w:r>
        <w:rPr>
          <w:rStyle w:val="Strong"/>
          <w:b w:val="0"/>
          <w:bCs w:val="0"/>
        </w:rPr>
        <w:t xml:space="preserve">medical </w:t>
      </w:r>
      <w:r w:rsidRPr="007375DE">
        <w:rPr>
          <w:rStyle w:val="Strong"/>
          <w:b w:val="0"/>
          <w:bCs w:val="0"/>
        </w:rPr>
        <w:t xml:space="preserve">conditions, </w:t>
      </w:r>
      <w:r>
        <w:rPr>
          <w:rStyle w:val="Strong"/>
          <w:b w:val="0"/>
          <w:bCs w:val="0"/>
        </w:rPr>
        <w:t xml:space="preserve">but could alternatively specify that the test is for people commencing use of CBZ or OXC, </w:t>
      </w:r>
      <w:r w:rsidRPr="007375DE">
        <w:rPr>
          <w:rStyle w:val="Strong"/>
          <w:b w:val="0"/>
          <w:bCs w:val="0"/>
        </w:rPr>
        <w:t xml:space="preserve">as </w:t>
      </w:r>
      <w:r>
        <w:rPr>
          <w:rStyle w:val="Strong"/>
          <w:b w:val="0"/>
          <w:bCs w:val="0"/>
        </w:rPr>
        <w:t xml:space="preserve">both </w:t>
      </w:r>
      <w:r w:rsidRPr="007375DE">
        <w:rPr>
          <w:rStyle w:val="Strong"/>
          <w:b w:val="0"/>
          <w:bCs w:val="0"/>
        </w:rPr>
        <w:t>CBZ and OXC are used for a variety of indications</w:t>
      </w:r>
      <w:r>
        <w:rPr>
          <w:rStyle w:val="Strong"/>
          <w:b w:val="0"/>
          <w:bCs w:val="0"/>
        </w:rPr>
        <w:t xml:space="preserve">. ESC noted feedback requesting </w:t>
      </w:r>
      <w:r w:rsidRPr="71E045BE">
        <w:rPr>
          <w:rStyle w:val="Strong"/>
          <w:b w:val="0"/>
          <w:bCs w:val="0"/>
        </w:rPr>
        <w:t xml:space="preserve">further clarity around which </w:t>
      </w:r>
      <w:r>
        <w:rPr>
          <w:rStyle w:val="Strong"/>
          <w:b w:val="0"/>
          <w:bCs w:val="0"/>
        </w:rPr>
        <w:t xml:space="preserve">types of </w:t>
      </w:r>
      <w:r w:rsidRPr="71E045BE">
        <w:rPr>
          <w:rStyle w:val="Strong"/>
          <w:b w:val="0"/>
          <w:bCs w:val="0"/>
        </w:rPr>
        <w:t>specialists would be able to request the test.</w:t>
      </w:r>
      <w:r>
        <w:rPr>
          <w:rStyle w:val="Strong"/>
          <w:b w:val="0"/>
          <w:bCs w:val="0"/>
        </w:rPr>
        <w:t xml:space="preserve"> </w:t>
      </w:r>
    </w:p>
    <w:p w14:paraId="52223DF9" w14:textId="77777777" w:rsidR="00D155C0" w:rsidRPr="00C667D7" w:rsidRDefault="00D155C0" w:rsidP="00D155C0">
      <w:pPr>
        <w:pStyle w:val="BodyText"/>
        <w:rPr>
          <w:rStyle w:val="Strong"/>
          <w:b w:val="0"/>
          <w:i/>
          <w:iCs/>
          <w:lang w:val="en-GB"/>
        </w:rPr>
      </w:pPr>
      <w:r w:rsidRPr="70668EA8">
        <w:rPr>
          <w:rStyle w:val="Strong"/>
          <w:b w:val="0"/>
          <w:lang w:val="en-GB"/>
        </w:rPr>
        <w:t xml:space="preserve">ESC considered that it did not have enough information or evidence to provide advice on whether expanding the proposed testing to </w:t>
      </w:r>
      <w:r w:rsidRPr="70668EA8">
        <w:rPr>
          <w:lang w:val="en-GB"/>
        </w:rPr>
        <w:t>all drugs in the dibenzoazepine class</w:t>
      </w:r>
      <w:r w:rsidRPr="70668EA8">
        <w:rPr>
          <w:rStyle w:val="Strong"/>
          <w:lang w:val="en-GB"/>
        </w:rPr>
        <w:t xml:space="preserve"> </w:t>
      </w:r>
      <w:r w:rsidRPr="70668EA8">
        <w:rPr>
          <w:rStyle w:val="Strong"/>
          <w:b w:val="0"/>
          <w:lang w:val="en-GB"/>
        </w:rPr>
        <w:t>was appropriate</w:t>
      </w:r>
      <w:r>
        <w:rPr>
          <w:rStyle w:val="Strong"/>
          <w:b w:val="0"/>
          <w:lang w:val="en-GB"/>
        </w:rPr>
        <w:t xml:space="preserve"> </w:t>
      </w:r>
      <w:r w:rsidRPr="70668EA8">
        <w:rPr>
          <w:rStyle w:val="Strong"/>
          <w:b w:val="0"/>
          <w:lang w:val="en-GB"/>
        </w:rPr>
        <w:t xml:space="preserve">and proposed some additional work that could be undertaken to inform MSAC’s consideration of this matter. </w:t>
      </w:r>
      <w:r w:rsidRPr="00C667D7">
        <w:rPr>
          <w:rStyle w:val="Strong"/>
          <w:b w:val="0"/>
          <w:i/>
          <w:iCs/>
          <w:lang w:val="en-GB"/>
        </w:rPr>
        <w:t xml:space="preserve">Post-ESC, the assessment group provided some further clarification on this issue, noting that PASC (PICO Advisory Subcommittee) had also considered in the PICO for the application whether the proposed genotype testing should be expanded and had noted that such an </w:t>
      </w:r>
      <w:r w:rsidRPr="00C667D7">
        <w:rPr>
          <w:rStyle w:val="Strong"/>
          <w:b w:val="0"/>
          <w:i/>
          <w:iCs/>
          <w:lang w:val="en-GB"/>
        </w:rPr>
        <w:lastRenderedPageBreak/>
        <w:t xml:space="preserve">expansion would involve broadening the intervention and population, with testing prior to commencement of treatment for potentially quite a number of drugs (Carbamazepine, Oxcarbazepine, Clomipramine, Clozapine, Imipramine, </w:t>
      </w:r>
      <w:proofErr w:type="spellStart"/>
      <w:r w:rsidRPr="00C667D7">
        <w:rPr>
          <w:rStyle w:val="Strong"/>
          <w:b w:val="0"/>
          <w:i/>
          <w:iCs/>
          <w:lang w:val="en-GB"/>
        </w:rPr>
        <w:t>Mianserin</w:t>
      </w:r>
      <w:proofErr w:type="spellEnd"/>
      <w:r w:rsidRPr="00C667D7">
        <w:rPr>
          <w:rStyle w:val="Strong"/>
          <w:b w:val="0"/>
          <w:i/>
          <w:iCs/>
          <w:lang w:val="en-GB"/>
        </w:rPr>
        <w:t xml:space="preserve"> are currently listed on the PBS; Desipramine, </w:t>
      </w:r>
      <w:proofErr w:type="spellStart"/>
      <w:r w:rsidRPr="00C667D7">
        <w:rPr>
          <w:rStyle w:val="Strong"/>
          <w:b w:val="0"/>
          <w:i/>
          <w:iCs/>
          <w:lang w:val="en-GB"/>
        </w:rPr>
        <w:t>Esmirtazapine</w:t>
      </w:r>
      <w:proofErr w:type="spellEnd"/>
      <w:r w:rsidRPr="00C667D7">
        <w:rPr>
          <w:rStyle w:val="Strong"/>
          <w:b w:val="0"/>
          <w:i/>
          <w:iCs/>
          <w:lang w:val="en-GB"/>
        </w:rPr>
        <w:t xml:space="preserve">, </w:t>
      </w:r>
      <w:proofErr w:type="spellStart"/>
      <w:r w:rsidRPr="00C667D7">
        <w:rPr>
          <w:rStyle w:val="Strong"/>
          <w:b w:val="0"/>
          <w:i/>
          <w:iCs/>
          <w:lang w:val="en-GB"/>
        </w:rPr>
        <w:t>Lofepramine</w:t>
      </w:r>
      <w:proofErr w:type="spellEnd"/>
      <w:r w:rsidRPr="00C667D7">
        <w:rPr>
          <w:rStyle w:val="Strong"/>
          <w:b w:val="0"/>
          <w:i/>
          <w:iCs/>
          <w:lang w:val="en-GB"/>
        </w:rPr>
        <w:t xml:space="preserve">, </w:t>
      </w:r>
      <w:proofErr w:type="spellStart"/>
      <w:r w:rsidRPr="00C667D7">
        <w:rPr>
          <w:rStyle w:val="Strong"/>
          <w:b w:val="0"/>
          <w:i/>
          <w:iCs/>
          <w:lang w:val="en-GB"/>
        </w:rPr>
        <w:t>Norclozapine</w:t>
      </w:r>
      <w:proofErr w:type="spellEnd"/>
      <w:r w:rsidRPr="00C667D7">
        <w:rPr>
          <w:rStyle w:val="Strong"/>
          <w:b w:val="0"/>
          <w:i/>
          <w:iCs/>
          <w:lang w:val="en-GB"/>
        </w:rPr>
        <w:t xml:space="preserve">, Opipramol, </w:t>
      </w:r>
      <w:proofErr w:type="spellStart"/>
      <w:r w:rsidRPr="00C667D7">
        <w:rPr>
          <w:rStyle w:val="Strong"/>
          <w:b w:val="0"/>
          <w:i/>
          <w:iCs/>
          <w:lang w:val="en-GB"/>
        </w:rPr>
        <w:t>Setiptiline</w:t>
      </w:r>
      <w:proofErr w:type="spellEnd"/>
      <w:r w:rsidRPr="00C667D7">
        <w:rPr>
          <w:rStyle w:val="Strong"/>
          <w:b w:val="0"/>
          <w:i/>
          <w:iCs/>
          <w:lang w:val="en-GB"/>
        </w:rPr>
        <w:t>, Trimipramine are not). This may also require genotyping for more than the two proposed alleles and expanding the list of drugs would also make the required health technology assessment (HTA) considerably more complex.</w:t>
      </w:r>
    </w:p>
    <w:p w14:paraId="06B06881" w14:textId="77777777" w:rsidR="00D155C0" w:rsidRPr="007375DE" w:rsidRDefault="00D155C0" w:rsidP="00D155C0">
      <w:pPr>
        <w:pStyle w:val="BodyText"/>
        <w:rPr>
          <w:rStyle w:val="Strong"/>
          <w:b w:val="0"/>
          <w:lang w:val="en-GB"/>
        </w:rPr>
      </w:pPr>
      <w:r w:rsidRPr="70668EA8">
        <w:rPr>
          <w:rStyle w:val="Strong"/>
          <w:b w:val="0"/>
          <w:lang w:val="en-GB"/>
        </w:rPr>
        <w:t>ESC noted</w:t>
      </w:r>
      <w:r>
        <w:rPr>
          <w:rStyle w:val="Strong"/>
          <w:b w:val="0"/>
          <w:lang w:val="en-GB"/>
        </w:rPr>
        <w:t xml:space="preserve"> from the pre-ESC response </w:t>
      </w:r>
      <w:r w:rsidRPr="70668EA8">
        <w:rPr>
          <w:rStyle w:val="Strong"/>
          <w:b w:val="0"/>
          <w:lang w:val="en-GB"/>
        </w:rPr>
        <w:t xml:space="preserve">that testing after treatment has started is feasible, as serious drug reactions tend to manifest within 7–15 days and the test turnaround time is 5–7 days. ESC therefore considered it appropriate to revise the item descriptor to allow testing during the initiation of treatment but only in cases of </w:t>
      </w:r>
      <w:r>
        <w:rPr>
          <w:rStyle w:val="Strong"/>
          <w:b w:val="0"/>
          <w:lang w:val="en-GB"/>
        </w:rPr>
        <w:t>urgent clinical need</w:t>
      </w:r>
      <w:r w:rsidRPr="70668EA8">
        <w:rPr>
          <w:rStyle w:val="Strong"/>
          <w:b w:val="0"/>
          <w:lang w:val="en-GB"/>
        </w:rPr>
        <w:t xml:space="preserve">. ESC considered that testing before treatment has started should still be the preferred clinical practice. </w:t>
      </w:r>
    </w:p>
    <w:p w14:paraId="38A5D7AF" w14:textId="2EFA706A" w:rsidR="00D155C0" w:rsidRPr="004928FD" w:rsidRDefault="00D155C0" w:rsidP="00D155C0">
      <w:pPr>
        <w:pStyle w:val="BodyText"/>
        <w:rPr>
          <w:rStyle w:val="Strong"/>
          <w:b w:val="0"/>
        </w:rPr>
      </w:pPr>
      <w:r w:rsidRPr="2129AECA">
        <w:rPr>
          <w:rStyle w:val="Strong"/>
          <w:b w:val="0"/>
          <w:bCs w:val="0"/>
        </w:rPr>
        <w:t>ESC noted the proposed MBS item descriptor</w:t>
      </w:r>
      <w:r w:rsidRPr="2129AECA">
        <w:t>.</w:t>
      </w:r>
      <w:r>
        <w:t xml:space="preserve"> </w:t>
      </w:r>
      <w:r w:rsidRPr="422CAA86">
        <w:rPr>
          <w:rStyle w:val="Strong"/>
          <w:b w:val="0"/>
          <w:bCs w:val="0"/>
        </w:rPr>
        <w:t xml:space="preserve">Regarding the fee, ESC considered $188 </w:t>
      </w:r>
      <w:r>
        <w:rPr>
          <w:rStyle w:val="Strong"/>
          <w:b w:val="0"/>
          <w:bCs w:val="0"/>
        </w:rPr>
        <w:t>may</w:t>
      </w:r>
      <w:r w:rsidRPr="422CAA86">
        <w:rPr>
          <w:rStyle w:val="Strong"/>
          <w:b w:val="0"/>
          <w:bCs w:val="0"/>
        </w:rPr>
        <w:t xml:space="preserve"> be too high and </w:t>
      </w:r>
      <w:r>
        <w:rPr>
          <w:rStyle w:val="Strong"/>
          <w:b w:val="0"/>
          <w:bCs w:val="0"/>
        </w:rPr>
        <w:t>noted</w:t>
      </w:r>
      <w:r w:rsidRPr="71E045BE">
        <w:rPr>
          <w:rStyle w:val="Strong"/>
          <w:b w:val="0"/>
          <w:bCs w:val="0"/>
        </w:rPr>
        <w:t xml:space="preserve"> </w:t>
      </w:r>
      <w:r w:rsidRPr="422CAA86">
        <w:rPr>
          <w:rStyle w:val="Strong"/>
          <w:b w:val="0"/>
          <w:bCs w:val="0"/>
        </w:rPr>
        <w:t xml:space="preserve">that the </w:t>
      </w:r>
      <w:r>
        <w:rPr>
          <w:rStyle w:val="Strong"/>
          <w:b w:val="0"/>
          <w:bCs w:val="0"/>
        </w:rPr>
        <w:t xml:space="preserve">suggested </w:t>
      </w:r>
      <w:r w:rsidRPr="422CAA86">
        <w:rPr>
          <w:rStyle w:val="Strong"/>
          <w:b w:val="0"/>
          <w:bCs w:val="0"/>
        </w:rPr>
        <w:t>reduced</w:t>
      </w:r>
      <w:r>
        <w:rPr>
          <w:rStyle w:val="Strong"/>
          <w:b w:val="0"/>
          <w:bCs w:val="0"/>
        </w:rPr>
        <w:t xml:space="preserve"> </w:t>
      </w:r>
      <w:r w:rsidRPr="422CAA86">
        <w:rPr>
          <w:rStyle w:val="Strong"/>
          <w:b w:val="0"/>
          <w:bCs w:val="0"/>
        </w:rPr>
        <w:t xml:space="preserve">fee of $139 </w:t>
      </w:r>
      <w:r>
        <w:rPr>
          <w:rStyle w:val="Strong"/>
          <w:b w:val="0"/>
          <w:bCs w:val="0"/>
        </w:rPr>
        <w:t>may be sufficient</w:t>
      </w:r>
      <w:r w:rsidRPr="422CAA86">
        <w:rPr>
          <w:rStyle w:val="Strong"/>
          <w:b w:val="0"/>
          <w:bCs w:val="0"/>
        </w:rPr>
        <w:t xml:space="preserve"> when considering economies of scale.</w:t>
      </w:r>
      <w:r w:rsidRPr="00EA630B">
        <w:t xml:space="preserve"> </w:t>
      </w:r>
      <w:r>
        <w:t xml:space="preserve">ESC noted that existing items which could be referred to help establish an appropriate fee </w:t>
      </w:r>
      <w:r w:rsidRPr="2129AECA">
        <w:t xml:space="preserve">were </w:t>
      </w:r>
      <w:r w:rsidRPr="00EA630B">
        <w:rPr>
          <w:rStyle w:val="Strong"/>
          <w:b w:val="0"/>
          <w:bCs w:val="0"/>
        </w:rPr>
        <w:t xml:space="preserve">MBS item 73320 ($40.55) for detection of </w:t>
      </w:r>
      <w:r w:rsidRPr="000611A1">
        <w:rPr>
          <w:rStyle w:val="Strong"/>
          <w:b w:val="0"/>
          <w:bCs w:val="0"/>
          <w:i/>
          <w:iCs/>
        </w:rPr>
        <w:t>HLA-</w:t>
      </w:r>
      <w:r w:rsidRPr="00EA630B">
        <w:rPr>
          <w:rStyle w:val="Strong"/>
          <w:b w:val="0"/>
          <w:bCs w:val="0"/>
        </w:rPr>
        <w:t>B27 by nucleic acid amplification, MBS item 73317 ($36</w:t>
      </w:r>
      <w:r w:rsidR="00BD4B04">
        <w:rPr>
          <w:rStyle w:val="Strong"/>
          <w:b w:val="0"/>
          <w:bCs w:val="0"/>
        </w:rPr>
        <w:t>.45</w:t>
      </w:r>
      <w:r w:rsidRPr="00EA630B">
        <w:rPr>
          <w:rStyle w:val="Strong"/>
          <w:b w:val="0"/>
          <w:bCs w:val="0"/>
        </w:rPr>
        <w:t xml:space="preserve">) for detecting genetic mutations for haemochromatosis and MBS item 71151 ($118.85) for phenotyping of 2 or more antigens of </w:t>
      </w:r>
      <w:r w:rsidRPr="000611A1">
        <w:rPr>
          <w:rStyle w:val="Strong"/>
          <w:b w:val="0"/>
          <w:bCs w:val="0"/>
          <w:i/>
          <w:iCs/>
        </w:rPr>
        <w:t>HLA-</w:t>
      </w:r>
      <w:r w:rsidRPr="00EA630B">
        <w:rPr>
          <w:rStyle w:val="Strong"/>
          <w:b w:val="0"/>
          <w:bCs w:val="0"/>
        </w:rPr>
        <w:t xml:space="preserve">DR, </w:t>
      </w:r>
      <w:r w:rsidRPr="000611A1">
        <w:rPr>
          <w:rStyle w:val="Strong"/>
          <w:b w:val="0"/>
          <w:bCs w:val="0"/>
          <w:i/>
        </w:rPr>
        <w:t>HLA-</w:t>
      </w:r>
      <w:r w:rsidRPr="00EA630B">
        <w:rPr>
          <w:rStyle w:val="Strong"/>
          <w:b w:val="0"/>
          <w:bCs w:val="0"/>
        </w:rPr>
        <w:t xml:space="preserve">DP and </w:t>
      </w:r>
      <w:r w:rsidRPr="000611A1">
        <w:rPr>
          <w:rStyle w:val="Strong"/>
          <w:b w:val="0"/>
          <w:bCs w:val="0"/>
          <w:i/>
        </w:rPr>
        <w:t>HLA-</w:t>
      </w:r>
      <w:r w:rsidRPr="00EA630B">
        <w:rPr>
          <w:rStyle w:val="Strong"/>
          <w:b w:val="0"/>
          <w:bCs w:val="0"/>
        </w:rPr>
        <w:t xml:space="preserve">DQ. In addition, Sonic Genetics lists a </w:t>
      </w:r>
      <w:r w:rsidRPr="003975F2">
        <w:rPr>
          <w:rStyle w:val="Strong"/>
          <w:b w:val="0"/>
          <w:bCs w:val="0"/>
          <w:i/>
        </w:rPr>
        <w:t xml:space="preserve">HLA-B*15:02 </w:t>
      </w:r>
      <w:r w:rsidRPr="2129AECA">
        <w:rPr>
          <w:rStyle w:val="Strong"/>
          <w:b w:val="0"/>
          <w:bCs w:val="0"/>
        </w:rPr>
        <w:t xml:space="preserve">test </w:t>
      </w:r>
      <w:r w:rsidRPr="00EA630B">
        <w:rPr>
          <w:rStyle w:val="Strong"/>
          <w:b w:val="0"/>
          <w:bCs w:val="0"/>
        </w:rPr>
        <w:t>at $80</w:t>
      </w:r>
      <w:r>
        <w:rPr>
          <w:rStyle w:val="Strong"/>
          <w:b w:val="0"/>
          <w:bCs w:val="0"/>
        </w:rPr>
        <w:t>.</w:t>
      </w:r>
      <w:r w:rsidRPr="422CAA86">
        <w:rPr>
          <w:rStyle w:val="Strong"/>
          <w:b w:val="0"/>
          <w:bCs w:val="0"/>
        </w:rPr>
        <w:t xml:space="preserve"> ESC considered this type of testing would lend itself well to batching, which would reduce laboratory costs.</w:t>
      </w:r>
      <w:r>
        <w:rPr>
          <w:rStyle w:val="Strong"/>
          <w:b w:val="0"/>
          <w:bCs w:val="0"/>
        </w:rPr>
        <w:t xml:space="preserve"> On the other hand, ESC also noted </w:t>
      </w:r>
      <w:r>
        <w:t>r</w:t>
      </w:r>
      <w:r w:rsidRPr="00105108">
        <w:t xml:space="preserve">ising </w:t>
      </w:r>
      <w:r>
        <w:t xml:space="preserve">input </w:t>
      </w:r>
      <w:r w:rsidRPr="00105108">
        <w:t xml:space="preserve">costs since </w:t>
      </w:r>
      <w:r>
        <w:t>existing</w:t>
      </w:r>
      <w:r w:rsidRPr="00105108">
        <w:t xml:space="preserve"> MBS items </w:t>
      </w:r>
      <w:r w:rsidRPr="2129AECA">
        <w:t xml:space="preserve">were </w:t>
      </w:r>
      <w:r w:rsidRPr="00105108">
        <w:t xml:space="preserve">listed, and </w:t>
      </w:r>
      <w:r>
        <w:t xml:space="preserve">the </w:t>
      </w:r>
      <w:r w:rsidRPr="00105108">
        <w:t>increasing complexity of identification</w:t>
      </w:r>
      <w:r>
        <w:t xml:space="preserve"> and </w:t>
      </w:r>
      <w:r w:rsidRPr="00105108">
        <w:t xml:space="preserve">interpretation of HLA alleles as </w:t>
      </w:r>
      <w:r>
        <w:t xml:space="preserve">their </w:t>
      </w:r>
      <w:r w:rsidRPr="00105108">
        <w:t>number</w:t>
      </w:r>
      <w:r>
        <w:t>s</w:t>
      </w:r>
      <w:r w:rsidRPr="00105108">
        <w:t xml:space="preserve"> increase</w:t>
      </w:r>
      <w:r>
        <w:t xml:space="preserve">. </w:t>
      </w:r>
      <w:r>
        <w:rPr>
          <w:rStyle w:val="Strong"/>
          <w:b w:val="0"/>
          <w:bCs w:val="0"/>
        </w:rPr>
        <w:t xml:space="preserve"> ESC noted the pre-ESC response’s observation that although f</w:t>
      </w:r>
      <w:r w:rsidRPr="009665FB">
        <w:rPr>
          <w:rStyle w:val="Strong"/>
          <w:b w:val="0"/>
          <w:bCs w:val="0"/>
        </w:rPr>
        <w:t xml:space="preserve">rom a technological perspective it may be possible to reduce costs by covering both </w:t>
      </w:r>
      <w:r w:rsidRPr="003975F2">
        <w:rPr>
          <w:rStyle w:val="Strong"/>
          <w:b w:val="0"/>
          <w:bCs w:val="0"/>
          <w:i/>
        </w:rPr>
        <w:t xml:space="preserve">HLA-A*31:01 </w:t>
      </w:r>
      <w:r w:rsidRPr="009665FB">
        <w:rPr>
          <w:rStyle w:val="Strong"/>
          <w:b w:val="0"/>
          <w:bCs w:val="0"/>
        </w:rPr>
        <w:t xml:space="preserve">and </w:t>
      </w:r>
      <w:r w:rsidRPr="003975F2">
        <w:rPr>
          <w:rStyle w:val="Strong"/>
          <w:b w:val="0"/>
          <w:bCs w:val="0"/>
          <w:i/>
        </w:rPr>
        <w:t xml:space="preserve">HLA-B*15:02 </w:t>
      </w:r>
      <w:r w:rsidRPr="009665FB">
        <w:rPr>
          <w:rStyle w:val="Strong"/>
          <w:b w:val="0"/>
          <w:bCs w:val="0"/>
        </w:rPr>
        <w:t>in a single test</w:t>
      </w:r>
      <w:r>
        <w:rPr>
          <w:rStyle w:val="Strong"/>
          <w:b w:val="0"/>
          <w:bCs w:val="0"/>
        </w:rPr>
        <w:t xml:space="preserve">, </w:t>
      </w:r>
      <w:r w:rsidRPr="009665FB">
        <w:rPr>
          <w:rStyle w:val="Strong"/>
          <w:b w:val="0"/>
          <w:bCs w:val="0"/>
        </w:rPr>
        <w:t>most laboratories would conduct separate tests, especially as a combined test would need to be developed and validated</w:t>
      </w:r>
      <w:r>
        <w:rPr>
          <w:rStyle w:val="Strong"/>
          <w:b w:val="0"/>
          <w:bCs w:val="0"/>
        </w:rPr>
        <w:t>.</w:t>
      </w:r>
      <w:r w:rsidRPr="422CAA86">
        <w:rPr>
          <w:rStyle w:val="Strong"/>
          <w:b w:val="0"/>
          <w:bCs w:val="0"/>
        </w:rPr>
        <w:t xml:space="preserve"> </w:t>
      </w:r>
    </w:p>
    <w:p w14:paraId="4D501E9A" w14:textId="77777777" w:rsidR="00D155C0" w:rsidRPr="007375DE" w:rsidRDefault="00D155C0" w:rsidP="00D155C0">
      <w:pPr>
        <w:pStyle w:val="BodyText"/>
        <w:rPr>
          <w:rStyle w:val="Strong"/>
          <w:b w:val="0"/>
          <w:lang w:val="en-GB"/>
        </w:rPr>
      </w:pPr>
      <w:r w:rsidRPr="70668EA8">
        <w:rPr>
          <w:rStyle w:val="Strong"/>
          <w:b w:val="0"/>
          <w:lang w:val="en-GB"/>
        </w:rPr>
        <w:t>ESC noted the explanatory note, which stated ‘</w:t>
      </w:r>
      <w:r w:rsidRPr="70668EA8">
        <w:rPr>
          <w:lang w:val="en-GB"/>
        </w:rPr>
        <w:t xml:space="preserve">genetic testing to be conducted in line with current guidelines and should include at least (but not </w:t>
      </w:r>
      <w:r>
        <w:rPr>
          <w:lang w:val="en-GB"/>
        </w:rPr>
        <w:t xml:space="preserve">be </w:t>
      </w:r>
      <w:r w:rsidRPr="70668EA8">
        <w:rPr>
          <w:lang w:val="en-GB"/>
        </w:rPr>
        <w:t xml:space="preserve">limited to) </w:t>
      </w:r>
      <w:r w:rsidRPr="003975F2">
        <w:rPr>
          <w:i/>
          <w:lang w:val="en-GB"/>
        </w:rPr>
        <w:t xml:space="preserve">HLA-B*15:02 </w:t>
      </w:r>
      <w:r w:rsidRPr="70668EA8">
        <w:rPr>
          <w:i/>
          <w:lang w:val="en-GB"/>
        </w:rPr>
        <w:t xml:space="preserve">and </w:t>
      </w:r>
      <w:r w:rsidRPr="000611A1">
        <w:rPr>
          <w:i/>
          <w:lang w:val="en-GB"/>
        </w:rPr>
        <w:t>HLA-</w:t>
      </w:r>
      <w:r w:rsidRPr="70668EA8">
        <w:rPr>
          <w:lang w:val="en-GB"/>
        </w:rPr>
        <w:t xml:space="preserve">A*31:01’. </w:t>
      </w:r>
      <w:r w:rsidRPr="70668EA8">
        <w:rPr>
          <w:rStyle w:val="Strong"/>
          <w:b w:val="0"/>
          <w:lang w:val="en-GB"/>
        </w:rPr>
        <w:t>ESC noted</w:t>
      </w:r>
      <w:r>
        <w:rPr>
          <w:rStyle w:val="Strong"/>
          <w:b w:val="0"/>
          <w:lang w:val="en-GB"/>
        </w:rPr>
        <w:t xml:space="preserve"> from the pre-ESC response that </w:t>
      </w:r>
      <w:r w:rsidRPr="000611A1">
        <w:rPr>
          <w:i/>
          <w:lang w:val="en-GB"/>
        </w:rPr>
        <w:t>HLA-</w:t>
      </w:r>
      <w:r w:rsidRPr="70668EA8">
        <w:rPr>
          <w:lang w:val="en-GB"/>
        </w:rPr>
        <w:t>B*15:21 was</w:t>
      </w:r>
      <w:r>
        <w:rPr>
          <w:lang w:val="en-GB"/>
        </w:rPr>
        <w:t xml:space="preserve"> also</w:t>
      </w:r>
      <w:r w:rsidRPr="70668EA8">
        <w:rPr>
          <w:lang w:val="en-GB"/>
        </w:rPr>
        <w:t xml:space="preserve"> identified as an allele of concern for patients commencing treatment with CBZ and OXC</w:t>
      </w:r>
      <w:r>
        <w:rPr>
          <w:lang w:val="en-GB"/>
        </w:rPr>
        <w:t xml:space="preserve"> and noted that the pre-ESC response observed that this emphasised the </w:t>
      </w:r>
      <w:r w:rsidRPr="00D869F4">
        <w:rPr>
          <w:lang w:val="en-GB"/>
        </w:rPr>
        <w:t xml:space="preserve">importance of </w:t>
      </w:r>
      <w:r>
        <w:rPr>
          <w:lang w:val="en-GB"/>
        </w:rPr>
        <w:t>the i</w:t>
      </w:r>
      <w:r w:rsidRPr="00D869F4">
        <w:rPr>
          <w:lang w:val="en-GB"/>
        </w:rPr>
        <w:t xml:space="preserve">tem descriptor </w:t>
      </w:r>
      <w:r>
        <w:rPr>
          <w:lang w:val="en-GB"/>
        </w:rPr>
        <w:t xml:space="preserve">not being </w:t>
      </w:r>
      <w:r w:rsidRPr="00D869F4">
        <w:rPr>
          <w:lang w:val="en-GB"/>
        </w:rPr>
        <w:t>limit</w:t>
      </w:r>
      <w:r>
        <w:rPr>
          <w:lang w:val="en-GB"/>
        </w:rPr>
        <w:t>ed</w:t>
      </w:r>
      <w:r w:rsidRPr="00D869F4">
        <w:rPr>
          <w:lang w:val="en-GB"/>
        </w:rPr>
        <w:t xml:space="preserve"> to </w:t>
      </w:r>
      <w:r w:rsidRPr="003975F2">
        <w:rPr>
          <w:i/>
          <w:lang w:val="en-GB"/>
        </w:rPr>
        <w:t xml:space="preserve">HLA-A*31:01 </w:t>
      </w:r>
      <w:r w:rsidRPr="00D869F4">
        <w:rPr>
          <w:lang w:val="en-GB"/>
        </w:rPr>
        <w:t xml:space="preserve">and </w:t>
      </w:r>
      <w:r w:rsidRPr="000611A1">
        <w:rPr>
          <w:i/>
          <w:lang w:val="en-GB"/>
        </w:rPr>
        <w:t>HLA-</w:t>
      </w:r>
      <w:r w:rsidRPr="00D869F4">
        <w:rPr>
          <w:lang w:val="en-GB"/>
        </w:rPr>
        <w:t>B*15:02</w:t>
      </w:r>
      <w:r>
        <w:rPr>
          <w:lang w:val="en-GB"/>
        </w:rPr>
        <w:t>.</w:t>
      </w:r>
      <w:r w:rsidRPr="70668EA8">
        <w:rPr>
          <w:lang w:val="en-GB"/>
        </w:rPr>
        <w:t xml:space="preserve"> ESC considered that this note should </w:t>
      </w:r>
      <w:r>
        <w:rPr>
          <w:lang w:val="en-GB"/>
        </w:rPr>
        <w:t>also</w:t>
      </w:r>
      <w:r w:rsidRPr="70668EA8">
        <w:rPr>
          <w:lang w:val="en-GB"/>
        </w:rPr>
        <w:t xml:space="preserve"> include advice about the limitations of test sensitivity</w:t>
      </w:r>
      <w:r>
        <w:rPr>
          <w:lang w:val="en-GB"/>
        </w:rPr>
        <w:t xml:space="preserve"> </w:t>
      </w:r>
      <w:r w:rsidRPr="70668EA8">
        <w:rPr>
          <w:lang w:val="en-GB"/>
        </w:rPr>
        <w:t>and advi</w:t>
      </w:r>
      <w:r>
        <w:rPr>
          <w:lang w:val="en-GB"/>
        </w:rPr>
        <w:t>s</w:t>
      </w:r>
      <w:r w:rsidRPr="70668EA8">
        <w:rPr>
          <w:lang w:val="en-GB"/>
        </w:rPr>
        <w:t>e that even if a patient tests negative this does not completely rule out the possibility of adverse drug reactions.</w:t>
      </w:r>
    </w:p>
    <w:p w14:paraId="15B2E578" w14:textId="77777777" w:rsidR="00D155C0" w:rsidRDefault="00D155C0" w:rsidP="00D155C0">
      <w:pPr>
        <w:pStyle w:val="BodyText"/>
      </w:pPr>
      <w:r w:rsidRPr="422CAA86">
        <w:rPr>
          <w:rStyle w:val="Strong"/>
          <w:b w:val="0"/>
          <w:bCs w:val="0"/>
        </w:rPr>
        <w:t>ESC noted the</w:t>
      </w:r>
      <w:r>
        <w:rPr>
          <w:rStyle w:val="Strong"/>
          <w:b w:val="0"/>
          <w:bCs w:val="0"/>
        </w:rPr>
        <w:t xml:space="preserve"> current and proposed </w:t>
      </w:r>
      <w:r w:rsidRPr="422CAA86">
        <w:rPr>
          <w:rStyle w:val="Strong"/>
          <w:b w:val="0"/>
          <w:bCs w:val="0"/>
        </w:rPr>
        <w:t>clinical management algorithm</w:t>
      </w:r>
      <w:r>
        <w:rPr>
          <w:rStyle w:val="Strong"/>
          <w:b w:val="0"/>
          <w:bCs w:val="0"/>
        </w:rPr>
        <w:t>s</w:t>
      </w:r>
      <w:r w:rsidRPr="422CAA86">
        <w:rPr>
          <w:rStyle w:val="Strong"/>
          <w:b w:val="0"/>
          <w:bCs w:val="0"/>
        </w:rPr>
        <w:t xml:space="preserve">. </w:t>
      </w:r>
    </w:p>
    <w:p w14:paraId="0B19F92D" w14:textId="77777777" w:rsidR="00D155C0" w:rsidRDefault="00D155C0" w:rsidP="00D155C0">
      <w:pPr>
        <w:pStyle w:val="BodyText"/>
      </w:pPr>
      <w:r>
        <w:t xml:space="preserve">ESC noted that </w:t>
      </w:r>
      <w:r w:rsidRPr="00306C04">
        <w:t xml:space="preserve">Clinical Pharmacogenetics Implementation Consortium </w:t>
      </w:r>
      <w:r>
        <w:t>(</w:t>
      </w:r>
      <w:r w:rsidRPr="004B5194">
        <w:t>CPIC</w:t>
      </w:r>
      <w:r>
        <w:t>)</w:t>
      </w:r>
      <w:r w:rsidRPr="004B5194">
        <w:t xml:space="preserve"> guidelines </w:t>
      </w:r>
      <w:r>
        <w:t xml:space="preserve">are </w:t>
      </w:r>
      <w:r w:rsidRPr="004B5194">
        <w:t>available</w:t>
      </w:r>
      <w:r>
        <w:t xml:space="preserve"> for HLA genotyping and the use of CBZ and OXC. Currently in Australia, the genotyping is </w:t>
      </w:r>
      <w:r w:rsidRPr="004B5194">
        <w:t xml:space="preserve">available as individual tests, </w:t>
      </w:r>
      <w:r>
        <w:t xml:space="preserve">with an associated </w:t>
      </w:r>
      <w:r w:rsidRPr="000034AA">
        <w:t xml:space="preserve">External Quality Assurance </w:t>
      </w:r>
      <w:r>
        <w:t>program.</w:t>
      </w:r>
    </w:p>
    <w:p w14:paraId="7E78D8E2" w14:textId="77777777" w:rsidR="00D155C0" w:rsidRDefault="00D155C0" w:rsidP="00D155C0">
      <w:pPr>
        <w:pStyle w:val="BodyText"/>
      </w:pPr>
      <w:r w:rsidRPr="422CAA86">
        <w:t xml:space="preserve">ESC noted that the clinical evidence was derived from </w:t>
      </w:r>
      <w:r>
        <w:t>two</w:t>
      </w:r>
      <w:r w:rsidRPr="422CAA86">
        <w:t xml:space="preserve"> main studies from China (Chang et al. 2023</w:t>
      </w:r>
      <w:r>
        <w:rPr>
          <w:rStyle w:val="FootnoteReference"/>
        </w:rPr>
        <w:footnoteReference w:id="22"/>
      </w:r>
      <w:r w:rsidRPr="422CAA86">
        <w:t>) and Hong Kong (Chen et al. 2014</w:t>
      </w:r>
      <w:r>
        <w:rPr>
          <w:rStyle w:val="FootnoteReference"/>
        </w:rPr>
        <w:footnoteReference w:id="23"/>
      </w:r>
      <w:r w:rsidRPr="422CAA86">
        <w:t>). Overall, ESC considered the certainty of evidence to be low to very low for direct test to health outcomes and test accuracy outcomes. ESC noted:</w:t>
      </w:r>
    </w:p>
    <w:p w14:paraId="7D255660" w14:textId="77777777" w:rsidR="00D155C0" w:rsidRDefault="00D155C0" w:rsidP="00D155C0">
      <w:pPr>
        <w:pStyle w:val="ListBullet"/>
      </w:pPr>
      <w:r w:rsidRPr="422CAA86">
        <w:t xml:space="preserve">the high risk of bias </w:t>
      </w:r>
      <w:r>
        <w:t>(homogenous ancestry)</w:t>
      </w:r>
    </w:p>
    <w:p w14:paraId="1C6F9FE2" w14:textId="77777777" w:rsidR="00D155C0" w:rsidRDefault="00D155C0" w:rsidP="00D155C0">
      <w:pPr>
        <w:pStyle w:val="ListBullet"/>
      </w:pPr>
      <w:r>
        <w:t>that there was d</w:t>
      </w:r>
      <w:r w:rsidRPr="005C057C">
        <w:t xml:space="preserve">irect evidence of </w:t>
      </w:r>
      <w:r w:rsidRPr="000611A1">
        <w:rPr>
          <w:i/>
          <w:iCs/>
        </w:rPr>
        <w:t>HLA-</w:t>
      </w:r>
      <w:r w:rsidRPr="005C057C">
        <w:t>B*15.02</w:t>
      </w:r>
      <w:r>
        <w:t xml:space="preserve"> testing</w:t>
      </w:r>
      <w:r w:rsidRPr="005C057C">
        <w:t xml:space="preserve"> alone</w:t>
      </w:r>
    </w:p>
    <w:p w14:paraId="01555016" w14:textId="5F1B5DE6" w:rsidR="00D155C0" w:rsidRDefault="00D155C0" w:rsidP="00D155C0">
      <w:pPr>
        <w:pStyle w:val="ListBullet"/>
      </w:pPr>
      <w:r>
        <w:lastRenderedPageBreak/>
        <w:t>t</w:t>
      </w:r>
      <w:r w:rsidRPr="00D5661E">
        <w:t xml:space="preserve">here </w:t>
      </w:r>
      <w:r>
        <w:t xml:space="preserve">was no direct </w:t>
      </w:r>
      <w:r w:rsidRPr="00D5661E">
        <w:t>evidence for clinical effectiveness</w:t>
      </w:r>
      <w:r>
        <w:t xml:space="preserve"> of combined </w:t>
      </w:r>
      <w:r w:rsidRPr="003975F2">
        <w:rPr>
          <w:i/>
          <w:iCs/>
        </w:rPr>
        <w:t xml:space="preserve">HLA-A*31:01 </w:t>
      </w:r>
      <w:r>
        <w:t xml:space="preserve">+ </w:t>
      </w:r>
      <w:r w:rsidRPr="000611A1">
        <w:rPr>
          <w:i/>
          <w:iCs/>
        </w:rPr>
        <w:t>HLA-</w:t>
      </w:r>
      <w:r w:rsidRPr="005C057C">
        <w:t>B*15.02</w:t>
      </w:r>
      <w:r>
        <w:t xml:space="preserve"> testing and n</w:t>
      </w:r>
      <w:r w:rsidRPr="005C057C">
        <w:t xml:space="preserve">o direct evidence for </w:t>
      </w:r>
      <w:r w:rsidRPr="003975F2">
        <w:rPr>
          <w:i/>
          <w:iCs/>
        </w:rPr>
        <w:t xml:space="preserve">HLA-A*31:01 </w:t>
      </w:r>
      <w:r>
        <w:t>testing alone.</w:t>
      </w:r>
    </w:p>
    <w:p w14:paraId="40EE0B33" w14:textId="77777777" w:rsidR="00D155C0" w:rsidRDefault="00D155C0" w:rsidP="00D155C0">
      <w:pPr>
        <w:pStyle w:val="BodyText"/>
      </w:pPr>
      <w:r w:rsidRPr="70668EA8">
        <w:rPr>
          <w:lang w:val="en-GB"/>
        </w:rPr>
        <w:t xml:space="preserve">ESC noted the predominantly East Asian population of the studies; one study comprised a Chinese-only population. No Australian studies or resulting estimates of diagnostic yield based on Australian ancestry proportions were included. </w:t>
      </w:r>
    </w:p>
    <w:p w14:paraId="073067A4" w14:textId="77777777" w:rsidR="00D155C0" w:rsidRPr="001363BB" w:rsidRDefault="00D155C0" w:rsidP="00D155C0">
      <w:pPr>
        <w:pStyle w:val="BodyText"/>
      </w:pPr>
      <w:r>
        <w:t>ESC noted the clinical claim of n</w:t>
      </w:r>
      <w:r w:rsidRPr="00493A31">
        <w:t>oninferior safety</w:t>
      </w:r>
      <w:r>
        <w:t xml:space="preserve">. ESC considered the </w:t>
      </w:r>
      <w:r w:rsidRPr="001363BB">
        <w:t>analytical performance of genotyping methods</w:t>
      </w:r>
      <w:r>
        <w:t xml:space="preserve"> to be robust, as there was a low p</w:t>
      </w:r>
      <w:r w:rsidRPr="001363BB">
        <w:t>robability of test-related false positiv</w:t>
      </w:r>
      <w:r>
        <w:t xml:space="preserve">es (FPs) </w:t>
      </w:r>
      <w:r w:rsidRPr="001363BB">
        <w:t xml:space="preserve">and false negatives </w:t>
      </w:r>
      <w:r>
        <w:t>(FNs) although specificity was generally higher than sensitivity. ESC also noted that test s</w:t>
      </w:r>
      <w:r w:rsidRPr="001363BB">
        <w:t>ensitivity</w:t>
      </w:r>
      <w:r w:rsidRPr="004A1440">
        <w:t xml:space="preserve"> and hence diagnostic yield and prognostic accuracy</w:t>
      </w:r>
      <w:r w:rsidRPr="001363BB">
        <w:t xml:space="preserve"> </w:t>
      </w:r>
      <w:r>
        <w:t xml:space="preserve">are </w:t>
      </w:r>
      <w:r w:rsidRPr="001363BB">
        <w:t xml:space="preserve">highly variable </w:t>
      </w:r>
      <w:r>
        <w:t xml:space="preserve">and </w:t>
      </w:r>
      <w:r w:rsidRPr="001363BB">
        <w:t xml:space="preserve">depend on ancestry, whether </w:t>
      </w:r>
      <w:r>
        <w:t xml:space="preserve">the </w:t>
      </w:r>
      <w:r w:rsidRPr="001363BB">
        <w:t>treatment is CBZ or OXC, and the type of adverse reaction that is expected to occur.</w:t>
      </w:r>
      <w:r>
        <w:t xml:space="preserve"> ESC also noted that n</w:t>
      </w:r>
      <w:r w:rsidRPr="001363BB">
        <w:t xml:space="preserve">ot all patients testing positive for the genotypes will be at increased risk of drug hypersensitivity reactions and not all patients testing negative for the genotypes will have no risk of drug hypersensitivity reactions. Clinical management in practice may result in patients </w:t>
      </w:r>
      <w:r>
        <w:t>identified as having</w:t>
      </w:r>
      <w:r w:rsidRPr="001363BB">
        <w:t xml:space="preserve"> a: </w:t>
      </w:r>
    </w:p>
    <w:p w14:paraId="6704C1C9" w14:textId="77777777" w:rsidR="00D155C0" w:rsidRPr="001363BB" w:rsidRDefault="00D155C0" w:rsidP="00D155C0">
      <w:pPr>
        <w:pStyle w:val="ListBullet"/>
      </w:pPr>
      <w:r>
        <w:t xml:space="preserve">high </w:t>
      </w:r>
      <w:r w:rsidRPr="00251FFC">
        <w:t xml:space="preserve">risk allele </w:t>
      </w:r>
      <w:r w:rsidRPr="422CAA86">
        <w:t xml:space="preserve">who are not actually at risk of drug hypersensitivity reactions unnecessarily changed to an alternative, possibly less effective, therapy </w:t>
      </w:r>
    </w:p>
    <w:p w14:paraId="3C8B399A" w14:textId="77777777" w:rsidR="00D155C0" w:rsidRDefault="00D155C0" w:rsidP="00D155C0">
      <w:pPr>
        <w:pStyle w:val="ListBullet"/>
      </w:pPr>
      <w:r w:rsidRPr="422CAA86">
        <w:t xml:space="preserve">negative </w:t>
      </w:r>
      <w:r>
        <w:t>genotype test</w:t>
      </w:r>
      <w:r w:rsidRPr="422CAA86">
        <w:t xml:space="preserve"> </w:t>
      </w:r>
      <w:r>
        <w:t xml:space="preserve">result, </w:t>
      </w:r>
      <w:r w:rsidRPr="422CAA86">
        <w:t>who are still at risk of drug hypersensitivity reactions</w:t>
      </w:r>
      <w:r>
        <w:t>,</w:t>
      </w:r>
      <w:r w:rsidRPr="422CAA86">
        <w:t xml:space="preserve"> not receiving an alternative treatment</w:t>
      </w:r>
      <w:r>
        <w:t>.</w:t>
      </w:r>
      <w:r w:rsidRPr="422CAA86">
        <w:t xml:space="preserve"> </w:t>
      </w:r>
      <w:r>
        <w:t>However, these patients may</w:t>
      </w:r>
      <w:r w:rsidRPr="422CAA86">
        <w:t xml:space="preserve"> still </w:t>
      </w:r>
      <w:r>
        <w:t xml:space="preserve">be </w:t>
      </w:r>
      <w:r w:rsidRPr="422CAA86">
        <w:t xml:space="preserve">at risk of drug hypersensitivity reactions because </w:t>
      </w:r>
      <w:r>
        <w:t xml:space="preserve">a negative genotype does not guarantee that a patient is not at risk for adverse reactions because </w:t>
      </w:r>
      <w:r w:rsidRPr="422CAA86">
        <w:t xml:space="preserve">the 2 alleles tested for in the application are not the only alleles associated with causing adverse drug reactions to CBZ and OXC.  </w:t>
      </w:r>
    </w:p>
    <w:p w14:paraId="442D8CE8" w14:textId="477403F6" w:rsidR="00D155C0" w:rsidRPr="00CB0007" w:rsidRDefault="00D155C0" w:rsidP="00D155C0">
      <w:pPr>
        <w:pStyle w:val="BodyText"/>
      </w:pPr>
      <w:r w:rsidRPr="422CAA86">
        <w:t xml:space="preserve">ESC noted the clinical claim that </w:t>
      </w:r>
      <w:r w:rsidRPr="003975F2">
        <w:rPr>
          <w:i/>
          <w:iCs/>
        </w:rPr>
        <w:t xml:space="preserve">HLA-A*31:01 </w:t>
      </w:r>
      <w:r w:rsidRPr="422CAA86">
        <w:t xml:space="preserve">and </w:t>
      </w:r>
      <w:r w:rsidRPr="003975F2">
        <w:rPr>
          <w:i/>
          <w:iCs/>
        </w:rPr>
        <w:t xml:space="preserve">HLA-B*15:02 </w:t>
      </w:r>
      <w:r w:rsidRPr="422CAA86">
        <w:t>genotyping before starting CBZ or OXC is superior compared to no pre-treatment genotyping for predicting CBZ- or OXC-related drug hypersensitivity.</w:t>
      </w:r>
      <w:r>
        <w:t xml:space="preserve"> As noted above, there </w:t>
      </w:r>
      <w:r w:rsidRPr="000E3DE0">
        <w:t xml:space="preserve">was </w:t>
      </w:r>
      <w:r w:rsidRPr="00712671">
        <w:t xml:space="preserve">no direct evidence for clinical effectiveness of combined </w:t>
      </w:r>
      <w:r w:rsidRPr="003975F2">
        <w:rPr>
          <w:i/>
        </w:rPr>
        <w:t xml:space="preserve">HLA-A*31:01 </w:t>
      </w:r>
      <w:r w:rsidRPr="00712671">
        <w:t xml:space="preserve">+ </w:t>
      </w:r>
      <w:r w:rsidRPr="000611A1">
        <w:rPr>
          <w:i/>
        </w:rPr>
        <w:t>HLA-</w:t>
      </w:r>
      <w:r w:rsidRPr="00712671">
        <w:t>B*15.02 testing</w:t>
      </w:r>
      <w:r>
        <w:t xml:space="preserve">, therefore </w:t>
      </w:r>
      <w:r w:rsidRPr="422CAA86">
        <w:t xml:space="preserve">ESC considered there to be insufficient evidence to determine the effectiveness of combined </w:t>
      </w:r>
      <w:r w:rsidRPr="003975F2">
        <w:rPr>
          <w:i/>
          <w:iCs/>
        </w:rPr>
        <w:t xml:space="preserve">HLA-A*31:01 </w:t>
      </w:r>
      <w:r w:rsidRPr="422CAA86">
        <w:t xml:space="preserve">and </w:t>
      </w:r>
      <w:r w:rsidRPr="003975F2">
        <w:rPr>
          <w:i/>
          <w:iCs/>
        </w:rPr>
        <w:t xml:space="preserve">HLA-B*15:02 </w:t>
      </w:r>
      <w:r w:rsidRPr="422CAA86">
        <w:t>genotyping before starting CBZ or OXC compared to no pre-treatment genotyping for:</w:t>
      </w:r>
    </w:p>
    <w:p w14:paraId="22837075" w14:textId="77777777" w:rsidR="00D155C0" w:rsidRPr="00CB0007" w:rsidRDefault="00D155C0" w:rsidP="00D155C0">
      <w:pPr>
        <w:pStyle w:val="ListBullet"/>
      </w:pPr>
      <w:r w:rsidRPr="422CAA86">
        <w:t>improving outcomes of overall survival, morbidity or mortality</w:t>
      </w:r>
    </w:p>
    <w:p w14:paraId="277DF99E" w14:textId="77777777" w:rsidR="00D155C0" w:rsidRPr="00CB0007" w:rsidRDefault="00D155C0" w:rsidP="00D155C0">
      <w:pPr>
        <w:pStyle w:val="ListBullet"/>
      </w:pPr>
      <w:r w:rsidRPr="00CB0007">
        <w:t xml:space="preserve">preventing </w:t>
      </w:r>
      <w:r>
        <w:t>CBZ</w:t>
      </w:r>
      <w:r w:rsidRPr="00CB0007">
        <w:t xml:space="preserve">- or </w:t>
      </w:r>
      <w:r>
        <w:t>OXC</w:t>
      </w:r>
      <w:r w:rsidRPr="00CB0007">
        <w:t>-related drug hypersensitivity (from switching</w:t>
      </w:r>
      <w:r>
        <w:t xml:space="preserve"> to an alternative treatment</w:t>
      </w:r>
      <w:r w:rsidRPr="00CB0007">
        <w:t>).</w:t>
      </w:r>
    </w:p>
    <w:p w14:paraId="26DDF652" w14:textId="77777777" w:rsidR="00D155C0" w:rsidRPr="00CB0007" w:rsidRDefault="00D155C0" w:rsidP="00D155C0">
      <w:pPr>
        <w:pStyle w:val="BodyText"/>
      </w:pPr>
      <w:r w:rsidRPr="422CAA86">
        <w:t xml:space="preserve">ESC noted </w:t>
      </w:r>
      <w:r>
        <w:t xml:space="preserve">that while there is </w:t>
      </w:r>
      <w:r w:rsidRPr="422CAA86">
        <w:t xml:space="preserve">evidence that implementation of policies for </w:t>
      </w:r>
      <w:r w:rsidRPr="003975F2">
        <w:rPr>
          <w:i/>
          <w:iCs/>
        </w:rPr>
        <w:t xml:space="preserve">HLA-B*15:02 </w:t>
      </w:r>
      <w:r w:rsidRPr="422CAA86">
        <w:t>genotyping before starting CBZ in East Asian populations reduces CBZ prescription and incidence of severe cutaneous adverse reactions (SCARs)</w:t>
      </w:r>
      <w:r>
        <w:t>,</w:t>
      </w:r>
      <w:r w:rsidRPr="422CAA86">
        <w:t xml:space="preserve"> adherence </w:t>
      </w:r>
      <w:r>
        <w:t xml:space="preserve">to the policy, that prescribing of CBZ or non-CBZ therapy should only occur after a patient’s test result is available, </w:t>
      </w:r>
      <w:r w:rsidRPr="422CAA86">
        <w:t>was low (26.4%)</w:t>
      </w:r>
      <w:r w:rsidRPr="00833F24">
        <w:rPr>
          <w:vertAlign w:val="superscript"/>
        </w:rPr>
        <w:t>2</w:t>
      </w:r>
      <w:r>
        <w:t>.</w:t>
      </w:r>
      <w:r w:rsidRPr="422CAA86">
        <w:t xml:space="preserve"> </w:t>
      </w:r>
      <w:r>
        <w:t>ESC noted that this was evidenced by</w:t>
      </w:r>
      <w:r w:rsidRPr="422CAA86">
        <w:t xml:space="preserve"> 40% of patients starting a non-CBZ therapy before the test result became available</w:t>
      </w:r>
      <w:r>
        <w:t>. Therefore</w:t>
      </w:r>
      <w:r w:rsidRPr="2129AECA">
        <w:t>,</w:t>
      </w:r>
      <w:r>
        <w:t xml:space="preserve"> ESC considered that</w:t>
      </w:r>
      <w:r w:rsidRPr="422CAA86">
        <w:t xml:space="preserve"> causality </w:t>
      </w:r>
      <w:r>
        <w:t>between testing and outcomes</w:t>
      </w:r>
      <w:r w:rsidRPr="422CAA86">
        <w:t xml:space="preserve"> c</w:t>
      </w:r>
      <w:r>
        <w:t>ould not</w:t>
      </w:r>
      <w:r w:rsidRPr="422CAA86">
        <w:t xml:space="preserve"> be ascertained</w:t>
      </w:r>
      <w:r>
        <w:t xml:space="preserve"> from this study</w:t>
      </w:r>
      <w:r w:rsidRPr="422CAA86">
        <w:t xml:space="preserve">. ESC considered there to be evidence for clinical effectiveness if each allele is assessed separately; however, </w:t>
      </w:r>
      <w:r>
        <w:t xml:space="preserve">as noted previously </w:t>
      </w:r>
      <w:r w:rsidRPr="422CAA86">
        <w:t xml:space="preserve">diagnostic yield and prognostic accuracy </w:t>
      </w:r>
      <w:r>
        <w:t>are</w:t>
      </w:r>
      <w:r w:rsidRPr="422CAA86">
        <w:t xml:space="preserve"> highly variable</w:t>
      </w:r>
      <w:r>
        <w:t xml:space="preserve">. </w:t>
      </w:r>
    </w:p>
    <w:p w14:paraId="2C3F6C0D" w14:textId="77777777" w:rsidR="00D155C0" w:rsidRDefault="00D155C0" w:rsidP="00D155C0">
      <w:pPr>
        <w:pStyle w:val="BodyText"/>
      </w:pPr>
      <w:r w:rsidRPr="00685C9B">
        <w:lastRenderedPageBreak/>
        <w:t xml:space="preserve">ESC also noted </w:t>
      </w:r>
      <w:r>
        <w:t xml:space="preserve">data on the prevalence of </w:t>
      </w:r>
      <w:r w:rsidRPr="00685C9B">
        <w:t>the</w:t>
      </w:r>
      <w:r>
        <w:t xml:space="preserve">se </w:t>
      </w:r>
      <w:r w:rsidRPr="00685C9B">
        <w:t xml:space="preserve">variant alleles </w:t>
      </w:r>
      <w:r>
        <w:t>reported in the CPIC Guidelines (last updated 2017) does not reflect higher prevalence figures reported in more recent studies</w:t>
      </w:r>
      <w:r w:rsidRPr="00685C9B">
        <w:t>.</w:t>
      </w:r>
      <w:r>
        <w:rPr>
          <w:rStyle w:val="FootnoteReference"/>
        </w:rPr>
        <w:footnoteReference w:id="24"/>
      </w:r>
      <w:r>
        <w:t xml:space="preserve"> </w:t>
      </w:r>
      <w:r>
        <w:rPr>
          <w:rStyle w:val="FootnoteReference"/>
        </w:rPr>
        <w:footnoteReference w:id="25"/>
      </w:r>
      <w:r>
        <w:t xml:space="preserve"> </w:t>
      </w:r>
      <w:r>
        <w:rPr>
          <w:rStyle w:val="FootnoteReference"/>
        </w:rPr>
        <w:footnoteReference w:id="26"/>
      </w:r>
    </w:p>
    <w:p w14:paraId="1820F469" w14:textId="48C8DE17" w:rsidR="00D155C0" w:rsidRDefault="00D155C0" w:rsidP="00D155C0">
      <w:pPr>
        <w:pStyle w:val="BodyText"/>
      </w:pPr>
      <w:r w:rsidRPr="00E9622F">
        <w:t>ESC noted that the economic evaluation</w:t>
      </w:r>
      <w:r>
        <w:t xml:space="preserve"> in the </w:t>
      </w:r>
      <w:r w:rsidRPr="007375DE">
        <w:rPr>
          <w:rStyle w:val="Strong"/>
          <w:b w:val="0"/>
          <w:bCs w:val="0"/>
        </w:rPr>
        <w:t>Department-contract</w:t>
      </w:r>
      <w:r>
        <w:rPr>
          <w:rStyle w:val="Strong"/>
          <w:b w:val="0"/>
          <w:bCs w:val="0"/>
        </w:rPr>
        <w:t>ed</w:t>
      </w:r>
      <w:r w:rsidRPr="007375DE">
        <w:rPr>
          <w:rStyle w:val="Strong"/>
          <w:b w:val="0"/>
          <w:bCs w:val="0"/>
        </w:rPr>
        <w:t xml:space="preserve"> assessment report </w:t>
      </w:r>
      <w:r>
        <w:rPr>
          <w:rStyle w:val="Strong"/>
          <w:b w:val="0"/>
          <w:bCs w:val="0"/>
        </w:rPr>
        <w:t>(</w:t>
      </w:r>
      <w:r>
        <w:t>DCAR) comprised a decision tree with Markov model which reported the results of a cost effectiveness analysis in terms of cost per patient with severe hypersensitivity reactions avoided and the results of separate cost utility analyses, one for epilepsy and one for TN.</w:t>
      </w:r>
      <w:r w:rsidRPr="00E9622F">
        <w:t xml:space="preserve"> ESC</w:t>
      </w:r>
      <w:r>
        <w:t xml:space="preserve"> noted the following features of the models and related issues</w:t>
      </w:r>
      <w:r w:rsidRPr="00E9622F">
        <w:t>:</w:t>
      </w:r>
    </w:p>
    <w:p w14:paraId="434D10C6" w14:textId="77777777" w:rsidR="00D155C0" w:rsidRDefault="00D155C0" w:rsidP="00D155C0">
      <w:pPr>
        <w:pStyle w:val="ListBullet"/>
      </w:pPr>
      <w:r w:rsidRPr="00BB49A1">
        <w:t>The high uncertainty of the available evidence</w:t>
      </w:r>
      <w:r>
        <w:t xml:space="preserve"> (as previously discussed)</w:t>
      </w:r>
      <w:r w:rsidRPr="00BB49A1">
        <w:t xml:space="preserve"> carries over into the uncertainty of the cost effectiveness and ICER findings from the economic evaluation. </w:t>
      </w:r>
    </w:p>
    <w:p w14:paraId="7E895158" w14:textId="77777777" w:rsidR="00D155C0" w:rsidRPr="00E9622F" w:rsidRDefault="00D155C0" w:rsidP="00D155C0">
      <w:pPr>
        <w:pStyle w:val="ListBullet"/>
      </w:pPr>
      <w:r w:rsidRPr="71E045BE">
        <w:t xml:space="preserve">The short term </w:t>
      </w:r>
      <w:r>
        <w:t xml:space="preserve">CUA </w:t>
      </w:r>
      <w:r w:rsidRPr="71E045BE">
        <w:t xml:space="preserve">model for epilepsy had a time horizon of 3 months while the long term </w:t>
      </w:r>
      <w:r>
        <w:t xml:space="preserve">CUA </w:t>
      </w:r>
      <w:r w:rsidRPr="71E045BE">
        <w:t xml:space="preserve">model had a lifetime horizon. The </w:t>
      </w:r>
      <w:r>
        <w:t xml:space="preserve">CUA </w:t>
      </w:r>
      <w:r w:rsidRPr="71E045BE">
        <w:t xml:space="preserve">model for TN had a 10 year time horizon. While these time horizons were acceptable, ESC considered that there were problems with the models’ structure which employed annual cycles because </w:t>
      </w:r>
      <w:r w:rsidRPr="422CAA86">
        <w:t>monthly cycles</w:t>
      </w:r>
      <w:r w:rsidRPr="71E045BE">
        <w:t xml:space="preserve"> </w:t>
      </w:r>
      <w:r>
        <w:t>may be</w:t>
      </w:r>
      <w:r w:rsidRPr="422CAA86">
        <w:t xml:space="preserve"> more appropriate </w:t>
      </w:r>
      <w:r>
        <w:t>as</w:t>
      </w:r>
      <w:r w:rsidRPr="422CAA86">
        <w:t xml:space="preserve"> this </w:t>
      </w:r>
      <w:r>
        <w:t>better aligns with therapy switching that is common in patients with epilepsy and reflects actual</w:t>
      </w:r>
      <w:r w:rsidRPr="422CAA86">
        <w:t xml:space="preserve"> clinical practice.</w:t>
      </w:r>
    </w:p>
    <w:p w14:paraId="75029FDE" w14:textId="77777777" w:rsidR="00D155C0" w:rsidRPr="003C4BF0" w:rsidRDefault="00D155C0" w:rsidP="00D155C0">
      <w:pPr>
        <w:pStyle w:val="ListBullet"/>
      </w:pPr>
      <w:r w:rsidRPr="6BDC8586">
        <w:t>The models employed some estimates based on Australian data which was appropriate for applicability.</w:t>
      </w:r>
      <w:r>
        <w:t xml:space="preserve"> However</w:t>
      </w:r>
      <w:r w:rsidRPr="6BDC8586">
        <w:t xml:space="preserve"> </w:t>
      </w:r>
      <w:r>
        <w:t>false positives (</w:t>
      </w:r>
      <w:r w:rsidRPr="6BDC8586">
        <w:t>FPs</w:t>
      </w:r>
      <w:r>
        <w:t>)</w:t>
      </w:r>
      <w:r w:rsidRPr="6BDC8586">
        <w:t xml:space="preserve"> and </w:t>
      </w:r>
      <w:r>
        <w:t>false negatives (</w:t>
      </w:r>
      <w:r w:rsidRPr="6BDC8586">
        <w:t>FNs</w:t>
      </w:r>
      <w:r>
        <w:t>)</w:t>
      </w:r>
      <w:r w:rsidRPr="6BDC8586">
        <w:t xml:space="preserve"> do not have pathways in the model but were ‘included in the costs and outcomes as per guidance by </w:t>
      </w:r>
      <w:proofErr w:type="spellStart"/>
      <w:r w:rsidRPr="6BDC8586">
        <w:t>Vellekoop</w:t>
      </w:r>
      <w:proofErr w:type="spellEnd"/>
      <w:r w:rsidRPr="6BDC8586">
        <w:t xml:space="preserve"> (2021)’. Further clarification was requested on how test sensitivity and specificity and therefore FPs and FNs were incorporated into the model. </w:t>
      </w:r>
      <w:r>
        <w:t xml:space="preserve">There were also some specific errors due to </w:t>
      </w:r>
      <w:r w:rsidRPr="6BDC8586">
        <w:t>input variables</w:t>
      </w:r>
      <w:r>
        <w:t xml:space="preserve"> not being entered correctly into the model</w:t>
      </w:r>
      <w:r w:rsidRPr="6BDC8586">
        <w:t xml:space="preserve"> </w:t>
      </w:r>
      <w:r>
        <w:t xml:space="preserve">which </w:t>
      </w:r>
      <w:r w:rsidRPr="6BDC8586">
        <w:t xml:space="preserve">required </w:t>
      </w:r>
      <w:r>
        <w:t xml:space="preserve">correction. </w:t>
      </w:r>
    </w:p>
    <w:p w14:paraId="00BBEE14" w14:textId="77777777" w:rsidR="00D155C0" w:rsidRPr="007E5C28" w:rsidRDefault="00D155C0" w:rsidP="00D155C0">
      <w:pPr>
        <w:pStyle w:val="ListBullet"/>
      </w:pPr>
      <w:r w:rsidRPr="70668EA8">
        <w:rPr>
          <w:lang w:val="en-GB"/>
        </w:rPr>
        <w:t>The model</w:t>
      </w:r>
      <w:r>
        <w:rPr>
          <w:lang w:val="en-GB"/>
        </w:rPr>
        <w:t xml:space="preserve"> </w:t>
      </w:r>
      <w:r w:rsidRPr="70668EA8">
        <w:rPr>
          <w:lang w:val="en-GB"/>
        </w:rPr>
        <w:t>used</w:t>
      </w:r>
      <w:r>
        <w:rPr>
          <w:lang w:val="en-GB"/>
        </w:rPr>
        <w:t xml:space="preserve"> some inputs derived from patients whose condition was considered </w:t>
      </w:r>
      <w:r w:rsidRPr="70668EA8">
        <w:rPr>
          <w:lang w:val="en-GB"/>
        </w:rPr>
        <w:t xml:space="preserve">‘drug resistant’ </w:t>
      </w:r>
      <w:r>
        <w:rPr>
          <w:lang w:val="en-GB"/>
        </w:rPr>
        <w:t>(i.e., they had to have failed at least 2 prior antiseizure medications) that differed from</w:t>
      </w:r>
      <w:r w:rsidRPr="70668EA8">
        <w:rPr>
          <w:lang w:val="en-GB"/>
        </w:rPr>
        <w:t xml:space="preserve"> the PICO</w:t>
      </w:r>
      <w:r>
        <w:rPr>
          <w:lang w:val="en-GB"/>
        </w:rPr>
        <w:t xml:space="preserve"> population which referred to a broader population of p</w:t>
      </w:r>
      <w:r w:rsidRPr="00345B5F">
        <w:rPr>
          <w:lang w:val="en-GB"/>
        </w:rPr>
        <w:t xml:space="preserve">atients about to start CBZ or OXC regardless of </w:t>
      </w:r>
      <w:r>
        <w:rPr>
          <w:lang w:val="en-GB"/>
        </w:rPr>
        <w:t xml:space="preserve">their </w:t>
      </w:r>
      <w:r w:rsidRPr="00345B5F">
        <w:rPr>
          <w:lang w:val="en-GB"/>
        </w:rPr>
        <w:t>epilepsy</w:t>
      </w:r>
      <w:r>
        <w:rPr>
          <w:lang w:val="en-GB"/>
        </w:rPr>
        <w:t xml:space="preserve"> severity.</w:t>
      </w:r>
    </w:p>
    <w:p w14:paraId="44A9346E" w14:textId="77777777" w:rsidR="00D155C0" w:rsidRDefault="00D155C0" w:rsidP="00D155C0">
      <w:pPr>
        <w:pStyle w:val="ListBullet"/>
      </w:pPr>
      <w:r w:rsidRPr="71E045BE">
        <w:t>Given the scarcity of evidence</w:t>
      </w:r>
      <w:r>
        <w:t>,</w:t>
      </w:r>
      <w:r w:rsidRPr="71E045BE">
        <w:t xml:space="preserve"> the models </w:t>
      </w:r>
      <w:r>
        <w:t>relied</w:t>
      </w:r>
      <w:r w:rsidRPr="71E045BE">
        <w:t xml:space="preserve"> on many assumptions</w:t>
      </w:r>
      <w:r>
        <w:t xml:space="preserve"> regarding the utilities and costs which were highly uncertain.</w:t>
      </w:r>
      <w:r w:rsidRPr="71E045BE">
        <w:t xml:space="preserve"> In particular, ESC noted that utilities were applied for remission and uncontrolled epilepsy assuming that 10 or more seizures </w:t>
      </w:r>
      <w:r>
        <w:t>per year</w:t>
      </w:r>
      <w:r w:rsidRPr="71E045BE">
        <w:t xml:space="preserve"> ‘constituted uncontrolled epilepsy and 1–3 seizures</w:t>
      </w:r>
      <w:r>
        <w:t xml:space="preserve"> per year</w:t>
      </w:r>
      <w:r w:rsidRPr="71E045BE">
        <w:t xml:space="preserve"> constituted ‘remission’, but seizure quantity does not </w:t>
      </w:r>
      <w:r>
        <w:t xml:space="preserve">necessarily </w:t>
      </w:r>
      <w:r w:rsidRPr="71E045BE">
        <w:t>equate to severity. Another example was that hospital</w:t>
      </w:r>
      <w:r>
        <w:t>isation</w:t>
      </w:r>
      <w:r w:rsidRPr="71E045BE">
        <w:t xml:space="preserve"> costs were derived from a sample of 66 patients from real-world data in Queensland</w:t>
      </w:r>
      <w:r>
        <w:t xml:space="preserve"> and it </w:t>
      </w:r>
      <w:r w:rsidRPr="000C21A6">
        <w:t>was assumed that the direct health care costs for people with uncontrolled epilepsy were</w:t>
      </w:r>
      <w:r>
        <w:t xml:space="preserve"> equivalent to the costs incurred by patients admitted to hospital, while those with controlled epilepsy were not hospitalised.</w:t>
      </w:r>
    </w:p>
    <w:p w14:paraId="2A4D3E86" w14:textId="77777777" w:rsidR="00D155C0" w:rsidRDefault="00D155C0" w:rsidP="00D155C0">
      <w:pPr>
        <w:pStyle w:val="ListBullet"/>
      </w:pPr>
      <w:r w:rsidRPr="422CAA86">
        <w:t xml:space="preserve">Face validity was not </w:t>
      </w:r>
      <w:r w:rsidRPr="71E045BE">
        <w:t xml:space="preserve">discussed in the DCAR </w:t>
      </w:r>
      <w:r w:rsidRPr="422CAA86">
        <w:t>and it was not clear if clinicians validated the model decisions</w:t>
      </w:r>
      <w:r w:rsidRPr="71E045BE">
        <w:t>; although model</w:t>
      </w:r>
      <w:r w:rsidRPr="422CAA86">
        <w:t xml:space="preserve"> traces were performed.</w:t>
      </w:r>
    </w:p>
    <w:p w14:paraId="70646275" w14:textId="5CFCFD82" w:rsidR="00D155C0" w:rsidRPr="00C667D7" w:rsidRDefault="00D155C0" w:rsidP="00D155C0">
      <w:pPr>
        <w:pStyle w:val="BodyText"/>
        <w:rPr>
          <w:i/>
          <w:iCs/>
        </w:rPr>
      </w:pPr>
      <w:r w:rsidRPr="00C667D7">
        <w:rPr>
          <w:i/>
          <w:iCs/>
        </w:rPr>
        <w:t xml:space="preserve">Post-ESC the assessment group clarified that the model incorporated FPs, FNs and the PPV by following the clinical utility of the intervention. i.e. ‘false negative’ patients follow the test negative arm and are identified in the treatment induced drug hypersensitivity reactions branch of that arm using the PPV from the clinical evidence. Thus, given the disease rate and the carrier rate in the model, the proportion of non-carriers that would develop hypersensitivity reactions </w:t>
      </w:r>
      <w:r w:rsidRPr="00C667D7">
        <w:rPr>
          <w:i/>
          <w:iCs/>
        </w:rPr>
        <w:lastRenderedPageBreak/>
        <w:t>was estimated to produce the assumed PPV of 0.77. FPs are not specifically identified in the model, but they follow the clinical utility of the test through the test positive branch of the intervention arm. The assessment group also clarified that drug resistant populations were not used in the model, rather the efficacy data was based on clinical trial patients that had two or more clinically definite unprovoked epileptic seizures in the previous year, which aligns with the PICO population.</w:t>
      </w:r>
    </w:p>
    <w:p w14:paraId="56222328" w14:textId="77777777" w:rsidR="00D155C0" w:rsidRDefault="00D155C0" w:rsidP="00D155C0">
      <w:pPr>
        <w:pStyle w:val="BodyText"/>
      </w:pPr>
      <w:r w:rsidRPr="422CAA86">
        <w:t>ESC noted that the stepped model used valproate (VPA) as an alternative treatment for CBZ/OXC because reactions to this drug appeared to be negligible, but ESC noted that although VPA is a common first drug of choice</w:t>
      </w:r>
      <w:r>
        <w:t xml:space="preserve"> for epilepsy</w:t>
      </w:r>
      <w:r w:rsidRPr="422CAA86">
        <w:t xml:space="preserve"> it is </w:t>
      </w:r>
      <w:r>
        <w:t>potentially used to manage</w:t>
      </w:r>
      <w:r w:rsidRPr="422CAA86">
        <w:t xml:space="preserve"> a different type of seizure </w:t>
      </w:r>
      <w:r>
        <w:t xml:space="preserve">compared to the seizures treated with </w:t>
      </w:r>
      <w:r w:rsidRPr="422CAA86">
        <w:t>CBZ.</w:t>
      </w:r>
      <w:r w:rsidRPr="422CAA86">
        <w:rPr>
          <w:rStyle w:val="FootnoteReference"/>
        </w:rPr>
        <w:footnoteReference w:id="27"/>
      </w:r>
      <w:r w:rsidRPr="422CAA86">
        <w:t xml:space="preserve"> </w:t>
      </w:r>
      <w:r>
        <w:t>ESC also noted that VPA wa</w:t>
      </w:r>
      <w:r w:rsidRPr="005533C8">
        <w:t xml:space="preserve">s one of the cheaper agents on the PBS and newer agents (topiramate and levetiracetam) </w:t>
      </w:r>
      <w:r>
        <w:t xml:space="preserve">were </w:t>
      </w:r>
      <w:r w:rsidRPr="005533C8">
        <w:t>significantly more expensive.</w:t>
      </w:r>
      <w:r>
        <w:t xml:space="preserve"> </w:t>
      </w:r>
      <w:r w:rsidRPr="422CAA86">
        <w:t>This model resulted in a base case incremental cost-effectiveness ratio (ICER) of $3,337 per patient with positive genotyping results</w:t>
      </w:r>
      <w:r w:rsidRPr="71E045BE">
        <w:t xml:space="preserve"> which was within the range of other MSAC supported genotyping germline tests. However</w:t>
      </w:r>
      <w:r>
        <w:t>,</w:t>
      </w:r>
      <w:r w:rsidRPr="71E045BE">
        <w:t xml:space="preserve"> ESC noted that this equated </w:t>
      </w:r>
      <w:r w:rsidRPr="422CAA86">
        <w:t xml:space="preserve">to $428,125 per patient with severe drug hypersensitivity reactions avoided. </w:t>
      </w:r>
    </w:p>
    <w:p w14:paraId="76AB8AB9" w14:textId="77777777" w:rsidR="00D155C0" w:rsidRDefault="00D155C0" w:rsidP="00D155C0">
      <w:pPr>
        <w:pStyle w:val="BodyText"/>
      </w:pPr>
      <w:r>
        <w:t>S</w:t>
      </w:r>
      <w:r w:rsidRPr="481C1A16">
        <w:t xml:space="preserve">eparate CUAs </w:t>
      </w:r>
      <w:r>
        <w:t xml:space="preserve">were reported </w:t>
      </w:r>
      <w:r w:rsidRPr="481C1A16">
        <w:t xml:space="preserve">(i.e. with separate costs per QALY) for epilepsy and TN. The DCAR reported that testing was found to be </w:t>
      </w:r>
      <w:r>
        <w:t xml:space="preserve">dominant for patients with epilepsy. </w:t>
      </w:r>
      <w:r w:rsidRPr="481C1A16">
        <w:t>However</w:t>
      </w:r>
      <w:r>
        <w:t>,</w:t>
      </w:r>
      <w:r w:rsidRPr="481C1A16">
        <w:t xml:space="preserve"> ESC disputed the interpretation of the base case results for epilepsy because the incremental gain in QALY was </w:t>
      </w:r>
      <w:r>
        <w:t>negligible</w:t>
      </w:r>
      <w:r w:rsidRPr="481C1A16">
        <w:t xml:space="preserve"> and therefore testing should be considered equivalent compared to no testing rather than dominant. </w:t>
      </w:r>
      <w:r>
        <w:t xml:space="preserve"> ESC noted that the pre-ESC response clarified that u</w:t>
      </w:r>
      <w:r w:rsidRPr="008F1538">
        <w:t xml:space="preserve">sage of CBZ for </w:t>
      </w:r>
      <w:r>
        <w:t>TN patients in the economic model</w:t>
      </w:r>
      <w:r w:rsidRPr="008F1538">
        <w:t xml:space="preserve"> should be 100%</w:t>
      </w:r>
      <w:r>
        <w:t xml:space="preserve"> instead of 12.78% and that correcting this error switched the ICER for testing of TN patients from ‘less costly and less effective’ to dominated.</w:t>
      </w:r>
      <w:r w:rsidRPr="004B764D">
        <w:t xml:space="preserve"> </w:t>
      </w:r>
      <w:r w:rsidRPr="00175969">
        <w:rPr>
          <w:i/>
          <w:iCs/>
        </w:rPr>
        <w:t>Post-ESC</w:t>
      </w:r>
      <w:r>
        <w:t xml:space="preserve"> </w:t>
      </w:r>
      <w:r w:rsidRPr="00175969">
        <w:rPr>
          <w:i/>
          <w:iCs/>
        </w:rPr>
        <w:t>correction of errors in the economic evaluation switched the ICER for patients with epilepsy from ‘dominant’ to more than $800,000 per QALY.</w:t>
      </w:r>
    </w:p>
    <w:p w14:paraId="2DF5C934" w14:textId="77777777" w:rsidR="00D155C0" w:rsidRDefault="00D155C0" w:rsidP="00D155C0">
      <w:pPr>
        <w:pStyle w:val="BodyText"/>
      </w:pPr>
      <w:r w:rsidRPr="422CAA86">
        <w:t xml:space="preserve">ESC noted that the financial impact to the MBS in years 1–6 was approximately $5.6 million (with a test fee of $188) and $4.1 million (with a test fee of $139) based on an uptake of about </w:t>
      </w:r>
      <w:r>
        <w:t xml:space="preserve">approximately </w:t>
      </w:r>
      <w:r w:rsidRPr="422CAA86">
        <w:t>9,500</w:t>
      </w:r>
      <w:r>
        <w:t xml:space="preserve"> patients per year</w:t>
      </w:r>
      <w:r w:rsidRPr="422CAA86">
        <w:t xml:space="preserve">, which would decrease after year 1. However, this uptake is highly uncertain. The average frequency of use of the proposed technology is once per lifetime. The </w:t>
      </w:r>
      <w:r w:rsidRPr="422CAA86">
        <w:rPr>
          <w:i/>
          <w:iCs/>
        </w:rPr>
        <w:t>HLA</w:t>
      </w:r>
      <w:r w:rsidRPr="422CAA86">
        <w:t xml:space="preserve"> genotyping w</w:t>
      </w:r>
      <w:r>
        <w:t>as predicted to</w:t>
      </w:r>
      <w:r w:rsidRPr="422CAA86">
        <w:t xml:space="preserve"> save the Pharmaceutical Benefits Scheme (PBS) between $22,000 in year 1 and $32,000 in year 6</w:t>
      </w:r>
      <w:r>
        <w:t xml:space="preserve"> due to </w:t>
      </w:r>
      <w:r w:rsidRPr="6BDC8586">
        <w:t xml:space="preserve">a change in use of PBS items from CBZ/OXC to </w:t>
      </w:r>
      <w:r>
        <w:t>v</w:t>
      </w:r>
      <w:r w:rsidRPr="6BDC8586">
        <w:t>alproate/</w:t>
      </w:r>
      <w:r>
        <w:t>g</w:t>
      </w:r>
      <w:r w:rsidRPr="6BDC8586">
        <w:t>abapentin</w:t>
      </w:r>
      <w:r w:rsidRPr="422CAA86">
        <w:t xml:space="preserve">. There would also be some savings </w:t>
      </w:r>
      <w:r>
        <w:t>i</w:t>
      </w:r>
      <w:r w:rsidRPr="422CAA86">
        <w:t>n hospitalisation costs</w:t>
      </w:r>
      <w:r>
        <w:t xml:space="preserve"> associated with adverse drug reactions accruing to State and Territory governments</w:t>
      </w:r>
      <w:r w:rsidRPr="422CAA86">
        <w:t>.</w:t>
      </w:r>
    </w:p>
    <w:p w14:paraId="49349C3E" w14:textId="77777777" w:rsidR="00D155C0" w:rsidRDefault="00D155C0" w:rsidP="00D155C0">
      <w:pPr>
        <w:pStyle w:val="BodyText"/>
      </w:pPr>
      <w:r>
        <w:rPr>
          <w:rStyle w:val="Strong"/>
          <w:b w:val="0"/>
          <w:bCs w:val="0"/>
        </w:rPr>
        <w:t xml:space="preserve">ESC noted that the </w:t>
      </w:r>
      <w:r w:rsidRPr="007375DE">
        <w:rPr>
          <w:rStyle w:val="Strong"/>
          <w:b w:val="0"/>
          <w:bCs w:val="0"/>
        </w:rPr>
        <w:t xml:space="preserve">DCAR did not </w:t>
      </w:r>
      <w:r>
        <w:rPr>
          <w:rStyle w:val="Strong"/>
          <w:b w:val="0"/>
          <w:bCs w:val="0"/>
        </w:rPr>
        <w:t xml:space="preserve">specifically </w:t>
      </w:r>
      <w:r w:rsidRPr="007375DE">
        <w:rPr>
          <w:rStyle w:val="Strong"/>
          <w:b w:val="0"/>
          <w:bCs w:val="0"/>
        </w:rPr>
        <w:t xml:space="preserve">address </w:t>
      </w:r>
      <w:r w:rsidRPr="007375DE" w:rsidDel="00DE27C6">
        <w:rPr>
          <w:rStyle w:val="Strong"/>
          <w:b w:val="0"/>
          <w:bCs w:val="0"/>
        </w:rPr>
        <w:t xml:space="preserve">how </w:t>
      </w:r>
      <w:r>
        <w:rPr>
          <w:rStyle w:val="Strong"/>
          <w:b w:val="0"/>
          <w:bCs w:val="0"/>
        </w:rPr>
        <w:t>First Nations people would be tested under this proposal. This was of concern because First Nations people had higher rates of epilepsy compared to the general population but were also more likely to live in rural and remote areas meaning that these populations were more likely to require testing specimens to be sent interstate or to a regional centre which may delay commencement of treatment.</w:t>
      </w:r>
      <w:r w:rsidRPr="00477867">
        <w:t xml:space="preserve"> </w:t>
      </w:r>
      <w:r>
        <w:t xml:space="preserve">It was also noted that notwithstanding the limited knowledge of the effectiveness of the test among First Nations people (as discussed below), some First Nations people with reduced access to testing may include those of partial ancestry from East Asian and other groups with a high prevalence of the high-risk alleles. </w:t>
      </w:r>
    </w:p>
    <w:p w14:paraId="025AD3E3" w14:textId="77777777" w:rsidR="00D155C0" w:rsidRDefault="00D155C0" w:rsidP="00D155C0">
      <w:pPr>
        <w:pStyle w:val="BodyText"/>
      </w:pPr>
      <w:r w:rsidRPr="422CAA86">
        <w:t>ESC</w:t>
      </w:r>
      <w:r w:rsidRPr="71E045BE">
        <w:t xml:space="preserve"> </w:t>
      </w:r>
      <w:r>
        <w:t>noted</w:t>
      </w:r>
      <w:r w:rsidRPr="422CAA86">
        <w:t xml:space="preserve"> that there is no or limited evidence of effectiveness of </w:t>
      </w:r>
      <w:r w:rsidRPr="422CAA86">
        <w:rPr>
          <w:i/>
          <w:iCs/>
        </w:rPr>
        <w:t>HLA</w:t>
      </w:r>
      <w:r w:rsidRPr="422CAA86">
        <w:t xml:space="preserve"> genotyping in First Nations people or the general multi-ancestral population because there are no Australian clinical effectiveness data</w:t>
      </w:r>
      <w:r>
        <w:t xml:space="preserve"> available</w:t>
      </w:r>
      <w:r w:rsidRPr="422CAA86">
        <w:t xml:space="preserve">. </w:t>
      </w:r>
      <w:r>
        <w:t>ESC recommended that MSAC give consideration to a proposal to collect (subject to patient consent) a</w:t>
      </w:r>
      <w:r w:rsidRPr="71E045BE">
        <w:t xml:space="preserve">ncestry </w:t>
      </w:r>
      <w:r>
        <w:t>data</w:t>
      </w:r>
      <w:r w:rsidRPr="422CAA86">
        <w:t xml:space="preserve"> in test referral </w:t>
      </w:r>
      <w:r w:rsidRPr="2129AECA">
        <w:t xml:space="preserve">forms </w:t>
      </w:r>
      <w:r w:rsidRPr="422CAA86">
        <w:t xml:space="preserve">and/or in data dictionaries in research conducted in Australia to establish and broaden known pathogenic </w:t>
      </w:r>
      <w:r w:rsidRPr="422CAA86">
        <w:rPr>
          <w:i/>
          <w:iCs/>
        </w:rPr>
        <w:t>HLA</w:t>
      </w:r>
      <w:r w:rsidRPr="422CAA86">
        <w:t xml:space="preserve"> alleles in the Australian population. ESC</w:t>
      </w:r>
      <w:r w:rsidRPr="71E045BE">
        <w:t xml:space="preserve"> </w:t>
      </w:r>
      <w:r>
        <w:t>also</w:t>
      </w:r>
      <w:r w:rsidRPr="422CAA86">
        <w:t xml:space="preserve"> considered that it was necessary for the applicant to consider how it </w:t>
      </w:r>
      <w:r>
        <w:t>could</w:t>
      </w:r>
      <w:r w:rsidRPr="422CAA86">
        <w:t xml:space="preserve"> work with First Nations communities to </w:t>
      </w:r>
      <w:r>
        <w:t>address the equity and access issues (as previously noted) associated with providing testing to these communities</w:t>
      </w:r>
      <w:r w:rsidRPr="71E045BE">
        <w:t xml:space="preserve">. </w:t>
      </w:r>
      <w:r>
        <w:t xml:space="preserve">More generally, given </w:t>
      </w:r>
      <w:r>
        <w:lastRenderedPageBreak/>
        <w:t xml:space="preserve">the issues identified with testing of HLA alleles, </w:t>
      </w:r>
      <w:r w:rsidRPr="422CAA86">
        <w:t>ESC considered that a registry for pharmacogenomics would be helpful, notwithstanding the fact that self-reporting ancestry is proven to be very unreliable.</w:t>
      </w:r>
      <w:r w:rsidRPr="007C5516">
        <w:t xml:space="preserve"> </w:t>
      </w:r>
      <w:r>
        <w:t xml:space="preserve">ESC noted that the establishment of </w:t>
      </w:r>
      <w:r w:rsidRPr="007C5516">
        <w:t>a registry w</w:t>
      </w:r>
      <w:r>
        <w:t>ould</w:t>
      </w:r>
      <w:r w:rsidRPr="007C5516">
        <w:t xml:space="preserve"> </w:t>
      </w:r>
      <w:r>
        <w:t xml:space="preserve">facilitate the linking of </w:t>
      </w:r>
      <w:r w:rsidRPr="007C5516">
        <w:t xml:space="preserve">clinical data to HLA variant allele data which would also </w:t>
      </w:r>
      <w:r>
        <w:t xml:space="preserve">facilitate the production of </w:t>
      </w:r>
      <w:r w:rsidRPr="007C5516">
        <w:t xml:space="preserve">more direct evidence over time </w:t>
      </w:r>
      <w:r>
        <w:t xml:space="preserve">to support the </w:t>
      </w:r>
      <w:r w:rsidRPr="007C5516">
        <w:t>prediction of adverse reaction in various ancestries.</w:t>
      </w:r>
      <w:r w:rsidRPr="422CAA86">
        <w:t xml:space="preserve"> </w:t>
      </w:r>
      <w:r>
        <w:t>S</w:t>
      </w:r>
      <w:r w:rsidRPr="422CAA86">
        <w:t xml:space="preserve">tudies using genomic sequencing </w:t>
      </w:r>
      <w:r>
        <w:t>may</w:t>
      </w:r>
      <w:r w:rsidRPr="422CAA86">
        <w:t xml:space="preserve"> infer </w:t>
      </w:r>
      <w:r>
        <w:t>ancestry</w:t>
      </w:r>
      <w:r w:rsidRPr="71E045BE">
        <w:t xml:space="preserve"> </w:t>
      </w:r>
      <w:r w:rsidRPr="422CAA86">
        <w:t>and should be considered</w:t>
      </w:r>
      <w:r>
        <w:t xml:space="preserve"> (within ethically responsible boundaries/conditions)</w:t>
      </w:r>
      <w:r w:rsidRPr="422CAA86">
        <w:t xml:space="preserve"> in future research. In addition, ESC considered that the limitations of </w:t>
      </w:r>
      <w:r>
        <w:t xml:space="preserve">allele </w:t>
      </w:r>
      <w:r w:rsidRPr="422CAA86">
        <w:t>testing should be clearly articulated in associated fact sheets and discussed with patients. ESC noted</w:t>
      </w:r>
      <w:r w:rsidRPr="71E045BE">
        <w:t xml:space="preserve"> </w:t>
      </w:r>
      <w:r w:rsidRPr="422CAA86">
        <w:t xml:space="preserve">that pharmacogenomic testing in Australia </w:t>
      </w:r>
      <w:r>
        <w:t xml:space="preserve">has lagged </w:t>
      </w:r>
      <w:r w:rsidRPr="422CAA86">
        <w:t>behind other high-income countries</w:t>
      </w:r>
      <w:r>
        <w:t xml:space="preserve"> in terms of </w:t>
      </w:r>
      <w:r w:rsidRPr="422CAA86">
        <w:t>general uptake and implementation</w:t>
      </w:r>
      <w:r>
        <w:t>. ESC considered</w:t>
      </w:r>
      <w:r w:rsidRPr="422CAA86">
        <w:t xml:space="preserve"> that </w:t>
      </w:r>
      <w:r>
        <w:t xml:space="preserve">continued/expanded </w:t>
      </w:r>
      <w:r w:rsidRPr="422CAA86">
        <w:t>education and acceptance of the validity of personalising care for patients based on pharmacogenomics is needed</w:t>
      </w:r>
      <w:r>
        <w:t xml:space="preserve"> to raise awareness and to support appropriate testing in relevant situations</w:t>
      </w:r>
      <w:r w:rsidRPr="422CAA86">
        <w:t xml:space="preserve">. </w:t>
      </w:r>
    </w:p>
    <w:p w14:paraId="717F6B60" w14:textId="77777777" w:rsidR="00D155C0" w:rsidRPr="00A01DE6" w:rsidRDefault="00D155C0" w:rsidP="00D155C0">
      <w:pPr>
        <w:pStyle w:val="BodyText"/>
      </w:pPr>
      <w:r>
        <w:t xml:space="preserve">ESC noted potential legal issues associated with such testing because if a </w:t>
      </w:r>
      <w:r w:rsidRPr="00A01DE6">
        <w:t xml:space="preserve">test </w:t>
      </w:r>
      <w:r>
        <w:t xml:space="preserve">is </w:t>
      </w:r>
      <w:r w:rsidRPr="00A01DE6">
        <w:t>available</w:t>
      </w:r>
      <w:r>
        <w:t xml:space="preserve"> for </w:t>
      </w:r>
      <w:r w:rsidRPr="004E0DF7">
        <w:rPr>
          <w:i/>
          <w:iCs/>
        </w:rPr>
        <w:t>HLA</w:t>
      </w:r>
      <w:r>
        <w:t xml:space="preserve"> genotyping and it is </w:t>
      </w:r>
      <w:r w:rsidRPr="00A01DE6">
        <w:t xml:space="preserve">not offered or accessible and a severe </w:t>
      </w:r>
      <w:r>
        <w:t xml:space="preserve">adverse drug reaction </w:t>
      </w:r>
      <w:r w:rsidRPr="00A01DE6">
        <w:t xml:space="preserve">occurs in an individual who </w:t>
      </w:r>
      <w:r>
        <w:t xml:space="preserve">would have tested positive to the testing, the </w:t>
      </w:r>
      <w:r w:rsidRPr="00A01DE6">
        <w:t xml:space="preserve">litigation risk is moderate </w:t>
      </w:r>
      <w:r>
        <w:t>to</w:t>
      </w:r>
      <w:r w:rsidRPr="00A01DE6">
        <w:t xml:space="preserve"> high</w:t>
      </w:r>
      <w:r>
        <w:t>.</w:t>
      </w:r>
    </w:p>
    <w:p w14:paraId="40473FC2" w14:textId="77777777" w:rsidR="00D155C0" w:rsidRDefault="00D155C0" w:rsidP="00D155C0">
      <w:pPr>
        <w:pStyle w:val="BodyText"/>
      </w:pPr>
      <w:r>
        <w:t xml:space="preserve">ESC considered there to be a </w:t>
      </w:r>
      <w:r w:rsidRPr="00A01DE6">
        <w:t>minimal risk</w:t>
      </w:r>
      <w:r>
        <w:t xml:space="preserve"> of ethical issues arising</w:t>
      </w:r>
      <w:r w:rsidRPr="00A01DE6">
        <w:t xml:space="preserve"> </w:t>
      </w:r>
      <w:r>
        <w:t xml:space="preserve">from this type of </w:t>
      </w:r>
      <w:r w:rsidRPr="00A01DE6">
        <w:t>genetic testing</w:t>
      </w:r>
      <w:r>
        <w:t>, as the r</w:t>
      </w:r>
      <w:r w:rsidRPr="00A01DE6">
        <w:t xml:space="preserve">isk </w:t>
      </w:r>
      <w:r>
        <w:t xml:space="preserve">of </w:t>
      </w:r>
      <w:r w:rsidRPr="00A01DE6">
        <w:t>psychological harm</w:t>
      </w:r>
      <w:r>
        <w:t xml:space="preserve"> is</w:t>
      </w:r>
      <w:r w:rsidRPr="00A01DE6">
        <w:t xml:space="preserve"> low if </w:t>
      </w:r>
      <w:r>
        <w:t xml:space="preserve">a </w:t>
      </w:r>
      <w:r w:rsidRPr="00A01DE6">
        <w:t xml:space="preserve">variant allele </w:t>
      </w:r>
      <w:r>
        <w:t xml:space="preserve">is </w:t>
      </w:r>
      <w:r w:rsidRPr="00A01DE6">
        <w:t xml:space="preserve">present and </w:t>
      </w:r>
      <w:r>
        <w:t xml:space="preserve">is only </w:t>
      </w:r>
      <w:r w:rsidRPr="00A01DE6">
        <w:t>relevant to th</w:t>
      </w:r>
      <w:r>
        <w:t>at</w:t>
      </w:r>
      <w:r w:rsidRPr="00A01DE6">
        <w:t xml:space="preserve"> individual.</w:t>
      </w:r>
      <w:r>
        <w:t xml:space="preserve"> ESC also noted </w:t>
      </w:r>
      <w:r w:rsidRPr="00A01DE6">
        <w:t>psychological benefit</w:t>
      </w:r>
      <w:r>
        <w:t>s of testing, as</w:t>
      </w:r>
      <w:r w:rsidRPr="00A01DE6">
        <w:t xml:space="preserve"> know</w:t>
      </w:r>
      <w:r>
        <w:t xml:space="preserve">ledge of </w:t>
      </w:r>
      <w:r w:rsidRPr="00A01DE6">
        <w:t>an allele associated with a risk of adverse reaction</w:t>
      </w:r>
      <w:r>
        <w:t>s</w:t>
      </w:r>
      <w:r w:rsidRPr="00A01DE6">
        <w:t xml:space="preserve"> </w:t>
      </w:r>
      <w:r>
        <w:t>provides</w:t>
      </w:r>
      <w:r w:rsidRPr="00A01DE6">
        <w:t xml:space="preserve"> greater perceived control of choices and health outcome</w:t>
      </w:r>
      <w:r>
        <w:t>s</w:t>
      </w:r>
      <w:r w:rsidRPr="00A01DE6">
        <w:t xml:space="preserve">, </w:t>
      </w:r>
      <w:r>
        <w:t>potentially l</w:t>
      </w:r>
      <w:r w:rsidRPr="00A01DE6">
        <w:t>ower</w:t>
      </w:r>
      <w:r>
        <w:t>s</w:t>
      </w:r>
      <w:r w:rsidRPr="00A01DE6">
        <w:t xml:space="preserve"> </w:t>
      </w:r>
      <w:r>
        <w:t xml:space="preserve">the </w:t>
      </w:r>
      <w:r w:rsidRPr="00A01DE6">
        <w:t xml:space="preserve">risk of </w:t>
      </w:r>
      <w:r>
        <w:t>adverse events</w:t>
      </w:r>
      <w:r w:rsidRPr="00A01DE6">
        <w:t xml:space="preserve">, and </w:t>
      </w:r>
      <w:r>
        <w:t xml:space="preserve">thus </w:t>
      </w:r>
      <w:r w:rsidRPr="00A01DE6">
        <w:t>avoid</w:t>
      </w:r>
      <w:r>
        <w:t xml:space="preserve">s </w:t>
      </w:r>
      <w:r w:rsidRPr="00A01DE6">
        <w:t>psychological and economic burden on carers and family</w:t>
      </w:r>
      <w:r>
        <w:t>.</w:t>
      </w:r>
    </w:p>
    <w:p w14:paraId="0865C607" w14:textId="77777777" w:rsidR="00D155C0" w:rsidRDefault="00D155C0" w:rsidP="00D155C0">
      <w:pPr>
        <w:pStyle w:val="BodyText"/>
      </w:pPr>
      <w:r w:rsidRPr="422CAA86">
        <w:t xml:space="preserve">Before MSAC considers this application, ESC </w:t>
      </w:r>
      <w:r w:rsidRPr="009336AD">
        <w:t xml:space="preserve">considered </w:t>
      </w:r>
      <w:r>
        <w:t xml:space="preserve">that </w:t>
      </w:r>
      <w:r w:rsidRPr="009336AD">
        <w:t>the following matters</w:t>
      </w:r>
      <w:r>
        <w:t xml:space="preserve"> which were not addressed in the post-ESC information provided by the assessment group</w:t>
      </w:r>
      <w:r w:rsidRPr="009336AD">
        <w:t xml:space="preserve"> may need to be resolved</w:t>
      </w:r>
      <w:r w:rsidRPr="422CAA86">
        <w:t>:</w:t>
      </w:r>
    </w:p>
    <w:p w14:paraId="436AB822" w14:textId="77777777" w:rsidR="00D155C0" w:rsidRPr="00AB22C0" w:rsidRDefault="00D155C0" w:rsidP="00D155C0">
      <w:pPr>
        <w:pStyle w:val="ListBullet"/>
      </w:pPr>
      <w:r>
        <w:t xml:space="preserve">review any </w:t>
      </w:r>
      <w:r w:rsidRPr="00AB22C0">
        <w:t>evidence support</w:t>
      </w:r>
      <w:r>
        <w:t xml:space="preserve">ing the pre-ESC response’s claim that </w:t>
      </w:r>
      <w:r w:rsidRPr="00AB22C0">
        <w:t xml:space="preserve">alternative drugs are </w:t>
      </w:r>
      <w:r>
        <w:t>non-inferior in effectiveness to CBZ and OXC</w:t>
      </w:r>
    </w:p>
    <w:p w14:paraId="1CEDB70B" w14:textId="53483D0B" w:rsidR="00D155C0" w:rsidRDefault="00D155C0" w:rsidP="00A737D1">
      <w:pPr>
        <w:pStyle w:val="ListBullet"/>
        <w:ind w:left="357" w:hanging="357"/>
        <w:contextualSpacing w:val="0"/>
      </w:pPr>
      <w:r>
        <w:t>c</w:t>
      </w:r>
      <w:r w:rsidRPr="000E3DE0">
        <w:t xml:space="preserve">onfirm whether the choice of VPA in the economic model is </w:t>
      </w:r>
      <w:r>
        <w:t xml:space="preserve">an </w:t>
      </w:r>
      <w:r w:rsidRPr="000E3DE0">
        <w:t>appropriate alternative treatment (or proxy) to CBZ or OXC in relation to epileptic seizure typ</w:t>
      </w:r>
      <w:r>
        <w:t>es</w:t>
      </w:r>
    </w:p>
    <w:p w14:paraId="084F82BC" w14:textId="155AA0D2" w:rsidR="00D155C0" w:rsidRDefault="00D155C0" w:rsidP="00A737D1">
      <w:pPr>
        <w:pStyle w:val="ListBullet"/>
        <w:numPr>
          <w:ilvl w:val="0"/>
          <w:numId w:val="0"/>
        </w:numPr>
        <w:spacing w:before="240"/>
      </w:pPr>
      <w:r>
        <w:t>ESC advised that the</w:t>
      </w:r>
      <w:r w:rsidRPr="000E3DE0">
        <w:t xml:space="preserve"> applicant may wish to advise in its response</w:t>
      </w:r>
      <w:r>
        <w:t xml:space="preserve"> </w:t>
      </w:r>
      <w:r w:rsidRPr="000E3DE0">
        <w:t>which other drugs</w:t>
      </w:r>
      <w:r>
        <w:t xml:space="preserve"> (a) </w:t>
      </w:r>
      <w:r w:rsidRPr="000E3DE0">
        <w:t>fall into the dibenzoazepine class</w:t>
      </w:r>
      <w:r>
        <w:t xml:space="preserve"> (b)</w:t>
      </w:r>
      <w:r w:rsidRPr="000E3DE0">
        <w:t xml:space="preserve"> are PBS listed, and c) are used for the neurological indications, </w:t>
      </w:r>
      <w:r>
        <w:t xml:space="preserve">as this advice would enable MSAC </w:t>
      </w:r>
      <w:r w:rsidRPr="000E3DE0">
        <w:t>to determine if it is appropriate to expand the testing under the proposed service to all drugs in the dibenzoazepine class.</w:t>
      </w:r>
    </w:p>
    <w:p w14:paraId="481576A4" w14:textId="77777777" w:rsidR="00A737D1" w:rsidRPr="00A737D1" w:rsidRDefault="00A737D1" w:rsidP="00A737D1">
      <w:pPr>
        <w:pStyle w:val="Heading2"/>
        <w:numPr>
          <w:ilvl w:val="0"/>
          <w:numId w:val="21"/>
        </w:numPr>
        <w:ind w:hanging="720"/>
      </w:pPr>
      <w:bookmarkStart w:id="47" w:name="_Hlk193984667"/>
      <w:r w:rsidRPr="003A793E">
        <w:t>Applicant comments on MSAC’s Public Summary Document</w:t>
      </w:r>
    </w:p>
    <w:p w14:paraId="7F37B572" w14:textId="65C87649" w:rsidR="00062C75" w:rsidRDefault="00062C75" w:rsidP="00062C75">
      <w:r w:rsidRPr="008B7C1F">
        <w:t>The College’s Working Party would</w:t>
      </w:r>
      <w:r>
        <w:t xml:space="preserve"> </w:t>
      </w:r>
      <w:r w:rsidRPr="008B7C1F">
        <w:t xml:space="preserve">like to express their delight in MSAC approving public funding for </w:t>
      </w:r>
      <w:r>
        <w:t>HLA</w:t>
      </w:r>
      <w:r w:rsidRPr="008B7C1F">
        <w:t xml:space="preserve"> genotyping, and would like to take this opportunity to thank the Department for its assistance throughout the assessment process.</w:t>
      </w:r>
      <w:r>
        <w:t xml:space="preserve"> </w:t>
      </w:r>
      <w:r w:rsidR="00FA646C">
        <w:t>We</w:t>
      </w:r>
      <w:r w:rsidR="00FA646C" w:rsidRPr="008B7C1F">
        <w:t xml:space="preserve"> </w:t>
      </w:r>
      <w:r w:rsidR="00FA646C">
        <w:t xml:space="preserve">remain committed to assisting the Department with the review of utilisation in future, as needed. </w:t>
      </w:r>
    </w:p>
    <w:p w14:paraId="03AF78F5" w14:textId="77777777" w:rsidR="00A737D1" w:rsidRPr="00A737D1" w:rsidRDefault="00A737D1" w:rsidP="00A737D1">
      <w:pPr>
        <w:pStyle w:val="Heading2"/>
        <w:numPr>
          <w:ilvl w:val="0"/>
          <w:numId w:val="21"/>
        </w:numPr>
        <w:ind w:hanging="720"/>
      </w:pPr>
      <w:r w:rsidRPr="003A793E">
        <w:t>Further information on MSAC</w:t>
      </w:r>
    </w:p>
    <w:p w14:paraId="65ECCA30" w14:textId="4436ACAA" w:rsidR="00A737D1" w:rsidRPr="00A737D1" w:rsidRDefault="00A737D1" w:rsidP="00A737D1">
      <w:pPr>
        <w:pStyle w:val="BodyText"/>
        <w:rPr>
          <w:b/>
          <w:bCs/>
          <w:i/>
          <w:iCs/>
        </w:rPr>
      </w:pPr>
      <w:r w:rsidRPr="00F309FA">
        <w:rPr>
          <w:bCs/>
          <w:iCs/>
        </w:rPr>
        <w:t xml:space="preserve">MSAC Terms of Reference and other information are available on the MSAC Website: </w:t>
      </w:r>
      <w:hyperlink r:id="rId28" w:tooltip="Link to the MSAC website" w:history="1">
        <w:r w:rsidRPr="000D2098">
          <w:rPr>
            <w:rStyle w:val="Hyperlink"/>
            <w:iCs/>
            <w:color w:val="007BB8"/>
          </w:rPr>
          <w:t>visit the MSAC website</w:t>
        </w:r>
      </w:hyperlink>
      <w:bookmarkEnd w:id="47"/>
    </w:p>
    <w:sectPr w:rsidR="00A737D1" w:rsidRPr="00A737D1" w:rsidSect="008335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11BFB" w14:textId="77777777" w:rsidR="009B703E" w:rsidRDefault="009B703E" w:rsidP="006F19A4">
      <w:r>
        <w:separator/>
      </w:r>
    </w:p>
  </w:endnote>
  <w:endnote w:type="continuationSeparator" w:id="0">
    <w:p w14:paraId="52F68949" w14:textId="77777777" w:rsidR="009B703E" w:rsidRDefault="009B703E" w:rsidP="006F19A4">
      <w:r>
        <w:continuationSeparator/>
      </w:r>
    </w:p>
  </w:endnote>
  <w:endnote w:type="continuationNotice" w:id="1">
    <w:p w14:paraId="5ADE7228" w14:textId="77777777" w:rsidR="009B703E" w:rsidRDefault="009B703E" w:rsidP="006F1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0C78" w14:textId="77777777" w:rsidR="00E95603" w:rsidRDefault="00E95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529643"/>
      <w:docPartObj>
        <w:docPartGallery w:val="Page Numbers (Bottom of Page)"/>
        <w:docPartUnique/>
      </w:docPartObj>
    </w:sdtPr>
    <w:sdtEndPr>
      <w:rPr>
        <w:noProof/>
      </w:rPr>
    </w:sdtEndPr>
    <w:sdtContent>
      <w:p w14:paraId="5CDCEDD4" w14:textId="6BFD99B5" w:rsidR="00E95603" w:rsidRDefault="00E95603" w:rsidP="00D155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7EC95" w14:textId="77777777" w:rsidR="00E95603" w:rsidRDefault="00E95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99B89" w14:textId="77777777" w:rsidR="009B703E" w:rsidRDefault="009B703E" w:rsidP="006F19A4">
      <w:r>
        <w:separator/>
      </w:r>
    </w:p>
  </w:footnote>
  <w:footnote w:type="continuationSeparator" w:id="0">
    <w:p w14:paraId="68E1FF2A" w14:textId="77777777" w:rsidR="009B703E" w:rsidRDefault="009B703E" w:rsidP="006F19A4">
      <w:r>
        <w:continuationSeparator/>
      </w:r>
    </w:p>
  </w:footnote>
  <w:footnote w:type="continuationNotice" w:id="1">
    <w:p w14:paraId="40A3C5CD" w14:textId="77777777" w:rsidR="009B703E" w:rsidRDefault="009B703E" w:rsidP="006F19A4"/>
  </w:footnote>
  <w:footnote w:id="2">
    <w:p w14:paraId="33B5802D" w14:textId="7C196525" w:rsidR="004D5A15" w:rsidRDefault="004D5A15">
      <w:pPr>
        <w:pStyle w:val="FootnoteText"/>
      </w:pPr>
      <w:r>
        <w:rPr>
          <w:rStyle w:val="FootnoteReference"/>
        </w:rPr>
        <w:footnoteRef/>
      </w:r>
      <w:r>
        <w:t xml:space="preserve"> </w:t>
      </w:r>
      <w:r w:rsidR="00695382" w:rsidRPr="00695382">
        <w:t>Nevitt SJ, Sudell M, Cividini S, Marson AG, Tudur Smith C. Antiepileptic drug monotherapy for epilepsy: a network meta‐analysis of individual participant data. Cochrane Database of Systematic Reviews. 2022(4).</w:t>
      </w:r>
    </w:p>
  </w:footnote>
  <w:footnote w:id="3">
    <w:p w14:paraId="3463DBB2" w14:textId="5011C25E" w:rsidR="007530E4" w:rsidRDefault="007530E4">
      <w:pPr>
        <w:pStyle w:val="FootnoteText"/>
      </w:pPr>
      <w:r>
        <w:rPr>
          <w:rStyle w:val="FootnoteReference"/>
        </w:rPr>
        <w:footnoteRef/>
      </w:r>
      <w:r>
        <w:t xml:space="preserve"> </w:t>
      </w:r>
      <w:r w:rsidRPr="007530E4">
        <w:t>Gu Y, Shih STF, Geevasinga N, Chan L, Frew JW, Sebaratnam DF. Economic Evaluation of HLA-B*15:02 Genotyping for Asian Australian Patients With Epilepsy. JAMA Dermatol. 2024;160(6):631-40.</w:t>
      </w:r>
    </w:p>
  </w:footnote>
  <w:footnote w:id="4">
    <w:p w14:paraId="62AE5751" w14:textId="10CF6132" w:rsidR="00874B14" w:rsidRPr="0071042F" w:rsidRDefault="00874B14" w:rsidP="00874B14">
      <w:pPr>
        <w:pStyle w:val="FootnoteText"/>
        <w:spacing w:before="0"/>
        <w:rPr>
          <w:rFonts w:ascii="Arial Narrow" w:hAnsi="Arial Narrow"/>
          <w:sz w:val="16"/>
          <w:szCs w:val="16"/>
        </w:rPr>
      </w:pPr>
      <w:r w:rsidRPr="0071042F">
        <w:rPr>
          <w:rStyle w:val="FootnoteReference"/>
          <w:rFonts w:ascii="Arial Narrow" w:hAnsi="Arial Narrow"/>
          <w:sz w:val="16"/>
          <w:szCs w:val="16"/>
        </w:rPr>
        <w:footnoteRef/>
      </w:r>
      <w:r w:rsidRPr="0071042F">
        <w:rPr>
          <w:rFonts w:ascii="Arial Narrow" w:hAnsi="Arial Narrow"/>
          <w:sz w:val="16"/>
          <w:szCs w:val="16"/>
        </w:rPr>
        <w:t xml:space="preserve"> Buchner, A., Hu, X., &amp; Aitchison, K. J. (2021). Validation of Single Nucleotide Variant Assays for Human Leukocyte Antigen Haplotypes </w:t>
      </w:r>
      <w:r w:rsidR="000611A1" w:rsidRPr="000611A1">
        <w:rPr>
          <w:rFonts w:ascii="Arial Narrow" w:hAnsi="Arial Narrow"/>
          <w:i/>
          <w:sz w:val="16"/>
          <w:szCs w:val="16"/>
        </w:rPr>
        <w:t>HLA-</w:t>
      </w:r>
      <w:r w:rsidRPr="0071042F">
        <w:rPr>
          <w:rFonts w:ascii="Arial Narrow" w:hAnsi="Arial Narrow"/>
          <w:sz w:val="16"/>
          <w:szCs w:val="16"/>
        </w:rPr>
        <w:t xml:space="preserve">B*15:02 and </w:t>
      </w:r>
      <w:r w:rsidR="000611A1" w:rsidRPr="000611A1">
        <w:rPr>
          <w:rFonts w:ascii="Arial Narrow" w:hAnsi="Arial Narrow"/>
          <w:i/>
          <w:sz w:val="16"/>
          <w:szCs w:val="16"/>
        </w:rPr>
        <w:t>HLA-</w:t>
      </w:r>
      <w:r w:rsidRPr="0071042F">
        <w:rPr>
          <w:rFonts w:ascii="Arial Narrow" w:hAnsi="Arial Narrow"/>
          <w:sz w:val="16"/>
          <w:szCs w:val="16"/>
        </w:rPr>
        <w:t>A*31:01 Across Diverse Ancestral Backgrounds. Front Pharmacol, 12, 713178</w:t>
      </w:r>
    </w:p>
  </w:footnote>
  <w:footnote w:id="5">
    <w:p w14:paraId="5558B4E3" w14:textId="7ED07468" w:rsidR="00874B14" w:rsidRDefault="00874B14" w:rsidP="00874B14">
      <w:pPr>
        <w:pStyle w:val="FootnoteText"/>
      </w:pPr>
      <w:r w:rsidRPr="0071042F">
        <w:rPr>
          <w:rStyle w:val="FootnoteReference"/>
          <w:rFonts w:ascii="Arial Narrow" w:hAnsi="Arial Narrow"/>
          <w:sz w:val="16"/>
          <w:szCs w:val="16"/>
        </w:rPr>
        <w:footnoteRef/>
      </w:r>
      <w:r w:rsidRPr="0071042F">
        <w:rPr>
          <w:rFonts w:ascii="Arial Narrow" w:hAnsi="Arial Narrow"/>
          <w:sz w:val="16"/>
          <w:szCs w:val="16"/>
        </w:rPr>
        <w:t xml:space="preserve"> </w:t>
      </w:r>
      <w:r w:rsidRPr="0071042F">
        <w:rPr>
          <w:rFonts w:ascii="Arial Narrow" w:hAnsi="Arial Narrow"/>
          <w:noProof/>
          <w:sz w:val="16"/>
          <w:szCs w:val="16"/>
        </w:rPr>
        <w:t xml:space="preserve">Jaruthamsophon, K., Sripo, T., Sukasem, C., &amp; Limprasert, P. (2016). Comparison of a New In-House and Three Published </w:t>
      </w:r>
      <w:r w:rsidR="000611A1" w:rsidRPr="000611A1">
        <w:rPr>
          <w:rFonts w:ascii="Arial Narrow" w:hAnsi="Arial Narrow"/>
          <w:i/>
          <w:noProof/>
          <w:sz w:val="16"/>
          <w:szCs w:val="16"/>
        </w:rPr>
        <w:t>HLA-</w:t>
      </w:r>
      <w:r w:rsidRPr="0071042F">
        <w:rPr>
          <w:rFonts w:ascii="Arial Narrow" w:hAnsi="Arial Narrow"/>
          <w:noProof/>
          <w:sz w:val="16"/>
          <w:szCs w:val="16"/>
        </w:rPr>
        <w:t>B*15:02 Screening Methods for Prevention of Carbamazepine-Induced Severe Drug Reactions. PLOS ONE, 11(5), e0155907.</w:t>
      </w:r>
    </w:p>
  </w:footnote>
  <w:footnote w:id="6">
    <w:p w14:paraId="004CC256" w14:textId="1E0EB14B" w:rsidR="00615346" w:rsidRPr="006E02A8" w:rsidRDefault="00615346" w:rsidP="00615346">
      <w:pPr>
        <w:pStyle w:val="FootnoteText"/>
        <w:rPr>
          <w:rFonts w:ascii="Arial Narrow" w:hAnsi="Arial Narrow"/>
          <w:sz w:val="16"/>
          <w:szCs w:val="18"/>
        </w:rPr>
      </w:pPr>
      <w:r w:rsidRPr="006E02A8">
        <w:rPr>
          <w:rStyle w:val="FootnoteReference"/>
          <w:rFonts w:ascii="Arial Narrow" w:hAnsi="Arial Narrow"/>
          <w:sz w:val="16"/>
          <w:szCs w:val="18"/>
        </w:rPr>
        <w:footnoteRef/>
      </w:r>
      <w:r w:rsidRPr="006E02A8">
        <w:rPr>
          <w:rFonts w:ascii="Arial Narrow" w:hAnsi="Arial Narrow"/>
          <w:sz w:val="16"/>
          <w:szCs w:val="18"/>
        </w:rPr>
        <w:t xml:space="preserve"> Chang, B. L., Liu, J. R., Chang, S. H., &amp; See, L. C. (2023). Impact on carbamazepine usage and cutaneous adverse reactions before and after the reimbursement of </w:t>
      </w:r>
      <w:r w:rsidR="000611A1" w:rsidRPr="000611A1">
        <w:rPr>
          <w:rFonts w:ascii="Arial Narrow" w:hAnsi="Arial Narrow"/>
          <w:i/>
          <w:sz w:val="16"/>
          <w:szCs w:val="18"/>
        </w:rPr>
        <w:t>HLA-</w:t>
      </w:r>
      <w:r w:rsidRPr="006E02A8">
        <w:rPr>
          <w:rFonts w:ascii="Arial Narrow" w:hAnsi="Arial Narrow"/>
          <w:sz w:val="16"/>
          <w:szCs w:val="18"/>
        </w:rPr>
        <w:t>B*1502 genotyping in Taiwan, 2000–2017: A nationwide longitudinal study. Epilepsia, 64(10), 2679-2689. https://doi.org/10.1111/epi.17726</w:t>
      </w:r>
    </w:p>
  </w:footnote>
  <w:footnote w:id="7">
    <w:p w14:paraId="1BC80F5F" w14:textId="34B4594C" w:rsidR="00615346" w:rsidRPr="006E02A8" w:rsidRDefault="00615346" w:rsidP="00615346">
      <w:pPr>
        <w:pStyle w:val="FootnoteText"/>
        <w:rPr>
          <w:rFonts w:ascii="Arial Narrow" w:hAnsi="Arial Narrow"/>
          <w:sz w:val="16"/>
          <w:szCs w:val="18"/>
        </w:rPr>
      </w:pPr>
      <w:r w:rsidRPr="006E02A8">
        <w:rPr>
          <w:rStyle w:val="FootnoteReference"/>
          <w:rFonts w:ascii="Arial Narrow" w:hAnsi="Arial Narrow"/>
          <w:sz w:val="16"/>
          <w:szCs w:val="18"/>
        </w:rPr>
        <w:footnoteRef/>
      </w:r>
      <w:r w:rsidRPr="006E02A8">
        <w:rPr>
          <w:rFonts w:ascii="Arial Narrow" w:hAnsi="Arial Narrow"/>
          <w:sz w:val="16"/>
          <w:szCs w:val="18"/>
        </w:rPr>
        <w:t xml:space="preserve"> Chen, Z., Liew, D., &amp; Kwan, P. (2014). Effects of a </w:t>
      </w:r>
      <w:r w:rsidR="000611A1" w:rsidRPr="000611A1">
        <w:rPr>
          <w:rFonts w:ascii="Arial Narrow" w:hAnsi="Arial Narrow"/>
          <w:i/>
          <w:sz w:val="16"/>
          <w:szCs w:val="18"/>
        </w:rPr>
        <w:t>HLA-</w:t>
      </w:r>
      <w:r w:rsidRPr="006E02A8">
        <w:rPr>
          <w:rFonts w:ascii="Arial Narrow" w:hAnsi="Arial Narrow"/>
          <w:sz w:val="16"/>
          <w:szCs w:val="18"/>
        </w:rPr>
        <w:t>B*15:02 screening policy on antiepileptic drug use and severe skin reactions. Neurology, 83(22), 2077-2084. https://doi.org/10.1212/wnl.0000000000001034</w:t>
      </w:r>
    </w:p>
  </w:footnote>
  <w:footnote w:id="8">
    <w:p w14:paraId="200B8A01" w14:textId="798479BC" w:rsidR="00565B15" w:rsidRDefault="00565B15" w:rsidP="00565B15">
      <w:pPr>
        <w:pStyle w:val="FootnoteText"/>
      </w:pPr>
      <w:r w:rsidRPr="006E02A8">
        <w:rPr>
          <w:rStyle w:val="FootnoteReference"/>
          <w:rFonts w:ascii="Arial Narrow" w:hAnsi="Arial Narrow"/>
          <w:sz w:val="16"/>
          <w:szCs w:val="18"/>
        </w:rPr>
        <w:footnoteRef/>
      </w:r>
      <w:r w:rsidRPr="006E02A8">
        <w:rPr>
          <w:rFonts w:ascii="Arial Narrow" w:hAnsi="Arial Narrow"/>
          <w:sz w:val="16"/>
          <w:szCs w:val="18"/>
        </w:rPr>
        <w:t xml:space="preserve"> Phillips, E. J., Sukasem, C., Whirl-Carrillo, M.,</w:t>
      </w:r>
      <w:r w:rsidR="006137BB">
        <w:rPr>
          <w:rFonts w:ascii="Arial Narrow" w:hAnsi="Arial Narrow"/>
          <w:sz w:val="16"/>
          <w:szCs w:val="18"/>
        </w:rPr>
        <w:t xml:space="preserve"> et al</w:t>
      </w:r>
      <w:r w:rsidR="006033BD">
        <w:rPr>
          <w:rFonts w:ascii="Arial Narrow" w:hAnsi="Arial Narrow"/>
          <w:sz w:val="16"/>
          <w:szCs w:val="18"/>
        </w:rPr>
        <w:t>.</w:t>
      </w:r>
      <w:r w:rsidRPr="006E02A8">
        <w:rPr>
          <w:rFonts w:ascii="Arial Narrow" w:hAnsi="Arial Narrow"/>
          <w:sz w:val="16"/>
          <w:szCs w:val="18"/>
        </w:rPr>
        <w:t xml:space="preserve">. (2018). Clinical Pharmacogenetics Implementation Consortium Guideline for HLA Genotype and Use of Carbamazepine and Oxcarbazepine: 2017 Update. Clin Pharmacol Ther, 103(4), 574-581. </w:t>
      </w:r>
    </w:p>
  </w:footnote>
  <w:footnote w:id="9">
    <w:p w14:paraId="27E31BDA" w14:textId="5543FB29" w:rsidR="008164DE" w:rsidRDefault="008164DE">
      <w:pPr>
        <w:pStyle w:val="FootnoteText"/>
      </w:pPr>
      <w:r w:rsidRPr="008164DE">
        <w:rPr>
          <w:rFonts w:ascii="Arial Narrow" w:hAnsi="Arial Narrow"/>
          <w:sz w:val="16"/>
          <w:szCs w:val="18"/>
          <w:vertAlign w:val="superscript"/>
        </w:rPr>
        <w:footnoteRef/>
      </w:r>
      <w:r w:rsidRPr="008164DE">
        <w:rPr>
          <w:rFonts w:ascii="Arial Narrow" w:hAnsi="Arial Narrow"/>
          <w:sz w:val="16"/>
          <w:szCs w:val="18"/>
        </w:rPr>
        <w:t xml:space="preserve"> An episode was defined as where a patient had </w:t>
      </w:r>
      <w:r w:rsidR="00872833">
        <w:rPr>
          <w:rFonts w:ascii="Symbol" w:eastAsia="Symbol" w:hAnsi="Symbol" w:cs="Symbol"/>
        </w:rPr>
        <w:t>³</w:t>
      </w:r>
      <w:r w:rsidRPr="008164DE">
        <w:rPr>
          <w:rFonts w:ascii="Arial Narrow" w:hAnsi="Arial Narrow"/>
          <w:sz w:val="16"/>
          <w:szCs w:val="18"/>
        </w:rPr>
        <w:t xml:space="preserve">2 outpatient visits or </w:t>
      </w:r>
      <w:r w:rsidR="00872833">
        <w:rPr>
          <w:rFonts w:ascii="Symbol" w:eastAsia="Symbol" w:hAnsi="Symbol" w:cs="Symbol"/>
        </w:rPr>
        <w:t>³</w:t>
      </w:r>
      <w:r w:rsidRPr="008164DE">
        <w:rPr>
          <w:rFonts w:ascii="Arial Narrow" w:hAnsi="Arial Narrow"/>
          <w:sz w:val="16"/>
          <w:szCs w:val="18"/>
        </w:rPr>
        <w:t xml:space="preserve">1 hospitalisation due to epilepsy or neuralgia within a calendar quarter </w:t>
      </w:r>
      <w:r w:rsidR="00872833">
        <w:rPr>
          <w:rFonts w:ascii="Arial Narrow" w:hAnsi="Arial Narrow"/>
          <w:sz w:val="16"/>
          <w:szCs w:val="18"/>
        </w:rPr>
        <w:t>(</w:t>
      </w:r>
      <w:r w:rsidRPr="008164DE">
        <w:rPr>
          <w:rFonts w:ascii="Arial Narrow" w:hAnsi="Arial Narrow"/>
          <w:sz w:val="16"/>
          <w:szCs w:val="18"/>
        </w:rPr>
        <w:t>Chang et al. 2023</w:t>
      </w:r>
      <w:r w:rsidR="00872833">
        <w:rPr>
          <w:rFonts w:ascii="Arial Narrow" w:hAnsi="Arial Narrow"/>
          <w:sz w:val="16"/>
          <w:szCs w:val="18"/>
        </w:rPr>
        <w:t>)</w:t>
      </w:r>
      <w:r w:rsidRPr="008164DE">
        <w:rPr>
          <w:rFonts w:ascii="Arial Narrow" w:hAnsi="Arial Narrow"/>
          <w:sz w:val="16"/>
          <w:szCs w:val="18"/>
        </w:rPr>
        <w:t>.</w:t>
      </w:r>
    </w:p>
  </w:footnote>
  <w:footnote w:id="10">
    <w:p w14:paraId="2718F69F" w14:textId="6F2F7F3D" w:rsidR="00AE52BC" w:rsidRPr="0027728C" w:rsidRDefault="00AE52BC">
      <w:pPr>
        <w:pStyle w:val="FootnoteText"/>
        <w:rPr>
          <w:rFonts w:ascii="Arial Narrow" w:hAnsi="Arial Narrow"/>
          <w:sz w:val="16"/>
          <w:szCs w:val="18"/>
        </w:rPr>
      </w:pPr>
      <w:r w:rsidRPr="0027728C">
        <w:rPr>
          <w:rStyle w:val="FootnoteReference"/>
          <w:rFonts w:ascii="Arial Narrow" w:hAnsi="Arial Narrow"/>
          <w:sz w:val="16"/>
          <w:szCs w:val="18"/>
        </w:rPr>
        <w:footnoteRef/>
      </w:r>
      <w:r w:rsidRPr="0027728C">
        <w:rPr>
          <w:rFonts w:ascii="Arial Narrow" w:hAnsi="Arial Narrow"/>
          <w:sz w:val="16"/>
          <w:szCs w:val="18"/>
        </w:rPr>
        <w:t xml:space="preserve"> Nicoletti, P., Barrett, S., McEvoy, L.,</w:t>
      </w:r>
      <w:r w:rsidR="006033BD">
        <w:rPr>
          <w:rFonts w:ascii="Arial Narrow" w:hAnsi="Arial Narrow"/>
          <w:sz w:val="16"/>
          <w:szCs w:val="18"/>
        </w:rPr>
        <w:t xml:space="preserve"> et al.</w:t>
      </w:r>
      <w:r w:rsidRPr="0027728C">
        <w:rPr>
          <w:rFonts w:ascii="Arial Narrow" w:hAnsi="Arial Narrow"/>
          <w:sz w:val="16"/>
          <w:szCs w:val="18"/>
        </w:rPr>
        <w:t>. (2019). Shared Genetic Risk Factors Across Carbamazepine-Induced Hypersensitivity Reactions. Clinical Pharmacology and Therapeutics, 106(5), 1028-1036. 3</w:t>
      </w:r>
    </w:p>
  </w:footnote>
  <w:footnote w:id="11">
    <w:p w14:paraId="402F47E1" w14:textId="05D2844A" w:rsidR="00AE52BC" w:rsidRDefault="00AE52BC">
      <w:pPr>
        <w:pStyle w:val="FootnoteText"/>
      </w:pPr>
      <w:r w:rsidRPr="0027728C">
        <w:rPr>
          <w:rStyle w:val="FootnoteReference"/>
          <w:rFonts w:ascii="Arial Narrow" w:hAnsi="Arial Narrow"/>
          <w:sz w:val="16"/>
          <w:szCs w:val="18"/>
        </w:rPr>
        <w:footnoteRef/>
      </w:r>
      <w:r w:rsidRPr="0027728C">
        <w:rPr>
          <w:rFonts w:ascii="Arial Narrow" w:hAnsi="Arial Narrow"/>
          <w:sz w:val="16"/>
          <w:szCs w:val="18"/>
        </w:rPr>
        <w:t xml:space="preserve"> Genin, E., Chen, D. P., Hung, S. I.,</w:t>
      </w:r>
      <w:r w:rsidR="006033BD">
        <w:rPr>
          <w:rFonts w:ascii="Arial Narrow" w:hAnsi="Arial Narrow"/>
          <w:sz w:val="16"/>
          <w:szCs w:val="18"/>
        </w:rPr>
        <w:t xml:space="preserve"> et al.</w:t>
      </w:r>
      <w:r w:rsidRPr="0027728C">
        <w:rPr>
          <w:rFonts w:ascii="Arial Narrow" w:hAnsi="Arial Narrow"/>
          <w:sz w:val="16"/>
          <w:szCs w:val="18"/>
        </w:rPr>
        <w:t xml:space="preserve">. (2014). </w:t>
      </w:r>
      <w:r w:rsidR="000611A1" w:rsidRPr="000611A1">
        <w:rPr>
          <w:rFonts w:ascii="Arial Narrow" w:hAnsi="Arial Narrow"/>
          <w:i/>
          <w:sz w:val="16"/>
          <w:szCs w:val="18"/>
        </w:rPr>
        <w:t>HLA-</w:t>
      </w:r>
      <w:r w:rsidRPr="0027728C">
        <w:rPr>
          <w:rFonts w:ascii="Arial Narrow" w:hAnsi="Arial Narrow"/>
          <w:sz w:val="16"/>
          <w:szCs w:val="18"/>
        </w:rPr>
        <w:t xml:space="preserve">A*31:01 and different types of carbamazepine-induced severe cutaneous adverse reactions: an international study and meta-analysis. The Pharmacogenomics Journal, 14(3), 281-288. </w:t>
      </w:r>
    </w:p>
  </w:footnote>
  <w:footnote w:id="12">
    <w:p w14:paraId="781AE512" w14:textId="3E7BE9FA" w:rsidR="005F5E5B" w:rsidRDefault="005F5E5B">
      <w:pPr>
        <w:pStyle w:val="FootnoteText"/>
      </w:pPr>
      <w:r>
        <w:rPr>
          <w:rStyle w:val="FootnoteReference"/>
        </w:rPr>
        <w:footnoteRef/>
      </w:r>
      <w:r>
        <w:t xml:space="preserve"> </w:t>
      </w:r>
      <w:r w:rsidRPr="005F5E5B">
        <w:t>Park, H. J., Kim, Y. J., Kim, D. H.</w:t>
      </w:r>
      <w:r>
        <w:t xml:space="preserve"> et al. </w:t>
      </w:r>
      <w:r w:rsidRPr="005F5E5B">
        <w:t xml:space="preserve">(2016). HLA allele frequencies in 5802 </w:t>
      </w:r>
      <w:r w:rsidR="00134354">
        <w:t>K</w:t>
      </w:r>
      <w:r w:rsidRPr="005F5E5B">
        <w:t>oreans: Varied allele types associated with SJS/TEN according to culprit drugs. Yonsei Medical Journal, 57(1), 118-126</w:t>
      </w:r>
    </w:p>
  </w:footnote>
  <w:footnote w:id="13">
    <w:p w14:paraId="440229D6" w14:textId="7829CFE3" w:rsidR="00AA55B5" w:rsidRPr="0027728C" w:rsidRDefault="00AA55B5" w:rsidP="006F19A4">
      <w:pPr>
        <w:pStyle w:val="FootnoteText"/>
        <w:rPr>
          <w:rFonts w:ascii="Arial Narrow" w:hAnsi="Arial Narrow"/>
        </w:rPr>
      </w:pPr>
      <w:r w:rsidRPr="0027728C">
        <w:rPr>
          <w:rStyle w:val="FootnoteReference"/>
          <w:rFonts w:ascii="Arial Narrow" w:hAnsi="Arial Narrow"/>
          <w:sz w:val="16"/>
          <w:szCs w:val="18"/>
        </w:rPr>
        <w:footnoteRef/>
      </w:r>
      <w:r w:rsidRPr="0027728C">
        <w:rPr>
          <w:rFonts w:ascii="Arial Narrow" w:hAnsi="Arial Narrow"/>
          <w:sz w:val="16"/>
          <w:szCs w:val="18"/>
        </w:rPr>
        <w:t xml:space="preserve"> Shi, Y. W., Min, F. L., Zhou, D., </w:t>
      </w:r>
      <w:r w:rsidR="00F62B42">
        <w:rPr>
          <w:rFonts w:ascii="Arial Narrow" w:hAnsi="Arial Narrow"/>
          <w:sz w:val="16"/>
          <w:szCs w:val="18"/>
        </w:rPr>
        <w:t xml:space="preserve">et al. </w:t>
      </w:r>
      <w:r w:rsidRPr="0027728C">
        <w:rPr>
          <w:rFonts w:ascii="Arial Narrow" w:hAnsi="Arial Narrow"/>
          <w:sz w:val="16"/>
          <w:szCs w:val="18"/>
        </w:rPr>
        <w:t xml:space="preserve">(2017). </w:t>
      </w:r>
      <w:r w:rsidR="000611A1" w:rsidRPr="000611A1">
        <w:rPr>
          <w:rFonts w:ascii="Arial Narrow" w:hAnsi="Arial Narrow"/>
          <w:i/>
          <w:sz w:val="16"/>
          <w:szCs w:val="18"/>
        </w:rPr>
        <w:t>HLA-</w:t>
      </w:r>
      <w:r w:rsidRPr="0027728C">
        <w:rPr>
          <w:rFonts w:ascii="Arial Narrow" w:hAnsi="Arial Narrow"/>
          <w:sz w:val="16"/>
          <w:szCs w:val="18"/>
        </w:rPr>
        <w:t>A</w:t>
      </w:r>
      <w:r w:rsidRPr="0027728C">
        <w:rPr>
          <w:rFonts w:ascii="Cambria Math" w:hAnsi="Cambria Math" w:cs="Cambria Math"/>
          <w:sz w:val="16"/>
          <w:szCs w:val="18"/>
        </w:rPr>
        <w:t>∗</w:t>
      </w:r>
      <w:r w:rsidRPr="0027728C">
        <w:rPr>
          <w:rFonts w:ascii="Arial Narrow" w:hAnsi="Arial Narrow"/>
          <w:sz w:val="16"/>
          <w:szCs w:val="18"/>
        </w:rPr>
        <w:t xml:space="preserve">24:02 as a common risk factor for antiepileptic drug-induced cutaneous adverse reactions. Neurology, 88(23), 2183-2191. </w:t>
      </w:r>
    </w:p>
  </w:footnote>
  <w:footnote w:id="14">
    <w:p w14:paraId="6EB96688" w14:textId="46DB5C66" w:rsidR="00C176B9" w:rsidRDefault="00C176B9">
      <w:pPr>
        <w:pStyle w:val="FootnoteText"/>
      </w:pPr>
      <w:r>
        <w:rPr>
          <w:rStyle w:val="FootnoteReference"/>
        </w:rPr>
        <w:footnoteRef/>
      </w:r>
      <w:r>
        <w:t xml:space="preserve"> </w:t>
      </w:r>
      <w:r w:rsidRPr="00C176B9">
        <w:t xml:space="preserve">Berg, A. T., Zelko, F. A., Levy, S. R., </w:t>
      </w:r>
      <w:r>
        <w:t>and</w:t>
      </w:r>
      <w:r w:rsidRPr="00C176B9">
        <w:t xml:space="preserve"> Testa, F. M. (2012). Age at onset of epilepsy, pharmacoresistance, and cognitive outcomes: a prospective cohort study. Neurology, 79(13), 1384-1391</w:t>
      </w:r>
      <w:r>
        <w:t>.</w:t>
      </w:r>
    </w:p>
  </w:footnote>
  <w:footnote w:id="15">
    <w:p w14:paraId="4D15792D" w14:textId="771942D4" w:rsidR="008461A4" w:rsidRDefault="008461A4" w:rsidP="008461A4">
      <w:pPr>
        <w:pStyle w:val="FootnoteText"/>
      </w:pPr>
      <w:r>
        <w:rPr>
          <w:rStyle w:val="FootnoteReference"/>
        </w:rPr>
        <w:footnoteRef/>
      </w:r>
      <w:r>
        <w:t xml:space="preserve"> </w:t>
      </w:r>
      <w:r w:rsidRPr="008461A4">
        <w:t xml:space="preserve">Plumpton, C. O., Yip, V. L., Alfirevic, A., </w:t>
      </w:r>
      <w:r>
        <w:t xml:space="preserve"> et al. </w:t>
      </w:r>
      <w:r w:rsidRPr="008461A4">
        <w:t xml:space="preserve">2015a. Cost-effectiveness of screening for </w:t>
      </w:r>
      <w:r w:rsidR="000611A1" w:rsidRPr="000611A1">
        <w:rPr>
          <w:i/>
        </w:rPr>
        <w:t>HLA-</w:t>
      </w:r>
      <w:r w:rsidRPr="008461A4">
        <w:t>A*31:01 prior to initiation of carbamazepine in epilepsy. Epilepsia, 56(4), 556-563</w:t>
      </w:r>
    </w:p>
  </w:footnote>
  <w:footnote w:id="16">
    <w:p w14:paraId="31D1C61B" w14:textId="2E3ED979" w:rsidR="008461A4" w:rsidRDefault="008461A4">
      <w:pPr>
        <w:pStyle w:val="FootnoteText"/>
      </w:pPr>
      <w:r>
        <w:rPr>
          <w:rStyle w:val="FootnoteReference"/>
        </w:rPr>
        <w:footnoteRef/>
      </w:r>
      <w:r>
        <w:t xml:space="preserve"> </w:t>
      </w:r>
      <w:r w:rsidR="00835409" w:rsidRPr="00835409">
        <w:t xml:space="preserve">Marson, A. G., Al-Kharusi, A. M., Alwaidh, M., </w:t>
      </w:r>
      <w:r w:rsidR="00835409">
        <w:t xml:space="preserve">et al. </w:t>
      </w:r>
      <w:r w:rsidR="00835409" w:rsidRPr="00835409">
        <w:t>The SANAD study of effectiveness of carbamazepine, gabapentin, lamotrigine, oxcarbazepine, or topiramate for treatment of partial epilepsy: an unblinded randomised controlled trial. Lancet, 369(9566), 1000-1015.</w:t>
      </w:r>
    </w:p>
  </w:footnote>
  <w:footnote w:id="17">
    <w:p w14:paraId="0F65B944" w14:textId="4EE247BF" w:rsidR="008A4889" w:rsidRDefault="008A4889">
      <w:pPr>
        <w:pStyle w:val="FootnoteText"/>
      </w:pPr>
      <w:r>
        <w:rPr>
          <w:rStyle w:val="FootnoteReference"/>
        </w:rPr>
        <w:footnoteRef/>
      </w:r>
      <w:r>
        <w:t xml:space="preserve"> </w:t>
      </w:r>
      <w:r w:rsidR="000A2151" w:rsidRPr="000A2151">
        <w:t>Services Australia. (2024). Pharmaceutical Benefits Schedule Item Reports. Australian Government. http://medicarestatistics.humanservices.gov.au/statistics/pbs_item.jsp</w:t>
      </w:r>
    </w:p>
  </w:footnote>
  <w:footnote w:id="18">
    <w:p w14:paraId="2D4F0DF1" w14:textId="5114A104" w:rsidR="000A2151" w:rsidRDefault="000A2151">
      <w:pPr>
        <w:pStyle w:val="FootnoteText"/>
      </w:pPr>
      <w:r>
        <w:rPr>
          <w:rStyle w:val="FootnoteReference"/>
        </w:rPr>
        <w:footnoteRef/>
      </w:r>
      <w:r>
        <w:t xml:space="preserve"> </w:t>
      </w:r>
      <w:r w:rsidR="007C513C">
        <w:t>A</w:t>
      </w:r>
      <w:r w:rsidR="007C513C" w:rsidRPr="007C513C">
        <w:t>ustralian Bureau of Statistics. (2018-2020). Life tables. ABS. https://www.abs.gov.au/statistics/people/population/life-expectancy/2018-2020</w:t>
      </w:r>
    </w:p>
  </w:footnote>
  <w:footnote w:id="19">
    <w:p w14:paraId="2ED8964B" w14:textId="7C3D197B" w:rsidR="007C513C" w:rsidRDefault="007C513C">
      <w:pPr>
        <w:pStyle w:val="FootnoteText"/>
      </w:pPr>
      <w:r>
        <w:rPr>
          <w:rStyle w:val="FootnoteReference"/>
        </w:rPr>
        <w:footnoteRef/>
      </w:r>
      <w:r>
        <w:t xml:space="preserve"> </w:t>
      </w:r>
      <w:r w:rsidR="00E64188" w:rsidRPr="00E64188">
        <w:t xml:space="preserve">Vellekoop, H., Huygens, S., Versteegh, M., </w:t>
      </w:r>
      <w:r w:rsidR="00E64188">
        <w:t xml:space="preserve">et al. </w:t>
      </w:r>
      <w:r w:rsidR="00E64188" w:rsidRPr="00E64188">
        <w:t>(2021). Guidance for the Harmonisation and Improvement of Economic Evaluations of Personalised Medicine. PharmacoEconomics, 39(7), 771-788</w:t>
      </w:r>
    </w:p>
  </w:footnote>
  <w:footnote w:id="20">
    <w:p w14:paraId="7039BE59" w14:textId="123F4090" w:rsidR="00E64188" w:rsidRDefault="00E64188">
      <w:pPr>
        <w:pStyle w:val="FootnoteText"/>
      </w:pPr>
      <w:r>
        <w:rPr>
          <w:rStyle w:val="FootnoteReference"/>
        </w:rPr>
        <w:footnoteRef/>
      </w:r>
      <w:r>
        <w:t xml:space="preserve"> </w:t>
      </w:r>
      <w:r w:rsidR="00107DA5" w:rsidRPr="00107DA5">
        <w:t>Begley, C. E., &amp; Durgin, T. L. (2015). The direct cost of epilepsy in the United States: A systematic review of estimates. Epilepsia, 56(9), 1376-1387.</w:t>
      </w:r>
    </w:p>
  </w:footnote>
  <w:footnote w:id="21">
    <w:p w14:paraId="04F7EFAC" w14:textId="6D63DF08" w:rsidR="00107DA5" w:rsidRDefault="00107DA5">
      <w:pPr>
        <w:pStyle w:val="FootnoteText"/>
      </w:pPr>
      <w:r>
        <w:rPr>
          <w:rStyle w:val="FootnoteReference"/>
        </w:rPr>
        <w:footnoteRef/>
      </w:r>
      <w:r>
        <w:t xml:space="preserve"> </w:t>
      </w:r>
      <w:r w:rsidR="00F7506D" w:rsidRPr="00F7506D">
        <w:t xml:space="preserve">Foster, E., Chen, Z., Zomer, E., </w:t>
      </w:r>
      <w:r w:rsidR="00F7506D">
        <w:t xml:space="preserve">et al. </w:t>
      </w:r>
      <w:r w:rsidR="00F7506D" w:rsidRPr="00F7506D">
        <w:t>(2020). The costs of epilepsy in Australia: A productivity-based analysis. Neurology, 95(24), e3221-e3231</w:t>
      </w:r>
    </w:p>
  </w:footnote>
  <w:footnote w:id="22">
    <w:p w14:paraId="5061F698" w14:textId="77777777" w:rsidR="00D155C0" w:rsidRDefault="00D155C0" w:rsidP="00D155C0">
      <w:pPr>
        <w:pStyle w:val="FootnoteText"/>
      </w:pPr>
      <w:r>
        <w:rPr>
          <w:rStyle w:val="FootnoteReference"/>
        </w:rPr>
        <w:footnoteRef/>
      </w:r>
      <w:r>
        <w:t xml:space="preserve"> </w:t>
      </w:r>
      <w:r w:rsidRPr="00BE1796">
        <w:t xml:space="preserve">Chang, B. L., Liu, J. R., Chang, S. H., &amp; See, L. C. (2023). Impact on carbamazepine usage and cutaneous adverse reactions before and after the reimbursement of </w:t>
      </w:r>
      <w:r w:rsidRPr="000611A1">
        <w:rPr>
          <w:i/>
        </w:rPr>
        <w:t>HLA-</w:t>
      </w:r>
      <w:r w:rsidRPr="00BE1796">
        <w:t xml:space="preserve">B*1502 genotyping in Taiwan, 2000–2017: A nationwide longitudinal study. Epilepsia, 64(10), 2679-2689. </w:t>
      </w:r>
    </w:p>
  </w:footnote>
  <w:footnote w:id="23">
    <w:p w14:paraId="593E0400" w14:textId="77777777" w:rsidR="00D155C0" w:rsidRDefault="00D155C0" w:rsidP="00D155C0">
      <w:pPr>
        <w:pStyle w:val="FootnoteText"/>
      </w:pPr>
      <w:r>
        <w:rPr>
          <w:rStyle w:val="FootnoteReference"/>
        </w:rPr>
        <w:footnoteRef/>
      </w:r>
      <w:r>
        <w:t xml:space="preserve"> </w:t>
      </w:r>
      <w:r w:rsidRPr="00BE1796">
        <w:t xml:space="preserve">Chen, Z., Liew, D., &amp; Kwan, P. (2014). Effects of a </w:t>
      </w:r>
      <w:r w:rsidRPr="000611A1">
        <w:rPr>
          <w:i/>
        </w:rPr>
        <w:t>HLA-</w:t>
      </w:r>
      <w:r w:rsidRPr="00BE1796">
        <w:t xml:space="preserve">B*15:02 screening policy on antiepileptic drug use and severe skin reactions. Neurology, 83(22), 2077-2084. </w:t>
      </w:r>
    </w:p>
  </w:footnote>
  <w:footnote w:id="24">
    <w:p w14:paraId="3B2C6B96" w14:textId="77777777" w:rsidR="00D155C0" w:rsidRDefault="00D155C0" w:rsidP="00D155C0">
      <w:pPr>
        <w:pStyle w:val="FootnoteText"/>
      </w:pPr>
      <w:r>
        <w:rPr>
          <w:rStyle w:val="FootnoteReference"/>
        </w:rPr>
        <w:footnoteRef/>
      </w:r>
      <w:r>
        <w:t xml:space="preserve"> V</w:t>
      </w:r>
      <w:r w:rsidRPr="00300B7E">
        <w:t xml:space="preserve">akrinou, A., Bellampalli, R., Gulcebi, M. </w:t>
      </w:r>
      <w:r>
        <w:t xml:space="preserve"> et al.</w:t>
      </w:r>
      <w:r w:rsidRPr="00300B7E">
        <w:t xml:space="preserve"> (2023). Risk-conferring HLA variants in an epilepsy cohort: Benefits of multifaceted use of whole genome sequencing in clinical practice. Journal of Neurology, Neurosurgery and Psychiatry, 94(11), 887-892. </w:t>
      </w:r>
    </w:p>
  </w:footnote>
  <w:footnote w:id="25">
    <w:p w14:paraId="32282F70" w14:textId="77777777" w:rsidR="00D155C0" w:rsidRDefault="00D155C0" w:rsidP="00D155C0">
      <w:pPr>
        <w:pStyle w:val="FootnoteText"/>
      </w:pPr>
      <w:r>
        <w:rPr>
          <w:rStyle w:val="FootnoteReference"/>
        </w:rPr>
        <w:footnoteRef/>
      </w:r>
      <w:r>
        <w:t xml:space="preserve"> </w:t>
      </w:r>
      <w:r w:rsidRPr="00282C25">
        <w:t xml:space="preserve">Shah, S. N., Gammal, R. S., Amato, M. G., </w:t>
      </w:r>
      <w:r>
        <w:t xml:space="preserve"> et al. </w:t>
      </w:r>
      <w:r w:rsidRPr="00282C25">
        <w:t>(2021). Clinical Utility of Pharmacogenomic Data Collected by a Health-System Biobank to Predict and Prevent Adverse Drug Events. Drug Safety, 44(5), 601-607. https://doi.org/10.1007/s40264-021-01050-6</w:t>
      </w:r>
    </w:p>
  </w:footnote>
  <w:footnote w:id="26">
    <w:p w14:paraId="4AB09C46" w14:textId="77777777" w:rsidR="00D155C0" w:rsidRDefault="00D155C0" w:rsidP="00D155C0">
      <w:pPr>
        <w:pStyle w:val="FootnoteText"/>
      </w:pPr>
      <w:r>
        <w:rPr>
          <w:rStyle w:val="FootnoteReference"/>
        </w:rPr>
        <w:footnoteRef/>
      </w:r>
      <w:r>
        <w:t xml:space="preserve"> </w:t>
      </w:r>
      <w:r w:rsidRPr="007C5516">
        <w:t>Zhou Y, Krebs K, Milani L, Lauschke VM. Global Frequencies of Clinically Important HLA Alleles and Their Implications For the Cost-Effectiveness of Preemptive Pharmacogenetic Testing. Clin Pharmacol Ther. 2021 Jan;109(1):160-174..</w:t>
      </w:r>
    </w:p>
  </w:footnote>
  <w:footnote w:id="27">
    <w:p w14:paraId="7468194B" w14:textId="77777777" w:rsidR="00D155C0" w:rsidRPr="00C8468F" w:rsidRDefault="00D155C0" w:rsidP="00D155C0">
      <w:pPr>
        <w:pStyle w:val="FootnoteText"/>
        <w:rPr>
          <w:lang w:val="en-US"/>
        </w:rPr>
      </w:pPr>
      <w:r>
        <w:rPr>
          <w:rStyle w:val="FootnoteReference"/>
        </w:rPr>
        <w:footnoteRef/>
      </w:r>
      <w:r>
        <w:t xml:space="preserve"> </w:t>
      </w:r>
      <w:r>
        <w:rPr>
          <w:lang w:val="en-US"/>
        </w:rPr>
        <w:t xml:space="preserve">Marsen et al. (2000). </w:t>
      </w:r>
      <w:hyperlink r:id="rId1" w:history="1">
        <w:r w:rsidRPr="00D72281">
          <w:rPr>
            <w:rStyle w:val="Hyperlink"/>
            <w:lang w:val="en-US"/>
          </w:rPr>
          <w:t>Carbamazepine versus valproate monotherapy for epilepsy</w:t>
        </w:r>
      </w:hyperlink>
      <w:r>
        <w:rPr>
          <w:lang w:val="en-US"/>
        </w:rPr>
        <w:t xml:space="preserve">. </w:t>
      </w:r>
      <w:r w:rsidRPr="00361A53">
        <w:rPr>
          <w:i/>
          <w:iCs/>
          <w:lang w:val="en-US"/>
        </w:rPr>
        <w:t>Cochrane Database of Systematic Reviews</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5C883" w14:textId="77777777" w:rsidR="00E95603" w:rsidRDefault="00E95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2F5B" w14:textId="77777777" w:rsidR="00E95603" w:rsidRDefault="00E956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06962" w14:textId="77777777" w:rsidR="00E95603" w:rsidRDefault="00E95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8FA8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F081F"/>
    <w:multiLevelType w:val="hybridMultilevel"/>
    <w:tmpl w:val="999E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097176"/>
    <w:multiLevelType w:val="hybridMultilevel"/>
    <w:tmpl w:val="7A5229FA"/>
    <w:lvl w:ilvl="0" w:tplc="D75EB9F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3458AD"/>
    <w:multiLevelType w:val="hybridMultilevel"/>
    <w:tmpl w:val="5ED476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47AEC"/>
    <w:multiLevelType w:val="hybridMultilevel"/>
    <w:tmpl w:val="E66C3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5A3CF8"/>
    <w:multiLevelType w:val="hybridMultilevel"/>
    <w:tmpl w:val="808CF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7762D"/>
    <w:multiLevelType w:val="hybridMultilevel"/>
    <w:tmpl w:val="F5AE9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714BE"/>
    <w:multiLevelType w:val="hybridMultilevel"/>
    <w:tmpl w:val="EA0C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9636B"/>
    <w:multiLevelType w:val="hybridMultilevel"/>
    <w:tmpl w:val="940AE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4727E8"/>
    <w:multiLevelType w:val="hybridMultilevel"/>
    <w:tmpl w:val="4A1A4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3" w15:restartNumberingAfterBreak="0">
    <w:nsid w:val="23884C22"/>
    <w:multiLevelType w:val="hybridMultilevel"/>
    <w:tmpl w:val="E8082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C6601EB"/>
    <w:multiLevelType w:val="hybridMultilevel"/>
    <w:tmpl w:val="65888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C12271"/>
    <w:multiLevelType w:val="hybridMultilevel"/>
    <w:tmpl w:val="0D4A1014"/>
    <w:lvl w:ilvl="0" w:tplc="4B1C0206">
      <w:start w:val="1"/>
      <w:numFmt w:val="bullet"/>
      <w:lvlText w:val=""/>
      <w:lvlJc w:val="left"/>
      <w:pPr>
        <w:tabs>
          <w:tab w:val="num" w:pos="720"/>
        </w:tabs>
        <w:ind w:left="720" w:hanging="360"/>
      </w:pPr>
      <w:rPr>
        <w:rFonts w:ascii="Symbol" w:hAnsi="Symbol" w:hint="default"/>
      </w:rPr>
    </w:lvl>
    <w:lvl w:ilvl="1" w:tplc="18585E84" w:tentative="1">
      <w:start w:val="1"/>
      <w:numFmt w:val="bullet"/>
      <w:lvlText w:val=""/>
      <w:lvlJc w:val="left"/>
      <w:pPr>
        <w:tabs>
          <w:tab w:val="num" w:pos="1440"/>
        </w:tabs>
        <w:ind w:left="1440" w:hanging="360"/>
      </w:pPr>
      <w:rPr>
        <w:rFonts w:ascii="Symbol" w:hAnsi="Symbol" w:hint="default"/>
      </w:rPr>
    </w:lvl>
    <w:lvl w:ilvl="2" w:tplc="7C0653E4" w:tentative="1">
      <w:start w:val="1"/>
      <w:numFmt w:val="bullet"/>
      <w:lvlText w:val=""/>
      <w:lvlJc w:val="left"/>
      <w:pPr>
        <w:tabs>
          <w:tab w:val="num" w:pos="2160"/>
        </w:tabs>
        <w:ind w:left="2160" w:hanging="360"/>
      </w:pPr>
      <w:rPr>
        <w:rFonts w:ascii="Symbol" w:hAnsi="Symbol" w:hint="default"/>
      </w:rPr>
    </w:lvl>
    <w:lvl w:ilvl="3" w:tplc="D3A6FDEA" w:tentative="1">
      <w:start w:val="1"/>
      <w:numFmt w:val="bullet"/>
      <w:lvlText w:val=""/>
      <w:lvlJc w:val="left"/>
      <w:pPr>
        <w:tabs>
          <w:tab w:val="num" w:pos="2880"/>
        </w:tabs>
        <w:ind w:left="2880" w:hanging="360"/>
      </w:pPr>
      <w:rPr>
        <w:rFonts w:ascii="Symbol" w:hAnsi="Symbol" w:hint="default"/>
      </w:rPr>
    </w:lvl>
    <w:lvl w:ilvl="4" w:tplc="B1C2EE06" w:tentative="1">
      <w:start w:val="1"/>
      <w:numFmt w:val="bullet"/>
      <w:lvlText w:val=""/>
      <w:lvlJc w:val="left"/>
      <w:pPr>
        <w:tabs>
          <w:tab w:val="num" w:pos="3600"/>
        </w:tabs>
        <w:ind w:left="3600" w:hanging="360"/>
      </w:pPr>
      <w:rPr>
        <w:rFonts w:ascii="Symbol" w:hAnsi="Symbol" w:hint="default"/>
      </w:rPr>
    </w:lvl>
    <w:lvl w:ilvl="5" w:tplc="FA5673D2" w:tentative="1">
      <w:start w:val="1"/>
      <w:numFmt w:val="bullet"/>
      <w:lvlText w:val=""/>
      <w:lvlJc w:val="left"/>
      <w:pPr>
        <w:tabs>
          <w:tab w:val="num" w:pos="4320"/>
        </w:tabs>
        <w:ind w:left="4320" w:hanging="360"/>
      </w:pPr>
      <w:rPr>
        <w:rFonts w:ascii="Symbol" w:hAnsi="Symbol" w:hint="default"/>
      </w:rPr>
    </w:lvl>
    <w:lvl w:ilvl="6" w:tplc="CC962BAC" w:tentative="1">
      <w:start w:val="1"/>
      <w:numFmt w:val="bullet"/>
      <w:lvlText w:val=""/>
      <w:lvlJc w:val="left"/>
      <w:pPr>
        <w:tabs>
          <w:tab w:val="num" w:pos="5040"/>
        </w:tabs>
        <w:ind w:left="5040" w:hanging="360"/>
      </w:pPr>
      <w:rPr>
        <w:rFonts w:ascii="Symbol" w:hAnsi="Symbol" w:hint="default"/>
      </w:rPr>
    </w:lvl>
    <w:lvl w:ilvl="7" w:tplc="F30E0224" w:tentative="1">
      <w:start w:val="1"/>
      <w:numFmt w:val="bullet"/>
      <w:lvlText w:val=""/>
      <w:lvlJc w:val="left"/>
      <w:pPr>
        <w:tabs>
          <w:tab w:val="num" w:pos="5760"/>
        </w:tabs>
        <w:ind w:left="5760" w:hanging="360"/>
      </w:pPr>
      <w:rPr>
        <w:rFonts w:ascii="Symbol" w:hAnsi="Symbol" w:hint="default"/>
      </w:rPr>
    </w:lvl>
    <w:lvl w:ilvl="8" w:tplc="63D0C0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24371DC"/>
    <w:multiLevelType w:val="multilevel"/>
    <w:tmpl w:val="4A02812C"/>
    <w:lvl w:ilvl="0">
      <w:start w:val="1"/>
      <w:numFmt w:val="decimal"/>
      <w:pStyle w:val="Heading1"/>
      <w:lvlText w:val="Section %1"/>
      <w:lvlJc w:val="left"/>
      <w:pPr>
        <w:ind w:left="644"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C31E0E"/>
    <w:multiLevelType w:val="hybridMultilevel"/>
    <w:tmpl w:val="9202EF4E"/>
    <w:lvl w:ilvl="0" w:tplc="387439DA">
      <w:start w:val="1"/>
      <w:numFmt w:val="bullet"/>
      <w:lvlText w:val=""/>
      <w:lvlJc w:val="left"/>
      <w:pPr>
        <w:tabs>
          <w:tab w:val="num" w:pos="720"/>
        </w:tabs>
        <w:ind w:left="720" w:hanging="360"/>
      </w:pPr>
      <w:rPr>
        <w:rFonts w:ascii="Symbol" w:hAnsi="Symbol" w:hint="default"/>
      </w:rPr>
    </w:lvl>
    <w:lvl w:ilvl="1" w:tplc="F44C977E" w:tentative="1">
      <w:start w:val="1"/>
      <w:numFmt w:val="bullet"/>
      <w:lvlText w:val=""/>
      <w:lvlJc w:val="left"/>
      <w:pPr>
        <w:tabs>
          <w:tab w:val="num" w:pos="1440"/>
        </w:tabs>
        <w:ind w:left="1440" w:hanging="360"/>
      </w:pPr>
      <w:rPr>
        <w:rFonts w:ascii="Symbol" w:hAnsi="Symbol" w:hint="default"/>
      </w:rPr>
    </w:lvl>
    <w:lvl w:ilvl="2" w:tplc="42DAFBF6" w:tentative="1">
      <w:start w:val="1"/>
      <w:numFmt w:val="bullet"/>
      <w:lvlText w:val=""/>
      <w:lvlJc w:val="left"/>
      <w:pPr>
        <w:tabs>
          <w:tab w:val="num" w:pos="2160"/>
        </w:tabs>
        <w:ind w:left="2160" w:hanging="360"/>
      </w:pPr>
      <w:rPr>
        <w:rFonts w:ascii="Symbol" w:hAnsi="Symbol" w:hint="default"/>
      </w:rPr>
    </w:lvl>
    <w:lvl w:ilvl="3" w:tplc="97ECC948" w:tentative="1">
      <w:start w:val="1"/>
      <w:numFmt w:val="bullet"/>
      <w:lvlText w:val=""/>
      <w:lvlJc w:val="left"/>
      <w:pPr>
        <w:tabs>
          <w:tab w:val="num" w:pos="2880"/>
        </w:tabs>
        <w:ind w:left="2880" w:hanging="360"/>
      </w:pPr>
      <w:rPr>
        <w:rFonts w:ascii="Symbol" w:hAnsi="Symbol" w:hint="default"/>
      </w:rPr>
    </w:lvl>
    <w:lvl w:ilvl="4" w:tplc="8332B91E" w:tentative="1">
      <w:start w:val="1"/>
      <w:numFmt w:val="bullet"/>
      <w:lvlText w:val=""/>
      <w:lvlJc w:val="left"/>
      <w:pPr>
        <w:tabs>
          <w:tab w:val="num" w:pos="3600"/>
        </w:tabs>
        <w:ind w:left="3600" w:hanging="360"/>
      </w:pPr>
      <w:rPr>
        <w:rFonts w:ascii="Symbol" w:hAnsi="Symbol" w:hint="default"/>
      </w:rPr>
    </w:lvl>
    <w:lvl w:ilvl="5" w:tplc="47C23C82" w:tentative="1">
      <w:start w:val="1"/>
      <w:numFmt w:val="bullet"/>
      <w:lvlText w:val=""/>
      <w:lvlJc w:val="left"/>
      <w:pPr>
        <w:tabs>
          <w:tab w:val="num" w:pos="4320"/>
        </w:tabs>
        <w:ind w:left="4320" w:hanging="360"/>
      </w:pPr>
      <w:rPr>
        <w:rFonts w:ascii="Symbol" w:hAnsi="Symbol" w:hint="default"/>
      </w:rPr>
    </w:lvl>
    <w:lvl w:ilvl="6" w:tplc="C2282776" w:tentative="1">
      <w:start w:val="1"/>
      <w:numFmt w:val="bullet"/>
      <w:lvlText w:val=""/>
      <w:lvlJc w:val="left"/>
      <w:pPr>
        <w:tabs>
          <w:tab w:val="num" w:pos="5040"/>
        </w:tabs>
        <w:ind w:left="5040" w:hanging="360"/>
      </w:pPr>
      <w:rPr>
        <w:rFonts w:ascii="Symbol" w:hAnsi="Symbol" w:hint="default"/>
      </w:rPr>
    </w:lvl>
    <w:lvl w:ilvl="7" w:tplc="36687D6A" w:tentative="1">
      <w:start w:val="1"/>
      <w:numFmt w:val="bullet"/>
      <w:lvlText w:val=""/>
      <w:lvlJc w:val="left"/>
      <w:pPr>
        <w:tabs>
          <w:tab w:val="num" w:pos="5760"/>
        </w:tabs>
        <w:ind w:left="5760" w:hanging="360"/>
      </w:pPr>
      <w:rPr>
        <w:rFonts w:ascii="Symbol" w:hAnsi="Symbol" w:hint="default"/>
      </w:rPr>
    </w:lvl>
    <w:lvl w:ilvl="8" w:tplc="B396045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FA56F7C"/>
    <w:multiLevelType w:val="hybridMultilevel"/>
    <w:tmpl w:val="74647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07007C"/>
    <w:multiLevelType w:val="hybridMultilevel"/>
    <w:tmpl w:val="A09AA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9AF2FDB"/>
    <w:multiLevelType w:val="hybridMultilevel"/>
    <w:tmpl w:val="2F009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FC3750"/>
    <w:multiLevelType w:val="hybridMultilevel"/>
    <w:tmpl w:val="686A1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499660913">
    <w:abstractNumId w:val="20"/>
  </w:num>
  <w:num w:numId="2" w16cid:durableId="984891423">
    <w:abstractNumId w:val="28"/>
  </w:num>
  <w:num w:numId="3" w16cid:durableId="2063668927">
    <w:abstractNumId w:val="4"/>
  </w:num>
  <w:num w:numId="4" w16cid:durableId="844395450">
    <w:abstractNumId w:val="12"/>
  </w:num>
  <w:num w:numId="5" w16cid:durableId="1598636090">
    <w:abstractNumId w:val="26"/>
  </w:num>
  <w:num w:numId="6" w16cid:durableId="1297226018">
    <w:abstractNumId w:val="14"/>
  </w:num>
  <w:num w:numId="7" w16cid:durableId="220943327">
    <w:abstractNumId w:val="15"/>
  </w:num>
  <w:num w:numId="8" w16cid:durableId="1828590041">
    <w:abstractNumId w:val="18"/>
  </w:num>
  <w:num w:numId="9" w16cid:durableId="725378865">
    <w:abstractNumId w:val="19"/>
  </w:num>
  <w:num w:numId="10" w16cid:durableId="738406511">
    <w:abstractNumId w:val="24"/>
  </w:num>
  <w:num w:numId="11" w16cid:durableId="1927299321">
    <w:abstractNumId w:val="23"/>
  </w:num>
  <w:num w:numId="12" w16cid:durableId="801003146">
    <w:abstractNumId w:val="13"/>
  </w:num>
  <w:num w:numId="13" w16cid:durableId="1781414609">
    <w:abstractNumId w:val="10"/>
  </w:num>
  <w:num w:numId="14" w16cid:durableId="94449664">
    <w:abstractNumId w:val="11"/>
  </w:num>
  <w:num w:numId="15" w16cid:durableId="550725343">
    <w:abstractNumId w:val="22"/>
  </w:num>
  <w:num w:numId="16" w16cid:durableId="682241719">
    <w:abstractNumId w:val="25"/>
  </w:num>
  <w:num w:numId="17" w16cid:durableId="1985158332">
    <w:abstractNumId w:val="9"/>
  </w:num>
  <w:num w:numId="18" w16cid:durableId="160854479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7988390">
    <w:abstractNumId w:val="0"/>
  </w:num>
  <w:num w:numId="20" w16cid:durableId="1689479852">
    <w:abstractNumId w:val="8"/>
  </w:num>
  <w:num w:numId="21" w16cid:durableId="1136066989">
    <w:abstractNumId w:val="3"/>
  </w:num>
  <w:num w:numId="22" w16cid:durableId="998770964">
    <w:abstractNumId w:val="2"/>
  </w:num>
  <w:num w:numId="23" w16cid:durableId="184904280">
    <w:abstractNumId w:val="5"/>
  </w:num>
  <w:num w:numId="24" w16cid:durableId="852962724">
    <w:abstractNumId w:val="7"/>
  </w:num>
  <w:num w:numId="25" w16cid:durableId="88428293">
    <w:abstractNumId w:val="16"/>
  </w:num>
  <w:num w:numId="26" w16cid:durableId="1644775395">
    <w:abstractNumId w:val="6"/>
  </w:num>
  <w:num w:numId="27" w16cid:durableId="600916559">
    <w:abstractNumId w:val="1"/>
  </w:num>
  <w:num w:numId="28" w16cid:durableId="2061980723">
    <w:abstractNumId w:val="21"/>
  </w:num>
  <w:num w:numId="29" w16cid:durableId="1698114363">
    <w:abstractNumId w:val="17"/>
  </w:num>
  <w:num w:numId="30" w16cid:durableId="219900237">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0rddw92r05ff8ef9vk55tw0vsf0ad0x5tv5&quot;&gt;Reprot&lt;record-ids&gt;&lt;item&gt;54&lt;/item&gt;&lt;/record-ids&gt;&lt;/item&gt;&lt;/Libraries&gt;"/>
  </w:docVars>
  <w:rsids>
    <w:rsidRoot w:val="008157F1"/>
    <w:rsid w:val="00000101"/>
    <w:rsid w:val="00000690"/>
    <w:rsid w:val="0000078A"/>
    <w:rsid w:val="000008BE"/>
    <w:rsid w:val="00000A1C"/>
    <w:rsid w:val="00000F0E"/>
    <w:rsid w:val="00000F14"/>
    <w:rsid w:val="00000F58"/>
    <w:rsid w:val="0000109A"/>
    <w:rsid w:val="000012DE"/>
    <w:rsid w:val="0000151E"/>
    <w:rsid w:val="0000153C"/>
    <w:rsid w:val="000016D2"/>
    <w:rsid w:val="0000189E"/>
    <w:rsid w:val="000018B5"/>
    <w:rsid w:val="00001AE6"/>
    <w:rsid w:val="00001B37"/>
    <w:rsid w:val="00001D05"/>
    <w:rsid w:val="00002038"/>
    <w:rsid w:val="0000204B"/>
    <w:rsid w:val="00002D7A"/>
    <w:rsid w:val="00002FC1"/>
    <w:rsid w:val="00003131"/>
    <w:rsid w:val="00003621"/>
    <w:rsid w:val="000036F2"/>
    <w:rsid w:val="000039FE"/>
    <w:rsid w:val="00003CA6"/>
    <w:rsid w:val="00003D6F"/>
    <w:rsid w:val="000040D4"/>
    <w:rsid w:val="00004310"/>
    <w:rsid w:val="00004CC9"/>
    <w:rsid w:val="00004D69"/>
    <w:rsid w:val="00004F7F"/>
    <w:rsid w:val="000050D6"/>
    <w:rsid w:val="000054C9"/>
    <w:rsid w:val="00005A24"/>
    <w:rsid w:val="00006358"/>
    <w:rsid w:val="000064EB"/>
    <w:rsid w:val="0000667D"/>
    <w:rsid w:val="00006719"/>
    <w:rsid w:val="0000674D"/>
    <w:rsid w:val="00006825"/>
    <w:rsid w:val="00006F8B"/>
    <w:rsid w:val="00007117"/>
    <w:rsid w:val="00007506"/>
    <w:rsid w:val="00007A29"/>
    <w:rsid w:val="00007DA4"/>
    <w:rsid w:val="000105BC"/>
    <w:rsid w:val="00010640"/>
    <w:rsid w:val="00010655"/>
    <w:rsid w:val="00010864"/>
    <w:rsid w:val="00010F91"/>
    <w:rsid w:val="00010FF0"/>
    <w:rsid w:val="00011273"/>
    <w:rsid w:val="00011568"/>
    <w:rsid w:val="00011ABA"/>
    <w:rsid w:val="00011ACD"/>
    <w:rsid w:val="00011FC6"/>
    <w:rsid w:val="00012137"/>
    <w:rsid w:val="00012804"/>
    <w:rsid w:val="00012C0C"/>
    <w:rsid w:val="00012E76"/>
    <w:rsid w:val="00012F03"/>
    <w:rsid w:val="0001301A"/>
    <w:rsid w:val="00013A30"/>
    <w:rsid w:val="00013A5C"/>
    <w:rsid w:val="00013A8D"/>
    <w:rsid w:val="00014344"/>
    <w:rsid w:val="00014974"/>
    <w:rsid w:val="00014B63"/>
    <w:rsid w:val="00014EDB"/>
    <w:rsid w:val="00014F89"/>
    <w:rsid w:val="00015440"/>
    <w:rsid w:val="00015EEC"/>
    <w:rsid w:val="00016081"/>
    <w:rsid w:val="000164A7"/>
    <w:rsid w:val="00016CA7"/>
    <w:rsid w:val="000171EF"/>
    <w:rsid w:val="000172F2"/>
    <w:rsid w:val="00017505"/>
    <w:rsid w:val="0001793B"/>
    <w:rsid w:val="00017A2E"/>
    <w:rsid w:val="00017D78"/>
    <w:rsid w:val="00017D85"/>
    <w:rsid w:val="00017D8E"/>
    <w:rsid w:val="00017D90"/>
    <w:rsid w:val="00017F2C"/>
    <w:rsid w:val="00020473"/>
    <w:rsid w:val="00020926"/>
    <w:rsid w:val="000209FA"/>
    <w:rsid w:val="000210C2"/>
    <w:rsid w:val="00021C26"/>
    <w:rsid w:val="00021C81"/>
    <w:rsid w:val="000228B8"/>
    <w:rsid w:val="00022925"/>
    <w:rsid w:val="000234ED"/>
    <w:rsid w:val="0002376A"/>
    <w:rsid w:val="0002376F"/>
    <w:rsid w:val="0002381B"/>
    <w:rsid w:val="00023920"/>
    <w:rsid w:val="000239C5"/>
    <w:rsid w:val="00024341"/>
    <w:rsid w:val="000244BD"/>
    <w:rsid w:val="00024C94"/>
    <w:rsid w:val="00024EA5"/>
    <w:rsid w:val="00024EB0"/>
    <w:rsid w:val="000250CE"/>
    <w:rsid w:val="00025366"/>
    <w:rsid w:val="00025A31"/>
    <w:rsid w:val="00025BE8"/>
    <w:rsid w:val="00026134"/>
    <w:rsid w:val="00026694"/>
    <w:rsid w:val="00026A5D"/>
    <w:rsid w:val="00026B62"/>
    <w:rsid w:val="00026C1B"/>
    <w:rsid w:val="00027050"/>
    <w:rsid w:val="00027260"/>
    <w:rsid w:val="0002726C"/>
    <w:rsid w:val="00027432"/>
    <w:rsid w:val="00027552"/>
    <w:rsid w:val="0002755F"/>
    <w:rsid w:val="00027D33"/>
    <w:rsid w:val="00027F03"/>
    <w:rsid w:val="000303BC"/>
    <w:rsid w:val="0003057C"/>
    <w:rsid w:val="0003062D"/>
    <w:rsid w:val="000306A2"/>
    <w:rsid w:val="000307C9"/>
    <w:rsid w:val="00030982"/>
    <w:rsid w:val="0003118B"/>
    <w:rsid w:val="00031594"/>
    <w:rsid w:val="00031E22"/>
    <w:rsid w:val="000320FB"/>
    <w:rsid w:val="000325FE"/>
    <w:rsid w:val="00032794"/>
    <w:rsid w:val="000327F6"/>
    <w:rsid w:val="00033666"/>
    <w:rsid w:val="0003388F"/>
    <w:rsid w:val="00033D58"/>
    <w:rsid w:val="0003423A"/>
    <w:rsid w:val="000343A9"/>
    <w:rsid w:val="00034742"/>
    <w:rsid w:val="0003477F"/>
    <w:rsid w:val="00034A3D"/>
    <w:rsid w:val="00034B5D"/>
    <w:rsid w:val="00034C0F"/>
    <w:rsid w:val="00034EE4"/>
    <w:rsid w:val="0003526A"/>
    <w:rsid w:val="00035527"/>
    <w:rsid w:val="000355E5"/>
    <w:rsid w:val="0003582A"/>
    <w:rsid w:val="000365C0"/>
    <w:rsid w:val="00036629"/>
    <w:rsid w:val="000369A6"/>
    <w:rsid w:val="00036AD8"/>
    <w:rsid w:val="00036D89"/>
    <w:rsid w:val="00037037"/>
    <w:rsid w:val="00037302"/>
    <w:rsid w:val="00037C95"/>
    <w:rsid w:val="00037FAC"/>
    <w:rsid w:val="00037FB1"/>
    <w:rsid w:val="0004005D"/>
    <w:rsid w:val="000400D8"/>
    <w:rsid w:val="000403B5"/>
    <w:rsid w:val="00040984"/>
    <w:rsid w:val="00040ADF"/>
    <w:rsid w:val="00040FB4"/>
    <w:rsid w:val="0004173D"/>
    <w:rsid w:val="0004178C"/>
    <w:rsid w:val="00041883"/>
    <w:rsid w:val="00041BA9"/>
    <w:rsid w:val="00041BF4"/>
    <w:rsid w:val="00041F5D"/>
    <w:rsid w:val="00042301"/>
    <w:rsid w:val="0004262B"/>
    <w:rsid w:val="00042705"/>
    <w:rsid w:val="00042D2E"/>
    <w:rsid w:val="00042F0F"/>
    <w:rsid w:val="0004325A"/>
    <w:rsid w:val="000434FB"/>
    <w:rsid w:val="00043637"/>
    <w:rsid w:val="000443A6"/>
    <w:rsid w:val="00044520"/>
    <w:rsid w:val="00044900"/>
    <w:rsid w:val="00044990"/>
    <w:rsid w:val="000449D1"/>
    <w:rsid w:val="00044AB9"/>
    <w:rsid w:val="00044B12"/>
    <w:rsid w:val="00045067"/>
    <w:rsid w:val="000450D8"/>
    <w:rsid w:val="00045166"/>
    <w:rsid w:val="0004524F"/>
    <w:rsid w:val="00045B8D"/>
    <w:rsid w:val="00045CC5"/>
    <w:rsid w:val="00045CE8"/>
    <w:rsid w:val="00045F68"/>
    <w:rsid w:val="000466F8"/>
    <w:rsid w:val="00046B1C"/>
    <w:rsid w:val="00046B6A"/>
    <w:rsid w:val="00047021"/>
    <w:rsid w:val="000472D4"/>
    <w:rsid w:val="00047B8A"/>
    <w:rsid w:val="00047C7D"/>
    <w:rsid w:val="0005018E"/>
    <w:rsid w:val="0005073B"/>
    <w:rsid w:val="00050C32"/>
    <w:rsid w:val="00050D90"/>
    <w:rsid w:val="00051442"/>
    <w:rsid w:val="00051B8A"/>
    <w:rsid w:val="00052646"/>
    <w:rsid w:val="00052DD3"/>
    <w:rsid w:val="00052EA3"/>
    <w:rsid w:val="00052EE5"/>
    <w:rsid w:val="000531C0"/>
    <w:rsid w:val="0005326D"/>
    <w:rsid w:val="00053387"/>
    <w:rsid w:val="00053F6C"/>
    <w:rsid w:val="0005433D"/>
    <w:rsid w:val="000548A4"/>
    <w:rsid w:val="00054EDF"/>
    <w:rsid w:val="00054F5F"/>
    <w:rsid w:val="00055330"/>
    <w:rsid w:val="00055403"/>
    <w:rsid w:val="00055563"/>
    <w:rsid w:val="000559AF"/>
    <w:rsid w:val="00055A9A"/>
    <w:rsid w:val="00055B5F"/>
    <w:rsid w:val="00055CFC"/>
    <w:rsid w:val="00055D1B"/>
    <w:rsid w:val="00056509"/>
    <w:rsid w:val="000569AB"/>
    <w:rsid w:val="000569AD"/>
    <w:rsid w:val="000569C8"/>
    <w:rsid w:val="00056AC9"/>
    <w:rsid w:val="00056BD9"/>
    <w:rsid w:val="00056E86"/>
    <w:rsid w:val="00057121"/>
    <w:rsid w:val="00057232"/>
    <w:rsid w:val="000572F3"/>
    <w:rsid w:val="00057334"/>
    <w:rsid w:val="00057556"/>
    <w:rsid w:val="00057A5D"/>
    <w:rsid w:val="00057A8A"/>
    <w:rsid w:val="00057B16"/>
    <w:rsid w:val="00057B7E"/>
    <w:rsid w:val="00057D23"/>
    <w:rsid w:val="000601CF"/>
    <w:rsid w:val="0006038D"/>
    <w:rsid w:val="00060DE8"/>
    <w:rsid w:val="00060EF2"/>
    <w:rsid w:val="00060FC6"/>
    <w:rsid w:val="000611A1"/>
    <w:rsid w:val="0006188B"/>
    <w:rsid w:val="00061DFB"/>
    <w:rsid w:val="0006208D"/>
    <w:rsid w:val="00062809"/>
    <w:rsid w:val="00062AEE"/>
    <w:rsid w:val="00062B4B"/>
    <w:rsid w:val="00062C75"/>
    <w:rsid w:val="0006339C"/>
    <w:rsid w:val="00063CCB"/>
    <w:rsid w:val="00063E97"/>
    <w:rsid w:val="00064026"/>
    <w:rsid w:val="00064113"/>
    <w:rsid w:val="000646E1"/>
    <w:rsid w:val="00064783"/>
    <w:rsid w:val="000647C2"/>
    <w:rsid w:val="000648A5"/>
    <w:rsid w:val="00064BBB"/>
    <w:rsid w:val="00065D8C"/>
    <w:rsid w:val="00065F6F"/>
    <w:rsid w:val="000664CF"/>
    <w:rsid w:val="00066703"/>
    <w:rsid w:val="0006699E"/>
    <w:rsid w:val="00066A4E"/>
    <w:rsid w:val="00066C6E"/>
    <w:rsid w:val="00066ECD"/>
    <w:rsid w:val="000671F4"/>
    <w:rsid w:val="00067358"/>
    <w:rsid w:val="000678AD"/>
    <w:rsid w:val="000679A9"/>
    <w:rsid w:val="00067A40"/>
    <w:rsid w:val="000701AE"/>
    <w:rsid w:val="0007021F"/>
    <w:rsid w:val="000702BF"/>
    <w:rsid w:val="0007035E"/>
    <w:rsid w:val="00070540"/>
    <w:rsid w:val="000709A0"/>
    <w:rsid w:val="00070AA6"/>
    <w:rsid w:val="00070F48"/>
    <w:rsid w:val="0007122F"/>
    <w:rsid w:val="000714B0"/>
    <w:rsid w:val="0007173B"/>
    <w:rsid w:val="00071D15"/>
    <w:rsid w:val="000722B6"/>
    <w:rsid w:val="000722DC"/>
    <w:rsid w:val="00072503"/>
    <w:rsid w:val="0007287D"/>
    <w:rsid w:val="000728F8"/>
    <w:rsid w:val="00074199"/>
    <w:rsid w:val="0007457D"/>
    <w:rsid w:val="00074928"/>
    <w:rsid w:val="00074C58"/>
    <w:rsid w:val="00074D29"/>
    <w:rsid w:val="00074EC3"/>
    <w:rsid w:val="00075102"/>
    <w:rsid w:val="0007572C"/>
    <w:rsid w:val="000761DD"/>
    <w:rsid w:val="00076304"/>
    <w:rsid w:val="00076BDB"/>
    <w:rsid w:val="000774B3"/>
    <w:rsid w:val="000776ED"/>
    <w:rsid w:val="0007788A"/>
    <w:rsid w:val="00077AEC"/>
    <w:rsid w:val="00077FAB"/>
    <w:rsid w:val="0008016A"/>
    <w:rsid w:val="00080229"/>
    <w:rsid w:val="00080241"/>
    <w:rsid w:val="00080EB8"/>
    <w:rsid w:val="00080F24"/>
    <w:rsid w:val="00080F51"/>
    <w:rsid w:val="00081674"/>
    <w:rsid w:val="00081778"/>
    <w:rsid w:val="00082266"/>
    <w:rsid w:val="000824C1"/>
    <w:rsid w:val="000824CA"/>
    <w:rsid w:val="000825FB"/>
    <w:rsid w:val="00082C4A"/>
    <w:rsid w:val="00082D98"/>
    <w:rsid w:val="000831AB"/>
    <w:rsid w:val="000831B6"/>
    <w:rsid w:val="000831FA"/>
    <w:rsid w:val="00083652"/>
    <w:rsid w:val="00083AF5"/>
    <w:rsid w:val="00083D55"/>
    <w:rsid w:val="00083E1C"/>
    <w:rsid w:val="000841D2"/>
    <w:rsid w:val="00084500"/>
    <w:rsid w:val="00084667"/>
    <w:rsid w:val="00084731"/>
    <w:rsid w:val="00084C00"/>
    <w:rsid w:val="00084CDD"/>
    <w:rsid w:val="00084E17"/>
    <w:rsid w:val="00084E63"/>
    <w:rsid w:val="00084EF1"/>
    <w:rsid w:val="000850EC"/>
    <w:rsid w:val="00085173"/>
    <w:rsid w:val="00085415"/>
    <w:rsid w:val="00085D7F"/>
    <w:rsid w:val="00085E19"/>
    <w:rsid w:val="00086024"/>
    <w:rsid w:val="000862C8"/>
    <w:rsid w:val="000865F7"/>
    <w:rsid w:val="00086898"/>
    <w:rsid w:val="00086947"/>
    <w:rsid w:val="0008699B"/>
    <w:rsid w:val="00086BA1"/>
    <w:rsid w:val="00086BFD"/>
    <w:rsid w:val="00086D80"/>
    <w:rsid w:val="000870B6"/>
    <w:rsid w:val="0008744B"/>
    <w:rsid w:val="00087DD8"/>
    <w:rsid w:val="00087E5D"/>
    <w:rsid w:val="000901DC"/>
    <w:rsid w:val="00090613"/>
    <w:rsid w:val="00090748"/>
    <w:rsid w:val="00090BD1"/>
    <w:rsid w:val="00090C82"/>
    <w:rsid w:val="00091140"/>
    <w:rsid w:val="00091166"/>
    <w:rsid w:val="00091655"/>
    <w:rsid w:val="0009172D"/>
    <w:rsid w:val="000917BF"/>
    <w:rsid w:val="00091857"/>
    <w:rsid w:val="000919C1"/>
    <w:rsid w:val="00091BCB"/>
    <w:rsid w:val="00091C11"/>
    <w:rsid w:val="00091C3A"/>
    <w:rsid w:val="00091C59"/>
    <w:rsid w:val="00091F1D"/>
    <w:rsid w:val="00091F90"/>
    <w:rsid w:val="000923A0"/>
    <w:rsid w:val="000924F0"/>
    <w:rsid w:val="0009261B"/>
    <w:rsid w:val="00092A21"/>
    <w:rsid w:val="00092B1C"/>
    <w:rsid w:val="00092DF0"/>
    <w:rsid w:val="00092E91"/>
    <w:rsid w:val="00092F8D"/>
    <w:rsid w:val="0009354D"/>
    <w:rsid w:val="00093A6A"/>
    <w:rsid w:val="00093AB5"/>
    <w:rsid w:val="00093AB8"/>
    <w:rsid w:val="00093D9A"/>
    <w:rsid w:val="00093EF2"/>
    <w:rsid w:val="00094041"/>
    <w:rsid w:val="0009415D"/>
    <w:rsid w:val="00094656"/>
    <w:rsid w:val="00094B33"/>
    <w:rsid w:val="000954FC"/>
    <w:rsid w:val="0009570C"/>
    <w:rsid w:val="000959E3"/>
    <w:rsid w:val="00095BC3"/>
    <w:rsid w:val="00095F4E"/>
    <w:rsid w:val="00096323"/>
    <w:rsid w:val="000963EB"/>
    <w:rsid w:val="0009680D"/>
    <w:rsid w:val="00096B52"/>
    <w:rsid w:val="00096E59"/>
    <w:rsid w:val="00097086"/>
    <w:rsid w:val="0009714B"/>
    <w:rsid w:val="000971FD"/>
    <w:rsid w:val="00097206"/>
    <w:rsid w:val="00097225"/>
    <w:rsid w:val="000972E0"/>
    <w:rsid w:val="0009759F"/>
    <w:rsid w:val="00097673"/>
    <w:rsid w:val="000978D3"/>
    <w:rsid w:val="00097AFB"/>
    <w:rsid w:val="00097D21"/>
    <w:rsid w:val="000A000D"/>
    <w:rsid w:val="000A05DC"/>
    <w:rsid w:val="000A0753"/>
    <w:rsid w:val="000A07C2"/>
    <w:rsid w:val="000A0930"/>
    <w:rsid w:val="000A0A38"/>
    <w:rsid w:val="000A0C40"/>
    <w:rsid w:val="000A0EBD"/>
    <w:rsid w:val="000A0ED3"/>
    <w:rsid w:val="000A10BF"/>
    <w:rsid w:val="000A11C6"/>
    <w:rsid w:val="000A14AD"/>
    <w:rsid w:val="000A1572"/>
    <w:rsid w:val="000A1996"/>
    <w:rsid w:val="000A1BF9"/>
    <w:rsid w:val="000A2047"/>
    <w:rsid w:val="000A2151"/>
    <w:rsid w:val="000A22DC"/>
    <w:rsid w:val="000A2383"/>
    <w:rsid w:val="000A245E"/>
    <w:rsid w:val="000A2ACD"/>
    <w:rsid w:val="000A2B65"/>
    <w:rsid w:val="000A2D1A"/>
    <w:rsid w:val="000A2D58"/>
    <w:rsid w:val="000A2DA8"/>
    <w:rsid w:val="000A2F4E"/>
    <w:rsid w:val="000A38FB"/>
    <w:rsid w:val="000A3958"/>
    <w:rsid w:val="000A3D29"/>
    <w:rsid w:val="000A47AF"/>
    <w:rsid w:val="000A4D5E"/>
    <w:rsid w:val="000A50EA"/>
    <w:rsid w:val="000A5163"/>
    <w:rsid w:val="000A51D4"/>
    <w:rsid w:val="000A5399"/>
    <w:rsid w:val="000A53DF"/>
    <w:rsid w:val="000A5434"/>
    <w:rsid w:val="000A54C6"/>
    <w:rsid w:val="000A594E"/>
    <w:rsid w:val="000A5ADF"/>
    <w:rsid w:val="000A5C47"/>
    <w:rsid w:val="000A5E30"/>
    <w:rsid w:val="000A6009"/>
    <w:rsid w:val="000A60B6"/>
    <w:rsid w:val="000A629E"/>
    <w:rsid w:val="000A6863"/>
    <w:rsid w:val="000A6B30"/>
    <w:rsid w:val="000A707B"/>
    <w:rsid w:val="000A76B7"/>
    <w:rsid w:val="000A7953"/>
    <w:rsid w:val="000A7CEA"/>
    <w:rsid w:val="000A7D18"/>
    <w:rsid w:val="000B00F7"/>
    <w:rsid w:val="000B0511"/>
    <w:rsid w:val="000B05C0"/>
    <w:rsid w:val="000B062E"/>
    <w:rsid w:val="000B0633"/>
    <w:rsid w:val="000B09DC"/>
    <w:rsid w:val="000B0A39"/>
    <w:rsid w:val="000B0ACD"/>
    <w:rsid w:val="000B0CA3"/>
    <w:rsid w:val="000B0CD8"/>
    <w:rsid w:val="000B0EDB"/>
    <w:rsid w:val="000B12C6"/>
    <w:rsid w:val="000B1490"/>
    <w:rsid w:val="000B17D8"/>
    <w:rsid w:val="000B18D8"/>
    <w:rsid w:val="000B2BCD"/>
    <w:rsid w:val="000B2DCC"/>
    <w:rsid w:val="000B2E0D"/>
    <w:rsid w:val="000B3330"/>
    <w:rsid w:val="000B3388"/>
    <w:rsid w:val="000B349C"/>
    <w:rsid w:val="000B38F7"/>
    <w:rsid w:val="000B4256"/>
    <w:rsid w:val="000B465A"/>
    <w:rsid w:val="000B46B6"/>
    <w:rsid w:val="000B4C92"/>
    <w:rsid w:val="000B4CAD"/>
    <w:rsid w:val="000B50C1"/>
    <w:rsid w:val="000B51E3"/>
    <w:rsid w:val="000B522A"/>
    <w:rsid w:val="000B55B6"/>
    <w:rsid w:val="000B5CB5"/>
    <w:rsid w:val="000B5CDA"/>
    <w:rsid w:val="000B5D39"/>
    <w:rsid w:val="000B5EA7"/>
    <w:rsid w:val="000B5FEE"/>
    <w:rsid w:val="000B63D8"/>
    <w:rsid w:val="000B64A2"/>
    <w:rsid w:val="000B6642"/>
    <w:rsid w:val="000B687B"/>
    <w:rsid w:val="000B6A12"/>
    <w:rsid w:val="000B6CF0"/>
    <w:rsid w:val="000B720C"/>
    <w:rsid w:val="000B7665"/>
    <w:rsid w:val="000B7973"/>
    <w:rsid w:val="000B7BE3"/>
    <w:rsid w:val="000C04BD"/>
    <w:rsid w:val="000C09A3"/>
    <w:rsid w:val="000C0B2D"/>
    <w:rsid w:val="000C1627"/>
    <w:rsid w:val="000C1AEB"/>
    <w:rsid w:val="000C1BB2"/>
    <w:rsid w:val="000C21A6"/>
    <w:rsid w:val="000C2750"/>
    <w:rsid w:val="000C278D"/>
    <w:rsid w:val="000C288A"/>
    <w:rsid w:val="000C2A83"/>
    <w:rsid w:val="000C2B49"/>
    <w:rsid w:val="000C2C1A"/>
    <w:rsid w:val="000C309C"/>
    <w:rsid w:val="000C3129"/>
    <w:rsid w:val="000C31F2"/>
    <w:rsid w:val="000C33B5"/>
    <w:rsid w:val="000C38A4"/>
    <w:rsid w:val="000C3C1C"/>
    <w:rsid w:val="000C4009"/>
    <w:rsid w:val="000C432A"/>
    <w:rsid w:val="000C446E"/>
    <w:rsid w:val="000C4662"/>
    <w:rsid w:val="000C4C3C"/>
    <w:rsid w:val="000C4CB9"/>
    <w:rsid w:val="000C4D80"/>
    <w:rsid w:val="000C4EAC"/>
    <w:rsid w:val="000C4FFB"/>
    <w:rsid w:val="000C57DF"/>
    <w:rsid w:val="000C59FE"/>
    <w:rsid w:val="000C5A0A"/>
    <w:rsid w:val="000C5A6B"/>
    <w:rsid w:val="000C5D9D"/>
    <w:rsid w:val="000C5F6E"/>
    <w:rsid w:val="000C63F1"/>
    <w:rsid w:val="000C6A35"/>
    <w:rsid w:val="000C6F4A"/>
    <w:rsid w:val="000C6F65"/>
    <w:rsid w:val="000C712D"/>
    <w:rsid w:val="000C7422"/>
    <w:rsid w:val="000C7730"/>
    <w:rsid w:val="000C7940"/>
    <w:rsid w:val="000C7C46"/>
    <w:rsid w:val="000C7F54"/>
    <w:rsid w:val="000D00F2"/>
    <w:rsid w:val="000D0240"/>
    <w:rsid w:val="000D0334"/>
    <w:rsid w:val="000D03C8"/>
    <w:rsid w:val="000D04F8"/>
    <w:rsid w:val="000D097C"/>
    <w:rsid w:val="000D0AA7"/>
    <w:rsid w:val="000D1461"/>
    <w:rsid w:val="000D1B52"/>
    <w:rsid w:val="000D1CC0"/>
    <w:rsid w:val="000D1E0E"/>
    <w:rsid w:val="000D21E8"/>
    <w:rsid w:val="000D23A6"/>
    <w:rsid w:val="000D243F"/>
    <w:rsid w:val="000D28C9"/>
    <w:rsid w:val="000D28EB"/>
    <w:rsid w:val="000D2951"/>
    <w:rsid w:val="000D302D"/>
    <w:rsid w:val="000D3318"/>
    <w:rsid w:val="000D3ACC"/>
    <w:rsid w:val="000D3B58"/>
    <w:rsid w:val="000D4033"/>
    <w:rsid w:val="000D42EC"/>
    <w:rsid w:val="000D487F"/>
    <w:rsid w:val="000D48BC"/>
    <w:rsid w:val="000D4C1B"/>
    <w:rsid w:val="000D5523"/>
    <w:rsid w:val="000D5B86"/>
    <w:rsid w:val="000D6050"/>
    <w:rsid w:val="000D62B3"/>
    <w:rsid w:val="000D6901"/>
    <w:rsid w:val="000D6966"/>
    <w:rsid w:val="000D7A93"/>
    <w:rsid w:val="000D7D28"/>
    <w:rsid w:val="000E01DC"/>
    <w:rsid w:val="000E0242"/>
    <w:rsid w:val="000E0392"/>
    <w:rsid w:val="000E03DC"/>
    <w:rsid w:val="000E048A"/>
    <w:rsid w:val="000E0533"/>
    <w:rsid w:val="000E068A"/>
    <w:rsid w:val="000E06FA"/>
    <w:rsid w:val="000E091A"/>
    <w:rsid w:val="000E0968"/>
    <w:rsid w:val="000E0D82"/>
    <w:rsid w:val="000E1124"/>
    <w:rsid w:val="000E18B0"/>
    <w:rsid w:val="000E1902"/>
    <w:rsid w:val="000E1AEC"/>
    <w:rsid w:val="000E1CFB"/>
    <w:rsid w:val="000E2313"/>
    <w:rsid w:val="000E2575"/>
    <w:rsid w:val="000E2DAD"/>
    <w:rsid w:val="000E2F72"/>
    <w:rsid w:val="000E334A"/>
    <w:rsid w:val="000E33B3"/>
    <w:rsid w:val="000E3995"/>
    <w:rsid w:val="000E3D35"/>
    <w:rsid w:val="000E3DE0"/>
    <w:rsid w:val="000E44BA"/>
    <w:rsid w:val="000E4645"/>
    <w:rsid w:val="000E48FF"/>
    <w:rsid w:val="000E4904"/>
    <w:rsid w:val="000E4C52"/>
    <w:rsid w:val="000E5453"/>
    <w:rsid w:val="000E5464"/>
    <w:rsid w:val="000E5531"/>
    <w:rsid w:val="000E5AA7"/>
    <w:rsid w:val="000E6022"/>
    <w:rsid w:val="000E6381"/>
    <w:rsid w:val="000E6410"/>
    <w:rsid w:val="000E6412"/>
    <w:rsid w:val="000E678B"/>
    <w:rsid w:val="000E697F"/>
    <w:rsid w:val="000E6EC5"/>
    <w:rsid w:val="000E75C1"/>
    <w:rsid w:val="000E7DF3"/>
    <w:rsid w:val="000F0346"/>
    <w:rsid w:val="000F0352"/>
    <w:rsid w:val="000F0A7E"/>
    <w:rsid w:val="000F10AF"/>
    <w:rsid w:val="000F18F5"/>
    <w:rsid w:val="000F1A5E"/>
    <w:rsid w:val="000F1B99"/>
    <w:rsid w:val="000F2252"/>
    <w:rsid w:val="000F2577"/>
    <w:rsid w:val="000F2B9E"/>
    <w:rsid w:val="000F2BD3"/>
    <w:rsid w:val="000F2E01"/>
    <w:rsid w:val="000F2EE6"/>
    <w:rsid w:val="000F33B1"/>
    <w:rsid w:val="000F3400"/>
    <w:rsid w:val="000F3515"/>
    <w:rsid w:val="000F36D8"/>
    <w:rsid w:val="000F3A4E"/>
    <w:rsid w:val="000F3F37"/>
    <w:rsid w:val="000F491F"/>
    <w:rsid w:val="000F4CFA"/>
    <w:rsid w:val="000F4F10"/>
    <w:rsid w:val="000F53A8"/>
    <w:rsid w:val="000F53C1"/>
    <w:rsid w:val="000F54C5"/>
    <w:rsid w:val="000F5A54"/>
    <w:rsid w:val="000F5DC4"/>
    <w:rsid w:val="000F69C9"/>
    <w:rsid w:val="000F6E2A"/>
    <w:rsid w:val="000F76B3"/>
    <w:rsid w:val="000F7987"/>
    <w:rsid w:val="000F7C46"/>
    <w:rsid w:val="001001BE"/>
    <w:rsid w:val="00100503"/>
    <w:rsid w:val="0010051C"/>
    <w:rsid w:val="001006B3"/>
    <w:rsid w:val="00100AAC"/>
    <w:rsid w:val="00100CB7"/>
    <w:rsid w:val="00101018"/>
    <w:rsid w:val="00101073"/>
    <w:rsid w:val="001010AE"/>
    <w:rsid w:val="001010C2"/>
    <w:rsid w:val="0010116B"/>
    <w:rsid w:val="001017F9"/>
    <w:rsid w:val="00101F6B"/>
    <w:rsid w:val="001026C1"/>
    <w:rsid w:val="001026DE"/>
    <w:rsid w:val="00102841"/>
    <w:rsid w:val="00102AAF"/>
    <w:rsid w:val="00102E2C"/>
    <w:rsid w:val="0010301D"/>
    <w:rsid w:val="001030D2"/>
    <w:rsid w:val="001031E2"/>
    <w:rsid w:val="001033E9"/>
    <w:rsid w:val="0010448B"/>
    <w:rsid w:val="001047F5"/>
    <w:rsid w:val="001048DC"/>
    <w:rsid w:val="00104CB0"/>
    <w:rsid w:val="00105108"/>
    <w:rsid w:val="0010521F"/>
    <w:rsid w:val="00105866"/>
    <w:rsid w:val="0010625A"/>
    <w:rsid w:val="001063A3"/>
    <w:rsid w:val="001067F7"/>
    <w:rsid w:val="0010684B"/>
    <w:rsid w:val="0010696A"/>
    <w:rsid w:val="00106A55"/>
    <w:rsid w:val="00106A69"/>
    <w:rsid w:val="00106BA1"/>
    <w:rsid w:val="00106DCE"/>
    <w:rsid w:val="00106E27"/>
    <w:rsid w:val="0010704D"/>
    <w:rsid w:val="00107146"/>
    <w:rsid w:val="001072F4"/>
    <w:rsid w:val="00107524"/>
    <w:rsid w:val="00107748"/>
    <w:rsid w:val="00107771"/>
    <w:rsid w:val="0010785A"/>
    <w:rsid w:val="00107DA5"/>
    <w:rsid w:val="00107DCD"/>
    <w:rsid w:val="00107E53"/>
    <w:rsid w:val="00107EF0"/>
    <w:rsid w:val="00110595"/>
    <w:rsid w:val="00111247"/>
    <w:rsid w:val="00111417"/>
    <w:rsid w:val="00111E47"/>
    <w:rsid w:val="00112193"/>
    <w:rsid w:val="00112467"/>
    <w:rsid w:val="0011253B"/>
    <w:rsid w:val="00112F05"/>
    <w:rsid w:val="00113182"/>
    <w:rsid w:val="00113265"/>
    <w:rsid w:val="001132AF"/>
    <w:rsid w:val="00113C60"/>
    <w:rsid w:val="001143D9"/>
    <w:rsid w:val="001147AC"/>
    <w:rsid w:val="0011490F"/>
    <w:rsid w:val="00114C3B"/>
    <w:rsid w:val="00114DD1"/>
    <w:rsid w:val="00114DD4"/>
    <w:rsid w:val="00115610"/>
    <w:rsid w:val="00115691"/>
    <w:rsid w:val="001156F2"/>
    <w:rsid w:val="00115A63"/>
    <w:rsid w:val="00115B16"/>
    <w:rsid w:val="00115D49"/>
    <w:rsid w:val="00115DA8"/>
    <w:rsid w:val="00116786"/>
    <w:rsid w:val="00116B31"/>
    <w:rsid w:val="00116E13"/>
    <w:rsid w:val="00116E80"/>
    <w:rsid w:val="00117039"/>
    <w:rsid w:val="001170D4"/>
    <w:rsid w:val="00117146"/>
    <w:rsid w:val="00117829"/>
    <w:rsid w:val="00117F04"/>
    <w:rsid w:val="00121102"/>
    <w:rsid w:val="00121171"/>
    <w:rsid w:val="001211CE"/>
    <w:rsid w:val="00121463"/>
    <w:rsid w:val="001214A9"/>
    <w:rsid w:val="00121AA7"/>
    <w:rsid w:val="00121B36"/>
    <w:rsid w:val="001222A4"/>
    <w:rsid w:val="00122688"/>
    <w:rsid w:val="00122A16"/>
    <w:rsid w:val="00122A69"/>
    <w:rsid w:val="00122A9F"/>
    <w:rsid w:val="00122AE3"/>
    <w:rsid w:val="00122DC5"/>
    <w:rsid w:val="00122E27"/>
    <w:rsid w:val="00122EE1"/>
    <w:rsid w:val="00123658"/>
    <w:rsid w:val="001237AF"/>
    <w:rsid w:val="00123882"/>
    <w:rsid w:val="001238F4"/>
    <w:rsid w:val="00123904"/>
    <w:rsid w:val="00123AF2"/>
    <w:rsid w:val="00123BFF"/>
    <w:rsid w:val="00123C78"/>
    <w:rsid w:val="00124468"/>
    <w:rsid w:val="00124572"/>
    <w:rsid w:val="001247EB"/>
    <w:rsid w:val="00124892"/>
    <w:rsid w:val="00124952"/>
    <w:rsid w:val="00124A6D"/>
    <w:rsid w:val="00124F3C"/>
    <w:rsid w:val="00125237"/>
    <w:rsid w:val="00125693"/>
    <w:rsid w:val="00125B61"/>
    <w:rsid w:val="00126122"/>
    <w:rsid w:val="00126217"/>
    <w:rsid w:val="0012629C"/>
    <w:rsid w:val="001265B0"/>
    <w:rsid w:val="0012698C"/>
    <w:rsid w:val="00126D81"/>
    <w:rsid w:val="001274E8"/>
    <w:rsid w:val="00130113"/>
    <w:rsid w:val="00130296"/>
    <w:rsid w:val="0013078D"/>
    <w:rsid w:val="001308ED"/>
    <w:rsid w:val="00130940"/>
    <w:rsid w:val="00130E96"/>
    <w:rsid w:val="00131063"/>
    <w:rsid w:val="00131129"/>
    <w:rsid w:val="00131169"/>
    <w:rsid w:val="00131B84"/>
    <w:rsid w:val="00131C3E"/>
    <w:rsid w:val="00131D45"/>
    <w:rsid w:val="001320C2"/>
    <w:rsid w:val="001320F0"/>
    <w:rsid w:val="0013271A"/>
    <w:rsid w:val="0013278A"/>
    <w:rsid w:val="00132D11"/>
    <w:rsid w:val="00133087"/>
    <w:rsid w:val="001330C3"/>
    <w:rsid w:val="001336E0"/>
    <w:rsid w:val="00133B14"/>
    <w:rsid w:val="00133E32"/>
    <w:rsid w:val="00133F34"/>
    <w:rsid w:val="00134354"/>
    <w:rsid w:val="001343A1"/>
    <w:rsid w:val="00134499"/>
    <w:rsid w:val="0013466D"/>
    <w:rsid w:val="00134BCE"/>
    <w:rsid w:val="00135092"/>
    <w:rsid w:val="001350FF"/>
    <w:rsid w:val="00135273"/>
    <w:rsid w:val="0013529F"/>
    <w:rsid w:val="0013555F"/>
    <w:rsid w:val="00135B78"/>
    <w:rsid w:val="00135FC9"/>
    <w:rsid w:val="00136980"/>
    <w:rsid w:val="00137B66"/>
    <w:rsid w:val="00137FC9"/>
    <w:rsid w:val="001405BD"/>
    <w:rsid w:val="0014062A"/>
    <w:rsid w:val="00140914"/>
    <w:rsid w:val="00140C4B"/>
    <w:rsid w:val="001411B8"/>
    <w:rsid w:val="001413FC"/>
    <w:rsid w:val="001414F9"/>
    <w:rsid w:val="001415FF"/>
    <w:rsid w:val="00141751"/>
    <w:rsid w:val="00141A80"/>
    <w:rsid w:val="00142775"/>
    <w:rsid w:val="001427E5"/>
    <w:rsid w:val="001430E1"/>
    <w:rsid w:val="00143292"/>
    <w:rsid w:val="00143478"/>
    <w:rsid w:val="00143670"/>
    <w:rsid w:val="0014394D"/>
    <w:rsid w:val="00143F2F"/>
    <w:rsid w:val="001442E7"/>
    <w:rsid w:val="001445BA"/>
    <w:rsid w:val="0014474A"/>
    <w:rsid w:val="00144764"/>
    <w:rsid w:val="00144B8E"/>
    <w:rsid w:val="001452DE"/>
    <w:rsid w:val="00145768"/>
    <w:rsid w:val="001458FD"/>
    <w:rsid w:val="00145952"/>
    <w:rsid w:val="00145C2E"/>
    <w:rsid w:val="00146149"/>
    <w:rsid w:val="001462D9"/>
    <w:rsid w:val="00146624"/>
    <w:rsid w:val="001467C8"/>
    <w:rsid w:val="00146847"/>
    <w:rsid w:val="0014684D"/>
    <w:rsid w:val="00146A66"/>
    <w:rsid w:val="00146DEC"/>
    <w:rsid w:val="0014740C"/>
    <w:rsid w:val="001474B1"/>
    <w:rsid w:val="00147972"/>
    <w:rsid w:val="00150376"/>
    <w:rsid w:val="0015042B"/>
    <w:rsid w:val="0015086B"/>
    <w:rsid w:val="0015135D"/>
    <w:rsid w:val="00151632"/>
    <w:rsid w:val="001517CC"/>
    <w:rsid w:val="001519C0"/>
    <w:rsid w:val="00151A93"/>
    <w:rsid w:val="00151AB5"/>
    <w:rsid w:val="00151C32"/>
    <w:rsid w:val="00151D29"/>
    <w:rsid w:val="00151DBD"/>
    <w:rsid w:val="001524B5"/>
    <w:rsid w:val="00152EE9"/>
    <w:rsid w:val="00153101"/>
    <w:rsid w:val="001531D6"/>
    <w:rsid w:val="00153790"/>
    <w:rsid w:val="001537A3"/>
    <w:rsid w:val="00153C01"/>
    <w:rsid w:val="00153D29"/>
    <w:rsid w:val="00153D66"/>
    <w:rsid w:val="001542C2"/>
    <w:rsid w:val="00154989"/>
    <w:rsid w:val="00155434"/>
    <w:rsid w:val="00155473"/>
    <w:rsid w:val="001557F9"/>
    <w:rsid w:val="0015584D"/>
    <w:rsid w:val="00155BDA"/>
    <w:rsid w:val="00155DFD"/>
    <w:rsid w:val="001560C3"/>
    <w:rsid w:val="0015612F"/>
    <w:rsid w:val="001561E9"/>
    <w:rsid w:val="0015644D"/>
    <w:rsid w:val="001569E7"/>
    <w:rsid w:val="00156CB9"/>
    <w:rsid w:val="00156FA7"/>
    <w:rsid w:val="001573F8"/>
    <w:rsid w:val="00157487"/>
    <w:rsid w:val="00157541"/>
    <w:rsid w:val="001575C0"/>
    <w:rsid w:val="001575FA"/>
    <w:rsid w:val="001578C5"/>
    <w:rsid w:val="00160012"/>
    <w:rsid w:val="00160107"/>
    <w:rsid w:val="00160177"/>
    <w:rsid w:val="0016023A"/>
    <w:rsid w:val="00160266"/>
    <w:rsid w:val="001604F9"/>
    <w:rsid w:val="00160645"/>
    <w:rsid w:val="0016079C"/>
    <w:rsid w:val="00160C64"/>
    <w:rsid w:val="00160D54"/>
    <w:rsid w:val="00161C5E"/>
    <w:rsid w:val="00161E1E"/>
    <w:rsid w:val="00161FDB"/>
    <w:rsid w:val="00162213"/>
    <w:rsid w:val="00162A5E"/>
    <w:rsid w:val="00162DBF"/>
    <w:rsid w:val="0016309D"/>
    <w:rsid w:val="001632DA"/>
    <w:rsid w:val="00163381"/>
    <w:rsid w:val="00163633"/>
    <w:rsid w:val="001638D2"/>
    <w:rsid w:val="00163AB8"/>
    <w:rsid w:val="00164274"/>
    <w:rsid w:val="0016457D"/>
    <w:rsid w:val="00164694"/>
    <w:rsid w:val="00164892"/>
    <w:rsid w:val="00164C16"/>
    <w:rsid w:val="00164CD1"/>
    <w:rsid w:val="00164CF8"/>
    <w:rsid w:val="00165280"/>
    <w:rsid w:val="00165353"/>
    <w:rsid w:val="001653AE"/>
    <w:rsid w:val="00165420"/>
    <w:rsid w:val="001660D3"/>
    <w:rsid w:val="00166A7F"/>
    <w:rsid w:val="00166B22"/>
    <w:rsid w:val="00166B56"/>
    <w:rsid w:val="001674BF"/>
    <w:rsid w:val="0016758C"/>
    <w:rsid w:val="00167C59"/>
    <w:rsid w:val="00167CD7"/>
    <w:rsid w:val="00170459"/>
    <w:rsid w:val="00170468"/>
    <w:rsid w:val="00170731"/>
    <w:rsid w:val="00170BE8"/>
    <w:rsid w:val="00170D5B"/>
    <w:rsid w:val="0017103A"/>
    <w:rsid w:val="00171166"/>
    <w:rsid w:val="001714BC"/>
    <w:rsid w:val="001716C4"/>
    <w:rsid w:val="00171AE2"/>
    <w:rsid w:val="00171F70"/>
    <w:rsid w:val="001722F8"/>
    <w:rsid w:val="00172433"/>
    <w:rsid w:val="00172494"/>
    <w:rsid w:val="001726BB"/>
    <w:rsid w:val="001726C9"/>
    <w:rsid w:val="001728B9"/>
    <w:rsid w:val="00172924"/>
    <w:rsid w:val="0017296C"/>
    <w:rsid w:val="00172B8F"/>
    <w:rsid w:val="00172C31"/>
    <w:rsid w:val="00172F1C"/>
    <w:rsid w:val="001730D8"/>
    <w:rsid w:val="00173448"/>
    <w:rsid w:val="00173451"/>
    <w:rsid w:val="001736F8"/>
    <w:rsid w:val="0017370C"/>
    <w:rsid w:val="00173745"/>
    <w:rsid w:val="00173898"/>
    <w:rsid w:val="00173A0F"/>
    <w:rsid w:val="00173D85"/>
    <w:rsid w:val="00173DED"/>
    <w:rsid w:val="00173E58"/>
    <w:rsid w:val="00173E75"/>
    <w:rsid w:val="001743BC"/>
    <w:rsid w:val="001744FB"/>
    <w:rsid w:val="00174702"/>
    <w:rsid w:val="00174726"/>
    <w:rsid w:val="00174EAE"/>
    <w:rsid w:val="00174FD4"/>
    <w:rsid w:val="0017501F"/>
    <w:rsid w:val="00175462"/>
    <w:rsid w:val="0017556E"/>
    <w:rsid w:val="0017572B"/>
    <w:rsid w:val="00175969"/>
    <w:rsid w:val="00175E1B"/>
    <w:rsid w:val="0017615F"/>
    <w:rsid w:val="0017651B"/>
    <w:rsid w:val="001767DF"/>
    <w:rsid w:val="00176E4A"/>
    <w:rsid w:val="001772AD"/>
    <w:rsid w:val="0017737A"/>
    <w:rsid w:val="001789B8"/>
    <w:rsid w:val="0017A737"/>
    <w:rsid w:val="0018006A"/>
    <w:rsid w:val="001800B2"/>
    <w:rsid w:val="00180432"/>
    <w:rsid w:val="0018043C"/>
    <w:rsid w:val="00180A00"/>
    <w:rsid w:val="00180ABD"/>
    <w:rsid w:val="00180E3E"/>
    <w:rsid w:val="001812D1"/>
    <w:rsid w:val="001817F9"/>
    <w:rsid w:val="00181832"/>
    <w:rsid w:val="001820EC"/>
    <w:rsid w:val="00182254"/>
    <w:rsid w:val="00182446"/>
    <w:rsid w:val="001824F4"/>
    <w:rsid w:val="0018285D"/>
    <w:rsid w:val="0018292B"/>
    <w:rsid w:val="00182A9D"/>
    <w:rsid w:val="00182C2B"/>
    <w:rsid w:val="00182E91"/>
    <w:rsid w:val="001831D0"/>
    <w:rsid w:val="00183C94"/>
    <w:rsid w:val="00184335"/>
    <w:rsid w:val="00184BAE"/>
    <w:rsid w:val="00185414"/>
    <w:rsid w:val="00185874"/>
    <w:rsid w:val="001859C6"/>
    <w:rsid w:val="00185BE4"/>
    <w:rsid w:val="00185C90"/>
    <w:rsid w:val="00185D06"/>
    <w:rsid w:val="00186037"/>
    <w:rsid w:val="001861DB"/>
    <w:rsid w:val="00186392"/>
    <w:rsid w:val="001863A8"/>
    <w:rsid w:val="001863F0"/>
    <w:rsid w:val="00186AA0"/>
    <w:rsid w:val="00186F1F"/>
    <w:rsid w:val="0018707A"/>
    <w:rsid w:val="00187207"/>
    <w:rsid w:val="0018728C"/>
    <w:rsid w:val="00187629"/>
    <w:rsid w:val="00187B88"/>
    <w:rsid w:val="00187BD5"/>
    <w:rsid w:val="00187E3D"/>
    <w:rsid w:val="001903B4"/>
    <w:rsid w:val="001903E0"/>
    <w:rsid w:val="001906E6"/>
    <w:rsid w:val="00190E5F"/>
    <w:rsid w:val="00191198"/>
    <w:rsid w:val="00191264"/>
    <w:rsid w:val="00191385"/>
    <w:rsid w:val="001915F0"/>
    <w:rsid w:val="00191A47"/>
    <w:rsid w:val="00191A6A"/>
    <w:rsid w:val="00191D7A"/>
    <w:rsid w:val="00191DF0"/>
    <w:rsid w:val="00191E5A"/>
    <w:rsid w:val="001920EC"/>
    <w:rsid w:val="001922A4"/>
    <w:rsid w:val="0019240D"/>
    <w:rsid w:val="0019281F"/>
    <w:rsid w:val="00192A72"/>
    <w:rsid w:val="00192D87"/>
    <w:rsid w:val="00193474"/>
    <w:rsid w:val="00193582"/>
    <w:rsid w:val="0019362A"/>
    <w:rsid w:val="00193C17"/>
    <w:rsid w:val="00193CEB"/>
    <w:rsid w:val="00193D20"/>
    <w:rsid w:val="00193DD5"/>
    <w:rsid w:val="00194281"/>
    <w:rsid w:val="0019474E"/>
    <w:rsid w:val="00194815"/>
    <w:rsid w:val="00194C7F"/>
    <w:rsid w:val="00194EC7"/>
    <w:rsid w:val="00195049"/>
    <w:rsid w:val="00195162"/>
    <w:rsid w:val="00195310"/>
    <w:rsid w:val="001953E0"/>
    <w:rsid w:val="00195728"/>
    <w:rsid w:val="001957AD"/>
    <w:rsid w:val="00195D91"/>
    <w:rsid w:val="00195DE0"/>
    <w:rsid w:val="00195F79"/>
    <w:rsid w:val="00195FAD"/>
    <w:rsid w:val="001961AA"/>
    <w:rsid w:val="0019648B"/>
    <w:rsid w:val="00196B04"/>
    <w:rsid w:val="001970C0"/>
    <w:rsid w:val="001973F0"/>
    <w:rsid w:val="001A004A"/>
    <w:rsid w:val="001A0460"/>
    <w:rsid w:val="001A0484"/>
    <w:rsid w:val="001A04EC"/>
    <w:rsid w:val="001A09A5"/>
    <w:rsid w:val="001A0D89"/>
    <w:rsid w:val="001A0E8D"/>
    <w:rsid w:val="001A12EE"/>
    <w:rsid w:val="001A1CB7"/>
    <w:rsid w:val="001A1E2F"/>
    <w:rsid w:val="001A1ED3"/>
    <w:rsid w:val="001A1F4B"/>
    <w:rsid w:val="001A229C"/>
    <w:rsid w:val="001A23A5"/>
    <w:rsid w:val="001A302C"/>
    <w:rsid w:val="001A304E"/>
    <w:rsid w:val="001A32E3"/>
    <w:rsid w:val="001A35BA"/>
    <w:rsid w:val="001A3697"/>
    <w:rsid w:val="001A3812"/>
    <w:rsid w:val="001A3D69"/>
    <w:rsid w:val="001A3DF6"/>
    <w:rsid w:val="001A420B"/>
    <w:rsid w:val="001A4238"/>
    <w:rsid w:val="001A4968"/>
    <w:rsid w:val="001A4B97"/>
    <w:rsid w:val="001A4CCA"/>
    <w:rsid w:val="001A4D13"/>
    <w:rsid w:val="001A4E13"/>
    <w:rsid w:val="001A4F7D"/>
    <w:rsid w:val="001A54D8"/>
    <w:rsid w:val="001A5677"/>
    <w:rsid w:val="001A56C0"/>
    <w:rsid w:val="001A5818"/>
    <w:rsid w:val="001A652C"/>
    <w:rsid w:val="001A77AB"/>
    <w:rsid w:val="001A7AF3"/>
    <w:rsid w:val="001A7B42"/>
    <w:rsid w:val="001A7D8F"/>
    <w:rsid w:val="001B0056"/>
    <w:rsid w:val="001B0510"/>
    <w:rsid w:val="001B07AE"/>
    <w:rsid w:val="001B106D"/>
    <w:rsid w:val="001B12C0"/>
    <w:rsid w:val="001B12FF"/>
    <w:rsid w:val="001B1756"/>
    <w:rsid w:val="001B1C86"/>
    <w:rsid w:val="001B1F72"/>
    <w:rsid w:val="001B1FD2"/>
    <w:rsid w:val="001B22BA"/>
    <w:rsid w:val="001B24B9"/>
    <w:rsid w:val="001B2992"/>
    <w:rsid w:val="001B2A97"/>
    <w:rsid w:val="001B2BBE"/>
    <w:rsid w:val="001B2CD4"/>
    <w:rsid w:val="001B3132"/>
    <w:rsid w:val="001B34CC"/>
    <w:rsid w:val="001B35FB"/>
    <w:rsid w:val="001B3A0B"/>
    <w:rsid w:val="001B3C95"/>
    <w:rsid w:val="001B409A"/>
    <w:rsid w:val="001B4254"/>
    <w:rsid w:val="001B48B4"/>
    <w:rsid w:val="001B48BE"/>
    <w:rsid w:val="001B4D6D"/>
    <w:rsid w:val="001B4DBE"/>
    <w:rsid w:val="001B5288"/>
    <w:rsid w:val="001B564F"/>
    <w:rsid w:val="001B60F4"/>
    <w:rsid w:val="001B624F"/>
    <w:rsid w:val="001B66EC"/>
    <w:rsid w:val="001B7240"/>
    <w:rsid w:val="001B7329"/>
    <w:rsid w:val="001B7461"/>
    <w:rsid w:val="001B7704"/>
    <w:rsid w:val="001B794F"/>
    <w:rsid w:val="001B7A48"/>
    <w:rsid w:val="001C004C"/>
    <w:rsid w:val="001C1234"/>
    <w:rsid w:val="001C1671"/>
    <w:rsid w:val="001C174A"/>
    <w:rsid w:val="001C174E"/>
    <w:rsid w:val="001C1D05"/>
    <w:rsid w:val="001C1E94"/>
    <w:rsid w:val="001C20BD"/>
    <w:rsid w:val="001C23E9"/>
    <w:rsid w:val="001C26F1"/>
    <w:rsid w:val="001C27C9"/>
    <w:rsid w:val="001C2A48"/>
    <w:rsid w:val="001C2F37"/>
    <w:rsid w:val="001C2F97"/>
    <w:rsid w:val="001C30C3"/>
    <w:rsid w:val="001C325E"/>
    <w:rsid w:val="001C336D"/>
    <w:rsid w:val="001C34D2"/>
    <w:rsid w:val="001C371C"/>
    <w:rsid w:val="001C3B1C"/>
    <w:rsid w:val="001C45E2"/>
    <w:rsid w:val="001C48FB"/>
    <w:rsid w:val="001C4997"/>
    <w:rsid w:val="001C4CD1"/>
    <w:rsid w:val="001C4CEA"/>
    <w:rsid w:val="001C4F46"/>
    <w:rsid w:val="001C5638"/>
    <w:rsid w:val="001C592C"/>
    <w:rsid w:val="001C5A9B"/>
    <w:rsid w:val="001C5C8A"/>
    <w:rsid w:val="001C69E3"/>
    <w:rsid w:val="001C6DFD"/>
    <w:rsid w:val="001C707D"/>
    <w:rsid w:val="001C7705"/>
    <w:rsid w:val="001C7B86"/>
    <w:rsid w:val="001D00AE"/>
    <w:rsid w:val="001D04C9"/>
    <w:rsid w:val="001D0712"/>
    <w:rsid w:val="001D0D33"/>
    <w:rsid w:val="001D1427"/>
    <w:rsid w:val="001D1589"/>
    <w:rsid w:val="001D1903"/>
    <w:rsid w:val="001D19B9"/>
    <w:rsid w:val="001D20AE"/>
    <w:rsid w:val="001D2AC9"/>
    <w:rsid w:val="001D2CA7"/>
    <w:rsid w:val="001D3056"/>
    <w:rsid w:val="001D3143"/>
    <w:rsid w:val="001D32C0"/>
    <w:rsid w:val="001D35D6"/>
    <w:rsid w:val="001D38D9"/>
    <w:rsid w:val="001D3A64"/>
    <w:rsid w:val="001D3A67"/>
    <w:rsid w:val="001D3B9F"/>
    <w:rsid w:val="001D3BF9"/>
    <w:rsid w:val="001D3C54"/>
    <w:rsid w:val="001D3C72"/>
    <w:rsid w:val="001D416E"/>
    <w:rsid w:val="001D42EC"/>
    <w:rsid w:val="001D42FC"/>
    <w:rsid w:val="001D4D7E"/>
    <w:rsid w:val="001D4F13"/>
    <w:rsid w:val="001D55CF"/>
    <w:rsid w:val="001D55E8"/>
    <w:rsid w:val="001D5605"/>
    <w:rsid w:val="001D5793"/>
    <w:rsid w:val="001D5910"/>
    <w:rsid w:val="001D5B0C"/>
    <w:rsid w:val="001D5B5E"/>
    <w:rsid w:val="001D64B8"/>
    <w:rsid w:val="001D6572"/>
    <w:rsid w:val="001D6ADF"/>
    <w:rsid w:val="001D6CE3"/>
    <w:rsid w:val="001D70A2"/>
    <w:rsid w:val="001D7266"/>
    <w:rsid w:val="001D72CC"/>
    <w:rsid w:val="001D7410"/>
    <w:rsid w:val="001D74A7"/>
    <w:rsid w:val="001D7575"/>
    <w:rsid w:val="001D7659"/>
    <w:rsid w:val="001D78B3"/>
    <w:rsid w:val="001D7B8D"/>
    <w:rsid w:val="001D7EAC"/>
    <w:rsid w:val="001E0441"/>
    <w:rsid w:val="001E0965"/>
    <w:rsid w:val="001E0D6E"/>
    <w:rsid w:val="001E0D92"/>
    <w:rsid w:val="001E0E50"/>
    <w:rsid w:val="001E1062"/>
    <w:rsid w:val="001E1098"/>
    <w:rsid w:val="001E1131"/>
    <w:rsid w:val="001E115B"/>
    <w:rsid w:val="001E12AE"/>
    <w:rsid w:val="001E13F0"/>
    <w:rsid w:val="001E15F2"/>
    <w:rsid w:val="001E1641"/>
    <w:rsid w:val="001E1676"/>
    <w:rsid w:val="001E16F3"/>
    <w:rsid w:val="001E175B"/>
    <w:rsid w:val="001E1B46"/>
    <w:rsid w:val="001E1EAD"/>
    <w:rsid w:val="001E20E0"/>
    <w:rsid w:val="001E21A1"/>
    <w:rsid w:val="001E21FC"/>
    <w:rsid w:val="001E22F7"/>
    <w:rsid w:val="001E2407"/>
    <w:rsid w:val="001E2775"/>
    <w:rsid w:val="001E28C4"/>
    <w:rsid w:val="001E2BB1"/>
    <w:rsid w:val="001E308F"/>
    <w:rsid w:val="001E3332"/>
    <w:rsid w:val="001E345F"/>
    <w:rsid w:val="001E3FF9"/>
    <w:rsid w:val="001E401E"/>
    <w:rsid w:val="001E42E1"/>
    <w:rsid w:val="001E4370"/>
    <w:rsid w:val="001E465F"/>
    <w:rsid w:val="001E4751"/>
    <w:rsid w:val="001E4B29"/>
    <w:rsid w:val="001E4D69"/>
    <w:rsid w:val="001E4F66"/>
    <w:rsid w:val="001E536D"/>
    <w:rsid w:val="001E5388"/>
    <w:rsid w:val="001E58D8"/>
    <w:rsid w:val="001E5A19"/>
    <w:rsid w:val="001E62AA"/>
    <w:rsid w:val="001E6A93"/>
    <w:rsid w:val="001E71D6"/>
    <w:rsid w:val="001F0090"/>
    <w:rsid w:val="001F0334"/>
    <w:rsid w:val="001F07D8"/>
    <w:rsid w:val="001F0947"/>
    <w:rsid w:val="001F0AD5"/>
    <w:rsid w:val="001F0DC9"/>
    <w:rsid w:val="001F0F80"/>
    <w:rsid w:val="001F10E4"/>
    <w:rsid w:val="001F1676"/>
    <w:rsid w:val="001F1A23"/>
    <w:rsid w:val="001F22D3"/>
    <w:rsid w:val="001F2318"/>
    <w:rsid w:val="001F26C1"/>
    <w:rsid w:val="001F2815"/>
    <w:rsid w:val="001F2902"/>
    <w:rsid w:val="001F2B9E"/>
    <w:rsid w:val="001F2E65"/>
    <w:rsid w:val="001F30B2"/>
    <w:rsid w:val="001F3254"/>
    <w:rsid w:val="001F3705"/>
    <w:rsid w:val="001F3F36"/>
    <w:rsid w:val="001F46C5"/>
    <w:rsid w:val="001F4BBC"/>
    <w:rsid w:val="001F4E51"/>
    <w:rsid w:val="001F5D9C"/>
    <w:rsid w:val="001F5DE4"/>
    <w:rsid w:val="001F60C5"/>
    <w:rsid w:val="001F658C"/>
    <w:rsid w:val="001F6711"/>
    <w:rsid w:val="001F675C"/>
    <w:rsid w:val="001F6842"/>
    <w:rsid w:val="001F6C50"/>
    <w:rsid w:val="001F6E0F"/>
    <w:rsid w:val="001F6F44"/>
    <w:rsid w:val="001F718C"/>
    <w:rsid w:val="001F7563"/>
    <w:rsid w:val="001F7B02"/>
    <w:rsid w:val="00200059"/>
    <w:rsid w:val="0020044C"/>
    <w:rsid w:val="00200804"/>
    <w:rsid w:val="00200B1F"/>
    <w:rsid w:val="00200DF8"/>
    <w:rsid w:val="00200EE6"/>
    <w:rsid w:val="00202525"/>
    <w:rsid w:val="002026A5"/>
    <w:rsid w:val="0020280E"/>
    <w:rsid w:val="002035EB"/>
    <w:rsid w:val="0020410F"/>
    <w:rsid w:val="002041C7"/>
    <w:rsid w:val="00204A32"/>
    <w:rsid w:val="00204B64"/>
    <w:rsid w:val="00204C05"/>
    <w:rsid w:val="00204C68"/>
    <w:rsid w:val="00204C94"/>
    <w:rsid w:val="00204D1C"/>
    <w:rsid w:val="00204E94"/>
    <w:rsid w:val="00205386"/>
    <w:rsid w:val="00205F9C"/>
    <w:rsid w:val="00206383"/>
    <w:rsid w:val="00206461"/>
    <w:rsid w:val="0020652C"/>
    <w:rsid w:val="00206BBA"/>
    <w:rsid w:val="0020732D"/>
    <w:rsid w:val="002076C1"/>
    <w:rsid w:val="0020775B"/>
    <w:rsid w:val="002077BD"/>
    <w:rsid w:val="00207825"/>
    <w:rsid w:val="00207932"/>
    <w:rsid w:val="00207F59"/>
    <w:rsid w:val="00210548"/>
    <w:rsid w:val="0021095D"/>
    <w:rsid w:val="00210C7B"/>
    <w:rsid w:val="00211942"/>
    <w:rsid w:val="002119C6"/>
    <w:rsid w:val="00211AEE"/>
    <w:rsid w:val="00211DC3"/>
    <w:rsid w:val="00211E45"/>
    <w:rsid w:val="002121EC"/>
    <w:rsid w:val="0021247E"/>
    <w:rsid w:val="00212F37"/>
    <w:rsid w:val="0021303F"/>
    <w:rsid w:val="002132E0"/>
    <w:rsid w:val="0021334A"/>
    <w:rsid w:val="00213469"/>
    <w:rsid w:val="0021388B"/>
    <w:rsid w:val="0021392E"/>
    <w:rsid w:val="00213E70"/>
    <w:rsid w:val="00213FF5"/>
    <w:rsid w:val="0021434A"/>
    <w:rsid w:val="002146B2"/>
    <w:rsid w:val="00214D94"/>
    <w:rsid w:val="00214F5F"/>
    <w:rsid w:val="0021501F"/>
    <w:rsid w:val="002151D2"/>
    <w:rsid w:val="002155B6"/>
    <w:rsid w:val="002156D9"/>
    <w:rsid w:val="00215737"/>
    <w:rsid w:val="002157E4"/>
    <w:rsid w:val="00215AFB"/>
    <w:rsid w:val="00215B71"/>
    <w:rsid w:val="00215CCE"/>
    <w:rsid w:val="00215CD3"/>
    <w:rsid w:val="00215DEA"/>
    <w:rsid w:val="00216132"/>
    <w:rsid w:val="002165F9"/>
    <w:rsid w:val="00216859"/>
    <w:rsid w:val="00216B83"/>
    <w:rsid w:val="00216DDB"/>
    <w:rsid w:val="00216E6B"/>
    <w:rsid w:val="002173DD"/>
    <w:rsid w:val="0021762D"/>
    <w:rsid w:val="00217778"/>
    <w:rsid w:val="00217A27"/>
    <w:rsid w:val="00217C39"/>
    <w:rsid w:val="002200D8"/>
    <w:rsid w:val="002204ED"/>
    <w:rsid w:val="00221243"/>
    <w:rsid w:val="00221CF6"/>
    <w:rsid w:val="002226D0"/>
    <w:rsid w:val="0022290C"/>
    <w:rsid w:val="00222AF0"/>
    <w:rsid w:val="00223151"/>
    <w:rsid w:val="00223664"/>
    <w:rsid w:val="002237C8"/>
    <w:rsid w:val="0022385A"/>
    <w:rsid w:val="00223A56"/>
    <w:rsid w:val="00223C23"/>
    <w:rsid w:val="00223D8F"/>
    <w:rsid w:val="00223E7E"/>
    <w:rsid w:val="002243FD"/>
    <w:rsid w:val="00224509"/>
    <w:rsid w:val="00224DA3"/>
    <w:rsid w:val="002254C5"/>
    <w:rsid w:val="002257CE"/>
    <w:rsid w:val="00225833"/>
    <w:rsid w:val="002259D6"/>
    <w:rsid w:val="00225E6E"/>
    <w:rsid w:val="00225FD1"/>
    <w:rsid w:val="00226095"/>
    <w:rsid w:val="00226586"/>
    <w:rsid w:val="00226727"/>
    <w:rsid w:val="00226848"/>
    <w:rsid w:val="002269DF"/>
    <w:rsid w:val="00226D45"/>
    <w:rsid w:val="00227962"/>
    <w:rsid w:val="00227B89"/>
    <w:rsid w:val="00227F43"/>
    <w:rsid w:val="0023059A"/>
    <w:rsid w:val="00230CA6"/>
    <w:rsid w:val="00230CAA"/>
    <w:rsid w:val="00230D58"/>
    <w:rsid w:val="00230FDA"/>
    <w:rsid w:val="0023103C"/>
    <w:rsid w:val="002310E8"/>
    <w:rsid w:val="00231678"/>
    <w:rsid w:val="002318FF"/>
    <w:rsid w:val="00231A01"/>
    <w:rsid w:val="00231B13"/>
    <w:rsid w:val="0023228E"/>
    <w:rsid w:val="00232E21"/>
    <w:rsid w:val="00233093"/>
    <w:rsid w:val="0023324D"/>
    <w:rsid w:val="002339AF"/>
    <w:rsid w:val="00233F48"/>
    <w:rsid w:val="0023415B"/>
    <w:rsid w:val="002342BC"/>
    <w:rsid w:val="00234640"/>
    <w:rsid w:val="00234C64"/>
    <w:rsid w:val="00234D84"/>
    <w:rsid w:val="00234DAF"/>
    <w:rsid w:val="00234E22"/>
    <w:rsid w:val="00234E36"/>
    <w:rsid w:val="00234E41"/>
    <w:rsid w:val="00235978"/>
    <w:rsid w:val="00236170"/>
    <w:rsid w:val="00236193"/>
    <w:rsid w:val="002361A1"/>
    <w:rsid w:val="00236B63"/>
    <w:rsid w:val="002370E2"/>
    <w:rsid w:val="0023722E"/>
    <w:rsid w:val="0023796B"/>
    <w:rsid w:val="00237F45"/>
    <w:rsid w:val="00237F79"/>
    <w:rsid w:val="00240106"/>
    <w:rsid w:val="00240285"/>
    <w:rsid w:val="002404B4"/>
    <w:rsid w:val="002410B3"/>
    <w:rsid w:val="002411C7"/>
    <w:rsid w:val="00241393"/>
    <w:rsid w:val="00241B0B"/>
    <w:rsid w:val="00241E4A"/>
    <w:rsid w:val="00241FF5"/>
    <w:rsid w:val="00242419"/>
    <w:rsid w:val="002428DC"/>
    <w:rsid w:val="00242B4B"/>
    <w:rsid w:val="00242F4E"/>
    <w:rsid w:val="00242FAD"/>
    <w:rsid w:val="0024304B"/>
    <w:rsid w:val="002435DF"/>
    <w:rsid w:val="00243A2E"/>
    <w:rsid w:val="00243B03"/>
    <w:rsid w:val="00243C46"/>
    <w:rsid w:val="00243C93"/>
    <w:rsid w:val="00243E48"/>
    <w:rsid w:val="0024411F"/>
    <w:rsid w:val="00244183"/>
    <w:rsid w:val="00244299"/>
    <w:rsid w:val="002449F9"/>
    <w:rsid w:val="00245047"/>
    <w:rsid w:val="002452A0"/>
    <w:rsid w:val="0024549C"/>
    <w:rsid w:val="00245D56"/>
    <w:rsid w:val="002462AF"/>
    <w:rsid w:val="002463A6"/>
    <w:rsid w:val="002466DC"/>
    <w:rsid w:val="0024674A"/>
    <w:rsid w:val="002467DF"/>
    <w:rsid w:val="00246ADB"/>
    <w:rsid w:val="00246AFF"/>
    <w:rsid w:val="00246FC1"/>
    <w:rsid w:val="00247294"/>
    <w:rsid w:val="002473A2"/>
    <w:rsid w:val="00247618"/>
    <w:rsid w:val="002478B4"/>
    <w:rsid w:val="00247A06"/>
    <w:rsid w:val="00247C61"/>
    <w:rsid w:val="0025019F"/>
    <w:rsid w:val="00250710"/>
    <w:rsid w:val="002507C6"/>
    <w:rsid w:val="002517A5"/>
    <w:rsid w:val="002518FC"/>
    <w:rsid w:val="00251B6E"/>
    <w:rsid w:val="00251E6C"/>
    <w:rsid w:val="00251F6C"/>
    <w:rsid w:val="00251FFC"/>
    <w:rsid w:val="0025249C"/>
    <w:rsid w:val="002524CD"/>
    <w:rsid w:val="0025265F"/>
    <w:rsid w:val="00252B65"/>
    <w:rsid w:val="002530D3"/>
    <w:rsid w:val="00253120"/>
    <w:rsid w:val="00253232"/>
    <w:rsid w:val="0025327D"/>
    <w:rsid w:val="002539ED"/>
    <w:rsid w:val="00253DF7"/>
    <w:rsid w:val="00253F1F"/>
    <w:rsid w:val="00254060"/>
    <w:rsid w:val="00254148"/>
    <w:rsid w:val="002542E2"/>
    <w:rsid w:val="0025440D"/>
    <w:rsid w:val="002544C3"/>
    <w:rsid w:val="0025450E"/>
    <w:rsid w:val="00254517"/>
    <w:rsid w:val="0025466E"/>
    <w:rsid w:val="00254DF2"/>
    <w:rsid w:val="00254EB9"/>
    <w:rsid w:val="00255039"/>
    <w:rsid w:val="00255152"/>
    <w:rsid w:val="00255246"/>
    <w:rsid w:val="0025540E"/>
    <w:rsid w:val="0025554E"/>
    <w:rsid w:val="002555FB"/>
    <w:rsid w:val="00255711"/>
    <w:rsid w:val="002557B4"/>
    <w:rsid w:val="0025587F"/>
    <w:rsid w:val="00255E84"/>
    <w:rsid w:val="002565C6"/>
    <w:rsid w:val="0025759D"/>
    <w:rsid w:val="00257944"/>
    <w:rsid w:val="002605F6"/>
    <w:rsid w:val="00260B72"/>
    <w:rsid w:val="00261146"/>
    <w:rsid w:val="00261690"/>
    <w:rsid w:val="002618D8"/>
    <w:rsid w:val="002619BF"/>
    <w:rsid w:val="0026227D"/>
    <w:rsid w:val="002622B4"/>
    <w:rsid w:val="00262AFC"/>
    <w:rsid w:val="00263551"/>
    <w:rsid w:val="002635B0"/>
    <w:rsid w:val="00263785"/>
    <w:rsid w:val="002638F4"/>
    <w:rsid w:val="0026391A"/>
    <w:rsid w:val="00263FB7"/>
    <w:rsid w:val="002640D8"/>
    <w:rsid w:val="0026424E"/>
    <w:rsid w:val="0026438C"/>
    <w:rsid w:val="00264624"/>
    <w:rsid w:val="00264640"/>
    <w:rsid w:val="00264760"/>
    <w:rsid w:val="0026481B"/>
    <w:rsid w:val="002650AD"/>
    <w:rsid w:val="002650BE"/>
    <w:rsid w:val="002653BB"/>
    <w:rsid w:val="002655C5"/>
    <w:rsid w:val="002656C5"/>
    <w:rsid w:val="002667F9"/>
    <w:rsid w:val="00266EB9"/>
    <w:rsid w:val="00266F73"/>
    <w:rsid w:val="0026796E"/>
    <w:rsid w:val="00267F92"/>
    <w:rsid w:val="00267FD7"/>
    <w:rsid w:val="00270514"/>
    <w:rsid w:val="002705C6"/>
    <w:rsid w:val="002706CF"/>
    <w:rsid w:val="002707D1"/>
    <w:rsid w:val="00270BA3"/>
    <w:rsid w:val="00270D35"/>
    <w:rsid w:val="00270F86"/>
    <w:rsid w:val="002711A2"/>
    <w:rsid w:val="002711A5"/>
    <w:rsid w:val="002711A6"/>
    <w:rsid w:val="0027152A"/>
    <w:rsid w:val="0027160C"/>
    <w:rsid w:val="00271720"/>
    <w:rsid w:val="00271791"/>
    <w:rsid w:val="002719A1"/>
    <w:rsid w:val="002719E1"/>
    <w:rsid w:val="00271A51"/>
    <w:rsid w:val="00271A92"/>
    <w:rsid w:val="00271AB4"/>
    <w:rsid w:val="00271AE9"/>
    <w:rsid w:val="00271E91"/>
    <w:rsid w:val="00272439"/>
    <w:rsid w:val="00272486"/>
    <w:rsid w:val="00272666"/>
    <w:rsid w:val="002726DF"/>
    <w:rsid w:val="00272A36"/>
    <w:rsid w:val="002731E8"/>
    <w:rsid w:val="00273591"/>
    <w:rsid w:val="00273865"/>
    <w:rsid w:val="0027406A"/>
    <w:rsid w:val="002747AA"/>
    <w:rsid w:val="00274EB2"/>
    <w:rsid w:val="002751D1"/>
    <w:rsid w:val="00275209"/>
    <w:rsid w:val="00275420"/>
    <w:rsid w:val="002755E8"/>
    <w:rsid w:val="00275FE9"/>
    <w:rsid w:val="00275FFE"/>
    <w:rsid w:val="002764A1"/>
    <w:rsid w:val="00276B6E"/>
    <w:rsid w:val="00276CB7"/>
    <w:rsid w:val="00276F86"/>
    <w:rsid w:val="0027728C"/>
    <w:rsid w:val="00277563"/>
    <w:rsid w:val="0027781F"/>
    <w:rsid w:val="00277855"/>
    <w:rsid w:val="00277E32"/>
    <w:rsid w:val="002801B9"/>
    <w:rsid w:val="00280478"/>
    <w:rsid w:val="0028077D"/>
    <w:rsid w:val="00280B78"/>
    <w:rsid w:val="00280F04"/>
    <w:rsid w:val="00281651"/>
    <w:rsid w:val="00281841"/>
    <w:rsid w:val="00282351"/>
    <w:rsid w:val="00282A68"/>
    <w:rsid w:val="00282C25"/>
    <w:rsid w:val="00282E98"/>
    <w:rsid w:val="00282FB6"/>
    <w:rsid w:val="00283035"/>
    <w:rsid w:val="00283057"/>
    <w:rsid w:val="0028326F"/>
    <w:rsid w:val="002835F4"/>
    <w:rsid w:val="00283779"/>
    <w:rsid w:val="002838DC"/>
    <w:rsid w:val="00284340"/>
    <w:rsid w:val="002844A5"/>
    <w:rsid w:val="002845AF"/>
    <w:rsid w:val="00284602"/>
    <w:rsid w:val="002846B4"/>
    <w:rsid w:val="0028484E"/>
    <w:rsid w:val="00284941"/>
    <w:rsid w:val="00284B13"/>
    <w:rsid w:val="00284C68"/>
    <w:rsid w:val="002850E9"/>
    <w:rsid w:val="0028517C"/>
    <w:rsid w:val="00285256"/>
    <w:rsid w:val="002854EE"/>
    <w:rsid w:val="00285536"/>
    <w:rsid w:val="00285A39"/>
    <w:rsid w:val="00285AAE"/>
    <w:rsid w:val="00285BD1"/>
    <w:rsid w:val="00285D54"/>
    <w:rsid w:val="00285F7B"/>
    <w:rsid w:val="002860AC"/>
    <w:rsid w:val="0028618D"/>
    <w:rsid w:val="00286591"/>
    <w:rsid w:val="00286692"/>
    <w:rsid w:val="0028678A"/>
    <w:rsid w:val="00286F83"/>
    <w:rsid w:val="00287043"/>
    <w:rsid w:val="00287216"/>
    <w:rsid w:val="002872D4"/>
    <w:rsid w:val="002874B4"/>
    <w:rsid w:val="00287853"/>
    <w:rsid w:val="00287E78"/>
    <w:rsid w:val="00287F17"/>
    <w:rsid w:val="00287F8F"/>
    <w:rsid w:val="00290351"/>
    <w:rsid w:val="002903DE"/>
    <w:rsid w:val="00290676"/>
    <w:rsid w:val="00290959"/>
    <w:rsid w:val="00290E7F"/>
    <w:rsid w:val="00291462"/>
    <w:rsid w:val="0029152C"/>
    <w:rsid w:val="00291572"/>
    <w:rsid w:val="002915A8"/>
    <w:rsid w:val="00291D13"/>
    <w:rsid w:val="00291D1D"/>
    <w:rsid w:val="002922AE"/>
    <w:rsid w:val="00292362"/>
    <w:rsid w:val="00292490"/>
    <w:rsid w:val="00292635"/>
    <w:rsid w:val="00292B83"/>
    <w:rsid w:val="00292FC1"/>
    <w:rsid w:val="00293648"/>
    <w:rsid w:val="00293B9D"/>
    <w:rsid w:val="00293D36"/>
    <w:rsid w:val="002947DE"/>
    <w:rsid w:val="00294A5F"/>
    <w:rsid w:val="00294C85"/>
    <w:rsid w:val="00294CA0"/>
    <w:rsid w:val="002953C5"/>
    <w:rsid w:val="0029546E"/>
    <w:rsid w:val="00295A75"/>
    <w:rsid w:val="0029610B"/>
    <w:rsid w:val="00296784"/>
    <w:rsid w:val="002967ED"/>
    <w:rsid w:val="00296AB1"/>
    <w:rsid w:val="00296DD6"/>
    <w:rsid w:val="002972F6"/>
    <w:rsid w:val="00297BE2"/>
    <w:rsid w:val="00297F79"/>
    <w:rsid w:val="00297FD6"/>
    <w:rsid w:val="002A0244"/>
    <w:rsid w:val="002A04B4"/>
    <w:rsid w:val="002A10C7"/>
    <w:rsid w:val="002A145B"/>
    <w:rsid w:val="002A14D3"/>
    <w:rsid w:val="002A1778"/>
    <w:rsid w:val="002A18BE"/>
    <w:rsid w:val="002A2426"/>
    <w:rsid w:val="002A2A8D"/>
    <w:rsid w:val="002A2B2F"/>
    <w:rsid w:val="002A34DF"/>
    <w:rsid w:val="002A36F6"/>
    <w:rsid w:val="002A4084"/>
    <w:rsid w:val="002A4260"/>
    <w:rsid w:val="002A494B"/>
    <w:rsid w:val="002A4AD6"/>
    <w:rsid w:val="002A4BB9"/>
    <w:rsid w:val="002A4D11"/>
    <w:rsid w:val="002A5244"/>
    <w:rsid w:val="002A549A"/>
    <w:rsid w:val="002A57A8"/>
    <w:rsid w:val="002A57FB"/>
    <w:rsid w:val="002A5842"/>
    <w:rsid w:val="002A59F2"/>
    <w:rsid w:val="002A5C52"/>
    <w:rsid w:val="002A5E98"/>
    <w:rsid w:val="002A5ED0"/>
    <w:rsid w:val="002A622E"/>
    <w:rsid w:val="002A686F"/>
    <w:rsid w:val="002A6935"/>
    <w:rsid w:val="002A6DBE"/>
    <w:rsid w:val="002A6FB5"/>
    <w:rsid w:val="002A7196"/>
    <w:rsid w:val="002A7297"/>
    <w:rsid w:val="002A7448"/>
    <w:rsid w:val="002A7595"/>
    <w:rsid w:val="002A76AE"/>
    <w:rsid w:val="002A79AD"/>
    <w:rsid w:val="002B00C1"/>
    <w:rsid w:val="002B020D"/>
    <w:rsid w:val="002B0582"/>
    <w:rsid w:val="002B0A16"/>
    <w:rsid w:val="002B0BE1"/>
    <w:rsid w:val="002B0CA8"/>
    <w:rsid w:val="002B0D0F"/>
    <w:rsid w:val="002B0D4C"/>
    <w:rsid w:val="002B0E5B"/>
    <w:rsid w:val="002B0F47"/>
    <w:rsid w:val="002B1384"/>
    <w:rsid w:val="002B13E3"/>
    <w:rsid w:val="002B1783"/>
    <w:rsid w:val="002B2408"/>
    <w:rsid w:val="002B266B"/>
    <w:rsid w:val="002B26BA"/>
    <w:rsid w:val="002B29A6"/>
    <w:rsid w:val="002B2B25"/>
    <w:rsid w:val="002B2B36"/>
    <w:rsid w:val="002B2C23"/>
    <w:rsid w:val="002B2CE1"/>
    <w:rsid w:val="002B2F63"/>
    <w:rsid w:val="002B3367"/>
    <w:rsid w:val="002B33AE"/>
    <w:rsid w:val="002B3681"/>
    <w:rsid w:val="002B397A"/>
    <w:rsid w:val="002B3FD0"/>
    <w:rsid w:val="002B46DA"/>
    <w:rsid w:val="002B4983"/>
    <w:rsid w:val="002B4D10"/>
    <w:rsid w:val="002B5037"/>
    <w:rsid w:val="002B59F5"/>
    <w:rsid w:val="002B5D07"/>
    <w:rsid w:val="002B5FFE"/>
    <w:rsid w:val="002B6259"/>
    <w:rsid w:val="002B6361"/>
    <w:rsid w:val="002B6513"/>
    <w:rsid w:val="002B667C"/>
    <w:rsid w:val="002B68E3"/>
    <w:rsid w:val="002B6B83"/>
    <w:rsid w:val="002B6BB9"/>
    <w:rsid w:val="002B6DA1"/>
    <w:rsid w:val="002B6E14"/>
    <w:rsid w:val="002B7187"/>
    <w:rsid w:val="002B72DD"/>
    <w:rsid w:val="002B7352"/>
    <w:rsid w:val="002B749C"/>
    <w:rsid w:val="002B74B9"/>
    <w:rsid w:val="002B765A"/>
    <w:rsid w:val="002B7674"/>
    <w:rsid w:val="002B76FB"/>
    <w:rsid w:val="002B7725"/>
    <w:rsid w:val="002B7EC4"/>
    <w:rsid w:val="002C08CA"/>
    <w:rsid w:val="002C0A7C"/>
    <w:rsid w:val="002C11CA"/>
    <w:rsid w:val="002C1529"/>
    <w:rsid w:val="002C1748"/>
    <w:rsid w:val="002C25F8"/>
    <w:rsid w:val="002C265D"/>
    <w:rsid w:val="002C281D"/>
    <w:rsid w:val="002C28BB"/>
    <w:rsid w:val="002C2B84"/>
    <w:rsid w:val="002C2F18"/>
    <w:rsid w:val="002C30BA"/>
    <w:rsid w:val="002C36E3"/>
    <w:rsid w:val="002C36F5"/>
    <w:rsid w:val="002C3914"/>
    <w:rsid w:val="002C39EC"/>
    <w:rsid w:val="002C39FA"/>
    <w:rsid w:val="002C3B9A"/>
    <w:rsid w:val="002C424E"/>
    <w:rsid w:val="002C4354"/>
    <w:rsid w:val="002C4367"/>
    <w:rsid w:val="002C45E8"/>
    <w:rsid w:val="002C4885"/>
    <w:rsid w:val="002C4991"/>
    <w:rsid w:val="002C4AFF"/>
    <w:rsid w:val="002C4BAB"/>
    <w:rsid w:val="002C4CE1"/>
    <w:rsid w:val="002C53DA"/>
    <w:rsid w:val="002C55B0"/>
    <w:rsid w:val="002C57A1"/>
    <w:rsid w:val="002C57E9"/>
    <w:rsid w:val="002C58E0"/>
    <w:rsid w:val="002C58EA"/>
    <w:rsid w:val="002C59E6"/>
    <w:rsid w:val="002C6304"/>
    <w:rsid w:val="002C63EF"/>
    <w:rsid w:val="002C6412"/>
    <w:rsid w:val="002C66E6"/>
    <w:rsid w:val="002C70CE"/>
    <w:rsid w:val="002C7601"/>
    <w:rsid w:val="002C7D72"/>
    <w:rsid w:val="002D0115"/>
    <w:rsid w:val="002D01E2"/>
    <w:rsid w:val="002D03DC"/>
    <w:rsid w:val="002D057C"/>
    <w:rsid w:val="002D0CF3"/>
    <w:rsid w:val="002D0E57"/>
    <w:rsid w:val="002D1237"/>
    <w:rsid w:val="002D175C"/>
    <w:rsid w:val="002D1775"/>
    <w:rsid w:val="002D1887"/>
    <w:rsid w:val="002D1EDA"/>
    <w:rsid w:val="002D2170"/>
    <w:rsid w:val="002D2473"/>
    <w:rsid w:val="002D285F"/>
    <w:rsid w:val="002D2AD9"/>
    <w:rsid w:val="002D2C2C"/>
    <w:rsid w:val="002D2E35"/>
    <w:rsid w:val="002D2E44"/>
    <w:rsid w:val="002D2E58"/>
    <w:rsid w:val="002D2E70"/>
    <w:rsid w:val="002D358E"/>
    <w:rsid w:val="002D37BE"/>
    <w:rsid w:val="002D37E8"/>
    <w:rsid w:val="002D385A"/>
    <w:rsid w:val="002D3DD3"/>
    <w:rsid w:val="002D3EA4"/>
    <w:rsid w:val="002D4207"/>
    <w:rsid w:val="002D4A2C"/>
    <w:rsid w:val="002D4AD2"/>
    <w:rsid w:val="002D4E43"/>
    <w:rsid w:val="002D4E80"/>
    <w:rsid w:val="002D4E85"/>
    <w:rsid w:val="002D5097"/>
    <w:rsid w:val="002D5100"/>
    <w:rsid w:val="002D5131"/>
    <w:rsid w:val="002D55E4"/>
    <w:rsid w:val="002D55E8"/>
    <w:rsid w:val="002D5653"/>
    <w:rsid w:val="002D566E"/>
    <w:rsid w:val="002D5845"/>
    <w:rsid w:val="002D5C2E"/>
    <w:rsid w:val="002D5C7C"/>
    <w:rsid w:val="002D622A"/>
    <w:rsid w:val="002D686A"/>
    <w:rsid w:val="002D686C"/>
    <w:rsid w:val="002D690D"/>
    <w:rsid w:val="002D6934"/>
    <w:rsid w:val="002D6988"/>
    <w:rsid w:val="002D6E2D"/>
    <w:rsid w:val="002D7186"/>
    <w:rsid w:val="002D7A1E"/>
    <w:rsid w:val="002E0269"/>
    <w:rsid w:val="002E0AAE"/>
    <w:rsid w:val="002E0C4B"/>
    <w:rsid w:val="002E0F7D"/>
    <w:rsid w:val="002E18C1"/>
    <w:rsid w:val="002E1BEA"/>
    <w:rsid w:val="002E1E03"/>
    <w:rsid w:val="002E1F5D"/>
    <w:rsid w:val="002E246B"/>
    <w:rsid w:val="002E29DB"/>
    <w:rsid w:val="002E2AA1"/>
    <w:rsid w:val="002E3266"/>
    <w:rsid w:val="002E35AD"/>
    <w:rsid w:val="002E3D9F"/>
    <w:rsid w:val="002E3EFF"/>
    <w:rsid w:val="002E40B1"/>
    <w:rsid w:val="002E45AE"/>
    <w:rsid w:val="002E5001"/>
    <w:rsid w:val="002E524F"/>
    <w:rsid w:val="002E559C"/>
    <w:rsid w:val="002E5AEE"/>
    <w:rsid w:val="002E5D7B"/>
    <w:rsid w:val="002E5DD0"/>
    <w:rsid w:val="002E5E32"/>
    <w:rsid w:val="002E5EC5"/>
    <w:rsid w:val="002E61CC"/>
    <w:rsid w:val="002E6715"/>
    <w:rsid w:val="002E695C"/>
    <w:rsid w:val="002E6A2F"/>
    <w:rsid w:val="002E6B38"/>
    <w:rsid w:val="002E6E2D"/>
    <w:rsid w:val="002E7233"/>
    <w:rsid w:val="002E7658"/>
    <w:rsid w:val="002E7775"/>
    <w:rsid w:val="002E7AD2"/>
    <w:rsid w:val="002E7ED4"/>
    <w:rsid w:val="002F0050"/>
    <w:rsid w:val="002F0163"/>
    <w:rsid w:val="002F0192"/>
    <w:rsid w:val="002F01D3"/>
    <w:rsid w:val="002F026B"/>
    <w:rsid w:val="002F0357"/>
    <w:rsid w:val="002F0430"/>
    <w:rsid w:val="002F059A"/>
    <w:rsid w:val="002F06D4"/>
    <w:rsid w:val="002F117E"/>
    <w:rsid w:val="002F1399"/>
    <w:rsid w:val="002F16D6"/>
    <w:rsid w:val="002F1741"/>
    <w:rsid w:val="002F18CF"/>
    <w:rsid w:val="002F1B23"/>
    <w:rsid w:val="002F207D"/>
    <w:rsid w:val="002F2726"/>
    <w:rsid w:val="002F2E35"/>
    <w:rsid w:val="002F30AE"/>
    <w:rsid w:val="002F32FB"/>
    <w:rsid w:val="002F3786"/>
    <w:rsid w:val="002F3CCC"/>
    <w:rsid w:val="002F3CE4"/>
    <w:rsid w:val="002F3FFB"/>
    <w:rsid w:val="002F46DE"/>
    <w:rsid w:val="002F473C"/>
    <w:rsid w:val="002F4891"/>
    <w:rsid w:val="002F499D"/>
    <w:rsid w:val="002F4A68"/>
    <w:rsid w:val="002F4C75"/>
    <w:rsid w:val="002F4F78"/>
    <w:rsid w:val="002F5611"/>
    <w:rsid w:val="002F5F1A"/>
    <w:rsid w:val="002F5F5E"/>
    <w:rsid w:val="002F5F85"/>
    <w:rsid w:val="002F61F0"/>
    <w:rsid w:val="002F62A2"/>
    <w:rsid w:val="002F648E"/>
    <w:rsid w:val="002F6661"/>
    <w:rsid w:val="002F66A5"/>
    <w:rsid w:val="002F6822"/>
    <w:rsid w:val="002F693F"/>
    <w:rsid w:val="002F6C3A"/>
    <w:rsid w:val="002F6CBC"/>
    <w:rsid w:val="002F6FFD"/>
    <w:rsid w:val="002F7344"/>
    <w:rsid w:val="002F737B"/>
    <w:rsid w:val="002F74A9"/>
    <w:rsid w:val="002F781C"/>
    <w:rsid w:val="002F79EF"/>
    <w:rsid w:val="002F7AF6"/>
    <w:rsid w:val="002F7B36"/>
    <w:rsid w:val="002F7BDA"/>
    <w:rsid w:val="002F7EBC"/>
    <w:rsid w:val="003003DD"/>
    <w:rsid w:val="00300431"/>
    <w:rsid w:val="003008CC"/>
    <w:rsid w:val="00300A32"/>
    <w:rsid w:val="00300A5C"/>
    <w:rsid w:val="00300B7E"/>
    <w:rsid w:val="003013C8"/>
    <w:rsid w:val="00301763"/>
    <w:rsid w:val="003017DA"/>
    <w:rsid w:val="0030183C"/>
    <w:rsid w:val="00301840"/>
    <w:rsid w:val="00302004"/>
    <w:rsid w:val="003021B5"/>
    <w:rsid w:val="00302232"/>
    <w:rsid w:val="00302252"/>
    <w:rsid w:val="00302835"/>
    <w:rsid w:val="00302BEC"/>
    <w:rsid w:val="00302DC9"/>
    <w:rsid w:val="00303781"/>
    <w:rsid w:val="00303A4F"/>
    <w:rsid w:val="00303A52"/>
    <w:rsid w:val="00303C60"/>
    <w:rsid w:val="0030476D"/>
    <w:rsid w:val="00304AB9"/>
    <w:rsid w:val="00304C5B"/>
    <w:rsid w:val="00304FB8"/>
    <w:rsid w:val="00304FFA"/>
    <w:rsid w:val="00305023"/>
    <w:rsid w:val="00305A78"/>
    <w:rsid w:val="00305E55"/>
    <w:rsid w:val="00305F81"/>
    <w:rsid w:val="00306597"/>
    <w:rsid w:val="00306627"/>
    <w:rsid w:val="00306757"/>
    <w:rsid w:val="00306956"/>
    <w:rsid w:val="00306B3A"/>
    <w:rsid w:val="00307299"/>
    <w:rsid w:val="0030747E"/>
    <w:rsid w:val="003075C0"/>
    <w:rsid w:val="0030768D"/>
    <w:rsid w:val="003076A2"/>
    <w:rsid w:val="0031010B"/>
    <w:rsid w:val="00310226"/>
    <w:rsid w:val="00310290"/>
    <w:rsid w:val="00310363"/>
    <w:rsid w:val="0031064F"/>
    <w:rsid w:val="0031093A"/>
    <w:rsid w:val="00310AE8"/>
    <w:rsid w:val="00310B9B"/>
    <w:rsid w:val="00310C3F"/>
    <w:rsid w:val="00310D25"/>
    <w:rsid w:val="00310DED"/>
    <w:rsid w:val="00310FAF"/>
    <w:rsid w:val="003117F0"/>
    <w:rsid w:val="00311D88"/>
    <w:rsid w:val="00311F43"/>
    <w:rsid w:val="00312136"/>
    <w:rsid w:val="003124C5"/>
    <w:rsid w:val="003130EB"/>
    <w:rsid w:val="003133AF"/>
    <w:rsid w:val="003136CE"/>
    <w:rsid w:val="003139D4"/>
    <w:rsid w:val="00313BEB"/>
    <w:rsid w:val="00313C8B"/>
    <w:rsid w:val="00313D87"/>
    <w:rsid w:val="003140D2"/>
    <w:rsid w:val="003140F5"/>
    <w:rsid w:val="0031482D"/>
    <w:rsid w:val="00314895"/>
    <w:rsid w:val="00314D42"/>
    <w:rsid w:val="00315122"/>
    <w:rsid w:val="003151E9"/>
    <w:rsid w:val="0031547C"/>
    <w:rsid w:val="00315757"/>
    <w:rsid w:val="003158C6"/>
    <w:rsid w:val="00316165"/>
    <w:rsid w:val="00316440"/>
    <w:rsid w:val="00316E0D"/>
    <w:rsid w:val="00316EE9"/>
    <w:rsid w:val="00316FB3"/>
    <w:rsid w:val="00317714"/>
    <w:rsid w:val="003178AA"/>
    <w:rsid w:val="00317C99"/>
    <w:rsid w:val="003205A7"/>
    <w:rsid w:val="00320662"/>
    <w:rsid w:val="00320909"/>
    <w:rsid w:val="00320A17"/>
    <w:rsid w:val="00321027"/>
    <w:rsid w:val="0032153E"/>
    <w:rsid w:val="00321549"/>
    <w:rsid w:val="003219E3"/>
    <w:rsid w:val="00321CF5"/>
    <w:rsid w:val="00321FB7"/>
    <w:rsid w:val="00322093"/>
    <w:rsid w:val="00322108"/>
    <w:rsid w:val="0032293C"/>
    <w:rsid w:val="00322DA9"/>
    <w:rsid w:val="00322EE3"/>
    <w:rsid w:val="0032320C"/>
    <w:rsid w:val="00323ADD"/>
    <w:rsid w:val="00323AF6"/>
    <w:rsid w:val="00323D0F"/>
    <w:rsid w:val="00323D5E"/>
    <w:rsid w:val="00323E44"/>
    <w:rsid w:val="00324793"/>
    <w:rsid w:val="0032496A"/>
    <w:rsid w:val="003251C2"/>
    <w:rsid w:val="003257D5"/>
    <w:rsid w:val="00325B6D"/>
    <w:rsid w:val="00325BC7"/>
    <w:rsid w:val="00325DBA"/>
    <w:rsid w:val="00325FA0"/>
    <w:rsid w:val="003262CB"/>
    <w:rsid w:val="003265A5"/>
    <w:rsid w:val="003265C4"/>
    <w:rsid w:val="00326698"/>
    <w:rsid w:val="00326AA8"/>
    <w:rsid w:val="00326E5A"/>
    <w:rsid w:val="00326F1C"/>
    <w:rsid w:val="00327162"/>
    <w:rsid w:val="003272E9"/>
    <w:rsid w:val="0032795E"/>
    <w:rsid w:val="00327B1E"/>
    <w:rsid w:val="00327B40"/>
    <w:rsid w:val="00327E9D"/>
    <w:rsid w:val="00327FD3"/>
    <w:rsid w:val="0033018E"/>
    <w:rsid w:val="00330301"/>
    <w:rsid w:val="00330766"/>
    <w:rsid w:val="00330A0A"/>
    <w:rsid w:val="00330B4D"/>
    <w:rsid w:val="0033137E"/>
    <w:rsid w:val="003319AE"/>
    <w:rsid w:val="00331D14"/>
    <w:rsid w:val="003320A6"/>
    <w:rsid w:val="00332372"/>
    <w:rsid w:val="003324D8"/>
    <w:rsid w:val="003328A9"/>
    <w:rsid w:val="00332DA6"/>
    <w:rsid w:val="00333114"/>
    <w:rsid w:val="00333191"/>
    <w:rsid w:val="00333348"/>
    <w:rsid w:val="0033339D"/>
    <w:rsid w:val="0033373F"/>
    <w:rsid w:val="00333763"/>
    <w:rsid w:val="00333A80"/>
    <w:rsid w:val="00333A9B"/>
    <w:rsid w:val="00333E6A"/>
    <w:rsid w:val="00333E6D"/>
    <w:rsid w:val="0033441F"/>
    <w:rsid w:val="00334DC4"/>
    <w:rsid w:val="003352A0"/>
    <w:rsid w:val="00335A4E"/>
    <w:rsid w:val="00335BA8"/>
    <w:rsid w:val="00335BC3"/>
    <w:rsid w:val="003364A3"/>
    <w:rsid w:val="0033702E"/>
    <w:rsid w:val="00337042"/>
    <w:rsid w:val="003371B5"/>
    <w:rsid w:val="003371C8"/>
    <w:rsid w:val="003375C5"/>
    <w:rsid w:val="0033765A"/>
    <w:rsid w:val="00337892"/>
    <w:rsid w:val="00337A39"/>
    <w:rsid w:val="00337AAA"/>
    <w:rsid w:val="00337B6F"/>
    <w:rsid w:val="00337BAF"/>
    <w:rsid w:val="00337D14"/>
    <w:rsid w:val="00337FBF"/>
    <w:rsid w:val="00340014"/>
    <w:rsid w:val="003400EE"/>
    <w:rsid w:val="003401BE"/>
    <w:rsid w:val="00340341"/>
    <w:rsid w:val="00340358"/>
    <w:rsid w:val="00340863"/>
    <w:rsid w:val="00340A51"/>
    <w:rsid w:val="00340D2D"/>
    <w:rsid w:val="00340DDA"/>
    <w:rsid w:val="0034101C"/>
    <w:rsid w:val="0034122C"/>
    <w:rsid w:val="0034139B"/>
    <w:rsid w:val="0034144B"/>
    <w:rsid w:val="003417CB"/>
    <w:rsid w:val="00341C19"/>
    <w:rsid w:val="0034202F"/>
    <w:rsid w:val="00342091"/>
    <w:rsid w:val="003426CA"/>
    <w:rsid w:val="003427BA"/>
    <w:rsid w:val="00342BAF"/>
    <w:rsid w:val="0034322C"/>
    <w:rsid w:val="00343277"/>
    <w:rsid w:val="0034349A"/>
    <w:rsid w:val="003435A9"/>
    <w:rsid w:val="00343680"/>
    <w:rsid w:val="003439C0"/>
    <w:rsid w:val="00343B86"/>
    <w:rsid w:val="00343BF8"/>
    <w:rsid w:val="00343D0F"/>
    <w:rsid w:val="00343D94"/>
    <w:rsid w:val="0034400F"/>
    <w:rsid w:val="00344046"/>
    <w:rsid w:val="003440E9"/>
    <w:rsid w:val="00344649"/>
    <w:rsid w:val="003446BF"/>
    <w:rsid w:val="00344B8D"/>
    <w:rsid w:val="00345496"/>
    <w:rsid w:val="003454A1"/>
    <w:rsid w:val="00345636"/>
    <w:rsid w:val="003456BA"/>
    <w:rsid w:val="0034571C"/>
    <w:rsid w:val="0034574F"/>
    <w:rsid w:val="00345B5F"/>
    <w:rsid w:val="00345BCF"/>
    <w:rsid w:val="003460EC"/>
    <w:rsid w:val="003466F9"/>
    <w:rsid w:val="00346703"/>
    <w:rsid w:val="003468F7"/>
    <w:rsid w:val="003471AE"/>
    <w:rsid w:val="00347309"/>
    <w:rsid w:val="00347877"/>
    <w:rsid w:val="00347923"/>
    <w:rsid w:val="00347E52"/>
    <w:rsid w:val="00347FEF"/>
    <w:rsid w:val="00350092"/>
    <w:rsid w:val="0035015A"/>
    <w:rsid w:val="00350643"/>
    <w:rsid w:val="00350B3A"/>
    <w:rsid w:val="00350B98"/>
    <w:rsid w:val="00350DC1"/>
    <w:rsid w:val="0035152E"/>
    <w:rsid w:val="00351635"/>
    <w:rsid w:val="003519AD"/>
    <w:rsid w:val="00351B14"/>
    <w:rsid w:val="00351B65"/>
    <w:rsid w:val="00351BFB"/>
    <w:rsid w:val="00351E0E"/>
    <w:rsid w:val="00351E13"/>
    <w:rsid w:val="00351E7D"/>
    <w:rsid w:val="003526A5"/>
    <w:rsid w:val="00353126"/>
    <w:rsid w:val="00353160"/>
    <w:rsid w:val="0035326F"/>
    <w:rsid w:val="003532CC"/>
    <w:rsid w:val="003533CF"/>
    <w:rsid w:val="003535A1"/>
    <w:rsid w:val="00353862"/>
    <w:rsid w:val="00353DFC"/>
    <w:rsid w:val="00354075"/>
    <w:rsid w:val="0035452E"/>
    <w:rsid w:val="0035456F"/>
    <w:rsid w:val="0035457C"/>
    <w:rsid w:val="00354781"/>
    <w:rsid w:val="003549DC"/>
    <w:rsid w:val="00354E0B"/>
    <w:rsid w:val="00354EB4"/>
    <w:rsid w:val="00354EC6"/>
    <w:rsid w:val="003554BE"/>
    <w:rsid w:val="00355AA6"/>
    <w:rsid w:val="00355E46"/>
    <w:rsid w:val="0035621E"/>
    <w:rsid w:val="00356267"/>
    <w:rsid w:val="00356604"/>
    <w:rsid w:val="00356B22"/>
    <w:rsid w:val="00356CAA"/>
    <w:rsid w:val="00356D29"/>
    <w:rsid w:val="00356E64"/>
    <w:rsid w:val="003570B9"/>
    <w:rsid w:val="003571C2"/>
    <w:rsid w:val="00357A50"/>
    <w:rsid w:val="00357A8F"/>
    <w:rsid w:val="00357ECE"/>
    <w:rsid w:val="00357F20"/>
    <w:rsid w:val="00360457"/>
    <w:rsid w:val="003608CD"/>
    <w:rsid w:val="00360A2F"/>
    <w:rsid w:val="00360C99"/>
    <w:rsid w:val="00361196"/>
    <w:rsid w:val="003614E4"/>
    <w:rsid w:val="0036169C"/>
    <w:rsid w:val="00361912"/>
    <w:rsid w:val="00361A5F"/>
    <w:rsid w:val="00361CEA"/>
    <w:rsid w:val="0036256F"/>
    <w:rsid w:val="003628F4"/>
    <w:rsid w:val="00362A7C"/>
    <w:rsid w:val="00362B70"/>
    <w:rsid w:val="00362E31"/>
    <w:rsid w:val="00362F6F"/>
    <w:rsid w:val="00362FB7"/>
    <w:rsid w:val="00362FE7"/>
    <w:rsid w:val="003630D1"/>
    <w:rsid w:val="003631E3"/>
    <w:rsid w:val="0036320B"/>
    <w:rsid w:val="00363283"/>
    <w:rsid w:val="003633AC"/>
    <w:rsid w:val="00363B65"/>
    <w:rsid w:val="00363B94"/>
    <w:rsid w:val="003640A7"/>
    <w:rsid w:val="0036414F"/>
    <w:rsid w:val="003645EF"/>
    <w:rsid w:val="00364AE2"/>
    <w:rsid w:val="00364CA9"/>
    <w:rsid w:val="00364E39"/>
    <w:rsid w:val="00365039"/>
    <w:rsid w:val="003650A3"/>
    <w:rsid w:val="0036524F"/>
    <w:rsid w:val="00365410"/>
    <w:rsid w:val="00365447"/>
    <w:rsid w:val="003654B0"/>
    <w:rsid w:val="0036561E"/>
    <w:rsid w:val="003666FB"/>
    <w:rsid w:val="003678D7"/>
    <w:rsid w:val="0036794E"/>
    <w:rsid w:val="0036799D"/>
    <w:rsid w:val="00367D38"/>
    <w:rsid w:val="00370AC4"/>
    <w:rsid w:val="00370CAC"/>
    <w:rsid w:val="00370DC4"/>
    <w:rsid w:val="00371114"/>
    <w:rsid w:val="00371194"/>
    <w:rsid w:val="0037137A"/>
    <w:rsid w:val="003719A5"/>
    <w:rsid w:val="00371A30"/>
    <w:rsid w:val="00372589"/>
    <w:rsid w:val="00372F98"/>
    <w:rsid w:val="00373067"/>
    <w:rsid w:val="0037316C"/>
    <w:rsid w:val="003734CD"/>
    <w:rsid w:val="00373637"/>
    <w:rsid w:val="003736B3"/>
    <w:rsid w:val="00373B62"/>
    <w:rsid w:val="00373D80"/>
    <w:rsid w:val="0037477F"/>
    <w:rsid w:val="0037479C"/>
    <w:rsid w:val="00374814"/>
    <w:rsid w:val="00374D55"/>
    <w:rsid w:val="00375539"/>
    <w:rsid w:val="00375985"/>
    <w:rsid w:val="00376143"/>
    <w:rsid w:val="0037643F"/>
    <w:rsid w:val="003767FD"/>
    <w:rsid w:val="00376AFC"/>
    <w:rsid w:val="00377125"/>
    <w:rsid w:val="00377387"/>
    <w:rsid w:val="003775FE"/>
    <w:rsid w:val="00377DF6"/>
    <w:rsid w:val="00377E10"/>
    <w:rsid w:val="00377F15"/>
    <w:rsid w:val="0038083E"/>
    <w:rsid w:val="00380A69"/>
    <w:rsid w:val="00380C61"/>
    <w:rsid w:val="00380CFA"/>
    <w:rsid w:val="00380F90"/>
    <w:rsid w:val="0038120C"/>
    <w:rsid w:val="0038122E"/>
    <w:rsid w:val="00381267"/>
    <w:rsid w:val="003812E3"/>
    <w:rsid w:val="0038146C"/>
    <w:rsid w:val="00381C7D"/>
    <w:rsid w:val="003820DC"/>
    <w:rsid w:val="003822A3"/>
    <w:rsid w:val="00382488"/>
    <w:rsid w:val="00382609"/>
    <w:rsid w:val="00382F18"/>
    <w:rsid w:val="003833BA"/>
    <w:rsid w:val="003834BB"/>
    <w:rsid w:val="003835A8"/>
    <w:rsid w:val="0038369C"/>
    <w:rsid w:val="00383780"/>
    <w:rsid w:val="00383C5D"/>
    <w:rsid w:val="00383D58"/>
    <w:rsid w:val="00383D9D"/>
    <w:rsid w:val="00383E56"/>
    <w:rsid w:val="00383EB0"/>
    <w:rsid w:val="003843AC"/>
    <w:rsid w:val="00384559"/>
    <w:rsid w:val="00384574"/>
    <w:rsid w:val="003849C0"/>
    <w:rsid w:val="0038510F"/>
    <w:rsid w:val="00385169"/>
    <w:rsid w:val="003853E8"/>
    <w:rsid w:val="0038578D"/>
    <w:rsid w:val="00385E34"/>
    <w:rsid w:val="00386051"/>
    <w:rsid w:val="00386124"/>
    <w:rsid w:val="003863DA"/>
    <w:rsid w:val="003864D5"/>
    <w:rsid w:val="00386732"/>
    <w:rsid w:val="00386AF2"/>
    <w:rsid w:val="00386B54"/>
    <w:rsid w:val="00386D1B"/>
    <w:rsid w:val="003872CC"/>
    <w:rsid w:val="00387F15"/>
    <w:rsid w:val="00390479"/>
    <w:rsid w:val="00390567"/>
    <w:rsid w:val="00390B55"/>
    <w:rsid w:val="00390E1B"/>
    <w:rsid w:val="0039133E"/>
    <w:rsid w:val="003915F8"/>
    <w:rsid w:val="003916F6"/>
    <w:rsid w:val="003917EB"/>
    <w:rsid w:val="003917F9"/>
    <w:rsid w:val="003918A5"/>
    <w:rsid w:val="00391A93"/>
    <w:rsid w:val="00392052"/>
    <w:rsid w:val="00392175"/>
    <w:rsid w:val="003921AB"/>
    <w:rsid w:val="003925E2"/>
    <w:rsid w:val="00392D67"/>
    <w:rsid w:val="00392E12"/>
    <w:rsid w:val="00392E42"/>
    <w:rsid w:val="00392E63"/>
    <w:rsid w:val="00392E95"/>
    <w:rsid w:val="003931B4"/>
    <w:rsid w:val="0039334F"/>
    <w:rsid w:val="003935C0"/>
    <w:rsid w:val="003939B1"/>
    <w:rsid w:val="00393B7B"/>
    <w:rsid w:val="00393D2A"/>
    <w:rsid w:val="00393E06"/>
    <w:rsid w:val="003942E2"/>
    <w:rsid w:val="00394393"/>
    <w:rsid w:val="00394563"/>
    <w:rsid w:val="00394676"/>
    <w:rsid w:val="003948D4"/>
    <w:rsid w:val="00394A5B"/>
    <w:rsid w:val="00394A74"/>
    <w:rsid w:val="00394B9C"/>
    <w:rsid w:val="003954C8"/>
    <w:rsid w:val="00395B80"/>
    <w:rsid w:val="00395F12"/>
    <w:rsid w:val="003961A8"/>
    <w:rsid w:val="0039625B"/>
    <w:rsid w:val="00396339"/>
    <w:rsid w:val="00396455"/>
    <w:rsid w:val="0039654E"/>
    <w:rsid w:val="003965CA"/>
    <w:rsid w:val="003966F6"/>
    <w:rsid w:val="0039677D"/>
    <w:rsid w:val="00397005"/>
    <w:rsid w:val="003974EB"/>
    <w:rsid w:val="003975F2"/>
    <w:rsid w:val="00397AF2"/>
    <w:rsid w:val="00397D0A"/>
    <w:rsid w:val="003A001B"/>
    <w:rsid w:val="003A0660"/>
    <w:rsid w:val="003A0680"/>
    <w:rsid w:val="003A0D52"/>
    <w:rsid w:val="003A1084"/>
    <w:rsid w:val="003A11F3"/>
    <w:rsid w:val="003A12B9"/>
    <w:rsid w:val="003A134E"/>
    <w:rsid w:val="003A17A7"/>
    <w:rsid w:val="003A17DF"/>
    <w:rsid w:val="003A1F42"/>
    <w:rsid w:val="003A2103"/>
    <w:rsid w:val="003A245E"/>
    <w:rsid w:val="003A254E"/>
    <w:rsid w:val="003A26C4"/>
    <w:rsid w:val="003A288C"/>
    <w:rsid w:val="003A2C7D"/>
    <w:rsid w:val="003A2C7E"/>
    <w:rsid w:val="003A2ED1"/>
    <w:rsid w:val="003A2F92"/>
    <w:rsid w:val="003A3345"/>
    <w:rsid w:val="003A3462"/>
    <w:rsid w:val="003A3740"/>
    <w:rsid w:val="003A3B36"/>
    <w:rsid w:val="003A3DC7"/>
    <w:rsid w:val="003A3EB2"/>
    <w:rsid w:val="003A4264"/>
    <w:rsid w:val="003A4392"/>
    <w:rsid w:val="003A44DE"/>
    <w:rsid w:val="003A4771"/>
    <w:rsid w:val="003A4B0F"/>
    <w:rsid w:val="003A4BC6"/>
    <w:rsid w:val="003A4C47"/>
    <w:rsid w:val="003A53EF"/>
    <w:rsid w:val="003A5490"/>
    <w:rsid w:val="003A5745"/>
    <w:rsid w:val="003A57B3"/>
    <w:rsid w:val="003A5968"/>
    <w:rsid w:val="003A59DE"/>
    <w:rsid w:val="003A5C4D"/>
    <w:rsid w:val="003A5D86"/>
    <w:rsid w:val="003A6191"/>
    <w:rsid w:val="003A649A"/>
    <w:rsid w:val="003A64E6"/>
    <w:rsid w:val="003A6724"/>
    <w:rsid w:val="003A6772"/>
    <w:rsid w:val="003A6881"/>
    <w:rsid w:val="003A69C0"/>
    <w:rsid w:val="003A6AEF"/>
    <w:rsid w:val="003A6E1A"/>
    <w:rsid w:val="003A70C3"/>
    <w:rsid w:val="003A7469"/>
    <w:rsid w:val="003A7596"/>
    <w:rsid w:val="003A77A7"/>
    <w:rsid w:val="003A77E4"/>
    <w:rsid w:val="003A7926"/>
    <w:rsid w:val="003A7D63"/>
    <w:rsid w:val="003A7DE5"/>
    <w:rsid w:val="003A7E8E"/>
    <w:rsid w:val="003B03F2"/>
    <w:rsid w:val="003B0712"/>
    <w:rsid w:val="003B09BD"/>
    <w:rsid w:val="003B0BA1"/>
    <w:rsid w:val="003B0D1B"/>
    <w:rsid w:val="003B0FE7"/>
    <w:rsid w:val="003B12E6"/>
    <w:rsid w:val="003B1EC4"/>
    <w:rsid w:val="003B247D"/>
    <w:rsid w:val="003B2CEC"/>
    <w:rsid w:val="003B3026"/>
    <w:rsid w:val="003B3125"/>
    <w:rsid w:val="003B330B"/>
    <w:rsid w:val="003B366A"/>
    <w:rsid w:val="003B36EB"/>
    <w:rsid w:val="003B36F4"/>
    <w:rsid w:val="003B3A87"/>
    <w:rsid w:val="003B424A"/>
    <w:rsid w:val="003B429D"/>
    <w:rsid w:val="003B4599"/>
    <w:rsid w:val="003B45D2"/>
    <w:rsid w:val="003B4E19"/>
    <w:rsid w:val="003B4F89"/>
    <w:rsid w:val="003B5008"/>
    <w:rsid w:val="003B522C"/>
    <w:rsid w:val="003B550E"/>
    <w:rsid w:val="003B61B7"/>
    <w:rsid w:val="003B6233"/>
    <w:rsid w:val="003B6349"/>
    <w:rsid w:val="003B642E"/>
    <w:rsid w:val="003B6898"/>
    <w:rsid w:val="003B6DD8"/>
    <w:rsid w:val="003B6EA5"/>
    <w:rsid w:val="003B6EBA"/>
    <w:rsid w:val="003B7C2A"/>
    <w:rsid w:val="003B7C8D"/>
    <w:rsid w:val="003C02F0"/>
    <w:rsid w:val="003C05C3"/>
    <w:rsid w:val="003C071C"/>
    <w:rsid w:val="003C07A9"/>
    <w:rsid w:val="003C0AA6"/>
    <w:rsid w:val="003C0B05"/>
    <w:rsid w:val="003C0D2F"/>
    <w:rsid w:val="003C0FDA"/>
    <w:rsid w:val="003C1082"/>
    <w:rsid w:val="003C1261"/>
    <w:rsid w:val="003C13E1"/>
    <w:rsid w:val="003C172D"/>
    <w:rsid w:val="003C183B"/>
    <w:rsid w:val="003C18AD"/>
    <w:rsid w:val="003C1934"/>
    <w:rsid w:val="003C1A6B"/>
    <w:rsid w:val="003C1AE2"/>
    <w:rsid w:val="003C1B88"/>
    <w:rsid w:val="003C1FFD"/>
    <w:rsid w:val="003C223A"/>
    <w:rsid w:val="003C26E0"/>
    <w:rsid w:val="003C2B6B"/>
    <w:rsid w:val="003C2B88"/>
    <w:rsid w:val="003C2E6A"/>
    <w:rsid w:val="003C41B8"/>
    <w:rsid w:val="003C4288"/>
    <w:rsid w:val="003C4459"/>
    <w:rsid w:val="003C4AC9"/>
    <w:rsid w:val="003C4BF0"/>
    <w:rsid w:val="003C4EB6"/>
    <w:rsid w:val="003C4F8F"/>
    <w:rsid w:val="003C5020"/>
    <w:rsid w:val="003C519C"/>
    <w:rsid w:val="003C568A"/>
    <w:rsid w:val="003C5816"/>
    <w:rsid w:val="003C58DD"/>
    <w:rsid w:val="003C5D5F"/>
    <w:rsid w:val="003C5E09"/>
    <w:rsid w:val="003C5F01"/>
    <w:rsid w:val="003C60E7"/>
    <w:rsid w:val="003C617E"/>
    <w:rsid w:val="003C66C3"/>
    <w:rsid w:val="003C6AC7"/>
    <w:rsid w:val="003C6B59"/>
    <w:rsid w:val="003C6F9B"/>
    <w:rsid w:val="003C7044"/>
    <w:rsid w:val="003C7289"/>
    <w:rsid w:val="003C72F7"/>
    <w:rsid w:val="003C749A"/>
    <w:rsid w:val="003C74FD"/>
    <w:rsid w:val="003C7A69"/>
    <w:rsid w:val="003D007C"/>
    <w:rsid w:val="003D05D5"/>
    <w:rsid w:val="003D0F23"/>
    <w:rsid w:val="003D0F46"/>
    <w:rsid w:val="003D10C9"/>
    <w:rsid w:val="003D1318"/>
    <w:rsid w:val="003D13BA"/>
    <w:rsid w:val="003D1624"/>
    <w:rsid w:val="003D1BF0"/>
    <w:rsid w:val="003D1CFA"/>
    <w:rsid w:val="003D1DC8"/>
    <w:rsid w:val="003D1F3C"/>
    <w:rsid w:val="003D1FA0"/>
    <w:rsid w:val="003D2190"/>
    <w:rsid w:val="003D232F"/>
    <w:rsid w:val="003D299E"/>
    <w:rsid w:val="003D2EE5"/>
    <w:rsid w:val="003D33E2"/>
    <w:rsid w:val="003D3767"/>
    <w:rsid w:val="003D3843"/>
    <w:rsid w:val="003D38E8"/>
    <w:rsid w:val="003D40F8"/>
    <w:rsid w:val="003D41F0"/>
    <w:rsid w:val="003D4780"/>
    <w:rsid w:val="003D4845"/>
    <w:rsid w:val="003D4F8B"/>
    <w:rsid w:val="003D51A0"/>
    <w:rsid w:val="003D5517"/>
    <w:rsid w:val="003D5540"/>
    <w:rsid w:val="003D55E1"/>
    <w:rsid w:val="003D59F7"/>
    <w:rsid w:val="003D5BCA"/>
    <w:rsid w:val="003D641A"/>
    <w:rsid w:val="003D64E2"/>
    <w:rsid w:val="003D6C78"/>
    <w:rsid w:val="003D7013"/>
    <w:rsid w:val="003D71EB"/>
    <w:rsid w:val="003D75D2"/>
    <w:rsid w:val="003D780F"/>
    <w:rsid w:val="003D7CC1"/>
    <w:rsid w:val="003D7D2C"/>
    <w:rsid w:val="003E0272"/>
    <w:rsid w:val="003E0419"/>
    <w:rsid w:val="003E0632"/>
    <w:rsid w:val="003E0BCB"/>
    <w:rsid w:val="003E0F2C"/>
    <w:rsid w:val="003E10CB"/>
    <w:rsid w:val="003E14F5"/>
    <w:rsid w:val="003E19A3"/>
    <w:rsid w:val="003E1B2B"/>
    <w:rsid w:val="003E1BEC"/>
    <w:rsid w:val="003E21B6"/>
    <w:rsid w:val="003E225C"/>
    <w:rsid w:val="003E22CB"/>
    <w:rsid w:val="003E2343"/>
    <w:rsid w:val="003E2514"/>
    <w:rsid w:val="003E3079"/>
    <w:rsid w:val="003E33AA"/>
    <w:rsid w:val="003E3671"/>
    <w:rsid w:val="003E3A29"/>
    <w:rsid w:val="003E3E3D"/>
    <w:rsid w:val="003E406B"/>
    <w:rsid w:val="003E4083"/>
    <w:rsid w:val="003E44FC"/>
    <w:rsid w:val="003E469D"/>
    <w:rsid w:val="003E4BCE"/>
    <w:rsid w:val="003E4E29"/>
    <w:rsid w:val="003E4F96"/>
    <w:rsid w:val="003E50C6"/>
    <w:rsid w:val="003E5705"/>
    <w:rsid w:val="003E5737"/>
    <w:rsid w:val="003E599E"/>
    <w:rsid w:val="003E5CCA"/>
    <w:rsid w:val="003E5E1F"/>
    <w:rsid w:val="003E62B8"/>
    <w:rsid w:val="003E6537"/>
    <w:rsid w:val="003E67F0"/>
    <w:rsid w:val="003E6A8F"/>
    <w:rsid w:val="003E6C95"/>
    <w:rsid w:val="003E6E28"/>
    <w:rsid w:val="003E6EAD"/>
    <w:rsid w:val="003E6F98"/>
    <w:rsid w:val="003E7310"/>
    <w:rsid w:val="003E7372"/>
    <w:rsid w:val="003E767F"/>
    <w:rsid w:val="003E76A0"/>
    <w:rsid w:val="003E7773"/>
    <w:rsid w:val="003E7DBF"/>
    <w:rsid w:val="003E7DFD"/>
    <w:rsid w:val="003F00DB"/>
    <w:rsid w:val="003F0150"/>
    <w:rsid w:val="003F0C1B"/>
    <w:rsid w:val="003F0C75"/>
    <w:rsid w:val="003F115E"/>
    <w:rsid w:val="003F14C2"/>
    <w:rsid w:val="003F1629"/>
    <w:rsid w:val="003F19B1"/>
    <w:rsid w:val="003F19B4"/>
    <w:rsid w:val="003F1FC8"/>
    <w:rsid w:val="003F20A6"/>
    <w:rsid w:val="003F2210"/>
    <w:rsid w:val="003F22E2"/>
    <w:rsid w:val="003F2333"/>
    <w:rsid w:val="003F279D"/>
    <w:rsid w:val="003F2DCF"/>
    <w:rsid w:val="003F2F1C"/>
    <w:rsid w:val="003F3BDE"/>
    <w:rsid w:val="003F3C6F"/>
    <w:rsid w:val="003F3E52"/>
    <w:rsid w:val="003F41CD"/>
    <w:rsid w:val="003F45CE"/>
    <w:rsid w:val="003F476B"/>
    <w:rsid w:val="003F48DB"/>
    <w:rsid w:val="003F4915"/>
    <w:rsid w:val="003F4A95"/>
    <w:rsid w:val="003F4B41"/>
    <w:rsid w:val="003F507C"/>
    <w:rsid w:val="003F535C"/>
    <w:rsid w:val="003F62D3"/>
    <w:rsid w:val="003F63B5"/>
    <w:rsid w:val="003F63D9"/>
    <w:rsid w:val="003F6703"/>
    <w:rsid w:val="003F6A91"/>
    <w:rsid w:val="003F6B70"/>
    <w:rsid w:val="003F6FF7"/>
    <w:rsid w:val="003F7196"/>
    <w:rsid w:val="003F75CD"/>
    <w:rsid w:val="003F7629"/>
    <w:rsid w:val="003F79E0"/>
    <w:rsid w:val="003F7F81"/>
    <w:rsid w:val="004004F1"/>
    <w:rsid w:val="00400602"/>
    <w:rsid w:val="0040065F"/>
    <w:rsid w:val="004008AF"/>
    <w:rsid w:val="00400B5F"/>
    <w:rsid w:val="00400B9B"/>
    <w:rsid w:val="00400D65"/>
    <w:rsid w:val="00401DBF"/>
    <w:rsid w:val="00401EDC"/>
    <w:rsid w:val="00402362"/>
    <w:rsid w:val="0040245D"/>
    <w:rsid w:val="004024AC"/>
    <w:rsid w:val="004028D0"/>
    <w:rsid w:val="00402B90"/>
    <w:rsid w:val="00402DC6"/>
    <w:rsid w:val="0040336F"/>
    <w:rsid w:val="004033D9"/>
    <w:rsid w:val="00403408"/>
    <w:rsid w:val="0040362A"/>
    <w:rsid w:val="00403814"/>
    <w:rsid w:val="00403933"/>
    <w:rsid w:val="00403A18"/>
    <w:rsid w:val="00403AF5"/>
    <w:rsid w:val="00403CD0"/>
    <w:rsid w:val="0040400A"/>
    <w:rsid w:val="004040A8"/>
    <w:rsid w:val="004040FA"/>
    <w:rsid w:val="0040432D"/>
    <w:rsid w:val="00404A4C"/>
    <w:rsid w:val="00404A94"/>
    <w:rsid w:val="00404AB2"/>
    <w:rsid w:val="0040551F"/>
    <w:rsid w:val="00405524"/>
    <w:rsid w:val="00405DD7"/>
    <w:rsid w:val="004061C4"/>
    <w:rsid w:val="004066DE"/>
    <w:rsid w:val="00406A58"/>
    <w:rsid w:val="00406AF3"/>
    <w:rsid w:val="00406B74"/>
    <w:rsid w:val="00407006"/>
    <w:rsid w:val="0040704D"/>
    <w:rsid w:val="004074E4"/>
    <w:rsid w:val="00407587"/>
    <w:rsid w:val="0040771F"/>
    <w:rsid w:val="0041063D"/>
    <w:rsid w:val="00410697"/>
    <w:rsid w:val="004111F7"/>
    <w:rsid w:val="00411513"/>
    <w:rsid w:val="0041217D"/>
    <w:rsid w:val="004121C9"/>
    <w:rsid w:val="0041239A"/>
    <w:rsid w:val="004125C6"/>
    <w:rsid w:val="0041262B"/>
    <w:rsid w:val="0041275F"/>
    <w:rsid w:val="0041292B"/>
    <w:rsid w:val="00412BEC"/>
    <w:rsid w:val="004130CD"/>
    <w:rsid w:val="004134C4"/>
    <w:rsid w:val="00413509"/>
    <w:rsid w:val="00413D3E"/>
    <w:rsid w:val="00413DF8"/>
    <w:rsid w:val="00413F77"/>
    <w:rsid w:val="0041402F"/>
    <w:rsid w:val="00414301"/>
    <w:rsid w:val="00414531"/>
    <w:rsid w:val="00414AE1"/>
    <w:rsid w:val="00414FC2"/>
    <w:rsid w:val="004150F9"/>
    <w:rsid w:val="00415261"/>
    <w:rsid w:val="004155F4"/>
    <w:rsid w:val="0041561E"/>
    <w:rsid w:val="004159C0"/>
    <w:rsid w:val="00415A07"/>
    <w:rsid w:val="00415AAD"/>
    <w:rsid w:val="00415C63"/>
    <w:rsid w:val="00415F31"/>
    <w:rsid w:val="00416872"/>
    <w:rsid w:val="00416C6C"/>
    <w:rsid w:val="0041701C"/>
    <w:rsid w:val="00417190"/>
    <w:rsid w:val="00417564"/>
    <w:rsid w:val="004175AA"/>
    <w:rsid w:val="004201B5"/>
    <w:rsid w:val="00420401"/>
    <w:rsid w:val="0042055A"/>
    <w:rsid w:val="004208CE"/>
    <w:rsid w:val="00420AA9"/>
    <w:rsid w:val="00420AE3"/>
    <w:rsid w:val="00420EAB"/>
    <w:rsid w:val="00420F1B"/>
    <w:rsid w:val="0042115E"/>
    <w:rsid w:val="00421967"/>
    <w:rsid w:val="00421A89"/>
    <w:rsid w:val="00421C29"/>
    <w:rsid w:val="00421DAC"/>
    <w:rsid w:val="00421EBC"/>
    <w:rsid w:val="004222D3"/>
    <w:rsid w:val="004223A1"/>
    <w:rsid w:val="0042282B"/>
    <w:rsid w:val="00422836"/>
    <w:rsid w:val="00422A01"/>
    <w:rsid w:val="00422A19"/>
    <w:rsid w:val="00422B9C"/>
    <w:rsid w:val="00422E18"/>
    <w:rsid w:val="00422E58"/>
    <w:rsid w:val="0042304B"/>
    <w:rsid w:val="0042359B"/>
    <w:rsid w:val="00423606"/>
    <w:rsid w:val="00423A91"/>
    <w:rsid w:val="00423BBB"/>
    <w:rsid w:val="00423E74"/>
    <w:rsid w:val="00424084"/>
    <w:rsid w:val="004240BA"/>
    <w:rsid w:val="00424449"/>
    <w:rsid w:val="004249E1"/>
    <w:rsid w:val="00425631"/>
    <w:rsid w:val="004256CB"/>
    <w:rsid w:val="00425745"/>
    <w:rsid w:val="00425FEC"/>
    <w:rsid w:val="00425FF3"/>
    <w:rsid w:val="004261D9"/>
    <w:rsid w:val="00426390"/>
    <w:rsid w:val="0042673F"/>
    <w:rsid w:val="00426A2F"/>
    <w:rsid w:val="00426ECA"/>
    <w:rsid w:val="00426F6F"/>
    <w:rsid w:val="004272FD"/>
    <w:rsid w:val="004273AD"/>
    <w:rsid w:val="004273E0"/>
    <w:rsid w:val="004274C1"/>
    <w:rsid w:val="004274E7"/>
    <w:rsid w:val="00427525"/>
    <w:rsid w:val="00427670"/>
    <w:rsid w:val="00427991"/>
    <w:rsid w:val="00427A7E"/>
    <w:rsid w:val="00427F86"/>
    <w:rsid w:val="004305AE"/>
    <w:rsid w:val="004305C3"/>
    <w:rsid w:val="00430CFE"/>
    <w:rsid w:val="00430F48"/>
    <w:rsid w:val="00431668"/>
    <w:rsid w:val="00431800"/>
    <w:rsid w:val="00432422"/>
    <w:rsid w:val="00432545"/>
    <w:rsid w:val="00432A2D"/>
    <w:rsid w:val="00432A76"/>
    <w:rsid w:val="00432C34"/>
    <w:rsid w:val="00432CC5"/>
    <w:rsid w:val="00432F7D"/>
    <w:rsid w:val="004334A5"/>
    <w:rsid w:val="004334F8"/>
    <w:rsid w:val="0043351D"/>
    <w:rsid w:val="00433541"/>
    <w:rsid w:val="004336D9"/>
    <w:rsid w:val="00433F48"/>
    <w:rsid w:val="00434A86"/>
    <w:rsid w:val="00435132"/>
    <w:rsid w:val="004354B1"/>
    <w:rsid w:val="004355A4"/>
    <w:rsid w:val="00435D01"/>
    <w:rsid w:val="00436418"/>
    <w:rsid w:val="004364A3"/>
    <w:rsid w:val="00436514"/>
    <w:rsid w:val="004366B9"/>
    <w:rsid w:val="004366C7"/>
    <w:rsid w:val="00436E5D"/>
    <w:rsid w:val="0043717A"/>
    <w:rsid w:val="004373C9"/>
    <w:rsid w:val="004373F1"/>
    <w:rsid w:val="004377AA"/>
    <w:rsid w:val="004400FE"/>
    <w:rsid w:val="00440630"/>
    <w:rsid w:val="00440989"/>
    <w:rsid w:val="00441003"/>
    <w:rsid w:val="00441608"/>
    <w:rsid w:val="00441A5F"/>
    <w:rsid w:val="004420A7"/>
    <w:rsid w:val="004421AE"/>
    <w:rsid w:val="004423F7"/>
    <w:rsid w:val="004426E9"/>
    <w:rsid w:val="00442764"/>
    <w:rsid w:val="004429CC"/>
    <w:rsid w:val="004429F9"/>
    <w:rsid w:val="00442A49"/>
    <w:rsid w:val="00442AE2"/>
    <w:rsid w:val="00442DA8"/>
    <w:rsid w:val="004431AA"/>
    <w:rsid w:val="004436B9"/>
    <w:rsid w:val="00443A83"/>
    <w:rsid w:val="00443A85"/>
    <w:rsid w:val="00443B77"/>
    <w:rsid w:val="00443C13"/>
    <w:rsid w:val="00443F16"/>
    <w:rsid w:val="00443F80"/>
    <w:rsid w:val="00444001"/>
    <w:rsid w:val="00444590"/>
    <w:rsid w:val="00444967"/>
    <w:rsid w:val="004449FA"/>
    <w:rsid w:val="00444E86"/>
    <w:rsid w:val="00444F00"/>
    <w:rsid w:val="00445261"/>
    <w:rsid w:val="004452E8"/>
    <w:rsid w:val="0044540F"/>
    <w:rsid w:val="00445463"/>
    <w:rsid w:val="00445699"/>
    <w:rsid w:val="004456EC"/>
    <w:rsid w:val="004456FA"/>
    <w:rsid w:val="004457B7"/>
    <w:rsid w:val="004459CE"/>
    <w:rsid w:val="00445B99"/>
    <w:rsid w:val="00445C46"/>
    <w:rsid w:val="00446001"/>
    <w:rsid w:val="00446153"/>
    <w:rsid w:val="00446482"/>
    <w:rsid w:val="00446883"/>
    <w:rsid w:val="0044690B"/>
    <w:rsid w:val="00446BBE"/>
    <w:rsid w:val="00446BC0"/>
    <w:rsid w:val="00446C0D"/>
    <w:rsid w:val="00446C30"/>
    <w:rsid w:val="00446CDE"/>
    <w:rsid w:val="00446D4C"/>
    <w:rsid w:val="00446F45"/>
    <w:rsid w:val="004471BC"/>
    <w:rsid w:val="0044721F"/>
    <w:rsid w:val="004473C7"/>
    <w:rsid w:val="004475B4"/>
    <w:rsid w:val="00447699"/>
    <w:rsid w:val="004477FC"/>
    <w:rsid w:val="0044782C"/>
    <w:rsid w:val="00447A68"/>
    <w:rsid w:val="00450172"/>
    <w:rsid w:val="004508FB"/>
    <w:rsid w:val="0045093D"/>
    <w:rsid w:val="00450F15"/>
    <w:rsid w:val="00451645"/>
    <w:rsid w:val="004516A8"/>
    <w:rsid w:val="0045193E"/>
    <w:rsid w:val="00451A5D"/>
    <w:rsid w:val="00451FE3"/>
    <w:rsid w:val="00452406"/>
    <w:rsid w:val="00452705"/>
    <w:rsid w:val="00452827"/>
    <w:rsid w:val="004528C8"/>
    <w:rsid w:val="00452C03"/>
    <w:rsid w:val="00452E69"/>
    <w:rsid w:val="00453043"/>
    <w:rsid w:val="00453360"/>
    <w:rsid w:val="00453CAF"/>
    <w:rsid w:val="004540D1"/>
    <w:rsid w:val="004545B4"/>
    <w:rsid w:val="00454F8E"/>
    <w:rsid w:val="00455481"/>
    <w:rsid w:val="0045591D"/>
    <w:rsid w:val="004559D4"/>
    <w:rsid w:val="0045615A"/>
    <w:rsid w:val="00456452"/>
    <w:rsid w:val="004566EE"/>
    <w:rsid w:val="00456790"/>
    <w:rsid w:val="0045687E"/>
    <w:rsid w:val="00456B35"/>
    <w:rsid w:val="00456EA2"/>
    <w:rsid w:val="004575F9"/>
    <w:rsid w:val="00457720"/>
    <w:rsid w:val="00457723"/>
    <w:rsid w:val="004577B5"/>
    <w:rsid w:val="00457989"/>
    <w:rsid w:val="00457CB6"/>
    <w:rsid w:val="00457EC0"/>
    <w:rsid w:val="00460191"/>
    <w:rsid w:val="00460257"/>
    <w:rsid w:val="00460594"/>
    <w:rsid w:val="00460722"/>
    <w:rsid w:val="0046083D"/>
    <w:rsid w:val="00460B00"/>
    <w:rsid w:val="00460BA4"/>
    <w:rsid w:val="00460EC0"/>
    <w:rsid w:val="004611E0"/>
    <w:rsid w:val="00461309"/>
    <w:rsid w:val="0046160A"/>
    <w:rsid w:val="0046163D"/>
    <w:rsid w:val="004617E7"/>
    <w:rsid w:val="004622B3"/>
    <w:rsid w:val="00462778"/>
    <w:rsid w:val="004631B5"/>
    <w:rsid w:val="00463603"/>
    <w:rsid w:val="0046363A"/>
    <w:rsid w:val="00463961"/>
    <w:rsid w:val="004639C8"/>
    <w:rsid w:val="00463AEE"/>
    <w:rsid w:val="00463D57"/>
    <w:rsid w:val="00463E87"/>
    <w:rsid w:val="00464667"/>
    <w:rsid w:val="00464F6C"/>
    <w:rsid w:val="004650C9"/>
    <w:rsid w:val="00465163"/>
    <w:rsid w:val="004653D1"/>
    <w:rsid w:val="00465709"/>
    <w:rsid w:val="00465C3C"/>
    <w:rsid w:val="00465FFE"/>
    <w:rsid w:val="004660A2"/>
    <w:rsid w:val="004660ED"/>
    <w:rsid w:val="004662E2"/>
    <w:rsid w:val="004663DD"/>
    <w:rsid w:val="0046666E"/>
    <w:rsid w:val="00466C29"/>
    <w:rsid w:val="00466DC0"/>
    <w:rsid w:val="0046732C"/>
    <w:rsid w:val="004677E6"/>
    <w:rsid w:val="004700A2"/>
    <w:rsid w:val="004706F6"/>
    <w:rsid w:val="00470858"/>
    <w:rsid w:val="00470AE0"/>
    <w:rsid w:val="00471162"/>
    <w:rsid w:val="00471352"/>
    <w:rsid w:val="00471401"/>
    <w:rsid w:val="00471447"/>
    <w:rsid w:val="0047163D"/>
    <w:rsid w:val="0047163F"/>
    <w:rsid w:val="0047174F"/>
    <w:rsid w:val="00471922"/>
    <w:rsid w:val="00471967"/>
    <w:rsid w:val="00471C60"/>
    <w:rsid w:val="00471D0D"/>
    <w:rsid w:val="00471F0B"/>
    <w:rsid w:val="00472176"/>
    <w:rsid w:val="004721CE"/>
    <w:rsid w:val="0047250C"/>
    <w:rsid w:val="0047259B"/>
    <w:rsid w:val="00472621"/>
    <w:rsid w:val="004726C6"/>
    <w:rsid w:val="004729AD"/>
    <w:rsid w:val="00472DCA"/>
    <w:rsid w:val="00472E7C"/>
    <w:rsid w:val="00473381"/>
    <w:rsid w:val="00473685"/>
    <w:rsid w:val="00473A3D"/>
    <w:rsid w:val="00473B90"/>
    <w:rsid w:val="00473F76"/>
    <w:rsid w:val="00473FEC"/>
    <w:rsid w:val="00474196"/>
    <w:rsid w:val="00474361"/>
    <w:rsid w:val="004746D8"/>
    <w:rsid w:val="00474A89"/>
    <w:rsid w:val="00474E01"/>
    <w:rsid w:val="0047535C"/>
    <w:rsid w:val="0047581F"/>
    <w:rsid w:val="00475897"/>
    <w:rsid w:val="004758BC"/>
    <w:rsid w:val="00475953"/>
    <w:rsid w:val="00475BB0"/>
    <w:rsid w:val="00475D2B"/>
    <w:rsid w:val="00476163"/>
    <w:rsid w:val="0047633B"/>
    <w:rsid w:val="004768FF"/>
    <w:rsid w:val="00476BC9"/>
    <w:rsid w:val="004772C7"/>
    <w:rsid w:val="0047745B"/>
    <w:rsid w:val="004777E4"/>
    <w:rsid w:val="00477867"/>
    <w:rsid w:val="00477AA3"/>
    <w:rsid w:val="00477B52"/>
    <w:rsid w:val="00477EA7"/>
    <w:rsid w:val="0047E378"/>
    <w:rsid w:val="004801F9"/>
    <w:rsid w:val="00480360"/>
    <w:rsid w:val="00480754"/>
    <w:rsid w:val="0048120F"/>
    <w:rsid w:val="00482508"/>
    <w:rsid w:val="00482804"/>
    <w:rsid w:val="0048284A"/>
    <w:rsid w:val="00482B47"/>
    <w:rsid w:val="00482C37"/>
    <w:rsid w:val="00483223"/>
    <w:rsid w:val="0048323E"/>
    <w:rsid w:val="00483358"/>
    <w:rsid w:val="004834E5"/>
    <w:rsid w:val="00483B26"/>
    <w:rsid w:val="00483BBD"/>
    <w:rsid w:val="00484160"/>
    <w:rsid w:val="0048449C"/>
    <w:rsid w:val="00484566"/>
    <w:rsid w:val="00484721"/>
    <w:rsid w:val="0048479B"/>
    <w:rsid w:val="00484AE6"/>
    <w:rsid w:val="00484DC5"/>
    <w:rsid w:val="00484E67"/>
    <w:rsid w:val="0048561A"/>
    <w:rsid w:val="00485675"/>
    <w:rsid w:val="004856E9"/>
    <w:rsid w:val="004857F2"/>
    <w:rsid w:val="00486606"/>
    <w:rsid w:val="00486745"/>
    <w:rsid w:val="004868AB"/>
    <w:rsid w:val="00486A1E"/>
    <w:rsid w:val="004870E6"/>
    <w:rsid w:val="0048767C"/>
    <w:rsid w:val="00487C85"/>
    <w:rsid w:val="00487E99"/>
    <w:rsid w:val="004904DA"/>
    <w:rsid w:val="00490B96"/>
    <w:rsid w:val="00490DC4"/>
    <w:rsid w:val="0049153A"/>
    <w:rsid w:val="004919B2"/>
    <w:rsid w:val="00491DA4"/>
    <w:rsid w:val="00491E48"/>
    <w:rsid w:val="004924DA"/>
    <w:rsid w:val="004928FD"/>
    <w:rsid w:val="00492A9F"/>
    <w:rsid w:val="00492AEA"/>
    <w:rsid w:val="00492DFA"/>
    <w:rsid w:val="00493101"/>
    <w:rsid w:val="0049447D"/>
    <w:rsid w:val="004944F5"/>
    <w:rsid w:val="004948ED"/>
    <w:rsid w:val="00494F64"/>
    <w:rsid w:val="004956F7"/>
    <w:rsid w:val="00495C91"/>
    <w:rsid w:val="004960FF"/>
    <w:rsid w:val="004963EF"/>
    <w:rsid w:val="00496421"/>
    <w:rsid w:val="004967D5"/>
    <w:rsid w:val="004968BC"/>
    <w:rsid w:val="00497264"/>
    <w:rsid w:val="00497638"/>
    <w:rsid w:val="0049764C"/>
    <w:rsid w:val="004976C8"/>
    <w:rsid w:val="004978EA"/>
    <w:rsid w:val="00497A41"/>
    <w:rsid w:val="00497B9F"/>
    <w:rsid w:val="00497C8E"/>
    <w:rsid w:val="00497E43"/>
    <w:rsid w:val="004A0072"/>
    <w:rsid w:val="004A019B"/>
    <w:rsid w:val="004A04E3"/>
    <w:rsid w:val="004A066B"/>
    <w:rsid w:val="004A097B"/>
    <w:rsid w:val="004A0A5D"/>
    <w:rsid w:val="004A0B3E"/>
    <w:rsid w:val="004A0C65"/>
    <w:rsid w:val="004A0CA2"/>
    <w:rsid w:val="004A1399"/>
    <w:rsid w:val="004A1440"/>
    <w:rsid w:val="004A180E"/>
    <w:rsid w:val="004A195C"/>
    <w:rsid w:val="004A1D32"/>
    <w:rsid w:val="004A1E5A"/>
    <w:rsid w:val="004A1EB6"/>
    <w:rsid w:val="004A2084"/>
    <w:rsid w:val="004A2204"/>
    <w:rsid w:val="004A2601"/>
    <w:rsid w:val="004A311B"/>
    <w:rsid w:val="004A3CA7"/>
    <w:rsid w:val="004A4430"/>
    <w:rsid w:val="004A44C1"/>
    <w:rsid w:val="004A47FD"/>
    <w:rsid w:val="004A4823"/>
    <w:rsid w:val="004A48A3"/>
    <w:rsid w:val="004A4921"/>
    <w:rsid w:val="004A4FDF"/>
    <w:rsid w:val="004A5489"/>
    <w:rsid w:val="004A54F3"/>
    <w:rsid w:val="004A560C"/>
    <w:rsid w:val="004A5903"/>
    <w:rsid w:val="004A5935"/>
    <w:rsid w:val="004A5971"/>
    <w:rsid w:val="004A5B34"/>
    <w:rsid w:val="004A5E73"/>
    <w:rsid w:val="004A5EE0"/>
    <w:rsid w:val="004A5FC1"/>
    <w:rsid w:val="004A60A9"/>
    <w:rsid w:val="004A636F"/>
    <w:rsid w:val="004A6380"/>
    <w:rsid w:val="004A652B"/>
    <w:rsid w:val="004A6558"/>
    <w:rsid w:val="004A65CF"/>
    <w:rsid w:val="004A768F"/>
    <w:rsid w:val="004A796F"/>
    <w:rsid w:val="004A7A52"/>
    <w:rsid w:val="004A7C94"/>
    <w:rsid w:val="004B00AE"/>
    <w:rsid w:val="004B087F"/>
    <w:rsid w:val="004B12A2"/>
    <w:rsid w:val="004B12BA"/>
    <w:rsid w:val="004B1349"/>
    <w:rsid w:val="004B14F5"/>
    <w:rsid w:val="004B19FE"/>
    <w:rsid w:val="004B1B07"/>
    <w:rsid w:val="004B1BDD"/>
    <w:rsid w:val="004B1F57"/>
    <w:rsid w:val="004B208F"/>
    <w:rsid w:val="004B22D7"/>
    <w:rsid w:val="004B270F"/>
    <w:rsid w:val="004B2A4D"/>
    <w:rsid w:val="004B2A58"/>
    <w:rsid w:val="004B2CFE"/>
    <w:rsid w:val="004B2D57"/>
    <w:rsid w:val="004B2F32"/>
    <w:rsid w:val="004B2F45"/>
    <w:rsid w:val="004B2FFB"/>
    <w:rsid w:val="004B33C2"/>
    <w:rsid w:val="004B3783"/>
    <w:rsid w:val="004B3993"/>
    <w:rsid w:val="004B3E26"/>
    <w:rsid w:val="004B4214"/>
    <w:rsid w:val="004B463A"/>
    <w:rsid w:val="004B46CF"/>
    <w:rsid w:val="004B46EA"/>
    <w:rsid w:val="004B4915"/>
    <w:rsid w:val="004B4AB7"/>
    <w:rsid w:val="004B508B"/>
    <w:rsid w:val="004B675D"/>
    <w:rsid w:val="004B689D"/>
    <w:rsid w:val="004B68F3"/>
    <w:rsid w:val="004B6A38"/>
    <w:rsid w:val="004B7207"/>
    <w:rsid w:val="004B74D8"/>
    <w:rsid w:val="004B764D"/>
    <w:rsid w:val="004B7D19"/>
    <w:rsid w:val="004C03EE"/>
    <w:rsid w:val="004C05AF"/>
    <w:rsid w:val="004C061D"/>
    <w:rsid w:val="004C0AB2"/>
    <w:rsid w:val="004C0E97"/>
    <w:rsid w:val="004C10F6"/>
    <w:rsid w:val="004C17B7"/>
    <w:rsid w:val="004C18A1"/>
    <w:rsid w:val="004C2066"/>
    <w:rsid w:val="004C2492"/>
    <w:rsid w:val="004C2508"/>
    <w:rsid w:val="004C2D1A"/>
    <w:rsid w:val="004C2F0A"/>
    <w:rsid w:val="004C3B13"/>
    <w:rsid w:val="004C3BCA"/>
    <w:rsid w:val="004C3E51"/>
    <w:rsid w:val="004C3E63"/>
    <w:rsid w:val="004C440F"/>
    <w:rsid w:val="004C44CE"/>
    <w:rsid w:val="004C4667"/>
    <w:rsid w:val="004C48C8"/>
    <w:rsid w:val="004C4EB7"/>
    <w:rsid w:val="004C523F"/>
    <w:rsid w:val="004C534C"/>
    <w:rsid w:val="004C583F"/>
    <w:rsid w:val="004C598D"/>
    <w:rsid w:val="004C5EB2"/>
    <w:rsid w:val="004C6088"/>
    <w:rsid w:val="004C6218"/>
    <w:rsid w:val="004C6350"/>
    <w:rsid w:val="004C645C"/>
    <w:rsid w:val="004C6493"/>
    <w:rsid w:val="004C68A7"/>
    <w:rsid w:val="004C6F9E"/>
    <w:rsid w:val="004C7086"/>
    <w:rsid w:val="004C712E"/>
    <w:rsid w:val="004C7406"/>
    <w:rsid w:val="004C7565"/>
    <w:rsid w:val="004C780B"/>
    <w:rsid w:val="004C7D18"/>
    <w:rsid w:val="004C7E5E"/>
    <w:rsid w:val="004C88B2"/>
    <w:rsid w:val="004D0414"/>
    <w:rsid w:val="004D09B4"/>
    <w:rsid w:val="004D14DC"/>
    <w:rsid w:val="004D1692"/>
    <w:rsid w:val="004D1734"/>
    <w:rsid w:val="004D17EA"/>
    <w:rsid w:val="004D1C8E"/>
    <w:rsid w:val="004D1D48"/>
    <w:rsid w:val="004D2055"/>
    <w:rsid w:val="004D2908"/>
    <w:rsid w:val="004D291F"/>
    <w:rsid w:val="004D296B"/>
    <w:rsid w:val="004D304C"/>
    <w:rsid w:val="004D31FC"/>
    <w:rsid w:val="004D324D"/>
    <w:rsid w:val="004D3897"/>
    <w:rsid w:val="004D394B"/>
    <w:rsid w:val="004D3B59"/>
    <w:rsid w:val="004D403B"/>
    <w:rsid w:val="004D4425"/>
    <w:rsid w:val="004D4520"/>
    <w:rsid w:val="004D48AA"/>
    <w:rsid w:val="004D49BC"/>
    <w:rsid w:val="004D49FB"/>
    <w:rsid w:val="004D524F"/>
    <w:rsid w:val="004D560F"/>
    <w:rsid w:val="004D5A15"/>
    <w:rsid w:val="004D5C13"/>
    <w:rsid w:val="004D5DE0"/>
    <w:rsid w:val="004D6511"/>
    <w:rsid w:val="004D67A4"/>
    <w:rsid w:val="004D68C9"/>
    <w:rsid w:val="004D71D0"/>
    <w:rsid w:val="004D73EA"/>
    <w:rsid w:val="004D74ED"/>
    <w:rsid w:val="004D75BE"/>
    <w:rsid w:val="004D7956"/>
    <w:rsid w:val="004D7EA5"/>
    <w:rsid w:val="004E07D4"/>
    <w:rsid w:val="004E0D7B"/>
    <w:rsid w:val="004E0EAB"/>
    <w:rsid w:val="004E11D3"/>
    <w:rsid w:val="004E1383"/>
    <w:rsid w:val="004E13FC"/>
    <w:rsid w:val="004E1805"/>
    <w:rsid w:val="004E19E4"/>
    <w:rsid w:val="004E1C75"/>
    <w:rsid w:val="004E1D15"/>
    <w:rsid w:val="004E243A"/>
    <w:rsid w:val="004E284B"/>
    <w:rsid w:val="004E2BCE"/>
    <w:rsid w:val="004E2BD6"/>
    <w:rsid w:val="004E2F30"/>
    <w:rsid w:val="004E3778"/>
    <w:rsid w:val="004E3BFD"/>
    <w:rsid w:val="004E410A"/>
    <w:rsid w:val="004E4471"/>
    <w:rsid w:val="004E461A"/>
    <w:rsid w:val="004E495B"/>
    <w:rsid w:val="004E4B35"/>
    <w:rsid w:val="004E4D1D"/>
    <w:rsid w:val="004E4DDE"/>
    <w:rsid w:val="004E50AD"/>
    <w:rsid w:val="004E5A23"/>
    <w:rsid w:val="004E5AFB"/>
    <w:rsid w:val="004E5C07"/>
    <w:rsid w:val="004E5EE7"/>
    <w:rsid w:val="004E67FC"/>
    <w:rsid w:val="004E6B1A"/>
    <w:rsid w:val="004E7032"/>
    <w:rsid w:val="004E7465"/>
    <w:rsid w:val="004E751F"/>
    <w:rsid w:val="004E75C1"/>
    <w:rsid w:val="004E7B33"/>
    <w:rsid w:val="004E7C71"/>
    <w:rsid w:val="004E7F4E"/>
    <w:rsid w:val="004EA65F"/>
    <w:rsid w:val="004F00B3"/>
    <w:rsid w:val="004F072A"/>
    <w:rsid w:val="004F08F0"/>
    <w:rsid w:val="004F0C54"/>
    <w:rsid w:val="004F0C74"/>
    <w:rsid w:val="004F0DB8"/>
    <w:rsid w:val="004F11AD"/>
    <w:rsid w:val="004F11DB"/>
    <w:rsid w:val="004F163B"/>
    <w:rsid w:val="004F1B10"/>
    <w:rsid w:val="004F1B18"/>
    <w:rsid w:val="004F1D06"/>
    <w:rsid w:val="004F230D"/>
    <w:rsid w:val="004F280F"/>
    <w:rsid w:val="004F2848"/>
    <w:rsid w:val="004F28C9"/>
    <w:rsid w:val="004F2F8C"/>
    <w:rsid w:val="004F344A"/>
    <w:rsid w:val="004F3493"/>
    <w:rsid w:val="004F3BC8"/>
    <w:rsid w:val="004F3CCD"/>
    <w:rsid w:val="004F3CD7"/>
    <w:rsid w:val="004F46E0"/>
    <w:rsid w:val="004F53A0"/>
    <w:rsid w:val="004F54B4"/>
    <w:rsid w:val="004F5AC2"/>
    <w:rsid w:val="004F6AD3"/>
    <w:rsid w:val="004F7091"/>
    <w:rsid w:val="004F71AB"/>
    <w:rsid w:val="004F72D5"/>
    <w:rsid w:val="004F7538"/>
    <w:rsid w:val="004F7DB8"/>
    <w:rsid w:val="004F7F99"/>
    <w:rsid w:val="00500094"/>
    <w:rsid w:val="00500451"/>
    <w:rsid w:val="005005EF"/>
    <w:rsid w:val="005007FD"/>
    <w:rsid w:val="0050115D"/>
    <w:rsid w:val="005012AF"/>
    <w:rsid w:val="005012F1"/>
    <w:rsid w:val="00501386"/>
    <w:rsid w:val="00501503"/>
    <w:rsid w:val="00501BD9"/>
    <w:rsid w:val="00501C25"/>
    <w:rsid w:val="00502644"/>
    <w:rsid w:val="005027A6"/>
    <w:rsid w:val="00502AB2"/>
    <w:rsid w:val="00502AF2"/>
    <w:rsid w:val="00502D88"/>
    <w:rsid w:val="00502DAE"/>
    <w:rsid w:val="00502EDD"/>
    <w:rsid w:val="00502FFB"/>
    <w:rsid w:val="00503362"/>
    <w:rsid w:val="00503518"/>
    <w:rsid w:val="005038A0"/>
    <w:rsid w:val="005038FD"/>
    <w:rsid w:val="0050392E"/>
    <w:rsid w:val="00503AA3"/>
    <w:rsid w:val="00503F81"/>
    <w:rsid w:val="00504100"/>
    <w:rsid w:val="005044FC"/>
    <w:rsid w:val="00504A82"/>
    <w:rsid w:val="00504ACA"/>
    <w:rsid w:val="00504BE1"/>
    <w:rsid w:val="00505273"/>
    <w:rsid w:val="00505D2B"/>
    <w:rsid w:val="00505E19"/>
    <w:rsid w:val="0050648A"/>
    <w:rsid w:val="005066CD"/>
    <w:rsid w:val="005066E9"/>
    <w:rsid w:val="00506721"/>
    <w:rsid w:val="005067CF"/>
    <w:rsid w:val="005067DD"/>
    <w:rsid w:val="00506C36"/>
    <w:rsid w:val="00506EF0"/>
    <w:rsid w:val="00506F42"/>
    <w:rsid w:val="005072F0"/>
    <w:rsid w:val="005074A4"/>
    <w:rsid w:val="005074B2"/>
    <w:rsid w:val="00507DDB"/>
    <w:rsid w:val="0051024D"/>
    <w:rsid w:val="005103C5"/>
    <w:rsid w:val="00510936"/>
    <w:rsid w:val="00510990"/>
    <w:rsid w:val="00510BEC"/>
    <w:rsid w:val="00510F41"/>
    <w:rsid w:val="005110FD"/>
    <w:rsid w:val="0051116F"/>
    <w:rsid w:val="005117A3"/>
    <w:rsid w:val="00511A0C"/>
    <w:rsid w:val="00511CAC"/>
    <w:rsid w:val="00511D70"/>
    <w:rsid w:val="00511EC0"/>
    <w:rsid w:val="0051211C"/>
    <w:rsid w:val="00512374"/>
    <w:rsid w:val="00512464"/>
    <w:rsid w:val="00512547"/>
    <w:rsid w:val="005125A4"/>
    <w:rsid w:val="005125EB"/>
    <w:rsid w:val="00512C64"/>
    <w:rsid w:val="00512C6E"/>
    <w:rsid w:val="00512E10"/>
    <w:rsid w:val="00512FA3"/>
    <w:rsid w:val="00512FF6"/>
    <w:rsid w:val="005130C3"/>
    <w:rsid w:val="00513156"/>
    <w:rsid w:val="005131D3"/>
    <w:rsid w:val="005133CA"/>
    <w:rsid w:val="0051352C"/>
    <w:rsid w:val="0051369A"/>
    <w:rsid w:val="00513BAD"/>
    <w:rsid w:val="00514073"/>
    <w:rsid w:val="0051410D"/>
    <w:rsid w:val="00514534"/>
    <w:rsid w:val="00514B68"/>
    <w:rsid w:val="00514E16"/>
    <w:rsid w:val="00514FC2"/>
    <w:rsid w:val="0051568B"/>
    <w:rsid w:val="00515752"/>
    <w:rsid w:val="0051594D"/>
    <w:rsid w:val="00515AB0"/>
    <w:rsid w:val="00515BFA"/>
    <w:rsid w:val="00515C60"/>
    <w:rsid w:val="00515F7E"/>
    <w:rsid w:val="0051616C"/>
    <w:rsid w:val="005161B4"/>
    <w:rsid w:val="00516461"/>
    <w:rsid w:val="00516917"/>
    <w:rsid w:val="00516A37"/>
    <w:rsid w:val="00516AA5"/>
    <w:rsid w:val="00516B7D"/>
    <w:rsid w:val="00516BDF"/>
    <w:rsid w:val="00516C57"/>
    <w:rsid w:val="00516D27"/>
    <w:rsid w:val="00516ECE"/>
    <w:rsid w:val="005174E1"/>
    <w:rsid w:val="00517931"/>
    <w:rsid w:val="00517A86"/>
    <w:rsid w:val="00517E4C"/>
    <w:rsid w:val="00520228"/>
    <w:rsid w:val="00520CF7"/>
    <w:rsid w:val="00520E88"/>
    <w:rsid w:val="0052149F"/>
    <w:rsid w:val="00521953"/>
    <w:rsid w:val="00521960"/>
    <w:rsid w:val="00521A50"/>
    <w:rsid w:val="00521C86"/>
    <w:rsid w:val="005224B7"/>
    <w:rsid w:val="00522AE0"/>
    <w:rsid w:val="00522B25"/>
    <w:rsid w:val="005230F5"/>
    <w:rsid w:val="0052349D"/>
    <w:rsid w:val="005239D8"/>
    <w:rsid w:val="00523C5E"/>
    <w:rsid w:val="00523FC0"/>
    <w:rsid w:val="0052425C"/>
    <w:rsid w:val="005242B7"/>
    <w:rsid w:val="00524305"/>
    <w:rsid w:val="005248EB"/>
    <w:rsid w:val="00524BE8"/>
    <w:rsid w:val="00524EB2"/>
    <w:rsid w:val="0052513F"/>
    <w:rsid w:val="0052518E"/>
    <w:rsid w:val="005251B2"/>
    <w:rsid w:val="0052575D"/>
    <w:rsid w:val="00525F98"/>
    <w:rsid w:val="00525FB5"/>
    <w:rsid w:val="0052602A"/>
    <w:rsid w:val="0052609B"/>
    <w:rsid w:val="005260C6"/>
    <w:rsid w:val="005265C5"/>
    <w:rsid w:val="0052670B"/>
    <w:rsid w:val="00526783"/>
    <w:rsid w:val="00526987"/>
    <w:rsid w:val="005269F3"/>
    <w:rsid w:val="00526C92"/>
    <w:rsid w:val="00526D80"/>
    <w:rsid w:val="00526E65"/>
    <w:rsid w:val="005273E9"/>
    <w:rsid w:val="005275FC"/>
    <w:rsid w:val="0052768C"/>
    <w:rsid w:val="00527744"/>
    <w:rsid w:val="0052786C"/>
    <w:rsid w:val="0052795F"/>
    <w:rsid w:val="005279D2"/>
    <w:rsid w:val="00527F73"/>
    <w:rsid w:val="00527FC9"/>
    <w:rsid w:val="005302DE"/>
    <w:rsid w:val="00530385"/>
    <w:rsid w:val="00530896"/>
    <w:rsid w:val="005308D7"/>
    <w:rsid w:val="005308DA"/>
    <w:rsid w:val="00530EA7"/>
    <w:rsid w:val="0053100C"/>
    <w:rsid w:val="0053101F"/>
    <w:rsid w:val="005310AF"/>
    <w:rsid w:val="0053118C"/>
    <w:rsid w:val="00531A12"/>
    <w:rsid w:val="00532530"/>
    <w:rsid w:val="005331E7"/>
    <w:rsid w:val="005337F6"/>
    <w:rsid w:val="00533A1D"/>
    <w:rsid w:val="00533A55"/>
    <w:rsid w:val="00533BDE"/>
    <w:rsid w:val="00533EA8"/>
    <w:rsid w:val="005341CC"/>
    <w:rsid w:val="005342A2"/>
    <w:rsid w:val="005342C3"/>
    <w:rsid w:val="0053431F"/>
    <w:rsid w:val="005346BA"/>
    <w:rsid w:val="00534A26"/>
    <w:rsid w:val="005351BB"/>
    <w:rsid w:val="005351C1"/>
    <w:rsid w:val="0053527E"/>
    <w:rsid w:val="00535543"/>
    <w:rsid w:val="0053588F"/>
    <w:rsid w:val="005358E5"/>
    <w:rsid w:val="00535BC6"/>
    <w:rsid w:val="00535C86"/>
    <w:rsid w:val="005362F5"/>
    <w:rsid w:val="00536481"/>
    <w:rsid w:val="00536A52"/>
    <w:rsid w:val="00536DDC"/>
    <w:rsid w:val="00536EA1"/>
    <w:rsid w:val="00536F0B"/>
    <w:rsid w:val="0053725B"/>
    <w:rsid w:val="00537640"/>
    <w:rsid w:val="005404CE"/>
    <w:rsid w:val="00540607"/>
    <w:rsid w:val="0054088C"/>
    <w:rsid w:val="00540A37"/>
    <w:rsid w:val="00540C2B"/>
    <w:rsid w:val="00540C57"/>
    <w:rsid w:val="00540D7B"/>
    <w:rsid w:val="00541017"/>
    <w:rsid w:val="00541AEC"/>
    <w:rsid w:val="00541D9E"/>
    <w:rsid w:val="005425B3"/>
    <w:rsid w:val="005427B7"/>
    <w:rsid w:val="005428C8"/>
    <w:rsid w:val="005429A2"/>
    <w:rsid w:val="00543517"/>
    <w:rsid w:val="005435E2"/>
    <w:rsid w:val="00543C46"/>
    <w:rsid w:val="005444AE"/>
    <w:rsid w:val="005445E6"/>
    <w:rsid w:val="0054477C"/>
    <w:rsid w:val="00544D26"/>
    <w:rsid w:val="00545CAC"/>
    <w:rsid w:val="00545F6C"/>
    <w:rsid w:val="005461FC"/>
    <w:rsid w:val="0054671E"/>
    <w:rsid w:val="0054678E"/>
    <w:rsid w:val="00546D1F"/>
    <w:rsid w:val="005471CF"/>
    <w:rsid w:val="00547911"/>
    <w:rsid w:val="00550D52"/>
    <w:rsid w:val="00550DEC"/>
    <w:rsid w:val="0055196B"/>
    <w:rsid w:val="005525D5"/>
    <w:rsid w:val="005525EB"/>
    <w:rsid w:val="005528B4"/>
    <w:rsid w:val="005529C4"/>
    <w:rsid w:val="00552FE2"/>
    <w:rsid w:val="005531BD"/>
    <w:rsid w:val="005533C8"/>
    <w:rsid w:val="00553402"/>
    <w:rsid w:val="0055347D"/>
    <w:rsid w:val="00553785"/>
    <w:rsid w:val="0055420E"/>
    <w:rsid w:val="005544D0"/>
    <w:rsid w:val="00554CEE"/>
    <w:rsid w:val="00554F65"/>
    <w:rsid w:val="0055520D"/>
    <w:rsid w:val="0055566B"/>
    <w:rsid w:val="00555A1F"/>
    <w:rsid w:val="00555AF5"/>
    <w:rsid w:val="00555C5E"/>
    <w:rsid w:val="005567B2"/>
    <w:rsid w:val="00556B8D"/>
    <w:rsid w:val="00557017"/>
    <w:rsid w:val="005570FD"/>
    <w:rsid w:val="005573F6"/>
    <w:rsid w:val="00557476"/>
    <w:rsid w:val="00557870"/>
    <w:rsid w:val="00557984"/>
    <w:rsid w:val="005579E0"/>
    <w:rsid w:val="00557A95"/>
    <w:rsid w:val="00557AB5"/>
    <w:rsid w:val="00557B6C"/>
    <w:rsid w:val="00557C87"/>
    <w:rsid w:val="00557CC5"/>
    <w:rsid w:val="00560277"/>
    <w:rsid w:val="005602AC"/>
    <w:rsid w:val="005602EF"/>
    <w:rsid w:val="005603C3"/>
    <w:rsid w:val="005604BE"/>
    <w:rsid w:val="005605C5"/>
    <w:rsid w:val="00560637"/>
    <w:rsid w:val="00560938"/>
    <w:rsid w:val="0056094E"/>
    <w:rsid w:val="00560AF1"/>
    <w:rsid w:val="00560B8A"/>
    <w:rsid w:val="00560D86"/>
    <w:rsid w:val="00561031"/>
    <w:rsid w:val="00561322"/>
    <w:rsid w:val="00561562"/>
    <w:rsid w:val="005615C4"/>
    <w:rsid w:val="005619DD"/>
    <w:rsid w:val="00561B40"/>
    <w:rsid w:val="00561CE4"/>
    <w:rsid w:val="00561FD8"/>
    <w:rsid w:val="00562821"/>
    <w:rsid w:val="00562C3D"/>
    <w:rsid w:val="00562E22"/>
    <w:rsid w:val="00562FCB"/>
    <w:rsid w:val="005633CE"/>
    <w:rsid w:val="00563D8C"/>
    <w:rsid w:val="00563DE6"/>
    <w:rsid w:val="00563E96"/>
    <w:rsid w:val="0056528D"/>
    <w:rsid w:val="0056540B"/>
    <w:rsid w:val="0056558D"/>
    <w:rsid w:val="00565604"/>
    <w:rsid w:val="00565AA1"/>
    <w:rsid w:val="00565B15"/>
    <w:rsid w:val="0056607D"/>
    <w:rsid w:val="005661CC"/>
    <w:rsid w:val="0056628B"/>
    <w:rsid w:val="00566298"/>
    <w:rsid w:val="00566357"/>
    <w:rsid w:val="005668C8"/>
    <w:rsid w:val="00566C34"/>
    <w:rsid w:val="0056755F"/>
    <w:rsid w:val="0056783B"/>
    <w:rsid w:val="0057032A"/>
    <w:rsid w:val="0057072A"/>
    <w:rsid w:val="0057091E"/>
    <w:rsid w:val="00570EB3"/>
    <w:rsid w:val="0057109B"/>
    <w:rsid w:val="005711E0"/>
    <w:rsid w:val="005714D4"/>
    <w:rsid w:val="005715BF"/>
    <w:rsid w:val="00571C00"/>
    <w:rsid w:val="005721EE"/>
    <w:rsid w:val="005723D6"/>
    <w:rsid w:val="00572873"/>
    <w:rsid w:val="00572AB5"/>
    <w:rsid w:val="00572BE8"/>
    <w:rsid w:val="00572D52"/>
    <w:rsid w:val="00572E2C"/>
    <w:rsid w:val="00572EF3"/>
    <w:rsid w:val="00573309"/>
    <w:rsid w:val="005734F0"/>
    <w:rsid w:val="005737F9"/>
    <w:rsid w:val="00574A69"/>
    <w:rsid w:val="00574A6E"/>
    <w:rsid w:val="00574BF7"/>
    <w:rsid w:val="00574F24"/>
    <w:rsid w:val="0057523C"/>
    <w:rsid w:val="00575437"/>
    <w:rsid w:val="005758CA"/>
    <w:rsid w:val="00575C19"/>
    <w:rsid w:val="00575D51"/>
    <w:rsid w:val="005760DD"/>
    <w:rsid w:val="00576443"/>
    <w:rsid w:val="005768E1"/>
    <w:rsid w:val="00576975"/>
    <w:rsid w:val="005769E3"/>
    <w:rsid w:val="00576CB4"/>
    <w:rsid w:val="00576CE5"/>
    <w:rsid w:val="00577145"/>
    <w:rsid w:val="005773BE"/>
    <w:rsid w:val="0057749A"/>
    <w:rsid w:val="00577ACA"/>
    <w:rsid w:val="00577B04"/>
    <w:rsid w:val="00577EE8"/>
    <w:rsid w:val="005801DC"/>
    <w:rsid w:val="00581393"/>
    <w:rsid w:val="00581854"/>
    <w:rsid w:val="00582082"/>
    <w:rsid w:val="00582365"/>
    <w:rsid w:val="00582375"/>
    <w:rsid w:val="005823BF"/>
    <w:rsid w:val="005823EE"/>
    <w:rsid w:val="005825C3"/>
    <w:rsid w:val="005831F1"/>
    <w:rsid w:val="00583C65"/>
    <w:rsid w:val="00583DE1"/>
    <w:rsid w:val="00583FD3"/>
    <w:rsid w:val="005841FA"/>
    <w:rsid w:val="005846D2"/>
    <w:rsid w:val="005846FD"/>
    <w:rsid w:val="00584A77"/>
    <w:rsid w:val="00584AE4"/>
    <w:rsid w:val="00584CE2"/>
    <w:rsid w:val="0058518D"/>
    <w:rsid w:val="00585328"/>
    <w:rsid w:val="00585579"/>
    <w:rsid w:val="00585AAD"/>
    <w:rsid w:val="00585C1B"/>
    <w:rsid w:val="00585CEB"/>
    <w:rsid w:val="00585D19"/>
    <w:rsid w:val="00585DC2"/>
    <w:rsid w:val="00586525"/>
    <w:rsid w:val="00586767"/>
    <w:rsid w:val="00587639"/>
    <w:rsid w:val="005901F9"/>
    <w:rsid w:val="005903AF"/>
    <w:rsid w:val="00590BB5"/>
    <w:rsid w:val="00590BBB"/>
    <w:rsid w:val="00590EB5"/>
    <w:rsid w:val="00590F03"/>
    <w:rsid w:val="005915FD"/>
    <w:rsid w:val="0059161C"/>
    <w:rsid w:val="0059165E"/>
    <w:rsid w:val="00591801"/>
    <w:rsid w:val="005919DE"/>
    <w:rsid w:val="00591B30"/>
    <w:rsid w:val="00591E49"/>
    <w:rsid w:val="00591EC9"/>
    <w:rsid w:val="00592060"/>
    <w:rsid w:val="005921DE"/>
    <w:rsid w:val="00592638"/>
    <w:rsid w:val="00592803"/>
    <w:rsid w:val="00592D4F"/>
    <w:rsid w:val="00592EAD"/>
    <w:rsid w:val="00593138"/>
    <w:rsid w:val="00593397"/>
    <w:rsid w:val="00593766"/>
    <w:rsid w:val="00593785"/>
    <w:rsid w:val="00593A33"/>
    <w:rsid w:val="00593B67"/>
    <w:rsid w:val="00593C20"/>
    <w:rsid w:val="00593C9A"/>
    <w:rsid w:val="00593EF5"/>
    <w:rsid w:val="0059425F"/>
    <w:rsid w:val="0059437A"/>
    <w:rsid w:val="00594501"/>
    <w:rsid w:val="0059465A"/>
    <w:rsid w:val="005946B9"/>
    <w:rsid w:val="005947B5"/>
    <w:rsid w:val="00594923"/>
    <w:rsid w:val="00594B9E"/>
    <w:rsid w:val="00594C2E"/>
    <w:rsid w:val="00594ECF"/>
    <w:rsid w:val="00594F2B"/>
    <w:rsid w:val="00594FD2"/>
    <w:rsid w:val="00594FE7"/>
    <w:rsid w:val="0059508A"/>
    <w:rsid w:val="0059544E"/>
    <w:rsid w:val="00595708"/>
    <w:rsid w:val="00595816"/>
    <w:rsid w:val="00595CC0"/>
    <w:rsid w:val="00595EC9"/>
    <w:rsid w:val="00595FB5"/>
    <w:rsid w:val="005960BB"/>
    <w:rsid w:val="0059619A"/>
    <w:rsid w:val="005962F9"/>
    <w:rsid w:val="00596716"/>
    <w:rsid w:val="0059679A"/>
    <w:rsid w:val="005968D0"/>
    <w:rsid w:val="00596AB4"/>
    <w:rsid w:val="00596C0C"/>
    <w:rsid w:val="0059712D"/>
    <w:rsid w:val="00597407"/>
    <w:rsid w:val="0059766E"/>
    <w:rsid w:val="00597A8E"/>
    <w:rsid w:val="00597F24"/>
    <w:rsid w:val="005A00CB"/>
    <w:rsid w:val="005A020A"/>
    <w:rsid w:val="005A0496"/>
    <w:rsid w:val="005A087A"/>
    <w:rsid w:val="005A1125"/>
    <w:rsid w:val="005A12A8"/>
    <w:rsid w:val="005A162F"/>
    <w:rsid w:val="005A1950"/>
    <w:rsid w:val="005A1F32"/>
    <w:rsid w:val="005A24F8"/>
    <w:rsid w:val="005A2EAD"/>
    <w:rsid w:val="005A3088"/>
    <w:rsid w:val="005A3266"/>
    <w:rsid w:val="005A3287"/>
    <w:rsid w:val="005A333B"/>
    <w:rsid w:val="005A3537"/>
    <w:rsid w:val="005A35EC"/>
    <w:rsid w:val="005A35FD"/>
    <w:rsid w:val="005A393E"/>
    <w:rsid w:val="005A3C67"/>
    <w:rsid w:val="005A3FBF"/>
    <w:rsid w:val="005A4047"/>
    <w:rsid w:val="005A415B"/>
    <w:rsid w:val="005A42D9"/>
    <w:rsid w:val="005A4384"/>
    <w:rsid w:val="005A4507"/>
    <w:rsid w:val="005A475B"/>
    <w:rsid w:val="005A4940"/>
    <w:rsid w:val="005A4BBD"/>
    <w:rsid w:val="005A4EDC"/>
    <w:rsid w:val="005A4F3A"/>
    <w:rsid w:val="005A5337"/>
    <w:rsid w:val="005A57DC"/>
    <w:rsid w:val="005A5811"/>
    <w:rsid w:val="005A58E0"/>
    <w:rsid w:val="005A62C0"/>
    <w:rsid w:val="005A64FA"/>
    <w:rsid w:val="005A65F1"/>
    <w:rsid w:val="005A6DFF"/>
    <w:rsid w:val="005A7012"/>
    <w:rsid w:val="005A708C"/>
    <w:rsid w:val="005A73DE"/>
    <w:rsid w:val="005A79B4"/>
    <w:rsid w:val="005A7A5E"/>
    <w:rsid w:val="005A7E16"/>
    <w:rsid w:val="005B00C4"/>
    <w:rsid w:val="005B0351"/>
    <w:rsid w:val="005B05CA"/>
    <w:rsid w:val="005B06BF"/>
    <w:rsid w:val="005B07CB"/>
    <w:rsid w:val="005B0BF6"/>
    <w:rsid w:val="005B0CFF"/>
    <w:rsid w:val="005B0D47"/>
    <w:rsid w:val="005B1071"/>
    <w:rsid w:val="005B1113"/>
    <w:rsid w:val="005B17DC"/>
    <w:rsid w:val="005B1857"/>
    <w:rsid w:val="005B1B62"/>
    <w:rsid w:val="005B1C07"/>
    <w:rsid w:val="005B2145"/>
    <w:rsid w:val="005B2B9B"/>
    <w:rsid w:val="005B30A5"/>
    <w:rsid w:val="005B31BA"/>
    <w:rsid w:val="005B33CD"/>
    <w:rsid w:val="005B3432"/>
    <w:rsid w:val="005B359A"/>
    <w:rsid w:val="005B35C0"/>
    <w:rsid w:val="005B37C7"/>
    <w:rsid w:val="005B38AE"/>
    <w:rsid w:val="005B3A81"/>
    <w:rsid w:val="005B3BD6"/>
    <w:rsid w:val="005B3BE2"/>
    <w:rsid w:val="005B3CD7"/>
    <w:rsid w:val="005B3F0E"/>
    <w:rsid w:val="005B40D6"/>
    <w:rsid w:val="005B4239"/>
    <w:rsid w:val="005B4287"/>
    <w:rsid w:val="005B428E"/>
    <w:rsid w:val="005B4385"/>
    <w:rsid w:val="005B46FD"/>
    <w:rsid w:val="005B4AB3"/>
    <w:rsid w:val="005B4C76"/>
    <w:rsid w:val="005B4C79"/>
    <w:rsid w:val="005B5933"/>
    <w:rsid w:val="005B5E9A"/>
    <w:rsid w:val="005B64EF"/>
    <w:rsid w:val="005B657A"/>
    <w:rsid w:val="005B6B86"/>
    <w:rsid w:val="005B6C02"/>
    <w:rsid w:val="005B6D17"/>
    <w:rsid w:val="005B7758"/>
    <w:rsid w:val="005B7A28"/>
    <w:rsid w:val="005B7CBA"/>
    <w:rsid w:val="005B7D5F"/>
    <w:rsid w:val="005B7D6C"/>
    <w:rsid w:val="005C03EA"/>
    <w:rsid w:val="005C0505"/>
    <w:rsid w:val="005C0BE8"/>
    <w:rsid w:val="005C0EB0"/>
    <w:rsid w:val="005C110C"/>
    <w:rsid w:val="005C161D"/>
    <w:rsid w:val="005C1692"/>
    <w:rsid w:val="005C178B"/>
    <w:rsid w:val="005C1871"/>
    <w:rsid w:val="005C19C3"/>
    <w:rsid w:val="005C1A80"/>
    <w:rsid w:val="005C1CC3"/>
    <w:rsid w:val="005C207E"/>
    <w:rsid w:val="005C29E1"/>
    <w:rsid w:val="005C2A01"/>
    <w:rsid w:val="005C2A11"/>
    <w:rsid w:val="005C2BCA"/>
    <w:rsid w:val="005C305C"/>
    <w:rsid w:val="005C32E5"/>
    <w:rsid w:val="005C39B4"/>
    <w:rsid w:val="005C39BD"/>
    <w:rsid w:val="005C3AC6"/>
    <w:rsid w:val="005C4216"/>
    <w:rsid w:val="005C4390"/>
    <w:rsid w:val="005C44AC"/>
    <w:rsid w:val="005C473F"/>
    <w:rsid w:val="005C4A62"/>
    <w:rsid w:val="005C4AC4"/>
    <w:rsid w:val="005C4C21"/>
    <w:rsid w:val="005C4D2E"/>
    <w:rsid w:val="005C4E93"/>
    <w:rsid w:val="005C53C2"/>
    <w:rsid w:val="005C53F8"/>
    <w:rsid w:val="005C5C98"/>
    <w:rsid w:val="005C5F1D"/>
    <w:rsid w:val="005C67F2"/>
    <w:rsid w:val="005C69D7"/>
    <w:rsid w:val="005C6B78"/>
    <w:rsid w:val="005C6BCC"/>
    <w:rsid w:val="005C6C77"/>
    <w:rsid w:val="005C6F15"/>
    <w:rsid w:val="005C6FF1"/>
    <w:rsid w:val="005C71EE"/>
    <w:rsid w:val="005C7215"/>
    <w:rsid w:val="005C73C4"/>
    <w:rsid w:val="005C750B"/>
    <w:rsid w:val="005C79C1"/>
    <w:rsid w:val="005C7CD8"/>
    <w:rsid w:val="005C7EC3"/>
    <w:rsid w:val="005C7F79"/>
    <w:rsid w:val="005D0041"/>
    <w:rsid w:val="005D00EA"/>
    <w:rsid w:val="005D023B"/>
    <w:rsid w:val="005D0609"/>
    <w:rsid w:val="005D06FC"/>
    <w:rsid w:val="005D0764"/>
    <w:rsid w:val="005D0A6F"/>
    <w:rsid w:val="005D0E2F"/>
    <w:rsid w:val="005D1889"/>
    <w:rsid w:val="005D1C7F"/>
    <w:rsid w:val="005D1E43"/>
    <w:rsid w:val="005D21C2"/>
    <w:rsid w:val="005D2304"/>
    <w:rsid w:val="005D25B0"/>
    <w:rsid w:val="005D265B"/>
    <w:rsid w:val="005D28A0"/>
    <w:rsid w:val="005D2C92"/>
    <w:rsid w:val="005D2E7C"/>
    <w:rsid w:val="005D2F12"/>
    <w:rsid w:val="005D2F4C"/>
    <w:rsid w:val="005D358F"/>
    <w:rsid w:val="005D37B3"/>
    <w:rsid w:val="005D3A04"/>
    <w:rsid w:val="005D3B9C"/>
    <w:rsid w:val="005D3BFE"/>
    <w:rsid w:val="005D437A"/>
    <w:rsid w:val="005D4856"/>
    <w:rsid w:val="005D48FE"/>
    <w:rsid w:val="005D4E9E"/>
    <w:rsid w:val="005D514C"/>
    <w:rsid w:val="005D5349"/>
    <w:rsid w:val="005D5467"/>
    <w:rsid w:val="005D5603"/>
    <w:rsid w:val="005D5898"/>
    <w:rsid w:val="005D5B2F"/>
    <w:rsid w:val="005D5CF6"/>
    <w:rsid w:val="005D65DE"/>
    <w:rsid w:val="005D67CA"/>
    <w:rsid w:val="005D6A47"/>
    <w:rsid w:val="005D6C40"/>
    <w:rsid w:val="005D719F"/>
    <w:rsid w:val="005D73EF"/>
    <w:rsid w:val="005D7471"/>
    <w:rsid w:val="005D749D"/>
    <w:rsid w:val="005D74EB"/>
    <w:rsid w:val="005D7C74"/>
    <w:rsid w:val="005D7DA1"/>
    <w:rsid w:val="005E044A"/>
    <w:rsid w:val="005E0D2C"/>
    <w:rsid w:val="005E107C"/>
    <w:rsid w:val="005E112E"/>
    <w:rsid w:val="005E1591"/>
    <w:rsid w:val="005E1871"/>
    <w:rsid w:val="005E19E6"/>
    <w:rsid w:val="005E1B91"/>
    <w:rsid w:val="005E1BA9"/>
    <w:rsid w:val="005E2661"/>
    <w:rsid w:val="005E2702"/>
    <w:rsid w:val="005E27AB"/>
    <w:rsid w:val="005E27D4"/>
    <w:rsid w:val="005E2EE5"/>
    <w:rsid w:val="005E30C1"/>
    <w:rsid w:val="005E3291"/>
    <w:rsid w:val="005E3517"/>
    <w:rsid w:val="005E36BC"/>
    <w:rsid w:val="005E381F"/>
    <w:rsid w:val="005E3830"/>
    <w:rsid w:val="005E3B06"/>
    <w:rsid w:val="005E3E68"/>
    <w:rsid w:val="005E3E88"/>
    <w:rsid w:val="005E3F87"/>
    <w:rsid w:val="005E4878"/>
    <w:rsid w:val="005E4946"/>
    <w:rsid w:val="005E4BEB"/>
    <w:rsid w:val="005E4EF6"/>
    <w:rsid w:val="005E5034"/>
    <w:rsid w:val="005E5414"/>
    <w:rsid w:val="005E54AE"/>
    <w:rsid w:val="005E5874"/>
    <w:rsid w:val="005E587A"/>
    <w:rsid w:val="005E5CB7"/>
    <w:rsid w:val="005E5EFC"/>
    <w:rsid w:val="005E6026"/>
    <w:rsid w:val="005E63C9"/>
    <w:rsid w:val="005E64FE"/>
    <w:rsid w:val="005E65F4"/>
    <w:rsid w:val="005E66C2"/>
    <w:rsid w:val="005E6944"/>
    <w:rsid w:val="005E70E9"/>
    <w:rsid w:val="005E71E4"/>
    <w:rsid w:val="005E734D"/>
    <w:rsid w:val="005E75D5"/>
    <w:rsid w:val="005E7F83"/>
    <w:rsid w:val="005F063E"/>
    <w:rsid w:val="005F0855"/>
    <w:rsid w:val="005F09EF"/>
    <w:rsid w:val="005F0C4A"/>
    <w:rsid w:val="005F0F9A"/>
    <w:rsid w:val="005F0FC4"/>
    <w:rsid w:val="005F11F0"/>
    <w:rsid w:val="005F1200"/>
    <w:rsid w:val="005F1400"/>
    <w:rsid w:val="005F1555"/>
    <w:rsid w:val="005F15EC"/>
    <w:rsid w:val="005F1673"/>
    <w:rsid w:val="005F1763"/>
    <w:rsid w:val="005F18A1"/>
    <w:rsid w:val="005F19E7"/>
    <w:rsid w:val="005F226B"/>
    <w:rsid w:val="005F26AC"/>
    <w:rsid w:val="005F278F"/>
    <w:rsid w:val="005F28CC"/>
    <w:rsid w:val="005F2978"/>
    <w:rsid w:val="005F2A94"/>
    <w:rsid w:val="005F2BA0"/>
    <w:rsid w:val="005F2BAD"/>
    <w:rsid w:val="005F2F70"/>
    <w:rsid w:val="005F306C"/>
    <w:rsid w:val="005F31B1"/>
    <w:rsid w:val="005F3558"/>
    <w:rsid w:val="005F4546"/>
    <w:rsid w:val="005F468A"/>
    <w:rsid w:val="005F4721"/>
    <w:rsid w:val="005F4756"/>
    <w:rsid w:val="005F48AF"/>
    <w:rsid w:val="005F48DD"/>
    <w:rsid w:val="005F515D"/>
    <w:rsid w:val="005F532E"/>
    <w:rsid w:val="005F5660"/>
    <w:rsid w:val="005F5710"/>
    <w:rsid w:val="005F5CCB"/>
    <w:rsid w:val="005F5E5B"/>
    <w:rsid w:val="005F62B7"/>
    <w:rsid w:val="005F62E1"/>
    <w:rsid w:val="005F6841"/>
    <w:rsid w:val="005F720A"/>
    <w:rsid w:val="005F7590"/>
    <w:rsid w:val="00600593"/>
    <w:rsid w:val="0060071F"/>
    <w:rsid w:val="00600895"/>
    <w:rsid w:val="00600A57"/>
    <w:rsid w:val="00600AFC"/>
    <w:rsid w:val="00600CE3"/>
    <w:rsid w:val="00600D4C"/>
    <w:rsid w:val="00600E36"/>
    <w:rsid w:val="00600F4D"/>
    <w:rsid w:val="00601301"/>
    <w:rsid w:val="0060143A"/>
    <w:rsid w:val="00601706"/>
    <w:rsid w:val="006019C6"/>
    <w:rsid w:val="00601BD3"/>
    <w:rsid w:val="0060211D"/>
    <w:rsid w:val="006022C8"/>
    <w:rsid w:val="00602352"/>
    <w:rsid w:val="00602622"/>
    <w:rsid w:val="00602627"/>
    <w:rsid w:val="0060269C"/>
    <w:rsid w:val="00602A68"/>
    <w:rsid w:val="00602A95"/>
    <w:rsid w:val="00602B22"/>
    <w:rsid w:val="00602DCB"/>
    <w:rsid w:val="00602F43"/>
    <w:rsid w:val="006031F1"/>
    <w:rsid w:val="006033BD"/>
    <w:rsid w:val="0060389C"/>
    <w:rsid w:val="006039B2"/>
    <w:rsid w:val="00603B08"/>
    <w:rsid w:val="00603B84"/>
    <w:rsid w:val="00603CC9"/>
    <w:rsid w:val="0060427F"/>
    <w:rsid w:val="006045D1"/>
    <w:rsid w:val="006046B3"/>
    <w:rsid w:val="00604704"/>
    <w:rsid w:val="00604917"/>
    <w:rsid w:val="00604998"/>
    <w:rsid w:val="00604A27"/>
    <w:rsid w:val="006050FF"/>
    <w:rsid w:val="0060559E"/>
    <w:rsid w:val="00605776"/>
    <w:rsid w:val="00605BAA"/>
    <w:rsid w:val="00605BE4"/>
    <w:rsid w:val="00605F87"/>
    <w:rsid w:val="00605FE2"/>
    <w:rsid w:val="00606228"/>
    <w:rsid w:val="0060624B"/>
    <w:rsid w:val="0060635D"/>
    <w:rsid w:val="00606524"/>
    <w:rsid w:val="006069AE"/>
    <w:rsid w:val="00606BFF"/>
    <w:rsid w:val="00606D02"/>
    <w:rsid w:val="00606E63"/>
    <w:rsid w:val="00606E8A"/>
    <w:rsid w:val="00607065"/>
    <w:rsid w:val="0060782C"/>
    <w:rsid w:val="00607A31"/>
    <w:rsid w:val="00607ACA"/>
    <w:rsid w:val="00607BE9"/>
    <w:rsid w:val="00607CE5"/>
    <w:rsid w:val="00607F6D"/>
    <w:rsid w:val="00610162"/>
    <w:rsid w:val="0061030E"/>
    <w:rsid w:val="00610485"/>
    <w:rsid w:val="00610736"/>
    <w:rsid w:val="006109D3"/>
    <w:rsid w:val="00610ABA"/>
    <w:rsid w:val="00610CD2"/>
    <w:rsid w:val="00610F38"/>
    <w:rsid w:val="006111D1"/>
    <w:rsid w:val="006112E3"/>
    <w:rsid w:val="006113A4"/>
    <w:rsid w:val="006118EE"/>
    <w:rsid w:val="00611B77"/>
    <w:rsid w:val="00611DA6"/>
    <w:rsid w:val="00611F1A"/>
    <w:rsid w:val="00612057"/>
    <w:rsid w:val="00612328"/>
    <w:rsid w:val="006124F6"/>
    <w:rsid w:val="0061285E"/>
    <w:rsid w:val="006128AB"/>
    <w:rsid w:val="00613037"/>
    <w:rsid w:val="0061313F"/>
    <w:rsid w:val="006131E5"/>
    <w:rsid w:val="0061342B"/>
    <w:rsid w:val="006135AB"/>
    <w:rsid w:val="006137BB"/>
    <w:rsid w:val="00613811"/>
    <w:rsid w:val="006138E4"/>
    <w:rsid w:val="006139C0"/>
    <w:rsid w:val="00613A11"/>
    <w:rsid w:val="00613C62"/>
    <w:rsid w:val="00613CF7"/>
    <w:rsid w:val="006144F6"/>
    <w:rsid w:val="0061484D"/>
    <w:rsid w:val="00614856"/>
    <w:rsid w:val="00614F4E"/>
    <w:rsid w:val="00615288"/>
    <w:rsid w:val="00615346"/>
    <w:rsid w:val="00615483"/>
    <w:rsid w:val="006157BF"/>
    <w:rsid w:val="0061606E"/>
    <w:rsid w:val="006161FC"/>
    <w:rsid w:val="006162B6"/>
    <w:rsid w:val="006162F7"/>
    <w:rsid w:val="00616407"/>
    <w:rsid w:val="00616872"/>
    <w:rsid w:val="00616ED7"/>
    <w:rsid w:val="006170F4"/>
    <w:rsid w:val="006173D4"/>
    <w:rsid w:val="0061759D"/>
    <w:rsid w:val="00617752"/>
    <w:rsid w:val="00617BF5"/>
    <w:rsid w:val="00617C9B"/>
    <w:rsid w:val="00617D99"/>
    <w:rsid w:val="00620417"/>
    <w:rsid w:val="006205D1"/>
    <w:rsid w:val="00620958"/>
    <w:rsid w:val="006209FD"/>
    <w:rsid w:val="00620E5A"/>
    <w:rsid w:val="00620F35"/>
    <w:rsid w:val="00621521"/>
    <w:rsid w:val="00621669"/>
    <w:rsid w:val="0062177A"/>
    <w:rsid w:val="0062187B"/>
    <w:rsid w:val="00621AA2"/>
    <w:rsid w:val="00621BB1"/>
    <w:rsid w:val="00621CA4"/>
    <w:rsid w:val="00621CBD"/>
    <w:rsid w:val="00622071"/>
    <w:rsid w:val="006229C3"/>
    <w:rsid w:val="00622CCB"/>
    <w:rsid w:val="006230E9"/>
    <w:rsid w:val="0062380B"/>
    <w:rsid w:val="00624632"/>
    <w:rsid w:val="006246BB"/>
    <w:rsid w:val="00624A7C"/>
    <w:rsid w:val="00625008"/>
    <w:rsid w:val="00625053"/>
    <w:rsid w:val="006250B8"/>
    <w:rsid w:val="006250E9"/>
    <w:rsid w:val="006251F5"/>
    <w:rsid w:val="00625B5B"/>
    <w:rsid w:val="00625D80"/>
    <w:rsid w:val="00625E8B"/>
    <w:rsid w:val="0062649C"/>
    <w:rsid w:val="006264B3"/>
    <w:rsid w:val="00626601"/>
    <w:rsid w:val="006267CA"/>
    <w:rsid w:val="00626C60"/>
    <w:rsid w:val="00626D14"/>
    <w:rsid w:val="00626D3C"/>
    <w:rsid w:val="00626E23"/>
    <w:rsid w:val="0062772A"/>
    <w:rsid w:val="00627BB4"/>
    <w:rsid w:val="00627E65"/>
    <w:rsid w:val="00627F29"/>
    <w:rsid w:val="006301DB"/>
    <w:rsid w:val="00630469"/>
    <w:rsid w:val="0063057F"/>
    <w:rsid w:val="00630AD9"/>
    <w:rsid w:val="00631709"/>
    <w:rsid w:val="00631C19"/>
    <w:rsid w:val="00631E84"/>
    <w:rsid w:val="006320CC"/>
    <w:rsid w:val="0063279A"/>
    <w:rsid w:val="00632B6E"/>
    <w:rsid w:val="00632BB1"/>
    <w:rsid w:val="00633082"/>
    <w:rsid w:val="006331F0"/>
    <w:rsid w:val="00633207"/>
    <w:rsid w:val="00633407"/>
    <w:rsid w:val="00633436"/>
    <w:rsid w:val="006334DC"/>
    <w:rsid w:val="006336CA"/>
    <w:rsid w:val="0063373B"/>
    <w:rsid w:val="00633974"/>
    <w:rsid w:val="00633B2F"/>
    <w:rsid w:val="00634006"/>
    <w:rsid w:val="00634035"/>
    <w:rsid w:val="00634048"/>
    <w:rsid w:val="006340FA"/>
    <w:rsid w:val="00634447"/>
    <w:rsid w:val="006344C5"/>
    <w:rsid w:val="00634CF5"/>
    <w:rsid w:val="00634D6C"/>
    <w:rsid w:val="00634E07"/>
    <w:rsid w:val="0063501D"/>
    <w:rsid w:val="00635835"/>
    <w:rsid w:val="00635BFC"/>
    <w:rsid w:val="00635CB6"/>
    <w:rsid w:val="00635ED7"/>
    <w:rsid w:val="00635EE3"/>
    <w:rsid w:val="0063617C"/>
    <w:rsid w:val="006361E8"/>
    <w:rsid w:val="006363DA"/>
    <w:rsid w:val="00636627"/>
    <w:rsid w:val="00636789"/>
    <w:rsid w:val="00636993"/>
    <w:rsid w:val="006369D0"/>
    <w:rsid w:val="00636D6E"/>
    <w:rsid w:val="00636FC6"/>
    <w:rsid w:val="00637188"/>
    <w:rsid w:val="0063783C"/>
    <w:rsid w:val="00637F1C"/>
    <w:rsid w:val="00637F88"/>
    <w:rsid w:val="00637FD5"/>
    <w:rsid w:val="00640222"/>
    <w:rsid w:val="00640488"/>
    <w:rsid w:val="006405D2"/>
    <w:rsid w:val="00640B25"/>
    <w:rsid w:val="00640BE4"/>
    <w:rsid w:val="00640C31"/>
    <w:rsid w:val="00640FB6"/>
    <w:rsid w:val="006411D4"/>
    <w:rsid w:val="00641830"/>
    <w:rsid w:val="00641957"/>
    <w:rsid w:val="00641E80"/>
    <w:rsid w:val="00642170"/>
    <w:rsid w:val="0064234E"/>
    <w:rsid w:val="0064278A"/>
    <w:rsid w:val="00643226"/>
    <w:rsid w:val="006436FD"/>
    <w:rsid w:val="006437EC"/>
    <w:rsid w:val="00643E59"/>
    <w:rsid w:val="00644086"/>
    <w:rsid w:val="006443D1"/>
    <w:rsid w:val="00644588"/>
    <w:rsid w:val="00644887"/>
    <w:rsid w:val="00644979"/>
    <w:rsid w:val="006452D4"/>
    <w:rsid w:val="006455E2"/>
    <w:rsid w:val="006459EF"/>
    <w:rsid w:val="00645A65"/>
    <w:rsid w:val="00645D36"/>
    <w:rsid w:val="0064638E"/>
    <w:rsid w:val="00646459"/>
    <w:rsid w:val="006465F3"/>
    <w:rsid w:val="00646AB7"/>
    <w:rsid w:val="00646F70"/>
    <w:rsid w:val="006470F7"/>
    <w:rsid w:val="006473F6"/>
    <w:rsid w:val="0064784F"/>
    <w:rsid w:val="006478C5"/>
    <w:rsid w:val="0064795E"/>
    <w:rsid w:val="00647A63"/>
    <w:rsid w:val="00647CD5"/>
    <w:rsid w:val="00650112"/>
    <w:rsid w:val="00650181"/>
    <w:rsid w:val="0065067F"/>
    <w:rsid w:val="00650A33"/>
    <w:rsid w:val="00650B4A"/>
    <w:rsid w:val="00651881"/>
    <w:rsid w:val="00651ACF"/>
    <w:rsid w:val="00651B37"/>
    <w:rsid w:val="00652366"/>
    <w:rsid w:val="006523F6"/>
    <w:rsid w:val="006532F5"/>
    <w:rsid w:val="006533AE"/>
    <w:rsid w:val="006534BF"/>
    <w:rsid w:val="0065350F"/>
    <w:rsid w:val="006537D7"/>
    <w:rsid w:val="00653894"/>
    <w:rsid w:val="00653986"/>
    <w:rsid w:val="00653EC9"/>
    <w:rsid w:val="0065444A"/>
    <w:rsid w:val="006545EA"/>
    <w:rsid w:val="00654C9F"/>
    <w:rsid w:val="00654D55"/>
    <w:rsid w:val="00654F02"/>
    <w:rsid w:val="00654F68"/>
    <w:rsid w:val="0065527D"/>
    <w:rsid w:val="00655CF9"/>
    <w:rsid w:val="00655D23"/>
    <w:rsid w:val="00655D45"/>
    <w:rsid w:val="00656146"/>
    <w:rsid w:val="00656271"/>
    <w:rsid w:val="00656B94"/>
    <w:rsid w:val="00656E71"/>
    <w:rsid w:val="0065714C"/>
    <w:rsid w:val="0065715C"/>
    <w:rsid w:val="00657408"/>
    <w:rsid w:val="0065796A"/>
    <w:rsid w:val="00657B5D"/>
    <w:rsid w:val="0066032E"/>
    <w:rsid w:val="00660457"/>
    <w:rsid w:val="00660A74"/>
    <w:rsid w:val="006611EA"/>
    <w:rsid w:val="006613C0"/>
    <w:rsid w:val="006622A9"/>
    <w:rsid w:val="00662873"/>
    <w:rsid w:val="00662954"/>
    <w:rsid w:val="00662AA6"/>
    <w:rsid w:val="00662B65"/>
    <w:rsid w:val="00662C39"/>
    <w:rsid w:val="00662E5F"/>
    <w:rsid w:val="00664434"/>
    <w:rsid w:val="00664980"/>
    <w:rsid w:val="00664C35"/>
    <w:rsid w:val="00664F20"/>
    <w:rsid w:val="0066541E"/>
    <w:rsid w:val="0066561F"/>
    <w:rsid w:val="00665828"/>
    <w:rsid w:val="006659C2"/>
    <w:rsid w:val="00665E70"/>
    <w:rsid w:val="00665E8F"/>
    <w:rsid w:val="006660D7"/>
    <w:rsid w:val="006660E7"/>
    <w:rsid w:val="00666A58"/>
    <w:rsid w:val="00666BC5"/>
    <w:rsid w:val="00667004"/>
    <w:rsid w:val="00667052"/>
    <w:rsid w:val="0066705B"/>
    <w:rsid w:val="006672FA"/>
    <w:rsid w:val="0066753F"/>
    <w:rsid w:val="006679D9"/>
    <w:rsid w:val="00667B26"/>
    <w:rsid w:val="00667BC1"/>
    <w:rsid w:val="00670347"/>
    <w:rsid w:val="00670650"/>
    <w:rsid w:val="0067078B"/>
    <w:rsid w:val="006707A4"/>
    <w:rsid w:val="006707AF"/>
    <w:rsid w:val="00670D01"/>
    <w:rsid w:val="006712C0"/>
    <w:rsid w:val="00671864"/>
    <w:rsid w:val="00671907"/>
    <w:rsid w:val="0067199A"/>
    <w:rsid w:val="00671A5E"/>
    <w:rsid w:val="00671E77"/>
    <w:rsid w:val="0067252A"/>
    <w:rsid w:val="00672E14"/>
    <w:rsid w:val="00672F50"/>
    <w:rsid w:val="00672FAD"/>
    <w:rsid w:val="006730ED"/>
    <w:rsid w:val="006732F6"/>
    <w:rsid w:val="00673453"/>
    <w:rsid w:val="006737E4"/>
    <w:rsid w:val="00673840"/>
    <w:rsid w:val="006738EF"/>
    <w:rsid w:val="0067394B"/>
    <w:rsid w:val="00673D8D"/>
    <w:rsid w:val="00673DFF"/>
    <w:rsid w:val="00673F24"/>
    <w:rsid w:val="00673F29"/>
    <w:rsid w:val="0067436B"/>
    <w:rsid w:val="006744AC"/>
    <w:rsid w:val="006745A7"/>
    <w:rsid w:val="0067476D"/>
    <w:rsid w:val="00674951"/>
    <w:rsid w:val="00674C7D"/>
    <w:rsid w:val="00674D52"/>
    <w:rsid w:val="006750B0"/>
    <w:rsid w:val="006750E8"/>
    <w:rsid w:val="00675257"/>
    <w:rsid w:val="006752D8"/>
    <w:rsid w:val="00675333"/>
    <w:rsid w:val="006755AF"/>
    <w:rsid w:val="006758D2"/>
    <w:rsid w:val="00675DA2"/>
    <w:rsid w:val="00675DBC"/>
    <w:rsid w:val="00675FA5"/>
    <w:rsid w:val="00676134"/>
    <w:rsid w:val="00676248"/>
    <w:rsid w:val="006763ED"/>
    <w:rsid w:val="0067676B"/>
    <w:rsid w:val="0067698D"/>
    <w:rsid w:val="006769E8"/>
    <w:rsid w:val="00677057"/>
    <w:rsid w:val="00677072"/>
    <w:rsid w:val="00677309"/>
    <w:rsid w:val="00677735"/>
    <w:rsid w:val="0067774D"/>
    <w:rsid w:val="00677A1B"/>
    <w:rsid w:val="00677B9C"/>
    <w:rsid w:val="00677C97"/>
    <w:rsid w:val="00677CBB"/>
    <w:rsid w:val="00677F69"/>
    <w:rsid w:val="0068012D"/>
    <w:rsid w:val="00680339"/>
    <w:rsid w:val="0068067D"/>
    <w:rsid w:val="006808A6"/>
    <w:rsid w:val="00680B40"/>
    <w:rsid w:val="00680BDD"/>
    <w:rsid w:val="00680C34"/>
    <w:rsid w:val="00681197"/>
    <w:rsid w:val="006813D9"/>
    <w:rsid w:val="0068150E"/>
    <w:rsid w:val="006815F1"/>
    <w:rsid w:val="00681EC9"/>
    <w:rsid w:val="00681F63"/>
    <w:rsid w:val="006822C0"/>
    <w:rsid w:val="006822FA"/>
    <w:rsid w:val="0068288C"/>
    <w:rsid w:val="006830B7"/>
    <w:rsid w:val="006831A9"/>
    <w:rsid w:val="00683EFE"/>
    <w:rsid w:val="00683F36"/>
    <w:rsid w:val="006842A8"/>
    <w:rsid w:val="006842FE"/>
    <w:rsid w:val="006843C4"/>
    <w:rsid w:val="006843FF"/>
    <w:rsid w:val="006847E9"/>
    <w:rsid w:val="00684B0A"/>
    <w:rsid w:val="00684C1E"/>
    <w:rsid w:val="00684FF2"/>
    <w:rsid w:val="006853EC"/>
    <w:rsid w:val="00685589"/>
    <w:rsid w:val="00685A53"/>
    <w:rsid w:val="00686241"/>
    <w:rsid w:val="00686433"/>
    <w:rsid w:val="0068682C"/>
    <w:rsid w:val="006871F8"/>
    <w:rsid w:val="006873F7"/>
    <w:rsid w:val="006878E8"/>
    <w:rsid w:val="00687CFA"/>
    <w:rsid w:val="00687F7E"/>
    <w:rsid w:val="006907C2"/>
    <w:rsid w:val="00690A47"/>
    <w:rsid w:val="00690EB4"/>
    <w:rsid w:val="00690F54"/>
    <w:rsid w:val="00690F8D"/>
    <w:rsid w:val="00690FD3"/>
    <w:rsid w:val="0069178E"/>
    <w:rsid w:val="006918B8"/>
    <w:rsid w:val="00691AE5"/>
    <w:rsid w:val="0069205F"/>
    <w:rsid w:val="0069210C"/>
    <w:rsid w:val="006924A1"/>
    <w:rsid w:val="00692615"/>
    <w:rsid w:val="006926B1"/>
    <w:rsid w:val="0069278E"/>
    <w:rsid w:val="00692B8F"/>
    <w:rsid w:val="006931FA"/>
    <w:rsid w:val="00693478"/>
    <w:rsid w:val="006938AA"/>
    <w:rsid w:val="00693C49"/>
    <w:rsid w:val="00693D17"/>
    <w:rsid w:val="00693E97"/>
    <w:rsid w:val="006940D4"/>
    <w:rsid w:val="006946B2"/>
    <w:rsid w:val="0069474B"/>
    <w:rsid w:val="0069475D"/>
    <w:rsid w:val="00694877"/>
    <w:rsid w:val="00694D47"/>
    <w:rsid w:val="00695075"/>
    <w:rsid w:val="00695382"/>
    <w:rsid w:val="00695723"/>
    <w:rsid w:val="0069584B"/>
    <w:rsid w:val="006958D3"/>
    <w:rsid w:val="0069598A"/>
    <w:rsid w:val="006963A0"/>
    <w:rsid w:val="00696659"/>
    <w:rsid w:val="0069681D"/>
    <w:rsid w:val="006968ED"/>
    <w:rsid w:val="00696C99"/>
    <w:rsid w:val="00696CA6"/>
    <w:rsid w:val="00697040"/>
    <w:rsid w:val="006971AB"/>
    <w:rsid w:val="00697313"/>
    <w:rsid w:val="0069741B"/>
    <w:rsid w:val="006977BE"/>
    <w:rsid w:val="006977EB"/>
    <w:rsid w:val="0069793D"/>
    <w:rsid w:val="00697966"/>
    <w:rsid w:val="00697F27"/>
    <w:rsid w:val="00697FC5"/>
    <w:rsid w:val="00697FD3"/>
    <w:rsid w:val="006A0054"/>
    <w:rsid w:val="006A0B2A"/>
    <w:rsid w:val="006A0D02"/>
    <w:rsid w:val="006A127B"/>
    <w:rsid w:val="006A1AE6"/>
    <w:rsid w:val="006A1E98"/>
    <w:rsid w:val="006A21CF"/>
    <w:rsid w:val="006A2A67"/>
    <w:rsid w:val="006A2B96"/>
    <w:rsid w:val="006A2CF7"/>
    <w:rsid w:val="006A2D28"/>
    <w:rsid w:val="006A395F"/>
    <w:rsid w:val="006A39B1"/>
    <w:rsid w:val="006A39EA"/>
    <w:rsid w:val="006A3A2B"/>
    <w:rsid w:val="006A3C5F"/>
    <w:rsid w:val="006A3E2B"/>
    <w:rsid w:val="006A3EDB"/>
    <w:rsid w:val="006A424F"/>
    <w:rsid w:val="006A48B1"/>
    <w:rsid w:val="006A4B9F"/>
    <w:rsid w:val="006A4BA3"/>
    <w:rsid w:val="006A4C8A"/>
    <w:rsid w:val="006A4DCF"/>
    <w:rsid w:val="006A4F19"/>
    <w:rsid w:val="006A4FFC"/>
    <w:rsid w:val="006A5221"/>
    <w:rsid w:val="006A6377"/>
    <w:rsid w:val="006A65AE"/>
    <w:rsid w:val="006A685E"/>
    <w:rsid w:val="006A686D"/>
    <w:rsid w:val="006A6BF1"/>
    <w:rsid w:val="006A6D9B"/>
    <w:rsid w:val="006A708B"/>
    <w:rsid w:val="006A75E2"/>
    <w:rsid w:val="006B0065"/>
    <w:rsid w:val="006B0721"/>
    <w:rsid w:val="006B080D"/>
    <w:rsid w:val="006B09E8"/>
    <w:rsid w:val="006B0CB4"/>
    <w:rsid w:val="006B0FDE"/>
    <w:rsid w:val="006B10DF"/>
    <w:rsid w:val="006B1278"/>
    <w:rsid w:val="006B1B89"/>
    <w:rsid w:val="006B1DB6"/>
    <w:rsid w:val="006B1EA1"/>
    <w:rsid w:val="006B2AF6"/>
    <w:rsid w:val="006B2C4B"/>
    <w:rsid w:val="006B2E8A"/>
    <w:rsid w:val="006B2EBA"/>
    <w:rsid w:val="006B3032"/>
    <w:rsid w:val="006B33E8"/>
    <w:rsid w:val="006B357D"/>
    <w:rsid w:val="006B3E6F"/>
    <w:rsid w:val="006B3F6C"/>
    <w:rsid w:val="006B4063"/>
    <w:rsid w:val="006B476B"/>
    <w:rsid w:val="006B49C3"/>
    <w:rsid w:val="006B4B4A"/>
    <w:rsid w:val="006B5117"/>
    <w:rsid w:val="006B5546"/>
    <w:rsid w:val="006B56EE"/>
    <w:rsid w:val="006B6497"/>
    <w:rsid w:val="006B6735"/>
    <w:rsid w:val="006B6A0A"/>
    <w:rsid w:val="006B6A24"/>
    <w:rsid w:val="006B6C1E"/>
    <w:rsid w:val="006B73BF"/>
    <w:rsid w:val="006B75C6"/>
    <w:rsid w:val="006B7835"/>
    <w:rsid w:val="006B7C37"/>
    <w:rsid w:val="006C012D"/>
    <w:rsid w:val="006C02A3"/>
    <w:rsid w:val="006C0408"/>
    <w:rsid w:val="006C0B57"/>
    <w:rsid w:val="006C0C99"/>
    <w:rsid w:val="006C0F5E"/>
    <w:rsid w:val="006C0FCB"/>
    <w:rsid w:val="006C1084"/>
    <w:rsid w:val="006C16CA"/>
    <w:rsid w:val="006C1C5F"/>
    <w:rsid w:val="006C1FD3"/>
    <w:rsid w:val="006C2218"/>
    <w:rsid w:val="006C2630"/>
    <w:rsid w:val="006C29AF"/>
    <w:rsid w:val="006C2AF2"/>
    <w:rsid w:val="006C2EC7"/>
    <w:rsid w:val="006C31DE"/>
    <w:rsid w:val="006C354C"/>
    <w:rsid w:val="006C3999"/>
    <w:rsid w:val="006C3B76"/>
    <w:rsid w:val="006C4098"/>
    <w:rsid w:val="006C4572"/>
    <w:rsid w:val="006C4942"/>
    <w:rsid w:val="006C4A54"/>
    <w:rsid w:val="006C4FC1"/>
    <w:rsid w:val="006C52F6"/>
    <w:rsid w:val="006C5A0F"/>
    <w:rsid w:val="006C5FC5"/>
    <w:rsid w:val="006C624C"/>
    <w:rsid w:val="006C6641"/>
    <w:rsid w:val="006C6D0A"/>
    <w:rsid w:val="006C6E0F"/>
    <w:rsid w:val="006C6F59"/>
    <w:rsid w:val="006C7B03"/>
    <w:rsid w:val="006C7C50"/>
    <w:rsid w:val="006C7CA4"/>
    <w:rsid w:val="006D0395"/>
    <w:rsid w:val="006D0769"/>
    <w:rsid w:val="006D0937"/>
    <w:rsid w:val="006D0971"/>
    <w:rsid w:val="006D0AEB"/>
    <w:rsid w:val="006D0C39"/>
    <w:rsid w:val="006D0CE8"/>
    <w:rsid w:val="006D0EC0"/>
    <w:rsid w:val="006D0EC2"/>
    <w:rsid w:val="006D1095"/>
    <w:rsid w:val="006D121F"/>
    <w:rsid w:val="006D18E6"/>
    <w:rsid w:val="006D1C21"/>
    <w:rsid w:val="006D21AC"/>
    <w:rsid w:val="006D2431"/>
    <w:rsid w:val="006D2849"/>
    <w:rsid w:val="006D2869"/>
    <w:rsid w:val="006D29DD"/>
    <w:rsid w:val="006D2A4C"/>
    <w:rsid w:val="006D2A8A"/>
    <w:rsid w:val="006D32C7"/>
    <w:rsid w:val="006D34BB"/>
    <w:rsid w:val="006D3696"/>
    <w:rsid w:val="006D39A1"/>
    <w:rsid w:val="006D3FD2"/>
    <w:rsid w:val="006D4762"/>
    <w:rsid w:val="006D4AD7"/>
    <w:rsid w:val="006D4C72"/>
    <w:rsid w:val="006D4E4C"/>
    <w:rsid w:val="006D5116"/>
    <w:rsid w:val="006D51B1"/>
    <w:rsid w:val="006D549B"/>
    <w:rsid w:val="006D5585"/>
    <w:rsid w:val="006D5F76"/>
    <w:rsid w:val="006D5FBC"/>
    <w:rsid w:val="006D6187"/>
    <w:rsid w:val="006D643F"/>
    <w:rsid w:val="006D65E1"/>
    <w:rsid w:val="006D69B3"/>
    <w:rsid w:val="006D6A0E"/>
    <w:rsid w:val="006D6D96"/>
    <w:rsid w:val="006D7211"/>
    <w:rsid w:val="006D74C3"/>
    <w:rsid w:val="006D75A7"/>
    <w:rsid w:val="006D75C8"/>
    <w:rsid w:val="006D7769"/>
    <w:rsid w:val="006D7890"/>
    <w:rsid w:val="006D7AED"/>
    <w:rsid w:val="006D7B31"/>
    <w:rsid w:val="006E0226"/>
    <w:rsid w:val="006E02A8"/>
    <w:rsid w:val="006E060C"/>
    <w:rsid w:val="006E0715"/>
    <w:rsid w:val="006E0721"/>
    <w:rsid w:val="006E0751"/>
    <w:rsid w:val="006E0CB2"/>
    <w:rsid w:val="006E102D"/>
    <w:rsid w:val="006E108A"/>
    <w:rsid w:val="006E1857"/>
    <w:rsid w:val="006E1CAD"/>
    <w:rsid w:val="006E1CCD"/>
    <w:rsid w:val="006E1E98"/>
    <w:rsid w:val="006E21FF"/>
    <w:rsid w:val="006E2A74"/>
    <w:rsid w:val="006E2A96"/>
    <w:rsid w:val="006E2B24"/>
    <w:rsid w:val="006E2B50"/>
    <w:rsid w:val="006E2DAA"/>
    <w:rsid w:val="006E2F25"/>
    <w:rsid w:val="006E3318"/>
    <w:rsid w:val="006E3353"/>
    <w:rsid w:val="006E3376"/>
    <w:rsid w:val="006E3746"/>
    <w:rsid w:val="006E3A38"/>
    <w:rsid w:val="006E3B4C"/>
    <w:rsid w:val="006E4064"/>
    <w:rsid w:val="006E48D8"/>
    <w:rsid w:val="006E4E39"/>
    <w:rsid w:val="006E5012"/>
    <w:rsid w:val="006E512A"/>
    <w:rsid w:val="006E526A"/>
    <w:rsid w:val="006E5B13"/>
    <w:rsid w:val="006E5E09"/>
    <w:rsid w:val="006E607C"/>
    <w:rsid w:val="006E6285"/>
    <w:rsid w:val="006E6333"/>
    <w:rsid w:val="006E644C"/>
    <w:rsid w:val="006E6952"/>
    <w:rsid w:val="006E6CA3"/>
    <w:rsid w:val="006E719D"/>
    <w:rsid w:val="006E71CC"/>
    <w:rsid w:val="006E759F"/>
    <w:rsid w:val="006E75DB"/>
    <w:rsid w:val="006E7BC3"/>
    <w:rsid w:val="006E99D1"/>
    <w:rsid w:val="006F009E"/>
    <w:rsid w:val="006F0847"/>
    <w:rsid w:val="006F0BC5"/>
    <w:rsid w:val="006F0C3E"/>
    <w:rsid w:val="006F0D0E"/>
    <w:rsid w:val="006F0D46"/>
    <w:rsid w:val="006F0DB5"/>
    <w:rsid w:val="006F14BC"/>
    <w:rsid w:val="006F19A4"/>
    <w:rsid w:val="006F1B32"/>
    <w:rsid w:val="006F1BD7"/>
    <w:rsid w:val="006F21B7"/>
    <w:rsid w:val="006F21C0"/>
    <w:rsid w:val="006F230F"/>
    <w:rsid w:val="006F23DD"/>
    <w:rsid w:val="006F240C"/>
    <w:rsid w:val="006F2753"/>
    <w:rsid w:val="006F2F02"/>
    <w:rsid w:val="006F3183"/>
    <w:rsid w:val="006F3A7F"/>
    <w:rsid w:val="006F3AEE"/>
    <w:rsid w:val="006F4483"/>
    <w:rsid w:val="006F4790"/>
    <w:rsid w:val="006F495E"/>
    <w:rsid w:val="006F5158"/>
    <w:rsid w:val="006F5302"/>
    <w:rsid w:val="006F5946"/>
    <w:rsid w:val="006F5AD5"/>
    <w:rsid w:val="006F5DCC"/>
    <w:rsid w:val="006F5F99"/>
    <w:rsid w:val="006F66F4"/>
    <w:rsid w:val="006F69A2"/>
    <w:rsid w:val="006F6F63"/>
    <w:rsid w:val="006F7146"/>
    <w:rsid w:val="006F7299"/>
    <w:rsid w:val="006F72A8"/>
    <w:rsid w:val="006F73C4"/>
    <w:rsid w:val="006F7566"/>
    <w:rsid w:val="006F7D66"/>
    <w:rsid w:val="006F7FB9"/>
    <w:rsid w:val="00700551"/>
    <w:rsid w:val="00700594"/>
    <w:rsid w:val="00700950"/>
    <w:rsid w:val="00700D89"/>
    <w:rsid w:val="00700E2D"/>
    <w:rsid w:val="00700E60"/>
    <w:rsid w:val="00700F2C"/>
    <w:rsid w:val="00701136"/>
    <w:rsid w:val="00701154"/>
    <w:rsid w:val="00701217"/>
    <w:rsid w:val="00701342"/>
    <w:rsid w:val="00701AF8"/>
    <w:rsid w:val="00702199"/>
    <w:rsid w:val="0070281D"/>
    <w:rsid w:val="00702A74"/>
    <w:rsid w:val="00702EE9"/>
    <w:rsid w:val="0070319A"/>
    <w:rsid w:val="00703CB4"/>
    <w:rsid w:val="00703F13"/>
    <w:rsid w:val="007043EA"/>
    <w:rsid w:val="0070468D"/>
    <w:rsid w:val="00704BDD"/>
    <w:rsid w:val="00705697"/>
    <w:rsid w:val="00705946"/>
    <w:rsid w:val="007066BA"/>
    <w:rsid w:val="00706AB8"/>
    <w:rsid w:val="00707044"/>
    <w:rsid w:val="007074BE"/>
    <w:rsid w:val="0070777F"/>
    <w:rsid w:val="007079E9"/>
    <w:rsid w:val="00707C18"/>
    <w:rsid w:val="0071010D"/>
    <w:rsid w:val="007103A9"/>
    <w:rsid w:val="0071042F"/>
    <w:rsid w:val="007104EB"/>
    <w:rsid w:val="00710703"/>
    <w:rsid w:val="00710998"/>
    <w:rsid w:val="00710999"/>
    <w:rsid w:val="00710C2C"/>
    <w:rsid w:val="00710E20"/>
    <w:rsid w:val="007111D6"/>
    <w:rsid w:val="00711485"/>
    <w:rsid w:val="0071189F"/>
    <w:rsid w:val="007119E4"/>
    <w:rsid w:val="00711DB8"/>
    <w:rsid w:val="007123E1"/>
    <w:rsid w:val="007124B9"/>
    <w:rsid w:val="00712671"/>
    <w:rsid w:val="007127A0"/>
    <w:rsid w:val="0071289C"/>
    <w:rsid w:val="007128E8"/>
    <w:rsid w:val="00712CD4"/>
    <w:rsid w:val="00712F4D"/>
    <w:rsid w:val="0071371A"/>
    <w:rsid w:val="007137FF"/>
    <w:rsid w:val="00713879"/>
    <w:rsid w:val="007138BB"/>
    <w:rsid w:val="00713A57"/>
    <w:rsid w:val="00713BA6"/>
    <w:rsid w:val="00713C9B"/>
    <w:rsid w:val="00713E96"/>
    <w:rsid w:val="00713F9D"/>
    <w:rsid w:val="00714A1F"/>
    <w:rsid w:val="007150C8"/>
    <w:rsid w:val="00715366"/>
    <w:rsid w:val="00715460"/>
    <w:rsid w:val="007154AE"/>
    <w:rsid w:val="007155FD"/>
    <w:rsid w:val="007157EC"/>
    <w:rsid w:val="00715B63"/>
    <w:rsid w:val="00715F93"/>
    <w:rsid w:val="00716AD2"/>
    <w:rsid w:val="00717490"/>
    <w:rsid w:val="00717499"/>
    <w:rsid w:val="0071766B"/>
    <w:rsid w:val="007179DD"/>
    <w:rsid w:val="007203CA"/>
    <w:rsid w:val="0072044C"/>
    <w:rsid w:val="007206E1"/>
    <w:rsid w:val="00720AE7"/>
    <w:rsid w:val="00721575"/>
    <w:rsid w:val="007216CB"/>
    <w:rsid w:val="007219AF"/>
    <w:rsid w:val="00721BDD"/>
    <w:rsid w:val="00721CE0"/>
    <w:rsid w:val="00721F9A"/>
    <w:rsid w:val="007226F5"/>
    <w:rsid w:val="007229F7"/>
    <w:rsid w:val="00722AEC"/>
    <w:rsid w:val="00722F4C"/>
    <w:rsid w:val="00722FBB"/>
    <w:rsid w:val="0072305E"/>
    <w:rsid w:val="00723523"/>
    <w:rsid w:val="00723697"/>
    <w:rsid w:val="0072374B"/>
    <w:rsid w:val="00723B2C"/>
    <w:rsid w:val="00723BC3"/>
    <w:rsid w:val="00723EE1"/>
    <w:rsid w:val="00724883"/>
    <w:rsid w:val="00724909"/>
    <w:rsid w:val="00724D88"/>
    <w:rsid w:val="00724ED0"/>
    <w:rsid w:val="00724F61"/>
    <w:rsid w:val="00724F92"/>
    <w:rsid w:val="007253D6"/>
    <w:rsid w:val="0072578A"/>
    <w:rsid w:val="007258A8"/>
    <w:rsid w:val="0072597A"/>
    <w:rsid w:val="00725A16"/>
    <w:rsid w:val="00725D31"/>
    <w:rsid w:val="00725F76"/>
    <w:rsid w:val="007260C1"/>
    <w:rsid w:val="00726660"/>
    <w:rsid w:val="007267D4"/>
    <w:rsid w:val="0072684A"/>
    <w:rsid w:val="00726E75"/>
    <w:rsid w:val="0072783C"/>
    <w:rsid w:val="0072792E"/>
    <w:rsid w:val="00727DC3"/>
    <w:rsid w:val="0072E1FE"/>
    <w:rsid w:val="00730173"/>
    <w:rsid w:val="0073071D"/>
    <w:rsid w:val="00730B79"/>
    <w:rsid w:val="0073110A"/>
    <w:rsid w:val="00731835"/>
    <w:rsid w:val="00731AF4"/>
    <w:rsid w:val="00732526"/>
    <w:rsid w:val="0073285C"/>
    <w:rsid w:val="00732A04"/>
    <w:rsid w:val="00732A6E"/>
    <w:rsid w:val="00732D31"/>
    <w:rsid w:val="00732D83"/>
    <w:rsid w:val="00732F46"/>
    <w:rsid w:val="00733381"/>
    <w:rsid w:val="00733596"/>
    <w:rsid w:val="0073359F"/>
    <w:rsid w:val="00733CC9"/>
    <w:rsid w:val="00733ED6"/>
    <w:rsid w:val="00733F00"/>
    <w:rsid w:val="00733F1F"/>
    <w:rsid w:val="007340EE"/>
    <w:rsid w:val="00734B88"/>
    <w:rsid w:val="00734DD2"/>
    <w:rsid w:val="00734E38"/>
    <w:rsid w:val="00735025"/>
    <w:rsid w:val="007350B9"/>
    <w:rsid w:val="007352E9"/>
    <w:rsid w:val="007353B1"/>
    <w:rsid w:val="00735630"/>
    <w:rsid w:val="0073579E"/>
    <w:rsid w:val="0073592E"/>
    <w:rsid w:val="00735ACD"/>
    <w:rsid w:val="00735DB9"/>
    <w:rsid w:val="00735FF3"/>
    <w:rsid w:val="007362AC"/>
    <w:rsid w:val="0073692E"/>
    <w:rsid w:val="007369DC"/>
    <w:rsid w:val="00736AA6"/>
    <w:rsid w:val="00736CA7"/>
    <w:rsid w:val="00737281"/>
    <w:rsid w:val="007374E5"/>
    <w:rsid w:val="007375DE"/>
    <w:rsid w:val="0073792C"/>
    <w:rsid w:val="00737B58"/>
    <w:rsid w:val="00737BC0"/>
    <w:rsid w:val="00737E64"/>
    <w:rsid w:val="00740739"/>
    <w:rsid w:val="00741494"/>
    <w:rsid w:val="0074162F"/>
    <w:rsid w:val="00741B41"/>
    <w:rsid w:val="00741C0C"/>
    <w:rsid w:val="00741DFE"/>
    <w:rsid w:val="0074257A"/>
    <w:rsid w:val="00742B77"/>
    <w:rsid w:val="00742C29"/>
    <w:rsid w:val="00742DAF"/>
    <w:rsid w:val="007431F7"/>
    <w:rsid w:val="00743244"/>
    <w:rsid w:val="00744326"/>
    <w:rsid w:val="00744411"/>
    <w:rsid w:val="0074485D"/>
    <w:rsid w:val="00744A9C"/>
    <w:rsid w:val="0074573A"/>
    <w:rsid w:val="00745750"/>
    <w:rsid w:val="00745A57"/>
    <w:rsid w:val="00745D42"/>
    <w:rsid w:val="00745D80"/>
    <w:rsid w:val="00746BC1"/>
    <w:rsid w:val="00746CAF"/>
    <w:rsid w:val="00746F9C"/>
    <w:rsid w:val="0074712F"/>
    <w:rsid w:val="00747434"/>
    <w:rsid w:val="00747521"/>
    <w:rsid w:val="0074788B"/>
    <w:rsid w:val="007478D6"/>
    <w:rsid w:val="00747D09"/>
    <w:rsid w:val="00747EE7"/>
    <w:rsid w:val="00747FA5"/>
    <w:rsid w:val="00750253"/>
    <w:rsid w:val="007502AB"/>
    <w:rsid w:val="007502D7"/>
    <w:rsid w:val="007503C0"/>
    <w:rsid w:val="00750544"/>
    <w:rsid w:val="0075091F"/>
    <w:rsid w:val="00750B79"/>
    <w:rsid w:val="00750C26"/>
    <w:rsid w:val="00750CDE"/>
    <w:rsid w:val="00750D59"/>
    <w:rsid w:val="00751027"/>
    <w:rsid w:val="0075137C"/>
    <w:rsid w:val="007514FD"/>
    <w:rsid w:val="00751506"/>
    <w:rsid w:val="00751636"/>
    <w:rsid w:val="007519E8"/>
    <w:rsid w:val="00751C40"/>
    <w:rsid w:val="0075290E"/>
    <w:rsid w:val="00752C4F"/>
    <w:rsid w:val="00752DAA"/>
    <w:rsid w:val="007530E4"/>
    <w:rsid w:val="007531B3"/>
    <w:rsid w:val="007532B8"/>
    <w:rsid w:val="00753445"/>
    <w:rsid w:val="00753868"/>
    <w:rsid w:val="0075418A"/>
    <w:rsid w:val="00754516"/>
    <w:rsid w:val="00754D2C"/>
    <w:rsid w:val="0075527C"/>
    <w:rsid w:val="00755455"/>
    <w:rsid w:val="00755488"/>
    <w:rsid w:val="00755696"/>
    <w:rsid w:val="00755B8F"/>
    <w:rsid w:val="00755F97"/>
    <w:rsid w:val="007560A8"/>
    <w:rsid w:val="007560F2"/>
    <w:rsid w:val="0075613A"/>
    <w:rsid w:val="00757095"/>
    <w:rsid w:val="00757266"/>
    <w:rsid w:val="0075744F"/>
    <w:rsid w:val="007576E1"/>
    <w:rsid w:val="00757C66"/>
    <w:rsid w:val="00757C6E"/>
    <w:rsid w:val="00757CF6"/>
    <w:rsid w:val="0076059D"/>
    <w:rsid w:val="007607A9"/>
    <w:rsid w:val="0076097E"/>
    <w:rsid w:val="00760CF6"/>
    <w:rsid w:val="00760F54"/>
    <w:rsid w:val="00761296"/>
    <w:rsid w:val="00761712"/>
    <w:rsid w:val="00761D44"/>
    <w:rsid w:val="0076200E"/>
    <w:rsid w:val="0076260D"/>
    <w:rsid w:val="007628DE"/>
    <w:rsid w:val="00762C3C"/>
    <w:rsid w:val="00762EC9"/>
    <w:rsid w:val="00763079"/>
    <w:rsid w:val="007632F7"/>
    <w:rsid w:val="0076336A"/>
    <w:rsid w:val="00763B77"/>
    <w:rsid w:val="00763D70"/>
    <w:rsid w:val="00763FCA"/>
    <w:rsid w:val="00764340"/>
    <w:rsid w:val="007645AD"/>
    <w:rsid w:val="00764682"/>
    <w:rsid w:val="007648B5"/>
    <w:rsid w:val="00764AEA"/>
    <w:rsid w:val="00764FB8"/>
    <w:rsid w:val="007655AA"/>
    <w:rsid w:val="00766242"/>
    <w:rsid w:val="007667BE"/>
    <w:rsid w:val="00766ADA"/>
    <w:rsid w:val="00766EA0"/>
    <w:rsid w:val="0076702C"/>
    <w:rsid w:val="007674E3"/>
    <w:rsid w:val="007676F8"/>
    <w:rsid w:val="007678E1"/>
    <w:rsid w:val="007679EE"/>
    <w:rsid w:val="00767A93"/>
    <w:rsid w:val="00767D25"/>
    <w:rsid w:val="00767DC7"/>
    <w:rsid w:val="00767EE2"/>
    <w:rsid w:val="00767F6C"/>
    <w:rsid w:val="007700F0"/>
    <w:rsid w:val="007700F7"/>
    <w:rsid w:val="007704CB"/>
    <w:rsid w:val="00770C7E"/>
    <w:rsid w:val="00770D2E"/>
    <w:rsid w:val="00770FEF"/>
    <w:rsid w:val="00771976"/>
    <w:rsid w:val="00771A0E"/>
    <w:rsid w:val="00771D1F"/>
    <w:rsid w:val="00772829"/>
    <w:rsid w:val="00772B4F"/>
    <w:rsid w:val="00772D16"/>
    <w:rsid w:val="00773A19"/>
    <w:rsid w:val="00773ED9"/>
    <w:rsid w:val="007740E4"/>
    <w:rsid w:val="00774412"/>
    <w:rsid w:val="00775655"/>
    <w:rsid w:val="007766E3"/>
    <w:rsid w:val="007769C4"/>
    <w:rsid w:val="00776C41"/>
    <w:rsid w:val="007771BC"/>
    <w:rsid w:val="00777404"/>
    <w:rsid w:val="00777465"/>
    <w:rsid w:val="007774B2"/>
    <w:rsid w:val="0077775D"/>
    <w:rsid w:val="00777848"/>
    <w:rsid w:val="00777893"/>
    <w:rsid w:val="007778AD"/>
    <w:rsid w:val="00777D31"/>
    <w:rsid w:val="00780570"/>
    <w:rsid w:val="00780677"/>
    <w:rsid w:val="00780BFD"/>
    <w:rsid w:val="00781BED"/>
    <w:rsid w:val="00781F34"/>
    <w:rsid w:val="0078237C"/>
    <w:rsid w:val="007825CC"/>
    <w:rsid w:val="00783298"/>
    <w:rsid w:val="0078350C"/>
    <w:rsid w:val="00783B32"/>
    <w:rsid w:val="00783F58"/>
    <w:rsid w:val="0078408C"/>
    <w:rsid w:val="007841DE"/>
    <w:rsid w:val="00784860"/>
    <w:rsid w:val="0078491F"/>
    <w:rsid w:val="00785219"/>
    <w:rsid w:val="007852E9"/>
    <w:rsid w:val="007857C1"/>
    <w:rsid w:val="0078597C"/>
    <w:rsid w:val="0078599E"/>
    <w:rsid w:val="00785A83"/>
    <w:rsid w:val="00785CC4"/>
    <w:rsid w:val="00785DD2"/>
    <w:rsid w:val="0078617B"/>
    <w:rsid w:val="007862EC"/>
    <w:rsid w:val="007866D5"/>
    <w:rsid w:val="00786F69"/>
    <w:rsid w:val="00787264"/>
    <w:rsid w:val="007874E5"/>
    <w:rsid w:val="007900B6"/>
    <w:rsid w:val="007901A5"/>
    <w:rsid w:val="007907F1"/>
    <w:rsid w:val="00790809"/>
    <w:rsid w:val="007908BA"/>
    <w:rsid w:val="00790B15"/>
    <w:rsid w:val="00790E0F"/>
    <w:rsid w:val="00790F35"/>
    <w:rsid w:val="00790F49"/>
    <w:rsid w:val="007913C4"/>
    <w:rsid w:val="007916B0"/>
    <w:rsid w:val="00791759"/>
    <w:rsid w:val="007917A6"/>
    <w:rsid w:val="00791B15"/>
    <w:rsid w:val="00791CAF"/>
    <w:rsid w:val="00791CDE"/>
    <w:rsid w:val="0079210A"/>
    <w:rsid w:val="00792355"/>
    <w:rsid w:val="00792AF1"/>
    <w:rsid w:val="00792B5B"/>
    <w:rsid w:val="00793179"/>
    <w:rsid w:val="007931CB"/>
    <w:rsid w:val="00793462"/>
    <w:rsid w:val="007935EF"/>
    <w:rsid w:val="00793AA5"/>
    <w:rsid w:val="00793BCC"/>
    <w:rsid w:val="00793EE6"/>
    <w:rsid w:val="00794574"/>
    <w:rsid w:val="00794622"/>
    <w:rsid w:val="00794F06"/>
    <w:rsid w:val="00794F9D"/>
    <w:rsid w:val="007951D4"/>
    <w:rsid w:val="007952E9"/>
    <w:rsid w:val="0079560A"/>
    <w:rsid w:val="00795717"/>
    <w:rsid w:val="00795B10"/>
    <w:rsid w:val="00795C0F"/>
    <w:rsid w:val="007962AE"/>
    <w:rsid w:val="0079640D"/>
    <w:rsid w:val="00796895"/>
    <w:rsid w:val="0079699B"/>
    <w:rsid w:val="00796EC9"/>
    <w:rsid w:val="00797002"/>
    <w:rsid w:val="00797084"/>
    <w:rsid w:val="0079784F"/>
    <w:rsid w:val="00797A4E"/>
    <w:rsid w:val="00797A51"/>
    <w:rsid w:val="00797B36"/>
    <w:rsid w:val="00797C46"/>
    <w:rsid w:val="00797C75"/>
    <w:rsid w:val="007A049E"/>
    <w:rsid w:val="007A0B55"/>
    <w:rsid w:val="007A0BAC"/>
    <w:rsid w:val="007A0D0E"/>
    <w:rsid w:val="007A0DB9"/>
    <w:rsid w:val="007A0E87"/>
    <w:rsid w:val="007A0EBB"/>
    <w:rsid w:val="007A11B9"/>
    <w:rsid w:val="007A145A"/>
    <w:rsid w:val="007A17E4"/>
    <w:rsid w:val="007A19F6"/>
    <w:rsid w:val="007A1ABB"/>
    <w:rsid w:val="007A1B88"/>
    <w:rsid w:val="007A1BD1"/>
    <w:rsid w:val="007A1D2F"/>
    <w:rsid w:val="007A21FE"/>
    <w:rsid w:val="007A26AB"/>
    <w:rsid w:val="007A2850"/>
    <w:rsid w:val="007A28E5"/>
    <w:rsid w:val="007A2B65"/>
    <w:rsid w:val="007A2C18"/>
    <w:rsid w:val="007A2CD0"/>
    <w:rsid w:val="007A3154"/>
    <w:rsid w:val="007A319E"/>
    <w:rsid w:val="007A3266"/>
    <w:rsid w:val="007A36AD"/>
    <w:rsid w:val="007A3810"/>
    <w:rsid w:val="007A3B93"/>
    <w:rsid w:val="007A3E7C"/>
    <w:rsid w:val="007A4745"/>
    <w:rsid w:val="007A4DEC"/>
    <w:rsid w:val="007A4F73"/>
    <w:rsid w:val="007A4F8C"/>
    <w:rsid w:val="007A5249"/>
    <w:rsid w:val="007A5617"/>
    <w:rsid w:val="007A561F"/>
    <w:rsid w:val="007A5B6F"/>
    <w:rsid w:val="007A5C00"/>
    <w:rsid w:val="007A5D4A"/>
    <w:rsid w:val="007A5FF6"/>
    <w:rsid w:val="007A650B"/>
    <w:rsid w:val="007A686B"/>
    <w:rsid w:val="007A6928"/>
    <w:rsid w:val="007A698B"/>
    <w:rsid w:val="007A70F1"/>
    <w:rsid w:val="007A7110"/>
    <w:rsid w:val="007A76DB"/>
    <w:rsid w:val="007A7A74"/>
    <w:rsid w:val="007B0245"/>
    <w:rsid w:val="007B0273"/>
    <w:rsid w:val="007B083F"/>
    <w:rsid w:val="007B0880"/>
    <w:rsid w:val="007B0CDB"/>
    <w:rsid w:val="007B0D01"/>
    <w:rsid w:val="007B0EF9"/>
    <w:rsid w:val="007B12BC"/>
    <w:rsid w:val="007B151A"/>
    <w:rsid w:val="007B17D7"/>
    <w:rsid w:val="007B1C85"/>
    <w:rsid w:val="007B1DD2"/>
    <w:rsid w:val="007B2085"/>
    <w:rsid w:val="007B286D"/>
    <w:rsid w:val="007B2FDC"/>
    <w:rsid w:val="007B3280"/>
    <w:rsid w:val="007B38A0"/>
    <w:rsid w:val="007B38B7"/>
    <w:rsid w:val="007B3AE7"/>
    <w:rsid w:val="007B3FA8"/>
    <w:rsid w:val="007B4B8F"/>
    <w:rsid w:val="007B4F76"/>
    <w:rsid w:val="007B4F7B"/>
    <w:rsid w:val="007B583D"/>
    <w:rsid w:val="007B58E9"/>
    <w:rsid w:val="007B5A0C"/>
    <w:rsid w:val="007B5D5A"/>
    <w:rsid w:val="007B5F83"/>
    <w:rsid w:val="007B620E"/>
    <w:rsid w:val="007B62E9"/>
    <w:rsid w:val="007B6628"/>
    <w:rsid w:val="007B6684"/>
    <w:rsid w:val="007B67F5"/>
    <w:rsid w:val="007B6B21"/>
    <w:rsid w:val="007B6C3F"/>
    <w:rsid w:val="007B6CF4"/>
    <w:rsid w:val="007B7001"/>
    <w:rsid w:val="007B7024"/>
    <w:rsid w:val="007B7CF7"/>
    <w:rsid w:val="007C01D4"/>
    <w:rsid w:val="007C028A"/>
    <w:rsid w:val="007C0390"/>
    <w:rsid w:val="007C0F3F"/>
    <w:rsid w:val="007C0FCB"/>
    <w:rsid w:val="007C1308"/>
    <w:rsid w:val="007C14A2"/>
    <w:rsid w:val="007C14D8"/>
    <w:rsid w:val="007C14F0"/>
    <w:rsid w:val="007C19BF"/>
    <w:rsid w:val="007C205A"/>
    <w:rsid w:val="007C2306"/>
    <w:rsid w:val="007C26B2"/>
    <w:rsid w:val="007C2868"/>
    <w:rsid w:val="007C2977"/>
    <w:rsid w:val="007C2A98"/>
    <w:rsid w:val="007C2BFF"/>
    <w:rsid w:val="007C2D15"/>
    <w:rsid w:val="007C300E"/>
    <w:rsid w:val="007C328D"/>
    <w:rsid w:val="007C32F9"/>
    <w:rsid w:val="007C336F"/>
    <w:rsid w:val="007C3547"/>
    <w:rsid w:val="007C3674"/>
    <w:rsid w:val="007C4155"/>
    <w:rsid w:val="007C41B1"/>
    <w:rsid w:val="007C421B"/>
    <w:rsid w:val="007C45BD"/>
    <w:rsid w:val="007C474B"/>
    <w:rsid w:val="007C4816"/>
    <w:rsid w:val="007C4A6E"/>
    <w:rsid w:val="007C4E1F"/>
    <w:rsid w:val="007C508A"/>
    <w:rsid w:val="007C513C"/>
    <w:rsid w:val="007C5516"/>
    <w:rsid w:val="007C5FCC"/>
    <w:rsid w:val="007C64B0"/>
    <w:rsid w:val="007C67FD"/>
    <w:rsid w:val="007C67FE"/>
    <w:rsid w:val="007C683C"/>
    <w:rsid w:val="007C6886"/>
    <w:rsid w:val="007C6D0D"/>
    <w:rsid w:val="007C7276"/>
    <w:rsid w:val="007C7368"/>
    <w:rsid w:val="007C758D"/>
    <w:rsid w:val="007C76E9"/>
    <w:rsid w:val="007D05D0"/>
    <w:rsid w:val="007D081D"/>
    <w:rsid w:val="007D09F4"/>
    <w:rsid w:val="007D1468"/>
    <w:rsid w:val="007D14EB"/>
    <w:rsid w:val="007D181A"/>
    <w:rsid w:val="007D195E"/>
    <w:rsid w:val="007D1C1C"/>
    <w:rsid w:val="007D1DB0"/>
    <w:rsid w:val="007D1F22"/>
    <w:rsid w:val="007D20A8"/>
    <w:rsid w:val="007D2285"/>
    <w:rsid w:val="007D2395"/>
    <w:rsid w:val="007D28CF"/>
    <w:rsid w:val="007D2B2A"/>
    <w:rsid w:val="007D2E36"/>
    <w:rsid w:val="007D30B7"/>
    <w:rsid w:val="007D3133"/>
    <w:rsid w:val="007D3141"/>
    <w:rsid w:val="007D356B"/>
    <w:rsid w:val="007D3C5C"/>
    <w:rsid w:val="007D3C74"/>
    <w:rsid w:val="007D3E7E"/>
    <w:rsid w:val="007D4044"/>
    <w:rsid w:val="007D436E"/>
    <w:rsid w:val="007D43BD"/>
    <w:rsid w:val="007D440F"/>
    <w:rsid w:val="007D4475"/>
    <w:rsid w:val="007D4738"/>
    <w:rsid w:val="007D48FE"/>
    <w:rsid w:val="007D4926"/>
    <w:rsid w:val="007D4997"/>
    <w:rsid w:val="007D4A47"/>
    <w:rsid w:val="007D4BEC"/>
    <w:rsid w:val="007D4E18"/>
    <w:rsid w:val="007D51AC"/>
    <w:rsid w:val="007D557B"/>
    <w:rsid w:val="007D5585"/>
    <w:rsid w:val="007D5814"/>
    <w:rsid w:val="007D594F"/>
    <w:rsid w:val="007D59C1"/>
    <w:rsid w:val="007D5EDC"/>
    <w:rsid w:val="007D5FD2"/>
    <w:rsid w:val="007D632B"/>
    <w:rsid w:val="007D66BE"/>
    <w:rsid w:val="007D6709"/>
    <w:rsid w:val="007D6E01"/>
    <w:rsid w:val="007D6F9E"/>
    <w:rsid w:val="007D7057"/>
    <w:rsid w:val="007D766A"/>
    <w:rsid w:val="007D7B27"/>
    <w:rsid w:val="007D7F30"/>
    <w:rsid w:val="007D7F34"/>
    <w:rsid w:val="007E021C"/>
    <w:rsid w:val="007E0610"/>
    <w:rsid w:val="007E06F3"/>
    <w:rsid w:val="007E1077"/>
    <w:rsid w:val="007E15AD"/>
    <w:rsid w:val="007E1723"/>
    <w:rsid w:val="007E1811"/>
    <w:rsid w:val="007E25ED"/>
    <w:rsid w:val="007E2AE5"/>
    <w:rsid w:val="007E2BC0"/>
    <w:rsid w:val="007E2EBB"/>
    <w:rsid w:val="007E30AF"/>
    <w:rsid w:val="007E321E"/>
    <w:rsid w:val="007E3322"/>
    <w:rsid w:val="007E351A"/>
    <w:rsid w:val="007E378B"/>
    <w:rsid w:val="007E3B6F"/>
    <w:rsid w:val="007E3D0E"/>
    <w:rsid w:val="007E4309"/>
    <w:rsid w:val="007E44E1"/>
    <w:rsid w:val="007E49AC"/>
    <w:rsid w:val="007E4BB1"/>
    <w:rsid w:val="007E518D"/>
    <w:rsid w:val="007E526A"/>
    <w:rsid w:val="007E5275"/>
    <w:rsid w:val="007E5616"/>
    <w:rsid w:val="007E5C15"/>
    <w:rsid w:val="007E5C27"/>
    <w:rsid w:val="007E5C28"/>
    <w:rsid w:val="007E5E4D"/>
    <w:rsid w:val="007E6217"/>
    <w:rsid w:val="007E6384"/>
    <w:rsid w:val="007E652B"/>
    <w:rsid w:val="007E687B"/>
    <w:rsid w:val="007E6E02"/>
    <w:rsid w:val="007E6E72"/>
    <w:rsid w:val="007E792F"/>
    <w:rsid w:val="007F031C"/>
    <w:rsid w:val="007F05BD"/>
    <w:rsid w:val="007F0E2B"/>
    <w:rsid w:val="007F11C0"/>
    <w:rsid w:val="007F11CA"/>
    <w:rsid w:val="007F162E"/>
    <w:rsid w:val="007F18F6"/>
    <w:rsid w:val="007F1DA0"/>
    <w:rsid w:val="007F1E6A"/>
    <w:rsid w:val="007F24AA"/>
    <w:rsid w:val="007F25EA"/>
    <w:rsid w:val="007F2705"/>
    <w:rsid w:val="007F2843"/>
    <w:rsid w:val="007F2908"/>
    <w:rsid w:val="007F2955"/>
    <w:rsid w:val="007F30A9"/>
    <w:rsid w:val="007F30EE"/>
    <w:rsid w:val="007F33B8"/>
    <w:rsid w:val="007F373C"/>
    <w:rsid w:val="007F389B"/>
    <w:rsid w:val="007F448B"/>
    <w:rsid w:val="007F474C"/>
    <w:rsid w:val="007F4798"/>
    <w:rsid w:val="007F497C"/>
    <w:rsid w:val="007F4A17"/>
    <w:rsid w:val="007F4AB5"/>
    <w:rsid w:val="007F525A"/>
    <w:rsid w:val="007F5397"/>
    <w:rsid w:val="007F55E3"/>
    <w:rsid w:val="007F56DD"/>
    <w:rsid w:val="007F577B"/>
    <w:rsid w:val="007F5D61"/>
    <w:rsid w:val="007F5E76"/>
    <w:rsid w:val="007F61EA"/>
    <w:rsid w:val="007F645A"/>
    <w:rsid w:val="007F65DD"/>
    <w:rsid w:val="007F67E9"/>
    <w:rsid w:val="007F6BDD"/>
    <w:rsid w:val="007F6CB5"/>
    <w:rsid w:val="007F6EA0"/>
    <w:rsid w:val="007F6F15"/>
    <w:rsid w:val="007F716A"/>
    <w:rsid w:val="007F71E0"/>
    <w:rsid w:val="007F72E5"/>
    <w:rsid w:val="007F7B1F"/>
    <w:rsid w:val="007F7C1E"/>
    <w:rsid w:val="007F7C5E"/>
    <w:rsid w:val="007F7C71"/>
    <w:rsid w:val="007F7C7B"/>
    <w:rsid w:val="007F7F9C"/>
    <w:rsid w:val="008000BC"/>
    <w:rsid w:val="0080013F"/>
    <w:rsid w:val="008001ED"/>
    <w:rsid w:val="008003A2"/>
    <w:rsid w:val="00800BEA"/>
    <w:rsid w:val="00800D5D"/>
    <w:rsid w:val="00800EAE"/>
    <w:rsid w:val="008015CA"/>
    <w:rsid w:val="008015DB"/>
    <w:rsid w:val="00801DCD"/>
    <w:rsid w:val="008023D9"/>
    <w:rsid w:val="008028D9"/>
    <w:rsid w:val="00802956"/>
    <w:rsid w:val="00802CF0"/>
    <w:rsid w:val="00802E80"/>
    <w:rsid w:val="0080345F"/>
    <w:rsid w:val="0080374D"/>
    <w:rsid w:val="008040A2"/>
    <w:rsid w:val="00804186"/>
    <w:rsid w:val="00804632"/>
    <w:rsid w:val="0080469C"/>
    <w:rsid w:val="00804A16"/>
    <w:rsid w:val="00804CE6"/>
    <w:rsid w:val="00804D63"/>
    <w:rsid w:val="00805124"/>
    <w:rsid w:val="00805161"/>
    <w:rsid w:val="008054D9"/>
    <w:rsid w:val="0080572A"/>
    <w:rsid w:val="00805D42"/>
    <w:rsid w:val="00805ECB"/>
    <w:rsid w:val="00806272"/>
    <w:rsid w:val="008065F2"/>
    <w:rsid w:val="00806688"/>
    <w:rsid w:val="00807097"/>
    <w:rsid w:val="008073D9"/>
    <w:rsid w:val="00807A3E"/>
    <w:rsid w:val="00807D56"/>
    <w:rsid w:val="00810006"/>
    <w:rsid w:val="00810068"/>
    <w:rsid w:val="0081006C"/>
    <w:rsid w:val="00810338"/>
    <w:rsid w:val="0081062B"/>
    <w:rsid w:val="00810BB5"/>
    <w:rsid w:val="00810C02"/>
    <w:rsid w:val="00810DDC"/>
    <w:rsid w:val="00810EF8"/>
    <w:rsid w:val="0081135D"/>
    <w:rsid w:val="00811AFD"/>
    <w:rsid w:val="00811D7A"/>
    <w:rsid w:val="00811EF7"/>
    <w:rsid w:val="00812282"/>
    <w:rsid w:val="00812C27"/>
    <w:rsid w:val="00812F48"/>
    <w:rsid w:val="00812FB7"/>
    <w:rsid w:val="00813159"/>
    <w:rsid w:val="0081316F"/>
    <w:rsid w:val="008134D1"/>
    <w:rsid w:val="00813766"/>
    <w:rsid w:val="00813804"/>
    <w:rsid w:val="00813820"/>
    <w:rsid w:val="008139B1"/>
    <w:rsid w:val="00813BD0"/>
    <w:rsid w:val="00813F58"/>
    <w:rsid w:val="00813F9D"/>
    <w:rsid w:val="00814100"/>
    <w:rsid w:val="008146BC"/>
    <w:rsid w:val="00814891"/>
    <w:rsid w:val="008148E4"/>
    <w:rsid w:val="00814C30"/>
    <w:rsid w:val="0081515E"/>
    <w:rsid w:val="008154AB"/>
    <w:rsid w:val="00815764"/>
    <w:rsid w:val="00815790"/>
    <w:rsid w:val="008157F1"/>
    <w:rsid w:val="00815A4B"/>
    <w:rsid w:val="00815B11"/>
    <w:rsid w:val="008161DC"/>
    <w:rsid w:val="008162DB"/>
    <w:rsid w:val="008164DE"/>
    <w:rsid w:val="0081655B"/>
    <w:rsid w:val="00816675"/>
    <w:rsid w:val="0081674E"/>
    <w:rsid w:val="0081688D"/>
    <w:rsid w:val="00816C57"/>
    <w:rsid w:val="00816E8D"/>
    <w:rsid w:val="00816EC2"/>
    <w:rsid w:val="00816FB6"/>
    <w:rsid w:val="008171D2"/>
    <w:rsid w:val="00817329"/>
    <w:rsid w:val="0081775B"/>
    <w:rsid w:val="00817878"/>
    <w:rsid w:val="008178B1"/>
    <w:rsid w:val="008179EA"/>
    <w:rsid w:val="00817E28"/>
    <w:rsid w:val="00817E66"/>
    <w:rsid w:val="00817F13"/>
    <w:rsid w:val="00817F7E"/>
    <w:rsid w:val="0082005D"/>
    <w:rsid w:val="0082021A"/>
    <w:rsid w:val="008207F0"/>
    <w:rsid w:val="008212F6"/>
    <w:rsid w:val="008214EF"/>
    <w:rsid w:val="00821788"/>
    <w:rsid w:val="008218B3"/>
    <w:rsid w:val="00822381"/>
    <w:rsid w:val="0082245E"/>
    <w:rsid w:val="008224B5"/>
    <w:rsid w:val="008226E5"/>
    <w:rsid w:val="00822DB9"/>
    <w:rsid w:val="00822FC7"/>
    <w:rsid w:val="00823318"/>
    <w:rsid w:val="008236E1"/>
    <w:rsid w:val="00823768"/>
    <w:rsid w:val="00823A60"/>
    <w:rsid w:val="00823B3F"/>
    <w:rsid w:val="008243DC"/>
    <w:rsid w:val="00824458"/>
    <w:rsid w:val="008245E6"/>
    <w:rsid w:val="008246DD"/>
    <w:rsid w:val="00824992"/>
    <w:rsid w:val="008249F7"/>
    <w:rsid w:val="00824A4F"/>
    <w:rsid w:val="00824B74"/>
    <w:rsid w:val="00824BCF"/>
    <w:rsid w:val="00824C11"/>
    <w:rsid w:val="00824C54"/>
    <w:rsid w:val="008250EC"/>
    <w:rsid w:val="0082532E"/>
    <w:rsid w:val="00825DA2"/>
    <w:rsid w:val="00825DEC"/>
    <w:rsid w:val="00825FB7"/>
    <w:rsid w:val="00826282"/>
    <w:rsid w:val="0082628B"/>
    <w:rsid w:val="00826797"/>
    <w:rsid w:val="00826B78"/>
    <w:rsid w:val="00826E06"/>
    <w:rsid w:val="00827027"/>
    <w:rsid w:val="0082712F"/>
    <w:rsid w:val="0082718E"/>
    <w:rsid w:val="0082740D"/>
    <w:rsid w:val="00827802"/>
    <w:rsid w:val="008278D4"/>
    <w:rsid w:val="00827924"/>
    <w:rsid w:val="0082796B"/>
    <w:rsid w:val="00827BB0"/>
    <w:rsid w:val="00827CF8"/>
    <w:rsid w:val="0083006E"/>
    <w:rsid w:val="00830180"/>
    <w:rsid w:val="0083070E"/>
    <w:rsid w:val="00830B3B"/>
    <w:rsid w:val="00830D1D"/>
    <w:rsid w:val="00830E08"/>
    <w:rsid w:val="00830F97"/>
    <w:rsid w:val="00831583"/>
    <w:rsid w:val="00831ADA"/>
    <w:rsid w:val="00831D44"/>
    <w:rsid w:val="00831DD4"/>
    <w:rsid w:val="00831E7B"/>
    <w:rsid w:val="00832079"/>
    <w:rsid w:val="00832145"/>
    <w:rsid w:val="008325F6"/>
    <w:rsid w:val="0083261A"/>
    <w:rsid w:val="008328C5"/>
    <w:rsid w:val="00832A23"/>
    <w:rsid w:val="00832A58"/>
    <w:rsid w:val="00832B78"/>
    <w:rsid w:val="00832B94"/>
    <w:rsid w:val="00832C77"/>
    <w:rsid w:val="00832F02"/>
    <w:rsid w:val="008331EF"/>
    <w:rsid w:val="008334F2"/>
    <w:rsid w:val="00833537"/>
    <w:rsid w:val="00833765"/>
    <w:rsid w:val="00833F24"/>
    <w:rsid w:val="00833F9F"/>
    <w:rsid w:val="008344A2"/>
    <w:rsid w:val="00834BC6"/>
    <w:rsid w:val="00835000"/>
    <w:rsid w:val="00835118"/>
    <w:rsid w:val="00835409"/>
    <w:rsid w:val="008355BC"/>
    <w:rsid w:val="008356CD"/>
    <w:rsid w:val="00835A01"/>
    <w:rsid w:val="00835A64"/>
    <w:rsid w:val="00835EC9"/>
    <w:rsid w:val="008361BC"/>
    <w:rsid w:val="008363FB"/>
    <w:rsid w:val="008364BD"/>
    <w:rsid w:val="008364F3"/>
    <w:rsid w:val="00836EDD"/>
    <w:rsid w:val="008371C4"/>
    <w:rsid w:val="008376C1"/>
    <w:rsid w:val="00837D6E"/>
    <w:rsid w:val="00837F7B"/>
    <w:rsid w:val="00837FB1"/>
    <w:rsid w:val="008401BC"/>
    <w:rsid w:val="0084104F"/>
    <w:rsid w:val="00841055"/>
    <w:rsid w:val="00841388"/>
    <w:rsid w:val="00841436"/>
    <w:rsid w:val="008416AA"/>
    <w:rsid w:val="00841701"/>
    <w:rsid w:val="0084195E"/>
    <w:rsid w:val="00841B41"/>
    <w:rsid w:val="00841C71"/>
    <w:rsid w:val="00841EFB"/>
    <w:rsid w:val="00841F44"/>
    <w:rsid w:val="00842486"/>
    <w:rsid w:val="00842635"/>
    <w:rsid w:val="00842C82"/>
    <w:rsid w:val="00842D6C"/>
    <w:rsid w:val="0084357C"/>
    <w:rsid w:val="008436D7"/>
    <w:rsid w:val="0084382B"/>
    <w:rsid w:val="008438AE"/>
    <w:rsid w:val="00843DD3"/>
    <w:rsid w:val="00843EFF"/>
    <w:rsid w:val="008440FE"/>
    <w:rsid w:val="0084429D"/>
    <w:rsid w:val="008445E4"/>
    <w:rsid w:val="00844696"/>
    <w:rsid w:val="00844BEB"/>
    <w:rsid w:val="00845015"/>
    <w:rsid w:val="008450D5"/>
    <w:rsid w:val="00845177"/>
    <w:rsid w:val="00845241"/>
    <w:rsid w:val="008453F9"/>
    <w:rsid w:val="00845868"/>
    <w:rsid w:val="008458ED"/>
    <w:rsid w:val="00845B09"/>
    <w:rsid w:val="00845D72"/>
    <w:rsid w:val="00846119"/>
    <w:rsid w:val="008461A4"/>
    <w:rsid w:val="00846324"/>
    <w:rsid w:val="00846372"/>
    <w:rsid w:val="008465D1"/>
    <w:rsid w:val="00846A81"/>
    <w:rsid w:val="0084727A"/>
    <w:rsid w:val="008474E3"/>
    <w:rsid w:val="00847604"/>
    <w:rsid w:val="00847845"/>
    <w:rsid w:val="00847A80"/>
    <w:rsid w:val="00847F51"/>
    <w:rsid w:val="00847F93"/>
    <w:rsid w:val="00847FE7"/>
    <w:rsid w:val="00850138"/>
    <w:rsid w:val="0085052C"/>
    <w:rsid w:val="0085069D"/>
    <w:rsid w:val="00850809"/>
    <w:rsid w:val="00850A19"/>
    <w:rsid w:val="00850B8A"/>
    <w:rsid w:val="00851355"/>
    <w:rsid w:val="00851500"/>
    <w:rsid w:val="00851A1B"/>
    <w:rsid w:val="00851D41"/>
    <w:rsid w:val="008522F7"/>
    <w:rsid w:val="008524B1"/>
    <w:rsid w:val="008527ED"/>
    <w:rsid w:val="00852F4A"/>
    <w:rsid w:val="00852F5D"/>
    <w:rsid w:val="008530F0"/>
    <w:rsid w:val="00853464"/>
    <w:rsid w:val="008537F7"/>
    <w:rsid w:val="00853B43"/>
    <w:rsid w:val="008540ED"/>
    <w:rsid w:val="008541F9"/>
    <w:rsid w:val="008542B7"/>
    <w:rsid w:val="008544A3"/>
    <w:rsid w:val="00854644"/>
    <w:rsid w:val="00854684"/>
    <w:rsid w:val="008546BE"/>
    <w:rsid w:val="0085494A"/>
    <w:rsid w:val="00854B75"/>
    <w:rsid w:val="00854DC5"/>
    <w:rsid w:val="00854E22"/>
    <w:rsid w:val="00855155"/>
    <w:rsid w:val="00855454"/>
    <w:rsid w:val="0085558D"/>
    <w:rsid w:val="00855641"/>
    <w:rsid w:val="00855699"/>
    <w:rsid w:val="00855D86"/>
    <w:rsid w:val="00855E7E"/>
    <w:rsid w:val="00856074"/>
    <w:rsid w:val="008566DF"/>
    <w:rsid w:val="00856A23"/>
    <w:rsid w:val="00857708"/>
    <w:rsid w:val="008578B7"/>
    <w:rsid w:val="00857949"/>
    <w:rsid w:val="00857A65"/>
    <w:rsid w:val="00857D8E"/>
    <w:rsid w:val="008606DB"/>
    <w:rsid w:val="0086072B"/>
    <w:rsid w:val="0086095F"/>
    <w:rsid w:val="00860ACD"/>
    <w:rsid w:val="00860CAB"/>
    <w:rsid w:val="00861A04"/>
    <w:rsid w:val="00861C5A"/>
    <w:rsid w:val="008624C0"/>
    <w:rsid w:val="008627DE"/>
    <w:rsid w:val="00862E8D"/>
    <w:rsid w:val="00862EE1"/>
    <w:rsid w:val="00863254"/>
    <w:rsid w:val="00863287"/>
    <w:rsid w:val="00863340"/>
    <w:rsid w:val="008639DA"/>
    <w:rsid w:val="00863AA5"/>
    <w:rsid w:val="00863B66"/>
    <w:rsid w:val="00864177"/>
    <w:rsid w:val="008641C0"/>
    <w:rsid w:val="0086491D"/>
    <w:rsid w:val="00864BF1"/>
    <w:rsid w:val="00865090"/>
    <w:rsid w:val="0086573D"/>
    <w:rsid w:val="00865A4A"/>
    <w:rsid w:val="00865BB3"/>
    <w:rsid w:val="00865C13"/>
    <w:rsid w:val="00865E20"/>
    <w:rsid w:val="00865E5F"/>
    <w:rsid w:val="00865F59"/>
    <w:rsid w:val="0086607E"/>
    <w:rsid w:val="0086648B"/>
    <w:rsid w:val="00866C33"/>
    <w:rsid w:val="00866E50"/>
    <w:rsid w:val="00866E65"/>
    <w:rsid w:val="00866E69"/>
    <w:rsid w:val="00867896"/>
    <w:rsid w:val="008679B4"/>
    <w:rsid w:val="00867AB5"/>
    <w:rsid w:val="00867D9F"/>
    <w:rsid w:val="0087004B"/>
    <w:rsid w:val="008703E4"/>
    <w:rsid w:val="00870722"/>
    <w:rsid w:val="0087094A"/>
    <w:rsid w:val="00870A0F"/>
    <w:rsid w:val="00870B1B"/>
    <w:rsid w:val="00870B9C"/>
    <w:rsid w:val="00870E12"/>
    <w:rsid w:val="0087180B"/>
    <w:rsid w:val="008719F3"/>
    <w:rsid w:val="00871DCB"/>
    <w:rsid w:val="0087248B"/>
    <w:rsid w:val="0087265A"/>
    <w:rsid w:val="0087277A"/>
    <w:rsid w:val="008727ED"/>
    <w:rsid w:val="00872833"/>
    <w:rsid w:val="00872905"/>
    <w:rsid w:val="00872A47"/>
    <w:rsid w:val="00872D05"/>
    <w:rsid w:val="00873108"/>
    <w:rsid w:val="00873194"/>
    <w:rsid w:val="008736E2"/>
    <w:rsid w:val="00873B63"/>
    <w:rsid w:val="00873E09"/>
    <w:rsid w:val="00874565"/>
    <w:rsid w:val="00874B14"/>
    <w:rsid w:val="00874FD0"/>
    <w:rsid w:val="00874FF2"/>
    <w:rsid w:val="00875371"/>
    <w:rsid w:val="00875415"/>
    <w:rsid w:val="0087545E"/>
    <w:rsid w:val="0087562E"/>
    <w:rsid w:val="0087583C"/>
    <w:rsid w:val="008758EF"/>
    <w:rsid w:val="00875B94"/>
    <w:rsid w:val="00875CDF"/>
    <w:rsid w:val="00875D41"/>
    <w:rsid w:val="0087622F"/>
    <w:rsid w:val="00876392"/>
    <w:rsid w:val="00876942"/>
    <w:rsid w:val="00876B02"/>
    <w:rsid w:val="00876F0A"/>
    <w:rsid w:val="00877247"/>
    <w:rsid w:val="00877442"/>
    <w:rsid w:val="0087765A"/>
    <w:rsid w:val="00877663"/>
    <w:rsid w:val="0087766D"/>
    <w:rsid w:val="00877E30"/>
    <w:rsid w:val="008801AE"/>
    <w:rsid w:val="008807E6"/>
    <w:rsid w:val="00880AA3"/>
    <w:rsid w:val="00880BC4"/>
    <w:rsid w:val="00881229"/>
    <w:rsid w:val="008812C2"/>
    <w:rsid w:val="0088160B"/>
    <w:rsid w:val="00881AC9"/>
    <w:rsid w:val="00881C1F"/>
    <w:rsid w:val="00881EF4"/>
    <w:rsid w:val="00882286"/>
    <w:rsid w:val="0088264F"/>
    <w:rsid w:val="00882778"/>
    <w:rsid w:val="00882F51"/>
    <w:rsid w:val="008830B2"/>
    <w:rsid w:val="00883928"/>
    <w:rsid w:val="0088421C"/>
    <w:rsid w:val="00884241"/>
    <w:rsid w:val="0088432B"/>
    <w:rsid w:val="008843A3"/>
    <w:rsid w:val="0088445B"/>
    <w:rsid w:val="008845CA"/>
    <w:rsid w:val="0088462F"/>
    <w:rsid w:val="008846E5"/>
    <w:rsid w:val="00884742"/>
    <w:rsid w:val="00884B3B"/>
    <w:rsid w:val="00884BDC"/>
    <w:rsid w:val="00884CA5"/>
    <w:rsid w:val="00884CC5"/>
    <w:rsid w:val="0088509B"/>
    <w:rsid w:val="008854AC"/>
    <w:rsid w:val="00885A6F"/>
    <w:rsid w:val="008861F2"/>
    <w:rsid w:val="0088638E"/>
    <w:rsid w:val="00886927"/>
    <w:rsid w:val="00886DF4"/>
    <w:rsid w:val="00886F8C"/>
    <w:rsid w:val="00887488"/>
    <w:rsid w:val="00887A10"/>
    <w:rsid w:val="00887C0C"/>
    <w:rsid w:val="00887D37"/>
    <w:rsid w:val="00887D5E"/>
    <w:rsid w:val="00887DA4"/>
    <w:rsid w:val="00887F79"/>
    <w:rsid w:val="00887F8D"/>
    <w:rsid w:val="008902A8"/>
    <w:rsid w:val="0089068D"/>
    <w:rsid w:val="0089100E"/>
    <w:rsid w:val="008910F7"/>
    <w:rsid w:val="00891250"/>
    <w:rsid w:val="00891961"/>
    <w:rsid w:val="00891AF6"/>
    <w:rsid w:val="00891B64"/>
    <w:rsid w:val="00891BC3"/>
    <w:rsid w:val="00891C43"/>
    <w:rsid w:val="0089205E"/>
    <w:rsid w:val="008924B5"/>
    <w:rsid w:val="00892B83"/>
    <w:rsid w:val="00892E91"/>
    <w:rsid w:val="008937C8"/>
    <w:rsid w:val="008937DC"/>
    <w:rsid w:val="008937F5"/>
    <w:rsid w:val="0089388E"/>
    <w:rsid w:val="00893992"/>
    <w:rsid w:val="00893E01"/>
    <w:rsid w:val="00894234"/>
    <w:rsid w:val="0089462F"/>
    <w:rsid w:val="0089467D"/>
    <w:rsid w:val="00894846"/>
    <w:rsid w:val="008949FE"/>
    <w:rsid w:val="00894B79"/>
    <w:rsid w:val="00894BE9"/>
    <w:rsid w:val="00894E0C"/>
    <w:rsid w:val="008950F3"/>
    <w:rsid w:val="008950FD"/>
    <w:rsid w:val="0089517D"/>
    <w:rsid w:val="00895767"/>
    <w:rsid w:val="008965D9"/>
    <w:rsid w:val="008967C4"/>
    <w:rsid w:val="008968FD"/>
    <w:rsid w:val="00896DD6"/>
    <w:rsid w:val="008971AC"/>
    <w:rsid w:val="00897451"/>
    <w:rsid w:val="0089748A"/>
    <w:rsid w:val="008A07A8"/>
    <w:rsid w:val="008A0849"/>
    <w:rsid w:val="008A0B91"/>
    <w:rsid w:val="008A0D2A"/>
    <w:rsid w:val="008A0D50"/>
    <w:rsid w:val="008A13B2"/>
    <w:rsid w:val="008A1693"/>
    <w:rsid w:val="008A1698"/>
    <w:rsid w:val="008A1BF3"/>
    <w:rsid w:val="008A24C3"/>
    <w:rsid w:val="008A254F"/>
    <w:rsid w:val="008A2630"/>
    <w:rsid w:val="008A2A30"/>
    <w:rsid w:val="008A2B82"/>
    <w:rsid w:val="008A3205"/>
    <w:rsid w:val="008A3224"/>
    <w:rsid w:val="008A3541"/>
    <w:rsid w:val="008A3542"/>
    <w:rsid w:val="008A3564"/>
    <w:rsid w:val="008A3756"/>
    <w:rsid w:val="008A39D1"/>
    <w:rsid w:val="008A3AFD"/>
    <w:rsid w:val="008A3BA4"/>
    <w:rsid w:val="008A3BED"/>
    <w:rsid w:val="008A43A1"/>
    <w:rsid w:val="008A4889"/>
    <w:rsid w:val="008A49B2"/>
    <w:rsid w:val="008A5833"/>
    <w:rsid w:val="008A5E95"/>
    <w:rsid w:val="008A5F3A"/>
    <w:rsid w:val="008A5FC2"/>
    <w:rsid w:val="008A6264"/>
    <w:rsid w:val="008A6A8C"/>
    <w:rsid w:val="008A6C20"/>
    <w:rsid w:val="008A6FDC"/>
    <w:rsid w:val="008A7372"/>
    <w:rsid w:val="008A73AB"/>
    <w:rsid w:val="008A75F6"/>
    <w:rsid w:val="008A7A4B"/>
    <w:rsid w:val="008A7AA4"/>
    <w:rsid w:val="008B05B3"/>
    <w:rsid w:val="008B070E"/>
    <w:rsid w:val="008B0B1F"/>
    <w:rsid w:val="008B0C70"/>
    <w:rsid w:val="008B11F0"/>
    <w:rsid w:val="008B1322"/>
    <w:rsid w:val="008B1650"/>
    <w:rsid w:val="008B1791"/>
    <w:rsid w:val="008B1C43"/>
    <w:rsid w:val="008B1CE4"/>
    <w:rsid w:val="008B1DDC"/>
    <w:rsid w:val="008B266C"/>
    <w:rsid w:val="008B27F0"/>
    <w:rsid w:val="008B2951"/>
    <w:rsid w:val="008B2E5A"/>
    <w:rsid w:val="008B3A88"/>
    <w:rsid w:val="008B3BBE"/>
    <w:rsid w:val="008B4135"/>
    <w:rsid w:val="008B45BA"/>
    <w:rsid w:val="008B4863"/>
    <w:rsid w:val="008B498E"/>
    <w:rsid w:val="008B4B98"/>
    <w:rsid w:val="008B4BFC"/>
    <w:rsid w:val="008B51B4"/>
    <w:rsid w:val="008B53F1"/>
    <w:rsid w:val="008B5965"/>
    <w:rsid w:val="008B5B67"/>
    <w:rsid w:val="008B5BC2"/>
    <w:rsid w:val="008B5D7A"/>
    <w:rsid w:val="008B5DBA"/>
    <w:rsid w:val="008B5DDD"/>
    <w:rsid w:val="008B5FB2"/>
    <w:rsid w:val="008B613A"/>
    <w:rsid w:val="008B61B3"/>
    <w:rsid w:val="008B637A"/>
    <w:rsid w:val="008B6526"/>
    <w:rsid w:val="008B65F6"/>
    <w:rsid w:val="008B66E3"/>
    <w:rsid w:val="008B690E"/>
    <w:rsid w:val="008B6B12"/>
    <w:rsid w:val="008B6C6E"/>
    <w:rsid w:val="008B6DC3"/>
    <w:rsid w:val="008B712A"/>
    <w:rsid w:val="008B7552"/>
    <w:rsid w:val="008B7848"/>
    <w:rsid w:val="008B7CAB"/>
    <w:rsid w:val="008C0123"/>
    <w:rsid w:val="008C01A0"/>
    <w:rsid w:val="008C0366"/>
    <w:rsid w:val="008C03C2"/>
    <w:rsid w:val="008C043D"/>
    <w:rsid w:val="008C04A4"/>
    <w:rsid w:val="008C1297"/>
    <w:rsid w:val="008C1888"/>
    <w:rsid w:val="008C1E05"/>
    <w:rsid w:val="008C1E9E"/>
    <w:rsid w:val="008C267C"/>
    <w:rsid w:val="008C2A2D"/>
    <w:rsid w:val="008C2AEF"/>
    <w:rsid w:val="008C2B51"/>
    <w:rsid w:val="008C2B77"/>
    <w:rsid w:val="008C2B9F"/>
    <w:rsid w:val="008C2C98"/>
    <w:rsid w:val="008C2CF3"/>
    <w:rsid w:val="008C2CF7"/>
    <w:rsid w:val="008C2FCF"/>
    <w:rsid w:val="008C3121"/>
    <w:rsid w:val="008C31B6"/>
    <w:rsid w:val="008C336B"/>
    <w:rsid w:val="008C34BB"/>
    <w:rsid w:val="008C3569"/>
    <w:rsid w:val="008C368E"/>
    <w:rsid w:val="008C38BD"/>
    <w:rsid w:val="008C38DF"/>
    <w:rsid w:val="008C3E32"/>
    <w:rsid w:val="008C3F10"/>
    <w:rsid w:val="008C41D9"/>
    <w:rsid w:val="008C43A1"/>
    <w:rsid w:val="008C43BB"/>
    <w:rsid w:val="008C45A6"/>
    <w:rsid w:val="008C45E2"/>
    <w:rsid w:val="008C4AEE"/>
    <w:rsid w:val="008C4B2A"/>
    <w:rsid w:val="008C4EA2"/>
    <w:rsid w:val="008C5084"/>
    <w:rsid w:val="008C50D6"/>
    <w:rsid w:val="008C5164"/>
    <w:rsid w:val="008C563D"/>
    <w:rsid w:val="008C5DCA"/>
    <w:rsid w:val="008C5E20"/>
    <w:rsid w:val="008C5EA0"/>
    <w:rsid w:val="008C5F10"/>
    <w:rsid w:val="008C5F3B"/>
    <w:rsid w:val="008C6308"/>
    <w:rsid w:val="008C63DF"/>
    <w:rsid w:val="008C6803"/>
    <w:rsid w:val="008C6CF7"/>
    <w:rsid w:val="008C72A8"/>
    <w:rsid w:val="008C732E"/>
    <w:rsid w:val="008C73F9"/>
    <w:rsid w:val="008C7531"/>
    <w:rsid w:val="008C755A"/>
    <w:rsid w:val="008C76E2"/>
    <w:rsid w:val="008C7C2B"/>
    <w:rsid w:val="008D06D7"/>
    <w:rsid w:val="008D08FF"/>
    <w:rsid w:val="008D0B23"/>
    <w:rsid w:val="008D1032"/>
    <w:rsid w:val="008D14AA"/>
    <w:rsid w:val="008D1ECF"/>
    <w:rsid w:val="008D20CA"/>
    <w:rsid w:val="008D223D"/>
    <w:rsid w:val="008D22D1"/>
    <w:rsid w:val="008D24CF"/>
    <w:rsid w:val="008D270C"/>
    <w:rsid w:val="008D28FA"/>
    <w:rsid w:val="008D2953"/>
    <w:rsid w:val="008D2DF0"/>
    <w:rsid w:val="008D2DF2"/>
    <w:rsid w:val="008D2FE4"/>
    <w:rsid w:val="008D3726"/>
    <w:rsid w:val="008D3AC6"/>
    <w:rsid w:val="008D3C47"/>
    <w:rsid w:val="008D3CF3"/>
    <w:rsid w:val="008D3E5F"/>
    <w:rsid w:val="008D4393"/>
    <w:rsid w:val="008D4453"/>
    <w:rsid w:val="008D470C"/>
    <w:rsid w:val="008D4975"/>
    <w:rsid w:val="008D4BEE"/>
    <w:rsid w:val="008D4CB0"/>
    <w:rsid w:val="008D51CF"/>
    <w:rsid w:val="008D5399"/>
    <w:rsid w:val="008D56AD"/>
    <w:rsid w:val="008D5864"/>
    <w:rsid w:val="008D5905"/>
    <w:rsid w:val="008D59FE"/>
    <w:rsid w:val="008D5EBF"/>
    <w:rsid w:val="008D6336"/>
    <w:rsid w:val="008D6397"/>
    <w:rsid w:val="008D6947"/>
    <w:rsid w:val="008D716F"/>
    <w:rsid w:val="008D724C"/>
    <w:rsid w:val="008D7355"/>
    <w:rsid w:val="008D7361"/>
    <w:rsid w:val="008D73C9"/>
    <w:rsid w:val="008D747B"/>
    <w:rsid w:val="008D76EB"/>
    <w:rsid w:val="008D7771"/>
    <w:rsid w:val="008D7E10"/>
    <w:rsid w:val="008E0593"/>
    <w:rsid w:val="008E06CA"/>
    <w:rsid w:val="008E0B37"/>
    <w:rsid w:val="008E0B83"/>
    <w:rsid w:val="008E0C2A"/>
    <w:rsid w:val="008E0CFA"/>
    <w:rsid w:val="008E120C"/>
    <w:rsid w:val="008E12D8"/>
    <w:rsid w:val="008E130C"/>
    <w:rsid w:val="008E16BF"/>
    <w:rsid w:val="008E187F"/>
    <w:rsid w:val="008E1A26"/>
    <w:rsid w:val="008E1A84"/>
    <w:rsid w:val="008E2ABC"/>
    <w:rsid w:val="008E2B78"/>
    <w:rsid w:val="008E2DC6"/>
    <w:rsid w:val="008E3049"/>
    <w:rsid w:val="008E325F"/>
    <w:rsid w:val="008E3293"/>
    <w:rsid w:val="008E3347"/>
    <w:rsid w:val="008E3465"/>
    <w:rsid w:val="008E35A3"/>
    <w:rsid w:val="008E381E"/>
    <w:rsid w:val="008E3C53"/>
    <w:rsid w:val="008E42AA"/>
    <w:rsid w:val="008E44BC"/>
    <w:rsid w:val="008E44E1"/>
    <w:rsid w:val="008E4978"/>
    <w:rsid w:val="008E4BF9"/>
    <w:rsid w:val="008E51B9"/>
    <w:rsid w:val="008E5825"/>
    <w:rsid w:val="008E5840"/>
    <w:rsid w:val="008E5C41"/>
    <w:rsid w:val="008E5C4D"/>
    <w:rsid w:val="008E6028"/>
    <w:rsid w:val="008E6330"/>
    <w:rsid w:val="008E63D5"/>
    <w:rsid w:val="008E6406"/>
    <w:rsid w:val="008E65D4"/>
    <w:rsid w:val="008E66E3"/>
    <w:rsid w:val="008E6D4D"/>
    <w:rsid w:val="008E7274"/>
    <w:rsid w:val="008E72F2"/>
    <w:rsid w:val="008E79CB"/>
    <w:rsid w:val="008E7B7C"/>
    <w:rsid w:val="008E7F4E"/>
    <w:rsid w:val="008F04CE"/>
    <w:rsid w:val="008F04F5"/>
    <w:rsid w:val="008F0562"/>
    <w:rsid w:val="008F0A70"/>
    <w:rsid w:val="008F0DAF"/>
    <w:rsid w:val="008F103D"/>
    <w:rsid w:val="008F118D"/>
    <w:rsid w:val="008F13B6"/>
    <w:rsid w:val="008F1538"/>
    <w:rsid w:val="008F1638"/>
    <w:rsid w:val="008F202B"/>
    <w:rsid w:val="008F20D5"/>
    <w:rsid w:val="008F23F0"/>
    <w:rsid w:val="008F260B"/>
    <w:rsid w:val="008F264F"/>
    <w:rsid w:val="008F288E"/>
    <w:rsid w:val="008F2E77"/>
    <w:rsid w:val="008F2ECB"/>
    <w:rsid w:val="008F2ED0"/>
    <w:rsid w:val="008F34B3"/>
    <w:rsid w:val="008F38B6"/>
    <w:rsid w:val="008F3A1D"/>
    <w:rsid w:val="008F3CC7"/>
    <w:rsid w:val="008F3E29"/>
    <w:rsid w:val="008F40E0"/>
    <w:rsid w:val="008F421F"/>
    <w:rsid w:val="008F43B1"/>
    <w:rsid w:val="008F4561"/>
    <w:rsid w:val="008F4729"/>
    <w:rsid w:val="008F4771"/>
    <w:rsid w:val="008F48BD"/>
    <w:rsid w:val="008F4AC4"/>
    <w:rsid w:val="008F53C6"/>
    <w:rsid w:val="008F573A"/>
    <w:rsid w:val="008F5CC3"/>
    <w:rsid w:val="008F5ED7"/>
    <w:rsid w:val="008F5F67"/>
    <w:rsid w:val="008F6170"/>
    <w:rsid w:val="008F6770"/>
    <w:rsid w:val="008F69A1"/>
    <w:rsid w:val="008F6DD2"/>
    <w:rsid w:val="008F708E"/>
    <w:rsid w:val="008F751E"/>
    <w:rsid w:val="008F7771"/>
    <w:rsid w:val="008F7DBB"/>
    <w:rsid w:val="008F7DBF"/>
    <w:rsid w:val="008F7ECF"/>
    <w:rsid w:val="0090016D"/>
    <w:rsid w:val="0090025E"/>
    <w:rsid w:val="00900260"/>
    <w:rsid w:val="00900279"/>
    <w:rsid w:val="00900D5B"/>
    <w:rsid w:val="00901458"/>
    <w:rsid w:val="009015FE"/>
    <w:rsid w:val="00901A24"/>
    <w:rsid w:val="00901B88"/>
    <w:rsid w:val="00901B95"/>
    <w:rsid w:val="00901D07"/>
    <w:rsid w:val="00901DE0"/>
    <w:rsid w:val="00902192"/>
    <w:rsid w:val="0090227B"/>
    <w:rsid w:val="00902521"/>
    <w:rsid w:val="009026A4"/>
    <w:rsid w:val="00902983"/>
    <w:rsid w:val="00902CAD"/>
    <w:rsid w:val="009033AC"/>
    <w:rsid w:val="00903586"/>
    <w:rsid w:val="009035FE"/>
    <w:rsid w:val="00903CCB"/>
    <w:rsid w:val="00903FD5"/>
    <w:rsid w:val="009041F2"/>
    <w:rsid w:val="009043E7"/>
    <w:rsid w:val="009048CE"/>
    <w:rsid w:val="009049A8"/>
    <w:rsid w:val="009051ED"/>
    <w:rsid w:val="00905290"/>
    <w:rsid w:val="009054A4"/>
    <w:rsid w:val="0090570E"/>
    <w:rsid w:val="009057A1"/>
    <w:rsid w:val="00905985"/>
    <w:rsid w:val="00905BF5"/>
    <w:rsid w:val="00906541"/>
    <w:rsid w:val="0090698B"/>
    <w:rsid w:val="00906D11"/>
    <w:rsid w:val="00906E65"/>
    <w:rsid w:val="00907321"/>
    <w:rsid w:val="00907341"/>
    <w:rsid w:val="009077C3"/>
    <w:rsid w:val="00907ACB"/>
    <w:rsid w:val="00907CAD"/>
    <w:rsid w:val="00907DA6"/>
    <w:rsid w:val="00910044"/>
    <w:rsid w:val="009101BA"/>
    <w:rsid w:val="0091053B"/>
    <w:rsid w:val="00910B89"/>
    <w:rsid w:val="00911062"/>
    <w:rsid w:val="0091146A"/>
    <w:rsid w:val="00911A41"/>
    <w:rsid w:val="00911A42"/>
    <w:rsid w:val="00911DFF"/>
    <w:rsid w:val="00912113"/>
    <w:rsid w:val="0091212E"/>
    <w:rsid w:val="009121CF"/>
    <w:rsid w:val="00912331"/>
    <w:rsid w:val="00912883"/>
    <w:rsid w:val="00912ADB"/>
    <w:rsid w:val="00912C79"/>
    <w:rsid w:val="00912F2A"/>
    <w:rsid w:val="00913081"/>
    <w:rsid w:val="009134AB"/>
    <w:rsid w:val="0091366D"/>
    <w:rsid w:val="00913698"/>
    <w:rsid w:val="00913D39"/>
    <w:rsid w:val="00913DA7"/>
    <w:rsid w:val="009144D5"/>
    <w:rsid w:val="009147D8"/>
    <w:rsid w:val="00914B75"/>
    <w:rsid w:val="00914E0F"/>
    <w:rsid w:val="0091512F"/>
    <w:rsid w:val="00915795"/>
    <w:rsid w:val="00915B6C"/>
    <w:rsid w:val="00915BCB"/>
    <w:rsid w:val="00915E3C"/>
    <w:rsid w:val="00915E52"/>
    <w:rsid w:val="00915EE6"/>
    <w:rsid w:val="00915F98"/>
    <w:rsid w:val="00915FA3"/>
    <w:rsid w:val="0091667F"/>
    <w:rsid w:val="00916EB5"/>
    <w:rsid w:val="00917321"/>
    <w:rsid w:val="0091741C"/>
    <w:rsid w:val="0091746B"/>
    <w:rsid w:val="0091749C"/>
    <w:rsid w:val="0091795F"/>
    <w:rsid w:val="00917ABE"/>
    <w:rsid w:val="00917B9C"/>
    <w:rsid w:val="00917DC8"/>
    <w:rsid w:val="0092015C"/>
    <w:rsid w:val="00920494"/>
    <w:rsid w:val="009209C8"/>
    <w:rsid w:val="00920ADF"/>
    <w:rsid w:val="00920C3F"/>
    <w:rsid w:val="009216A3"/>
    <w:rsid w:val="009217F8"/>
    <w:rsid w:val="00921AC0"/>
    <w:rsid w:val="00922C9D"/>
    <w:rsid w:val="0092305E"/>
    <w:rsid w:val="0092315E"/>
    <w:rsid w:val="0092340C"/>
    <w:rsid w:val="009234AA"/>
    <w:rsid w:val="00923982"/>
    <w:rsid w:val="00924401"/>
    <w:rsid w:val="0092470E"/>
    <w:rsid w:val="00924A02"/>
    <w:rsid w:val="00924A4A"/>
    <w:rsid w:val="00924A50"/>
    <w:rsid w:val="00925187"/>
    <w:rsid w:val="00925479"/>
    <w:rsid w:val="00925559"/>
    <w:rsid w:val="00925751"/>
    <w:rsid w:val="00925A31"/>
    <w:rsid w:val="00925B10"/>
    <w:rsid w:val="00925DD1"/>
    <w:rsid w:val="00925F0C"/>
    <w:rsid w:val="00926969"/>
    <w:rsid w:val="0092709C"/>
    <w:rsid w:val="00927170"/>
    <w:rsid w:val="0092717F"/>
    <w:rsid w:val="00927522"/>
    <w:rsid w:val="00927557"/>
    <w:rsid w:val="00927604"/>
    <w:rsid w:val="00927744"/>
    <w:rsid w:val="00927B05"/>
    <w:rsid w:val="00930248"/>
    <w:rsid w:val="009309A2"/>
    <w:rsid w:val="00930A8A"/>
    <w:rsid w:val="00930DAA"/>
    <w:rsid w:val="00930F4E"/>
    <w:rsid w:val="00931550"/>
    <w:rsid w:val="009315CD"/>
    <w:rsid w:val="00931607"/>
    <w:rsid w:val="00931A55"/>
    <w:rsid w:val="00931AD8"/>
    <w:rsid w:val="00931E3E"/>
    <w:rsid w:val="00931ED5"/>
    <w:rsid w:val="00932689"/>
    <w:rsid w:val="0093271F"/>
    <w:rsid w:val="00932906"/>
    <w:rsid w:val="009329C0"/>
    <w:rsid w:val="009329F6"/>
    <w:rsid w:val="00932C64"/>
    <w:rsid w:val="009330F3"/>
    <w:rsid w:val="00933134"/>
    <w:rsid w:val="00933600"/>
    <w:rsid w:val="00933671"/>
    <w:rsid w:val="009336AD"/>
    <w:rsid w:val="00933EA4"/>
    <w:rsid w:val="0093479F"/>
    <w:rsid w:val="00934818"/>
    <w:rsid w:val="0093483D"/>
    <w:rsid w:val="00934962"/>
    <w:rsid w:val="00934BD0"/>
    <w:rsid w:val="00934FBD"/>
    <w:rsid w:val="00935037"/>
    <w:rsid w:val="0093539C"/>
    <w:rsid w:val="00935871"/>
    <w:rsid w:val="00935987"/>
    <w:rsid w:val="00936062"/>
    <w:rsid w:val="0093618A"/>
    <w:rsid w:val="009361EA"/>
    <w:rsid w:val="00936BB2"/>
    <w:rsid w:val="00936CBD"/>
    <w:rsid w:val="00936FF0"/>
    <w:rsid w:val="009371DB"/>
    <w:rsid w:val="0093720D"/>
    <w:rsid w:val="0093728A"/>
    <w:rsid w:val="0093732A"/>
    <w:rsid w:val="00937441"/>
    <w:rsid w:val="0093750B"/>
    <w:rsid w:val="009377F4"/>
    <w:rsid w:val="00937B3A"/>
    <w:rsid w:val="00937BBE"/>
    <w:rsid w:val="00937CB5"/>
    <w:rsid w:val="00937CBE"/>
    <w:rsid w:val="00937F20"/>
    <w:rsid w:val="009409C1"/>
    <w:rsid w:val="0094109A"/>
    <w:rsid w:val="009411B1"/>
    <w:rsid w:val="009412E5"/>
    <w:rsid w:val="00941409"/>
    <w:rsid w:val="00941967"/>
    <w:rsid w:val="00942044"/>
    <w:rsid w:val="00942189"/>
    <w:rsid w:val="009425B8"/>
    <w:rsid w:val="00942D6E"/>
    <w:rsid w:val="00942DB6"/>
    <w:rsid w:val="00942E53"/>
    <w:rsid w:val="00942EB4"/>
    <w:rsid w:val="00942F61"/>
    <w:rsid w:val="009434F8"/>
    <w:rsid w:val="0094380A"/>
    <w:rsid w:val="00943A66"/>
    <w:rsid w:val="00943D3B"/>
    <w:rsid w:val="00944087"/>
    <w:rsid w:val="00944296"/>
    <w:rsid w:val="0094429D"/>
    <w:rsid w:val="00944330"/>
    <w:rsid w:val="0094439E"/>
    <w:rsid w:val="0094474E"/>
    <w:rsid w:val="009448BF"/>
    <w:rsid w:val="00944A15"/>
    <w:rsid w:val="00944E74"/>
    <w:rsid w:val="009450FA"/>
    <w:rsid w:val="0094554E"/>
    <w:rsid w:val="00945882"/>
    <w:rsid w:val="009459DF"/>
    <w:rsid w:val="00945DE5"/>
    <w:rsid w:val="0094621A"/>
    <w:rsid w:val="009464EA"/>
    <w:rsid w:val="00946B64"/>
    <w:rsid w:val="00946CD6"/>
    <w:rsid w:val="00947039"/>
    <w:rsid w:val="0094710E"/>
    <w:rsid w:val="0094714A"/>
    <w:rsid w:val="0094723B"/>
    <w:rsid w:val="00947329"/>
    <w:rsid w:val="0094745C"/>
    <w:rsid w:val="00947C42"/>
    <w:rsid w:val="0095012E"/>
    <w:rsid w:val="00950691"/>
    <w:rsid w:val="00950758"/>
    <w:rsid w:val="00950A59"/>
    <w:rsid w:val="00950B99"/>
    <w:rsid w:val="00950BF7"/>
    <w:rsid w:val="00950CA3"/>
    <w:rsid w:val="009514E0"/>
    <w:rsid w:val="00951934"/>
    <w:rsid w:val="00951CB3"/>
    <w:rsid w:val="00951DBA"/>
    <w:rsid w:val="00951EDE"/>
    <w:rsid w:val="0095207B"/>
    <w:rsid w:val="009520B1"/>
    <w:rsid w:val="0095221F"/>
    <w:rsid w:val="0095245E"/>
    <w:rsid w:val="00952E98"/>
    <w:rsid w:val="00953391"/>
    <w:rsid w:val="0095348E"/>
    <w:rsid w:val="00953A08"/>
    <w:rsid w:val="00953C99"/>
    <w:rsid w:val="00953DD8"/>
    <w:rsid w:val="00953EDC"/>
    <w:rsid w:val="009544B4"/>
    <w:rsid w:val="00954559"/>
    <w:rsid w:val="009545A8"/>
    <w:rsid w:val="009546D3"/>
    <w:rsid w:val="00954AC7"/>
    <w:rsid w:val="00954C8C"/>
    <w:rsid w:val="00954EEE"/>
    <w:rsid w:val="00954FEA"/>
    <w:rsid w:val="00955566"/>
    <w:rsid w:val="009555AB"/>
    <w:rsid w:val="00955628"/>
    <w:rsid w:val="00955696"/>
    <w:rsid w:val="00955856"/>
    <w:rsid w:val="00955B67"/>
    <w:rsid w:val="009561DD"/>
    <w:rsid w:val="00956ACE"/>
    <w:rsid w:val="00956ACF"/>
    <w:rsid w:val="0095704A"/>
    <w:rsid w:val="009572A0"/>
    <w:rsid w:val="009572EE"/>
    <w:rsid w:val="00957D24"/>
    <w:rsid w:val="00957EBB"/>
    <w:rsid w:val="009601CF"/>
    <w:rsid w:val="00960281"/>
    <w:rsid w:val="00960362"/>
    <w:rsid w:val="00960469"/>
    <w:rsid w:val="0096059D"/>
    <w:rsid w:val="00960821"/>
    <w:rsid w:val="00960DCF"/>
    <w:rsid w:val="00960F1D"/>
    <w:rsid w:val="00961584"/>
    <w:rsid w:val="009615CB"/>
    <w:rsid w:val="009618DD"/>
    <w:rsid w:val="0096191D"/>
    <w:rsid w:val="00961B22"/>
    <w:rsid w:val="00961B53"/>
    <w:rsid w:val="0096212B"/>
    <w:rsid w:val="00962496"/>
    <w:rsid w:val="0096251D"/>
    <w:rsid w:val="009628D7"/>
    <w:rsid w:val="00962D78"/>
    <w:rsid w:val="00962F22"/>
    <w:rsid w:val="00962FAE"/>
    <w:rsid w:val="00963264"/>
    <w:rsid w:val="00963663"/>
    <w:rsid w:val="0096389D"/>
    <w:rsid w:val="0096396A"/>
    <w:rsid w:val="00963FD0"/>
    <w:rsid w:val="00964612"/>
    <w:rsid w:val="009646F9"/>
    <w:rsid w:val="009647AF"/>
    <w:rsid w:val="00964A16"/>
    <w:rsid w:val="00964D6B"/>
    <w:rsid w:val="00964D76"/>
    <w:rsid w:val="00965064"/>
    <w:rsid w:val="00965081"/>
    <w:rsid w:val="009653DA"/>
    <w:rsid w:val="009654BE"/>
    <w:rsid w:val="009654F3"/>
    <w:rsid w:val="00965B85"/>
    <w:rsid w:val="00965CCE"/>
    <w:rsid w:val="00965D1D"/>
    <w:rsid w:val="00965D84"/>
    <w:rsid w:val="00965E4D"/>
    <w:rsid w:val="00965F53"/>
    <w:rsid w:val="009665FB"/>
    <w:rsid w:val="00966703"/>
    <w:rsid w:val="009667EB"/>
    <w:rsid w:val="00966949"/>
    <w:rsid w:val="00966A71"/>
    <w:rsid w:val="00966EA1"/>
    <w:rsid w:val="00967549"/>
    <w:rsid w:val="0096755D"/>
    <w:rsid w:val="009676C0"/>
    <w:rsid w:val="00967ABA"/>
    <w:rsid w:val="00967B84"/>
    <w:rsid w:val="00967E2C"/>
    <w:rsid w:val="00967E99"/>
    <w:rsid w:val="009706B4"/>
    <w:rsid w:val="00970CF2"/>
    <w:rsid w:val="009710DA"/>
    <w:rsid w:val="00971210"/>
    <w:rsid w:val="00971639"/>
    <w:rsid w:val="009717F5"/>
    <w:rsid w:val="0097181D"/>
    <w:rsid w:val="0097186C"/>
    <w:rsid w:val="00971995"/>
    <w:rsid w:val="00971BFF"/>
    <w:rsid w:val="00971DF0"/>
    <w:rsid w:val="00971E12"/>
    <w:rsid w:val="00972202"/>
    <w:rsid w:val="00972A0F"/>
    <w:rsid w:val="00973105"/>
    <w:rsid w:val="009732CE"/>
    <w:rsid w:val="009734D0"/>
    <w:rsid w:val="00973A78"/>
    <w:rsid w:val="00973CCC"/>
    <w:rsid w:val="009744DA"/>
    <w:rsid w:val="00974638"/>
    <w:rsid w:val="009749EF"/>
    <w:rsid w:val="00974C98"/>
    <w:rsid w:val="00974CFD"/>
    <w:rsid w:val="0097534C"/>
    <w:rsid w:val="00976218"/>
    <w:rsid w:val="0097635E"/>
    <w:rsid w:val="009765BE"/>
    <w:rsid w:val="00976643"/>
    <w:rsid w:val="009766BD"/>
    <w:rsid w:val="00976A91"/>
    <w:rsid w:val="00976B65"/>
    <w:rsid w:val="009775C4"/>
    <w:rsid w:val="00977B6D"/>
    <w:rsid w:val="00977BF4"/>
    <w:rsid w:val="00977F4B"/>
    <w:rsid w:val="009803A9"/>
    <w:rsid w:val="009803CB"/>
    <w:rsid w:val="009803D4"/>
    <w:rsid w:val="009805D9"/>
    <w:rsid w:val="009807A2"/>
    <w:rsid w:val="00980E2E"/>
    <w:rsid w:val="009811FF"/>
    <w:rsid w:val="00981497"/>
    <w:rsid w:val="00981633"/>
    <w:rsid w:val="00981741"/>
    <w:rsid w:val="0098199C"/>
    <w:rsid w:val="00981A8D"/>
    <w:rsid w:val="00981AB6"/>
    <w:rsid w:val="00981FE3"/>
    <w:rsid w:val="0098257C"/>
    <w:rsid w:val="00982605"/>
    <w:rsid w:val="0098268D"/>
    <w:rsid w:val="0098298A"/>
    <w:rsid w:val="00982DF7"/>
    <w:rsid w:val="00983138"/>
    <w:rsid w:val="009836DF"/>
    <w:rsid w:val="00983A23"/>
    <w:rsid w:val="00983EE0"/>
    <w:rsid w:val="009844B5"/>
    <w:rsid w:val="00984637"/>
    <w:rsid w:val="009846E7"/>
    <w:rsid w:val="00984AE4"/>
    <w:rsid w:val="00984B34"/>
    <w:rsid w:val="00984DEA"/>
    <w:rsid w:val="00984E92"/>
    <w:rsid w:val="00984E9A"/>
    <w:rsid w:val="00984F52"/>
    <w:rsid w:val="00984F6F"/>
    <w:rsid w:val="00985361"/>
    <w:rsid w:val="00985364"/>
    <w:rsid w:val="00985449"/>
    <w:rsid w:val="009859B7"/>
    <w:rsid w:val="00985B85"/>
    <w:rsid w:val="00985E3C"/>
    <w:rsid w:val="009863CB"/>
    <w:rsid w:val="009863ED"/>
    <w:rsid w:val="0098658A"/>
    <w:rsid w:val="0098674D"/>
    <w:rsid w:val="00986DE0"/>
    <w:rsid w:val="009873F3"/>
    <w:rsid w:val="009874B4"/>
    <w:rsid w:val="009877F7"/>
    <w:rsid w:val="00987B7C"/>
    <w:rsid w:val="00987CA0"/>
    <w:rsid w:val="00987E39"/>
    <w:rsid w:val="0099016F"/>
    <w:rsid w:val="009901BA"/>
    <w:rsid w:val="009901C6"/>
    <w:rsid w:val="0099066B"/>
    <w:rsid w:val="009907B7"/>
    <w:rsid w:val="009909BF"/>
    <w:rsid w:val="00991016"/>
    <w:rsid w:val="0099101F"/>
    <w:rsid w:val="00991335"/>
    <w:rsid w:val="00991522"/>
    <w:rsid w:val="0099162F"/>
    <w:rsid w:val="00991804"/>
    <w:rsid w:val="00991ECF"/>
    <w:rsid w:val="00991F58"/>
    <w:rsid w:val="009920D0"/>
    <w:rsid w:val="009920F1"/>
    <w:rsid w:val="00992143"/>
    <w:rsid w:val="0099218E"/>
    <w:rsid w:val="009924C5"/>
    <w:rsid w:val="009927D5"/>
    <w:rsid w:val="00992A8D"/>
    <w:rsid w:val="00992AE0"/>
    <w:rsid w:val="00992C83"/>
    <w:rsid w:val="00992FC1"/>
    <w:rsid w:val="009948CC"/>
    <w:rsid w:val="00994931"/>
    <w:rsid w:val="00994980"/>
    <w:rsid w:val="00994AD1"/>
    <w:rsid w:val="009950AA"/>
    <w:rsid w:val="009957A0"/>
    <w:rsid w:val="00995AC8"/>
    <w:rsid w:val="00995B6A"/>
    <w:rsid w:val="00995D49"/>
    <w:rsid w:val="00995E98"/>
    <w:rsid w:val="00996106"/>
    <w:rsid w:val="00996385"/>
    <w:rsid w:val="00996935"/>
    <w:rsid w:val="00996D9D"/>
    <w:rsid w:val="00996E4E"/>
    <w:rsid w:val="00996EA1"/>
    <w:rsid w:val="00996F15"/>
    <w:rsid w:val="009974C2"/>
    <w:rsid w:val="009977CA"/>
    <w:rsid w:val="00997AB0"/>
    <w:rsid w:val="00997B14"/>
    <w:rsid w:val="00997BA8"/>
    <w:rsid w:val="00997D97"/>
    <w:rsid w:val="009A0593"/>
    <w:rsid w:val="009A0669"/>
    <w:rsid w:val="009A06F4"/>
    <w:rsid w:val="009A0906"/>
    <w:rsid w:val="009A093B"/>
    <w:rsid w:val="009A098C"/>
    <w:rsid w:val="009A0DB0"/>
    <w:rsid w:val="009A0EF1"/>
    <w:rsid w:val="009A139E"/>
    <w:rsid w:val="009A171C"/>
    <w:rsid w:val="009A1E0E"/>
    <w:rsid w:val="009A2C43"/>
    <w:rsid w:val="009A2F88"/>
    <w:rsid w:val="009A3054"/>
    <w:rsid w:val="009A30DF"/>
    <w:rsid w:val="009A3778"/>
    <w:rsid w:val="009A38F4"/>
    <w:rsid w:val="009A3E2E"/>
    <w:rsid w:val="009A3EF3"/>
    <w:rsid w:val="009A45AF"/>
    <w:rsid w:val="009A45FF"/>
    <w:rsid w:val="009A4759"/>
    <w:rsid w:val="009A477E"/>
    <w:rsid w:val="009A4AC6"/>
    <w:rsid w:val="009A4B2C"/>
    <w:rsid w:val="009A4C0D"/>
    <w:rsid w:val="009A4F58"/>
    <w:rsid w:val="009A59F4"/>
    <w:rsid w:val="009A5A85"/>
    <w:rsid w:val="009A5C6D"/>
    <w:rsid w:val="009A5D58"/>
    <w:rsid w:val="009A65CF"/>
    <w:rsid w:val="009A6955"/>
    <w:rsid w:val="009A76E9"/>
    <w:rsid w:val="009A7F34"/>
    <w:rsid w:val="009B04FE"/>
    <w:rsid w:val="009B0CDE"/>
    <w:rsid w:val="009B0D43"/>
    <w:rsid w:val="009B0F61"/>
    <w:rsid w:val="009B1016"/>
    <w:rsid w:val="009B1212"/>
    <w:rsid w:val="009B1391"/>
    <w:rsid w:val="009B13BF"/>
    <w:rsid w:val="009B185B"/>
    <w:rsid w:val="009B18F1"/>
    <w:rsid w:val="009B1CC0"/>
    <w:rsid w:val="009B1EFB"/>
    <w:rsid w:val="009B1F72"/>
    <w:rsid w:val="009B1FA8"/>
    <w:rsid w:val="009B2245"/>
    <w:rsid w:val="009B258E"/>
    <w:rsid w:val="009B2700"/>
    <w:rsid w:val="009B2D5A"/>
    <w:rsid w:val="009B2F8C"/>
    <w:rsid w:val="009B2FE1"/>
    <w:rsid w:val="009B311B"/>
    <w:rsid w:val="009B3666"/>
    <w:rsid w:val="009B383D"/>
    <w:rsid w:val="009B3E7E"/>
    <w:rsid w:val="009B41ED"/>
    <w:rsid w:val="009B4679"/>
    <w:rsid w:val="009B4CBC"/>
    <w:rsid w:val="009B4E8C"/>
    <w:rsid w:val="009B518C"/>
    <w:rsid w:val="009B5349"/>
    <w:rsid w:val="009B5679"/>
    <w:rsid w:val="009B5997"/>
    <w:rsid w:val="009B5D98"/>
    <w:rsid w:val="009B66CA"/>
    <w:rsid w:val="009B69B3"/>
    <w:rsid w:val="009B6B23"/>
    <w:rsid w:val="009B6BA2"/>
    <w:rsid w:val="009B6BE5"/>
    <w:rsid w:val="009B6D3B"/>
    <w:rsid w:val="009B703E"/>
    <w:rsid w:val="009B723A"/>
    <w:rsid w:val="009B76D0"/>
    <w:rsid w:val="009B7834"/>
    <w:rsid w:val="009B797F"/>
    <w:rsid w:val="009B7ABD"/>
    <w:rsid w:val="009C009F"/>
    <w:rsid w:val="009C0A3E"/>
    <w:rsid w:val="009C1443"/>
    <w:rsid w:val="009C1477"/>
    <w:rsid w:val="009C149F"/>
    <w:rsid w:val="009C1724"/>
    <w:rsid w:val="009C1BE8"/>
    <w:rsid w:val="009C1D27"/>
    <w:rsid w:val="009C1F2D"/>
    <w:rsid w:val="009C204F"/>
    <w:rsid w:val="009C225C"/>
    <w:rsid w:val="009C22EF"/>
    <w:rsid w:val="009C2931"/>
    <w:rsid w:val="009C2BC0"/>
    <w:rsid w:val="009C2D44"/>
    <w:rsid w:val="009C2DB6"/>
    <w:rsid w:val="009C301E"/>
    <w:rsid w:val="009C33DD"/>
    <w:rsid w:val="009C3BD9"/>
    <w:rsid w:val="009C3C63"/>
    <w:rsid w:val="009C43BD"/>
    <w:rsid w:val="009C4791"/>
    <w:rsid w:val="009C4BDD"/>
    <w:rsid w:val="009C534A"/>
    <w:rsid w:val="009C55C9"/>
    <w:rsid w:val="009C5B82"/>
    <w:rsid w:val="009C5E24"/>
    <w:rsid w:val="009C62B0"/>
    <w:rsid w:val="009C64F5"/>
    <w:rsid w:val="009C6B35"/>
    <w:rsid w:val="009C6EE6"/>
    <w:rsid w:val="009C6FBC"/>
    <w:rsid w:val="009C6FC9"/>
    <w:rsid w:val="009C706E"/>
    <w:rsid w:val="009C756E"/>
    <w:rsid w:val="009C7DBD"/>
    <w:rsid w:val="009C7F10"/>
    <w:rsid w:val="009D00D8"/>
    <w:rsid w:val="009D016E"/>
    <w:rsid w:val="009D025B"/>
    <w:rsid w:val="009D0652"/>
    <w:rsid w:val="009D07F4"/>
    <w:rsid w:val="009D0DD3"/>
    <w:rsid w:val="009D0F09"/>
    <w:rsid w:val="009D116B"/>
    <w:rsid w:val="009D1793"/>
    <w:rsid w:val="009D17BC"/>
    <w:rsid w:val="009D21BE"/>
    <w:rsid w:val="009D226E"/>
    <w:rsid w:val="009D24E9"/>
    <w:rsid w:val="009D2745"/>
    <w:rsid w:val="009D283E"/>
    <w:rsid w:val="009D29BA"/>
    <w:rsid w:val="009D2B29"/>
    <w:rsid w:val="009D2D4A"/>
    <w:rsid w:val="009D32BD"/>
    <w:rsid w:val="009D3396"/>
    <w:rsid w:val="009D3C3D"/>
    <w:rsid w:val="009D41E3"/>
    <w:rsid w:val="009D459D"/>
    <w:rsid w:val="009D45E6"/>
    <w:rsid w:val="009D45F7"/>
    <w:rsid w:val="009D4604"/>
    <w:rsid w:val="009D4797"/>
    <w:rsid w:val="009D496A"/>
    <w:rsid w:val="009D51CE"/>
    <w:rsid w:val="009D5288"/>
    <w:rsid w:val="009D5D3A"/>
    <w:rsid w:val="009D5EB2"/>
    <w:rsid w:val="009D6051"/>
    <w:rsid w:val="009D62B8"/>
    <w:rsid w:val="009D6766"/>
    <w:rsid w:val="009D6842"/>
    <w:rsid w:val="009D6C9D"/>
    <w:rsid w:val="009D6D15"/>
    <w:rsid w:val="009D6D42"/>
    <w:rsid w:val="009D6EB4"/>
    <w:rsid w:val="009D74C1"/>
    <w:rsid w:val="009D7562"/>
    <w:rsid w:val="009D7810"/>
    <w:rsid w:val="009D7B58"/>
    <w:rsid w:val="009D7B65"/>
    <w:rsid w:val="009D7F43"/>
    <w:rsid w:val="009E090A"/>
    <w:rsid w:val="009E0B17"/>
    <w:rsid w:val="009E1C7B"/>
    <w:rsid w:val="009E2295"/>
    <w:rsid w:val="009E260C"/>
    <w:rsid w:val="009E2AD3"/>
    <w:rsid w:val="009E2AD6"/>
    <w:rsid w:val="009E2B06"/>
    <w:rsid w:val="009E2DFD"/>
    <w:rsid w:val="009E309B"/>
    <w:rsid w:val="009E31CB"/>
    <w:rsid w:val="009E3242"/>
    <w:rsid w:val="009E3455"/>
    <w:rsid w:val="009E353C"/>
    <w:rsid w:val="009E38D9"/>
    <w:rsid w:val="009E3991"/>
    <w:rsid w:val="009E4059"/>
    <w:rsid w:val="009E44BB"/>
    <w:rsid w:val="009E44BD"/>
    <w:rsid w:val="009E47E5"/>
    <w:rsid w:val="009E4A09"/>
    <w:rsid w:val="009E4CDB"/>
    <w:rsid w:val="009E4E53"/>
    <w:rsid w:val="009E4F0F"/>
    <w:rsid w:val="009E52FB"/>
    <w:rsid w:val="009E5479"/>
    <w:rsid w:val="009E5559"/>
    <w:rsid w:val="009E587B"/>
    <w:rsid w:val="009E6135"/>
    <w:rsid w:val="009E61B3"/>
    <w:rsid w:val="009E62EA"/>
    <w:rsid w:val="009E6D41"/>
    <w:rsid w:val="009E6EBF"/>
    <w:rsid w:val="009E712D"/>
    <w:rsid w:val="009E78ED"/>
    <w:rsid w:val="009E78EF"/>
    <w:rsid w:val="009F0DB4"/>
    <w:rsid w:val="009F0F1B"/>
    <w:rsid w:val="009F1318"/>
    <w:rsid w:val="009F146F"/>
    <w:rsid w:val="009F19B7"/>
    <w:rsid w:val="009F1F45"/>
    <w:rsid w:val="009F2387"/>
    <w:rsid w:val="009F2448"/>
    <w:rsid w:val="009F24B3"/>
    <w:rsid w:val="009F2B8B"/>
    <w:rsid w:val="009F2BBD"/>
    <w:rsid w:val="009F3438"/>
    <w:rsid w:val="009F373A"/>
    <w:rsid w:val="009F3A95"/>
    <w:rsid w:val="009F3C75"/>
    <w:rsid w:val="009F3FF2"/>
    <w:rsid w:val="009F41FE"/>
    <w:rsid w:val="009F4317"/>
    <w:rsid w:val="009F45D2"/>
    <w:rsid w:val="009F46D9"/>
    <w:rsid w:val="009F47CA"/>
    <w:rsid w:val="009F4888"/>
    <w:rsid w:val="009F4AA6"/>
    <w:rsid w:val="009F4CED"/>
    <w:rsid w:val="009F528F"/>
    <w:rsid w:val="009F533D"/>
    <w:rsid w:val="009F54B9"/>
    <w:rsid w:val="009F5601"/>
    <w:rsid w:val="009F569B"/>
    <w:rsid w:val="009F5811"/>
    <w:rsid w:val="009F5974"/>
    <w:rsid w:val="009F647C"/>
    <w:rsid w:val="009F676D"/>
    <w:rsid w:val="009F68B9"/>
    <w:rsid w:val="009F6DA5"/>
    <w:rsid w:val="009F72AF"/>
    <w:rsid w:val="009F7557"/>
    <w:rsid w:val="009F77FD"/>
    <w:rsid w:val="009F7BF3"/>
    <w:rsid w:val="009F7DA7"/>
    <w:rsid w:val="00A00167"/>
    <w:rsid w:val="00A0027E"/>
    <w:rsid w:val="00A0037E"/>
    <w:rsid w:val="00A0096C"/>
    <w:rsid w:val="00A00DC1"/>
    <w:rsid w:val="00A00F26"/>
    <w:rsid w:val="00A00FD5"/>
    <w:rsid w:val="00A01215"/>
    <w:rsid w:val="00A01303"/>
    <w:rsid w:val="00A0166C"/>
    <w:rsid w:val="00A01A6F"/>
    <w:rsid w:val="00A01B95"/>
    <w:rsid w:val="00A01BEC"/>
    <w:rsid w:val="00A01CEE"/>
    <w:rsid w:val="00A01E75"/>
    <w:rsid w:val="00A02AF3"/>
    <w:rsid w:val="00A02C4F"/>
    <w:rsid w:val="00A03244"/>
    <w:rsid w:val="00A0324D"/>
    <w:rsid w:val="00A03289"/>
    <w:rsid w:val="00A03857"/>
    <w:rsid w:val="00A04477"/>
    <w:rsid w:val="00A04527"/>
    <w:rsid w:val="00A04A09"/>
    <w:rsid w:val="00A04A6A"/>
    <w:rsid w:val="00A04B36"/>
    <w:rsid w:val="00A04E03"/>
    <w:rsid w:val="00A04FCC"/>
    <w:rsid w:val="00A05821"/>
    <w:rsid w:val="00A0599C"/>
    <w:rsid w:val="00A059DC"/>
    <w:rsid w:val="00A05C49"/>
    <w:rsid w:val="00A05D1D"/>
    <w:rsid w:val="00A05EA2"/>
    <w:rsid w:val="00A06392"/>
    <w:rsid w:val="00A063B1"/>
    <w:rsid w:val="00A06643"/>
    <w:rsid w:val="00A067D2"/>
    <w:rsid w:val="00A06871"/>
    <w:rsid w:val="00A06920"/>
    <w:rsid w:val="00A06E72"/>
    <w:rsid w:val="00A07147"/>
    <w:rsid w:val="00A0754B"/>
    <w:rsid w:val="00A076CC"/>
    <w:rsid w:val="00A076CE"/>
    <w:rsid w:val="00A07F53"/>
    <w:rsid w:val="00A1018C"/>
    <w:rsid w:val="00A10AB5"/>
    <w:rsid w:val="00A10AC0"/>
    <w:rsid w:val="00A10C01"/>
    <w:rsid w:val="00A112DC"/>
    <w:rsid w:val="00A11358"/>
    <w:rsid w:val="00A1165C"/>
    <w:rsid w:val="00A11825"/>
    <w:rsid w:val="00A125D6"/>
    <w:rsid w:val="00A127F2"/>
    <w:rsid w:val="00A12887"/>
    <w:rsid w:val="00A12A5A"/>
    <w:rsid w:val="00A12C72"/>
    <w:rsid w:val="00A12CFB"/>
    <w:rsid w:val="00A12E69"/>
    <w:rsid w:val="00A12E9A"/>
    <w:rsid w:val="00A12FA9"/>
    <w:rsid w:val="00A1311D"/>
    <w:rsid w:val="00A13661"/>
    <w:rsid w:val="00A13677"/>
    <w:rsid w:val="00A13B17"/>
    <w:rsid w:val="00A13D85"/>
    <w:rsid w:val="00A13F04"/>
    <w:rsid w:val="00A1406C"/>
    <w:rsid w:val="00A141D2"/>
    <w:rsid w:val="00A1427D"/>
    <w:rsid w:val="00A1467E"/>
    <w:rsid w:val="00A14902"/>
    <w:rsid w:val="00A14917"/>
    <w:rsid w:val="00A14DBE"/>
    <w:rsid w:val="00A14E53"/>
    <w:rsid w:val="00A14E54"/>
    <w:rsid w:val="00A14FB8"/>
    <w:rsid w:val="00A1512C"/>
    <w:rsid w:val="00A15580"/>
    <w:rsid w:val="00A158C2"/>
    <w:rsid w:val="00A15A77"/>
    <w:rsid w:val="00A15C26"/>
    <w:rsid w:val="00A15DD2"/>
    <w:rsid w:val="00A15F28"/>
    <w:rsid w:val="00A16449"/>
    <w:rsid w:val="00A169F7"/>
    <w:rsid w:val="00A16F78"/>
    <w:rsid w:val="00A1712F"/>
    <w:rsid w:val="00A171C3"/>
    <w:rsid w:val="00A17295"/>
    <w:rsid w:val="00A17373"/>
    <w:rsid w:val="00A1798E"/>
    <w:rsid w:val="00A179FE"/>
    <w:rsid w:val="00A20355"/>
    <w:rsid w:val="00A20BCD"/>
    <w:rsid w:val="00A214AD"/>
    <w:rsid w:val="00A2192F"/>
    <w:rsid w:val="00A21CE9"/>
    <w:rsid w:val="00A21F58"/>
    <w:rsid w:val="00A2297E"/>
    <w:rsid w:val="00A229BC"/>
    <w:rsid w:val="00A22ABB"/>
    <w:rsid w:val="00A22EFA"/>
    <w:rsid w:val="00A22EFC"/>
    <w:rsid w:val="00A2310B"/>
    <w:rsid w:val="00A234FE"/>
    <w:rsid w:val="00A240A8"/>
    <w:rsid w:val="00A24D62"/>
    <w:rsid w:val="00A252BE"/>
    <w:rsid w:val="00A256E8"/>
    <w:rsid w:val="00A2576A"/>
    <w:rsid w:val="00A25D47"/>
    <w:rsid w:val="00A25FA1"/>
    <w:rsid w:val="00A2610D"/>
    <w:rsid w:val="00A26183"/>
    <w:rsid w:val="00A26389"/>
    <w:rsid w:val="00A26474"/>
    <w:rsid w:val="00A26A41"/>
    <w:rsid w:val="00A27758"/>
    <w:rsid w:val="00A27830"/>
    <w:rsid w:val="00A27849"/>
    <w:rsid w:val="00A3008F"/>
    <w:rsid w:val="00A30097"/>
    <w:rsid w:val="00A303B3"/>
    <w:rsid w:val="00A303B8"/>
    <w:rsid w:val="00A3055C"/>
    <w:rsid w:val="00A30BEB"/>
    <w:rsid w:val="00A30D0E"/>
    <w:rsid w:val="00A30D79"/>
    <w:rsid w:val="00A30E43"/>
    <w:rsid w:val="00A3150A"/>
    <w:rsid w:val="00A31715"/>
    <w:rsid w:val="00A318A2"/>
    <w:rsid w:val="00A31C49"/>
    <w:rsid w:val="00A31D08"/>
    <w:rsid w:val="00A31D20"/>
    <w:rsid w:val="00A328B3"/>
    <w:rsid w:val="00A32E1B"/>
    <w:rsid w:val="00A331E7"/>
    <w:rsid w:val="00A33217"/>
    <w:rsid w:val="00A33290"/>
    <w:rsid w:val="00A3342A"/>
    <w:rsid w:val="00A33547"/>
    <w:rsid w:val="00A336FC"/>
    <w:rsid w:val="00A33892"/>
    <w:rsid w:val="00A33942"/>
    <w:rsid w:val="00A33A8B"/>
    <w:rsid w:val="00A33E78"/>
    <w:rsid w:val="00A33F5F"/>
    <w:rsid w:val="00A342EB"/>
    <w:rsid w:val="00A34E9F"/>
    <w:rsid w:val="00A35200"/>
    <w:rsid w:val="00A35231"/>
    <w:rsid w:val="00A35620"/>
    <w:rsid w:val="00A361C3"/>
    <w:rsid w:val="00A3631D"/>
    <w:rsid w:val="00A364DF"/>
    <w:rsid w:val="00A3683C"/>
    <w:rsid w:val="00A368FF"/>
    <w:rsid w:val="00A369AE"/>
    <w:rsid w:val="00A3706E"/>
    <w:rsid w:val="00A37919"/>
    <w:rsid w:val="00A37B6C"/>
    <w:rsid w:val="00A37BBB"/>
    <w:rsid w:val="00A37EF8"/>
    <w:rsid w:val="00A40145"/>
    <w:rsid w:val="00A401C9"/>
    <w:rsid w:val="00A404C8"/>
    <w:rsid w:val="00A40AE6"/>
    <w:rsid w:val="00A40B17"/>
    <w:rsid w:val="00A40B5E"/>
    <w:rsid w:val="00A40CE0"/>
    <w:rsid w:val="00A40DB8"/>
    <w:rsid w:val="00A40ED3"/>
    <w:rsid w:val="00A40F4D"/>
    <w:rsid w:val="00A411E9"/>
    <w:rsid w:val="00A411FA"/>
    <w:rsid w:val="00A41824"/>
    <w:rsid w:val="00A418AA"/>
    <w:rsid w:val="00A429A9"/>
    <w:rsid w:val="00A42E68"/>
    <w:rsid w:val="00A42E96"/>
    <w:rsid w:val="00A42E9A"/>
    <w:rsid w:val="00A42EA0"/>
    <w:rsid w:val="00A43275"/>
    <w:rsid w:val="00A4340F"/>
    <w:rsid w:val="00A43413"/>
    <w:rsid w:val="00A4368E"/>
    <w:rsid w:val="00A43967"/>
    <w:rsid w:val="00A43DFB"/>
    <w:rsid w:val="00A44181"/>
    <w:rsid w:val="00A4423C"/>
    <w:rsid w:val="00A4466F"/>
    <w:rsid w:val="00A44AB9"/>
    <w:rsid w:val="00A44C08"/>
    <w:rsid w:val="00A44D89"/>
    <w:rsid w:val="00A44EC1"/>
    <w:rsid w:val="00A454B3"/>
    <w:rsid w:val="00A45C8E"/>
    <w:rsid w:val="00A45DB5"/>
    <w:rsid w:val="00A45E52"/>
    <w:rsid w:val="00A46548"/>
    <w:rsid w:val="00A46652"/>
    <w:rsid w:val="00A468DD"/>
    <w:rsid w:val="00A46D15"/>
    <w:rsid w:val="00A4713D"/>
    <w:rsid w:val="00A47623"/>
    <w:rsid w:val="00A479D9"/>
    <w:rsid w:val="00A479FA"/>
    <w:rsid w:val="00A47A7D"/>
    <w:rsid w:val="00A502CD"/>
    <w:rsid w:val="00A50849"/>
    <w:rsid w:val="00A50E2B"/>
    <w:rsid w:val="00A50F09"/>
    <w:rsid w:val="00A51077"/>
    <w:rsid w:val="00A512D8"/>
    <w:rsid w:val="00A5169A"/>
    <w:rsid w:val="00A51ED1"/>
    <w:rsid w:val="00A52315"/>
    <w:rsid w:val="00A52626"/>
    <w:rsid w:val="00A53069"/>
    <w:rsid w:val="00A5323B"/>
    <w:rsid w:val="00A53415"/>
    <w:rsid w:val="00A534D4"/>
    <w:rsid w:val="00A537B1"/>
    <w:rsid w:val="00A53902"/>
    <w:rsid w:val="00A54084"/>
    <w:rsid w:val="00A542EE"/>
    <w:rsid w:val="00A544C5"/>
    <w:rsid w:val="00A54B8C"/>
    <w:rsid w:val="00A54CB9"/>
    <w:rsid w:val="00A54FB4"/>
    <w:rsid w:val="00A55047"/>
    <w:rsid w:val="00A55130"/>
    <w:rsid w:val="00A5514F"/>
    <w:rsid w:val="00A5538C"/>
    <w:rsid w:val="00A5546B"/>
    <w:rsid w:val="00A558E7"/>
    <w:rsid w:val="00A559AC"/>
    <w:rsid w:val="00A55A9B"/>
    <w:rsid w:val="00A55AB1"/>
    <w:rsid w:val="00A56A67"/>
    <w:rsid w:val="00A56C07"/>
    <w:rsid w:val="00A56DE0"/>
    <w:rsid w:val="00A570E9"/>
    <w:rsid w:val="00A57173"/>
    <w:rsid w:val="00A572B2"/>
    <w:rsid w:val="00A575A3"/>
    <w:rsid w:val="00A57766"/>
    <w:rsid w:val="00A5792A"/>
    <w:rsid w:val="00A57C6B"/>
    <w:rsid w:val="00A60330"/>
    <w:rsid w:val="00A605BF"/>
    <w:rsid w:val="00A60636"/>
    <w:rsid w:val="00A609ED"/>
    <w:rsid w:val="00A60BDC"/>
    <w:rsid w:val="00A60DEB"/>
    <w:rsid w:val="00A61223"/>
    <w:rsid w:val="00A61BA2"/>
    <w:rsid w:val="00A62065"/>
    <w:rsid w:val="00A62158"/>
    <w:rsid w:val="00A62423"/>
    <w:rsid w:val="00A62479"/>
    <w:rsid w:val="00A62736"/>
    <w:rsid w:val="00A628D2"/>
    <w:rsid w:val="00A62953"/>
    <w:rsid w:val="00A629DC"/>
    <w:rsid w:val="00A630FC"/>
    <w:rsid w:val="00A637FA"/>
    <w:rsid w:val="00A63C18"/>
    <w:rsid w:val="00A63DAC"/>
    <w:rsid w:val="00A6400A"/>
    <w:rsid w:val="00A641DC"/>
    <w:rsid w:val="00A64A10"/>
    <w:rsid w:val="00A64B04"/>
    <w:rsid w:val="00A64BAD"/>
    <w:rsid w:val="00A64D34"/>
    <w:rsid w:val="00A64E9E"/>
    <w:rsid w:val="00A65136"/>
    <w:rsid w:val="00A65CFC"/>
    <w:rsid w:val="00A66027"/>
    <w:rsid w:val="00A662DC"/>
    <w:rsid w:val="00A66316"/>
    <w:rsid w:val="00A66B36"/>
    <w:rsid w:val="00A6709A"/>
    <w:rsid w:val="00A6741B"/>
    <w:rsid w:val="00A674A2"/>
    <w:rsid w:val="00A6751D"/>
    <w:rsid w:val="00A679A7"/>
    <w:rsid w:val="00A67E1E"/>
    <w:rsid w:val="00A702A8"/>
    <w:rsid w:val="00A704CC"/>
    <w:rsid w:val="00A7071C"/>
    <w:rsid w:val="00A707AF"/>
    <w:rsid w:val="00A716E5"/>
    <w:rsid w:val="00A716E8"/>
    <w:rsid w:val="00A71A47"/>
    <w:rsid w:val="00A71D53"/>
    <w:rsid w:val="00A720CD"/>
    <w:rsid w:val="00A7229E"/>
    <w:rsid w:val="00A722AC"/>
    <w:rsid w:val="00A72354"/>
    <w:rsid w:val="00A724B6"/>
    <w:rsid w:val="00A72DE5"/>
    <w:rsid w:val="00A733D0"/>
    <w:rsid w:val="00A736A7"/>
    <w:rsid w:val="00A737D1"/>
    <w:rsid w:val="00A73DFA"/>
    <w:rsid w:val="00A74069"/>
    <w:rsid w:val="00A74226"/>
    <w:rsid w:val="00A742D0"/>
    <w:rsid w:val="00A757B0"/>
    <w:rsid w:val="00A75BFF"/>
    <w:rsid w:val="00A7653C"/>
    <w:rsid w:val="00A769AB"/>
    <w:rsid w:val="00A76AE6"/>
    <w:rsid w:val="00A7716C"/>
    <w:rsid w:val="00A776A4"/>
    <w:rsid w:val="00A77C47"/>
    <w:rsid w:val="00A77D20"/>
    <w:rsid w:val="00A803DB"/>
    <w:rsid w:val="00A8049D"/>
    <w:rsid w:val="00A80654"/>
    <w:rsid w:val="00A8069A"/>
    <w:rsid w:val="00A80A4F"/>
    <w:rsid w:val="00A81445"/>
    <w:rsid w:val="00A81A04"/>
    <w:rsid w:val="00A81E81"/>
    <w:rsid w:val="00A820FA"/>
    <w:rsid w:val="00A822A9"/>
    <w:rsid w:val="00A822C2"/>
    <w:rsid w:val="00A8253B"/>
    <w:rsid w:val="00A8258B"/>
    <w:rsid w:val="00A82990"/>
    <w:rsid w:val="00A82AE5"/>
    <w:rsid w:val="00A830AE"/>
    <w:rsid w:val="00A83811"/>
    <w:rsid w:val="00A83A19"/>
    <w:rsid w:val="00A83A1C"/>
    <w:rsid w:val="00A83AD0"/>
    <w:rsid w:val="00A8400D"/>
    <w:rsid w:val="00A84167"/>
    <w:rsid w:val="00A8426E"/>
    <w:rsid w:val="00A842B6"/>
    <w:rsid w:val="00A84397"/>
    <w:rsid w:val="00A846E5"/>
    <w:rsid w:val="00A84860"/>
    <w:rsid w:val="00A84E0B"/>
    <w:rsid w:val="00A84ED0"/>
    <w:rsid w:val="00A85059"/>
    <w:rsid w:val="00A85252"/>
    <w:rsid w:val="00A859CE"/>
    <w:rsid w:val="00A85FE2"/>
    <w:rsid w:val="00A86548"/>
    <w:rsid w:val="00A8666E"/>
    <w:rsid w:val="00A866A9"/>
    <w:rsid w:val="00A86B8D"/>
    <w:rsid w:val="00A87302"/>
    <w:rsid w:val="00A875A7"/>
    <w:rsid w:val="00A87615"/>
    <w:rsid w:val="00A8779C"/>
    <w:rsid w:val="00A8781E"/>
    <w:rsid w:val="00A878C5"/>
    <w:rsid w:val="00A87940"/>
    <w:rsid w:val="00A87E7F"/>
    <w:rsid w:val="00A902A1"/>
    <w:rsid w:val="00A90401"/>
    <w:rsid w:val="00A9069A"/>
    <w:rsid w:val="00A9076D"/>
    <w:rsid w:val="00A9077F"/>
    <w:rsid w:val="00A90797"/>
    <w:rsid w:val="00A907DC"/>
    <w:rsid w:val="00A90821"/>
    <w:rsid w:val="00A90AC8"/>
    <w:rsid w:val="00A90B02"/>
    <w:rsid w:val="00A915D4"/>
    <w:rsid w:val="00A91610"/>
    <w:rsid w:val="00A917ED"/>
    <w:rsid w:val="00A9183B"/>
    <w:rsid w:val="00A9193C"/>
    <w:rsid w:val="00A919B9"/>
    <w:rsid w:val="00A91B85"/>
    <w:rsid w:val="00A91DB3"/>
    <w:rsid w:val="00A921E3"/>
    <w:rsid w:val="00A922A7"/>
    <w:rsid w:val="00A9254A"/>
    <w:rsid w:val="00A92BDD"/>
    <w:rsid w:val="00A92CF4"/>
    <w:rsid w:val="00A92F21"/>
    <w:rsid w:val="00A9335B"/>
    <w:rsid w:val="00A93450"/>
    <w:rsid w:val="00A9359D"/>
    <w:rsid w:val="00A93974"/>
    <w:rsid w:val="00A93B95"/>
    <w:rsid w:val="00A93C97"/>
    <w:rsid w:val="00A941B5"/>
    <w:rsid w:val="00A94434"/>
    <w:rsid w:val="00A94A88"/>
    <w:rsid w:val="00A94B72"/>
    <w:rsid w:val="00A94CD2"/>
    <w:rsid w:val="00A94D20"/>
    <w:rsid w:val="00A94E8F"/>
    <w:rsid w:val="00A94EAF"/>
    <w:rsid w:val="00A94F9D"/>
    <w:rsid w:val="00A9553D"/>
    <w:rsid w:val="00A95BE7"/>
    <w:rsid w:val="00A9620E"/>
    <w:rsid w:val="00A963E8"/>
    <w:rsid w:val="00A966F0"/>
    <w:rsid w:val="00A96762"/>
    <w:rsid w:val="00A96765"/>
    <w:rsid w:val="00A96C66"/>
    <w:rsid w:val="00A96D30"/>
    <w:rsid w:val="00A96E5B"/>
    <w:rsid w:val="00A970F0"/>
    <w:rsid w:val="00A97174"/>
    <w:rsid w:val="00A9752B"/>
    <w:rsid w:val="00A975DA"/>
    <w:rsid w:val="00A97E30"/>
    <w:rsid w:val="00A97E8B"/>
    <w:rsid w:val="00AA0067"/>
    <w:rsid w:val="00AA093C"/>
    <w:rsid w:val="00AA1377"/>
    <w:rsid w:val="00AA1DBF"/>
    <w:rsid w:val="00AA1DCF"/>
    <w:rsid w:val="00AA2461"/>
    <w:rsid w:val="00AA27F1"/>
    <w:rsid w:val="00AA2865"/>
    <w:rsid w:val="00AA28BB"/>
    <w:rsid w:val="00AA2965"/>
    <w:rsid w:val="00AA29AE"/>
    <w:rsid w:val="00AA2A42"/>
    <w:rsid w:val="00AA31FF"/>
    <w:rsid w:val="00AA3384"/>
    <w:rsid w:val="00AA354A"/>
    <w:rsid w:val="00AA394C"/>
    <w:rsid w:val="00AA3A9B"/>
    <w:rsid w:val="00AA3A9E"/>
    <w:rsid w:val="00AA3BF1"/>
    <w:rsid w:val="00AA3C5E"/>
    <w:rsid w:val="00AA3ECE"/>
    <w:rsid w:val="00AA3FA2"/>
    <w:rsid w:val="00AA4444"/>
    <w:rsid w:val="00AA4839"/>
    <w:rsid w:val="00AA4AE4"/>
    <w:rsid w:val="00AA4CB3"/>
    <w:rsid w:val="00AA502F"/>
    <w:rsid w:val="00AA5274"/>
    <w:rsid w:val="00AA53FE"/>
    <w:rsid w:val="00AA5410"/>
    <w:rsid w:val="00AA55B5"/>
    <w:rsid w:val="00AA55B7"/>
    <w:rsid w:val="00AA566E"/>
    <w:rsid w:val="00AA6488"/>
    <w:rsid w:val="00AA692D"/>
    <w:rsid w:val="00AA6C51"/>
    <w:rsid w:val="00AA6D6B"/>
    <w:rsid w:val="00AA706C"/>
    <w:rsid w:val="00AA709F"/>
    <w:rsid w:val="00AA7338"/>
    <w:rsid w:val="00AA742B"/>
    <w:rsid w:val="00AA7642"/>
    <w:rsid w:val="00AA7875"/>
    <w:rsid w:val="00AA7BEF"/>
    <w:rsid w:val="00AA7CAD"/>
    <w:rsid w:val="00AA7E33"/>
    <w:rsid w:val="00AB0123"/>
    <w:rsid w:val="00AB01F9"/>
    <w:rsid w:val="00AB02BE"/>
    <w:rsid w:val="00AB1012"/>
    <w:rsid w:val="00AB1361"/>
    <w:rsid w:val="00AB142C"/>
    <w:rsid w:val="00AB177C"/>
    <w:rsid w:val="00AB1803"/>
    <w:rsid w:val="00AB1B28"/>
    <w:rsid w:val="00AB1D23"/>
    <w:rsid w:val="00AB21C6"/>
    <w:rsid w:val="00AB24C4"/>
    <w:rsid w:val="00AB253F"/>
    <w:rsid w:val="00AB2677"/>
    <w:rsid w:val="00AB2841"/>
    <w:rsid w:val="00AB30EB"/>
    <w:rsid w:val="00AB310E"/>
    <w:rsid w:val="00AB3CBA"/>
    <w:rsid w:val="00AB3DA3"/>
    <w:rsid w:val="00AB3F45"/>
    <w:rsid w:val="00AB43EC"/>
    <w:rsid w:val="00AB487D"/>
    <w:rsid w:val="00AB4AD2"/>
    <w:rsid w:val="00AB4F42"/>
    <w:rsid w:val="00AB522B"/>
    <w:rsid w:val="00AB572A"/>
    <w:rsid w:val="00AB5A08"/>
    <w:rsid w:val="00AB5E97"/>
    <w:rsid w:val="00AB64FE"/>
    <w:rsid w:val="00AB6772"/>
    <w:rsid w:val="00AB6D2C"/>
    <w:rsid w:val="00AB76F8"/>
    <w:rsid w:val="00AB7855"/>
    <w:rsid w:val="00AB7D80"/>
    <w:rsid w:val="00AB7E7F"/>
    <w:rsid w:val="00AC0014"/>
    <w:rsid w:val="00AC0649"/>
    <w:rsid w:val="00AC0732"/>
    <w:rsid w:val="00AC0852"/>
    <w:rsid w:val="00AC0CB1"/>
    <w:rsid w:val="00AC0D26"/>
    <w:rsid w:val="00AC10DC"/>
    <w:rsid w:val="00AC1613"/>
    <w:rsid w:val="00AC1700"/>
    <w:rsid w:val="00AC1891"/>
    <w:rsid w:val="00AC1972"/>
    <w:rsid w:val="00AC1A4E"/>
    <w:rsid w:val="00AC1B71"/>
    <w:rsid w:val="00AC1D57"/>
    <w:rsid w:val="00AC20A7"/>
    <w:rsid w:val="00AC2292"/>
    <w:rsid w:val="00AC2334"/>
    <w:rsid w:val="00AC23E1"/>
    <w:rsid w:val="00AC24FD"/>
    <w:rsid w:val="00AC2758"/>
    <w:rsid w:val="00AC2837"/>
    <w:rsid w:val="00AC30EE"/>
    <w:rsid w:val="00AC3245"/>
    <w:rsid w:val="00AC37E8"/>
    <w:rsid w:val="00AC398C"/>
    <w:rsid w:val="00AC39FE"/>
    <w:rsid w:val="00AC4303"/>
    <w:rsid w:val="00AC45CF"/>
    <w:rsid w:val="00AC4F40"/>
    <w:rsid w:val="00AC4F44"/>
    <w:rsid w:val="00AC52DD"/>
    <w:rsid w:val="00AC538F"/>
    <w:rsid w:val="00AC555A"/>
    <w:rsid w:val="00AC5609"/>
    <w:rsid w:val="00AC5963"/>
    <w:rsid w:val="00AC5D53"/>
    <w:rsid w:val="00AC5E05"/>
    <w:rsid w:val="00AC5F25"/>
    <w:rsid w:val="00AC623E"/>
    <w:rsid w:val="00AC63A8"/>
    <w:rsid w:val="00AC67CB"/>
    <w:rsid w:val="00AC6F7D"/>
    <w:rsid w:val="00AC720A"/>
    <w:rsid w:val="00AC77A2"/>
    <w:rsid w:val="00AC7898"/>
    <w:rsid w:val="00AC7D7D"/>
    <w:rsid w:val="00AD07ED"/>
    <w:rsid w:val="00AD090A"/>
    <w:rsid w:val="00AD099D"/>
    <w:rsid w:val="00AD0ABB"/>
    <w:rsid w:val="00AD0BBB"/>
    <w:rsid w:val="00AD0C1B"/>
    <w:rsid w:val="00AD105E"/>
    <w:rsid w:val="00AD123E"/>
    <w:rsid w:val="00AD1713"/>
    <w:rsid w:val="00AD18C0"/>
    <w:rsid w:val="00AD1A41"/>
    <w:rsid w:val="00AD1AE0"/>
    <w:rsid w:val="00AD2141"/>
    <w:rsid w:val="00AD219B"/>
    <w:rsid w:val="00AD21C3"/>
    <w:rsid w:val="00AD2752"/>
    <w:rsid w:val="00AD2BBB"/>
    <w:rsid w:val="00AD3042"/>
    <w:rsid w:val="00AD3451"/>
    <w:rsid w:val="00AD3709"/>
    <w:rsid w:val="00AD395B"/>
    <w:rsid w:val="00AD3AF2"/>
    <w:rsid w:val="00AD3BDE"/>
    <w:rsid w:val="00AD3D5E"/>
    <w:rsid w:val="00AD4031"/>
    <w:rsid w:val="00AD422F"/>
    <w:rsid w:val="00AD4529"/>
    <w:rsid w:val="00AD4559"/>
    <w:rsid w:val="00AD4CF5"/>
    <w:rsid w:val="00AD4ECF"/>
    <w:rsid w:val="00AD57E0"/>
    <w:rsid w:val="00AD5965"/>
    <w:rsid w:val="00AD5A9E"/>
    <w:rsid w:val="00AD5BBE"/>
    <w:rsid w:val="00AD5F3F"/>
    <w:rsid w:val="00AD60EA"/>
    <w:rsid w:val="00AD60EF"/>
    <w:rsid w:val="00AD62C6"/>
    <w:rsid w:val="00AD65C4"/>
    <w:rsid w:val="00AD67D4"/>
    <w:rsid w:val="00AD6872"/>
    <w:rsid w:val="00AD6C6A"/>
    <w:rsid w:val="00AD6F0D"/>
    <w:rsid w:val="00AD7617"/>
    <w:rsid w:val="00AD76C4"/>
    <w:rsid w:val="00AD7795"/>
    <w:rsid w:val="00AD79B4"/>
    <w:rsid w:val="00AD7BA3"/>
    <w:rsid w:val="00AD7E55"/>
    <w:rsid w:val="00AE04F9"/>
    <w:rsid w:val="00AE089C"/>
    <w:rsid w:val="00AE14D6"/>
    <w:rsid w:val="00AE16DA"/>
    <w:rsid w:val="00AE1C13"/>
    <w:rsid w:val="00AE1F9A"/>
    <w:rsid w:val="00AE2061"/>
    <w:rsid w:val="00AE2199"/>
    <w:rsid w:val="00AE2613"/>
    <w:rsid w:val="00AE2859"/>
    <w:rsid w:val="00AE29B8"/>
    <w:rsid w:val="00AE30EC"/>
    <w:rsid w:val="00AE3461"/>
    <w:rsid w:val="00AE3541"/>
    <w:rsid w:val="00AE3AFA"/>
    <w:rsid w:val="00AE41E1"/>
    <w:rsid w:val="00AE4331"/>
    <w:rsid w:val="00AE44BA"/>
    <w:rsid w:val="00AE497B"/>
    <w:rsid w:val="00AE4D6C"/>
    <w:rsid w:val="00AE4D95"/>
    <w:rsid w:val="00AE4EC7"/>
    <w:rsid w:val="00AE506A"/>
    <w:rsid w:val="00AE5172"/>
    <w:rsid w:val="00AE52BC"/>
    <w:rsid w:val="00AE54A9"/>
    <w:rsid w:val="00AE569D"/>
    <w:rsid w:val="00AE5C72"/>
    <w:rsid w:val="00AE5CFD"/>
    <w:rsid w:val="00AE5E20"/>
    <w:rsid w:val="00AE5EC6"/>
    <w:rsid w:val="00AE614D"/>
    <w:rsid w:val="00AE627F"/>
    <w:rsid w:val="00AE689F"/>
    <w:rsid w:val="00AE69A0"/>
    <w:rsid w:val="00AE6A95"/>
    <w:rsid w:val="00AE6B7A"/>
    <w:rsid w:val="00AE6C1C"/>
    <w:rsid w:val="00AE6DC0"/>
    <w:rsid w:val="00AE7849"/>
    <w:rsid w:val="00AE7977"/>
    <w:rsid w:val="00AE7A04"/>
    <w:rsid w:val="00AE7D6F"/>
    <w:rsid w:val="00AE7E2C"/>
    <w:rsid w:val="00AE7E68"/>
    <w:rsid w:val="00AF04A2"/>
    <w:rsid w:val="00AF06D2"/>
    <w:rsid w:val="00AF0EBA"/>
    <w:rsid w:val="00AF0FD1"/>
    <w:rsid w:val="00AF0FDF"/>
    <w:rsid w:val="00AF1427"/>
    <w:rsid w:val="00AF1926"/>
    <w:rsid w:val="00AF1A57"/>
    <w:rsid w:val="00AF1A7C"/>
    <w:rsid w:val="00AF1CB7"/>
    <w:rsid w:val="00AF1D8D"/>
    <w:rsid w:val="00AF1DA1"/>
    <w:rsid w:val="00AF1E9D"/>
    <w:rsid w:val="00AF1F10"/>
    <w:rsid w:val="00AF1FE0"/>
    <w:rsid w:val="00AF2293"/>
    <w:rsid w:val="00AF236E"/>
    <w:rsid w:val="00AF252E"/>
    <w:rsid w:val="00AF2728"/>
    <w:rsid w:val="00AF2E2B"/>
    <w:rsid w:val="00AF3573"/>
    <w:rsid w:val="00AF364B"/>
    <w:rsid w:val="00AF3816"/>
    <w:rsid w:val="00AF3D39"/>
    <w:rsid w:val="00AF3D71"/>
    <w:rsid w:val="00AF3D78"/>
    <w:rsid w:val="00AF46FB"/>
    <w:rsid w:val="00AF481A"/>
    <w:rsid w:val="00AF497B"/>
    <w:rsid w:val="00AF4AAF"/>
    <w:rsid w:val="00AF51AC"/>
    <w:rsid w:val="00AF5284"/>
    <w:rsid w:val="00AF54A0"/>
    <w:rsid w:val="00AF55EA"/>
    <w:rsid w:val="00AF5891"/>
    <w:rsid w:val="00AF62C1"/>
    <w:rsid w:val="00AF638F"/>
    <w:rsid w:val="00AF63C3"/>
    <w:rsid w:val="00AF63C7"/>
    <w:rsid w:val="00AF641B"/>
    <w:rsid w:val="00AF6767"/>
    <w:rsid w:val="00AF6A4C"/>
    <w:rsid w:val="00AF70D4"/>
    <w:rsid w:val="00AF757C"/>
    <w:rsid w:val="00AF75E9"/>
    <w:rsid w:val="00AF7670"/>
    <w:rsid w:val="00B003C3"/>
    <w:rsid w:val="00B00780"/>
    <w:rsid w:val="00B00928"/>
    <w:rsid w:val="00B010D8"/>
    <w:rsid w:val="00B01218"/>
    <w:rsid w:val="00B01243"/>
    <w:rsid w:val="00B0149C"/>
    <w:rsid w:val="00B015F2"/>
    <w:rsid w:val="00B01997"/>
    <w:rsid w:val="00B02183"/>
    <w:rsid w:val="00B02A49"/>
    <w:rsid w:val="00B02D05"/>
    <w:rsid w:val="00B02D16"/>
    <w:rsid w:val="00B0336B"/>
    <w:rsid w:val="00B034FD"/>
    <w:rsid w:val="00B04177"/>
    <w:rsid w:val="00B04214"/>
    <w:rsid w:val="00B047C2"/>
    <w:rsid w:val="00B04960"/>
    <w:rsid w:val="00B04AFC"/>
    <w:rsid w:val="00B04C4D"/>
    <w:rsid w:val="00B04CB1"/>
    <w:rsid w:val="00B05171"/>
    <w:rsid w:val="00B05635"/>
    <w:rsid w:val="00B057C1"/>
    <w:rsid w:val="00B05C5D"/>
    <w:rsid w:val="00B05D04"/>
    <w:rsid w:val="00B069A7"/>
    <w:rsid w:val="00B06E2A"/>
    <w:rsid w:val="00B07087"/>
    <w:rsid w:val="00B0730F"/>
    <w:rsid w:val="00B073E1"/>
    <w:rsid w:val="00B07620"/>
    <w:rsid w:val="00B078E1"/>
    <w:rsid w:val="00B078E3"/>
    <w:rsid w:val="00B07E78"/>
    <w:rsid w:val="00B10052"/>
    <w:rsid w:val="00B10091"/>
    <w:rsid w:val="00B102AC"/>
    <w:rsid w:val="00B102C7"/>
    <w:rsid w:val="00B10330"/>
    <w:rsid w:val="00B10957"/>
    <w:rsid w:val="00B10D20"/>
    <w:rsid w:val="00B1135B"/>
    <w:rsid w:val="00B113AA"/>
    <w:rsid w:val="00B1172D"/>
    <w:rsid w:val="00B1181C"/>
    <w:rsid w:val="00B11838"/>
    <w:rsid w:val="00B11E1F"/>
    <w:rsid w:val="00B1228D"/>
    <w:rsid w:val="00B1234F"/>
    <w:rsid w:val="00B126E0"/>
    <w:rsid w:val="00B126FF"/>
    <w:rsid w:val="00B12A0E"/>
    <w:rsid w:val="00B12CF9"/>
    <w:rsid w:val="00B12E66"/>
    <w:rsid w:val="00B12E9A"/>
    <w:rsid w:val="00B130BB"/>
    <w:rsid w:val="00B1314F"/>
    <w:rsid w:val="00B13327"/>
    <w:rsid w:val="00B13B85"/>
    <w:rsid w:val="00B13E4E"/>
    <w:rsid w:val="00B14134"/>
    <w:rsid w:val="00B1413C"/>
    <w:rsid w:val="00B145E7"/>
    <w:rsid w:val="00B1479E"/>
    <w:rsid w:val="00B14A7D"/>
    <w:rsid w:val="00B14C75"/>
    <w:rsid w:val="00B150F4"/>
    <w:rsid w:val="00B151CF"/>
    <w:rsid w:val="00B152B8"/>
    <w:rsid w:val="00B15CEE"/>
    <w:rsid w:val="00B164F3"/>
    <w:rsid w:val="00B16A2C"/>
    <w:rsid w:val="00B171E3"/>
    <w:rsid w:val="00B17AAD"/>
    <w:rsid w:val="00B17D75"/>
    <w:rsid w:val="00B200B0"/>
    <w:rsid w:val="00B2014A"/>
    <w:rsid w:val="00B2050E"/>
    <w:rsid w:val="00B20ACB"/>
    <w:rsid w:val="00B20C8B"/>
    <w:rsid w:val="00B20F53"/>
    <w:rsid w:val="00B21413"/>
    <w:rsid w:val="00B21770"/>
    <w:rsid w:val="00B21854"/>
    <w:rsid w:val="00B218CD"/>
    <w:rsid w:val="00B21956"/>
    <w:rsid w:val="00B21AB0"/>
    <w:rsid w:val="00B22BB1"/>
    <w:rsid w:val="00B231B0"/>
    <w:rsid w:val="00B2329C"/>
    <w:rsid w:val="00B233F0"/>
    <w:rsid w:val="00B233F7"/>
    <w:rsid w:val="00B23560"/>
    <w:rsid w:val="00B236D3"/>
    <w:rsid w:val="00B23C43"/>
    <w:rsid w:val="00B23E45"/>
    <w:rsid w:val="00B2426A"/>
    <w:rsid w:val="00B247AD"/>
    <w:rsid w:val="00B24856"/>
    <w:rsid w:val="00B24D33"/>
    <w:rsid w:val="00B24D8B"/>
    <w:rsid w:val="00B25CB5"/>
    <w:rsid w:val="00B25D05"/>
    <w:rsid w:val="00B2651D"/>
    <w:rsid w:val="00B26622"/>
    <w:rsid w:val="00B26669"/>
    <w:rsid w:val="00B26894"/>
    <w:rsid w:val="00B26BC4"/>
    <w:rsid w:val="00B27121"/>
    <w:rsid w:val="00B276B4"/>
    <w:rsid w:val="00B30195"/>
    <w:rsid w:val="00B303F6"/>
    <w:rsid w:val="00B305B7"/>
    <w:rsid w:val="00B307B7"/>
    <w:rsid w:val="00B308AC"/>
    <w:rsid w:val="00B30B2E"/>
    <w:rsid w:val="00B30F06"/>
    <w:rsid w:val="00B3107F"/>
    <w:rsid w:val="00B310C5"/>
    <w:rsid w:val="00B312AE"/>
    <w:rsid w:val="00B31389"/>
    <w:rsid w:val="00B31604"/>
    <w:rsid w:val="00B31F9F"/>
    <w:rsid w:val="00B3201E"/>
    <w:rsid w:val="00B32122"/>
    <w:rsid w:val="00B32152"/>
    <w:rsid w:val="00B32189"/>
    <w:rsid w:val="00B321FE"/>
    <w:rsid w:val="00B3296E"/>
    <w:rsid w:val="00B32B4C"/>
    <w:rsid w:val="00B32DC0"/>
    <w:rsid w:val="00B32F46"/>
    <w:rsid w:val="00B334D2"/>
    <w:rsid w:val="00B3351F"/>
    <w:rsid w:val="00B336D0"/>
    <w:rsid w:val="00B33A20"/>
    <w:rsid w:val="00B33C08"/>
    <w:rsid w:val="00B33E83"/>
    <w:rsid w:val="00B33FF4"/>
    <w:rsid w:val="00B34882"/>
    <w:rsid w:val="00B3491F"/>
    <w:rsid w:val="00B34FD4"/>
    <w:rsid w:val="00B35117"/>
    <w:rsid w:val="00B35515"/>
    <w:rsid w:val="00B359EB"/>
    <w:rsid w:val="00B35B94"/>
    <w:rsid w:val="00B36028"/>
    <w:rsid w:val="00B36AB5"/>
    <w:rsid w:val="00B373E3"/>
    <w:rsid w:val="00B374F1"/>
    <w:rsid w:val="00B374F2"/>
    <w:rsid w:val="00B3755A"/>
    <w:rsid w:val="00B37674"/>
    <w:rsid w:val="00B37B04"/>
    <w:rsid w:val="00B37B41"/>
    <w:rsid w:val="00B37DDA"/>
    <w:rsid w:val="00B40064"/>
    <w:rsid w:val="00B40D35"/>
    <w:rsid w:val="00B411C0"/>
    <w:rsid w:val="00B41684"/>
    <w:rsid w:val="00B41903"/>
    <w:rsid w:val="00B41C4F"/>
    <w:rsid w:val="00B42251"/>
    <w:rsid w:val="00B42319"/>
    <w:rsid w:val="00B426FA"/>
    <w:rsid w:val="00B4320E"/>
    <w:rsid w:val="00B4324A"/>
    <w:rsid w:val="00B440CF"/>
    <w:rsid w:val="00B441E9"/>
    <w:rsid w:val="00B4449B"/>
    <w:rsid w:val="00B444B1"/>
    <w:rsid w:val="00B44B6C"/>
    <w:rsid w:val="00B44DE7"/>
    <w:rsid w:val="00B4532C"/>
    <w:rsid w:val="00B4532F"/>
    <w:rsid w:val="00B45766"/>
    <w:rsid w:val="00B45A40"/>
    <w:rsid w:val="00B45ACC"/>
    <w:rsid w:val="00B45D1D"/>
    <w:rsid w:val="00B45D9D"/>
    <w:rsid w:val="00B46057"/>
    <w:rsid w:val="00B4610B"/>
    <w:rsid w:val="00B46BEB"/>
    <w:rsid w:val="00B47699"/>
    <w:rsid w:val="00B47AC2"/>
    <w:rsid w:val="00B47CA5"/>
    <w:rsid w:val="00B47CC7"/>
    <w:rsid w:val="00B47F05"/>
    <w:rsid w:val="00B50073"/>
    <w:rsid w:val="00B50682"/>
    <w:rsid w:val="00B50731"/>
    <w:rsid w:val="00B50A2C"/>
    <w:rsid w:val="00B50A44"/>
    <w:rsid w:val="00B50AC1"/>
    <w:rsid w:val="00B50D9A"/>
    <w:rsid w:val="00B51347"/>
    <w:rsid w:val="00B514AB"/>
    <w:rsid w:val="00B517E9"/>
    <w:rsid w:val="00B518FB"/>
    <w:rsid w:val="00B51987"/>
    <w:rsid w:val="00B51D3C"/>
    <w:rsid w:val="00B5207E"/>
    <w:rsid w:val="00B520B6"/>
    <w:rsid w:val="00B52372"/>
    <w:rsid w:val="00B52758"/>
    <w:rsid w:val="00B52901"/>
    <w:rsid w:val="00B534BA"/>
    <w:rsid w:val="00B53592"/>
    <w:rsid w:val="00B53B10"/>
    <w:rsid w:val="00B53C9A"/>
    <w:rsid w:val="00B53E83"/>
    <w:rsid w:val="00B53FF6"/>
    <w:rsid w:val="00B540ED"/>
    <w:rsid w:val="00B54266"/>
    <w:rsid w:val="00B5429A"/>
    <w:rsid w:val="00B5487C"/>
    <w:rsid w:val="00B54AA5"/>
    <w:rsid w:val="00B54B3D"/>
    <w:rsid w:val="00B54E2B"/>
    <w:rsid w:val="00B55020"/>
    <w:rsid w:val="00B552B6"/>
    <w:rsid w:val="00B55524"/>
    <w:rsid w:val="00B5559C"/>
    <w:rsid w:val="00B5577D"/>
    <w:rsid w:val="00B55DB9"/>
    <w:rsid w:val="00B55F00"/>
    <w:rsid w:val="00B575BF"/>
    <w:rsid w:val="00B57A4B"/>
    <w:rsid w:val="00B57D16"/>
    <w:rsid w:val="00B57D4C"/>
    <w:rsid w:val="00B602EF"/>
    <w:rsid w:val="00B60374"/>
    <w:rsid w:val="00B6055E"/>
    <w:rsid w:val="00B605FE"/>
    <w:rsid w:val="00B612EA"/>
    <w:rsid w:val="00B6139D"/>
    <w:rsid w:val="00B61589"/>
    <w:rsid w:val="00B61614"/>
    <w:rsid w:val="00B6175C"/>
    <w:rsid w:val="00B617A6"/>
    <w:rsid w:val="00B61A56"/>
    <w:rsid w:val="00B61AAD"/>
    <w:rsid w:val="00B61C66"/>
    <w:rsid w:val="00B61F3A"/>
    <w:rsid w:val="00B622F9"/>
    <w:rsid w:val="00B6238E"/>
    <w:rsid w:val="00B62604"/>
    <w:rsid w:val="00B62DF2"/>
    <w:rsid w:val="00B63CC6"/>
    <w:rsid w:val="00B64278"/>
    <w:rsid w:val="00B64452"/>
    <w:rsid w:val="00B646FA"/>
    <w:rsid w:val="00B651AC"/>
    <w:rsid w:val="00B651F8"/>
    <w:rsid w:val="00B66A87"/>
    <w:rsid w:val="00B66C54"/>
    <w:rsid w:val="00B67664"/>
    <w:rsid w:val="00B676B0"/>
    <w:rsid w:val="00B70577"/>
    <w:rsid w:val="00B70CCB"/>
    <w:rsid w:val="00B70F24"/>
    <w:rsid w:val="00B712D0"/>
    <w:rsid w:val="00B7153E"/>
    <w:rsid w:val="00B71581"/>
    <w:rsid w:val="00B71BB3"/>
    <w:rsid w:val="00B71EE6"/>
    <w:rsid w:val="00B71F89"/>
    <w:rsid w:val="00B724E6"/>
    <w:rsid w:val="00B7273D"/>
    <w:rsid w:val="00B72928"/>
    <w:rsid w:val="00B7298D"/>
    <w:rsid w:val="00B72E78"/>
    <w:rsid w:val="00B73198"/>
    <w:rsid w:val="00B73206"/>
    <w:rsid w:val="00B733F3"/>
    <w:rsid w:val="00B7367A"/>
    <w:rsid w:val="00B74667"/>
    <w:rsid w:val="00B747BF"/>
    <w:rsid w:val="00B74A56"/>
    <w:rsid w:val="00B74CAA"/>
    <w:rsid w:val="00B74CE5"/>
    <w:rsid w:val="00B74EE1"/>
    <w:rsid w:val="00B74FA7"/>
    <w:rsid w:val="00B752BA"/>
    <w:rsid w:val="00B757E5"/>
    <w:rsid w:val="00B7583D"/>
    <w:rsid w:val="00B75B9E"/>
    <w:rsid w:val="00B76277"/>
    <w:rsid w:val="00B76B1B"/>
    <w:rsid w:val="00B76C1E"/>
    <w:rsid w:val="00B76DD6"/>
    <w:rsid w:val="00B76EAE"/>
    <w:rsid w:val="00B77076"/>
    <w:rsid w:val="00B77E14"/>
    <w:rsid w:val="00B80661"/>
    <w:rsid w:val="00B80BBD"/>
    <w:rsid w:val="00B80C6B"/>
    <w:rsid w:val="00B80DBF"/>
    <w:rsid w:val="00B80EAC"/>
    <w:rsid w:val="00B80FE5"/>
    <w:rsid w:val="00B8108C"/>
    <w:rsid w:val="00B812C7"/>
    <w:rsid w:val="00B81649"/>
    <w:rsid w:val="00B81BDD"/>
    <w:rsid w:val="00B81E0B"/>
    <w:rsid w:val="00B81F38"/>
    <w:rsid w:val="00B8275B"/>
    <w:rsid w:val="00B82E4B"/>
    <w:rsid w:val="00B82F19"/>
    <w:rsid w:val="00B82FD0"/>
    <w:rsid w:val="00B831AD"/>
    <w:rsid w:val="00B8328A"/>
    <w:rsid w:val="00B833B3"/>
    <w:rsid w:val="00B83828"/>
    <w:rsid w:val="00B83938"/>
    <w:rsid w:val="00B839C8"/>
    <w:rsid w:val="00B83B62"/>
    <w:rsid w:val="00B83BE1"/>
    <w:rsid w:val="00B8412D"/>
    <w:rsid w:val="00B84261"/>
    <w:rsid w:val="00B8434A"/>
    <w:rsid w:val="00B85107"/>
    <w:rsid w:val="00B85333"/>
    <w:rsid w:val="00B8535F"/>
    <w:rsid w:val="00B853F2"/>
    <w:rsid w:val="00B85A40"/>
    <w:rsid w:val="00B85D34"/>
    <w:rsid w:val="00B85D9E"/>
    <w:rsid w:val="00B85E26"/>
    <w:rsid w:val="00B8602B"/>
    <w:rsid w:val="00B864B7"/>
    <w:rsid w:val="00B8692D"/>
    <w:rsid w:val="00B876A2"/>
    <w:rsid w:val="00B878CD"/>
    <w:rsid w:val="00B87D08"/>
    <w:rsid w:val="00B87DB3"/>
    <w:rsid w:val="00B903B5"/>
    <w:rsid w:val="00B90794"/>
    <w:rsid w:val="00B909BC"/>
    <w:rsid w:val="00B9117E"/>
    <w:rsid w:val="00B91467"/>
    <w:rsid w:val="00B917D3"/>
    <w:rsid w:val="00B918D6"/>
    <w:rsid w:val="00B91C0A"/>
    <w:rsid w:val="00B91CB1"/>
    <w:rsid w:val="00B91E9E"/>
    <w:rsid w:val="00B92065"/>
    <w:rsid w:val="00B920A8"/>
    <w:rsid w:val="00B9237D"/>
    <w:rsid w:val="00B9242F"/>
    <w:rsid w:val="00B9249B"/>
    <w:rsid w:val="00B927FC"/>
    <w:rsid w:val="00B9293D"/>
    <w:rsid w:val="00B92F59"/>
    <w:rsid w:val="00B93207"/>
    <w:rsid w:val="00B9340C"/>
    <w:rsid w:val="00B93534"/>
    <w:rsid w:val="00B93CA5"/>
    <w:rsid w:val="00B93CE2"/>
    <w:rsid w:val="00B941FD"/>
    <w:rsid w:val="00B944E9"/>
    <w:rsid w:val="00B94657"/>
    <w:rsid w:val="00B9470F"/>
    <w:rsid w:val="00B95184"/>
    <w:rsid w:val="00B9536C"/>
    <w:rsid w:val="00B954C2"/>
    <w:rsid w:val="00B95D03"/>
    <w:rsid w:val="00B95DD6"/>
    <w:rsid w:val="00B96024"/>
    <w:rsid w:val="00B96691"/>
    <w:rsid w:val="00B96876"/>
    <w:rsid w:val="00B96B7A"/>
    <w:rsid w:val="00B96CE7"/>
    <w:rsid w:val="00B971A7"/>
    <w:rsid w:val="00B97362"/>
    <w:rsid w:val="00B975A7"/>
    <w:rsid w:val="00B9768C"/>
    <w:rsid w:val="00B97871"/>
    <w:rsid w:val="00B979F7"/>
    <w:rsid w:val="00B97F7E"/>
    <w:rsid w:val="00BA05C3"/>
    <w:rsid w:val="00BA0CB9"/>
    <w:rsid w:val="00BA10F7"/>
    <w:rsid w:val="00BA14F4"/>
    <w:rsid w:val="00BA15EC"/>
    <w:rsid w:val="00BA1AD5"/>
    <w:rsid w:val="00BA1D25"/>
    <w:rsid w:val="00BA1FFB"/>
    <w:rsid w:val="00BA22E7"/>
    <w:rsid w:val="00BA29D7"/>
    <w:rsid w:val="00BA2B3F"/>
    <w:rsid w:val="00BA2E4F"/>
    <w:rsid w:val="00BA3752"/>
    <w:rsid w:val="00BA39C2"/>
    <w:rsid w:val="00BA3B05"/>
    <w:rsid w:val="00BA3DCF"/>
    <w:rsid w:val="00BA3EE5"/>
    <w:rsid w:val="00BA3FE6"/>
    <w:rsid w:val="00BA47B4"/>
    <w:rsid w:val="00BA48C9"/>
    <w:rsid w:val="00BA4999"/>
    <w:rsid w:val="00BA4BE8"/>
    <w:rsid w:val="00BA4E45"/>
    <w:rsid w:val="00BA4EE0"/>
    <w:rsid w:val="00BA517B"/>
    <w:rsid w:val="00BA5881"/>
    <w:rsid w:val="00BA591B"/>
    <w:rsid w:val="00BA59FB"/>
    <w:rsid w:val="00BA6089"/>
    <w:rsid w:val="00BA6104"/>
    <w:rsid w:val="00BA6255"/>
    <w:rsid w:val="00BA627B"/>
    <w:rsid w:val="00BA6498"/>
    <w:rsid w:val="00BA6C65"/>
    <w:rsid w:val="00BA6E21"/>
    <w:rsid w:val="00BA7571"/>
    <w:rsid w:val="00BA77DF"/>
    <w:rsid w:val="00BA7BFC"/>
    <w:rsid w:val="00BB02BC"/>
    <w:rsid w:val="00BB0A0C"/>
    <w:rsid w:val="00BB0B24"/>
    <w:rsid w:val="00BB0BD5"/>
    <w:rsid w:val="00BB1393"/>
    <w:rsid w:val="00BB14A3"/>
    <w:rsid w:val="00BB1531"/>
    <w:rsid w:val="00BB1AE7"/>
    <w:rsid w:val="00BB1C1B"/>
    <w:rsid w:val="00BB1C29"/>
    <w:rsid w:val="00BB1DA4"/>
    <w:rsid w:val="00BB2087"/>
    <w:rsid w:val="00BB2101"/>
    <w:rsid w:val="00BB2803"/>
    <w:rsid w:val="00BB2B6A"/>
    <w:rsid w:val="00BB2B8D"/>
    <w:rsid w:val="00BB2CB5"/>
    <w:rsid w:val="00BB2E1A"/>
    <w:rsid w:val="00BB3342"/>
    <w:rsid w:val="00BB3411"/>
    <w:rsid w:val="00BB34DC"/>
    <w:rsid w:val="00BB35BE"/>
    <w:rsid w:val="00BB37A4"/>
    <w:rsid w:val="00BB37DC"/>
    <w:rsid w:val="00BB38AD"/>
    <w:rsid w:val="00BB39B4"/>
    <w:rsid w:val="00BB3C9A"/>
    <w:rsid w:val="00BB3D29"/>
    <w:rsid w:val="00BB3F4F"/>
    <w:rsid w:val="00BB49A1"/>
    <w:rsid w:val="00BB54D7"/>
    <w:rsid w:val="00BB5A16"/>
    <w:rsid w:val="00BB5D97"/>
    <w:rsid w:val="00BB604E"/>
    <w:rsid w:val="00BB619F"/>
    <w:rsid w:val="00BB68F5"/>
    <w:rsid w:val="00BB694F"/>
    <w:rsid w:val="00BB704B"/>
    <w:rsid w:val="00BB73DA"/>
    <w:rsid w:val="00BB7B54"/>
    <w:rsid w:val="00BB7C3D"/>
    <w:rsid w:val="00BB7DDC"/>
    <w:rsid w:val="00BB7FF3"/>
    <w:rsid w:val="00BC0297"/>
    <w:rsid w:val="00BC05FD"/>
    <w:rsid w:val="00BC0AEF"/>
    <w:rsid w:val="00BC0BAA"/>
    <w:rsid w:val="00BC0C89"/>
    <w:rsid w:val="00BC0E86"/>
    <w:rsid w:val="00BC10AD"/>
    <w:rsid w:val="00BC1429"/>
    <w:rsid w:val="00BC14C3"/>
    <w:rsid w:val="00BC15DE"/>
    <w:rsid w:val="00BC17C8"/>
    <w:rsid w:val="00BC1BC1"/>
    <w:rsid w:val="00BC1CFF"/>
    <w:rsid w:val="00BC23AF"/>
    <w:rsid w:val="00BC24DA"/>
    <w:rsid w:val="00BC2663"/>
    <w:rsid w:val="00BC281B"/>
    <w:rsid w:val="00BC28CD"/>
    <w:rsid w:val="00BC2B67"/>
    <w:rsid w:val="00BC3083"/>
    <w:rsid w:val="00BC369C"/>
    <w:rsid w:val="00BC3A47"/>
    <w:rsid w:val="00BC3B38"/>
    <w:rsid w:val="00BC3DA1"/>
    <w:rsid w:val="00BC407F"/>
    <w:rsid w:val="00BC44D8"/>
    <w:rsid w:val="00BC4818"/>
    <w:rsid w:val="00BC4972"/>
    <w:rsid w:val="00BC4ABF"/>
    <w:rsid w:val="00BC4FD4"/>
    <w:rsid w:val="00BC51BD"/>
    <w:rsid w:val="00BC5264"/>
    <w:rsid w:val="00BC5C32"/>
    <w:rsid w:val="00BC5CAD"/>
    <w:rsid w:val="00BC6085"/>
    <w:rsid w:val="00BC62AB"/>
    <w:rsid w:val="00BC6602"/>
    <w:rsid w:val="00BC66E9"/>
    <w:rsid w:val="00BC6897"/>
    <w:rsid w:val="00BC68D1"/>
    <w:rsid w:val="00BC7709"/>
    <w:rsid w:val="00BC77DA"/>
    <w:rsid w:val="00BC789A"/>
    <w:rsid w:val="00BC7983"/>
    <w:rsid w:val="00BC79E7"/>
    <w:rsid w:val="00BC7ACE"/>
    <w:rsid w:val="00BC7B74"/>
    <w:rsid w:val="00BD01AF"/>
    <w:rsid w:val="00BD063E"/>
    <w:rsid w:val="00BD08DC"/>
    <w:rsid w:val="00BD0CF7"/>
    <w:rsid w:val="00BD1231"/>
    <w:rsid w:val="00BD1426"/>
    <w:rsid w:val="00BD15AB"/>
    <w:rsid w:val="00BD218C"/>
    <w:rsid w:val="00BD2199"/>
    <w:rsid w:val="00BD23ED"/>
    <w:rsid w:val="00BD26E5"/>
    <w:rsid w:val="00BD2C3C"/>
    <w:rsid w:val="00BD2F1D"/>
    <w:rsid w:val="00BD3243"/>
    <w:rsid w:val="00BD33D4"/>
    <w:rsid w:val="00BD3CAD"/>
    <w:rsid w:val="00BD4058"/>
    <w:rsid w:val="00BD40B1"/>
    <w:rsid w:val="00BD43AF"/>
    <w:rsid w:val="00BD446F"/>
    <w:rsid w:val="00BD4836"/>
    <w:rsid w:val="00BD4B04"/>
    <w:rsid w:val="00BD4EB2"/>
    <w:rsid w:val="00BD52B1"/>
    <w:rsid w:val="00BD536F"/>
    <w:rsid w:val="00BD5A0E"/>
    <w:rsid w:val="00BD5B65"/>
    <w:rsid w:val="00BD609B"/>
    <w:rsid w:val="00BD6161"/>
    <w:rsid w:val="00BD6C2F"/>
    <w:rsid w:val="00BD6DAE"/>
    <w:rsid w:val="00BD72B7"/>
    <w:rsid w:val="00BD72C7"/>
    <w:rsid w:val="00BD72D0"/>
    <w:rsid w:val="00BD755B"/>
    <w:rsid w:val="00BD76CB"/>
    <w:rsid w:val="00BD7820"/>
    <w:rsid w:val="00BD78CE"/>
    <w:rsid w:val="00BD7A46"/>
    <w:rsid w:val="00BD7CCF"/>
    <w:rsid w:val="00BE0192"/>
    <w:rsid w:val="00BE04DB"/>
    <w:rsid w:val="00BE0A2D"/>
    <w:rsid w:val="00BE0E94"/>
    <w:rsid w:val="00BE113F"/>
    <w:rsid w:val="00BE1178"/>
    <w:rsid w:val="00BE12B1"/>
    <w:rsid w:val="00BE15A7"/>
    <w:rsid w:val="00BE16B2"/>
    <w:rsid w:val="00BE1796"/>
    <w:rsid w:val="00BE189F"/>
    <w:rsid w:val="00BE1CCF"/>
    <w:rsid w:val="00BE1FEE"/>
    <w:rsid w:val="00BE251C"/>
    <w:rsid w:val="00BE34E8"/>
    <w:rsid w:val="00BE39C9"/>
    <w:rsid w:val="00BE3B5E"/>
    <w:rsid w:val="00BE3F49"/>
    <w:rsid w:val="00BE4203"/>
    <w:rsid w:val="00BE47BF"/>
    <w:rsid w:val="00BE4894"/>
    <w:rsid w:val="00BE50BD"/>
    <w:rsid w:val="00BE515A"/>
    <w:rsid w:val="00BE5374"/>
    <w:rsid w:val="00BE5379"/>
    <w:rsid w:val="00BE57CF"/>
    <w:rsid w:val="00BE588A"/>
    <w:rsid w:val="00BE5BDC"/>
    <w:rsid w:val="00BE5EA6"/>
    <w:rsid w:val="00BE627A"/>
    <w:rsid w:val="00BE661A"/>
    <w:rsid w:val="00BE6A5E"/>
    <w:rsid w:val="00BE6CE8"/>
    <w:rsid w:val="00BE700F"/>
    <w:rsid w:val="00BE73CD"/>
    <w:rsid w:val="00BE754B"/>
    <w:rsid w:val="00BE7563"/>
    <w:rsid w:val="00BE76F2"/>
    <w:rsid w:val="00BE7777"/>
    <w:rsid w:val="00BE7C72"/>
    <w:rsid w:val="00BE7F95"/>
    <w:rsid w:val="00BF0504"/>
    <w:rsid w:val="00BF098B"/>
    <w:rsid w:val="00BF0B1B"/>
    <w:rsid w:val="00BF0CD0"/>
    <w:rsid w:val="00BF0D01"/>
    <w:rsid w:val="00BF0E79"/>
    <w:rsid w:val="00BF1427"/>
    <w:rsid w:val="00BF1AC9"/>
    <w:rsid w:val="00BF1C85"/>
    <w:rsid w:val="00BF1CE1"/>
    <w:rsid w:val="00BF1E33"/>
    <w:rsid w:val="00BF1E75"/>
    <w:rsid w:val="00BF200E"/>
    <w:rsid w:val="00BF2126"/>
    <w:rsid w:val="00BF27D1"/>
    <w:rsid w:val="00BF2EC6"/>
    <w:rsid w:val="00BF3601"/>
    <w:rsid w:val="00BF3634"/>
    <w:rsid w:val="00BF426D"/>
    <w:rsid w:val="00BF4863"/>
    <w:rsid w:val="00BF4A98"/>
    <w:rsid w:val="00BF4BD9"/>
    <w:rsid w:val="00BF5157"/>
    <w:rsid w:val="00BF5AB5"/>
    <w:rsid w:val="00BF5E20"/>
    <w:rsid w:val="00BF5EFA"/>
    <w:rsid w:val="00BF63F1"/>
    <w:rsid w:val="00BF64A2"/>
    <w:rsid w:val="00BF67B2"/>
    <w:rsid w:val="00BF6C55"/>
    <w:rsid w:val="00BF6C7B"/>
    <w:rsid w:val="00BF7064"/>
    <w:rsid w:val="00BF718E"/>
    <w:rsid w:val="00BF752A"/>
    <w:rsid w:val="00BF7944"/>
    <w:rsid w:val="00BF7C54"/>
    <w:rsid w:val="00C004DD"/>
    <w:rsid w:val="00C006B9"/>
    <w:rsid w:val="00C0087B"/>
    <w:rsid w:val="00C00AA2"/>
    <w:rsid w:val="00C014B7"/>
    <w:rsid w:val="00C01A2C"/>
    <w:rsid w:val="00C01B16"/>
    <w:rsid w:val="00C01BD7"/>
    <w:rsid w:val="00C01D5F"/>
    <w:rsid w:val="00C01D95"/>
    <w:rsid w:val="00C0241D"/>
    <w:rsid w:val="00C02779"/>
    <w:rsid w:val="00C029EF"/>
    <w:rsid w:val="00C02F04"/>
    <w:rsid w:val="00C0345A"/>
    <w:rsid w:val="00C03511"/>
    <w:rsid w:val="00C037F5"/>
    <w:rsid w:val="00C03D9E"/>
    <w:rsid w:val="00C03E1C"/>
    <w:rsid w:val="00C041B7"/>
    <w:rsid w:val="00C04251"/>
    <w:rsid w:val="00C04815"/>
    <w:rsid w:val="00C04968"/>
    <w:rsid w:val="00C049AA"/>
    <w:rsid w:val="00C04C2F"/>
    <w:rsid w:val="00C04C3A"/>
    <w:rsid w:val="00C05700"/>
    <w:rsid w:val="00C05B3C"/>
    <w:rsid w:val="00C05BF3"/>
    <w:rsid w:val="00C06261"/>
    <w:rsid w:val="00C07253"/>
    <w:rsid w:val="00C074BC"/>
    <w:rsid w:val="00C074CD"/>
    <w:rsid w:val="00C07A0E"/>
    <w:rsid w:val="00C07A2B"/>
    <w:rsid w:val="00C07B2D"/>
    <w:rsid w:val="00C10023"/>
    <w:rsid w:val="00C1038F"/>
    <w:rsid w:val="00C104F6"/>
    <w:rsid w:val="00C107C3"/>
    <w:rsid w:val="00C10998"/>
    <w:rsid w:val="00C10C15"/>
    <w:rsid w:val="00C10FAD"/>
    <w:rsid w:val="00C1130F"/>
    <w:rsid w:val="00C11638"/>
    <w:rsid w:val="00C11651"/>
    <w:rsid w:val="00C1190A"/>
    <w:rsid w:val="00C11A91"/>
    <w:rsid w:val="00C11AFA"/>
    <w:rsid w:val="00C11ED8"/>
    <w:rsid w:val="00C11EDE"/>
    <w:rsid w:val="00C121CF"/>
    <w:rsid w:val="00C12367"/>
    <w:rsid w:val="00C123CF"/>
    <w:rsid w:val="00C12B9F"/>
    <w:rsid w:val="00C12DAC"/>
    <w:rsid w:val="00C13271"/>
    <w:rsid w:val="00C13520"/>
    <w:rsid w:val="00C13632"/>
    <w:rsid w:val="00C140FA"/>
    <w:rsid w:val="00C143E1"/>
    <w:rsid w:val="00C145B7"/>
    <w:rsid w:val="00C14C21"/>
    <w:rsid w:val="00C14E4B"/>
    <w:rsid w:val="00C14F9B"/>
    <w:rsid w:val="00C14FAB"/>
    <w:rsid w:val="00C152A2"/>
    <w:rsid w:val="00C152C2"/>
    <w:rsid w:val="00C15402"/>
    <w:rsid w:val="00C15C28"/>
    <w:rsid w:val="00C15D10"/>
    <w:rsid w:val="00C15F42"/>
    <w:rsid w:val="00C1610B"/>
    <w:rsid w:val="00C1611D"/>
    <w:rsid w:val="00C16575"/>
    <w:rsid w:val="00C16C9A"/>
    <w:rsid w:val="00C175E4"/>
    <w:rsid w:val="00C176B9"/>
    <w:rsid w:val="00C176DA"/>
    <w:rsid w:val="00C177A5"/>
    <w:rsid w:val="00C178D1"/>
    <w:rsid w:val="00C17BDB"/>
    <w:rsid w:val="00C17C48"/>
    <w:rsid w:val="00C2045C"/>
    <w:rsid w:val="00C204A5"/>
    <w:rsid w:val="00C20F6C"/>
    <w:rsid w:val="00C21463"/>
    <w:rsid w:val="00C21D01"/>
    <w:rsid w:val="00C21E2C"/>
    <w:rsid w:val="00C22587"/>
    <w:rsid w:val="00C225FB"/>
    <w:rsid w:val="00C22892"/>
    <w:rsid w:val="00C22C25"/>
    <w:rsid w:val="00C230E5"/>
    <w:rsid w:val="00C232E0"/>
    <w:rsid w:val="00C23443"/>
    <w:rsid w:val="00C234B2"/>
    <w:rsid w:val="00C23672"/>
    <w:rsid w:val="00C237A0"/>
    <w:rsid w:val="00C238CB"/>
    <w:rsid w:val="00C23A33"/>
    <w:rsid w:val="00C23BA3"/>
    <w:rsid w:val="00C23D9F"/>
    <w:rsid w:val="00C243AF"/>
    <w:rsid w:val="00C245AD"/>
    <w:rsid w:val="00C24B5E"/>
    <w:rsid w:val="00C24C93"/>
    <w:rsid w:val="00C25145"/>
    <w:rsid w:val="00C2534F"/>
    <w:rsid w:val="00C25873"/>
    <w:rsid w:val="00C25C9B"/>
    <w:rsid w:val="00C25CCD"/>
    <w:rsid w:val="00C25FC8"/>
    <w:rsid w:val="00C25FFC"/>
    <w:rsid w:val="00C260A7"/>
    <w:rsid w:val="00C26245"/>
    <w:rsid w:val="00C262DA"/>
    <w:rsid w:val="00C265FE"/>
    <w:rsid w:val="00C268DA"/>
    <w:rsid w:val="00C26C4B"/>
    <w:rsid w:val="00C26D4F"/>
    <w:rsid w:val="00C26F42"/>
    <w:rsid w:val="00C2702B"/>
    <w:rsid w:val="00C273D3"/>
    <w:rsid w:val="00C27554"/>
    <w:rsid w:val="00C27759"/>
    <w:rsid w:val="00C27957"/>
    <w:rsid w:val="00C27AB9"/>
    <w:rsid w:val="00C30058"/>
    <w:rsid w:val="00C300F0"/>
    <w:rsid w:val="00C30168"/>
    <w:rsid w:val="00C30224"/>
    <w:rsid w:val="00C303F6"/>
    <w:rsid w:val="00C30910"/>
    <w:rsid w:val="00C30B5C"/>
    <w:rsid w:val="00C30CB9"/>
    <w:rsid w:val="00C30FB7"/>
    <w:rsid w:val="00C3121A"/>
    <w:rsid w:val="00C313F5"/>
    <w:rsid w:val="00C315C4"/>
    <w:rsid w:val="00C31646"/>
    <w:rsid w:val="00C317A2"/>
    <w:rsid w:val="00C31D94"/>
    <w:rsid w:val="00C31F77"/>
    <w:rsid w:val="00C31FC0"/>
    <w:rsid w:val="00C3203B"/>
    <w:rsid w:val="00C32A9D"/>
    <w:rsid w:val="00C32C4D"/>
    <w:rsid w:val="00C32E76"/>
    <w:rsid w:val="00C34116"/>
    <w:rsid w:val="00C3419A"/>
    <w:rsid w:val="00C343B0"/>
    <w:rsid w:val="00C343EE"/>
    <w:rsid w:val="00C343FC"/>
    <w:rsid w:val="00C345FC"/>
    <w:rsid w:val="00C3496E"/>
    <w:rsid w:val="00C34BF8"/>
    <w:rsid w:val="00C34CC1"/>
    <w:rsid w:val="00C35181"/>
    <w:rsid w:val="00C354FF"/>
    <w:rsid w:val="00C35672"/>
    <w:rsid w:val="00C35BAB"/>
    <w:rsid w:val="00C35BD2"/>
    <w:rsid w:val="00C35C48"/>
    <w:rsid w:val="00C35D53"/>
    <w:rsid w:val="00C36251"/>
    <w:rsid w:val="00C3644F"/>
    <w:rsid w:val="00C3649F"/>
    <w:rsid w:val="00C364FE"/>
    <w:rsid w:val="00C3651F"/>
    <w:rsid w:val="00C36633"/>
    <w:rsid w:val="00C36685"/>
    <w:rsid w:val="00C36E9D"/>
    <w:rsid w:val="00C36F1E"/>
    <w:rsid w:val="00C36F93"/>
    <w:rsid w:val="00C36FCB"/>
    <w:rsid w:val="00C3735C"/>
    <w:rsid w:val="00C37575"/>
    <w:rsid w:val="00C3778F"/>
    <w:rsid w:val="00C377D7"/>
    <w:rsid w:val="00C37C86"/>
    <w:rsid w:val="00C37C88"/>
    <w:rsid w:val="00C37D21"/>
    <w:rsid w:val="00C37EE1"/>
    <w:rsid w:val="00C40069"/>
    <w:rsid w:val="00C40242"/>
    <w:rsid w:val="00C4053A"/>
    <w:rsid w:val="00C40769"/>
    <w:rsid w:val="00C40833"/>
    <w:rsid w:val="00C40834"/>
    <w:rsid w:val="00C40C2E"/>
    <w:rsid w:val="00C40E90"/>
    <w:rsid w:val="00C41033"/>
    <w:rsid w:val="00C41232"/>
    <w:rsid w:val="00C412B1"/>
    <w:rsid w:val="00C413A1"/>
    <w:rsid w:val="00C41444"/>
    <w:rsid w:val="00C418EB"/>
    <w:rsid w:val="00C41947"/>
    <w:rsid w:val="00C41FFE"/>
    <w:rsid w:val="00C420D9"/>
    <w:rsid w:val="00C424B7"/>
    <w:rsid w:val="00C42506"/>
    <w:rsid w:val="00C426D1"/>
    <w:rsid w:val="00C4375B"/>
    <w:rsid w:val="00C4436C"/>
    <w:rsid w:val="00C44767"/>
    <w:rsid w:val="00C44E3A"/>
    <w:rsid w:val="00C44EBE"/>
    <w:rsid w:val="00C45268"/>
    <w:rsid w:val="00C453D9"/>
    <w:rsid w:val="00C45453"/>
    <w:rsid w:val="00C45D3B"/>
    <w:rsid w:val="00C461B2"/>
    <w:rsid w:val="00C46685"/>
    <w:rsid w:val="00C4715B"/>
    <w:rsid w:val="00C476A4"/>
    <w:rsid w:val="00C47A54"/>
    <w:rsid w:val="00C47C8E"/>
    <w:rsid w:val="00C47E9C"/>
    <w:rsid w:val="00C501D1"/>
    <w:rsid w:val="00C50254"/>
    <w:rsid w:val="00C50690"/>
    <w:rsid w:val="00C50718"/>
    <w:rsid w:val="00C50BA7"/>
    <w:rsid w:val="00C50EBA"/>
    <w:rsid w:val="00C50EE6"/>
    <w:rsid w:val="00C51887"/>
    <w:rsid w:val="00C52165"/>
    <w:rsid w:val="00C52537"/>
    <w:rsid w:val="00C52788"/>
    <w:rsid w:val="00C528DE"/>
    <w:rsid w:val="00C529AD"/>
    <w:rsid w:val="00C52EA9"/>
    <w:rsid w:val="00C52FD1"/>
    <w:rsid w:val="00C5344E"/>
    <w:rsid w:val="00C5345E"/>
    <w:rsid w:val="00C5359B"/>
    <w:rsid w:val="00C537F9"/>
    <w:rsid w:val="00C53AF7"/>
    <w:rsid w:val="00C53C18"/>
    <w:rsid w:val="00C53DC9"/>
    <w:rsid w:val="00C541EC"/>
    <w:rsid w:val="00C54C4F"/>
    <w:rsid w:val="00C54CD3"/>
    <w:rsid w:val="00C55041"/>
    <w:rsid w:val="00C55273"/>
    <w:rsid w:val="00C554B5"/>
    <w:rsid w:val="00C55509"/>
    <w:rsid w:val="00C55B8F"/>
    <w:rsid w:val="00C55C3F"/>
    <w:rsid w:val="00C56AE9"/>
    <w:rsid w:val="00C56C48"/>
    <w:rsid w:val="00C56EF2"/>
    <w:rsid w:val="00C570A6"/>
    <w:rsid w:val="00C57154"/>
    <w:rsid w:val="00C577C4"/>
    <w:rsid w:val="00C579F3"/>
    <w:rsid w:val="00C600B3"/>
    <w:rsid w:val="00C60177"/>
    <w:rsid w:val="00C60252"/>
    <w:rsid w:val="00C6028D"/>
    <w:rsid w:val="00C6048D"/>
    <w:rsid w:val="00C60A24"/>
    <w:rsid w:val="00C60C6B"/>
    <w:rsid w:val="00C61179"/>
    <w:rsid w:val="00C61464"/>
    <w:rsid w:val="00C61CE9"/>
    <w:rsid w:val="00C621AF"/>
    <w:rsid w:val="00C624F2"/>
    <w:rsid w:val="00C625E3"/>
    <w:rsid w:val="00C62933"/>
    <w:rsid w:val="00C6315A"/>
    <w:rsid w:val="00C631DB"/>
    <w:rsid w:val="00C6320B"/>
    <w:rsid w:val="00C63239"/>
    <w:rsid w:val="00C63241"/>
    <w:rsid w:val="00C638E4"/>
    <w:rsid w:val="00C63EEE"/>
    <w:rsid w:val="00C63F30"/>
    <w:rsid w:val="00C6430A"/>
    <w:rsid w:val="00C64F5A"/>
    <w:rsid w:val="00C65466"/>
    <w:rsid w:val="00C65547"/>
    <w:rsid w:val="00C656D3"/>
    <w:rsid w:val="00C659E6"/>
    <w:rsid w:val="00C65BF6"/>
    <w:rsid w:val="00C65D5A"/>
    <w:rsid w:val="00C6616E"/>
    <w:rsid w:val="00C661DE"/>
    <w:rsid w:val="00C662BA"/>
    <w:rsid w:val="00C66362"/>
    <w:rsid w:val="00C667D7"/>
    <w:rsid w:val="00C66AE1"/>
    <w:rsid w:val="00C67397"/>
    <w:rsid w:val="00C674A3"/>
    <w:rsid w:val="00C67670"/>
    <w:rsid w:val="00C67BBF"/>
    <w:rsid w:val="00C67D51"/>
    <w:rsid w:val="00C67E8E"/>
    <w:rsid w:val="00C7013D"/>
    <w:rsid w:val="00C709A4"/>
    <w:rsid w:val="00C70FDA"/>
    <w:rsid w:val="00C710DA"/>
    <w:rsid w:val="00C7118B"/>
    <w:rsid w:val="00C717ED"/>
    <w:rsid w:val="00C71817"/>
    <w:rsid w:val="00C718B5"/>
    <w:rsid w:val="00C7195D"/>
    <w:rsid w:val="00C71CD9"/>
    <w:rsid w:val="00C72177"/>
    <w:rsid w:val="00C721A4"/>
    <w:rsid w:val="00C7253B"/>
    <w:rsid w:val="00C7266A"/>
    <w:rsid w:val="00C72779"/>
    <w:rsid w:val="00C7293B"/>
    <w:rsid w:val="00C72B27"/>
    <w:rsid w:val="00C72B78"/>
    <w:rsid w:val="00C72B81"/>
    <w:rsid w:val="00C72C14"/>
    <w:rsid w:val="00C72DD8"/>
    <w:rsid w:val="00C72E21"/>
    <w:rsid w:val="00C72E2A"/>
    <w:rsid w:val="00C73152"/>
    <w:rsid w:val="00C7345A"/>
    <w:rsid w:val="00C7349B"/>
    <w:rsid w:val="00C73941"/>
    <w:rsid w:val="00C739A3"/>
    <w:rsid w:val="00C7434B"/>
    <w:rsid w:val="00C74394"/>
    <w:rsid w:val="00C748A5"/>
    <w:rsid w:val="00C74918"/>
    <w:rsid w:val="00C74A4B"/>
    <w:rsid w:val="00C74B8C"/>
    <w:rsid w:val="00C74E41"/>
    <w:rsid w:val="00C75522"/>
    <w:rsid w:val="00C756B2"/>
    <w:rsid w:val="00C75B98"/>
    <w:rsid w:val="00C7659B"/>
    <w:rsid w:val="00C76779"/>
    <w:rsid w:val="00C76A63"/>
    <w:rsid w:val="00C771D6"/>
    <w:rsid w:val="00C7723C"/>
    <w:rsid w:val="00C7742F"/>
    <w:rsid w:val="00C77483"/>
    <w:rsid w:val="00C7759A"/>
    <w:rsid w:val="00C777E0"/>
    <w:rsid w:val="00C802CB"/>
    <w:rsid w:val="00C806BB"/>
    <w:rsid w:val="00C80EDF"/>
    <w:rsid w:val="00C810D1"/>
    <w:rsid w:val="00C8152E"/>
    <w:rsid w:val="00C8156D"/>
    <w:rsid w:val="00C817CB"/>
    <w:rsid w:val="00C81ABA"/>
    <w:rsid w:val="00C824F7"/>
    <w:rsid w:val="00C824FD"/>
    <w:rsid w:val="00C8257A"/>
    <w:rsid w:val="00C8268F"/>
    <w:rsid w:val="00C82704"/>
    <w:rsid w:val="00C82C11"/>
    <w:rsid w:val="00C82C22"/>
    <w:rsid w:val="00C82E20"/>
    <w:rsid w:val="00C8318A"/>
    <w:rsid w:val="00C83535"/>
    <w:rsid w:val="00C835EF"/>
    <w:rsid w:val="00C836D7"/>
    <w:rsid w:val="00C83D84"/>
    <w:rsid w:val="00C83DA5"/>
    <w:rsid w:val="00C84433"/>
    <w:rsid w:val="00C8472E"/>
    <w:rsid w:val="00C849F4"/>
    <w:rsid w:val="00C850F0"/>
    <w:rsid w:val="00C85210"/>
    <w:rsid w:val="00C853A6"/>
    <w:rsid w:val="00C855B3"/>
    <w:rsid w:val="00C8561B"/>
    <w:rsid w:val="00C85641"/>
    <w:rsid w:val="00C858C6"/>
    <w:rsid w:val="00C85D4B"/>
    <w:rsid w:val="00C8622F"/>
    <w:rsid w:val="00C8638D"/>
    <w:rsid w:val="00C863E7"/>
    <w:rsid w:val="00C866B6"/>
    <w:rsid w:val="00C873FF"/>
    <w:rsid w:val="00C87436"/>
    <w:rsid w:val="00C877A8"/>
    <w:rsid w:val="00C877E1"/>
    <w:rsid w:val="00C87BBF"/>
    <w:rsid w:val="00C9019C"/>
    <w:rsid w:val="00C90717"/>
    <w:rsid w:val="00C90A7B"/>
    <w:rsid w:val="00C90C33"/>
    <w:rsid w:val="00C90DDB"/>
    <w:rsid w:val="00C913D3"/>
    <w:rsid w:val="00C913E9"/>
    <w:rsid w:val="00C91651"/>
    <w:rsid w:val="00C917A4"/>
    <w:rsid w:val="00C91C88"/>
    <w:rsid w:val="00C91E8A"/>
    <w:rsid w:val="00C922A2"/>
    <w:rsid w:val="00C9279D"/>
    <w:rsid w:val="00C92D6E"/>
    <w:rsid w:val="00C92FAD"/>
    <w:rsid w:val="00C930F7"/>
    <w:rsid w:val="00C931A5"/>
    <w:rsid w:val="00C937EE"/>
    <w:rsid w:val="00C937F0"/>
    <w:rsid w:val="00C93AEC"/>
    <w:rsid w:val="00C93CC4"/>
    <w:rsid w:val="00C93FA6"/>
    <w:rsid w:val="00C94131"/>
    <w:rsid w:val="00C947B5"/>
    <w:rsid w:val="00C948CF"/>
    <w:rsid w:val="00C94999"/>
    <w:rsid w:val="00C94B06"/>
    <w:rsid w:val="00C95427"/>
    <w:rsid w:val="00C9546F"/>
    <w:rsid w:val="00C957BE"/>
    <w:rsid w:val="00C958BB"/>
    <w:rsid w:val="00C95D15"/>
    <w:rsid w:val="00C95D70"/>
    <w:rsid w:val="00C960DE"/>
    <w:rsid w:val="00C96193"/>
    <w:rsid w:val="00C96571"/>
    <w:rsid w:val="00C96BF7"/>
    <w:rsid w:val="00C9718D"/>
    <w:rsid w:val="00C977A4"/>
    <w:rsid w:val="00C97CEE"/>
    <w:rsid w:val="00CA02A3"/>
    <w:rsid w:val="00CA05F3"/>
    <w:rsid w:val="00CA08D5"/>
    <w:rsid w:val="00CA0AAF"/>
    <w:rsid w:val="00CA0C7B"/>
    <w:rsid w:val="00CA0E76"/>
    <w:rsid w:val="00CA109C"/>
    <w:rsid w:val="00CA1FBA"/>
    <w:rsid w:val="00CA26EA"/>
    <w:rsid w:val="00CA2AE5"/>
    <w:rsid w:val="00CA2CB5"/>
    <w:rsid w:val="00CA2FB2"/>
    <w:rsid w:val="00CA32B7"/>
    <w:rsid w:val="00CA3469"/>
    <w:rsid w:val="00CA35CC"/>
    <w:rsid w:val="00CA3A0E"/>
    <w:rsid w:val="00CA3D3A"/>
    <w:rsid w:val="00CA3D6F"/>
    <w:rsid w:val="00CA405C"/>
    <w:rsid w:val="00CA424E"/>
    <w:rsid w:val="00CA42D6"/>
    <w:rsid w:val="00CA4942"/>
    <w:rsid w:val="00CA4EAC"/>
    <w:rsid w:val="00CA528A"/>
    <w:rsid w:val="00CA531E"/>
    <w:rsid w:val="00CA5935"/>
    <w:rsid w:val="00CA5E35"/>
    <w:rsid w:val="00CA6227"/>
    <w:rsid w:val="00CA66CC"/>
    <w:rsid w:val="00CA6A03"/>
    <w:rsid w:val="00CA6C94"/>
    <w:rsid w:val="00CA6D3D"/>
    <w:rsid w:val="00CA700C"/>
    <w:rsid w:val="00CA7039"/>
    <w:rsid w:val="00CA7450"/>
    <w:rsid w:val="00CA746B"/>
    <w:rsid w:val="00CA7913"/>
    <w:rsid w:val="00CA7CC9"/>
    <w:rsid w:val="00CB039B"/>
    <w:rsid w:val="00CB074C"/>
    <w:rsid w:val="00CB0C7C"/>
    <w:rsid w:val="00CB15E9"/>
    <w:rsid w:val="00CB1A8E"/>
    <w:rsid w:val="00CB1ADA"/>
    <w:rsid w:val="00CB1F19"/>
    <w:rsid w:val="00CB24AF"/>
    <w:rsid w:val="00CB2534"/>
    <w:rsid w:val="00CB289B"/>
    <w:rsid w:val="00CB2BD5"/>
    <w:rsid w:val="00CB3D55"/>
    <w:rsid w:val="00CB3E4D"/>
    <w:rsid w:val="00CB3F90"/>
    <w:rsid w:val="00CB40AC"/>
    <w:rsid w:val="00CB496E"/>
    <w:rsid w:val="00CB58AC"/>
    <w:rsid w:val="00CB5A62"/>
    <w:rsid w:val="00CB5C55"/>
    <w:rsid w:val="00CB5D62"/>
    <w:rsid w:val="00CB5EFC"/>
    <w:rsid w:val="00CB6CE3"/>
    <w:rsid w:val="00CB6CF0"/>
    <w:rsid w:val="00CB6EF2"/>
    <w:rsid w:val="00CB70B1"/>
    <w:rsid w:val="00CB714E"/>
    <w:rsid w:val="00CB79DC"/>
    <w:rsid w:val="00CB7D57"/>
    <w:rsid w:val="00CC0026"/>
    <w:rsid w:val="00CC02FD"/>
    <w:rsid w:val="00CC097A"/>
    <w:rsid w:val="00CC09A2"/>
    <w:rsid w:val="00CC0C7D"/>
    <w:rsid w:val="00CC0D58"/>
    <w:rsid w:val="00CC15DB"/>
    <w:rsid w:val="00CC18C6"/>
    <w:rsid w:val="00CC1D1A"/>
    <w:rsid w:val="00CC2120"/>
    <w:rsid w:val="00CC23CB"/>
    <w:rsid w:val="00CC24F7"/>
    <w:rsid w:val="00CC31E1"/>
    <w:rsid w:val="00CC3941"/>
    <w:rsid w:val="00CC3A1E"/>
    <w:rsid w:val="00CC3F3F"/>
    <w:rsid w:val="00CC4497"/>
    <w:rsid w:val="00CC4B62"/>
    <w:rsid w:val="00CC5207"/>
    <w:rsid w:val="00CC54DD"/>
    <w:rsid w:val="00CC55B8"/>
    <w:rsid w:val="00CC5B5B"/>
    <w:rsid w:val="00CC5B67"/>
    <w:rsid w:val="00CC6113"/>
    <w:rsid w:val="00CC6260"/>
    <w:rsid w:val="00CC67EF"/>
    <w:rsid w:val="00CC6844"/>
    <w:rsid w:val="00CC6895"/>
    <w:rsid w:val="00CC6992"/>
    <w:rsid w:val="00CC6EB5"/>
    <w:rsid w:val="00CC72FF"/>
    <w:rsid w:val="00CC7463"/>
    <w:rsid w:val="00CC7763"/>
    <w:rsid w:val="00CC77C0"/>
    <w:rsid w:val="00CC7855"/>
    <w:rsid w:val="00CC7995"/>
    <w:rsid w:val="00CC7BD1"/>
    <w:rsid w:val="00CD0121"/>
    <w:rsid w:val="00CD06DD"/>
    <w:rsid w:val="00CD06F7"/>
    <w:rsid w:val="00CD06FA"/>
    <w:rsid w:val="00CD0CE3"/>
    <w:rsid w:val="00CD0F34"/>
    <w:rsid w:val="00CD12A5"/>
    <w:rsid w:val="00CD1404"/>
    <w:rsid w:val="00CD15AC"/>
    <w:rsid w:val="00CD1BF7"/>
    <w:rsid w:val="00CD1C18"/>
    <w:rsid w:val="00CD1C77"/>
    <w:rsid w:val="00CD2536"/>
    <w:rsid w:val="00CD29B8"/>
    <w:rsid w:val="00CD29CE"/>
    <w:rsid w:val="00CD2A8E"/>
    <w:rsid w:val="00CD30D2"/>
    <w:rsid w:val="00CD3195"/>
    <w:rsid w:val="00CD3412"/>
    <w:rsid w:val="00CD38B4"/>
    <w:rsid w:val="00CD38C6"/>
    <w:rsid w:val="00CD3C7D"/>
    <w:rsid w:val="00CD40AB"/>
    <w:rsid w:val="00CD450E"/>
    <w:rsid w:val="00CD46F8"/>
    <w:rsid w:val="00CD4834"/>
    <w:rsid w:val="00CD49D1"/>
    <w:rsid w:val="00CD4A83"/>
    <w:rsid w:val="00CD4C6E"/>
    <w:rsid w:val="00CD4F8F"/>
    <w:rsid w:val="00CD5342"/>
    <w:rsid w:val="00CD536F"/>
    <w:rsid w:val="00CD53ED"/>
    <w:rsid w:val="00CD54C7"/>
    <w:rsid w:val="00CD561D"/>
    <w:rsid w:val="00CD5970"/>
    <w:rsid w:val="00CD5BB0"/>
    <w:rsid w:val="00CD5D4F"/>
    <w:rsid w:val="00CD5E16"/>
    <w:rsid w:val="00CD5F10"/>
    <w:rsid w:val="00CD60F4"/>
    <w:rsid w:val="00CD6527"/>
    <w:rsid w:val="00CD6809"/>
    <w:rsid w:val="00CD6A48"/>
    <w:rsid w:val="00CD6CD2"/>
    <w:rsid w:val="00CD6D39"/>
    <w:rsid w:val="00CD6E1B"/>
    <w:rsid w:val="00CD6F66"/>
    <w:rsid w:val="00CD73A1"/>
    <w:rsid w:val="00CD73C9"/>
    <w:rsid w:val="00CD7576"/>
    <w:rsid w:val="00CD7ECB"/>
    <w:rsid w:val="00CD7F64"/>
    <w:rsid w:val="00CE028E"/>
    <w:rsid w:val="00CE031A"/>
    <w:rsid w:val="00CE03E8"/>
    <w:rsid w:val="00CE0548"/>
    <w:rsid w:val="00CE0601"/>
    <w:rsid w:val="00CE0749"/>
    <w:rsid w:val="00CE0767"/>
    <w:rsid w:val="00CE094D"/>
    <w:rsid w:val="00CE0CD9"/>
    <w:rsid w:val="00CE0F73"/>
    <w:rsid w:val="00CE1004"/>
    <w:rsid w:val="00CE14F9"/>
    <w:rsid w:val="00CE1AFE"/>
    <w:rsid w:val="00CE1BAE"/>
    <w:rsid w:val="00CE1BCF"/>
    <w:rsid w:val="00CE2426"/>
    <w:rsid w:val="00CE253D"/>
    <w:rsid w:val="00CE28E3"/>
    <w:rsid w:val="00CE292E"/>
    <w:rsid w:val="00CE2ADB"/>
    <w:rsid w:val="00CE2E05"/>
    <w:rsid w:val="00CE2E89"/>
    <w:rsid w:val="00CE30C3"/>
    <w:rsid w:val="00CE331C"/>
    <w:rsid w:val="00CE33DA"/>
    <w:rsid w:val="00CE33F3"/>
    <w:rsid w:val="00CE36C4"/>
    <w:rsid w:val="00CE3745"/>
    <w:rsid w:val="00CE3BF6"/>
    <w:rsid w:val="00CE3E47"/>
    <w:rsid w:val="00CE4063"/>
    <w:rsid w:val="00CE440D"/>
    <w:rsid w:val="00CE489E"/>
    <w:rsid w:val="00CE4AC5"/>
    <w:rsid w:val="00CE4DA4"/>
    <w:rsid w:val="00CE4FBA"/>
    <w:rsid w:val="00CE5036"/>
    <w:rsid w:val="00CE549E"/>
    <w:rsid w:val="00CE5722"/>
    <w:rsid w:val="00CE5995"/>
    <w:rsid w:val="00CE5AF9"/>
    <w:rsid w:val="00CE670B"/>
    <w:rsid w:val="00CE679B"/>
    <w:rsid w:val="00CE687D"/>
    <w:rsid w:val="00CE6880"/>
    <w:rsid w:val="00CE6A6E"/>
    <w:rsid w:val="00CE6E2A"/>
    <w:rsid w:val="00CE7082"/>
    <w:rsid w:val="00CE7231"/>
    <w:rsid w:val="00CE7805"/>
    <w:rsid w:val="00CE7988"/>
    <w:rsid w:val="00CF0271"/>
    <w:rsid w:val="00CF03E2"/>
    <w:rsid w:val="00CF0450"/>
    <w:rsid w:val="00CF0814"/>
    <w:rsid w:val="00CF09CB"/>
    <w:rsid w:val="00CF0FAB"/>
    <w:rsid w:val="00CF1074"/>
    <w:rsid w:val="00CF16A9"/>
    <w:rsid w:val="00CF1903"/>
    <w:rsid w:val="00CF1A2D"/>
    <w:rsid w:val="00CF1DD3"/>
    <w:rsid w:val="00CF1E24"/>
    <w:rsid w:val="00CF1FAE"/>
    <w:rsid w:val="00CF2355"/>
    <w:rsid w:val="00CF243B"/>
    <w:rsid w:val="00CF245A"/>
    <w:rsid w:val="00CF275D"/>
    <w:rsid w:val="00CF2913"/>
    <w:rsid w:val="00CF2A96"/>
    <w:rsid w:val="00CF2B31"/>
    <w:rsid w:val="00CF312F"/>
    <w:rsid w:val="00CF33D5"/>
    <w:rsid w:val="00CF42D4"/>
    <w:rsid w:val="00CF439F"/>
    <w:rsid w:val="00CF46E3"/>
    <w:rsid w:val="00CF4863"/>
    <w:rsid w:val="00CF4CEA"/>
    <w:rsid w:val="00CF4D3B"/>
    <w:rsid w:val="00CF53AB"/>
    <w:rsid w:val="00CF5991"/>
    <w:rsid w:val="00CF5DD8"/>
    <w:rsid w:val="00CF623F"/>
    <w:rsid w:val="00CF67D4"/>
    <w:rsid w:val="00CF6A56"/>
    <w:rsid w:val="00CF6E1E"/>
    <w:rsid w:val="00CF7120"/>
    <w:rsid w:val="00CF71E4"/>
    <w:rsid w:val="00CF724C"/>
    <w:rsid w:val="00CF74C5"/>
    <w:rsid w:val="00CF768D"/>
    <w:rsid w:val="00CF78D7"/>
    <w:rsid w:val="00CF78E3"/>
    <w:rsid w:val="00CF797D"/>
    <w:rsid w:val="00CF7B1B"/>
    <w:rsid w:val="00CF7B84"/>
    <w:rsid w:val="00D00190"/>
    <w:rsid w:val="00D001B4"/>
    <w:rsid w:val="00D003B7"/>
    <w:rsid w:val="00D005BF"/>
    <w:rsid w:val="00D00E36"/>
    <w:rsid w:val="00D00F20"/>
    <w:rsid w:val="00D0167C"/>
    <w:rsid w:val="00D0232D"/>
    <w:rsid w:val="00D0236D"/>
    <w:rsid w:val="00D02AB8"/>
    <w:rsid w:val="00D02F4F"/>
    <w:rsid w:val="00D02FFE"/>
    <w:rsid w:val="00D031AC"/>
    <w:rsid w:val="00D03666"/>
    <w:rsid w:val="00D03D78"/>
    <w:rsid w:val="00D04083"/>
    <w:rsid w:val="00D0415F"/>
    <w:rsid w:val="00D04177"/>
    <w:rsid w:val="00D04496"/>
    <w:rsid w:val="00D04950"/>
    <w:rsid w:val="00D0498A"/>
    <w:rsid w:val="00D04CB3"/>
    <w:rsid w:val="00D04E6E"/>
    <w:rsid w:val="00D04F2A"/>
    <w:rsid w:val="00D04F2C"/>
    <w:rsid w:val="00D0564F"/>
    <w:rsid w:val="00D05DB4"/>
    <w:rsid w:val="00D05DEA"/>
    <w:rsid w:val="00D05ED2"/>
    <w:rsid w:val="00D0628D"/>
    <w:rsid w:val="00D064BD"/>
    <w:rsid w:val="00D066A9"/>
    <w:rsid w:val="00D06BA9"/>
    <w:rsid w:val="00D06C03"/>
    <w:rsid w:val="00D06F2A"/>
    <w:rsid w:val="00D06F34"/>
    <w:rsid w:val="00D06F5E"/>
    <w:rsid w:val="00D0708D"/>
    <w:rsid w:val="00D07289"/>
    <w:rsid w:val="00D07679"/>
    <w:rsid w:val="00D076B7"/>
    <w:rsid w:val="00D0793A"/>
    <w:rsid w:val="00D07CC3"/>
    <w:rsid w:val="00D07E59"/>
    <w:rsid w:val="00D07E9B"/>
    <w:rsid w:val="00D1012C"/>
    <w:rsid w:val="00D1043E"/>
    <w:rsid w:val="00D104DE"/>
    <w:rsid w:val="00D10795"/>
    <w:rsid w:val="00D109A0"/>
    <w:rsid w:val="00D10A34"/>
    <w:rsid w:val="00D10CD8"/>
    <w:rsid w:val="00D10F06"/>
    <w:rsid w:val="00D10FCF"/>
    <w:rsid w:val="00D110D0"/>
    <w:rsid w:val="00D11120"/>
    <w:rsid w:val="00D1123E"/>
    <w:rsid w:val="00D11254"/>
    <w:rsid w:val="00D11319"/>
    <w:rsid w:val="00D11341"/>
    <w:rsid w:val="00D11840"/>
    <w:rsid w:val="00D120E9"/>
    <w:rsid w:val="00D12169"/>
    <w:rsid w:val="00D1249F"/>
    <w:rsid w:val="00D12B11"/>
    <w:rsid w:val="00D130DD"/>
    <w:rsid w:val="00D13214"/>
    <w:rsid w:val="00D1324E"/>
    <w:rsid w:val="00D13286"/>
    <w:rsid w:val="00D13354"/>
    <w:rsid w:val="00D136A6"/>
    <w:rsid w:val="00D13738"/>
    <w:rsid w:val="00D13789"/>
    <w:rsid w:val="00D13865"/>
    <w:rsid w:val="00D13A77"/>
    <w:rsid w:val="00D13BCA"/>
    <w:rsid w:val="00D146FF"/>
    <w:rsid w:val="00D1478A"/>
    <w:rsid w:val="00D147D1"/>
    <w:rsid w:val="00D14D57"/>
    <w:rsid w:val="00D14DF4"/>
    <w:rsid w:val="00D14E59"/>
    <w:rsid w:val="00D152F9"/>
    <w:rsid w:val="00D1551E"/>
    <w:rsid w:val="00D155C0"/>
    <w:rsid w:val="00D15B12"/>
    <w:rsid w:val="00D15C54"/>
    <w:rsid w:val="00D16539"/>
    <w:rsid w:val="00D1688B"/>
    <w:rsid w:val="00D169FF"/>
    <w:rsid w:val="00D16DB4"/>
    <w:rsid w:val="00D17499"/>
    <w:rsid w:val="00D17F09"/>
    <w:rsid w:val="00D20031"/>
    <w:rsid w:val="00D200C9"/>
    <w:rsid w:val="00D203C6"/>
    <w:rsid w:val="00D20FDF"/>
    <w:rsid w:val="00D2137E"/>
    <w:rsid w:val="00D21809"/>
    <w:rsid w:val="00D21A3A"/>
    <w:rsid w:val="00D2284E"/>
    <w:rsid w:val="00D22B21"/>
    <w:rsid w:val="00D22B8E"/>
    <w:rsid w:val="00D22DB8"/>
    <w:rsid w:val="00D230EC"/>
    <w:rsid w:val="00D23170"/>
    <w:rsid w:val="00D23523"/>
    <w:rsid w:val="00D23704"/>
    <w:rsid w:val="00D239AB"/>
    <w:rsid w:val="00D23A6C"/>
    <w:rsid w:val="00D242BC"/>
    <w:rsid w:val="00D24457"/>
    <w:rsid w:val="00D24543"/>
    <w:rsid w:val="00D2480F"/>
    <w:rsid w:val="00D24841"/>
    <w:rsid w:val="00D24B2C"/>
    <w:rsid w:val="00D24C21"/>
    <w:rsid w:val="00D2518D"/>
    <w:rsid w:val="00D2542D"/>
    <w:rsid w:val="00D25472"/>
    <w:rsid w:val="00D257F0"/>
    <w:rsid w:val="00D2595C"/>
    <w:rsid w:val="00D25B2B"/>
    <w:rsid w:val="00D25B48"/>
    <w:rsid w:val="00D25DAB"/>
    <w:rsid w:val="00D26AB0"/>
    <w:rsid w:val="00D2743F"/>
    <w:rsid w:val="00D2756E"/>
    <w:rsid w:val="00D275C9"/>
    <w:rsid w:val="00D2795E"/>
    <w:rsid w:val="00D3001E"/>
    <w:rsid w:val="00D30084"/>
    <w:rsid w:val="00D301A5"/>
    <w:rsid w:val="00D30D22"/>
    <w:rsid w:val="00D312B1"/>
    <w:rsid w:val="00D31316"/>
    <w:rsid w:val="00D313B3"/>
    <w:rsid w:val="00D315B1"/>
    <w:rsid w:val="00D31761"/>
    <w:rsid w:val="00D319FE"/>
    <w:rsid w:val="00D31A44"/>
    <w:rsid w:val="00D31B5C"/>
    <w:rsid w:val="00D31C52"/>
    <w:rsid w:val="00D3205F"/>
    <w:rsid w:val="00D3221C"/>
    <w:rsid w:val="00D326AF"/>
    <w:rsid w:val="00D327F8"/>
    <w:rsid w:val="00D3292B"/>
    <w:rsid w:val="00D3294C"/>
    <w:rsid w:val="00D330CC"/>
    <w:rsid w:val="00D33387"/>
    <w:rsid w:val="00D333E1"/>
    <w:rsid w:val="00D33850"/>
    <w:rsid w:val="00D33880"/>
    <w:rsid w:val="00D338C4"/>
    <w:rsid w:val="00D33D63"/>
    <w:rsid w:val="00D33DFA"/>
    <w:rsid w:val="00D33F02"/>
    <w:rsid w:val="00D33FDD"/>
    <w:rsid w:val="00D34767"/>
    <w:rsid w:val="00D34B83"/>
    <w:rsid w:val="00D34EC7"/>
    <w:rsid w:val="00D35313"/>
    <w:rsid w:val="00D35362"/>
    <w:rsid w:val="00D355AA"/>
    <w:rsid w:val="00D35779"/>
    <w:rsid w:val="00D358F7"/>
    <w:rsid w:val="00D35D7B"/>
    <w:rsid w:val="00D35D8B"/>
    <w:rsid w:val="00D36355"/>
    <w:rsid w:val="00D36376"/>
    <w:rsid w:val="00D36650"/>
    <w:rsid w:val="00D36663"/>
    <w:rsid w:val="00D36864"/>
    <w:rsid w:val="00D36E67"/>
    <w:rsid w:val="00D37476"/>
    <w:rsid w:val="00D37B23"/>
    <w:rsid w:val="00D37E27"/>
    <w:rsid w:val="00D37EF5"/>
    <w:rsid w:val="00D402D7"/>
    <w:rsid w:val="00D408C4"/>
    <w:rsid w:val="00D40909"/>
    <w:rsid w:val="00D413C6"/>
    <w:rsid w:val="00D418E0"/>
    <w:rsid w:val="00D419C9"/>
    <w:rsid w:val="00D41A15"/>
    <w:rsid w:val="00D41A93"/>
    <w:rsid w:val="00D4205A"/>
    <w:rsid w:val="00D420BB"/>
    <w:rsid w:val="00D42127"/>
    <w:rsid w:val="00D425D2"/>
    <w:rsid w:val="00D4269B"/>
    <w:rsid w:val="00D428B9"/>
    <w:rsid w:val="00D429E8"/>
    <w:rsid w:val="00D42DAE"/>
    <w:rsid w:val="00D4302D"/>
    <w:rsid w:val="00D43246"/>
    <w:rsid w:val="00D435A4"/>
    <w:rsid w:val="00D43637"/>
    <w:rsid w:val="00D439BB"/>
    <w:rsid w:val="00D43E08"/>
    <w:rsid w:val="00D44034"/>
    <w:rsid w:val="00D44520"/>
    <w:rsid w:val="00D445D9"/>
    <w:rsid w:val="00D446BF"/>
    <w:rsid w:val="00D447BD"/>
    <w:rsid w:val="00D4526F"/>
    <w:rsid w:val="00D45750"/>
    <w:rsid w:val="00D457AA"/>
    <w:rsid w:val="00D457D5"/>
    <w:rsid w:val="00D457EA"/>
    <w:rsid w:val="00D45BD7"/>
    <w:rsid w:val="00D45C42"/>
    <w:rsid w:val="00D4614B"/>
    <w:rsid w:val="00D461DC"/>
    <w:rsid w:val="00D46537"/>
    <w:rsid w:val="00D46913"/>
    <w:rsid w:val="00D46AC5"/>
    <w:rsid w:val="00D46D85"/>
    <w:rsid w:val="00D4701F"/>
    <w:rsid w:val="00D47153"/>
    <w:rsid w:val="00D47B3A"/>
    <w:rsid w:val="00D50087"/>
    <w:rsid w:val="00D5068B"/>
    <w:rsid w:val="00D50960"/>
    <w:rsid w:val="00D509DB"/>
    <w:rsid w:val="00D50AEA"/>
    <w:rsid w:val="00D50B8C"/>
    <w:rsid w:val="00D50E2F"/>
    <w:rsid w:val="00D51088"/>
    <w:rsid w:val="00D511CC"/>
    <w:rsid w:val="00D513C1"/>
    <w:rsid w:val="00D514EE"/>
    <w:rsid w:val="00D51778"/>
    <w:rsid w:val="00D51843"/>
    <w:rsid w:val="00D51865"/>
    <w:rsid w:val="00D51985"/>
    <w:rsid w:val="00D51C1D"/>
    <w:rsid w:val="00D51DFD"/>
    <w:rsid w:val="00D51E83"/>
    <w:rsid w:val="00D520AD"/>
    <w:rsid w:val="00D52395"/>
    <w:rsid w:val="00D52712"/>
    <w:rsid w:val="00D529D2"/>
    <w:rsid w:val="00D52A9B"/>
    <w:rsid w:val="00D52E54"/>
    <w:rsid w:val="00D52FF5"/>
    <w:rsid w:val="00D53049"/>
    <w:rsid w:val="00D53321"/>
    <w:rsid w:val="00D534EA"/>
    <w:rsid w:val="00D5364C"/>
    <w:rsid w:val="00D537A2"/>
    <w:rsid w:val="00D538C9"/>
    <w:rsid w:val="00D53A29"/>
    <w:rsid w:val="00D53ECB"/>
    <w:rsid w:val="00D543B9"/>
    <w:rsid w:val="00D543F7"/>
    <w:rsid w:val="00D54402"/>
    <w:rsid w:val="00D54405"/>
    <w:rsid w:val="00D5495C"/>
    <w:rsid w:val="00D54B6E"/>
    <w:rsid w:val="00D5511E"/>
    <w:rsid w:val="00D55154"/>
    <w:rsid w:val="00D55521"/>
    <w:rsid w:val="00D556E9"/>
    <w:rsid w:val="00D5624E"/>
    <w:rsid w:val="00D564C4"/>
    <w:rsid w:val="00D5661E"/>
    <w:rsid w:val="00D56677"/>
    <w:rsid w:val="00D56AB8"/>
    <w:rsid w:val="00D56D8C"/>
    <w:rsid w:val="00D56DFA"/>
    <w:rsid w:val="00D56E7B"/>
    <w:rsid w:val="00D57511"/>
    <w:rsid w:val="00D57534"/>
    <w:rsid w:val="00D57688"/>
    <w:rsid w:val="00D57967"/>
    <w:rsid w:val="00D57AE6"/>
    <w:rsid w:val="00D57B4B"/>
    <w:rsid w:val="00D600F7"/>
    <w:rsid w:val="00D60450"/>
    <w:rsid w:val="00D60497"/>
    <w:rsid w:val="00D60546"/>
    <w:rsid w:val="00D606EB"/>
    <w:rsid w:val="00D606FF"/>
    <w:rsid w:val="00D6090F"/>
    <w:rsid w:val="00D60B2C"/>
    <w:rsid w:val="00D60E22"/>
    <w:rsid w:val="00D612B7"/>
    <w:rsid w:val="00D61302"/>
    <w:rsid w:val="00D61BB6"/>
    <w:rsid w:val="00D61F3E"/>
    <w:rsid w:val="00D6208C"/>
    <w:rsid w:val="00D62265"/>
    <w:rsid w:val="00D624E6"/>
    <w:rsid w:val="00D626CF"/>
    <w:rsid w:val="00D62EB1"/>
    <w:rsid w:val="00D62F4D"/>
    <w:rsid w:val="00D63402"/>
    <w:rsid w:val="00D63491"/>
    <w:rsid w:val="00D635EF"/>
    <w:rsid w:val="00D63E8F"/>
    <w:rsid w:val="00D6411A"/>
    <w:rsid w:val="00D64368"/>
    <w:rsid w:val="00D64654"/>
    <w:rsid w:val="00D648D9"/>
    <w:rsid w:val="00D64B28"/>
    <w:rsid w:val="00D64B48"/>
    <w:rsid w:val="00D652D9"/>
    <w:rsid w:val="00D65678"/>
    <w:rsid w:val="00D6567D"/>
    <w:rsid w:val="00D65ADE"/>
    <w:rsid w:val="00D65CB2"/>
    <w:rsid w:val="00D65D4B"/>
    <w:rsid w:val="00D65D9E"/>
    <w:rsid w:val="00D65E03"/>
    <w:rsid w:val="00D65E76"/>
    <w:rsid w:val="00D66972"/>
    <w:rsid w:val="00D66F3F"/>
    <w:rsid w:val="00D671F0"/>
    <w:rsid w:val="00D6794A"/>
    <w:rsid w:val="00D67B2E"/>
    <w:rsid w:val="00D67C36"/>
    <w:rsid w:val="00D67C3C"/>
    <w:rsid w:val="00D67DDA"/>
    <w:rsid w:val="00D702DF"/>
    <w:rsid w:val="00D70727"/>
    <w:rsid w:val="00D70AB1"/>
    <w:rsid w:val="00D70AB2"/>
    <w:rsid w:val="00D70DDA"/>
    <w:rsid w:val="00D70E55"/>
    <w:rsid w:val="00D70E6F"/>
    <w:rsid w:val="00D71079"/>
    <w:rsid w:val="00D71774"/>
    <w:rsid w:val="00D71954"/>
    <w:rsid w:val="00D71D12"/>
    <w:rsid w:val="00D72007"/>
    <w:rsid w:val="00D72273"/>
    <w:rsid w:val="00D722F5"/>
    <w:rsid w:val="00D73685"/>
    <w:rsid w:val="00D73AD9"/>
    <w:rsid w:val="00D73F4D"/>
    <w:rsid w:val="00D7417D"/>
    <w:rsid w:val="00D741AB"/>
    <w:rsid w:val="00D742AC"/>
    <w:rsid w:val="00D74847"/>
    <w:rsid w:val="00D748A9"/>
    <w:rsid w:val="00D748AB"/>
    <w:rsid w:val="00D748B3"/>
    <w:rsid w:val="00D74AA3"/>
    <w:rsid w:val="00D74E85"/>
    <w:rsid w:val="00D7521B"/>
    <w:rsid w:val="00D7600C"/>
    <w:rsid w:val="00D76249"/>
    <w:rsid w:val="00D76269"/>
    <w:rsid w:val="00D76480"/>
    <w:rsid w:val="00D76536"/>
    <w:rsid w:val="00D76C35"/>
    <w:rsid w:val="00D76C7A"/>
    <w:rsid w:val="00D76C85"/>
    <w:rsid w:val="00D7707A"/>
    <w:rsid w:val="00D77609"/>
    <w:rsid w:val="00D77721"/>
    <w:rsid w:val="00D77959"/>
    <w:rsid w:val="00D779A3"/>
    <w:rsid w:val="00D77A4A"/>
    <w:rsid w:val="00D77BAB"/>
    <w:rsid w:val="00D77FF2"/>
    <w:rsid w:val="00D8064B"/>
    <w:rsid w:val="00D808FB"/>
    <w:rsid w:val="00D80906"/>
    <w:rsid w:val="00D809ED"/>
    <w:rsid w:val="00D80AE1"/>
    <w:rsid w:val="00D80C29"/>
    <w:rsid w:val="00D812C9"/>
    <w:rsid w:val="00D81680"/>
    <w:rsid w:val="00D8187E"/>
    <w:rsid w:val="00D81E62"/>
    <w:rsid w:val="00D8274F"/>
    <w:rsid w:val="00D82825"/>
    <w:rsid w:val="00D82887"/>
    <w:rsid w:val="00D82B00"/>
    <w:rsid w:val="00D82D00"/>
    <w:rsid w:val="00D830D5"/>
    <w:rsid w:val="00D8316D"/>
    <w:rsid w:val="00D83972"/>
    <w:rsid w:val="00D83B51"/>
    <w:rsid w:val="00D83F8B"/>
    <w:rsid w:val="00D840F7"/>
    <w:rsid w:val="00D8423A"/>
    <w:rsid w:val="00D8466B"/>
    <w:rsid w:val="00D84A30"/>
    <w:rsid w:val="00D84ECA"/>
    <w:rsid w:val="00D85120"/>
    <w:rsid w:val="00D85214"/>
    <w:rsid w:val="00D8525E"/>
    <w:rsid w:val="00D85379"/>
    <w:rsid w:val="00D85647"/>
    <w:rsid w:val="00D85C70"/>
    <w:rsid w:val="00D85ECF"/>
    <w:rsid w:val="00D86025"/>
    <w:rsid w:val="00D8608D"/>
    <w:rsid w:val="00D86772"/>
    <w:rsid w:val="00D869F4"/>
    <w:rsid w:val="00D86D6B"/>
    <w:rsid w:val="00D8709C"/>
    <w:rsid w:val="00D8736E"/>
    <w:rsid w:val="00D87833"/>
    <w:rsid w:val="00D87860"/>
    <w:rsid w:val="00D87955"/>
    <w:rsid w:val="00D87EFD"/>
    <w:rsid w:val="00D90386"/>
    <w:rsid w:val="00D9041B"/>
    <w:rsid w:val="00D904FF"/>
    <w:rsid w:val="00D906ED"/>
    <w:rsid w:val="00D90DBB"/>
    <w:rsid w:val="00D9141D"/>
    <w:rsid w:val="00D91652"/>
    <w:rsid w:val="00D91A20"/>
    <w:rsid w:val="00D91AD4"/>
    <w:rsid w:val="00D91C7C"/>
    <w:rsid w:val="00D91D57"/>
    <w:rsid w:val="00D92546"/>
    <w:rsid w:val="00D92699"/>
    <w:rsid w:val="00D9269F"/>
    <w:rsid w:val="00D92819"/>
    <w:rsid w:val="00D92D0F"/>
    <w:rsid w:val="00D92E3C"/>
    <w:rsid w:val="00D930EA"/>
    <w:rsid w:val="00D9350A"/>
    <w:rsid w:val="00D9370C"/>
    <w:rsid w:val="00D93E9F"/>
    <w:rsid w:val="00D93F5B"/>
    <w:rsid w:val="00D9402D"/>
    <w:rsid w:val="00D9469C"/>
    <w:rsid w:val="00D946C9"/>
    <w:rsid w:val="00D9498F"/>
    <w:rsid w:val="00D94CF3"/>
    <w:rsid w:val="00D94D2D"/>
    <w:rsid w:val="00D94E1C"/>
    <w:rsid w:val="00D94EFA"/>
    <w:rsid w:val="00D95110"/>
    <w:rsid w:val="00D954F8"/>
    <w:rsid w:val="00D95A20"/>
    <w:rsid w:val="00D95B57"/>
    <w:rsid w:val="00D95CB0"/>
    <w:rsid w:val="00D96541"/>
    <w:rsid w:val="00D96630"/>
    <w:rsid w:val="00D967A8"/>
    <w:rsid w:val="00D969EF"/>
    <w:rsid w:val="00D96E65"/>
    <w:rsid w:val="00D970F2"/>
    <w:rsid w:val="00D97195"/>
    <w:rsid w:val="00D97451"/>
    <w:rsid w:val="00D979BE"/>
    <w:rsid w:val="00D979C0"/>
    <w:rsid w:val="00D97A4D"/>
    <w:rsid w:val="00D97EC8"/>
    <w:rsid w:val="00DA058E"/>
    <w:rsid w:val="00DA05C3"/>
    <w:rsid w:val="00DA070E"/>
    <w:rsid w:val="00DA0872"/>
    <w:rsid w:val="00DA0D1D"/>
    <w:rsid w:val="00DA0EB4"/>
    <w:rsid w:val="00DA0EFC"/>
    <w:rsid w:val="00DA1611"/>
    <w:rsid w:val="00DA17F2"/>
    <w:rsid w:val="00DA1853"/>
    <w:rsid w:val="00DA18D3"/>
    <w:rsid w:val="00DA1C7B"/>
    <w:rsid w:val="00DA1DE2"/>
    <w:rsid w:val="00DA20D9"/>
    <w:rsid w:val="00DA2205"/>
    <w:rsid w:val="00DA24DE"/>
    <w:rsid w:val="00DA297B"/>
    <w:rsid w:val="00DA2BC0"/>
    <w:rsid w:val="00DA2E49"/>
    <w:rsid w:val="00DA2E66"/>
    <w:rsid w:val="00DA3314"/>
    <w:rsid w:val="00DA3BAE"/>
    <w:rsid w:val="00DA3D6B"/>
    <w:rsid w:val="00DA3D93"/>
    <w:rsid w:val="00DA4337"/>
    <w:rsid w:val="00DA443B"/>
    <w:rsid w:val="00DA46C4"/>
    <w:rsid w:val="00DA484F"/>
    <w:rsid w:val="00DA49B7"/>
    <w:rsid w:val="00DA4AC1"/>
    <w:rsid w:val="00DA4E83"/>
    <w:rsid w:val="00DA50B0"/>
    <w:rsid w:val="00DA50E6"/>
    <w:rsid w:val="00DA512C"/>
    <w:rsid w:val="00DA5931"/>
    <w:rsid w:val="00DA5AA7"/>
    <w:rsid w:val="00DA5C7E"/>
    <w:rsid w:val="00DA6765"/>
    <w:rsid w:val="00DA6BC4"/>
    <w:rsid w:val="00DA759A"/>
    <w:rsid w:val="00DA75E8"/>
    <w:rsid w:val="00DA76D8"/>
    <w:rsid w:val="00DA779D"/>
    <w:rsid w:val="00DA7843"/>
    <w:rsid w:val="00DA79E6"/>
    <w:rsid w:val="00DA7D18"/>
    <w:rsid w:val="00DB003C"/>
    <w:rsid w:val="00DB01B8"/>
    <w:rsid w:val="00DB026A"/>
    <w:rsid w:val="00DB0364"/>
    <w:rsid w:val="00DB0E33"/>
    <w:rsid w:val="00DB0EC8"/>
    <w:rsid w:val="00DB10BA"/>
    <w:rsid w:val="00DB13F4"/>
    <w:rsid w:val="00DB14F9"/>
    <w:rsid w:val="00DB1B52"/>
    <w:rsid w:val="00DB1E91"/>
    <w:rsid w:val="00DB225D"/>
    <w:rsid w:val="00DB2451"/>
    <w:rsid w:val="00DB2807"/>
    <w:rsid w:val="00DB28F3"/>
    <w:rsid w:val="00DB2936"/>
    <w:rsid w:val="00DB2DD5"/>
    <w:rsid w:val="00DB2E2F"/>
    <w:rsid w:val="00DB2E5E"/>
    <w:rsid w:val="00DB2FB7"/>
    <w:rsid w:val="00DB3531"/>
    <w:rsid w:val="00DB393C"/>
    <w:rsid w:val="00DB3BED"/>
    <w:rsid w:val="00DB414A"/>
    <w:rsid w:val="00DB4286"/>
    <w:rsid w:val="00DB42FC"/>
    <w:rsid w:val="00DB4346"/>
    <w:rsid w:val="00DB4410"/>
    <w:rsid w:val="00DB4DA4"/>
    <w:rsid w:val="00DB508C"/>
    <w:rsid w:val="00DB5117"/>
    <w:rsid w:val="00DB52A2"/>
    <w:rsid w:val="00DB543B"/>
    <w:rsid w:val="00DB57D7"/>
    <w:rsid w:val="00DB5BDE"/>
    <w:rsid w:val="00DB5C42"/>
    <w:rsid w:val="00DB5E86"/>
    <w:rsid w:val="00DB6031"/>
    <w:rsid w:val="00DB65CB"/>
    <w:rsid w:val="00DB663B"/>
    <w:rsid w:val="00DB664A"/>
    <w:rsid w:val="00DB67B8"/>
    <w:rsid w:val="00DB682E"/>
    <w:rsid w:val="00DB6C6F"/>
    <w:rsid w:val="00DB7308"/>
    <w:rsid w:val="00DB7463"/>
    <w:rsid w:val="00DB7681"/>
    <w:rsid w:val="00DB7829"/>
    <w:rsid w:val="00DB7B03"/>
    <w:rsid w:val="00DB7BCC"/>
    <w:rsid w:val="00DC0319"/>
    <w:rsid w:val="00DC0999"/>
    <w:rsid w:val="00DC0A89"/>
    <w:rsid w:val="00DC0E4C"/>
    <w:rsid w:val="00DC0E66"/>
    <w:rsid w:val="00DC1065"/>
    <w:rsid w:val="00DC135A"/>
    <w:rsid w:val="00DC14AF"/>
    <w:rsid w:val="00DC1625"/>
    <w:rsid w:val="00DC1720"/>
    <w:rsid w:val="00DC1C88"/>
    <w:rsid w:val="00DC1C89"/>
    <w:rsid w:val="00DC1E81"/>
    <w:rsid w:val="00DC2558"/>
    <w:rsid w:val="00DC2BBB"/>
    <w:rsid w:val="00DC2E98"/>
    <w:rsid w:val="00DC30D7"/>
    <w:rsid w:val="00DC32AB"/>
    <w:rsid w:val="00DC3633"/>
    <w:rsid w:val="00DC3705"/>
    <w:rsid w:val="00DC3C1F"/>
    <w:rsid w:val="00DC3CF6"/>
    <w:rsid w:val="00DC4108"/>
    <w:rsid w:val="00DC43B9"/>
    <w:rsid w:val="00DC4448"/>
    <w:rsid w:val="00DC46D0"/>
    <w:rsid w:val="00DC4EC7"/>
    <w:rsid w:val="00DC4F64"/>
    <w:rsid w:val="00DC50C5"/>
    <w:rsid w:val="00DC5317"/>
    <w:rsid w:val="00DC54E2"/>
    <w:rsid w:val="00DC55AE"/>
    <w:rsid w:val="00DC55D7"/>
    <w:rsid w:val="00DC5963"/>
    <w:rsid w:val="00DC614E"/>
    <w:rsid w:val="00DC61F9"/>
    <w:rsid w:val="00DC63A8"/>
    <w:rsid w:val="00DC64A7"/>
    <w:rsid w:val="00DC6B95"/>
    <w:rsid w:val="00DC6C3C"/>
    <w:rsid w:val="00DC6F8B"/>
    <w:rsid w:val="00DC6FB6"/>
    <w:rsid w:val="00DC78C1"/>
    <w:rsid w:val="00DC7CC6"/>
    <w:rsid w:val="00DC7DB3"/>
    <w:rsid w:val="00DD01AF"/>
    <w:rsid w:val="00DD039D"/>
    <w:rsid w:val="00DD04B4"/>
    <w:rsid w:val="00DD0925"/>
    <w:rsid w:val="00DD0953"/>
    <w:rsid w:val="00DD0B8A"/>
    <w:rsid w:val="00DD0BFD"/>
    <w:rsid w:val="00DD0DE9"/>
    <w:rsid w:val="00DD1332"/>
    <w:rsid w:val="00DD14E7"/>
    <w:rsid w:val="00DD1611"/>
    <w:rsid w:val="00DD1761"/>
    <w:rsid w:val="00DD1A95"/>
    <w:rsid w:val="00DD1D89"/>
    <w:rsid w:val="00DD2108"/>
    <w:rsid w:val="00DD22A5"/>
    <w:rsid w:val="00DD2673"/>
    <w:rsid w:val="00DD26DA"/>
    <w:rsid w:val="00DD2A26"/>
    <w:rsid w:val="00DD2BAB"/>
    <w:rsid w:val="00DD2C41"/>
    <w:rsid w:val="00DD2C81"/>
    <w:rsid w:val="00DD2D2F"/>
    <w:rsid w:val="00DD2E95"/>
    <w:rsid w:val="00DD37B2"/>
    <w:rsid w:val="00DD3F82"/>
    <w:rsid w:val="00DD4176"/>
    <w:rsid w:val="00DD420D"/>
    <w:rsid w:val="00DD42F0"/>
    <w:rsid w:val="00DD4423"/>
    <w:rsid w:val="00DD491A"/>
    <w:rsid w:val="00DD4A08"/>
    <w:rsid w:val="00DD4B3B"/>
    <w:rsid w:val="00DD4C64"/>
    <w:rsid w:val="00DD502A"/>
    <w:rsid w:val="00DD5134"/>
    <w:rsid w:val="00DD5161"/>
    <w:rsid w:val="00DD5501"/>
    <w:rsid w:val="00DD59C7"/>
    <w:rsid w:val="00DD66A3"/>
    <w:rsid w:val="00DD69F4"/>
    <w:rsid w:val="00DD6A33"/>
    <w:rsid w:val="00DD6A9F"/>
    <w:rsid w:val="00DD6EFF"/>
    <w:rsid w:val="00DD6F30"/>
    <w:rsid w:val="00DD7358"/>
    <w:rsid w:val="00DD7667"/>
    <w:rsid w:val="00DD7CD2"/>
    <w:rsid w:val="00DD7FBB"/>
    <w:rsid w:val="00DE0213"/>
    <w:rsid w:val="00DE04C1"/>
    <w:rsid w:val="00DE0C84"/>
    <w:rsid w:val="00DE14B1"/>
    <w:rsid w:val="00DE163E"/>
    <w:rsid w:val="00DE19E0"/>
    <w:rsid w:val="00DE1BAD"/>
    <w:rsid w:val="00DE1D6B"/>
    <w:rsid w:val="00DE218A"/>
    <w:rsid w:val="00DE2496"/>
    <w:rsid w:val="00DE27C6"/>
    <w:rsid w:val="00DE2A44"/>
    <w:rsid w:val="00DE35D9"/>
    <w:rsid w:val="00DE3AF6"/>
    <w:rsid w:val="00DE3CAE"/>
    <w:rsid w:val="00DE45E7"/>
    <w:rsid w:val="00DE4A7B"/>
    <w:rsid w:val="00DE4D62"/>
    <w:rsid w:val="00DE4E08"/>
    <w:rsid w:val="00DE509F"/>
    <w:rsid w:val="00DE519A"/>
    <w:rsid w:val="00DE523F"/>
    <w:rsid w:val="00DE529C"/>
    <w:rsid w:val="00DE544A"/>
    <w:rsid w:val="00DE54B6"/>
    <w:rsid w:val="00DE54FE"/>
    <w:rsid w:val="00DE5725"/>
    <w:rsid w:val="00DE590B"/>
    <w:rsid w:val="00DE5DE4"/>
    <w:rsid w:val="00DE65D9"/>
    <w:rsid w:val="00DE67C3"/>
    <w:rsid w:val="00DE6BE6"/>
    <w:rsid w:val="00DE7099"/>
    <w:rsid w:val="00DE726C"/>
    <w:rsid w:val="00DE797A"/>
    <w:rsid w:val="00DF0292"/>
    <w:rsid w:val="00DF0552"/>
    <w:rsid w:val="00DF0758"/>
    <w:rsid w:val="00DF0D14"/>
    <w:rsid w:val="00DF0FAA"/>
    <w:rsid w:val="00DF118F"/>
    <w:rsid w:val="00DF1276"/>
    <w:rsid w:val="00DF1840"/>
    <w:rsid w:val="00DF1F6C"/>
    <w:rsid w:val="00DF21C4"/>
    <w:rsid w:val="00DF2382"/>
    <w:rsid w:val="00DF315F"/>
    <w:rsid w:val="00DF341B"/>
    <w:rsid w:val="00DF36CB"/>
    <w:rsid w:val="00DF39E9"/>
    <w:rsid w:val="00DF3B78"/>
    <w:rsid w:val="00DF3F12"/>
    <w:rsid w:val="00DF4217"/>
    <w:rsid w:val="00DF4242"/>
    <w:rsid w:val="00DF431B"/>
    <w:rsid w:val="00DF4964"/>
    <w:rsid w:val="00DF4EAD"/>
    <w:rsid w:val="00DF52AE"/>
    <w:rsid w:val="00DF555B"/>
    <w:rsid w:val="00DF5953"/>
    <w:rsid w:val="00DF5A65"/>
    <w:rsid w:val="00DF5FD8"/>
    <w:rsid w:val="00DF6499"/>
    <w:rsid w:val="00DF6AF2"/>
    <w:rsid w:val="00DF6DE9"/>
    <w:rsid w:val="00DF71A7"/>
    <w:rsid w:val="00DF74D9"/>
    <w:rsid w:val="00DF786A"/>
    <w:rsid w:val="00DF7BDB"/>
    <w:rsid w:val="00DF7EC9"/>
    <w:rsid w:val="00DF7FDB"/>
    <w:rsid w:val="00E005B0"/>
    <w:rsid w:val="00E0074D"/>
    <w:rsid w:val="00E00B2D"/>
    <w:rsid w:val="00E01098"/>
    <w:rsid w:val="00E01123"/>
    <w:rsid w:val="00E01935"/>
    <w:rsid w:val="00E01FAD"/>
    <w:rsid w:val="00E0241E"/>
    <w:rsid w:val="00E0258A"/>
    <w:rsid w:val="00E027EC"/>
    <w:rsid w:val="00E02E2A"/>
    <w:rsid w:val="00E02E30"/>
    <w:rsid w:val="00E03226"/>
    <w:rsid w:val="00E0360B"/>
    <w:rsid w:val="00E03A96"/>
    <w:rsid w:val="00E04140"/>
    <w:rsid w:val="00E04182"/>
    <w:rsid w:val="00E04453"/>
    <w:rsid w:val="00E047FF"/>
    <w:rsid w:val="00E04E02"/>
    <w:rsid w:val="00E05532"/>
    <w:rsid w:val="00E05658"/>
    <w:rsid w:val="00E057E4"/>
    <w:rsid w:val="00E05895"/>
    <w:rsid w:val="00E05C2B"/>
    <w:rsid w:val="00E05D49"/>
    <w:rsid w:val="00E05D56"/>
    <w:rsid w:val="00E06056"/>
    <w:rsid w:val="00E06086"/>
    <w:rsid w:val="00E07641"/>
    <w:rsid w:val="00E0796B"/>
    <w:rsid w:val="00E079B8"/>
    <w:rsid w:val="00E07A95"/>
    <w:rsid w:val="00E07EAC"/>
    <w:rsid w:val="00E100F4"/>
    <w:rsid w:val="00E10256"/>
    <w:rsid w:val="00E105A9"/>
    <w:rsid w:val="00E10908"/>
    <w:rsid w:val="00E10B91"/>
    <w:rsid w:val="00E115CA"/>
    <w:rsid w:val="00E11BA3"/>
    <w:rsid w:val="00E11CE7"/>
    <w:rsid w:val="00E11E2F"/>
    <w:rsid w:val="00E11FE5"/>
    <w:rsid w:val="00E1211C"/>
    <w:rsid w:val="00E129F9"/>
    <w:rsid w:val="00E12AA3"/>
    <w:rsid w:val="00E12D12"/>
    <w:rsid w:val="00E12F63"/>
    <w:rsid w:val="00E13BAC"/>
    <w:rsid w:val="00E13D99"/>
    <w:rsid w:val="00E13F3F"/>
    <w:rsid w:val="00E14077"/>
    <w:rsid w:val="00E14243"/>
    <w:rsid w:val="00E145DD"/>
    <w:rsid w:val="00E14764"/>
    <w:rsid w:val="00E14D22"/>
    <w:rsid w:val="00E14E96"/>
    <w:rsid w:val="00E15056"/>
    <w:rsid w:val="00E15DB1"/>
    <w:rsid w:val="00E1605F"/>
    <w:rsid w:val="00E16069"/>
    <w:rsid w:val="00E16AF2"/>
    <w:rsid w:val="00E16E91"/>
    <w:rsid w:val="00E170E7"/>
    <w:rsid w:val="00E17552"/>
    <w:rsid w:val="00E177F5"/>
    <w:rsid w:val="00E179DE"/>
    <w:rsid w:val="00E17A0F"/>
    <w:rsid w:val="00E17D78"/>
    <w:rsid w:val="00E17DA2"/>
    <w:rsid w:val="00E17E78"/>
    <w:rsid w:val="00E17F00"/>
    <w:rsid w:val="00E2007B"/>
    <w:rsid w:val="00E20208"/>
    <w:rsid w:val="00E205FA"/>
    <w:rsid w:val="00E20667"/>
    <w:rsid w:val="00E20EBB"/>
    <w:rsid w:val="00E20F20"/>
    <w:rsid w:val="00E211C6"/>
    <w:rsid w:val="00E2132E"/>
    <w:rsid w:val="00E214E6"/>
    <w:rsid w:val="00E21700"/>
    <w:rsid w:val="00E21894"/>
    <w:rsid w:val="00E21B03"/>
    <w:rsid w:val="00E22445"/>
    <w:rsid w:val="00E2257B"/>
    <w:rsid w:val="00E227E3"/>
    <w:rsid w:val="00E229DF"/>
    <w:rsid w:val="00E22AC7"/>
    <w:rsid w:val="00E22B5A"/>
    <w:rsid w:val="00E22D23"/>
    <w:rsid w:val="00E237DC"/>
    <w:rsid w:val="00E238A7"/>
    <w:rsid w:val="00E239A9"/>
    <w:rsid w:val="00E242C0"/>
    <w:rsid w:val="00E245FE"/>
    <w:rsid w:val="00E247B1"/>
    <w:rsid w:val="00E24901"/>
    <w:rsid w:val="00E25637"/>
    <w:rsid w:val="00E256DC"/>
    <w:rsid w:val="00E258AF"/>
    <w:rsid w:val="00E25FB8"/>
    <w:rsid w:val="00E26096"/>
    <w:rsid w:val="00E260A3"/>
    <w:rsid w:val="00E26300"/>
    <w:rsid w:val="00E26892"/>
    <w:rsid w:val="00E26B3F"/>
    <w:rsid w:val="00E26B70"/>
    <w:rsid w:val="00E26D15"/>
    <w:rsid w:val="00E272A4"/>
    <w:rsid w:val="00E277C0"/>
    <w:rsid w:val="00E277C6"/>
    <w:rsid w:val="00E27821"/>
    <w:rsid w:val="00E2784C"/>
    <w:rsid w:val="00E27CD2"/>
    <w:rsid w:val="00E27DDB"/>
    <w:rsid w:val="00E27EE7"/>
    <w:rsid w:val="00E30052"/>
    <w:rsid w:val="00E30884"/>
    <w:rsid w:val="00E30AC3"/>
    <w:rsid w:val="00E30BCC"/>
    <w:rsid w:val="00E30D59"/>
    <w:rsid w:val="00E30DEA"/>
    <w:rsid w:val="00E31702"/>
    <w:rsid w:val="00E31750"/>
    <w:rsid w:val="00E31B75"/>
    <w:rsid w:val="00E31DFE"/>
    <w:rsid w:val="00E322BD"/>
    <w:rsid w:val="00E3234F"/>
    <w:rsid w:val="00E3242E"/>
    <w:rsid w:val="00E32835"/>
    <w:rsid w:val="00E32DC5"/>
    <w:rsid w:val="00E330C9"/>
    <w:rsid w:val="00E3330E"/>
    <w:rsid w:val="00E33460"/>
    <w:rsid w:val="00E3351F"/>
    <w:rsid w:val="00E33775"/>
    <w:rsid w:val="00E33992"/>
    <w:rsid w:val="00E33AE6"/>
    <w:rsid w:val="00E34603"/>
    <w:rsid w:val="00E34965"/>
    <w:rsid w:val="00E35027"/>
    <w:rsid w:val="00E353AD"/>
    <w:rsid w:val="00E353C6"/>
    <w:rsid w:val="00E35558"/>
    <w:rsid w:val="00E363B2"/>
    <w:rsid w:val="00E3653C"/>
    <w:rsid w:val="00E36809"/>
    <w:rsid w:val="00E36A04"/>
    <w:rsid w:val="00E36AEB"/>
    <w:rsid w:val="00E36B86"/>
    <w:rsid w:val="00E36BD9"/>
    <w:rsid w:val="00E37016"/>
    <w:rsid w:val="00E377EA"/>
    <w:rsid w:val="00E3790E"/>
    <w:rsid w:val="00E37A64"/>
    <w:rsid w:val="00E37CA1"/>
    <w:rsid w:val="00E404C6"/>
    <w:rsid w:val="00E40537"/>
    <w:rsid w:val="00E4079C"/>
    <w:rsid w:val="00E40909"/>
    <w:rsid w:val="00E40DAE"/>
    <w:rsid w:val="00E40F62"/>
    <w:rsid w:val="00E41553"/>
    <w:rsid w:val="00E4155F"/>
    <w:rsid w:val="00E41B79"/>
    <w:rsid w:val="00E41C09"/>
    <w:rsid w:val="00E41F35"/>
    <w:rsid w:val="00E4207D"/>
    <w:rsid w:val="00E42461"/>
    <w:rsid w:val="00E425FB"/>
    <w:rsid w:val="00E427A1"/>
    <w:rsid w:val="00E42813"/>
    <w:rsid w:val="00E42CE9"/>
    <w:rsid w:val="00E42DB2"/>
    <w:rsid w:val="00E43011"/>
    <w:rsid w:val="00E43249"/>
    <w:rsid w:val="00E432A2"/>
    <w:rsid w:val="00E4347F"/>
    <w:rsid w:val="00E436A2"/>
    <w:rsid w:val="00E43807"/>
    <w:rsid w:val="00E43B83"/>
    <w:rsid w:val="00E43B9B"/>
    <w:rsid w:val="00E43DD1"/>
    <w:rsid w:val="00E43E8D"/>
    <w:rsid w:val="00E43FF0"/>
    <w:rsid w:val="00E443DF"/>
    <w:rsid w:val="00E44494"/>
    <w:rsid w:val="00E4459F"/>
    <w:rsid w:val="00E44B3A"/>
    <w:rsid w:val="00E44C4A"/>
    <w:rsid w:val="00E44F51"/>
    <w:rsid w:val="00E450A5"/>
    <w:rsid w:val="00E451D6"/>
    <w:rsid w:val="00E45454"/>
    <w:rsid w:val="00E45507"/>
    <w:rsid w:val="00E4584A"/>
    <w:rsid w:val="00E4586D"/>
    <w:rsid w:val="00E45893"/>
    <w:rsid w:val="00E458D8"/>
    <w:rsid w:val="00E45D1C"/>
    <w:rsid w:val="00E4650B"/>
    <w:rsid w:val="00E466CA"/>
    <w:rsid w:val="00E466E6"/>
    <w:rsid w:val="00E46956"/>
    <w:rsid w:val="00E46BC8"/>
    <w:rsid w:val="00E46D2E"/>
    <w:rsid w:val="00E46E77"/>
    <w:rsid w:val="00E473EB"/>
    <w:rsid w:val="00E47650"/>
    <w:rsid w:val="00E47810"/>
    <w:rsid w:val="00E4792C"/>
    <w:rsid w:val="00E47E79"/>
    <w:rsid w:val="00E47F73"/>
    <w:rsid w:val="00E50263"/>
    <w:rsid w:val="00E50545"/>
    <w:rsid w:val="00E5068E"/>
    <w:rsid w:val="00E506BB"/>
    <w:rsid w:val="00E508E0"/>
    <w:rsid w:val="00E509B8"/>
    <w:rsid w:val="00E50F75"/>
    <w:rsid w:val="00E51006"/>
    <w:rsid w:val="00E517A3"/>
    <w:rsid w:val="00E518A7"/>
    <w:rsid w:val="00E51C49"/>
    <w:rsid w:val="00E52064"/>
    <w:rsid w:val="00E5281E"/>
    <w:rsid w:val="00E529F5"/>
    <w:rsid w:val="00E52BDD"/>
    <w:rsid w:val="00E52DE2"/>
    <w:rsid w:val="00E52DFE"/>
    <w:rsid w:val="00E531E9"/>
    <w:rsid w:val="00E53495"/>
    <w:rsid w:val="00E5356B"/>
    <w:rsid w:val="00E53674"/>
    <w:rsid w:val="00E53E00"/>
    <w:rsid w:val="00E53E33"/>
    <w:rsid w:val="00E54221"/>
    <w:rsid w:val="00E546F0"/>
    <w:rsid w:val="00E54AF1"/>
    <w:rsid w:val="00E55257"/>
    <w:rsid w:val="00E55277"/>
    <w:rsid w:val="00E55364"/>
    <w:rsid w:val="00E5544A"/>
    <w:rsid w:val="00E55920"/>
    <w:rsid w:val="00E55D36"/>
    <w:rsid w:val="00E55D95"/>
    <w:rsid w:val="00E55F3D"/>
    <w:rsid w:val="00E56211"/>
    <w:rsid w:val="00E5650A"/>
    <w:rsid w:val="00E56A41"/>
    <w:rsid w:val="00E56B1D"/>
    <w:rsid w:val="00E57332"/>
    <w:rsid w:val="00E574EC"/>
    <w:rsid w:val="00E57689"/>
    <w:rsid w:val="00E57EA3"/>
    <w:rsid w:val="00E57F9C"/>
    <w:rsid w:val="00E60225"/>
    <w:rsid w:val="00E604FB"/>
    <w:rsid w:val="00E60637"/>
    <w:rsid w:val="00E60677"/>
    <w:rsid w:val="00E607E4"/>
    <w:rsid w:val="00E60A6D"/>
    <w:rsid w:val="00E612C3"/>
    <w:rsid w:val="00E615F9"/>
    <w:rsid w:val="00E6160D"/>
    <w:rsid w:val="00E6193C"/>
    <w:rsid w:val="00E62632"/>
    <w:rsid w:val="00E62816"/>
    <w:rsid w:val="00E628D8"/>
    <w:rsid w:val="00E62BC2"/>
    <w:rsid w:val="00E62D71"/>
    <w:rsid w:val="00E62E7B"/>
    <w:rsid w:val="00E6393F"/>
    <w:rsid w:val="00E63DAA"/>
    <w:rsid w:val="00E63F40"/>
    <w:rsid w:val="00E640EA"/>
    <w:rsid w:val="00E64188"/>
    <w:rsid w:val="00E6420E"/>
    <w:rsid w:val="00E64561"/>
    <w:rsid w:val="00E65262"/>
    <w:rsid w:val="00E6530A"/>
    <w:rsid w:val="00E653C5"/>
    <w:rsid w:val="00E6550D"/>
    <w:rsid w:val="00E65D4E"/>
    <w:rsid w:val="00E65E05"/>
    <w:rsid w:val="00E65E17"/>
    <w:rsid w:val="00E65E2A"/>
    <w:rsid w:val="00E66494"/>
    <w:rsid w:val="00E665CA"/>
    <w:rsid w:val="00E66739"/>
    <w:rsid w:val="00E6683A"/>
    <w:rsid w:val="00E6689C"/>
    <w:rsid w:val="00E6716C"/>
    <w:rsid w:val="00E674CB"/>
    <w:rsid w:val="00E7059E"/>
    <w:rsid w:val="00E70A2C"/>
    <w:rsid w:val="00E70AE7"/>
    <w:rsid w:val="00E70BF3"/>
    <w:rsid w:val="00E70CDB"/>
    <w:rsid w:val="00E7113E"/>
    <w:rsid w:val="00E715B8"/>
    <w:rsid w:val="00E71B44"/>
    <w:rsid w:val="00E7221D"/>
    <w:rsid w:val="00E7224E"/>
    <w:rsid w:val="00E72711"/>
    <w:rsid w:val="00E727B2"/>
    <w:rsid w:val="00E72A24"/>
    <w:rsid w:val="00E72A90"/>
    <w:rsid w:val="00E72BAD"/>
    <w:rsid w:val="00E72D00"/>
    <w:rsid w:val="00E72E26"/>
    <w:rsid w:val="00E72F3F"/>
    <w:rsid w:val="00E730F9"/>
    <w:rsid w:val="00E732DB"/>
    <w:rsid w:val="00E734F8"/>
    <w:rsid w:val="00E73592"/>
    <w:rsid w:val="00E739AF"/>
    <w:rsid w:val="00E73E58"/>
    <w:rsid w:val="00E73E6F"/>
    <w:rsid w:val="00E741A3"/>
    <w:rsid w:val="00E7447C"/>
    <w:rsid w:val="00E74A59"/>
    <w:rsid w:val="00E74EA9"/>
    <w:rsid w:val="00E75135"/>
    <w:rsid w:val="00E755FB"/>
    <w:rsid w:val="00E75A41"/>
    <w:rsid w:val="00E75E3B"/>
    <w:rsid w:val="00E75F86"/>
    <w:rsid w:val="00E7615F"/>
    <w:rsid w:val="00E76490"/>
    <w:rsid w:val="00E76563"/>
    <w:rsid w:val="00E766A0"/>
    <w:rsid w:val="00E76A9B"/>
    <w:rsid w:val="00E76AE0"/>
    <w:rsid w:val="00E76D0E"/>
    <w:rsid w:val="00E76D43"/>
    <w:rsid w:val="00E776F1"/>
    <w:rsid w:val="00E77C2D"/>
    <w:rsid w:val="00E8004B"/>
    <w:rsid w:val="00E8074D"/>
    <w:rsid w:val="00E807F1"/>
    <w:rsid w:val="00E80991"/>
    <w:rsid w:val="00E80D76"/>
    <w:rsid w:val="00E80F84"/>
    <w:rsid w:val="00E810BF"/>
    <w:rsid w:val="00E8147B"/>
    <w:rsid w:val="00E8184B"/>
    <w:rsid w:val="00E81A87"/>
    <w:rsid w:val="00E81B36"/>
    <w:rsid w:val="00E81CCC"/>
    <w:rsid w:val="00E81F43"/>
    <w:rsid w:val="00E81FA0"/>
    <w:rsid w:val="00E82091"/>
    <w:rsid w:val="00E82112"/>
    <w:rsid w:val="00E82E1F"/>
    <w:rsid w:val="00E83948"/>
    <w:rsid w:val="00E83BEB"/>
    <w:rsid w:val="00E83CF9"/>
    <w:rsid w:val="00E83D15"/>
    <w:rsid w:val="00E83F0C"/>
    <w:rsid w:val="00E840AD"/>
    <w:rsid w:val="00E840C1"/>
    <w:rsid w:val="00E84182"/>
    <w:rsid w:val="00E841D8"/>
    <w:rsid w:val="00E841E9"/>
    <w:rsid w:val="00E84675"/>
    <w:rsid w:val="00E8477B"/>
    <w:rsid w:val="00E84802"/>
    <w:rsid w:val="00E84B2D"/>
    <w:rsid w:val="00E84B6A"/>
    <w:rsid w:val="00E84B7D"/>
    <w:rsid w:val="00E85366"/>
    <w:rsid w:val="00E85595"/>
    <w:rsid w:val="00E85A01"/>
    <w:rsid w:val="00E85B7A"/>
    <w:rsid w:val="00E85EAB"/>
    <w:rsid w:val="00E860AC"/>
    <w:rsid w:val="00E861D2"/>
    <w:rsid w:val="00E867C5"/>
    <w:rsid w:val="00E86C83"/>
    <w:rsid w:val="00E86E59"/>
    <w:rsid w:val="00E875C8"/>
    <w:rsid w:val="00E87A92"/>
    <w:rsid w:val="00E87B26"/>
    <w:rsid w:val="00E87C15"/>
    <w:rsid w:val="00E90674"/>
    <w:rsid w:val="00E9070E"/>
    <w:rsid w:val="00E9076C"/>
    <w:rsid w:val="00E90C2C"/>
    <w:rsid w:val="00E90CE2"/>
    <w:rsid w:val="00E9148B"/>
    <w:rsid w:val="00E9156E"/>
    <w:rsid w:val="00E916DF"/>
    <w:rsid w:val="00E9171C"/>
    <w:rsid w:val="00E91C52"/>
    <w:rsid w:val="00E920F5"/>
    <w:rsid w:val="00E92233"/>
    <w:rsid w:val="00E922D9"/>
    <w:rsid w:val="00E925A9"/>
    <w:rsid w:val="00E92974"/>
    <w:rsid w:val="00E92A18"/>
    <w:rsid w:val="00E92F98"/>
    <w:rsid w:val="00E9331D"/>
    <w:rsid w:val="00E9341D"/>
    <w:rsid w:val="00E93804"/>
    <w:rsid w:val="00E942B4"/>
    <w:rsid w:val="00E94635"/>
    <w:rsid w:val="00E950F7"/>
    <w:rsid w:val="00E9526C"/>
    <w:rsid w:val="00E95322"/>
    <w:rsid w:val="00E9548A"/>
    <w:rsid w:val="00E95490"/>
    <w:rsid w:val="00E95603"/>
    <w:rsid w:val="00E958B0"/>
    <w:rsid w:val="00E95A1B"/>
    <w:rsid w:val="00E95A3E"/>
    <w:rsid w:val="00E95E4F"/>
    <w:rsid w:val="00E95FE8"/>
    <w:rsid w:val="00E9619E"/>
    <w:rsid w:val="00E96752"/>
    <w:rsid w:val="00E968C1"/>
    <w:rsid w:val="00E96B69"/>
    <w:rsid w:val="00E96E52"/>
    <w:rsid w:val="00E971F6"/>
    <w:rsid w:val="00E972A3"/>
    <w:rsid w:val="00E97869"/>
    <w:rsid w:val="00E979E1"/>
    <w:rsid w:val="00EA0099"/>
    <w:rsid w:val="00EA0550"/>
    <w:rsid w:val="00EA0DCA"/>
    <w:rsid w:val="00EA0DED"/>
    <w:rsid w:val="00EA0E54"/>
    <w:rsid w:val="00EA1769"/>
    <w:rsid w:val="00EA1B3D"/>
    <w:rsid w:val="00EA1C26"/>
    <w:rsid w:val="00EA22D1"/>
    <w:rsid w:val="00EA358C"/>
    <w:rsid w:val="00EA3671"/>
    <w:rsid w:val="00EA3C7F"/>
    <w:rsid w:val="00EA3CD5"/>
    <w:rsid w:val="00EA3D6F"/>
    <w:rsid w:val="00EA413D"/>
    <w:rsid w:val="00EA4362"/>
    <w:rsid w:val="00EA445A"/>
    <w:rsid w:val="00EA44DB"/>
    <w:rsid w:val="00EA4977"/>
    <w:rsid w:val="00EA4AE3"/>
    <w:rsid w:val="00EA4FA0"/>
    <w:rsid w:val="00EA4FE2"/>
    <w:rsid w:val="00EA5007"/>
    <w:rsid w:val="00EA50D6"/>
    <w:rsid w:val="00EA5136"/>
    <w:rsid w:val="00EA51C8"/>
    <w:rsid w:val="00EA52A9"/>
    <w:rsid w:val="00EA59D8"/>
    <w:rsid w:val="00EA5DBF"/>
    <w:rsid w:val="00EA5FB4"/>
    <w:rsid w:val="00EA602A"/>
    <w:rsid w:val="00EA602B"/>
    <w:rsid w:val="00EA6172"/>
    <w:rsid w:val="00EA630B"/>
    <w:rsid w:val="00EA6526"/>
    <w:rsid w:val="00EA69AC"/>
    <w:rsid w:val="00EA6D01"/>
    <w:rsid w:val="00EA6DC8"/>
    <w:rsid w:val="00EA6E7C"/>
    <w:rsid w:val="00EA6EAB"/>
    <w:rsid w:val="00EA6F12"/>
    <w:rsid w:val="00EA6F72"/>
    <w:rsid w:val="00EA7046"/>
    <w:rsid w:val="00EA744A"/>
    <w:rsid w:val="00EA76F7"/>
    <w:rsid w:val="00EA78B0"/>
    <w:rsid w:val="00EA7DB5"/>
    <w:rsid w:val="00EB0236"/>
    <w:rsid w:val="00EB0407"/>
    <w:rsid w:val="00EB06F6"/>
    <w:rsid w:val="00EB0B1A"/>
    <w:rsid w:val="00EB0DEA"/>
    <w:rsid w:val="00EB0E66"/>
    <w:rsid w:val="00EB10EE"/>
    <w:rsid w:val="00EB114A"/>
    <w:rsid w:val="00EB1184"/>
    <w:rsid w:val="00EB12D6"/>
    <w:rsid w:val="00EB130F"/>
    <w:rsid w:val="00EB1F63"/>
    <w:rsid w:val="00EB200A"/>
    <w:rsid w:val="00EB27BC"/>
    <w:rsid w:val="00EB2991"/>
    <w:rsid w:val="00EB2A56"/>
    <w:rsid w:val="00EB2E30"/>
    <w:rsid w:val="00EB317D"/>
    <w:rsid w:val="00EB3782"/>
    <w:rsid w:val="00EB39F7"/>
    <w:rsid w:val="00EB3A2F"/>
    <w:rsid w:val="00EB3F97"/>
    <w:rsid w:val="00EB412C"/>
    <w:rsid w:val="00EB44C8"/>
    <w:rsid w:val="00EB4813"/>
    <w:rsid w:val="00EB4BB3"/>
    <w:rsid w:val="00EB50CE"/>
    <w:rsid w:val="00EB52D0"/>
    <w:rsid w:val="00EB52F0"/>
    <w:rsid w:val="00EB5480"/>
    <w:rsid w:val="00EB5535"/>
    <w:rsid w:val="00EB5D03"/>
    <w:rsid w:val="00EB60D6"/>
    <w:rsid w:val="00EB6199"/>
    <w:rsid w:val="00EB6392"/>
    <w:rsid w:val="00EB67E4"/>
    <w:rsid w:val="00EB6A32"/>
    <w:rsid w:val="00EB6A34"/>
    <w:rsid w:val="00EB6A76"/>
    <w:rsid w:val="00EB6AC4"/>
    <w:rsid w:val="00EB70FA"/>
    <w:rsid w:val="00EB71DF"/>
    <w:rsid w:val="00EB7431"/>
    <w:rsid w:val="00EB7995"/>
    <w:rsid w:val="00EB7D7A"/>
    <w:rsid w:val="00EB7EB9"/>
    <w:rsid w:val="00EB7F24"/>
    <w:rsid w:val="00EB7F88"/>
    <w:rsid w:val="00EC0769"/>
    <w:rsid w:val="00EC0928"/>
    <w:rsid w:val="00EC0B72"/>
    <w:rsid w:val="00EC0E8F"/>
    <w:rsid w:val="00EC200D"/>
    <w:rsid w:val="00EC22F6"/>
    <w:rsid w:val="00EC29B4"/>
    <w:rsid w:val="00EC2A69"/>
    <w:rsid w:val="00EC2F27"/>
    <w:rsid w:val="00EC33A0"/>
    <w:rsid w:val="00EC350B"/>
    <w:rsid w:val="00EC35BD"/>
    <w:rsid w:val="00EC3697"/>
    <w:rsid w:val="00EC3942"/>
    <w:rsid w:val="00EC3F95"/>
    <w:rsid w:val="00EC3FE5"/>
    <w:rsid w:val="00EC4679"/>
    <w:rsid w:val="00EC4776"/>
    <w:rsid w:val="00EC4836"/>
    <w:rsid w:val="00EC5088"/>
    <w:rsid w:val="00EC5107"/>
    <w:rsid w:val="00EC5C2D"/>
    <w:rsid w:val="00EC5E38"/>
    <w:rsid w:val="00EC5FAC"/>
    <w:rsid w:val="00EC5FE9"/>
    <w:rsid w:val="00EC6500"/>
    <w:rsid w:val="00EC6579"/>
    <w:rsid w:val="00EC6BE1"/>
    <w:rsid w:val="00EC6DB9"/>
    <w:rsid w:val="00EC76D9"/>
    <w:rsid w:val="00EC7A7F"/>
    <w:rsid w:val="00EC7D49"/>
    <w:rsid w:val="00EC7E82"/>
    <w:rsid w:val="00EC7F00"/>
    <w:rsid w:val="00ED018F"/>
    <w:rsid w:val="00ED04CF"/>
    <w:rsid w:val="00ED09BE"/>
    <w:rsid w:val="00ED0B20"/>
    <w:rsid w:val="00ED10D6"/>
    <w:rsid w:val="00ED19A0"/>
    <w:rsid w:val="00ED1C11"/>
    <w:rsid w:val="00ED1C35"/>
    <w:rsid w:val="00ED1FD8"/>
    <w:rsid w:val="00ED2361"/>
    <w:rsid w:val="00ED290C"/>
    <w:rsid w:val="00ED2AA7"/>
    <w:rsid w:val="00ED2B26"/>
    <w:rsid w:val="00ED2CC1"/>
    <w:rsid w:val="00ED2D04"/>
    <w:rsid w:val="00ED2DD8"/>
    <w:rsid w:val="00ED2E7F"/>
    <w:rsid w:val="00ED3164"/>
    <w:rsid w:val="00ED3534"/>
    <w:rsid w:val="00ED3851"/>
    <w:rsid w:val="00ED3963"/>
    <w:rsid w:val="00ED3C60"/>
    <w:rsid w:val="00ED4109"/>
    <w:rsid w:val="00ED45AE"/>
    <w:rsid w:val="00ED45B3"/>
    <w:rsid w:val="00ED45B6"/>
    <w:rsid w:val="00ED45CD"/>
    <w:rsid w:val="00ED4662"/>
    <w:rsid w:val="00ED47ED"/>
    <w:rsid w:val="00ED4FBB"/>
    <w:rsid w:val="00ED503B"/>
    <w:rsid w:val="00ED5280"/>
    <w:rsid w:val="00ED53B4"/>
    <w:rsid w:val="00ED596C"/>
    <w:rsid w:val="00ED5C0B"/>
    <w:rsid w:val="00ED5D15"/>
    <w:rsid w:val="00ED5E1B"/>
    <w:rsid w:val="00ED5E38"/>
    <w:rsid w:val="00ED5EB0"/>
    <w:rsid w:val="00ED603E"/>
    <w:rsid w:val="00ED66D6"/>
    <w:rsid w:val="00ED68FF"/>
    <w:rsid w:val="00ED7597"/>
    <w:rsid w:val="00ED773F"/>
    <w:rsid w:val="00ED77B3"/>
    <w:rsid w:val="00ED7CFA"/>
    <w:rsid w:val="00EE01DA"/>
    <w:rsid w:val="00EE039D"/>
    <w:rsid w:val="00EE095D"/>
    <w:rsid w:val="00EE0D1D"/>
    <w:rsid w:val="00EE10DD"/>
    <w:rsid w:val="00EE111D"/>
    <w:rsid w:val="00EE11C6"/>
    <w:rsid w:val="00EE1936"/>
    <w:rsid w:val="00EE1E12"/>
    <w:rsid w:val="00EE216C"/>
    <w:rsid w:val="00EE29E2"/>
    <w:rsid w:val="00EE29FA"/>
    <w:rsid w:val="00EE2CF0"/>
    <w:rsid w:val="00EE2EAD"/>
    <w:rsid w:val="00EE2F17"/>
    <w:rsid w:val="00EE30BB"/>
    <w:rsid w:val="00EE31D4"/>
    <w:rsid w:val="00EE32B5"/>
    <w:rsid w:val="00EE3477"/>
    <w:rsid w:val="00EE34E4"/>
    <w:rsid w:val="00EE3533"/>
    <w:rsid w:val="00EE353C"/>
    <w:rsid w:val="00EE3676"/>
    <w:rsid w:val="00EE36FA"/>
    <w:rsid w:val="00EE381A"/>
    <w:rsid w:val="00EE3CBF"/>
    <w:rsid w:val="00EE3DEF"/>
    <w:rsid w:val="00EE3F1E"/>
    <w:rsid w:val="00EE4490"/>
    <w:rsid w:val="00EE4811"/>
    <w:rsid w:val="00EE48AF"/>
    <w:rsid w:val="00EE4B81"/>
    <w:rsid w:val="00EE4DF4"/>
    <w:rsid w:val="00EE4EEF"/>
    <w:rsid w:val="00EE4F0F"/>
    <w:rsid w:val="00EE50C3"/>
    <w:rsid w:val="00EE5214"/>
    <w:rsid w:val="00EE53E8"/>
    <w:rsid w:val="00EE5466"/>
    <w:rsid w:val="00EE5A73"/>
    <w:rsid w:val="00EE5C10"/>
    <w:rsid w:val="00EE5D4F"/>
    <w:rsid w:val="00EE62DE"/>
    <w:rsid w:val="00EE64B2"/>
    <w:rsid w:val="00EE659B"/>
    <w:rsid w:val="00EE6832"/>
    <w:rsid w:val="00EE6EB5"/>
    <w:rsid w:val="00EE71C8"/>
    <w:rsid w:val="00EE7386"/>
    <w:rsid w:val="00EE73A6"/>
    <w:rsid w:val="00EE7414"/>
    <w:rsid w:val="00EE7596"/>
    <w:rsid w:val="00EE7659"/>
    <w:rsid w:val="00EE78BD"/>
    <w:rsid w:val="00EE7FF1"/>
    <w:rsid w:val="00EF04D2"/>
    <w:rsid w:val="00EF0642"/>
    <w:rsid w:val="00EF13E6"/>
    <w:rsid w:val="00EF1755"/>
    <w:rsid w:val="00EF1E50"/>
    <w:rsid w:val="00EF1F87"/>
    <w:rsid w:val="00EF2078"/>
    <w:rsid w:val="00EF23D8"/>
    <w:rsid w:val="00EF2575"/>
    <w:rsid w:val="00EF26CD"/>
    <w:rsid w:val="00EF2E65"/>
    <w:rsid w:val="00EF2F4B"/>
    <w:rsid w:val="00EF309C"/>
    <w:rsid w:val="00EF3630"/>
    <w:rsid w:val="00EF3685"/>
    <w:rsid w:val="00EF3BE5"/>
    <w:rsid w:val="00EF3D58"/>
    <w:rsid w:val="00EF3E8C"/>
    <w:rsid w:val="00EF4531"/>
    <w:rsid w:val="00EF4609"/>
    <w:rsid w:val="00EF48BE"/>
    <w:rsid w:val="00EF497A"/>
    <w:rsid w:val="00EF4E7C"/>
    <w:rsid w:val="00EF50E6"/>
    <w:rsid w:val="00EF53A5"/>
    <w:rsid w:val="00EF54F4"/>
    <w:rsid w:val="00EF5560"/>
    <w:rsid w:val="00EF5CCC"/>
    <w:rsid w:val="00EF6144"/>
    <w:rsid w:val="00EF6223"/>
    <w:rsid w:val="00EF6250"/>
    <w:rsid w:val="00EF65E3"/>
    <w:rsid w:val="00EF6832"/>
    <w:rsid w:val="00EF6A7E"/>
    <w:rsid w:val="00EF7031"/>
    <w:rsid w:val="00EF7063"/>
    <w:rsid w:val="00EF7084"/>
    <w:rsid w:val="00EF7411"/>
    <w:rsid w:val="00EF7C9A"/>
    <w:rsid w:val="00EF7D02"/>
    <w:rsid w:val="00F0033E"/>
    <w:rsid w:val="00F005E1"/>
    <w:rsid w:val="00F00A9F"/>
    <w:rsid w:val="00F00FE4"/>
    <w:rsid w:val="00F01328"/>
    <w:rsid w:val="00F0167E"/>
    <w:rsid w:val="00F0180D"/>
    <w:rsid w:val="00F01ABD"/>
    <w:rsid w:val="00F01DA8"/>
    <w:rsid w:val="00F01F73"/>
    <w:rsid w:val="00F024FF"/>
    <w:rsid w:val="00F025C9"/>
    <w:rsid w:val="00F030CB"/>
    <w:rsid w:val="00F037C3"/>
    <w:rsid w:val="00F03B39"/>
    <w:rsid w:val="00F03E5D"/>
    <w:rsid w:val="00F04052"/>
    <w:rsid w:val="00F04577"/>
    <w:rsid w:val="00F04B30"/>
    <w:rsid w:val="00F04B32"/>
    <w:rsid w:val="00F04C09"/>
    <w:rsid w:val="00F04E59"/>
    <w:rsid w:val="00F04FED"/>
    <w:rsid w:val="00F05263"/>
    <w:rsid w:val="00F05461"/>
    <w:rsid w:val="00F059F1"/>
    <w:rsid w:val="00F05A5E"/>
    <w:rsid w:val="00F05A9F"/>
    <w:rsid w:val="00F05C6E"/>
    <w:rsid w:val="00F05E7A"/>
    <w:rsid w:val="00F05F82"/>
    <w:rsid w:val="00F060E7"/>
    <w:rsid w:val="00F06673"/>
    <w:rsid w:val="00F068A9"/>
    <w:rsid w:val="00F06961"/>
    <w:rsid w:val="00F06991"/>
    <w:rsid w:val="00F06A5D"/>
    <w:rsid w:val="00F06D07"/>
    <w:rsid w:val="00F06DD0"/>
    <w:rsid w:val="00F06F02"/>
    <w:rsid w:val="00F06F13"/>
    <w:rsid w:val="00F07111"/>
    <w:rsid w:val="00F07882"/>
    <w:rsid w:val="00F07BAF"/>
    <w:rsid w:val="00F07D6C"/>
    <w:rsid w:val="00F10010"/>
    <w:rsid w:val="00F10212"/>
    <w:rsid w:val="00F1066F"/>
    <w:rsid w:val="00F1072F"/>
    <w:rsid w:val="00F1092D"/>
    <w:rsid w:val="00F10E69"/>
    <w:rsid w:val="00F10E95"/>
    <w:rsid w:val="00F115E6"/>
    <w:rsid w:val="00F1182A"/>
    <w:rsid w:val="00F118CC"/>
    <w:rsid w:val="00F11BF9"/>
    <w:rsid w:val="00F1244D"/>
    <w:rsid w:val="00F126F5"/>
    <w:rsid w:val="00F12AAE"/>
    <w:rsid w:val="00F12E8E"/>
    <w:rsid w:val="00F1303E"/>
    <w:rsid w:val="00F13A57"/>
    <w:rsid w:val="00F13C5D"/>
    <w:rsid w:val="00F1408E"/>
    <w:rsid w:val="00F1415F"/>
    <w:rsid w:val="00F14201"/>
    <w:rsid w:val="00F14367"/>
    <w:rsid w:val="00F14F85"/>
    <w:rsid w:val="00F1508C"/>
    <w:rsid w:val="00F1523E"/>
    <w:rsid w:val="00F15627"/>
    <w:rsid w:val="00F1578E"/>
    <w:rsid w:val="00F157F1"/>
    <w:rsid w:val="00F15990"/>
    <w:rsid w:val="00F15B06"/>
    <w:rsid w:val="00F15E5B"/>
    <w:rsid w:val="00F15E86"/>
    <w:rsid w:val="00F161B8"/>
    <w:rsid w:val="00F1629A"/>
    <w:rsid w:val="00F16573"/>
    <w:rsid w:val="00F17143"/>
    <w:rsid w:val="00F173B4"/>
    <w:rsid w:val="00F17590"/>
    <w:rsid w:val="00F1765F"/>
    <w:rsid w:val="00F17841"/>
    <w:rsid w:val="00F17965"/>
    <w:rsid w:val="00F17A0C"/>
    <w:rsid w:val="00F17A55"/>
    <w:rsid w:val="00F17FEE"/>
    <w:rsid w:val="00F20763"/>
    <w:rsid w:val="00F20B37"/>
    <w:rsid w:val="00F210B9"/>
    <w:rsid w:val="00F215DF"/>
    <w:rsid w:val="00F21795"/>
    <w:rsid w:val="00F2197B"/>
    <w:rsid w:val="00F219C5"/>
    <w:rsid w:val="00F21A0B"/>
    <w:rsid w:val="00F21B52"/>
    <w:rsid w:val="00F22446"/>
    <w:rsid w:val="00F224C4"/>
    <w:rsid w:val="00F227C8"/>
    <w:rsid w:val="00F22A14"/>
    <w:rsid w:val="00F22AA6"/>
    <w:rsid w:val="00F22D1C"/>
    <w:rsid w:val="00F22E0F"/>
    <w:rsid w:val="00F231C6"/>
    <w:rsid w:val="00F233C8"/>
    <w:rsid w:val="00F2344C"/>
    <w:rsid w:val="00F23838"/>
    <w:rsid w:val="00F23A2F"/>
    <w:rsid w:val="00F23B1A"/>
    <w:rsid w:val="00F23B55"/>
    <w:rsid w:val="00F23CB7"/>
    <w:rsid w:val="00F23D98"/>
    <w:rsid w:val="00F24207"/>
    <w:rsid w:val="00F242A5"/>
    <w:rsid w:val="00F248CD"/>
    <w:rsid w:val="00F24B91"/>
    <w:rsid w:val="00F24C19"/>
    <w:rsid w:val="00F24CD2"/>
    <w:rsid w:val="00F24E3D"/>
    <w:rsid w:val="00F24E69"/>
    <w:rsid w:val="00F2511D"/>
    <w:rsid w:val="00F25616"/>
    <w:rsid w:val="00F257B5"/>
    <w:rsid w:val="00F2604E"/>
    <w:rsid w:val="00F263E1"/>
    <w:rsid w:val="00F26485"/>
    <w:rsid w:val="00F26B92"/>
    <w:rsid w:val="00F26F0E"/>
    <w:rsid w:val="00F2720E"/>
    <w:rsid w:val="00F273F6"/>
    <w:rsid w:val="00F2749E"/>
    <w:rsid w:val="00F2776D"/>
    <w:rsid w:val="00F27D85"/>
    <w:rsid w:val="00F300D9"/>
    <w:rsid w:val="00F3017D"/>
    <w:rsid w:val="00F306D6"/>
    <w:rsid w:val="00F307AD"/>
    <w:rsid w:val="00F30BC1"/>
    <w:rsid w:val="00F3127B"/>
    <w:rsid w:val="00F313F2"/>
    <w:rsid w:val="00F316F3"/>
    <w:rsid w:val="00F31788"/>
    <w:rsid w:val="00F325F8"/>
    <w:rsid w:val="00F32A1A"/>
    <w:rsid w:val="00F32A55"/>
    <w:rsid w:val="00F32B49"/>
    <w:rsid w:val="00F32FCA"/>
    <w:rsid w:val="00F334B3"/>
    <w:rsid w:val="00F3398F"/>
    <w:rsid w:val="00F3411B"/>
    <w:rsid w:val="00F34161"/>
    <w:rsid w:val="00F344AD"/>
    <w:rsid w:val="00F344E0"/>
    <w:rsid w:val="00F34582"/>
    <w:rsid w:val="00F346E6"/>
    <w:rsid w:val="00F348D4"/>
    <w:rsid w:val="00F34B93"/>
    <w:rsid w:val="00F34BA1"/>
    <w:rsid w:val="00F34FEF"/>
    <w:rsid w:val="00F350F1"/>
    <w:rsid w:val="00F3511C"/>
    <w:rsid w:val="00F3542E"/>
    <w:rsid w:val="00F3620C"/>
    <w:rsid w:val="00F36279"/>
    <w:rsid w:val="00F36904"/>
    <w:rsid w:val="00F36993"/>
    <w:rsid w:val="00F369F5"/>
    <w:rsid w:val="00F36DBD"/>
    <w:rsid w:val="00F36EEF"/>
    <w:rsid w:val="00F370FB"/>
    <w:rsid w:val="00F37291"/>
    <w:rsid w:val="00F37683"/>
    <w:rsid w:val="00F376F1"/>
    <w:rsid w:val="00F401BD"/>
    <w:rsid w:val="00F403C2"/>
    <w:rsid w:val="00F4084A"/>
    <w:rsid w:val="00F40864"/>
    <w:rsid w:val="00F40A98"/>
    <w:rsid w:val="00F40AE3"/>
    <w:rsid w:val="00F40BAB"/>
    <w:rsid w:val="00F40BC2"/>
    <w:rsid w:val="00F40E4C"/>
    <w:rsid w:val="00F4136F"/>
    <w:rsid w:val="00F4140D"/>
    <w:rsid w:val="00F41976"/>
    <w:rsid w:val="00F41B39"/>
    <w:rsid w:val="00F42709"/>
    <w:rsid w:val="00F42F16"/>
    <w:rsid w:val="00F43016"/>
    <w:rsid w:val="00F43778"/>
    <w:rsid w:val="00F43C98"/>
    <w:rsid w:val="00F43D35"/>
    <w:rsid w:val="00F442AE"/>
    <w:rsid w:val="00F4443F"/>
    <w:rsid w:val="00F447C5"/>
    <w:rsid w:val="00F44895"/>
    <w:rsid w:val="00F45424"/>
    <w:rsid w:val="00F454B3"/>
    <w:rsid w:val="00F458AD"/>
    <w:rsid w:val="00F45A2E"/>
    <w:rsid w:val="00F46060"/>
    <w:rsid w:val="00F46547"/>
    <w:rsid w:val="00F47464"/>
    <w:rsid w:val="00F474A8"/>
    <w:rsid w:val="00F479EB"/>
    <w:rsid w:val="00F50585"/>
    <w:rsid w:val="00F5072D"/>
    <w:rsid w:val="00F5093F"/>
    <w:rsid w:val="00F50AB5"/>
    <w:rsid w:val="00F50B9F"/>
    <w:rsid w:val="00F50F92"/>
    <w:rsid w:val="00F5139C"/>
    <w:rsid w:val="00F51481"/>
    <w:rsid w:val="00F5153C"/>
    <w:rsid w:val="00F516E3"/>
    <w:rsid w:val="00F517C4"/>
    <w:rsid w:val="00F5181E"/>
    <w:rsid w:val="00F51EFB"/>
    <w:rsid w:val="00F520C0"/>
    <w:rsid w:val="00F5222F"/>
    <w:rsid w:val="00F52500"/>
    <w:rsid w:val="00F52BF7"/>
    <w:rsid w:val="00F5312B"/>
    <w:rsid w:val="00F53575"/>
    <w:rsid w:val="00F535B7"/>
    <w:rsid w:val="00F536A9"/>
    <w:rsid w:val="00F53A1B"/>
    <w:rsid w:val="00F53EBA"/>
    <w:rsid w:val="00F54650"/>
    <w:rsid w:val="00F54832"/>
    <w:rsid w:val="00F5486D"/>
    <w:rsid w:val="00F548C2"/>
    <w:rsid w:val="00F548C8"/>
    <w:rsid w:val="00F54CC6"/>
    <w:rsid w:val="00F54DAA"/>
    <w:rsid w:val="00F54F88"/>
    <w:rsid w:val="00F55214"/>
    <w:rsid w:val="00F55D0A"/>
    <w:rsid w:val="00F56292"/>
    <w:rsid w:val="00F56CD5"/>
    <w:rsid w:val="00F56F13"/>
    <w:rsid w:val="00F5737D"/>
    <w:rsid w:val="00F5775F"/>
    <w:rsid w:val="00F57885"/>
    <w:rsid w:val="00F57AAC"/>
    <w:rsid w:val="00F603CB"/>
    <w:rsid w:val="00F606B6"/>
    <w:rsid w:val="00F608C4"/>
    <w:rsid w:val="00F60AC3"/>
    <w:rsid w:val="00F60C42"/>
    <w:rsid w:val="00F61587"/>
    <w:rsid w:val="00F6161F"/>
    <w:rsid w:val="00F61639"/>
    <w:rsid w:val="00F616DA"/>
    <w:rsid w:val="00F617F9"/>
    <w:rsid w:val="00F619E1"/>
    <w:rsid w:val="00F619F1"/>
    <w:rsid w:val="00F62069"/>
    <w:rsid w:val="00F620F3"/>
    <w:rsid w:val="00F62138"/>
    <w:rsid w:val="00F622BE"/>
    <w:rsid w:val="00F627BE"/>
    <w:rsid w:val="00F6281B"/>
    <w:rsid w:val="00F629D9"/>
    <w:rsid w:val="00F62B42"/>
    <w:rsid w:val="00F62C3E"/>
    <w:rsid w:val="00F62E4F"/>
    <w:rsid w:val="00F62E50"/>
    <w:rsid w:val="00F62E90"/>
    <w:rsid w:val="00F63409"/>
    <w:rsid w:val="00F63467"/>
    <w:rsid w:val="00F636E9"/>
    <w:rsid w:val="00F63E33"/>
    <w:rsid w:val="00F63EB1"/>
    <w:rsid w:val="00F63F06"/>
    <w:rsid w:val="00F6467F"/>
    <w:rsid w:val="00F646C6"/>
    <w:rsid w:val="00F649A9"/>
    <w:rsid w:val="00F64A7C"/>
    <w:rsid w:val="00F64CA1"/>
    <w:rsid w:val="00F64D44"/>
    <w:rsid w:val="00F64E14"/>
    <w:rsid w:val="00F655A9"/>
    <w:rsid w:val="00F659D4"/>
    <w:rsid w:val="00F65C3E"/>
    <w:rsid w:val="00F65C58"/>
    <w:rsid w:val="00F65CAC"/>
    <w:rsid w:val="00F66144"/>
    <w:rsid w:val="00F66170"/>
    <w:rsid w:val="00F66665"/>
    <w:rsid w:val="00F6677C"/>
    <w:rsid w:val="00F667C5"/>
    <w:rsid w:val="00F66D33"/>
    <w:rsid w:val="00F6713F"/>
    <w:rsid w:val="00F67362"/>
    <w:rsid w:val="00F6782F"/>
    <w:rsid w:val="00F67899"/>
    <w:rsid w:val="00F6790E"/>
    <w:rsid w:val="00F7018C"/>
    <w:rsid w:val="00F702D9"/>
    <w:rsid w:val="00F70AD2"/>
    <w:rsid w:val="00F70EB7"/>
    <w:rsid w:val="00F7169C"/>
    <w:rsid w:val="00F71C77"/>
    <w:rsid w:val="00F71CE3"/>
    <w:rsid w:val="00F71EEA"/>
    <w:rsid w:val="00F72270"/>
    <w:rsid w:val="00F7254C"/>
    <w:rsid w:val="00F728F3"/>
    <w:rsid w:val="00F72B18"/>
    <w:rsid w:val="00F72DCA"/>
    <w:rsid w:val="00F73056"/>
    <w:rsid w:val="00F730C5"/>
    <w:rsid w:val="00F733A3"/>
    <w:rsid w:val="00F7358A"/>
    <w:rsid w:val="00F735CC"/>
    <w:rsid w:val="00F736BD"/>
    <w:rsid w:val="00F7375E"/>
    <w:rsid w:val="00F73836"/>
    <w:rsid w:val="00F73A1E"/>
    <w:rsid w:val="00F73B13"/>
    <w:rsid w:val="00F73EFA"/>
    <w:rsid w:val="00F74336"/>
    <w:rsid w:val="00F74480"/>
    <w:rsid w:val="00F74B51"/>
    <w:rsid w:val="00F74C07"/>
    <w:rsid w:val="00F74CA0"/>
    <w:rsid w:val="00F74EBA"/>
    <w:rsid w:val="00F7506D"/>
    <w:rsid w:val="00F75126"/>
    <w:rsid w:val="00F7528B"/>
    <w:rsid w:val="00F75C99"/>
    <w:rsid w:val="00F762BD"/>
    <w:rsid w:val="00F763A6"/>
    <w:rsid w:val="00F763CE"/>
    <w:rsid w:val="00F76A4B"/>
    <w:rsid w:val="00F76D64"/>
    <w:rsid w:val="00F76F12"/>
    <w:rsid w:val="00F7732F"/>
    <w:rsid w:val="00F77355"/>
    <w:rsid w:val="00F7755E"/>
    <w:rsid w:val="00F775B9"/>
    <w:rsid w:val="00F77BB5"/>
    <w:rsid w:val="00F77D2A"/>
    <w:rsid w:val="00F77E06"/>
    <w:rsid w:val="00F77F62"/>
    <w:rsid w:val="00F80870"/>
    <w:rsid w:val="00F808D0"/>
    <w:rsid w:val="00F80948"/>
    <w:rsid w:val="00F80B2F"/>
    <w:rsid w:val="00F8112B"/>
    <w:rsid w:val="00F81240"/>
    <w:rsid w:val="00F81362"/>
    <w:rsid w:val="00F81537"/>
    <w:rsid w:val="00F8170A"/>
    <w:rsid w:val="00F81C3A"/>
    <w:rsid w:val="00F81CE5"/>
    <w:rsid w:val="00F82085"/>
    <w:rsid w:val="00F82612"/>
    <w:rsid w:val="00F82A25"/>
    <w:rsid w:val="00F82AAF"/>
    <w:rsid w:val="00F82C99"/>
    <w:rsid w:val="00F82E81"/>
    <w:rsid w:val="00F83454"/>
    <w:rsid w:val="00F83959"/>
    <w:rsid w:val="00F83ACD"/>
    <w:rsid w:val="00F83C0B"/>
    <w:rsid w:val="00F83EFD"/>
    <w:rsid w:val="00F840FD"/>
    <w:rsid w:val="00F84305"/>
    <w:rsid w:val="00F8476C"/>
    <w:rsid w:val="00F84EFE"/>
    <w:rsid w:val="00F8539D"/>
    <w:rsid w:val="00F854EE"/>
    <w:rsid w:val="00F857EC"/>
    <w:rsid w:val="00F858AA"/>
    <w:rsid w:val="00F85B7B"/>
    <w:rsid w:val="00F86088"/>
    <w:rsid w:val="00F86D70"/>
    <w:rsid w:val="00F8702E"/>
    <w:rsid w:val="00F87C77"/>
    <w:rsid w:val="00F87CDD"/>
    <w:rsid w:val="00F87F4D"/>
    <w:rsid w:val="00F90530"/>
    <w:rsid w:val="00F906C6"/>
    <w:rsid w:val="00F9072C"/>
    <w:rsid w:val="00F9080D"/>
    <w:rsid w:val="00F90B94"/>
    <w:rsid w:val="00F90D19"/>
    <w:rsid w:val="00F911DE"/>
    <w:rsid w:val="00F9130C"/>
    <w:rsid w:val="00F91333"/>
    <w:rsid w:val="00F91353"/>
    <w:rsid w:val="00F913FA"/>
    <w:rsid w:val="00F917A9"/>
    <w:rsid w:val="00F918B2"/>
    <w:rsid w:val="00F91C62"/>
    <w:rsid w:val="00F91C78"/>
    <w:rsid w:val="00F91F70"/>
    <w:rsid w:val="00F91FCE"/>
    <w:rsid w:val="00F926D8"/>
    <w:rsid w:val="00F927FB"/>
    <w:rsid w:val="00F92EB3"/>
    <w:rsid w:val="00F92EC5"/>
    <w:rsid w:val="00F9334A"/>
    <w:rsid w:val="00F93B60"/>
    <w:rsid w:val="00F93DD4"/>
    <w:rsid w:val="00F93E63"/>
    <w:rsid w:val="00F93E72"/>
    <w:rsid w:val="00F9434A"/>
    <w:rsid w:val="00F94369"/>
    <w:rsid w:val="00F946B7"/>
    <w:rsid w:val="00F950DF"/>
    <w:rsid w:val="00F95888"/>
    <w:rsid w:val="00F95891"/>
    <w:rsid w:val="00F95E5C"/>
    <w:rsid w:val="00F96059"/>
    <w:rsid w:val="00F964F4"/>
    <w:rsid w:val="00F9684A"/>
    <w:rsid w:val="00F9691B"/>
    <w:rsid w:val="00F96D4D"/>
    <w:rsid w:val="00F97189"/>
    <w:rsid w:val="00F97848"/>
    <w:rsid w:val="00F97B23"/>
    <w:rsid w:val="00FA0024"/>
    <w:rsid w:val="00FA0825"/>
    <w:rsid w:val="00FA08AD"/>
    <w:rsid w:val="00FA0ABC"/>
    <w:rsid w:val="00FA0B5A"/>
    <w:rsid w:val="00FA0E42"/>
    <w:rsid w:val="00FA1369"/>
    <w:rsid w:val="00FA1418"/>
    <w:rsid w:val="00FA161F"/>
    <w:rsid w:val="00FA1934"/>
    <w:rsid w:val="00FA1A13"/>
    <w:rsid w:val="00FA1F37"/>
    <w:rsid w:val="00FA2121"/>
    <w:rsid w:val="00FA2F27"/>
    <w:rsid w:val="00FA3029"/>
    <w:rsid w:val="00FA30E1"/>
    <w:rsid w:val="00FA3156"/>
    <w:rsid w:val="00FA318C"/>
    <w:rsid w:val="00FA31A4"/>
    <w:rsid w:val="00FA37F8"/>
    <w:rsid w:val="00FA3900"/>
    <w:rsid w:val="00FA3CF0"/>
    <w:rsid w:val="00FA3D33"/>
    <w:rsid w:val="00FA3D9B"/>
    <w:rsid w:val="00FA3F25"/>
    <w:rsid w:val="00FA3F52"/>
    <w:rsid w:val="00FA411D"/>
    <w:rsid w:val="00FA4150"/>
    <w:rsid w:val="00FA48FA"/>
    <w:rsid w:val="00FA4BAC"/>
    <w:rsid w:val="00FA4F45"/>
    <w:rsid w:val="00FA5766"/>
    <w:rsid w:val="00FA5895"/>
    <w:rsid w:val="00FA5B75"/>
    <w:rsid w:val="00FA61F1"/>
    <w:rsid w:val="00FA6201"/>
    <w:rsid w:val="00FA646C"/>
    <w:rsid w:val="00FA6604"/>
    <w:rsid w:val="00FA6B1B"/>
    <w:rsid w:val="00FA6CB7"/>
    <w:rsid w:val="00FA6D39"/>
    <w:rsid w:val="00FA7630"/>
    <w:rsid w:val="00FA7D7D"/>
    <w:rsid w:val="00FB0470"/>
    <w:rsid w:val="00FB04BD"/>
    <w:rsid w:val="00FB0873"/>
    <w:rsid w:val="00FB0B50"/>
    <w:rsid w:val="00FB0DEB"/>
    <w:rsid w:val="00FB0DEC"/>
    <w:rsid w:val="00FB1070"/>
    <w:rsid w:val="00FB1180"/>
    <w:rsid w:val="00FB19F7"/>
    <w:rsid w:val="00FB2171"/>
    <w:rsid w:val="00FB2CF0"/>
    <w:rsid w:val="00FB2DA8"/>
    <w:rsid w:val="00FB3569"/>
    <w:rsid w:val="00FB3662"/>
    <w:rsid w:val="00FB3DE4"/>
    <w:rsid w:val="00FB40F9"/>
    <w:rsid w:val="00FB416F"/>
    <w:rsid w:val="00FB42B0"/>
    <w:rsid w:val="00FB4ECC"/>
    <w:rsid w:val="00FB52EC"/>
    <w:rsid w:val="00FB568B"/>
    <w:rsid w:val="00FB5731"/>
    <w:rsid w:val="00FB5A7C"/>
    <w:rsid w:val="00FB5D3B"/>
    <w:rsid w:val="00FB620D"/>
    <w:rsid w:val="00FB630A"/>
    <w:rsid w:val="00FB673C"/>
    <w:rsid w:val="00FB6AEA"/>
    <w:rsid w:val="00FB6DF0"/>
    <w:rsid w:val="00FB6E4A"/>
    <w:rsid w:val="00FB6F67"/>
    <w:rsid w:val="00FB70C3"/>
    <w:rsid w:val="00FB72F0"/>
    <w:rsid w:val="00FB7315"/>
    <w:rsid w:val="00FB7F00"/>
    <w:rsid w:val="00FC0072"/>
    <w:rsid w:val="00FC0136"/>
    <w:rsid w:val="00FC0656"/>
    <w:rsid w:val="00FC08BD"/>
    <w:rsid w:val="00FC0AD7"/>
    <w:rsid w:val="00FC0C90"/>
    <w:rsid w:val="00FC0E6E"/>
    <w:rsid w:val="00FC10DE"/>
    <w:rsid w:val="00FC16A6"/>
    <w:rsid w:val="00FC17D3"/>
    <w:rsid w:val="00FC1CC7"/>
    <w:rsid w:val="00FC1DB2"/>
    <w:rsid w:val="00FC230D"/>
    <w:rsid w:val="00FC2545"/>
    <w:rsid w:val="00FC2D5F"/>
    <w:rsid w:val="00FC31FE"/>
    <w:rsid w:val="00FC36DE"/>
    <w:rsid w:val="00FC3A5F"/>
    <w:rsid w:val="00FC41D1"/>
    <w:rsid w:val="00FC4251"/>
    <w:rsid w:val="00FC43C6"/>
    <w:rsid w:val="00FC47E9"/>
    <w:rsid w:val="00FC4CA0"/>
    <w:rsid w:val="00FC4ECD"/>
    <w:rsid w:val="00FC54B2"/>
    <w:rsid w:val="00FC553E"/>
    <w:rsid w:val="00FC5603"/>
    <w:rsid w:val="00FC5729"/>
    <w:rsid w:val="00FC5733"/>
    <w:rsid w:val="00FC5AAF"/>
    <w:rsid w:val="00FC5ED1"/>
    <w:rsid w:val="00FC61AC"/>
    <w:rsid w:val="00FC649B"/>
    <w:rsid w:val="00FC656F"/>
    <w:rsid w:val="00FC661A"/>
    <w:rsid w:val="00FC6A50"/>
    <w:rsid w:val="00FC6AEC"/>
    <w:rsid w:val="00FC6DEF"/>
    <w:rsid w:val="00FC75E0"/>
    <w:rsid w:val="00FC78A5"/>
    <w:rsid w:val="00FC7A88"/>
    <w:rsid w:val="00FC7AF0"/>
    <w:rsid w:val="00FC7E06"/>
    <w:rsid w:val="00FCE279"/>
    <w:rsid w:val="00FD000E"/>
    <w:rsid w:val="00FD025A"/>
    <w:rsid w:val="00FD049E"/>
    <w:rsid w:val="00FD04DD"/>
    <w:rsid w:val="00FD0B28"/>
    <w:rsid w:val="00FD0DCE"/>
    <w:rsid w:val="00FD0DE0"/>
    <w:rsid w:val="00FD100A"/>
    <w:rsid w:val="00FD158F"/>
    <w:rsid w:val="00FD17BA"/>
    <w:rsid w:val="00FD1987"/>
    <w:rsid w:val="00FD19EB"/>
    <w:rsid w:val="00FD28E5"/>
    <w:rsid w:val="00FD2A21"/>
    <w:rsid w:val="00FD2B09"/>
    <w:rsid w:val="00FD2C9D"/>
    <w:rsid w:val="00FD2E3C"/>
    <w:rsid w:val="00FD2F26"/>
    <w:rsid w:val="00FD2F74"/>
    <w:rsid w:val="00FD3B94"/>
    <w:rsid w:val="00FD3D1B"/>
    <w:rsid w:val="00FD3D9B"/>
    <w:rsid w:val="00FD40DD"/>
    <w:rsid w:val="00FD4131"/>
    <w:rsid w:val="00FD43B3"/>
    <w:rsid w:val="00FD4BE2"/>
    <w:rsid w:val="00FD526E"/>
    <w:rsid w:val="00FD586C"/>
    <w:rsid w:val="00FD594B"/>
    <w:rsid w:val="00FD612F"/>
    <w:rsid w:val="00FD6246"/>
    <w:rsid w:val="00FD6295"/>
    <w:rsid w:val="00FD66C1"/>
    <w:rsid w:val="00FD6894"/>
    <w:rsid w:val="00FD6B66"/>
    <w:rsid w:val="00FD6BE9"/>
    <w:rsid w:val="00FD710C"/>
    <w:rsid w:val="00FD71B8"/>
    <w:rsid w:val="00FD73AE"/>
    <w:rsid w:val="00FD7409"/>
    <w:rsid w:val="00FD7786"/>
    <w:rsid w:val="00FD7D32"/>
    <w:rsid w:val="00FD7F7C"/>
    <w:rsid w:val="00FD7F98"/>
    <w:rsid w:val="00FE0873"/>
    <w:rsid w:val="00FE095C"/>
    <w:rsid w:val="00FE0B0C"/>
    <w:rsid w:val="00FE0C7D"/>
    <w:rsid w:val="00FE0EB6"/>
    <w:rsid w:val="00FE1118"/>
    <w:rsid w:val="00FE11B3"/>
    <w:rsid w:val="00FE12B9"/>
    <w:rsid w:val="00FE1340"/>
    <w:rsid w:val="00FE14CD"/>
    <w:rsid w:val="00FE188A"/>
    <w:rsid w:val="00FE19D3"/>
    <w:rsid w:val="00FE1BE3"/>
    <w:rsid w:val="00FE2217"/>
    <w:rsid w:val="00FE224E"/>
    <w:rsid w:val="00FE2521"/>
    <w:rsid w:val="00FE257C"/>
    <w:rsid w:val="00FE2D69"/>
    <w:rsid w:val="00FE34CD"/>
    <w:rsid w:val="00FE3649"/>
    <w:rsid w:val="00FE36B9"/>
    <w:rsid w:val="00FE3E9D"/>
    <w:rsid w:val="00FE3EE0"/>
    <w:rsid w:val="00FE3EE1"/>
    <w:rsid w:val="00FE4022"/>
    <w:rsid w:val="00FE40E5"/>
    <w:rsid w:val="00FE448C"/>
    <w:rsid w:val="00FE471C"/>
    <w:rsid w:val="00FE4739"/>
    <w:rsid w:val="00FE4DB2"/>
    <w:rsid w:val="00FE5283"/>
    <w:rsid w:val="00FE5877"/>
    <w:rsid w:val="00FE5890"/>
    <w:rsid w:val="00FE59C9"/>
    <w:rsid w:val="00FE60DB"/>
    <w:rsid w:val="00FE62A8"/>
    <w:rsid w:val="00FE6587"/>
    <w:rsid w:val="00FE681D"/>
    <w:rsid w:val="00FE74DF"/>
    <w:rsid w:val="00FE7DC0"/>
    <w:rsid w:val="00FF0042"/>
    <w:rsid w:val="00FF03F8"/>
    <w:rsid w:val="00FF07C9"/>
    <w:rsid w:val="00FF0982"/>
    <w:rsid w:val="00FF0A85"/>
    <w:rsid w:val="00FF0C12"/>
    <w:rsid w:val="00FF0D2F"/>
    <w:rsid w:val="00FF0DBD"/>
    <w:rsid w:val="00FF0DF3"/>
    <w:rsid w:val="00FF0E0C"/>
    <w:rsid w:val="00FF11DD"/>
    <w:rsid w:val="00FF145E"/>
    <w:rsid w:val="00FF15FF"/>
    <w:rsid w:val="00FF1666"/>
    <w:rsid w:val="00FF16B0"/>
    <w:rsid w:val="00FF1766"/>
    <w:rsid w:val="00FF19C9"/>
    <w:rsid w:val="00FF2100"/>
    <w:rsid w:val="00FF2140"/>
    <w:rsid w:val="00FF22C2"/>
    <w:rsid w:val="00FF2532"/>
    <w:rsid w:val="00FF27DA"/>
    <w:rsid w:val="00FF2970"/>
    <w:rsid w:val="00FF2E5C"/>
    <w:rsid w:val="00FF3023"/>
    <w:rsid w:val="00FF310F"/>
    <w:rsid w:val="00FF351E"/>
    <w:rsid w:val="00FF3570"/>
    <w:rsid w:val="00FF35B5"/>
    <w:rsid w:val="00FF377A"/>
    <w:rsid w:val="00FF385A"/>
    <w:rsid w:val="00FF3A07"/>
    <w:rsid w:val="00FF3B0D"/>
    <w:rsid w:val="00FF3B57"/>
    <w:rsid w:val="00FF3F0C"/>
    <w:rsid w:val="00FF3FEA"/>
    <w:rsid w:val="00FF4098"/>
    <w:rsid w:val="00FF4994"/>
    <w:rsid w:val="00FF4A9E"/>
    <w:rsid w:val="00FF4B46"/>
    <w:rsid w:val="00FF4C68"/>
    <w:rsid w:val="00FF4EE8"/>
    <w:rsid w:val="00FF4F73"/>
    <w:rsid w:val="00FF4FBE"/>
    <w:rsid w:val="00FF4FF9"/>
    <w:rsid w:val="00FF5041"/>
    <w:rsid w:val="00FF516E"/>
    <w:rsid w:val="00FF57C2"/>
    <w:rsid w:val="00FF5AE3"/>
    <w:rsid w:val="00FF5CA6"/>
    <w:rsid w:val="00FF5D5D"/>
    <w:rsid w:val="00FF5F3C"/>
    <w:rsid w:val="00FF6167"/>
    <w:rsid w:val="00FF6506"/>
    <w:rsid w:val="00FF6597"/>
    <w:rsid w:val="00FF6888"/>
    <w:rsid w:val="00FF6A53"/>
    <w:rsid w:val="00FF7120"/>
    <w:rsid w:val="00FF76FE"/>
    <w:rsid w:val="00FF7821"/>
    <w:rsid w:val="00FF7844"/>
    <w:rsid w:val="00FF7C30"/>
    <w:rsid w:val="00FF7F55"/>
    <w:rsid w:val="011D8489"/>
    <w:rsid w:val="011E20AC"/>
    <w:rsid w:val="01372F82"/>
    <w:rsid w:val="0139E035"/>
    <w:rsid w:val="013CCFF8"/>
    <w:rsid w:val="0146E3A2"/>
    <w:rsid w:val="014A898E"/>
    <w:rsid w:val="014C21C7"/>
    <w:rsid w:val="01541D69"/>
    <w:rsid w:val="01600282"/>
    <w:rsid w:val="01754C09"/>
    <w:rsid w:val="019B37FB"/>
    <w:rsid w:val="01B80D00"/>
    <w:rsid w:val="01D19204"/>
    <w:rsid w:val="01E057B2"/>
    <w:rsid w:val="01E15848"/>
    <w:rsid w:val="01EA3489"/>
    <w:rsid w:val="022E06D8"/>
    <w:rsid w:val="02411F31"/>
    <w:rsid w:val="0248B4AA"/>
    <w:rsid w:val="02780869"/>
    <w:rsid w:val="027A2385"/>
    <w:rsid w:val="027AEE1A"/>
    <w:rsid w:val="0288A7C4"/>
    <w:rsid w:val="028E7F38"/>
    <w:rsid w:val="0297FE0A"/>
    <w:rsid w:val="02B419E9"/>
    <w:rsid w:val="02C8D808"/>
    <w:rsid w:val="02CE98F4"/>
    <w:rsid w:val="02E67EAE"/>
    <w:rsid w:val="02FB3621"/>
    <w:rsid w:val="02FEDBD3"/>
    <w:rsid w:val="030F33E9"/>
    <w:rsid w:val="03130226"/>
    <w:rsid w:val="0320A051"/>
    <w:rsid w:val="0321D697"/>
    <w:rsid w:val="034443F4"/>
    <w:rsid w:val="0376EC5B"/>
    <w:rsid w:val="037C3107"/>
    <w:rsid w:val="0380CE4D"/>
    <w:rsid w:val="03A35A7F"/>
    <w:rsid w:val="03AAA68E"/>
    <w:rsid w:val="03C7139C"/>
    <w:rsid w:val="03D0133E"/>
    <w:rsid w:val="03F14F6C"/>
    <w:rsid w:val="03F9BEFB"/>
    <w:rsid w:val="04053358"/>
    <w:rsid w:val="0420EBBA"/>
    <w:rsid w:val="0422955A"/>
    <w:rsid w:val="0431B883"/>
    <w:rsid w:val="0434E4EE"/>
    <w:rsid w:val="049E0F74"/>
    <w:rsid w:val="04A19174"/>
    <w:rsid w:val="04A5CA45"/>
    <w:rsid w:val="04AA98A2"/>
    <w:rsid w:val="04C0DFCC"/>
    <w:rsid w:val="04F110BA"/>
    <w:rsid w:val="04F22239"/>
    <w:rsid w:val="04F2DB44"/>
    <w:rsid w:val="05090FD7"/>
    <w:rsid w:val="0509794A"/>
    <w:rsid w:val="05127F80"/>
    <w:rsid w:val="051332C3"/>
    <w:rsid w:val="0513BFDB"/>
    <w:rsid w:val="052C1EFB"/>
    <w:rsid w:val="053B3208"/>
    <w:rsid w:val="0543ED67"/>
    <w:rsid w:val="05490CDB"/>
    <w:rsid w:val="0555F5A4"/>
    <w:rsid w:val="0570DFCF"/>
    <w:rsid w:val="0593EDEA"/>
    <w:rsid w:val="05994B43"/>
    <w:rsid w:val="05A922FA"/>
    <w:rsid w:val="05AB289D"/>
    <w:rsid w:val="05DD9431"/>
    <w:rsid w:val="05E95E1A"/>
    <w:rsid w:val="05FFF46A"/>
    <w:rsid w:val="0608CDAB"/>
    <w:rsid w:val="0610EE54"/>
    <w:rsid w:val="0639AEA9"/>
    <w:rsid w:val="063CAFEB"/>
    <w:rsid w:val="064586F5"/>
    <w:rsid w:val="064CD7B5"/>
    <w:rsid w:val="06503099"/>
    <w:rsid w:val="0656C40B"/>
    <w:rsid w:val="06691AC0"/>
    <w:rsid w:val="066BC975"/>
    <w:rsid w:val="06800DA9"/>
    <w:rsid w:val="068DF0B4"/>
    <w:rsid w:val="0690116F"/>
    <w:rsid w:val="06C387C2"/>
    <w:rsid w:val="06E25D21"/>
    <w:rsid w:val="06E63FBD"/>
    <w:rsid w:val="07035FE8"/>
    <w:rsid w:val="072FD8E3"/>
    <w:rsid w:val="073156D5"/>
    <w:rsid w:val="073CF3A5"/>
    <w:rsid w:val="074E1B12"/>
    <w:rsid w:val="0758D068"/>
    <w:rsid w:val="0768EA6A"/>
    <w:rsid w:val="07B5E6C0"/>
    <w:rsid w:val="07B8BF93"/>
    <w:rsid w:val="07D3EE19"/>
    <w:rsid w:val="07D539CC"/>
    <w:rsid w:val="080794B3"/>
    <w:rsid w:val="08142334"/>
    <w:rsid w:val="081527D6"/>
    <w:rsid w:val="081735CD"/>
    <w:rsid w:val="0819504F"/>
    <w:rsid w:val="081E490B"/>
    <w:rsid w:val="084A8F9F"/>
    <w:rsid w:val="0857572B"/>
    <w:rsid w:val="088DEAC5"/>
    <w:rsid w:val="0890E47B"/>
    <w:rsid w:val="08D88F8E"/>
    <w:rsid w:val="08E855D4"/>
    <w:rsid w:val="0903AA40"/>
    <w:rsid w:val="09054E2D"/>
    <w:rsid w:val="0907EC53"/>
    <w:rsid w:val="090943D5"/>
    <w:rsid w:val="092242A0"/>
    <w:rsid w:val="093A0289"/>
    <w:rsid w:val="0942E381"/>
    <w:rsid w:val="096BB0AF"/>
    <w:rsid w:val="0990ABE6"/>
    <w:rsid w:val="09917E68"/>
    <w:rsid w:val="09A02B5C"/>
    <w:rsid w:val="09A409C2"/>
    <w:rsid w:val="09AE9062"/>
    <w:rsid w:val="09C339EA"/>
    <w:rsid w:val="09ED50D0"/>
    <w:rsid w:val="09FF0A62"/>
    <w:rsid w:val="0A03703A"/>
    <w:rsid w:val="0A206F75"/>
    <w:rsid w:val="0A263E49"/>
    <w:rsid w:val="0A290454"/>
    <w:rsid w:val="0A2A94F2"/>
    <w:rsid w:val="0A4C6495"/>
    <w:rsid w:val="0A5310BD"/>
    <w:rsid w:val="0A666E7E"/>
    <w:rsid w:val="0A79236A"/>
    <w:rsid w:val="0A797E09"/>
    <w:rsid w:val="0A92B534"/>
    <w:rsid w:val="0AA6ED3D"/>
    <w:rsid w:val="0AAC927E"/>
    <w:rsid w:val="0AB09EA1"/>
    <w:rsid w:val="0AD89CAD"/>
    <w:rsid w:val="0AD922D4"/>
    <w:rsid w:val="0AE95A3F"/>
    <w:rsid w:val="0AEF6B64"/>
    <w:rsid w:val="0AF95FEC"/>
    <w:rsid w:val="0B02158C"/>
    <w:rsid w:val="0B0861A2"/>
    <w:rsid w:val="0B1D8B42"/>
    <w:rsid w:val="0B202353"/>
    <w:rsid w:val="0B2ADDB7"/>
    <w:rsid w:val="0B3433E5"/>
    <w:rsid w:val="0B39D76E"/>
    <w:rsid w:val="0B58E615"/>
    <w:rsid w:val="0B61C845"/>
    <w:rsid w:val="0B87C511"/>
    <w:rsid w:val="0B887687"/>
    <w:rsid w:val="0BAE76DE"/>
    <w:rsid w:val="0BBB05B0"/>
    <w:rsid w:val="0BCEBD7A"/>
    <w:rsid w:val="0BE77138"/>
    <w:rsid w:val="0BEC98DD"/>
    <w:rsid w:val="0C0786EB"/>
    <w:rsid w:val="0C087DC6"/>
    <w:rsid w:val="0C0F12B9"/>
    <w:rsid w:val="0C38691D"/>
    <w:rsid w:val="0C46F7FB"/>
    <w:rsid w:val="0C4E7C18"/>
    <w:rsid w:val="0C86CEF8"/>
    <w:rsid w:val="0C9CD7AF"/>
    <w:rsid w:val="0CA9BFC2"/>
    <w:rsid w:val="0CC2D1B0"/>
    <w:rsid w:val="0CF96112"/>
    <w:rsid w:val="0D0D044F"/>
    <w:rsid w:val="0D2E19A6"/>
    <w:rsid w:val="0D3414B3"/>
    <w:rsid w:val="0D383D46"/>
    <w:rsid w:val="0D6D03C3"/>
    <w:rsid w:val="0D855AC1"/>
    <w:rsid w:val="0D92EE99"/>
    <w:rsid w:val="0D98262D"/>
    <w:rsid w:val="0DA3E617"/>
    <w:rsid w:val="0DA8476A"/>
    <w:rsid w:val="0DAB9335"/>
    <w:rsid w:val="0DABC32C"/>
    <w:rsid w:val="0DB6E2C8"/>
    <w:rsid w:val="0DBCF109"/>
    <w:rsid w:val="0DE82E24"/>
    <w:rsid w:val="0DEC525C"/>
    <w:rsid w:val="0E181580"/>
    <w:rsid w:val="0E229EDA"/>
    <w:rsid w:val="0E257FE7"/>
    <w:rsid w:val="0E291DEB"/>
    <w:rsid w:val="0E30A813"/>
    <w:rsid w:val="0E354DE6"/>
    <w:rsid w:val="0E36C03A"/>
    <w:rsid w:val="0E77825E"/>
    <w:rsid w:val="0E7F53E1"/>
    <w:rsid w:val="0E89198F"/>
    <w:rsid w:val="0EA0AFFD"/>
    <w:rsid w:val="0EB88E70"/>
    <w:rsid w:val="0ECC6589"/>
    <w:rsid w:val="0ED60CA9"/>
    <w:rsid w:val="0EE1CEE0"/>
    <w:rsid w:val="0EFCC9B0"/>
    <w:rsid w:val="0F051996"/>
    <w:rsid w:val="0F1E4047"/>
    <w:rsid w:val="0F3234E9"/>
    <w:rsid w:val="0F458BA9"/>
    <w:rsid w:val="0F6F8AFA"/>
    <w:rsid w:val="0F80CBDB"/>
    <w:rsid w:val="0FB6F6EE"/>
    <w:rsid w:val="0FBC1041"/>
    <w:rsid w:val="0FC5935E"/>
    <w:rsid w:val="0FCA2327"/>
    <w:rsid w:val="0FCE23F8"/>
    <w:rsid w:val="0FD343E6"/>
    <w:rsid w:val="0FDA071D"/>
    <w:rsid w:val="0FFB0925"/>
    <w:rsid w:val="0FFBFC12"/>
    <w:rsid w:val="1010C263"/>
    <w:rsid w:val="102B31BD"/>
    <w:rsid w:val="103886DF"/>
    <w:rsid w:val="109EC3D8"/>
    <w:rsid w:val="10A3D74B"/>
    <w:rsid w:val="10E37E60"/>
    <w:rsid w:val="10EBED63"/>
    <w:rsid w:val="10F385E5"/>
    <w:rsid w:val="10F3BD64"/>
    <w:rsid w:val="10FF799B"/>
    <w:rsid w:val="111042A2"/>
    <w:rsid w:val="11111C31"/>
    <w:rsid w:val="1114915D"/>
    <w:rsid w:val="111D50ED"/>
    <w:rsid w:val="11226D80"/>
    <w:rsid w:val="1123D32D"/>
    <w:rsid w:val="11259AB4"/>
    <w:rsid w:val="112D39E8"/>
    <w:rsid w:val="1156BF12"/>
    <w:rsid w:val="1158A93F"/>
    <w:rsid w:val="115BF9A2"/>
    <w:rsid w:val="115D42BE"/>
    <w:rsid w:val="1185E2F6"/>
    <w:rsid w:val="11936DAD"/>
    <w:rsid w:val="119AB0DC"/>
    <w:rsid w:val="11A8BBC5"/>
    <w:rsid w:val="11AA6C3F"/>
    <w:rsid w:val="11C7573B"/>
    <w:rsid w:val="11C8128F"/>
    <w:rsid w:val="11CE0730"/>
    <w:rsid w:val="11E47CC1"/>
    <w:rsid w:val="11EDDD8B"/>
    <w:rsid w:val="11F74993"/>
    <w:rsid w:val="11F8BD80"/>
    <w:rsid w:val="11FB4557"/>
    <w:rsid w:val="11FCBB70"/>
    <w:rsid w:val="12076FE8"/>
    <w:rsid w:val="120B7327"/>
    <w:rsid w:val="121891A0"/>
    <w:rsid w:val="1224E493"/>
    <w:rsid w:val="123C9205"/>
    <w:rsid w:val="12548ED5"/>
    <w:rsid w:val="12616855"/>
    <w:rsid w:val="126451E7"/>
    <w:rsid w:val="1264C89C"/>
    <w:rsid w:val="12651301"/>
    <w:rsid w:val="1265DCA6"/>
    <w:rsid w:val="12666C55"/>
    <w:rsid w:val="12737D03"/>
    <w:rsid w:val="12927431"/>
    <w:rsid w:val="12B19909"/>
    <w:rsid w:val="12B38A9B"/>
    <w:rsid w:val="12D8343F"/>
    <w:rsid w:val="12EA04F6"/>
    <w:rsid w:val="12F991EF"/>
    <w:rsid w:val="12FCA34D"/>
    <w:rsid w:val="131FB823"/>
    <w:rsid w:val="13250A8A"/>
    <w:rsid w:val="1328AF19"/>
    <w:rsid w:val="132D8F4D"/>
    <w:rsid w:val="134BE76A"/>
    <w:rsid w:val="1354AC38"/>
    <w:rsid w:val="138442BE"/>
    <w:rsid w:val="13B1731A"/>
    <w:rsid w:val="13B8B687"/>
    <w:rsid w:val="13E9E00B"/>
    <w:rsid w:val="13EA778D"/>
    <w:rsid w:val="1423CB90"/>
    <w:rsid w:val="142761B6"/>
    <w:rsid w:val="145E1074"/>
    <w:rsid w:val="146A90C3"/>
    <w:rsid w:val="149E723F"/>
    <w:rsid w:val="14B9EBC5"/>
    <w:rsid w:val="14C8ACCB"/>
    <w:rsid w:val="14D4F11C"/>
    <w:rsid w:val="14E8C793"/>
    <w:rsid w:val="14EA1541"/>
    <w:rsid w:val="14F96806"/>
    <w:rsid w:val="150317C6"/>
    <w:rsid w:val="1507922F"/>
    <w:rsid w:val="152AF053"/>
    <w:rsid w:val="152B13F2"/>
    <w:rsid w:val="153C3600"/>
    <w:rsid w:val="154E674D"/>
    <w:rsid w:val="15588368"/>
    <w:rsid w:val="1561A1DF"/>
    <w:rsid w:val="157CBEBB"/>
    <w:rsid w:val="1584D359"/>
    <w:rsid w:val="159ED012"/>
    <w:rsid w:val="15AE3C85"/>
    <w:rsid w:val="15B753B6"/>
    <w:rsid w:val="15E339DC"/>
    <w:rsid w:val="15E341F5"/>
    <w:rsid w:val="160130A5"/>
    <w:rsid w:val="1625F0AA"/>
    <w:rsid w:val="16298E56"/>
    <w:rsid w:val="162A60C8"/>
    <w:rsid w:val="16320732"/>
    <w:rsid w:val="164B9BCC"/>
    <w:rsid w:val="164C490A"/>
    <w:rsid w:val="16550C67"/>
    <w:rsid w:val="16604727"/>
    <w:rsid w:val="167153AE"/>
    <w:rsid w:val="167B6419"/>
    <w:rsid w:val="167E9196"/>
    <w:rsid w:val="1692A800"/>
    <w:rsid w:val="169C60EB"/>
    <w:rsid w:val="16A14414"/>
    <w:rsid w:val="16CF3DF1"/>
    <w:rsid w:val="16DADF97"/>
    <w:rsid w:val="16E25980"/>
    <w:rsid w:val="16FE770B"/>
    <w:rsid w:val="170B21F1"/>
    <w:rsid w:val="171E62FA"/>
    <w:rsid w:val="17238B4B"/>
    <w:rsid w:val="174CA845"/>
    <w:rsid w:val="17601479"/>
    <w:rsid w:val="1765783D"/>
    <w:rsid w:val="17669755"/>
    <w:rsid w:val="176E3334"/>
    <w:rsid w:val="17706CEF"/>
    <w:rsid w:val="179B0399"/>
    <w:rsid w:val="17A4EA2D"/>
    <w:rsid w:val="17A7878B"/>
    <w:rsid w:val="17BF092C"/>
    <w:rsid w:val="17CBC057"/>
    <w:rsid w:val="17DC222E"/>
    <w:rsid w:val="17E3B71C"/>
    <w:rsid w:val="17E43CB5"/>
    <w:rsid w:val="17FC2884"/>
    <w:rsid w:val="18082556"/>
    <w:rsid w:val="180BDE18"/>
    <w:rsid w:val="180D60FD"/>
    <w:rsid w:val="1834F210"/>
    <w:rsid w:val="1838A72E"/>
    <w:rsid w:val="185A25F8"/>
    <w:rsid w:val="185F4E5C"/>
    <w:rsid w:val="18707FF2"/>
    <w:rsid w:val="1880EBB2"/>
    <w:rsid w:val="18862E16"/>
    <w:rsid w:val="18887A32"/>
    <w:rsid w:val="188D598E"/>
    <w:rsid w:val="18A05E09"/>
    <w:rsid w:val="18A4F992"/>
    <w:rsid w:val="18AD0952"/>
    <w:rsid w:val="18BFAB19"/>
    <w:rsid w:val="18E29C4E"/>
    <w:rsid w:val="18E6DB93"/>
    <w:rsid w:val="18E703CB"/>
    <w:rsid w:val="18EF66A8"/>
    <w:rsid w:val="191C2B6D"/>
    <w:rsid w:val="1920B41E"/>
    <w:rsid w:val="197E5E6F"/>
    <w:rsid w:val="198C02AA"/>
    <w:rsid w:val="1998DE2A"/>
    <w:rsid w:val="19A072F1"/>
    <w:rsid w:val="19C4F42E"/>
    <w:rsid w:val="19F2EEC2"/>
    <w:rsid w:val="1A1047F0"/>
    <w:rsid w:val="1A14F6D5"/>
    <w:rsid w:val="1A17C364"/>
    <w:rsid w:val="1A40690D"/>
    <w:rsid w:val="1A482352"/>
    <w:rsid w:val="1A4AE42C"/>
    <w:rsid w:val="1A5245D0"/>
    <w:rsid w:val="1A551517"/>
    <w:rsid w:val="1A7420D3"/>
    <w:rsid w:val="1A790EBB"/>
    <w:rsid w:val="1A7F711A"/>
    <w:rsid w:val="1A877808"/>
    <w:rsid w:val="1A9B2635"/>
    <w:rsid w:val="1AAF0DCB"/>
    <w:rsid w:val="1AB943A1"/>
    <w:rsid w:val="1AC870F4"/>
    <w:rsid w:val="1ADFC08A"/>
    <w:rsid w:val="1AF665AA"/>
    <w:rsid w:val="1AFB7D8B"/>
    <w:rsid w:val="1AFECAF9"/>
    <w:rsid w:val="1B0A0501"/>
    <w:rsid w:val="1B0C5ACA"/>
    <w:rsid w:val="1B2CBC3E"/>
    <w:rsid w:val="1B3C9B32"/>
    <w:rsid w:val="1B61210C"/>
    <w:rsid w:val="1B6AC8AC"/>
    <w:rsid w:val="1BA188C7"/>
    <w:rsid w:val="1BA220C1"/>
    <w:rsid w:val="1BAF90B5"/>
    <w:rsid w:val="1BBE2426"/>
    <w:rsid w:val="1BC90D94"/>
    <w:rsid w:val="1BD58E24"/>
    <w:rsid w:val="1BDB6BA1"/>
    <w:rsid w:val="1BEB6069"/>
    <w:rsid w:val="1BEB8AD9"/>
    <w:rsid w:val="1BEF44CA"/>
    <w:rsid w:val="1C00D589"/>
    <w:rsid w:val="1C21AA06"/>
    <w:rsid w:val="1C405EE3"/>
    <w:rsid w:val="1C44166E"/>
    <w:rsid w:val="1C4DB655"/>
    <w:rsid w:val="1C710A73"/>
    <w:rsid w:val="1CC40EF5"/>
    <w:rsid w:val="1CC8E677"/>
    <w:rsid w:val="1CEAE9AD"/>
    <w:rsid w:val="1D04C21F"/>
    <w:rsid w:val="1D069E02"/>
    <w:rsid w:val="1D499D96"/>
    <w:rsid w:val="1D50EE5C"/>
    <w:rsid w:val="1D52832C"/>
    <w:rsid w:val="1D55177B"/>
    <w:rsid w:val="1D602870"/>
    <w:rsid w:val="1D642080"/>
    <w:rsid w:val="1D6B8C02"/>
    <w:rsid w:val="1D7F1590"/>
    <w:rsid w:val="1D821DFD"/>
    <w:rsid w:val="1DA06955"/>
    <w:rsid w:val="1DA5943F"/>
    <w:rsid w:val="1DAB1116"/>
    <w:rsid w:val="1DB90C98"/>
    <w:rsid w:val="1DBB3C92"/>
    <w:rsid w:val="1DC13A5B"/>
    <w:rsid w:val="1DD10424"/>
    <w:rsid w:val="1DED63D3"/>
    <w:rsid w:val="1E19A506"/>
    <w:rsid w:val="1E2DF665"/>
    <w:rsid w:val="1E360F8B"/>
    <w:rsid w:val="1E3BE02B"/>
    <w:rsid w:val="1E48B260"/>
    <w:rsid w:val="1E4F44A5"/>
    <w:rsid w:val="1E5BB562"/>
    <w:rsid w:val="1E635FD2"/>
    <w:rsid w:val="1E67FACF"/>
    <w:rsid w:val="1E92F492"/>
    <w:rsid w:val="1EABEA5F"/>
    <w:rsid w:val="1EB7EC6B"/>
    <w:rsid w:val="1EC217B6"/>
    <w:rsid w:val="1EC4EA76"/>
    <w:rsid w:val="1F03612F"/>
    <w:rsid w:val="1F1727F8"/>
    <w:rsid w:val="1F277552"/>
    <w:rsid w:val="1F32E4E9"/>
    <w:rsid w:val="1F547D4F"/>
    <w:rsid w:val="1F68EFBC"/>
    <w:rsid w:val="1F6EE990"/>
    <w:rsid w:val="1FC90B66"/>
    <w:rsid w:val="1FCE315E"/>
    <w:rsid w:val="1FDA1550"/>
    <w:rsid w:val="1FF48416"/>
    <w:rsid w:val="200AED4B"/>
    <w:rsid w:val="201AE915"/>
    <w:rsid w:val="20326E65"/>
    <w:rsid w:val="203D5418"/>
    <w:rsid w:val="204B45B9"/>
    <w:rsid w:val="20644CB6"/>
    <w:rsid w:val="2066BCCA"/>
    <w:rsid w:val="206D900A"/>
    <w:rsid w:val="20775A39"/>
    <w:rsid w:val="2079464D"/>
    <w:rsid w:val="207A7E15"/>
    <w:rsid w:val="207CC9F5"/>
    <w:rsid w:val="208A95EB"/>
    <w:rsid w:val="209D95C7"/>
    <w:rsid w:val="209E9C2B"/>
    <w:rsid w:val="20D51C37"/>
    <w:rsid w:val="20EEF998"/>
    <w:rsid w:val="210F3114"/>
    <w:rsid w:val="2128C6C2"/>
    <w:rsid w:val="2129AECA"/>
    <w:rsid w:val="212AD836"/>
    <w:rsid w:val="212AE45D"/>
    <w:rsid w:val="2132B3D8"/>
    <w:rsid w:val="2138CBE0"/>
    <w:rsid w:val="21410382"/>
    <w:rsid w:val="21507777"/>
    <w:rsid w:val="21513EF8"/>
    <w:rsid w:val="2154C5F0"/>
    <w:rsid w:val="215AA80B"/>
    <w:rsid w:val="2176FB3B"/>
    <w:rsid w:val="218C1E38"/>
    <w:rsid w:val="218F650C"/>
    <w:rsid w:val="21A351B3"/>
    <w:rsid w:val="21CCE707"/>
    <w:rsid w:val="21DEA958"/>
    <w:rsid w:val="21E22B6A"/>
    <w:rsid w:val="21EDEC01"/>
    <w:rsid w:val="21F52401"/>
    <w:rsid w:val="21F8AB3E"/>
    <w:rsid w:val="220B9F60"/>
    <w:rsid w:val="22127B9E"/>
    <w:rsid w:val="221CAE60"/>
    <w:rsid w:val="22461C86"/>
    <w:rsid w:val="224A7729"/>
    <w:rsid w:val="2256458C"/>
    <w:rsid w:val="2273E7E3"/>
    <w:rsid w:val="2275CDF6"/>
    <w:rsid w:val="228231BF"/>
    <w:rsid w:val="229C4F9F"/>
    <w:rsid w:val="22B0F497"/>
    <w:rsid w:val="22BC97FD"/>
    <w:rsid w:val="22C611F5"/>
    <w:rsid w:val="22E1CD28"/>
    <w:rsid w:val="22E24162"/>
    <w:rsid w:val="22FCCBB2"/>
    <w:rsid w:val="2306E2AD"/>
    <w:rsid w:val="23227322"/>
    <w:rsid w:val="23272D67"/>
    <w:rsid w:val="23317ED7"/>
    <w:rsid w:val="234A7F4D"/>
    <w:rsid w:val="2357702D"/>
    <w:rsid w:val="2358D0DA"/>
    <w:rsid w:val="2362F0A7"/>
    <w:rsid w:val="238EC758"/>
    <w:rsid w:val="2390781B"/>
    <w:rsid w:val="23974E06"/>
    <w:rsid w:val="239F9795"/>
    <w:rsid w:val="23A3F8EA"/>
    <w:rsid w:val="23A73683"/>
    <w:rsid w:val="23B39A4E"/>
    <w:rsid w:val="23CB86A8"/>
    <w:rsid w:val="23FB7550"/>
    <w:rsid w:val="24033246"/>
    <w:rsid w:val="241B6B21"/>
    <w:rsid w:val="2424BCB7"/>
    <w:rsid w:val="24315CE2"/>
    <w:rsid w:val="24357D26"/>
    <w:rsid w:val="2468E10B"/>
    <w:rsid w:val="247ECA95"/>
    <w:rsid w:val="248E01BA"/>
    <w:rsid w:val="249870DA"/>
    <w:rsid w:val="24C3435A"/>
    <w:rsid w:val="24C7D4BB"/>
    <w:rsid w:val="24D567DC"/>
    <w:rsid w:val="24EA0671"/>
    <w:rsid w:val="250022E1"/>
    <w:rsid w:val="250E38F5"/>
    <w:rsid w:val="2522EF6C"/>
    <w:rsid w:val="2523260B"/>
    <w:rsid w:val="2528BCDC"/>
    <w:rsid w:val="252B10A5"/>
    <w:rsid w:val="2535BF71"/>
    <w:rsid w:val="255D0E5F"/>
    <w:rsid w:val="2568493A"/>
    <w:rsid w:val="258650B1"/>
    <w:rsid w:val="25909D41"/>
    <w:rsid w:val="259D35AD"/>
    <w:rsid w:val="25A33AC2"/>
    <w:rsid w:val="25A9F308"/>
    <w:rsid w:val="25AFA25A"/>
    <w:rsid w:val="25B15D33"/>
    <w:rsid w:val="25BEC1DB"/>
    <w:rsid w:val="25C424B8"/>
    <w:rsid w:val="25CA2AA0"/>
    <w:rsid w:val="25CD3CB5"/>
    <w:rsid w:val="25D080D6"/>
    <w:rsid w:val="25D25146"/>
    <w:rsid w:val="25D859B4"/>
    <w:rsid w:val="25DF3D2D"/>
    <w:rsid w:val="25E58323"/>
    <w:rsid w:val="25EB0D93"/>
    <w:rsid w:val="25FDEEB9"/>
    <w:rsid w:val="26118D10"/>
    <w:rsid w:val="263048C7"/>
    <w:rsid w:val="2635F6A9"/>
    <w:rsid w:val="2636DD4E"/>
    <w:rsid w:val="267525C3"/>
    <w:rsid w:val="267FAD58"/>
    <w:rsid w:val="26A7ED0A"/>
    <w:rsid w:val="26B8566D"/>
    <w:rsid w:val="26BCDBE9"/>
    <w:rsid w:val="26E29470"/>
    <w:rsid w:val="26E734DD"/>
    <w:rsid w:val="26FCA0CE"/>
    <w:rsid w:val="270913AF"/>
    <w:rsid w:val="2720C427"/>
    <w:rsid w:val="274F1189"/>
    <w:rsid w:val="27610F68"/>
    <w:rsid w:val="27888CB0"/>
    <w:rsid w:val="2793EFD8"/>
    <w:rsid w:val="279D60F7"/>
    <w:rsid w:val="27A65767"/>
    <w:rsid w:val="27B4EF2B"/>
    <w:rsid w:val="27B7F5A4"/>
    <w:rsid w:val="27CE7FCB"/>
    <w:rsid w:val="27F5CB49"/>
    <w:rsid w:val="27FABAEB"/>
    <w:rsid w:val="2810A96C"/>
    <w:rsid w:val="2829CD12"/>
    <w:rsid w:val="282AA5ED"/>
    <w:rsid w:val="282F5A73"/>
    <w:rsid w:val="2841D06A"/>
    <w:rsid w:val="284EB2D8"/>
    <w:rsid w:val="285BC6D9"/>
    <w:rsid w:val="285EB004"/>
    <w:rsid w:val="2876890E"/>
    <w:rsid w:val="2876B447"/>
    <w:rsid w:val="28807E3D"/>
    <w:rsid w:val="288941C0"/>
    <w:rsid w:val="2891609A"/>
    <w:rsid w:val="28C0C6D5"/>
    <w:rsid w:val="28C63FBA"/>
    <w:rsid w:val="28D97D83"/>
    <w:rsid w:val="28F6F36A"/>
    <w:rsid w:val="29007C51"/>
    <w:rsid w:val="290B8830"/>
    <w:rsid w:val="291D94BD"/>
    <w:rsid w:val="2935D76C"/>
    <w:rsid w:val="293F2903"/>
    <w:rsid w:val="296157DA"/>
    <w:rsid w:val="2967155D"/>
    <w:rsid w:val="297FB8B7"/>
    <w:rsid w:val="29B8CE25"/>
    <w:rsid w:val="29C737EE"/>
    <w:rsid w:val="29CAA7E0"/>
    <w:rsid w:val="29F15E75"/>
    <w:rsid w:val="2A197383"/>
    <w:rsid w:val="2A26F335"/>
    <w:rsid w:val="2A348DDD"/>
    <w:rsid w:val="2A37E960"/>
    <w:rsid w:val="2A47D456"/>
    <w:rsid w:val="2A5BBFF0"/>
    <w:rsid w:val="2A633802"/>
    <w:rsid w:val="2A7E1529"/>
    <w:rsid w:val="2A819977"/>
    <w:rsid w:val="2A849110"/>
    <w:rsid w:val="2A8B79DF"/>
    <w:rsid w:val="2A9DE0BE"/>
    <w:rsid w:val="2AD27E44"/>
    <w:rsid w:val="2ADED3A4"/>
    <w:rsid w:val="2AE9CD64"/>
    <w:rsid w:val="2AEB9E4C"/>
    <w:rsid w:val="2AEFDEA9"/>
    <w:rsid w:val="2B03B98F"/>
    <w:rsid w:val="2B0C2A5B"/>
    <w:rsid w:val="2B1552A9"/>
    <w:rsid w:val="2B292706"/>
    <w:rsid w:val="2B3714E6"/>
    <w:rsid w:val="2B6E224F"/>
    <w:rsid w:val="2BB630F0"/>
    <w:rsid w:val="2BC4745E"/>
    <w:rsid w:val="2BC53274"/>
    <w:rsid w:val="2BC8ACDA"/>
    <w:rsid w:val="2BD46F99"/>
    <w:rsid w:val="2BD90D89"/>
    <w:rsid w:val="2BE29839"/>
    <w:rsid w:val="2BEAE43E"/>
    <w:rsid w:val="2C2E84EA"/>
    <w:rsid w:val="2C365906"/>
    <w:rsid w:val="2C3AFA50"/>
    <w:rsid w:val="2C3C1DB5"/>
    <w:rsid w:val="2C5EA825"/>
    <w:rsid w:val="2C5EE23B"/>
    <w:rsid w:val="2C786958"/>
    <w:rsid w:val="2C8E3F7C"/>
    <w:rsid w:val="2CB7EADA"/>
    <w:rsid w:val="2CCACE37"/>
    <w:rsid w:val="2CCE23E0"/>
    <w:rsid w:val="2CDCA5A8"/>
    <w:rsid w:val="2CE49DDB"/>
    <w:rsid w:val="2CF55B2B"/>
    <w:rsid w:val="2D097A73"/>
    <w:rsid w:val="2D0E3C2F"/>
    <w:rsid w:val="2D2F4F54"/>
    <w:rsid w:val="2D44EFCB"/>
    <w:rsid w:val="2D67A6AC"/>
    <w:rsid w:val="2D6C54E4"/>
    <w:rsid w:val="2D7EEB50"/>
    <w:rsid w:val="2D9871D0"/>
    <w:rsid w:val="2D99C302"/>
    <w:rsid w:val="2DA860D3"/>
    <w:rsid w:val="2DAB09C4"/>
    <w:rsid w:val="2DCA54E1"/>
    <w:rsid w:val="2DEA02EF"/>
    <w:rsid w:val="2E022009"/>
    <w:rsid w:val="2E193774"/>
    <w:rsid w:val="2E1FF41B"/>
    <w:rsid w:val="2E29AECC"/>
    <w:rsid w:val="2E2BBAE4"/>
    <w:rsid w:val="2E35FFE6"/>
    <w:rsid w:val="2E40C9B5"/>
    <w:rsid w:val="2E46591A"/>
    <w:rsid w:val="2E669114"/>
    <w:rsid w:val="2E73E868"/>
    <w:rsid w:val="2E8114B9"/>
    <w:rsid w:val="2E9B4AF3"/>
    <w:rsid w:val="2E9CA01C"/>
    <w:rsid w:val="2E9F376C"/>
    <w:rsid w:val="2EA8FC52"/>
    <w:rsid w:val="2EB065CF"/>
    <w:rsid w:val="2EB598C8"/>
    <w:rsid w:val="2EC6B791"/>
    <w:rsid w:val="2EE2A0AD"/>
    <w:rsid w:val="2EFB8F60"/>
    <w:rsid w:val="2EFC3317"/>
    <w:rsid w:val="2F06A52F"/>
    <w:rsid w:val="2F155BFD"/>
    <w:rsid w:val="2F28C30F"/>
    <w:rsid w:val="2F466844"/>
    <w:rsid w:val="2F60AFC4"/>
    <w:rsid w:val="2F71E747"/>
    <w:rsid w:val="2F8729B3"/>
    <w:rsid w:val="2FA82D64"/>
    <w:rsid w:val="2FACE660"/>
    <w:rsid w:val="2FC4919D"/>
    <w:rsid w:val="2FD25CE1"/>
    <w:rsid w:val="2FD51F7D"/>
    <w:rsid w:val="2FE8B316"/>
    <w:rsid w:val="2FF12E18"/>
    <w:rsid w:val="2FF2472D"/>
    <w:rsid w:val="2FF695EB"/>
    <w:rsid w:val="30095A83"/>
    <w:rsid w:val="300A8595"/>
    <w:rsid w:val="301BB742"/>
    <w:rsid w:val="30266EE8"/>
    <w:rsid w:val="3035A34F"/>
    <w:rsid w:val="304917A7"/>
    <w:rsid w:val="3073BBF8"/>
    <w:rsid w:val="309301C5"/>
    <w:rsid w:val="309BFA37"/>
    <w:rsid w:val="30C2665A"/>
    <w:rsid w:val="30C292AF"/>
    <w:rsid w:val="30C3549B"/>
    <w:rsid w:val="30C60F04"/>
    <w:rsid w:val="30E21198"/>
    <w:rsid w:val="30E96C94"/>
    <w:rsid w:val="30F79612"/>
    <w:rsid w:val="31005EA4"/>
    <w:rsid w:val="3105D1FE"/>
    <w:rsid w:val="312A2028"/>
    <w:rsid w:val="31446333"/>
    <w:rsid w:val="314E794B"/>
    <w:rsid w:val="314FF443"/>
    <w:rsid w:val="316C0474"/>
    <w:rsid w:val="3173BF27"/>
    <w:rsid w:val="3180FA87"/>
    <w:rsid w:val="31914545"/>
    <w:rsid w:val="3196B556"/>
    <w:rsid w:val="31A55B87"/>
    <w:rsid w:val="31B0A8CE"/>
    <w:rsid w:val="31FEDFE8"/>
    <w:rsid w:val="3202FD1B"/>
    <w:rsid w:val="320B2EE6"/>
    <w:rsid w:val="321FA50F"/>
    <w:rsid w:val="3221580F"/>
    <w:rsid w:val="32251C9B"/>
    <w:rsid w:val="32580E34"/>
    <w:rsid w:val="3264D886"/>
    <w:rsid w:val="327EE9F2"/>
    <w:rsid w:val="328462E3"/>
    <w:rsid w:val="32861C14"/>
    <w:rsid w:val="3295B086"/>
    <w:rsid w:val="3296EBF5"/>
    <w:rsid w:val="32AE8B41"/>
    <w:rsid w:val="32B37BB1"/>
    <w:rsid w:val="32ED5E7A"/>
    <w:rsid w:val="32EDDC9C"/>
    <w:rsid w:val="32F94015"/>
    <w:rsid w:val="33008EE3"/>
    <w:rsid w:val="3311ED0B"/>
    <w:rsid w:val="331388FC"/>
    <w:rsid w:val="331B025D"/>
    <w:rsid w:val="3327744C"/>
    <w:rsid w:val="332CF658"/>
    <w:rsid w:val="33404513"/>
    <w:rsid w:val="3341AA64"/>
    <w:rsid w:val="336F7ED6"/>
    <w:rsid w:val="33763A68"/>
    <w:rsid w:val="3385FFAB"/>
    <w:rsid w:val="3387A890"/>
    <w:rsid w:val="3388B829"/>
    <w:rsid w:val="33AC91E1"/>
    <w:rsid w:val="33AFE52C"/>
    <w:rsid w:val="33B8AE7D"/>
    <w:rsid w:val="33C85B4B"/>
    <w:rsid w:val="34079DEB"/>
    <w:rsid w:val="34152792"/>
    <w:rsid w:val="341A0289"/>
    <w:rsid w:val="341AABA0"/>
    <w:rsid w:val="34264C3E"/>
    <w:rsid w:val="342FB881"/>
    <w:rsid w:val="34345D93"/>
    <w:rsid w:val="34415257"/>
    <w:rsid w:val="345423CB"/>
    <w:rsid w:val="3471076E"/>
    <w:rsid w:val="349C0F11"/>
    <w:rsid w:val="34A05109"/>
    <w:rsid w:val="34A3D8F2"/>
    <w:rsid w:val="34A9C1D0"/>
    <w:rsid w:val="34BA4EAB"/>
    <w:rsid w:val="34C6189D"/>
    <w:rsid w:val="34DD519A"/>
    <w:rsid w:val="34F2D7E2"/>
    <w:rsid w:val="34F7B645"/>
    <w:rsid w:val="34F97677"/>
    <w:rsid w:val="351AC216"/>
    <w:rsid w:val="3520B2E8"/>
    <w:rsid w:val="35359BD7"/>
    <w:rsid w:val="35892B6A"/>
    <w:rsid w:val="358C93F4"/>
    <w:rsid w:val="358EB129"/>
    <w:rsid w:val="3595F77D"/>
    <w:rsid w:val="359C2EAA"/>
    <w:rsid w:val="35A85C99"/>
    <w:rsid w:val="35BE63CC"/>
    <w:rsid w:val="35C02A47"/>
    <w:rsid w:val="35C5ACD8"/>
    <w:rsid w:val="35D2FC9F"/>
    <w:rsid w:val="35D5F2C7"/>
    <w:rsid w:val="35E5B646"/>
    <w:rsid w:val="35EC5C05"/>
    <w:rsid w:val="3640CFF0"/>
    <w:rsid w:val="364146CF"/>
    <w:rsid w:val="3648FBE9"/>
    <w:rsid w:val="364A972A"/>
    <w:rsid w:val="364E71B3"/>
    <w:rsid w:val="3658E1AE"/>
    <w:rsid w:val="36689113"/>
    <w:rsid w:val="366A0FF0"/>
    <w:rsid w:val="36762FA9"/>
    <w:rsid w:val="3682E83E"/>
    <w:rsid w:val="3694787E"/>
    <w:rsid w:val="36991E67"/>
    <w:rsid w:val="36AF7120"/>
    <w:rsid w:val="36B89A47"/>
    <w:rsid w:val="36BAFEA7"/>
    <w:rsid w:val="36E51530"/>
    <w:rsid w:val="370A52E7"/>
    <w:rsid w:val="3714CF0E"/>
    <w:rsid w:val="37270956"/>
    <w:rsid w:val="3733B6E6"/>
    <w:rsid w:val="373A7AFA"/>
    <w:rsid w:val="37423B10"/>
    <w:rsid w:val="374C3961"/>
    <w:rsid w:val="375A99F9"/>
    <w:rsid w:val="3765F544"/>
    <w:rsid w:val="37714191"/>
    <w:rsid w:val="377401E3"/>
    <w:rsid w:val="377E00B0"/>
    <w:rsid w:val="378AE3AA"/>
    <w:rsid w:val="379389E4"/>
    <w:rsid w:val="379464A9"/>
    <w:rsid w:val="37962F29"/>
    <w:rsid w:val="37D56810"/>
    <w:rsid w:val="37E22B05"/>
    <w:rsid w:val="37E9BC89"/>
    <w:rsid w:val="37FC3508"/>
    <w:rsid w:val="37FF1396"/>
    <w:rsid w:val="38158446"/>
    <w:rsid w:val="3837E4D1"/>
    <w:rsid w:val="3838D3E5"/>
    <w:rsid w:val="383A50ED"/>
    <w:rsid w:val="38465955"/>
    <w:rsid w:val="3854FBE5"/>
    <w:rsid w:val="385A7BCE"/>
    <w:rsid w:val="385BD69A"/>
    <w:rsid w:val="38699C32"/>
    <w:rsid w:val="3872371C"/>
    <w:rsid w:val="38749E00"/>
    <w:rsid w:val="388C1670"/>
    <w:rsid w:val="38B13996"/>
    <w:rsid w:val="38BDD4D1"/>
    <w:rsid w:val="38BF1324"/>
    <w:rsid w:val="38D4E5FE"/>
    <w:rsid w:val="38DB5F4E"/>
    <w:rsid w:val="38E2E57E"/>
    <w:rsid w:val="38E8C2DF"/>
    <w:rsid w:val="38F09006"/>
    <w:rsid w:val="38F573C9"/>
    <w:rsid w:val="39082CC2"/>
    <w:rsid w:val="391ED446"/>
    <w:rsid w:val="39220809"/>
    <w:rsid w:val="39306916"/>
    <w:rsid w:val="397F17B9"/>
    <w:rsid w:val="3985D0EC"/>
    <w:rsid w:val="39964334"/>
    <w:rsid w:val="399944A6"/>
    <w:rsid w:val="399B9385"/>
    <w:rsid w:val="399C5C12"/>
    <w:rsid w:val="399D8ECC"/>
    <w:rsid w:val="39CE18A4"/>
    <w:rsid w:val="39DDDF6B"/>
    <w:rsid w:val="39EDA528"/>
    <w:rsid w:val="39FC791C"/>
    <w:rsid w:val="39FCAC17"/>
    <w:rsid w:val="3A065DEE"/>
    <w:rsid w:val="3A253E51"/>
    <w:rsid w:val="3A2C68BB"/>
    <w:rsid w:val="3A36B9A9"/>
    <w:rsid w:val="3A3DAE67"/>
    <w:rsid w:val="3A42BB65"/>
    <w:rsid w:val="3A77D848"/>
    <w:rsid w:val="3A8E9A25"/>
    <w:rsid w:val="3A9BE179"/>
    <w:rsid w:val="3AA4A0CA"/>
    <w:rsid w:val="3AC586AF"/>
    <w:rsid w:val="3ADF13AC"/>
    <w:rsid w:val="3AE07802"/>
    <w:rsid w:val="3AE625AE"/>
    <w:rsid w:val="3AF9E956"/>
    <w:rsid w:val="3AFBBF60"/>
    <w:rsid w:val="3AFFD0CE"/>
    <w:rsid w:val="3B0B11F1"/>
    <w:rsid w:val="3B11E8C2"/>
    <w:rsid w:val="3B1E70F8"/>
    <w:rsid w:val="3B2AB6C1"/>
    <w:rsid w:val="3B2E5B73"/>
    <w:rsid w:val="3B393728"/>
    <w:rsid w:val="3B3D39CA"/>
    <w:rsid w:val="3B3E6DEB"/>
    <w:rsid w:val="3B3FB1A6"/>
    <w:rsid w:val="3B41BD30"/>
    <w:rsid w:val="3B4E351F"/>
    <w:rsid w:val="3B522789"/>
    <w:rsid w:val="3B7814AD"/>
    <w:rsid w:val="3BBA35EE"/>
    <w:rsid w:val="3BE67C9F"/>
    <w:rsid w:val="3BF1ACCF"/>
    <w:rsid w:val="3C015BB6"/>
    <w:rsid w:val="3C038C47"/>
    <w:rsid w:val="3C03F514"/>
    <w:rsid w:val="3C09C2F8"/>
    <w:rsid w:val="3C1C39D9"/>
    <w:rsid w:val="3C1DB89F"/>
    <w:rsid w:val="3C1FA26C"/>
    <w:rsid w:val="3C2F1DB0"/>
    <w:rsid w:val="3C49827C"/>
    <w:rsid w:val="3C5F53AC"/>
    <w:rsid w:val="3C6FE22B"/>
    <w:rsid w:val="3C8985EC"/>
    <w:rsid w:val="3C8E06F7"/>
    <w:rsid w:val="3C972527"/>
    <w:rsid w:val="3CACAEC1"/>
    <w:rsid w:val="3CCF83CD"/>
    <w:rsid w:val="3CD63DA0"/>
    <w:rsid w:val="3CDFD702"/>
    <w:rsid w:val="3CE3C291"/>
    <w:rsid w:val="3CE5A61B"/>
    <w:rsid w:val="3CE9F272"/>
    <w:rsid w:val="3CEC3DBC"/>
    <w:rsid w:val="3CF4E122"/>
    <w:rsid w:val="3D21F0FA"/>
    <w:rsid w:val="3D29AD05"/>
    <w:rsid w:val="3D2BF868"/>
    <w:rsid w:val="3D313044"/>
    <w:rsid w:val="3D34C38A"/>
    <w:rsid w:val="3D358384"/>
    <w:rsid w:val="3D3D305F"/>
    <w:rsid w:val="3D9A5BD1"/>
    <w:rsid w:val="3DA3EF61"/>
    <w:rsid w:val="3DB569B2"/>
    <w:rsid w:val="3DBF06FF"/>
    <w:rsid w:val="3DDDC2B9"/>
    <w:rsid w:val="3DEACF63"/>
    <w:rsid w:val="3DEB3566"/>
    <w:rsid w:val="3DEE4F58"/>
    <w:rsid w:val="3E2B76F1"/>
    <w:rsid w:val="3E57F929"/>
    <w:rsid w:val="3E68E036"/>
    <w:rsid w:val="3E6CA131"/>
    <w:rsid w:val="3E7464E0"/>
    <w:rsid w:val="3E7877C7"/>
    <w:rsid w:val="3E7E2E98"/>
    <w:rsid w:val="3E894159"/>
    <w:rsid w:val="3E8B9976"/>
    <w:rsid w:val="3E97B489"/>
    <w:rsid w:val="3E9A9CD6"/>
    <w:rsid w:val="3EA11836"/>
    <w:rsid w:val="3EA21540"/>
    <w:rsid w:val="3EBF6646"/>
    <w:rsid w:val="3EF72EA2"/>
    <w:rsid w:val="3EF75DAA"/>
    <w:rsid w:val="3EF9D2CE"/>
    <w:rsid w:val="3EFC9AF8"/>
    <w:rsid w:val="3F0318A3"/>
    <w:rsid w:val="3F0F2166"/>
    <w:rsid w:val="3F134095"/>
    <w:rsid w:val="3F167F0B"/>
    <w:rsid w:val="3F29A94D"/>
    <w:rsid w:val="3F2AAF6F"/>
    <w:rsid w:val="3F2F7F03"/>
    <w:rsid w:val="3F6178BE"/>
    <w:rsid w:val="3F6C4AAB"/>
    <w:rsid w:val="3F719297"/>
    <w:rsid w:val="3F7BF775"/>
    <w:rsid w:val="3F9A37CC"/>
    <w:rsid w:val="3F9B8660"/>
    <w:rsid w:val="3FA309D8"/>
    <w:rsid w:val="3FB04851"/>
    <w:rsid w:val="3FBAA4A5"/>
    <w:rsid w:val="3FC3EEB7"/>
    <w:rsid w:val="3FD565CB"/>
    <w:rsid w:val="3FDA7E43"/>
    <w:rsid w:val="3FE01430"/>
    <w:rsid w:val="3FEBF90C"/>
    <w:rsid w:val="3FF9A705"/>
    <w:rsid w:val="40098849"/>
    <w:rsid w:val="40099DB2"/>
    <w:rsid w:val="40220D2D"/>
    <w:rsid w:val="4030E24C"/>
    <w:rsid w:val="40418DE7"/>
    <w:rsid w:val="406DB4C4"/>
    <w:rsid w:val="407642D8"/>
    <w:rsid w:val="407F4266"/>
    <w:rsid w:val="407FB15E"/>
    <w:rsid w:val="40862175"/>
    <w:rsid w:val="408CA70A"/>
    <w:rsid w:val="4092BF75"/>
    <w:rsid w:val="409FA288"/>
    <w:rsid w:val="40E1097E"/>
    <w:rsid w:val="40E13731"/>
    <w:rsid w:val="40F3B7C5"/>
    <w:rsid w:val="40F55EBC"/>
    <w:rsid w:val="40FF28AA"/>
    <w:rsid w:val="4125161E"/>
    <w:rsid w:val="412F7026"/>
    <w:rsid w:val="41324F7A"/>
    <w:rsid w:val="4151DA21"/>
    <w:rsid w:val="415F29CB"/>
    <w:rsid w:val="41747A90"/>
    <w:rsid w:val="41804B2F"/>
    <w:rsid w:val="4192DFE1"/>
    <w:rsid w:val="419F39D3"/>
    <w:rsid w:val="41AD814A"/>
    <w:rsid w:val="41B39AB3"/>
    <w:rsid w:val="41E3057E"/>
    <w:rsid w:val="41E4E04C"/>
    <w:rsid w:val="4214E2E6"/>
    <w:rsid w:val="42194BD0"/>
    <w:rsid w:val="42203925"/>
    <w:rsid w:val="42266B84"/>
    <w:rsid w:val="422CAA86"/>
    <w:rsid w:val="42378F86"/>
    <w:rsid w:val="423BEED3"/>
    <w:rsid w:val="423D131E"/>
    <w:rsid w:val="428A9EEA"/>
    <w:rsid w:val="42A6EDD6"/>
    <w:rsid w:val="42A7EF7E"/>
    <w:rsid w:val="42B574F6"/>
    <w:rsid w:val="42C5FE8A"/>
    <w:rsid w:val="42E17114"/>
    <w:rsid w:val="42E279AB"/>
    <w:rsid w:val="42F182CB"/>
    <w:rsid w:val="42FE1C4F"/>
    <w:rsid w:val="42FE27C5"/>
    <w:rsid w:val="43052114"/>
    <w:rsid w:val="43265414"/>
    <w:rsid w:val="432A6F1E"/>
    <w:rsid w:val="43344BCF"/>
    <w:rsid w:val="4339A84E"/>
    <w:rsid w:val="43476453"/>
    <w:rsid w:val="4356DA4E"/>
    <w:rsid w:val="43589799"/>
    <w:rsid w:val="4392F76B"/>
    <w:rsid w:val="4398B44E"/>
    <w:rsid w:val="43A370E2"/>
    <w:rsid w:val="43AE425B"/>
    <w:rsid w:val="43B6CD6A"/>
    <w:rsid w:val="44075F69"/>
    <w:rsid w:val="4411AF76"/>
    <w:rsid w:val="44454AB2"/>
    <w:rsid w:val="444DB7CD"/>
    <w:rsid w:val="445D61CC"/>
    <w:rsid w:val="445D8B0E"/>
    <w:rsid w:val="445FB225"/>
    <w:rsid w:val="4467585A"/>
    <w:rsid w:val="446D2A3B"/>
    <w:rsid w:val="446E209E"/>
    <w:rsid w:val="447534C7"/>
    <w:rsid w:val="44850514"/>
    <w:rsid w:val="44858578"/>
    <w:rsid w:val="448732D0"/>
    <w:rsid w:val="44894415"/>
    <w:rsid w:val="448A44EB"/>
    <w:rsid w:val="44B3E5ED"/>
    <w:rsid w:val="44B6B14E"/>
    <w:rsid w:val="44BC9407"/>
    <w:rsid w:val="44C4AF38"/>
    <w:rsid w:val="44C5B141"/>
    <w:rsid w:val="44D0141E"/>
    <w:rsid w:val="44E3CFE8"/>
    <w:rsid w:val="44EFA563"/>
    <w:rsid w:val="44F6C380"/>
    <w:rsid w:val="44FD7D5C"/>
    <w:rsid w:val="450287DF"/>
    <w:rsid w:val="4507AB8A"/>
    <w:rsid w:val="450AEC44"/>
    <w:rsid w:val="451D82F2"/>
    <w:rsid w:val="451FD903"/>
    <w:rsid w:val="453C9EFA"/>
    <w:rsid w:val="4540A3A6"/>
    <w:rsid w:val="457C3A74"/>
    <w:rsid w:val="457E5DC1"/>
    <w:rsid w:val="45802E4A"/>
    <w:rsid w:val="4583332E"/>
    <w:rsid w:val="45A96057"/>
    <w:rsid w:val="45C36C5F"/>
    <w:rsid w:val="45CA3F81"/>
    <w:rsid w:val="45EB33A8"/>
    <w:rsid w:val="460637D1"/>
    <w:rsid w:val="460FB401"/>
    <w:rsid w:val="46113343"/>
    <w:rsid w:val="4664A78F"/>
    <w:rsid w:val="46832E66"/>
    <w:rsid w:val="46A94861"/>
    <w:rsid w:val="46AD6C2E"/>
    <w:rsid w:val="46CAE05F"/>
    <w:rsid w:val="46E0E452"/>
    <w:rsid w:val="470B798A"/>
    <w:rsid w:val="471FDC29"/>
    <w:rsid w:val="473800EE"/>
    <w:rsid w:val="47418CCB"/>
    <w:rsid w:val="47489CAB"/>
    <w:rsid w:val="47624B04"/>
    <w:rsid w:val="4769DC6E"/>
    <w:rsid w:val="477656D4"/>
    <w:rsid w:val="4796F6A4"/>
    <w:rsid w:val="47A19BDC"/>
    <w:rsid w:val="47BED2B5"/>
    <w:rsid w:val="47DD5553"/>
    <w:rsid w:val="47EAECCF"/>
    <w:rsid w:val="47EBE1F1"/>
    <w:rsid w:val="47F065E3"/>
    <w:rsid w:val="47F840BA"/>
    <w:rsid w:val="47FCFB6D"/>
    <w:rsid w:val="481C1A16"/>
    <w:rsid w:val="482488CC"/>
    <w:rsid w:val="4835F3B2"/>
    <w:rsid w:val="48390704"/>
    <w:rsid w:val="4870610E"/>
    <w:rsid w:val="488DB47F"/>
    <w:rsid w:val="4898230E"/>
    <w:rsid w:val="48AEF14F"/>
    <w:rsid w:val="48BA20BF"/>
    <w:rsid w:val="48BAA1AC"/>
    <w:rsid w:val="48DA3915"/>
    <w:rsid w:val="48DA45F3"/>
    <w:rsid w:val="490929BE"/>
    <w:rsid w:val="490CDEBF"/>
    <w:rsid w:val="4911E4A8"/>
    <w:rsid w:val="491A5CB7"/>
    <w:rsid w:val="492DFE8A"/>
    <w:rsid w:val="4951374B"/>
    <w:rsid w:val="49705E2E"/>
    <w:rsid w:val="498AEDF9"/>
    <w:rsid w:val="499AE158"/>
    <w:rsid w:val="49B6F6E8"/>
    <w:rsid w:val="49BDBD2B"/>
    <w:rsid w:val="49C5CAC3"/>
    <w:rsid w:val="49D7994B"/>
    <w:rsid w:val="4A143EF1"/>
    <w:rsid w:val="4A1E3CC1"/>
    <w:rsid w:val="4A1E6E70"/>
    <w:rsid w:val="4A47EABD"/>
    <w:rsid w:val="4A49B66F"/>
    <w:rsid w:val="4A5ADE94"/>
    <w:rsid w:val="4A606FF1"/>
    <w:rsid w:val="4A624180"/>
    <w:rsid w:val="4A656EA6"/>
    <w:rsid w:val="4A7875A8"/>
    <w:rsid w:val="4A7FF18B"/>
    <w:rsid w:val="4A8CC31D"/>
    <w:rsid w:val="4A99F2B1"/>
    <w:rsid w:val="4AAC0660"/>
    <w:rsid w:val="4AB130C7"/>
    <w:rsid w:val="4ABB2D57"/>
    <w:rsid w:val="4AC8AB99"/>
    <w:rsid w:val="4ACFDDFE"/>
    <w:rsid w:val="4AD049E1"/>
    <w:rsid w:val="4AEE0974"/>
    <w:rsid w:val="4B48970F"/>
    <w:rsid w:val="4B54F64C"/>
    <w:rsid w:val="4B589BF6"/>
    <w:rsid w:val="4B6B67D7"/>
    <w:rsid w:val="4B7986C3"/>
    <w:rsid w:val="4B8002C2"/>
    <w:rsid w:val="4B97A6E8"/>
    <w:rsid w:val="4BC42044"/>
    <w:rsid w:val="4BC5B320"/>
    <w:rsid w:val="4BC816F9"/>
    <w:rsid w:val="4BCF33A9"/>
    <w:rsid w:val="4BED1291"/>
    <w:rsid w:val="4C164EB3"/>
    <w:rsid w:val="4C1D9634"/>
    <w:rsid w:val="4C317F3C"/>
    <w:rsid w:val="4C374B6F"/>
    <w:rsid w:val="4C4C2CF8"/>
    <w:rsid w:val="4C4D9874"/>
    <w:rsid w:val="4C52E3EB"/>
    <w:rsid w:val="4C55D2A7"/>
    <w:rsid w:val="4C588BEE"/>
    <w:rsid w:val="4C8D1017"/>
    <w:rsid w:val="4C989E97"/>
    <w:rsid w:val="4CA242F5"/>
    <w:rsid w:val="4CA2E50F"/>
    <w:rsid w:val="4CBB6A50"/>
    <w:rsid w:val="4CD35312"/>
    <w:rsid w:val="4CE8374C"/>
    <w:rsid w:val="4D439D91"/>
    <w:rsid w:val="4D44F965"/>
    <w:rsid w:val="4D50C43C"/>
    <w:rsid w:val="4D54C76E"/>
    <w:rsid w:val="4D5DF63E"/>
    <w:rsid w:val="4D6FA875"/>
    <w:rsid w:val="4D7D2387"/>
    <w:rsid w:val="4D7E49E5"/>
    <w:rsid w:val="4D9174B9"/>
    <w:rsid w:val="4D920536"/>
    <w:rsid w:val="4D973F50"/>
    <w:rsid w:val="4DABDF68"/>
    <w:rsid w:val="4DC67B28"/>
    <w:rsid w:val="4DCB325A"/>
    <w:rsid w:val="4DD87C8A"/>
    <w:rsid w:val="4DF468DD"/>
    <w:rsid w:val="4E0DAB03"/>
    <w:rsid w:val="4E0F2B91"/>
    <w:rsid w:val="4E18B62F"/>
    <w:rsid w:val="4E275B93"/>
    <w:rsid w:val="4E3A069F"/>
    <w:rsid w:val="4E49302F"/>
    <w:rsid w:val="4E4A5F48"/>
    <w:rsid w:val="4E5FA6DB"/>
    <w:rsid w:val="4E7BEF71"/>
    <w:rsid w:val="4E9A1163"/>
    <w:rsid w:val="4EA766ED"/>
    <w:rsid w:val="4ED643D1"/>
    <w:rsid w:val="4EDC4D8C"/>
    <w:rsid w:val="4EF7A5B9"/>
    <w:rsid w:val="4F1D5BA9"/>
    <w:rsid w:val="4F208591"/>
    <w:rsid w:val="4F502633"/>
    <w:rsid w:val="4F522D41"/>
    <w:rsid w:val="4F544C33"/>
    <w:rsid w:val="4F5FA92D"/>
    <w:rsid w:val="4F6DC9FE"/>
    <w:rsid w:val="4F834539"/>
    <w:rsid w:val="4F93265F"/>
    <w:rsid w:val="4FC1D5E4"/>
    <w:rsid w:val="4FD6362D"/>
    <w:rsid w:val="4FE0F1F1"/>
    <w:rsid w:val="500E7BCE"/>
    <w:rsid w:val="50218171"/>
    <w:rsid w:val="502BB698"/>
    <w:rsid w:val="50441E14"/>
    <w:rsid w:val="50647C19"/>
    <w:rsid w:val="5065A4E8"/>
    <w:rsid w:val="5069DD2A"/>
    <w:rsid w:val="506D1CEB"/>
    <w:rsid w:val="50876420"/>
    <w:rsid w:val="5095BCE1"/>
    <w:rsid w:val="509DF62F"/>
    <w:rsid w:val="50A42125"/>
    <w:rsid w:val="50A75B1B"/>
    <w:rsid w:val="50D69986"/>
    <w:rsid w:val="50DF69B7"/>
    <w:rsid w:val="5108B41A"/>
    <w:rsid w:val="510F96BE"/>
    <w:rsid w:val="51154EFA"/>
    <w:rsid w:val="51209071"/>
    <w:rsid w:val="5125EBD4"/>
    <w:rsid w:val="5152BBE9"/>
    <w:rsid w:val="51657EAE"/>
    <w:rsid w:val="51707174"/>
    <w:rsid w:val="517DCF31"/>
    <w:rsid w:val="51B19F49"/>
    <w:rsid w:val="51B2D447"/>
    <w:rsid w:val="51EB04B2"/>
    <w:rsid w:val="51ED4540"/>
    <w:rsid w:val="51ED524D"/>
    <w:rsid w:val="520D879E"/>
    <w:rsid w:val="523C49E6"/>
    <w:rsid w:val="5274C5CF"/>
    <w:rsid w:val="52759644"/>
    <w:rsid w:val="52909BC0"/>
    <w:rsid w:val="5294A1DC"/>
    <w:rsid w:val="529957E2"/>
    <w:rsid w:val="52ACB2EE"/>
    <w:rsid w:val="52B94017"/>
    <w:rsid w:val="52C2F195"/>
    <w:rsid w:val="52DC7CAF"/>
    <w:rsid w:val="53068A51"/>
    <w:rsid w:val="5313CD5E"/>
    <w:rsid w:val="53164BB9"/>
    <w:rsid w:val="53333706"/>
    <w:rsid w:val="53355AC7"/>
    <w:rsid w:val="534382C1"/>
    <w:rsid w:val="5364E197"/>
    <w:rsid w:val="5375FCE8"/>
    <w:rsid w:val="53762C8F"/>
    <w:rsid w:val="539BA4D9"/>
    <w:rsid w:val="53B0ED10"/>
    <w:rsid w:val="53B18B10"/>
    <w:rsid w:val="53BF8D54"/>
    <w:rsid w:val="53EEF53E"/>
    <w:rsid w:val="53F5A0BE"/>
    <w:rsid w:val="54041369"/>
    <w:rsid w:val="54603FD4"/>
    <w:rsid w:val="546A8EEC"/>
    <w:rsid w:val="547B2489"/>
    <w:rsid w:val="54953288"/>
    <w:rsid w:val="54988E26"/>
    <w:rsid w:val="54A6C35E"/>
    <w:rsid w:val="54BCF316"/>
    <w:rsid w:val="54D4F9EB"/>
    <w:rsid w:val="54E45216"/>
    <w:rsid w:val="54E7308F"/>
    <w:rsid w:val="54FCEB14"/>
    <w:rsid w:val="5510C02A"/>
    <w:rsid w:val="5518C7BA"/>
    <w:rsid w:val="552EF712"/>
    <w:rsid w:val="553043F3"/>
    <w:rsid w:val="55781480"/>
    <w:rsid w:val="558286B2"/>
    <w:rsid w:val="558DD03D"/>
    <w:rsid w:val="55922898"/>
    <w:rsid w:val="55A120FE"/>
    <w:rsid w:val="55A934C4"/>
    <w:rsid w:val="55C65816"/>
    <w:rsid w:val="55D15052"/>
    <w:rsid w:val="55DEB102"/>
    <w:rsid w:val="55FBC359"/>
    <w:rsid w:val="5603E1A3"/>
    <w:rsid w:val="5604B6BC"/>
    <w:rsid w:val="560D24B8"/>
    <w:rsid w:val="560E88DE"/>
    <w:rsid w:val="561B710A"/>
    <w:rsid w:val="56562CC4"/>
    <w:rsid w:val="565F666B"/>
    <w:rsid w:val="5676643C"/>
    <w:rsid w:val="569092A2"/>
    <w:rsid w:val="5697459E"/>
    <w:rsid w:val="56A1293E"/>
    <w:rsid w:val="56AF2D85"/>
    <w:rsid w:val="56BF5687"/>
    <w:rsid w:val="56CA3147"/>
    <w:rsid w:val="56CC9852"/>
    <w:rsid w:val="57013B18"/>
    <w:rsid w:val="57026CC7"/>
    <w:rsid w:val="5758DB22"/>
    <w:rsid w:val="57611660"/>
    <w:rsid w:val="577BE995"/>
    <w:rsid w:val="57B4FB5E"/>
    <w:rsid w:val="57C26D09"/>
    <w:rsid w:val="57C9DA06"/>
    <w:rsid w:val="57FC78A7"/>
    <w:rsid w:val="5806FD94"/>
    <w:rsid w:val="58084E10"/>
    <w:rsid w:val="5810BEF3"/>
    <w:rsid w:val="58166B10"/>
    <w:rsid w:val="5816A9A6"/>
    <w:rsid w:val="58177226"/>
    <w:rsid w:val="583422D5"/>
    <w:rsid w:val="584CA27D"/>
    <w:rsid w:val="585D9A5A"/>
    <w:rsid w:val="58614E2E"/>
    <w:rsid w:val="58689227"/>
    <w:rsid w:val="58731DD6"/>
    <w:rsid w:val="588A2D57"/>
    <w:rsid w:val="589C6D71"/>
    <w:rsid w:val="589F39BC"/>
    <w:rsid w:val="58BDA623"/>
    <w:rsid w:val="58C3C612"/>
    <w:rsid w:val="58DAAC0E"/>
    <w:rsid w:val="58DD238D"/>
    <w:rsid w:val="58DEFF1A"/>
    <w:rsid w:val="58E8A1BC"/>
    <w:rsid w:val="58FCB5FD"/>
    <w:rsid w:val="58FEF23E"/>
    <w:rsid w:val="592518B1"/>
    <w:rsid w:val="59267F4F"/>
    <w:rsid w:val="5936C8D4"/>
    <w:rsid w:val="59579900"/>
    <w:rsid w:val="595AEF4F"/>
    <w:rsid w:val="595D475F"/>
    <w:rsid w:val="59703B2E"/>
    <w:rsid w:val="59745EC1"/>
    <w:rsid w:val="59796676"/>
    <w:rsid w:val="597E9549"/>
    <w:rsid w:val="59CCA4DF"/>
    <w:rsid w:val="5A01E66F"/>
    <w:rsid w:val="5A045463"/>
    <w:rsid w:val="5A06D98C"/>
    <w:rsid w:val="5A0AB241"/>
    <w:rsid w:val="5A1CCB9F"/>
    <w:rsid w:val="5A27292B"/>
    <w:rsid w:val="5A509FC4"/>
    <w:rsid w:val="5A569FDF"/>
    <w:rsid w:val="5A5F99C8"/>
    <w:rsid w:val="5A62CBDC"/>
    <w:rsid w:val="5A69BE34"/>
    <w:rsid w:val="5A6B5F16"/>
    <w:rsid w:val="5A9F41D8"/>
    <w:rsid w:val="5AA4C5C8"/>
    <w:rsid w:val="5AB3D330"/>
    <w:rsid w:val="5AB49E42"/>
    <w:rsid w:val="5AD194DA"/>
    <w:rsid w:val="5B018CC1"/>
    <w:rsid w:val="5B06EE91"/>
    <w:rsid w:val="5B08D4B9"/>
    <w:rsid w:val="5B1A7FF2"/>
    <w:rsid w:val="5B1CEF39"/>
    <w:rsid w:val="5B1E5586"/>
    <w:rsid w:val="5B2EC16F"/>
    <w:rsid w:val="5B5664EE"/>
    <w:rsid w:val="5B7AA63F"/>
    <w:rsid w:val="5B87A019"/>
    <w:rsid w:val="5BA12133"/>
    <w:rsid w:val="5BB5A5A9"/>
    <w:rsid w:val="5BD3AA44"/>
    <w:rsid w:val="5BDE5B00"/>
    <w:rsid w:val="5C2A2132"/>
    <w:rsid w:val="5C43ACD3"/>
    <w:rsid w:val="5C4C79CE"/>
    <w:rsid w:val="5C56C19D"/>
    <w:rsid w:val="5C85B956"/>
    <w:rsid w:val="5CA49914"/>
    <w:rsid w:val="5CA4BC63"/>
    <w:rsid w:val="5CB872B2"/>
    <w:rsid w:val="5CBF3D3C"/>
    <w:rsid w:val="5CC4C87D"/>
    <w:rsid w:val="5CCEF3DE"/>
    <w:rsid w:val="5CE27041"/>
    <w:rsid w:val="5D000948"/>
    <w:rsid w:val="5D0627FC"/>
    <w:rsid w:val="5D18C4DA"/>
    <w:rsid w:val="5D20518F"/>
    <w:rsid w:val="5D22A1E8"/>
    <w:rsid w:val="5D27BBDC"/>
    <w:rsid w:val="5D2B5B35"/>
    <w:rsid w:val="5D42F84B"/>
    <w:rsid w:val="5D4DE9E1"/>
    <w:rsid w:val="5D5EF487"/>
    <w:rsid w:val="5D60EF40"/>
    <w:rsid w:val="5D703CEB"/>
    <w:rsid w:val="5D7413B4"/>
    <w:rsid w:val="5D837829"/>
    <w:rsid w:val="5D91E7E8"/>
    <w:rsid w:val="5D9484EB"/>
    <w:rsid w:val="5DA09139"/>
    <w:rsid w:val="5DA4481C"/>
    <w:rsid w:val="5DBA0B2E"/>
    <w:rsid w:val="5DCB3485"/>
    <w:rsid w:val="5DD42B10"/>
    <w:rsid w:val="5DF0479F"/>
    <w:rsid w:val="5E0DA938"/>
    <w:rsid w:val="5E18AEC5"/>
    <w:rsid w:val="5E1FF06F"/>
    <w:rsid w:val="5E26E56C"/>
    <w:rsid w:val="5E2A4FAF"/>
    <w:rsid w:val="5E2A50E0"/>
    <w:rsid w:val="5E2DD935"/>
    <w:rsid w:val="5E30C22A"/>
    <w:rsid w:val="5E4B3322"/>
    <w:rsid w:val="5E62641F"/>
    <w:rsid w:val="5E69C661"/>
    <w:rsid w:val="5E79F970"/>
    <w:rsid w:val="5E86CA21"/>
    <w:rsid w:val="5E8B6DEA"/>
    <w:rsid w:val="5EA5AD5B"/>
    <w:rsid w:val="5EB2F26D"/>
    <w:rsid w:val="5EBFBD08"/>
    <w:rsid w:val="5EC50631"/>
    <w:rsid w:val="5ED27314"/>
    <w:rsid w:val="5EDFFB97"/>
    <w:rsid w:val="5EF2AC19"/>
    <w:rsid w:val="5EF6FD4C"/>
    <w:rsid w:val="5EFBD8F6"/>
    <w:rsid w:val="5EFCD7B7"/>
    <w:rsid w:val="5EFEB9D0"/>
    <w:rsid w:val="5F0BF5AD"/>
    <w:rsid w:val="5F2EC932"/>
    <w:rsid w:val="5F3DF264"/>
    <w:rsid w:val="5F591439"/>
    <w:rsid w:val="5F61D781"/>
    <w:rsid w:val="5F7AFAE3"/>
    <w:rsid w:val="5F7EC028"/>
    <w:rsid w:val="5F8F1B55"/>
    <w:rsid w:val="5F9A69BD"/>
    <w:rsid w:val="5F9ABDCD"/>
    <w:rsid w:val="5FBD8EBA"/>
    <w:rsid w:val="5FC5E45F"/>
    <w:rsid w:val="5FDE463F"/>
    <w:rsid w:val="5FF0DB75"/>
    <w:rsid w:val="5FFC0352"/>
    <w:rsid w:val="5FFE6879"/>
    <w:rsid w:val="5FFFA4A9"/>
    <w:rsid w:val="601CED1A"/>
    <w:rsid w:val="602C44BB"/>
    <w:rsid w:val="603C33E8"/>
    <w:rsid w:val="6049F64F"/>
    <w:rsid w:val="605D2448"/>
    <w:rsid w:val="6061E799"/>
    <w:rsid w:val="607A294F"/>
    <w:rsid w:val="60930B2D"/>
    <w:rsid w:val="60989394"/>
    <w:rsid w:val="609F266A"/>
    <w:rsid w:val="60A81B12"/>
    <w:rsid w:val="60AAE6F6"/>
    <w:rsid w:val="60BE2208"/>
    <w:rsid w:val="60C14158"/>
    <w:rsid w:val="60C77919"/>
    <w:rsid w:val="60F61C2B"/>
    <w:rsid w:val="61163A33"/>
    <w:rsid w:val="6147F180"/>
    <w:rsid w:val="616A75F5"/>
    <w:rsid w:val="6178AACA"/>
    <w:rsid w:val="6179BC86"/>
    <w:rsid w:val="617CCC55"/>
    <w:rsid w:val="61A934DE"/>
    <w:rsid w:val="61B177CE"/>
    <w:rsid w:val="61CA0B79"/>
    <w:rsid w:val="61D17429"/>
    <w:rsid w:val="61D691AA"/>
    <w:rsid w:val="61E3C889"/>
    <w:rsid w:val="61F78B64"/>
    <w:rsid w:val="61F86F09"/>
    <w:rsid w:val="6206B917"/>
    <w:rsid w:val="620A9C38"/>
    <w:rsid w:val="6215AE8B"/>
    <w:rsid w:val="621F6FBE"/>
    <w:rsid w:val="622210FD"/>
    <w:rsid w:val="62274CCE"/>
    <w:rsid w:val="622FA808"/>
    <w:rsid w:val="6235AD7B"/>
    <w:rsid w:val="625A7D34"/>
    <w:rsid w:val="62663864"/>
    <w:rsid w:val="62753ED0"/>
    <w:rsid w:val="627855C5"/>
    <w:rsid w:val="6288973A"/>
    <w:rsid w:val="628CB13D"/>
    <w:rsid w:val="629FB7D9"/>
    <w:rsid w:val="62D54F00"/>
    <w:rsid w:val="62EA64D2"/>
    <w:rsid w:val="63079444"/>
    <w:rsid w:val="6310CA67"/>
    <w:rsid w:val="631C20DA"/>
    <w:rsid w:val="6350B682"/>
    <w:rsid w:val="635897BF"/>
    <w:rsid w:val="635A5B22"/>
    <w:rsid w:val="6375AB76"/>
    <w:rsid w:val="6377908A"/>
    <w:rsid w:val="63BDADDB"/>
    <w:rsid w:val="63CD7BF5"/>
    <w:rsid w:val="63F4755B"/>
    <w:rsid w:val="64155DBB"/>
    <w:rsid w:val="641E100A"/>
    <w:rsid w:val="6428FF32"/>
    <w:rsid w:val="642B2AE8"/>
    <w:rsid w:val="6433A791"/>
    <w:rsid w:val="6440F4C8"/>
    <w:rsid w:val="6443BCD4"/>
    <w:rsid w:val="64641ABC"/>
    <w:rsid w:val="646726CD"/>
    <w:rsid w:val="647E8512"/>
    <w:rsid w:val="648DDAF2"/>
    <w:rsid w:val="64969E98"/>
    <w:rsid w:val="6497DA4E"/>
    <w:rsid w:val="64AF9029"/>
    <w:rsid w:val="64E782C3"/>
    <w:rsid w:val="65145752"/>
    <w:rsid w:val="65175AB6"/>
    <w:rsid w:val="652A53C6"/>
    <w:rsid w:val="654C7DB6"/>
    <w:rsid w:val="655DF5AC"/>
    <w:rsid w:val="6560D44E"/>
    <w:rsid w:val="65638F28"/>
    <w:rsid w:val="6569BF18"/>
    <w:rsid w:val="6589B0FE"/>
    <w:rsid w:val="659AB285"/>
    <w:rsid w:val="65AA3675"/>
    <w:rsid w:val="65C01BE4"/>
    <w:rsid w:val="65C3D018"/>
    <w:rsid w:val="65C739D5"/>
    <w:rsid w:val="65C87F3B"/>
    <w:rsid w:val="65CCB172"/>
    <w:rsid w:val="65D2D6E0"/>
    <w:rsid w:val="660292C1"/>
    <w:rsid w:val="6604132F"/>
    <w:rsid w:val="6608C3CF"/>
    <w:rsid w:val="66220240"/>
    <w:rsid w:val="66468E70"/>
    <w:rsid w:val="664DC857"/>
    <w:rsid w:val="665FDC77"/>
    <w:rsid w:val="666E6A86"/>
    <w:rsid w:val="66724AEA"/>
    <w:rsid w:val="667FE64F"/>
    <w:rsid w:val="66882A37"/>
    <w:rsid w:val="668A708D"/>
    <w:rsid w:val="669E4F58"/>
    <w:rsid w:val="66B8D4AF"/>
    <w:rsid w:val="66BB20C2"/>
    <w:rsid w:val="66D1FE8F"/>
    <w:rsid w:val="671E1F17"/>
    <w:rsid w:val="67397FFC"/>
    <w:rsid w:val="67398BCA"/>
    <w:rsid w:val="675E9153"/>
    <w:rsid w:val="67931E16"/>
    <w:rsid w:val="6796248B"/>
    <w:rsid w:val="67B1316B"/>
    <w:rsid w:val="67BFD742"/>
    <w:rsid w:val="67F27344"/>
    <w:rsid w:val="67FA122C"/>
    <w:rsid w:val="680E3BA5"/>
    <w:rsid w:val="68138E5F"/>
    <w:rsid w:val="6822453A"/>
    <w:rsid w:val="682D8A94"/>
    <w:rsid w:val="682F1E72"/>
    <w:rsid w:val="68552EC6"/>
    <w:rsid w:val="685CFFAC"/>
    <w:rsid w:val="685EF77B"/>
    <w:rsid w:val="686734A6"/>
    <w:rsid w:val="686C078D"/>
    <w:rsid w:val="686EAEE8"/>
    <w:rsid w:val="68749C80"/>
    <w:rsid w:val="687C27D6"/>
    <w:rsid w:val="6884D962"/>
    <w:rsid w:val="688E6831"/>
    <w:rsid w:val="68922789"/>
    <w:rsid w:val="689A6099"/>
    <w:rsid w:val="689EECF0"/>
    <w:rsid w:val="68A149EC"/>
    <w:rsid w:val="68A8B7A3"/>
    <w:rsid w:val="68AC7F5C"/>
    <w:rsid w:val="68AF17F6"/>
    <w:rsid w:val="68AFFAEC"/>
    <w:rsid w:val="68BED7A9"/>
    <w:rsid w:val="68C73A43"/>
    <w:rsid w:val="68CE8004"/>
    <w:rsid w:val="68E12CE0"/>
    <w:rsid w:val="69089ACD"/>
    <w:rsid w:val="6910C9C1"/>
    <w:rsid w:val="6915FF4F"/>
    <w:rsid w:val="69213379"/>
    <w:rsid w:val="692E87EA"/>
    <w:rsid w:val="6966000E"/>
    <w:rsid w:val="69703652"/>
    <w:rsid w:val="697DD091"/>
    <w:rsid w:val="69A9021D"/>
    <w:rsid w:val="69AB2AB8"/>
    <w:rsid w:val="69AE61AE"/>
    <w:rsid w:val="69C52F8C"/>
    <w:rsid w:val="69CF4005"/>
    <w:rsid w:val="69F673FD"/>
    <w:rsid w:val="6A0FC112"/>
    <w:rsid w:val="6A104BEB"/>
    <w:rsid w:val="6A21E8CF"/>
    <w:rsid w:val="6A398088"/>
    <w:rsid w:val="6A494DEF"/>
    <w:rsid w:val="6A52A26D"/>
    <w:rsid w:val="6A5F713F"/>
    <w:rsid w:val="6A695385"/>
    <w:rsid w:val="6A6B9EB0"/>
    <w:rsid w:val="6A7D9E9C"/>
    <w:rsid w:val="6A84AC86"/>
    <w:rsid w:val="6A863A0A"/>
    <w:rsid w:val="6A8AB18F"/>
    <w:rsid w:val="6A951F63"/>
    <w:rsid w:val="6AED253A"/>
    <w:rsid w:val="6AFC9DF8"/>
    <w:rsid w:val="6B0CAA9F"/>
    <w:rsid w:val="6B22ADCE"/>
    <w:rsid w:val="6B31EAEE"/>
    <w:rsid w:val="6B387303"/>
    <w:rsid w:val="6B67BB28"/>
    <w:rsid w:val="6B7B30F9"/>
    <w:rsid w:val="6B7F1454"/>
    <w:rsid w:val="6B8C456A"/>
    <w:rsid w:val="6B9B0DC9"/>
    <w:rsid w:val="6BADCDE5"/>
    <w:rsid w:val="6BBF1456"/>
    <w:rsid w:val="6BC4FC8C"/>
    <w:rsid w:val="6BCDE3C7"/>
    <w:rsid w:val="6BD0B720"/>
    <w:rsid w:val="6BD411C0"/>
    <w:rsid w:val="6BDC8586"/>
    <w:rsid w:val="6BE136A7"/>
    <w:rsid w:val="6C0854C8"/>
    <w:rsid w:val="6C0859AF"/>
    <w:rsid w:val="6C1837EF"/>
    <w:rsid w:val="6C25D823"/>
    <w:rsid w:val="6C26DDE4"/>
    <w:rsid w:val="6C480103"/>
    <w:rsid w:val="6C4DBEBC"/>
    <w:rsid w:val="6C505C45"/>
    <w:rsid w:val="6C53A68D"/>
    <w:rsid w:val="6C631F08"/>
    <w:rsid w:val="6C6ACAE3"/>
    <w:rsid w:val="6C71E504"/>
    <w:rsid w:val="6C7E8E7A"/>
    <w:rsid w:val="6CA7BFFF"/>
    <w:rsid w:val="6CB58DB9"/>
    <w:rsid w:val="6CC4A40F"/>
    <w:rsid w:val="6CD819A8"/>
    <w:rsid w:val="6CF886F0"/>
    <w:rsid w:val="6CFC6EF8"/>
    <w:rsid w:val="6D005321"/>
    <w:rsid w:val="6D06A0D2"/>
    <w:rsid w:val="6D0742DC"/>
    <w:rsid w:val="6D214761"/>
    <w:rsid w:val="6D2C427E"/>
    <w:rsid w:val="6D3F5E84"/>
    <w:rsid w:val="6D483EA6"/>
    <w:rsid w:val="6D4E0EAC"/>
    <w:rsid w:val="6D53A14A"/>
    <w:rsid w:val="6D8B2842"/>
    <w:rsid w:val="6D946F69"/>
    <w:rsid w:val="6DA3F793"/>
    <w:rsid w:val="6DB6B1BA"/>
    <w:rsid w:val="6DBB8F44"/>
    <w:rsid w:val="6DCD7EDB"/>
    <w:rsid w:val="6DD9F3C6"/>
    <w:rsid w:val="6DE268AD"/>
    <w:rsid w:val="6DE36278"/>
    <w:rsid w:val="6DEEC885"/>
    <w:rsid w:val="6E48688B"/>
    <w:rsid w:val="6E5B3F34"/>
    <w:rsid w:val="6E7495A6"/>
    <w:rsid w:val="6E79134D"/>
    <w:rsid w:val="6E8CD4BF"/>
    <w:rsid w:val="6E9C38D1"/>
    <w:rsid w:val="6EBCF6D6"/>
    <w:rsid w:val="6EC26A44"/>
    <w:rsid w:val="6EED1F75"/>
    <w:rsid w:val="6F1A90F3"/>
    <w:rsid w:val="6F1AF570"/>
    <w:rsid w:val="6F1DF2C2"/>
    <w:rsid w:val="6F204B6B"/>
    <w:rsid w:val="6F306EB6"/>
    <w:rsid w:val="6F335541"/>
    <w:rsid w:val="6F3F4928"/>
    <w:rsid w:val="6F52E429"/>
    <w:rsid w:val="6F56347A"/>
    <w:rsid w:val="6F5DE4FA"/>
    <w:rsid w:val="6F6C8B05"/>
    <w:rsid w:val="6FA6BB6A"/>
    <w:rsid w:val="6FBAFD3A"/>
    <w:rsid w:val="6FC4AA1A"/>
    <w:rsid w:val="7043316C"/>
    <w:rsid w:val="705AC584"/>
    <w:rsid w:val="70668EA8"/>
    <w:rsid w:val="706A0794"/>
    <w:rsid w:val="7091D91F"/>
    <w:rsid w:val="70AADEB6"/>
    <w:rsid w:val="70B68A3C"/>
    <w:rsid w:val="70D805AD"/>
    <w:rsid w:val="70E56BD1"/>
    <w:rsid w:val="70F54B01"/>
    <w:rsid w:val="711872BA"/>
    <w:rsid w:val="7121FBF0"/>
    <w:rsid w:val="71322271"/>
    <w:rsid w:val="713772EA"/>
    <w:rsid w:val="7146FE69"/>
    <w:rsid w:val="71488C76"/>
    <w:rsid w:val="714C7C6A"/>
    <w:rsid w:val="7158E2C3"/>
    <w:rsid w:val="7163764F"/>
    <w:rsid w:val="716976F2"/>
    <w:rsid w:val="7181BDCB"/>
    <w:rsid w:val="71865CE4"/>
    <w:rsid w:val="71992351"/>
    <w:rsid w:val="719A520C"/>
    <w:rsid w:val="719F5B37"/>
    <w:rsid w:val="71A12532"/>
    <w:rsid w:val="71BA40D9"/>
    <w:rsid w:val="71BCC8A7"/>
    <w:rsid w:val="71D5E9C2"/>
    <w:rsid w:val="71E045BE"/>
    <w:rsid w:val="72039C7A"/>
    <w:rsid w:val="72142D46"/>
    <w:rsid w:val="721837FF"/>
    <w:rsid w:val="7221D6FB"/>
    <w:rsid w:val="7234B2A5"/>
    <w:rsid w:val="72586457"/>
    <w:rsid w:val="727583F7"/>
    <w:rsid w:val="728438E8"/>
    <w:rsid w:val="728DE1FC"/>
    <w:rsid w:val="7292A0F5"/>
    <w:rsid w:val="729EF873"/>
    <w:rsid w:val="72AF69C5"/>
    <w:rsid w:val="72B4411E"/>
    <w:rsid w:val="72E7186A"/>
    <w:rsid w:val="72F3AFDE"/>
    <w:rsid w:val="72F5F381"/>
    <w:rsid w:val="72FD4309"/>
    <w:rsid w:val="730CD3F2"/>
    <w:rsid w:val="7328C872"/>
    <w:rsid w:val="732E84F8"/>
    <w:rsid w:val="73504FB1"/>
    <w:rsid w:val="73516AEE"/>
    <w:rsid w:val="735F54B2"/>
    <w:rsid w:val="738B3F74"/>
    <w:rsid w:val="73CE5EF5"/>
    <w:rsid w:val="73E949CB"/>
    <w:rsid w:val="73F75CBF"/>
    <w:rsid w:val="7419C16D"/>
    <w:rsid w:val="743A36B4"/>
    <w:rsid w:val="74431582"/>
    <w:rsid w:val="74481D49"/>
    <w:rsid w:val="7475C307"/>
    <w:rsid w:val="74833809"/>
    <w:rsid w:val="748F3BA2"/>
    <w:rsid w:val="7491FCEE"/>
    <w:rsid w:val="7494F621"/>
    <w:rsid w:val="749CC453"/>
    <w:rsid w:val="74AE5DD8"/>
    <w:rsid w:val="74C363DA"/>
    <w:rsid w:val="74F6E65B"/>
    <w:rsid w:val="75222015"/>
    <w:rsid w:val="752DC011"/>
    <w:rsid w:val="75354FC3"/>
    <w:rsid w:val="753CBFBE"/>
    <w:rsid w:val="75494631"/>
    <w:rsid w:val="757FC003"/>
    <w:rsid w:val="75ACF0EF"/>
    <w:rsid w:val="75C4BA3D"/>
    <w:rsid w:val="75C50DF4"/>
    <w:rsid w:val="75C74FA5"/>
    <w:rsid w:val="75CA4A49"/>
    <w:rsid w:val="75EAD760"/>
    <w:rsid w:val="75ECBD17"/>
    <w:rsid w:val="75F88CAE"/>
    <w:rsid w:val="760278FC"/>
    <w:rsid w:val="760AA2C3"/>
    <w:rsid w:val="760DDE30"/>
    <w:rsid w:val="761ED23B"/>
    <w:rsid w:val="762FDADE"/>
    <w:rsid w:val="763C9117"/>
    <w:rsid w:val="763E54A9"/>
    <w:rsid w:val="766C8264"/>
    <w:rsid w:val="766CF64B"/>
    <w:rsid w:val="768C7A72"/>
    <w:rsid w:val="76949444"/>
    <w:rsid w:val="76985224"/>
    <w:rsid w:val="76A3270E"/>
    <w:rsid w:val="76B2046B"/>
    <w:rsid w:val="76B9CCCD"/>
    <w:rsid w:val="76BB2316"/>
    <w:rsid w:val="7700D225"/>
    <w:rsid w:val="771014C8"/>
    <w:rsid w:val="773EF620"/>
    <w:rsid w:val="775EC0F5"/>
    <w:rsid w:val="776761EA"/>
    <w:rsid w:val="778AF77A"/>
    <w:rsid w:val="77A1B734"/>
    <w:rsid w:val="77A2D22E"/>
    <w:rsid w:val="77F4A668"/>
    <w:rsid w:val="77FC8D28"/>
    <w:rsid w:val="78195661"/>
    <w:rsid w:val="782A5A7A"/>
    <w:rsid w:val="7833884C"/>
    <w:rsid w:val="7853D031"/>
    <w:rsid w:val="787FB54E"/>
    <w:rsid w:val="788353C1"/>
    <w:rsid w:val="7895A440"/>
    <w:rsid w:val="7899E6EE"/>
    <w:rsid w:val="789FC92C"/>
    <w:rsid w:val="78A10236"/>
    <w:rsid w:val="78A16FA9"/>
    <w:rsid w:val="78BD1A9F"/>
    <w:rsid w:val="78D7EE51"/>
    <w:rsid w:val="78DE6595"/>
    <w:rsid w:val="78EB45A3"/>
    <w:rsid w:val="78EEE618"/>
    <w:rsid w:val="790A92F4"/>
    <w:rsid w:val="791028BE"/>
    <w:rsid w:val="79189B6F"/>
    <w:rsid w:val="792B3197"/>
    <w:rsid w:val="795C6C14"/>
    <w:rsid w:val="7962FBD5"/>
    <w:rsid w:val="796F0FEF"/>
    <w:rsid w:val="79843938"/>
    <w:rsid w:val="7989A7A8"/>
    <w:rsid w:val="798C0AD5"/>
    <w:rsid w:val="79932C50"/>
    <w:rsid w:val="79A86E73"/>
    <w:rsid w:val="79DC1C5E"/>
    <w:rsid w:val="79F649E9"/>
    <w:rsid w:val="7A1C9D17"/>
    <w:rsid w:val="7A251B0E"/>
    <w:rsid w:val="7A479EA1"/>
    <w:rsid w:val="7A6243B1"/>
    <w:rsid w:val="7A6E9DF9"/>
    <w:rsid w:val="7A91393B"/>
    <w:rsid w:val="7A924084"/>
    <w:rsid w:val="7AC0D694"/>
    <w:rsid w:val="7AD08890"/>
    <w:rsid w:val="7AF3D919"/>
    <w:rsid w:val="7AFC82E8"/>
    <w:rsid w:val="7B189116"/>
    <w:rsid w:val="7B195472"/>
    <w:rsid w:val="7B20B263"/>
    <w:rsid w:val="7B483662"/>
    <w:rsid w:val="7B64516B"/>
    <w:rsid w:val="7B65A311"/>
    <w:rsid w:val="7B6BCE66"/>
    <w:rsid w:val="7B9E5B8C"/>
    <w:rsid w:val="7BA98DC8"/>
    <w:rsid w:val="7BAD8465"/>
    <w:rsid w:val="7BB5BCD4"/>
    <w:rsid w:val="7BC6EFF9"/>
    <w:rsid w:val="7BD794A4"/>
    <w:rsid w:val="7BE9DD22"/>
    <w:rsid w:val="7BF05943"/>
    <w:rsid w:val="7BF87EF1"/>
    <w:rsid w:val="7BFD48D6"/>
    <w:rsid w:val="7C2E6D0B"/>
    <w:rsid w:val="7C31DDEB"/>
    <w:rsid w:val="7C355C84"/>
    <w:rsid w:val="7C6AD955"/>
    <w:rsid w:val="7C7C755E"/>
    <w:rsid w:val="7C7CFEEB"/>
    <w:rsid w:val="7C827223"/>
    <w:rsid w:val="7C917272"/>
    <w:rsid w:val="7C9B682C"/>
    <w:rsid w:val="7CA2A4E5"/>
    <w:rsid w:val="7CB61030"/>
    <w:rsid w:val="7CC75000"/>
    <w:rsid w:val="7CDE6C0C"/>
    <w:rsid w:val="7CED0293"/>
    <w:rsid w:val="7CF0E9EF"/>
    <w:rsid w:val="7D291202"/>
    <w:rsid w:val="7D32E865"/>
    <w:rsid w:val="7D3BD6B4"/>
    <w:rsid w:val="7D453089"/>
    <w:rsid w:val="7D50CA3D"/>
    <w:rsid w:val="7D55A9EE"/>
    <w:rsid w:val="7D5A55C0"/>
    <w:rsid w:val="7D62D2AF"/>
    <w:rsid w:val="7D815CA7"/>
    <w:rsid w:val="7D816064"/>
    <w:rsid w:val="7DA6F657"/>
    <w:rsid w:val="7DB7F25B"/>
    <w:rsid w:val="7DB89273"/>
    <w:rsid w:val="7DEA284D"/>
    <w:rsid w:val="7E0BD00B"/>
    <w:rsid w:val="7E10B447"/>
    <w:rsid w:val="7E1F2DA9"/>
    <w:rsid w:val="7E3710EF"/>
    <w:rsid w:val="7E52CAB0"/>
    <w:rsid w:val="7E5C2789"/>
    <w:rsid w:val="7E6B8C5D"/>
    <w:rsid w:val="7E86289C"/>
    <w:rsid w:val="7E892FF7"/>
    <w:rsid w:val="7EC773A0"/>
    <w:rsid w:val="7EC8464B"/>
    <w:rsid w:val="7EE4F5DB"/>
    <w:rsid w:val="7F08CC64"/>
    <w:rsid w:val="7F25B4C9"/>
    <w:rsid w:val="7F38B564"/>
    <w:rsid w:val="7F5172E0"/>
    <w:rsid w:val="7F5BE943"/>
    <w:rsid w:val="7F6CF657"/>
    <w:rsid w:val="7F73D8EA"/>
    <w:rsid w:val="7F857728"/>
    <w:rsid w:val="7FA1BEE0"/>
    <w:rsid w:val="7FAAC004"/>
    <w:rsid w:val="7FB03091"/>
    <w:rsid w:val="7FBEDCDE"/>
    <w:rsid w:val="7FD70D18"/>
    <w:rsid w:val="7FD8C106"/>
    <w:rsid w:val="7FEA65CE"/>
    <w:rsid w:val="7FF2330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8E7"/>
    <w:pPr>
      <w:spacing w:before="120" w:after="120" w:line="240" w:lineRule="auto"/>
    </w:pPr>
    <w:rPr>
      <w:rFonts w:ascii="Franklin Gothic Book" w:eastAsia="Times New Roman" w:hAnsi="Franklin Gothic Book" w:cs="Times New Roman"/>
      <w:sz w:val="24"/>
      <w:szCs w:val="24"/>
      <w:lang w:eastAsia="zh-CN"/>
    </w:rPr>
  </w:style>
  <w:style w:type="paragraph" w:styleId="Heading1">
    <w:name w:val="heading 1"/>
    <w:basedOn w:val="Normal"/>
    <w:next w:val="Normal"/>
    <w:link w:val="Heading1Char"/>
    <w:uiPriority w:val="9"/>
    <w:qFormat/>
    <w:rsid w:val="001531D6"/>
    <w:pPr>
      <w:keepNext/>
      <w:keepLines/>
      <w:numPr>
        <w:numId w:val="18"/>
      </w:numPr>
      <w:pBdr>
        <w:bottom w:val="single" w:sz="4" w:space="1" w:color="auto"/>
      </w:pBdr>
      <w:spacing w:before="600" w:after="480"/>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8"/>
      </w:numPr>
      <w:spacing w:before="360" w:after="240"/>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outlineLvl w:val="2"/>
    </w:pPr>
    <w:rPr>
      <w:rFonts w:ascii="Franklin Gothic Medium" w:eastAsiaTheme="majorEastAsia" w:hAnsi="Franklin Gothic Medium" w:cstheme="majorBidi"/>
    </w:rPr>
  </w:style>
  <w:style w:type="paragraph" w:styleId="Heading4">
    <w:name w:val="heading 4"/>
    <w:basedOn w:val="Heading3"/>
    <w:next w:val="Normal"/>
    <w:link w:val="Heading4Char"/>
    <w:uiPriority w:val="9"/>
    <w:unhideWhenUsed/>
    <w:qFormat/>
    <w:rsid w:val="002C0A7C"/>
    <w:pPr>
      <w:outlineLvl w:val="3"/>
    </w:pPr>
    <w:rPr>
      <w:i/>
      <w:u w:val="single"/>
    </w:rPr>
  </w:style>
  <w:style w:type="paragraph" w:styleId="Heading5">
    <w:name w:val="heading 5"/>
    <w:basedOn w:val="Normal"/>
    <w:next w:val="Normal"/>
    <w:link w:val="Heading5Char"/>
    <w:uiPriority w:val="9"/>
    <w:unhideWhenUsed/>
    <w:qFormat/>
    <w:rsid w:val="00D82D00"/>
    <w:pPr>
      <w:keepNext/>
      <w:keepLines/>
      <w:spacing w:before="240" w:after="0"/>
      <w:outlineLvl w:val="4"/>
    </w:pPr>
    <w:rPr>
      <w:rFonts w:eastAsiaTheme="majorEastAsia" w:cstheme="majorBidi"/>
      <w:color w:val="000000" w:themeColor="text1"/>
      <w:u w:val="single"/>
    </w:rPr>
  </w:style>
  <w:style w:type="paragraph" w:styleId="Heading6">
    <w:name w:val="heading 6"/>
    <w:basedOn w:val="Normal"/>
    <w:next w:val="Normal"/>
    <w:link w:val="Heading6Char"/>
    <w:uiPriority w:val="9"/>
    <w:unhideWhenUsed/>
    <w:qFormat/>
    <w:rsid w:val="00DB2FB7"/>
    <w:pPr>
      <w:keepNext/>
      <w:keepLines/>
      <w:spacing w:before="240" w:after="0"/>
      <w:outlineLvl w:val="5"/>
    </w:pPr>
    <w:rPr>
      <w:rFonts w:ascii="Franklin Gothic Medium" w:eastAsiaTheme="majorEastAsia" w:hAnsi="Franklin Gothic Medium"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pPr>
    <w:rPr>
      <w:rFonts w:ascii="Arial Narrow" w:hAnsi="Arial Narrow"/>
      <w:sz w:val="20"/>
    </w:rPr>
  </w:style>
  <w:style w:type="paragraph" w:customStyle="1" w:styleId="TableHeading">
    <w:name w:val="TableHeading"/>
    <w:basedOn w:val="Normal"/>
    <w:link w:val="TableHeadingChar"/>
    <w:qFormat/>
    <w:rsid w:val="00B151CF"/>
    <w:pPr>
      <w:keepNext/>
      <w:spacing w:after="60"/>
    </w:pPr>
    <w:rPr>
      <w:rFonts w:ascii="Arial Narrow" w:hAnsi="Arial Narrow"/>
      <w:b/>
      <w:sz w:val="20"/>
    </w:rPr>
  </w:style>
  <w:style w:type="paragraph" w:styleId="CommentText">
    <w:name w:val="annotation text"/>
    <w:basedOn w:val="Normal"/>
    <w:link w:val="CommentTextChar"/>
    <w:uiPriority w:val="99"/>
    <w:unhideWhenUsed/>
    <w:rsid w:val="003E7773"/>
    <w:pPr>
      <w:spacing w:after="240"/>
    </w:pPr>
    <w:rPr>
      <w:rFonts w:ascii="Calibri" w:hAnsi="Calibri"/>
      <w:color w:val="000000"/>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 w:val="24"/>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eastAsia="Times New Roman" w:hAnsi="Arial Narrow" w:cs="Times New Roman"/>
      <w:sz w:val="20"/>
      <w:szCs w:val="24"/>
      <w:lang w:eastAsia="en-GB"/>
    </w:rPr>
  </w:style>
  <w:style w:type="character" w:customStyle="1" w:styleId="TableHeadingChar">
    <w:name w:val="TableHeading Char"/>
    <w:link w:val="TableHeading"/>
    <w:rsid w:val="00B151CF"/>
    <w:rPr>
      <w:rFonts w:ascii="Arial Narrow" w:eastAsia="Times New Roman" w:hAnsi="Arial Narrow" w:cs="Times New Roman"/>
      <w:b/>
      <w:sz w:val="20"/>
      <w:szCs w:val="24"/>
      <w:lang w:eastAsia="en-GB"/>
    </w:rPr>
  </w:style>
  <w:style w:type="paragraph" w:styleId="BalloonText">
    <w:name w:val="Balloon Text"/>
    <w:basedOn w:val="Normal"/>
    <w:link w:val="BalloonTextChar"/>
    <w:uiPriority w:val="99"/>
    <w:semiHidden/>
    <w:unhideWhenUsed/>
    <w:rsid w:val="003E777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lang w:eastAsia="zh-CN"/>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lang w:eastAsia="zh-CN"/>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lang w:eastAsia="en-GB"/>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H1"/>
    <w:basedOn w:val="Normal"/>
    <w:next w:val="Normal"/>
    <w:link w:val="CaptionChar"/>
    <w:uiPriority w:val="35"/>
    <w:qFormat/>
    <w:rsid w:val="009A06F4"/>
    <w:pPr>
      <w:keepNext/>
      <w:spacing w:before="360"/>
    </w:pPr>
    <w:rPr>
      <w:rFonts w:ascii="Arial Narrow" w:hAnsi="Arial Narrow"/>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Semibold" w:hAnsi="Segoe UI Semibold"/>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H1 Char"/>
    <w:basedOn w:val="DefaultParagraphFont"/>
    <w:link w:val="Caption"/>
    <w:uiPriority w:val="35"/>
    <w:rsid w:val="009A06F4"/>
    <w:rPr>
      <w:rFonts w:ascii="Arial Narrow" w:eastAsia="Times New Roman" w:hAnsi="Arial Narrow" w:cs="Times New Roman"/>
      <w:b/>
      <w:bCs/>
      <w:sz w:val="20"/>
      <w:szCs w:val="20"/>
      <w:lang w:eastAsia="en-GB"/>
    </w:rPr>
  </w:style>
  <w:style w:type="table" w:styleId="TableGrid">
    <w:name w:val="Table Grid"/>
    <w:aliases w:val="Summary box,Table Gridbeth,RTI AMCP Table,new style,ASD Table,HealthConsult,PBAC table,HTAtableplain,Lash Style Table,CMA Table Template"/>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contextualSpacing/>
    </w:pPr>
    <w:rPr>
      <w:sz w:val="18"/>
    </w:rPr>
  </w:style>
  <w:style w:type="paragraph" w:styleId="ListParagraph">
    <w:name w:val="List Paragraph"/>
    <w:aliases w:val="Numbered para,ES Paragraph,PBAC ES Paragraph,BulletPoints"/>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2C0A7C"/>
    <w:rPr>
      <w:rFonts w:ascii="Franklin Gothic Medium" w:eastAsiaTheme="majorEastAsia" w:hAnsi="Franklin Gothic Medium" w:cstheme="majorBidi"/>
      <w:i/>
      <w:sz w:val="24"/>
      <w:szCs w:val="24"/>
      <w:u w:val="single"/>
      <w:lang w:eastAsia="zh-CN"/>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pPr>
    <w:rPr>
      <w:rFonts w:asciiTheme="minorHAnsi" w:hAnsiTheme="minorHAnsi"/>
    </w:rPr>
  </w:style>
  <w:style w:type="paragraph" w:styleId="TOC3">
    <w:name w:val="toc 3"/>
    <w:basedOn w:val="Normal"/>
    <w:next w:val="Normal"/>
    <w:autoRedefine/>
    <w:uiPriority w:val="39"/>
    <w:unhideWhenUsed/>
    <w:rsid w:val="0088445B"/>
    <w:pPr>
      <w:spacing w:after="100"/>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hAnsi="Arial" w:cs="Tahoma"/>
      <w:b/>
      <w:i/>
      <w:sz w:val="44"/>
      <w:lang w:eastAsia="en-AU"/>
    </w:rPr>
  </w:style>
  <w:style w:type="paragraph" w:customStyle="1" w:styleId="Sub-title">
    <w:name w:val="Sub-title"/>
    <w:basedOn w:val="Normal"/>
    <w:locked/>
    <w:rsid w:val="00401DBF"/>
    <w:pPr>
      <w:spacing w:before="1701"/>
      <w:ind w:left="4536"/>
    </w:pPr>
    <w:rPr>
      <w:rFonts w:ascii="Arial" w:hAnsi="Arial" w:cs="Tahoma"/>
      <w:b/>
      <w:sz w:val="32"/>
      <w:lang w:eastAsia="en-AU"/>
    </w:rPr>
  </w:style>
  <w:style w:type="paragraph" w:customStyle="1" w:styleId="Nnumberedlist">
    <w:name w:val="Nnumbered list"/>
    <w:basedOn w:val="Normal"/>
    <w:rsid w:val="00AF3D39"/>
    <w:pPr>
      <w:numPr>
        <w:numId w:val="2"/>
      </w:numPr>
      <w:jc w:val="both"/>
    </w:pPr>
    <w:rPr>
      <w:rFonts w:ascii="Calibri"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CF1E24"/>
    <w:pPr>
      <w:tabs>
        <w:tab w:val="left" w:pos="284"/>
      </w:tabs>
      <w:spacing w:after="360"/>
      <w:contextualSpacing/>
    </w:pPr>
    <w:rPr>
      <w:rFonts w:ascii="Arial Narrow"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szCs w:val="24"/>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pPr>
  </w:style>
  <w:style w:type="character" w:customStyle="1" w:styleId="HeaderChar">
    <w:name w:val="Header Char"/>
    <w:basedOn w:val="DefaultParagraphFont"/>
    <w:link w:val="Header"/>
    <w:uiPriority w:val="99"/>
    <w:rsid w:val="00B62DF2"/>
    <w:rPr>
      <w:rFonts w:ascii="Franklin Gothic Book" w:eastAsia="Times New Roman" w:hAnsi="Franklin Gothic Book" w:cs="Times New Roman"/>
      <w:sz w:val="24"/>
      <w:szCs w:val="24"/>
      <w:lang w:eastAsia="en-GB"/>
    </w:rPr>
  </w:style>
  <w:style w:type="paragraph" w:styleId="Footer">
    <w:name w:val="footer"/>
    <w:basedOn w:val="Normal"/>
    <w:link w:val="FooterChar"/>
    <w:uiPriority w:val="99"/>
    <w:unhideWhenUsed/>
    <w:rsid w:val="00B62DF2"/>
    <w:pPr>
      <w:tabs>
        <w:tab w:val="center" w:pos="4513"/>
        <w:tab w:val="right" w:pos="9026"/>
      </w:tabs>
      <w:spacing w:after="0"/>
    </w:pPr>
  </w:style>
  <w:style w:type="character" w:customStyle="1" w:styleId="FooterChar">
    <w:name w:val="Footer Char"/>
    <w:basedOn w:val="DefaultParagraphFont"/>
    <w:link w:val="Footer"/>
    <w:uiPriority w:val="99"/>
    <w:rsid w:val="00B62DF2"/>
    <w:rPr>
      <w:rFonts w:ascii="Franklin Gothic Book" w:eastAsia="Times New Roman" w:hAnsi="Franklin Gothic Book" w:cs="Times New Roman"/>
      <w:sz w:val="24"/>
      <w:szCs w:val="24"/>
      <w:lang w:eastAsia="en-GB"/>
    </w:rPr>
  </w:style>
  <w:style w:type="paragraph" w:customStyle="1" w:styleId="Tablenotes">
    <w:name w:val="Tablenotes"/>
    <w:basedOn w:val="Normal"/>
    <w:link w:val="TablenotesChar"/>
    <w:qFormat/>
    <w:rsid w:val="00242F4E"/>
    <w:pPr>
      <w:widowControl w:val="0"/>
      <w:contextualSpacing/>
    </w:pPr>
    <w:rPr>
      <w:rFonts w:ascii="Arial Narrow"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lang w:eastAsia="en-GB"/>
    </w:rPr>
  </w:style>
  <w:style w:type="character" w:customStyle="1" w:styleId="ListParagraphChar">
    <w:name w:val="List Paragraph Char"/>
    <w:aliases w:val="Numbered para Char,ES Paragraph Char,PBAC ES Paragraph Char,BulletPoints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jc w:val="both"/>
    </w:pPr>
    <w:rPr>
      <w:rFonts w:ascii="Arial Narrow"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contextualSpacing w:val="0"/>
      <w:jc w:val="both"/>
    </w:pPr>
    <w:rPr>
      <w:rFonts w:asciiTheme="minorHAnsi" w:hAnsiTheme="minorHAnsi" w:cs="Arial"/>
      <w:snapToGrid w:val="0"/>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eastAsia="Times New Roman" w:hAnsi="Calibri" w:cs="Calibri"/>
      <w:color w:val="0070C0"/>
      <w:sz w:val="24"/>
      <w:szCs w:val="24"/>
      <w:lang w:eastAsia="zh-CN"/>
    </w:rPr>
  </w:style>
  <w:style w:type="paragraph" w:customStyle="1" w:styleId="InstructionBulletpoint">
    <w:name w:val="Instruction Bullet point"/>
    <w:basedOn w:val="Normal"/>
    <w:link w:val="InstructionBulletpointChar"/>
    <w:uiPriority w:val="3"/>
    <w:qFormat/>
    <w:rsid w:val="00107DCD"/>
    <w:pPr>
      <w:numPr>
        <w:numId w:val="6"/>
      </w:numPr>
      <w:ind w:left="714" w:hanging="357"/>
    </w:pPr>
    <w:rPr>
      <w:rFonts w:ascii="Calibri" w:hAnsi="Calibri" w:cs="Calibri"/>
      <w:color w:val="0070C0"/>
    </w:rPr>
  </w:style>
  <w:style w:type="character" w:customStyle="1" w:styleId="TableFooterChar">
    <w:name w:val="Table Footer Char"/>
    <w:link w:val="TableFooter"/>
    <w:locked/>
    <w:rsid w:val="007B0880"/>
    <w:rPr>
      <w:rFonts w:ascii="Arial Narrow" w:eastAsia="Times New Roman" w:hAnsi="Arial Narrow" w:cs="Arial"/>
      <w:sz w:val="18"/>
      <w:szCs w:val="20"/>
      <w:lang w:eastAsia="en-GB"/>
    </w:rPr>
  </w:style>
  <w:style w:type="paragraph" w:customStyle="1" w:styleId="TableFooter">
    <w:name w:val="Table Footer"/>
    <w:basedOn w:val="Normal"/>
    <w:link w:val="TableFooterChar"/>
    <w:qFormat/>
    <w:rsid w:val="007B0880"/>
    <w:pPr>
      <w:widowControl w:val="0"/>
      <w:snapToGrid w:val="0"/>
      <w:spacing w:after="240"/>
      <w:contextualSpacing/>
      <w:jc w:val="both"/>
    </w:pPr>
    <w:rPr>
      <w:rFonts w:ascii="Arial Narrow"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Segoe UI Semibold" w:hAnsi="Segoe UI Semibold"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Segoe UI Semibold" w:hAnsi="Segoe UI Semibold"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Segoe UI Semibold" w:hAnsi="Segoe UI Semibold"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nhideWhenUsed/>
    <w:rsid w:val="00804632"/>
    <w:pPr>
      <w:spacing w:after="0"/>
    </w:pPr>
    <w:rPr>
      <w:rFonts w:asciiTheme="minorHAnsi" w:hAnsiTheme="minorHAnsi"/>
      <w:sz w:val="18"/>
      <w:szCs w:val="20"/>
    </w:rPr>
  </w:style>
  <w:style w:type="character" w:customStyle="1" w:styleId="FootnoteTextChar">
    <w:name w:val="Footnote Text Char"/>
    <w:basedOn w:val="DefaultParagraphFont"/>
    <w:link w:val="FootnoteText"/>
    <w:rsid w:val="00804632"/>
    <w:rPr>
      <w:rFonts w:eastAsia="Times New Roman" w:cs="Times New Roman"/>
      <w:sz w:val="18"/>
      <w:szCs w:val="20"/>
      <w:lang w:eastAsia="en-GB"/>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hAnsi="Calibri" w:cs="Tahoma"/>
      <w:lang w:eastAsia="en-AU"/>
    </w:rPr>
  </w:style>
  <w:style w:type="paragraph" w:styleId="Title">
    <w:name w:val="Title"/>
    <w:basedOn w:val="Normal"/>
    <w:next w:val="Normal"/>
    <w:link w:val="TitleChar"/>
    <w:qFormat/>
    <w:rsid w:val="00772829"/>
    <w:pPr>
      <w:spacing w:before="480" w:after="240"/>
      <w:jc w:val="center"/>
    </w:pPr>
    <w:rPr>
      <w:rFonts w:ascii="Arial"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jc w:val="center"/>
    </w:pPr>
    <w:rPr>
      <w:rFonts w:ascii="Arial"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41701C"/>
    <w:rPr>
      <w:color w:val="000000" w:themeColor="text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eastAsia="Times New Roman" w:hAnsi="Franklin Gothic Book" w:cs="Times New Roman"/>
      <w:color w:val="000000" w:themeColor="text1"/>
      <w:sz w:val="24"/>
      <w:szCs w:val="24"/>
      <w:lang w:eastAsia="zh-CN"/>
    </w:rPr>
  </w:style>
  <w:style w:type="paragraph" w:customStyle="1" w:styleId="Instructionaltext-bullet">
    <w:name w:val="Instructional text - bullet"/>
    <w:basedOn w:val="Instructionaltext"/>
    <w:qFormat/>
    <w:rsid w:val="002463A6"/>
    <w:pPr>
      <w:numPr>
        <w:numId w:val="10"/>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unhideWhenUsed/>
    <w:rsid w:val="00D13865"/>
    <w:rPr>
      <w:color w:val="605E5C"/>
      <w:shd w:val="clear" w:color="auto" w:fill="E1DFDD"/>
    </w:rPr>
  </w:style>
  <w:style w:type="paragraph" w:customStyle="1" w:styleId="2024TABLETEXT">
    <w:name w:val="2024_TABLE TEXT"/>
    <w:basedOn w:val="TableText"/>
    <w:qFormat/>
    <w:rsid w:val="00F808D0"/>
    <w:pPr>
      <w:spacing w:before="0" w:after="0"/>
    </w:pPr>
    <w:rPr>
      <w:rFonts w:eastAsiaTheme="minorHAnsi"/>
    </w:rPr>
  </w:style>
  <w:style w:type="paragraph" w:customStyle="1" w:styleId="2024TABLEHEADING">
    <w:name w:val="2024_TABLE HEADING"/>
    <w:basedOn w:val="TableHeading"/>
    <w:qFormat/>
    <w:rsid w:val="00F808D0"/>
    <w:pPr>
      <w:spacing w:before="60"/>
    </w:pPr>
  </w:style>
  <w:style w:type="paragraph" w:styleId="NormalWeb">
    <w:name w:val="Normal (Web)"/>
    <w:basedOn w:val="Normal"/>
    <w:uiPriority w:val="99"/>
    <w:semiHidden/>
    <w:unhideWhenUsed/>
    <w:rsid w:val="00D15C54"/>
    <w:rPr>
      <w:rFonts w:ascii="Times New Roman" w:hAnsi="Times New Roman"/>
    </w:rPr>
  </w:style>
  <w:style w:type="paragraph" w:customStyle="1" w:styleId="EndNoteBibliographyTitle">
    <w:name w:val="EndNote Bibliography Title"/>
    <w:basedOn w:val="Normal"/>
    <w:link w:val="EndNoteBibliographyTitleChar"/>
    <w:rsid w:val="00FC43C6"/>
    <w:pPr>
      <w:spacing w:after="0"/>
      <w:jc w:val="center"/>
    </w:pPr>
    <w:rPr>
      <w:sz w:val="22"/>
      <w:lang w:val="en-US"/>
    </w:rPr>
  </w:style>
  <w:style w:type="character" w:customStyle="1" w:styleId="EndNoteBibliographyTitleChar">
    <w:name w:val="EndNote Bibliography Title Char"/>
    <w:basedOn w:val="TableTextChar"/>
    <w:link w:val="EndNoteBibliographyTitle"/>
    <w:rsid w:val="00FC43C6"/>
    <w:rPr>
      <w:rFonts w:ascii="Franklin Gothic Book" w:eastAsia="Times New Roman" w:hAnsi="Franklin Gothic Book" w:cs="Times New Roman"/>
      <w:sz w:val="20"/>
      <w:szCs w:val="24"/>
      <w:lang w:val="en-US" w:eastAsia="zh-CN"/>
    </w:rPr>
  </w:style>
  <w:style w:type="paragraph" w:customStyle="1" w:styleId="EndNoteBibliography">
    <w:name w:val="EndNote Bibliography"/>
    <w:basedOn w:val="Normal"/>
    <w:link w:val="EndNoteBibliographyChar"/>
    <w:rsid w:val="00FC43C6"/>
    <w:rPr>
      <w:sz w:val="22"/>
      <w:lang w:val="en-US"/>
    </w:rPr>
  </w:style>
  <w:style w:type="character" w:customStyle="1" w:styleId="EndNoteBibliographyChar">
    <w:name w:val="EndNote Bibliography Char"/>
    <w:basedOn w:val="TableTextChar"/>
    <w:link w:val="EndNoteBibliography"/>
    <w:rsid w:val="00FC43C6"/>
    <w:rPr>
      <w:rFonts w:ascii="Franklin Gothic Book" w:eastAsia="Times New Roman" w:hAnsi="Franklin Gothic Book" w:cs="Times New Roman"/>
      <w:sz w:val="20"/>
      <w:szCs w:val="24"/>
      <w:lang w:val="en-US" w:eastAsia="zh-CN"/>
    </w:rPr>
  </w:style>
  <w:style w:type="character" w:styleId="Mention">
    <w:name w:val="Mention"/>
    <w:basedOn w:val="DefaultParagraphFont"/>
    <w:uiPriority w:val="99"/>
    <w:unhideWhenUsed/>
    <w:rsid w:val="000303BC"/>
    <w:rPr>
      <w:color w:val="2B579A"/>
      <w:shd w:val="clear" w:color="auto" w:fill="E1DFDD"/>
    </w:rPr>
  </w:style>
  <w:style w:type="character" w:styleId="PlaceholderText">
    <w:name w:val="Placeholder Text"/>
    <w:basedOn w:val="DefaultParagraphFont"/>
    <w:uiPriority w:val="99"/>
    <w:semiHidden/>
    <w:rsid w:val="000E0968"/>
    <w:rPr>
      <w:color w:val="666666"/>
    </w:rPr>
  </w:style>
  <w:style w:type="character" w:customStyle="1" w:styleId="Heading5Char">
    <w:name w:val="Heading 5 Char"/>
    <w:basedOn w:val="DefaultParagraphFont"/>
    <w:link w:val="Heading5"/>
    <w:uiPriority w:val="9"/>
    <w:rsid w:val="00D82D00"/>
    <w:rPr>
      <w:rFonts w:ascii="Franklin Gothic Book" w:eastAsiaTheme="majorEastAsia" w:hAnsi="Franklin Gothic Book" w:cstheme="majorBidi"/>
      <w:color w:val="000000" w:themeColor="text1"/>
      <w:sz w:val="24"/>
      <w:szCs w:val="24"/>
      <w:u w:val="single"/>
      <w:lang w:eastAsia="zh-CN"/>
    </w:rPr>
  </w:style>
  <w:style w:type="character" w:customStyle="1" w:styleId="normaltextrun">
    <w:name w:val="normaltextrun"/>
    <w:basedOn w:val="DefaultParagraphFont"/>
    <w:rsid w:val="00827CF8"/>
  </w:style>
  <w:style w:type="paragraph" w:customStyle="1" w:styleId="msonormal0">
    <w:name w:val="msonormal"/>
    <w:basedOn w:val="Normal"/>
    <w:rsid w:val="005066CD"/>
    <w:pPr>
      <w:spacing w:before="100" w:beforeAutospacing="1" w:after="100" w:afterAutospacing="1"/>
    </w:pPr>
    <w:rPr>
      <w:rFonts w:ascii="Times New Roman" w:hAnsi="Times New Roman"/>
    </w:rPr>
  </w:style>
  <w:style w:type="character" w:customStyle="1" w:styleId="Heading6Char">
    <w:name w:val="Heading 6 Char"/>
    <w:basedOn w:val="DefaultParagraphFont"/>
    <w:link w:val="Heading6"/>
    <w:uiPriority w:val="9"/>
    <w:rsid w:val="00F76A4B"/>
    <w:rPr>
      <w:rFonts w:ascii="Franklin Gothic Medium" w:eastAsiaTheme="majorEastAsia" w:hAnsi="Franklin Gothic Medium" w:cstheme="majorBidi"/>
      <w:i/>
      <w:iCs/>
      <w:color w:val="000000" w:themeColor="text1"/>
      <w:sz w:val="24"/>
      <w:szCs w:val="24"/>
      <w:lang w:eastAsia="en-GB"/>
    </w:rPr>
  </w:style>
  <w:style w:type="paragraph" w:customStyle="1" w:styleId="Default">
    <w:name w:val="Default"/>
    <w:rsid w:val="000A0930"/>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ui-provider">
    <w:name w:val="ui-provider"/>
    <w:basedOn w:val="DefaultParagraphFont"/>
    <w:rsid w:val="00C64F5A"/>
  </w:style>
  <w:style w:type="paragraph" w:customStyle="1" w:styleId="BoxName0">
    <w:name w:val="BoxName"/>
    <w:basedOn w:val="Normal"/>
    <w:rsid w:val="007375DE"/>
    <w:pPr>
      <w:keepNext/>
      <w:pBdr>
        <w:top w:val="single" w:sz="4" w:space="4" w:color="000000"/>
        <w:left w:val="single" w:sz="4" w:space="4" w:color="000000"/>
        <w:bottom w:val="single" w:sz="4" w:space="4" w:color="000000"/>
        <w:right w:val="single" w:sz="4" w:space="4" w:color="000000"/>
      </w:pBdr>
      <w:spacing w:before="240" w:after="240"/>
      <w:ind w:left="1077" w:hanging="1077"/>
    </w:pPr>
    <w:rPr>
      <w:b/>
      <w:bCs/>
      <w:color w:val="000000"/>
      <w:szCs w:val="20"/>
      <w:lang w:eastAsia="en-AU"/>
    </w:rPr>
  </w:style>
  <w:style w:type="paragraph" w:customStyle="1" w:styleId="BoxHeading">
    <w:name w:val="BoxHeading"/>
    <w:basedOn w:val="Normal"/>
    <w:rsid w:val="007375DE"/>
    <w:pPr>
      <w:keepNext/>
      <w:pBdr>
        <w:top w:val="single" w:sz="4" w:space="4" w:color="000000"/>
        <w:left w:val="single" w:sz="4" w:space="4" w:color="000000"/>
        <w:bottom w:val="single" w:sz="4" w:space="4" w:color="000000"/>
        <w:right w:val="single" w:sz="4" w:space="4" w:color="000000"/>
      </w:pBdr>
      <w:spacing w:after="60"/>
    </w:pPr>
    <w:rPr>
      <w:b/>
      <w:bCs/>
      <w:color w:val="000000"/>
      <w:sz w:val="22"/>
      <w:szCs w:val="20"/>
      <w:lang w:eastAsia="en-AU"/>
    </w:rPr>
  </w:style>
  <w:style w:type="paragraph" w:customStyle="1" w:styleId="BoxBullet">
    <w:name w:val="BoxBullet"/>
    <w:basedOn w:val="Normal"/>
    <w:rsid w:val="007375DE"/>
    <w:pPr>
      <w:numPr>
        <w:numId w:val="20"/>
      </w:numPr>
      <w:pBdr>
        <w:top w:val="single" w:sz="4" w:space="4" w:color="000000"/>
        <w:left w:val="single" w:sz="4" w:space="4" w:color="000000"/>
        <w:bottom w:val="single" w:sz="4" w:space="4" w:color="000000"/>
        <w:right w:val="single" w:sz="4" w:space="4" w:color="000000"/>
      </w:pBdr>
      <w:spacing w:before="0"/>
    </w:pPr>
    <w:rPr>
      <w:color w:val="000000"/>
      <w:sz w:val="22"/>
      <w:szCs w:val="20"/>
      <w:lang w:eastAsia="en-AU"/>
    </w:rPr>
  </w:style>
  <w:style w:type="paragraph" w:styleId="BodyText">
    <w:name w:val="Body Text"/>
    <w:basedOn w:val="Normal"/>
    <w:link w:val="BodyTextChar"/>
    <w:uiPriority w:val="99"/>
    <w:unhideWhenUsed/>
    <w:rsid w:val="007375DE"/>
    <w:pPr>
      <w:spacing w:before="0"/>
    </w:pPr>
    <w:rPr>
      <w:color w:val="000000"/>
      <w:sz w:val="22"/>
      <w:szCs w:val="20"/>
      <w:lang w:eastAsia="en-AU"/>
    </w:rPr>
  </w:style>
  <w:style w:type="character" w:customStyle="1" w:styleId="BodyTextChar">
    <w:name w:val="Body Text Char"/>
    <w:basedOn w:val="DefaultParagraphFont"/>
    <w:link w:val="BodyText"/>
    <w:uiPriority w:val="99"/>
    <w:rsid w:val="007375DE"/>
    <w:rPr>
      <w:rFonts w:ascii="Franklin Gothic Book" w:eastAsia="Times New Roman" w:hAnsi="Franklin Gothic Book" w:cs="Times New Roman"/>
      <w:color w:val="000000"/>
      <w:szCs w:val="20"/>
      <w:lang w:eastAsia="en-AU"/>
    </w:rPr>
  </w:style>
  <w:style w:type="paragraph" w:styleId="ListBullet">
    <w:name w:val="List Bullet"/>
    <w:basedOn w:val="Normal"/>
    <w:uiPriority w:val="99"/>
    <w:unhideWhenUsed/>
    <w:rsid w:val="007375DE"/>
    <w:pPr>
      <w:numPr>
        <w:numId w:val="19"/>
      </w:numPr>
      <w:spacing w:before="0" w:after="240"/>
      <w:contextualSpacing/>
    </w:pPr>
    <w:rPr>
      <w:color w:val="000000"/>
      <w:sz w:val="22"/>
      <w:szCs w:val="20"/>
      <w:lang w:eastAsia="en-AU"/>
    </w:rPr>
  </w:style>
  <w:style w:type="table" w:customStyle="1" w:styleId="Section3-footnot1">
    <w:name w:val="Section 3- footnot1"/>
    <w:basedOn w:val="TableNormal"/>
    <w:next w:val="TableGrid"/>
    <w:uiPriority w:val="59"/>
    <w:rsid w:val="00D155C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8105">
      <w:bodyDiv w:val="1"/>
      <w:marLeft w:val="0"/>
      <w:marRight w:val="0"/>
      <w:marTop w:val="0"/>
      <w:marBottom w:val="0"/>
      <w:divBdr>
        <w:top w:val="none" w:sz="0" w:space="0" w:color="auto"/>
        <w:left w:val="none" w:sz="0" w:space="0" w:color="auto"/>
        <w:bottom w:val="none" w:sz="0" w:space="0" w:color="auto"/>
        <w:right w:val="none" w:sz="0" w:space="0" w:color="auto"/>
      </w:divBdr>
      <w:divsChild>
        <w:div w:id="938760685">
          <w:marLeft w:val="0"/>
          <w:marRight w:val="0"/>
          <w:marTop w:val="0"/>
          <w:marBottom w:val="0"/>
          <w:divBdr>
            <w:top w:val="none" w:sz="0" w:space="0" w:color="auto"/>
            <w:left w:val="none" w:sz="0" w:space="0" w:color="auto"/>
            <w:bottom w:val="none" w:sz="0" w:space="0" w:color="auto"/>
            <w:right w:val="none" w:sz="0" w:space="0" w:color="auto"/>
          </w:divBdr>
          <w:divsChild>
            <w:div w:id="1381779322">
              <w:marLeft w:val="0"/>
              <w:marRight w:val="0"/>
              <w:marTop w:val="0"/>
              <w:marBottom w:val="0"/>
              <w:divBdr>
                <w:top w:val="none" w:sz="0" w:space="0" w:color="auto"/>
                <w:left w:val="none" w:sz="0" w:space="0" w:color="auto"/>
                <w:bottom w:val="none" w:sz="0" w:space="0" w:color="auto"/>
                <w:right w:val="none" w:sz="0" w:space="0" w:color="auto"/>
              </w:divBdr>
              <w:divsChild>
                <w:div w:id="392047888">
                  <w:marLeft w:val="0"/>
                  <w:marRight w:val="0"/>
                  <w:marTop w:val="0"/>
                  <w:marBottom w:val="0"/>
                  <w:divBdr>
                    <w:top w:val="none" w:sz="0" w:space="0" w:color="auto"/>
                    <w:left w:val="none" w:sz="0" w:space="0" w:color="auto"/>
                    <w:bottom w:val="none" w:sz="0" w:space="0" w:color="auto"/>
                    <w:right w:val="none" w:sz="0" w:space="0" w:color="auto"/>
                  </w:divBdr>
                  <w:divsChild>
                    <w:div w:id="2967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1946">
      <w:bodyDiv w:val="1"/>
      <w:marLeft w:val="0"/>
      <w:marRight w:val="0"/>
      <w:marTop w:val="0"/>
      <w:marBottom w:val="0"/>
      <w:divBdr>
        <w:top w:val="none" w:sz="0" w:space="0" w:color="auto"/>
        <w:left w:val="none" w:sz="0" w:space="0" w:color="auto"/>
        <w:bottom w:val="none" w:sz="0" w:space="0" w:color="auto"/>
        <w:right w:val="none" w:sz="0" w:space="0" w:color="auto"/>
      </w:divBdr>
    </w:div>
    <w:div w:id="15153742">
      <w:bodyDiv w:val="1"/>
      <w:marLeft w:val="0"/>
      <w:marRight w:val="0"/>
      <w:marTop w:val="0"/>
      <w:marBottom w:val="0"/>
      <w:divBdr>
        <w:top w:val="none" w:sz="0" w:space="0" w:color="auto"/>
        <w:left w:val="none" w:sz="0" w:space="0" w:color="auto"/>
        <w:bottom w:val="none" w:sz="0" w:space="0" w:color="auto"/>
        <w:right w:val="none" w:sz="0" w:space="0" w:color="auto"/>
      </w:divBdr>
      <w:divsChild>
        <w:div w:id="1952122226">
          <w:marLeft w:val="0"/>
          <w:marRight w:val="0"/>
          <w:marTop w:val="0"/>
          <w:marBottom w:val="0"/>
          <w:divBdr>
            <w:top w:val="none" w:sz="0" w:space="0" w:color="auto"/>
            <w:left w:val="none" w:sz="0" w:space="0" w:color="auto"/>
            <w:bottom w:val="none" w:sz="0" w:space="0" w:color="auto"/>
            <w:right w:val="none" w:sz="0" w:space="0" w:color="auto"/>
          </w:divBdr>
          <w:divsChild>
            <w:div w:id="1167936810">
              <w:marLeft w:val="0"/>
              <w:marRight w:val="0"/>
              <w:marTop w:val="0"/>
              <w:marBottom w:val="0"/>
              <w:divBdr>
                <w:top w:val="none" w:sz="0" w:space="0" w:color="auto"/>
                <w:left w:val="none" w:sz="0" w:space="0" w:color="auto"/>
                <w:bottom w:val="none" w:sz="0" w:space="0" w:color="auto"/>
                <w:right w:val="none" w:sz="0" w:space="0" w:color="auto"/>
              </w:divBdr>
              <w:divsChild>
                <w:div w:id="966739948">
                  <w:marLeft w:val="0"/>
                  <w:marRight w:val="0"/>
                  <w:marTop w:val="0"/>
                  <w:marBottom w:val="0"/>
                  <w:divBdr>
                    <w:top w:val="none" w:sz="0" w:space="0" w:color="auto"/>
                    <w:left w:val="none" w:sz="0" w:space="0" w:color="auto"/>
                    <w:bottom w:val="none" w:sz="0" w:space="0" w:color="auto"/>
                    <w:right w:val="none" w:sz="0" w:space="0" w:color="auto"/>
                  </w:divBdr>
                  <w:divsChild>
                    <w:div w:id="11410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6034">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8">
          <w:marLeft w:val="0"/>
          <w:marRight w:val="0"/>
          <w:marTop w:val="0"/>
          <w:marBottom w:val="0"/>
          <w:divBdr>
            <w:top w:val="none" w:sz="0" w:space="0" w:color="auto"/>
            <w:left w:val="none" w:sz="0" w:space="0" w:color="auto"/>
            <w:bottom w:val="none" w:sz="0" w:space="0" w:color="auto"/>
            <w:right w:val="none" w:sz="0" w:space="0" w:color="auto"/>
          </w:divBdr>
          <w:divsChild>
            <w:div w:id="969438122">
              <w:marLeft w:val="0"/>
              <w:marRight w:val="0"/>
              <w:marTop w:val="0"/>
              <w:marBottom w:val="0"/>
              <w:divBdr>
                <w:top w:val="none" w:sz="0" w:space="0" w:color="auto"/>
                <w:left w:val="none" w:sz="0" w:space="0" w:color="auto"/>
                <w:bottom w:val="none" w:sz="0" w:space="0" w:color="auto"/>
                <w:right w:val="none" w:sz="0" w:space="0" w:color="auto"/>
              </w:divBdr>
              <w:divsChild>
                <w:div w:id="315301218">
                  <w:marLeft w:val="0"/>
                  <w:marRight w:val="0"/>
                  <w:marTop w:val="0"/>
                  <w:marBottom w:val="0"/>
                  <w:divBdr>
                    <w:top w:val="none" w:sz="0" w:space="0" w:color="auto"/>
                    <w:left w:val="none" w:sz="0" w:space="0" w:color="auto"/>
                    <w:bottom w:val="none" w:sz="0" w:space="0" w:color="auto"/>
                    <w:right w:val="none" w:sz="0" w:space="0" w:color="auto"/>
                  </w:divBdr>
                  <w:divsChild>
                    <w:div w:id="17261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018">
      <w:bodyDiv w:val="1"/>
      <w:marLeft w:val="0"/>
      <w:marRight w:val="0"/>
      <w:marTop w:val="0"/>
      <w:marBottom w:val="0"/>
      <w:divBdr>
        <w:top w:val="none" w:sz="0" w:space="0" w:color="auto"/>
        <w:left w:val="none" w:sz="0" w:space="0" w:color="auto"/>
        <w:bottom w:val="none" w:sz="0" w:space="0" w:color="auto"/>
        <w:right w:val="none" w:sz="0" w:space="0" w:color="auto"/>
      </w:divBdr>
      <w:divsChild>
        <w:div w:id="1721055916">
          <w:marLeft w:val="0"/>
          <w:marRight w:val="0"/>
          <w:marTop w:val="0"/>
          <w:marBottom w:val="0"/>
          <w:divBdr>
            <w:top w:val="none" w:sz="0" w:space="0" w:color="auto"/>
            <w:left w:val="none" w:sz="0" w:space="0" w:color="auto"/>
            <w:bottom w:val="none" w:sz="0" w:space="0" w:color="auto"/>
            <w:right w:val="none" w:sz="0" w:space="0" w:color="auto"/>
          </w:divBdr>
          <w:divsChild>
            <w:div w:id="129130238">
              <w:marLeft w:val="0"/>
              <w:marRight w:val="0"/>
              <w:marTop w:val="0"/>
              <w:marBottom w:val="0"/>
              <w:divBdr>
                <w:top w:val="none" w:sz="0" w:space="0" w:color="auto"/>
                <w:left w:val="none" w:sz="0" w:space="0" w:color="auto"/>
                <w:bottom w:val="none" w:sz="0" w:space="0" w:color="auto"/>
                <w:right w:val="none" w:sz="0" w:space="0" w:color="auto"/>
              </w:divBdr>
              <w:divsChild>
                <w:div w:id="12403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619">
      <w:bodyDiv w:val="1"/>
      <w:marLeft w:val="0"/>
      <w:marRight w:val="0"/>
      <w:marTop w:val="0"/>
      <w:marBottom w:val="0"/>
      <w:divBdr>
        <w:top w:val="none" w:sz="0" w:space="0" w:color="auto"/>
        <w:left w:val="none" w:sz="0" w:space="0" w:color="auto"/>
        <w:bottom w:val="none" w:sz="0" w:space="0" w:color="auto"/>
        <w:right w:val="none" w:sz="0" w:space="0" w:color="auto"/>
      </w:divBdr>
    </w:div>
    <w:div w:id="23604872">
      <w:bodyDiv w:val="1"/>
      <w:marLeft w:val="0"/>
      <w:marRight w:val="0"/>
      <w:marTop w:val="0"/>
      <w:marBottom w:val="0"/>
      <w:divBdr>
        <w:top w:val="none" w:sz="0" w:space="0" w:color="auto"/>
        <w:left w:val="none" w:sz="0" w:space="0" w:color="auto"/>
        <w:bottom w:val="none" w:sz="0" w:space="0" w:color="auto"/>
        <w:right w:val="none" w:sz="0" w:space="0" w:color="auto"/>
      </w:divBdr>
      <w:divsChild>
        <w:div w:id="689917320">
          <w:marLeft w:val="0"/>
          <w:marRight w:val="0"/>
          <w:marTop w:val="0"/>
          <w:marBottom w:val="0"/>
          <w:divBdr>
            <w:top w:val="none" w:sz="0" w:space="0" w:color="auto"/>
            <w:left w:val="none" w:sz="0" w:space="0" w:color="auto"/>
            <w:bottom w:val="none" w:sz="0" w:space="0" w:color="auto"/>
            <w:right w:val="none" w:sz="0" w:space="0" w:color="auto"/>
          </w:divBdr>
          <w:divsChild>
            <w:div w:id="1837525634">
              <w:marLeft w:val="0"/>
              <w:marRight w:val="0"/>
              <w:marTop w:val="0"/>
              <w:marBottom w:val="0"/>
              <w:divBdr>
                <w:top w:val="none" w:sz="0" w:space="0" w:color="auto"/>
                <w:left w:val="none" w:sz="0" w:space="0" w:color="auto"/>
                <w:bottom w:val="none" w:sz="0" w:space="0" w:color="auto"/>
                <w:right w:val="none" w:sz="0" w:space="0" w:color="auto"/>
              </w:divBdr>
              <w:divsChild>
                <w:div w:id="1664891107">
                  <w:marLeft w:val="0"/>
                  <w:marRight w:val="0"/>
                  <w:marTop w:val="0"/>
                  <w:marBottom w:val="0"/>
                  <w:divBdr>
                    <w:top w:val="none" w:sz="0" w:space="0" w:color="auto"/>
                    <w:left w:val="none" w:sz="0" w:space="0" w:color="auto"/>
                    <w:bottom w:val="none" w:sz="0" w:space="0" w:color="auto"/>
                    <w:right w:val="none" w:sz="0" w:space="0" w:color="auto"/>
                  </w:divBdr>
                  <w:divsChild>
                    <w:div w:id="79482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28338672">
      <w:bodyDiv w:val="1"/>
      <w:marLeft w:val="0"/>
      <w:marRight w:val="0"/>
      <w:marTop w:val="0"/>
      <w:marBottom w:val="0"/>
      <w:divBdr>
        <w:top w:val="none" w:sz="0" w:space="0" w:color="auto"/>
        <w:left w:val="none" w:sz="0" w:space="0" w:color="auto"/>
        <w:bottom w:val="none" w:sz="0" w:space="0" w:color="auto"/>
        <w:right w:val="none" w:sz="0" w:space="0" w:color="auto"/>
      </w:divBdr>
    </w:div>
    <w:div w:id="35549785">
      <w:bodyDiv w:val="1"/>
      <w:marLeft w:val="0"/>
      <w:marRight w:val="0"/>
      <w:marTop w:val="0"/>
      <w:marBottom w:val="0"/>
      <w:divBdr>
        <w:top w:val="none" w:sz="0" w:space="0" w:color="auto"/>
        <w:left w:val="none" w:sz="0" w:space="0" w:color="auto"/>
        <w:bottom w:val="none" w:sz="0" w:space="0" w:color="auto"/>
        <w:right w:val="none" w:sz="0" w:space="0" w:color="auto"/>
      </w:divBdr>
    </w:div>
    <w:div w:id="43407524">
      <w:bodyDiv w:val="1"/>
      <w:marLeft w:val="0"/>
      <w:marRight w:val="0"/>
      <w:marTop w:val="0"/>
      <w:marBottom w:val="0"/>
      <w:divBdr>
        <w:top w:val="none" w:sz="0" w:space="0" w:color="auto"/>
        <w:left w:val="none" w:sz="0" w:space="0" w:color="auto"/>
        <w:bottom w:val="none" w:sz="0" w:space="0" w:color="auto"/>
        <w:right w:val="none" w:sz="0" w:space="0" w:color="auto"/>
      </w:divBdr>
    </w:div>
    <w:div w:id="44258188">
      <w:bodyDiv w:val="1"/>
      <w:marLeft w:val="0"/>
      <w:marRight w:val="0"/>
      <w:marTop w:val="0"/>
      <w:marBottom w:val="0"/>
      <w:divBdr>
        <w:top w:val="none" w:sz="0" w:space="0" w:color="auto"/>
        <w:left w:val="none" w:sz="0" w:space="0" w:color="auto"/>
        <w:bottom w:val="none" w:sz="0" w:space="0" w:color="auto"/>
        <w:right w:val="none" w:sz="0" w:space="0" w:color="auto"/>
      </w:divBdr>
    </w:div>
    <w:div w:id="52505462">
      <w:bodyDiv w:val="1"/>
      <w:marLeft w:val="0"/>
      <w:marRight w:val="0"/>
      <w:marTop w:val="0"/>
      <w:marBottom w:val="0"/>
      <w:divBdr>
        <w:top w:val="none" w:sz="0" w:space="0" w:color="auto"/>
        <w:left w:val="none" w:sz="0" w:space="0" w:color="auto"/>
        <w:bottom w:val="none" w:sz="0" w:space="0" w:color="auto"/>
        <w:right w:val="none" w:sz="0" w:space="0" w:color="auto"/>
      </w:divBdr>
      <w:divsChild>
        <w:div w:id="1402098777">
          <w:marLeft w:val="0"/>
          <w:marRight w:val="0"/>
          <w:marTop w:val="0"/>
          <w:marBottom w:val="0"/>
          <w:divBdr>
            <w:top w:val="none" w:sz="0" w:space="0" w:color="auto"/>
            <w:left w:val="none" w:sz="0" w:space="0" w:color="auto"/>
            <w:bottom w:val="none" w:sz="0" w:space="0" w:color="auto"/>
            <w:right w:val="none" w:sz="0" w:space="0" w:color="auto"/>
          </w:divBdr>
          <w:divsChild>
            <w:div w:id="77168207">
              <w:marLeft w:val="0"/>
              <w:marRight w:val="0"/>
              <w:marTop w:val="0"/>
              <w:marBottom w:val="0"/>
              <w:divBdr>
                <w:top w:val="none" w:sz="0" w:space="0" w:color="auto"/>
                <w:left w:val="none" w:sz="0" w:space="0" w:color="auto"/>
                <w:bottom w:val="none" w:sz="0" w:space="0" w:color="auto"/>
                <w:right w:val="none" w:sz="0" w:space="0" w:color="auto"/>
              </w:divBdr>
              <w:divsChild>
                <w:div w:id="236211042">
                  <w:marLeft w:val="0"/>
                  <w:marRight w:val="0"/>
                  <w:marTop w:val="0"/>
                  <w:marBottom w:val="0"/>
                  <w:divBdr>
                    <w:top w:val="none" w:sz="0" w:space="0" w:color="auto"/>
                    <w:left w:val="none" w:sz="0" w:space="0" w:color="auto"/>
                    <w:bottom w:val="none" w:sz="0" w:space="0" w:color="auto"/>
                    <w:right w:val="none" w:sz="0" w:space="0" w:color="auto"/>
                  </w:divBdr>
                  <w:divsChild>
                    <w:div w:id="10612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3005">
      <w:bodyDiv w:val="1"/>
      <w:marLeft w:val="0"/>
      <w:marRight w:val="0"/>
      <w:marTop w:val="0"/>
      <w:marBottom w:val="0"/>
      <w:divBdr>
        <w:top w:val="none" w:sz="0" w:space="0" w:color="auto"/>
        <w:left w:val="none" w:sz="0" w:space="0" w:color="auto"/>
        <w:bottom w:val="none" w:sz="0" w:space="0" w:color="auto"/>
        <w:right w:val="none" w:sz="0" w:space="0" w:color="auto"/>
      </w:divBdr>
      <w:divsChild>
        <w:div w:id="231430470">
          <w:marLeft w:val="0"/>
          <w:marRight w:val="0"/>
          <w:marTop w:val="0"/>
          <w:marBottom w:val="0"/>
          <w:divBdr>
            <w:top w:val="none" w:sz="0" w:space="0" w:color="auto"/>
            <w:left w:val="none" w:sz="0" w:space="0" w:color="auto"/>
            <w:bottom w:val="none" w:sz="0" w:space="0" w:color="auto"/>
            <w:right w:val="none" w:sz="0" w:space="0" w:color="auto"/>
          </w:divBdr>
          <w:divsChild>
            <w:div w:id="1578393764">
              <w:marLeft w:val="0"/>
              <w:marRight w:val="0"/>
              <w:marTop w:val="0"/>
              <w:marBottom w:val="0"/>
              <w:divBdr>
                <w:top w:val="none" w:sz="0" w:space="0" w:color="auto"/>
                <w:left w:val="none" w:sz="0" w:space="0" w:color="auto"/>
                <w:bottom w:val="none" w:sz="0" w:space="0" w:color="auto"/>
                <w:right w:val="none" w:sz="0" w:space="0" w:color="auto"/>
              </w:divBdr>
              <w:divsChild>
                <w:div w:id="1552887707">
                  <w:marLeft w:val="0"/>
                  <w:marRight w:val="0"/>
                  <w:marTop w:val="0"/>
                  <w:marBottom w:val="0"/>
                  <w:divBdr>
                    <w:top w:val="none" w:sz="0" w:space="0" w:color="auto"/>
                    <w:left w:val="none" w:sz="0" w:space="0" w:color="auto"/>
                    <w:bottom w:val="none" w:sz="0" w:space="0" w:color="auto"/>
                    <w:right w:val="none" w:sz="0" w:space="0" w:color="auto"/>
                  </w:divBdr>
                  <w:divsChild>
                    <w:div w:id="14747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69943">
      <w:bodyDiv w:val="1"/>
      <w:marLeft w:val="0"/>
      <w:marRight w:val="0"/>
      <w:marTop w:val="0"/>
      <w:marBottom w:val="0"/>
      <w:divBdr>
        <w:top w:val="none" w:sz="0" w:space="0" w:color="auto"/>
        <w:left w:val="none" w:sz="0" w:space="0" w:color="auto"/>
        <w:bottom w:val="none" w:sz="0" w:space="0" w:color="auto"/>
        <w:right w:val="none" w:sz="0" w:space="0" w:color="auto"/>
      </w:divBdr>
    </w:div>
    <w:div w:id="67701853">
      <w:bodyDiv w:val="1"/>
      <w:marLeft w:val="0"/>
      <w:marRight w:val="0"/>
      <w:marTop w:val="0"/>
      <w:marBottom w:val="0"/>
      <w:divBdr>
        <w:top w:val="none" w:sz="0" w:space="0" w:color="auto"/>
        <w:left w:val="none" w:sz="0" w:space="0" w:color="auto"/>
        <w:bottom w:val="none" w:sz="0" w:space="0" w:color="auto"/>
        <w:right w:val="none" w:sz="0" w:space="0" w:color="auto"/>
      </w:divBdr>
    </w:div>
    <w:div w:id="72246619">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76290076">
      <w:bodyDiv w:val="1"/>
      <w:marLeft w:val="0"/>
      <w:marRight w:val="0"/>
      <w:marTop w:val="0"/>
      <w:marBottom w:val="0"/>
      <w:divBdr>
        <w:top w:val="none" w:sz="0" w:space="0" w:color="auto"/>
        <w:left w:val="none" w:sz="0" w:space="0" w:color="auto"/>
        <w:bottom w:val="none" w:sz="0" w:space="0" w:color="auto"/>
        <w:right w:val="none" w:sz="0" w:space="0" w:color="auto"/>
      </w:divBdr>
    </w:div>
    <w:div w:id="90398643">
      <w:bodyDiv w:val="1"/>
      <w:marLeft w:val="0"/>
      <w:marRight w:val="0"/>
      <w:marTop w:val="0"/>
      <w:marBottom w:val="0"/>
      <w:divBdr>
        <w:top w:val="none" w:sz="0" w:space="0" w:color="auto"/>
        <w:left w:val="none" w:sz="0" w:space="0" w:color="auto"/>
        <w:bottom w:val="none" w:sz="0" w:space="0" w:color="auto"/>
        <w:right w:val="none" w:sz="0" w:space="0" w:color="auto"/>
      </w:divBdr>
    </w:div>
    <w:div w:id="105852185">
      <w:bodyDiv w:val="1"/>
      <w:marLeft w:val="0"/>
      <w:marRight w:val="0"/>
      <w:marTop w:val="0"/>
      <w:marBottom w:val="0"/>
      <w:divBdr>
        <w:top w:val="none" w:sz="0" w:space="0" w:color="auto"/>
        <w:left w:val="none" w:sz="0" w:space="0" w:color="auto"/>
        <w:bottom w:val="none" w:sz="0" w:space="0" w:color="auto"/>
        <w:right w:val="none" w:sz="0" w:space="0" w:color="auto"/>
      </w:divBdr>
      <w:divsChild>
        <w:div w:id="241721314">
          <w:marLeft w:val="0"/>
          <w:marRight w:val="0"/>
          <w:marTop w:val="0"/>
          <w:marBottom w:val="0"/>
          <w:divBdr>
            <w:top w:val="none" w:sz="0" w:space="0" w:color="auto"/>
            <w:left w:val="none" w:sz="0" w:space="0" w:color="auto"/>
            <w:bottom w:val="none" w:sz="0" w:space="0" w:color="auto"/>
            <w:right w:val="none" w:sz="0" w:space="0" w:color="auto"/>
          </w:divBdr>
          <w:divsChild>
            <w:div w:id="1007710390">
              <w:marLeft w:val="0"/>
              <w:marRight w:val="0"/>
              <w:marTop w:val="0"/>
              <w:marBottom w:val="0"/>
              <w:divBdr>
                <w:top w:val="none" w:sz="0" w:space="0" w:color="auto"/>
                <w:left w:val="none" w:sz="0" w:space="0" w:color="auto"/>
                <w:bottom w:val="none" w:sz="0" w:space="0" w:color="auto"/>
                <w:right w:val="none" w:sz="0" w:space="0" w:color="auto"/>
              </w:divBdr>
              <w:divsChild>
                <w:div w:id="1706104488">
                  <w:marLeft w:val="0"/>
                  <w:marRight w:val="0"/>
                  <w:marTop w:val="0"/>
                  <w:marBottom w:val="0"/>
                  <w:divBdr>
                    <w:top w:val="none" w:sz="0" w:space="0" w:color="auto"/>
                    <w:left w:val="none" w:sz="0" w:space="0" w:color="auto"/>
                    <w:bottom w:val="none" w:sz="0" w:space="0" w:color="auto"/>
                    <w:right w:val="none" w:sz="0" w:space="0" w:color="auto"/>
                  </w:divBdr>
                  <w:divsChild>
                    <w:div w:id="20614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34489">
      <w:bodyDiv w:val="1"/>
      <w:marLeft w:val="0"/>
      <w:marRight w:val="0"/>
      <w:marTop w:val="0"/>
      <w:marBottom w:val="0"/>
      <w:divBdr>
        <w:top w:val="none" w:sz="0" w:space="0" w:color="auto"/>
        <w:left w:val="none" w:sz="0" w:space="0" w:color="auto"/>
        <w:bottom w:val="none" w:sz="0" w:space="0" w:color="auto"/>
        <w:right w:val="none" w:sz="0" w:space="0" w:color="auto"/>
      </w:divBdr>
    </w:div>
    <w:div w:id="157817292">
      <w:bodyDiv w:val="1"/>
      <w:marLeft w:val="0"/>
      <w:marRight w:val="0"/>
      <w:marTop w:val="0"/>
      <w:marBottom w:val="0"/>
      <w:divBdr>
        <w:top w:val="none" w:sz="0" w:space="0" w:color="auto"/>
        <w:left w:val="none" w:sz="0" w:space="0" w:color="auto"/>
        <w:bottom w:val="none" w:sz="0" w:space="0" w:color="auto"/>
        <w:right w:val="none" w:sz="0" w:space="0" w:color="auto"/>
      </w:divBdr>
      <w:divsChild>
        <w:div w:id="751121135">
          <w:marLeft w:val="0"/>
          <w:marRight w:val="0"/>
          <w:marTop w:val="0"/>
          <w:marBottom w:val="0"/>
          <w:divBdr>
            <w:top w:val="none" w:sz="0" w:space="0" w:color="auto"/>
            <w:left w:val="none" w:sz="0" w:space="0" w:color="auto"/>
            <w:bottom w:val="none" w:sz="0" w:space="0" w:color="auto"/>
            <w:right w:val="none" w:sz="0" w:space="0" w:color="auto"/>
          </w:divBdr>
          <w:divsChild>
            <w:div w:id="1895122797">
              <w:marLeft w:val="0"/>
              <w:marRight w:val="0"/>
              <w:marTop w:val="0"/>
              <w:marBottom w:val="0"/>
              <w:divBdr>
                <w:top w:val="none" w:sz="0" w:space="0" w:color="auto"/>
                <w:left w:val="none" w:sz="0" w:space="0" w:color="auto"/>
                <w:bottom w:val="none" w:sz="0" w:space="0" w:color="auto"/>
                <w:right w:val="none" w:sz="0" w:space="0" w:color="auto"/>
              </w:divBdr>
              <w:divsChild>
                <w:div w:id="1005323280">
                  <w:marLeft w:val="0"/>
                  <w:marRight w:val="0"/>
                  <w:marTop w:val="0"/>
                  <w:marBottom w:val="0"/>
                  <w:divBdr>
                    <w:top w:val="none" w:sz="0" w:space="0" w:color="auto"/>
                    <w:left w:val="none" w:sz="0" w:space="0" w:color="auto"/>
                    <w:bottom w:val="none" w:sz="0" w:space="0" w:color="auto"/>
                    <w:right w:val="none" w:sz="0" w:space="0" w:color="auto"/>
                  </w:divBdr>
                  <w:divsChild>
                    <w:div w:id="8091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4408">
      <w:bodyDiv w:val="1"/>
      <w:marLeft w:val="0"/>
      <w:marRight w:val="0"/>
      <w:marTop w:val="0"/>
      <w:marBottom w:val="0"/>
      <w:divBdr>
        <w:top w:val="none" w:sz="0" w:space="0" w:color="auto"/>
        <w:left w:val="none" w:sz="0" w:space="0" w:color="auto"/>
        <w:bottom w:val="none" w:sz="0" w:space="0" w:color="auto"/>
        <w:right w:val="none" w:sz="0" w:space="0" w:color="auto"/>
      </w:divBdr>
      <w:divsChild>
        <w:div w:id="1882745957">
          <w:marLeft w:val="0"/>
          <w:marRight w:val="0"/>
          <w:marTop w:val="0"/>
          <w:marBottom w:val="0"/>
          <w:divBdr>
            <w:top w:val="none" w:sz="0" w:space="0" w:color="auto"/>
            <w:left w:val="none" w:sz="0" w:space="0" w:color="auto"/>
            <w:bottom w:val="none" w:sz="0" w:space="0" w:color="auto"/>
            <w:right w:val="none" w:sz="0" w:space="0" w:color="auto"/>
          </w:divBdr>
          <w:divsChild>
            <w:div w:id="640429262">
              <w:marLeft w:val="0"/>
              <w:marRight w:val="0"/>
              <w:marTop w:val="0"/>
              <w:marBottom w:val="0"/>
              <w:divBdr>
                <w:top w:val="none" w:sz="0" w:space="0" w:color="auto"/>
                <w:left w:val="none" w:sz="0" w:space="0" w:color="auto"/>
                <w:bottom w:val="none" w:sz="0" w:space="0" w:color="auto"/>
                <w:right w:val="none" w:sz="0" w:space="0" w:color="auto"/>
              </w:divBdr>
              <w:divsChild>
                <w:div w:id="785541165">
                  <w:marLeft w:val="0"/>
                  <w:marRight w:val="0"/>
                  <w:marTop w:val="0"/>
                  <w:marBottom w:val="0"/>
                  <w:divBdr>
                    <w:top w:val="none" w:sz="0" w:space="0" w:color="auto"/>
                    <w:left w:val="none" w:sz="0" w:space="0" w:color="auto"/>
                    <w:bottom w:val="none" w:sz="0" w:space="0" w:color="auto"/>
                    <w:right w:val="none" w:sz="0" w:space="0" w:color="auto"/>
                  </w:divBdr>
                  <w:divsChild>
                    <w:div w:id="8979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1843">
      <w:bodyDiv w:val="1"/>
      <w:marLeft w:val="0"/>
      <w:marRight w:val="0"/>
      <w:marTop w:val="0"/>
      <w:marBottom w:val="0"/>
      <w:divBdr>
        <w:top w:val="none" w:sz="0" w:space="0" w:color="auto"/>
        <w:left w:val="none" w:sz="0" w:space="0" w:color="auto"/>
        <w:bottom w:val="none" w:sz="0" w:space="0" w:color="auto"/>
        <w:right w:val="none" w:sz="0" w:space="0" w:color="auto"/>
      </w:divBdr>
    </w:div>
    <w:div w:id="165637581">
      <w:bodyDiv w:val="1"/>
      <w:marLeft w:val="0"/>
      <w:marRight w:val="0"/>
      <w:marTop w:val="0"/>
      <w:marBottom w:val="0"/>
      <w:divBdr>
        <w:top w:val="none" w:sz="0" w:space="0" w:color="auto"/>
        <w:left w:val="none" w:sz="0" w:space="0" w:color="auto"/>
        <w:bottom w:val="none" w:sz="0" w:space="0" w:color="auto"/>
        <w:right w:val="none" w:sz="0" w:space="0" w:color="auto"/>
      </w:divBdr>
      <w:divsChild>
        <w:div w:id="1500727588">
          <w:marLeft w:val="0"/>
          <w:marRight w:val="0"/>
          <w:marTop w:val="0"/>
          <w:marBottom w:val="0"/>
          <w:divBdr>
            <w:top w:val="none" w:sz="0" w:space="0" w:color="auto"/>
            <w:left w:val="none" w:sz="0" w:space="0" w:color="auto"/>
            <w:bottom w:val="none" w:sz="0" w:space="0" w:color="auto"/>
            <w:right w:val="none" w:sz="0" w:space="0" w:color="auto"/>
          </w:divBdr>
          <w:divsChild>
            <w:div w:id="1972589636">
              <w:marLeft w:val="0"/>
              <w:marRight w:val="0"/>
              <w:marTop w:val="0"/>
              <w:marBottom w:val="0"/>
              <w:divBdr>
                <w:top w:val="none" w:sz="0" w:space="0" w:color="auto"/>
                <w:left w:val="none" w:sz="0" w:space="0" w:color="auto"/>
                <w:bottom w:val="none" w:sz="0" w:space="0" w:color="auto"/>
                <w:right w:val="none" w:sz="0" w:space="0" w:color="auto"/>
              </w:divBdr>
              <w:divsChild>
                <w:div w:id="779834317">
                  <w:marLeft w:val="0"/>
                  <w:marRight w:val="0"/>
                  <w:marTop w:val="0"/>
                  <w:marBottom w:val="0"/>
                  <w:divBdr>
                    <w:top w:val="none" w:sz="0" w:space="0" w:color="auto"/>
                    <w:left w:val="none" w:sz="0" w:space="0" w:color="auto"/>
                    <w:bottom w:val="none" w:sz="0" w:space="0" w:color="auto"/>
                    <w:right w:val="none" w:sz="0" w:space="0" w:color="auto"/>
                  </w:divBdr>
                  <w:divsChild>
                    <w:div w:id="20939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2175">
      <w:bodyDiv w:val="1"/>
      <w:marLeft w:val="0"/>
      <w:marRight w:val="0"/>
      <w:marTop w:val="0"/>
      <w:marBottom w:val="0"/>
      <w:divBdr>
        <w:top w:val="none" w:sz="0" w:space="0" w:color="auto"/>
        <w:left w:val="none" w:sz="0" w:space="0" w:color="auto"/>
        <w:bottom w:val="none" w:sz="0" w:space="0" w:color="auto"/>
        <w:right w:val="none" w:sz="0" w:space="0" w:color="auto"/>
      </w:divBdr>
      <w:divsChild>
        <w:div w:id="2063290207">
          <w:marLeft w:val="0"/>
          <w:marRight w:val="0"/>
          <w:marTop w:val="0"/>
          <w:marBottom w:val="0"/>
          <w:divBdr>
            <w:top w:val="none" w:sz="0" w:space="0" w:color="auto"/>
            <w:left w:val="none" w:sz="0" w:space="0" w:color="auto"/>
            <w:bottom w:val="none" w:sz="0" w:space="0" w:color="auto"/>
            <w:right w:val="none" w:sz="0" w:space="0" w:color="auto"/>
          </w:divBdr>
          <w:divsChild>
            <w:div w:id="126974084">
              <w:marLeft w:val="0"/>
              <w:marRight w:val="0"/>
              <w:marTop w:val="0"/>
              <w:marBottom w:val="0"/>
              <w:divBdr>
                <w:top w:val="none" w:sz="0" w:space="0" w:color="auto"/>
                <w:left w:val="none" w:sz="0" w:space="0" w:color="auto"/>
                <w:bottom w:val="none" w:sz="0" w:space="0" w:color="auto"/>
                <w:right w:val="none" w:sz="0" w:space="0" w:color="auto"/>
              </w:divBdr>
              <w:divsChild>
                <w:div w:id="7704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5389">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3056676">
      <w:bodyDiv w:val="1"/>
      <w:marLeft w:val="0"/>
      <w:marRight w:val="0"/>
      <w:marTop w:val="0"/>
      <w:marBottom w:val="0"/>
      <w:divBdr>
        <w:top w:val="none" w:sz="0" w:space="0" w:color="auto"/>
        <w:left w:val="none" w:sz="0" w:space="0" w:color="auto"/>
        <w:bottom w:val="none" w:sz="0" w:space="0" w:color="auto"/>
        <w:right w:val="none" w:sz="0" w:space="0" w:color="auto"/>
      </w:divBdr>
      <w:divsChild>
        <w:div w:id="1715697316">
          <w:marLeft w:val="0"/>
          <w:marRight w:val="0"/>
          <w:marTop w:val="0"/>
          <w:marBottom w:val="0"/>
          <w:divBdr>
            <w:top w:val="none" w:sz="0" w:space="0" w:color="auto"/>
            <w:left w:val="none" w:sz="0" w:space="0" w:color="auto"/>
            <w:bottom w:val="none" w:sz="0" w:space="0" w:color="auto"/>
            <w:right w:val="none" w:sz="0" w:space="0" w:color="auto"/>
          </w:divBdr>
          <w:divsChild>
            <w:div w:id="1123501871">
              <w:marLeft w:val="0"/>
              <w:marRight w:val="0"/>
              <w:marTop w:val="0"/>
              <w:marBottom w:val="0"/>
              <w:divBdr>
                <w:top w:val="none" w:sz="0" w:space="0" w:color="auto"/>
                <w:left w:val="none" w:sz="0" w:space="0" w:color="auto"/>
                <w:bottom w:val="none" w:sz="0" w:space="0" w:color="auto"/>
                <w:right w:val="none" w:sz="0" w:space="0" w:color="auto"/>
              </w:divBdr>
              <w:divsChild>
                <w:div w:id="1494107012">
                  <w:marLeft w:val="0"/>
                  <w:marRight w:val="0"/>
                  <w:marTop w:val="0"/>
                  <w:marBottom w:val="0"/>
                  <w:divBdr>
                    <w:top w:val="none" w:sz="0" w:space="0" w:color="auto"/>
                    <w:left w:val="none" w:sz="0" w:space="0" w:color="auto"/>
                    <w:bottom w:val="none" w:sz="0" w:space="0" w:color="auto"/>
                    <w:right w:val="none" w:sz="0" w:space="0" w:color="auto"/>
                  </w:divBdr>
                  <w:divsChild>
                    <w:div w:id="333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52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192118009">
      <w:bodyDiv w:val="1"/>
      <w:marLeft w:val="0"/>
      <w:marRight w:val="0"/>
      <w:marTop w:val="0"/>
      <w:marBottom w:val="0"/>
      <w:divBdr>
        <w:top w:val="none" w:sz="0" w:space="0" w:color="auto"/>
        <w:left w:val="none" w:sz="0" w:space="0" w:color="auto"/>
        <w:bottom w:val="none" w:sz="0" w:space="0" w:color="auto"/>
        <w:right w:val="none" w:sz="0" w:space="0" w:color="auto"/>
      </w:divBdr>
      <w:divsChild>
        <w:div w:id="368186640">
          <w:marLeft w:val="0"/>
          <w:marRight w:val="0"/>
          <w:marTop w:val="0"/>
          <w:marBottom w:val="0"/>
          <w:divBdr>
            <w:top w:val="none" w:sz="0" w:space="0" w:color="auto"/>
            <w:left w:val="none" w:sz="0" w:space="0" w:color="auto"/>
            <w:bottom w:val="none" w:sz="0" w:space="0" w:color="auto"/>
            <w:right w:val="none" w:sz="0" w:space="0" w:color="auto"/>
          </w:divBdr>
          <w:divsChild>
            <w:div w:id="1987079950">
              <w:marLeft w:val="0"/>
              <w:marRight w:val="0"/>
              <w:marTop w:val="0"/>
              <w:marBottom w:val="0"/>
              <w:divBdr>
                <w:top w:val="none" w:sz="0" w:space="0" w:color="auto"/>
                <w:left w:val="none" w:sz="0" w:space="0" w:color="auto"/>
                <w:bottom w:val="none" w:sz="0" w:space="0" w:color="auto"/>
                <w:right w:val="none" w:sz="0" w:space="0" w:color="auto"/>
              </w:divBdr>
              <w:divsChild>
                <w:div w:id="146676781">
                  <w:marLeft w:val="0"/>
                  <w:marRight w:val="0"/>
                  <w:marTop w:val="0"/>
                  <w:marBottom w:val="0"/>
                  <w:divBdr>
                    <w:top w:val="none" w:sz="0" w:space="0" w:color="auto"/>
                    <w:left w:val="none" w:sz="0" w:space="0" w:color="auto"/>
                    <w:bottom w:val="none" w:sz="0" w:space="0" w:color="auto"/>
                    <w:right w:val="none" w:sz="0" w:space="0" w:color="auto"/>
                  </w:divBdr>
                  <w:divsChild>
                    <w:div w:id="5605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3024">
      <w:bodyDiv w:val="1"/>
      <w:marLeft w:val="0"/>
      <w:marRight w:val="0"/>
      <w:marTop w:val="0"/>
      <w:marBottom w:val="0"/>
      <w:divBdr>
        <w:top w:val="none" w:sz="0" w:space="0" w:color="auto"/>
        <w:left w:val="none" w:sz="0" w:space="0" w:color="auto"/>
        <w:bottom w:val="none" w:sz="0" w:space="0" w:color="auto"/>
        <w:right w:val="none" w:sz="0" w:space="0" w:color="auto"/>
      </w:divBdr>
      <w:divsChild>
        <w:div w:id="1877236669">
          <w:marLeft w:val="0"/>
          <w:marRight w:val="0"/>
          <w:marTop w:val="0"/>
          <w:marBottom w:val="0"/>
          <w:divBdr>
            <w:top w:val="none" w:sz="0" w:space="0" w:color="auto"/>
            <w:left w:val="none" w:sz="0" w:space="0" w:color="auto"/>
            <w:bottom w:val="none" w:sz="0" w:space="0" w:color="auto"/>
            <w:right w:val="none" w:sz="0" w:space="0" w:color="auto"/>
          </w:divBdr>
          <w:divsChild>
            <w:div w:id="1272128697">
              <w:marLeft w:val="0"/>
              <w:marRight w:val="0"/>
              <w:marTop w:val="0"/>
              <w:marBottom w:val="0"/>
              <w:divBdr>
                <w:top w:val="none" w:sz="0" w:space="0" w:color="auto"/>
                <w:left w:val="none" w:sz="0" w:space="0" w:color="auto"/>
                <w:bottom w:val="none" w:sz="0" w:space="0" w:color="auto"/>
                <w:right w:val="none" w:sz="0" w:space="0" w:color="auto"/>
              </w:divBdr>
              <w:divsChild>
                <w:div w:id="205652764">
                  <w:marLeft w:val="0"/>
                  <w:marRight w:val="0"/>
                  <w:marTop w:val="0"/>
                  <w:marBottom w:val="0"/>
                  <w:divBdr>
                    <w:top w:val="none" w:sz="0" w:space="0" w:color="auto"/>
                    <w:left w:val="none" w:sz="0" w:space="0" w:color="auto"/>
                    <w:bottom w:val="none" w:sz="0" w:space="0" w:color="auto"/>
                    <w:right w:val="none" w:sz="0" w:space="0" w:color="auto"/>
                  </w:divBdr>
                  <w:divsChild>
                    <w:div w:id="12739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0435">
      <w:bodyDiv w:val="1"/>
      <w:marLeft w:val="0"/>
      <w:marRight w:val="0"/>
      <w:marTop w:val="0"/>
      <w:marBottom w:val="0"/>
      <w:divBdr>
        <w:top w:val="none" w:sz="0" w:space="0" w:color="auto"/>
        <w:left w:val="none" w:sz="0" w:space="0" w:color="auto"/>
        <w:bottom w:val="none" w:sz="0" w:space="0" w:color="auto"/>
        <w:right w:val="none" w:sz="0" w:space="0" w:color="auto"/>
      </w:divBdr>
      <w:divsChild>
        <w:div w:id="1420062464">
          <w:marLeft w:val="0"/>
          <w:marRight w:val="0"/>
          <w:marTop w:val="0"/>
          <w:marBottom w:val="0"/>
          <w:divBdr>
            <w:top w:val="none" w:sz="0" w:space="0" w:color="auto"/>
            <w:left w:val="none" w:sz="0" w:space="0" w:color="auto"/>
            <w:bottom w:val="none" w:sz="0" w:space="0" w:color="auto"/>
            <w:right w:val="none" w:sz="0" w:space="0" w:color="auto"/>
          </w:divBdr>
          <w:divsChild>
            <w:div w:id="705180364">
              <w:marLeft w:val="0"/>
              <w:marRight w:val="0"/>
              <w:marTop w:val="0"/>
              <w:marBottom w:val="0"/>
              <w:divBdr>
                <w:top w:val="none" w:sz="0" w:space="0" w:color="auto"/>
                <w:left w:val="none" w:sz="0" w:space="0" w:color="auto"/>
                <w:bottom w:val="none" w:sz="0" w:space="0" w:color="auto"/>
                <w:right w:val="none" w:sz="0" w:space="0" w:color="auto"/>
              </w:divBdr>
              <w:divsChild>
                <w:div w:id="1935437512">
                  <w:marLeft w:val="0"/>
                  <w:marRight w:val="0"/>
                  <w:marTop w:val="0"/>
                  <w:marBottom w:val="0"/>
                  <w:divBdr>
                    <w:top w:val="none" w:sz="0" w:space="0" w:color="auto"/>
                    <w:left w:val="none" w:sz="0" w:space="0" w:color="auto"/>
                    <w:bottom w:val="none" w:sz="0" w:space="0" w:color="auto"/>
                    <w:right w:val="none" w:sz="0" w:space="0" w:color="auto"/>
                  </w:divBdr>
                  <w:divsChild>
                    <w:div w:id="128230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20486583">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48735118">
      <w:bodyDiv w:val="1"/>
      <w:marLeft w:val="0"/>
      <w:marRight w:val="0"/>
      <w:marTop w:val="0"/>
      <w:marBottom w:val="0"/>
      <w:divBdr>
        <w:top w:val="none" w:sz="0" w:space="0" w:color="auto"/>
        <w:left w:val="none" w:sz="0" w:space="0" w:color="auto"/>
        <w:bottom w:val="none" w:sz="0" w:space="0" w:color="auto"/>
        <w:right w:val="none" w:sz="0" w:space="0" w:color="auto"/>
      </w:divBdr>
      <w:divsChild>
        <w:div w:id="615330086">
          <w:marLeft w:val="0"/>
          <w:marRight w:val="0"/>
          <w:marTop w:val="0"/>
          <w:marBottom w:val="0"/>
          <w:divBdr>
            <w:top w:val="none" w:sz="0" w:space="0" w:color="auto"/>
            <w:left w:val="none" w:sz="0" w:space="0" w:color="auto"/>
            <w:bottom w:val="none" w:sz="0" w:space="0" w:color="auto"/>
            <w:right w:val="none" w:sz="0" w:space="0" w:color="auto"/>
          </w:divBdr>
          <w:divsChild>
            <w:div w:id="1413744004">
              <w:marLeft w:val="0"/>
              <w:marRight w:val="0"/>
              <w:marTop w:val="0"/>
              <w:marBottom w:val="0"/>
              <w:divBdr>
                <w:top w:val="none" w:sz="0" w:space="0" w:color="auto"/>
                <w:left w:val="none" w:sz="0" w:space="0" w:color="auto"/>
                <w:bottom w:val="none" w:sz="0" w:space="0" w:color="auto"/>
                <w:right w:val="none" w:sz="0" w:space="0" w:color="auto"/>
              </w:divBdr>
              <w:divsChild>
                <w:div w:id="304745215">
                  <w:marLeft w:val="0"/>
                  <w:marRight w:val="0"/>
                  <w:marTop w:val="0"/>
                  <w:marBottom w:val="0"/>
                  <w:divBdr>
                    <w:top w:val="none" w:sz="0" w:space="0" w:color="auto"/>
                    <w:left w:val="none" w:sz="0" w:space="0" w:color="auto"/>
                    <w:bottom w:val="none" w:sz="0" w:space="0" w:color="auto"/>
                    <w:right w:val="none" w:sz="0" w:space="0" w:color="auto"/>
                  </w:divBdr>
                  <w:divsChild>
                    <w:div w:id="6500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173182">
      <w:bodyDiv w:val="1"/>
      <w:marLeft w:val="0"/>
      <w:marRight w:val="0"/>
      <w:marTop w:val="0"/>
      <w:marBottom w:val="0"/>
      <w:divBdr>
        <w:top w:val="none" w:sz="0" w:space="0" w:color="auto"/>
        <w:left w:val="none" w:sz="0" w:space="0" w:color="auto"/>
        <w:bottom w:val="none" w:sz="0" w:space="0" w:color="auto"/>
        <w:right w:val="none" w:sz="0" w:space="0" w:color="auto"/>
      </w:divBdr>
      <w:divsChild>
        <w:div w:id="1193035551">
          <w:marLeft w:val="0"/>
          <w:marRight w:val="0"/>
          <w:marTop w:val="0"/>
          <w:marBottom w:val="0"/>
          <w:divBdr>
            <w:top w:val="none" w:sz="0" w:space="0" w:color="auto"/>
            <w:left w:val="none" w:sz="0" w:space="0" w:color="auto"/>
            <w:bottom w:val="none" w:sz="0" w:space="0" w:color="auto"/>
            <w:right w:val="none" w:sz="0" w:space="0" w:color="auto"/>
          </w:divBdr>
          <w:divsChild>
            <w:div w:id="548956186">
              <w:marLeft w:val="0"/>
              <w:marRight w:val="0"/>
              <w:marTop w:val="0"/>
              <w:marBottom w:val="0"/>
              <w:divBdr>
                <w:top w:val="none" w:sz="0" w:space="0" w:color="auto"/>
                <w:left w:val="none" w:sz="0" w:space="0" w:color="auto"/>
                <w:bottom w:val="none" w:sz="0" w:space="0" w:color="auto"/>
                <w:right w:val="none" w:sz="0" w:space="0" w:color="auto"/>
              </w:divBdr>
              <w:divsChild>
                <w:div w:id="965427769">
                  <w:marLeft w:val="0"/>
                  <w:marRight w:val="0"/>
                  <w:marTop w:val="0"/>
                  <w:marBottom w:val="0"/>
                  <w:divBdr>
                    <w:top w:val="none" w:sz="0" w:space="0" w:color="auto"/>
                    <w:left w:val="none" w:sz="0" w:space="0" w:color="auto"/>
                    <w:bottom w:val="none" w:sz="0" w:space="0" w:color="auto"/>
                    <w:right w:val="none" w:sz="0" w:space="0" w:color="auto"/>
                  </w:divBdr>
                  <w:divsChild>
                    <w:div w:id="2901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60114768">
      <w:bodyDiv w:val="1"/>
      <w:marLeft w:val="0"/>
      <w:marRight w:val="0"/>
      <w:marTop w:val="0"/>
      <w:marBottom w:val="0"/>
      <w:divBdr>
        <w:top w:val="none" w:sz="0" w:space="0" w:color="auto"/>
        <w:left w:val="none" w:sz="0" w:space="0" w:color="auto"/>
        <w:bottom w:val="none" w:sz="0" w:space="0" w:color="auto"/>
        <w:right w:val="none" w:sz="0" w:space="0" w:color="auto"/>
      </w:divBdr>
      <w:divsChild>
        <w:div w:id="913586457">
          <w:marLeft w:val="0"/>
          <w:marRight w:val="0"/>
          <w:marTop w:val="0"/>
          <w:marBottom w:val="0"/>
          <w:divBdr>
            <w:top w:val="none" w:sz="0" w:space="0" w:color="auto"/>
            <w:left w:val="none" w:sz="0" w:space="0" w:color="auto"/>
            <w:bottom w:val="none" w:sz="0" w:space="0" w:color="auto"/>
            <w:right w:val="none" w:sz="0" w:space="0" w:color="auto"/>
          </w:divBdr>
          <w:divsChild>
            <w:div w:id="816992136">
              <w:marLeft w:val="0"/>
              <w:marRight w:val="0"/>
              <w:marTop w:val="0"/>
              <w:marBottom w:val="0"/>
              <w:divBdr>
                <w:top w:val="none" w:sz="0" w:space="0" w:color="auto"/>
                <w:left w:val="none" w:sz="0" w:space="0" w:color="auto"/>
                <w:bottom w:val="none" w:sz="0" w:space="0" w:color="auto"/>
                <w:right w:val="none" w:sz="0" w:space="0" w:color="auto"/>
              </w:divBdr>
              <w:divsChild>
                <w:div w:id="2133746289">
                  <w:marLeft w:val="0"/>
                  <w:marRight w:val="0"/>
                  <w:marTop w:val="0"/>
                  <w:marBottom w:val="0"/>
                  <w:divBdr>
                    <w:top w:val="none" w:sz="0" w:space="0" w:color="auto"/>
                    <w:left w:val="none" w:sz="0" w:space="0" w:color="auto"/>
                    <w:bottom w:val="none" w:sz="0" w:space="0" w:color="auto"/>
                    <w:right w:val="none" w:sz="0" w:space="0" w:color="auto"/>
                  </w:divBdr>
                  <w:divsChild>
                    <w:div w:id="1068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6972">
      <w:bodyDiv w:val="1"/>
      <w:marLeft w:val="0"/>
      <w:marRight w:val="0"/>
      <w:marTop w:val="0"/>
      <w:marBottom w:val="0"/>
      <w:divBdr>
        <w:top w:val="none" w:sz="0" w:space="0" w:color="auto"/>
        <w:left w:val="none" w:sz="0" w:space="0" w:color="auto"/>
        <w:bottom w:val="none" w:sz="0" w:space="0" w:color="auto"/>
        <w:right w:val="none" w:sz="0" w:space="0" w:color="auto"/>
      </w:divBdr>
      <w:divsChild>
        <w:div w:id="1555039666">
          <w:marLeft w:val="0"/>
          <w:marRight w:val="0"/>
          <w:marTop w:val="0"/>
          <w:marBottom w:val="0"/>
          <w:divBdr>
            <w:top w:val="none" w:sz="0" w:space="0" w:color="auto"/>
            <w:left w:val="none" w:sz="0" w:space="0" w:color="auto"/>
            <w:bottom w:val="none" w:sz="0" w:space="0" w:color="auto"/>
            <w:right w:val="none" w:sz="0" w:space="0" w:color="auto"/>
          </w:divBdr>
          <w:divsChild>
            <w:div w:id="2015916019">
              <w:marLeft w:val="0"/>
              <w:marRight w:val="0"/>
              <w:marTop w:val="0"/>
              <w:marBottom w:val="0"/>
              <w:divBdr>
                <w:top w:val="none" w:sz="0" w:space="0" w:color="auto"/>
                <w:left w:val="none" w:sz="0" w:space="0" w:color="auto"/>
                <w:bottom w:val="none" w:sz="0" w:space="0" w:color="auto"/>
                <w:right w:val="none" w:sz="0" w:space="0" w:color="auto"/>
              </w:divBdr>
              <w:divsChild>
                <w:div w:id="283780579">
                  <w:marLeft w:val="0"/>
                  <w:marRight w:val="0"/>
                  <w:marTop w:val="0"/>
                  <w:marBottom w:val="0"/>
                  <w:divBdr>
                    <w:top w:val="none" w:sz="0" w:space="0" w:color="auto"/>
                    <w:left w:val="none" w:sz="0" w:space="0" w:color="auto"/>
                    <w:bottom w:val="none" w:sz="0" w:space="0" w:color="auto"/>
                    <w:right w:val="none" w:sz="0" w:space="0" w:color="auto"/>
                  </w:divBdr>
                  <w:divsChild>
                    <w:div w:id="17935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5175">
      <w:bodyDiv w:val="1"/>
      <w:marLeft w:val="0"/>
      <w:marRight w:val="0"/>
      <w:marTop w:val="0"/>
      <w:marBottom w:val="0"/>
      <w:divBdr>
        <w:top w:val="none" w:sz="0" w:space="0" w:color="auto"/>
        <w:left w:val="none" w:sz="0" w:space="0" w:color="auto"/>
        <w:bottom w:val="none" w:sz="0" w:space="0" w:color="auto"/>
        <w:right w:val="none" w:sz="0" w:space="0" w:color="auto"/>
      </w:divBdr>
      <w:divsChild>
        <w:div w:id="1665353737">
          <w:marLeft w:val="0"/>
          <w:marRight w:val="0"/>
          <w:marTop w:val="0"/>
          <w:marBottom w:val="0"/>
          <w:divBdr>
            <w:top w:val="none" w:sz="0" w:space="0" w:color="auto"/>
            <w:left w:val="none" w:sz="0" w:space="0" w:color="auto"/>
            <w:bottom w:val="none" w:sz="0" w:space="0" w:color="auto"/>
            <w:right w:val="none" w:sz="0" w:space="0" w:color="auto"/>
          </w:divBdr>
          <w:divsChild>
            <w:div w:id="820584076">
              <w:marLeft w:val="0"/>
              <w:marRight w:val="0"/>
              <w:marTop w:val="0"/>
              <w:marBottom w:val="0"/>
              <w:divBdr>
                <w:top w:val="none" w:sz="0" w:space="0" w:color="auto"/>
                <w:left w:val="none" w:sz="0" w:space="0" w:color="auto"/>
                <w:bottom w:val="none" w:sz="0" w:space="0" w:color="auto"/>
                <w:right w:val="none" w:sz="0" w:space="0" w:color="auto"/>
              </w:divBdr>
              <w:divsChild>
                <w:div w:id="938681458">
                  <w:marLeft w:val="0"/>
                  <w:marRight w:val="0"/>
                  <w:marTop w:val="0"/>
                  <w:marBottom w:val="0"/>
                  <w:divBdr>
                    <w:top w:val="none" w:sz="0" w:space="0" w:color="auto"/>
                    <w:left w:val="none" w:sz="0" w:space="0" w:color="auto"/>
                    <w:bottom w:val="none" w:sz="0" w:space="0" w:color="auto"/>
                    <w:right w:val="none" w:sz="0" w:space="0" w:color="auto"/>
                  </w:divBdr>
                  <w:divsChild>
                    <w:div w:id="21221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300195">
      <w:bodyDiv w:val="1"/>
      <w:marLeft w:val="0"/>
      <w:marRight w:val="0"/>
      <w:marTop w:val="0"/>
      <w:marBottom w:val="0"/>
      <w:divBdr>
        <w:top w:val="none" w:sz="0" w:space="0" w:color="auto"/>
        <w:left w:val="none" w:sz="0" w:space="0" w:color="auto"/>
        <w:bottom w:val="none" w:sz="0" w:space="0" w:color="auto"/>
        <w:right w:val="none" w:sz="0" w:space="0" w:color="auto"/>
      </w:divBdr>
      <w:divsChild>
        <w:div w:id="755709746">
          <w:marLeft w:val="0"/>
          <w:marRight w:val="0"/>
          <w:marTop w:val="0"/>
          <w:marBottom w:val="0"/>
          <w:divBdr>
            <w:top w:val="none" w:sz="0" w:space="0" w:color="auto"/>
            <w:left w:val="none" w:sz="0" w:space="0" w:color="auto"/>
            <w:bottom w:val="none" w:sz="0" w:space="0" w:color="auto"/>
            <w:right w:val="none" w:sz="0" w:space="0" w:color="auto"/>
          </w:divBdr>
          <w:divsChild>
            <w:div w:id="967201846">
              <w:marLeft w:val="0"/>
              <w:marRight w:val="0"/>
              <w:marTop w:val="0"/>
              <w:marBottom w:val="0"/>
              <w:divBdr>
                <w:top w:val="none" w:sz="0" w:space="0" w:color="auto"/>
                <w:left w:val="none" w:sz="0" w:space="0" w:color="auto"/>
                <w:bottom w:val="none" w:sz="0" w:space="0" w:color="auto"/>
                <w:right w:val="none" w:sz="0" w:space="0" w:color="auto"/>
              </w:divBdr>
              <w:divsChild>
                <w:div w:id="1295018643">
                  <w:marLeft w:val="0"/>
                  <w:marRight w:val="0"/>
                  <w:marTop w:val="0"/>
                  <w:marBottom w:val="0"/>
                  <w:divBdr>
                    <w:top w:val="none" w:sz="0" w:space="0" w:color="auto"/>
                    <w:left w:val="none" w:sz="0" w:space="0" w:color="auto"/>
                    <w:bottom w:val="none" w:sz="0" w:space="0" w:color="auto"/>
                    <w:right w:val="none" w:sz="0" w:space="0" w:color="auto"/>
                  </w:divBdr>
                  <w:divsChild>
                    <w:div w:id="3674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73549">
      <w:bodyDiv w:val="1"/>
      <w:marLeft w:val="0"/>
      <w:marRight w:val="0"/>
      <w:marTop w:val="0"/>
      <w:marBottom w:val="0"/>
      <w:divBdr>
        <w:top w:val="none" w:sz="0" w:space="0" w:color="auto"/>
        <w:left w:val="none" w:sz="0" w:space="0" w:color="auto"/>
        <w:bottom w:val="none" w:sz="0" w:space="0" w:color="auto"/>
        <w:right w:val="none" w:sz="0" w:space="0" w:color="auto"/>
      </w:divBdr>
      <w:divsChild>
        <w:div w:id="708069925">
          <w:marLeft w:val="0"/>
          <w:marRight w:val="0"/>
          <w:marTop w:val="0"/>
          <w:marBottom w:val="0"/>
          <w:divBdr>
            <w:top w:val="none" w:sz="0" w:space="0" w:color="auto"/>
            <w:left w:val="none" w:sz="0" w:space="0" w:color="auto"/>
            <w:bottom w:val="none" w:sz="0" w:space="0" w:color="auto"/>
            <w:right w:val="none" w:sz="0" w:space="0" w:color="auto"/>
          </w:divBdr>
          <w:divsChild>
            <w:div w:id="421267971">
              <w:marLeft w:val="0"/>
              <w:marRight w:val="0"/>
              <w:marTop w:val="0"/>
              <w:marBottom w:val="0"/>
              <w:divBdr>
                <w:top w:val="none" w:sz="0" w:space="0" w:color="auto"/>
                <w:left w:val="none" w:sz="0" w:space="0" w:color="auto"/>
                <w:bottom w:val="none" w:sz="0" w:space="0" w:color="auto"/>
                <w:right w:val="none" w:sz="0" w:space="0" w:color="auto"/>
              </w:divBdr>
              <w:divsChild>
                <w:div w:id="1047410202">
                  <w:marLeft w:val="0"/>
                  <w:marRight w:val="0"/>
                  <w:marTop w:val="0"/>
                  <w:marBottom w:val="0"/>
                  <w:divBdr>
                    <w:top w:val="none" w:sz="0" w:space="0" w:color="auto"/>
                    <w:left w:val="none" w:sz="0" w:space="0" w:color="auto"/>
                    <w:bottom w:val="none" w:sz="0" w:space="0" w:color="auto"/>
                    <w:right w:val="none" w:sz="0" w:space="0" w:color="auto"/>
                  </w:divBdr>
                  <w:divsChild>
                    <w:div w:id="7292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6895">
      <w:bodyDiv w:val="1"/>
      <w:marLeft w:val="0"/>
      <w:marRight w:val="0"/>
      <w:marTop w:val="0"/>
      <w:marBottom w:val="0"/>
      <w:divBdr>
        <w:top w:val="none" w:sz="0" w:space="0" w:color="auto"/>
        <w:left w:val="none" w:sz="0" w:space="0" w:color="auto"/>
        <w:bottom w:val="none" w:sz="0" w:space="0" w:color="auto"/>
        <w:right w:val="none" w:sz="0" w:space="0" w:color="auto"/>
      </w:divBdr>
    </w:div>
    <w:div w:id="290786555">
      <w:bodyDiv w:val="1"/>
      <w:marLeft w:val="0"/>
      <w:marRight w:val="0"/>
      <w:marTop w:val="0"/>
      <w:marBottom w:val="0"/>
      <w:divBdr>
        <w:top w:val="none" w:sz="0" w:space="0" w:color="auto"/>
        <w:left w:val="none" w:sz="0" w:space="0" w:color="auto"/>
        <w:bottom w:val="none" w:sz="0" w:space="0" w:color="auto"/>
        <w:right w:val="none" w:sz="0" w:space="0" w:color="auto"/>
      </w:divBdr>
      <w:divsChild>
        <w:div w:id="941686981">
          <w:marLeft w:val="0"/>
          <w:marRight w:val="0"/>
          <w:marTop w:val="0"/>
          <w:marBottom w:val="0"/>
          <w:divBdr>
            <w:top w:val="none" w:sz="0" w:space="0" w:color="auto"/>
            <w:left w:val="none" w:sz="0" w:space="0" w:color="auto"/>
            <w:bottom w:val="none" w:sz="0" w:space="0" w:color="auto"/>
            <w:right w:val="none" w:sz="0" w:space="0" w:color="auto"/>
          </w:divBdr>
          <w:divsChild>
            <w:div w:id="765275794">
              <w:marLeft w:val="0"/>
              <w:marRight w:val="0"/>
              <w:marTop w:val="0"/>
              <w:marBottom w:val="0"/>
              <w:divBdr>
                <w:top w:val="none" w:sz="0" w:space="0" w:color="auto"/>
                <w:left w:val="none" w:sz="0" w:space="0" w:color="auto"/>
                <w:bottom w:val="none" w:sz="0" w:space="0" w:color="auto"/>
                <w:right w:val="none" w:sz="0" w:space="0" w:color="auto"/>
              </w:divBdr>
              <w:divsChild>
                <w:div w:id="1361475170">
                  <w:marLeft w:val="0"/>
                  <w:marRight w:val="0"/>
                  <w:marTop w:val="0"/>
                  <w:marBottom w:val="0"/>
                  <w:divBdr>
                    <w:top w:val="none" w:sz="0" w:space="0" w:color="auto"/>
                    <w:left w:val="none" w:sz="0" w:space="0" w:color="auto"/>
                    <w:bottom w:val="none" w:sz="0" w:space="0" w:color="auto"/>
                    <w:right w:val="none" w:sz="0" w:space="0" w:color="auto"/>
                  </w:divBdr>
                  <w:divsChild>
                    <w:div w:id="6920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8786">
      <w:bodyDiv w:val="1"/>
      <w:marLeft w:val="0"/>
      <w:marRight w:val="0"/>
      <w:marTop w:val="0"/>
      <w:marBottom w:val="0"/>
      <w:divBdr>
        <w:top w:val="none" w:sz="0" w:space="0" w:color="auto"/>
        <w:left w:val="none" w:sz="0" w:space="0" w:color="auto"/>
        <w:bottom w:val="none" w:sz="0" w:space="0" w:color="auto"/>
        <w:right w:val="none" w:sz="0" w:space="0" w:color="auto"/>
      </w:divBdr>
    </w:div>
    <w:div w:id="307318646">
      <w:bodyDiv w:val="1"/>
      <w:marLeft w:val="0"/>
      <w:marRight w:val="0"/>
      <w:marTop w:val="0"/>
      <w:marBottom w:val="0"/>
      <w:divBdr>
        <w:top w:val="none" w:sz="0" w:space="0" w:color="auto"/>
        <w:left w:val="none" w:sz="0" w:space="0" w:color="auto"/>
        <w:bottom w:val="none" w:sz="0" w:space="0" w:color="auto"/>
        <w:right w:val="none" w:sz="0" w:space="0" w:color="auto"/>
      </w:divBdr>
    </w:div>
    <w:div w:id="309099784">
      <w:bodyDiv w:val="1"/>
      <w:marLeft w:val="0"/>
      <w:marRight w:val="0"/>
      <w:marTop w:val="0"/>
      <w:marBottom w:val="0"/>
      <w:divBdr>
        <w:top w:val="none" w:sz="0" w:space="0" w:color="auto"/>
        <w:left w:val="none" w:sz="0" w:space="0" w:color="auto"/>
        <w:bottom w:val="none" w:sz="0" w:space="0" w:color="auto"/>
        <w:right w:val="none" w:sz="0" w:space="0" w:color="auto"/>
      </w:divBdr>
    </w:div>
    <w:div w:id="311183380">
      <w:bodyDiv w:val="1"/>
      <w:marLeft w:val="0"/>
      <w:marRight w:val="0"/>
      <w:marTop w:val="0"/>
      <w:marBottom w:val="0"/>
      <w:divBdr>
        <w:top w:val="none" w:sz="0" w:space="0" w:color="auto"/>
        <w:left w:val="none" w:sz="0" w:space="0" w:color="auto"/>
        <w:bottom w:val="none" w:sz="0" w:space="0" w:color="auto"/>
        <w:right w:val="none" w:sz="0" w:space="0" w:color="auto"/>
      </w:divBdr>
      <w:divsChild>
        <w:div w:id="1831558014">
          <w:marLeft w:val="0"/>
          <w:marRight w:val="0"/>
          <w:marTop w:val="0"/>
          <w:marBottom w:val="0"/>
          <w:divBdr>
            <w:top w:val="none" w:sz="0" w:space="0" w:color="auto"/>
            <w:left w:val="none" w:sz="0" w:space="0" w:color="auto"/>
            <w:bottom w:val="none" w:sz="0" w:space="0" w:color="auto"/>
            <w:right w:val="none" w:sz="0" w:space="0" w:color="auto"/>
          </w:divBdr>
          <w:divsChild>
            <w:div w:id="1487671320">
              <w:marLeft w:val="0"/>
              <w:marRight w:val="0"/>
              <w:marTop w:val="0"/>
              <w:marBottom w:val="0"/>
              <w:divBdr>
                <w:top w:val="none" w:sz="0" w:space="0" w:color="auto"/>
                <w:left w:val="none" w:sz="0" w:space="0" w:color="auto"/>
                <w:bottom w:val="none" w:sz="0" w:space="0" w:color="auto"/>
                <w:right w:val="none" w:sz="0" w:space="0" w:color="auto"/>
              </w:divBdr>
              <w:divsChild>
                <w:div w:id="364791438">
                  <w:marLeft w:val="0"/>
                  <w:marRight w:val="0"/>
                  <w:marTop w:val="0"/>
                  <w:marBottom w:val="0"/>
                  <w:divBdr>
                    <w:top w:val="none" w:sz="0" w:space="0" w:color="auto"/>
                    <w:left w:val="none" w:sz="0" w:space="0" w:color="auto"/>
                    <w:bottom w:val="none" w:sz="0" w:space="0" w:color="auto"/>
                    <w:right w:val="none" w:sz="0" w:space="0" w:color="auto"/>
                  </w:divBdr>
                  <w:divsChild>
                    <w:div w:id="14397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06362">
      <w:bodyDiv w:val="1"/>
      <w:marLeft w:val="0"/>
      <w:marRight w:val="0"/>
      <w:marTop w:val="0"/>
      <w:marBottom w:val="0"/>
      <w:divBdr>
        <w:top w:val="none" w:sz="0" w:space="0" w:color="auto"/>
        <w:left w:val="none" w:sz="0" w:space="0" w:color="auto"/>
        <w:bottom w:val="none" w:sz="0" w:space="0" w:color="auto"/>
        <w:right w:val="none" w:sz="0" w:space="0" w:color="auto"/>
      </w:divBdr>
    </w:div>
    <w:div w:id="345911015">
      <w:bodyDiv w:val="1"/>
      <w:marLeft w:val="0"/>
      <w:marRight w:val="0"/>
      <w:marTop w:val="0"/>
      <w:marBottom w:val="0"/>
      <w:divBdr>
        <w:top w:val="none" w:sz="0" w:space="0" w:color="auto"/>
        <w:left w:val="none" w:sz="0" w:space="0" w:color="auto"/>
        <w:bottom w:val="none" w:sz="0" w:space="0" w:color="auto"/>
        <w:right w:val="none" w:sz="0" w:space="0" w:color="auto"/>
      </w:divBdr>
      <w:divsChild>
        <w:div w:id="1272906035">
          <w:marLeft w:val="0"/>
          <w:marRight w:val="0"/>
          <w:marTop w:val="0"/>
          <w:marBottom w:val="0"/>
          <w:divBdr>
            <w:top w:val="none" w:sz="0" w:space="0" w:color="auto"/>
            <w:left w:val="none" w:sz="0" w:space="0" w:color="auto"/>
            <w:bottom w:val="none" w:sz="0" w:space="0" w:color="auto"/>
            <w:right w:val="none" w:sz="0" w:space="0" w:color="auto"/>
          </w:divBdr>
          <w:divsChild>
            <w:div w:id="1866944950">
              <w:marLeft w:val="0"/>
              <w:marRight w:val="0"/>
              <w:marTop w:val="0"/>
              <w:marBottom w:val="0"/>
              <w:divBdr>
                <w:top w:val="none" w:sz="0" w:space="0" w:color="auto"/>
                <w:left w:val="none" w:sz="0" w:space="0" w:color="auto"/>
                <w:bottom w:val="none" w:sz="0" w:space="0" w:color="auto"/>
                <w:right w:val="none" w:sz="0" w:space="0" w:color="auto"/>
              </w:divBdr>
              <w:divsChild>
                <w:div w:id="1846749870">
                  <w:marLeft w:val="0"/>
                  <w:marRight w:val="0"/>
                  <w:marTop w:val="0"/>
                  <w:marBottom w:val="0"/>
                  <w:divBdr>
                    <w:top w:val="none" w:sz="0" w:space="0" w:color="auto"/>
                    <w:left w:val="none" w:sz="0" w:space="0" w:color="auto"/>
                    <w:bottom w:val="none" w:sz="0" w:space="0" w:color="auto"/>
                    <w:right w:val="none" w:sz="0" w:space="0" w:color="auto"/>
                  </w:divBdr>
                  <w:divsChild>
                    <w:div w:id="16366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393313446">
      <w:bodyDiv w:val="1"/>
      <w:marLeft w:val="0"/>
      <w:marRight w:val="0"/>
      <w:marTop w:val="0"/>
      <w:marBottom w:val="0"/>
      <w:divBdr>
        <w:top w:val="none" w:sz="0" w:space="0" w:color="auto"/>
        <w:left w:val="none" w:sz="0" w:space="0" w:color="auto"/>
        <w:bottom w:val="none" w:sz="0" w:space="0" w:color="auto"/>
        <w:right w:val="none" w:sz="0" w:space="0" w:color="auto"/>
      </w:divBdr>
      <w:divsChild>
        <w:div w:id="555094254">
          <w:marLeft w:val="0"/>
          <w:marRight w:val="0"/>
          <w:marTop w:val="0"/>
          <w:marBottom w:val="0"/>
          <w:divBdr>
            <w:top w:val="none" w:sz="0" w:space="0" w:color="auto"/>
            <w:left w:val="none" w:sz="0" w:space="0" w:color="auto"/>
            <w:bottom w:val="none" w:sz="0" w:space="0" w:color="auto"/>
            <w:right w:val="none" w:sz="0" w:space="0" w:color="auto"/>
          </w:divBdr>
          <w:divsChild>
            <w:div w:id="1559704467">
              <w:marLeft w:val="0"/>
              <w:marRight w:val="0"/>
              <w:marTop w:val="0"/>
              <w:marBottom w:val="0"/>
              <w:divBdr>
                <w:top w:val="none" w:sz="0" w:space="0" w:color="auto"/>
                <w:left w:val="none" w:sz="0" w:space="0" w:color="auto"/>
                <w:bottom w:val="none" w:sz="0" w:space="0" w:color="auto"/>
                <w:right w:val="none" w:sz="0" w:space="0" w:color="auto"/>
              </w:divBdr>
              <w:divsChild>
                <w:div w:id="209415418">
                  <w:marLeft w:val="0"/>
                  <w:marRight w:val="0"/>
                  <w:marTop w:val="0"/>
                  <w:marBottom w:val="0"/>
                  <w:divBdr>
                    <w:top w:val="none" w:sz="0" w:space="0" w:color="auto"/>
                    <w:left w:val="none" w:sz="0" w:space="0" w:color="auto"/>
                    <w:bottom w:val="none" w:sz="0" w:space="0" w:color="auto"/>
                    <w:right w:val="none" w:sz="0" w:space="0" w:color="auto"/>
                  </w:divBdr>
                  <w:divsChild>
                    <w:div w:id="14201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26110">
      <w:bodyDiv w:val="1"/>
      <w:marLeft w:val="0"/>
      <w:marRight w:val="0"/>
      <w:marTop w:val="0"/>
      <w:marBottom w:val="0"/>
      <w:divBdr>
        <w:top w:val="none" w:sz="0" w:space="0" w:color="auto"/>
        <w:left w:val="none" w:sz="0" w:space="0" w:color="auto"/>
        <w:bottom w:val="none" w:sz="0" w:space="0" w:color="auto"/>
        <w:right w:val="none" w:sz="0" w:space="0" w:color="auto"/>
      </w:divBdr>
      <w:divsChild>
        <w:div w:id="2094011477">
          <w:marLeft w:val="0"/>
          <w:marRight w:val="0"/>
          <w:marTop w:val="0"/>
          <w:marBottom w:val="0"/>
          <w:divBdr>
            <w:top w:val="none" w:sz="0" w:space="0" w:color="auto"/>
            <w:left w:val="none" w:sz="0" w:space="0" w:color="auto"/>
            <w:bottom w:val="none" w:sz="0" w:space="0" w:color="auto"/>
            <w:right w:val="none" w:sz="0" w:space="0" w:color="auto"/>
          </w:divBdr>
          <w:divsChild>
            <w:div w:id="140509464">
              <w:marLeft w:val="0"/>
              <w:marRight w:val="0"/>
              <w:marTop w:val="0"/>
              <w:marBottom w:val="0"/>
              <w:divBdr>
                <w:top w:val="none" w:sz="0" w:space="0" w:color="auto"/>
                <w:left w:val="none" w:sz="0" w:space="0" w:color="auto"/>
                <w:bottom w:val="none" w:sz="0" w:space="0" w:color="auto"/>
                <w:right w:val="none" w:sz="0" w:space="0" w:color="auto"/>
              </w:divBdr>
              <w:divsChild>
                <w:div w:id="568466357">
                  <w:marLeft w:val="0"/>
                  <w:marRight w:val="0"/>
                  <w:marTop w:val="0"/>
                  <w:marBottom w:val="0"/>
                  <w:divBdr>
                    <w:top w:val="none" w:sz="0" w:space="0" w:color="auto"/>
                    <w:left w:val="none" w:sz="0" w:space="0" w:color="auto"/>
                    <w:bottom w:val="none" w:sz="0" w:space="0" w:color="auto"/>
                    <w:right w:val="none" w:sz="0" w:space="0" w:color="auto"/>
                  </w:divBdr>
                  <w:divsChild>
                    <w:div w:id="59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67721">
      <w:bodyDiv w:val="1"/>
      <w:marLeft w:val="0"/>
      <w:marRight w:val="0"/>
      <w:marTop w:val="0"/>
      <w:marBottom w:val="0"/>
      <w:divBdr>
        <w:top w:val="none" w:sz="0" w:space="0" w:color="auto"/>
        <w:left w:val="none" w:sz="0" w:space="0" w:color="auto"/>
        <w:bottom w:val="none" w:sz="0" w:space="0" w:color="auto"/>
        <w:right w:val="none" w:sz="0" w:space="0" w:color="auto"/>
      </w:divBdr>
    </w:div>
    <w:div w:id="403257237">
      <w:bodyDiv w:val="1"/>
      <w:marLeft w:val="0"/>
      <w:marRight w:val="0"/>
      <w:marTop w:val="0"/>
      <w:marBottom w:val="0"/>
      <w:divBdr>
        <w:top w:val="none" w:sz="0" w:space="0" w:color="auto"/>
        <w:left w:val="none" w:sz="0" w:space="0" w:color="auto"/>
        <w:bottom w:val="none" w:sz="0" w:space="0" w:color="auto"/>
        <w:right w:val="none" w:sz="0" w:space="0" w:color="auto"/>
      </w:divBdr>
      <w:divsChild>
        <w:div w:id="1915121295">
          <w:marLeft w:val="0"/>
          <w:marRight w:val="0"/>
          <w:marTop w:val="0"/>
          <w:marBottom w:val="0"/>
          <w:divBdr>
            <w:top w:val="none" w:sz="0" w:space="0" w:color="auto"/>
            <w:left w:val="none" w:sz="0" w:space="0" w:color="auto"/>
            <w:bottom w:val="none" w:sz="0" w:space="0" w:color="auto"/>
            <w:right w:val="none" w:sz="0" w:space="0" w:color="auto"/>
          </w:divBdr>
          <w:divsChild>
            <w:div w:id="622003767">
              <w:marLeft w:val="0"/>
              <w:marRight w:val="0"/>
              <w:marTop w:val="0"/>
              <w:marBottom w:val="0"/>
              <w:divBdr>
                <w:top w:val="none" w:sz="0" w:space="0" w:color="auto"/>
                <w:left w:val="none" w:sz="0" w:space="0" w:color="auto"/>
                <w:bottom w:val="none" w:sz="0" w:space="0" w:color="auto"/>
                <w:right w:val="none" w:sz="0" w:space="0" w:color="auto"/>
              </w:divBdr>
              <w:divsChild>
                <w:div w:id="169412946">
                  <w:marLeft w:val="0"/>
                  <w:marRight w:val="0"/>
                  <w:marTop w:val="0"/>
                  <w:marBottom w:val="0"/>
                  <w:divBdr>
                    <w:top w:val="none" w:sz="0" w:space="0" w:color="auto"/>
                    <w:left w:val="none" w:sz="0" w:space="0" w:color="auto"/>
                    <w:bottom w:val="none" w:sz="0" w:space="0" w:color="auto"/>
                    <w:right w:val="none" w:sz="0" w:space="0" w:color="auto"/>
                  </w:divBdr>
                  <w:divsChild>
                    <w:div w:id="19529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09769">
      <w:bodyDiv w:val="1"/>
      <w:marLeft w:val="0"/>
      <w:marRight w:val="0"/>
      <w:marTop w:val="0"/>
      <w:marBottom w:val="0"/>
      <w:divBdr>
        <w:top w:val="none" w:sz="0" w:space="0" w:color="auto"/>
        <w:left w:val="none" w:sz="0" w:space="0" w:color="auto"/>
        <w:bottom w:val="none" w:sz="0" w:space="0" w:color="auto"/>
        <w:right w:val="none" w:sz="0" w:space="0" w:color="auto"/>
      </w:divBdr>
      <w:divsChild>
        <w:div w:id="1947957570">
          <w:marLeft w:val="0"/>
          <w:marRight w:val="0"/>
          <w:marTop w:val="0"/>
          <w:marBottom w:val="0"/>
          <w:divBdr>
            <w:top w:val="none" w:sz="0" w:space="0" w:color="auto"/>
            <w:left w:val="none" w:sz="0" w:space="0" w:color="auto"/>
            <w:bottom w:val="none" w:sz="0" w:space="0" w:color="auto"/>
            <w:right w:val="none" w:sz="0" w:space="0" w:color="auto"/>
          </w:divBdr>
          <w:divsChild>
            <w:div w:id="921060937">
              <w:marLeft w:val="0"/>
              <w:marRight w:val="0"/>
              <w:marTop w:val="0"/>
              <w:marBottom w:val="0"/>
              <w:divBdr>
                <w:top w:val="none" w:sz="0" w:space="0" w:color="auto"/>
                <w:left w:val="none" w:sz="0" w:space="0" w:color="auto"/>
                <w:bottom w:val="none" w:sz="0" w:space="0" w:color="auto"/>
                <w:right w:val="none" w:sz="0" w:space="0" w:color="auto"/>
              </w:divBdr>
              <w:divsChild>
                <w:div w:id="1414088417">
                  <w:marLeft w:val="0"/>
                  <w:marRight w:val="0"/>
                  <w:marTop w:val="0"/>
                  <w:marBottom w:val="0"/>
                  <w:divBdr>
                    <w:top w:val="none" w:sz="0" w:space="0" w:color="auto"/>
                    <w:left w:val="none" w:sz="0" w:space="0" w:color="auto"/>
                    <w:bottom w:val="none" w:sz="0" w:space="0" w:color="auto"/>
                    <w:right w:val="none" w:sz="0" w:space="0" w:color="auto"/>
                  </w:divBdr>
                  <w:divsChild>
                    <w:div w:id="15032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16559091">
      <w:bodyDiv w:val="1"/>
      <w:marLeft w:val="0"/>
      <w:marRight w:val="0"/>
      <w:marTop w:val="0"/>
      <w:marBottom w:val="0"/>
      <w:divBdr>
        <w:top w:val="none" w:sz="0" w:space="0" w:color="auto"/>
        <w:left w:val="none" w:sz="0" w:space="0" w:color="auto"/>
        <w:bottom w:val="none" w:sz="0" w:space="0" w:color="auto"/>
        <w:right w:val="none" w:sz="0" w:space="0" w:color="auto"/>
      </w:divBdr>
      <w:divsChild>
        <w:div w:id="2135253303">
          <w:marLeft w:val="0"/>
          <w:marRight w:val="0"/>
          <w:marTop w:val="0"/>
          <w:marBottom w:val="0"/>
          <w:divBdr>
            <w:top w:val="none" w:sz="0" w:space="0" w:color="auto"/>
            <w:left w:val="none" w:sz="0" w:space="0" w:color="auto"/>
            <w:bottom w:val="none" w:sz="0" w:space="0" w:color="auto"/>
            <w:right w:val="none" w:sz="0" w:space="0" w:color="auto"/>
          </w:divBdr>
          <w:divsChild>
            <w:div w:id="1325619953">
              <w:marLeft w:val="0"/>
              <w:marRight w:val="0"/>
              <w:marTop w:val="0"/>
              <w:marBottom w:val="0"/>
              <w:divBdr>
                <w:top w:val="none" w:sz="0" w:space="0" w:color="auto"/>
                <w:left w:val="none" w:sz="0" w:space="0" w:color="auto"/>
                <w:bottom w:val="none" w:sz="0" w:space="0" w:color="auto"/>
                <w:right w:val="none" w:sz="0" w:space="0" w:color="auto"/>
              </w:divBdr>
              <w:divsChild>
                <w:div w:id="1216967880">
                  <w:marLeft w:val="0"/>
                  <w:marRight w:val="0"/>
                  <w:marTop w:val="0"/>
                  <w:marBottom w:val="0"/>
                  <w:divBdr>
                    <w:top w:val="none" w:sz="0" w:space="0" w:color="auto"/>
                    <w:left w:val="none" w:sz="0" w:space="0" w:color="auto"/>
                    <w:bottom w:val="none" w:sz="0" w:space="0" w:color="auto"/>
                    <w:right w:val="none" w:sz="0" w:space="0" w:color="auto"/>
                  </w:divBdr>
                  <w:divsChild>
                    <w:div w:id="7473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0222501">
      <w:bodyDiv w:val="1"/>
      <w:marLeft w:val="0"/>
      <w:marRight w:val="0"/>
      <w:marTop w:val="0"/>
      <w:marBottom w:val="0"/>
      <w:divBdr>
        <w:top w:val="none" w:sz="0" w:space="0" w:color="auto"/>
        <w:left w:val="none" w:sz="0" w:space="0" w:color="auto"/>
        <w:bottom w:val="none" w:sz="0" w:space="0" w:color="auto"/>
        <w:right w:val="none" w:sz="0" w:space="0" w:color="auto"/>
      </w:divBdr>
      <w:divsChild>
        <w:div w:id="1657028990">
          <w:marLeft w:val="0"/>
          <w:marRight w:val="0"/>
          <w:marTop w:val="0"/>
          <w:marBottom w:val="0"/>
          <w:divBdr>
            <w:top w:val="none" w:sz="0" w:space="0" w:color="auto"/>
            <w:left w:val="none" w:sz="0" w:space="0" w:color="auto"/>
            <w:bottom w:val="none" w:sz="0" w:space="0" w:color="auto"/>
            <w:right w:val="none" w:sz="0" w:space="0" w:color="auto"/>
          </w:divBdr>
          <w:divsChild>
            <w:div w:id="488912262">
              <w:marLeft w:val="0"/>
              <w:marRight w:val="0"/>
              <w:marTop w:val="0"/>
              <w:marBottom w:val="0"/>
              <w:divBdr>
                <w:top w:val="none" w:sz="0" w:space="0" w:color="auto"/>
                <w:left w:val="none" w:sz="0" w:space="0" w:color="auto"/>
                <w:bottom w:val="none" w:sz="0" w:space="0" w:color="auto"/>
                <w:right w:val="none" w:sz="0" w:space="0" w:color="auto"/>
              </w:divBdr>
              <w:divsChild>
                <w:div w:id="147018118">
                  <w:marLeft w:val="0"/>
                  <w:marRight w:val="0"/>
                  <w:marTop w:val="0"/>
                  <w:marBottom w:val="0"/>
                  <w:divBdr>
                    <w:top w:val="none" w:sz="0" w:space="0" w:color="auto"/>
                    <w:left w:val="none" w:sz="0" w:space="0" w:color="auto"/>
                    <w:bottom w:val="none" w:sz="0" w:space="0" w:color="auto"/>
                    <w:right w:val="none" w:sz="0" w:space="0" w:color="auto"/>
                  </w:divBdr>
                  <w:divsChild>
                    <w:div w:id="6299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46781330">
      <w:bodyDiv w:val="1"/>
      <w:marLeft w:val="0"/>
      <w:marRight w:val="0"/>
      <w:marTop w:val="0"/>
      <w:marBottom w:val="0"/>
      <w:divBdr>
        <w:top w:val="none" w:sz="0" w:space="0" w:color="auto"/>
        <w:left w:val="none" w:sz="0" w:space="0" w:color="auto"/>
        <w:bottom w:val="none" w:sz="0" w:space="0" w:color="auto"/>
        <w:right w:val="none" w:sz="0" w:space="0" w:color="auto"/>
      </w:divBdr>
      <w:divsChild>
        <w:div w:id="1510633223">
          <w:marLeft w:val="0"/>
          <w:marRight w:val="0"/>
          <w:marTop w:val="0"/>
          <w:marBottom w:val="0"/>
          <w:divBdr>
            <w:top w:val="none" w:sz="0" w:space="0" w:color="auto"/>
            <w:left w:val="none" w:sz="0" w:space="0" w:color="auto"/>
            <w:bottom w:val="none" w:sz="0" w:space="0" w:color="auto"/>
            <w:right w:val="none" w:sz="0" w:space="0" w:color="auto"/>
          </w:divBdr>
          <w:divsChild>
            <w:div w:id="944658610">
              <w:marLeft w:val="0"/>
              <w:marRight w:val="0"/>
              <w:marTop w:val="0"/>
              <w:marBottom w:val="0"/>
              <w:divBdr>
                <w:top w:val="none" w:sz="0" w:space="0" w:color="auto"/>
                <w:left w:val="none" w:sz="0" w:space="0" w:color="auto"/>
                <w:bottom w:val="none" w:sz="0" w:space="0" w:color="auto"/>
                <w:right w:val="none" w:sz="0" w:space="0" w:color="auto"/>
              </w:divBdr>
              <w:divsChild>
                <w:div w:id="1802579779">
                  <w:marLeft w:val="0"/>
                  <w:marRight w:val="0"/>
                  <w:marTop w:val="0"/>
                  <w:marBottom w:val="0"/>
                  <w:divBdr>
                    <w:top w:val="none" w:sz="0" w:space="0" w:color="auto"/>
                    <w:left w:val="none" w:sz="0" w:space="0" w:color="auto"/>
                    <w:bottom w:val="none" w:sz="0" w:space="0" w:color="auto"/>
                    <w:right w:val="none" w:sz="0" w:space="0" w:color="auto"/>
                  </w:divBdr>
                  <w:divsChild>
                    <w:div w:id="9713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03818">
      <w:bodyDiv w:val="1"/>
      <w:marLeft w:val="0"/>
      <w:marRight w:val="0"/>
      <w:marTop w:val="0"/>
      <w:marBottom w:val="0"/>
      <w:divBdr>
        <w:top w:val="none" w:sz="0" w:space="0" w:color="auto"/>
        <w:left w:val="none" w:sz="0" w:space="0" w:color="auto"/>
        <w:bottom w:val="none" w:sz="0" w:space="0" w:color="auto"/>
        <w:right w:val="none" w:sz="0" w:space="0" w:color="auto"/>
      </w:divBdr>
      <w:divsChild>
        <w:div w:id="613446808">
          <w:marLeft w:val="0"/>
          <w:marRight w:val="0"/>
          <w:marTop w:val="0"/>
          <w:marBottom w:val="0"/>
          <w:divBdr>
            <w:top w:val="none" w:sz="0" w:space="0" w:color="auto"/>
            <w:left w:val="none" w:sz="0" w:space="0" w:color="auto"/>
            <w:bottom w:val="none" w:sz="0" w:space="0" w:color="auto"/>
            <w:right w:val="none" w:sz="0" w:space="0" w:color="auto"/>
          </w:divBdr>
          <w:divsChild>
            <w:div w:id="612900337">
              <w:marLeft w:val="0"/>
              <w:marRight w:val="0"/>
              <w:marTop w:val="0"/>
              <w:marBottom w:val="0"/>
              <w:divBdr>
                <w:top w:val="none" w:sz="0" w:space="0" w:color="auto"/>
                <w:left w:val="none" w:sz="0" w:space="0" w:color="auto"/>
                <w:bottom w:val="none" w:sz="0" w:space="0" w:color="auto"/>
                <w:right w:val="none" w:sz="0" w:space="0" w:color="auto"/>
              </w:divBdr>
              <w:divsChild>
                <w:div w:id="8378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19588">
      <w:bodyDiv w:val="1"/>
      <w:marLeft w:val="0"/>
      <w:marRight w:val="0"/>
      <w:marTop w:val="0"/>
      <w:marBottom w:val="0"/>
      <w:divBdr>
        <w:top w:val="none" w:sz="0" w:space="0" w:color="auto"/>
        <w:left w:val="none" w:sz="0" w:space="0" w:color="auto"/>
        <w:bottom w:val="none" w:sz="0" w:space="0" w:color="auto"/>
        <w:right w:val="none" w:sz="0" w:space="0" w:color="auto"/>
      </w:divBdr>
      <w:divsChild>
        <w:div w:id="653030666">
          <w:marLeft w:val="0"/>
          <w:marRight w:val="0"/>
          <w:marTop w:val="0"/>
          <w:marBottom w:val="0"/>
          <w:divBdr>
            <w:top w:val="none" w:sz="0" w:space="0" w:color="auto"/>
            <w:left w:val="none" w:sz="0" w:space="0" w:color="auto"/>
            <w:bottom w:val="none" w:sz="0" w:space="0" w:color="auto"/>
            <w:right w:val="none" w:sz="0" w:space="0" w:color="auto"/>
          </w:divBdr>
          <w:divsChild>
            <w:div w:id="667712098">
              <w:marLeft w:val="0"/>
              <w:marRight w:val="0"/>
              <w:marTop w:val="0"/>
              <w:marBottom w:val="0"/>
              <w:divBdr>
                <w:top w:val="none" w:sz="0" w:space="0" w:color="auto"/>
                <w:left w:val="none" w:sz="0" w:space="0" w:color="auto"/>
                <w:bottom w:val="none" w:sz="0" w:space="0" w:color="auto"/>
                <w:right w:val="none" w:sz="0" w:space="0" w:color="auto"/>
              </w:divBdr>
              <w:divsChild>
                <w:div w:id="1131098246">
                  <w:marLeft w:val="0"/>
                  <w:marRight w:val="0"/>
                  <w:marTop w:val="0"/>
                  <w:marBottom w:val="0"/>
                  <w:divBdr>
                    <w:top w:val="none" w:sz="0" w:space="0" w:color="auto"/>
                    <w:left w:val="none" w:sz="0" w:space="0" w:color="auto"/>
                    <w:bottom w:val="none" w:sz="0" w:space="0" w:color="auto"/>
                    <w:right w:val="none" w:sz="0" w:space="0" w:color="auto"/>
                  </w:divBdr>
                  <w:divsChild>
                    <w:div w:id="816992336">
                      <w:marLeft w:val="0"/>
                      <w:marRight w:val="0"/>
                      <w:marTop w:val="0"/>
                      <w:marBottom w:val="0"/>
                      <w:divBdr>
                        <w:top w:val="none" w:sz="0" w:space="0" w:color="auto"/>
                        <w:left w:val="none" w:sz="0" w:space="0" w:color="auto"/>
                        <w:bottom w:val="none" w:sz="0" w:space="0" w:color="auto"/>
                        <w:right w:val="none" w:sz="0" w:space="0" w:color="auto"/>
                      </w:divBdr>
                    </w:div>
                    <w:div w:id="9345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10652">
      <w:bodyDiv w:val="1"/>
      <w:marLeft w:val="0"/>
      <w:marRight w:val="0"/>
      <w:marTop w:val="0"/>
      <w:marBottom w:val="0"/>
      <w:divBdr>
        <w:top w:val="none" w:sz="0" w:space="0" w:color="auto"/>
        <w:left w:val="none" w:sz="0" w:space="0" w:color="auto"/>
        <w:bottom w:val="none" w:sz="0" w:space="0" w:color="auto"/>
        <w:right w:val="none" w:sz="0" w:space="0" w:color="auto"/>
      </w:divBdr>
    </w:div>
    <w:div w:id="492986762">
      <w:bodyDiv w:val="1"/>
      <w:marLeft w:val="0"/>
      <w:marRight w:val="0"/>
      <w:marTop w:val="0"/>
      <w:marBottom w:val="0"/>
      <w:divBdr>
        <w:top w:val="none" w:sz="0" w:space="0" w:color="auto"/>
        <w:left w:val="none" w:sz="0" w:space="0" w:color="auto"/>
        <w:bottom w:val="none" w:sz="0" w:space="0" w:color="auto"/>
        <w:right w:val="none" w:sz="0" w:space="0" w:color="auto"/>
      </w:divBdr>
      <w:divsChild>
        <w:div w:id="1956400741">
          <w:marLeft w:val="0"/>
          <w:marRight w:val="0"/>
          <w:marTop w:val="0"/>
          <w:marBottom w:val="0"/>
          <w:divBdr>
            <w:top w:val="none" w:sz="0" w:space="0" w:color="auto"/>
            <w:left w:val="none" w:sz="0" w:space="0" w:color="auto"/>
            <w:bottom w:val="none" w:sz="0" w:space="0" w:color="auto"/>
            <w:right w:val="none" w:sz="0" w:space="0" w:color="auto"/>
          </w:divBdr>
          <w:divsChild>
            <w:div w:id="369306190">
              <w:marLeft w:val="0"/>
              <w:marRight w:val="0"/>
              <w:marTop w:val="0"/>
              <w:marBottom w:val="0"/>
              <w:divBdr>
                <w:top w:val="none" w:sz="0" w:space="0" w:color="auto"/>
                <w:left w:val="none" w:sz="0" w:space="0" w:color="auto"/>
                <w:bottom w:val="none" w:sz="0" w:space="0" w:color="auto"/>
                <w:right w:val="none" w:sz="0" w:space="0" w:color="auto"/>
              </w:divBdr>
              <w:divsChild>
                <w:div w:id="309944064">
                  <w:marLeft w:val="0"/>
                  <w:marRight w:val="0"/>
                  <w:marTop w:val="0"/>
                  <w:marBottom w:val="0"/>
                  <w:divBdr>
                    <w:top w:val="none" w:sz="0" w:space="0" w:color="auto"/>
                    <w:left w:val="none" w:sz="0" w:space="0" w:color="auto"/>
                    <w:bottom w:val="none" w:sz="0" w:space="0" w:color="auto"/>
                    <w:right w:val="none" w:sz="0" w:space="0" w:color="auto"/>
                  </w:divBdr>
                  <w:divsChild>
                    <w:div w:id="2921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58503">
      <w:bodyDiv w:val="1"/>
      <w:marLeft w:val="0"/>
      <w:marRight w:val="0"/>
      <w:marTop w:val="0"/>
      <w:marBottom w:val="0"/>
      <w:divBdr>
        <w:top w:val="none" w:sz="0" w:space="0" w:color="auto"/>
        <w:left w:val="none" w:sz="0" w:space="0" w:color="auto"/>
        <w:bottom w:val="none" w:sz="0" w:space="0" w:color="auto"/>
        <w:right w:val="none" w:sz="0" w:space="0" w:color="auto"/>
      </w:divBdr>
      <w:divsChild>
        <w:div w:id="127280868">
          <w:marLeft w:val="0"/>
          <w:marRight w:val="0"/>
          <w:marTop w:val="0"/>
          <w:marBottom w:val="0"/>
          <w:divBdr>
            <w:top w:val="none" w:sz="0" w:space="0" w:color="auto"/>
            <w:left w:val="none" w:sz="0" w:space="0" w:color="auto"/>
            <w:bottom w:val="none" w:sz="0" w:space="0" w:color="auto"/>
            <w:right w:val="none" w:sz="0" w:space="0" w:color="auto"/>
          </w:divBdr>
          <w:divsChild>
            <w:div w:id="433287439">
              <w:marLeft w:val="0"/>
              <w:marRight w:val="0"/>
              <w:marTop w:val="0"/>
              <w:marBottom w:val="0"/>
              <w:divBdr>
                <w:top w:val="none" w:sz="0" w:space="0" w:color="auto"/>
                <w:left w:val="none" w:sz="0" w:space="0" w:color="auto"/>
                <w:bottom w:val="none" w:sz="0" w:space="0" w:color="auto"/>
                <w:right w:val="none" w:sz="0" w:space="0" w:color="auto"/>
              </w:divBdr>
              <w:divsChild>
                <w:div w:id="232547072">
                  <w:marLeft w:val="0"/>
                  <w:marRight w:val="0"/>
                  <w:marTop w:val="0"/>
                  <w:marBottom w:val="0"/>
                  <w:divBdr>
                    <w:top w:val="none" w:sz="0" w:space="0" w:color="auto"/>
                    <w:left w:val="none" w:sz="0" w:space="0" w:color="auto"/>
                    <w:bottom w:val="none" w:sz="0" w:space="0" w:color="auto"/>
                    <w:right w:val="none" w:sz="0" w:space="0" w:color="auto"/>
                  </w:divBdr>
                  <w:divsChild>
                    <w:div w:id="10268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11648111">
      <w:bodyDiv w:val="1"/>
      <w:marLeft w:val="0"/>
      <w:marRight w:val="0"/>
      <w:marTop w:val="0"/>
      <w:marBottom w:val="0"/>
      <w:divBdr>
        <w:top w:val="none" w:sz="0" w:space="0" w:color="auto"/>
        <w:left w:val="none" w:sz="0" w:space="0" w:color="auto"/>
        <w:bottom w:val="none" w:sz="0" w:space="0" w:color="auto"/>
        <w:right w:val="none" w:sz="0" w:space="0" w:color="auto"/>
      </w:divBdr>
      <w:divsChild>
        <w:div w:id="1327170040">
          <w:marLeft w:val="0"/>
          <w:marRight w:val="0"/>
          <w:marTop w:val="0"/>
          <w:marBottom w:val="0"/>
          <w:divBdr>
            <w:top w:val="none" w:sz="0" w:space="0" w:color="auto"/>
            <w:left w:val="none" w:sz="0" w:space="0" w:color="auto"/>
            <w:bottom w:val="none" w:sz="0" w:space="0" w:color="auto"/>
            <w:right w:val="none" w:sz="0" w:space="0" w:color="auto"/>
          </w:divBdr>
          <w:divsChild>
            <w:div w:id="1938364947">
              <w:marLeft w:val="0"/>
              <w:marRight w:val="0"/>
              <w:marTop w:val="0"/>
              <w:marBottom w:val="0"/>
              <w:divBdr>
                <w:top w:val="none" w:sz="0" w:space="0" w:color="auto"/>
                <w:left w:val="none" w:sz="0" w:space="0" w:color="auto"/>
                <w:bottom w:val="none" w:sz="0" w:space="0" w:color="auto"/>
                <w:right w:val="none" w:sz="0" w:space="0" w:color="auto"/>
              </w:divBdr>
              <w:divsChild>
                <w:div w:id="18363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2743">
      <w:bodyDiv w:val="1"/>
      <w:marLeft w:val="0"/>
      <w:marRight w:val="0"/>
      <w:marTop w:val="0"/>
      <w:marBottom w:val="0"/>
      <w:divBdr>
        <w:top w:val="none" w:sz="0" w:space="0" w:color="auto"/>
        <w:left w:val="none" w:sz="0" w:space="0" w:color="auto"/>
        <w:bottom w:val="none" w:sz="0" w:space="0" w:color="auto"/>
        <w:right w:val="none" w:sz="0" w:space="0" w:color="auto"/>
      </w:divBdr>
    </w:div>
    <w:div w:id="519783506">
      <w:bodyDiv w:val="1"/>
      <w:marLeft w:val="0"/>
      <w:marRight w:val="0"/>
      <w:marTop w:val="0"/>
      <w:marBottom w:val="0"/>
      <w:divBdr>
        <w:top w:val="none" w:sz="0" w:space="0" w:color="auto"/>
        <w:left w:val="none" w:sz="0" w:space="0" w:color="auto"/>
        <w:bottom w:val="none" w:sz="0" w:space="0" w:color="auto"/>
        <w:right w:val="none" w:sz="0" w:space="0" w:color="auto"/>
      </w:divBdr>
      <w:divsChild>
        <w:div w:id="235747543">
          <w:marLeft w:val="0"/>
          <w:marRight w:val="0"/>
          <w:marTop w:val="0"/>
          <w:marBottom w:val="0"/>
          <w:divBdr>
            <w:top w:val="none" w:sz="0" w:space="0" w:color="auto"/>
            <w:left w:val="none" w:sz="0" w:space="0" w:color="auto"/>
            <w:bottom w:val="none" w:sz="0" w:space="0" w:color="auto"/>
            <w:right w:val="none" w:sz="0" w:space="0" w:color="auto"/>
          </w:divBdr>
          <w:divsChild>
            <w:div w:id="487598960">
              <w:marLeft w:val="0"/>
              <w:marRight w:val="0"/>
              <w:marTop w:val="0"/>
              <w:marBottom w:val="0"/>
              <w:divBdr>
                <w:top w:val="none" w:sz="0" w:space="0" w:color="auto"/>
                <w:left w:val="none" w:sz="0" w:space="0" w:color="auto"/>
                <w:bottom w:val="none" w:sz="0" w:space="0" w:color="auto"/>
                <w:right w:val="none" w:sz="0" w:space="0" w:color="auto"/>
              </w:divBdr>
              <w:divsChild>
                <w:div w:id="1386484274">
                  <w:marLeft w:val="0"/>
                  <w:marRight w:val="0"/>
                  <w:marTop w:val="0"/>
                  <w:marBottom w:val="0"/>
                  <w:divBdr>
                    <w:top w:val="none" w:sz="0" w:space="0" w:color="auto"/>
                    <w:left w:val="none" w:sz="0" w:space="0" w:color="auto"/>
                    <w:bottom w:val="none" w:sz="0" w:space="0" w:color="auto"/>
                    <w:right w:val="none" w:sz="0" w:space="0" w:color="auto"/>
                  </w:divBdr>
                  <w:divsChild>
                    <w:div w:id="2067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13840">
      <w:bodyDiv w:val="1"/>
      <w:marLeft w:val="0"/>
      <w:marRight w:val="0"/>
      <w:marTop w:val="0"/>
      <w:marBottom w:val="0"/>
      <w:divBdr>
        <w:top w:val="none" w:sz="0" w:space="0" w:color="auto"/>
        <w:left w:val="none" w:sz="0" w:space="0" w:color="auto"/>
        <w:bottom w:val="none" w:sz="0" w:space="0" w:color="auto"/>
        <w:right w:val="none" w:sz="0" w:space="0" w:color="auto"/>
      </w:divBdr>
      <w:divsChild>
        <w:div w:id="410584996">
          <w:marLeft w:val="0"/>
          <w:marRight w:val="0"/>
          <w:marTop w:val="0"/>
          <w:marBottom w:val="0"/>
          <w:divBdr>
            <w:top w:val="none" w:sz="0" w:space="0" w:color="auto"/>
            <w:left w:val="none" w:sz="0" w:space="0" w:color="auto"/>
            <w:bottom w:val="none" w:sz="0" w:space="0" w:color="auto"/>
            <w:right w:val="none" w:sz="0" w:space="0" w:color="auto"/>
          </w:divBdr>
          <w:divsChild>
            <w:div w:id="1550725020">
              <w:marLeft w:val="0"/>
              <w:marRight w:val="0"/>
              <w:marTop w:val="0"/>
              <w:marBottom w:val="0"/>
              <w:divBdr>
                <w:top w:val="none" w:sz="0" w:space="0" w:color="auto"/>
                <w:left w:val="none" w:sz="0" w:space="0" w:color="auto"/>
                <w:bottom w:val="none" w:sz="0" w:space="0" w:color="auto"/>
                <w:right w:val="none" w:sz="0" w:space="0" w:color="auto"/>
              </w:divBdr>
              <w:divsChild>
                <w:div w:id="690450265">
                  <w:marLeft w:val="0"/>
                  <w:marRight w:val="0"/>
                  <w:marTop w:val="0"/>
                  <w:marBottom w:val="0"/>
                  <w:divBdr>
                    <w:top w:val="none" w:sz="0" w:space="0" w:color="auto"/>
                    <w:left w:val="none" w:sz="0" w:space="0" w:color="auto"/>
                    <w:bottom w:val="none" w:sz="0" w:space="0" w:color="auto"/>
                    <w:right w:val="none" w:sz="0" w:space="0" w:color="auto"/>
                  </w:divBdr>
                  <w:divsChild>
                    <w:div w:id="11389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07103">
      <w:bodyDiv w:val="1"/>
      <w:marLeft w:val="0"/>
      <w:marRight w:val="0"/>
      <w:marTop w:val="0"/>
      <w:marBottom w:val="0"/>
      <w:divBdr>
        <w:top w:val="none" w:sz="0" w:space="0" w:color="auto"/>
        <w:left w:val="none" w:sz="0" w:space="0" w:color="auto"/>
        <w:bottom w:val="none" w:sz="0" w:space="0" w:color="auto"/>
        <w:right w:val="none" w:sz="0" w:space="0" w:color="auto"/>
      </w:divBdr>
    </w:div>
    <w:div w:id="541527238">
      <w:bodyDiv w:val="1"/>
      <w:marLeft w:val="0"/>
      <w:marRight w:val="0"/>
      <w:marTop w:val="0"/>
      <w:marBottom w:val="0"/>
      <w:divBdr>
        <w:top w:val="none" w:sz="0" w:space="0" w:color="auto"/>
        <w:left w:val="none" w:sz="0" w:space="0" w:color="auto"/>
        <w:bottom w:val="none" w:sz="0" w:space="0" w:color="auto"/>
        <w:right w:val="none" w:sz="0" w:space="0" w:color="auto"/>
      </w:divBdr>
      <w:divsChild>
        <w:div w:id="98065532">
          <w:marLeft w:val="0"/>
          <w:marRight w:val="0"/>
          <w:marTop w:val="0"/>
          <w:marBottom w:val="0"/>
          <w:divBdr>
            <w:top w:val="none" w:sz="0" w:space="0" w:color="auto"/>
            <w:left w:val="none" w:sz="0" w:space="0" w:color="auto"/>
            <w:bottom w:val="none" w:sz="0" w:space="0" w:color="auto"/>
            <w:right w:val="none" w:sz="0" w:space="0" w:color="auto"/>
          </w:divBdr>
          <w:divsChild>
            <w:div w:id="2022051955">
              <w:marLeft w:val="0"/>
              <w:marRight w:val="0"/>
              <w:marTop w:val="0"/>
              <w:marBottom w:val="0"/>
              <w:divBdr>
                <w:top w:val="none" w:sz="0" w:space="0" w:color="auto"/>
                <w:left w:val="none" w:sz="0" w:space="0" w:color="auto"/>
                <w:bottom w:val="none" w:sz="0" w:space="0" w:color="auto"/>
                <w:right w:val="none" w:sz="0" w:space="0" w:color="auto"/>
              </w:divBdr>
              <w:divsChild>
                <w:div w:id="728066779">
                  <w:marLeft w:val="0"/>
                  <w:marRight w:val="0"/>
                  <w:marTop w:val="0"/>
                  <w:marBottom w:val="0"/>
                  <w:divBdr>
                    <w:top w:val="none" w:sz="0" w:space="0" w:color="auto"/>
                    <w:left w:val="none" w:sz="0" w:space="0" w:color="auto"/>
                    <w:bottom w:val="none" w:sz="0" w:space="0" w:color="auto"/>
                    <w:right w:val="none" w:sz="0" w:space="0" w:color="auto"/>
                  </w:divBdr>
                  <w:divsChild>
                    <w:div w:id="8169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3830">
      <w:bodyDiv w:val="1"/>
      <w:marLeft w:val="0"/>
      <w:marRight w:val="0"/>
      <w:marTop w:val="0"/>
      <w:marBottom w:val="0"/>
      <w:divBdr>
        <w:top w:val="none" w:sz="0" w:space="0" w:color="auto"/>
        <w:left w:val="none" w:sz="0" w:space="0" w:color="auto"/>
        <w:bottom w:val="none" w:sz="0" w:space="0" w:color="auto"/>
        <w:right w:val="none" w:sz="0" w:space="0" w:color="auto"/>
      </w:divBdr>
    </w:div>
    <w:div w:id="545797357">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56741488">
      <w:bodyDiv w:val="1"/>
      <w:marLeft w:val="0"/>
      <w:marRight w:val="0"/>
      <w:marTop w:val="0"/>
      <w:marBottom w:val="0"/>
      <w:divBdr>
        <w:top w:val="none" w:sz="0" w:space="0" w:color="auto"/>
        <w:left w:val="none" w:sz="0" w:space="0" w:color="auto"/>
        <w:bottom w:val="none" w:sz="0" w:space="0" w:color="auto"/>
        <w:right w:val="none" w:sz="0" w:space="0" w:color="auto"/>
      </w:divBdr>
    </w:div>
    <w:div w:id="560482047">
      <w:bodyDiv w:val="1"/>
      <w:marLeft w:val="0"/>
      <w:marRight w:val="0"/>
      <w:marTop w:val="0"/>
      <w:marBottom w:val="0"/>
      <w:divBdr>
        <w:top w:val="none" w:sz="0" w:space="0" w:color="auto"/>
        <w:left w:val="none" w:sz="0" w:space="0" w:color="auto"/>
        <w:bottom w:val="none" w:sz="0" w:space="0" w:color="auto"/>
        <w:right w:val="none" w:sz="0" w:space="0" w:color="auto"/>
      </w:divBdr>
      <w:divsChild>
        <w:div w:id="1412963935">
          <w:marLeft w:val="0"/>
          <w:marRight w:val="0"/>
          <w:marTop w:val="0"/>
          <w:marBottom w:val="0"/>
          <w:divBdr>
            <w:top w:val="none" w:sz="0" w:space="0" w:color="auto"/>
            <w:left w:val="none" w:sz="0" w:space="0" w:color="auto"/>
            <w:bottom w:val="none" w:sz="0" w:space="0" w:color="auto"/>
            <w:right w:val="none" w:sz="0" w:space="0" w:color="auto"/>
          </w:divBdr>
          <w:divsChild>
            <w:div w:id="798498293">
              <w:marLeft w:val="0"/>
              <w:marRight w:val="0"/>
              <w:marTop w:val="0"/>
              <w:marBottom w:val="0"/>
              <w:divBdr>
                <w:top w:val="none" w:sz="0" w:space="0" w:color="auto"/>
                <w:left w:val="none" w:sz="0" w:space="0" w:color="auto"/>
                <w:bottom w:val="none" w:sz="0" w:space="0" w:color="auto"/>
                <w:right w:val="none" w:sz="0" w:space="0" w:color="auto"/>
              </w:divBdr>
              <w:divsChild>
                <w:div w:id="850607686">
                  <w:marLeft w:val="0"/>
                  <w:marRight w:val="0"/>
                  <w:marTop w:val="0"/>
                  <w:marBottom w:val="0"/>
                  <w:divBdr>
                    <w:top w:val="none" w:sz="0" w:space="0" w:color="auto"/>
                    <w:left w:val="none" w:sz="0" w:space="0" w:color="auto"/>
                    <w:bottom w:val="none" w:sz="0" w:space="0" w:color="auto"/>
                    <w:right w:val="none" w:sz="0" w:space="0" w:color="auto"/>
                  </w:divBdr>
                  <w:divsChild>
                    <w:div w:id="6161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05892">
      <w:bodyDiv w:val="1"/>
      <w:marLeft w:val="0"/>
      <w:marRight w:val="0"/>
      <w:marTop w:val="0"/>
      <w:marBottom w:val="0"/>
      <w:divBdr>
        <w:top w:val="none" w:sz="0" w:space="0" w:color="auto"/>
        <w:left w:val="none" w:sz="0" w:space="0" w:color="auto"/>
        <w:bottom w:val="none" w:sz="0" w:space="0" w:color="auto"/>
        <w:right w:val="none" w:sz="0" w:space="0" w:color="auto"/>
      </w:divBdr>
      <w:divsChild>
        <w:div w:id="115296992">
          <w:marLeft w:val="0"/>
          <w:marRight w:val="0"/>
          <w:marTop w:val="0"/>
          <w:marBottom w:val="0"/>
          <w:divBdr>
            <w:top w:val="none" w:sz="0" w:space="0" w:color="auto"/>
            <w:left w:val="none" w:sz="0" w:space="0" w:color="auto"/>
            <w:bottom w:val="none" w:sz="0" w:space="0" w:color="auto"/>
            <w:right w:val="none" w:sz="0" w:space="0" w:color="auto"/>
          </w:divBdr>
          <w:divsChild>
            <w:div w:id="1376856774">
              <w:marLeft w:val="0"/>
              <w:marRight w:val="0"/>
              <w:marTop w:val="0"/>
              <w:marBottom w:val="0"/>
              <w:divBdr>
                <w:top w:val="none" w:sz="0" w:space="0" w:color="auto"/>
                <w:left w:val="none" w:sz="0" w:space="0" w:color="auto"/>
                <w:bottom w:val="none" w:sz="0" w:space="0" w:color="auto"/>
                <w:right w:val="none" w:sz="0" w:space="0" w:color="auto"/>
              </w:divBdr>
              <w:divsChild>
                <w:div w:id="274410835">
                  <w:marLeft w:val="0"/>
                  <w:marRight w:val="0"/>
                  <w:marTop w:val="0"/>
                  <w:marBottom w:val="0"/>
                  <w:divBdr>
                    <w:top w:val="none" w:sz="0" w:space="0" w:color="auto"/>
                    <w:left w:val="none" w:sz="0" w:space="0" w:color="auto"/>
                    <w:bottom w:val="none" w:sz="0" w:space="0" w:color="auto"/>
                    <w:right w:val="none" w:sz="0" w:space="0" w:color="auto"/>
                  </w:divBdr>
                  <w:divsChild>
                    <w:div w:id="16069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24787">
      <w:bodyDiv w:val="1"/>
      <w:marLeft w:val="0"/>
      <w:marRight w:val="0"/>
      <w:marTop w:val="0"/>
      <w:marBottom w:val="0"/>
      <w:divBdr>
        <w:top w:val="none" w:sz="0" w:space="0" w:color="auto"/>
        <w:left w:val="none" w:sz="0" w:space="0" w:color="auto"/>
        <w:bottom w:val="none" w:sz="0" w:space="0" w:color="auto"/>
        <w:right w:val="none" w:sz="0" w:space="0" w:color="auto"/>
      </w:divBdr>
      <w:divsChild>
        <w:div w:id="1067260909">
          <w:marLeft w:val="0"/>
          <w:marRight w:val="0"/>
          <w:marTop w:val="0"/>
          <w:marBottom w:val="0"/>
          <w:divBdr>
            <w:top w:val="none" w:sz="0" w:space="0" w:color="auto"/>
            <w:left w:val="none" w:sz="0" w:space="0" w:color="auto"/>
            <w:bottom w:val="none" w:sz="0" w:space="0" w:color="auto"/>
            <w:right w:val="none" w:sz="0" w:space="0" w:color="auto"/>
          </w:divBdr>
        </w:div>
        <w:div w:id="1225024389">
          <w:marLeft w:val="0"/>
          <w:marRight w:val="0"/>
          <w:marTop w:val="0"/>
          <w:marBottom w:val="0"/>
          <w:divBdr>
            <w:top w:val="none" w:sz="0" w:space="0" w:color="auto"/>
            <w:left w:val="none" w:sz="0" w:space="0" w:color="auto"/>
            <w:bottom w:val="none" w:sz="0" w:space="0" w:color="auto"/>
            <w:right w:val="none" w:sz="0" w:space="0" w:color="auto"/>
          </w:divBdr>
        </w:div>
        <w:div w:id="1731733985">
          <w:marLeft w:val="0"/>
          <w:marRight w:val="0"/>
          <w:marTop w:val="0"/>
          <w:marBottom w:val="0"/>
          <w:divBdr>
            <w:top w:val="none" w:sz="0" w:space="0" w:color="auto"/>
            <w:left w:val="none" w:sz="0" w:space="0" w:color="auto"/>
            <w:bottom w:val="none" w:sz="0" w:space="0" w:color="auto"/>
            <w:right w:val="none" w:sz="0" w:space="0" w:color="auto"/>
          </w:divBdr>
        </w:div>
        <w:div w:id="2122531219">
          <w:marLeft w:val="0"/>
          <w:marRight w:val="0"/>
          <w:marTop w:val="0"/>
          <w:marBottom w:val="0"/>
          <w:divBdr>
            <w:top w:val="none" w:sz="0" w:space="0" w:color="auto"/>
            <w:left w:val="none" w:sz="0" w:space="0" w:color="auto"/>
            <w:bottom w:val="none" w:sz="0" w:space="0" w:color="auto"/>
            <w:right w:val="none" w:sz="0" w:space="0" w:color="auto"/>
          </w:divBdr>
        </w:div>
      </w:divsChild>
    </w:div>
    <w:div w:id="565847158">
      <w:bodyDiv w:val="1"/>
      <w:marLeft w:val="0"/>
      <w:marRight w:val="0"/>
      <w:marTop w:val="0"/>
      <w:marBottom w:val="0"/>
      <w:divBdr>
        <w:top w:val="none" w:sz="0" w:space="0" w:color="auto"/>
        <w:left w:val="none" w:sz="0" w:space="0" w:color="auto"/>
        <w:bottom w:val="none" w:sz="0" w:space="0" w:color="auto"/>
        <w:right w:val="none" w:sz="0" w:space="0" w:color="auto"/>
      </w:divBdr>
      <w:divsChild>
        <w:div w:id="761292961">
          <w:marLeft w:val="0"/>
          <w:marRight w:val="0"/>
          <w:marTop w:val="0"/>
          <w:marBottom w:val="0"/>
          <w:divBdr>
            <w:top w:val="none" w:sz="0" w:space="0" w:color="auto"/>
            <w:left w:val="none" w:sz="0" w:space="0" w:color="auto"/>
            <w:bottom w:val="none" w:sz="0" w:space="0" w:color="auto"/>
            <w:right w:val="none" w:sz="0" w:space="0" w:color="auto"/>
          </w:divBdr>
          <w:divsChild>
            <w:div w:id="24140217">
              <w:marLeft w:val="0"/>
              <w:marRight w:val="0"/>
              <w:marTop w:val="0"/>
              <w:marBottom w:val="0"/>
              <w:divBdr>
                <w:top w:val="none" w:sz="0" w:space="0" w:color="auto"/>
                <w:left w:val="none" w:sz="0" w:space="0" w:color="auto"/>
                <w:bottom w:val="none" w:sz="0" w:space="0" w:color="auto"/>
                <w:right w:val="none" w:sz="0" w:space="0" w:color="auto"/>
              </w:divBdr>
              <w:divsChild>
                <w:div w:id="1732188842">
                  <w:marLeft w:val="0"/>
                  <w:marRight w:val="0"/>
                  <w:marTop w:val="0"/>
                  <w:marBottom w:val="0"/>
                  <w:divBdr>
                    <w:top w:val="none" w:sz="0" w:space="0" w:color="auto"/>
                    <w:left w:val="none" w:sz="0" w:space="0" w:color="auto"/>
                    <w:bottom w:val="none" w:sz="0" w:space="0" w:color="auto"/>
                    <w:right w:val="none" w:sz="0" w:space="0" w:color="auto"/>
                  </w:divBdr>
                  <w:divsChild>
                    <w:div w:id="4824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503267">
      <w:bodyDiv w:val="1"/>
      <w:marLeft w:val="0"/>
      <w:marRight w:val="0"/>
      <w:marTop w:val="0"/>
      <w:marBottom w:val="0"/>
      <w:divBdr>
        <w:top w:val="none" w:sz="0" w:space="0" w:color="auto"/>
        <w:left w:val="none" w:sz="0" w:space="0" w:color="auto"/>
        <w:bottom w:val="none" w:sz="0" w:space="0" w:color="auto"/>
        <w:right w:val="none" w:sz="0" w:space="0" w:color="auto"/>
      </w:divBdr>
    </w:div>
    <w:div w:id="574975849">
      <w:bodyDiv w:val="1"/>
      <w:marLeft w:val="0"/>
      <w:marRight w:val="0"/>
      <w:marTop w:val="0"/>
      <w:marBottom w:val="0"/>
      <w:divBdr>
        <w:top w:val="none" w:sz="0" w:space="0" w:color="auto"/>
        <w:left w:val="none" w:sz="0" w:space="0" w:color="auto"/>
        <w:bottom w:val="none" w:sz="0" w:space="0" w:color="auto"/>
        <w:right w:val="none" w:sz="0" w:space="0" w:color="auto"/>
      </w:divBdr>
      <w:divsChild>
        <w:div w:id="1406761917">
          <w:marLeft w:val="0"/>
          <w:marRight w:val="0"/>
          <w:marTop w:val="0"/>
          <w:marBottom w:val="0"/>
          <w:divBdr>
            <w:top w:val="none" w:sz="0" w:space="0" w:color="auto"/>
            <w:left w:val="none" w:sz="0" w:space="0" w:color="auto"/>
            <w:bottom w:val="none" w:sz="0" w:space="0" w:color="auto"/>
            <w:right w:val="none" w:sz="0" w:space="0" w:color="auto"/>
          </w:divBdr>
          <w:divsChild>
            <w:div w:id="1391344446">
              <w:marLeft w:val="0"/>
              <w:marRight w:val="0"/>
              <w:marTop w:val="0"/>
              <w:marBottom w:val="0"/>
              <w:divBdr>
                <w:top w:val="none" w:sz="0" w:space="0" w:color="auto"/>
                <w:left w:val="none" w:sz="0" w:space="0" w:color="auto"/>
                <w:bottom w:val="none" w:sz="0" w:space="0" w:color="auto"/>
                <w:right w:val="none" w:sz="0" w:space="0" w:color="auto"/>
              </w:divBdr>
              <w:divsChild>
                <w:div w:id="591276140">
                  <w:marLeft w:val="0"/>
                  <w:marRight w:val="0"/>
                  <w:marTop w:val="0"/>
                  <w:marBottom w:val="0"/>
                  <w:divBdr>
                    <w:top w:val="none" w:sz="0" w:space="0" w:color="auto"/>
                    <w:left w:val="none" w:sz="0" w:space="0" w:color="auto"/>
                    <w:bottom w:val="none" w:sz="0" w:space="0" w:color="auto"/>
                    <w:right w:val="none" w:sz="0" w:space="0" w:color="auto"/>
                  </w:divBdr>
                  <w:divsChild>
                    <w:div w:id="15926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16068">
      <w:bodyDiv w:val="1"/>
      <w:marLeft w:val="0"/>
      <w:marRight w:val="0"/>
      <w:marTop w:val="0"/>
      <w:marBottom w:val="0"/>
      <w:divBdr>
        <w:top w:val="none" w:sz="0" w:space="0" w:color="auto"/>
        <w:left w:val="none" w:sz="0" w:space="0" w:color="auto"/>
        <w:bottom w:val="none" w:sz="0" w:space="0" w:color="auto"/>
        <w:right w:val="none" w:sz="0" w:space="0" w:color="auto"/>
      </w:divBdr>
      <w:divsChild>
        <w:div w:id="1655142743">
          <w:marLeft w:val="0"/>
          <w:marRight w:val="0"/>
          <w:marTop w:val="0"/>
          <w:marBottom w:val="0"/>
          <w:divBdr>
            <w:top w:val="none" w:sz="0" w:space="0" w:color="auto"/>
            <w:left w:val="none" w:sz="0" w:space="0" w:color="auto"/>
            <w:bottom w:val="none" w:sz="0" w:space="0" w:color="auto"/>
            <w:right w:val="none" w:sz="0" w:space="0" w:color="auto"/>
          </w:divBdr>
          <w:divsChild>
            <w:div w:id="231350397">
              <w:marLeft w:val="0"/>
              <w:marRight w:val="0"/>
              <w:marTop w:val="0"/>
              <w:marBottom w:val="0"/>
              <w:divBdr>
                <w:top w:val="none" w:sz="0" w:space="0" w:color="auto"/>
                <w:left w:val="none" w:sz="0" w:space="0" w:color="auto"/>
                <w:bottom w:val="none" w:sz="0" w:space="0" w:color="auto"/>
                <w:right w:val="none" w:sz="0" w:space="0" w:color="auto"/>
              </w:divBdr>
              <w:divsChild>
                <w:div w:id="1470441685">
                  <w:marLeft w:val="0"/>
                  <w:marRight w:val="0"/>
                  <w:marTop w:val="0"/>
                  <w:marBottom w:val="0"/>
                  <w:divBdr>
                    <w:top w:val="none" w:sz="0" w:space="0" w:color="auto"/>
                    <w:left w:val="none" w:sz="0" w:space="0" w:color="auto"/>
                    <w:bottom w:val="none" w:sz="0" w:space="0" w:color="auto"/>
                    <w:right w:val="none" w:sz="0" w:space="0" w:color="auto"/>
                  </w:divBdr>
                  <w:divsChild>
                    <w:div w:id="11172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536658">
      <w:bodyDiv w:val="1"/>
      <w:marLeft w:val="0"/>
      <w:marRight w:val="0"/>
      <w:marTop w:val="0"/>
      <w:marBottom w:val="0"/>
      <w:divBdr>
        <w:top w:val="none" w:sz="0" w:space="0" w:color="auto"/>
        <w:left w:val="none" w:sz="0" w:space="0" w:color="auto"/>
        <w:bottom w:val="none" w:sz="0" w:space="0" w:color="auto"/>
        <w:right w:val="none" w:sz="0" w:space="0" w:color="auto"/>
      </w:divBdr>
    </w:div>
    <w:div w:id="588274544">
      <w:bodyDiv w:val="1"/>
      <w:marLeft w:val="0"/>
      <w:marRight w:val="0"/>
      <w:marTop w:val="0"/>
      <w:marBottom w:val="0"/>
      <w:divBdr>
        <w:top w:val="none" w:sz="0" w:space="0" w:color="auto"/>
        <w:left w:val="none" w:sz="0" w:space="0" w:color="auto"/>
        <w:bottom w:val="none" w:sz="0" w:space="0" w:color="auto"/>
        <w:right w:val="none" w:sz="0" w:space="0" w:color="auto"/>
      </w:divBdr>
      <w:divsChild>
        <w:div w:id="190261722">
          <w:marLeft w:val="0"/>
          <w:marRight w:val="0"/>
          <w:marTop w:val="0"/>
          <w:marBottom w:val="0"/>
          <w:divBdr>
            <w:top w:val="none" w:sz="0" w:space="0" w:color="auto"/>
            <w:left w:val="none" w:sz="0" w:space="0" w:color="auto"/>
            <w:bottom w:val="none" w:sz="0" w:space="0" w:color="auto"/>
            <w:right w:val="none" w:sz="0" w:space="0" w:color="auto"/>
          </w:divBdr>
          <w:divsChild>
            <w:div w:id="1983463228">
              <w:marLeft w:val="0"/>
              <w:marRight w:val="0"/>
              <w:marTop w:val="0"/>
              <w:marBottom w:val="0"/>
              <w:divBdr>
                <w:top w:val="none" w:sz="0" w:space="0" w:color="auto"/>
                <w:left w:val="none" w:sz="0" w:space="0" w:color="auto"/>
                <w:bottom w:val="none" w:sz="0" w:space="0" w:color="auto"/>
                <w:right w:val="none" w:sz="0" w:space="0" w:color="auto"/>
              </w:divBdr>
              <w:divsChild>
                <w:div w:id="68893993">
                  <w:marLeft w:val="0"/>
                  <w:marRight w:val="0"/>
                  <w:marTop w:val="0"/>
                  <w:marBottom w:val="0"/>
                  <w:divBdr>
                    <w:top w:val="none" w:sz="0" w:space="0" w:color="auto"/>
                    <w:left w:val="none" w:sz="0" w:space="0" w:color="auto"/>
                    <w:bottom w:val="none" w:sz="0" w:space="0" w:color="auto"/>
                    <w:right w:val="none" w:sz="0" w:space="0" w:color="auto"/>
                  </w:divBdr>
                  <w:divsChild>
                    <w:div w:id="7674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063539">
      <w:bodyDiv w:val="1"/>
      <w:marLeft w:val="0"/>
      <w:marRight w:val="0"/>
      <w:marTop w:val="0"/>
      <w:marBottom w:val="0"/>
      <w:divBdr>
        <w:top w:val="none" w:sz="0" w:space="0" w:color="auto"/>
        <w:left w:val="none" w:sz="0" w:space="0" w:color="auto"/>
        <w:bottom w:val="none" w:sz="0" w:space="0" w:color="auto"/>
        <w:right w:val="none" w:sz="0" w:space="0" w:color="auto"/>
      </w:divBdr>
      <w:divsChild>
        <w:div w:id="870264866">
          <w:marLeft w:val="0"/>
          <w:marRight w:val="0"/>
          <w:marTop w:val="0"/>
          <w:marBottom w:val="0"/>
          <w:divBdr>
            <w:top w:val="none" w:sz="0" w:space="0" w:color="auto"/>
            <w:left w:val="none" w:sz="0" w:space="0" w:color="auto"/>
            <w:bottom w:val="none" w:sz="0" w:space="0" w:color="auto"/>
            <w:right w:val="none" w:sz="0" w:space="0" w:color="auto"/>
          </w:divBdr>
          <w:divsChild>
            <w:div w:id="429282408">
              <w:marLeft w:val="0"/>
              <w:marRight w:val="0"/>
              <w:marTop w:val="0"/>
              <w:marBottom w:val="0"/>
              <w:divBdr>
                <w:top w:val="none" w:sz="0" w:space="0" w:color="auto"/>
                <w:left w:val="none" w:sz="0" w:space="0" w:color="auto"/>
                <w:bottom w:val="none" w:sz="0" w:space="0" w:color="auto"/>
                <w:right w:val="none" w:sz="0" w:space="0" w:color="auto"/>
              </w:divBdr>
              <w:divsChild>
                <w:div w:id="385643479">
                  <w:marLeft w:val="0"/>
                  <w:marRight w:val="0"/>
                  <w:marTop w:val="0"/>
                  <w:marBottom w:val="0"/>
                  <w:divBdr>
                    <w:top w:val="none" w:sz="0" w:space="0" w:color="auto"/>
                    <w:left w:val="none" w:sz="0" w:space="0" w:color="auto"/>
                    <w:bottom w:val="none" w:sz="0" w:space="0" w:color="auto"/>
                    <w:right w:val="none" w:sz="0" w:space="0" w:color="auto"/>
                  </w:divBdr>
                  <w:divsChild>
                    <w:div w:id="2599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1817">
      <w:bodyDiv w:val="1"/>
      <w:marLeft w:val="0"/>
      <w:marRight w:val="0"/>
      <w:marTop w:val="0"/>
      <w:marBottom w:val="0"/>
      <w:divBdr>
        <w:top w:val="none" w:sz="0" w:space="0" w:color="auto"/>
        <w:left w:val="none" w:sz="0" w:space="0" w:color="auto"/>
        <w:bottom w:val="none" w:sz="0" w:space="0" w:color="auto"/>
        <w:right w:val="none" w:sz="0" w:space="0" w:color="auto"/>
      </w:divBdr>
      <w:divsChild>
        <w:div w:id="1507016933">
          <w:marLeft w:val="0"/>
          <w:marRight w:val="0"/>
          <w:marTop w:val="0"/>
          <w:marBottom w:val="0"/>
          <w:divBdr>
            <w:top w:val="none" w:sz="0" w:space="0" w:color="auto"/>
            <w:left w:val="none" w:sz="0" w:space="0" w:color="auto"/>
            <w:bottom w:val="none" w:sz="0" w:space="0" w:color="auto"/>
            <w:right w:val="none" w:sz="0" w:space="0" w:color="auto"/>
          </w:divBdr>
          <w:divsChild>
            <w:div w:id="77947186">
              <w:marLeft w:val="0"/>
              <w:marRight w:val="0"/>
              <w:marTop w:val="0"/>
              <w:marBottom w:val="0"/>
              <w:divBdr>
                <w:top w:val="none" w:sz="0" w:space="0" w:color="auto"/>
                <w:left w:val="none" w:sz="0" w:space="0" w:color="auto"/>
                <w:bottom w:val="none" w:sz="0" w:space="0" w:color="auto"/>
                <w:right w:val="none" w:sz="0" w:space="0" w:color="auto"/>
              </w:divBdr>
              <w:divsChild>
                <w:div w:id="1043024107">
                  <w:marLeft w:val="0"/>
                  <w:marRight w:val="0"/>
                  <w:marTop w:val="0"/>
                  <w:marBottom w:val="0"/>
                  <w:divBdr>
                    <w:top w:val="none" w:sz="0" w:space="0" w:color="auto"/>
                    <w:left w:val="none" w:sz="0" w:space="0" w:color="auto"/>
                    <w:bottom w:val="none" w:sz="0" w:space="0" w:color="auto"/>
                    <w:right w:val="none" w:sz="0" w:space="0" w:color="auto"/>
                  </w:divBdr>
                  <w:divsChild>
                    <w:div w:id="17515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89297">
      <w:bodyDiv w:val="1"/>
      <w:marLeft w:val="0"/>
      <w:marRight w:val="0"/>
      <w:marTop w:val="0"/>
      <w:marBottom w:val="0"/>
      <w:divBdr>
        <w:top w:val="none" w:sz="0" w:space="0" w:color="auto"/>
        <w:left w:val="none" w:sz="0" w:space="0" w:color="auto"/>
        <w:bottom w:val="none" w:sz="0" w:space="0" w:color="auto"/>
        <w:right w:val="none" w:sz="0" w:space="0" w:color="auto"/>
      </w:divBdr>
    </w:div>
    <w:div w:id="615336077">
      <w:bodyDiv w:val="1"/>
      <w:marLeft w:val="0"/>
      <w:marRight w:val="0"/>
      <w:marTop w:val="0"/>
      <w:marBottom w:val="0"/>
      <w:divBdr>
        <w:top w:val="none" w:sz="0" w:space="0" w:color="auto"/>
        <w:left w:val="none" w:sz="0" w:space="0" w:color="auto"/>
        <w:bottom w:val="none" w:sz="0" w:space="0" w:color="auto"/>
        <w:right w:val="none" w:sz="0" w:space="0" w:color="auto"/>
      </w:divBdr>
      <w:divsChild>
        <w:div w:id="926304352">
          <w:marLeft w:val="0"/>
          <w:marRight w:val="0"/>
          <w:marTop w:val="0"/>
          <w:marBottom w:val="0"/>
          <w:divBdr>
            <w:top w:val="none" w:sz="0" w:space="0" w:color="auto"/>
            <w:left w:val="none" w:sz="0" w:space="0" w:color="auto"/>
            <w:bottom w:val="none" w:sz="0" w:space="0" w:color="auto"/>
            <w:right w:val="none" w:sz="0" w:space="0" w:color="auto"/>
          </w:divBdr>
          <w:divsChild>
            <w:div w:id="830872543">
              <w:marLeft w:val="0"/>
              <w:marRight w:val="0"/>
              <w:marTop w:val="0"/>
              <w:marBottom w:val="0"/>
              <w:divBdr>
                <w:top w:val="none" w:sz="0" w:space="0" w:color="auto"/>
                <w:left w:val="none" w:sz="0" w:space="0" w:color="auto"/>
                <w:bottom w:val="none" w:sz="0" w:space="0" w:color="auto"/>
                <w:right w:val="none" w:sz="0" w:space="0" w:color="auto"/>
              </w:divBdr>
              <w:divsChild>
                <w:div w:id="1462118384">
                  <w:marLeft w:val="0"/>
                  <w:marRight w:val="0"/>
                  <w:marTop w:val="0"/>
                  <w:marBottom w:val="0"/>
                  <w:divBdr>
                    <w:top w:val="none" w:sz="0" w:space="0" w:color="auto"/>
                    <w:left w:val="none" w:sz="0" w:space="0" w:color="auto"/>
                    <w:bottom w:val="none" w:sz="0" w:space="0" w:color="auto"/>
                    <w:right w:val="none" w:sz="0" w:space="0" w:color="auto"/>
                  </w:divBdr>
                  <w:divsChild>
                    <w:div w:id="4441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22129">
      <w:bodyDiv w:val="1"/>
      <w:marLeft w:val="0"/>
      <w:marRight w:val="0"/>
      <w:marTop w:val="0"/>
      <w:marBottom w:val="0"/>
      <w:divBdr>
        <w:top w:val="none" w:sz="0" w:space="0" w:color="auto"/>
        <w:left w:val="none" w:sz="0" w:space="0" w:color="auto"/>
        <w:bottom w:val="none" w:sz="0" w:space="0" w:color="auto"/>
        <w:right w:val="none" w:sz="0" w:space="0" w:color="auto"/>
      </w:divBdr>
    </w:div>
    <w:div w:id="622618011">
      <w:bodyDiv w:val="1"/>
      <w:marLeft w:val="0"/>
      <w:marRight w:val="0"/>
      <w:marTop w:val="0"/>
      <w:marBottom w:val="0"/>
      <w:divBdr>
        <w:top w:val="none" w:sz="0" w:space="0" w:color="auto"/>
        <w:left w:val="none" w:sz="0" w:space="0" w:color="auto"/>
        <w:bottom w:val="none" w:sz="0" w:space="0" w:color="auto"/>
        <w:right w:val="none" w:sz="0" w:space="0" w:color="auto"/>
      </w:divBdr>
    </w:div>
    <w:div w:id="625427645">
      <w:bodyDiv w:val="1"/>
      <w:marLeft w:val="0"/>
      <w:marRight w:val="0"/>
      <w:marTop w:val="0"/>
      <w:marBottom w:val="0"/>
      <w:divBdr>
        <w:top w:val="none" w:sz="0" w:space="0" w:color="auto"/>
        <w:left w:val="none" w:sz="0" w:space="0" w:color="auto"/>
        <w:bottom w:val="none" w:sz="0" w:space="0" w:color="auto"/>
        <w:right w:val="none" w:sz="0" w:space="0" w:color="auto"/>
      </w:divBdr>
      <w:divsChild>
        <w:div w:id="1254512193">
          <w:marLeft w:val="0"/>
          <w:marRight w:val="0"/>
          <w:marTop w:val="0"/>
          <w:marBottom w:val="0"/>
          <w:divBdr>
            <w:top w:val="none" w:sz="0" w:space="0" w:color="auto"/>
            <w:left w:val="none" w:sz="0" w:space="0" w:color="auto"/>
            <w:bottom w:val="none" w:sz="0" w:space="0" w:color="auto"/>
            <w:right w:val="none" w:sz="0" w:space="0" w:color="auto"/>
          </w:divBdr>
          <w:divsChild>
            <w:div w:id="1819304031">
              <w:marLeft w:val="0"/>
              <w:marRight w:val="0"/>
              <w:marTop w:val="0"/>
              <w:marBottom w:val="0"/>
              <w:divBdr>
                <w:top w:val="none" w:sz="0" w:space="0" w:color="auto"/>
                <w:left w:val="none" w:sz="0" w:space="0" w:color="auto"/>
                <w:bottom w:val="none" w:sz="0" w:space="0" w:color="auto"/>
                <w:right w:val="none" w:sz="0" w:space="0" w:color="auto"/>
              </w:divBdr>
              <w:divsChild>
                <w:div w:id="1133327313">
                  <w:marLeft w:val="0"/>
                  <w:marRight w:val="0"/>
                  <w:marTop w:val="0"/>
                  <w:marBottom w:val="0"/>
                  <w:divBdr>
                    <w:top w:val="none" w:sz="0" w:space="0" w:color="auto"/>
                    <w:left w:val="none" w:sz="0" w:space="0" w:color="auto"/>
                    <w:bottom w:val="none" w:sz="0" w:space="0" w:color="auto"/>
                    <w:right w:val="none" w:sz="0" w:space="0" w:color="auto"/>
                  </w:divBdr>
                  <w:divsChild>
                    <w:div w:id="13156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673541">
      <w:bodyDiv w:val="1"/>
      <w:marLeft w:val="0"/>
      <w:marRight w:val="0"/>
      <w:marTop w:val="0"/>
      <w:marBottom w:val="0"/>
      <w:divBdr>
        <w:top w:val="none" w:sz="0" w:space="0" w:color="auto"/>
        <w:left w:val="none" w:sz="0" w:space="0" w:color="auto"/>
        <w:bottom w:val="none" w:sz="0" w:space="0" w:color="auto"/>
        <w:right w:val="none" w:sz="0" w:space="0" w:color="auto"/>
      </w:divBdr>
      <w:divsChild>
        <w:div w:id="868645887">
          <w:marLeft w:val="0"/>
          <w:marRight w:val="0"/>
          <w:marTop w:val="0"/>
          <w:marBottom w:val="0"/>
          <w:divBdr>
            <w:top w:val="none" w:sz="0" w:space="0" w:color="auto"/>
            <w:left w:val="none" w:sz="0" w:space="0" w:color="auto"/>
            <w:bottom w:val="none" w:sz="0" w:space="0" w:color="auto"/>
            <w:right w:val="none" w:sz="0" w:space="0" w:color="auto"/>
          </w:divBdr>
          <w:divsChild>
            <w:div w:id="2024361050">
              <w:marLeft w:val="0"/>
              <w:marRight w:val="0"/>
              <w:marTop w:val="0"/>
              <w:marBottom w:val="0"/>
              <w:divBdr>
                <w:top w:val="none" w:sz="0" w:space="0" w:color="auto"/>
                <w:left w:val="none" w:sz="0" w:space="0" w:color="auto"/>
                <w:bottom w:val="none" w:sz="0" w:space="0" w:color="auto"/>
                <w:right w:val="none" w:sz="0" w:space="0" w:color="auto"/>
              </w:divBdr>
              <w:divsChild>
                <w:div w:id="1271282862">
                  <w:marLeft w:val="0"/>
                  <w:marRight w:val="0"/>
                  <w:marTop w:val="0"/>
                  <w:marBottom w:val="0"/>
                  <w:divBdr>
                    <w:top w:val="none" w:sz="0" w:space="0" w:color="auto"/>
                    <w:left w:val="none" w:sz="0" w:space="0" w:color="auto"/>
                    <w:bottom w:val="none" w:sz="0" w:space="0" w:color="auto"/>
                    <w:right w:val="none" w:sz="0" w:space="0" w:color="auto"/>
                  </w:divBdr>
                  <w:divsChild>
                    <w:div w:id="20896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52757699">
      <w:bodyDiv w:val="1"/>
      <w:marLeft w:val="0"/>
      <w:marRight w:val="0"/>
      <w:marTop w:val="0"/>
      <w:marBottom w:val="0"/>
      <w:divBdr>
        <w:top w:val="none" w:sz="0" w:space="0" w:color="auto"/>
        <w:left w:val="none" w:sz="0" w:space="0" w:color="auto"/>
        <w:bottom w:val="none" w:sz="0" w:space="0" w:color="auto"/>
        <w:right w:val="none" w:sz="0" w:space="0" w:color="auto"/>
      </w:divBdr>
      <w:divsChild>
        <w:div w:id="1017582257">
          <w:marLeft w:val="0"/>
          <w:marRight w:val="0"/>
          <w:marTop w:val="0"/>
          <w:marBottom w:val="0"/>
          <w:divBdr>
            <w:top w:val="none" w:sz="0" w:space="0" w:color="auto"/>
            <w:left w:val="none" w:sz="0" w:space="0" w:color="auto"/>
            <w:bottom w:val="none" w:sz="0" w:space="0" w:color="auto"/>
            <w:right w:val="none" w:sz="0" w:space="0" w:color="auto"/>
          </w:divBdr>
          <w:divsChild>
            <w:div w:id="110708419">
              <w:marLeft w:val="0"/>
              <w:marRight w:val="0"/>
              <w:marTop w:val="0"/>
              <w:marBottom w:val="0"/>
              <w:divBdr>
                <w:top w:val="none" w:sz="0" w:space="0" w:color="auto"/>
                <w:left w:val="none" w:sz="0" w:space="0" w:color="auto"/>
                <w:bottom w:val="none" w:sz="0" w:space="0" w:color="auto"/>
                <w:right w:val="none" w:sz="0" w:space="0" w:color="auto"/>
              </w:divBdr>
              <w:divsChild>
                <w:div w:id="441412658">
                  <w:marLeft w:val="0"/>
                  <w:marRight w:val="0"/>
                  <w:marTop w:val="0"/>
                  <w:marBottom w:val="0"/>
                  <w:divBdr>
                    <w:top w:val="none" w:sz="0" w:space="0" w:color="auto"/>
                    <w:left w:val="none" w:sz="0" w:space="0" w:color="auto"/>
                    <w:bottom w:val="none" w:sz="0" w:space="0" w:color="auto"/>
                    <w:right w:val="none" w:sz="0" w:space="0" w:color="auto"/>
                  </w:divBdr>
                  <w:divsChild>
                    <w:div w:id="2007585315">
                      <w:marLeft w:val="0"/>
                      <w:marRight w:val="0"/>
                      <w:marTop w:val="0"/>
                      <w:marBottom w:val="0"/>
                      <w:divBdr>
                        <w:top w:val="none" w:sz="0" w:space="0" w:color="auto"/>
                        <w:left w:val="none" w:sz="0" w:space="0" w:color="auto"/>
                        <w:bottom w:val="none" w:sz="0" w:space="0" w:color="auto"/>
                        <w:right w:val="none" w:sz="0" w:space="0" w:color="auto"/>
                      </w:divBdr>
                    </w:div>
                  </w:divsChild>
                </w:div>
                <w:div w:id="951664378">
                  <w:marLeft w:val="0"/>
                  <w:marRight w:val="0"/>
                  <w:marTop w:val="0"/>
                  <w:marBottom w:val="0"/>
                  <w:divBdr>
                    <w:top w:val="none" w:sz="0" w:space="0" w:color="auto"/>
                    <w:left w:val="none" w:sz="0" w:space="0" w:color="auto"/>
                    <w:bottom w:val="none" w:sz="0" w:space="0" w:color="auto"/>
                    <w:right w:val="none" w:sz="0" w:space="0" w:color="auto"/>
                  </w:divBdr>
                  <w:divsChild>
                    <w:div w:id="13444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53813">
      <w:bodyDiv w:val="1"/>
      <w:marLeft w:val="0"/>
      <w:marRight w:val="0"/>
      <w:marTop w:val="0"/>
      <w:marBottom w:val="0"/>
      <w:divBdr>
        <w:top w:val="none" w:sz="0" w:space="0" w:color="auto"/>
        <w:left w:val="none" w:sz="0" w:space="0" w:color="auto"/>
        <w:bottom w:val="none" w:sz="0" w:space="0" w:color="auto"/>
        <w:right w:val="none" w:sz="0" w:space="0" w:color="auto"/>
      </w:divBdr>
    </w:div>
    <w:div w:id="656152712">
      <w:bodyDiv w:val="1"/>
      <w:marLeft w:val="0"/>
      <w:marRight w:val="0"/>
      <w:marTop w:val="0"/>
      <w:marBottom w:val="0"/>
      <w:divBdr>
        <w:top w:val="none" w:sz="0" w:space="0" w:color="auto"/>
        <w:left w:val="none" w:sz="0" w:space="0" w:color="auto"/>
        <w:bottom w:val="none" w:sz="0" w:space="0" w:color="auto"/>
        <w:right w:val="none" w:sz="0" w:space="0" w:color="auto"/>
      </w:divBdr>
    </w:div>
    <w:div w:id="656424449">
      <w:bodyDiv w:val="1"/>
      <w:marLeft w:val="0"/>
      <w:marRight w:val="0"/>
      <w:marTop w:val="0"/>
      <w:marBottom w:val="0"/>
      <w:divBdr>
        <w:top w:val="none" w:sz="0" w:space="0" w:color="auto"/>
        <w:left w:val="none" w:sz="0" w:space="0" w:color="auto"/>
        <w:bottom w:val="none" w:sz="0" w:space="0" w:color="auto"/>
        <w:right w:val="none" w:sz="0" w:space="0" w:color="auto"/>
      </w:divBdr>
      <w:divsChild>
        <w:div w:id="933442187">
          <w:marLeft w:val="0"/>
          <w:marRight w:val="0"/>
          <w:marTop w:val="0"/>
          <w:marBottom w:val="0"/>
          <w:divBdr>
            <w:top w:val="none" w:sz="0" w:space="0" w:color="auto"/>
            <w:left w:val="none" w:sz="0" w:space="0" w:color="auto"/>
            <w:bottom w:val="none" w:sz="0" w:space="0" w:color="auto"/>
            <w:right w:val="none" w:sz="0" w:space="0" w:color="auto"/>
          </w:divBdr>
          <w:divsChild>
            <w:div w:id="330959317">
              <w:marLeft w:val="0"/>
              <w:marRight w:val="0"/>
              <w:marTop w:val="0"/>
              <w:marBottom w:val="0"/>
              <w:divBdr>
                <w:top w:val="none" w:sz="0" w:space="0" w:color="auto"/>
                <w:left w:val="none" w:sz="0" w:space="0" w:color="auto"/>
                <w:bottom w:val="none" w:sz="0" w:space="0" w:color="auto"/>
                <w:right w:val="none" w:sz="0" w:space="0" w:color="auto"/>
              </w:divBdr>
              <w:divsChild>
                <w:div w:id="1748720954">
                  <w:marLeft w:val="0"/>
                  <w:marRight w:val="0"/>
                  <w:marTop w:val="0"/>
                  <w:marBottom w:val="0"/>
                  <w:divBdr>
                    <w:top w:val="none" w:sz="0" w:space="0" w:color="auto"/>
                    <w:left w:val="none" w:sz="0" w:space="0" w:color="auto"/>
                    <w:bottom w:val="none" w:sz="0" w:space="0" w:color="auto"/>
                    <w:right w:val="none" w:sz="0" w:space="0" w:color="auto"/>
                  </w:divBdr>
                  <w:divsChild>
                    <w:div w:id="217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09380">
      <w:bodyDiv w:val="1"/>
      <w:marLeft w:val="0"/>
      <w:marRight w:val="0"/>
      <w:marTop w:val="0"/>
      <w:marBottom w:val="0"/>
      <w:divBdr>
        <w:top w:val="none" w:sz="0" w:space="0" w:color="auto"/>
        <w:left w:val="none" w:sz="0" w:space="0" w:color="auto"/>
        <w:bottom w:val="none" w:sz="0" w:space="0" w:color="auto"/>
        <w:right w:val="none" w:sz="0" w:space="0" w:color="auto"/>
      </w:divBdr>
      <w:divsChild>
        <w:div w:id="157813011">
          <w:marLeft w:val="0"/>
          <w:marRight w:val="0"/>
          <w:marTop w:val="0"/>
          <w:marBottom w:val="0"/>
          <w:divBdr>
            <w:top w:val="none" w:sz="0" w:space="0" w:color="auto"/>
            <w:left w:val="none" w:sz="0" w:space="0" w:color="auto"/>
            <w:bottom w:val="none" w:sz="0" w:space="0" w:color="auto"/>
            <w:right w:val="none" w:sz="0" w:space="0" w:color="auto"/>
          </w:divBdr>
          <w:divsChild>
            <w:div w:id="92871035">
              <w:marLeft w:val="0"/>
              <w:marRight w:val="0"/>
              <w:marTop w:val="0"/>
              <w:marBottom w:val="0"/>
              <w:divBdr>
                <w:top w:val="none" w:sz="0" w:space="0" w:color="auto"/>
                <w:left w:val="none" w:sz="0" w:space="0" w:color="auto"/>
                <w:bottom w:val="none" w:sz="0" w:space="0" w:color="auto"/>
                <w:right w:val="none" w:sz="0" w:space="0" w:color="auto"/>
              </w:divBdr>
              <w:divsChild>
                <w:div w:id="1466850507">
                  <w:marLeft w:val="0"/>
                  <w:marRight w:val="0"/>
                  <w:marTop w:val="0"/>
                  <w:marBottom w:val="0"/>
                  <w:divBdr>
                    <w:top w:val="none" w:sz="0" w:space="0" w:color="auto"/>
                    <w:left w:val="none" w:sz="0" w:space="0" w:color="auto"/>
                    <w:bottom w:val="none" w:sz="0" w:space="0" w:color="auto"/>
                    <w:right w:val="none" w:sz="0" w:space="0" w:color="auto"/>
                  </w:divBdr>
                  <w:divsChild>
                    <w:div w:id="2468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761168">
      <w:bodyDiv w:val="1"/>
      <w:marLeft w:val="0"/>
      <w:marRight w:val="0"/>
      <w:marTop w:val="0"/>
      <w:marBottom w:val="0"/>
      <w:divBdr>
        <w:top w:val="none" w:sz="0" w:space="0" w:color="auto"/>
        <w:left w:val="none" w:sz="0" w:space="0" w:color="auto"/>
        <w:bottom w:val="none" w:sz="0" w:space="0" w:color="auto"/>
        <w:right w:val="none" w:sz="0" w:space="0" w:color="auto"/>
      </w:divBdr>
      <w:divsChild>
        <w:div w:id="251553637">
          <w:marLeft w:val="0"/>
          <w:marRight w:val="0"/>
          <w:marTop w:val="0"/>
          <w:marBottom w:val="0"/>
          <w:divBdr>
            <w:top w:val="none" w:sz="0" w:space="0" w:color="auto"/>
            <w:left w:val="none" w:sz="0" w:space="0" w:color="auto"/>
            <w:bottom w:val="none" w:sz="0" w:space="0" w:color="auto"/>
            <w:right w:val="none" w:sz="0" w:space="0" w:color="auto"/>
          </w:divBdr>
          <w:divsChild>
            <w:div w:id="1521432967">
              <w:marLeft w:val="0"/>
              <w:marRight w:val="0"/>
              <w:marTop w:val="0"/>
              <w:marBottom w:val="0"/>
              <w:divBdr>
                <w:top w:val="none" w:sz="0" w:space="0" w:color="auto"/>
                <w:left w:val="none" w:sz="0" w:space="0" w:color="auto"/>
                <w:bottom w:val="none" w:sz="0" w:space="0" w:color="auto"/>
                <w:right w:val="none" w:sz="0" w:space="0" w:color="auto"/>
              </w:divBdr>
              <w:divsChild>
                <w:div w:id="4942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51348">
      <w:bodyDiv w:val="1"/>
      <w:marLeft w:val="0"/>
      <w:marRight w:val="0"/>
      <w:marTop w:val="0"/>
      <w:marBottom w:val="0"/>
      <w:divBdr>
        <w:top w:val="none" w:sz="0" w:space="0" w:color="auto"/>
        <w:left w:val="none" w:sz="0" w:space="0" w:color="auto"/>
        <w:bottom w:val="none" w:sz="0" w:space="0" w:color="auto"/>
        <w:right w:val="none" w:sz="0" w:space="0" w:color="auto"/>
      </w:divBdr>
    </w:div>
    <w:div w:id="679281088">
      <w:bodyDiv w:val="1"/>
      <w:marLeft w:val="0"/>
      <w:marRight w:val="0"/>
      <w:marTop w:val="0"/>
      <w:marBottom w:val="0"/>
      <w:divBdr>
        <w:top w:val="none" w:sz="0" w:space="0" w:color="auto"/>
        <w:left w:val="none" w:sz="0" w:space="0" w:color="auto"/>
        <w:bottom w:val="none" w:sz="0" w:space="0" w:color="auto"/>
        <w:right w:val="none" w:sz="0" w:space="0" w:color="auto"/>
      </w:divBdr>
      <w:divsChild>
        <w:div w:id="593057592">
          <w:marLeft w:val="0"/>
          <w:marRight w:val="0"/>
          <w:marTop w:val="0"/>
          <w:marBottom w:val="0"/>
          <w:divBdr>
            <w:top w:val="none" w:sz="0" w:space="0" w:color="auto"/>
            <w:left w:val="none" w:sz="0" w:space="0" w:color="auto"/>
            <w:bottom w:val="none" w:sz="0" w:space="0" w:color="auto"/>
            <w:right w:val="none" w:sz="0" w:space="0" w:color="auto"/>
          </w:divBdr>
          <w:divsChild>
            <w:div w:id="1799956150">
              <w:marLeft w:val="0"/>
              <w:marRight w:val="0"/>
              <w:marTop w:val="0"/>
              <w:marBottom w:val="0"/>
              <w:divBdr>
                <w:top w:val="none" w:sz="0" w:space="0" w:color="auto"/>
                <w:left w:val="none" w:sz="0" w:space="0" w:color="auto"/>
                <w:bottom w:val="none" w:sz="0" w:space="0" w:color="auto"/>
                <w:right w:val="none" w:sz="0" w:space="0" w:color="auto"/>
              </w:divBdr>
              <w:divsChild>
                <w:div w:id="11308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47574">
      <w:bodyDiv w:val="1"/>
      <w:marLeft w:val="0"/>
      <w:marRight w:val="0"/>
      <w:marTop w:val="0"/>
      <w:marBottom w:val="0"/>
      <w:divBdr>
        <w:top w:val="none" w:sz="0" w:space="0" w:color="auto"/>
        <w:left w:val="none" w:sz="0" w:space="0" w:color="auto"/>
        <w:bottom w:val="none" w:sz="0" w:space="0" w:color="auto"/>
        <w:right w:val="none" w:sz="0" w:space="0" w:color="auto"/>
      </w:divBdr>
      <w:divsChild>
        <w:div w:id="1337853189">
          <w:marLeft w:val="0"/>
          <w:marRight w:val="0"/>
          <w:marTop w:val="0"/>
          <w:marBottom w:val="0"/>
          <w:divBdr>
            <w:top w:val="none" w:sz="0" w:space="0" w:color="auto"/>
            <w:left w:val="none" w:sz="0" w:space="0" w:color="auto"/>
            <w:bottom w:val="none" w:sz="0" w:space="0" w:color="auto"/>
            <w:right w:val="none" w:sz="0" w:space="0" w:color="auto"/>
          </w:divBdr>
          <w:divsChild>
            <w:div w:id="480780979">
              <w:marLeft w:val="0"/>
              <w:marRight w:val="0"/>
              <w:marTop w:val="0"/>
              <w:marBottom w:val="0"/>
              <w:divBdr>
                <w:top w:val="none" w:sz="0" w:space="0" w:color="auto"/>
                <w:left w:val="none" w:sz="0" w:space="0" w:color="auto"/>
                <w:bottom w:val="none" w:sz="0" w:space="0" w:color="auto"/>
                <w:right w:val="none" w:sz="0" w:space="0" w:color="auto"/>
              </w:divBdr>
              <w:divsChild>
                <w:div w:id="1719011459">
                  <w:marLeft w:val="0"/>
                  <w:marRight w:val="0"/>
                  <w:marTop w:val="0"/>
                  <w:marBottom w:val="0"/>
                  <w:divBdr>
                    <w:top w:val="none" w:sz="0" w:space="0" w:color="auto"/>
                    <w:left w:val="none" w:sz="0" w:space="0" w:color="auto"/>
                    <w:bottom w:val="none" w:sz="0" w:space="0" w:color="auto"/>
                    <w:right w:val="none" w:sz="0" w:space="0" w:color="auto"/>
                  </w:divBdr>
                  <w:divsChild>
                    <w:div w:id="97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21101669">
      <w:bodyDiv w:val="1"/>
      <w:marLeft w:val="0"/>
      <w:marRight w:val="0"/>
      <w:marTop w:val="0"/>
      <w:marBottom w:val="0"/>
      <w:divBdr>
        <w:top w:val="none" w:sz="0" w:space="0" w:color="auto"/>
        <w:left w:val="none" w:sz="0" w:space="0" w:color="auto"/>
        <w:bottom w:val="none" w:sz="0" w:space="0" w:color="auto"/>
        <w:right w:val="none" w:sz="0" w:space="0" w:color="auto"/>
      </w:divBdr>
      <w:divsChild>
        <w:div w:id="59184257">
          <w:marLeft w:val="0"/>
          <w:marRight w:val="0"/>
          <w:marTop w:val="0"/>
          <w:marBottom w:val="0"/>
          <w:divBdr>
            <w:top w:val="none" w:sz="0" w:space="0" w:color="auto"/>
            <w:left w:val="none" w:sz="0" w:space="0" w:color="auto"/>
            <w:bottom w:val="none" w:sz="0" w:space="0" w:color="auto"/>
            <w:right w:val="none" w:sz="0" w:space="0" w:color="auto"/>
          </w:divBdr>
          <w:divsChild>
            <w:div w:id="2117022463">
              <w:marLeft w:val="0"/>
              <w:marRight w:val="0"/>
              <w:marTop w:val="0"/>
              <w:marBottom w:val="0"/>
              <w:divBdr>
                <w:top w:val="none" w:sz="0" w:space="0" w:color="auto"/>
                <w:left w:val="none" w:sz="0" w:space="0" w:color="auto"/>
                <w:bottom w:val="none" w:sz="0" w:space="0" w:color="auto"/>
                <w:right w:val="none" w:sz="0" w:space="0" w:color="auto"/>
              </w:divBdr>
              <w:divsChild>
                <w:div w:id="1280332872">
                  <w:marLeft w:val="0"/>
                  <w:marRight w:val="0"/>
                  <w:marTop w:val="0"/>
                  <w:marBottom w:val="0"/>
                  <w:divBdr>
                    <w:top w:val="none" w:sz="0" w:space="0" w:color="auto"/>
                    <w:left w:val="none" w:sz="0" w:space="0" w:color="auto"/>
                    <w:bottom w:val="none" w:sz="0" w:space="0" w:color="auto"/>
                    <w:right w:val="none" w:sz="0" w:space="0" w:color="auto"/>
                  </w:divBdr>
                  <w:divsChild>
                    <w:div w:id="15718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38409387">
      <w:bodyDiv w:val="1"/>
      <w:marLeft w:val="0"/>
      <w:marRight w:val="0"/>
      <w:marTop w:val="0"/>
      <w:marBottom w:val="0"/>
      <w:divBdr>
        <w:top w:val="none" w:sz="0" w:space="0" w:color="auto"/>
        <w:left w:val="none" w:sz="0" w:space="0" w:color="auto"/>
        <w:bottom w:val="none" w:sz="0" w:space="0" w:color="auto"/>
        <w:right w:val="none" w:sz="0" w:space="0" w:color="auto"/>
      </w:divBdr>
      <w:divsChild>
        <w:div w:id="2146392515">
          <w:marLeft w:val="0"/>
          <w:marRight w:val="0"/>
          <w:marTop w:val="0"/>
          <w:marBottom w:val="0"/>
          <w:divBdr>
            <w:top w:val="none" w:sz="0" w:space="0" w:color="auto"/>
            <w:left w:val="none" w:sz="0" w:space="0" w:color="auto"/>
            <w:bottom w:val="none" w:sz="0" w:space="0" w:color="auto"/>
            <w:right w:val="none" w:sz="0" w:space="0" w:color="auto"/>
          </w:divBdr>
          <w:divsChild>
            <w:div w:id="1154566846">
              <w:marLeft w:val="0"/>
              <w:marRight w:val="0"/>
              <w:marTop w:val="0"/>
              <w:marBottom w:val="0"/>
              <w:divBdr>
                <w:top w:val="none" w:sz="0" w:space="0" w:color="auto"/>
                <w:left w:val="none" w:sz="0" w:space="0" w:color="auto"/>
                <w:bottom w:val="none" w:sz="0" w:space="0" w:color="auto"/>
                <w:right w:val="none" w:sz="0" w:space="0" w:color="auto"/>
              </w:divBdr>
              <w:divsChild>
                <w:div w:id="1898860708">
                  <w:marLeft w:val="0"/>
                  <w:marRight w:val="0"/>
                  <w:marTop w:val="0"/>
                  <w:marBottom w:val="0"/>
                  <w:divBdr>
                    <w:top w:val="none" w:sz="0" w:space="0" w:color="auto"/>
                    <w:left w:val="none" w:sz="0" w:space="0" w:color="auto"/>
                    <w:bottom w:val="none" w:sz="0" w:space="0" w:color="auto"/>
                    <w:right w:val="none" w:sz="0" w:space="0" w:color="auto"/>
                  </w:divBdr>
                  <w:divsChild>
                    <w:div w:id="18377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54714">
      <w:bodyDiv w:val="1"/>
      <w:marLeft w:val="0"/>
      <w:marRight w:val="0"/>
      <w:marTop w:val="0"/>
      <w:marBottom w:val="0"/>
      <w:divBdr>
        <w:top w:val="none" w:sz="0" w:space="0" w:color="auto"/>
        <w:left w:val="none" w:sz="0" w:space="0" w:color="auto"/>
        <w:bottom w:val="none" w:sz="0" w:space="0" w:color="auto"/>
        <w:right w:val="none" w:sz="0" w:space="0" w:color="auto"/>
      </w:divBdr>
    </w:div>
    <w:div w:id="760955274">
      <w:bodyDiv w:val="1"/>
      <w:marLeft w:val="0"/>
      <w:marRight w:val="0"/>
      <w:marTop w:val="0"/>
      <w:marBottom w:val="0"/>
      <w:divBdr>
        <w:top w:val="none" w:sz="0" w:space="0" w:color="auto"/>
        <w:left w:val="none" w:sz="0" w:space="0" w:color="auto"/>
        <w:bottom w:val="none" w:sz="0" w:space="0" w:color="auto"/>
        <w:right w:val="none" w:sz="0" w:space="0" w:color="auto"/>
      </w:divBdr>
      <w:divsChild>
        <w:div w:id="1937397514">
          <w:marLeft w:val="0"/>
          <w:marRight w:val="0"/>
          <w:marTop w:val="0"/>
          <w:marBottom w:val="0"/>
          <w:divBdr>
            <w:top w:val="none" w:sz="0" w:space="0" w:color="auto"/>
            <w:left w:val="none" w:sz="0" w:space="0" w:color="auto"/>
            <w:bottom w:val="none" w:sz="0" w:space="0" w:color="auto"/>
            <w:right w:val="none" w:sz="0" w:space="0" w:color="auto"/>
          </w:divBdr>
          <w:divsChild>
            <w:div w:id="793518235">
              <w:marLeft w:val="0"/>
              <w:marRight w:val="0"/>
              <w:marTop w:val="0"/>
              <w:marBottom w:val="0"/>
              <w:divBdr>
                <w:top w:val="none" w:sz="0" w:space="0" w:color="auto"/>
                <w:left w:val="none" w:sz="0" w:space="0" w:color="auto"/>
                <w:bottom w:val="none" w:sz="0" w:space="0" w:color="auto"/>
                <w:right w:val="none" w:sz="0" w:space="0" w:color="auto"/>
              </w:divBdr>
              <w:divsChild>
                <w:div w:id="11299015">
                  <w:marLeft w:val="0"/>
                  <w:marRight w:val="0"/>
                  <w:marTop w:val="0"/>
                  <w:marBottom w:val="0"/>
                  <w:divBdr>
                    <w:top w:val="none" w:sz="0" w:space="0" w:color="auto"/>
                    <w:left w:val="none" w:sz="0" w:space="0" w:color="auto"/>
                    <w:bottom w:val="none" w:sz="0" w:space="0" w:color="auto"/>
                    <w:right w:val="none" w:sz="0" w:space="0" w:color="auto"/>
                  </w:divBdr>
                  <w:divsChild>
                    <w:div w:id="1267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472469">
      <w:bodyDiv w:val="1"/>
      <w:marLeft w:val="0"/>
      <w:marRight w:val="0"/>
      <w:marTop w:val="0"/>
      <w:marBottom w:val="0"/>
      <w:divBdr>
        <w:top w:val="none" w:sz="0" w:space="0" w:color="auto"/>
        <w:left w:val="none" w:sz="0" w:space="0" w:color="auto"/>
        <w:bottom w:val="none" w:sz="0" w:space="0" w:color="auto"/>
        <w:right w:val="none" w:sz="0" w:space="0" w:color="auto"/>
      </w:divBdr>
      <w:divsChild>
        <w:div w:id="1926913806">
          <w:marLeft w:val="0"/>
          <w:marRight w:val="0"/>
          <w:marTop w:val="0"/>
          <w:marBottom w:val="0"/>
          <w:divBdr>
            <w:top w:val="none" w:sz="0" w:space="0" w:color="auto"/>
            <w:left w:val="none" w:sz="0" w:space="0" w:color="auto"/>
            <w:bottom w:val="none" w:sz="0" w:space="0" w:color="auto"/>
            <w:right w:val="none" w:sz="0" w:space="0" w:color="auto"/>
          </w:divBdr>
          <w:divsChild>
            <w:div w:id="1387945940">
              <w:marLeft w:val="0"/>
              <w:marRight w:val="0"/>
              <w:marTop w:val="0"/>
              <w:marBottom w:val="0"/>
              <w:divBdr>
                <w:top w:val="none" w:sz="0" w:space="0" w:color="auto"/>
                <w:left w:val="none" w:sz="0" w:space="0" w:color="auto"/>
                <w:bottom w:val="none" w:sz="0" w:space="0" w:color="auto"/>
                <w:right w:val="none" w:sz="0" w:space="0" w:color="auto"/>
              </w:divBdr>
              <w:divsChild>
                <w:div w:id="1922640851">
                  <w:marLeft w:val="0"/>
                  <w:marRight w:val="0"/>
                  <w:marTop w:val="0"/>
                  <w:marBottom w:val="0"/>
                  <w:divBdr>
                    <w:top w:val="none" w:sz="0" w:space="0" w:color="auto"/>
                    <w:left w:val="none" w:sz="0" w:space="0" w:color="auto"/>
                    <w:bottom w:val="none" w:sz="0" w:space="0" w:color="auto"/>
                    <w:right w:val="none" w:sz="0" w:space="0" w:color="auto"/>
                  </w:divBdr>
                  <w:divsChild>
                    <w:div w:id="14870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67360">
      <w:bodyDiv w:val="1"/>
      <w:marLeft w:val="0"/>
      <w:marRight w:val="0"/>
      <w:marTop w:val="0"/>
      <w:marBottom w:val="0"/>
      <w:divBdr>
        <w:top w:val="none" w:sz="0" w:space="0" w:color="auto"/>
        <w:left w:val="none" w:sz="0" w:space="0" w:color="auto"/>
        <w:bottom w:val="none" w:sz="0" w:space="0" w:color="auto"/>
        <w:right w:val="none" w:sz="0" w:space="0" w:color="auto"/>
      </w:divBdr>
      <w:divsChild>
        <w:div w:id="574510144">
          <w:marLeft w:val="0"/>
          <w:marRight w:val="0"/>
          <w:marTop w:val="0"/>
          <w:marBottom w:val="0"/>
          <w:divBdr>
            <w:top w:val="none" w:sz="0" w:space="0" w:color="auto"/>
            <w:left w:val="none" w:sz="0" w:space="0" w:color="auto"/>
            <w:bottom w:val="none" w:sz="0" w:space="0" w:color="auto"/>
            <w:right w:val="none" w:sz="0" w:space="0" w:color="auto"/>
          </w:divBdr>
          <w:divsChild>
            <w:div w:id="619185867">
              <w:marLeft w:val="0"/>
              <w:marRight w:val="0"/>
              <w:marTop w:val="0"/>
              <w:marBottom w:val="0"/>
              <w:divBdr>
                <w:top w:val="none" w:sz="0" w:space="0" w:color="auto"/>
                <w:left w:val="none" w:sz="0" w:space="0" w:color="auto"/>
                <w:bottom w:val="none" w:sz="0" w:space="0" w:color="auto"/>
                <w:right w:val="none" w:sz="0" w:space="0" w:color="auto"/>
              </w:divBdr>
              <w:divsChild>
                <w:div w:id="860049014">
                  <w:marLeft w:val="0"/>
                  <w:marRight w:val="0"/>
                  <w:marTop w:val="0"/>
                  <w:marBottom w:val="0"/>
                  <w:divBdr>
                    <w:top w:val="none" w:sz="0" w:space="0" w:color="auto"/>
                    <w:left w:val="none" w:sz="0" w:space="0" w:color="auto"/>
                    <w:bottom w:val="none" w:sz="0" w:space="0" w:color="auto"/>
                    <w:right w:val="none" w:sz="0" w:space="0" w:color="auto"/>
                  </w:divBdr>
                  <w:divsChild>
                    <w:div w:id="8518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63089">
      <w:bodyDiv w:val="1"/>
      <w:marLeft w:val="0"/>
      <w:marRight w:val="0"/>
      <w:marTop w:val="0"/>
      <w:marBottom w:val="0"/>
      <w:divBdr>
        <w:top w:val="none" w:sz="0" w:space="0" w:color="auto"/>
        <w:left w:val="none" w:sz="0" w:space="0" w:color="auto"/>
        <w:bottom w:val="none" w:sz="0" w:space="0" w:color="auto"/>
        <w:right w:val="none" w:sz="0" w:space="0" w:color="auto"/>
      </w:divBdr>
      <w:divsChild>
        <w:div w:id="662659564">
          <w:marLeft w:val="0"/>
          <w:marRight w:val="0"/>
          <w:marTop w:val="0"/>
          <w:marBottom w:val="0"/>
          <w:divBdr>
            <w:top w:val="none" w:sz="0" w:space="0" w:color="auto"/>
            <w:left w:val="none" w:sz="0" w:space="0" w:color="auto"/>
            <w:bottom w:val="none" w:sz="0" w:space="0" w:color="auto"/>
            <w:right w:val="none" w:sz="0" w:space="0" w:color="auto"/>
          </w:divBdr>
          <w:divsChild>
            <w:div w:id="169877007">
              <w:marLeft w:val="0"/>
              <w:marRight w:val="0"/>
              <w:marTop w:val="0"/>
              <w:marBottom w:val="0"/>
              <w:divBdr>
                <w:top w:val="none" w:sz="0" w:space="0" w:color="auto"/>
                <w:left w:val="none" w:sz="0" w:space="0" w:color="auto"/>
                <w:bottom w:val="none" w:sz="0" w:space="0" w:color="auto"/>
                <w:right w:val="none" w:sz="0" w:space="0" w:color="auto"/>
              </w:divBdr>
              <w:divsChild>
                <w:div w:id="2050762551">
                  <w:marLeft w:val="0"/>
                  <w:marRight w:val="0"/>
                  <w:marTop w:val="0"/>
                  <w:marBottom w:val="0"/>
                  <w:divBdr>
                    <w:top w:val="none" w:sz="0" w:space="0" w:color="auto"/>
                    <w:left w:val="none" w:sz="0" w:space="0" w:color="auto"/>
                    <w:bottom w:val="none" w:sz="0" w:space="0" w:color="auto"/>
                    <w:right w:val="none" w:sz="0" w:space="0" w:color="auto"/>
                  </w:divBdr>
                  <w:divsChild>
                    <w:div w:id="4295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72439">
      <w:bodyDiv w:val="1"/>
      <w:marLeft w:val="0"/>
      <w:marRight w:val="0"/>
      <w:marTop w:val="0"/>
      <w:marBottom w:val="0"/>
      <w:divBdr>
        <w:top w:val="none" w:sz="0" w:space="0" w:color="auto"/>
        <w:left w:val="none" w:sz="0" w:space="0" w:color="auto"/>
        <w:bottom w:val="none" w:sz="0" w:space="0" w:color="auto"/>
        <w:right w:val="none" w:sz="0" w:space="0" w:color="auto"/>
      </w:divBdr>
    </w:div>
    <w:div w:id="812715668">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22084514">
      <w:bodyDiv w:val="1"/>
      <w:marLeft w:val="0"/>
      <w:marRight w:val="0"/>
      <w:marTop w:val="0"/>
      <w:marBottom w:val="0"/>
      <w:divBdr>
        <w:top w:val="none" w:sz="0" w:space="0" w:color="auto"/>
        <w:left w:val="none" w:sz="0" w:space="0" w:color="auto"/>
        <w:bottom w:val="none" w:sz="0" w:space="0" w:color="auto"/>
        <w:right w:val="none" w:sz="0" w:space="0" w:color="auto"/>
      </w:divBdr>
      <w:divsChild>
        <w:div w:id="1986666659">
          <w:marLeft w:val="0"/>
          <w:marRight w:val="0"/>
          <w:marTop w:val="0"/>
          <w:marBottom w:val="0"/>
          <w:divBdr>
            <w:top w:val="none" w:sz="0" w:space="0" w:color="auto"/>
            <w:left w:val="none" w:sz="0" w:space="0" w:color="auto"/>
            <w:bottom w:val="none" w:sz="0" w:space="0" w:color="auto"/>
            <w:right w:val="none" w:sz="0" w:space="0" w:color="auto"/>
          </w:divBdr>
          <w:divsChild>
            <w:div w:id="1311448906">
              <w:marLeft w:val="0"/>
              <w:marRight w:val="0"/>
              <w:marTop w:val="0"/>
              <w:marBottom w:val="0"/>
              <w:divBdr>
                <w:top w:val="none" w:sz="0" w:space="0" w:color="auto"/>
                <w:left w:val="none" w:sz="0" w:space="0" w:color="auto"/>
                <w:bottom w:val="none" w:sz="0" w:space="0" w:color="auto"/>
                <w:right w:val="none" w:sz="0" w:space="0" w:color="auto"/>
              </w:divBdr>
              <w:divsChild>
                <w:div w:id="11209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06120">
      <w:bodyDiv w:val="1"/>
      <w:marLeft w:val="0"/>
      <w:marRight w:val="0"/>
      <w:marTop w:val="0"/>
      <w:marBottom w:val="0"/>
      <w:divBdr>
        <w:top w:val="none" w:sz="0" w:space="0" w:color="auto"/>
        <w:left w:val="none" w:sz="0" w:space="0" w:color="auto"/>
        <w:bottom w:val="none" w:sz="0" w:space="0" w:color="auto"/>
        <w:right w:val="none" w:sz="0" w:space="0" w:color="auto"/>
      </w:divBdr>
      <w:divsChild>
        <w:div w:id="1609505632">
          <w:marLeft w:val="0"/>
          <w:marRight w:val="0"/>
          <w:marTop w:val="0"/>
          <w:marBottom w:val="0"/>
          <w:divBdr>
            <w:top w:val="none" w:sz="0" w:space="0" w:color="auto"/>
            <w:left w:val="none" w:sz="0" w:space="0" w:color="auto"/>
            <w:bottom w:val="none" w:sz="0" w:space="0" w:color="auto"/>
            <w:right w:val="none" w:sz="0" w:space="0" w:color="auto"/>
          </w:divBdr>
          <w:divsChild>
            <w:div w:id="1602882667">
              <w:marLeft w:val="0"/>
              <w:marRight w:val="0"/>
              <w:marTop w:val="0"/>
              <w:marBottom w:val="0"/>
              <w:divBdr>
                <w:top w:val="none" w:sz="0" w:space="0" w:color="auto"/>
                <w:left w:val="none" w:sz="0" w:space="0" w:color="auto"/>
                <w:bottom w:val="none" w:sz="0" w:space="0" w:color="auto"/>
                <w:right w:val="none" w:sz="0" w:space="0" w:color="auto"/>
              </w:divBdr>
              <w:divsChild>
                <w:div w:id="2036491547">
                  <w:marLeft w:val="0"/>
                  <w:marRight w:val="0"/>
                  <w:marTop w:val="0"/>
                  <w:marBottom w:val="0"/>
                  <w:divBdr>
                    <w:top w:val="none" w:sz="0" w:space="0" w:color="auto"/>
                    <w:left w:val="none" w:sz="0" w:space="0" w:color="auto"/>
                    <w:bottom w:val="none" w:sz="0" w:space="0" w:color="auto"/>
                    <w:right w:val="none" w:sz="0" w:space="0" w:color="auto"/>
                  </w:divBdr>
                  <w:divsChild>
                    <w:div w:id="29426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4304">
      <w:bodyDiv w:val="1"/>
      <w:marLeft w:val="0"/>
      <w:marRight w:val="0"/>
      <w:marTop w:val="0"/>
      <w:marBottom w:val="0"/>
      <w:divBdr>
        <w:top w:val="none" w:sz="0" w:space="0" w:color="auto"/>
        <w:left w:val="none" w:sz="0" w:space="0" w:color="auto"/>
        <w:bottom w:val="none" w:sz="0" w:space="0" w:color="auto"/>
        <w:right w:val="none" w:sz="0" w:space="0" w:color="auto"/>
      </w:divBdr>
      <w:divsChild>
        <w:div w:id="888614953">
          <w:marLeft w:val="0"/>
          <w:marRight w:val="0"/>
          <w:marTop w:val="0"/>
          <w:marBottom w:val="0"/>
          <w:divBdr>
            <w:top w:val="none" w:sz="0" w:space="0" w:color="auto"/>
            <w:left w:val="none" w:sz="0" w:space="0" w:color="auto"/>
            <w:bottom w:val="none" w:sz="0" w:space="0" w:color="auto"/>
            <w:right w:val="none" w:sz="0" w:space="0" w:color="auto"/>
          </w:divBdr>
          <w:divsChild>
            <w:div w:id="1370834390">
              <w:marLeft w:val="0"/>
              <w:marRight w:val="0"/>
              <w:marTop w:val="0"/>
              <w:marBottom w:val="0"/>
              <w:divBdr>
                <w:top w:val="none" w:sz="0" w:space="0" w:color="auto"/>
                <w:left w:val="none" w:sz="0" w:space="0" w:color="auto"/>
                <w:bottom w:val="none" w:sz="0" w:space="0" w:color="auto"/>
                <w:right w:val="none" w:sz="0" w:space="0" w:color="auto"/>
              </w:divBdr>
              <w:divsChild>
                <w:div w:id="14138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53105060">
      <w:bodyDiv w:val="1"/>
      <w:marLeft w:val="0"/>
      <w:marRight w:val="0"/>
      <w:marTop w:val="0"/>
      <w:marBottom w:val="0"/>
      <w:divBdr>
        <w:top w:val="none" w:sz="0" w:space="0" w:color="auto"/>
        <w:left w:val="none" w:sz="0" w:space="0" w:color="auto"/>
        <w:bottom w:val="none" w:sz="0" w:space="0" w:color="auto"/>
        <w:right w:val="none" w:sz="0" w:space="0" w:color="auto"/>
      </w:divBdr>
      <w:divsChild>
        <w:div w:id="761220096">
          <w:marLeft w:val="0"/>
          <w:marRight w:val="0"/>
          <w:marTop w:val="0"/>
          <w:marBottom w:val="0"/>
          <w:divBdr>
            <w:top w:val="none" w:sz="0" w:space="0" w:color="auto"/>
            <w:left w:val="none" w:sz="0" w:space="0" w:color="auto"/>
            <w:bottom w:val="none" w:sz="0" w:space="0" w:color="auto"/>
            <w:right w:val="none" w:sz="0" w:space="0" w:color="auto"/>
          </w:divBdr>
          <w:divsChild>
            <w:div w:id="266501970">
              <w:marLeft w:val="0"/>
              <w:marRight w:val="0"/>
              <w:marTop w:val="0"/>
              <w:marBottom w:val="0"/>
              <w:divBdr>
                <w:top w:val="none" w:sz="0" w:space="0" w:color="auto"/>
                <w:left w:val="none" w:sz="0" w:space="0" w:color="auto"/>
                <w:bottom w:val="none" w:sz="0" w:space="0" w:color="auto"/>
                <w:right w:val="none" w:sz="0" w:space="0" w:color="auto"/>
              </w:divBdr>
              <w:divsChild>
                <w:div w:id="1235123613">
                  <w:marLeft w:val="0"/>
                  <w:marRight w:val="0"/>
                  <w:marTop w:val="0"/>
                  <w:marBottom w:val="0"/>
                  <w:divBdr>
                    <w:top w:val="none" w:sz="0" w:space="0" w:color="auto"/>
                    <w:left w:val="none" w:sz="0" w:space="0" w:color="auto"/>
                    <w:bottom w:val="none" w:sz="0" w:space="0" w:color="auto"/>
                    <w:right w:val="none" w:sz="0" w:space="0" w:color="auto"/>
                  </w:divBdr>
                  <w:divsChild>
                    <w:div w:id="4033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42644">
      <w:bodyDiv w:val="1"/>
      <w:marLeft w:val="0"/>
      <w:marRight w:val="0"/>
      <w:marTop w:val="0"/>
      <w:marBottom w:val="0"/>
      <w:divBdr>
        <w:top w:val="none" w:sz="0" w:space="0" w:color="auto"/>
        <w:left w:val="none" w:sz="0" w:space="0" w:color="auto"/>
        <w:bottom w:val="none" w:sz="0" w:space="0" w:color="auto"/>
        <w:right w:val="none" w:sz="0" w:space="0" w:color="auto"/>
      </w:divBdr>
    </w:div>
    <w:div w:id="856113206">
      <w:bodyDiv w:val="1"/>
      <w:marLeft w:val="0"/>
      <w:marRight w:val="0"/>
      <w:marTop w:val="0"/>
      <w:marBottom w:val="0"/>
      <w:divBdr>
        <w:top w:val="none" w:sz="0" w:space="0" w:color="auto"/>
        <w:left w:val="none" w:sz="0" w:space="0" w:color="auto"/>
        <w:bottom w:val="none" w:sz="0" w:space="0" w:color="auto"/>
        <w:right w:val="none" w:sz="0" w:space="0" w:color="auto"/>
      </w:divBdr>
      <w:divsChild>
        <w:div w:id="1491142478">
          <w:marLeft w:val="0"/>
          <w:marRight w:val="0"/>
          <w:marTop w:val="0"/>
          <w:marBottom w:val="0"/>
          <w:divBdr>
            <w:top w:val="none" w:sz="0" w:space="0" w:color="auto"/>
            <w:left w:val="none" w:sz="0" w:space="0" w:color="auto"/>
            <w:bottom w:val="none" w:sz="0" w:space="0" w:color="auto"/>
            <w:right w:val="none" w:sz="0" w:space="0" w:color="auto"/>
          </w:divBdr>
          <w:divsChild>
            <w:div w:id="372270243">
              <w:marLeft w:val="0"/>
              <w:marRight w:val="0"/>
              <w:marTop w:val="0"/>
              <w:marBottom w:val="0"/>
              <w:divBdr>
                <w:top w:val="none" w:sz="0" w:space="0" w:color="auto"/>
                <w:left w:val="none" w:sz="0" w:space="0" w:color="auto"/>
                <w:bottom w:val="none" w:sz="0" w:space="0" w:color="auto"/>
                <w:right w:val="none" w:sz="0" w:space="0" w:color="auto"/>
              </w:divBdr>
              <w:divsChild>
                <w:div w:id="379666961">
                  <w:marLeft w:val="0"/>
                  <w:marRight w:val="0"/>
                  <w:marTop w:val="0"/>
                  <w:marBottom w:val="0"/>
                  <w:divBdr>
                    <w:top w:val="none" w:sz="0" w:space="0" w:color="auto"/>
                    <w:left w:val="none" w:sz="0" w:space="0" w:color="auto"/>
                    <w:bottom w:val="none" w:sz="0" w:space="0" w:color="auto"/>
                    <w:right w:val="none" w:sz="0" w:space="0" w:color="auto"/>
                  </w:divBdr>
                  <w:divsChild>
                    <w:div w:id="8301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24021">
      <w:bodyDiv w:val="1"/>
      <w:marLeft w:val="0"/>
      <w:marRight w:val="0"/>
      <w:marTop w:val="0"/>
      <w:marBottom w:val="0"/>
      <w:divBdr>
        <w:top w:val="none" w:sz="0" w:space="0" w:color="auto"/>
        <w:left w:val="none" w:sz="0" w:space="0" w:color="auto"/>
        <w:bottom w:val="none" w:sz="0" w:space="0" w:color="auto"/>
        <w:right w:val="none" w:sz="0" w:space="0" w:color="auto"/>
      </w:divBdr>
    </w:div>
    <w:div w:id="860511371">
      <w:bodyDiv w:val="1"/>
      <w:marLeft w:val="0"/>
      <w:marRight w:val="0"/>
      <w:marTop w:val="0"/>
      <w:marBottom w:val="0"/>
      <w:divBdr>
        <w:top w:val="none" w:sz="0" w:space="0" w:color="auto"/>
        <w:left w:val="none" w:sz="0" w:space="0" w:color="auto"/>
        <w:bottom w:val="none" w:sz="0" w:space="0" w:color="auto"/>
        <w:right w:val="none" w:sz="0" w:space="0" w:color="auto"/>
      </w:divBdr>
      <w:divsChild>
        <w:div w:id="1990328742">
          <w:marLeft w:val="0"/>
          <w:marRight w:val="0"/>
          <w:marTop w:val="0"/>
          <w:marBottom w:val="0"/>
          <w:divBdr>
            <w:top w:val="none" w:sz="0" w:space="0" w:color="auto"/>
            <w:left w:val="none" w:sz="0" w:space="0" w:color="auto"/>
            <w:bottom w:val="none" w:sz="0" w:space="0" w:color="auto"/>
            <w:right w:val="none" w:sz="0" w:space="0" w:color="auto"/>
          </w:divBdr>
          <w:divsChild>
            <w:div w:id="503324781">
              <w:marLeft w:val="0"/>
              <w:marRight w:val="0"/>
              <w:marTop w:val="0"/>
              <w:marBottom w:val="0"/>
              <w:divBdr>
                <w:top w:val="none" w:sz="0" w:space="0" w:color="auto"/>
                <w:left w:val="none" w:sz="0" w:space="0" w:color="auto"/>
                <w:bottom w:val="none" w:sz="0" w:space="0" w:color="auto"/>
                <w:right w:val="none" w:sz="0" w:space="0" w:color="auto"/>
              </w:divBdr>
              <w:divsChild>
                <w:div w:id="1880703425">
                  <w:marLeft w:val="0"/>
                  <w:marRight w:val="0"/>
                  <w:marTop w:val="0"/>
                  <w:marBottom w:val="0"/>
                  <w:divBdr>
                    <w:top w:val="none" w:sz="0" w:space="0" w:color="auto"/>
                    <w:left w:val="none" w:sz="0" w:space="0" w:color="auto"/>
                    <w:bottom w:val="none" w:sz="0" w:space="0" w:color="auto"/>
                    <w:right w:val="none" w:sz="0" w:space="0" w:color="auto"/>
                  </w:divBdr>
                  <w:divsChild>
                    <w:div w:id="18775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92716">
      <w:bodyDiv w:val="1"/>
      <w:marLeft w:val="0"/>
      <w:marRight w:val="0"/>
      <w:marTop w:val="0"/>
      <w:marBottom w:val="0"/>
      <w:divBdr>
        <w:top w:val="none" w:sz="0" w:space="0" w:color="auto"/>
        <w:left w:val="none" w:sz="0" w:space="0" w:color="auto"/>
        <w:bottom w:val="none" w:sz="0" w:space="0" w:color="auto"/>
        <w:right w:val="none" w:sz="0" w:space="0" w:color="auto"/>
      </w:divBdr>
    </w:div>
    <w:div w:id="876741795">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884636435">
      <w:bodyDiv w:val="1"/>
      <w:marLeft w:val="0"/>
      <w:marRight w:val="0"/>
      <w:marTop w:val="0"/>
      <w:marBottom w:val="0"/>
      <w:divBdr>
        <w:top w:val="none" w:sz="0" w:space="0" w:color="auto"/>
        <w:left w:val="none" w:sz="0" w:space="0" w:color="auto"/>
        <w:bottom w:val="none" w:sz="0" w:space="0" w:color="auto"/>
        <w:right w:val="none" w:sz="0" w:space="0" w:color="auto"/>
      </w:divBdr>
      <w:divsChild>
        <w:div w:id="319775886">
          <w:marLeft w:val="0"/>
          <w:marRight w:val="0"/>
          <w:marTop w:val="0"/>
          <w:marBottom w:val="0"/>
          <w:divBdr>
            <w:top w:val="none" w:sz="0" w:space="0" w:color="auto"/>
            <w:left w:val="none" w:sz="0" w:space="0" w:color="auto"/>
            <w:bottom w:val="none" w:sz="0" w:space="0" w:color="auto"/>
            <w:right w:val="none" w:sz="0" w:space="0" w:color="auto"/>
          </w:divBdr>
          <w:divsChild>
            <w:div w:id="338168006">
              <w:marLeft w:val="0"/>
              <w:marRight w:val="0"/>
              <w:marTop w:val="0"/>
              <w:marBottom w:val="0"/>
              <w:divBdr>
                <w:top w:val="none" w:sz="0" w:space="0" w:color="auto"/>
                <w:left w:val="none" w:sz="0" w:space="0" w:color="auto"/>
                <w:bottom w:val="none" w:sz="0" w:space="0" w:color="auto"/>
                <w:right w:val="none" w:sz="0" w:space="0" w:color="auto"/>
              </w:divBdr>
              <w:divsChild>
                <w:div w:id="833032584">
                  <w:marLeft w:val="0"/>
                  <w:marRight w:val="0"/>
                  <w:marTop w:val="0"/>
                  <w:marBottom w:val="0"/>
                  <w:divBdr>
                    <w:top w:val="none" w:sz="0" w:space="0" w:color="auto"/>
                    <w:left w:val="none" w:sz="0" w:space="0" w:color="auto"/>
                    <w:bottom w:val="none" w:sz="0" w:space="0" w:color="auto"/>
                    <w:right w:val="none" w:sz="0" w:space="0" w:color="auto"/>
                  </w:divBdr>
                  <w:divsChild>
                    <w:div w:id="16596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00759">
      <w:bodyDiv w:val="1"/>
      <w:marLeft w:val="0"/>
      <w:marRight w:val="0"/>
      <w:marTop w:val="0"/>
      <w:marBottom w:val="0"/>
      <w:divBdr>
        <w:top w:val="none" w:sz="0" w:space="0" w:color="auto"/>
        <w:left w:val="none" w:sz="0" w:space="0" w:color="auto"/>
        <w:bottom w:val="none" w:sz="0" w:space="0" w:color="auto"/>
        <w:right w:val="none" w:sz="0" w:space="0" w:color="auto"/>
      </w:divBdr>
      <w:divsChild>
        <w:div w:id="125128477">
          <w:marLeft w:val="0"/>
          <w:marRight w:val="0"/>
          <w:marTop w:val="0"/>
          <w:marBottom w:val="0"/>
          <w:divBdr>
            <w:top w:val="none" w:sz="0" w:space="0" w:color="auto"/>
            <w:left w:val="none" w:sz="0" w:space="0" w:color="auto"/>
            <w:bottom w:val="none" w:sz="0" w:space="0" w:color="auto"/>
            <w:right w:val="none" w:sz="0" w:space="0" w:color="auto"/>
          </w:divBdr>
          <w:divsChild>
            <w:div w:id="1292125599">
              <w:marLeft w:val="0"/>
              <w:marRight w:val="0"/>
              <w:marTop w:val="0"/>
              <w:marBottom w:val="0"/>
              <w:divBdr>
                <w:top w:val="none" w:sz="0" w:space="0" w:color="auto"/>
                <w:left w:val="none" w:sz="0" w:space="0" w:color="auto"/>
                <w:bottom w:val="none" w:sz="0" w:space="0" w:color="auto"/>
                <w:right w:val="none" w:sz="0" w:space="0" w:color="auto"/>
              </w:divBdr>
              <w:divsChild>
                <w:div w:id="1421364525">
                  <w:marLeft w:val="0"/>
                  <w:marRight w:val="0"/>
                  <w:marTop w:val="0"/>
                  <w:marBottom w:val="0"/>
                  <w:divBdr>
                    <w:top w:val="none" w:sz="0" w:space="0" w:color="auto"/>
                    <w:left w:val="none" w:sz="0" w:space="0" w:color="auto"/>
                    <w:bottom w:val="none" w:sz="0" w:space="0" w:color="auto"/>
                    <w:right w:val="none" w:sz="0" w:space="0" w:color="auto"/>
                  </w:divBdr>
                  <w:divsChild>
                    <w:div w:id="15198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499981">
      <w:bodyDiv w:val="1"/>
      <w:marLeft w:val="0"/>
      <w:marRight w:val="0"/>
      <w:marTop w:val="0"/>
      <w:marBottom w:val="0"/>
      <w:divBdr>
        <w:top w:val="none" w:sz="0" w:space="0" w:color="auto"/>
        <w:left w:val="none" w:sz="0" w:space="0" w:color="auto"/>
        <w:bottom w:val="none" w:sz="0" w:space="0" w:color="auto"/>
        <w:right w:val="none" w:sz="0" w:space="0" w:color="auto"/>
      </w:divBdr>
      <w:divsChild>
        <w:div w:id="781152112">
          <w:marLeft w:val="0"/>
          <w:marRight w:val="0"/>
          <w:marTop w:val="0"/>
          <w:marBottom w:val="0"/>
          <w:divBdr>
            <w:top w:val="none" w:sz="0" w:space="0" w:color="auto"/>
            <w:left w:val="none" w:sz="0" w:space="0" w:color="auto"/>
            <w:bottom w:val="none" w:sz="0" w:space="0" w:color="auto"/>
            <w:right w:val="none" w:sz="0" w:space="0" w:color="auto"/>
          </w:divBdr>
          <w:divsChild>
            <w:div w:id="427042163">
              <w:marLeft w:val="0"/>
              <w:marRight w:val="0"/>
              <w:marTop w:val="0"/>
              <w:marBottom w:val="0"/>
              <w:divBdr>
                <w:top w:val="none" w:sz="0" w:space="0" w:color="auto"/>
                <w:left w:val="none" w:sz="0" w:space="0" w:color="auto"/>
                <w:bottom w:val="none" w:sz="0" w:space="0" w:color="auto"/>
                <w:right w:val="none" w:sz="0" w:space="0" w:color="auto"/>
              </w:divBdr>
              <w:divsChild>
                <w:div w:id="1956446332">
                  <w:marLeft w:val="0"/>
                  <w:marRight w:val="0"/>
                  <w:marTop w:val="0"/>
                  <w:marBottom w:val="0"/>
                  <w:divBdr>
                    <w:top w:val="none" w:sz="0" w:space="0" w:color="auto"/>
                    <w:left w:val="none" w:sz="0" w:space="0" w:color="auto"/>
                    <w:bottom w:val="none" w:sz="0" w:space="0" w:color="auto"/>
                    <w:right w:val="none" w:sz="0" w:space="0" w:color="auto"/>
                  </w:divBdr>
                  <w:divsChild>
                    <w:div w:id="17525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357749">
      <w:bodyDiv w:val="1"/>
      <w:marLeft w:val="0"/>
      <w:marRight w:val="0"/>
      <w:marTop w:val="0"/>
      <w:marBottom w:val="0"/>
      <w:divBdr>
        <w:top w:val="none" w:sz="0" w:space="0" w:color="auto"/>
        <w:left w:val="none" w:sz="0" w:space="0" w:color="auto"/>
        <w:bottom w:val="none" w:sz="0" w:space="0" w:color="auto"/>
        <w:right w:val="none" w:sz="0" w:space="0" w:color="auto"/>
      </w:divBdr>
      <w:divsChild>
        <w:div w:id="1326274851">
          <w:marLeft w:val="0"/>
          <w:marRight w:val="0"/>
          <w:marTop w:val="0"/>
          <w:marBottom w:val="0"/>
          <w:divBdr>
            <w:top w:val="none" w:sz="0" w:space="0" w:color="auto"/>
            <w:left w:val="none" w:sz="0" w:space="0" w:color="auto"/>
            <w:bottom w:val="none" w:sz="0" w:space="0" w:color="auto"/>
            <w:right w:val="none" w:sz="0" w:space="0" w:color="auto"/>
          </w:divBdr>
          <w:divsChild>
            <w:div w:id="472143306">
              <w:marLeft w:val="0"/>
              <w:marRight w:val="0"/>
              <w:marTop w:val="0"/>
              <w:marBottom w:val="0"/>
              <w:divBdr>
                <w:top w:val="none" w:sz="0" w:space="0" w:color="auto"/>
                <w:left w:val="none" w:sz="0" w:space="0" w:color="auto"/>
                <w:bottom w:val="none" w:sz="0" w:space="0" w:color="auto"/>
                <w:right w:val="none" w:sz="0" w:space="0" w:color="auto"/>
              </w:divBdr>
              <w:divsChild>
                <w:div w:id="7407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18229">
      <w:bodyDiv w:val="1"/>
      <w:marLeft w:val="0"/>
      <w:marRight w:val="0"/>
      <w:marTop w:val="0"/>
      <w:marBottom w:val="0"/>
      <w:divBdr>
        <w:top w:val="none" w:sz="0" w:space="0" w:color="auto"/>
        <w:left w:val="none" w:sz="0" w:space="0" w:color="auto"/>
        <w:bottom w:val="none" w:sz="0" w:space="0" w:color="auto"/>
        <w:right w:val="none" w:sz="0" w:space="0" w:color="auto"/>
      </w:divBdr>
      <w:divsChild>
        <w:div w:id="1662811006">
          <w:marLeft w:val="0"/>
          <w:marRight w:val="0"/>
          <w:marTop w:val="0"/>
          <w:marBottom w:val="0"/>
          <w:divBdr>
            <w:top w:val="none" w:sz="0" w:space="0" w:color="auto"/>
            <w:left w:val="none" w:sz="0" w:space="0" w:color="auto"/>
            <w:bottom w:val="none" w:sz="0" w:space="0" w:color="auto"/>
            <w:right w:val="none" w:sz="0" w:space="0" w:color="auto"/>
          </w:divBdr>
          <w:divsChild>
            <w:div w:id="1797680198">
              <w:marLeft w:val="0"/>
              <w:marRight w:val="0"/>
              <w:marTop w:val="0"/>
              <w:marBottom w:val="0"/>
              <w:divBdr>
                <w:top w:val="none" w:sz="0" w:space="0" w:color="auto"/>
                <w:left w:val="none" w:sz="0" w:space="0" w:color="auto"/>
                <w:bottom w:val="none" w:sz="0" w:space="0" w:color="auto"/>
                <w:right w:val="none" w:sz="0" w:space="0" w:color="auto"/>
              </w:divBdr>
              <w:divsChild>
                <w:div w:id="11712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22958629">
      <w:bodyDiv w:val="1"/>
      <w:marLeft w:val="0"/>
      <w:marRight w:val="0"/>
      <w:marTop w:val="0"/>
      <w:marBottom w:val="0"/>
      <w:divBdr>
        <w:top w:val="none" w:sz="0" w:space="0" w:color="auto"/>
        <w:left w:val="none" w:sz="0" w:space="0" w:color="auto"/>
        <w:bottom w:val="none" w:sz="0" w:space="0" w:color="auto"/>
        <w:right w:val="none" w:sz="0" w:space="0" w:color="auto"/>
      </w:divBdr>
    </w:div>
    <w:div w:id="926113403">
      <w:bodyDiv w:val="1"/>
      <w:marLeft w:val="0"/>
      <w:marRight w:val="0"/>
      <w:marTop w:val="0"/>
      <w:marBottom w:val="0"/>
      <w:divBdr>
        <w:top w:val="none" w:sz="0" w:space="0" w:color="auto"/>
        <w:left w:val="none" w:sz="0" w:space="0" w:color="auto"/>
        <w:bottom w:val="none" w:sz="0" w:space="0" w:color="auto"/>
        <w:right w:val="none" w:sz="0" w:space="0" w:color="auto"/>
      </w:divBdr>
      <w:divsChild>
        <w:div w:id="1674913272">
          <w:marLeft w:val="0"/>
          <w:marRight w:val="0"/>
          <w:marTop w:val="0"/>
          <w:marBottom w:val="0"/>
          <w:divBdr>
            <w:top w:val="none" w:sz="0" w:space="0" w:color="auto"/>
            <w:left w:val="none" w:sz="0" w:space="0" w:color="auto"/>
            <w:bottom w:val="none" w:sz="0" w:space="0" w:color="auto"/>
            <w:right w:val="none" w:sz="0" w:space="0" w:color="auto"/>
          </w:divBdr>
          <w:divsChild>
            <w:div w:id="949357127">
              <w:marLeft w:val="0"/>
              <w:marRight w:val="0"/>
              <w:marTop w:val="0"/>
              <w:marBottom w:val="0"/>
              <w:divBdr>
                <w:top w:val="none" w:sz="0" w:space="0" w:color="auto"/>
                <w:left w:val="none" w:sz="0" w:space="0" w:color="auto"/>
                <w:bottom w:val="none" w:sz="0" w:space="0" w:color="auto"/>
                <w:right w:val="none" w:sz="0" w:space="0" w:color="auto"/>
              </w:divBdr>
              <w:divsChild>
                <w:div w:id="15758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56789321">
      <w:bodyDiv w:val="1"/>
      <w:marLeft w:val="0"/>
      <w:marRight w:val="0"/>
      <w:marTop w:val="0"/>
      <w:marBottom w:val="0"/>
      <w:divBdr>
        <w:top w:val="none" w:sz="0" w:space="0" w:color="auto"/>
        <w:left w:val="none" w:sz="0" w:space="0" w:color="auto"/>
        <w:bottom w:val="none" w:sz="0" w:space="0" w:color="auto"/>
        <w:right w:val="none" w:sz="0" w:space="0" w:color="auto"/>
      </w:divBdr>
      <w:divsChild>
        <w:div w:id="1325891137">
          <w:marLeft w:val="0"/>
          <w:marRight w:val="0"/>
          <w:marTop w:val="0"/>
          <w:marBottom w:val="0"/>
          <w:divBdr>
            <w:top w:val="none" w:sz="0" w:space="0" w:color="auto"/>
            <w:left w:val="none" w:sz="0" w:space="0" w:color="auto"/>
            <w:bottom w:val="none" w:sz="0" w:space="0" w:color="auto"/>
            <w:right w:val="none" w:sz="0" w:space="0" w:color="auto"/>
          </w:divBdr>
          <w:divsChild>
            <w:div w:id="1518033912">
              <w:marLeft w:val="0"/>
              <w:marRight w:val="0"/>
              <w:marTop w:val="0"/>
              <w:marBottom w:val="0"/>
              <w:divBdr>
                <w:top w:val="none" w:sz="0" w:space="0" w:color="auto"/>
                <w:left w:val="none" w:sz="0" w:space="0" w:color="auto"/>
                <w:bottom w:val="none" w:sz="0" w:space="0" w:color="auto"/>
                <w:right w:val="none" w:sz="0" w:space="0" w:color="auto"/>
              </w:divBdr>
              <w:divsChild>
                <w:div w:id="1649633143">
                  <w:marLeft w:val="0"/>
                  <w:marRight w:val="0"/>
                  <w:marTop w:val="0"/>
                  <w:marBottom w:val="0"/>
                  <w:divBdr>
                    <w:top w:val="none" w:sz="0" w:space="0" w:color="auto"/>
                    <w:left w:val="none" w:sz="0" w:space="0" w:color="auto"/>
                    <w:bottom w:val="none" w:sz="0" w:space="0" w:color="auto"/>
                    <w:right w:val="none" w:sz="0" w:space="0" w:color="auto"/>
                  </w:divBdr>
                  <w:divsChild>
                    <w:div w:id="16926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76688179">
      <w:bodyDiv w:val="1"/>
      <w:marLeft w:val="0"/>
      <w:marRight w:val="0"/>
      <w:marTop w:val="0"/>
      <w:marBottom w:val="0"/>
      <w:divBdr>
        <w:top w:val="none" w:sz="0" w:space="0" w:color="auto"/>
        <w:left w:val="none" w:sz="0" w:space="0" w:color="auto"/>
        <w:bottom w:val="none" w:sz="0" w:space="0" w:color="auto"/>
        <w:right w:val="none" w:sz="0" w:space="0" w:color="auto"/>
      </w:divBdr>
      <w:divsChild>
        <w:div w:id="1592884021">
          <w:marLeft w:val="0"/>
          <w:marRight w:val="0"/>
          <w:marTop w:val="0"/>
          <w:marBottom w:val="0"/>
          <w:divBdr>
            <w:top w:val="none" w:sz="0" w:space="0" w:color="auto"/>
            <w:left w:val="none" w:sz="0" w:space="0" w:color="auto"/>
            <w:bottom w:val="none" w:sz="0" w:space="0" w:color="auto"/>
            <w:right w:val="none" w:sz="0" w:space="0" w:color="auto"/>
          </w:divBdr>
        </w:div>
      </w:divsChild>
    </w:div>
    <w:div w:id="979925430">
      <w:bodyDiv w:val="1"/>
      <w:marLeft w:val="0"/>
      <w:marRight w:val="0"/>
      <w:marTop w:val="0"/>
      <w:marBottom w:val="0"/>
      <w:divBdr>
        <w:top w:val="none" w:sz="0" w:space="0" w:color="auto"/>
        <w:left w:val="none" w:sz="0" w:space="0" w:color="auto"/>
        <w:bottom w:val="none" w:sz="0" w:space="0" w:color="auto"/>
        <w:right w:val="none" w:sz="0" w:space="0" w:color="auto"/>
      </w:divBdr>
    </w:div>
    <w:div w:id="980579735">
      <w:bodyDiv w:val="1"/>
      <w:marLeft w:val="0"/>
      <w:marRight w:val="0"/>
      <w:marTop w:val="0"/>
      <w:marBottom w:val="0"/>
      <w:divBdr>
        <w:top w:val="none" w:sz="0" w:space="0" w:color="auto"/>
        <w:left w:val="none" w:sz="0" w:space="0" w:color="auto"/>
        <w:bottom w:val="none" w:sz="0" w:space="0" w:color="auto"/>
        <w:right w:val="none" w:sz="0" w:space="0" w:color="auto"/>
      </w:divBdr>
    </w:div>
    <w:div w:id="982319781">
      <w:bodyDiv w:val="1"/>
      <w:marLeft w:val="0"/>
      <w:marRight w:val="0"/>
      <w:marTop w:val="0"/>
      <w:marBottom w:val="0"/>
      <w:divBdr>
        <w:top w:val="none" w:sz="0" w:space="0" w:color="auto"/>
        <w:left w:val="none" w:sz="0" w:space="0" w:color="auto"/>
        <w:bottom w:val="none" w:sz="0" w:space="0" w:color="auto"/>
        <w:right w:val="none" w:sz="0" w:space="0" w:color="auto"/>
      </w:divBdr>
      <w:divsChild>
        <w:div w:id="207189232">
          <w:marLeft w:val="0"/>
          <w:marRight w:val="0"/>
          <w:marTop w:val="0"/>
          <w:marBottom w:val="0"/>
          <w:divBdr>
            <w:top w:val="none" w:sz="0" w:space="0" w:color="auto"/>
            <w:left w:val="none" w:sz="0" w:space="0" w:color="auto"/>
            <w:bottom w:val="none" w:sz="0" w:space="0" w:color="auto"/>
            <w:right w:val="none" w:sz="0" w:space="0" w:color="auto"/>
          </w:divBdr>
          <w:divsChild>
            <w:div w:id="654644232">
              <w:marLeft w:val="0"/>
              <w:marRight w:val="0"/>
              <w:marTop w:val="0"/>
              <w:marBottom w:val="0"/>
              <w:divBdr>
                <w:top w:val="none" w:sz="0" w:space="0" w:color="auto"/>
                <w:left w:val="none" w:sz="0" w:space="0" w:color="auto"/>
                <w:bottom w:val="none" w:sz="0" w:space="0" w:color="auto"/>
                <w:right w:val="none" w:sz="0" w:space="0" w:color="auto"/>
              </w:divBdr>
              <w:divsChild>
                <w:div w:id="1440687464">
                  <w:marLeft w:val="0"/>
                  <w:marRight w:val="0"/>
                  <w:marTop w:val="0"/>
                  <w:marBottom w:val="0"/>
                  <w:divBdr>
                    <w:top w:val="none" w:sz="0" w:space="0" w:color="auto"/>
                    <w:left w:val="none" w:sz="0" w:space="0" w:color="auto"/>
                    <w:bottom w:val="none" w:sz="0" w:space="0" w:color="auto"/>
                    <w:right w:val="none" w:sz="0" w:space="0" w:color="auto"/>
                  </w:divBdr>
                  <w:divsChild>
                    <w:div w:id="4228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556422">
      <w:bodyDiv w:val="1"/>
      <w:marLeft w:val="0"/>
      <w:marRight w:val="0"/>
      <w:marTop w:val="0"/>
      <w:marBottom w:val="0"/>
      <w:divBdr>
        <w:top w:val="none" w:sz="0" w:space="0" w:color="auto"/>
        <w:left w:val="none" w:sz="0" w:space="0" w:color="auto"/>
        <w:bottom w:val="none" w:sz="0" w:space="0" w:color="auto"/>
        <w:right w:val="none" w:sz="0" w:space="0" w:color="auto"/>
      </w:divBdr>
    </w:div>
    <w:div w:id="990403425">
      <w:bodyDiv w:val="1"/>
      <w:marLeft w:val="0"/>
      <w:marRight w:val="0"/>
      <w:marTop w:val="0"/>
      <w:marBottom w:val="0"/>
      <w:divBdr>
        <w:top w:val="none" w:sz="0" w:space="0" w:color="auto"/>
        <w:left w:val="none" w:sz="0" w:space="0" w:color="auto"/>
        <w:bottom w:val="none" w:sz="0" w:space="0" w:color="auto"/>
        <w:right w:val="none" w:sz="0" w:space="0" w:color="auto"/>
      </w:divBdr>
    </w:div>
    <w:div w:id="996226561">
      <w:bodyDiv w:val="1"/>
      <w:marLeft w:val="0"/>
      <w:marRight w:val="0"/>
      <w:marTop w:val="0"/>
      <w:marBottom w:val="0"/>
      <w:divBdr>
        <w:top w:val="none" w:sz="0" w:space="0" w:color="auto"/>
        <w:left w:val="none" w:sz="0" w:space="0" w:color="auto"/>
        <w:bottom w:val="none" w:sz="0" w:space="0" w:color="auto"/>
        <w:right w:val="none" w:sz="0" w:space="0" w:color="auto"/>
      </w:divBdr>
      <w:divsChild>
        <w:div w:id="1298027968">
          <w:marLeft w:val="0"/>
          <w:marRight w:val="0"/>
          <w:marTop w:val="0"/>
          <w:marBottom w:val="0"/>
          <w:divBdr>
            <w:top w:val="none" w:sz="0" w:space="0" w:color="auto"/>
            <w:left w:val="none" w:sz="0" w:space="0" w:color="auto"/>
            <w:bottom w:val="none" w:sz="0" w:space="0" w:color="auto"/>
            <w:right w:val="none" w:sz="0" w:space="0" w:color="auto"/>
          </w:divBdr>
          <w:divsChild>
            <w:div w:id="394397942">
              <w:marLeft w:val="0"/>
              <w:marRight w:val="0"/>
              <w:marTop w:val="0"/>
              <w:marBottom w:val="0"/>
              <w:divBdr>
                <w:top w:val="none" w:sz="0" w:space="0" w:color="auto"/>
                <w:left w:val="none" w:sz="0" w:space="0" w:color="auto"/>
                <w:bottom w:val="none" w:sz="0" w:space="0" w:color="auto"/>
                <w:right w:val="none" w:sz="0" w:space="0" w:color="auto"/>
              </w:divBdr>
              <w:divsChild>
                <w:div w:id="5187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5380">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32267534">
      <w:bodyDiv w:val="1"/>
      <w:marLeft w:val="0"/>
      <w:marRight w:val="0"/>
      <w:marTop w:val="0"/>
      <w:marBottom w:val="0"/>
      <w:divBdr>
        <w:top w:val="none" w:sz="0" w:space="0" w:color="auto"/>
        <w:left w:val="none" w:sz="0" w:space="0" w:color="auto"/>
        <w:bottom w:val="none" w:sz="0" w:space="0" w:color="auto"/>
        <w:right w:val="none" w:sz="0" w:space="0" w:color="auto"/>
      </w:divBdr>
      <w:divsChild>
        <w:div w:id="2116440531">
          <w:marLeft w:val="0"/>
          <w:marRight w:val="0"/>
          <w:marTop w:val="0"/>
          <w:marBottom w:val="0"/>
          <w:divBdr>
            <w:top w:val="none" w:sz="0" w:space="0" w:color="auto"/>
            <w:left w:val="none" w:sz="0" w:space="0" w:color="auto"/>
            <w:bottom w:val="none" w:sz="0" w:space="0" w:color="auto"/>
            <w:right w:val="none" w:sz="0" w:space="0" w:color="auto"/>
          </w:divBdr>
          <w:divsChild>
            <w:div w:id="667564539">
              <w:marLeft w:val="0"/>
              <w:marRight w:val="0"/>
              <w:marTop w:val="0"/>
              <w:marBottom w:val="0"/>
              <w:divBdr>
                <w:top w:val="none" w:sz="0" w:space="0" w:color="auto"/>
                <w:left w:val="none" w:sz="0" w:space="0" w:color="auto"/>
                <w:bottom w:val="none" w:sz="0" w:space="0" w:color="auto"/>
                <w:right w:val="none" w:sz="0" w:space="0" w:color="auto"/>
              </w:divBdr>
              <w:divsChild>
                <w:div w:id="241716354">
                  <w:marLeft w:val="0"/>
                  <w:marRight w:val="0"/>
                  <w:marTop w:val="0"/>
                  <w:marBottom w:val="0"/>
                  <w:divBdr>
                    <w:top w:val="none" w:sz="0" w:space="0" w:color="auto"/>
                    <w:left w:val="none" w:sz="0" w:space="0" w:color="auto"/>
                    <w:bottom w:val="none" w:sz="0" w:space="0" w:color="auto"/>
                    <w:right w:val="none" w:sz="0" w:space="0" w:color="auto"/>
                  </w:divBdr>
                  <w:divsChild>
                    <w:div w:id="7340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06240">
      <w:bodyDiv w:val="1"/>
      <w:marLeft w:val="0"/>
      <w:marRight w:val="0"/>
      <w:marTop w:val="0"/>
      <w:marBottom w:val="0"/>
      <w:divBdr>
        <w:top w:val="none" w:sz="0" w:space="0" w:color="auto"/>
        <w:left w:val="none" w:sz="0" w:space="0" w:color="auto"/>
        <w:bottom w:val="none" w:sz="0" w:space="0" w:color="auto"/>
        <w:right w:val="none" w:sz="0" w:space="0" w:color="auto"/>
      </w:divBdr>
      <w:divsChild>
        <w:div w:id="1384253048">
          <w:marLeft w:val="0"/>
          <w:marRight w:val="0"/>
          <w:marTop w:val="0"/>
          <w:marBottom w:val="0"/>
          <w:divBdr>
            <w:top w:val="none" w:sz="0" w:space="0" w:color="auto"/>
            <w:left w:val="none" w:sz="0" w:space="0" w:color="auto"/>
            <w:bottom w:val="none" w:sz="0" w:space="0" w:color="auto"/>
            <w:right w:val="none" w:sz="0" w:space="0" w:color="auto"/>
          </w:divBdr>
          <w:divsChild>
            <w:div w:id="1865439437">
              <w:marLeft w:val="0"/>
              <w:marRight w:val="0"/>
              <w:marTop w:val="0"/>
              <w:marBottom w:val="0"/>
              <w:divBdr>
                <w:top w:val="none" w:sz="0" w:space="0" w:color="auto"/>
                <w:left w:val="none" w:sz="0" w:space="0" w:color="auto"/>
                <w:bottom w:val="none" w:sz="0" w:space="0" w:color="auto"/>
                <w:right w:val="none" w:sz="0" w:space="0" w:color="auto"/>
              </w:divBdr>
              <w:divsChild>
                <w:div w:id="1287001259">
                  <w:marLeft w:val="0"/>
                  <w:marRight w:val="0"/>
                  <w:marTop w:val="0"/>
                  <w:marBottom w:val="0"/>
                  <w:divBdr>
                    <w:top w:val="none" w:sz="0" w:space="0" w:color="auto"/>
                    <w:left w:val="none" w:sz="0" w:space="0" w:color="auto"/>
                    <w:bottom w:val="none" w:sz="0" w:space="0" w:color="auto"/>
                    <w:right w:val="none" w:sz="0" w:space="0" w:color="auto"/>
                  </w:divBdr>
                  <w:divsChild>
                    <w:div w:id="17573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779736">
      <w:bodyDiv w:val="1"/>
      <w:marLeft w:val="0"/>
      <w:marRight w:val="0"/>
      <w:marTop w:val="0"/>
      <w:marBottom w:val="0"/>
      <w:divBdr>
        <w:top w:val="none" w:sz="0" w:space="0" w:color="auto"/>
        <w:left w:val="none" w:sz="0" w:space="0" w:color="auto"/>
        <w:bottom w:val="none" w:sz="0" w:space="0" w:color="auto"/>
        <w:right w:val="none" w:sz="0" w:space="0" w:color="auto"/>
      </w:divBdr>
    </w:div>
    <w:div w:id="1046757342">
      <w:bodyDiv w:val="1"/>
      <w:marLeft w:val="0"/>
      <w:marRight w:val="0"/>
      <w:marTop w:val="0"/>
      <w:marBottom w:val="0"/>
      <w:divBdr>
        <w:top w:val="none" w:sz="0" w:space="0" w:color="auto"/>
        <w:left w:val="none" w:sz="0" w:space="0" w:color="auto"/>
        <w:bottom w:val="none" w:sz="0" w:space="0" w:color="auto"/>
        <w:right w:val="none" w:sz="0" w:space="0" w:color="auto"/>
      </w:divBdr>
      <w:divsChild>
        <w:div w:id="1158108244">
          <w:marLeft w:val="0"/>
          <w:marRight w:val="0"/>
          <w:marTop w:val="0"/>
          <w:marBottom w:val="0"/>
          <w:divBdr>
            <w:top w:val="none" w:sz="0" w:space="0" w:color="auto"/>
            <w:left w:val="none" w:sz="0" w:space="0" w:color="auto"/>
            <w:bottom w:val="none" w:sz="0" w:space="0" w:color="auto"/>
            <w:right w:val="none" w:sz="0" w:space="0" w:color="auto"/>
          </w:divBdr>
          <w:divsChild>
            <w:div w:id="1644845121">
              <w:marLeft w:val="0"/>
              <w:marRight w:val="0"/>
              <w:marTop w:val="0"/>
              <w:marBottom w:val="0"/>
              <w:divBdr>
                <w:top w:val="none" w:sz="0" w:space="0" w:color="auto"/>
                <w:left w:val="none" w:sz="0" w:space="0" w:color="auto"/>
                <w:bottom w:val="none" w:sz="0" w:space="0" w:color="auto"/>
                <w:right w:val="none" w:sz="0" w:space="0" w:color="auto"/>
              </w:divBdr>
              <w:divsChild>
                <w:div w:id="1211065891">
                  <w:marLeft w:val="0"/>
                  <w:marRight w:val="0"/>
                  <w:marTop w:val="0"/>
                  <w:marBottom w:val="0"/>
                  <w:divBdr>
                    <w:top w:val="none" w:sz="0" w:space="0" w:color="auto"/>
                    <w:left w:val="none" w:sz="0" w:space="0" w:color="auto"/>
                    <w:bottom w:val="none" w:sz="0" w:space="0" w:color="auto"/>
                    <w:right w:val="none" w:sz="0" w:space="0" w:color="auto"/>
                  </w:divBdr>
                  <w:divsChild>
                    <w:div w:id="10628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247197">
      <w:bodyDiv w:val="1"/>
      <w:marLeft w:val="0"/>
      <w:marRight w:val="0"/>
      <w:marTop w:val="0"/>
      <w:marBottom w:val="0"/>
      <w:divBdr>
        <w:top w:val="none" w:sz="0" w:space="0" w:color="auto"/>
        <w:left w:val="none" w:sz="0" w:space="0" w:color="auto"/>
        <w:bottom w:val="none" w:sz="0" w:space="0" w:color="auto"/>
        <w:right w:val="none" w:sz="0" w:space="0" w:color="auto"/>
      </w:divBdr>
      <w:divsChild>
        <w:div w:id="1079520718">
          <w:marLeft w:val="0"/>
          <w:marRight w:val="0"/>
          <w:marTop w:val="0"/>
          <w:marBottom w:val="0"/>
          <w:divBdr>
            <w:top w:val="none" w:sz="0" w:space="0" w:color="auto"/>
            <w:left w:val="none" w:sz="0" w:space="0" w:color="auto"/>
            <w:bottom w:val="none" w:sz="0" w:space="0" w:color="auto"/>
            <w:right w:val="none" w:sz="0" w:space="0" w:color="auto"/>
          </w:divBdr>
          <w:divsChild>
            <w:div w:id="732122359">
              <w:marLeft w:val="0"/>
              <w:marRight w:val="0"/>
              <w:marTop w:val="0"/>
              <w:marBottom w:val="0"/>
              <w:divBdr>
                <w:top w:val="none" w:sz="0" w:space="0" w:color="auto"/>
                <w:left w:val="none" w:sz="0" w:space="0" w:color="auto"/>
                <w:bottom w:val="none" w:sz="0" w:space="0" w:color="auto"/>
                <w:right w:val="none" w:sz="0" w:space="0" w:color="auto"/>
              </w:divBdr>
              <w:divsChild>
                <w:div w:id="846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990">
      <w:bodyDiv w:val="1"/>
      <w:marLeft w:val="0"/>
      <w:marRight w:val="0"/>
      <w:marTop w:val="0"/>
      <w:marBottom w:val="0"/>
      <w:divBdr>
        <w:top w:val="none" w:sz="0" w:space="0" w:color="auto"/>
        <w:left w:val="none" w:sz="0" w:space="0" w:color="auto"/>
        <w:bottom w:val="none" w:sz="0" w:space="0" w:color="auto"/>
        <w:right w:val="none" w:sz="0" w:space="0" w:color="auto"/>
      </w:divBdr>
      <w:divsChild>
        <w:div w:id="989602570">
          <w:marLeft w:val="0"/>
          <w:marRight w:val="0"/>
          <w:marTop w:val="0"/>
          <w:marBottom w:val="0"/>
          <w:divBdr>
            <w:top w:val="none" w:sz="0" w:space="0" w:color="auto"/>
            <w:left w:val="none" w:sz="0" w:space="0" w:color="auto"/>
            <w:bottom w:val="none" w:sz="0" w:space="0" w:color="auto"/>
            <w:right w:val="none" w:sz="0" w:space="0" w:color="auto"/>
          </w:divBdr>
          <w:divsChild>
            <w:div w:id="726032309">
              <w:marLeft w:val="0"/>
              <w:marRight w:val="0"/>
              <w:marTop w:val="0"/>
              <w:marBottom w:val="0"/>
              <w:divBdr>
                <w:top w:val="none" w:sz="0" w:space="0" w:color="auto"/>
                <w:left w:val="none" w:sz="0" w:space="0" w:color="auto"/>
                <w:bottom w:val="none" w:sz="0" w:space="0" w:color="auto"/>
                <w:right w:val="none" w:sz="0" w:space="0" w:color="auto"/>
              </w:divBdr>
              <w:divsChild>
                <w:div w:id="1956517597">
                  <w:marLeft w:val="0"/>
                  <w:marRight w:val="0"/>
                  <w:marTop w:val="0"/>
                  <w:marBottom w:val="0"/>
                  <w:divBdr>
                    <w:top w:val="none" w:sz="0" w:space="0" w:color="auto"/>
                    <w:left w:val="none" w:sz="0" w:space="0" w:color="auto"/>
                    <w:bottom w:val="none" w:sz="0" w:space="0" w:color="auto"/>
                    <w:right w:val="none" w:sz="0" w:space="0" w:color="auto"/>
                  </w:divBdr>
                  <w:divsChild>
                    <w:div w:id="16053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71915">
      <w:bodyDiv w:val="1"/>
      <w:marLeft w:val="0"/>
      <w:marRight w:val="0"/>
      <w:marTop w:val="0"/>
      <w:marBottom w:val="0"/>
      <w:divBdr>
        <w:top w:val="none" w:sz="0" w:space="0" w:color="auto"/>
        <w:left w:val="none" w:sz="0" w:space="0" w:color="auto"/>
        <w:bottom w:val="none" w:sz="0" w:space="0" w:color="auto"/>
        <w:right w:val="none" w:sz="0" w:space="0" w:color="auto"/>
      </w:divBdr>
      <w:divsChild>
        <w:div w:id="301011270">
          <w:marLeft w:val="0"/>
          <w:marRight w:val="0"/>
          <w:marTop w:val="0"/>
          <w:marBottom w:val="0"/>
          <w:divBdr>
            <w:top w:val="none" w:sz="0" w:space="0" w:color="auto"/>
            <w:left w:val="none" w:sz="0" w:space="0" w:color="auto"/>
            <w:bottom w:val="none" w:sz="0" w:space="0" w:color="auto"/>
            <w:right w:val="none" w:sz="0" w:space="0" w:color="auto"/>
          </w:divBdr>
          <w:divsChild>
            <w:div w:id="1694182413">
              <w:marLeft w:val="0"/>
              <w:marRight w:val="0"/>
              <w:marTop w:val="0"/>
              <w:marBottom w:val="0"/>
              <w:divBdr>
                <w:top w:val="none" w:sz="0" w:space="0" w:color="auto"/>
                <w:left w:val="none" w:sz="0" w:space="0" w:color="auto"/>
                <w:bottom w:val="none" w:sz="0" w:space="0" w:color="auto"/>
                <w:right w:val="none" w:sz="0" w:space="0" w:color="auto"/>
              </w:divBdr>
              <w:divsChild>
                <w:div w:id="2024433026">
                  <w:marLeft w:val="0"/>
                  <w:marRight w:val="0"/>
                  <w:marTop w:val="0"/>
                  <w:marBottom w:val="0"/>
                  <w:divBdr>
                    <w:top w:val="none" w:sz="0" w:space="0" w:color="auto"/>
                    <w:left w:val="none" w:sz="0" w:space="0" w:color="auto"/>
                    <w:bottom w:val="none" w:sz="0" w:space="0" w:color="auto"/>
                    <w:right w:val="none" w:sz="0" w:space="0" w:color="auto"/>
                  </w:divBdr>
                  <w:divsChild>
                    <w:div w:id="19259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537882">
      <w:bodyDiv w:val="1"/>
      <w:marLeft w:val="0"/>
      <w:marRight w:val="0"/>
      <w:marTop w:val="0"/>
      <w:marBottom w:val="0"/>
      <w:divBdr>
        <w:top w:val="none" w:sz="0" w:space="0" w:color="auto"/>
        <w:left w:val="none" w:sz="0" w:space="0" w:color="auto"/>
        <w:bottom w:val="none" w:sz="0" w:space="0" w:color="auto"/>
        <w:right w:val="none" w:sz="0" w:space="0" w:color="auto"/>
      </w:divBdr>
      <w:divsChild>
        <w:div w:id="1246038462">
          <w:marLeft w:val="0"/>
          <w:marRight w:val="0"/>
          <w:marTop w:val="0"/>
          <w:marBottom w:val="0"/>
          <w:divBdr>
            <w:top w:val="none" w:sz="0" w:space="0" w:color="auto"/>
            <w:left w:val="none" w:sz="0" w:space="0" w:color="auto"/>
            <w:bottom w:val="none" w:sz="0" w:space="0" w:color="auto"/>
            <w:right w:val="none" w:sz="0" w:space="0" w:color="auto"/>
          </w:divBdr>
          <w:divsChild>
            <w:div w:id="1929070769">
              <w:marLeft w:val="0"/>
              <w:marRight w:val="0"/>
              <w:marTop w:val="0"/>
              <w:marBottom w:val="0"/>
              <w:divBdr>
                <w:top w:val="none" w:sz="0" w:space="0" w:color="auto"/>
                <w:left w:val="none" w:sz="0" w:space="0" w:color="auto"/>
                <w:bottom w:val="none" w:sz="0" w:space="0" w:color="auto"/>
                <w:right w:val="none" w:sz="0" w:space="0" w:color="auto"/>
              </w:divBdr>
              <w:divsChild>
                <w:div w:id="1085103781">
                  <w:marLeft w:val="0"/>
                  <w:marRight w:val="0"/>
                  <w:marTop w:val="0"/>
                  <w:marBottom w:val="0"/>
                  <w:divBdr>
                    <w:top w:val="none" w:sz="0" w:space="0" w:color="auto"/>
                    <w:left w:val="none" w:sz="0" w:space="0" w:color="auto"/>
                    <w:bottom w:val="none" w:sz="0" w:space="0" w:color="auto"/>
                    <w:right w:val="none" w:sz="0" w:space="0" w:color="auto"/>
                  </w:divBdr>
                  <w:divsChild>
                    <w:div w:id="7545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13769">
      <w:bodyDiv w:val="1"/>
      <w:marLeft w:val="0"/>
      <w:marRight w:val="0"/>
      <w:marTop w:val="0"/>
      <w:marBottom w:val="0"/>
      <w:divBdr>
        <w:top w:val="none" w:sz="0" w:space="0" w:color="auto"/>
        <w:left w:val="none" w:sz="0" w:space="0" w:color="auto"/>
        <w:bottom w:val="none" w:sz="0" w:space="0" w:color="auto"/>
        <w:right w:val="none" w:sz="0" w:space="0" w:color="auto"/>
      </w:divBdr>
      <w:divsChild>
        <w:div w:id="1614744909">
          <w:marLeft w:val="0"/>
          <w:marRight w:val="0"/>
          <w:marTop w:val="0"/>
          <w:marBottom w:val="0"/>
          <w:divBdr>
            <w:top w:val="none" w:sz="0" w:space="0" w:color="auto"/>
            <w:left w:val="none" w:sz="0" w:space="0" w:color="auto"/>
            <w:bottom w:val="none" w:sz="0" w:space="0" w:color="auto"/>
            <w:right w:val="none" w:sz="0" w:space="0" w:color="auto"/>
          </w:divBdr>
          <w:divsChild>
            <w:div w:id="858159558">
              <w:marLeft w:val="0"/>
              <w:marRight w:val="0"/>
              <w:marTop w:val="0"/>
              <w:marBottom w:val="0"/>
              <w:divBdr>
                <w:top w:val="none" w:sz="0" w:space="0" w:color="auto"/>
                <w:left w:val="none" w:sz="0" w:space="0" w:color="auto"/>
                <w:bottom w:val="none" w:sz="0" w:space="0" w:color="auto"/>
                <w:right w:val="none" w:sz="0" w:space="0" w:color="auto"/>
              </w:divBdr>
              <w:divsChild>
                <w:div w:id="2111924209">
                  <w:marLeft w:val="0"/>
                  <w:marRight w:val="0"/>
                  <w:marTop w:val="0"/>
                  <w:marBottom w:val="0"/>
                  <w:divBdr>
                    <w:top w:val="none" w:sz="0" w:space="0" w:color="auto"/>
                    <w:left w:val="none" w:sz="0" w:space="0" w:color="auto"/>
                    <w:bottom w:val="none" w:sz="0" w:space="0" w:color="auto"/>
                    <w:right w:val="none" w:sz="0" w:space="0" w:color="auto"/>
                  </w:divBdr>
                  <w:divsChild>
                    <w:div w:id="14041817">
                      <w:marLeft w:val="0"/>
                      <w:marRight w:val="0"/>
                      <w:marTop w:val="0"/>
                      <w:marBottom w:val="0"/>
                      <w:divBdr>
                        <w:top w:val="none" w:sz="0" w:space="0" w:color="auto"/>
                        <w:left w:val="none" w:sz="0" w:space="0" w:color="auto"/>
                        <w:bottom w:val="none" w:sz="0" w:space="0" w:color="auto"/>
                        <w:right w:val="none" w:sz="0" w:space="0" w:color="auto"/>
                      </w:divBdr>
                    </w:div>
                    <w:div w:id="4794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025996">
      <w:bodyDiv w:val="1"/>
      <w:marLeft w:val="0"/>
      <w:marRight w:val="0"/>
      <w:marTop w:val="0"/>
      <w:marBottom w:val="0"/>
      <w:divBdr>
        <w:top w:val="none" w:sz="0" w:space="0" w:color="auto"/>
        <w:left w:val="none" w:sz="0" w:space="0" w:color="auto"/>
        <w:bottom w:val="none" w:sz="0" w:space="0" w:color="auto"/>
        <w:right w:val="none" w:sz="0" w:space="0" w:color="auto"/>
      </w:divBdr>
      <w:divsChild>
        <w:div w:id="1545603258">
          <w:marLeft w:val="0"/>
          <w:marRight w:val="0"/>
          <w:marTop w:val="0"/>
          <w:marBottom w:val="0"/>
          <w:divBdr>
            <w:top w:val="none" w:sz="0" w:space="0" w:color="auto"/>
            <w:left w:val="none" w:sz="0" w:space="0" w:color="auto"/>
            <w:bottom w:val="none" w:sz="0" w:space="0" w:color="auto"/>
            <w:right w:val="none" w:sz="0" w:space="0" w:color="auto"/>
          </w:divBdr>
          <w:divsChild>
            <w:div w:id="1397390831">
              <w:marLeft w:val="0"/>
              <w:marRight w:val="0"/>
              <w:marTop w:val="0"/>
              <w:marBottom w:val="0"/>
              <w:divBdr>
                <w:top w:val="none" w:sz="0" w:space="0" w:color="auto"/>
                <w:left w:val="none" w:sz="0" w:space="0" w:color="auto"/>
                <w:bottom w:val="none" w:sz="0" w:space="0" w:color="auto"/>
                <w:right w:val="none" w:sz="0" w:space="0" w:color="auto"/>
              </w:divBdr>
              <w:divsChild>
                <w:div w:id="9267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129618">
      <w:bodyDiv w:val="1"/>
      <w:marLeft w:val="0"/>
      <w:marRight w:val="0"/>
      <w:marTop w:val="0"/>
      <w:marBottom w:val="0"/>
      <w:divBdr>
        <w:top w:val="none" w:sz="0" w:space="0" w:color="auto"/>
        <w:left w:val="none" w:sz="0" w:space="0" w:color="auto"/>
        <w:bottom w:val="none" w:sz="0" w:space="0" w:color="auto"/>
        <w:right w:val="none" w:sz="0" w:space="0" w:color="auto"/>
      </w:divBdr>
    </w:div>
    <w:div w:id="1098065957">
      <w:bodyDiv w:val="1"/>
      <w:marLeft w:val="0"/>
      <w:marRight w:val="0"/>
      <w:marTop w:val="0"/>
      <w:marBottom w:val="0"/>
      <w:divBdr>
        <w:top w:val="none" w:sz="0" w:space="0" w:color="auto"/>
        <w:left w:val="none" w:sz="0" w:space="0" w:color="auto"/>
        <w:bottom w:val="none" w:sz="0" w:space="0" w:color="auto"/>
        <w:right w:val="none" w:sz="0" w:space="0" w:color="auto"/>
      </w:divBdr>
      <w:divsChild>
        <w:div w:id="1498574944">
          <w:marLeft w:val="0"/>
          <w:marRight w:val="0"/>
          <w:marTop w:val="0"/>
          <w:marBottom w:val="0"/>
          <w:divBdr>
            <w:top w:val="none" w:sz="0" w:space="0" w:color="auto"/>
            <w:left w:val="none" w:sz="0" w:space="0" w:color="auto"/>
            <w:bottom w:val="none" w:sz="0" w:space="0" w:color="auto"/>
            <w:right w:val="none" w:sz="0" w:space="0" w:color="auto"/>
          </w:divBdr>
          <w:divsChild>
            <w:div w:id="1531525006">
              <w:marLeft w:val="0"/>
              <w:marRight w:val="0"/>
              <w:marTop w:val="0"/>
              <w:marBottom w:val="0"/>
              <w:divBdr>
                <w:top w:val="none" w:sz="0" w:space="0" w:color="auto"/>
                <w:left w:val="none" w:sz="0" w:space="0" w:color="auto"/>
                <w:bottom w:val="none" w:sz="0" w:space="0" w:color="auto"/>
                <w:right w:val="none" w:sz="0" w:space="0" w:color="auto"/>
              </w:divBdr>
              <w:divsChild>
                <w:div w:id="343169506">
                  <w:marLeft w:val="0"/>
                  <w:marRight w:val="0"/>
                  <w:marTop w:val="0"/>
                  <w:marBottom w:val="0"/>
                  <w:divBdr>
                    <w:top w:val="none" w:sz="0" w:space="0" w:color="auto"/>
                    <w:left w:val="none" w:sz="0" w:space="0" w:color="auto"/>
                    <w:bottom w:val="none" w:sz="0" w:space="0" w:color="auto"/>
                    <w:right w:val="none" w:sz="0" w:space="0" w:color="auto"/>
                  </w:divBdr>
                  <w:divsChild>
                    <w:div w:id="11435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673509">
      <w:bodyDiv w:val="1"/>
      <w:marLeft w:val="0"/>
      <w:marRight w:val="0"/>
      <w:marTop w:val="0"/>
      <w:marBottom w:val="0"/>
      <w:divBdr>
        <w:top w:val="none" w:sz="0" w:space="0" w:color="auto"/>
        <w:left w:val="none" w:sz="0" w:space="0" w:color="auto"/>
        <w:bottom w:val="none" w:sz="0" w:space="0" w:color="auto"/>
        <w:right w:val="none" w:sz="0" w:space="0" w:color="auto"/>
      </w:divBdr>
      <w:divsChild>
        <w:div w:id="1117603483">
          <w:marLeft w:val="0"/>
          <w:marRight w:val="0"/>
          <w:marTop w:val="0"/>
          <w:marBottom w:val="0"/>
          <w:divBdr>
            <w:top w:val="none" w:sz="0" w:space="0" w:color="auto"/>
            <w:left w:val="none" w:sz="0" w:space="0" w:color="auto"/>
            <w:bottom w:val="none" w:sz="0" w:space="0" w:color="auto"/>
            <w:right w:val="none" w:sz="0" w:space="0" w:color="auto"/>
          </w:divBdr>
          <w:divsChild>
            <w:div w:id="1077826731">
              <w:marLeft w:val="0"/>
              <w:marRight w:val="0"/>
              <w:marTop w:val="0"/>
              <w:marBottom w:val="0"/>
              <w:divBdr>
                <w:top w:val="none" w:sz="0" w:space="0" w:color="auto"/>
                <w:left w:val="none" w:sz="0" w:space="0" w:color="auto"/>
                <w:bottom w:val="none" w:sz="0" w:space="0" w:color="auto"/>
                <w:right w:val="none" w:sz="0" w:space="0" w:color="auto"/>
              </w:divBdr>
              <w:divsChild>
                <w:div w:id="8710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6408190">
      <w:bodyDiv w:val="1"/>
      <w:marLeft w:val="0"/>
      <w:marRight w:val="0"/>
      <w:marTop w:val="0"/>
      <w:marBottom w:val="0"/>
      <w:divBdr>
        <w:top w:val="none" w:sz="0" w:space="0" w:color="auto"/>
        <w:left w:val="none" w:sz="0" w:space="0" w:color="auto"/>
        <w:bottom w:val="none" w:sz="0" w:space="0" w:color="auto"/>
        <w:right w:val="none" w:sz="0" w:space="0" w:color="auto"/>
      </w:divBdr>
      <w:divsChild>
        <w:div w:id="1792744512">
          <w:marLeft w:val="0"/>
          <w:marRight w:val="0"/>
          <w:marTop w:val="0"/>
          <w:marBottom w:val="0"/>
          <w:divBdr>
            <w:top w:val="none" w:sz="0" w:space="0" w:color="auto"/>
            <w:left w:val="none" w:sz="0" w:space="0" w:color="auto"/>
            <w:bottom w:val="none" w:sz="0" w:space="0" w:color="auto"/>
            <w:right w:val="none" w:sz="0" w:space="0" w:color="auto"/>
          </w:divBdr>
          <w:divsChild>
            <w:div w:id="1042289872">
              <w:marLeft w:val="0"/>
              <w:marRight w:val="0"/>
              <w:marTop w:val="0"/>
              <w:marBottom w:val="0"/>
              <w:divBdr>
                <w:top w:val="none" w:sz="0" w:space="0" w:color="auto"/>
                <w:left w:val="none" w:sz="0" w:space="0" w:color="auto"/>
                <w:bottom w:val="none" w:sz="0" w:space="0" w:color="auto"/>
                <w:right w:val="none" w:sz="0" w:space="0" w:color="auto"/>
              </w:divBdr>
              <w:divsChild>
                <w:div w:id="133066241">
                  <w:marLeft w:val="0"/>
                  <w:marRight w:val="0"/>
                  <w:marTop w:val="0"/>
                  <w:marBottom w:val="0"/>
                  <w:divBdr>
                    <w:top w:val="none" w:sz="0" w:space="0" w:color="auto"/>
                    <w:left w:val="none" w:sz="0" w:space="0" w:color="auto"/>
                    <w:bottom w:val="none" w:sz="0" w:space="0" w:color="auto"/>
                    <w:right w:val="none" w:sz="0" w:space="0" w:color="auto"/>
                  </w:divBdr>
                  <w:divsChild>
                    <w:div w:id="15313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26389767">
      <w:bodyDiv w:val="1"/>
      <w:marLeft w:val="0"/>
      <w:marRight w:val="0"/>
      <w:marTop w:val="0"/>
      <w:marBottom w:val="0"/>
      <w:divBdr>
        <w:top w:val="none" w:sz="0" w:space="0" w:color="auto"/>
        <w:left w:val="none" w:sz="0" w:space="0" w:color="auto"/>
        <w:bottom w:val="none" w:sz="0" w:space="0" w:color="auto"/>
        <w:right w:val="none" w:sz="0" w:space="0" w:color="auto"/>
      </w:divBdr>
      <w:divsChild>
        <w:div w:id="2012372323">
          <w:marLeft w:val="0"/>
          <w:marRight w:val="0"/>
          <w:marTop w:val="0"/>
          <w:marBottom w:val="0"/>
          <w:divBdr>
            <w:top w:val="none" w:sz="0" w:space="0" w:color="auto"/>
            <w:left w:val="none" w:sz="0" w:space="0" w:color="auto"/>
            <w:bottom w:val="none" w:sz="0" w:space="0" w:color="auto"/>
            <w:right w:val="none" w:sz="0" w:space="0" w:color="auto"/>
          </w:divBdr>
          <w:divsChild>
            <w:div w:id="769619639">
              <w:marLeft w:val="0"/>
              <w:marRight w:val="0"/>
              <w:marTop w:val="0"/>
              <w:marBottom w:val="0"/>
              <w:divBdr>
                <w:top w:val="none" w:sz="0" w:space="0" w:color="auto"/>
                <w:left w:val="none" w:sz="0" w:space="0" w:color="auto"/>
                <w:bottom w:val="none" w:sz="0" w:space="0" w:color="auto"/>
                <w:right w:val="none" w:sz="0" w:space="0" w:color="auto"/>
              </w:divBdr>
              <w:divsChild>
                <w:div w:id="1499539620">
                  <w:marLeft w:val="0"/>
                  <w:marRight w:val="0"/>
                  <w:marTop w:val="0"/>
                  <w:marBottom w:val="0"/>
                  <w:divBdr>
                    <w:top w:val="none" w:sz="0" w:space="0" w:color="auto"/>
                    <w:left w:val="none" w:sz="0" w:space="0" w:color="auto"/>
                    <w:bottom w:val="none" w:sz="0" w:space="0" w:color="auto"/>
                    <w:right w:val="none" w:sz="0" w:space="0" w:color="auto"/>
                  </w:divBdr>
                  <w:divsChild>
                    <w:div w:id="35273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44933274">
      <w:bodyDiv w:val="1"/>
      <w:marLeft w:val="0"/>
      <w:marRight w:val="0"/>
      <w:marTop w:val="0"/>
      <w:marBottom w:val="0"/>
      <w:divBdr>
        <w:top w:val="none" w:sz="0" w:space="0" w:color="auto"/>
        <w:left w:val="none" w:sz="0" w:space="0" w:color="auto"/>
        <w:bottom w:val="none" w:sz="0" w:space="0" w:color="auto"/>
        <w:right w:val="none" w:sz="0" w:space="0" w:color="auto"/>
      </w:divBdr>
      <w:divsChild>
        <w:div w:id="828324259">
          <w:marLeft w:val="0"/>
          <w:marRight w:val="0"/>
          <w:marTop w:val="0"/>
          <w:marBottom w:val="0"/>
          <w:divBdr>
            <w:top w:val="none" w:sz="0" w:space="0" w:color="auto"/>
            <w:left w:val="none" w:sz="0" w:space="0" w:color="auto"/>
            <w:bottom w:val="none" w:sz="0" w:space="0" w:color="auto"/>
            <w:right w:val="none" w:sz="0" w:space="0" w:color="auto"/>
          </w:divBdr>
          <w:divsChild>
            <w:div w:id="1735469794">
              <w:marLeft w:val="0"/>
              <w:marRight w:val="0"/>
              <w:marTop w:val="0"/>
              <w:marBottom w:val="0"/>
              <w:divBdr>
                <w:top w:val="none" w:sz="0" w:space="0" w:color="auto"/>
                <w:left w:val="none" w:sz="0" w:space="0" w:color="auto"/>
                <w:bottom w:val="none" w:sz="0" w:space="0" w:color="auto"/>
                <w:right w:val="none" w:sz="0" w:space="0" w:color="auto"/>
              </w:divBdr>
              <w:divsChild>
                <w:div w:id="290944404">
                  <w:marLeft w:val="0"/>
                  <w:marRight w:val="0"/>
                  <w:marTop w:val="0"/>
                  <w:marBottom w:val="0"/>
                  <w:divBdr>
                    <w:top w:val="none" w:sz="0" w:space="0" w:color="auto"/>
                    <w:left w:val="none" w:sz="0" w:space="0" w:color="auto"/>
                    <w:bottom w:val="none" w:sz="0" w:space="0" w:color="auto"/>
                    <w:right w:val="none" w:sz="0" w:space="0" w:color="auto"/>
                  </w:divBdr>
                  <w:divsChild>
                    <w:div w:id="1713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170768">
      <w:bodyDiv w:val="1"/>
      <w:marLeft w:val="0"/>
      <w:marRight w:val="0"/>
      <w:marTop w:val="0"/>
      <w:marBottom w:val="0"/>
      <w:divBdr>
        <w:top w:val="none" w:sz="0" w:space="0" w:color="auto"/>
        <w:left w:val="none" w:sz="0" w:space="0" w:color="auto"/>
        <w:bottom w:val="none" w:sz="0" w:space="0" w:color="auto"/>
        <w:right w:val="none" w:sz="0" w:space="0" w:color="auto"/>
      </w:divBdr>
      <w:divsChild>
        <w:div w:id="674765547">
          <w:marLeft w:val="0"/>
          <w:marRight w:val="0"/>
          <w:marTop w:val="0"/>
          <w:marBottom w:val="0"/>
          <w:divBdr>
            <w:top w:val="none" w:sz="0" w:space="0" w:color="auto"/>
            <w:left w:val="none" w:sz="0" w:space="0" w:color="auto"/>
            <w:bottom w:val="none" w:sz="0" w:space="0" w:color="auto"/>
            <w:right w:val="none" w:sz="0" w:space="0" w:color="auto"/>
          </w:divBdr>
          <w:divsChild>
            <w:div w:id="92828855">
              <w:marLeft w:val="0"/>
              <w:marRight w:val="0"/>
              <w:marTop w:val="0"/>
              <w:marBottom w:val="0"/>
              <w:divBdr>
                <w:top w:val="none" w:sz="0" w:space="0" w:color="auto"/>
                <w:left w:val="none" w:sz="0" w:space="0" w:color="auto"/>
                <w:bottom w:val="none" w:sz="0" w:space="0" w:color="auto"/>
                <w:right w:val="none" w:sz="0" w:space="0" w:color="auto"/>
              </w:divBdr>
              <w:divsChild>
                <w:div w:id="1367868843">
                  <w:marLeft w:val="0"/>
                  <w:marRight w:val="0"/>
                  <w:marTop w:val="0"/>
                  <w:marBottom w:val="0"/>
                  <w:divBdr>
                    <w:top w:val="none" w:sz="0" w:space="0" w:color="auto"/>
                    <w:left w:val="none" w:sz="0" w:space="0" w:color="auto"/>
                    <w:bottom w:val="none" w:sz="0" w:space="0" w:color="auto"/>
                    <w:right w:val="none" w:sz="0" w:space="0" w:color="auto"/>
                  </w:divBdr>
                  <w:divsChild>
                    <w:div w:id="2232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18476">
      <w:bodyDiv w:val="1"/>
      <w:marLeft w:val="0"/>
      <w:marRight w:val="0"/>
      <w:marTop w:val="0"/>
      <w:marBottom w:val="0"/>
      <w:divBdr>
        <w:top w:val="none" w:sz="0" w:space="0" w:color="auto"/>
        <w:left w:val="none" w:sz="0" w:space="0" w:color="auto"/>
        <w:bottom w:val="none" w:sz="0" w:space="0" w:color="auto"/>
        <w:right w:val="none" w:sz="0" w:space="0" w:color="auto"/>
      </w:divBdr>
    </w:div>
    <w:div w:id="1155029825">
      <w:bodyDiv w:val="1"/>
      <w:marLeft w:val="0"/>
      <w:marRight w:val="0"/>
      <w:marTop w:val="0"/>
      <w:marBottom w:val="0"/>
      <w:divBdr>
        <w:top w:val="none" w:sz="0" w:space="0" w:color="auto"/>
        <w:left w:val="none" w:sz="0" w:space="0" w:color="auto"/>
        <w:bottom w:val="none" w:sz="0" w:space="0" w:color="auto"/>
        <w:right w:val="none" w:sz="0" w:space="0" w:color="auto"/>
      </w:divBdr>
    </w:div>
    <w:div w:id="1165584600">
      <w:bodyDiv w:val="1"/>
      <w:marLeft w:val="0"/>
      <w:marRight w:val="0"/>
      <w:marTop w:val="0"/>
      <w:marBottom w:val="0"/>
      <w:divBdr>
        <w:top w:val="none" w:sz="0" w:space="0" w:color="auto"/>
        <w:left w:val="none" w:sz="0" w:space="0" w:color="auto"/>
        <w:bottom w:val="none" w:sz="0" w:space="0" w:color="auto"/>
        <w:right w:val="none" w:sz="0" w:space="0" w:color="auto"/>
      </w:divBdr>
      <w:divsChild>
        <w:div w:id="891035578">
          <w:marLeft w:val="0"/>
          <w:marRight w:val="0"/>
          <w:marTop w:val="0"/>
          <w:marBottom w:val="0"/>
          <w:divBdr>
            <w:top w:val="none" w:sz="0" w:space="0" w:color="auto"/>
            <w:left w:val="none" w:sz="0" w:space="0" w:color="auto"/>
            <w:bottom w:val="none" w:sz="0" w:space="0" w:color="auto"/>
            <w:right w:val="none" w:sz="0" w:space="0" w:color="auto"/>
          </w:divBdr>
          <w:divsChild>
            <w:div w:id="916325251">
              <w:marLeft w:val="0"/>
              <w:marRight w:val="0"/>
              <w:marTop w:val="0"/>
              <w:marBottom w:val="0"/>
              <w:divBdr>
                <w:top w:val="none" w:sz="0" w:space="0" w:color="auto"/>
                <w:left w:val="none" w:sz="0" w:space="0" w:color="auto"/>
                <w:bottom w:val="none" w:sz="0" w:space="0" w:color="auto"/>
                <w:right w:val="none" w:sz="0" w:space="0" w:color="auto"/>
              </w:divBdr>
              <w:divsChild>
                <w:div w:id="1899128497">
                  <w:marLeft w:val="0"/>
                  <w:marRight w:val="0"/>
                  <w:marTop w:val="0"/>
                  <w:marBottom w:val="0"/>
                  <w:divBdr>
                    <w:top w:val="none" w:sz="0" w:space="0" w:color="auto"/>
                    <w:left w:val="none" w:sz="0" w:space="0" w:color="auto"/>
                    <w:bottom w:val="none" w:sz="0" w:space="0" w:color="auto"/>
                    <w:right w:val="none" w:sz="0" w:space="0" w:color="auto"/>
                  </w:divBdr>
                  <w:divsChild>
                    <w:div w:id="6032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2111">
      <w:bodyDiv w:val="1"/>
      <w:marLeft w:val="0"/>
      <w:marRight w:val="0"/>
      <w:marTop w:val="0"/>
      <w:marBottom w:val="0"/>
      <w:divBdr>
        <w:top w:val="none" w:sz="0" w:space="0" w:color="auto"/>
        <w:left w:val="none" w:sz="0" w:space="0" w:color="auto"/>
        <w:bottom w:val="none" w:sz="0" w:space="0" w:color="auto"/>
        <w:right w:val="none" w:sz="0" w:space="0" w:color="auto"/>
      </w:divBdr>
      <w:divsChild>
        <w:div w:id="1472792738">
          <w:marLeft w:val="0"/>
          <w:marRight w:val="0"/>
          <w:marTop w:val="0"/>
          <w:marBottom w:val="0"/>
          <w:divBdr>
            <w:top w:val="none" w:sz="0" w:space="0" w:color="auto"/>
            <w:left w:val="none" w:sz="0" w:space="0" w:color="auto"/>
            <w:bottom w:val="none" w:sz="0" w:space="0" w:color="auto"/>
            <w:right w:val="none" w:sz="0" w:space="0" w:color="auto"/>
          </w:divBdr>
          <w:divsChild>
            <w:div w:id="1920019264">
              <w:marLeft w:val="0"/>
              <w:marRight w:val="0"/>
              <w:marTop w:val="0"/>
              <w:marBottom w:val="0"/>
              <w:divBdr>
                <w:top w:val="none" w:sz="0" w:space="0" w:color="auto"/>
                <w:left w:val="none" w:sz="0" w:space="0" w:color="auto"/>
                <w:bottom w:val="none" w:sz="0" w:space="0" w:color="auto"/>
                <w:right w:val="none" w:sz="0" w:space="0" w:color="auto"/>
              </w:divBdr>
              <w:divsChild>
                <w:div w:id="395318990">
                  <w:marLeft w:val="0"/>
                  <w:marRight w:val="0"/>
                  <w:marTop w:val="0"/>
                  <w:marBottom w:val="0"/>
                  <w:divBdr>
                    <w:top w:val="none" w:sz="0" w:space="0" w:color="auto"/>
                    <w:left w:val="none" w:sz="0" w:space="0" w:color="auto"/>
                    <w:bottom w:val="none" w:sz="0" w:space="0" w:color="auto"/>
                    <w:right w:val="none" w:sz="0" w:space="0" w:color="auto"/>
                  </w:divBdr>
                  <w:divsChild>
                    <w:div w:id="9367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71531442">
      <w:bodyDiv w:val="1"/>
      <w:marLeft w:val="0"/>
      <w:marRight w:val="0"/>
      <w:marTop w:val="0"/>
      <w:marBottom w:val="0"/>
      <w:divBdr>
        <w:top w:val="none" w:sz="0" w:space="0" w:color="auto"/>
        <w:left w:val="none" w:sz="0" w:space="0" w:color="auto"/>
        <w:bottom w:val="none" w:sz="0" w:space="0" w:color="auto"/>
        <w:right w:val="none" w:sz="0" w:space="0" w:color="auto"/>
      </w:divBdr>
      <w:divsChild>
        <w:div w:id="1060665728">
          <w:marLeft w:val="0"/>
          <w:marRight w:val="0"/>
          <w:marTop w:val="0"/>
          <w:marBottom w:val="0"/>
          <w:divBdr>
            <w:top w:val="none" w:sz="0" w:space="0" w:color="auto"/>
            <w:left w:val="none" w:sz="0" w:space="0" w:color="auto"/>
            <w:bottom w:val="none" w:sz="0" w:space="0" w:color="auto"/>
            <w:right w:val="none" w:sz="0" w:space="0" w:color="auto"/>
          </w:divBdr>
        </w:div>
      </w:divsChild>
    </w:div>
    <w:div w:id="1178273269">
      <w:bodyDiv w:val="1"/>
      <w:marLeft w:val="0"/>
      <w:marRight w:val="0"/>
      <w:marTop w:val="0"/>
      <w:marBottom w:val="0"/>
      <w:divBdr>
        <w:top w:val="none" w:sz="0" w:space="0" w:color="auto"/>
        <w:left w:val="none" w:sz="0" w:space="0" w:color="auto"/>
        <w:bottom w:val="none" w:sz="0" w:space="0" w:color="auto"/>
        <w:right w:val="none" w:sz="0" w:space="0" w:color="auto"/>
      </w:divBdr>
      <w:divsChild>
        <w:div w:id="529490879">
          <w:marLeft w:val="0"/>
          <w:marRight w:val="0"/>
          <w:marTop w:val="0"/>
          <w:marBottom w:val="0"/>
          <w:divBdr>
            <w:top w:val="none" w:sz="0" w:space="0" w:color="auto"/>
            <w:left w:val="none" w:sz="0" w:space="0" w:color="auto"/>
            <w:bottom w:val="none" w:sz="0" w:space="0" w:color="auto"/>
            <w:right w:val="none" w:sz="0" w:space="0" w:color="auto"/>
          </w:divBdr>
          <w:divsChild>
            <w:div w:id="1730881730">
              <w:marLeft w:val="0"/>
              <w:marRight w:val="0"/>
              <w:marTop w:val="0"/>
              <w:marBottom w:val="0"/>
              <w:divBdr>
                <w:top w:val="none" w:sz="0" w:space="0" w:color="auto"/>
                <w:left w:val="none" w:sz="0" w:space="0" w:color="auto"/>
                <w:bottom w:val="none" w:sz="0" w:space="0" w:color="auto"/>
                <w:right w:val="none" w:sz="0" w:space="0" w:color="auto"/>
              </w:divBdr>
              <w:divsChild>
                <w:div w:id="324822219">
                  <w:marLeft w:val="0"/>
                  <w:marRight w:val="0"/>
                  <w:marTop w:val="0"/>
                  <w:marBottom w:val="0"/>
                  <w:divBdr>
                    <w:top w:val="none" w:sz="0" w:space="0" w:color="auto"/>
                    <w:left w:val="none" w:sz="0" w:space="0" w:color="auto"/>
                    <w:bottom w:val="none" w:sz="0" w:space="0" w:color="auto"/>
                    <w:right w:val="none" w:sz="0" w:space="0" w:color="auto"/>
                  </w:divBdr>
                  <w:divsChild>
                    <w:div w:id="749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554305">
      <w:bodyDiv w:val="1"/>
      <w:marLeft w:val="0"/>
      <w:marRight w:val="0"/>
      <w:marTop w:val="0"/>
      <w:marBottom w:val="0"/>
      <w:divBdr>
        <w:top w:val="none" w:sz="0" w:space="0" w:color="auto"/>
        <w:left w:val="none" w:sz="0" w:space="0" w:color="auto"/>
        <w:bottom w:val="none" w:sz="0" w:space="0" w:color="auto"/>
        <w:right w:val="none" w:sz="0" w:space="0" w:color="auto"/>
      </w:divBdr>
      <w:divsChild>
        <w:div w:id="1544826131">
          <w:marLeft w:val="0"/>
          <w:marRight w:val="0"/>
          <w:marTop w:val="0"/>
          <w:marBottom w:val="0"/>
          <w:divBdr>
            <w:top w:val="none" w:sz="0" w:space="0" w:color="auto"/>
            <w:left w:val="none" w:sz="0" w:space="0" w:color="auto"/>
            <w:bottom w:val="none" w:sz="0" w:space="0" w:color="auto"/>
            <w:right w:val="none" w:sz="0" w:space="0" w:color="auto"/>
          </w:divBdr>
          <w:divsChild>
            <w:div w:id="960066717">
              <w:marLeft w:val="0"/>
              <w:marRight w:val="0"/>
              <w:marTop w:val="0"/>
              <w:marBottom w:val="0"/>
              <w:divBdr>
                <w:top w:val="none" w:sz="0" w:space="0" w:color="auto"/>
                <w:left w:val="none" w:sz="0" w:space="0" w:color="auto"/>
                <w:bottom w:val="none" w:sz="0" w:space="0" w:color="auto"/>
                <w:right w:val="none" w:sz="0" w:space="0" w:color="auto"/>
              </w:divBdr>
              <w:divsChild>
                <w:div w:id="1381396242">
                  <w:marLeft w:val="0"/>
                  <w:marRight w:val="0"/>
                  <w:marTop w:val="0"/>
                  <w:marBottom w:val="0"/>
                  <w:divBdr>
                    <w:top w:val="none" w:sz="0" w:space="0" w:color="auto"/>
                    <w:left w:val="none" w:sz="0" w:space="0" w:color="auto"/>
                    <w:bottom w:val="none" w:sz="0" w:space="0" w:color="auto"/>
                    <w:right w:val="none" w:sz="0" w:space="0" w:color="auto"/>
                  </w:divBdr>
                  <w:divsChild>
                    <w:div w:id="19642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295556">
      <w:bodyDiv w:val="1"/>
      <w:marLeft w:val="0"/>
      <w:marRight w:val="0"/>
      <w:marTop w:val="0"/>
      <w:marBottom w:val="0"/>
      <w:divBdr>
        <w:top w:val="none" w:sz="0" w:space="0" w:color="auto"/>
        <w:left w:val="none" w:sz="0" w:space="0" w:color="auto"/>
        <w:bottom w:val="none" w:sz="0" w:space="0" w:color="auto"/>
        <w:right w:val="none" w:sz="0" w:space="0" w:color="auto"/>
      </w:divBdr>
      <w:divsChild>
        <w:div w:id="1687094451">
          <w:marLeft w:val="0"/>
          <w:marRight w:val="0"/>
          <w:marTop w:val="0"/>
          <w:marBottom w:val="0"/>
          <w:divBdr>
            <w:top w:val="none" w:sz="0" w:space="0" w:color="auto"/>
            <w:left w:val="none" w:sz="0" w:space="0" w:color="auto"/>
            <w:bottom w:val="none" w:sz="0" w:space="0" w:color="auto"/>
            <w:right w:val="none" w:sz="0" w:space="0" w:color="auto"/>
          </w:divBdr>
          <w:divsChild>
            <w:div w:id="1256356408">
              <w:marLeft w:val="0"/>
              <w:marRight w:val="0"/>
              <w:marTop w:val="0"/>
              <w:marBottom w:val="0"/>
              <w:divBdr>
                <w:top w:val="none" w:sz="0" w:space="0" w:color="auto"/>
                <w:left w:val="none" w:sz="0" w:space="0" w:color="auto"/>
                <w:bottom w:val="none" w:sz="0" w:space="0" w:color="auto"/>
                <w:right w:val="none" w:sz="0" w:space="0" w:color="auto"/>
              </w:divBdr>
              <w:divsChild>
                <w:div w:id="1978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8567605">
      <w:bodyDiv w:val="1"/>
      <w:marLeft w:val="0"/>
      <w:marRight w:val="0"/>
      <w:marTop w:val="0"/>
      <w:marBottom w:val="0"/>
      <w:divBdr>
        <w:top w:val="none" w:sz="0" w:space="0" w:color="auto"/>
        <w:left w:val="none" w:sz="0" w:space="0" w:color="auto"/>
        <w:bottom w:val="none" w:sz="0" w:space="0" w:color="auto"/>
        <w:right w:val="none" w:sz="0" w:space="0" w:color="auto"/>
      </w:divBdr>
      <w:divsChild>
        <w:div w:id="858201492">
          <w:marLeft w:val="0"/>
          <w:marRight w:val="0"/>
          <w:marTop w:val="0"/>
          <w:marBottom w:val="0"/>
          <w:divBdr>
            <w:top w:val="none" w:sz="0" w:space="0" w:color="auto"/>
            <w:left w:val="none" w:sz="0" w:space="0" w:color="auto"/>
            <w:bottom w:val="none" w:sz="0" w:space="0" w:color="auto"/>
            <w:right w:val="none" w:sz="0" w:space="0" w:color="auto"/>
          </w:divBdr>
          <w:divsChild>
            <w:div w:id="1777870548">
              <w:marLeft w:val="0"/>
              <w:marRight w:val="0"/>
              <w:marTop w:val="0"/>
              <w:marBottom w:val="0"/>
              <w:divBdr>
                <w:top w:val="none" w:sz="0" w:space="0" w:color="auto"/>
                <w:left w:val="none" w:sz="0" w:space="0" w:color="auto"/>
                <w:bottom w:val="none" w:sz="0" w:space="0" w:color="auto"/>
                <w:right w:val="none" w:sz="0" w:space="0" w:color="auto"/>
              </w:divBdr>
              <w:divsChild>
                <w:div w:id="1649363475">
                  <w:marLeft w:val="0"/>
                  <w:marRight w:val="0"/>
                  <w:marTop w:val="0"/>
                  <w:marBottom w:val="0"/>
                  <w:divBdr>
                    <w:top w:val="none" w:sz="0" w:space="0" w:color="auto"/>
                    <w:left w:val="none" w:sz="0" w:space="0" w:color="auto"/>
                    <w:bottom w:val="none" w:sz="0" w:space="0" w:color="auto"/>
                    <w:right w:val="none" w:sz="0" w:space="0" w:color="auto"/>
                  </w:divBdr>
                  <w:divsChild>
                    <w:div w:id="4136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38977584">
      <w:bodyDiv w:val="1"/>
      <w:marLeft w:val="0"/>
      <w:marRight w:val="0"/>
      <w:marTop w:val="0"/>
      <w:marBottom w:val="0"/>
      <w:divBdr>
        <w:top w:val="none" w:sz="0" w:space="0" w:color="auto"/>
        <w:left w:val="none" w:sz="0" w:space="0" w:color="auto"/>
        <w:bottom w:val="none" w:sz="0" w:space="0" w:color="auto"/>
        <w:right w:val="none" w:sz="0" w:space="0" w:color="auto"/>
      </w:divBdr>
      <w:divsChild>
        <w:div w:id="200095119">
          <w:marLeft w:val="0"/>
          <w:marRight w:val="0"/>
          <w:marTop w:val="0"/>
          <w:marBottom w:val="0"/>
          <w:divBdr>
            <w:top w:val="none" w:sz="0" w:space="0" w:color="auto"/>
            <w:left w:val="none" w:sz="0" w:space="0" w:color="auto"/>
            <w:bottom w:val="none" w:sz="0" w:space="0" w:color="auto"/>
            <w:right w:val="none" w:sz="0" w:space="0" w:color="auto"/>
          </w:divBdr>
          <w:divsChild>
            <w:div w:id="1666056592">
              <w:marLeft w:val="0"/>
              <w:marRight w:val="0"/>
              <w:marTop w:val="0"/>
              <w:marBottom w:val="0"/>
              <w:divBdr>
                <w:top w:val="none" w:sz="0" w:space="0" w:color="auto"/>
                <w:left w:val="none" w:sz="0" w:space="0" w:color="auto"/>
                <w:bottom w:val="none" w:sz="0" w:space="0" w:color="auto"/>
                <w:right w:val="none" w:sz="0" w:space="0" w:color="auto"/>
              </w:divBdr>
              <w:divsChild>
                <w:div w:id="1138188444">
                  <w:marLeft w:val="0"/>
                  <w:marRight w:val="0"/>
                  <w:marTop w:val="0"/>
                  <w:marBottom w:val="0"/>
                  <w:divBdr>
                    <w:top w:val="none" w:sz="0" w:space="0" w:color="auto"/>
                    <w:left w:val="none" w:sz="0" w:space="0" w:color="auto"/>
                    <w:bottom w:val="none" w:sz="0" w:space="0" w:color="auto"/>
                    <w:right w:val="none" w:sz="0" w:space="0" w:color="auto"/>
                  </w:divBdr>
                  <w:divsChild>
                    <w:div w:id="20942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0895307">
      <w:bodyDiv w:val="1"/>
      <w:marLeft w:val="0"/>
      <w:marRight w:val="0"/>
      <w:marTop w:val="0"/>
      <w:marBottom w:val="0"/>
      <w:divBdr>
        <w:top w:val="none" w:sz="0" w:space="0" w:color="auto"/>
        <w:left w:val="none" w:sz="0" w:space="0" w:color="auto"/>
        <w:bottom w:val="none" w:sz="0" w:space="0" w:color="auto"/>
        <w:right w:val="none" w:sz="0" w:space="0" w:color="auto"/>
      </w:divBdr>
      <w:divsChild>
        <w:div w:id="1802768210">
          <w:marLeft w:val="0"/>
          <w:marRight w:val="0"/>
          <w:marTop w:val="0"/>
          <w:marBottom w:val="0"/>
          <w:divBdr>
            <w:top w:val="none" w:sz="0" w:space="0" w:color="auto"/>
            <w:left w:val="none" w:sz="0" w:space="0" w:color="auto"/>
            <w:bottom w:val="none" w:sz="0" w:space="0" w:color="auto"/>
            <w:right w:val="none" w:sz="0" w:space="0" w:color="auto"/>
          </w:divBdr>
        </w:div>
        <w:div w:id="1817382262">
          <w:marLeft w:val="0"/>
          <w:marRight w:val="0"/>
          <w:marTop w:val="0"/>
          <w:marBottom w:val="0"/>
          <w:divBdr>
            <w:top w:val="single" w:sz="6" w:space="0" w:color="D5D5D5"/>
            <w:left w:val="single" w:sz="6" w:space="0" w:color="D5D5D5"/>
            <w:bottom w:val="single" w:sz="6" w:space="0" w:color="D5D5D5"/>
            <w:right w:val="single" w:sz="6" w:space="0" w:color="D5D5D5"/>
          </w:divBdr>
          <w:divsChild>
            <w:div w:id="18548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2297">
      <w:bodyDiv w:val="1"/>
      <w:marLeft w:val="0"/>
      <w:marRight w:val="0"/>
      <w:marTop w:val="0"/>
      <w:marBottom w:val="0"/>
      <w:divBdr>
        <w:top w:val="none" w:sz="0" w:space="0" w:color="auto"/>
        <w:left w:val="none" w:sz="0" w:space="0" w:color="auto"/>
        <w:bottom w:val="none" w:sz="0" w:space="0" w:color="auto"/>
        <w:right w:val="none" w:sz="0" w:space="0" w:color="auto"/>
      </w:divBdr>
      <w:divsChild>
        <w:div w:id="2092501845">
          <w:marLeft w:val="0"/>
          <w:marRight w:val="0"/>
          <w:marTop w:val="0"/>
          <w:marBottom w:val="0"/>
          <w:divBdr>
            <w:top w:val="none" w:sz="0" w:space="0" w:color="auto"/>
            <w:left w:val="none" w:sz="0" w:space="0" w:color="auto"/>
            <w:bottom w:val="none" w:sz="0" w:space="0" w:color="auto"/>
            <w:right w:val="none" w:sz="0" w:space="0" w:color="auto"/>
          </w:divBdr>
          <w:divsChild>
            <w:div w:id="2141485615">
              <w:marLeft w:val="0"/>
              <w:marRight w:val="0"/>
              <w:marTop w:val="0"/>
              <w:marBottom w:val="0"/>
              <w:divBdr>
                <w:top w:val="none" w:sz="0" w:space="0" w:color="auto"/>
                <w:left w:val="none" w:sz="0" w:space="0" w:color="auto"/>
                <w:bottom w:val="none" w:sz="0" w:space="0" w:color="auto"/>
                <w:right w:val="none" w:sz="0" w:space="0" w:color="auto"/>
              </w:divBdr>
              <w:divsChild>
                <w:div w:id="1052075799">
                  <w:marLeft w:val="0"/>
                  <w:marRight w:val="0"/>
                  <w:marTop w:val="0"/>
                  <w:marBottom w:val="0"/>
                  <w:divBdr>
                    <w:top w:val="none" w:sz="0" w:space="0" w:color="auto"/>
                    <w:left w:val="none" w:sz="0" w:space="0" w:color="auto"/>
                    <w:bottom w:val="none" w:sz="0" w:space="0" w:color="auto"/>
                    <w:right w:val="none" w:sz="0" w:space="0" w:color="auto"/>
                  </w:divBdr>
                  <w:divsChild>
                    <w:div w:id="11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42052">
      <w:bodyDiv w:val="1"/>
      <w:marLeft w:val="0"/>
      <w:marRight w:val="0"/>
      <w:marTop w:val="0"/>
      <w:marBottom w:val="0"/>
      <w:divBdr>
        <w:top w:val="none" w:sz="0" w:space="0" w:color="auto"/>
        <w:left w:val="none" w:sz="0" w:space="0" w:color="auto"/>
        <w:bottom w:val="none" w:sz="0" w:space="0" w:color="auto"/>
        <w:right w:val="none" w:sz="0" w:space="0" w:color="auto"/>
      </w:divBdr>
      <w:divsChild>
        <w:div w:id="850267355">
          <w:marLeft w:val="0"/>
          <w:marRight w:val="0"/>
          <w:marTop w:val="0"/>
          <w:marBottom w:val="0"/>
          <w:divBdr>
            <w:top w:val="none" w:sz="0" w:space="0" w:color="auto"/>
            <w:left w:val="none" w:sz="0" w:space="0" w:color="auto"/>
            <w:bottom w:val="none" w:sz="0" w:space="0" w:color="auto"/>
            <w:right w:val="none" w:sz="0" w:space="0" w:color="auto"/>
          </w:divBdr>
          <w:divsChild>
            <w:div w:id="1887257576">
              <w:marLeft w:val="0"/>
              <w:marRight w:val="0"/>
              <w:marTop w:val="0"/>
              <w:marBottom w:val="0"/>
              <w:divBdr>
                <w:top w:val="none" w:sz="0" w:space="0" w:color="auto"/>
                <w:left w:val="none" w:sz="0" w:space="0" w:color="auto"/>
                <w:bottom w:val="none" w:sz="0" w:space="0" w:color="auto"/>
                <w:right w:val="none" w:sz="0" w:space="0" w:color="auto"/>
              </w:divBdr>
              <w:divsChild>
                <w:div w:id="957444414">
                  <w:marLeft w:val="0"/>
                  <w:marRight w:val="0"/>
                  <w:marTop w:val="0"/>
                  <w:marBottom w:val="0"/>
                  <w:divBdr>
                    <w:top w:val="none" w:sz="0" w:space="0" w:color="auto"/>
                    <w:left w:val="none" w:sz="0" w:space="0" w:color="auto"/>
                    <w:bottom w:val="none" w:sz="0" w:space="0" w:color="auto"/>
                    <w:right w:val="none" w:sz="0" w:space="0" w:color="auto"/>
                  </w:divBdr>
                  <w:divsChild>
                    <w:div w:id="13284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67617494">
      <w:bodyDiv w:val="1"/>
      <w:marLeft w:val="0"/>
      <w:marRight w:val="0"/>
      <w:marTop w:val="0"/>
      <w:marBottom w:val="0"/>
      <w:divBdr>
        <w:top w:val="none" w:sz="0" w:space="0" w:color="auto"/>
        <w:left w:val="none" w:sz="0" w:space="0" w:color="auto"/>
        <w:bottom w:val="none" w:sz="0" w:space="0" w:color="auto"/>
        <w:right w:val="none" w:sz="0" w:space="0" w:color="auto"/>
      </w:divBdr>
      <w:divsChild>
        <w:div w:id="426996723">
          <w:marLeft w:val="0"/>
          <w:marRight w:val="0"/>
          <w:marTop w:val="0"/>
          <w:marBottom w:val="0"/>
          <w:divBdr>
            <w:top w:val="none" w:sz="0" w:space="0" w:color="auto"/>
            <w:left w:val="none" w:sz="0" w:space="0" w:color="auto"/>
            <w:bottom w:val="none" w:sz="0" w:space="0" w:color="auto"/>
            <w:right w:val="none" w:sz="0" w:space="0" w:color="auto"/>
          </w:divBdr>
          <w:divsChild>
            <w:div w:id="2093771053">
              <w:marLeft w:val="0"/>
              <w:marRight w:val="0"/>
              <w:marTop w:val="0"/>
              <w:marBottom w:val="0"/>
              <w:divBdr>
                <w:top w:val="none" w:sz="0" w:space="0" w:color="auto"/>
                <w:left w:val="none" w:sz="0" w:space="0" w:color="auto"/>
                <w:bottom w:val="none" w:sz="0" w:space="0" w:color="auto"/>
                <w:right w:val="none" w:sz="0" w:space="0" w:color="auto"/>
              </w:divBdr>
              <w:divsChild>
                <w:div w:id="590745457">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642588">
      <w:bodyDiv w:val="1"/>
      <w:marLeft w:val="0"/>
      <w:marRight w:val="0"/>
      <w:marTop w:val="0"/>
      <w:marBottom w:val="0"/>
      <w:divBdr>
        <w:top w:val="none" w:sz="0" w:space="0" w:color="auto"/>
        <w:left w:val="none" w:sz="0" w:space="0" w:color="auto"/>
        <w:bottom w:val="none" w:sz="0" w:space="0" w:color="auto"/>
        <w:right w:val="none" w:sz="0" w:space="0" w:color="auto"/>
      </w:divBdr>
      <w:divsChild>
        <w:div w:id="2112121568">
          <w:marLeft w:val="0"/>
          <w:marRight w:val="0"/>
          <w:marTop w:val="0"/>
          <w:marBottom w:val="0"/>
          <w:divBdr>
            <w:top w:val="none" w:sz="0" w:space="0" w:color="auto"/>
            <w:left w:val="none" w:sz="0" w:space="0" w:color="auto"/>
            <w:bottom w:val="none" w:sz="0" w:space="0" w:color="auto"/>
            <w:right w:val="none" w:sz="0" w:space="0" w:color="auto"/>
          </w:divBdr>
          <w:divsChild>
            <w:div w:id="435832166">
              <w:marLeft w:val="0"/>
              <w:marRight w:val="0"/>
              <w:marTop w:val="0"/>
              <w:marBottom w:val="0"/>
              <w:divBdr>
                <w:top w:val="none" w:sz="0" w:space="0" w:color="auto"/>
                <w:left w:val="none" w:sz="0" w:space="0" w:color="auto"/>
                <w:bottom w:val="none" w:sz="0" w:space="0" w:color="auto"/>
                <w:right w:val="none" w:sz="0" w:space="0" w:color="auto"/>
              </w:divBdr>
              <w:divsChild>
                <w:div w:id="335503080">
                  <w:marLeft w:val="0"/>
                  <w:marRight w:val="0"/>
                  <w:marTop w:val="0"/>
                  <w:marBottom w:val="0"/>
                  <w:divBdr>
                    <w:top w:val="none" w:sz="0" w:space="0" w:color="auto"/>
                    <w:left w:val="none" w:sz="0" w:space="0" w:color="auto"/>
                    <w:bottom w:val="none" w:sz="0" w:space="0" w:color="auto"/>
                    <w:right w:val="none" w:sz="0" w:space="0" w:color="auto"/>
                  </w:divBdr>
                  <w:divsChild>
                    <w:div w:id="5325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911578">
      <w:bodyDiv w:val="1"/>
      <w:marLeft w:val="0"/>
      <w:marRight w:val="0"/>
      <w:marTop w:val="0"/>
      <w:marBottom w:val="0"/>
      <w:divBdr>
        <w:top w:val="none" w:sz="0" w:space="0" w:color="auto"/>
        <w:left w:val="none" w:sz="0" w:space="0" w:color="auto"/>
        <w:bottom w:val="none" w:sz="0" w:space="0" w:color="auto"/>
        <w:right w:val="none" w:sz="0" w:space="0" w:color="auto"/>
      </w:divBdr>
    </w:div>
    <w:div w:id="1283344188">
      <w:bodyDiv w:val="1"/>
      <w:marLeft w:val="0"/>
      <w:marRight w:val="0"/>
      <w:marTop w:val="0"/>
      <w:marBottom w:val="0"/>
      <w:divBdr>
        <w:top w:val="none" w:sz="0" w:space="0" w:color="auto"/>
        <w:left w:val="none" w:sz="0" w:space="0" w:color="auto"/>
        <w:bottom w:val="none" w:sz="0" w:space="0" w:color="auto"/>
        <w:right w:val="none" w:sz="0" w:space="0" w:color="auto"/>
      </w:divBdr>
    </w:div>
    <w:div w:id="1284386821">
      <w:bodyDiv w:val="1"/>
      <w:marLeft w:val="0"/>
      <w:marRight w:val="0"/>
      <w:marTop w:val="0"/>
      <w:marBottom w:val="0"/>
      <w:divBdr>
        <w:top w:val="none" w:sz="0" w:space="0" w:color="auto"/>
        <w:left w:val="none" w:sz="0" w:space="0" w:color="auto"/>
        <w:bottom w:val="none" w:sz="0" w:space="0" w:color="auto"/>
        <w:right w:val="none" w:sz="0" w:space="0" w:color="auto"/>
      </w:divBdr>
      <w:divsChild>
        <w:div w:id="957637341">
          <w:marLeft w:val="0"/>
          <w:marRight w:val="0"/>
          <w:marTop w:val="0"/>
          <w:marBottom w:val="0"/>
          <w:divBdr>
            <w:top w:val="none" w:sz="0" w:space="0" w:color="auto"/>
            <w:left w:val="none" w:sz="0" w:space="0" w:color="auto"/>
            <w:bottom w:val="none" w:sz="0" w:space="0" w:color="auto"/>
            <w:right w:val="none" w:sz="0" w:space="0" w:color="auto"/>
          </w:divBdr>
          <w:divsChild>
            <w:div w:id="569655529">
              <w:marLeft w:val="0"/>
              <w:marRight w:val="0"/>
              <w:marTop w:val="0"/>
              <w:marBottom w:val="0"/>
              <w:divBdr>
                <w:top w:val="none" w:sz="0" w:space="0" w:color="auto"/>
                <w:left w:val="none" w:sz="0" w:space="0" w:color="auto"/>
                <w:bottom w:val="none" w:sz="0" w:space="0" w:color="auto"/>
                <w:right w:val="none" w:sz="0" w:space="0" w:color="auto"/>
              </w:divBdr>
              <w:divsChild>
                <w:div w:id="888877497">
                  <w:marLeft w:val="0"/>
                  <w:marRight w:val="0"/>
                  <w:marTop w:val="0"/>
                  <w:marBottom w:val="0"/>
                  <w:divBdr>
                    <w:top w:val="none" w:sz="0" w:space="0" w:color="auto"/>
                    <w:left w:val="none" w:sz="0" w:space="0" w:color="auto"/>
                    <w:bottom w:val="none" w:sz="0" w:space="0" w:color="auto"/>
                    <w:right w:val="none" w:sz="0" w:space="0" w:color="auto"/>
                  </w:divBdr>
                  <w:divsChild>
                    <w:div w:id="9093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85844578">
      <w:bodyDiv w:val="1"/>
      <w:marLeft w:val="0"/>
      <w:marRight w:val="0"/>
      <w:marTop w:val="0"/>
      <w:marBottom w:val="0"/>
      <w:divBdr>
        <w:top w:val="none" w:sz="0" w:space="0" w:color="auto"/>
        <w:left w:val="none" w:sz="0" w:space="0" w:color="auto"/>
        <w:bottom w:val="none" w:sz="0" w:space="0" w:color="auto"/>
        <w:right w:val="none" w:sz="0" w:space="0" w:color="auto"/>
      </w:divBdr>
      <w:divsChild>
        <w:div w:id="1734962666">
          <w:marLeft w:val="0"/>
          <w:marRight w:val="0"/>
          <w:marTop w:val="0"/>
          <w:marBottom w:val="0"/>
          <w:divBdr>
            <w:top w:val="none" w:sz="0" w:space="0" w:color="auto"/>
            <w:left w:val="none" w:sz="0" w:space="0" w:color="auto"/>
            <w:bottom w:val="none" w:sz="0" w:space="0" w:color="auto"/>
            <w:right w:val="none" w:sz="0" w:space="0" w:color="auto"/>
          </w:divBdr>
          <w:divsChild>
            <w:div w:id="858204439">
              <w:marLeft w:val="0"/>
              <w:marRight w:val="0"/>
              <w:marTop w:val="0"/>
              <w:marBottom w:val="0"/>
              <w:divBdr>
                <w:top w:val="none" w:sz="0" w:space="0" w:color="auto"/>
                <w:left w:val="none" w:sz="0" w:space="0" w:color="auto"/>
                <w:bottom w:val="none" w:sz="0" w:space="0" w:color="auto"/>
                <w:right w:val="none" w:sz="0" w:space="0" w:color="auto"/>
              </w:divBdr>
              <w:divsChild>
                <w:div w:id="128476555">
                  <w:marLeft w:val="0"/>
                  <w:marRight w:val="0"/>
                  <w:marTop w:val="0"/>
                  <w:marBottom w:val="0"/>
                  <w:divBdr>
                    <w:top w:val="none" w:sz="0" w:space="0" w:color="auto"/>
                    <w:left w:val="none" w:sz="0" w:space="0" w:color="auto"/>
                    <w:bottom w:val="none" w:sz="0" w:space="0" w:color="auto"/>
                    <w:right w:val="none" w:sz="0" w:space="0" w:color="auto"/>
                  </w:divBdr>
                  <w:divsChild>
                    <w:div w:id="5985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33145">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293092810">
      <w:bodyDiv w:val="1"/>
      <w:marLeft w:val="0"/>
      <w:marRight w:val="0"/>
      <w:marTop w:val="0"/>
      <w:marBottom w:val="0"/>
      <w:divBdr>
        <w:top w:val="none" w:sz="0" w:space="0" w:color="auto"/>
        <w:left w:val="none" w:sz="0" w:space="0" w:color="auto"/>
        <w:bottom w:val="none" w:sz="0" w:space="0" w:color="auto"/>
        <w:right w:val="none" w:sz="0" w:space="0" w:color="auto"/>
      </w:divBdr>
      <w:divsChild>
        <w:div w:id="1017386601">
          <w:marLeft w:val="0"/>
          <w:marRight w:val="0"/>
          <w:marTop w:val="0"/>
          <w:marBottom w:val="0"/>
          <w:divBdr>
            <w:top w:val="none" w:sz="0" w:space="0" w:color="auto"/>
            <w:left w:val="none" w:sz="0" w:space="0" w:color="auto"/>
            <w:bottom w:val="none" w:sz="0" w:space="0" w:color="auto"/>
            <w:right w:val="none" w:sz="0" w:space="0" w:color="auto"/>
          </w:divBdr>
          <w:divsChild>
            <w:div w:id="1409427010">
              <w:marLeft w:val="0"/>
              <w:marRight w:val="0"/>
              <w:marTop w:val="0"/>
              <w:marBottom w:val="0"/>
              <w:divBdr>
                <w:top w:val="none" w:sz="0" w:space="0" w:color="auto"/>
                <w:left w:val="none" w:sz="0" w:space="0" w:color="auto"/>
                <w:bottom w:val="none" w:sz="0" w:space="0" w:color="auto"/>
                <w:right w:val="none" w:sz="0" w:space="0" w:color="auto"/>
              </w:divBdr>
              <w:divsChild>
                <w:div w:id="559749641">
                  <w:marLeft w:val="0"/>
                  <w:marRight w:val="0"/>
                  <w:marTop w:val="0"/>
                  <w:marBottom w:val="0"/>
                  <w:divBdr>
                    <w:top w:val="none" w:sz="0" w:space="0" w:color="auto"/>
                    <w:left w:val="none" w:sz="0" w:space="0" w:color="auto"/>
                    <w:bottom w:val="none" w:sz="0" w:space="0" w:color="auto"/>
                    <w:right w:val="none" w:sz="0" w:space="0" w:color="auto"/>
                  </w:divBdr>
                  <w:divsChild>
                    <w:div w:id="7536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256468">
      <w:bodyDiv w:val="1"/>
      <w:marLeft w:val="0"/>
      <w:marRight w:val="0"/>
      <w:marTop w:val="0"/>
      <w:marBottom w:val="0"/>
      <w:divBdr>
        <w:top w:val="none" w:sz="0" w:space="0" w:color="auto"/>
        <w:left w:val="none" w:sz="0" w:space="0" w:color="auto"/>
        <w:bottom w:val="none" w:sz="0" w:space="0" w:color="auto"/>
        <w:right w:val="none" w:sz="0" w:space="0" w:color="auto"/>
      </w:divBdr>
    </w:div>
    <w:div w:id="1304114386">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17100942">
      <w:bodyDiv w:val="1"/>
      <w:marLeft w:val="0"/>
      <w:marRight w:val="0"/>
      <w:marTop w:val="0"/>
      <w:marBottom w:val="0"/>
      <w:divBdr>
        <w:top w:val="none" w:sz="0" w:space="0" w:color="auto"/>
        <w:left w:val="none" w:sz="0" w:space="0" w:color="auto"/>
        <w:bottom w:val="none" w:sz="0" w:space="0" w:color="auto"/>
        <w:right w:val="none" w:sz="0" w:space="0" w:color="auto"/>
      </w:divBdr>
      <w:divsChild>
        <w:div w:id="864751075">
          <w:marLeft w:val="0"/>
          <w:marRight w:val="0"/>
          <w:marTop w:val="0"/>
          <w:marBottom w:val="0"/>
          <w:divBdr>
            <w:top w:val="none" w:sz="0" w:space="0" w:color="auto"/>
            <w:left w:val="none" w:sz="0" w:space="0" w:color="auto"/>
            <w:bottom w:val="none" w:sz="0" w:space="0" w:color="auto"/>
            <w:right w:val="none" w:sz="0" w:space="0" w:color="auto"/>
          </w:divBdr>
          <w:divsChild>
            <w:div w:id="738020195">
              <w:marLeft w:val="0"/>
              <w:marRight w:val="0"/>
              <w:marTop w:val="0"/>
              <w:marBottom w:val="0"/>
              <w:divBdr>
                <w:top w:val="none" w:sz="0" w:space="0" w:color="auto"/>
                <w:left w:val="none" w:sz="0" w:space="0" w:color="auto"/>
                <w:bottom w:val="none" w:sz="0" w:space="0" w:color="auto"/>
                <w:right w:val="none" w:sz="0" w:space="0" w:color="auto"/>
              </w:divBdr>
              <w:divsChild>
                <w:div w:id="992831159">
                  <w:marLeft w:val="0"/>
                  <w:marRight w:val="0"/>
                  <w:marTop w:val="0"/>
                  <w:marBottom w:val="0"/>
                  <w:divBdr>
                    <w:top w:val="none" w:sz="0" w:space="0" w:color="auto"/>
                    <w:left w:val="none" w:sz="0" w:space="0" w:color="auto"/>
                    <w:bottom w:val="none" w:sz="0" w:space="0" w:color="auto"/>
                    <w:right w:val="none" w:sz="0" w:space="0" w:color="auto"/>
                  </w:divBdr>
                  <w:divsChild>
                    <w:div w:id="20142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25621777">
      <w:bodyDiv w:val="1"/>
      <w:marLeft w:val="0"/>
      <w:marRight w:val="0"/>
      <w:marTop w:val="0"/>
      <w:marBottom w:val="0"/>
      <w:divBdr>
        <w:top w:val="none" w:sz="0" w:space="0" w:color="auto"/>
        <w:left w:val="none" w:sz="0" w:space="0" w:color="auto"/>
        <w:bottom w:val="none" w:sz="0" w:space="0" w:color="auto"/>
        <w:right w:val="none" w:sz="0" w:space="0" w:color="auto"/>
      </w:divBdr>
    </w:div>
    <w:div w:id="1329673220">
      <w:bodyDiv w:val="1"/>
      <w:marLeft w:val="0"/>
      <w:marRight w:val="0"/>
      <w:marTop w:val="0"/>
      <w:marBottom w:val="0"/>
      <w:divBdr>
        <w:top w:val="none" w:sz="0" w:space="0" w:color="auto"/>
        <w:left w:val="none" w:sz="0" w:space="0" w:color="auto"/>
        <w:bottom w:val="none" w:sz="0" w:space="0" w:color="auto"/>
        <w:right w:val="none" w:sz="0" w:space="0" w:color="auto"/>
      </w:divBdr>
    </w:div>
    <w:div w:id="1331057830">
      <w:bodyDiv w:val="1"/>
      <w:marLeft w:val="0"/>
      <w:marRight w:val="0"/>
      <w:marTop w:val="0"/>
      <w:marBottom w:val="0"/>
      <w:divBdr>
        <w:top w:val="none" w:sz="0" w:space="0" w:color="auto"/>
        <w:left w:val="none" w:sz="0" w:space="0" w:color="auto"/>
        <w:bottom w:val="none" w:sz="0" w:space="0" w:color="auto"/>
        <w:right w:val="none" w:sz="0" w:space="0" w:color="auto"/>
      </w:divBdr>
      <w:divsChild>
        <w:div w:id="1954090711">
          <w:marLeft w:val="0"/>
          <w:marRight w:val="0"/>
          <w:marTop w:val="0"/>
          <w:marBottom w:val="0"/>
          <w:divBdr>
            <w:top w:val="none" w:sz="0" w:space="0" w:color="auto"/>
            <w:left w:val="none" w:sz="0" w:space="0" w:color="auto"/>
            <w:bottom w:val="none" w:sz="0" w:space="0" w:color="auto"/>
            <w:right w:val="none" w:sz="0" w:space="0" w:color="auto"/>
          </w:divBdr>
          <w:divsChild>
            <w:div w:id="466514408">
              <w:marLeft w:val="0"/>
              <w:marRight w:val="0"/>
              <w:marTop w:val="0"/>
              <w:marBottom w:val="0"/>
              <w:divBdr>
                <w:top w:val="none" w:sz="0" w:space="0" w:color="auto"/>
                <w:left w:val="none" w:sz="0" w:space="0" w:color="auto"/>
                <w:bottom w:val="none" w:sz="0" w:space="0" w:color="auto"/>
                <w:right w:val="none" w:sz="0" w:space="0" w:color="auto"/>
              </w:divBdr>
              <w:divsChild>
                <w:div w:id="1698309196">
                  <w:marLeft w:val="0"/>
                  <w:marRight w:val="0"/>
                  <w:marTop w:val="0"/>
                  <w:marBottom w:val="0"/>
                  <w:divBdr>
                    <w:top w:val="none" w:sz="0" w:space="0" w:color="auto"/>
                    <w:left w:val="none" w:sz="0" w:space="0" w:color="auto"/>
                    <w:bottom w:val="none" w:sz="0" w:space="0" w:color="auto"/>
                    <w:right w:val="none" w:sz="0" w:space="0" w:color="auto"/>
                  </w:divBdr>
                  <w:divsChild>
                    <w:div w:id="18582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64944655">
      <w:bodyDiv w:val="1"/>
      <w:marLeft w:val="0"/>
      <w:marRight w:val="0"/>
      <w:marTop w:val="0"/>
      <w:marBottom w:val="0"/>
      <w:divBdr>
        <w:top w:val="none" w:sz="0" w:space="0" w:color="auto"/>
        <w:left w:val="none" w:sz="0" w:space="0" w:color="auto"/>
        <w:bottom w:val="none" w:sz="0" w:space="0" w:color="auto"/>
        <w:right w:val="none" w:sz="0" w:space="0" w:color="auto"/>
      </w:divBdr>
      <w:divsChild>
        <w:div w:id="2090422330">
          <w:marLeft w:val="0"/>
          <w:marRight w:val="0"/>
          <w:marTop w:val="0"/>
          <w:marBottom w:val="0"/>
          <w:divBdr>
            <w:top w:val="none" w:sz="0" w:space="0" w:color="auto"/>
            <w:left w:val="none" w:sz="0" w:space="0" w:color="auto"/>
            <w:bottom w:val="none" w:sz="0" w:space="0" w:color="auto"/>
            <w:right w:val="none" w:sz="0" w:space="0" w:color="auto"/>
          </w:divBdr>
          <w:divsChild>
            <w:div w:id="1910533464">
              <w:marLeft w:val="0"/>
              <w:marRight w:val="0"/>
              <w:marTop w:val="0"/>
              <w:marBottom w:val="0"/>
              <w:divBdr>
                <w:top w:val="none" w:sz="0" w:space="0" w:color="auto"/>
                <w:left w:val="none" w:sz="0" w:space="0" w:color="auto"/>
                <w:bottom w:val="none" w:sz="0" w:space="0" w:color="auto"/>
                <w:right w:val="none" w:sz="0" w:space="0" w:color="auto"/>
              </w:divBdr>
              <w:divsChild>
                <w:div w:id="41292561">
                  <w:marLeft w:val="0"/>
                  <w:marRight w:val="0"/>
                  <w:marTop w:val="0"/>
                  <w:marBottom w:val="0"/>
                  <w:divBdr>
                    <w:top w:val="none" w:sz="0" w:space="0" w:color="auto"/>
                    <w:left w:val="none" w:sz="0" w:space="0" w:color="auto"/>
                    <w:bottom w:val="none" w:sz="0" w:space="0" w:color="auto"/>
                    <w:right w:val="none" w:sz="0" w:space="0" w:color="auto"/>
                  </w:divBdr>
                  <w:divsChild>
                    <w:div w:id="14686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332611">
      <w:bodyDiv w:val="1"/>
      <w:marLeft w:val="0"/>
      <w:marRight w:val="0"/>
      <w:marTop w:val="0"/>
      <w:marBottom w:val="0"/>
      <w:divBdr>
        <w:top w:val="none" w:sz="0" w:space="0" w:color="auto"/>
        <w:left w:val="none" w:sz="0" w:space="0" w:color="auto"/>
        <w:bottom w:val="none" w:sz="0" w:space="0" w:color="auto"/>
        <w:right w:val="none" w:sz="0" w:space="0" w:color="auto"/>
      </w:divBdr>
      <w:divsChild>
        <w:div w:id="2119332200">
          <w:marLeft w:val="0"/>
          <w:marRight w:val="0"/>
          <w:marTop w:val="0"/>
          <w:marBottom w:val="0"/>
          <w:divBdr>
            <w:top w:val="none" w:sz="0" w:space="0" w:color="auto"/>
            <w:left w:val="none" w:sz="0" w:space="0" w:color="auto"/>
            <w:bottom w:val="none" w:sz="0" w:space="0" w:color="auto"/>
            <w:right w:val="none" w:sz="0" w:space="0" w:color="auto"/>
          </w:divBdr>
          <w:divsChild>
            <w:div w:id="1153788295">
              <w:marLeft w:val="0"/>
              <w:marRight w:val="0"/>
              <w:marTop w:val="0"/>
              <w:marBottom w:val="0"/>
              <w:divBdr>
                <w:top w:val="none" w:sz="0" w:space="0" w:color="auto"/>
                <w:left w:val="none" w:sz="0" w:space="0" w:color="auto"/>
                <w:bottom w:val="none" w:sz="0" w:space="0" w:color="auto"/>
                <w:right w:val="none" w:sz="0" w:space="0" w:color="auto"/>
              </w:divBdr>
              <w:divsChild>
                <w:div w:id="19804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90592">
      <w:bodyDiv w:val="1"/>
      <w:marLeft w:val="0"/>
      <w:marRight w:val="0"/>
      <w:marTop w:val="0"/>
      <w:marBottom w:val="0"/>
      <w:divBdr>
        <w:top w:val="none" w:sz="0" w:space="0" w:color="auto"/>
        <w:left w:val="none" w:sz="0" w:space="0" w:color="auto"/>
        <w:bottom w:val="none" w:sz="0" w:space="0" w:color="auto"/>
        <w:right w:val="none" w:sz="0" w:space="0" w:color="auto"/>
      </w:divBdr>
    </w:div>
    <w:div w:id="1377972951">
      <w:bodyDiv w:val="1"/>
      <w:marLeft w:val="0"/>
      <w:marRight w:val="0"/>
      <w:marTop w:val="0"/>
      <w:marBottom w:val="0"/>
      <w:divBdr>
        <w:top w:val="none" w:sz="0" w:space="0" w:color="auto"/>
        <w:left w:val="none" w:sz="0" w:space="0" w:color="auto"/>
        <w:bottom w:val="none" w:sz="0" w:space="0" w:color="auto"/>
        <w:right w:val="none" w:sz="0" w:space="0" w:color="auto"/>
      </w:divBdr>
      <w:divsChild>
        <w:div w:id="343747479">
          <w:marLeft w:val="0"/>
          <w:marRight w:val="0"/>
          <w:marTop w:val="0"/>
          <w:marBottom w:val="0"/>
          <w:divBdr>
            <w:top w:val="none" w:sz="0" w:space="0" w:color="auto"/>
            <w:left w:val="none" w:sz="0" w:space="0" w:color="auto"/>
            <w:bottom w:val="none" w:sz="0" w:space="0" w:color="auto"/>
            <w:right w:val="none" w:sz="0" w:space="0" w:color="auto"/>
          </w:divBdr>
          <w:divsChild>
            <w:div w:id="176383938">
              <w:marLeft w:val="0"/>
              <w:marRight w:val="0"/>
              <w:marTop w:val="0"/>
              <w:marBottom w:val="0"/>
              <w:divBdr>
                <w:top w:val="none" w:sz="0" w:space="0" w:color="auto"/>
                <w:left w:val="none" w:sz="0" w:space="0" w:color="auto"/>
                <w:bottom w:val="none" w:sz="0" w:space="0" w:color="auto"/>
                <w:right w:val="none" w:sz="0" w:space="0" w:color="auto"/>
              </w:divBdr>
              <w:divsChild>
                <w:div w:id="571893807">
                  <w:marLeft w:val="0"/>
                  <w:marRight w:val="0"/>
                  <w:marTop w:val="0"/>
                  <w:marBottom w:val="0"/>
                  <w:divBdr>
                    <w:top w:val="none" w:sz="0" w:space="0" w:color="auto"/>
                    <w:left w:val="none" w:sz="0" w:space="0" w:color="auto"/>
                    <w:bottom w:val="none" w:sz="0" w:space="0" w:color="auto"/>
                    <w:right w:val="none" w:sz="0" w:space="0" w:color="auto"/>
                  </w:divBdr>
                  <w:divsChild>
                    <w:div w:id="11963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50131">
      <w:bodyDiv w:val="1"/>
      <w:marLeft w:val="0"/>
      <w:marRight w:val="0"/>
      <w:marTop w:val="0"/>
      <w:marBottom w:val="0"/>
      <w:divBdr>
        <w:top w:val="none" w:sz="0" w:space="0" w:color="auto"/>
        <w:left w:val="none" w:sz="0" w:space="0" w:color="auto"/>
        <w:bottom w:val="none" w:sz="0" w:space="0" w:color="auto"/>
        <w:right w:val="none" w:sz="0" w:space="0" w:color="auto"/>
      </w:divBdr>
      <w:divsChild>
        <w:div w:id="167333362">
          <w:marLeft w:val="0"/>
          <w:marRight w:val="0"/>
          <w:marTop w:val="0"/>
          <w:marBottom w:val="0"/>
          <w:divBdr>
            <w:top w:val="none" w:sz="0" w:space="0" w:color="auto"/>
            <w:left w:val="none" w:sz="0" w:space="0" w:color="auto"/>
            <w:bottom w:val="none" w:sz="0" w:space="0" w:color="auto"/>
            <w:right w:val="none" w:sz="0" w:space="0" w:color="auto"/>
          </w:divBdr>
          <w:divsChild>
            <w:div w:id="504979032">
              <w:marLeft w:val="0"/>
              <w:marRight w:val="0"/>
              <w:marTop w:val="0"/>
              <w:marBottom w:val="0"/>
              <w:divBdr>
                <w:top w:val="none" w:sz="0" w:space="0" w:color="auto"/>
                <w:left w:val="none" w:sz="0" w:space="0" w:color="auto"/>
                <w:bottom w:val="none" w:sz="0" w:space="0" w:color="auto"/>
                <w:right w:val="none" w:sz="0" w:space="0" w:color="auto"/>
              </w:divBdr>
              <w:divsChild>
                <w:div w:id="248121509">
                  <w:marLeft w:val="0"/>
                  <w:marRight w:val="0"/>
                  <w:marTop w:val="0"/>
                  <w:marBottom w:val="0"/>
                  <w:divBdr>
                    <w:top w:val="none" w:sz="0" w:space="0" w:color="auto"/>
                    <w:left w:val="none" w:sz="0" w:space="0" w:color="auto"/>
                    <w:bottom w:val="none" w:sz="0" w:space="0" w:color="auto"/>
                    <w:right w:val="none" w:sz="0" w:space="0" w:color="auto"/>
                  </w:divBdr>
                  <w:divsChild>
                    <w:div w:id="19518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7891">
      <w:bodyDiv w:val="1"/>
      <w:marLeft w:val="0"/>
      <w:marRight w:val="0"/>
      <w:marTop w:val="0"/>
      <w:marBottom w:val="0"/>
      <w:divBdr>
        <w:top w:val="none" w:sz="0" w:space="0" w:color="auto"/>
        <w:left w:val="none" w:sz="0" w:space="0" w:color="auto"/>
        <w:bottom w:val="none" w:sz="0" w:space="0" w:color="auto"/>
        <w:right w:val="none" w:sz="0" w:space="0" w:color="auto"/>
      </w:divBdr>
      <w:divsChild>
        <w:div w:id="235019325">
          <w:marLeft w:val="0"/>
          <w:marRight w:val="0"/>
          <w:marTop w:val="0"/>
          <w:marBottom w:val="0"/>
          <w:divBdr>
            <w:top w:val="none" w:sz="0" w:space="0" w:color="auto"/>
            <w:left w:val="none" w:sz="0" w:space="0" w:color="auto"/>
            <w:bottom w:val="none" w:sz="0" w:space="0" w:color="auto"/>
            <w:right w:val="none" w:sz="0" w:space="0" w:color="auto"/>
          </w:divBdr>
          <w:divsChild>
            <w:div w:id="426658858">
              <w:marLeft w:val="0"/>
              <w:marRight w:val="0"/>
              <w:marTop w:val="0"/>
              <w:marBottom w:val="0"/>
              <w:divBdr>
                <w:top w:val="none" w:sz="0" w:space="0" w:color="auto"/>
                <w:left w:val="none" w:sz="0" w:space="0" w:color="auto"/>
                <w:bottom w:val="none" w:sz="0" w:space="0" w:color="auto"/>
                <w:right w:val="none" w:sz="0" w:space="0" w:color="auto"/>
              </w:divBdr>
              <w:divsChild>
                <w:div w:id="1747605150">
                  <w:marLeft w:val="0"/>
                  <w:marRight w:val="0"/>
                  <w:marTop w:val="0"/>
                  <w:marBottom w:val="0"/>
                  <w:divBdr>
                    <w:top w:val="none" w:sz="0" w:space="0" w:color="auto"/>
                    <w:left w:val="none" w:sz="0" w:space="0" w:color="auto"/>
                    <w:bottom w:val="none" w:sz="0" w:space="0" w:color="auto"/>
                    <w:right w:val="none" w:sz="0" w:space="0" w:color="auto"/>
                  </w:divBdr>
                  <w:divsChild>
                    <w:div w:id="18776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08502">
      <w:bodyDiv w:val="1"/>
      <w:marLeft w:val="0"/>
      <w:marRight w:val="0"/>
      <w:marTop w:val="0"/>
      <w:marBottom w:val="0"/>
      <w:divBdr>
        <w:top w:val="none" w:sz="0" w:space="0" w:color="auto"/>
        <w:left w:val="none" w:sz="0" w:space="0" w:color="auto"/>
        <w:bottom w:val="none" w:sz="0" w:space="0" w:color="auto"/>
        <w:right w:val="none" w:sz="0" w:space="0" w:color="auto"/>
      </w:divBdr>
      <w:divsChild>
        <w:div w:id="1667438652">
          <w:marLeft w:val="0"/>
          <w:marRight w:val="0"/>
          <w:marTop w:val="0"/>
          <w:marBottom w:val="0"/>
          <w:divBdr>
            <w:top w:val="none" w:sz="0" w:space="0" w:color="auto"/>
            <w:left w:val="none" w:sz="0" w:space="0" w:color="auto"/>
            <w:bottom w:val="none" w:sz="0" w:space="0" w:color="auto"/>
            <w:right w:val="none" w:sz="0" w:space="0" w:color="auto"/>
          </w:divBdr>
          <w:divsChild>
            <w:div w:id="1237596453">
              <w:marLeft w:val="0"/>
              <w:marRight w:val="0"/>
              <w:marTop w:val="0"/>
              <w:marBottom w:val="0"/>
              <w:divBdr>
                <w:top w:val="none" w:sz="0" w:space="0" w:color="auto"/>
                <w:left w:val="none" w:sz="0" w:space="0" w:color="auto"/>
                <w:bottom w:val="none" w:sz="0" w:space="0" w:color="auto"/>
                <w:right w:val="none" w:sz="0" w:space="0" w:color="auto"/>
              </w:divBdr>
              <w:divsChild>
                <w:div w:id="2132896644">
                  <w:marLeft w:val="0"/>
                  <w:marRight w:val="0"/>
                  <w:marTop w:val="0"/>
                  <w:marBottom w:val="0"/>
                  <w:divBdr>
                    <w:top w:val="none" w:sz="0" w:space="0" w:color="auto"/>
                    <w:left w:val="none" w:sz="0" w:space="0" w:color="auto"/>
                    <w:bottom w:val="none" w:sz="0" w:space="0" w:color="auto"/>
                    <w:right w:val="none" w:sz="0" w:space="0" w:color="auto"/>
                  </w:divBdr>
                  <w:divsChild>
                    <w:div w:id="2384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29811401">
      <w:bodyDiv w:val="1"/>
      <w:marLeft w:val="0"/>
      <w:marRight w:val="0"/>
      <w:marTop w:val="0"/>
      <w:marBottom w:val="0"/>
      <w:divBdr>
        <w:top w:val="none" w:sz="0" w:space="0" w:color="auto"/>
        <w:left w:val="none" w:sz="0" w:space="0" w:color="auto"/>
        <w:bottom w:val="none" w:sz="0" w:space="0" w:color="auto"/>
        <w:right w:val="none" w:sz="0" w:space="0" w:color="auto"/>
      </w:divBdr>
      <w:divsChild>
        <w:div w:id="903569834">
          <w:marLeft w:val="0"/>
          <w:marRight w:val="0"/>
          <w:marTop w:val="0"/>
          <w:marBottom w:val="0"/>
          <w:divBdr>
            <w:top w:val="none" w:sz="0" w:space="0" w:color="auto"/>
            <w:left w:val="none" w:sz="0" w:space="0" w:color="auto"/>
            <w:bottom w:val="none" w:sz="0" w:space="0" w:color="auto"/>
            <w:right w:val="none" w:sz="0" w:space="0" w:color="auto"/>
          </w:divBdr>
          <w:divsChild>
            <w:div w:id="281546501">
              <w:marLeft w:val="0"/>
              <w:marRight w:val="0"/>
              <w:marTop w:val="0"/>
              <w:marBottom w:val="0"/>
              <w:divBdr>
                <w:top w:val="none" w:sz="0" w:space="0" w:color="auto"/>
                <w:left w:val="none" w:sz="0" w:space="0" w:color="auto"/>
                <w:bottom w:val="none" w:sz="0" w:space="0" w:color="auto"/>
                <w:right w:val="none" w:sz="0" w:space="0" w:color="auto"/>
              </w:divBdr>
              <w:divsChild>
                <w:div w:id="11105732">
                  <w:marLeft w:val="0"/>
                  <w:marRight w:val="0"/>
                  <w:marTop w:val="0"/>
                  <w:marBottom w:val="0"/>
                  <w:divBdr>
                    <w:top w:val="none" w:sz="0" w:space="0" w:color="auto"/>
                    <w:left w:val="none" w:sz="0" w:space="0" w:color="auto"/>
                    <w:bottom w:val="none" w:sz="0" w:space="0" w:color="auto"/>
                    <w:right w:val="none" w:sz="0" w:space="0" w:color="auto"/>
                  </w:divBdr>
                  <w:divsChild>
                    <w:div w:id="7042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660">
      <w:bodyDiv w:val="1"/>
      <w:marLeft w:val="0"/>
      <w:marRight w:val="0"/>
      <w:marTop w:val="0"/>
      <w:marBottom w:val="0"/>
      <w:divBdr>
        <w:top w:val="none" w:sz="0" w:space="0" w:color="auto"/>
        <w:left w:val="none" w:sz="0" w:space="0" w:color="auto"/>
        <w:bottom w:val="none" w:sz="0" w:space="0" w:color="auto"/>
        <w:right w:val="none" w:sz="0" w:space="0" w:color="auto"/>
      </w:divBdr>
      <w:divsChild>
        <w:div w:id="1254171606">
          <w:marLeft w:val="0"/>
          <w:marRight w:val="0"/>
          <w:marTop w:val="0"/>
          <w:marBottom w:val="0"/>
          <w:divBdr>
            <w:top w:val="none" w:sz="0" w:space="0" w:color="auto"/>
            <w:left w:val="none" w:sz="0" w:space="0" w:color="auto"/>
            <w:bottom w:val="none" w:sz="0" w:space="0" w:color="auto"/>
            <w:right w:val="none" w:sz="0" w:space="0" w:color="auto"/>
          </w:divBdr>
          <w:divsChild>
            <w:div w:id="309944068">
              <w:marLeft w:val="0"/>
              <w:marRight w:val="0"/>
              <w:marTop w:val="0"/>
              <w:marBottom w:val="0"/>
              <w:divBdr>
                <w:top w:val="none" w:sz="0" w:space="0" w:color="auto"/>
                <w:left w:val="none" w:sz="0" w:space="0" w:color="auto"/>
                <w:bottom w:val="none" w:sz="0" w:space="0" w:color="auto"/>
                <w:right w:val="none" w:sz="0" w:space="0" w:color="auto"/>
              </w:divBdr>
              <w:divsChild>
                <w:div w:id="489448065">
                  <w:marLeft w:val="0"/>
                  <w:marRight w:val="0"/>
                  <w:marTop w:val="0"/>
                  <w:marBottom w:val="0"/>
                  <w:divBdr>
                    <w:top w:val="none" w:sz="0" w:space="0" w:color="auto"/>
                    <w:left w:val="none" w:sz="0" w:space="0" w:color="auto"/>
                    <w:bottom w:val="none" w:sz="0" w:space="0" w:color="auto"/>
                    <w:right w:val="none" w:sz="0" w:space="0" w:color="auto"/>
                  </w:divBdr>
                  <w:divsChild>
                    <w:div w:id="6755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49667500">
      <w:bodyDiv w:val="1"/>
      <w:marLeft w:val="0"/>
      <w:marRight w:val="0"/>
      <w:marTop w:val="0"/>
      <w:marBottom w:val="0"/>
      <w:divBdr>
        <w:top w:val="none" w:sz="0" w:space="0" w:color="auto"/>
        <w:left w:val="none" w:sz="0" w:space="0" w:color="auto"/>
        <w:bottom w:val="none" w:sz="0" w:space="0" w:color="auto"/>
        <w:right w:val="none" w:sz="0" w:space="0" w:color="auto"/>
      </w:divBdr>
      <w:divsChild>
        <w:div w:id="1089428555">
          <w:marLeft w:val="0"/>
          <w:marRight w:val="0"/>
          <w:marTop w:val="0"/>
          <w:marBottom w:val="0"/>
          <w:divBdr>
            <w:top w:val="none" w:sz="0" w:space="0" w:color="auto"/>
            <w:left w:val="none" w:sz="0" w:space="0" w:color="auto"/>
            <w:bottom w:val="none" w:sz="0" w:space="0" w:color="auto"/>
            <w:right w:val="none" w:sz="0" w:space="0" w:color="auto"/>
          </w:divBdr>
          <w:divsChild>
            <w:div w:id="1745030620">
              <w:marLeft w:val="0"/>
              <w:marRight w:val="0"/>
              <w:marTop w:val="0"/>
              <w:marBottom w:val="0"/>
              <w:divBdr>
                <w:top w:val="none" w:sz="0" w:space="0" w:color="auto"/>
                <w:left w:val="none" w:sz="0" w:space="0" w:color="auto"/>
                <w:bottom w:val="none" w:sz="0" w:space="0" w:color="auto"/>
                <w:right w:val="none" w:sz="0" w:space="0" w:color="auto"/>
              </w:divBdr>
              <w:divsChild>
                <w:div w:id="1317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648067">
      <w:bodyDiv w:val="1"/>
      <w:marLeft w:val="0"/>
      <w:marRight w:val="0"/>
      <w:marTop w:val="0"/>
      <w:marBottom w:val="0"/>
      <w:divBdr>
        <w:top w:val="none" w:sz="0" w:space="0" w:color="auto"/>
        <w:left w:val="none" w:sz="0" w:space="0" w:color="auto"/>
        <w:bottom w:val="none" w:sz="0" w:space="0" w:color="auto"/>
        <w:right w:val="none" w:sz="0" w:space="0" w:color="auto"/>
      </w:divBdr>
      <w:divsChild>
        <w:div w:id="968053508">
          <w:marLeft w:val="0"/>
          <w:marRight w:val="0"/>
          <w:marTop w:val="0"/>
          <w:marBottom w:val="0"/>
          <w:divBdr>
            <w:top w:val="none" w:sz="0" w:space="0" w:color="auto"/>
            <w:left w:val="none" w:sz="0" w:space="0" w:color="auto"/>
            <w:bottom w:val="none" w:sz="0" w:space="0" w:color="auto"/>
            <w:right w:val="none" w:sz="0" w:space="0" w:color="auto"/>
          </w:divBdr>
          <w:divsChild>
            <w:div w:id="1159494850">
              <w:marLeft w:val="0"/>
              <w:marRight w:val="0"/>
              <w:marTop w:val="0"/>
              <w:marBottom w:val="0"/>
              <w:divBdr>
                <w:top w:val="none" w:sz="0" w:space="0" w:color="auto"/>
                <w:left w:val="none" w:sz="0" w:space="0" w:color="auto"/>
                <w:bottom w:val="none" w:sz="0" w:space="0" w:color="auto"/>
                <w:right w:val="none" w:sz="0" w:space="0" w:color="auto"/>
              </w:divBdr>
              <w:divsChild>
                <w:div w:id="905918530">
                  <w:marLeft w:val="0"/>
                  <w:marRight w:val="0"/>
                  <w:marTop w:val="0"/>
                  <w:marBottom w:val="0"/>
                  <w:divBdr>
                    <w:top w:val="none" w:sz="0" w:space="0" w:color="auto"/>
                    <w:left w:val="none" w:sz="0" w:space="0" w:color="auto"/>
                    <w:bottom w:val="none" w:sz="0" w:space="0" w:color="auto"/>
                    <w:right w:val="none" w:sz="0" w:space="0" w:color="auto"/>
                  </w:divBdr>
                  <w:divsChild>
                    <w:div w:id="5410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79612620">
      <w:bodyDiv w:val="1"/>
      <w:marLeft w:val="0"/>
      <w:marRight w:val="0"/>
      <w:marTop w:val="0"/>
      <w:marBottom w:val="0"/>
      <w:divBdr>
        <w:top w:val="none" w:sz="0" w:space="0" w:color="auto"/>
        <w:left w:val="none" w:sz="0" w:space="0" w:color="auto"/>
        <w:bottom w:val="none" w:sz="0" w:space="0" w:color="auto"/>
        <w:right w:val="none" w:sz="0" w:space="0" w:color="auto"/>
      </w:divBdr>
    </w:div>
    <w:div w:id="1485930432">
      <w:bodyDiv w:val="1"/>
      <w:marLeft w:val="0"/>
      <w:marRight w:val="0"/>
      <w:marTop w:val="0"/>
      <w:marBottom w:val="0"/>
      <w:divBdr>
        <w:top w:val="none" w:sz="0" w:space="0" w:color="auto"/>
        <w:left w:val="none" w:sz="0" w:space="0" w:color="auto"/>
        <w:bottom w:val="none" w:sz="0" w:space="0" w:color="auto"/>
        <w:right w:val="none" w:sz="0" w:space="0" w:color="auto"/>
      </w:divBdr>
      <w:divsChild>
        <w:div w:id="702360891">
          <w:marLeft w:val="0"/>
          <w:marRight w:val="0"/>
          <w:marTop w:val="0"/>
          <w:marBottom w:val="0"/>
          <w:divBdr>
            <w:top w:val="none" w:sz="0" w:space="0" w:color="auto"/>
            <w:left w:val="none" w:sz="0" w:space="0" w:color="auto"/>
            <w:bottom w:val="none" w:sz="0" w:space="0" w:color="auto"/>
            <w:right w:val="none" w:sz="0" w:space="0" w:color="auto"/>
          </w:divBdr>
          <w:divsChild>
            <w:div w:id="2032562188">
              <w:marLeft w:val="0"/>
              <w:marRight w:val="0"/>
              <w:marTop w:val="0"/>
              <w:marBottom w:val="0"/>
              <w:divBdr>
                <w:top w:val="none" w:sz="0" w:space="0" w:color="auto"/>
                <w:left w:val="none" w:sz="0" w:space="0" w:color="auto"/>
                <w:bottom w:val="none" w:sz="0" w:space="0" w:color="auto"/>
                <w:right w:val="none" w:sz="0" w:space="0" w:color="auto"/>
              </w:divBdr>
              <w:divsChild>
                <w:div w:id="770707620">
                  <w:marLeft w:val="0"/>
                  <w:marRight w:val="0"/>
                  <w:marTop w:val="0"/>
                  <w:marBottom w:val="0"/>
                  <w:divBdr>
                    <w:top w:val="none" w:sz="0" w:space="0" w:color="auto"/>
                    <w:left w:val="none" w:sz="0" w:space="0" w:color="auto"/>
                    <w:bottom w:val="none" w:sz="0" w:space="0" w:color="auto"/>
                    <w:right w:val="none" w:sz="0" w:space="0" w:color="auto"/>
                  </w:divBdr>
                  <w:divsChild>
                    <w:div w:id="81402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98187">
      <w:bodyDiv w:val="1"/>
      <w:marLeft w:val="0"/>
      <w:marRight w:val="0"/>
      <w:marTop w:val="0"/>
      <w:marBottom w:val="0"/>
      <w:divBdr>
        <w:top w:val="none" w:sz="0" w:space="0" w:color="auto"/>
        <w:left w:val="none" w:sz="0" w:space="0" w:color="auto"/>
        <w:bottom w:val="none" w:sz="0" w:space="0" w:color="auto"/>
        <w:right w:val="none" w:sz="0" w:space="0" w:color="auto"/>
      </w:divBdr>
    </w:div>
    <w:div w:id="1508516847">
      <w:bodyDiv w:val="1"/>
      <w:marLeft w:val="0"/>
      <w:marRight w:val="0"/>
      <w:marTop w:val="0"/>
      <w:marBottom w:val="0"/>
      <w:divBdr>
        <w:top w:val="none" w:sz="0" w:space="0" w:color="auto"/>
        <w:left w:val="none" w:sz="0" w:space="0" w:color="auto"/>
        <w:bottom w:val="none" w:sz="0" w:space="0" w:color="auto"/>
        <w:right w:val="none" w:sz="0" w:space="0" w:color="auto"/>
      </w:divBdr>
    </w:div>
    <w:div w:id="1518428081">
      <w:bodyDiv w:val="1"/>
      <w:marLeft w:val="0"/>
      <w:marRight w:val="0"/>
      <w:marTop w:val="0"/>
      <w:marBottom w:val="0"/>
      <w:divBdr>
        <w:top w:val="none" w:sz="0" w:space="0" w:color="auto"/>
        <w:left w:val="none" w:sz="0" w:space="0" w:color="auto"/>
        <w:bottom w:val="none" w:sz="0" w:space="0" w:color="auto"/>
        <w:right w:val="none" w:sz="0" w:space="0" w:color="auto"/>
      </w:divBdr>
    </w:div>
    <w:div w:id="1543208185">
      <w:bodyDiv w:val="1"/>
      <w:marLeft w:val="0"/>
      <w:marRight w:val="0"/>
      <w:marTop w:val="0"/>
      <w:marBottom w:val="0"/>
      <w:divBdr>
        <w:top w:val="none" w:sz="0" w:space="0" w:color="auto"/>
        <w:left w:val="none" w:sz="0" w:space="0" w:color="auto"/>
        <w:bottom w:val="none" w:sz="0" w:space="0" w:color="auto"/>
        <w:right w:val="none" w:sz="0" w:space="0" w:color="auto"/>
      </w:divBdr>
    </w:div>
    <w:div w:id="1545023386">
      <w:bodyDiv w:val="1"/>
      <w:marLeft w:val="0"/>
      <w:marRight w:val="0"/>
      <w:marTop w:val="0"/>
      <w:marBottom w:val="0"/>
      <w:divBdr>
        <w:top w:val="none" w:sz="0" w:space="0" w:color="auto"/>
        <w:left w:val="none" w:sz="0" w:space="0" w:color="auto"/>
        <w:bottom w:val="none" w:sz="0" w:space="0" w:color="auto"/>
        <w:right w:val="none" w:sz="0" w:space="0" w:color="auto"/>
      </w:divBdr>
      <w:divsChild>
        <w:div w:id="1390150588">
          <w:marLeft w:val="0"/>
          <w:marRight w:val="0"/>
          <w:marTop w:val="0"/>
          <w:marBottom w:val="0"/>
          <w:divBdr>
            <w:top w:val="none" w:sz="0" w:space="0" w:color="auto"/>
            <w:left w:val="none" w:sz="0" w:space="0" w:color="auto"/>
            <w:bottom w:val="none" w:sz="0" w:space="0" w:color="auto"/>
            <w:right w:val="none" w:sz="0" w:space="0" w:color="auto"/>
          </w:divBdr>
          <w:divsChild>
            <w:div w:id="40910050">
              <w:marLeft w:val="0"/>
              <w:marRight w:val="0"/>
              <w:marTop w:val="0"/>
              <w:marBottom w:val="0"/>
              <w:divBdr>
                <w:top w:val="none" w:sz="0" w:space="0" w:color="auto"/>
                <w:left w:val="none" w:sz="0" w:space="0" w:color="auto"/>
                <w:bottom w:val="none" w:sz="0" w:space="0" w:color="auto"/>
                <w:right w:val="none" w:sz="0" w:space="0" w:color="auto"/>
              </w:divBdr>
              <w:divsChild>
                <w:div w:id="16609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27424">
      <w:bodyDiv w:val="1"/>
      <w:marLeft w:val="0"/>
      <w:marRight w:val="0"/>
      <w:marTop w:val="0"/>
      <w:marBottom w:val="0"/>
      <w:divBdr>
        <w:top w:val="none" w:sz="0" w:space="0" w:color="auto"/>
        <w:left w:val="none" w:sz="0" w:space="0" w:color="auto"/>
        <w:bottom w:val="none" w:sz="0" w:space="0" w:color="auto"/>
        <w:right w:val="none" w:sz="0" w:space="0" w:color="auto"/>
      </w:divBdr>
    </w:div>
    <w:div w:id="1560365286">
      <w:bodyDiv w:val="1"/>
      <w:marLeft w:val="0"/>
      <w:marRight w:val="0"/>
      <w:marTop w:val="0"/>
      <w:marBottom w:val="0"/>
      <w:divBdr>
        <w:top w:val="none" w:sz="0" w:space="0" w:color="auto"/>
        <w:left w:val="none" w:sz="0" w:space="0" w:color="auto"/>
        <w:bottom w:val="none" w:sz="0" w:space="0" w:color="auto"/>
        <w:right w:val="none" w:sz="0" w:space="0" w:color="auto"/>
      </w:divBdr>
      <w:divsChild>
        <w:div w:id="2049866656">
          <w:marLeft w:val="0"/>
          <w:marRight w:val="0"/>
          <w:marTop w:val="0"/>
          <w:marBottom w:val="0"/>
          <w:divBdr>
            <w:top w:val="none" w:sz="0" w:space="0" w:color="auto"/>
            <w:left w:val="none" w:sz="0" w:space="0" w:color="auto"/>
            <w:bottom w:val="none" w:sz="0" w:space="0" w:color="auto"/>
            <w:right w:val="none" w:sz="0" w:space="0" w:color="auto"/>
          </w:divBdr>
          <w:divsChild>
            <w:div w:id="1282884556">
              <w:marLeft w:val="0"/>
              <w:marRight w:val="0"/>
              <w:marTop w:val="0"/>
              <w:marBottom w:val="0"/>
              <w:divBdr>
                <w:top w:val="none" w:sz="0" w:space="0" w:color="auto"/>
                <w:left w:val="none" w:sz="0" w:space="0" w:color="auto"/>
                <w:bottom w:val="none" w:sz="0" w:space="0" w:color="auto"/>
                <w:right w:val="none" w:sz="0" w:space="0" w:color="auto"/>
              </w:divBdr>
              <w:divsChild>
                <w:div w:id="2063019737">
                  <w:marLeft w:val="0"/>
                  <w:marRight w:val="0"/>
                  <w:marTop w:val="0"/>
                  <w:marBottom w:val="0"/>
                  <w:divBdr>
                    <w:top w:val="none" w:sz="0" w:space="0" w:color="auto"/>
                    <w:left w:val="none" w:sz="0" w:space="0" w:color="auto"/>
                    <w:bottom w:val="none" w:sz="0" w:space="0" w:color="auto"/>
                    <w:right w:val="none" w:sz="0" w:space="0" w:color="auto"/>
                  </w:divBdr>
                  <w:divsChild>
                    <w:div w:id="5795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984799">
      <w:bodyDiv w:val="1"/>
      <w:marLeft w:val="0"/>
      <w:marRight w:val="0"/>
      <w:marTop w:val="0"/>
      <w:marBottom w:val="0"/>
      <w:divBdr>
        <w:top w:val="none" w:sz="0" w:space="0" w:color="auto"/>
        <w:left w:val="none" w:sz="0" w:space="0" w:color="auto"/>
        <w:bottom w:val="none" w:sz="0" w:space="0" w:color="auto"/>
        <w:right w:val="none" w:sz="0" w:space="0" w:color="auto"/>
      </w:divBdr>
      <w:divsChild>
        <w:div w:id="1177501192">
          <w:marLeft w:val="0"/>
          <w:marRight w:val="0"/>
          <w:marTop w:val="0"/>
          <w:marBottom w:val="0"/>
          <w:divBdr>
            <w:top w:val="none" w:sz="0" w:space="0" w:color="auto"/>
            <w:left w:val="none" w:sz="0" w:space="0" w:color="auto"/>
            <w:bottom w:val="none" w:sz="0" w:space="0" w:color="auto"/>
            <w:right w:val="none" w:sz="0" w:space="0" w:color="auto"/>
          </w:divBdr>
          <w:divsChild>
            <w:div w:id="114099205">
              <w:marLeft w:val="0"/>
              <w:marRight w:val="0"/>
              <w:marTop w:val="0"/>
              <w:marBottom w:val="0"/>
              <w:divBdr>
                <w:top w:val="none" w:sz="0" w:space="0" w:color="auto"/>
                <w:left w:val="none" w:sz="0" w:space="0" w:color="auto"/>
                <w:bottom w:val="none" w:sz="0" w:space="0" w:color="auto"/>
                <w:right w:val="none" w:sz="0" w:space="0" w:color="auto"/>
              </w:divBdr>
              <w:divsChild>
                <w:div w:id="107819809">
                  <w:marLeft w:val="0"/>
                  <w:marRight w:val="0"/>
                  <w:marTop w:val="0"/>
                  <w:marBottom w:val="0"/>
                  <w:divBdr>
                    <w:top w:val="none" w:sz="0" w:space="0" w:color="auto"/>
                    <w:left w:val="none" w:sz="0" w:space="0" w:color="auto"/>
                    <w:bottom w:val="none" w:sz="0" w:space="0" w:color="auto"/>
                    <w:right w:val="none" w:sz="0" w:space="0" w:color="auto"/>
                  </w:divBdr>
                  <w:divsChild>
                    <w:div w:id="968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180530">
      <w:bodyDiv w:val="1"/>
      <w:marLeft w:val="0"/>
      <w:marRight w:val="0"/>
      <w:marTop w:val="0"/>
      <w:marBottom w:val="0"/>
      <w:divBdr>
        <w:top w:val="none" w:sz="0" w:space="0" w:color="auto"/>
        <w:left w:val="none" w:sz="0" w:space="0" w:color="auto"/>
        <w:bottom w:val="none" w:sz="0" w:space="0" w:color="auto"/>
        <w:right w:val="none" w:sz="0" w:space="0" w:color="auto"/>
      </w:divBdr>
      <w:divsChild>
        <w:div w:id="822621387">
          <w:marLeft w:val="0"/>
          <w:marRight w:val="0"/>
          <w:marTop w:val="0"/>
          <w:marBottom w:val="0"/>
          <w:divBdr>
            <w:top w:val="none" w:sz="0" w:space="0" w:color="auto"/>
            <w:left w:val="none" w:sz="0" w:space="0" w:color="auto"/>
            <w:bottom w:val="none" w:sz="0" w:space="0" w:color="auto"/>
            <w:right w:val="none" w:sz="0" w:space="0" w:color="auto"/>
          </w:divBdr>
          <w:divsChild>
            <w:div w:id="968783691">
              <w:marLeft w:val="0"/>
              <w:marRight w:val="0"/>
              <w:marTop w:val="0"/>
              <w:marBottom w:val="0"/>
              <w:divBdr>
                <w:top w:val="none" w:sz="0" w:space="0" w:color="auto"/>
                <w:left w:val="none" w:sz="0" w:space="0" w:color="auto"/>
                <w:bottom w:val="none" w:sz="0" w:space="0" w:color="auto"/>
                <w:right w:val="none" w:sz="0" w:space="0" w:color="auto"/>
              </w:divBdr>
              <w:divsChild>
                <w:div w:id="150878203">
                  <w:marLeft w:val="0"/>
                  <w:marRight w:val="0"/>
                  <w:marTop w:val="0"/>
                  <w:marBottom w:val="0"/>
                  <w:divBdr>
                    <w:top w:val="none" w:sz="0" w:space="0" w:color="auto"/>
                    <w:left w:val="none" w:sz="0" w:space="0" w:color="auto"/>
                    <w:bottom w:val="none" w:sz="0" w:space="0" w:color="auto"/>
                    <w:right w:val="none" w:sz="0" w:space="0" w:color="auto"/>
                  </w:divBdr>
                  <w:divsChild>
                    <w:div w:id="2586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73128">
      <w:bodyDiv w:val="1"/>
      <w:marLeft w:val="0"/>
      <w:marRight w:val="0"/>
      <w:marTop w:val="0"/>
      <w:marBottom w:val="0"/>
      <w:divBdr>
        <w:top w:val="none" w:sz="0" w:space="0" w:color="auto"/>
        <w:left w:val="none" w:sz="0" w:space="0" w:color="auto"/>
        <w:bottom w:val="none" w:sz="0" w:space="0" w:color="auto"/>
        <w:right w:val="none" w:sz="0" w:space="0" w:color="auto"/>
      </w:divBdr>
      <w:divsChild>
        <w:div w:id="801843899">
          <w:marLeft w:val="0"/>
          <w:marRight w:val="0"/>
          <w:marTop w:val="0"/>
          <w:marBottom w:val="0"/>
          <w:divBdr>
            <w:top w:val="none" w:sz="0" w:space="0" w:color="auto"/>
            <w:left w:val="none" w:sz="0" w:space="0" w:color="auto"/>
            <w:bottom w:val="none" w:sz="0" w:space="0" w:color="auto"/>
            <w:right w:val="none" w:sz="0" w:space="0" w:color="auto"/>
          </w:divBdr>
          <w:divsChild>
            <w:div w:id="399853">
              <w:marLeft w:val="0"/>
              <w:marRight w:val="0"/>
              <w:marTop w:val="0"/>
              <w:marBottom w:val="0"/>
              <w:divBdr>
                <w:top w:val="none" w:sz="0" w:space="0" w:color="auto"/>
                <w:left w:val="none" w:sz="0" w:space="0" w:color="auto"/>
                <w:bottom w:val="none" w:sz="0" w:space="0" w:color="auto"/>
                <w:right w:val="none" w:sz="0" w:space="0" w:color="auto"/>
              </w:divBdr>
              <w:divsChild>
                <w:div w:id="1736009742">
                  <w:marLeft w:val="0"/>
                  <w:marRight w:val="0"/>
                  <w:marTop w:val="0"/>
                  <w:marBottom w:val="0"/>
                  <w:divBdr>
                    <w:top w:val="none" w:sz="0" w:space="0" w:color="auto"/>
                    <w:left w:val="none" w:sz="0" w:space="0" w:color="auto"/>
                    <w:bottom w:val="none" w:sz="0" w:space="0" w:color="auto"/>
                    <w:right w:val="none" w:sz="0" w:space="0" w:color="auto"/>
                  </w:divBdr>
                  <w:divsChild>
                    <w:div w:id="10111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2813996">
      <w:bodyDiv w:val="1"/>
      <w:marLeft w:val="0"/>
      <w:marRight w:val="0"/>
      <w:marTop w:val="0"/>
      <w:marBottom w:val="0"/>
      <w:divBdr>
        <w:top w:val="none" w:sz="0" w:space="0" w:color="auto"/>
        <w:left w:val="none" w:sz="0" w:space="0" w:color="auto"/>
        <w:bottom w:val="none" w:sz="0" w:space="0" w:color="auto"/>
        <w:right w:val="none" w:sz="0" w:space="0" w:color="auto"/>
      </w:divBdr>
      <w:divsChild>
        <w:div w:id="508326782">
          <w:marLeft w:val="0"/>
          <w:marRight w:val="0"/>
          <w:marTop w:val="0"/>
          <w:marBottom w:val="0"/>
          <w:divBdr>
            <w:top w:val="none" w:sz="0" w:space="0" w:color="auto"/>
            <w:left w:val="none" w:sz="0" w:space="0" w:color="auto"/>
            <w:bottom w:val="none" w:sz="0" w:space="0" w:color="auto"/>
            <w:right w:val="none" w:sz="0" w:space="0" w:color="auto"/>
          </w:divBdr>
          <w:divsChild>
            <w:div w:id="753282345">
              <w:marLeft w:val="0"/>
              <w:marRight w:val="0"/>
              <w:marTop w:val="0"/>
              <w:marBottom w:val="0"/>
              <w:divBdr>
                <w:top w:val="none" w:sz="0" w:space="0" w:color="auto"/>
                <w:left w:val="none" w:sz="0" w:space="0" w:color="auto"/>
                <w:bottom w:val="none" w:sz="0" w:space="0" w:color="auto"/>
                <w:right w:val="none" w:sz="0" w:space="0" w:color="auto"/>
              </w:divBdr>
              <w:divsChild>
                <w:div w:id="16598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6507">
      <w:bodyDiv w:val="1"/>
      <w:marLeft w:val="0"/>
      <w:marRight w:val="0"/>
      <w:marTop w:val="0"/>
      <w:marBottom w:val="0"/>
      <w:divBdr>
        <w:top w:val="none" w:sz="0" w:space="0" w:color="auto"/>
        <w:left w:val="none" w:sz="0" w:space="0" w:color="auto"/>
        <w:bottom w:val="none" w:sz="0" w:space="0" w:color="auto"/>
        <w:right w:val="none" w:sz="0" w:space="0" w:color="auto"/>
      </w:divBdr>
      <w:divsChild>
        <w:div w:id="1684283383">
          <w:marLeft w:val="0"/>
          <w:marRight w:val="0"/>
          <w:marTop w:val="0"/>
          <w:marBottom w:val="0"/>
          <w:divBdr>
            <w:top w:val="none" w:sz="0" w:space="0" w:color="auto"/>
            <w:left w:val="none" w:sz="0" w:space="0" w:color="auto"/>
            <w:bottom w:val="none" w:sz="0" w:space="0" w:color="auto"/>
            <w:right w:val="none" w:sz="0" w:space="0" w:color="auto"/>
          </w:divBdr>
          <w:divsChild>
            <w:div w:id="1579561423">
              <w:marLeft w:val="0"/>
              <w:marRight w:val="0"/>
              <w:marTop w:val="0"/>
              <w:marBottom w:val="0"/>
              <w:divBdr>
                <w:top w:val="none" w:sz="0" w:space="0" w:color="auto"/>
                <w:left w:val="none" w:sz="0" w:space="0" w:color="auto"/>
                <w:bottom w:val="none" w:sz="0" w:space="0" w:color="auto"/>
                <w:right w:val="none" w:sz="0" w:space="0" w:color="auto"/>
              </w:divBdr>
              <w:divsChild>
                <w:div w:id="1006326966">
                  <w:marLeft w:val="0"/>
                  <w:marRight w:val="0"/>
                  <w:marTop w:val="0"/>
                  <w:marBottom w:val="0"/>
                  <w:divBdr>
                    <w:top w:val="none" w:sz="0" w:space="0" w:color="auto"/>
                    <w:left w:val="none" w:sz="0" w:space="0" w:color="auto"/>
                    <w:bottom w:val="none" w:sz="0" w:space="0" w:color="auto"/>
                    <w:right w:val="none" w:sz="0" w:space="0" w:color="auto"/>
                  </w:divBdr>
                  <w:divsChild>
                    <w:div w:id="9694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41331">
      <w:bodyDiv w:val="1"/>
      <w:marLeft w:val="0"/>
      <w:marRight w:val="0"/>
      <w:marTop w:val="0"/>
      <w:marBottom w:val="0"/>
      <w:divBdr>
        <w:top w:val="none" w:sz="0" w:space="0" w:color="auto"/>
        <w:left w:val="none" w:sz="0" w:space="0" w:color="auto"/>
        <w:bottom w:val="none" w:sz="0" w:space="0" w:color="auto"/>
        <w:right w:val="none" w:sz="0" w:space="0" w:color="auto"/>
      </w:divBdr>
      <w:divsChild>
        <w:div w:id="1512574032">
          <w:marLeft w:val="0"/>
          <w:marRight w:val="0"/>
          <w:marTop w:val="0"/>
          <w:marBottom w:val="0"/>
          <w:divBdr>
            <w:top w:val="none" w:sz="0" w:space="0" w:color="auto"/>
            <w:left w:val="none" w:sz="0" w:space="0" w:color="auto"/>
            <w:bottom w:val="none" w:sz="0" w:space="0" w:color="auto"/>
            <w:right w:val="none" w:sz="0" w:space="0" w:color="auto"/>
          </w:divBdr>
          <w:divsChild>
            <w:div w:id="1948273958">
              <w:marLeft w:val="0"/>
              <w:marRight w:val="0"/>
              <w:marTop w:val="0"/>
              <w:marBottom w:val="0"/>
              <w:divBdr>
                <w:top w:val="none" w:sz="0" w:space="0" w:color="auto"/>
                <w:left w:val="none" w:sz="0" w:space="0" w:color="auto"/>
                <w:bottom w:val="none" w:sz="0" w:space="0" w:color="auto"/>
                <w:right w:val="none" w:sz="0" w:space="0" w:color="auto"/>
              </w:divBdr>
              <w:divsChild>
                <w:div w:id="1822454405">
                  <w:marLeft w:val="0"/>
                  <w:marRight w:val="0"/>
                  <w:marTop w:val="0"/>
                  <w:marBottom w:val="0"/>
                  <w:divBdr>
                    <w:top w:val="none" w:sz="0" w:space="0" w:color="auto"/>
                    <w:left w:val="none" w:sz="0" w:space="0" w:color="auto"/>
                    <w:bottom w:val="none" w:sz="0" w:space="0" w:color="auto"/>
                    <w:right w:val="none" w:sz="0" w:space="0" w:color="auto"/>
                  </w:divBdr>
                  <w:divsChild>
                    <w:div w:id="16552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08273537">
      <w:bodyDiv w:val="1"/>
      <w:marLeft w:val="0"/>
      <w:marRight w:val="0"/>
      <w:marTop w:val="0"/>
      <w:marBottom w:val="0"/>
      <w:divBdr>
        <w:top w:val="none" w:sz="0" w:space="0" w:color="auto"/>
        <w:left w:val="none" w:sz="0" w:space="0" w:color="auto"/>
        <w:bottom w:val="none" w:sz="0" w:space="0" w:color="auto"/>
        <w:right w:val="none" w:sz="0" w:space="0" w:color="auto"/>
      </w:divBdr>
      <w:divsChild>
        <w:div w:id="1526482444">
          <w:marLeft w:val="0"/>
          <w:marRight w:val="0"/>
          <w:marTop w:val="0"/>
          <w:marBottom w:val="0"/>
          <w:divBdr>
            <w:top w:val="none" w:sz="0" w:space="0" w:color="auto"/>
            <w:left w:val="none" w:sz="0" w:space="0" w:color="auto"/>
            <w:bottom w:val="none" w:sz="0" w:space="0" w:color="auto"/>
            <w:right w:val="none" w:sz="0" w:space="0" w:color="auto"/>
          </w:divBdr>
        </w:div>
        <w:div w:id="1760638261">
          <w:marLeft w:val="0"/>
          <w:marRight w:val="0"/>
          <w:marTop w:val="0"/>
          <w:marBottom w:val="0"/>
          <w:divBdr>
            <w:top w:val="none" w:sz="0" w:space="0" w:color="auto"/>
            <w:left w:val="none" w:sz="0" w:space="0" w:color="auto"/>
            <w:bottom w:val="none" w:sz="0" w:space="0" w:color="auto"/>
            <w:right w:val="none" w:sz="0" w:space="0" w:color="auto"/>
          </w:divBdr>
        </w:div>
        <w:div w:id="1782147259">
          <w:marLeft w:val="0"/>
          <w:marRight w:val="0"/>
          <w:marTop w:val="0"/>
          <w:marBottom w:val="0"/>
          <w:divBdr>
            <w:top w:val="none" w:sz="0" w:space="0" w:color="auto"/>
            <w:left w:val="none" w:sz="0" w:space="0" w:color="auto"/>
            <w:bottom w:val="none" w:sz="0" w:space="0" w:color="auto"/>
            <w:right w:val="none" w:sz="0" w:space="0" w:color="auto"/>
          </w:divBdr>
        </w:div>
        <w:div w:id="1888833714">
          <w:marLeft w:val="0"/>
          <w:marRight w:val="0"/>
          <w:marTop w:val="0"/>
          <w:marBottom w:val="0"/>
          <w:divBdr>
            <w:top w:val="none" w:sz="0" w:space="0" w:color="auto"/>
            <w:left w:val="none" w:sz="0" w:space="0" w:color="auto"/>
            <w:bottom w:val="none" w:sz="0" w:space="0" w:color="auto"/>
            <w:right w:val="none" w:sz="0" w:space="0" w:color="auto"/>
          </w:divBdr>
        </w:div>
      </w:divsChild>
    </w:div>
    <w:div w:id="1609660135">
      <w:bodyDiv w:val="1"/>
      <w:marLeft w:val="0"/>
      <w:marRight w:val="0"/>
      <w:marTop w:val="0"/>
      <w:marBottom w:val="0"/>
      <w:divBdr>
        <w:top w:val="none" w:sz="0" w:space="0" w:color="auto"/>
        <w:left w:val="none" w:sz="0" w:space="0" w:color="auto"/>
        <w:bottom w:val="none" w:sz="0" w:space="0" w:color="auto"/>
        <w:right w:val="none" w:sz="0" w:space="0" w:color="auto"/>
      </w:divBdr>
      <w:divsChild>
        <w:div w:id="1272587873">
          <w:marLeft w:val="0"/>
          <w:marRight w:val="0"/>
          <w:marTop w:val="0"/>
          <w:marBottom w:val="0"/>
          <w:divBdr>
            <w:top w:val="none" w:sz="0" w:space="0" w:color="auto"/>
            <w:left w:val="none" w:sz="0" w:space="0" w:color="auto"/>
            <w:bottom w:val="none" w:sz="0" w:space="0" w:color="auto"/>
            <w:right w:val="none" w:sz="0" w:space="0" w:color="auto"/>
          </w:divBdr>
          <w:divsChild>
            <w:div w:id="1234898944">
              <w:marLeft w:val="0"/>
              <w:marRight w:val="0"/>
              <w:marTop w:val="0"/>
              <w:marBottom w:val="0"/>
              <w:divBdr>
                <w:top w:val="none" w:sz="0" w:space="0" w:color="auto"/>
                <w:left w:val="none" w:sz="0" w:space="0" w:color="auto"/>
                <w:bottom w:val="none" w:sz="0" w:space="0" w:color="auto"/>
                <w:right w:val="none" w:sz="0" w:space="0" w:color="auto"/>
              </w:divBdr>
              <w:divsChild>
                <w:div w:id="853344878">
                  <w:marLeft w:val="0"/>
                  <w:marRight w:val="0"/>
                  <w:marTop w:val="0"/>
                  <w:marBottom w:val="0"/>
                  <w:divBdr>
                    <w:top w:val="none" w:sz="0" w:space="0" w:color="auto"/>
                    <w:left w:val="none" w:sz="0" w:space="0" w:color="auto"/>
                    <w:bottom w:val="none" w:sz="0" w:space="0" w:color="auto"/>
                    <w:right w:val="none" w:sz="0" w:space="0" w:color="auto"/>
                  </w:divBdr>
                  <w:divsChild>
                    <w:div w:id="7895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401461">
      <w:bodyDiv w:val="1"/>
      <w:marLeft w:val="0"/>
      <w:marRight w:val="0"/>
      <w:marTop w:val="0"/>
      <w:marBottom w:val="0"/>
      <w:divBdr>
        <w:top w:val="none" w:sz="0" w:space="0" w:color="auto"/>
        <w:left w:val="none" w:sz="0" w:space="0" w:color="auto"/>
        <w:bottom w:val="none" w:sz="0" w:space="0" w:color="auto"/>
        <w:right w:val="none" w:sz="0" w:space="0" w:color="auto"/>
      </w:divBdr>
      <w:divsChild>
        <w:div w:id="1962303741">
          <w:marLeft w:val="0"/>
          <w:marRight w:val="0"/>
          <w:marTop w:val="0"/>
          <w:marBottom w:val="0"/>
          <w:divBdr>
            <w:top w:val="none" w:sz="0" w:space="0" w:color="auto"/>
            <w:left w:val="none" w:sz="0" w:space="0" w:color="auto"/>
            <w:bottom w:val="none" w:sz="0" w:space="0" w:color="auto"/>
            <w:right w:val="none" w:sz="0" w:space="0" w:color="auto"/>
          </w:divBdr>
          <w:divsChild>
            <w:div w:id="1694649322">
              <w:marLeft w:val="0"/>
              <w:marRight w:val="0"/>
              <w:marTop w:val="0"/>
              <w:marBottom w:val="0"/>
              <w:divBdr>
                <w:top w:val="none" w:sz="0" w:space="0" w:color="auto"/>
                <w:left w:val="none" w:sz="0" w:space="0" w:color="auto"/>
                <w:bottom w:val="none" w:sz="0" w:space="0" w:color="auto"/>
                <w:right w:val="none" w:sz="0" w:space="0" w:color="auto"/>
              </w:divBdr>
              <w:divsChild>
                <w:div w:id="1090931373">
                  <w:marLeft w:val="0"/>
                  <w:marRight w:val="0"/>
                  <w:marTop w:val="0"/>
                  <w:marBottom w:val="0"/>
                  <w:divBdr>
                    <w:top w:val="none" w:sz="0" w:space="0" w:color="auto"/>
                    <w:left w:val="none" w:sz="0" w:space="0" w:color="auto"/>
                    <w:bottom w:val="none" w:sz="0" w:space="0" w:color="auto"/>
                    <w:right w:val="none" w:sz="0" w:space="0" w:color="auto"/>
                  </w:divBdr>
                  <w:divsChild>
                    <w:div w:id="12275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720">
      <w:bodyDiv w:val="1"/>
      <w:marLeft w:val="0"/>
      <w:marRight w:val="0"/>
      <w:marTop w:val="0"/>
      <w:marBottom w:val="0"/>
      <w:divBdr>
        <w:top w:val="none" w:sz="0" w:space="0" w:color="auto"/>
        <w:left w:val="none" w:sz="0" w:space="0" w:color="auto"/>
        <w:bottom w:val="none" w:sz="0" w:space="0" w:color="auto"/>
        <w:right w:val="none" w:sz="0" w:space="0" w:color="auto"/>
      </w:divBdr>
      <w:divsChild>
        <w:div w:id="269316457">
          <w:marLeft w:val="0"/>
          <w:marRight w:val="0"/>
          <w:marTop w:val="0"/>
          <w:marBottom w:val="0"/>
          <w:divBdr>
            <w:top w:val="none" w:sz="0" w:space="0" w:color="auto"/>
            <w:left w:val="none" w:sz="0" w:space="0" w:color="auto"/>
            <w:bottom w:val="none" w:sz="0" w:space="0" w:color="auto"/>
            <w:right w:val="none" w:sz="0" w:space="0" w:color="auto"/>
          </w:divBdr>
          <w:divsChild>
            <w:div w:id="265775125">
              <w:marLeft w:val="0"/>
              <w:marRight w:val="0"/>
              <w:marTop w:val="0"/>
              <w:marBottom w:val="0"/>
              <w:divBdr>
                <w:top w:val="none" w:sz="0" w:space="0" w:color="auto"/>
                <w:left w:val="none" w:sz="0" w:space="0" w:color="auto"/>
                <w:bottom w:val="none" w:sz="0" w:space="0" w:color="auto"/>
                <w:right w:val="none" w:sz="0" w:space="0" w:color="auto"/>
              </w:divBdr>
              <w:divsChild>
                <w:div w:id="10676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30660">
      <w:bodyDiv w:val="1"/>
      <w:marLeft w:val="0"/>
      <w:marRight w:val="0"/>
      <w:marTop w:val="0"/>
      <w:marBottom w:val="0"/>
      <w:divBdr>
        <w:top w:val="none" w:sz="0" w:space="0" w:color="auto"/>
        <w:left w:val="none" w:sz="0" w:space="0" w:color="auto"/>
        <w:bottom w:val="none" w:sz="0" w:space="0" w:color="auto"/>
        <w:right w:val="none" w:sz="0" w:space="0" w:color="auto"/>
      </w:divBdr>
      <w:divsChild>
        <w:div w:id="811794541">
          <w:marLeft w:val="0"/>
          <w:marRight w:val="0"/>
          <w:marTop w:val="0"/>
          <w:marBottom w:val="0"/>
          <w:divBdr>
            <w:top w:val="none" w:sz="0" w:space="0" w:color="auto"/>
            <w:left w:val="none" w:sz="0" w:space="0" w:color="auto"/>
            <w:bottom w:val="none" w:sz="0" w:space="0" w:color="auto"/>
            <w:right w:val="none" w:sz="0" w:space="0" w:color="auto"/>
          </w:divBdr>
          <w:divsChild>
            <w:div w:id="888690986">
              <w:marLeft w:val="0"/>
              <w:marRight w:val="0"/>
              <w:marTop w:val="0"/>
              <w:marBottom w:val="0"/>
              <w:divBdr>
                <w:top w:val="none" w:sz="0" w:space="0" w:color="auto"/>
                <w:left w:val="none" w:sz="0" w:space="0" w:color="auto"/>
                <w:bottom w:val="none" w:sz="0" w:space="0" w:color="auto"/>
                <w:right w:val="none" w:sz="0" w:space="0" w:color="auto"/>
              </w:divBdr>
              <w:divsChild>
                <w:div w:id="1920212041">
                  <w:marLeft w:val="0"/>
                  <w:marRight w:val="0"/>
                  <w:marTop w:val="0"/>
                  <w:marBottom w:val="0"/>
                  <w:divBdr>
                    <w:top w:val="none" w:sz="0" w:space="0" w:color="auto"/>
                    <w:left w:val="none" w:sz="0" w:space="0" w:color="auto"/>
                    <w:bottom w:val="none" w:sz="0" w:space="0" w:color="auto"/>
                    <w:right w:val="none" w:sz="0" w:space="0" w:color="auto"/>
                  </w:divBdr>
                  <w:divsChild>
                    <w:div w:id="98247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4617">
      <w:bodyDiv w:val="1"/>
      <w:marLeft w:val="0"/>
      <w:marRight w:val="0"/>
      <w:marTop w:val="0"/>
      <w:marBottom w:val="0"/>
      <w:divBdr>
        <w:top w:val="none" w:sz="0" w:space="0" w:color="auto"/>
        <w:left w:val="none" w:sz="0" w:space="0" w:color="auto"/>
        <w:bottom w:val="none" w:sz="0" w:space="0" w:color="auto"/>
        <w:right w:val="none" w:sz="0" w:space="0" w:color="auto"/>
      </w:divBdr>
      <w:divsChild>
        <w:div w:id="63649625">
          <w:marLeft w:val="0"/>
          <w:marRight w:val="0"/>
          <w:marTop w:val="0"/>
          <w:marBottom w:val="0"/>
          <w:divBdr>
            <w:top w:val="none" w:sz="0" w:space="0" w:color="auto"/>
            <w:left w:val="none" w:sz="0" w:space="0" w:color="auto"/>
            <w:bottom w:val="none" w:sz="0" w:space="0" w:color="auto"/>
            <w:right w:val="none" w:sz="0" w:space="0" w:color="auto"/>
          </w:divBdr>
          <w:divsChild>
            <w:div w:id="1571577315">
              <w:marLeft w:val="0"/>
              <w:marRight w:val="0"/>
              <w:marTop w:val="0"/>
              <w:marBottom w:val="0"/>
              <w:divBdr>
                <w:top w:val="none" w:sz="0" w:space="0" w:color="auto"/>
                <w:left w:val="none" w:sz="0" w:space="0" w:color="auto"/>
                <w:bottom w:val="none" w:sz="0" w:space="0" w:color="auto"/>
                <w:right w:val="none" w:sz="0" w:space="0" w:color="auto"/>
              </w:divBdr>
              <w:divsChild>
                <w:div w:id="772866841">
                  <w:marLeft w:val="0"/>
                  <w:marRight w:val="0"/>
                  <w:marTop w:val="0"/>
                  <w:marBottom w:val="0"/>
                  <w:divBdr>
                    <w:top w:val="none" w:sz="0" w:space="0" w:color="auto"/>
                    <w:left w:val="none" w:sz="0" w:space="0" w:color="auto"/>
                    <w:bottom w:val="none" w:sz="0" w:space="0" w:color="auto"/>
                    <w:right w:val="none" w:sz="0" w:space="0" w:color="auto"/>
                  </w:divBdr>
                  <w:divsChild>
                    <w:div w:id="4788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87514">
      <w:bodyDiv w:val="1"/>
      <w:marLeft w:val="0"/>
      <w:marRight w:val="0"/>
      <w:marTop w:val="0"/>
      <w:marBottom w:val="0"/>
      <w:divBdr>
        <w:top w:val="none" w:sz="0" w:space="0" w:color="auto"/>
        <w:left w:val="none" w:sz="0" w:space="0" w:color="auto"/>
        <w:bottom w:val="none" w:sz="0" w:space="0" w:color="auto"/>
        <w:right w:val="none" w:sz="0" w:space="0" w:color="auto"/>
      </w:divBdr>
      <w:divsChild>
        <w:div w:id="652374603">
          <w:marLeft w:val="0"/>
          <w:marRight w:val="0"/>
          <w:marTop w:val="0"/>
          <w:marBottom w:val="0"/>
          <w:divBdr>
            <w:top w:val="none" w:sz="0" w:space="0" w:color="auto"/>
            <w:left w:val="none" w:sz="0" w:space="0" w:color="auto"/>
            <w:bottom w:val="none" w:sz="0" w:space="0" w:color="auto"/>
            <w:right w:val="none" w:sz="0" w:space="0" w:color="auto"/>
          </w:divBdr>
          <w:divsChild>
            <w:div w:id="888612687">
              <w:marLeft w:val="0"/>
              <w:marRight w:val="0"/>
              <w:marTop w:val="0"/>
              <w:marBottom w:val="0"/>
              <w:divBdr>
                <w:top w:val="none" w:sz="0" w:space="0" w:color="auto"/>
                <w:left w:val="none" w:sz="0" w:space="0" w:color="auto"/>
                <w:bottom w:val="none" w:sz="0" w:space="0" w:color="auto"/>
                <w:right w:val="none" w:sz="0" w:space="0" w:color="auto"/>
              </w:divBdr>
              <w:divsChild>
                <w:div w:id="1150559870">
                  <w:marLeft w:val="0"/>
                  <w:marRight w:val="0"/>
                  <w:marTop w:val="0"/>
                  <w:marBottom w:val="0"/>
                  <w:divBdr>
                    <w:top w:val="none" w:sz="0" w:space="0" w:color="auto"/>
                    <w:left w:val="none" w:sz="0" w:space="0" w:color="auto"/>
                    <w:bottom w:val="none" w:sz="0" w:space="0" w:color="auto"/>
                    <w:right w:val="none" w:sz="0" w:space="0" w:color="auto"/>
                  </w:divBdr>
                  <w:divsChild>
                    <w:div w:id="1177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82708">
      <w:bodyDiv w:val="1"/>
      <w:marLeft w:val="0"/>
      <w:marRight w:val="0"/>
      <w:marTop w:val="0"/>
      <w:marBottom w:val="0"/>
      <w:divBdr>
        <w:top w:val="none" w:sz="0" w:space="0" w:color="auto"/>
        <w:left w:val="none" w:sz="0" w:space="0" w:color="auto"/>
        <w:bottom w:val="none" w:sz="0" w:space="0" w:color="auto"/>
        <w:right w:val="none" w:sz="0" w:space="0" w:color="auto"/>
      </w:divBdr>
      <w:divsChild>
        <w:div w:id="345719291">
          <w:marLeft w:val="0"/>
          <w:marRight w:val="0"/>
          <w:marTop w:val="0"/>
          <w:marBottom w:val="0"/>
          <w:divBdr>
            <w:top w:val="none" w:sz="0" w:space="0" w:color="auto"/>
            <w:left w:val="none" w:sz="0" w:space="0" w:color="auto"/>
            <w:bottom w:val="none" w:sz="0" w:space="0" w:color="auto"/>
            <w:right w:val="none" w:sz="0" w:space="0" w:color="auto"/>
          </w:divBdr>
          <w:divsChild>
            <w:div w:id="767895735">
              <w:marLeft w:val="0"/>
              <w:marRight w:val="0"/>
              <w:marTop w:val="0"/>
              <w:marBottom w:val="0"/>
              <w:divBdr>
                <w:top w:val="none" w:sz="0" w:space="0" w:color="auto"/>
                <w:left w:val="none" w:sz="0" w:space="0" w:color="auto"/>
                <w:bottom w:val="none" w:sz="0" w:space="0" w:color="auto"/>
                <w:right w:val="none" w:sz="0" w:space="0" w:color="auto"/>
              </w:divBdr>
              <w:divsChild>
                <w:div w:id="763722648">
                  <w:marLeft w:val="0"/>
                  <w:marRight w:val="0"/>
                  <w:marTop w:val="0"/>
                  <w:marBottom w:val="0"/>
                  <w:divBdr>
                    <w:top w:val="none" w:sz="0" w:space="0" w:color="auto"/>
                    <w:left w:val="none" w:sz="0" w:space="0" w:color="auto"/>
                    <w:bottom w:val="none" w:sz="0" w:space="0" w:color="auto"/>
                    <w:right w:val="none" w:sz="0" w:space="0" w:color="auto"/>
                  </w:divBdr>
                  <w:divsChild>
                    <w:div w:id="11626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58">
      <w:bodyDiv w:val="1"/>
      <w:marLeft w:val="0"/>
      <w:marRight w:val="0"/>
      <w:marTop w:val="0"/>
      <w:marBottom w:val="0"/>
      <w:divBdr>
        <w:top w:val="none" w:sz="0" w:space="0" w:color="auto"/>
        <w:left w:val="none" w:sz="0" w:space="0" w:color="auto"/>
        <w:bottom w:val="none" w:sz="0" w:space="0" w:color="auto"/>
        <w:right w:val="none" w:sz="0" w:space="0" w:color="auto"/>
      </w:divBdr>
      <w:divsChild>
        <w:div w:id="1284842254">
          <w:marLeft w:val="0"/>
          <w:marRight w:val="0"/>
          <w:marTop w:val="0"/>
          <w:marBottom w:val="0"/>
          <w:divBdr>
            <w:top w:val="none" w:sz="0" w:space="0" w:color="auto"/>
            <w:left w:val="none" w:sz="0" w:space="0" w:color="auto"/>
            <w:bottom w:val="none" w:sz="0" w:space="0" w:color="auto"/>
            <w:right w:val="none" w:sz="0" w:space="0" w:color="auto"/>
          </w:divBdr>
          <w:divsChild>
            <w:div w:id="1249075596">
              <w:marLeft w:val="0"/>
              <w:marRight w:val="0"/>
              <w:marTop w:val="0"/>
              <w:marBottom w:val="0"/>
              <w:divBdr>
                <w:top w:val="none" w:sz="0" w:space="0" w:color="auto"/>
                <w:left w:val="none" w:sz="0" w:space="0" w:color="auto"/>
                <w:bottom w:val="none" w:sz="0" w:space="0" w:color="auto"/>
                <w:right w:val="none" w:sz="0" w:space="0" w:color="auto"/>
              </w:divBdr>
              <w:divsChild>
                <w:div w:id="2498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2978">
      <w:bodyDiv w:val="1"/>
      <w:marLeft w:val="0"/>
      <w:marRight w:val="0"/>
      <w:marTop w:val="0"/>
      <w:marBottom w:val="0"/>
      <w:divBdr>
        <w:top w:val="none" w:sz="0" w:space="0" w:color="auto"/>
        <w:left w:val="none" w:sz="0" w:space="0" w:color="auto"/>
        <w:bottom w:val="none" w:sz="0" w:space="0" w:color="auto"/>
        <w:right w:val="none" w:sz="0" w:space="0" w:color="auto"/>
      </w:divBdr>
      <w:divsChild>
        <w:div w:id="459152842">
          <w:marLeft w:val="0"/>
          <w:marRight w:val="0"/>
          <w:marTop w:val="0"/>
          <w:marBottom w:val="0"/>
          <w:divBdr>
            <w:top w:val="none" w:sz="0" w:space="0" w:color="auto"/>
            <w:left w:val="none" w:sz="0" w:space="0" w:color="auto"/>
            <w:bottom w:val="none" w:sz="0" w:space="0" w:color="auto"/>
            <w:right w:val="none" w:sz="0" w:space="0" w:color="auto"/>
          </w:divBdr>
          <w:divsChild>
            <w:div w:id="84154654">
              <w:marLeft w:val="0"/>
              <w:marRight w:val="0"/>
              <w:marTop w:val="0"/>
              <w:marBottom w:val="0"/>
              <w:divBdr>
                <w:top w:val="none" w:sz="0" w:space="0" w:color="auto"/>
                <w:left w:val="none" w:sz="0" w:space="0" w:color="auto"/>
                <w:bottom w:val="none" w:sz="0" w:space="0" w:color="auto"/>
                <w:right w:val="none" w:sz="0" w:space="0" w:color="auto"/>
              </w:divBdr>
              <w:divsChild>
                <w:div w:id="2104718691">
                  <w:marLeft w:val="0"/>
                  <w:marRight w:val="0"/>
                  <w:marTop w:val="0"/>
                  <w:marBottom w:val="0"/>
                  <w:divBdr>
                    <w:top w:val="none" w:sz="0" w:space="0" w:color="auto"/>
                    <w:left w:val="none" w:sz="0" w:space="0" w:color="auto"/>
                    <w:bottom w:val="none" w:sz="0" w:space="0" w:color="auto"/>
                    <w:right w:val="none" w:sz="0" w:space="0" w:color="auto"/>
                  </w:divBdr>
                  <w:divsChild>
                    <w:div w:id="13601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65820722">
      <w:bodyDiv w:val="1"/>
      <w:marLeft w:val="0"/>
      <w:marRight w:val="0"/>
      <w:marTop w:val="0"/>
      <w:marBottom w:val="0"/>
      <w:divBdr>
        <w:top w:val="none" w:sz="0" w:space="0" w:color="auto"/>
        <w:left w:val="none" w:sz="0" w:space="0" w:color="auto"/>
        <w:bottom w:val="none" w:sz="0" w:space="0" w:color="auto"/>
        <w:right w:val="none" w:sz="0" w:space="0" w:color="auto"/>
      </w:divBdr>
      <w:divsChild>
        <w:div w:id="459960100">
          <w:marLeft w:val="0"/>
          <w:marRight w:val="0"/>
          <w:marTop w:val="0"/>
          <w:marBottom w:val="0"/>
          <w:divBdr>
            <w:top w:val="none" w:sz="0" w:space="0" w:color="auto"/>
            <w:left w:val="none" w:sz="0" w:space="0" w:color="auto"/>
            <w:bottom w:val="none" w:sz="0" w:space="0" w:color="auto"/>
            <w:right w:val="none" w:sz="0" w:space="0" w:color="auto"/>
          </w:divBdr>
          <w:divsChild>
            <w:div w:id="937715650">
              <w:marLeft w:val="0"/>
              <w:marRight w:val="0"/>
              <w:marTop w:val="0"/>
              <w:marBottom w:val="0"/>
              <w:divBdr>
                <w:top w:val="none" w:sz="0" w:space="0" w:color="auto"/>
                <w:left w:val="none" w:sz="0" w:space="0" w:color="auto"/>
                <w:bottom w:val="none" w:sz="0" w:space="0" w:color="auto"/>
                <w:right w:val="none" w:sz="0" w:space="0" w:color="auto"/>
              </w:divBdr>
              <w:divsChild>
                <w:div w:id="818571363">
                  <w:marLeft w:val="0"/>
                  <w:marRight w:val="0"/>
                  <w:marTop w:val="0"/>
                  <w:marBottom w:val="0"/>
                  <w:divBdr>
                    <w:top w:val="none" w:sz="0" w:space="0" w:color="auto"/>
                    <w:left w:val="none" w:sz="0" w:space="0" w:color="auto"/>
                    <w:bottom w:val="none" w:sz="0" w:space="0" w:color="auto"/>
                    <w:right w:val="none" w:sz="0" w:space="0" w:color="auto"/>
                  </w:divBdr>
                  <w:divsChild>
                    <w:div w:id="34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40685">
      <w:bodyDiv w:val="1"/>
      <w:marLeft w:val="0"/>
      <w:marRight w:val="0"/>
      <w:marTop w:val="0"/>
      <w:marBottom w:val="0"/>
      <w:divBdr>
        <w:top w:val="none" w:sz="0" w:space="0" w:color="auto"/>
        <w:left w:val="none" w:sz="0" w:space="0" w:color="auto"/>
        <w:bottom w:val="none" w:sz="0" w:space="0" w:color="auto"/>
        <w:right w:val="none" w:sz="0" w:space="0" w:color="auto"/>
      </w:divBdr>
      <w:divsChild>
        <w:div w:id="1886328546">
          <w:marLeft w:val="0"/>
          <w:marRight w:val="0"/>
          <w:marTop w:val="0"/>
          <w:marBottom w:val="0"/>
          <w:divBdr>
            <w:top w:val="none" w:sz="0" w:space="0" w:color="auto"/>
            <w:left w:val="none" w:sz="0" w:space="0" w:color="auto"/>
            <w:bottom w:val="none" w:sz="0" w:space="0" w:color="auto"/>
            <w:right w:val="none" w:sz="0" w:space="0" w:color="auto"/>
          </w:divBdr>
          <w:divsChild>
            <w:div w:id="1893153055">
              <w:marLeft w:val="0"/>
              <w:marRight w:val="0"/>
              <w:marTop w:val="0"/>
              <w:marBottom w:val="0"/>
              <w:divBdr>
                <w:top w:val="none" w:sz="0" w:space="0" w:color="auto"/>
                <w:left w:val="none" w:sz="0" w:space="0" w:color="auto"/>
                <w:bottom w:val="none" w:sz="0" w:space="0" w:color="auto"/>
                <w:right w:val="none" w:sz="0" w:space="0" w:color="auto"/>
              </w:divBdr>
              <w:divsChild>
                <w:div w:id="1804614706">
                  <w:marLeft w:val="0"/>
                  <w:marRight w:val="0"/>
                  <w:marTop w:val="0"/>
                  <w:marBottom w:val="0"/>
                  <w:divBdr>
                    <w:top w:val="none" w:sz="0" w:space="0" w:color="auto"/>
                    <w:left w:val="none" w:sz="0" w:space="0" w:color="auto"/>
                    <w:bottom w:val="none" w:sz="0" w:space="0" w:color="auto"/>
                    <w:right w:val="none" w:sz="0" w:space="0" w:color="auto"/>
                  </w:divBdr>
                  <w:divsChild>
                    <w:div w:id="17946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60276">
      <w:bodyDiv w:val="1"/>
      <w:marLeft w:val="0"/>
      <w:marRight w:val="0"/>
      <w:marTop w:val="0"/>
      <w:marBottom w:val="0"/>
      <w:divBdr>
        <w:top w:val="none" w:sz="0" w:space="0" w:color="auto"/>
        <w:left w:val="none" w:sz="0" w:space="0" w:color="auto"/>
        <w:bottom w:val="none" w:sz="0" w:space="0" w:color="auto"/>
        <w:right w:val="none" w:sz="0" w:space="0" w:color="auto"/>
      </w:divBdr>
      <w:divsChild>
        <w:div w:id="1707634565">
          <w:marLeft w:val="0"/>
          <w:marRight w:val="0"/>
          <w:marTop w:val="0"/>
          <w:marBottom w:val="0"/>
          <w:divBdr>
            <w:top w:val="none" w:sz="0" w:space="0" w:color="auto"/>
            <w:left w:val="none" w:sz="0" w:space="0" w:color="auto"/>
            <w:bottom w:val="none" w:sz="0" w:space="0" w:color="auto"/>
            <w:right w:val="none" w:sz="0" w:space="0" w:color="auto"/>
          </w:divBdr>
        </w:div>
      </w:divsChild>
    </w:div>
    <w:div w:id="1695498544">
      <w:bodyDiv w:val="1"/>
      <w:marLeft w:val="0"/>
      <w:marRight w:val="0"/>
      <w:marTop w:val="0"/>
      <w:marBottom w:val="0"/>
      <w:divBdr>
        <w:top w:val="none" w:sz="0" w:space="0" w:color="auto"/>
        <w:left w:val="none" w:sz="0" w:space="0" w:color="auto"/>
        <w:bottom w:val="none" w:sz="0" w:space="0" w:color="auto"/>
        <w:right w:val="none" w:sz="0" w:space="0" w:color="auto"/>
      </w:divBdr>
    </w:div>
    <w:div w:id="1697651797">
      <w:bodyDiv w:val="1"/>
      <w:marLeft w:val="0"/>
      <w:marRight w:val="0"/>
      <w:marTop w:val="0"/>
      <w:marBottom w:val="0"/>
      <w:divBdr>
        <w:top w:val="none" w:sz="0" w:space="0" w:color="auto"/>
        <w:left w:val="none" w:sz="0" w:space="0" w:color="auto"/>
        <w:bottom w:val="none" w:sz="0" w:space="0" w:color="auto"/>
        <w:right w:val="none" w:sz="0" w:space="0" w:color="auto"/>
      </w:divBdr>
    </w:div>
    <w:div w:id="1716732970">
      <w:bodyDiv w:val="1"/>
      <w:marLeft w:val="0"/>
      <w:marRight w:val="0"/>
      <w:marTop w:val="0"/>
      <w:marBottom w:val="0"/>
      <w:divBdr>
        <w:top w:val="none" w:sz="0" w:space="0" w:color="auto"/>
        <w:left w:val="none" w:sz="0" w:space="0" w:color="auto"/>
        <w:bottom w:val="none" w:sz="0" w:space="0" w:color="auto"/>
        <w:right w:val="none" w:sz="0" w:space="0" w:color="auto"/>
      </w:divBdr>
    </w:div>
    <w:div w:id="1721592361">
      <w:bodyDiv w:val="1"/>
      <w:marLeft w:val="0"/>
      <w:marRight w:val="0"/>
      <w:marTop w:val="0"/>
      <w:marBottom w:val="0"/>
      <w:divBdr>
        <w:top w:val="none" w:sz="0" w:space="0" w:color="auto"/>
        <w:left w:val="none" w:sz="0" w:space="0" w:color="auto"/>
        <w:bottom w:val="none" w:sz="0" w:space="0" w:color="auto"/>
        <w:right w:val="none" w:sz="0" w:space="0" w:color="auto"/>
      </w:divBdr>
    </w:div>
    <w:div w:id="1741096596">
      <w:bodyDiv w:val="1"/>
      <w:marLeft w:val="0"/>
      <w:marRight w:val="0"/>
      <w:marTop w:val="0"/>
      <w:marBottom w:val="0"/>
      <w:divBdr>
        <w:top w:val="none" w:sz="0" w:space="0" w:color="auto"/>
        <w:left w:val="none" w:sz="0" w:space="0" w:color="auto"/>
        <w:bottom w:val="none" w:sz="0" w:space="0" w:color="auto"/>
        <w:right w:val="none" w:sz="0" w:space="0" w:color="auto"/>
      </w:divBdr>
      <w:divsChild>
        <w:div w:id="1408069132">
          <w:marLeft w:val="0"/>
          <w:marRight w:val="0"/>
          <w:marTop w:val="0"/>
          <w:marBottom w:val="0"/>
          <w:divBdr>
            <w:top w:val="none" w:sz="0" w:space="0" w:color="auto"/>
            <w:left w:val="none" w:sz="0" w:space="0" w:color="auto"/>
            <w:bottom w:val="none" w:sz="0" w:space="0" w:color="auto"/>
            <w:right w:val="none" w:sz="0" w:space="0" w:color="auto"/>
          </w:divBdr>
          <w:divsChild>
            <w:div w:id="1976519437">
              <w:marLeft w:val="0"/>
              <w:marRight w:val="0"/>
              <w:marTop w:val="0"/>
              <w:marBottom w:val="0"/>
              <w:divBdr>
                <w:top w:val="none" w:sz="0" w:space="0" w:color="auto"/>
                <w:left w:val="none" w:sz="0" w:space="0" w:color="auto"/>
                <w:bottom w:val="none" w:sz="0" w:space="0" w:color="auto"/>
                <w:right w:val="none" w:sz="0" w:space="0" w:color="auto"/>
              </w:divBdr>
              <w:divsChild>
                <w:div w:id="958071791">
                  <w:marLeft w:val="0"/>
                  <w:marRight w:val="0"/>
                  <w:marTop w:val="0"/>
                  <w:marBottom w:val="0"/>
                  <w:divBdr>
                    <w:top w:val="none" w:sz="0" w:space="0" w:color="auto"/>
                    <w:left w:val="none" w:sz="0" w:space="0" w:color="auto"/>
                    <w:bottom w:val="none" w:sz="0" w:space="0" w:color="auto"/>
                    <w:right w:val="none" w:sz="0" w:space="0" w:color="auto"/>
                  </w:divBdr>
                  <w:divsChild>
                    <w:div w:id="8334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8967">
      <w:bodyDiv w:val="1"/>
      <w:marLeft w:val="0"/>
      <w:marRight w:val="0"/>
      <w:marTop w:val="0"/>
      <w:marBottom w:val="0"/>
      <w:divBdr>
        <w:top w:val="none" w:sz="0" w:space="0" w:color="auto"/>
        <w:left w:val="none" w:sz="0" w:space="0" w:color="auto"/>
        <w:bottom w:val="none" w:sz="0" w:space="0" w:color="auto"/>
        <w:right w:val="none" w:sz="0" w:space="0" w:color="auto"/>
      </w:divBdr>
    </w:div>
    <w:div w:id="1749111856">
      <w:bodyDiv w:val="1"/>
      <w:marLeft w:val="0"/>
      <w:marRight w:val="0"/>
      <w:marTop w:val="0"/>
      <w:marBottom w:val="0"/>
      <w:divBdr>
        <w:top w:val="none" w:sz="0" w:space="0" w:color="auto"/>
        <w:left w:val="none" w:sz="0" w:space="0" w:color="auto"/>
        <w:bottom w:val="none" w:sz="0" w:space="0" w:color="auto"/>
        <w:right w:val="none" w:sz="0" w:space="0" w:color="auto"/>
      </w:divBdr>
      <w:divsChild>
        <w:div w:id="506940370">
          <w:marLeft w:val="0"/>
          <w:marRight w:val="0"/>
          <w:marTop w:val="0"/>
          <w:marBottom w:val="0"/>
          <w:divBdr>
            <w:top w:val="none" w:sz="0" w:space="0" w:color="auto"/>
            <w:left w:val="none" w:sz="0" w:space="0" w:color="auto"/>
            <w:bottom w:val="none" w:sz="0" w:space="0" w:color="auto"/>
            <w:right w:val="none" w:sz="0" w:space="0" w:color="auto"/>
          </w:divBdr>
          <w:divsChild>
            <w:div w:id="488180654">
              <w:marLeft w:val="0"/>
              <w:marRight w:val="0"/>
              <w:marTop w:val="0"/>
              <w:marBottom w:val="0"/>
              <w:divBdr>
                <w:top w:val="none" w:sz="0" w:space="0" w:color="auto"/>
                <w:left w:val="none" w:sz="0" w:space="0" w:color="auto"/>
                <w:bottom w:val="none" w:sz="0" w:space="0" w:color="auto"/>
                <w:right w:val="none" w:sz="0" w:space="0" w:color="auto"/>
              </w:divBdr>
              <w:divsChild>
                <w:div w:id="1430660580">
                  <w:marLeft w:val="0"/>
                  <w:marRight w:val="0"/>
                  <w:marTop w:val="0"/>
                  <w:marBottom w:val="0"/>
                  <w:divBdr>
                    <w:top w:val="none" w:sz="0" w:space="0" w:color="auto"/>
                    <w:left w:val="none" w:sz="0" w:space="0" w:color="auto"/>
                    <w:bottom w:val="none" w:sz="0" w:space="0" w:color="auto"/>
                    <w:right w:val="none" w:sz="0" w:space="0" w:color="auto"/>
                  </w:divBdr>
                  <w:divsChild>
                    <w:div w:id="21300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36368">
      <w:bodyDiv w:val="1"/>
      <w:marLeft w:val="0"/>
      <w:marRight w:val="0"/>
      <w:marTop w:val="0"/>
      <w:marBottom w:val="0"/>
      <w:divBdr>
        <w:top w:val="none" w:sz="0" w:space="0" w:color="auto"/>
        <w:left w:val="none" w:sz="0" w:space="0" w:color="auto"/>
        <w:bottom w:val="none" w:sz="0" w:space="0" w:color="auto"/>
        <w:right w:val="none" w:sz="0" w:space="0" w:color="auto"/>
      </w:divBdr>
      <w:divsChild>
        <w:div w:id="1909997572">
          <w:marLeft w:val="0"/>
          <w:marRight w:val="0"/>
          <w:marTop w:val="0"/>
          <w:marBottom w:val="0"/>
          <w:divBdr>
            <w:top w:val="none" w:sz="0" w:space="0" w:color="auto"/>
            <w:left w:val="none" w:sz="0" w:space="0" w:color="auto"/>
            <w:bottom w:val="none" w:sz="0" w:space="0" w:color="auto"/>
            <w:right w:val="none" w:sz="0" w:space="0" w:color="auto"/>
          </w:divBdr>
          <w:divsChild>
            <w:div w:id="67942856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sChild>
                    <w:div w:id="14128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22340">
      <w:bodyDiv w:val="1"/>
      <w:marLeft w:val="0"/>
      <w:marRight w:val="0"/>
      <w:marTop w:val="0"/>
      <w:marBottom w:val="0"/>
      <w:divBdr>
        <w:top w:val="none" w:sz="0" w:space="0" w:color="auto"/>
        <w:left w:val="none" w:sz="0" w:space="0" w:color="auto"/>
        <w:bottom w:val="none" w:sz="0" w:space="0" w:color="auto"/>
        <w:right w:val="none" w:sz="0" w:space="0" w:color="auto"/>
      </w:divBdr>
      <w:divsChild>
        <w:div w:id="2129472644">
          <w:marLeft w:val="0"/>
          <w:marRight w:val="0"/>
          <w:marTop w:val="0"/>
          <w:marBottom w:val="0"/>
          <w:divBdr>
            <w:top w:val="none" w:sz="0" w:space="0" w:color="auto"/>
            <w:left w:val="none" w:sz="0" w:space="0" w:color="auto"/>
            <w:bottom w:val="none" w:sz="0" w:space="0" w:color="auto"/>
            <w:right w:val="none" w:sz="0" w:space="0" w:color="auto"/>
          </w:divBdr>
          <w:divsChild>
            <w:div w:id="1450704922">
              <w:marLeft w:val="0"/>
              <w:marRight w:val="0"/>
              <w:marTop w:val="0"/>
              <w:marBottom w:val="0"/>
              <w:divBdr>
                <w:top w:val="none" w:sz="0" w:space="0" w:color="auto"/>
                <w:left w:val="none" w:sz="0" w:space="0" w:color="auto"/>
                <w:bottom w:val="none" w:sz="0" w:space="0" w:color="auto"/>
                <w:right w:val="none" w:sz="0" w:space="0" w:color="auto"/>
              </w:divBdr>
              <w:divsChild>
                <w:div w:id="52050984">
                  <w:marLeft w:val="0"/>
                  <w:marRight w:val="0"/>
                  <w:marTop w:val="0"/>
                  <w:marBottom w:val="0"/>
                  <w:divBdr>
                    <w:top w:val="none" w:sz="0" w:space="0" w:color="auto"/>
                    <w:left w:val="none" w:sz="0" w:space="0" w:color="auto"/>
                    <w:bottom w:val="none" w:sz="0" w:space="0" w:color="auto"/>
                    <w:right w:val="none" w:sz="0" w:space="0" w:color="auto"/>
                  </w:divBdr>
                  <w:divsChild>
                    <w:div w:id="5782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7810">
      <w:bodyDiv w:val="1"/>
      <w:marLeft w:val="0"/>
      <w:marRight w:val="0"/>
      <w:marTop w:val="0"/>
      <w:marBottom w:val="0"/>
      <w:divBdr>
        <w:top w:val="none" w:sz="0" w:space="0" w:color="auto"/>
        <w:left w:val="none" w:sz="0" w:space="0" w:color="auto"/>
        <w:bottom w:val="none" w:sz="0" w:space="0" w:color="auto"/>
        <w:right w:val="none" w:sz="0" w:space="0" w:color="auto"/>
      </w:divBdr>
      <w:divsChild>
        <w:div w:id="1668054241">
          <w:marLeft w:val="0"/>
          <w:marRight w:val="0"/>
          <w:marTop w:val="0"/>
          <w:marBottom w:val="0"/>
          <w:divBdr>
            <w:top w:val="none" w:sz="0" w:space="0" w:color="auto"/>
            <w:left w:val="none" w:sz="0" w:space="0" w:color="auto"/>
            <w:bottom w:val="none" w:sz="0" w:space="0" w:color="auto"/>
            <w:right w:val="none" w:sz="0" w:space="0" w:color="auto"/>
          </w:divBdr>
          <w:divsChild>
            <w:div w:id="589578787">
              <w:marLeft w:val="0"/>
              <w:marRight w:val="0"/>
              <w:marTop w:val="0"/>
              <w:marBottom w:val="0"/>
              <w:divBdr>
                <w:top w:val="none" w:sz="0" w:space="0" w:color="auto"/>
                <w:left w:val="none" w:sz="0" w:space="0" w:color="auto"/>
                <w:bottom w:val="none" w:sz="0" w:space="0" w:color="auto"/>
                <w:right w:val="none" w:sz="0" w:space="0" w:color="auto"/>
              </w:divBdr>
              <w:divsChild>
                <w:div w:id="157160694">
                  <w:marLeft w:val="0"/>
                  <w:marRight w:val="0"/>
                  <w:marTop w:val="0"/>
                  <w:marBottom w:val="0"/>
                  <w:divBdr>
                    <w:top w:val="none" w:sz="0" w:space="0" w:color="auto"/>
                    <w:left w:val="none" w:sz="0" w:space="0" w:color="auto"/>
                    <w:bottom w:val="none" w:sz="0" w:space="0" w:color="auto"/>
                    <w:right w:val="none" w:sz="0" w:space="0" w:color="auto"/>
                  </w:divBdr>
                  <w:divsChild>
                    <w:div w:id="6156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58846">
      <w:bodyDiv w:val="1"/>
      <w:marLeft w:val="0"/>
      <w:marRight w:val="0"/>
      <w:marTop w:val="0"/>
      <w:marBottom w:val="0"/>
      <w:divBdr>
        <w:top w:val="none" w:sz="0" w:space="0" w:color="auto"/>
        <w:left w:val="none" w:sz="0" w:space="0" w:color="auto"/>
        <w:bottom w:val="none" w:sz="0" w:space="0" w:color="auto"/>
        <w:right w:val="none" w:sz="0" w:space="0" w:color="auto"/>
      </w:divBdr>
      <w:divsChild>
        <w:div w:id="1282495950">
          <w:marLeft w:val="0"/>
          <w:marRight w:val="0"/>
          <w:marTop w:val="0"/>
          <w:marBottom w:val="0"/>
          <w:divBdr>
            <w:top w:val="none" w:sz="0" w:space="0" w:color="auto"/>
            <w:left w:val="none" w:sz="0" w:space="0" w:color="auto"/>
            <w:bottom w:val="none" w:sz="0" w:space="0" w:color="auto"/>
            <w:right w:val="none" w:sz="0" w:space="0" w:color="auto"/>
          </w:divBdr>
          <w:divsChild>
            <w:div w:id="673806727">
              <w:marLeft w:val="0"/>
              <w:marRight w:val="0"/>
              <w:marTop w:val="0"/>
              <w:marBottom w:val="0"/>
              <w:divBdr>
                <w:top w:val="none" w:sz="0" w:space="0" w:color="auto"/>
                <w:left w:val="none" w:sz="0" w:space="0" w:color="auto"/>
                <w:bottom w:val="none" w:sz="0" w:space="0" w:color="auto"/>
                <w:right w:val="none" w:sz="0" w:space="0" w:color="auto"/>
              </w:divBdr>
              <w:divsChild>
                <w:div w:id="1410545008">
                  <w:marLeft w:val="0"/>
                  <w:marRight w:val="0"/>
                  <w:marTop w:val="0"/>
                  <w:marBottom w:val="0"/>
                  <w:divBdr>
                    <w:top w:val="none" w:sz="0" w:space="0" w:color="auto"/>
                    <w:left w:val="none" w:sz="0" w:space="0" w:color="auto"/>
                    <w:bottom w:val="none" w:sz="0" w:space="0" w:color="auto"/>
                    <w:right w:val="none" w:sz="0" w:space="0" w:color="auto"/>
                  </w:divBdr>
                  <w:divsChild>
                    <w:div w:id="2406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8647">
      <w:bodyDiv w:val="1"/>
      <w:marLeft w:val="0"/>
      <w:marRight w:val="0"/>
      <w:marTop w:val="0"/>
      <w:marBottom w:val="0"/>
      <w:divBdr>
        <w:top w:val="none" w:sz="0" w:space="0" w:color="auto"/>
        <w:left w:val="none" w:sz="0" w:space="0" w:color="auto"/>
        <w:bottom w:val="none" w:sz="0" w:space="0" w:color="auto"/>
        <w:right w:val="none" w:sz="0" w:space="0" w:color="auto"/>
      </w:divBdr>
      <w:divsChild>
        <w:div w:id="870267607">
          <w:marLeft w:val="0"/>
          <w:marRight w:val="0"/>
          <w:marTop w:val="0"/>
          <w:marBottom w:val="0"/>
          <w:divBdr>
            <w:top w:val="none" w:sz="0" w:space="0" w:color="auto"/>
            <w:left w:val="none" w:sz="0" w:space="0" w:color="auto"/>
            <w:bottom w:val="none" w:sz="0" w:space="0" w:color="auto"/>
            <w:right w:val="none" w:sz="0" w:space="0" w:color="auto"/>
          </w:divBdr>
          <w:divsChild>
            <w:div w:id="2117366920">
              <w:marLeft w:val="0"/>
              <w:marRight w:val="0"/>
              <w:marTop w:val="0"/>
              <w:marBottom w:val="0"/>
              <w:divBdr>
                <w:top w:val="none" w:sz="0" w:space="0" w:color="auto"/>
                <w:left w:val="none" w:sz="0" w:space="0" w:color="auto"/>
                <w:bottom w:val="none" w:sz="0" w:space="0" w:color="auto"/>
                <w:right w:val="none" w:sz="0" w:space="0" w:color="auto"/>
              </w:divBdr>
              <w:divsChild>
                <w:div w:id="2086875696">
                  <w:marLeft w:val="0"/>
                  <w:marRight w:val="0"/>
                  <w:marTop w:val="0"/>
                  <w:marBottom w:val="0"/>
                  <w:divBdr>
                    <w:top w:val="none" w:sz="0" w:space="0" w:color="auto"/>
                    <w:left w:val="none" w:sz="0" w:space="0" w:color="auto"/>
                    <w:bottom w:val="none" w:sz="0" w:space="0" w:color="auto"/>
                    <w:right w:val="none" w:sz="0" w:space="0" w:color="auto"/>
                  </w:divBdr>
                  <w:divsChild>
                    <w:div w:id="9843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531543">
      <w:bodyDiv w:val="1"/>
      <w:marLeft w:val="0"/>
      <w:marRight w:val="0"/>
      <w:marTop w:val="0"/>
      <w:marBottom w:val="0"/>
      <w:divBdr>
        <w:top w:val="none" w:sz="0" w:space="0" w:color="auto"/>
        <w:left w:val="none" w:sz="0" w:space="0" w:color="auto"/>
        <w:bottom w:val="none" w:sz="0" w:space="0" w:color="auto"/>
        <w:right w:val="none" w:sz="0" w:space="0" w:color="auto"/>
      </w:divBdr>
    </w:div>
    <w:div w:id="1768306579">
      <w:bodyDiv w:val="1"/>
      <w:marLeft w:val="0"/>
      <w:marRight w:val="0"/>
      <w:marTop w:val="0"/>
      <w:marBottom w:val="0"/>
      <w:divBdr>
        <w:top w:val="none" w:sz="0" w:space="0" w:color="auto"/>
        <w:left w:val="none" w:sz="0" w:space="0" w:color="auto"/>
        <w:bottom w:val="none" w:sz="0" w:space="0" w:color="auto"/>
        <w:right w:val="none" w:sz="0" w:space="0" w:color="auto"/>
      </w:divBdr>
      <w:divsChild>
        <w:div w:id="1864896466">
          <w:marLeft w:val="0"/>
          <w:marRight w:val="0"/>
          <w:marTop w:val="0"/>
          <w:marBottom w:val="0"/>
          <w:divBdr>
            <w:top w:val="none" w:sz="0" w:space="0" w:color="auto"/>
            <w:left w:val="none" w:sz="0" w:space="0" w:color="auto"/>
            <w:bottom w:val="none" w:sz="0" w:space="0" w:color="auto"/>
            <w:right w:val="none" w:sz="0" w:space="0" w:color="auto"/>
          </w:divBdr>
          <w:divsChild>
            <w:div w:id="635187863">
              <w:marLeft w:val="0"/>
              <w:marRight w:val="0"/>
              <w:marTop w:val="0"/>
              <w:marBottom w:val="0"/>
              <w:divBdr>
                <w:top w:val="none" w:sz="0" w:space="0" w:color="auto"/>
                <w:left w:val="none" w:sz="0" w:space="0" w:color="auto"/>
                <w:bottom w:val="none" w:sz="0" w:space="0" w:color="auto"/>
                <w:right w:val="none" w:sz="0" w:space="0" w:color="auto"/>
              </w:divBdr>
              <w:divsChild>
                <w:div w:id="108820022">
                  <w:marLeft w:val="0"/>
                  <w:marRight w:val="0"/>
                  <w:marTop w:val="0"/>
                  <w:marBottom w:val="0"/>
                  <w:divBdr>
                    <w:top w:val="none" w:sz="0" w:space="0" w:color="auto"/>
                    <w:left w:val="none" w:sz="0" w:space="0" w:color="auto"/>
                    <w:bottom w:val="none" w:sz="0" w:space="0" w:color="auto"/>
                    <w:right w:val="none" w:sz="0" w:space="0" w:color="auto"/>
                  </w:divBdr>
                  <w:divsChild>
                    <w:div w:id="18765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924440">
      <w:bodyDiv w:val="1"/>
      <w:marLeft w:val="0"/>
      <w:marRight w:val="0"/>
      <w:marTop w:val="0"/>
      <w:marBottom w:val="0"/>
      <w:divBdr>
        <w:top w:val="none" w:sz="0" w:space="0" w:color="auto"/>
        <w:left w:val="none" w:sz="0" w:space="0" w:color="auto"/>
        <w:bottom w:val="none" w:sz="0" w:space="0" w:color="auto"/>
        <w:right w:val="none" w:sz="0" w:space="0" w:color="auto"/>
      </w:divBdr>
      <w:divsChild>
        <w:div w:id="1976252906">
          <w:marLeft w:val="0"/>
          <w:marRight w:val="0"/>
          <w:marTop w:val="0"/>
          <w:marBottom w:val="0"/>
          <w:divBdr>
            <w:top w:val="none" w:sz="0" w:space="0" w:color="auto"/>
            <w:left w:val="none" w:sz="0" w:space="0" w:color="auto"/>
            <w:bottom w:val="none" w:sz="0" w:space="0" w:color="auto"/>
            <w:right w:val="none" w:sz="0" w:space="0" w:color="auto"/>
          </w:divBdr>
          <w:divsChild>
            <w:div w:id="1715696454">
              <w:marLeft w:val="0"/>
              <w:marRight w:val="0"/>
              <w:marTop w:val="0"/>
              <w:marBottom w:val="0"/>
              <w:divBdr>
                <w:top w:val="none" w:sz="0" w:space="0" w:color="auto"/>
                <w:left w:val="none" w:sz="0" w:space="0" w:color="auto"/>
                <w:bottom w:val="none" w:sz="0" w:space="0" w:color="auto"/>
                <w:right w:val="none" w:sz="0" w:space="0" w:color="auto"/>
              </w:divBdr>
              <w:divsChild>
                <w:div w:id="1697272297">
                  <w:marLeft w:val="0"/>
                  <w:marRight w:val="0"/>
                  <w:marTop w:val="0"/>
                  <w:marBottom w:val="0"/>
                  <w:divBdr>
                    <w:top w:val="none" w:sz="0" w:space="0" w:color="auto"/>
                    <w:left w:val="none" w:sz="0" w:space="0" w:color="auto"/>
                    <w:bottom w:val="none" w:sz="0" w:space="0" w:color="auto"/>
                    <w:right w:val="none" w:sz="0" w:space="0" w:color="auto"/>
                  </w:divBdr>
                  <w:divsChild>
                    <w:div w:id="18610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826560">
      <w:bodyDiv w:val="1"/>
      <w:marLeft w:val="0"/>
      <w:marRight w:val="0"/>
      <w:marTop w:val="0"/>
      <w:marBottom w:val="0"/>
      <w:divBdr>
        <w:top w:val="none" w:sz="0" w:space="0" w:color="auto"/>
        <w:left w:val="none" w:sz="0" w:space="0" w:color="auto"/>
        <w:bottom w:val="none" w:sz="0" w:space="0" w:color="auto"/>
        <w:right w:val="none" w:sz="0" w:space="0" w:color="auto"/>
      </w:divBdr>
      <w:divsChild>
        <w:div w:id="1607152940">
          <w:marLeft w:val="0"/>
          <w:marRight w:val="0"/>
          <w:marTop w:val="0"/>
          <w:marBottom w:val="0"/>
          <w:divBdr>
            <w:top w:val="none" w:sz="0" w:space="0" w:color="auto"/>
            <w:left w:val="none" w:sz="0" w:space="0" w:color="auto"/>
            <w:bottom w:val="none" w:sz="0" w:space="0" w:color="auto"/>
            <w:right w:val="none" w:sz="0" w:space="0" w:color="auto"/>
          </w:divBdr>
          <w:divsChild>
            <w:div w:id="66810480">
              <w:marLeft w:val="0"/>
              <w:marRight w:val="0"/>
              <w:marTop w:val="0"/>
              <w:marBottom w:val="0"/>
              <w:divBdr>
                <w:top w:val="none" w:sz="0" w:space="0" w:color="auto"/>
                <w:left w:val="none" w:sz="0" w:space="0" w:color="auto"/>
                <w:bottom w:val="none" w:sz="0" w:space="0" w:color="auto"/>
                <w:right w:val="none" w:sz="0" w:space="0" w:color="auto"/>
              </w:divBdr>
              <w:divsChild>
                <w:div w:id="11988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792939009">
      <w:bodyDiv w:val="1"/>
      <w:marLeft w:val="0"/>
      <w:marRight w:val="0"/>
      <w:marTop w:val="0"/>
      <w:marBottom w:val="0"/>
      <w:divBdr>
        <w:top w:val="none" w:sz="0" w:space="0" w:color="auto"/>
        <w:left w:val="none" w:sz="0" w:space="0" w:color="auto"/>
        <w:bottom w:val="none" w:sz="0" w:space="0" w:color="auto"/>
        <w:right w:val="none" w:sz="0" w:space="0" w:color="auto"/>
      </w:divBdr>
      <w:divsChild>
        <w:div w:id="33967823">
          <w:marLeft w:val="0"/>
          <w:marRight w:val="0"/>
          <w:marTop w:val="0"/>
          <w:marBottom w:val="0"/>
          <w:divBdr>
            <w:top w:val="none" w:sz="0" w:space="0" w:color="auto"/>
            <w:left w:val="none" w:sz="0" w:space="0" w:color="auto"/>
            <w:bottom w:val="none" w:sz="0" w:space="0" w:color="auto"/>
            <w:right w:val="none" w:sz="0" w:space="0" w:color="auto"/>
          </w:divBdr>
          <w:divsChild>
            <w:div w:id="571741792">
              <w:marLeft w:val="0"/>
              <w:marRight w:val="0"/>
              <w:marTop w:val="0"/>
              <w:marBottom w:val="0"/>
              <w:divBdr>
                <w:top w:val="none" w:sz="0" w:space="0" w:color="auto"/>
                <w:left w:val="none" w:sz="0" w:space="0" w:color="auto"/>
                <w:bottom w:val="none" w:sz="0" w:space="0" w:color="auto"/>
                <w:right w:val="none" w:sz="0" w:space="0" w:color="auto"/>
              </w:divBdr>
              <w:divsChild>
                <w:div w:id="739325439">
                  <w:marLeft w:val="0"/>
                  <w:marRight w:val="0"/>
                  <w:marTop w:val="0"/>
                  <w:marBottom w:val="0"/>
                  <w:divBdr>
                    <w:top w:val="none" w:sz="0" w:space="0" w:color="auto"/>
                    <w:left w:val="none" w:sz="0" w:space="0" w:color="auto"/>
                    <w:bottom w:val="none" w:sz="0" w:space="0" w:color="auto"/>
                    <w:right w:val="none" w:sz="0" w:space="0" w:color="auto"/>
                  </w:divBdr>
                  <w:divsChild>
                    <w:div w:id="183174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0742">
      <w:bodyDiv w:val="1"/>
      <w:marLeft w:val="0"/>
      <w:marRight w:val="0"/>
      <w:marTop w:val="0"/>
      <w:marBottom w:val="0"/>
      <w:divBdr>
        <w:top w:val="none" w:sz="0" w:space="0" w:color="auto"/>
        <w:left w:val="none" w:sz="0" w:space="0" w:color="auto"/>
        <w:bottom w:val="none" w:sz="0" w:space="0" w:color="auto"/>
        <w:right w:val="none" w:sz="0" w:space="0" w:color="auto"/>
      </w:divBdr>
      <w:divsChild>
        <w:div w:id="1744066309">
          <w:marLeft w:val="0"/>
          <w:marRight w:val="0"/>
          <w:marTop w:val="0"/>
          <w:marBottom w:val="0"/>
          <w:divBdr>
            <w:top w:val="none" w:sz="0" w:space="0" w:color="auto"/>
            <w:left w:val="none" w:sz="0" w:space="0" w:color="auto"/>
            <w:bottom w:val="none" w:sz="0" w:space="0" w:color="auto"/>
            <w:right w:val="none" w:sz="0" w:space="0" w:color="auto"/>
          </w:divBdr>
          <w:divsChild>
            <w:div w:id="201551312">
              <w:marLeft w:val="0"/>
              <w:marRight w:val="0"/>
              <w:marTop w:val="0"/>
              <w:marBottom w:val="0"/>
              <w:divBdr>
                <w:top w:val="none" w:sz="0" w:space="0" w:color="auto"/>
                <w:left w:val="none" w:sz="0" w:space="0" w:color="auto"/>
                <w:bottom w:val="none" w:sz="0" w:space="0" w:color="auto"/>
                <w:right w:val="none" w:sz="0" w:space="0" w:color="auto"/>
              </w:divBdr>
              <w:divsChild>
                <w:div w:id="2005816867">
                  <w:marLeft w:val="0"/>
                  <w:marRight w:val="0"/>
                  <w:marTop w:val="0"/>
                  <w:marBottom w:val="0"/>
                  <w:divBdr>
                    <w:top w:val="none" w:sz="0" w:space="0" w:color="auto"/>
                    <w:left w:val="none" w:sz="0" w:space="0" w:color="auto"/>
                    <w:bottom w:val="none" w:sz="0" w:space="0" w:color="auto"/>
                    <w:right w:val="none" w:sz="0" w:space="0" w:color="auto"/>
                  </w:divBdr>
                  <w:divsChild>
                    <w:div w:id="1874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8093">
      <w:bodyDiv w:val="1"/>
      <w:marLeft w:val="0"/>
      <w:marRight w:val="0"/>
      <w:marTop w:val="0"/>
      <w:marBottom w:val="0"/>
      <w:divBdr>
        <w:top w:val="none" w:sz="0" w:space="0" w:color="auto"/>
        <w:left w:val="none" w:sz="0" w:space="0" w:color="auto"/>
        <w:bottom w:val="none" w:sz="0" w:space="0" w:color="auto"/>
        <w:right w:val="none" w:sz="0" w:space="0" w:color="auto"/>
      </w:divBdr>
      <w:divsChild>
        <w:div w:id="2036880039">
          <w:marLeft w:val="0"/>
          <w:marRight w:val="0"/>
          <w:marTop w:val="0"/>
          <w:marBottom w:val="0"/>
          <w:divBdr>
            <w:top w:val="none" w:sz="0" w:space="0" w:color="auto"/>
            <w:left w:val="none" w:sz="0" w:space="0" w:color="auto"/>
            <w:bottom w:val="none" w:sz="0" w:space="0" w:color="auto"/>
            <w:right w:val="none" w:sz="0" w:space="0" w:color="auto"/>
          </w:divBdr>
          <w:divsChild>
            <w:div w:id="70123676">
              <w:marLeft w:val="0"/>
              <w:marRight w:val="0"/>
              <w:marTop w:val="0"/>
              <w:marBottom w:val="0"/>
              <w:divBdr>
                <w:top w:val="none" w:sz="0" w:space="0" w:color="auto"/>
                <w:left w:val="none" w:sz="0" w:space="0" w:color="auto"/>
                <w:bottom w:val="none" w:sz="0" w:space="0" w:color="auto"/>
                <w:right w:val="none" w:sz="0" w:space="0" w:color="auto"/>
              </w:divBdr>
              <w:divsChild>
                <w:div w:id="1563979717">
                  <w:marLeft w:val="0"/>
                  <w:marRight w:val="0"/>
                  <w:marTop w:val="0"/>
                  <w:marBottom w:val="0"/>
                  <w:divBdr>
                    <w:top w:val="none" w:sz="0" w:space="0" w:color="auto"/>
                    <w:left w:val="none" w:sz="0" w:space="0" w:color="auto"/>
                    <w:bottom w:val="none" w:sz="0" w:space="0" w:color="auto"/>
                    <w:right w:val="none" w:sz="0" w:space="0" w:color="auto"/>
                  </w:divBdr>
                  <w:divsChild>
                    <w:div w:id="1204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356229">
      <w:bodyDiv w:val="1"/>
      <w:marLeft w:val="0"/>
      <w:marRight w:val="0"/>
      <w:marTop w:val="0"/>
      <w:marBottom w:val="0"/>
      <w:divBdr>
        <w:top w:val="none" w:sz="0" w:space="0" w:color="auto"/>
        <w:left w:val="none" w:sz="0" w:space="0" w:color="auto"/>
        <w:bottom w:val="none" w:sz="0" w:space="0" w:color="auto"/>
        <w:right w:val="none" w:sz="0" w:space="0" w:color="auto"/>
      </w:divBdr>
      <w:divsChild>
        <w:div w:id="1004747119">
          <w:marLeft w:val="0"/>
          <w:marRight w:val="0"/>
          <w:marTop w:val="0"/>
          <w:marBottom w:val="0"/>
          <w:divBdr>
            <w:top w:val="none" w:sz="0" w:space="0" w:color="auto"/>
            <w:left w:val="none" w:sz="0" w:space="0" w:color="auto"/>
            <w:bottom w:val="none" w:sz="0" w:space="0" w:color="auto"/>
            <w:right w:val="none" w:sz="0" w:space="0" w:color="auto"/>
          </w:divBdr>
          <w:divsChild>
            <w:div w:id="591201599">
              <w:marLeft w:val="0"/>
              <w:marRight w:val="0"/>
              <w:marTop w:val="0"/>
              <w:marBottom w:val="0"/>
              <w:divBdr>
                <w:top w:val="none" w:sz="0" w:space="0" w:color="auto"/>
                <w:left w:val="none" w:sz="0" w:space="0" w:color="auto"/>
                <w:bottom w:val="none" w:sz="0" w:space="0" w:color="auto"/>
                <w:right w:val="none" w:sz="0" w:space="0" w:color="auto"/>
              </w:divBdr>
              <w:divsChild>
                <w:div w:id="72289532">
                  <w:marLeft w:val="0"/>
                  <w:marRight w:val="0"/>
                  <w:marTop w:val="0"/>
                  <w:marBottom w:val="0"/>
                  <w:divBdr>
                    <w:top w:val="none" w:sz="0" w:space="0" w:color="auto"/>
                    <w:left w:val="none" w:sz="0" w:space="0" w:color="auto"/>
                    <w:bottom w:val="none" w:sz="0" w:space="0" w:color="auto"/>
                    <w:right w:val="none" w:sz="0" w:space="0" w:color="auto"/>
                  </w:divBdr>
                  <w:divsChild>
                    <w:div w:id="5278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730922">
      <w:bodyDiv w:val="1"/>
      <w:marLeft w:val="0"/>
      <w:marRight w:val="0"/>
      <w:marTop w:val="0"/>
      <w:marBottom w:val="0"/>
      <w:divBdr>
        <w:top w:val="none" w:sz="0" w:space="0" w:color="auto"/>
        <w:left w:val="none" w:sz="0" w:space="0" w:color="auto"/>
        <w:bottom w:val="none" w:sz="0" w:space="0" w:color="auto"/>
        <w:right w:val="none" w:sz="0" w:space="0" w:color="auto"/>
      </w:divBdr>
      <w:divsChild>
        <w:div w:id="1635329733">
          <w:marLeft w:val="0"/>
          <w:marRight w:val="0"/>
          <w:marTop w:val="0"/>
          <w:marBottom w:val="0"/>
          <w:divBdr>
            <w:top w:val="none" w:sz="0" w:space="0" w:color="auto"/>
            <w:left w:val="none" w:sz="0" w:space="0" w:color="auto"/>
            <w:bottom w:val="none" w:sz="0" w:space="0" w:color="auto"/>
            <w:right w:val="none" w:sz="0" w:space="0" w:color="auto"/>
          </w:divBdr>
          <w:divsChild>
            <w:div w:id="1864703474">
              <w:marLeft w:val="0"/>
              <w:marRight w:val="0"/>
              <w:marTop w:val="0"/>
              <w:marBottom w:val="0"/>
              <w:divBdr>
                <w:top w:val="none" w:sz="0" w:space="0" w:color="auto"/>
                <w:left w:val="none" w:sz="0" w:space="0" w:color="auto"/>
                <w:bottom w:val="none" w:sz="0" w:space="0" w:color="auto"/>
                <w:right w:val="none" w:sz="0" w:space="0" w:color="auto"/>
              </w:divBdr>
              <w:divsChild>
                <w:div w:id="8124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50174660">
      <w:bodyDiv w:val="1"/>
      <w:marLeft w:val="0"/>
      <w:marRight w:val="0"/>
      <w:marTop w:val="0"/>
      <w:marBottom w:val="0"/>
      <w:divBdr>
        <w:top w:val="none" w:sz="0" w:space="0" w:color="auto"/>
        <w:left w:val="none" w:sz="0" w:space="0" w:color="auto"/>
        <w:bottom w:val="none" w:sz="0" w:space="0" w:color="auto"/>
        <w:right w:val="none" w:sz="0" w:space="0" w:color="auto"/>
      </w:divBdr>
      <w:divsChild>
        <w:div w:id="529028932">
          <w:marLeft w:val="0"/>
          <w:marRight w:val="0"/>
          <w:marTop w:val="0"/>
          <w:marBottom w:val="0"/>
          <w:divBdr>
            <w:top w:val="none" w:sz="0" w:space="0" w:color="auto"/>
            <w:left w:val="none" w:sz="0" w:space="0" w:color="auto"/>
            <w:bottom w:val="none" w:sz="0" w:space="0" w:color="auto"/>
            <w:right w:val="none" w:sz="0" w:space="0" w:color="auto"/>
          </w:divBdr>
          <w:divsChild>
            <w:div w:id="1318262139">
              <w:marLeft w:val="0"/>
              <w:marRight w:val="0"/>
              <w:marTop w:val="0"/>
              <w:marBottom w:val="0"/>
              <w:divBdr>
                <w:top w:val="none" w:sz="0" w:space="0" w:color="auto"/>
                <w:left w:val="none" w:sz="0" w:space="0" w:color="auto"/>
                <w:bottom w:val="none" w:sz="0" w:space="0" w:color="auto"/>
                <w:right w:val="none" w:sz="0" w:space="0" w:color="auto"/>
              </w:divBdr>
              <w:divsChild>
                <w:div w:id="2897402">
                  <w:marLeft w:val="0"/>
                  <w:marRight w:val="0"/>
                  <w:marTop w:val="0"/>
                  <w:marBottom w:val="0"/>
                  <w:divBdr>
                    <w:top w:val="none" w:sz="0" w:space="0" w:color="auto"/>
                    <w:left w:val="none" w:sz="0" w:space="0" w:color="auto"/>
                    <w:bottom w:val="none" w:sz="0" w:space="0" w:color="auto"/>
                    <w:right w:val="none" w:sz="0" w:space="0" w:color="auto"/>
                  </w:divBdr>
                  <w:divsChild>
                    <w:div w:id="10900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6144">
      <w:bodyDiv w:val="1"/>
      <w:marLeft w:val="0"/>
      <w:marRight w:val="0"/>
      <w:marTop w:val="0"/>
      <w:marBottom w:val="0"/>
      <w:divBdr>
        <w:top w:val="none" w:sz="0" w:space="0" w:color="auto"/>
        <w:left w:val="none" w:sz="0" w:space="0" w:color="auto"/>
        <w:bottom w:val="none" w:sz="0" w:space="0" w:color="auto"/>
        <w:right w:val="none" w:sz="0" w:space="0" w:color="auto"/>
      </w:divBdr>
    </w:div>
    <w:div w:id="1858734382">
      <w:bodyDiv w:val="1"/>
      <w:marLeft w:val="0"/>
      <w:marRight w:val="0"/>
      <w:marTop w:val="0"/>
      <w:marBottom w:val="0"/>
      <w:divBdr>
        <w:top w:val="none" w:sz="0" w:space="0" w:color="auto"/>
        <w:left w:val="none" w:sz="0" w:space="0" w:color="auto"/>
        <w:bottom w:val="none" w:sz="0" w:space="0" w:color="auto"/>
        <w:right w:val="none" w:sz="0" w:space="0" w:color="auto"/>
      </w:divBdr>
    </w:div>
    <w:div w:id="1863084253">
      <w:bodyDiv w:val="1"/>
      <w:marLeft w:val="0"/>
      <w:marRight w:val="0"/>
      <w:marTop w:val="0"/>
      <w:marBottom w:val="0"/>
      <w:divBdr>
        <w:top w:val="none" w:sz="0" w:space="0" w:color="auto"/>
        <w:left w:val="none" w:sz="0" w:space="0" w:color="auto"/>
        <w:bottom w:val="none" w:sz="0" w:space="0" w:color="auto"/>
        <w:right w:val="none" w:sz="0" w:space="0" w:color="auto"/>
      </w:divBdr>
      <w:divsChild>
        <w:div w:id="1603221871">
          <w:marLeft w:val="0"/>
          <w:marRight w:val="0"/>
          <w:marTop w:val="0"/>
          <w:marBottom w:val="0"/>
          <w:divBdr>
            <w:top w:val="none" w:sz="0" w:space="0" w:color="auto"/>
            <w:left w:val="none" w:sz="0" w:space="0" w:color="auto"/>
            <w:bottom w:val="none" w:sz="0" w:space="0" w:color="auto"/>
            <w:right w:val="none" w:sz="0" w:space="0" w:color="auto"/>
          </w:divBdr>
          <w:divsChild>
            <w:div w:id="1400906437">
              <w:marLeft w:val="0"/>
              <w:marRight w:val="0"/>
              <w:marTop w:val="0"/>
              <w:marBottom w:val="0"/>
              <w:divBdr>
                <w:top w:val="none" w:sz="0" w:space="0" w:color="auto"/>
                <w:left w:val="none" w:sz="0" w:space="0" w:color="auto"/>
                <w:bottom w:val="none" w:sz="0" w:space="0" w:color="auto"/>
                <w:right w:val="none" w:sz="0" w:space="0" w:color="auto"/>
              </w:divBdr>
              <w:divsChild>
                <w:div w:id="1684941712">
                  <w:marLeft w:val="0"/>
                  <w:marRight w:val="0"/>
                  <w:marTop w:val="0"/>
                  <w:marBottom w:val="0"/>
                  <w:divBdr>
                    <w:top w:val="none" w:sz="0" w:space="0" w:color="auto"/>
                    <w:left w:val="none" w:sz="0" w:space="0" w:color="auto"/>
                    <w:bottom w:val="none" w:sz="0" w:space="0" w:color="auto"/>
                    <w:right w:val="none" w:sz="0" w:space="0" w:color="auto"/>
                  </w:divBdr>
                  <w:divsChild>
                    <w:div w:id="13050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58171">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74807611">
      <w:bodyDiv w:val="1"/>
      <w:marLeft w:val="0"/>
      <w:marRight w:val="0"/>
      <w:marTop w:val="0"/>
      <w:marBottom w:val="0"/>
      <w:divBdr>
        <w:top w:val="none" w:sz="0" w:space="0" w:color="auto"/>
        <w:left w:val="none" w:sz="0" w:space="0" w:color="auto"/>
        <w:bottom w:val="none" w:sz="0" w:space="0" w:color="auto"/>
        <w:right w:val="none" w:sz="0" w:space="0" w:color="auto"/>
      </w:divBdr>
      <w:divsChild>
        <w:div w:id="770316212">
          <w:marLeft w:val="0"/>
          <w:marRight w:val="0"/>
          <w:marTop w:val="0"/>
          <w:marBottom w:val="0"/>
          <w:divBdr>
            <w:top w:val="none" w:sz="0" w:space="0" w:color="auto"/>
            <w:left w:val="none" w:sz="0" w:space="0" w:color="auto"/>
            <w:bottom w:val="none" w:sz="0" w:space="0" w:color="auto"/>
            <w:right w:val="none" w:sz="0" w:space="0" w:color="auto"/>
          </w:divBdr>
          <w:divsChild>
            <w:div w:id="23865498">
              <w:marLeft w:val="0"/>
              <w:marRight w:val="0"/>
              <w:marTop w:val="0"/>
              <w:marBottom w:val="0"/>
              <w:divBdr>
                <w:top w:val="none" w:sz="0" w:space="0" w:color="auto"/>
                <w:left w:val="none" w:sz="0" w:space="0" w:color="auto"/>
                <w:bottom w:val="none" w:sz="0" w:space="0" w:color="auto"/>
                <w:right w:val="none" w:sz="0" w:space="0" w:color="auto"/>
              </w:divBdr>
              <w:divsChild>
                <w:div w:id="1223711433">
                  <w:marLeft w:val="0"/>
                  <w:marRight w:val="0"/>
                  <w:marTop w:val="0"/>
                  <w:marBottom w:val="0"/>
                  <w:divBdr>
                    <w:top w:val="none" w:sz="0" w:space="0" w:color="auto"/>
                    <w:left w:val="none" w:sz="0" w:space="0" w:color="auto"/>
                    <w:bottom w:val="none" w:sz="0" w:space="0" w:color="auto"/>
                    <w:right w:val="none" w:sz="0" w:space="0" w:color="auto"/>
                  </w:divBdr>
                  <w:divsChild>
                    <w:div w:id="8600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71863">
      <w:bodyDiv w:val="1"/>
      <w:marLeft w:val="0"/>
      <w:marRight w:val="0"/>
      <w:marTop w:val="0"/>
      <w:marBottom w:val="0"/>
      <w:divBdr>
        <w:top w:val="none" w:sz="0" w:space="0" w:color="auto"/>
        <w:left w:val="none" w:sz="0" w:space="0" w:color="auto"/>
        <w:bottom w:val="none" w:sz="0" w:space="0" w:color="auto"/>
        <w:right w:val="none" w:sz="0" w:space="0" w:color="auto"/>
      </w:divBdr>
    </w:div>
    <w:div w:id="1885482142">
      <w:bodyDiv w:val="1"/>
      <w:marLeft w:val="0"/>
      <w:marRight w:val="0"/>
      <w:marTop w:val="0"/>
      <w:marBottom w:val="0"/>
      <w:divBdr>
        <w:top w:val="none" w:sz="0" w:space="0" w:color="auto"/>
        <w:left w:val="none" w:sz="0" w:space="0" w:color="auto"/>
        <w:bottom w:val="none" w:sz="0" w:space="0" w:color="auto"/>
        <w:right w:val="none" w:sz="0" w:space="0" w:color="auto"/>
      </w:divBdr>
      <w:divsChild>
        <w:div w:id="1804232704">
          <w:marLeft w:val="0"/>
          <w:marRight w:val="0"/>
          <w:marTop w:val="0"/>
          <w:marBottom w:val="0"/>
          <w:divBdr>
            <w:top w:val="none" w:sz="0" w:space="0" w:color="auto"/>
            <w:left w:val="none" w:sz="0" w:space="0" w:color="auto"/>
            <w:bottom w:val="none" w:sz="0" w:space="0" w:color="auto"/>
            <w:right w:val="none" w:sz="0" w:space="0" w:color="auto"/>
          </w:divBdr>
          <w:divsChild>
            <w:div w:id="903492881">
              <w:marLeft w:val="0"/>
              <w:marRight w:val="0"/>
              <w:marTop w:val="0"/>
              <w:marBottom w:val="0"/>
              <w:divBdr>
                <w:top w:val="none" w:sz="0" w:space="0" w:color="auto"/>
                <w:left w:val="none" w:sz="0" w:space="0" w:color="auto"/>
                <w:bottom w:val="none" w:sz="0" w:space="0" w:color="auto"/>
                <w:right w:val="none" w:sz="0" w:space="0" w:color="auto"/>
              </w:divBdr>
              <w:divsChild>
                <w:div w:id="1043359939">
                  <w:marLeft w:val="0"/>
                  <w:marRight w:val="0"/>
                  <w:marTop w:val="0"/>
                  <w:marBottom w:val="0"/>
                  <w:divBdr>
                    <w:top w:val="none" w:sz="0" w:space="0" w:color="auto"/>
                    <w:left w:val="none" w:sz="0" w:space="0" w:color="auto"/>
                    <w:bottom w:val="none" w:sz="0" w:space="0" w:color="auto"/>
                    <w:right w:val="none" w:sz="0" w:space="0" w:color="auto"/>
                  </w:divBdr>
                  <w:divsChild>
                    <w:div w:id="182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19219">
      <w:bodyDiv w:val="1"/>
      <w:marLeft w:val="0"/>
      <w:marRight w:val="0"/>
      <w:marTop w:val="0"/>
      <w:marBottom w:val="0"/>
      <w:divBdr>
        <w:top w:val="none" w:sz="0" w:space="0" w:color="auto"/>
        <w:left w:val="none" w:sz="0" w:space="0" w:color="auto"/>
        <w:bottom w:val="none" w:sz="0" w:space="0" w:color="auto"/>
        <w:right w:val="none" w:sz="0" w:space="0" w:color="auto"/>
      </w:divBdr>
      <w:divsChild>
        <w:div w:id="1490368235">
          <w:marLeft w:val="0"/>
          <w:marRight w:val="0"/>
          <w:marTop w:val="0"/>
          <w:marBottom w:val="0"/>
          <w:divBdr>
            <w:top w:val="none" w:sz="0" w:space="0" w:color="auto"/>
            <w:left w:val="none" w:sz="0" w:space="0" w:color="auto"/>
            <w:bottom w:val="none" w:sz="0" w:space="0" w:color="auto"/>
            <w:right w:val="none" w:sz="0" w:space="0" w:color="auto"/>
          </w:divBdr>
          <w:divsChild>
            <w:div w:id="1792629045">
              <w:marLeft w:val="0"/>
              <w:marRight w:val="0"/>
              <w:marTop w:val="0"/>
              <w:marBottom w:val="0"/>
              <w:divBdr>
                <w:top w:val="none" w:sz="0" w:space="0" w:color="auto"/>
                <w:left w:val="none" w:sz="0" w:space="0" w:color="auto"/>
                <w:bottom w:val="none" w:sz="0" w:space="0" w:color="auto"/>
                <w:right w:val="none" w:sz="0" w:space="0" w:color="auto"/>
              </w:divBdr>
              <w:divsChild>
                <w:div w:id="1332945378">
                  <w:marLeft w:val="0"/>
                  <w:marRight w:val="0"/>
                  <w:marTop w:val="0"/>
                  <w:marBottom w:val="0"/>
                  <w:divBdr>
                    <w:top w:val="none" w:sz="0" w:space="0" w:color="auto"/>
                    <w:left w:val="none" w:sz="0" w:space="0" w:color="auto"/>
                    <w:bottom w:val="none" w:sz="0" w:space="0" w:color="auto"/>
                    <w:right w:val="none" w:sz="0" w:space="0" w:color="auto"/>
                  </w:divBdr>
                  <w:divsChild>
                    <w:div w:id="4828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15628">
      <w:bodyDiv w:val="1"/>
      <w:marLeft w:val="0"/>
      <w:marRight w:val="0"/>
      <w:marTop w:val="0"/>
      <w:marBottom w:val="0"/>
      <w:divBdr>
        <w:top w:val="none" w:sz="0" w:space="0" w:color="auto"/>
        <w:left w:val="none" w:sz="0" w:space="0" w:color="auto"/>
        <w:bottom w:val="none" w:sz="0" w:space="0" w:color="auto"/>
        <w:right w:val="none" w:sz="0" w:space="0" w:color="auto"/>
      </w:divBdr>
      <w:divsChild>
        <w:div w:id="1434208374">
          <w:marLeft w:val="0"/>
          <w:marRight w:val="0"/>
          <w:marTop w:val="0"/>
          <w:marBottom w:val="0"/>
          <w:divBdr>
            <w:top w:val="none" w:sz="0" w:space="0" w:color="auto"/>
            <w:left w:val="none" w:sz="0" w:space="0" w:color="auto"/>
            <w:bottom w:val="none" w:sz="0" w:space="0" w:color="auto"/>
            <w:right w:val="none" w:sz="0" w:space="0" w:color="auto"/>
          </w:divBdr>
          <w:divsChild>
            <w:div w:id="143132534">
              <w:marLeft w:val="0"/>
              <w:marRight w:val="0"/>
              <w:marTop w:val="0"/>
              <w:marBottom w:val="0"/>
              <w:divBdr>
                <w:top w:val="none" w:sz="0" w:space="0" w:color="auto"/>
                <w:left w:val="none" w:sz="0" w:space="0" w:color="auto"/>
                <w:bottom w:val="none" w:sz="0" w:space="0" w:color="auto"/>
                <w:right w:val="none" w:sz="0" w:space="0" w:color="auto"/>
              </w:divBdr>
              <w:divsChild>
                <w:div w:id="1005279485">
                  <w:marLeft w:val="0"/>
                  <w:marRight w:val="0"/>
                  <w:marTop w:val="0"/>
                  <w:marBottom w:val="0"/>
                  <w:divBdr>
                    <w:top w:val="none" w:sz="0" w:space="0" w:color="auto"/>
                    <w:left w:val="none" w:sz="0" w:space="0" w:color="auto"/>
                    <w:bottom w:val="none" w:sz="0" w:space="0" w:color="auto"/>
                    <w:right w:val="none" w:sz="0" w:space="0" w:color="auto"/>
                  </w:divBdr>
                  <w:divsChild>
                    <w:div w:id="19039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898779482">
      <w:bodyDiv w:val="1"/>
      <w:marLeft w:val="0"/>
      <w:marRight w:val="0"/>
      <w:marTop w:val="0"/>
      <w:marBottom w:val="0"/>
      <w:divBdr>
        <w:top w:val="none" w:sz="0" w:space="0" w:color="auto"/>
        <w:left w:val="none" w:sz="0" w:space="0" w:color="auto"/>
        <w:bottom w:val="none" w:sz="0" w:space="0" w:color="auto"/>
        <w:right w:val="none" w:sz="0" w:space="0" w:color="auto"/>
      </w:divBdr>
    </w:div>
    <w:div w:id="1912227502">
      <w:bodyDiv w:val="1"/>
      <w:marLeft w:val="0"/>
      <w:marRight w:val="0"/>
      <w:marTop w:val="0"/>
      <w:marBottom w:val="0"/>
      <w:divBdr>
        <w:top w:val="none" w:sz="0" w:space="0" w:color="auto"/>
        <w:left w:val="none" w:sz="0" w:space="0" w:color="auto"/>
        <w:bottom w:val="none" w:sz="0" w:space="0" w:color="auto"/>
        <w:right w:val="none" w:sz="0" w:space="0" w:color="auto"/>
      </w:divBdr>
    </w:div>
    <w:div w:id="1924341660">
      <w:bodyDiv w:val="1"/>
      <w:marLeft w:val="0"/>
      <w:marRight w:val="0"/>
      <w:marTop w:val="0"/>
      <w:marBottom w:val="0"/>
      <w:divBdr>
        <w:top w:val="none" w:sz="0" w:space="0" w:color="auto"/>
        <w:left w:val="none" w:sz="0" w:space="0" w:color="auto"/>
        <w:bottom w:val="none" w:sz="0" w:space="0" w:color="auto"/>
        <w:right w:val="none" w:sz="0" w:space="0" w:color="auto"/>
      </w:divBdr>
      <w:divsChild>
        <w:div w:id="1493329506">
          <w:marLeft w:val="0"/>
          <w:marRight w:val="0"/>
          <w:marTop w:val="0"/>
          <w:marBottom w:val="0"/>
          <w:divBdr>
            <w:top w:val="none" w:sz="0" w:space="0" w:color="auto"/>
            <w:left w:val="none" w:sz="0" w:space="0" w:color="auto"/>
            <w:bottom w:val="none" w:sz="0" w:space="0" w:color="auto"/>
            <w:right w:val="none" w:sz="0" w:space="0" w:color="auto"/>
          </w:divBdr>
          <w:divsChild>
            <w:div w:id="650717683">
              <w:marLeft w:val="0"/>
              <w:marRight w:val="0"/>
              <w:marTop w:val="0"/>
              <w:marBottom w:val="0"/>
              <w:divBdr>
                <w:top w:val="none" w:sz="0" w:space="0" w:color="auto"/>
                <w:left w:val="none" w:sz="0" w:space="0" w:color="auto"/>
                <w:bottom w:val="none" w:sz="0" w:space="0" w:color="auto"/>
                <w:right w:val="none" w:sz="0" w:space="0" w:color="auto"/>
              </w:divBdr>
              <w:divsChild>
                <w:div w:id="32116671">
                  <w:marLeft w:val="0"/>
                  <w:marRight w:val="0"/>
                  <w:marTop w:val="0"/>
                  <w:marBottom w:val="0"/>
                  <w:divBdr>
                    <w:top w:val="none" w:sz="0" w:space="0" w:color="auto"/>
                    <w:left w:val="none" w:sz="0" w:space="0" w:color="auto"/>
                    <w:bottom w:val="none" w:sz="0" w:space="0" w:color="auto"/>
                    <w:right w:val="none" w:sz="0" w:space="0" w:color="auto"/>
                  </w:divBdr>
                  <w:divsChild>
                    <w:div w:id="7770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47002">
      <w:bodyDiv w:val="1"/>
      <w:marLeft w:val="0"/>
      <w:marRight w:val="0"/>
      <w:marTop w:val="0"/>
      <w:marBottom w:val="0"/>
      <w:divBdr>
        <w:top w:val="none" w:sz="0" w:space="0" w:color="auto"/>
        <w:left w:val="none" w:sz="0" w:space="0" w:color="auto"/>
        <w:bottom w:val="none" w:sz="0" w:space="0" w:color="auto"/>
        <w:right w:val="none" w:sz="0" w:space="0" w:color="auto"/>
      </w:divBdr>
      <w:divsChild>
        <w:div w:id="1617133400">
          <w:marLeft w:val="0"/>
          <w:marRight w:val="0"/>
          <w:marTop w:val="0"/>
          <w:marBottom w:val="0"/>
          <w:divBdr>
            <w:top w:val="none" w:sz="0" w:space="0" w:color="auto"/>
            <w:left w:val="none" w:sz="0" w:space="0" w:color="auto"/>
            <w:bottom w:val="none" w:sz="0" w:space="0" w:color="auto"/>
            <w:right w:val="none" w:sz="0" w:space="0" w:color="auto"/>
          </w:divBdr>
          <w:divsChild>
            <w:div w:id="1021662840">
              <w:marLeft w:val="0"/>
              <w:marRight w:val="0"/>
              <w:marTop w:val="0"/>
              <w:marBottom w:val="0"/>
              <w:divBdr>
                <w:top w:val="none" w:sz="0" w:space="0" w:color="auto"/>
                <w:left w:val="none" w:sz="0" w:space="0" w:color="auto"/>
                <w:bottom w:val="none" w:sz="0" w:space="0" w:color="auto"/>
                <w:right w:val="none" w:sz="0" w:space="0" w:color="auto"/>
              </w:divBdr>
              <w:divsChild>
                <w:div w:id="1931426341">
                  <w:marLeft w:val="0"/>
                  <w:marRight w:val="0"/>
                  <w:marTop w:val="0"/>
                  <w:marBottom w:val="0"/>
                  <w:divBdr>
                    <w:top w:val="none" w:sz="0" w:space="0" w:color="auto"/>
                    <w:left w:val="none" w:sz="0" w:space="0" w:color="auto"/>
                    <w:bottom w:val="none" w:sz="0" w:space="0" w:color="auto"/>
                    <w:right w:val="none" w:sz="0" w:space="0" w:color="auto"/>
                  </w:divBdr>
                  <w:divsChild>
                    <w:div w:id="10792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69386668">
      <w:bodyDiv w:val="1"/>
      <w:marLeft w:val="0"/>
      <w:marRight w:val="0"/>
      <w:marTop w:val="0"/>
      <w:marBottom w:val="0"/>
      <w:divBdr>
        <w:top w:val="none" w:sz="0" w:space="0" w:color="auto"/>
        <w:left w:val="none" w:sz="0" w:space="0" w:color="auto"/>
        <w:bottom w:val="none" w:sz="0" w:space="0" w:color="auto"/>
        <w:right w:val="none" w:sz="0" w:space="0" w:color="auto"/>
      </w:divBdr>
      <w:divsChild>
        <w:div w:id="2130077743">
          <w:marLeft w:val="0"/>
          <w:marRight w:val="0"/>
          <w:marTop w:val="0"/>
          <w:marBottom w:val="0"/>
          <w:divBdr>
            <w:top w:val="none" w:sz="0" w:space="0" w:color="auto"/>
            <w:left w:val="none" w:sz="0" w:space="0" w:color="auto"/>
            <w:bottom w:val="none" w:sz="0" w:space="0" w:color="auto"/>
            <w:right w:val="none" w:sz="0" w:space="0" w:color="auto"/>
          </w:divBdr>
          <w:divsChild>
            <w:div w:id="1853032715">
              <w:marLeft w:val="0"/>
              <w:marRight w:val="0"/>
              <w:marTop w:val="0"/>
              <w:marBottom w:val="0"/>
              <w:divBdr>
                <w:top w:val="none" w:sz="0" w:space="0" w:color="auto"/>
                <w:left w:val="none" w:sz="0" w:space="0" w:color="auto"/>
                <w:bottom w:val="none" w:sz="0" w:space="0" w:color="auto"/>
                <w:right w:val="none" w:sz="0" w:space="0" w:color="auto"/>
              </w:divBdr>
              <w:divsChild>
                <w:div w:id="307520291">
                  <w:marLeft w:val="0"/>
                  <w:marRight w:val="0"/>
                  <w:marTop w:val="0"/>
                  <w:marBottom w:val="0"/>
                  <w:divBdr>
                    <w:top w:val="none" w:sz="0" w:space="0" w:color="auto"/>
                    <w:left w:val="none" w:sz="0" w:space="0" w:color="auto"/>
                    <w:bottom w:val="none" w:sz="0" w:space="0" w:color="auto"/>
                    <w:right w:val="none" w:sz="0" w:space="0" w:color="auto"/>
                  </w:divBdr>
                  <w:divsChild>
                    <w:div w:id="20928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39991">
      <w:bodyDiv w:val="1"/>
      <w:marLeft w:val="0"/>
      <w:marRight w:val="0"/>
      <w:marTop w:val="0"/>
      <w:marBottom w:val="0"/>
      <w:divBdr>
        <w:top w:val="none" w:sz="0" w:space="0" w:color="auto"/>
        <w:left w:val="none" w:sz="0" w:space="0" w:color="auto"/>
        <w:bottom w:val="none" w:sz="0" w:space="0" w:color="auto"/>
        <w:right w:val="none" w:sz="0" w:space="0" w:color="auto"/>
      </w:divBdr>
      <w:divsChild>
        <w:div w:id="2099982406">
          <w:marLeft w:val="0"/>
          <w:marRight w:val="0"/>
          <w:marTop w:val="0"/>
          <w:marBottom w:val="0"/>
          <w:divBdr>
            <w:top w:val="none" w:sz="0" w:space="0" w:color="auto"/>
            <w:left w:val="none" w:sz="0" w:space="0" w:color="auto"/>
            <w:bottom w:val="none" w:sz="0" w:space="0" w:color="auto"/>
            <w:right w:val="none" w:sz="0" w:space="0" w:color="auto"/>
          </w:divBdr>
          <w:divsChild>
            <w:div w:id="1478493327">
              <w:marLeft w:val="0"/>
              <w:marRight w:val="0"/>
              <w:marTop w:val="0"/>
              <w:marBottom w:val="0"/>
              <w:divBdr>
                <w:top w:val="none" w:sz="0" w:space="0" w:color="auto"/>
                <w:left w:val="none" w:sz="0" w:space="0" w:color="auto"/>
                <w:bottom w:val="none" w:sz="0" w:space="0" w:color="auto"/>
                <w:right w:val="none" w:sz="0" w:space="0" w:color="auto"/>
              </w:divBdr>
              <w:divsChild>
                <w:div w:id="1533107402">
                  <w:marLeft w:val="0"/>
                  <w:marRight w:val="0"/>
                  <w:marTop w:val="0"/>
                  <w:marBottom w:val="0"/>
                  <w:divBdr>
                    <w:top w:val="none" w:sz="0" w:space="0" w:color="auto"/>
                    <w:left w:val="none" w:sz="0" w:space="0" w:color="auto"/>
                    <w:bottom w:val="none" w:sz="0" w:space="0" w:color="auto"/>
                    <w:right w:val="none" w:sz="0" w:space="0" w:color="auto"/>
                  </w:divBdr>
                  <w:divsChild>
                    <w:div w:id="2080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80179">
      <w:bodyDiv w:val="1"/>
      <w:marLeft w:val="0"/>
      <w:marRight w:val="0"/>
      <w:marTop w:val="0"/>
      <w:marBottom w:val="0"/>
      <w:divBdr>
        <w:top w:val="none" w:sz="0" w:space="0" w:color="auto"/>
        <w:left w:val="none" w:sz="0" w:space="0" w:color="auto"/>
        <w:bottom w:val="none" w:sz="0" w:space="0" w:color="auto"/>
        <w:right w:val="none" w:sz="0" w:space="0" w:color="auto"/>
      </w:divBdr>
      <w:divsChild>
        <w:div w:id="601108817">
          <w:marLeft w:val="0"/>
          <w:marRight w:val="0"/>
          <w:marTop w:val="0"/>
          <w:marBottom w:val="0"/>
          <w:divBdr>
            <w:top w:val="none" w:sz="0" w:space="0" w:color="auto"/>
            <w:left w:val="none" w:sz="0" w:space="0" w:color="auto"/>
            <w:bottom w:val="none" w:sz="0" w:space="0" w:color="auto"/>
            <w:right w:val="none" w:sz="0" w:space="0" w:color="auto"/>
          </w:divBdr>
          <w:divsChild>
            <w:div w:id="594245321">
              <w:marLeft w:val="0"/>
              <w:marRight w:val="0"/>
              <w:marTop w:val="0"/>
              <w:marBottom w:val="0"/>
              <w:divBdr>
                <w:top w:val="none" w:sz="0" w:space="0" w:color="auto"/>
                <w:left w:val="none" w:sz="0" w:space="0" w:color="auto"/>
                <w:bottom w:val="none" w:sz="0" w:space="0" w:color="auto"/>
                <w:right w:val="none" w:sz="0" w:space="0" w:color="auto"/>
              </w:divBdr>
              <w:divsChild>
                <w:div w:id="1911572356">
                  <w:marLeft w:val="0"/>
                  <w:marRight w:val="0"/>
                  <w:marTop w:val="0"/>
                  <w:marBottom w:val="0"/>
                  <w:divBdr>
                    <w:top w:val="none" w:sz="0" w:space="0" w:color="auto"/>
                    <w:left w:val="none" w:sz="0" w:space="0" w:color="auto"/>
                    <w:bottom w:val="none" w:sz="0" w:space="0" w:color="auto"/>
                    <w:right w:val="none" w:sz="0" w:space="0" w:color="auto"/>
                  </w:divBdr>
                  <w:divsChild>
                    <w:div w:id="338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55283">
      <w:bodyDiv w:val="1"/>
      <w:marLeft w:val="0"/>
      <w:marRight w:val="0"/>
      <w:marTop w:val="0"/>
      <w:marBottom w:val="0"/>
      <w:divBdr>
        <w:top w:val="none" w:sz="0" w:space="0" w:color="auto"/>
        <w:left w:val="none" w:sz="0" w:space="0" w:color="auto"/>
        <w:bottom w:val="none" w:sz="0" w:space="0" w:color="auto"/>
        <w:right w:val="none" w:sz="0" w:space="0" w:color="auto"/>
      </w:divBdr>
      <w:divsChild>
        <w:div w:id="1880630614">
          <w:marLeft w:val="0"/>
          <w:marRight w:val="0"/>
          <w:marTop w:val="0"/>
          <w:marBottom w:val="0"/>
          <w:divBdr>
            <w:top w:val="none" w:sz="0" w:space="0" w:color="auto"/>
            <w:left w:val="none" w:sz="0" w:space="0" w:color="auto"/>
            <w:bottom w:val="none" w:sz="0" w:space="0" w:color="auto"/>
            <w:right w:val="none" w:sz="0" w:space="0" w:color="auto"/>
          </w:divBdr>
        </w:div>
        <w:div w:id="1894730889">
          <w:marLeft w:val="0"/>
          <w:marRight w:val="0"/>
          <w:marTop w:val="0"/>
          <w:marBottom w:val="0"/>
          <w:divBdr>
            <w:top w:val="single" w:sz="6" w:space="0" w:color="D5D5D5"/>
            <w:left w:val="single" w:sz="6" w:space="0" w:color="D5D5D5"/>
            <w:bottom w:val="single" w:sz="6" w:space="0" w:color="D5D5D5"/>
            <w:right w:val="single" w:sz="6" w:space="0" w:color="D5D5D5"/>
          </w:divBdr>
          <w:divsChild>
            <w:div w:id="1133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88316">
      <w:bodyDiv w:val="1"/>
      <w:marLeft w:val="0"/>
      <w:marRight w:val="0"/>
      <w:marTop w:val="0"/>
      <w:marBottom w:val="0"/>
      <w:divBdr>
        <w:top w:val="none" w:sz="0" w:space="0" w:color="auto"/>
        <w:left w:val="none" w:sz="0" w:space="0" w:color="auto"/>
        <w:bottom w:val="none" w:sz="0" w:space="0" w:color="auto"/>
        <w:right w:val="none" w:sz="0" w:space="0" w:color="auto"/>
      </w:divBdr>
      <w:divsChild>
        <w:div w:id="1434738768">
          <w:marLeft w:val="0"/>
          <w:marRight w:val="0"/>
          <w:marTop w:val="0"/>
          <w:marBottom w:val="0"/>
          <w:divBdr>
            <w:top w:val="none" w:sz="0" w:space="0" w:color="auto"/>
            <w:left w:val="none" w:sz="0" w:space="0" w:color="auto"/>
            <w:bottom w:val="none" w:sz="0" w:space="0" w:color="auto"/>
            <w:right w:val="none" w:sz="0" w:space="0" w:color="auto"/>
          </w:divBdr>
          <w:divsChild>
            <w:div w:id="820728576">
              <w:marLeft w:val="0"/>
              <w:marRight w:val="0"/>
              <w:marTop w:val="0"/>
              <w:marBottom w:val="0"/>
              <w:divBdr>
                <w:top w:val="none" w:sz="0" w:space="0" w:color="auto"/>
                <w:left w:val="none" w:sz="0" w:space="0" w:color="auto"/>
                <w:bottom w:val="none" w:sz="0" w:space="0" w:color="auto"/>
                <w:right w:val="none" w:sz="0" w:space="0" w:color="auto"/>
              </w:divBdr>
              <w:divsChild>
                <w:div w:id="2053387312">
                  <w:marLeft w:val="0"/>
                  <w:marRight w:val="0"/>
                  <w:marTop w:val="0"/>
                  <w:marBottom w:val="0"/>
                  <w:divBdr>
                    <w:top w:val="none" w:sz="0" w:space="0" w:color="auto"/>
                    <w:left w:val="none" w:sz="0" w:space="0" w:color="auto"/>
                    <w:bottom w:val="none" w:sz="0" w:space="0" w:color="auto"/>
                    <w:right w:val="none" w:sz="0" w:space="0" w:color="auto"/>
                  </w:divBdr>
                  <w:divsChild>
                    <w:div w:id="9399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48860">
      <w:bodyDiv w:val="1"/>
      <w:marLeft w:val="0"/>
      <w:marRight w:val="0"/>
      <w:marTop w:val="0"/>
      <w:marBottom w:val="0"/>
      <w:divBdr>
        <w:top w:val="none" w:sz="0" w:space="0" w:color="auto"/>
        <w:left w:val="none" w:sz="0" w:space="0" w:color="auto"/>
        <w:bottom w:val="none" w:sz="0" w:space="0" w:color="auto"/>
        <w:right w:val="none" w:sz="0" w:space="0" w:color="auto"/>
      </w:divBdr>
    </w:div>
    <w:div w:id="2006668368">
      <w:bodyDiv w:val="1"/>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0"/>
          <w:marBottom w:val="0"/>
          <w:divBdr>
            <w:top w:val="none" w:sz="0" w:space="0" w:color="auto"/>
            <w:left w:val="none" w:sz="0" w:space="0" w:color="auto"/>
            <w:bottom w:val="none" w:sz="0" w:space="0" w:color="auto"/>
            <w:right w:val="none" w:sz="0" w:space="0" w:color="auto"/>
          </w:divBdr>
        </w:div>
      </w:divsChild>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10910699">
      <w:bodyDiv w:val="1"/>
      <w:marLeft w:val="0"/>
      <w:marRight w:val="0"/>
      <w:marTop w:val="0"/>
      <w:marBottom w:val="0"/>
      <w:divBdr>
        <w:top w:val="none" w:sz="0" w:space="0" w:color="auto"/>
        <w:left w:val="none" w:sz="0" w:space="0" w:color="auto"/>
        <w:bottom w:val="none" w:sz="0" w:space="0" w:color="auto"/>
        <w:right w:val="none" w:sz="0" w:space="0" w:color="auto"/>
      </w:divBdr>
      <w:divsChild>
        <w:div w:id="697049026">
          <w:marLeft w:val="0"/>
          <w:marRight w:val="0"/>
          <w:marTop w:val="0"/>
          <w:marBottom w:val="0"/>
          <w:divBdr>
            <w:top w:val="none" w:sz="0" w:space="0" w:color="auto"/>
            <w:left w:val="none" w:sz="0" w:space="0" w:color="auto"/>
            <w:bottom w:val="none" w:sz="0" w:space="0" w:color="auto"/>
            <w:right w:val="none" w:sz="0" w:space="0" w:color="auto"/>
          </w:divBdr>
          <w:divsChild>
            <w:div w:id="778908877">
              <w:marLeft w:val="0"/>
              <w:marRight w:val="0"/>
              <w:marTop w:val="0"/>
              <w:marBottom w:val="0"/>
              <w:divBdr>
                <w:top w:val="none" w:sz="0" w:space="0" w:color="auto"/>
                <w:left w:val="none" w:sz="0" w:space="0" w:color="auto"/>
                <w:bottom w:val="none" w:sz="0" w:space="0" w:color="auto"/>
                <w:right w:val="none" w:sz="0" w:space="0" w:color="auto"/>
              </w:divBdr>
              <w:divsChild>
                <w:div w:id="978534809">
                  <w:marLeft w:val="0"/>
                  <w:marRight w:val="0"/>
                  <w:marTop w:val="0"/>
                  <w:marBottom w:val="0"/>
                  <w:divBdr>
                    <w:top w:val="none" w:sz="0" w:space="0" w:color="auto"/>
                    <w:left w:val="none" w:sz="0" w:space="0" w:color="auto"/>
                    <w:bottom w:val="none" w:sz="0" w:space="0" w:color="auto"/>
                    <w:right w:val="none" w:sz="0" w:space="0" w:color="auto"/>
                  </w:divBdr>
                  <w:divsChild>
                    <w:div w:id="10816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57706">
      <w:bodyDiv w:val="1"/>
      <w:marLeft w:val="0"/>
      <w:marRight w:val="0"/>
      <w:marTop w:val="0"/>
      <w:marBottom w:val="0"/>
      <w:divBdr>
        <w:top w:val="none" w:sz="0" w:space="0" w:color="auto"/>
        <w:left w:val="none" w:sz="0" w:space="0" w:color="auto"/>
        <w:bottom w:val="none" w:sz="0" w:space="0" w:color="auto"/>
        <w:right w:val="none" w:sz="0" w:space="0" w:color="auto"/>
      </w:divBdr>
      <w:divsChild>
        <w:div w:id="676619471">
          <w:marLeft w:val="0"/>
          <w:marRight w:val="0"/>
          <w:marTop w:val="0"/>
          <w:marBottom w:val="0"/>
          <w:divBdr>
            <w:top w:val="none" w:sz="0" w:space="0" w:color="auto"/>
            <w:left w:val="none" w:sz="0" w:space="0" w:color="auto"/>
            <w:bottom w:val="none" w:sz="0" w:space="0" w:color="auto"/>
            <w:right w:val="none" w:sz="0" w:space="0" w:color="auto"/>
          </w:divBdr>
          <w:divsChild>
            <w:div w:id="287250188">
              <w:marLeft w:val="0"/>
              <w:marRight w:val="0"/>
              <w:marTop w:val="0"/>
              <w:marBottom w:val="0"/>
              <w:divBdr>
                <w:top w:val="none" w:sz="0" w:space="0" w:color="auto"/>
                <w:left w:val="none" w:sz="0" w:space="0" w:color="auto"/>
                <w:bottom w:val="none" w:sz="0" w:space="0" w:color="auto"/>
                <w:right w:val="none" w:sz="0" w:space="0" w:color="auto"/>
              </w:divBdr>
              <w:divsChild>
                <w:div w:id="2014449876">
                  <w:marLeft w:val="0"/>
                  <w:marRight w:val="0"/>
                  <w:marTop w:val="0"/>
                  <w:marBottom w:val="0"/>
                  <w:divBdr>
                    <w:top w:val="none" w:sz="0" w:space="0" w:color="auto"/>
                    <w:left w:val="none" w:sz="0" w:space="0" w:color="auto"/>
                    <w:bottom w:val="none" w:sz="0" w:space="0" w:color="auto"/>
                    <w:right w:val="none" w:sz="0" w:space="0" w:color="auto"/>
                  </w:divBdr>
                  <w:divsChild>
                    <w:div w:id="19163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2688">
      <w:bodyDiv w:val="1"/>
      <w:marLeft w:val="0"/>
      <w:marRight w:val="0"/>
      <w:marTop w:val="0"/>
      <w:marBottom w:val="0"/>
      <w:divBdr>
        <w:top w:val="none" w:sz="0" w:space="0" w:color="auto"/>
        <w:left w:val="none" w:sz="0" w:space="0" w:color="auto"/>
        <w:bottom w:val="none" w:sz="0" w:space="0" w:color="auto"/>
        <w:right w:val="none" w:sz="0" w:space="0" w:color="auto"/>
      </w:divBdr>
    </w:div>
    <w:div w:id="2041740089">
      <w:bodyDiv w:val="1"/>
      <w:marLeft w:val="0"/>
      <w:marRight w:val="0"/>
      <w:marTop w:val="0"/>
      <w:marBottom w:val="0"/>
      <w:divBdr>
        <w:top w:val="none" w:sz="0" w:space="0" w:color="auto"/>
        <w:left w:val="none" w:sz="0" w:space="0" w:color="auto"/>
        <w:bottom w:val="none" w:sz="0" w:space="0" w:color="auto"/>
        <w:right w:val="none" w:sz="0" w:space="0" w:color="auto"/>
      </w:divBdr>
      <w:divsChild>
        <w:div w:id="1585266318">
          <w:marLeft w:val="0"/>
          <w:marRight w:val="0"/>
          <w:marTop w:val="0"/>
          <w:marBottom w:val="0"/>
          <w:divBdr>
            <w:top w:val="none" w:sz="0" w:space="0" w:color="auto"/>
            <w:left w:val="none" w:sz="0" w:space="0" w:color="auto"/>
            <w:bottom w:val="none" w:sz="0" w:space="0" w:color="auto"/>
            <w:right w:val="none" w:sz="0" w:space="0" w:color="auto"/>
          </w:divBdr>
          <w:divsChild>
            <w:div w:id="65956243">
              <w:marLeft w:val="0"/>
              <w:marRight w:val="0"/>
              <w:marTop w:val="0"/>
              <w:marBottom w:val="0"/>
              <w:divBdr>
                <w:top w:val="none" w:sz="0" w:space="0" w:color="auto"/>
                <w:left w:val="none" w:sz="0" w:space="0" w:color="auto"/>
                <w:bottom w:val="none" w:sz="0" w:space="0" w:color="auto"/>
                <w:right w:val="none" w:sz="0" w:space="0" w:color="auto"/>
              </w:divBdr>
              <w:divsChild>
                <w:div w:id="673650620">
                  <w:marLeft w:val="0"/>
                  <w:marRight w:val="0"/>
                  <w:marTop w:val="0"/>
                  <w:marBottom w:val="0"/>
                  <w:divBdr>
                    <w:top w:val="none" w:sz="0" w:space="0" w:color="auto"/>
                    <w:left w:val="none" w:sz="0" w:space="0" w:color="auto"/>
                    <w:bottom w:val="none" w:sz="0" w:space="0" w:color="auto"/>
                    <w:right w:val="none" w:sz="0" w:space="0" w:color="auto"/>
                  </w:divBdr>
                  <w:divsChild>
                    <w:div w:id="783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31274">
      <w:bodyDiv w:val="1"/>
      <w:marLeft w:val="0"/>
      <w:marRight w:val="0"/>
      <w:marTop w:val="0"/>
      <w:marBottom w:val="0"/>
      <w:divBdr>
        <w:top w:val="none" w:sz="0" w:space="0" w:color="auto"/>
        <w:left w:val="none" w:sz="0" w:space="0" w:color="auto"/>
        <w:bottom w:val="none" w:sz="0" w:space="0" w:color="auto"/>
        <w:right w:val="none" w:sz="0" w:space="0" w:color="auto"/>
      </w:divBdr>
      <w:divsChild>
        <w:div w:id="1079331001">
          <w:marLeft w:val="0"/>
          <w:marRight w:val="0"/>
          <w:marTop w:val="0"/>
          <w:marBottom w:val="0"/>
          <w:divBdr>
            <w:top w:val="none" w:sz="0" w:space="0" w:color="auto"/>
            <w:left w:val="none" w:sz="0" w:space="0" w:color="auto"/>
            <w:bottom w:val="none" w:sz="0" w:space="0" w:color="auto"/>
            <w:right w:val="none" w:sz="0" w:space="0" w:color="auto"/>
          </w:divBdr>
          <w:divsChild>
            <w:div w:id="2099864374">
              <w:marLeft w:val="0"/>
              <w:marRight w:val="0"/>
              <w:marTop w:val="0"/>
              <w:marBottom w:val="0"/>
              <w:divBdr>
                <w:top w:val="none" w:sz="0" w:space="0" w:color="auto"/>
                <w:left w:val="none" w:sz="0" w:space="0" w:color="auto"/>
                <w:bottom w:val="none" w:sz="0" w:space="0" w:color="auto"/>
                <w:right w:val="none" w:sz="0" w:space="0" w:color="auto"/>
              </w:divBdr>
              <w:divsChild>
                <w:div w:id="372729316">
                  <w:marLeft w:val="0"/>
                  <w:marRight w:val="0"/>
                  <w:marTop w:val="0"/>
                  <w:marBottom w:val="0"/>
                  <w:divBdr>
                    <w:top w:val="none" w:sz="0" w:space="0" w:color="auto"/>
                    <w:left w:val="none" w:sz="0" w:space="0" w:color="auto"/>
                    <w:bottom w:val="none" w:sz="0" w:space="0" w:color="auto"/>
                    <w:right w:val="none" w:sz="0" w:space="0" w:color="auto"/>
                  </w:divBdr>
                  <w:divsChild>
                    <w:div w:id="97295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10677">
      <w:bodyDiv w:val="1"/>
      <w:marLeft w:val="0"/>
      <w:marRight w:val="0"/>
      <w:marTop w:val="0"/>
      <w:marBottom w:val="0"/>
      <w:divBdr>
        <w:top w:val="none" w:sz="0" w:space="0" w:color="auto"/>
        <w:left w:val="none" w:sz="0" w:space="0" w:color="auto"/>
        <w:bottom w:val="none" w:sz="0" w:space="0" w:color="auto"/>
        <w:right w:val="none" w:sz="0" w:space="0" w:color="auto"/>
      </w:divBdr>
      <w:divsChild>
        <w:div w:id="1757552315">
          <w:marLeft w:val="0"/>
          <w:marRight w:val="0"/>
          <w:marTop w:val="0"/>
          <w:marBottom w:val="0"/>
          <w:divBdr>
            <w:top w:val="none" w:sz="0" w:space="0" w:color="auto"/>
            <w:left w:val="none" w:sz="0" w:space="0" w:color="auto"/>
            <w:bottom w:val="none" w:sz="0" w:space="0" w:color="auto"/>
            <w:right w:val="none" w:sz="0" w:space="0" w:color="auto"/>
          </w:divBdr>
          <w:divsChild>
            <w:div w:id="515342304">
              <w:marLeft w:val="0"/>
              <w:marRight w:val="0"/>
              <w:marTop w:val="0"/>
              <w:marBottom w:val="0"/>
              <w:divBdr>
                <w:top w:val="none" w:sz="0" w:space="0" w:color="auto"/>
                <w:left w:val="none" w:sz="0" w:space="0" w:color="auto"/>
                <w:bottom w:val="none" w:sz="0" w:space="0" w:color="auto"/>
                <w:right w:val="none" w:sz="0" w:space="0" w:color="auto"/>
              </w:divBdr>
              <w:divsChild>
                <w:div w:id="194000714">
                  <w:marLeft w:val="0"/>
                  <w:marRight w:val="0"/>
                  <w:marTop w:val="0"/>
                  <w:marBottom w:val="0"/>
                  <w:divBdr>
                    <w:top w:val="none" w:sz="0" w:space="0" w:color="auto"/>
                    <w:left w:val="none" w:sz="0" w:space="0" w:color="auto"/>
                    <w:bottom w:val="none" w:sz="0" w:space="0" w:color="auto"/>
                    <w:right w:val="none" w:sz="0" w:space="0" w:color="auto"/>
                  </w:divBdr>
                  <w:divsChild>
                    <w:div w:id="18354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25563">
      <w:bodyDiv w:val="1"/>
      <w:marLeft w:val="0"/>
      <w:marRight w:val="0"/>
      <w:marTop w:val="0"/>
      <w:marBottom w:val="0"/>
      <w:divBdr>
        <w:top w:val="none" w:sz="0" w:space="0" w:color="auto"/>
        <w:left w:val="none" w:sz="0" w:space="0" w:color="auto"/>
        <w:bottom w:val="none" w:sz="0" w:space="0" w:color="auto"/>
        <w:right w:val="none" w:sz="0" w:space="0" w:color="auto"/>
      </w:divBdr>
    </w:div>
    <w:div w:id="2059815828">
      <w:bodyDiv w:val="1"/>
      <w:marLeft w:val="0"/>
      <w:marRight w:val="0"/>
      <w:marTop w:val="0"/>
      <w:marBottom w:val="0"/>
      <w:divBdr>
        <w:top w:val="none" w:sz="0" w:space="0" w:color="auto"/>
        <w:left w:val="none" w:sz="0" w:space="0" w:color="auto"/>
        <w:bottom w:val="none" w:sz="0" w:space="0" w:color="auto"/>
        <w:right w:val="none" w:sz="0" w:space="0" w:color="auto"/>
      </w:divBdr>
      <w:divsChild>
        <w:div w:id="626204260">
          <w:marLeft w:val="0"/>
          <w:marRight w:val="0"/>
          <w:marTop w:val="0"/>
          <w:marBottom w:val="0"/>
          <w:divBdr>
            <w:top w:val="none" w:sz="0" w:space="0" w:color="auto"/>
            <w:left w:val="none" w:sz="0" w:space="0" w:color="auto"/>
            <w:bottom w:val="none" w:sz="0" w:space="0" w:color="auto"/>
            <w:right w:val="none" w:sz="0" w:space="0" w:color="auto"/>
          </w:divBdr>
          <w:divsChild>
            <w:div w:id="1486433311">
              <w:marLeft w:val="0"/>
              <w:marRight w:val="0"/>
              <w:marTop w:val="0"/>
              <w:marBottom w:val="0"/>
              <w:divBdr>
                <w:top w:val="none" w:sz="0" w:space="0" w:color="auto"/>
                <w:left w:val="none" w:sz="0" w:space="0" w:color="auto"/>
                <w:bottom w:val="none" w:sz="0" w:space="0" w:color="auto"/>
                <w:right w:val="none" w:sz="0" w:space="0" w:color="auto"/>
              </w:divBdr>
              <w:divsChild>
                <w:div w:id="1248805555">
                  <w:marLeft w:val="0"/>
                  <w:marRight w:val="0"/>
                  <w:marTop w:val="0"/>
                  <w:marBottom w:val="0"/>
                  <w:divBdr>
                    <w:top w:val="none" w:sz="0" w:space="0" w:color="auto"/>
                    <w:left w:val="none" w:sz="0" w:space="0" w:color="auto"/>
                    <w:bottom w:val="none" w:sz="0" w:space="0" w:color="auto"/>
                    <w:right w:val="none" w:sz="0" w:space="0" w:color="auto"/>
                  </w:divBdr>
                  <w:divsChild>
                    <w:div w:id="15878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719957">
      <w:bodyDiv w:val="1"/>
      <w:marLeft w:val="0"/>
      <w:marRight w:val="0"/>
      <w:marTop w:val="0"/>
      <w:marBottom w:val="0"/>
      <w:divBdr>
        <w:top w:val="none" w:sz="0" w:space="0" w:color="auto"/>
        <w:left w:val="none" w:sz="0" w:space="0" w:color="auto"/>
        <w:bottom w:val="none" w:sz="0" w:space="0" w:color="auto"/>
        <w:right w:val="none" w:sz="0" w:space="0" w:color="auto"/>
      </w:divBdr>
      <w:divsChild>
        <w:div w:id="839395928">
          <w:marLeft w:val="0"/>
          <w:marRight w:val="0"/>
          <w:marTop w:val="0"/>
          <w:marBottom w:val="0"/>
          <w:divBdr>
            <w:top w:val="none" w:sz="0" w:space="0" w:color="auto"/>
            <w:left w:val="none" w:sz="0" w:space="0" w:color="auto"/>
            <w:bottom w:val="none" w:sz="0" w:space="0" w:color="auto"/>
            <w:right w:val="none" w:sz="0" w:space="0" w:color="auto"/>
          </w:divBdr>
          <w:divsChild>
            <w:div w:id="295525604">
              <w:marLeft w:val="0"/>
              <w:marRight w:val="0"/>
              <w:marTop w:val="0"/>
              <w:marBottom w:val="0"/>
              <w:divBdr>
                <w:top w:val="none" w:sz="0" w:space="0" w:color="auto"/>
                <w:left w:val="none" w:sz="0" w:space="0" w:color="auto"/>
                <w:bottom w:val="none" w:sz="0" w:space="0" w:color="auto"/>
                <w:right w:val="none" w:sz="0" w:space="0" w:color="auto"/>
              </w:divBdr>
              <w:divsChild>
                <w:div w:id="18236888">
                  <w:marLeft w:val="0"/>
                  <w:marRight w:val="0"/>
                  <w:marTop w:val="0"/>
                  <w:marBottom w:val="0"/>
                  <w:divBdr>
                    <w:top w:val="none" w:sz="0" w:space="0" w:color="auto"/>
                    <w:left w:val="none" w:sz="0" w:space="0" w:color="auto"/>
                    <w:bottom w:val="none" w:sz="0" w:space="0" w:color="auto"/>
                    <w:right w:val="none" w:sz="0" w:space="0" w:color="auto"/>
                  </w:divBdr>
                  <w:divsChild>
                    <w:div w:id="5307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72071801">
      <w:bodyDiv w:val="1"/>
      <w:marLeft w:val="0"/>
      <w:marRight w:val="0"/>
      <w:marTop w:val="0"/>
      <w:marBottom w:val="0"/>
      <w:divBdr>
        <w:top w:val="none" w:sz="0" w:space="0" w:color="auto"/>
        <w:left w:val="none" w:sz="0" w:space="0" w:color="auto"/>
        <w:bottom w:val="none" w:sz="0" w:space="0" w:color="auto"/>
        <w:right w:val="none" w:sz="0" w:space="0" w:color="auto"/>
      </w:divBdr>
      <w:divsChild>
        <w:div w:id="513105720">
          <w:marLeft w:val="0"/>
          <w:marRight w:val="0"/>
          <w:marTop w:val="0"/>
          <w:marBottom w:val="0"/>
          <w:divBdr>
            <w:top w:val="none" w:sz="0" w:space="0" w:color="auto"/>
            <w:left w:val="none" w:sz="0" w:space="0" w:color="auto"/>
            <w:bottom w:val="none" w:sz="0" w:space="0" w:color="auto"/>
            <w:right w:val="none" w:sz="0" w:space="0" w:color="auto"/>
          </w:divBdr>
          <w:divsChild>
            <w:div w:id="714281722">
              <w:marLeft w:val="0"/>
              <w:marRight w:val="0"/>
              <w:marTop w:val="0"/>
              <w:marBottom w:val="0"/>
              <w:divBdr>
                <w:top w:val="none" w:sz="0" w:space="0" w:color="auto"/>
                <w:left w:val="none" w:sz="0" w:space="0" w:color="auto"/>
                <w:bottom w:val="none" w:sz="0" w:space="0" w:color="auto"/>
                <w:right w:val="none" w:sz="0" w:space="0" w:color="auto"/>
              </w:divBdr>
              <w:divsChild>
                <w:div w:id="595484429">
                  <w:marLeft w:val="0"/>
                  <w:marRight w:val="0"/>
                  <w:marTop w:val="0"/>
                  <w:marBottom w:val="0"/>
                  <w:divBdr>
                    <w:top w:val="none" w:sz="0" w:space="0" w:color="auto"/>
                    <w:left w:val="none" w:sz="0" w:space="0" w:color="auto"/>
                    <w:bottom w:val="none" w:sz="0" w:space="0" w:color="auto"/>
                    <w:right w:val="none" w:sz="0" w:space="0" w:color="auto"/>
                  </w:divBdr>
                  <w:divsChild>
                    <w:div w:id="615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458205">
      <w:bodyDiv w:val="1"/>
      <w:marLeft w:val="0"/>
      <w:marRight w:val="0"/>
      <w:marTop w:val="0"/>
      <w:marBottom w:val="0"/>
      <w:divBdr>
        <w:top w:val="none" w:sz="0" w:space="0" w:color="auto"/>
        <w:left w:val="none" w:sz="0" w:space="0" w:color="auto"/>
        <w:bottom w:val="none" w:sz="0" w:space="0" w:color="auto"/>
        <w:right w:val="none" w:sz="0" w:space="0" w:color="auto"/>
      </w:divBdr>
      <w:divsChild>
        <w:div w:id="813720459">
          <w:marLeft w:val="0"/>
          <w:marRight w:val="0"/>
          <w:marTop w:val="0"/>
          <w:marBottom w:val="0"/>
          <w:divBdr>
            <w:top w:val="none" w:sz="0" w:space="0" w:color="auto"/>
            <w:left w:val="none" w:sz="0" w:space="0" w:color="auto"/>
            <w:bottom w:val="none" w:sz="0" w:space="0" w:color="auto"/>
            <w:right w:val="none" w:sz="0" w:space="0" w:color="auto"/>
          </w:divBdr>
          <w:divsChild>
            <w:div w:id="1224366304">
              <w:marLeft w:val="0"/>
              <w:marRight w:val="0"/>
              <w:marTop w:val="0"/>
              <w:marBottom w:val="0"/>
              <w:divBdr>
                <w:top w:val="none" w:sz="0" w:space="0" w:color="auto"/>
                <w:left w:val="none" w:sz="0" w:space="0" w:color="auto"/>
                <w:bottom w:val="none" w:sz="0" w:space="0" w:color="auto"/>
                <w:right w:val="none" w:sz="0" w:space="0" w:color="auto"/>
              </w:divBdr>
              <w:divsChild>
                <w:div w:id="9850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49740">
      <w:bodyDiv w:val="1"/>
      <w:marLeft w:val="0"/>
      <w:marRight w:val="0"/>
      <w:marTop w:val="0"/>
      <w:marBottom w:val="0"/>
      <w:divBdr>
        <w:top w:val="none" w:sz="0" w:space="0" w:color="auto"/>
        <w:left w:val="none" w:sz="0" w:space="0" w:color="auto"/>
        <w:bottom w:val="none" w:sz="0" w:space="0" w:color="auto"/>
        <w:right w:val="none" w:sz="0" w:space="0" w:color="auto"/>
      </w:divBdr>
      <w:divsChild>
        <w:div w:id="678777958">
          <w:marLeft w:val="0"/>
          <w:marRight w:val="0"/>
          <w:marTop w:val="0"/>
          <w:marBottom w:val="0"/>
          <w:divBdr>
            <w:top w:val="none" w:sz="0" w:space="0" w:color="auto"/>
            <w:left w:val="none" w:sz="0" w:space="0" w:color="auto"/>
            <w:bottom w:val="none" w:sz="0" w:space="0" w:color="auto"/>
            <w:right w:val="none" w:sz="0" w:space="0" w:color="auto"/>
          </w:divBdr>
          <w:divsChild>
            <w:div w:id="652223611">
              <w:marLeft w:val="0"/>
              <w:marRight w:val="0"/>
              <w:marTop w:val="0"/>
              <w:marBottom w:val="0"/>
              <w:divBdr>
                <w:top w:val="none" w:sz="0" w:space="0" w:color="auto"/>
                <w:left w:val="none" w:sz="0" w:space="0" w:color="auto"/>
                <w:bottom w:val="none" w:sz="0" w:space="0" w:color="auto"/>
                <w:right w:val="none" w:sz="0" w:space="0" w:color="auto"/>
              </w:divBdr>
              <w:divsChild>
                <w:div w:id="592007445">
                  <w:marLeft w:val="0"/>
                  <w:marRight w:val="0"/>
                  <w:marTop w:val="0"/>
                  <w:marBottom w:val="0"/>
                  <w:divBdr>
                    <w:top w:val="none" w:sz="0" w:space="0" w:color="auto"/>
                    <w:left w:val="none" w:sz="0" w:space="0" w:color="auto"/>
                    <w:bottom w:val="none" w:sz="0" w:space="0" w:color="auto"/>
                    <w:right w:val="none" w:sz="0" w:space="0" w:color="auto"/>
                  </w:divBdr>
                  <w:divsChild>
                    <w:div w:id="123196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743940">
      <w:bodyDiv w:val="1"/>
      <w:marLeft w:val="0"/>
      <w:marRight w:val="0"/>
      <w:marTop w:val="0"/>
      <w:marBottom w:val="0"/>
      <w:divBdr>
        <w:top w:val="none" w:sz="0" w:space="0" w:color="auto"/>
        <w:left w:val="none" w:sz="0" w:space="0" w:color="auto"/>
        <w:bottom w:val="none" w:sz="0" w:space="0" w:color="auto"/>
        <w:right w:val="none" w:sz="0" w:space="0" w:color="auto"/>
      </w:divBdr>
      <w:divsChild>
        <w:div w:id="172687857">
          <w:marLeft w:val="0"/>
          <w:marRight w:val="0"/>
          <w:marTop w:val="0"/>
          <w:marBottom w:val="0"/>
          <w:divBdr>
            <w:top w:val="none" w:sz="0" w:space="0" w:color="auto"/>
            <w:left w:val="none" w:sz="0" w:space="0" w:color="auto"/>
            <w:bottom w:val="none" w:sz="0" w:space="0" w:color="auto"/>
            <w:right w:val="none" w:sz="0" w:space="0" w:color="auto"/>
          </w:divBdr>
          <w:divsChild>
            <w:div w:id="53701349">
              <w:marLeft w:val="0"/>
              <w:marRight w:val="0"/>
              <w:marTop w:val="0"/>
              <w:marBottom w:val="0"/>
              <w:divBdr>
                <w:top w:val="none" w:sz="0" w:space="0" w:color="auto"/>
                <w:left w:val="none" w:sz="0" w:space="0" w:color="auto"/>
                <w:bottom w:val="none" w:sz="0" w:space="0" w:color="auto"/>
                <w:right w:val="none" w:sz="0" w:space="0" w:color="auto"/>
              </w:divBdr>
              <w:divsChild>
                <w:div w:id="1780903790">
                  <w:marLeft w:val="0"/>
                  <w:marRight w:val="0"/>
                  <w:marTop w:val="0"/>
                  <w:marBottom w:val="0"/>
                  <w:divBdr>
                    <w:top w:val="none" w:sz="0" w:space="0" w:color="auto"/>
                    <w:left w:val="none" w:sz="0" w:space="0" w:color="auto"/>
                    <w:bottom w:val="none" w:sz="0" w:space="0" w:color="auto"/>
                    <w:right w:val="none" w:sz="0" w:space="0" w:color="auto"/>
                  </w:divBdr>
                  <w:divsChild>
                    <w:div w:id="9256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23574785">
      <w:bodyDiv w:val="1"/>
      <w:marLeft w:val="0"/>
      <w:marRight w:val="0"/>
      <w:marTop w:val="0"/>
      <w:marBottom w:val="0"/>
      <w:divBdr>
        <w:top w:val="none" w:sz="0" w:space="0" w:color="auto"/>
        <w:left w:val="none" w:sz="0" w:space="0" w:color="auto"/>
        <w:bottom w:val="none" w:sz="0" w:space="0" w:color="auto"/>
        <w:right w:val="none" w:sz="0" w:space="0" w:color="auto"/>
      </w:divBdr>
      <w:divsChild>
        <w:div w:id="347827488">
          <w:marLeft w:val="0"/>
          <w:marRight w:val="0"/>
          <w:marTop w:val="0"/>
          <w:marBottom w:val="0"/>
          <w:divBdr>
            <w:top w:val="none" w:sz="0" w:space="0" w:color="auto"/>
            <w:left w:val="none" w:sz="0" w:space="0" w:color="auto"/>
            <w:bottom w:val="none" w:sz="0" w:space="0" w:color="auto"/>
            <w:right w:val="none" w:sz="0" w:space="0" w:color="auto"/>
          </w:divBdr>
          <w:divsChild>
            <w:div w:id="2095583510">
              <w:marLeft w:val="0"/>
              <w:marRight w:val="0"/>
              <w:marTop w:val="0"/>
              <w:marBottom w:val="0"/>
              <w:divBdr>
                <w:top w:val="none" w:sz="0" w:space="0" w:color="auto"/>
                <w:left w:val="none" w:sz="0" w:space="0" w:color="auto"/>
                <w:bottom w:val="none" w:sz="0" w:space="0" w:color="auto"/>
                <w:right w:val="none" w:sz="0" w:space="0" w:color="auto"/>
              </w:divBdr>
              <w:divsChild>
                <w:div w:id="2004819439">
                  <w:marLeft w:val="0"/>
                  <w:marRight w:val="0"/>
                  <w:marTop w:val="0"/>
                  <w:marBottom w:val="0"/>
                  <w:divBdr>
                    <w:top w:val="none" w:sz="0" w:space="0" w:color="auto"/>
                    <w:left w:val="none" w:sz="0" w:space="0" w:color="auto"/>
                    <w:bottom w:val="none" w:sz="0" w:space="0" w:color="auto"/>
                    <w:right w:val="none" w:sz="0" w:space="0" w:color="auto"/>
                  </w:divBdr>
                  <w:divsChild>
                    <w:div w:id="13009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2154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 w:id="2145075943">
      <w:bodyDiv w:val="1"/>
      <w:marLeft w:val="0"/>
      <w:marRight w:val="0"/>
      <w:marTop w:val="0"/>
      <w:marBottom w:val="0"/>
      <w:divBdr>
        <w:top w:val="none" w:sz="0" w:space="0" w:color="auto"/>
        <w:left w:val="none" w:sz="0" w:space="0" w:color="auto"/>
        <w:bottom w:val="none" w:sz="0" w:space="0" w:color="auto"/>
        <w:right w:val="none" w:sz="0" w:space="0" w:color="auto"/>
      </w:divBdr>
      <w:divsChild>
        <w:div w:id="2064524097">
          <w:marLeft w:val="0"/>
          <w:marRight w:val="0"/>
          <w:marTop w:val="0"/>
          <w:marBottom w:val="0"/>
          <w:divBdr>
            <w:top w:val="none" w:sz="0" w:space="0" w:color="auto"/>
            <w:left w:val="none" w:sz="0" w:space="0" w:color="auto"/>
            <w:bottom w:val="none" w:sz="0" w:space="0" w:color="auto"/>
            <w:right w:val="none" w:sz="0" w:space="0" w:color="auto"/>
          </w:divBdr>
          <w:divsChild>
            <w:div w:id="449280982">
              <w:marLeft w:val="0"/>
              <w:marRight w:val="0"/>
              <w:marTop w:val="0"/>
              <w:marBottom w:val="0"/>
              <w:divBdr>
                <w:top w:val="none" w:sz="0" w:space="0" w:color="auto"/>
                <w:left w:val="none" w:sz="0" w:space="0" w:color="auto"/>
                <w:bottom w:val="none" w:sz="0" w:space="0" w:color="auto"/>
                <w:right w:val="none" w:sz="0" w:space="0" w:color="auto"/>
              </w:divBdr>
              <w:divsChild>
                <w:div w:id="382556424">
                  <w:marLeft w:val="0"/>
                  <w:marRight w:val="0"/>
                  <w:marTop w:val="0"/>
                  <w:marBottom w:val="0"/>
                  <w:divBdr>
                    <w:top w:val="none" w:sz="0" w:space="0" w:color="auto"/>
                    <w:left w:val="none" w:sz="0" w:space="0" w:color="auto"/>
                    <w:bottom w:val="none" w:sz="0" w:space="0" w:color="auto"/>
                    <w:right w:val="none" w:sz="0" w:space="0" w:color="auto"/>
                  </w:divBdr>
                  <w:divsChild>
                    <w:div w:id="18717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ac.gov.au/internet/msac/publishing.nsf/Content/6817D68ECFE1F260CA258A98000077AF/$File/1769%20Ratified%20PICO.pdf" TargetMode="External"/><Relationship Id="rId18" Type="http://schemas.openxmlformats.org/officeDocument/2006/relationships/header" Target="header3.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msac.gov.au/internet/msac/publishing.nsf/Content/6817D68ECFE1F260CA258A98000077AF/$File/1769%20Ratified%20PICO.pdf" TargetMode="External"/><Relationship Id="rId17" Type="http://schemas.openxmlformats.org/officeDocument/2006/relationships/footer" Target="footer2.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 TargetMode="External"/><Relationship Id="rId24" Type="http://schemas.openxmlformats.org/officeDocument/2006/relationships/hyperlink" Target="http://www.msac.gov.au/internet/msac/publishing.nsf/Content/6817D68ECFE1F260CA258A98000077AF/$File/1769%20Ratified%20PICO.pd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hyperlink" Target="http://msac.gov.au/internet/msac/publishing.nsf/Content/Home-1"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hyperlink" Target="http://www.allelefrequencies.net/"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chranelibrary.com/cdsr/doi/10.1002/14651858.CD001030/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b67814db4cbf52fde07137e7d49b245e">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dea1ae2ed431f796c5177aed60a9a2d6"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EC862-DE60-4118-9756-B20D3C7F2597}">
  <ds:schemaRefs>
    <ds:schemaRef ds:uri="http://schemas.openxmlformats.org/officeDocument/2006/bibliography"/>
  </ds:schemaRefs>
</ds:datastoreItem>
</file>

<file path=customXml/itemProps2.xml><?xml version="1.0" encoding="utf-8"?>
<ds:datastoreItem xmlns:ds="http://schemas.openxmlformats.org/officeDocument/2006/customXml" ds:itemID="{99EDAAB1-AD3A-44E5-B80C-A30834C60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3b557-581c-46d3-8cc7-77c65017dc6f"/>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DAEF1-9CFF-45C0-9BBB-D79C31F7E08E}">
  <ds:schemaRefs>
    <ds:schemaRef ds:uri="http://schemas.microsoft.com/office/2006/metadata/properties"/>
    <ds:schemaRef ds:uri="http://schemas.microsoft.com/office/infopath/2007/PartnerControls"/>
    <ds:schemaRef ds:uri="7513b557-581c-46d3-8cc7-77c65017dc6f"/>
    <ds:schemaRef ds:uri="e7d54a9e-4aca-451b-99db-b94fe438e987"/>
  </ds:schemaRefs>
</ds:datastoreItem>
</file>

<file path=customXml/itemProps4.xml><?xml version="1.0" encoding="utf-8"?>
<ds:datastoreItem xmlns:ds="http://schemas.openxmlformats.org/officeDocument/2006/customXml" ds:itemID="{5AD374FB-A86E-4D34-83BB-C223EF14BB7B}">
  <ds:schemaRefs>
    <ds:schemaRef ds:uri="http://schemas.microsoft.com/sharepoint/v3/contenttype/forms"/>
  </ds:schemaRefs>
</ds:datastoreItem>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42</Pages>
  <Words>19517</Words>
  <Characters>111248</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130504</CharactersWithSpaces>
  <SharedDoc>false</SharedDoc>
  <HLinks>
    <vt:vector size="42" baseType="variant">
      <vt:variant>
        <vt:i4>6684716</vt:i4>
      </vt:variant>
      <vt:variant>
        <vt:i4>139</vt:i4>
      </vt:variant>
      <vt:variant>
        <vt:i4>0</vt:i4>
      </vt:variant>
      <vt:variant>
        <vt:i4>5</vt:i4>
      </vt:variant>
      <vt:variant>
        <vt:lpwstr>http://msac.gov.au/internet/msac/publishing.nsf/Content/Home-1</vt:lpwstr>
      </vt:variant>
      <vt:variant>
        <vt:lpwstr/>
      </vt:variant>
      <vt:variant>
        <vt:i4>5373975</vt:i4>
      </vt:variant>
      <vt:variant>
        <vt:i4>136</vt:i4>
      </vt:variant>
      <vt:variant>
        <vt:i4>0</vt:i4>
      </vt:variant>
      <vt:variant>
        <vt:i4>5</vt:i4>
      </vt:variant>
      <vt:variant>
        <vt:lpwstr>http://www.allelefrequencies.net/</vt:lpwstr>
      </vt:variant>
      <vt:variant>
        <vt:lpwstr/>
      </vt:variant>
      <vt:variant>
        <vt:i4>5963777</vt:i4>
      </vt:variant>
      <vt:variant>
        <vt:i4>97</vt:i4>
      </vt:variant>
      <vt:variant>
        <vt:i4>0</vt:i4>
      </vt:variant>
      <vt:variant>
        <vt:i4>5</vt:i4>
      </vt:variant>
      <vt:variant>
        <vt:lpwstr>http://www.msac.gov.au/internet/msac/publishing.nsf/Content/6817D68ECFE1F260CA258A98000077AF/$File/1769 Ratified PICO.pdf</vt:lpwstr>
      </vt:variant>
      <vt:variant>
        <vt:lpwstr/>
      </vt:variant>
      <vt:variant>
        <vt:i4>5963777</vt:i4>
      </vt:variant>
      <vt:variant>
        <vt:i4>24</vt:i4>
      </vt:variant>
      <vt:variant>
        <vt:i4>0</vt:i4>
      </vt:variant>
      <vt:variant>
        <vt:i4>5</vt:i4>
      </vt:variant>
      <vt:variant>
        <vt:lpwstr>http://www.msac.gov.au/internet/msac/publishing.nsf/Content/6817D68ECFE1F260CA258A98000077AF/$File/1769 Ratified PICO.pdf</vt:lpwstr>
      </vt:variant>
      <vt:variant>
        <vt:lpwstr/>
      </vt:variant>
      <vt:variant>
        <vt:i4>5963777</vt:i4>
      </vt:variant>
      <vt:variant>
        <vt:i4>3</vt:i4>
      </vt:variant>
      <vt:variant>
        <vt:i4>0</vt:i4>
      </vt:variant>
      <vt:variant>
        <vt:i4>5</vt:i4>
      </vt:variant>
      <vt:variant>
        <vt:lpwstr>http://www.msac.gov.au/internet/msac/publishing.nsf/Content/6817D68ECFE1F260CA258A98000077AF/$File/1769 Ratified PICO.pdf</vt:lpwstr>
      </vt:variant>
      <vt:variant>
        <vt:lpwstr/>
      </vt:variant>
      <vt:variant>
        <vt:i4>3997744</vt:i4>
      </vt:variant>
      <vt:variant>
        <vt:i4>0</vt:i4>
      </vt:variant>
      <vt:variant>
        <vt:i4>0</vt:i4>
      </vt:variant>
      <vt:variant>
        <vt:i4>5</vt:i4>
      </vt:variant>
      <vt:variant>
        <vt:lpwstr>http://www.msac.gov.au/</vt:lpwstr>
      </vt:variant>
      <vt:variant>
        <vt:lpwstr/>
      </vt:variant>
      <vt:variant>
        <vt:i4>3735599</vt:i4>
      </vt:variant>
      <vt:variant>
        <vt:i4>0</vt:i4>
      </vt:variant>
      <vt:variant>
        <vt:i4>0</vt:i4>
      </vt:variant>
      <vt:variant>
        <vt:i4>5</vt:i4>
      </vt:variant>
      <vt:variant>
        <vt:lpwstr>https://www.cochranelibrary.com/cdsr/doi/10.1002/14651858.CD001030/full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2025-06-22T22:58:00Z</dcterms:created>
  <dcterms:modified xsi:type="dcterms:W3CDTF">2025-06-22T23:08:00Z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0x0101005E4A37BE997BE34FBB7D5057D341D123</vt:lpwstr>
  </property>
</Properties>
</file>