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784AD" w14:textId="31BA5D29" w:rsidR="00FF375D" w:rsidRPr="00AE78F5" w:rsidRDefault="00201366" w:rsidP="004167A0">
      <w:pPr>
        <w:keepNext/>
        <w:keepLines/>
        <w:spacing w:before="0" w:after="360" w:line="240" w:lineRule="auto"/>
        <w:ind w:left="788"/>
        <w:jc w:val="center"/>
        <w:outlineLvl w:val="0"/>
        <w:rPr>
          <w:i/>
          <w:iCs/>
        </w:rPr>
      </w:pPr>
      <w:r w:rsidRPr="00F268B7">
        <w:rPr>
          <w:rFonts w:ascii="Arial" w:eastAsiaTheme="majorEastAsia" w:hAnsi="Arial" w:cs="Arial"/>
          <w:b/>
          <w:bCs/>
          <w:color w:val="000080"/>
          <w:sz w:val="36"/>
          <w:szCs w:val="36"/>
        </w:rPr>
        <w:t>Medical Services Advisory Committee (MSAC)</w:t>
      </w:r>
      <w:r w:rsidRPr="00F268B7">
        <w:rPr>
          <w:rFonts w:ascii="Arial" w:eastAsiaTheme="majorEastAsia" w:hAnsi="Arial" w:cs="Arial"/>
          <w:b/>
          <w:bCs/>
          <w:color w:val="000080"/>
          <w:sz w:val="36"/>
          <w:szCs w:val="36"/>
        </w:rPr>
        <w:br/>
      </w:r>
      <w:r w:rsidR="004167A0" w:rsidRPr="00F76D74">
        <w:rPr>
          <w:rFonts w:ascii="Arial" w:hAnsi="Arial" w:cs="Arial"/>
          <w:b/>
          <w:bCs/>
          <w:color w:val="000080"/>
          <w:sz w:val="36"/>
          <w:szCs w:val="36"/>
        </w:rPr>
        <w:t>Public Summary Document</w:t>
      </w:r>
    </w:p>
    <w:p w14:paraId="7A128FDE" w14:textId="3098A325" w:rsidR="00772829" w:rsidRPr="00CE28E3" w:rsidRDefault="005063AC" w:rsidP="00201366">
      <w:pPr>
        <w:pStyle w:val="Subtitle"/>
      </w:pPr>
      <w:r w:rsidRPr="00C15067">
        <w:t>Application No. 1772 – Single</w:t>
      </w:r>
      <w:r w:rsidR="00DC600B">
        <w:t>-</w:t>
      </w:r>
      <w:r>
        <w:t>chamber leadless pacing with atrioventricular synchronous pacing in patients with bradycardia</w:t>
      </w:r>
    </w:p>
    <w:p w14:paraId="35263561" w14:textId="2BAF6465" w:rsidR="00772829" w:rsidRPr="00CE28E3" w:rsidRDefault="00772829" w:rsidP="4C0A0968">
      <w:pPr>
        <w:tabs>
          <w:tab w:val="left" w:pos="3686"/>
        </w:tabs>
        <w:spacing w:after="240"/>
        <w:rPr>
          <w:rFonts w:ascii="Arial" w:hAnsi="Arial" w:cs="Arial"/>
          <w:b/>
          <w:bCs/>
        </w:rPr>
      </w:pPr>
      <w:r w:rsidRPr="4C0A0968">
        <w:rPr>
          <w:rFonts w:ascii="Arial" w:hAnsi="Arial" w:cs="Arial"/>
          <w:b/>
          <w:bCs/>
        </w:rPr>
        <w:t>Applicant:</w:t>
      </w:r>
      <w:r>
        <w:tab/>
      </w:r>
      <w:r w:rsidR="00BE5D3B" w:rsidRPr="4C0A0968">
        <w:rPr>
          <w:rFonts w:ascii="Arial" w:hAnsi="Arial" w:cs="Arial"/>
          <w:b/>
          <w:bCs/>
        </w:rPr>
        <w:t>Medtronic Australasia Pty Ltd</w:t>
      </w:r>
    </w:p>
    <w:p w14:paraId="73B91733" w14:textId="1FD0AC20" w:rsidR="00536BD6" w:rsidRDefault="00536BD6" w:rsidP="4C0A0968">
      <w:pPr>
        <w:spacing w:before="320"/>
        <w:rPr>
          <w:rFonts w:ascii="Arial" w:hAnsi="Arial" w:cs="Arial"/>
          <w:b/>
          <w:bCs/>
        </w:rPr>
      </w:pPr>
      <w:r w:rsidRPr="4C0A0968">
        <w:rPr>
          <w:rFonts w:ascii="Arial" w:hAnsi="Arial" w:cs="Arial"/>
          <w:b/>
          <w:bCs/>
        </w:rPr>
        <w:t xml:space="preserve">Date of </w:t>
      </w:r>
      <w:r w:rsidR="004167A0">
        <w:rPr>
          <w:rFonts w:ascii="Arial" w:hAnsi="Arial" w:cs="Arial"/>
          <w:b/>
          <w:bCs/>
        </w:rPr>
        <w:t>MSAC</w:t>
      </w:r>
      <w:r w:rsidRPr="4C0A0968">
        <w:rPr>
          <w:rFonts w:ascii="Arial" w:hAnsi="Arial" w:cs="Arial"/>
          <w:b/>
          <w:bCs/>
        </w:rPr>
        <w:t xml:space="preserve"> consideration:</w:t>
      </w:r>
      <w:r>
        <w:tab/>
      </w:r>
      <w:r w:rsidR="004167A0">
        <w:rPr>
          <w:rFonts w:ascii="Arial" w:hAnsi="Arial" w:cs="Arial"/>
          <w:b/>
          <w:bCs/>
        </w:rPr>
        <w:t>3-4 April</w:t>
      </w:r>
      <w:r w:rsidRPr="4C0A0968">
        <w:rPr>
          <w:rFonts w:ascii="Arial" w:hAnsi="Arial" w:cs="Arial"/>
          <w:b/>
          <w:bCs/>
        </w:rPr>
        <w:t xml:space="preserve"> 2025</w:t>
      </w:r>
    </w:p>
    <w:p w14:paraId="33DD3BDF" w14:textId="77777777" w:rsidR="004167A0" w:rsidRPr="00333EDF" w:rsidRDefault="004167A0" w:rsidP="004167A0">
      <w:pPr>
        <w:spacing w:after="240"/>
        <w:rPr>
          <w:color w:val="0000FF"/>
          <w:u w:val="single"/>
        </w:rPr>
      </w:pPr>
      <w:r w:rsidRPr="00333EDF">
        <w:t xml:space="preserve">Context for decision: MSAC makes its advice in accordance with its Terms of Reference, </w:t>
      </w:r>
      <w:hyperlink r:id="rId11" w:tooltip="Link to Medical Services Advisory Committee website" w:history="1">
        <w:r w:rsidRPr="000D2098">
          <w:rPr>
            <w:rStyle w:val="Hyperlink"/>
            <w:color w:val="007BB8"/>
          </w:rPr>
          <w:t>visit the MSAC website</w:t>
        </w:r>
      </w:hyperlink>
    </w:p>
    <w:p w14:paraId="7EAA7262" w14:textId="1D5C5754" w:rsidR="00772829" w:rsidRPr="00CE28E3" w:rsidRDefault="00772829" w:rsidP="004167A0">
      <w:pPr>
        <w:pStyle w:val="Heading2"/>
        <w:numPr>
          <w:ilvl w:val="0"/>
          <w:numId w:val="27"/>
        </w:numPr>
        <w:ind w:hanging="720"/>
      </w:pPr>
      <w:bookmarkStart w:id="0" w:name="_Toc69491415"/>
      <w:r w:rsidRPr="00CE28E3">
        <w:t xml:space="preserve">Purpose </w:t>
      </w:r>
      <w:r w:rsidRPr="00CE28E3">
        <w:rPr>
          <w:szCs w:val="32"/>
        </w:rPr>
        <w:t>of</w:t>
      </w:r>
      <w:r w:rsidRPr="00CE28E3">
        <w:t xml:space="preserve"> application</w:t>
      </w:r>
      <w:bookmarkEnd w:id="0"/>
    </w:p>
    <w:p w14:paraId="044FCECA" w14:textId="07706321" w:rsidR="00B068B6" w:rsidRDefault="00B068B6" w:rsidP="00B068B6">
      <w:pPr>
        <w:spacing w:after="240"/>
      </w:pPr>
      <w:bookmarkStart w:id="1" w:name="_Hlk69734469"/>
      <w:r w:rsidRPr="4C0A0968">
        <w:t xml:space="preserve">An application requesting </w:t>
      </w:r>
      <w:r w:rsidR="00260455" w:rsidRPr="4C0A0968">
        <w:t xml:space="preserve">a new </w:t>
      </w:r>
      <w:r w:rsidR="00FC4FE0" w:rsidRPr="4C0A0968">
        <w:t>Medicare Benefits Schedule (</w:t>
      </w:r>
      <w:r w:rsidRPr="4C0A0968">
        <w:t>MBS</w:t>
      </w:r>
      <w:r w:rsidR="00FC4FE0" w:rsidRPr="4C0A0968">
        <w:t>)</w:t>
      </w:r>
      <w:r w:rsidRPr="4C0A0968">
        <w:t xml:space="preserve"> listing </w:t>
      </w:r>
      <w:r w:rsidR="00D04511" w:rsidRPr="4C0A0968">
        <w:t>for</w:t>
      </w:r>
      <w:r w:rsidRPr="4C0A0968">
        <w:t xml:space="preserve"> </w:t>
      </w:r>
      <w:r w:rsidR="00DE71A9" w:rsidRPr="4C0A0968">
        <w:t xml:space="preserve">the </w:t>
      </w:r>
      <w:r w:rsidR="007E4EEA" w:rsidRPr="4C0A0968">
        <w:t>insertion</w:t>
      </w:r>
      <w:r w:rsidR="007873B6" w:rsidRPr="4C0A0968">
        <w:t xml:space="preserve"> </w:t>
      </w:r>
      <w:r w:rsidR="007E4EEA" w:rsidRPr="4C0A0968">
        <w:t xml:space="preserve">of </w:t>
      </w:r>
      <w:r w:rsidRPr="4C0A0968">
        <w:t>a single</w:t>
      </w:r>
      <w:r w:rsidR="00480343" w:rsidRPr="4C0A0968">
        <w:t>-</w:t>
      </w:r>
      <w:r w:rsidRPr="4C0A0968">
        <w:t xml:space="preserve">chamber leadless pacemaker (LPM) with atrioventricular (AV) synchronous pacing (Micra™ AV) for patients with bradycardia due to AV block who are in sinus rhythm was received from the medical device company Medtronic Australasia Pty Ltd by the Department of Health. This submission to MSAC was lodged to facilitate </w:t>
      </w:r>
      <w:r w:rsidR="009A022E" w:rsidRPr="4C0A0968">
        <w:t xml:space="preserve">public funding through the MBS </w:t>
      </w:r>
      <w:r w:rsidR="00475E87" w:rsidRPr="4C0A0968">
        <w:t>for insertion</w:t>
      </w:r>
      <w:r w:rsidR="007873B6" w:rsidRPr="4C0A0968">
        <w:t xml:space="preserve"> </w:t>
      </w:r>
      <w:r w:rsidR="00475E87" w:rsidRPr="4C0A0968">
        <w:t xml:space="preserve">of </w:t>
      </w:r>
      <w:r w:rsidR="0015471E" w:rsidRPr="4C0A0968">
        <w:t xml:space="preserve">a </w:t>
      </w:r>
      <w:r w:rsidR="005823D3" w:rsidRPr="4C0A0968">
        <w:t xml:space="preserve">LPM </w:t>
      </w:r>
      <w:r w:rsidR="009C410F" w:rsidRPr="4C0A0968">
        <w:t xml:space="preserve">and </w:t>
      </w:r>
      <w:r w:rsidRPr="4C0A0968">
        <w:t xml:space="preserve">listing of the Micra AV LPM on the </w:t>
      </w:r>
      <w:r w:rsidR="00150178" w:rsidRPr="4C0A0968">
        <w:t xml:space="preserve">Prescribed List </w:t>
      </w:r>
      <w:r w:rsidR="007C4C81" w:rsidRPr="4C0A0968">
        <w:t xml:space="preserve">of Medical Devices and Human Tissue Products </w:t>
      </w:r>
      <w:r w:rsidR="00150178" w:rsidRPr="4C0A0968">
        <w:t>(</w:t>
      </w:r>
      <w:r w:rsidRPr="4C0A0968">
        <w:t>PL</w:t>
      </w:r>
      <w:r w:rsidR="00150178" w:rsidRPr="4C0A0968">
        <w:t>)</w:t>
      </w:r>
      <w:r w:rsidRPr="4C0A0968">
        <w:t xml:space="preserve">. The applicant intends to apply for PL listing of the Micra AV device at the proposed benefit of </w:t>
      </w:r>
      <w:r w:rsidR="00326F03">
        <w:t>$</w:t>
      </w:r>
      <w:r w:rsidR="00326F03">
        <w:rPr>
          <w:b/>
          <w:bCs/>
        </w:rPr>
        <w:t xml:space="preserve">redacted </w:t>
      </w:r>
      <w:r w:rsidRPr="4C0A0968">
        <w:t>following MSAC consideration.</w:t>
      </w:r>
    </w:p>
    <w:p w14:paraId="1B970581" w14:textId="77777777" w:rsidR="004167A0" w:rsidRPr="00D155C0" w:rsidRDefault="004167A0" w:rsidP="004167A0">
      <w:pPr>
        <w:pStyle w:val="Heading2"/>
        <w:numPr>
          <w:ilvl w:val="0"/>
          <w:numId w:val="27"/>
        </w:numPr>
        <w:ind w:hanging="720"/>
      </w:pPr>
      <w:bookmarkStart w:id="2" w:name="_Hlk193982496"/>
      <w:r w:rsidRPr="00D155C0">
        <w:t>MSAC’s advice to the Minister</w:t>
      </w:r>
    </w:p>
    <w:p w14:paraId="0BBAE5DB" w14:textId="7C47C854" w:rsidR="004167A0" w:rsidRDefault="004167A0" w:rsidP="007516BA">
      <w:pPr>
        <w:rPr>
          <w:rFonts w:eastAsia="Franklin Gothic Book"/>
        </w:rPr>
      </w:pPr>
      <w:r w:rsidRPr="00333EDF">
        <w:t xml:space="preserve">After considering the strength of the available evidence in relation to comparative safety, clinical effectiveness, cost-effectiveness and total cost, </w:t>
      </w:r>
      <w:r w:rsidRPr="00333EDF">
        <w:rPr>
          <w:rFonts w:eastAsia="Franklin Gothic Book"/>
        </w:rPr>
        <w:t>MSAC</w:t>
      </w:r>
      <w:r w:rsidR="007516BA">
        <w:rPr>
          <w:rFonts w:eastAsia="Franklin Gothic Book"/>
        </w:rPr>
        <w:t xml:space="preserve"> </w:t>
      </w:r>
      <w:r w:rsidR="007516BA" w:rsidRPr="2883B670">
        <w:rPr>
          <w:rFonts w:eastAsia="Franklin Gothic Book"/>
          <w:color w:val="000000" w:themeColor="text1"/>
        </w:rPr>
        <w:t>did not support the creation of new items for the insertion of a single-chamber leadless pacemaker (LPM) with atrioventricular (AV) synchronous pacing (Micra AV</w:t>
      </w:r>
      <w:r w:rsidR="009020C3" w:rsidRPr="003F0B38">
        <w:t>™</w:t>
      </w:r>
      <w:r w:rsidR="007516BA" w:rsidRPr="2883B670">
        <w:rPr>
          <w:rFonts w:eastAsia="Franklin Gothic Book"/>
          <w:color w:val="000000" w:themeColor="text1"/>
        </w:rPr>
        <w:t>) for patients with bradycardia due to AV block who are in sinus rhythm. MSAC considered that the current MBS items for insertion, retrieval, replacement, and explantation could be utilised with amendments to include the target population for the Micra AV.</w:t>
      </w:r>
      <w:r w:rsidR="006B0104">
        <w:rPr>
          <w:rFonts w:eastAsia="Franklin Gothic Book"/>
          <w:color w:val="000000" w:themeColor="text1"/>
        </w:rPr>
        <w:t xml:space="preserve"> </w:t>
      </w:r>
      <w:r w:rsidR="007516BA" w:rsidRPr="2883B670">
        <w:rPr>
          <w:rFonts w:eastAsia="Franklin Gothic Book"/>
          <w:color w:val="000000" w:themeColor="text1"/>
        </w:rPr>
        <w:t>MSAC noted that there was no current application to list the Micra AV on the Prescribed List of Medical Devices and Human Tissue Products (PL)</w:t>
      </w:r>
      <w:r w:rsidR="007516BA">
        <w:rPr>
          <w:rFonts w:eastAsia="Franklin Gothic Book"/>
          <w:color w:val="000000" w:themeColor="text1"/>
        </w:rPr>
        <w:t xml:space="preserve"> but noted the applicant’s stated intent </w:t>
      </w:r>
      <w:r w:rsidR="007516BA" w:rsidRPr="2883B670">
        <w:rPr>
          <w:rFonts w:eastAsia="Franklin Gothic Book"/>
          <w:color w:val="000000" w:themeColor="text1"/>
        </w:rPr>
        <w:t xml:space="preserve">to apply to the PL under the </w:t>
      </w:r>
      <w:r w:rsidR="007516BA" w:rsidRPr="00727A2B">
        <w:rPr>
          <w:rFonts w:eastAsia="Franklin Gothic Book"/>
          <w:color w:val="000000" w:themeColor="text1"/>
        </w:rPr>
        <w:t>Tier 3 PL</w:t>
      </w:r>
      <w:r w:rsidR="007516BA" w:rsidRPr="2883B670">
        <w:rPr>
          <w:rFonts w:eastAsia="Franklin Gothic Book"/>
          <w:color w:val="000000" w:themeColor="text1"/>
        </w:rPr>
        <w:t xml:space="preserve"> application pathway</w:t>
      </w:r>
      <w:r w:rsidR="007516BA">
        <w:rPr>
          <w:rFonts w:eastAsia="Franklin Gothic Book"/>
          <w:color w:val="000000" w:themeColor="text1"/>
        </w:rPr>
        <w:t xml:space="preserve"> f</w:t>
      </w:r>
      <w:r w:rsidR="007516BA" w:rsidRPr="2883B670">
        <w:rPr>
          <w:rFonts w:eastAsia="Franklin Gothic Book"/>
          <w:color w:val="000000" w:themeColor="text1"/>
        </w:rPr>
        <w:t xml:space="preserve">ollowing MSAC consideration of the comparative safety, clinical effectiveness, and cost-effectiveness of the device. </w:t>
      </w:r>
      <w:r w:rsidR="007516BA" w:rsidRPr="358AA807">
        <w:rPr>
          <w:rFonts w:eastAsia="Franklin Gothic Book"/>
          <w:color w:val="000000" w:themeColor="text1"/>
        </w:rPr>
        <w:t>MSAC noted that there was no clinical or economic comparison between the Micra AV and the currently PL-listed Micra VR LPM. MSAC advised the Medical Devices and Human Tissue Advisory Committee (MDHTAC) that due to the absence of comparative data, there was no evidence to support the higher proposed PL benefit for the Micra AV over the Micra VR.</w:t>
      </w:r>
      <w:r w:rsidR="007516BA">
        <w:rPr>
          <w:rFonts w:eastAsia="Franklin Gothic Book"/>
          <w:color w:val="000000" w:themeColor="text1"/>
        </w:rPr>
        <w:t xml:space="preserve"> </w:t>
      </w:r>
      <w:r w:rsidR="007516BA" w:rsidRPr="71A0E73E">
        <w:rPr>
          <w:rFonts w:eastAsia="Franklin Gothic Book"/>
          <w:color w:val="000000" w:themeColor="text1"/>
        </w:rPr>
        <w:t>MSAC considered that despite the low-</w:t>
      </w:r>
      <w:r w:rsidR="007516BA">
        <w:rPr>
          <w:rFonts w:eastAsia="Franklin Gothic Book"/>
          <w:color w:val="000000" w:themeColor="text1"/>
        </w:rPr>
        <w:t>certainty</w:t>
      </w:r>
      <w:r w:rsidR="007516BA" w:rsidRPr="71A0E73E">
        <w:rPr>
          <w:rFonts w:eastAsia="Franklin Gothic Book"/>
          <w:color w:val="000000" w:themeColor="text1"/>
        </w:rPr>
        <w:t xml:space="preserve"> evidence for comparative safety, Micra AV was </w:t>
      </w:r>
      <w:r w:rsidR="007516BA">
        <w:rPr>
          <w:rFonts w:eastAsia="Franklin Gothic Book"/>
          <w:color w:val="000000" w:themeColor="text1"/>
        </w:rPr>
        <w:t xml:space="preserve">likely to be </w:t>
      </w:r>
      <w:r w:rsidR="007516BA" w:rsidRPr="71A0E73E">
        <w:rPr>
          <w:rFonts w:eastAsia="Franklin Gothic Book"/>
          <w:color w:val="000000" w:themeColor="text1"/>
        </w:rPr>
        <w:t>superior in safety</w:t>
      </w:r>
      <w:r w:rsidR="007516BA" w:rsidRPr="71A0E73E" w:rsidDel="00AA0B82">
        <w:rPr>
          <w:rFonts w:eastAsia="Franklin Gothic Book"/>
          <w:color w:val="000000" w:themeColor="text1"/>
        </w:rPr>
        <w:t xml:space="preserve"> </w:t>
      </w:r>
      <w:r w:rsidR="007516BA" w:rsidRPr="71A0E73E">
        <w:rPr>
          <w:rFonts w:eastAsia="Franklin Gothic Book"/>
          <w:color w:val="000000" w:themeColor="text1"/>
        </w:rPr>
        <w:t xml:space="preserve">in terms of some complications (e.g. lead and pocket complications) and risk of reinterventions when compared to conventional transvenous pacemakers (TVPM).  MSAC considered that there were likely quality-of-life </w:t>
      </w:r>
      <w:r w:rsidR="007516BA" w:rsidRPr="65B13DC2">
        <w:rPr>
          <w:rFonts w:eastAsia="Franklin Gothic Book"/>
          <w:color w:val="000000" w:themeColor="text1"/>
        </w:rPr>
        <w:t xml:space="preserve">benefits </w:t>
      </w:r>
      <w:r w:rsidR="007516BA" w:rsidRPr="71A0E73E">
        <w:rPr>
          <w:rFonts w:eastAsia="Franklin Gothic Book"/>
          <w:color w:val="000000" w:themeColor="text1"/>
        </w:rPr>
        <w:t>following implantation of an LPM</w:t>
      </w:r>
      <w:r w:rsidR="007516BA" w:rsidRPr="7F1D859E">
        <w:rPr>
          <w:rFonts w:eastAsia="Franklin Gothic Book"/>
          <w:color w:val="000000" w:themeColor="text1"/>
        </w:rPr>
        <w:t xml:space="preserve"> </w:t>
      </w:r>
      <w:r w:rsidR="007516BA" w:rsidRPr="56020FA4">
        <w:rPr>
          <w:rFonts w:eastAsia="Franklin Gothic Book"/>
          <w:color w:val="000000" w:themeColor="text1"/>
        </w:rPr>
        <w:t>compared with a convention</w:t>
      </w:r>
      <w:r w:rsidR="007516BA">
        <w:rPr>
          <w:rFonts w:eastAsia="Franklin Gothic Book"/>
          <w:color w:val="000000" w:themeColor="text1"/>
        </w:rPr>
        <w:t>al</w:t>
      </w:r>
      <w:r w:rsidR="007516BA" w:rsidRPr="56020FA4">
        <w:rPr>
          <w:rFonts w:eastAsia="Franklin Gothic Book"/>
          <w:color w:val="000000" w:themeColor="text1"/>
        </w:rPr>
        <w:t xml:space="preserve"> pacemaker with leads</w:t>
      </w:r>
      <w:r w:rsidR="007516BA" w:rsidRPr="71A0E73E">
        <w:rPr>
          <w:rFonts w:eastAsia="Franklin Gothic Book"/>
          <w:color w:val="000000" w:themeColor="text1"/>
        </w:rPr>
        <w:t>, despite limited evidence for the proposed population.</w:t>
      </w:r>
      <w:r w:rsidR="007516BA">
        <w:rPr>
          <w:rFonts w:eastAsia="Franklin Gothic Book"/>
          <w:color w:val="000000" w:themeColor="text1"/>
        </w:rPr>
        <w:t xml:space="preserve"> </w:t>
      </w:r>
      <w:r w:rsidR="007516BA" w:rsidRPr="348A577E">
        <w:rPr>
          <w:rFonts w:eastAsia="Franklin Gothic Book"/>
          <w:color w:val="000000" w:themeColor="text1"/>
        </w:rPr>
        <w:t xml:space="preserve">MSAC noted that any resubmission to MSAC requesting a </w:t>
      </w:r>
      <w:r w:rsidR="007516BA" w:rsidRPr="7C651C61">
        <w:rPr>
          <w:rFonts w:eastAsia="Franklin Gothic Book"/>
          <w:color w:val="000000" w:themeColor="text1"/>
        </w:rPr>
        <w:t>higher</w:t>
      </w:r>
      <w:r w:rsidR="007516BA" w:rsidRPr="348A577E">
        <w:rPr>
          <w:rFonts w:eastAsia="Franklin Gothic Book"/>
          <w:color w:val="000000" w:themeColor="text1"/>
        </w:rPr>
        <w:t xml:space="preserve"> PL benefit would require new </w:t>
      </w:r>
      <w:r w:rsidR="007516BA" w:rsidRPr="11C93CDA">
        <w:rPr>
          <w:rFonts w:eastAsia="Franklin Gothic Book"/>
          <w:color w:val="000000" w:themeColor="text1"/>
        </w:rPr>
        <w:t>evidence</w:t>
      </w:r>
      <w:r w:rsidR="007516BA" w:rsidRPr="348A577E">
        <w:rPr>
          <w:rFonts w:eastAsia="Franklin Gothic Book"/>
          <w:color w:val="000000" w:themeColor="text1"/>
        </w:rPr>
        <w:t xml:space="preserve"> comparing the effectiveness of the Micra AV with comparable leadless </w:t>
      </w:r>
      <w:r w:rsidR="007516BA">
        <w:rPr>
          <w:rFonts w:eastAsia="Franklin Gothic Book"/>
          <w:color w:val="000000" w:themeColor="text1"/>
        </w:rPr>
        <w:t xml:space="preserve">and leaded </w:t>
      </w:r>
      <w:r w:rsidR="007516BA" w:rsidRPr="348A577E">
        <w:rPr>
          <w:rFonts w:eastAsia="Franklin Gothic Book"/>
          <w:color w:val="000000" w:themeColor="text1"/>
        </w:rPr>
        <w:t>pacemakers</w:t>
      </w:r>
      <w:r w:rsidR="007516BA" w:rsidRPr="7D480A41">
        <w:rPr>
          <w:rFonts w:eastAsia="Franklin Gothic Book"/>
          <w:color w:val="000000" w:themeColor="text1"/>
        </w:rPr>
        <w:t xml:space="preserve">, and advice from clinical experts in the </w:t>
      </w:r>
      <w:r w:rsidR="007516BA" w:rsidRPr="00C60F22">
        <w:rPr>
          <w:rFonts w:eastAsia="Franklin Gothic Book"/>
          <w:color w:val="000000" w:themeColor="text1"/>
        </w:rPr>
        <w:t>Medical Devices and Human Tissue Advisory Committee</w:t>
      </w:r>
      <w:r w:rsidR="007516BA">
        <w:rPr>
          <w:rFonts w:eastAsia="Franklin Gothic Book"/>
          <w:color w:val="000000" w:themeColor="text1"/>
        </w:rPr>
        <w:t xml:space="preserve">’s </w:t>
      </w:r>
      <w:r w:rsidR="007516BA" w:rsidRPr="00ED1102">
        <w:rPr>
          <w:rFonts w:eastAsia="Franklin Gothic Book"/>
          <w:color w:val="000000" w:themeColor="text1"/>
        </w:rPr>
        <w:lastRenderedPageBreak/>
        <w:t>Cardiovascular Expert Clinical Advisory Group</w:t>
      </w:r>
      <w:r w:rsidR="007516BA">
        <w:rPr>
          <w:rFonts w:eastAsia="Franklin Gothic Book"/>
          <w:color w:val="000000" w:themeColor="text1"/>
        </w:rPr>
        <w:t xml:space="preserve"> </w:t>
      </w:r>
      <w:r w:rsidR="007516BA" w:rsidRPr="7D480A41">
        <w:rPr>
          <w:rFonts w:eastAsia="Franklin Gothic Book"/>
          <w:color w:val="000000" w:themeColor="text1"/>
        </w:rPr>
        <w:t xml:space="preserve">on the </w:t>
      </w:r>
      <w:r w:rsidR="007516BA" w:rsidRPr="17641F7F">
        <w:rPr>
          <w:rFonts w:eastAsia="Franklin Gothic Book"/>
          <w:color w:val="000000" w:themeColor="text1"/>
        </w:rPr>
        <w:t>appropriate</w:t>
      </w:r>
      <w:r w:rsidR="007516BA" w:rsidRPr="1FBC3414">
        <w:rPr>
          <w:rFonts w:eastAsia="Franklin Gothic Book"/>
          <w:color w:val="000000" w:themeColor="text1"/>
        </w:rPr>
        <w:t xml:space="preserve"> population</w:t>
      </w:r>
      <w:r w:rsidR="007516BA" w:rsidRPr="6239AEAC">
        <w:rPr>
          <w:rFonts w:eastAsia="Franklin Gothic Book"/>
          <w:color w:val="000000" w:themeColor="text1"/>
        </w:rPr>
        <w:t xml:space="preserve"> and comparative clinical assessment</w:t>
      </w:r>
      <w:r w:rsidR="007516BA" w:rsidRPr="348A577E">
        <w:rPr>
          <w:rFonts w:eastAsia="Franklin Gothic Book"/>
          <w:color w:val="000000" w:themeColor="text1"/>
        </w:rPr>
        <w:t>.</w:t>
      </w:r>
      <w:r w:rsidR="000A7826">
        <w:rPr>
          <w:rFonts w:eastAsia="Franklin Gothic Book"/>
        </w:rPr>
        <w:t xml:space="preserve"> </w:t>
      </w:r>
    </w:p>
    <w:tbl>
      <w:tblPr>
        <w:tblStyle w:val="Section3-footnot1"/>
        <w:tblW w:w="0" w:type="auto"/>
        <w:tblLook w:val="04A0" w:firstRow="1" w:lastRow="0" w:firstColumn="1" w:lastColumn="0" w:noHBand="0" w:noVBand="1"/>
        <w:tblDescription w:val="Consumer summary of MSAC consideration"/>
      </w:tblPr>
      <w:tblGrid>
        <w:gridCol w:w="9016"/>
      </w:tblGrid>
      <w:tr w:rsidR="004167A0" w:rsidRPr="00F91D6E" w14:paraId="681CC429" w14:textId="77777777">
        <w:trPr>
          <w:tblHeader/>
        </w:trPr>
        <w:tc>
          <w:tcPr>
            <w:tcW w:w="9016" w:type="dxa"/>
          </w:tcPr>
          <w:p w14:paraId="48D680EC" w14:textId="77777777" w:rsidR="004167A0" w:rsidRPr="00F91D6E" w:rsidRDefault="004167A0">
            <w:pPr>
              <w:keepNext/>
              <w:keepLines/>
              <w:spacing w:line="259" w:lineRule="auto"/>
              <w:rPr>
                <w:rFonts w:eastAsia="Calibri"/>
                <w:b/>
                <w:bCs/>
              </w:rPr>
            </w:pPr>
            <w:r w:rsidRPr="00F91D6E">
              <w:rPr>
                <w:b/>
                <w:bCs/>
              </w:rPr>
              <w:t>Consumer summary</w:t>
            </w:r>
          </w:p>
        </w:tc>
      </w:tr>
      <w:tr w:rsidR="004167A0" w:rsidRPr="00F91D6E" w14:paraId="0B0FA8B4" w14:textId="77777777">
        <w:tc>
          <w:tcPr>
            <w:tcW w:w="9016" w:type="dxa"/>
          </w:tcPr>
          <w:p w14:paraId="4127E0DB" w14:textId="0AAEC526" w:rsidR="0004436F" w:rsidRDefault="0004436F" w:rsidP="0004436F">
            <w:r w:rsidRPr="00AF46D8">
              <w:t xml:space="preserve">This application from </w:t>
            </w:r>
            <w:r w:rsidRPr="00452043">
              <w:t>Medtronic Australasia Pty Ltd</w:t>
            </w:r>
            <w:r w:rsidRPr="00AF46D8">
              <w:t xml:space="preserve"> request</w:t>
            </w:r>
            <w:r w:rsidR="00FA3B66">
              <w:t>ed</w:t>
            </w:r>
            <w:r w:rsidRPr="00AF46D8">
              <w:t xml:space="preserve"> </w:t>
            </w:r>
            <w:r>
              <w:t xml:space="preserve">listing of the </w:t>
            </w:r>
            <w:r w:rsidRPr="003F0B38">
              <w:t>Micra™ AV</w:t>
            </w:r>
            <w:r w:rsidR="00F554DC">
              <w:t xml:space="preserve">, </w:t>
            </w:r>
            <w:r w:rsidR="00F554DC" w:rsidRPr="2883B670">
              <w:rPr>
                <w:rFonts w:eastAsia="Franklin Gothic Book"/>
                <w:color w:val="000000" w:themeColor="text1"/>
              </w:rPr>
              <w:t>a single-chamber leadless pacemaker (LPM) with atrioventricular (AV) synchronous pacing</w:t>
            </w:r>
            <w:r w:rsidR="00F554DC">
              <w:rPr>
                <w:rFonts w:eastAsia="Franklin Gothic Book"/>
                <w:color w:val="000000" w:themeColor="text1"/>
              </w:rPr>
              <w:t>,</w:t>
            </w:r>
            <w:r w:rsidRPr="003F0B38">
              <w:t xml:space="preserve"> on the Prescribed List</w:t>
            </w:r>
            <w:r>
              <w:t xml:space="preserve">. The application </w:t>
            </w:r>
            <w:r w:rsidR="001910CD">
              <w:t>also requested</w:t>
            </w:r>
            <w:r>
              <w:t xml:space="preserve"> a new </w:t>
            </w:r>
            <w:r w:rsidRPr="00AF46D8">
              <w:t xml:space="preserve">Medicare Benefits Schedule (MBS) </w:t>
            </w:r>
            <w:r>
              <w:t xml:space="preserve">item for the insertion of the </w:t>
            </w:r>
            <w:r w:rsidR="008F6029">
              <w:t>pacemaker</w:t>
            </w:r>
            <w:r w:rsidRPr="003F0B38">
              <w:t xml:space="preserve"> </w:t>
            </w:r>
            <w:r>
              <w:t>in patients who have a slow heart rate (called bradycardia) because of a particular heart disorder (called atrioventricular block) but have a normal heart rhythm</w:t>
            </w:r>
            <w:r w:rsidR="00BC25CC">
              <w:t xml:space="preserve"> that beats regularly</w:t>
            </w:r>
            <w:r>
              <w:t xml:space="preserve"> (called sinus rhythm).</w:t>
            </w:r>
            <w:r w:rsidR="00215111">
              <w:t xml:space="preserve"> </w:t>
            </w:r>
            <w:r w:rsidR="002114DA">
              <w:t xml:space="preserve">The human heart consists of </w:t>
            </w:r>
            <w:r w:rsidR="002E4B23">
              <w:t>four</w:t>
            </w:r>
            <w:r w:rsidR="002114DA">
              <w:t xml:space="preserve"> chambers, </w:t>
            </w:r>
            <w:r w:rsidR="002E4B23">
              <w:t xml:space="preserve">which includes </w:t>
            </w:r>
            <w:r w:rsidR="002114DA">
              <w:t>two upper and two</w:t>
            </w:r>
            <w:r w:rsidR="002E4B23">
              <w:t xml:space="preserve"> lower chambers.</w:t>
            </w:r>
            <w:r w:rsidR="009B026E">
              <w:t xml:space="preserve"> </w:t>
            </w:r>
            <w:r w:rsidR="00C362C2">
              <w:t>An e</w:t>
            </w:r>
            <w:r w:rsidR="009B026E">
              <w:t>lectrical signal start</w:t>
            </w:r>
            <w:r w:rsidR="00C362C2">
              <w:t>s</w:t>
            </w:r>
            <w:r w:rsidR="009B026E">
              <w:t xml:space="preserve"> in the top </w:t>
            </w:r>
            <w:r w:rsidR="00C362C2">
              <w:t xml:space="preserve">right </w:t>
            </w:r>
            <w:r w:rsidR="009B026E">
              <w:t>chamber of the heart (</w:t>
            </w:r>
            <w:r w:rsidR="00C362C2">
              <w:t>right</w:t>
            </w:r>
            <w:r w:rsidR="00503F55">
              <w:t xml:space="preserve"> </w:t>
            </w:r>
            <w:r w:rsidR="009B026E">
              <w:t>atri</w:t>
            </w:r>
            <w:r w:rsidR="00FA54B3">
              <w:t>um</w:t>
            </w:r>
            <w:r w:rsidR="00E95BF7">
              <w:t>)</w:t>
            </w:r>
            <w:r w:rsidR="00936D19">
              <w:t xml:space="preserve"> and </w:t>
            </w:r>
            <w:r w:rsidR="00503F55">
              <w:t xml:space="preserve">spreads downwards, </w:t>
            </w:r>
            <w:r w:rsidR="00936D19">
              <w:t>tell</w:t>
            </w:r>
            <w:r w:rsidR="00503F55">
              <w:t>ing</w:t>
            </w:r>
            <w:r w:rsidR="00936D19">
              <w:t xml:space="preserve"> the rest of the heart when to beat.</w:t>
            </w:r>
            <w:r w:rsidR="002114DA">
              <w:t xml:space="preserve"> </w:t>
            </w:r>
            <w:r w:rsidR="00215111">
              <w:t xml:space="preserve">In atrioventricular block, the electrical signals </w:t>
            </w:r>
            <w:r w:rsidR="008815A9">
              <w:t>from</w:t>
            </w:r>
            <w:r w:rsidR="00215111">
              <w:t xml:space="preserve"> the </w:t>
            </w:r>
            <w:r w:rsidR="007202FA">
              <w:t xml:space="preserve">top chambers of the heart </w:t>
            </w:r>
            <w:r w:rsidR="00DD2635">
              <w:t>are blocked from transmitting to the lower chambers of the heart (ventricles)</w:t>
            </w:r>
            <w:r w:rsidR="00325BED">
              <w:t>, which leads to a slow heart rate.</w:t>
            </w:r>
          </w:p>
          <w:p w14:paraId="31EA033B" w14:textId="40079014" w:rsidR="0004436F" w:rsidRDefault="0004436F" w:rsidP="0004436F">
            <w:r>
              <w:t xml:space="preserve">The </w:t>
            </w:r>
            <w:r w:rsidRPr="003F0B38">
              <w:t>Micr</w:t>
            </w:r>
            <w:r w:rsidR="00BB2045">
              <w:t>a</w:t>
            </w:r>
            <w:r w:rsidRPr="003F0B38">
              <w:t xml:space="preserve"> AV</w:t>
            </w:r>
            <w:r>
              <w:t xml:space="preserve"> is a pacemaker, which is a medical device that sends a signal to the heart to help it beat at the right rate and rhythm. </w:t>
            </w:r>
            <w:r w:rsidR="007A6B5C">
              <w:t xml:space="preserve">Traditional </w:t>
            </w:r>
            <w:r>
              <w:t>pacemakers are inserted in the chest</w:t>
            </w:r>
            <w:r w:rsidR="00036E43">
              <w:t xml:space="preserve">, </w:t>
            </w:r>
            <w:r w:rsidR="00D04C0D">
              <w:t xml:space="preserve">in a pocket in the tissue </w:t>
            </w:r>
            <w:r w:rsidR="00036E43">
              <w:t>just below the collarbone</w:t>
            </w:r>
            <w:r w:rsidR="00601ACE">
              <w:t>.</w:t>
            </w:r>
            <w:r>
              <w:t xml:space="preserve"> </w:t>
            </w:r>
            <w:r w:rsidR="00601ACE">
              <w:t xml:space="preserve">These </w:t>
            </w:r>
            <w:r w:rsidR="006C5D2B">
              <w:t xml:space="preserve">traditional </w:t>
            </w:r>
            <w:r w:rsidR="00601ACE">
              <w:t xml:space="preserve">pacemakers </w:t>
            </w:r>
            <w:r>
              <w:t>have leads that run</w:t>
            </w:r>
            <w:r w:rsidR="007E57DB">
              <w:t xml:space="preserve"> from the </w:t>
            </w:r>
            <w:r w:rsidR="009B3A23">
              <w:t>chest pocket</w:t>
            </w:r>
            <w:r>
              <w:t xml:space="preserve"> to the heart through a vein. The </w:t>
            </w:r>
            <w:r w:rsidRPr="003F0B38">
              <w:t>Micr</w:t>
            </w:r>
            <w:r w:rsidR="00BB2045">
              <w:t>a</w:t>
            </w:r>
            <w:r w:rsidRPr="003F0B38">
              <w:t xml:space="preserve"> AV</w:t>
            </w:r>
            <w:r>
              <w:t xml:space="preserve"> is different to these pacemakers because it is inserted </w:t>
            </w:r>
            <w:r w:rsidR="00FA1AC2">
              <w:t xml:space="preserve">directly </w:t>
            </w:r>
            <w:r>
              <w:t>into the heart and does not have any leads.</w:t>
            </w:r>
            <w:r w:rsidR="008F5863">
              <w:t xml:space="preserve"> The </w:t>
            </w:r>
            <w:r w:rsidR="008F5863" w:rsidRPr="003F0B38">
              <w:t>Micra</w:t>
            </w:r>
            <w:r w:rsidR="007649E2">
              <w:t xml:space="preserve"> </w:t>
            </w:r>
            <w:r w:rsidR="008F5863" w:rsidRPr="003F0B38">
              <w:t>AV</w:t>
            </w:r>
            <w:r w:rsidR="008F5863">
              <w:t xml:space="preserve"> has technology that </w:t>
            </w:r>
            <w:r w:rsidR="00B23191">
              <w:t>mimics</w:t>
            </w:r>
            <w:r w:rsidR="003A214E">
              <w:t xml:space="preserve"> the </w:t>
            </w:r>
            <w:r w:rsidR="00B23191">
              <w:t xml:space="preserve">natural </w:t>
            </w:r>
            <w:r w:rsidR="003A214E">
              <w:t xml:space="preserve">beating of the </w:t>
            </w:r>
            <w:r w:rsidR="000733B0">
              <w:t>heart</w:t>
            </w:r>
            <w:r w:rsidR="000B3493">
              <w:t>, by timing the beating of the</w:t>
            </w:r>
            <w:r w:rsidR="003A2308">
              <w:t xml:space="preserve"> top and lower chambers of the heart, so that they are in sync</w:t>
            </w:r>
            <w:r w:rsidR="00B23191">
              <w:t xml:space="preserve">. This technology </w:t>
            </w:r>
            <w:r w:rsidR="005A3C13">
              <w:t xml:space="preserve">detects when the top chamber of the heart </w:t>
            </w:r>
            <w:r w:rsidR="00310FC1">
              <w:t>on the right</w:t>
            </w:r>
            <w:r w:rsidR="00B51421">
              <w:t xml:space="preserve"> </w:t>
            </w:r>
            <w:r w:rsidR="00310FC1">
              <w:t>side (right atrium) has</w:t>
            </w:r>
            <w:r w:rsidR="005B7C21">
              <w:t xml:space="preserve"> sent an electrical </w:t>
            </w:r>
            <w:r w:rsidR="00144CCF">
              <w:t>signal and</w:t>
            </w:r>
            <w:r w:rsidR="00310FC1">
              <w:t xml:space="preserve"> </w:t>
            </w:r>
            <w:r w:rsidR="00554EAD">
              <w:t>done a beat</w:t>
            </w:r>
            <w:r w:rsidR="0089789A">
              <w:t xml:space="preserve">. </w:t>
            </w:r>
            <w:r w:rsidR="007076F1">
              <w:t>Directly after, the device</w:t>
            </w:r>
            <w:r w:rsidR="0089789A">
              <w:t xml:space="preserve"> will send a signal to the bottom chamber of the heart on the </w:t>
            </w:r>
            <w:r w:rsidR="00B51421">
              <w:t>right side (right ventricle) to beat</w:t>
            </w:r>
            <w:r w:rsidR="006C7DEB">
              <w:t>. This makes sure that</w:t>
            </w:r>
            <w:r w:rsidR="001B1DF1">
              <w:t xml:space="preserve"> the right atrium beats before the right ventricle. Thi</w:t>
            </w:r>
            <w:r w:rsidR="006D0509">
              <w:t>s is so that</w:t>
            </w:r>
            <w:r w:rsidR="006C7DEB">
              <w:t xml:space="preserve"> the blood from the right atrium has time to flow </w:t>
            </w:r>
            <w:r w:rsidR="00144CCF">
              <w:t xml:space="preserve">down </w:t>
            </w:r>
            <w:r w:rsidR="006C7DEB">
              <w:t xml:space="preserve">into the right ventricle. This blood can then be sent to the lungs </w:t>
            </w:r>
            <w:r w:rsidR="00D05A2D">
              <w:t xml:space="preserve">to </w:t>
            </w:r>
            <w:r w:rsidR="00AC0B13">
              <w:t xml:space="preserve">have oxygen added to it </w:t>
            </w:r>
            <w:r w:rsidR="006C7DEB">
              <w:t xml:space="preserve">and from there, the </w:t>
            </w:r>
            <w:r w:rsidR="00AC0B13">
              <w:t xml:space="preserve">oxygenated blood is sent to the </w:t>
            </w:r>
            <w:r w:rsidR="006C7DEB">
              <w:t xml:space="preserve">rest of the body. </w:t>
            </w:r>
          </w:p>
          <w:p w14:paraId="002133F4" w14:textId="4D5FC2AD" w:rsidR="003369AF" w:rsidRDefault="00BF553B" w:rsidP="00BF553B">
            <w:r>
              <w:t>MSAC noted that the Micra AV’s battery cannot be replaced. At the end of its battery life the Micra AV is not usually removed, and it remains in place in the heart (in the right ventricle) but is deactivated. A new Micra AV is then inserted into the right ventricle, next to the old one. Removal of the Micra AV once it has been in place for a while can be difficult</w:t>
            </w:r>
            <w:r w:rsidR="00F52017">
              <w:t>.</w:t>
            </w:r>
            <w:r>
              <w:t xml:space="preserve"> It is estimated that up to three Micra devices can fit in the heart and the estimated battery life of the Micra AV is 16 years. </w:t>
            </w:r>
          </w:p>
          <w:p w14:paraId="798AC7D2" w14:textId="16821463" w:rsidR="0004436F" w:rsidRDefault="0004436F" w:rsidP="0004436F">
            <w:r>
              <w:t xml:space="preserve">MSAC concluded that, for some patients, there is a need for pacemakers that do not have leads, like the </w:t>
            </w:r>
            <w:r w:rsidRPr="003F0B38">
              <w:t>Micra AV</w:t>
            </w:r>
            <w:r>
              <w:t xml:space="preserve">. </w:t>
            </w:r>
            <w:r w:rsidR="00097E48">
              <w:t>For example, in some</w:t>
            </w:r>
            <w:r w:rsidR="0092620D">
              <w:t xml:space="preserve"> </w:t>
            </w:r>
            <w:r>
              <w:t>patients whose veins are hard to access or who have a high risk of infection</w:t>
            </w:r>
            <w:r w:rsidR="00225A41">
              <w:t xml:space="preserve"> </w:t>
            </w:r>
            <w:r w:rsidR="00E178C2">
              <w:t xml:space="preserve">affecting </w:t>
            </w:r>
            <w:r w:rsidR="00225A41">
              <w:t>the leads and chest pocket</w:t>
            </w:r>
            <w:r>
              <w:t>.</w:t>
            </w:r>
          </w:p>
          <w:p w14:paraId="5C20B7E0" w14:textId="6DCE0A5C" w:rsidR="0004436F" w:rsidRDefault="0004436F" w:rsidP="0004436F">
            <w:r>
              <w:t xml:space="preserve">Based on the evidence, MSAC concluded that the </w:t>
            </w:r>
            <w:r w:rsidRPr="003F0B38">
              <w:t>Micra</w:t>
            </w:r>
            <w:r w:rsidR="00326205">
              <w:t xml:space="preserve"> </w:t>
            </w:r>
            <w:r w:rsidRPr="003F0B38">
              <w:t>AV</w:t>
            </w:r>
            <w:r>
              <w:t xml:space="preserve"> is</w:t>
            </w:r>
            <w:r w:rsidR="00A16605">
              <w:t xml:space="preserve"> most</w:t>
            </w:r>
            <w:r>
              <w:t xml:space="preserve"> likely to be safe. However, MSAC concluded that the evidence about the effectiveness and value for money of the </w:t>
            </w:r>
            <w:r w:rsidRPr="003F0B38">
              <w:t>Micra AV</w:t>
            </w:r>
            <w:r>
              <w:t xml:space="preserve"> compared with a traditional pacemaker that has leads was highly uncertain. MSAC also noted that there was no evidence provided about the effectiveness and value for money of the </w:t>
            </w:r>
            <w:r w:rsidRPr="003F0B38">
              <w:t>Micra AV</w:t>
            </w:r>
            <w:r>
              <w:t xml:space="preserve"> compared with a different pacemaker that also has no leads</w:t>
            </w:r>
            <w:r w:rsidR="002060DD">
              <w:t xml:space="preserve"> but does not have the ability to </w:t>
            </w:r>
            <w:r w:rsidR="00261E36">
              <w:t>sync</w:t>
            </w:r>
            <w:r w:rsidR="000B5E6D">
              <w:t>hronise</w:t>
            </w:r>
            <w:r w:rsidR="00261E36">
              <w:t xml:space="preserve"> the beating of the top and lower chambers of the heart</w:t>
            </w:r>
            <w:r>
              <w:t xml:space="preserve"> (called the </w:t>
            </w:r>
            <w:r w:rsidRPr="003F0B38">
              <w:t>Micra™ V</w:t>
            </w:r>
            <w:r>
              <w:t>R)</w:t>
            </w:r>
            <w:r w:rsidR="00F345A8">
              <w:t>.</w:t>
            </w:r>
            <w:r>
              <w:t xml:space="preserve"> </w:t>
            </w:r>
            <w:r w:rsidR="00F345A8">
              <w:t xml:space="preserve">The </w:t>
            </w:r>
            <w:r w:rsidR="00F345A8" w:rsidRPr="003F0B38">
              <w:t>Micra V</w:t>
            </w:r>
            <w:r w:rsidR="00F345A8">
              <w:t xml:space="preserve">R </w:t>
            </w:r>
            <w:r>
              <w:t xml:space="preserve">is already </w:t>
            </w:r>
            <w:r w:rsidR="00F345A8">
              <w:t xml:space="preserve">funded and </w:t>
            </w:r>
            <w:r>
              <w:t>listed on the Prescribed List.</w:t>
            </w:r>
          </w:p>
          <w:p w14:paraId="5BA8217C" w14:textId="12A19596" w:rsidR="586AD01A" w:rsidRDefault="586AD01A">
            <w:r>
              <w:t xml:space="preserve">MSAC noted that the Micra AV has the potential to replace or be used in place of the Micra VR in some patients. However, it would not be suitable for younger, relatively fit patients, as it does not have the ability to synchronise the beating of the atrium and ventricle 100% of the time. It can only provide synchronous beating of the heart reliably when the heart beats less than 100 beats per minute. Which means that active and younger patients might not be suitable for the Micra AV because they are likely to be more active, which will raise their </w:t>
            </w:r>
            <w:r w:rsidR="0085697E">
              <w:t>heartbeat</w:t>
            </w:r>
            <w:r>
              <w:t xml:space="preserve"> above 100 beats per minute</w:t>
            </w:r>
            <w:r w:rsidR="47176D70">
              <w:t xml:space="preserve"> when they are moving around</w:t>
            </w:r>
            <w:r>
              <w:t>.</w:t>
            </w:r>
          </w:p>
          <w:p w14:paraId="6E3AFE7D" w14:textId="56495299" w:rsidR="0004436F" w:rsidRDefault="0004436F" w:rsidP="0004436F">
            <w:r>
              <w:lastRenderedPageBreak/>
              <w:t xml:space="preserve">Because of the lack of evidence comparing the </w:t>
            </w:r>
            <w:r w:rsidRPr="004B7679">
              <w:t>Micra AV</w:t>
            </w:r>
            <w:r>
              <w:t xml:space="preserve"> with the </w:t>
            </w:r>
            <w:r w:rsidRPr="004B7679">
              <w:t>Micra V</w:t>
            </w:r>
            <w:r>
              <w:t>R, MSAC did not support the</w:t>
            </w:r>
            <w:r w:rsidR="006B19F4">
              <w:t xml:space="preserve"> request for </w:t>
            </w:r>
            <w:r w:rsidR="008E0EB2">
              <w:t>a higher fee for</w:t>
            </w:r>
            <w:r w:rsidR="006B19F4">
              <w:t xml:space="preserve"> the</w:t>
            </w:r>
            <w:r>
              <w:t xml:space="preserve"> </w:t>
            </w:r>
            <w:r w:rsidRPr="005D5878">
              <w:t xml:space="preserve">Micra </w:t>
            </w:r>
            <w:r>
              <w:t>AV</w:t>
            </w:r>
            <w:r w:rsidR="008D3A5D">
              <w:t xml:space="preserve"> as</w:t>
            </w:r>
            <w:r>
              <w:t xml:space="preserve"> MSAC could not determine if the </w:t>
            </w:r>
            <w:r w:rsidRPr="003F0B38">
              <w:t xml:space="preserve">Micra </w:t>
            </w:r>
            <w:r>
              <w:t>AV was safer, more effective or better value for money</w:t>
            </w:r>
            <w:r w:rsidR="008E0EB2">
              <w:t xml:space="preserve"> than the Micra VR</w:t>
            </w:r>
            <w:r>
              <w:t>.</w:t>
            </w:r>
          </w:p>
          <w:p w14:paraId="329E3E59" w14:textId="2AAB91D2" w:rsidR="004167A0" w:rsidRDefault="0004436F" w:rsidP="0004436F">
            <w:r w:rsidRPr="007D0266">
              <w:t xml:space="preserve">MSAC </w:t>
            </w:r>
            <w:r>
              <w:t xml:space="preserve">also </w:t>
            </w:r>
            <w:r w:rsidRPr="007D0266">
              <w:t xml:space="preserve">concluded that </w:t>
            </w:r>
            <w:r w:rsidR="00432C75">
              <w:t>a</w:t>
            </w:r>
            <w:r w:rsidRPr="007D0266">
              <w:t xml:space="preserve"> new MBS item number was </w:t>
            </w:r>
            <w:r w:rsidR="00432C75">
              <w:t xml:space="preserve">not </w:t>
            </w:r>
            <w:r w:rsidRPr="007D0266">
              <w:t xml:space="preserve">needed for insertion of the Micra AV and that instead the current MBS item for insertion of </w:t>
            </w:r>
            <w:r>
              <w:t>pacemakers that do not have leads</w:t>
            </w:r>
            <w:r w:rsidRPr="007D0266">
              <w:t xml:space="preserve"> </w:t>
            </w:r>
            <w:r>
              <w:t>(</w:t>
            </w:r>
            <w:hyperlink r:id="rId12" w:history="1">
              <w:r>
                <w:rPr>
                  <w:rStyle w:val="Hyperlink"/>
                </w:rPr>
                <w:t>MBS item 38372</w:t>
              </w:r>
            </w:hyperlink>
            <w:r>
              <w:t xml:space="preserve">) </w:t>
            </w:r>
            <w:r w:rsidRPr="007D0266">
              <w:t>could be used.</w:t>
            </w:r>
            <w:r>
              <w:t xml:space="preserve"> MSAC suggested that advice could be added to the MBS item</w:t>
            </w:r>
            <w:r w:rsidR="001D2FF7">
              <w:t xml:space="preserve"> notes</w:t>
            </w:r>
            <w:r>
              <w:t xml:space="preserve"> to make it clear which patients the </w:t>
            </w:r>
            <w:r w:rsidRPr="004B7679">
              <w:t>Micra AV</w:t>
            </w:r>
            <w:r>
              <w:t xml:space="preserve"> is useful for.</w:t>
            </w:r>
          </w:p>
          <w:p w14:paraId="7BCAB3EB" w14:textId="77777777" w:rsidR="004167A0" w:rsidRPr="00F91D6E" w:rsidRDefault="004167A0">
            <w:pPr>
              <w:keepNext/>
              <w:keepLines/>
              <w:spacing w:line="259" w:lineRule="auto"/>
              <w:rPr>
                <w:b/>
                <w:bCs/>
              </w:rPr>
            </w:pPr>
            <w:r w:rsidRPr="00F91D6E">
              <w:rPr>
                <w:b/>
                <w:bCs/>
              </w:rPr>
              <w:t xml:space="preserve">MSAC’s advice to the </w:t>
            </w:r>
            <w:proofErr w:type="gramStart"/>
            <w:r w:rsidRPr="00F91D6E">
              <w:rPr>
                <w:b/>
                <w:bCs/>
              </w:rPr>
              <w:t>Commonwealth Minister</w:t>
            </w:r>
            <w:proofErr w:type="gramEnd"/>
            <w:r w:rsidRPr="00F91D6E">
              <w:rPr>
                <w:b/>
                <w:bCs/>
              </w:rPr>
              <w:t xml:space="preserve"> for Health and Aged Care</w:t>
            </w:r>
          </w:p>
          <w:p w14:paraId="6318B650" w14:textId="6ACD8D98" w:rsidR="007A775F" w:rsidRDefault="003271FA" w:rsidP="00C947BD">
            <w:pPr>
              <w:spacing w:after="120" w:line="259" w:lineRule="auto"/>
            </w:pPr>
            <w:r w:rsidRPr="2883B670">
              <w:rPr>
                <w:rFonts w:eastAsia="Franklin Gothic Book"/>
                <w:color w:val="000000" w:themeColor="text1"/>
              </w:rPr>
              <w:t xml:space="preserve">MSAC did not support the creation of new items for the insertion of Micra AV </w:t>
            </w:r>
            <w:r w:rsidR="00AD5C8C">
              <w:rPr>
                <w:rFonts w:eastAsia="Franklin Gothic Book"/>
                <w:color w:val="000000" w:themeColor="text1"/>
              </w:rPr>
              <w:t>in</w:t>
            </w:r>
            <w:r w:rsidRPr="2883B670">
              <w:rPr>
                <w:rFonts w:eastAsia="Franklin Gothic Book"/>
                <w:color w:val="000000" w:themeColor="text1"/>
              </w:rPr>
              <w:t xml:space="preserve"> patients with bradycardia due to AV block who are in sinus rhythm</w:t>
            </w:r>
            <w:r w:rsidR="004A6213">
              <w:rPr>
                <w:rFonts w:eastAsia="Franklin Gothic Book"/>
                <w:color w:val="000000" w:themeColor="text1"/>
              </w:rPr>
              <w:t>. MSAC advised</w:t>
            </w:r>
            <w:r w:rsidR="00373E80">
              <w:rPr>
                <w:rFonts w:eastAsia="Franklin Gothic Book"/>
                <w:color w:val="000000" w:themeColor="text1"/>
              </w:rPr>
              <w:t xml:space="preserve"> </w:t>
            </w:r>
            <w:r w:rsidR="004A6213">
              <w:rPr>
                <w:rFonts w:eastAsia="Franklin Gothic Book"/>
                <w:color w:val="000000" w:themeColor="text1"/>
              </w:rPr>
              <w:t>that existing</w:t>
            </w:r>
            <w:r w:rsidR="00373E80" w:rsidRPr="2883B670">
              <w:rPr>
                <w:rFonts w:eastAsia="Franklin Gothic Book"/>
                <w:color w:val="000000" w:themeColor="text1"/>
              </w:rPr>
              <w:t xml:space="preserve"> MBS items for </w:t>
            </w:r>
            <w:r w:rsidR="000A4FED">
              <w:rPr>
                <w:rFonts w:eastAsia="Franklin Gothic Book"/>
                <w:color w:val="000000" w:themeColor="text1"/>
              </w:rPr>
              <w:t>leadless pacemaker</w:t>
            </w:r>
            <w:r w:rsidR="00F53A7D">
              <w:rPr>
                <w:rFonts w:eastAsia="Franklin Gothic Book"/>
                <w:color w:val="000000" w:themeColor="text1"/>
              </w:rPr>
              <w:t>s</w:t>
            </w:r>
            <w:r w:rsidR="00373E80" w:rsidRPr="2883B670">
              <w:rPr>
                <w:rFonts w:eastAsia="Franklin Gothic Book"/>
                <w:color w:val="000000" w:themeColor="text1"/>
              </w:rPr>
              <w:t xml:space="preserve"> </w:t>
            </w:r>
            <w:r w:rsidR="00F53A7D">
              <w:rPr>
                <w:rFonts w:eastAsia="Franklin Gothic Book"/>
                <w:color w:val="000000" w:themeColor="text1"/>
              </w:rPr>
              <w:t>(for</w:t>
            </w:r>
            <w:r w:rsidR="00373E80" w:rsidRPr="2883B670">
              <w:rPr>
                <w:rFonts w:eastAsia="Franklin Gothic Book"/>
                <w:color w:val="000000" w:themeColor="text1"/>
              </w:rPr>
              <w:t xml:space="preserve"> insertion, retrieval, replacement, and</w:t>
            </w:r>
            <w:r w:rsidR="003926D7">
              <w:rPr>
                <w:rFonts w:eastAsia="Franklin Gothic Book"/>
                <w:color w:val="000000" w:themeColor="text1"/>
              </w:rPr>
              <w:t xml:space="preserve"> removal</w:t>
            </w:r>
            <w:r w:rsidR="00470ADE">
              <w:rPr>
                <w:rFonts w:eastAsia="Franklin Gothic Book"/>
                <w:color w:val="000000" w:themeColor="text1"/>
              </w:rPr>
              <w:t xml:space="preserve"> of leadless pacemakers</w:t>
            </w:r>
            <w:r w:rsidR="00F53A7D">
              <w:rPr>
                <w:rFonts w:eastAsia="Franklin Gothic Book"/>
                <w:color w:val="000000" w:themeColor="text1"/>
              </w:rPr>
              <w:t>)</w:t>
            </w:r>
            <w:r w:rsidR="00373E80" w:rsidRPr="2883B670">
              <w:rPr>
                <w:rFonts w:eastAsia="Franklin Gothic Book"/>
                <w:color w:val="000000" w:themeColor="text1"/>
              </w:rPr>
              <w:t xml:space="preserve"> could be </w:t>
            </w:r>
            <w:r w:rsidR="00AF78F0">
              <w:rPr>
                <w:rFonts w:eastAsia="Franklin Gothic Book"/>
                <w:color w:val="000000" w:themeColor="text1"/>
              </w:rPr>
              <w:t>used instead</w:t>
            </w:r>
            <w:r w:rsidR="00571D3A">
              <w:rPr>
                <w:rFonts w:eastAsia="Franklin Gothic Book"/>
                <w:color w:val="000000" w:themeColor="text1"/>
              </w:rPr>
              <w:t>.</w:t>
            </w:r>
            <w:r w:rsidR="000A4FED">
              <w:rPr>
                <w:rFonts w:eastAsia="Franklin Gothic Book"/>
                <w:color w:val="000000" w:themeColor="text1"/>
              </w:rPr>
              <w:t xml:space="preserve"> </w:t>
            </w:r>
            <w:r w:rsidR="00571D3A">
              <w:rPr>
                <w:rFonts w:eastAsia="Franklin Gothic Book"/>
                <w:color w:val="000000" w:themeColor="text1"/>
              </w:rPr>
              <w:t xml:space="preserve">The existing MBS items would </w:t>
            </w:r>
            <w:r w:rsidR="006E5B96">
              <w:rPr>
                <w:rFonts w:eastAsia="Franklin Gothic Book"/>
                <w:color w:val="000000" w:themeColor="text1"/>
              </w:rPr>
              <w:t>need</w:t>
            </w:r>
            <w:r w:rsidR="00373E80" w:rsidRPr="2883B670">
              <w:rPr>
                <w:rFonts w:eastAsia="Franklin Gothic Book"/>
                <w:color w:val="000000" w:themeColor="text1"/>
              </w:rPr>
              <w:t xml:space="preserve"> </w:t>
            </w:r>
            <w:r w:rsidR="005609EB" w:rsidRPr="006D40FF">
              <w:rPr>
                <w:rFonts w:eastAsia="Franklin Gothic Book"/>
                <w:color w:val="000000" w:themeColor="text1"/>
              </w:rPr>
              <w:t xml:space="preserve">explanatory notes </w:t>
            </w:r>
            <w:r w:rsidR="00571D3A">
              <w:rPr>
                <w:rFonts w:eastAsia="Franklin Gothic Book"/>
                <w:color w:val="000000" w:themeColor="text1"/>
              </w:rPr>
              <w:t xml:space="preserve">added </w:t>
            </w:r>
            <w:r w:rsidR="00373E80" w:rsidRPr="2883B670">
              <w:rPr>
                <w:rFonts w:eastAsia="Franklin Gothic Book"/>
                <w:color w:val="000000" w:themeColor="text1"/>
              </w:rPr>
              <w:t xml:space="preserve">to </w:t>
            </w:r>
            <w:r w:rsidR="006E5B96">
              <w:rPr>
                <w:rFonts w:eastAsia="Franklin Gothic Book"/>
                <w:color w:val="000000" w:themeColor="text1"/>
              </w:rPr>
              <w:t>them, to</w:t>
            </w:r>
            <w:r w:rsidR="00373E80" w:rsidRPr="2883B670">
              <w:rPr>
                <w:rFonts w:eastAsia="Franklin Gothic Book"/>
                <w:color w:val="000000" w:themeColor="text1"/>
              </w:rPr>
              <w:t xml:space="preserve"> include the </w:t>
            </w:r>
            <w:r w:rsidR="00733CF9">
              <w:rPr>
                <w:rFonts w:eastAsia="Franklin Gothic Book"/>
                <w:color w:val="000000" w:themeColor="text1"/>
              </w:rPr>
              <w:t>people eligible</w:t>
            </w:r>
            <w:r w:rsidR="00373E80" w:rsidRPr="2883B670">
              <w:rPr>
                <w:rFonts w:eastAsia="Franklin Gothic Book"/>
                <w:color w:val="000000" w:themeColor="text1"/>
              </w:rPr>
              <w:t xml:space="preserve"> for the Micra AV.</w:t>
            </w:r>
          </w:p>
          <w:p w14:paraId="00F324FA" w14:textId="5FE7E9DA" w:rsidR="00381F34" w:rsidRDefault="0002257D" w:rsidP="0002257D">
            <w:pPr>
              <w:rPr>
                <w:rFonts w:eastAsia="Franklin Gothic Book"/>
                <w:color w:val="000000" w:themeColor="text1"/>
              </w:rPr>
            </w:pPr>
            <w:r w:rsidRPr="71A0E73E">
              <w:rPr>
                <w:rFonts w:eastAsia="Franklin Gothic Book"/>
                <w:color w:val="000000" w:themeColor="text1"/>
              </w:rPr>
              <w:t>MSAC considered th</w:t>
            </w:r>
            <w:r w:rsidR="00FF748A">
              <w:rPr>
                <w:rFonts w:eastAsia="Franklin Gothic Book"/>
                <w:color w:val="000000" w:themeColor="text1"/>
              </w:rPr>
              <w:t>e device likely to be safer than traditional pacemakers with leads, particularly</w:t>
            </w:r>
            <w:r w:rsidR="004C7727">
              <w:rPr>
                <w:rFonts w:eastAsia="Franklin Gothic Book"/>
                <w:color w:val="000000" w:themeColor="text1"/>
              </w:rPr>
              <w:t xml:space="preserve"> </w:t>
            </w:r>
            <w:r w:rsidR="004C7727" w:rsidRPr="00615ACB">
              <w:t>for patients with limited vein access and/or a high risk of infection</w:t>
            </w:r>
            <w:r w:rsidR="0069092D">
              <w:rPr>
                <w:rFonts w:eastAsia="Franklin Gothic Book"/>
                <w:color w:val="000000" w:themeColor="text1"/>
              </w:rPr>
              <w:t>. While the Micra AV may offer quality</w:t>
            </w:r>
            <w:r w:rsidR="002C59F6">
              <w:rPr>
                <w:rFonts w:eastAsia="Franklin Gothic Book"/>
                <w:color w:val="000000" w:themeColor="text1"/>
              </w:rPr>
              <w:t>-of-life benefits</w:t>
            </w:r>
            <w:r w:rsidR="0024703A">
              <w:rPr>
                <w:rFonts w:eastAsia="Franklin Gothic Book"/>
                <w:color w:val="000000" w:themeColor="text1"/>
              </w:rPr>
              <w:t xml:space="preserve">, MSAC </w:t>
            </w:r>
            <w:r w:rsidR="000D0F63">
              <w:rPr>
                <w:rFonts w:eastAsia="Franklin Gothic Book"/>
                <w:color w:val="000000" w:themeColor="text1"/>
              </w:rPr>
              <w:t>concluded</w:t>
            </w:r>
            <w:r w:rsidR="0024703A">
              <w:rPr>
                <w:rFonts w:eastAsia="Franklin Gothic Book"/>
                <w:color w:val="000000" w:themeColor="text1"/>
              </w:rPr>
              <w:t xml:space="preserve"> </w:t>
            </w:r>
            <w:r w:rsidR="00520BE3">
              <w:rPr>
                <w:rFonts w:eastAsia="Franklin Gothic Book"/>
                <w:color w:val="000000" w:themeColor="text1"/>
              </w:rPr>
              <w:t xml:space="preserve">that </w:t>
            </w:r>
            <w:r w:rsidR="00A35013">
              <w:rPr>
                <w:rFonts w:eastAsia="Franklin Gothic Book"/>
                <w:color w:val="000000" w:themeColor="text1"/>
              </w:rPr>
              <w:t>the Micra AV</w:t>
            </w:r>
            <w:r w:rsidR="00520BE3">
              <w:rPr>
                <w:rFonts w:eastAsia="Franklin Gothic Book"/>
                <w:color w:val="000000" w:themeColor="text1"/>
              </w:rPr>
              <w:t xml:space="preserve"> may </w:t>
            </w:r>
            <w:r w:rsidR="00A35013">
              <w:rPr>
                <w:rFonts w:eastAsia="Franklin Gothic Book"/>
                <w:color w:val="000000" w:themeColor="text1"/>
              </w:rPr>
              <w:t>perform</w:t>
            </w:r>
            <w:r w:rsidR="001271C4">
              <w:rPr>
                <w:rFonts w:eastAsia="Franklin Gothic Book"/>
                <w:color w:val="000000" w:themeColor="text1"/>
              </w:rPr>
              <w:t xml:space="preserve"> the same as (but not better than)</w:t>
            </w:r>
            <w:r w:rsidR="00741357">
              <w:rPr>
                <w:rFonts w:eastAsia="Franklin Gothic Book"/>
                <w:color w:val="000000" w:themeColor="text1"/>
              </w:rPr>
              <w:t xml:space="preserve"> </w:t>
            </w:r>
            <w:r w:rsidR="00405612">
              <w:rPr>
                <w:rFonts w:eastAsia="Franklin Gothic Book"/>
                <w:color w:val="000000" w:themeColor="text1"/>
              </w:rPr>
              <w:t xml:space="preserve">traditional lead-based pacemakers and the already-listed leadless </w:t>
            </w:r>
            <w:r w:rsidR="00903423" w:rsidRPr="004B7679">
              <w:t>Micra V</w:t>
            </w:r>
            <w:r w:rsidR="00903423">
              <w:t>R, which lacks the AV synchronisation feature.</w:t>
            </w:r>
            <w:r w:rsidR="00707E69">
              <w:t xml:space="preserve"> </w:t>
            </w:r>
          </w:p>
          <w:p w14:paraId="2A654B8A" w14:textId="4C32AFE3" w:rsidR="004167A0" w:rsidRPr="00296EA5" w:rsidRDefault="00B04CE6" w:rsidP="00296EA5">
            <w:pPr>
              <w:rPr>
                <w:rFonts w:eastAsia="Franklin Gothic Book"/>
                <w:color w:val="000000" w:themeColor="text1"/>
              </w:rPr>
            </w:pPr>
            <w:r w:rsidRPr="358AA807">
              <w:rPr>
                <w:rFonts w:eastAsia="Franklin Gothic Book"/>
                <w:color w:val="000000" w:themeColor="text1"/>
              </w:rPr>
              <w:t>MSAC advised the Medical Devices and Human Tissue Advisory Committee (MDHTAC) that</w:t>
            </w:r>
            <w:r w:rsidR="004303B8">
              <w:rPr>
                <w:rFonts w:eastAsia="Franklin Gothic Book"/>
                <w:color w:val="000000" w:themeColor="text1"/>
              </w:rPr>
              <w:t xml:space="preserve">, in the </w:t>
            </w:r>
            <w:r w:rsidRPr="358AA807">
              <w:rPr>
                <w:rFonts w:eastAsia="Franklin Gothic Book"/>
                <w:color w:val="000000" w:themeColor="text1"/>
              </w:rPr>
              <w:t>absence of comparative</w:t>
            </w:r>
            <w:r w:rsidR="009F6E06">
              <w:rPr>
                <w:rFonts w:eastAsia="Franklin Gothic Book"/>
                <w:color w:val="000000" w:themeColor="text1"/>
              </w:rPr>
              <w:t xml:space="preserve"> clinical</w:t>
            </w:r>
            <w:r w:rsidRPr="358AA807">
              <w:rPr>
                <w:rFonts w:eastAsia="Franklin Gothic Book"/>
                <w:color w:val="000000" w:themeColor="text1"/>
              </w:rPr>
              <w:t xml:space="preserve"> data</w:t>
            </w:r>
            <w:r w:rsidR="009F6E06">
              <w:rPr>
                <w:rFonts w:eastAsia="Franklin Gothic Book"/>
                <w:color w:val="000000" w:themeColor="text1"/>
              </w:rPr>
              <w:t xml:space="preserve"> for the Micra AV over the already PL listed Micra VR</w:t>
            </w:r>
            <w:r w:rsidRPr="358AA807">
              <w:rPr>
                <w:rFonts w:eastAsia="Franklin Gothic Book"/>
                <w:color w:val="000000" w:themeColor="text1"/>
              </w:rPr>
              <w:t xml:space="preserve">, </w:t>
            </w:r>
            <w:r w:rsidR="004303B8">
              <w:rPr>
                <w:rFonts w:eastAsia="Franklin Gothic Book"/>
                <w:color w:val="000000" w:themeColor="text1"/>
              </w:rPr>
              <w:t>a</w:t>
            </w:r>
            <w:r w:rsidR="008D4C88" w:rsidRPr="358AA807">
              <w:rPr>
                <w:rFonts w:eastAsia="Franklin Gothic Book"/>
                <w:color w:val="000000" w:themeColor="text1"/>
              </w:rPr>
              <w:t xml:space="preserve"> higher proposed PL benefit for the Micra AV</w:t>
            </w:r>
            <w:r w:rsidR="008D4C88">
              <w:rPr>
                <w:rFonts w:eastAsia="Franklin Gothic Book"/>
                <w:color w:val="000000" w:themeColor="text1"/>
              </w:rPr>
              <w:t xml:space="preserve"> </w:t>
            </w:r>
            <w:r w:rsidR="00594CFB">
              <w:rPr>
                <w:rFonts w:eastAsia="Franklin Gothic Book"/>
                <w:color w:val="000000" w:themeColor="text1"/>
              </w:rPr>
              <w:t>could not be justified.</w:t>
            </w:r>
          </w:p>
        </w:tc>
      </w:tr>
    </w:tbl>
    <w:p w14:paraId="72C7C460" w14:textId="77777777" w:rsidR="004167A0" w:rsidRPr="00D155C0" w:rsidRDefault="004167A0" w:rsidP="004167A0">
      <w:pPr>
        <w:pStyle w:val="Heading2"/>
        <w:numPr>
          <w:ilvl w:val="0"/>
          <w:numId w:val="27"/>
        </w:numPr>
        <w:ind w:hanging="720"/>
      </w:pPr>
      <w:r w:rsidRPr="003A793E">
        <w:lastRenderedPageBreak/>
        <w:t>Summary of consideration and rationale for MSAC’s advice</w:t>
      </w:r>
    </w:p>
    <w:bookmarkEnd w:id="2"/>
    <w:p w14:paraId="2D3F29CF" w14:textId="2FA6BA82" w:rsidR="00CF21DC" w:rsidRDefault="00CF21DC" w:rsidP="00CF21DC">
      <w:r>
        <w:t xml:space="preserve">MSAC noted this application </w:t>
      </w:r>
      <w:r w:rsidR="00CB038D">
        <w:t xml:space="preserve">from </w:t>
      </w:r>
      <w:r>
        <w:t xml:space="preserve">Medtronic Australasia Pty Ltd </w:t>
      </w:r>
      <w:r w:rsidR="000F22F5">
        <w:t>was</w:t>
      </w:r>
      <w:r>
        <w:t xml:space="preserve"> to </w:t>
      </w:r>
      <w:r w:rsidR="00C2167B">
        <w:t>facilitate the application for listing of</w:t>
      </w:r>
      <w:r>
        <w:t xml:space="preserve"> </w:t>
      </w:r>
      <w:r w:rsidR="00C42DC8">
        <w:t xml:space="preserve">a </w:t>
      </w:r>
      <w:r w:rsidR="00C42DC8" w:rsidRPr="1CA5383C">
        <w:rPr>
          <w:rFonts w:eastAsia="Franklin Gothic Book"/>
          <w:color w:val="000000" w:themeColor="text1"/>
        </w:rPr>
        <w:t xml:space="preserve">single-chamber leadless pacemaker (LPM) with </w:t>
      </w:r>
      <w:r w:rsidR="005602D9">
        <w:rPr>
          <w:rFonts w:eastAsia="Franklin Gothic Book"/>
          <w:color w:val="000000" w:themeColor="text1"/>
        </w:rPr>
        <w:t>rate-responsive</w:t>
      </w:r>
      <w:r w:rsidR="00406233">
        <w:rPr>
          <w:rFonts w:eastAsia="Franklin Gothic Book"/>
          <w:color w:val="000000" w:themeColor="text1"/>
        </w:rPr>
        <w:t xml:space="preserve"> </w:t>
      </w:r>
      <w:r w:rsidR="00C42DC8" w:rsidRPr="1CA5383C">
        <w:rPr>
          <w:rFonts w:eastAsia="Franklin Gothic Book"/>
          <w:color w:val="000000" w:themeColor="text1"/>
        </w:rPr>
        <w:t>atrioventricular (AV) synchronous pacing</w:t>
      </w:r>
      <w:r w:rsidR="00C42DC8">
        <w:t xml:space="preserve"> (</w:t>
      </w:r>
      <w:r>
        <w:t>Micra™ AV</w:t>
      </w:r>
      <w:r w:rsidR="00C42DC8">
        <w:t>)</w:t>
      </w:r>
      <w:r>
        <w:t xml:space="preserve"> </w:t>
      </w:r>
      <w:r w:rsidR="00406233">
        <w:t>to the right ventricle</w:t>
      </w:r>
      <w:r>
        <w:t xml:space="preserve"> on the </w:t>
      </w:r>
      <w:r w:rsidR="000F22F5">
        <w:t>Prescribed List of Medical Devices and Human Tissue Products</w:t>
      </w:r>
      <w:r>
        <w:t xml:space="preserve"> (PL) via </w:t>
      </w:r>
      <w:r w:rsidRPr="0018045D">
        <w:t>the Tier 3</w:t>
      </w:r>
      <w:r>
        <w:t xml:space="preserve"> full health technology assessment (HTA) pathway. MSAC </w:t>
      </w:r>
      <w:r w:rsidR="00BC6C72">
        <w:t>also</w:t>
      </w:r>
      <w:r>
        <w:t xml:space="preserve"> noted the application requested a new Medicare Benefits Schedule (MBS) item for the insertion of the Micr</w:t>
      </w:r>
      <w:r w:rsidR="00667622">
        <w:t>a</w:t>
      </w:r>
      <w:r>
        <w:t xml:space="preserve"> AV</w:t>
      </w:r>
      <w:r w:rsidR="00667622">
        <w:t xml:space="preserve"> </w:t>
      </w:r>
      <w:r>
        <w:t>for patients with bradycardia due to AV block who are in sinus rhythm.</w:t>
      </w:r>
      <w:r w:rsidR="00535AB4">
        <w:t xml:space="preserve"> </w:t>
      </w:r>
      <w:r>
        <w:t xml:space="preserve">MSAC </w:t>
      </w:r>
      <w:r w:rsidR="001E22F4">
        <w:t>considered</w:t>
      </w:r>
      <w:r w:rsidR="00372A36">
        <w:t xml:space="preserve"> </w:t>
      </w:r>
      <w:r w:rsidR="007A013E">
        <w:t>it</w:t>
      </w:r>
      <w:r w:rsidR="00C160FE">
        <w:t xml:space="preserve"> </w:t>
      </w:r>
      <w:r w:rsidR="001E22F4">
        <w:t>appropriate</w:t>
      </w:r>
      <w:r>
        <w:t xml:space="preserve"> that </w:t>
      </w:r>
      <w:r w:rsidR="00872862">
        <w:t xml:space="preserve">Micra AV </w:t>
      </w:r>
      <w:r>
        <w:t>insertio</w:t>
      </w:r>
      <w:r w:rsidR="00D4781B">
        <w:t>n</w:t>
      </w:r>
      <w:r w:rsidR="008861C8">
        <w:t xml:space="preserve"> </w:t>
      </w:r>
      <w:r>
        <w:t>be performed as an inpatient service, in public or private hospital</w:t>
      </w:r>
      <w:r w:rsidR="005757CD">
        <w:t>s</w:t>
      </w:r>
      <w:r w:rsidR="00D9160E">
        <w:t>,</w:t>
      </w:r>
      <w:r>
        <w:t xml:space="preserve"> </w:t>
      </w:r>
      <w:r w:rsidR="0043020E">
        <w:t>with</w:t>
      </w:r>
      <w:r>
        <w:t>in a cardiac catheterisation laboratory or operating room</w:t>
      </w:r>
      <w:r w:rsidR="00D9160E">
        <w:t>,</w:t>
      </w:r>
      <w:r>
        <w:t xml:space="preserve"> and </w:t>
      </w:r>
      <w:r w:rsidR="00E22129">
        <w:t xml:space="preserve">to </w:t>
      </w:r>
      <w:r>
        <w:t>be performed by</w:t>
      </w:r>
      <w:r w:rsidR="0093103D">
        <w:t xml:space="preserve"> </w:t>
      </w:r>
      <w:r>
        <w:t>specialist cardiologists (interventional cardiologists and cardiac electrophysiologists) or cardiac surgeons</w:t>
      </w:r>
      <w:r w:rsidR="001E22F4">
        <w:t>.</w:t>
      </w:r>
      <w:r>
        <w:t xml:space="preserve"> </w:t>
      </w:r>
    </w:p>
    <w:p w14:paraId="6B33BDD1" w14:textId="690226FA" w:rsidR="00CF21DC" w:rsidRDefault="00CF21DC" w:rsidP="00CF21DC">
      <w:r>
        <w:t xml:space="preserve">MSAC considered that there was a clinical need for LPMs, including the Micra AV, </w:t>
      </w:r>
      <w:r w:rsidR="004F6A42">
        <w:t xml:space="preserve">as </w:t>
      </w:r>
      <w:r>
        <w:t xml:space="preserve">some patients </w:t>
      </w:r>
      <w:r w:rsidR="00BE0E7A">
        <w:t xml:space="preserve">are not suitable for </w:t>
      </w:r>
      <w:r w:rsidR="00673E5E">
        <w:t>conventional transvenous pacemaker</w:t>
      </w:r>
      <w:r w:rsidR="00250CBE">
        <w:t xml:space="preserve">s </w:t>
      </w:r>
      <w:r w:rsidR="00BE0E7A">
        <w:t>which include leads, due to</w:t>
      </w:r>
      <w:r>
        <w:t xml:space="preserve"> </w:t>
      </w:r>
      <w:r w:rsidR="004F6A42">
        <w:t xml:space="preserve">limited </w:t>
      </w:r>
      <w:r>
        <w:t xml:space="preserve">venous access and/or a high risk of lead or pocket infection. </w:t>
      </w:r>
      <w:r w:rsidR="003C663A">
        <w:t>MSAC</w:t>
      </w:r>
      <w:r>
        <w:t xml:space="preserve"> noted that </w:t>
      </w:r>
      <w:r w:rsidR="003F0F62">
        <w:t>unlike</w:t>
      </w:r>
      <w:r w:rsidR="005034E2">
        <w:t xml:space="preserve"> </w:t>
      </w:r>
      <w:r w:rsidR="00250CBE">
        <w:t>transvenous pacemakers</w:t>
      </w:r>
      <w:r w:rsidR="003F0F62">
        <w:t xml:space="preserve">, </w:t>
      </w:r>
      <w:r>
        <w:t>LPMs do not require a subcutaneous generator pocket, reduc</w:t>
      </w:r>
      <w:r w:rsidR="000D25F5">
        <w:t xml:space="preserve">ing the </w:t>
      </w:r>
      <w:r>
        <w:t>risk of pocket infection or haematoma compared with transvenous pacemakers. MSAC also noted that LPMs eliminate complications associated with leads</w:t>
      </w:r>
      <w:r w:rsidR="0044442A">
        <w:t xml:space="preserve">, such as </w:t>
      </w:r>
      <w:r>
        <w:t xml:space="preserve">lead dislodgement and lead fracture. </w:t>
      </w:r>
      <w:r w:rsidR="006B5E53">
        <w:t xml:space="preserve">The </w:t>
      </w:r>
      <w:r>
        <w:t xml:space="preserve">clinical </w:t>
      </w:r>
      <w:r w:rsidR="00FE4392">
        <w:t>benefits of</w:t>
      </w:r>
      <w:r>
        <w:t xml:space="preserve"> LPMs </w:t>
      </w:r>
      <w:r w:rsidR="7B48E944">
        <w:t>were</w:t>
      </w:r>
      <w:r>
        <w:t xml:space="preserve"> </w:t>
      </w:r>
      <w:r w:rsidR="006B5E53">
        <w:t xml:space="preserve">previously </w:t>
      </w:r>
      <w:r w:rsidR="00FE4392">
        <w:t xml:space="preserve">noted </w:t>
      </w:r>
      <w:r w:rsidR="00960C08">
        <w:t xml:space="preserve">in </w:t>
      </w:r>
      <w:hyperlink r:id="rId13" w:history="1">
        <w:r w:rsidRPr="00097F90">
          <w:rPr>
            <w:rStyle w:val="Hyperlink"/>
          </w:rPr>
          <w:t>MSAC Application 1672</w:t>
        </w:r>
      </w:hyperlink>
      <w:r>
        <w:t xml:space="preserve">, which </w:t>
      </w:r>
      <w:r w:rsidR="00B930A2">
        <w:t xml:space="preserve">evaluated </w:t>
      </w:r>
      <w:r w:rsidR="005034E2">
        <w:t xml:space="preserve">the </w:t>
      </w:r>
      <w:r>
        <w:t xml:space="preserve">insertion </w:t>
      </w:r>
      <w:r w:rsidR="00B930A2">
        <w:t xml:space="preserve">and </w:t>
      </w:r>
      <w:r>
        <w:t xml:space="preserve">removal of </w:t>
      </w:r>
      <w:r w:rsidR="00C81CBD">
        <w:t xml:space="preserve">leadless pacemakers </w:t>
      </w:r>
      <w:r w:rsidR="000C77F7">
        <w:t xml:space="preserve">in the context of </w:t>
      </w:r>
      <w:r>
        <w:t>the Micra™ VR, a single-chamber LPM with ventricular pacing</w:t>
      </w:r>
      <w:r w:rsidR="005034E2">
        <w:t xml:space="preserve"> but without the ability for AV syn</w:t>
      </w:r>
      <w:r w:rsidR="00475444">
        <w:t>chronous pacing</w:t>
      </w:r>
      <w:r>
        <w:t>. MSAC noted that</w:t>
      </w:r>
      <w:r w:rsidR="00C96943">
        <w:t xml:space="preserve"> </w:t>
      </w:r>
      <w:r w:rsidR="00475444">
        <w:t xml:space="preserve">the </w:t>
      </w:r>
      <w:r w:rsidR="00C96943">
        <w:t>Micra VR is</w:t>
      </w:r>
      <w:r>
        <w:t xml:space="preserve"> currently</w:t>
      </w:r>
      <w:r w:rsidR="00363304">
        <w:t xml:space="preserve"> used </w:t>
      </w:r>
      <w:r>
        <w:t>for patients for whom there are concerns about venous access and risk of infection</w:t>
      </w:r>
      <w:r w:rsidR="00363304">
        <w:t>.</w:t>
      </w:r>
    </w:p>
    <w:p w14:paraId="6CF7AEF5" w14:textId="1D994989" w:rsidR="00AE409D" w:rsidRPr="00416E77" w:rsidRDefault="00AE409D" w:rsidP="00AE409D">
      <w:pPr>
        <w:rPr>
          <w:rFonts w:eastAsia="Franklin Gothic Book" w:cs="Franklin Gothic Book"/>
        </w:rPr>
      </w:pPr>
      <w:r w:rsidRPr="00E95A1D">
        <w:rPr>
          <w:rFonts w:eastAsia="Segoe UI" w:cs="Segoe UI"/>
          <w:color w:val="212121"/>
        </w:rPr>
        <w:t xml:space="preserve">MSAC noted that the Micra AV senses the </w:t>
      </w:r>
      <w:r w:rsidR="2852D6C9" w:rsidRPr="00E95A1D">
        <w:rPr>
          <w:rFonts w:eastAsia="Segoe UI" w:cs="Segoe UI"/>
          <w:color w:val="212121"/>
        </w:rPr>
        <w:t xml:space="preserve">right </w:t>
      </w:r>
      <w:r w:rsidR="40F7F60F" w:rsidRPr="00E95A1D">
        <w:rPr>
          <w:rFonts w:eastAsia="Segoe UI" w:cs="Segoe UI"/>
          <w:color w:val="212121"/>
        </w:rPr>
        <w:t>atri</w:t>
      </w:r>
      <w:r w:rsidR="62BB244A" w:rsidRPr="00E95A1D">
        <w:rPr>
          <w:rFonts w:eastAsia="Segoe UI" w:cs="Segoe UI"/>
          <w:color w:val="212121"/>
        </w:rPr>
        <w:t>um</w:t>
      </w:r>
      <w:r w:rsidRPr="00E95A1D">
        <w:rPr>
          <w:rFonts w:eastAsia="Segoe UI" w:cs="Segoe UI"/>
          <w:color w:val="212121"/>
        </w:rPr>
        <w:t xml:space="preserve"> and </w:t>
      </w:r>
      <w:proofErr w:type="gramStart"/>
      <w:r w:rsidRPr="00E95A1D">
        <w:rPr>
          <w:rFonts w:eastAsia="Segoe UI" w:cs="Segoe UI"/>
          <w:color w:val="212121"/>
        </w:rPr>
        <w:t>ventricle</w:t>
      </w:r>
      <w:r w:rsidR="00A70D9E" w:rsidRPr="00E95A1D">
        <w:rPr>
          <w:rFonts w:eastAsia="Segoe UI" w:cs="Segoe UI"/>
          <w:color w:val="212121"/>
        </w:rPr>
        <w:t>,</w:t>
      </w:r>
      <w:r w:rsidRPr="00E95A1D">
        <w:rPr>
          <w:rFonts w:eastAsia="Segoe UI" w:cs="Segoe UI"/>
          <w:color w:val="212121"/>
        </w:rPr>
        <w:t xml:space="preserve"> but</w:t>
      </w:r>
      <w:proofErr w:type="gramEnd"/>
      <w:r w:rsidRPr="00E95A1D">
        <w:rPr>
          <w:rFonts w:eastAsia="Segoe UI" w:cs="Segoe UI"/>
          <w:color w:val="212121"/>
        </w:rPr>
        <w:t xml:space="preserve"> only paces the </w:t>
      </w:r>
      <w:r w:rsidR="12B28185" w:rsidRPr="00E95A1D">
        <w:rPr>
          <w:rFonts w:eastAsia="Segoe UI" w:cs="Segoe UI"/>
          <w:color w:val="212121"/>
        </w:rPr>
        <w:t xml:space="preserve">right </w:t>
      </w:r>
      <w:r w:rsidRPr="00E95A1D">
        <w:rPr>
          <w:rFonts w:eastAsia="Segoe UI" w:cs="Segoe UI"/>
          <w:color w:val="212121"/>
        </w:rPr>
        <w:t>ventricle</w:t>
      </w:r>
      <w:r w:rsidR="22D4AF8D" w:rsidRPr="00E95A1D">
        <w:rPr>
          <w:rFonts w:eastAsia="Segoe UI" w:cs="Segoe UI"/>
          <w:color w:val="212121"/>
        </w:rPr>
        <w:t xml:space="preserve"> - </w:t>
      </w:r>
      <w:proofErr w:type="gramStart"/>
      <w:r w:rsidR="22D4AF8D" w:rsidRPr="00E95A1D">
        <w:rPr>
          <w:rFonts w:eastAsia="Segoe UI" w:cs="Segoe UI"/>
          <w:color w:val="212121"/>
        </w:rPr>
        <w:t>similar to</w:t>
      </w:r>
      <w:proofErr w:type="gramEnd"/>
      <w:r w:rsidR="22D4AF8D" w:rsidRPr="00E95A1D">
        <w:rPr>
          <w:rFonts w:eastAsia="Segoe UI" w:cs="Segoe UI"/>
          <w:color w:val="212121"/>
        </w:rPr>
        <w:t xml:space="preserve"> the functionality of a VDD pacemaker.</w:t>
      </w:r>
      <w:r w:rsidR="00416E77">
        <w:rPr>
          <w:rFonts w:eastAsia="Segoe UI" w:cs="Segoe UI"/>
          <w:color w:val="212121"/>
        </w:rPr>
        <w:t xml:space="preserve"> </w:t>
      </w:r>
      <w:r w:rsidR="00F21B8C" w:rsidRPr="00E95A1D">
        <w:rPr>
          <w:rFonts w:eastAsia="Segoe UI" w:cs="Segoe UI"/>
          <w:color w:val="212121"/>
        </w:rPr>
        <w:t xml:space="preserve">Therefore, </w:t>
      </w:r>
      <w:r w:rsidR="00A70058" w:rsidRPr="00E95A1D">
        <w:rPr>
          <w:rFonts w:eastAsia="Segoe UI" w:cs="Segoe UI"/>
          <w:color w:val="212121"/>
        </w:rPr>
        <w:t>a</w:t>
      </w:r>
      <w:r w:rsidR="00F21B8C" w:rsidRPr="00E95A1D">
        <w:rPr>
          <w:rFonts w:eastAsia="Segoe UI" w:cs="Segoe UI"/>
          <w:color w:val="212121"/>
        </w:rPr>
        <w:t>lthough</w:t>
      </w:r>
      <w:r w:rsidR="00A70058" w:rsidRPr="00E95A1D">
        <w:rPr>
          <w:rFonts w:eastAsia="Segoe UI" w:cs="Segoe UI"/>
          <w:color w:val="212121"/>
        </w:rPr>
        <w:t xml:space="preserve"> the Micra AV</w:t>
      </w:r>
      <w:r w:rsidRPr="00E95A1D">
        <w:rPr>
          <w:rFonts w:eastAsia="Segoe UI" w:cs="Segoe UI"/>
          <w:color w:val="212121"/>
        </w:rPr>
        <w:t xml:space="preserve"> has </w:t>
      </w:r>
      <w:r w:rsidRPr="00E95A1D">
        <w:rPr>
          <w:rFonts w:eastAsia="Segoe UI" w:cs="Segoe UI"/>
          <w:color w:val="212121"/>
        </w:rPr>
        <w:lastRenderedPageBreak/>
        <w:t xml:space="preserve">dual chamber functionality </w:t>
      </w:r>
      <w:r w:rsidR="127652B2" w:rsidRPr="00E95A1D">
        <w:rPr>
          <w:rFonts w:eastAsia="Segoe UI" w:cs="Segoe UI"/>
          <w:color w:val="212121"/>
        </w:rPr>
        <w:t xml:space="preserve">it </w:t>
      </w:r>
      <w:r w:rsidR="515A2944" w:rsidRPr="00E95A1D">
        <w:rPr>
          <w:rFonts w:eastAsia="Segoe UI" w:cs="Segoe UI"/>
          <w:color w:val="212121"/>
        </w:rPr>
        <w:t>was</w:t>
      </w:r>
      <w:r w:rsidRPr="00E95A1D">
        <w:rPr>
          <w:rFonts w:eastAsia="Segoe UI" w:cs="Segoe UI"/>
          <w:color w:val="212121"/>
        </w:rPr>
        <w:t xml:space="preserve"> classified as a single-chamber device because it only paces the ventricle and has no atrial lead</w:t>
      </w:r>
      <w:r w:rsidR="22D4AF8D" w:rsidRPr="00E95A1D">
        <w:rPr>
          <w:rFonts w:eastAsia="Segoe UI" w:cs="Segoe UI"/>
          <w:color w:val="212121"/>
        </w:rPr>
        <w:t>.</w:t>
      </w:r>
    </w:p>
    <w:p w14:paraId="0AA05F03" w14:textId="18CA1D47" w:rsidR="00A66106" w:rsidRDefault="00EF65CA" w:rsidP="00A66106">
      <w:r>
        <w:t xml:space="preserve">MSAC noted that the algorithm was based on joint guidance from the American College of Cardiology, American Heart Association and Heart Rhythm Society, coupled with the algorithm in MSAC Application 1672. </w:t>
      </w:r>
      <w:r w:rsidR="009D660C">
        <w:t xml:space="preserve">MSAC </w:t>
      </w:r>
      <w:r w:rsidR="00B575FC">
        <w:t>Application</w:t>
      </w:r>
      <w:r w:rsidR="009D660C">
        <w:t xml:space="preserve"> 1672 </w:t>
      </w:r>
      <w:r w:rsidR="00450725">
        <w:t>was for MBS listing of services associated with</w:t>
      </w:r>
      <w:r w:rsidR="009D660C">
        <w:t xml:space="preserve"> the use of a LPM for treating </w:t>
      </w:r>
      <w:r w:rsidR="00532564">
        <w:t xml:space="preserve">bradyarrhythmia </w:t>
      </w:r>
      <w:r w:rsidR="00737E3A">
        <w:t>indicated for</w:t>
      </w:r>
      <w:r w:rsidR="00532564">
        <w:t xml:space="preserve"> single-chamber ventricular pacing. </w:t>
      </w:r>
      <w:r w:rsidR="00F10B58">
        <w:t xml:space="preserve">The </w:t>
      </w:r>
      <w:r w:rsidR="00674A68">
        <w:t>clinical management algorithm for MSAC Application 1672</w:t>
      </w:r>
      <w:r w:rsidR="00EC7CCE">
        <w:rPr>
          <w:rStyle w:val="FootnoteReference"/>
        </w:rPr>
        <w:footnoteReference w:id="2"/>
      </w:r>
      <w:r w:rsidR="00674A68">
        <w:t xml:space="preserve"> </w:t>
      </w:r>
      <w:r w:rsidR="0052234E">
        <w:t>was</w:t>
      </w:r>
      <w:r w:rsidR="00674A68">
        <w:t xml:space="preserve"> based on local expert advice, with Australian clinicians referring to the 2018 ACC</w:t>
      </w:r>
      <w:r w:rsidR="0087741C">
        <w:t>/AHA/HRS guidelines</w:t>
      </w:r>
      <w:r w:rsidR="007370D9">
        <w:rPr>
          <w:rStyle w:val="FootnoteReference"/>
        </w:rPr>
        <w:footnoteReference w:id="3"/>
      </w:r>
      <w:r w:rsidR="00A12FDA">
        <w:t xml:space="preserve"> due to the absence of Australia</w:t>
      </w:r>
      <w:r w:rsidR="00D22798">
        <w:t>n-specific bradycardia</w:t>
      </w:r>
      <w:r w:rsidR="001C3E8F" w:rsidRPr="001C3E8F">
        <w:t xml:space="preserve"> </w:t>
      </w:r>
      <w:r w:rsidR="00A55530">
        <w:t xml:space="preserve">management </w:t>
      </w:r>
      <w:r w:rsidR="001C3E8F" w:rsidRPr="001C3E8F">
        <w:t>algorithms.</w:t>
      </w:r>
      <w:r w:rsidR="00674A68">
        <w:t xml:space="preserve"> </w:t>
      </w:r>
      <w:r>
        <w:t xml:space="preserve">In comparing the clinical management algorithms from </w:t>
      </w:r>
      <w:hyperlink r:id="rId14" w:history="1">
        <w:r w:rsidRPr="00C83B7D">
          <w:rPr>
            <w:rStyle w:val="Hyperlink"/>
          </w:rPr>
          <w:t>Application 1672</w:t>
        </w:r>
      </w:hyperlink>
      <w:r>
        <w:t xml:space="preserve"> and this application, MSAC considered that </w:t>
      </w:r>
      <w:r w:rsidR="002F677D">
        <w:t xml:space="preserve">the </w:t>
      </w:r>
      <w:r w:rsidR="61CC4741">
        <w:t xml:space="preserve"> proposal in the application </w:t>
      </w:r>
      <w:r>
        <w:t xml:space="preserve">of the </w:t>
      </w:r>
      <w:r w:rsidRPr="00261421">
        <w:t>Micra</w:t>
      </w:r>
      <w:r>
        <w:t xml:space="preserve"> </w:t>
      </w:r>
      <w:r w:rsidRPr="00261421">
        <w:t>AV</w:t>
      </w:r>
      <w:r>
        <w:t xml:space="preserve"> will likely lead to it </w:t>
      </w:r>
      <w:r w:rsidR="007138B9">
        <w:t>replac</w:t>
      </w:r>
      <w:r>
        <w:t xml:space="preserve">ing the </w:t>
      </w:r>
      <w:r w:rsidRPr="005D5878">
        <w:t>Micra</w:t>
      </w:r>
      <w:r>
        <w:t xml:space="preserve"> </w:t>
      </w:r>
      <w:r w:rsidRPr="005D5878">
        <w:t>V</w:t>
      </w:r>
      <w:r>
        <w:t xml:space="preserve">R as an option for patients </w:t>
      </w:r>
      <w:r w:rsidRPr="00F018F2">
        <w:t>without permanent AF</w:t>
      </w:r>
      <w:r w:rsidR="00BA2C2F">
        <w:t xml:space="preserve"> </w:t>
      </w:r>
      <w:r w:rsidR="00FF0425">
        <w:t xml:space="preserve">as it enables </w:t>
      </w:r>
      <w:r w:rsidR="00ED39FF">
        <w:t>AV synchronous pacing</w:t>
      </w:r>
      <w:r>
        <w:t>.</w:t>
      </w:r>
      <w:r w:rsidR="00A66106" w:rsidRPr="00A66106">
        <w:t xml:space="preserve"> </w:t>
      </w:r>
      <w:r w:rsidR="00A66106">
        <w:t>MSAC noted the applicant stated this was</w:t>
      </w:r>
      <w:r w:rsidR="00A66106" w:rsidRPr="00F018F2">
        <w:t xml:space="preserve"> a consequence of </w:t>
      </w:r>
      <w:r w:rsidR="00A66106">
        <w:t xml:space="preserve">the </w:t>
      </w:r>
      <w:r w:rsidR="00A66106" w:rsidRPr="00261421">
        <w:t xml:space="preserve">Micra </w:t>
      </w:r>
      <w:r w:rsidR="00A66106">
        <w:t xml:space="preserve">VR </w:t>
      </w:r>
      <w:r w:rsidR="00A66106" w:rsidRPr="00F018F2">
        <w:t xml:space="preserve">being the only available </w:t>
      </w:r>
      <w:r w:rsidR="00A66106">
        <w:t>LPM</w:t>
      </w:r>
      <w:r w:rsidR="00A66106" w:rsidRPr="00F018F2">
        <w:t xml:space="preserve"> at the time of </w:t>
      </w:r>
      <w:r w:rsidR="00A66106">
        <w:t xml:space="preserve">MSAC </w:t>
      </w:r>
      <w:r w:rsidR="00A66106" w:rsidRPr="00F018F2">
        <w:t>Application 1672, and therefore the only leadless option for patients contraindicated for transvenous leads</w:t>
      </w:r>
      <w:r w:rsidR="00A66106">
        <w:t xml:space="preserve">. However, MSAC noted local expert advice that the </w:t>
      </w:r>
      <w:r w:rsidR="00A66106" w:rsidRPr="00261421">
        <w:t xml:space="preserve">Micra </w:t>
      </w:r>
      <w:r w:rsidR="00A66106">
        <w:t>VR was infrequently used in patients without AF (&lt;5%).</w:t>
      </w:r>
    </w:p>
    <w:p w14:paraId="4F4AD4D3" w14:textId="5DD5C539" w:rsidR="00405056" w:rsidRDefault="00CF21DC" w:rsidP="00CF21DC">
      <w:r>
        <w:t xml:space="preserve">MSAC noted that the primary comparator for insertion of the </w:t>
      </w:r>
      <w:r w:rsidRPr="00261421">
        <w:t>Micra AV</w:t>
      </w:r>
      <w:r>
        <w:t xml:space="preserve"> was insertion of a conventional dual-chamber transvenous pacemaker (DC-TVPM)</w:t>
      </w:r>
      <w:r w:rsidR="00D0788A">
        <w:t>.</w:t>
      </w:r>
      <w:r w:rsidR="00FA5572">
        <w:t xml:space="preserve"> </w:t>
      </w:r>
      <w:r w:rsidR="00405056">
        <w:t xml:space="preserve">MSAC noted the applicant’s pre-MSAC response, which reiterated that the </w:t>
      </w:r>
      <w:r w:rsidR="00405056" w:rsidRPr="005D5878">
        <w:t>Micra</w:t>
      </w:r>
      <w:r w:rsidR="00405056" w:rsidRPr="008C4409">
        <w:t xml:space="preserve"> VR</w:t>
      </w:r>
      <w:r w:rsidR="00405056" w:rsidRPr="00A8570C">
        <w:t xml:space="preserve"> </w:t>
      </w:r>
      <w:r w:rsidR="00405056">
        <w:t xml:space="preserve">was </w:t>
      </w:r>
      <w:r w:rsidR="00405056" w:rsidRPr="00A8570C">
        <w:t xml:space="preserve">neither a relevant clinical comparator </w:t>
      </w:r>
      <w:r w:rsidR="00405056">
        <w:t>for the</w:t>
      </w:r>
      <w:r w:rsidR="00405056" w:rsidRPr="00A8570C">
        <w:t xml:space="preserve"> </w:t>
      </w:r>
      <w:r w:rsidR="00405056" w:rsidRPr="005D5878">
        <w:t>Micra</w:t>
      </w:r>
      <w:r w:rsidR="00405056" w:rsidRPr="00A8570C">
        <w:t xml:space="preserve"> AV no</w:t>
      </w:r>
      <w:r w:rsidR="00405056">
        <w:t>r</w:t>
      </w:r>
      <w:r w:rsidR="00405056" w:rsidRPr="00A8570C">
        <w:t xml:space="preserve"> relevant for </w:t>
      </w:r>
      <w:r w:rsidR="00405056">
        <w:t xml:space="preserve">the </w:t>
      </w:r>
      <w:r w:rsidR="00405056" w:rsidRPr="00A8570C">
        <w:t>purpose of PL benefit setting</w:t>
      </w:r>
      <w:r w:rsidR="00D82B3C">
        <w:t>. H</w:t>
      </w:r>
      <w:r w:rsidR="003D6039">
        <w:t>owever,</w:t>
      </w:r>
      <w:r w:rsidR="00405056">
        <w:t xml:space="preserve"> MSAC</w:t>
      </w:r>
      <w:r w:rsidR="003D6039">
        <w:t xml:space="preserve"> considered </w:t>
      </w:r>
      <w:r w:rsidR="003F6B2D">
        <w:t xml:space="preserve">the </w:t>
      </w:r>
      <w:r w:rsidR="003F6B2D" w:rsidRPr="005D5878">
        <w:t>Micra V</w:t>
      </w:r>
      <w:r w:rsidR="003F6B2D">
        <w:t xml:space="preserve">R </w:t>
      </w:r>
      <w:r w:rsidR="007F2158">
        <w:t xml:space="preserve">to be </w:t>
      </w:r>
      <w:r w:rsidR="003F6B2D">
        <w:t>an appropriate secondary comparator</w:t>
      </w:r>
      <w:r w:rsidR="00912E49">
        <w:t xml:space="preserve"> due to the </w:t>
      </w:r>
      <w:r w:rsidR="00912E49" w:rsidRPr="00261421">
        <w:t>Micr</w:t>
      </w:r>
      <w:r w:rsidR="00912E49">
        <w:t>a</w:t>
      </w:r>
      <w:r w:rsidR="00912E49" w:rsidRPr="00261421">
        <w:t xml:space="preserve"> AV</w:t>
      </w:r>
      <w:r w:rsidR="00912E49">
        <w:t xml:space="preserve"> </w:t>
      </w:r>
      <w:r w:rsidR="007F10B6">
        <w:t xml:space="preserve">replacing </w:t>
      </w:r>
      <w:r w:rsidR="00912E49">
        <w:t xml:space="preserve">the </w:t>
      </w:r>
      <w:r w:rsidR="00912E49" w:rsidRPr="005D5878">
        <w:t>Micr</w:t>
      </w:r>
      <w:r w:rsidR="00912E49">
        <w:t>a</w:t>
      </w:r>
      <w:r w:rsidR="00912E49" w:rsidRPr="005D5878">
        <w:t xml:space="preserve"> V</w:t>
      </w:r>
      <w:r w:rsidR="00912E49">
        <w:t xml:space="preserve">R as an option for patients </w:t>
      </w:r>
      <w:r w:rsidR="001248A2">
        <w:t xml:space="preserve">with bradycardia </w:t>
      </w:r>
      <w:r w:rsidR="000F76FA" w:rsidRPr="000F76FA">
        <w:t xml:space="preserve">due to paroxysmal or permanent high-grade AV block </w:t>
      </w:r>
      <w:r w:rsidR="001248A2">
        <w:t>(</w:t>
      </w:r>
      <w:r w:rsidR="00912E49" w:rsidRPr="00F018F2">
        <w:t>without permanent AF</w:t>
      </w:r>
      <w:r w:rsidR="001248A2">
        <w:t>)</w:t>
      </w:r>
      <w:r w:rsidR="00041A94">
        <w:t xml:space="preserve"> </w:t>
      </w:r>
      <w:r w:rsidR="0063518F">
        <w:t xml:space="preserve">and being proposed at </w:t>
      </w:r>
      <w:r w:rsidR="00431180">
        <w:t>a</w:t>
      </w:r>
      <w:r w:rsidR="0063518F">
        <w:t xml:space="preserve"> </w:t>
      </w:r>
      <w:r w:rsidR="0063518F" w:rsidRPr="004B1A0F">
        <w:t>higher PL benefit</w:t>
      </w:r>
      <w:r w:rsidR="0063518F">
        <w:t xml:space="preserve"> </w:t>
      </w:r>
      <w:r w:rsidR="00DB020C">
        <w:t>(</w:t>
      </w:r>
      <w:r w:rsidR="008454D3">
        <w:t>$</w:t>
      </w:r>
      <w:r w:rsidR="008454D3">
        <w:rPr>
          <w:b/>
          <w:bCs/>
        </w:rPr>
        <w:t>redacted</w:t>
      </w:r>
      <w:r w:rsidR="00DB020C">
        <w:t xml:space="preserve">) </w:t>
      </w:r>
      <w:r w:rsidR="003A400F">
        <w:t xml:space="preserve">than </w:t>
      </w:r>
      <w:r w:rsidR="0063518F">
        <w:t xml:space="preserve">for the </w:t>
      </w:r>
      <w:r w:rsidR="0063518F" w:rsidRPr="005D5878">
        <w:t>Micra V</w:t>
      </w:r>
      <w:r w:rsidR="0063518F">
        <w:t>R ($10,083)</w:t>
      </w:r>
      <w:r w:rsidR="00912E49">
        <w:t>.</w:t>
      </w:r>
      <w:r w:rsidR="003F6B2D">
        <w:t xml:space="preserve"> </w:t>
      </w:r>
    </w:p>
    <w:p w14:paraId="37D7F747" w14:textId="747C861C" w:rsidR="00CF21DC" w:rsidRDefault="00CF21DC" w:rsidP="00CF21DC">
      <w:r>
        <w:t>MSAC noted that the main source of clinical evidence was a large</w:t>
      </w:r>
      <w:r w:rsidR="00465A8A">
        <w:t xml:space="preserve">, </w:t>
      </w:r>
      <w:r>
        <w:t>non-randomised</w:t>
      </w:r>
      <w:r w:rsidR="00A203E2">
        <w:t xml:space="preserve"> cohort</w:t>
      </w:r>
      <w:r>
        <w:t xml:space="preserve"> study – the Micra AV Coverage with Evidence Development (CED) study</w:t>
      </w:r>
      <w:r w:rsidR="00D1026A">
        <w:t>. MSAC noted this study</w:t>
      </w:r>
      <w:r w:rsidR="009143AC">
        <w:t xml:space="preserve"> had a 24-month follow up </w:t>
      </w:r>
      <w:r w:rsidR="004B3681">
        <w:t>period</w:t>
      </w:r>
      <w:r w:rsidR="00605EE9">
        <w:t xml:space="preserve">, </w:t>
      </w:r>
      <w:r w:rsidR="004B3681">
        <w:t xml:space="preserve">was </w:t>
      </w:r>
      <w:r w:rsidR="00605EE9">
        <w:t>based on United States claims data</w:t>
      </w:r>
      <w:r w:rsidR="004B3681">
        <w:t xml:space="preserve"> and </w:t>
      </w:r>
      <w:r w:rsidR="00032694">
        <w:t>involv</w:t>
      </w:r>
      <w:r w:rsidR="00D1026A">
        <w:t>ed</w:t>
      </w:r>
      <w:r w:rsidR="00032694">
        <w:t xml:space="preserve"> </w:t>
      </w:r>
      <w:r>
        <w:t xml:space="preserve">118,110 patients who had </w:t>
      </w:r>
      <w:r w:rsidR="00EF23D5">
        <w:t xml:space="preserve">either </w:t>
      </w:r>
      <w:r>
        <w:t>a Micra</w:t>
      </w:r>
      <w:r w:rsidR="009274EC">
        <w:t xml:space="preserve"> </w:t>
      </w:r>
      <w:r>
        <w:t>AV or DC-TVPM inserted. MSAC noted that propensity score overlap weight</w:t>
      </w:r>
      <w:r w:rsidR="00CF32E8">
        <w:t>ing</w:t>
      </w:r>
      <w:r>
        <w:t xml:space="preserve">s were used to construct a weighted cohort of patients </w:t>
      </w:r>
      <w:r w:rsidR="002A7B46">
        <w:t>differentiated</w:t>
      </w:r>
      <w:r>
        <w:t xml:space="preserve"> by pacemaker type (Micra AV or DC-TVPM). </w:t>
      </w:r>
      <w:r w:rsidR="00E13A23">
        <w:t>MSAC noted that no</w:t>
      </w:r>
      <w:r>
        <w:t xml:space="preserve"> clinical comparison of the Micra AV and Micra VR was </w:t>
      </w:r>
      <w:r w:rsidR="00376ACB">
        <w:t>presented</w:t>
      </w:r>
      <w:r>
        <w:t>.</w:t>
      </w:r>
      <w:r w:rsidR="00A05287">
        <w:t xml:space="preserve"> </w:t>
      </w:r>
      <w:r w:rsidR="00460DDF">
        <w:t>As the</w:t>
      </w:r>
      <w:r w:rsidR="00A05287">
        <w:t xml:space="preserve"> Micra AV CED study did not capture data on quality of life (QoL), AV synchrony or battery life, </w:t>
      </w:r>
      <w:r w:rsidR="00AF7CE5">
        <w:t xml:space="preserve">MSAC noted that </w:t>
      </w:r>
      <w:r w:rsidR="00A05287">
        <w:t>5 additional studies were included as supportive evidence: 2 single-arm studies and 1 modelling study on the Micra AV or AV2 for data on battery life and AV synchronicity</w:t>
      </w:r>
      <w:r w:rsidR="0091435B">
        <w:t>,</w:t>
      </w:r>
      <w:r w:rsidR="00A05287">
        <w:t xml:space="preserve"> and 2 prospective non-randomised studies comparing Micra VR with conventional pacemakers </w:t>
      </w:r>
      <w:r w:rsidR="0091435B">
        <w:t>for</w:t>
      </w:r>
      <w:r w:rsidR="00A05287">
        <w:t xml:space="preserve"> QoL</w:t>
      </w:r>
      <w:r w:rsidR="0091435B">
        <w:t xml:space="preserve"> outcomes</w:t>
      </w:r>
      <w:r w:rsidR="00D203C2">
        <w:t>.</w:t>
      </w:r>
    </w:p>
    <w:p w14:paraId="733628F8" w14:textId="6831CF70" w:rsidR="00CF21DC" w:rsidRDefault="00CF21DC" w:rsidP="00CF21DC">
      <w:r>
        <w:t xml:space="preserve">MSAC </w:t>
      </w:r>
      <w:r w:rsidR="00544DC8">
        <w:t>considered</w:t>
      </w:r>
      <w:r>
        <w:t xml:space="preserve"> the clinical claim of superior safety </w:t>
      </w:r>
      <w:r w:rsidR="00544DC8">
        <w:t>for</w:t>
      </w:r>
      <w:r>
        <w:t xml:space="preserve"> the Micra</w:t>
      </w:r>
      <w:r w:rsidR="00B73FB9">
        <w:t xml:space="preserve"> </w:t>
      </w:r>
      <w:r>
        <w:t>AV compared with standard DC-TVPMs</w:t>
      </w:r>
      <w:r w:rsidR="00544DC8">
        <w:t xml:space="preserve"> was supported</w:t>
      </w:r>
      <w:r>
        <w:t xml:space="preserve">, based on data from the CED study. </w:t>
      </w:r>
      <w:r w:rsidR="00E566C4">
        <w:t>MSAC noted that reported o</w:t>
      </w:r>
      <w:r>
        <w:t xml:space="preserve">utcomes included </w:t>
      </w:r>
      <w:r w:rsidR="005E7FDF">
        <w:t xml:space="preserve">lower </w:t>
      </w:r>
      <w:r>
        <w:t>risks of acute complications, chronic complications and reinterventions</w:t>
      </w:r>
      <w:r w:rsidR="005E7FDF">
        <w:t xml:space="preserve"> in patients who</w:t>
      </w:r>
      <w:r w:rsidR="00817A47">
        <w:t xml:space="preserve"> </w:t>
      </w:r>
      <w:r>
        <w:t xml:space="preserve">had a Micra AV inserted. </w:t>
      </w:r>
      <w:r w:rsidR="0068260B" w:rsidRPr="1CA5383C">
        <w:rPr>
          <w:rFonts w:eastAsia="Franklin Gothic Book"/>
          <w:color w:val="000000" w:themeColor="text1"/>
        </w:rPr>
        <w:t>MSAC considered that despite the low-certainty evidence for comparative safety, Micra AV was likely to be superior in safety than conventional TVPMs in terms of some complications (e.g. lead and pocket complications) and the risk of reintervention</w:t>
      </w:r>
    </w:p>
    <w:p w14:paraId="7FCEAB8D" w14:textId="630504BA" w:rsidR="00CF21DC" w:rsidRDefault="00CF21DC" w:rsidP="00CF21DC">
      <w:r>
        <w:lastRenderedPageBreak/>
        <w:t>MSAC noted the clinical claim of n</w:t>
      </w:r>
      <w:r w:rsidRPr="00154285">
        <w:t>on-inferior effectiveness</w:t>
      </w:r>
      <w:r>
        <w:t xml:space="preserve"> of the </w:t>
      </w:r>
      <w:r w:rsidRPr="005D5878">
        <w:t>Micr</w:t>
      </w:r>
      <w:r w:rsidR="00786DF4">
        <w:t>a</w:t>
      </w:r>
      <w:r w:rsidRPr="005D5878">
        <w:t xml:space="preserve"> </w:t>
      </w:r>
      <w:r>
        <w:t xml:space="preserve">AV </w:t>
      </w:r>
      <w:r w:rsidRPr="00154285">
        <w:t>compared with standard DC-TVPM</w:t>
      </w:r>
      <w:r>
        <w:t xml:space="preserve">s, based on data from the </w:t>
      </w:r>
      <w:r w:rsidRPr="00E96F96">
        <w:t>CED study</w:t>
      </w:r>
      <w:r w:rsidR="00901A05">
        <w:t xml:space="preserve">, specifically </w:t>
      </w:r>
      <w:proofErr w:type="gramStart"/>
      <w:r w:rsidR="00901A05">
        <w:t>with regard to</w:t>
      </w:r>
      <w:proofErr w:type="gramEnd"/>
      <w:r w:rsidRPr="00E96F96">
        <w:t xml:space="preserve"> </w:t>
      </w:r>
      <w:r w:rsidRPr="00154285">
        <w:t>all-cause mortality</w:t>
      </w:r>
      <w:r>
        <w:t>. MSAC noted that the study showed a</w:t>
      </w:r>
      <w:r w:rsidR="00B62C4A">
        <w:t xml:space="preserve"> statistically significant</w:t>
      </w:r>
      <w:r>
        <w:t xml:space="preserve"> higher risk of all-cause mortality for those who had a </w:t>
      </w:r>
      <w:r w:rsidRPr="00DA7822">
        <w:t>Micr</w:t>
      </w:r>
      <w:r w:rsidR="00786DF4">
        <w:t>a</w:t>
      </w:r>
      <w:r w:rsidRPr="00DA7822">
        <w:t xml:space="preserve"> AV </w:t>
      </w:r>
      <w:r>
        <w:t xml:space="preserve">inserted compared </w:t>
      </w:r>
      <w:r w:rsidR="00786DF4">
        <w:t xml:space="preserve">to </w:t>
      </w:r>
      <w:r>
        <w:t xml:space="preserve">those who had a </w:t>
      </w:r>
      <w:r w:rsidRPr="00DA7822">
        <w:t>DC-TVPM</w:t>
      </w:r>
      <w:r>
        <w:t xml:space="preserve"> inserted (hazard ratio = 1.55; 95% CI = 1.44 to 1.68). However, MSAC considered that this finding was </w:t>
      </w:r>
      <w:r w:rsidRPr="00DA7822">
        <w:t xml:space="preserve">likely </w:t>
      </w:r>
      <w:r w:rsidR="004C1E12">
        <w:t>d</w:t>
      </w:r>
      <w:r w:rsidR="00084678">
        <w:t>ue</w:t>
      </w:r>
      <w:r w:rsidR="004C1E12" w:rsidRPr="00DA7822">
        <w:t xml:space="preserve"> </w:t>
      </w:r>
      <w:r w:rsidRPr="00DA7822">
        <w:t>to selection bias</w:t>
      </w:r>
      <w:r>
        <w:t xml:space="preserve">, because those who were contraindicated to have a DC-TVPM inserted, and thus had a </w:t>
      </w:r>
      <w:r w:rsidRPr="00DA7822">
        <w:t xml:space="preserve">Micra AV </w:t>
      </w:r>
      <w:r>
        <w:t xml:space="preserve">inserted, were likely to </w:t>
      </w:r>
      <w:r w:rsidR="001F372C">
        <w:t>have a higher co-morbidity burden</w:t>
      </w:r>
      <w:r>
        <w:t xml:space="preserve"> and have a poorer prognosis in general. MSAC considered that this bias could not be overcome </w:t>
      </w:r>
      <w:proofErr w:type="gramStart"/>
      <w:r>
        <w:t>by the use of</w:t>
      </w:r>
      <w:proofErr w:type="gramEnd"/>
      <w:r>
        <w:t xml:space="preserve"> the propensity score overlap weights.</w:t>
      </w:r>
      <w:r w:rsidR="007734F6">
        <w:t xml:space="preserve"> MSAC noted, that because of survival bias, this was likely to result in biased observations regarding the relative frequency of complications that the applicant used to populate the economic model. </w:t>
      </w:r>
    </w:p>
    <w:p w14:paraId="36982AFF" w14:textId="1F0EBD47" w:rsidR="00CF21DC" w:rsidRDefault="00CF21DC" w:rsidP="00CF21DC">
      <w:r>
        <w:t xml:space="preserve">MSAC noted the clinical claim of inferior technical performance of the Micra AV compared </w:t>
      </w:r>
      <w:r w:rsidR="00B33618">
        <w:t xml:space="preserve">to </w:t>
      </w:r>
      <w:r>
        <w:t xml:space="preserve">standard DC-TVPMs, </w:t>
      </w:r>
      <w:r w:rsidR="00B33618">
        <w:t xml:space="preserve">specifically in relation to </w:t>
      </w:r>
      <w:r>
        <w:t xml:space="preserve">AV synchrony, </w:t>
      </w:r>
      <w:r w:rsidR="005C2F95">
        <w:t xml:space="preserve">while </w:t>
      </w:r>
      <w:r>
        <w:t>all other technical performance variables</w:t>
      </w:r>
      <w:r w:rsidR="00D51941">
        <w:t xml:space="preserve"> were</w:t>
      </w:r>
      <w:r>
        <w:t xml:space="preserve"> expected to be non-inferior. MSAC considered the Micra</w:t>
      </w:r>
      <w:r w:rsidR="00A95386">
        <w:t xml:space="preserve"> </w:t>
      </w:r>
      <w:r>
        <w:t xml:space="preserve">AV’s </w:t>
      </w:r>
      <w:r w:rsidR="00D272FA">
        <w:t>reduced capacity</w:t>
      </w:r>
      <w:r>
        <w:t xml:space="preserve"> for AV synchro</w:t>
      </w:r>
      <w:r w:rsidR="00D272FA">
        <w:t xml:space="preserve">ny </w:t>
      </w:r>
      <w:r w:rsidR="008C16AA">
        <w:t xml:space="preserve">compared with DC-TVPMs </w:t>
      </w:r>
      <w:r w:rsidR="00D272FA">
        <w:t xml:space="preserve">to be a limitation. </w:t>
      </w:r>
      <w:r w:rsidR="001B6CA4">
        <w:t>MSAC noted that</w:t>
      </w:r>
      <w:r>
        <w:t xml:space="preserve"> with optimal programming, the Micra AV achieved resting AV synchronicity of 84.1% and ambulatory AV synchronicity of 82.6%. However, MSAC considered that the Micra AV’s ability for AV synchronicity </w:t>
      </w:r>
      <w:r w:rsidR="00AA35C1">
        <w:t>was likely</w:t>
      </w:r>
      <w:r w:rsidR="00BE4698">
        <w:t xml:space="preserve"> to </w:t>
      </w:r>
      <w:r>
        <w:t xml:space="preserve">improve </w:t>
      </w:r>
      <w:r w:rsidR="005119CB">
        <w:t>with</w:t>
      </w:r>
      <w:r>
        <w:t xml:space="preserve"> technolog</w:t>
      </w:r>
      <w:r w:rsidR="005119CB">
        <w:t>ical advancements</w:t>
      </w:r>
      <w:r w:rsidR="00951DBF">
        <w:t xml:space="preserve">, noting that the </w:t>
      </w:r>
      <w:r>
        <w:t xml:space="preserve">Micra AV2 </w:t>
      </w:r>
      <w:r w:rsidR="00951DBF">
        <w:t>demonstrated better synchrony than</w:t>
      </w:r>
      <w:r>
        <w:t xml:space="preserve"> the Micra AV1.</w:t>
      </w:r>
    </w:p>
    <w:p w14:paraId="1A9B2E99" w14:textId="651DFCD4" w:rsidR="00CF21DC" w:rsidRPr="00E27D20" w:rsidRDefault="00CF21DC" w:rsidP="00CF21DC">
      <w:r>
        <w:t xml:space="preserve">MSAC concluded that the clinical effectiveness of the Micra AV </w:t>
      </w:r>
      <w:r w:rsidR="00983390">
        <w:t xml:space="preserve">remains </w:t>
      </w:r>
      <w:r>
        <w:t xml:space="preserve">uncertain. MSAC </w:t>
      </w:r>
      <w:r w:rsidR="00F04032">
        <w:t>considered</w:t>
      </w:r>
      <w:r>
        <w:t xml:space="preserve"> that evidence </w:t>
      </w:r>
      <w:r w:rsidR="002C27FD">
        <w:t>for</w:t>
      </w:r>
      <w:r w:rsidR="0029099A">
        <w:t xml:space="preserve"> </w:t>
      </w:r>
      <w:r>
        <w:t>the clinical effectiveness of the Micr</w:t>
      </w:r>
      <w:r w:rsidR="0029099A">
        <w:t>a</w:t>
      </w:r>
      <w:r>
        <w:t xml:space="preserve"> AV compared with DC-TVPMs</w:t>
      </w:r>
      <w:r w:rsidR="0029099A">
        <w:t xml:space="preserve"> presented</w:t>
      </w:r>
      <w:r w:rsidR="002C27FD">
        <w:t xml:space="preserve"> was limited</w:t>
      </w:r>
      <w:r w:rsidR="002D1F10">
        <w:t xml:space="preserve"> however,</w:t>
      </w:r>
      <w:r w:rsidR="0068260B">
        <w:t xml:space="preserve"> </w:t>
      </w:r>
      <w:r w:rsidR="0068260B" w:rsidRPr="1CA5383C">
        <w:rPr>
          <w:rFonts w:eastAsia="Franklin Gothic Book"/>
          <w:color w:val="000000" w:themeColor="text1"/>
        </w:rPr>
        <w:t>acknowledged potential quality-of-life benefits associated with LPM implantation compared to conventional pacemaker with leads, despite limited evidence for the proposed population.</w:t>
      </w:r>
      <w:r>
        <w:t xml:space="preserve"> </w:t>
      </w:r>
    </w:p>
    <w:p w14:paraId="0C48775C" w14:textId="07193ED6" w:rsidR="00CF21DC" w:rsidRPr="00CF21DC" w:rsidRDefault="00CF21DC" w:rsidP="00CF21DC">
      <w:r>
        <w:t xml:space="preserve">MSAC noted the applicant </w:t>
      </w:r>
      <w:r w:rsidR="00A763CD">
        <w:t>provided a revised economic model in</w:t>
      </w:r>
      <w:r w:rsidR="00DC3434">
        <w:t xml:space="preserve"> the</w:t>
      </w:r>
      <w:r w:rsidR="00D62AA7">
        <w:t xml:space="preserve"> pre-MSAC response </w:t>
      </w:r>
      <w:r w:rsidR="00A763CD">
        <w:t>which</w:t>
      </w:r>
      <w:r>
        <w:t xml:space="preserve"> took a lifetime time horizon </w:t>
      </w:r>
      <w:r w:rsidR="003B027F">
        <w:t>instead of the previous</w:t>
      </w:r>
      <w:r w:rsidR="00FA5968">
        <w:t xml:space="preserve"> 16-year</w:t>
      </w:r>
      <w:r>
        <w:t xml:space="preserve"> time horizon</w:t>
      </w:r>
      <w:r w:rsidR="00FA5968">
        <w:t xml:space="preserve"> and</w:t>
      </w:r>
      <w:r>
        <w:t xml:space="preserve"> included replacement costs for DC-TVPMs after 11 years and the Micra AV after 16 years</w:t>
      </w:r>
      <w:r w:rsidR="00DC3434">
        <w:t>, to address the issues iden</w:t>
      </w:r>
      <w:r w:rsidR="00CD6353">
        <w:t>tified by the evaluation sub-committee (ESC)</w:t>
      </w:r>
      <w:r>
        <w:t xml:space="preserve">. </w:t>
      </w:r>
      <w:r w:rsidR="00CD6353">
        <w:t xml:space="preserve">The </w:t>
      </w:r>
      <w:r w:rsidR="004F5B30">
        <w:t>revised model estimated</w:t>
      </w:r>
      <w:r>
        <w:t xml:space="preserve"> the incremental cost-effectiveness ratio (ICER) </w:t>
      </w:r>
      <w:r w:rsidR="004F5B30">
        <w:t>at</w:t>
      </w:r>
      <w:r>
        <w:t xml:space="preserve"> $</w:t>
      </w:r>
      <w:r w:rsidR="00EB6603">
        <w:rPr>
          <w:b/>
          <w:bCs/>
        </w:rPr>
        <w:t>redacted</w:t>
      </w:r>
      <w:r>
        <w:t>/quality-adjusted life year (QALY)</w:t>
      </w:r>
      <w:r w:rsidR="33E3B91C">
        <w:t xml:space="preserve"> gained</w:t>
      </w:r>
      <w:r>
        <w:t xml:space="preserve">, compared </w:t>
      </w:r>
      <w:r w:rsidR="00035E04">
        <w:t xml:space="preserve">to </w:t>
      </w:r>
      <w:r w:rsidR="000E3677">
        <w:t xml:space="preserve">ICER </w:t>
      </w:r>
      <w:r w:rsidR="00035E04">
        <w:t>$</w:t>
      </w:r>
      <w:r w:rsidR="00EB6603">
        <w:rPr>
          <w:b/>
          <w:bCs/>
        </w:rPr>
        <w:t>redacted</w:t>
      </w:r>
      <w:r w:rsidR="00035E04">
        <w:t>/QALY</w:t>
      </w:r>
      <w:r w:rsidR="4BE788BA">
        <w:t xml:space="preserve"> gained</w:t>
      </w:r>
      <w:r w:rsidR="00035E04">
        <w:t xml:space="preserve"> in the previous </w:t>
      </w:r>
      <w:r w:rsidR="000E3677">
        <w:t xml:space="preserve">revised model </w:t>
      </w:r>
      <w:r>
        <w:t xml:space="preserve">provided to ESC. </w:t>
      </w:r>
      <w:r w:rsidR="00AC6974">
        <w:t xml:space="preserve">MSAC </w:t>
      </w:r>
      <w:r w:rsidR="00BE096B">
        <w:t>considered</w:t>
      </w:r>
      <w:r w:rsidR="00AC6974">
        <w:t xml:space="preserve"> that </w:t>
      </w:r>
      <w:r w:rsidR="00BE096B">
        <w:t>although the</w:t>
      </w:r>
      <w:r w:rsidR="00AC6974">
        <w:t xml:space="preserve"> revised model was not </w:t>
      </w:r>
      <w:r w:rsidR="00984977">
        <w:t>able to be</w:t>
      </w:r>
      <w:r w:rsidR="00DE5A5E">
        <w:t xml:space="preserve"> fully</w:t>
      </w:r>
      <w:r w:rsidR="00984977">
        <w:t xml:space="preserve"> evaluated </w:t>
      </w:r>
      <w:r w:rsidR="00A9020D">
        <w:t>prior to MSAC consideration</w:t>
      </w:r>
      <w:r w:rsidR="00632233">
        <w:t>, it was likely that significant limitations remained which favoured the Micra AV</w:t>
      </w:r>
      <w:r w:rsidR="00016049">
        <w:t>.</w:t>
      </w:r>
      <w:r w:rsidR="00A9020D">
        <w:t xml:space="preserve"> </w:t>
      </w:r>
      <w:r w:rsidRPr="00CF21DC">
        <w:t>The</w:t>
      </w:r>
      <w:r w:rsidR="003C5988">
        <w:t>se</w:t>
      </w:r>
      <w:r w:rsidRPr="00CF21DC">
        <w:t xml:space="preserve"> limitations included</w:t>
      </w:r>
      <w:r w:rsidR="007734F6">
        <w:t xml:space="preserve"> (in addition to the potential bias affecting clinical outcomes outlined above)</w:t>
      </w:r>
      <w:r w:rsidRPr="00CF21DC">
        <w:t>:</w:t>
      </w:r>
    </w:p>
    <w:p w14:paraId="5317BE0A" w14:textId="0830400F" w:rsidR="00CF21DC" w:rsidRPr="00CF21DC" w:rsidRDefault="00CF21DC" w:rsidP="00CF21DC">
      <w:pPr>
        <w:pStyle w:val="Bullet"/>
        <w:numPr>
          <w:ilvl w:val="0"/>
          <w:numId w:val="28"/>
        </w:numPr>
        <w:spacing w:before="0"/>
        <w:ind w:left="720"/>
        <w:rPr>
          <w:rFonts w:ascii="Franklin Gothic Book" w:hAnsi="Franklin Gothic Book"/>
        </w:rPr>
      </w:pPr>
      <w:r w:rsidRPr="00CF21DC">
        <w:rPr>
          <w:rFonts w:ascii="Franklin Gothic Book" w:hAnsi="Franklin Gothic Book"/>
        </w:rPr>
        <w:t>the model included replacement costs for both the Micra AV and DC-TVPMs at their estimated battery life end, but did not model the Micra AV being replaced with an alternative pacing system</w:t>
      </w:r>
      <w:r w:rsidR="00441637">
        <w:rPr>
          <w:rFonts w:ascii="Franklin Gothic Book" w:hAnsi="Franklin Gothic Book"/>
        </w:rPr>
        <w:t>,</w:t>
      </w:r>
    </w:p>
    <w:p w14:paraId="50E2799F" w14:textId="2425EDC8" w:rsidR="00CF21DC" w:rsidRPr="00CF21DC" w:rsidRDefault="00CF21DC" w:rsidP="00CF21DC">
      <w:pPr>
        <w:pStyle w:val="Bullet"/>
        <w:numPr>
          <w:ilvl w:val="0"/>
          <w:numId w:val="28"/>
        </w:numPr>
        <w:spacing w:before="0"/>
        <w:ind w:left="720"/>
        <w:rPr>
          <w:rFonts w:ascii="Franklin Gothic Book" w:hAnsi="Franklin Gothic Book"/>
        </w:rPr>
      </w:pPr>
      <w:r w:rsidRPr="00CF21DC">
        <w:rPr>
          <w:rFonts w:ascii="Franklin Gothic Book" w:hAnsi="Franklin Gothic Book"/>
        </w:rPr>
        <w:t xml:space="preserve">the model did not consider replacement costs in the first 2 years, </w:t>
      </w:r>
      <w:r w:rsidR="00AA02CC">
        <w:rPr>
          <w:rFonts w:ascii="Franklin Gothic Book" w:hAnsi="Franklin Gothic Book"/>
        </w:rPr>
        <w:t>despite</w:t>
      </w:r>
      <w:r w:rsidR="003932A3" w:rsidRPr="003932A3">
        <w:t xml:space="preserve"> </w:t>
      </w:r>
      <w:r w:rsidR="003932A3">
        <w:t xml:space="preserve">the </w:t>
      </w:r>
      <w:r w:rsidR="003932A3" w:rsidRPr="003932A3">
        <w:rPr>
          <w:rFonts w:ascii="Franklin Gothic Book" w:hAnsi="Franklin Gothic Book"/>
        </w:rPr>
        <w:t>replacement rate of Micra AV is 5 times that of DC-TVPM</w:t>
      </w:r>
      <w:r w:rsidR="003932A3">
        <w:rPr>
          <w:rFonts w:ascii="Franklin Gothic Book" w:hAnsi="Franklin Gothic Book"/>
        </w:rPr>
        <w:t>,</w:t>
      </w:r>
      <w:r w:rsidR="00393E7D">
        <w:rPr>
          <w:rFonts w:ascii="Franklin Gothic Book" w:hAnsi="Franklin Gothic Book"/>
        </w:rPr>
        <w:t xml:space="preserve"> </w:t>
      </w:r>
    </w:p>
    <w:p w14:paraId="1B60A97F" w14:textId="61A99C7B" w:rsidR="00CF21DC" w:rsidRPr="000869EB" w:rsidRDefault="00CF21DC" w:rsidP="00E95A1D">
      <w:pPr>
        <w:pStyle w:val="BulletBeforeDash"/>
        <w:rPr>
          <w:rFonts w:ascii="Franklin Gothic Book" w:hAnsi="Franklin Gothic Book"/>
          <w:szCs w:val="18"/>
        </w:rPr>
      </w:pPr>
      <w:r w:rsidRPr="00E95A1D">
        <w:rPr>
          <w:rFonts w:ascii="Franklin Gothic Book" w:hAnsi="Franklin Gothic Book"/>
          <w:sz w:val="22"/>
          <w:szCs w:val="18"/>
        </w:rPr>
        <w:t xml:space="preserve">the modelled </w:t>
      </w:r>
      <w:r w:rsidR="7DCA177F" w:rsidRPr="00E95A1D">
        <w:rPr>
          <w:rFonts w:ascii="Franklin Gothic Book" w:hAnsi="Franklin Gothic Book"/>
          <w:sz w:val="22"/>
          <w:szCs w:val="18"/>
        </w:rPr>
        <w:t>anaesthe</w:t>
      </w:r>
      <w:r w:rsidR="150ACBA4" w:rsidRPr="00E95A1D">
        <w:rPr>
          <w:rFonts w:ascii="Franklin Gothic Book" w:hAnsi="Franklin Gothic Book"/>
          <w:sz w:val="22"/>
          <w:szCs w:val="18"/>
        </w:rPr>
        <w:t>sia</w:t>
      </w:r>
      <w:r w:rsidR="7DCA177F" w:rsidRPr="00E95A1D">
        <w:rPr>
          <w:rFonts w:ascii="Franklin Gothic Book" w:hAnsi="Franklin Gothic Book"/>
          <w:sz w:val="22"/>
          <w:szCs w:val="18"/>
        </w:rPr>
        <w:t xml:space="preserve"> costs </w:t>
      </w:r>
      <w:r w:rsidRPr="00E95A1D">
        <w:rPr>
          <w:rFonts w:ascii="Franklin Gothic Book" w:hAnsi="Franklin Gothic Book"/>
          <w:sz w:val="22"/>
          <w:szCs w:val="18"/>
        </w:rPr>
        <w:t xml:space="preserve">of the procedures </w:t>
      </w:r>
      <w:r w:rsidR="5544344A" w:rsidRPr="00E95A1D">
        <w:rPr>
          <w:rFonts w:ascii="Franklin Gothic Book" w:hAnsi="Franklin Gothic Book"/>
          <w:sz w:val="22"/>
          <w:szCs w:val="18"/>
        </w:rPr>
        <w:t xml:space="preserve">were for </w:t>
      </w:r>
      <w:r w:rsidRPr="00E95A1D">
        <w:rPr>
          <w:rFonts w:ascii="Franklin Gothic Book" w:hAnsi="Franklin Gothic Book"/>
          <w:sz w:val="22"/>
          <w:szCs w:val="18"/>
        </w:rPr>
        <w:t>2 hours for DC-TVPMs and 45</w:t>
      </w:r>
      <w:r w:rsidR="00A35DDA">
        <w:rPr>
          <w:rFonts w:ascii="Franklin Gothic Book" w:hAnsi="Franklin Gothic Book"/>
          <w:sz w:val="22"/>
          <w:szCs w:val="18"/>
        </w:rPr>
        <w:t> </w:t>
      </w:r>
      <w:r w:rsidRPr="00E95A1D">
        <w:rPr>
          <w:rFonts w:ascii="Franklin Gothic Book" w:hAnsi="Franklin Gothic Book"/>
          <w:sz w:val="22"/>
          <w:szCs w:val="18"/>
        </w:rPr>
        <w:t>minutes for LPMs</w:t>
      </w:r>
      <w:r w:rsidR="003932A3" w:rsidRPr="00E95A1D">
        <w:rPr>
          <w:rFonts w:ascii="Franklin Gothic Book" w:hAnsi="Franklin Gothic Book"/>
          <w:sz w:val="22"/>
          <w:szCs w:val="18"/>
        </w:rPr>
        <w:t>,</w:t>
      </w:r>
      <w:r w:rsidRPr="00E95A1D">
        <w:rPr>
          <w:rFonts w:ascii="Franklin Gothic Book" w:hAnsi="Franklin Gothic Book"/>
          <w:sz w:val="22"/>
          <w:szCs w:val="18"/>
        </w:rPr>
        <w:t xml:space="preserve"> whereas the expected duration for both procedures is 30 minutes</w:t>
      </w:r>
      <w:r w:rsidR="00B90065" w:rsidRPr="00E95A1D">
        <w:rPr>
          <w:rFonts w:ascii="Franklin Gothic Book" w:hAnsi="Franklin Gothic Book"/>
          <w:sz w:val="22"/>
          <w:szCs w:val="18"/>
        </w:rPr>
        <w:t>,</w:t>
      </w:r>
    </w:p>
    <w:p w14:paraId="665333B8" w14:textId="04C9104B" w:rsidR="00CF21DC" w:rsidRPr="00CF21DC" w:rsidRDefault="00CF21DC" w:rsidP="00A35DDA">
      <w:pPr>
        <w:pStyle w:val="Bullet"/>
        <w:numPr>
          <w:ilvl w:val="0"/>
          <w:numId w:val="28"/>
        </w:numPr>
        <w:ind w:left="720"/>
        <w:rPr>
          <w:rFonts w:ascii="Franklin Gothic Book" w:hAnsi="Franklin Gothic Book"/>
        </w:rPr>
      </w:pPr>
      <w:r w:rsidRPr="00CF21DC">
        <w:rPr>
          <w:rFonts w:ascii="Franklin Gothic Book" w:hAnsi="Franklin Gothic Book"/>
        </w:rPr>
        <w:t xml:space="preserve">there were no sensitivity analyses for the revised model, such as those to test different time horizons and the assumptions made about key drivers of the model (for example, QoL, time, </w:t>
      </w:r>
      <w:proofErr w:type="spellStart"/>
      <w:r w:rsidRPr="00CF21DC">
        <w:rPr>
          <w:rFonts w:ascii="Franklin Gothic Book" w:hAnsi="Franklin Gothic Book"/>
        </w:rPr>
        <w:t>disutilities</w:t>
      </w:r>
      <w:proofErr w:type="spellEnd"/>
      <w:r w:rsidRPr="00CF21DC">
        <w:rPr>
          <w:rFonts w:ascii="Franklin Gothic Book" w:hAnsi="Franklin Gothic Book"/>
        </w:rPr>
        <w:t xml:space="preserve"> for procedures, and infection costs).</w:t>
      </w:r>
    </w:p>
    <w:p w14:paraId="20F3F7BB" w14:textId="77D68207" w:rsidR="00CF21DC" w:rsidRDefault="008D741B" w:rsidP="00CF21DC">
      <w:r>
        <w:t xml:space="preserve">Therefore, </w:t>
      </w:r>
      <w:r w:rsidR="00CF21DC">
        <w:t>MSAC concluded that the evidence about cost-effectiveness was uncertain.</w:t>
      </w:r>
    </w:p>
    <w:p w14:paraId="4A738B43" w14:textId="7D7FCD3C" w:rsidR="00CF21DC" w:rsidRDefault="00DB7F74" w:rsidP="00CF21DC">
      <w:r>
        <w:lastRenderedPageBreak/>
        <w:t xml:space="preserve">Consistent with </w:t>
      </w:r>
      <w:r w:rsidR="00F44143">
        <w:t xml:space="preserve">PASC and ESC, </w:t>
      </w:r>
      <w:r w:rsidR="00CF21DC">
        <w:t xml:space="preserve">MSAC </w:t>
      </w:r>
      <w:r w:rsidR="00F44143">
        <w:t xml:space="preserve">considered </w:t>
      </w:r>
      <w:r w:rsidR="00CF21DC">
        <w:t xml:space="preserve">the </w:t>
      </w:r>
      <w:r w:rsidR="00CF21DC" w:rsidRPr="005D5878">
        <w:t>Micra</w:t>
      </w:r>
      <w:r w:rsidR="00CF21DC" w:rsidRPr="008C4409">
        <w:t xml:space="preserve"> VR</w:t>
      </w:r>
      <w:r w:rsidR="00CF21DC">
        <w:t xml:space="preserve"> </w:t>
      </w:r>
      <w:r w:rsidR="007D083D">
        <w:t xml:space="preserve">should have been </w:t>
      </w:r>
      <w:r w:rsidR="00E619DF">
        <w:t xml:space="preserve">included </w:t>
      </w:r>
      <w:r w:rsidR="00BC3561">
        <w:t>a</w:t>
      </w:r>
      <w:r w:rsidR="007D083D">
        <w:t>s</w:t>
      </w:r>
      <w:r w:rsidR="00E619DF">
        <w:t xml:space="preserve"> a</w:t>
      </w:r>
      <w:r w:rsidR="00CF21DC">
        <w:t xml:space="preserve"> relevant secondary comparator</w:t>
      </w:r>
      <w:r w:rsidR="00E619DF">
        <w:t xml:space="preserve">. Therefore, </w:t>
      </w:r>
      <w:r w:rsidR="00CF21DC">
        <w:t xml:space="preserve">the </w:t>
      </w:r>
      <w:r w:rsidR="00BC3561">
        <w:t xml:space="preserve">potential </w:t>
      </w:r>
      <w:r w:rsidR="00CF21DC">
        <w:t xml:space="preserve">impact of the </w:t>
      </w:r>
      <w:r w:rsidR="00CF21DC" w:rsidRPr="005D5878">
        <w:t>Micra</w:t>
      </w:r>
      <w:r w:rsidR="00CF21DC" w:rsidRPr="008C4409">
        <w:t xml:space="preserve"> </w:t>
      </w:r>
      <w:r w:rsidR="00CF21DC">
        <w:t xml:space="preserve">AV on the </w:t>
      </w:r>
      <w:r w:rsidR="00CF21DC" w:rsidRPr="005D5878">
        <w:t>Micra</w:t>
      </w:r>
      <w:r w:rsidR="00CF21DC" w:rsidRPr="008C4409">
        <w:t xml:space="preserve"> VR</w:t>
      </w:r>
      <w:r w:rsidR="004379A2">
        <w:t>’s</w:t>
      </w:r>
      <w:r w:rsidR="00CF21DC">
        <w:t xml:space="preserve"> market share should be </w:t>
      </w:r>
      <w:r w:rsidR="004379A2">
        <w:t>evaluated</w:t>
      </w:r>
      <w:r w:rsidR="00CF21DC">
        <w:t xml:space="preserve">. </w:t>
      </w:r>
    </w:p>
    <w:p w14:paraId="4DB26A5F" w14:textId="4EA59384" w:rsidR="00CF21DC" w:rsidRDefault="00CF21DC" w:rsidP="00CF21DC">
      <w:r>
        <w:t xml:space="preserve">MSAC noted the revised financial impact of the proposed listing of the </w:t>
      </w:r>
      <w:r w:rsidRPr="005D5878">
        <w:t>Micra</w:t>
      </w:r>
      <w:r w:rsidRPr="00A8570C">
        <w:t xml:space="preserve"> AV</w:t>
      </w:r>
      <w:r>
        <w:t xml:space="preserve"> for the MBS was </w:t>
      </w:r>
      <w:r w:rsidR="00A85F1D">
        <w:t xml:space="preserve">a </w:t>
      </w:r>
      <w:r>
        <w:t xml:space="preserve">saving of </w:t>
      </w:r>
      <w:r w:rsidR="008454D3">
        <w:t>$</w:t>
      </w:r>
      <w:r w:rsidR="008454D3">
        <w:rPr>
          <w:b/>
          <w:bCs/>
        </w:rPr>
        <w:t xml:space="preserve">redacted </w:t>
      </w:r>
      <w:r>
        <w:t xml:space="preserve">in year 1 and </w:t>
      </w:r>
      <w:r w:rsidR="008454D3">
        <w:t>$</w:t>
      </w:r>
      <w:r w:rsidR="008454D3">
        <w:rPr>
          <w:b/>
          <w:bCs/>
        </w:rPr>
        <w:t xml:space="preserve">redacted </w:t>
      </w:r>
      <w:r>
        <w:t>in year 6</w:t>
      </w:r>
      <w:r w:rsidR="000A3BBD">
        <w:t xml:space="preserve">. However, MSAC noted that </w:t>
      </w:r>
      <w:r>
        <w:t>for the Australian healthcare system overall</w:t>
      </w:r>
      <w:r w:rsidR="001B7B82">
        <w:t xml:space="preserve"> due to higher prosthesis costs</w:t>
      </w:r>
      <w:r w:rsidR="000A3BBD">
        <w:t>,</w:t>
      </w:r>
      <w:r>
        <w:t xml:space="preserve"> </w:t>
      </w:r>
      <w:r w:rsidR="00AC6CC8">
        <w:t>resulting in</w:t>
      </w:r>
      <w:r w:rsidR="000A3BBD">
        <w:t xml:space="preserve"> </w:t>
      </w:r>
      <w:r>
        <w:t xml:space="preserve">a cost of </w:t>
      </w:r>
      <w:r w:rsidR="008454D3">
        <w:t>$</w:t>
      </w:r>
      <w:r w:rsidR="008454D3">
        <w:rPr>
          <w:b/>
          <w:bCs/>
        </w:rPr>
        <w:t xml:space="preserve">redacted </w:t>
      </w:r>
      <w:r>
        <w:t xml:space="preserve">in year 1 and </w:t>
      </w:r>
      <w:r w:rsidR="008454D3">
        <w:t>$</w:t>
      </w:r>
      <w:r w:rsidR="008454D3">
        <w:rPr>
          <w:b/>
          <w:bCs/>
        </w:rPr>
        <w:t xml:space="preserve">redacted </w:t>
      </w:r>
      <w:r>
        <w:t xml:space="preserve">in year 6. MSAC noted these </w:t>
      </w:r>
      <w:r w:rsidR="00D70E50">
        <w:t>estimates</w:t>
      </w:r>
      <w:r w:rsidR="00F87D38">
        <w:t xml:space="preserve">, which have </w:t>
      </w:r>
      <w:r w:rsidR="00D069E7">
        <w:t xml:space="preserve">not been independently evaluated, </w:t>
      </w:r>
      <w:r>
        <w:t xml:space="preserve">were </w:t>
      </w:r>
      <w:proofErr w:type="gramStart"/>
      <w:r>
        <w:t>similar to</w:t>
      </w:r>
      <w:proofErr w:type="gramEnd"/>
      <w:r>
        <w:t xml:space="preserve"> </w:t>
      </w:r>
      <w:r w:rsidR="00D70E50">
        <w:t>those</w:t>
      </w:r>
      <w:r>
        <w:t xml:space="preserve"> presented to ESC</w:t>
      </w:r>
      <w:r w:rsidR="00D70E50">
        <w:t>, but MSAC considered</w:t>
      </w:r>
      <w:r>
        <w:t xml:space="preserve"> these to </w:t>
      </w:r>
      <w:r w:rsidR="00D70E50">
        <w:t xml:space="preserve">still to </w:t>
      </w:r>
      <w:r>
        <w:t xml:space="preserve">be uncertain </w:t>
      </w:r>
      <w:r w:rsidR="006D08B7">
        <w:t xml:space="preserve">due to the unassessed </w:t>
      </w:r>
      <w:r>
        <w:t xml:space="preserve">impact on </w:t>
      </w:r>
      <w:r w:rsidRPr="005D5878">
        <w:t>Micra</w:t>
      </w:r>
      <w:r w:rsidRPr="008C4409">
        <w:t xml:space="preserve"> VR</w:t>
      </w:r>
      <w:r w:rsidR="006D08B7">
        <w:t>’s</w:t>
      </w:r>
      <w:r>
        <w:t xml:space="preserve"> market share.</w:t>
      </w:r>
    </w:p>
    <w:p w14:paraId="64603424" w14:textId="2548BF21" w:rsidR="0092447A" w:rsidRPr="00296EA5" w:rsidRDefault="00A47D0E" w:rsidP="00CF21DC">
      <w:pPr>
        <w:rPr>
          <w:rFonts w:eastAsia="Franklin Gothic Book"/>
          <w:color w:val="000000" w:themeColor="text1"/>
        </w:rPr>
      </w:pPr>
      <w:r>
        <w:t>Overall, MSAC</w:t>
      </w:r>
      <w:r w:rsidR="00FC45A6">
        <w:t xml:space="preserve"> </w:t>
      </w:r>
      <w:r w:rsidR="00FC45A6" w:rsidRPr="1CA5383C">
        <w:rPr>
          <w:rFonts w:eastAsia="Franklin Gothic Book"/>
          <w:color w:val="000000" w:themeColor="text1"/>
        </w:rPr>
        <w:t xml:space="preserve">did not support the creation of new items for the insertion of Micra AV. </w:t>
      </w:r>
      <w:r w:rsidR="00C22337" w:rsidRPr="1CA5383C">
        <w:rPr>
          <w:rFonts w:eastAsia="Franklin Gothic Book"/>
          <w:color w:val="000000" w:themeColor="text1"/>
        </w:rPr>
        <w:t xml:space="preserve">Instead, </w:t>
      </w:r>
      <w:r w:rsidR="00FC45A6" w:rsidRPr="1CA5383C">
        <w:rPr>
          <w:rFonts w:eastAsia="Franklin Gothic Book"/>
          <w:color w:val="000000" w:themeColor="text1"/>
        </w:rPr>
        <w:t>MSAC advised that existing MBS items</w:t>
      </w:r>
      <w:r w:rsidR="00F1795F" w:rsidRPr="1CA5383C">
        <w:rPr>
          <w:rFonts w:eastAsia="Franklin Gothic Book"/>
          <w:color w:val="000000" w:themeColor="text1"/>
        </w:rPr>
        <w:t xml:space="preserve"> 38372, 38373, 38374 and 38375</w:t>
      </w:r>
      <w:r w:rsidR="00EF7894" w:rsidRPr="1CA5383C">
        <w:rPr>
          <w:rFonts w:eastAsia="Franklin Gothic Book"/>
          <w:color w:val="000000" w:themeColor="text1"/>
        </w:rPr>
        <w:t>, which cover</w:t>
      </w:r>
      <w:r w:rsidR="00FC45A6" w:rsidRPr="1CA5383C">
        <w:rPr>
          <w:rFonts w:eastAsia="Franklin Gothic Book"/>
          <w:color w:val="000000" w:themeColor="text1"/>
        </w:rPr>
        <w:t xml:space="preserve"> insertion, retrieval, replacement, and explantation could be utilised</w:t>
      </w:r>
      <w:r w:rsidR="00A26DFE" w:rsidRPr="1CA5383C">
        <w:rPr>
          <w:rFonts w:eastAsia="Franklin Gothic Book"/>
          <w:color w:val="000000" w:themeColor="text1"/>
        </w:rPr>
        <w:t>,</w:t>
      </w:r>
      <w:r w:rsidR="00FC45A6" w:rsidRPr="1CA5383C">
        <w:rPr>
          <w:rFonts w:eastAsia="Franklin Gothic Book"/>
          <w:color w:val="000000" w:themeColor="text1"/>
        </w:rPr>
        <w:t xml:space="preserve"> with </w:t>
      </w:r>
      <w:r w:rsidR="006D40FF" w:rsidRPr="006D40FF">
        <w:rPr>
          <w:rFonts w:eastAsia="Franklin Gothic Book"/>
          <w:color w:val="000000" w:themeColor="text1"/>
        </w:rPr>
        <w:t xml:space="preserve">explanatory notes regarding the device </w:t>
      </w:r>
      <w:r w:rsidR="00FC45A6" w:rsidRPr="1CA5383C">
        <w:rPr>
          <w:rFonts w:eastAsia="Franklin Gothic Book"/>
          <w:color w:val="000000" w:themeColor="text1"/>
        </w:rPr>
        <w:t>to include the target population for the Micra AV.</w:t>
      </w:r>
      <w:r w:rsidR="00D94268" w:rsidRPr="00D94268">
        <w:t xml:space="preserve"> </w:t>
      </w:r>
      <w:r w:rsidR="00D94268" w:rsidRPr="000F6B2D">
        <w:t xml:space="preserve">MSAC considered </w:t>
      </w:r>
      <w:r w:rsidR="007055AF">
        <w:t xml:space="preserve">that </w:t>
      </w:r>
      <w:r w:rsidR="00D94268" w:rsidRPr="000F6B2D">
        <w:t xml:space="preserve">advice from </w:t>
      </w:r>
      <w:r w:rsidR="007055AF">
        <w:t xml:space="preserve">the </w:t>
      </w:r>
      <w:r w:rsidR="00D94268" w:rsidRPr="000F6B2D">
        <w:t xml:space="preserve">experts </w:t>
      </w:r>
      <w:r w:rsidR="00461C5F">
        <w:t>on</w:t>
      </w:r>
      <w:r w:rsidR="00D94268" w:rsidRPr="000F6B2D">
        <w:t xml:space="preserve"> the </w:t>
      </w:r>
      <w:r w:rsidR="00D94268">
        <w:t xml:space="preserve">Cardiovascular Expert Clinical Advisory Group (CVECAG) </w:t>
      </w:r>
      <w:r w:rsidR="00257534">
        <w:t>would help</w:t>
      </w:r>
      <w:r w:rsidR="00D94268" w:rsidRPr="000F6B2D">
        <w:t xml:space="preserve"> inform amendments to the explanatory notes regarding the appropriate population.</w:t>
      </w:r>
      <w:r w:rsidR="00D94268">
        <w:t xml:space="preserve"> </w:t>
      </w:r>
      <w:r w:rsidR="00246FBF">
        <w:t xml:space="preserve">MSAC also noted that the anaesthesia initiation item and average anaesthesia time for insertion </w:t>
      </w:r>
      <w:r w:rsidR="00CD3C4F">
        <w:t>for both</w:t>
      </w:r>
      <w:r w:rsidR="00246FBF">
        <w:t xml:space="preserve"> Micra AV and the Micra VR would be the same. </w:t>
      </w:r>
    </w:p>
    <w:p w14:paraId="50A7A0F8" w14:textId="310151D9" w:rsidR="00CF21DC" w:rsidRDefault="0020344A" w:rsidP="00CF21DC">
      <w:r w:rsidRPr="358AA807">
        <w:rPr>
          <w:rFonts w:eastAsia="Franklin Gothic Book"/>
          <w:color w:val="000000" w:themeColor="text1"/>
        </w:rPr>
        <w:t xml:space="preserve">MSAC advised the MDHTAC </w:t>
      </w:r>
      <w:r w:rsidR="001B3AA2">
        <w:rPr>
          <w:rFonts w:eastAsia="Franklin Gothic Book"/>
          <w:color w:val="000000" w:themeColor="text1"/>
        </w:rPr>
        <w:t>the</w:t>
      </w:r>
      <w:r w:rsidR="00B76D7B">
        <w:rPr>
          <w:rFonts w:eastAsia="Franklin Gothic Book"/>
          <w:color w:val="000000" w:themeColor="text1"/>
        </w:rPr>
        <w:t>re was no justification for the</w:t>
      </w:r>
      <w:r w:rsidR="001B3AA2">
        <w:rPr>
          <w:rFonts w:eastAsia="Franklin Gothic Book"/>
          <w:color w:val="000000" w:themeColor="text1"/>
        </w:rPr>
        <w:t xml:space="preserve"> </w:t>
      </w:r>
      <w:r w:rsidR="001B3AA2">
        <w:t>higher proposed PL benefit for the Micra AV</w:t>
      </w:r>
      <w:r w:rsidR="7C726F1C">
        <w:t>.</w:t>
      </w:r>
      <w:r w:rsidR="292B7E78">
        <w:t xml:space="preserve"> T</w:t>
      </w:r>
      <w:r w:rsidR="51DDD759">
        <w:t>h</w:t>
      </w:r>
      <w:r w:rsidR="292B7E78">
        <w:t>ere was an</w:t>
      </w:r>
      <w:r w:rsidR="00744C70">
        <w:t xml:space="preserve"> </w:t>
      </w:r>
      <w:r w:rsidR="002C3667">
        <w:t>absence</w:t>
      </w:r>
      <w:r w:rsidR="001B3AA2">
        <w:t xml:space="preserve"> of </w:t>
      </w:r>
      <w:r w:rsidR="0076099D">
        <w:rPr>
          <w:rFonts w:eastAsia="Franklin Gothic Book"/>
          <w:color w:val="000000" w:themeColor="text1"/>
        </w:rPr>
        <w:t xml:space="preserve">comparative data between </w:t>
      </w:r>
      <w:r w:rsidR="001B3AA2">
        <w:t xml:space="preserve">the </w:t>
      </w:r>
      <w:r w:rsidR="001B3AA2" w:rsidRPr="005D5878">
        <w:t>Micra</w:t>
      </w:r>
      <w:r w:rsidR="001B3AA2" w:rsidRPr="008C4409">
        <w:t xml:space="preserve"> AV and </w:t>
      </w:r>
      <w:r w:rsidR="001B3AA2" w:rsidRPr="005D5878">
        <w:t>Micra</w:t>
      </w:r>
      <w:r w:rsidR="001B3AA2" w:rsidRPr="008C4409">
        <w:t xml:space="preserve"> VR</w:t>
      </w:r>
      <w:r w:rsidR="001B3AA2">
        <w:t xml:space="preserve"> </w:t>
      </w:r>
      <w:r w:rsidR="001B3AA2" w:rsidRPr="00F17E50">
        <w:t xml:space="preserve">to </w:t>
      </w:r>
      <w:r w:rsidR="162A8058">
        <w:t xml:space="preserve">allow for the </w:t>
      </w:r>
      <w:r w:rsidR="001B3AA2">
        <w:t>assess</w:t>
      </w:r>
      <w:r w:rsidR="5148E55B">
        <w:t>ment of</w:t>
      </w:r>
      <w:r w:rsidR="001B3AA2" w:rsidRPr="00F17E50">
        <w:t xml:space="preserve"> the relative cost-effectiveness of the proposed higher PL benefit for Micra AV compared to the current PL benefit for Micra VR ($10,083).</w:t>
      </w:r>
      <w:r w:rsidR="001B3AA2">
        <w:t xml:space="preserve"> </w:t>
      </w:r>
      <w:r w:rsidR="00EA3A1C">
        <w:t xml:space="preserve">MSAC considered that </w:t>
      </w:r>
      <w:r w:rsidR="00816DAA">
        <w:t>a re-application</w:t>
      </w:r>
      <w:r w:rsidR="00EA3A1C">
        <w:t xml:space="preserve"> propos</w:t>
      </w:r>
      <w:r w:rsidR="0053036A">
        <w:t>ing</w:t>
      </w:r>
      <w:r w:rsidR="00EA3A1C">
        <w:t xml:space="preserve"> a higher PL benefit for the Micra AV</w:t>
      </w:r>
      <w:r w:rsidR="00FF3BB4">
        <w:t xml:space="preserve"> would</w:t>
      </w:r>
      <w:r w:rsidR="00972E67">
        <w:t xml:space="preserve"> </w:t>
      </w:r>
      <w:r w:rsidR="00FF3BB4">
        <w:t>require</w:t>
      </w:r>
      <w:r w:rsidR="003129B9">
        <w:t xml:space="preserve"> advice from </w:t>
      </w:r>
      <w:r w:rsidR="002C2D27">
        <w:t xml:space="preserve">MDHTAC and the </w:t>
      </w:r>
      <w:r w:rsidR="002C2D27" w:rsidRPr="00C26AB7">
        <w:t>CVECAG</w:t>
      </w:r>
      <w:r w:rsidR="00817FF6">
        <w:t xml:space="preserve"> </w:t>
      </w:r>
      <w:r w:rsidR="008C712D">
        <w:t xml:space="preserve">of MDHTAC </w:t>
      </w:r>
      <w:r w:rsidR="00817FF6">
        <w:t xml:space="preserve">on the </w:t>
      </w:r>
      <w:r w:rsidR="00CC1415">
        <w:t>appropriate</w:t>
      </w:r>
      <w:r w:rsidR="00817FF6">
        <w:t xml:space="preserve"> population </w:t>
      </w:r>
      <w:r w:rsidR="00517F7A">
        <w:t>and</w:t>
      </w:r>
      <w:r w:rsidR="002C2D27">
        <w:t xml:space="preserve"> </w:t>
      </w:r>
      <w:r w:rsidR="00941D59">
        <w:t xml:space="preserve">include </w:t>
      </w:r>
      <w:r w:rsidR="003D1069">
        <w:t xml:space="preserve">clinical and economic </w:t>
      </w:r>
      <w:r w:rsidR="00941D59">
        <w:t xml:space="preserve">evidence to support the </w:t>
      </w:r>
      <w:r w:rsidR="00AB6799">
        <w:t>higher PL benefit</w:t>
      </w:r>
      <w:r w:rsidR="009368FA">
        <w:t xml:space="preserve">. </w:t>
      </w:r>
      <w:r w:rsidR="00167931" w:rsidRPr="00167931">
        <w:t xml:space="preserve"> </w:t>
      </w:r>
    </w:p>
    <w:p w14:paraId="6710B69D" w14:textId="37614B2D" w:rsidR="00772829" w:rsidRPr="00CE28E3" w:rsidRDefault="00772829" w:rsidP="004167A0">
      <w:pPr>
        <w:pStyle w:val="Heading2"/>
        <w:numPr>
          <w:ilvl w:val="0"/>
          <w:numId w:val="27"/>
        </w:numPr>
        <w:ind w:hanging="720"/>
      </w:pPr>
      <w:bookmarkStart w:id="3" w:name="_Toc69491416"/>
      <w:bookmarkEnd w:id="1"/>
      <w:r w:rsidRPr="00CE28E3">
        <w:t>Background</w:t>
      </w:r>
      <w:bookmarkEnd w:id="3"/>
    </w:p>
    <w:p w14:paraId="629C909B" w14:textId="1F135DB1" w:rsidR="00630644" w:rsidRPr="00AA71D6" w:rsidRDefault="00630644" w:rsidP="4C0A0968">
      <w:pPr>
        <w:rPr>
          <w:highlight w:val="yellow"/>
        </w:rPr>
      </w:pPr>
      <w:bookmarkStart w:id="4" w:name="_Hlk69734494"/>
      <w:bookmarkStart w:id="5" w:name="_Toc69491417"/>
      <w:r w:rsidRPr="4C0A0968">
        <w:t>MSAC has not previously considered single</w:t>
      </w:r>
      <w:r w:rsidR="00480343" w:rsidRPr="4C0A0968">
        <w:t>-</w:t>
      </w:r>
      <w:r w:rsidRPr="4C0A0968">
        <w:t xml:space="preserve">chamber LPM with AV synchronous pacing (Micra AV) for patients with bradycardia due to AV block who are in sinus rhythm. However, MSAC recently supported MBS funding </w:t>
      </w:r>
      <w:r w:rsidR="001C6C4B" w:rsidRPr="4C0A0968">
        <w:t>for the insertion</w:t>
      </w:r>
      <w:r w:rsidR="004D0309" w:rsidRPr="4C0A0968">
        <w:t>, retrieval</w:t>
      </w:r>
      <w:r w:rsidR="007873B6" w:rsidRPr="4C0A0968">
        <w:t xml:space="preserve">, </w:t>
      </w:r>
      <w:r w:rsidR="004D0309" w:rsidRPr="4C0A0968">
        <w:t>replacement</w:t>
      </w:r>
      <w:r w:rsidR="001C6C4B" w:rsidRPr="4C0A0968">
        <w:t xml:space="preserve"> </w:t>
      </w:r>
      <w:r w:rsidR="007873B6" w:rsidRPr="4C0A0968">
        <w:t>and explan</w:t>
      </w:r>
      <w:r w:rsidR="007734F6">
        <w:t>a</w:t>
      </w:r>
      <w:r w:rsidR="007873B6" w:rsidRPr="4C0A0968">
        <w:t xml:space="preserve">tion </w:t>
      </w:r>
      <w:r w:rsidRPr="4C0A0968">
        <w:t>of Medtronic’s leadless single</w:t>
      </w:r>
      <w:r w:rsidR="00480343" w:rsidRPr="4C0A0968">
        <w:t>-</w:t>
      </w:r>
      <w:r w:rsidRPr="4C0A0968">
        <w:t xml:space="preserve">chamber ventricular pacemaker (Micra VR) for bradycardia at the July 2022 meeting (MSAC Application 1672). The services associated with the Micra VR device were subsequently listed on the MBS in November 2023 (MBS items 38372, 38373, 38374 and 38375). The same MBS items are proposed by the applicant to be used for the Micra AV device. </w:t>
      </w:r>
    </w:p>
    <w:p w14:paraId="2B64754F" w14:textId="3A09A3C1" w:rsidR="00630644" w:rsidRDefault="00630644" w:rsidP="00630644">
      <w:r>
        <w:rPr>
          <w:lang w:val="en-GB" w:eastAsia="ja-JP"/>
        </w:rPr>
        <w:t>T</w:t>
      </w:r>
      <w:r w:rsidRPr="00C45AE4">
        <w:rPr>
          <w:lang w:val="en-GB" w:eastAsia="ja-JP"/>
        </w:rPr>
        <w:t>he Micra VR was listed on the PL in November 2023 (billing code MI516) at a benefit of $10,083</w:t>
      </w:r>
      <w:r>
        <w:rPr>
          <w:lang w:val="en-GB" w:eastAsia="ja-JP"/>
        </w:rPr>
        <w:t xml:space="preserve"> (</w:t>
      </w:r>
      <w:r w:rsidRPr="00AA71D6">
        <w:rPr>
          <w:lang w:val="en-GB" w:eastAsia="ja-JP"/>
        </w:rPr>
        <w:t>Grouping 08.0</w:t>
      </w:r>
      <w:r w:rsidRPr="00526194">
        <w:rPr>
          <w:lang w:val="en-GB" w:eastAsia="ja-JP"/>
        </w:rPr>
        <w:t>4</w:t>
      </w:r>
      <w:r w:rsidRPr="00AA71D6">
        <w:rPr>
          <w:lang w:val="en-GB" w:eastAsia="ja-JP"/>
        </w:rPr>
        <w:t>.0</w:t>
      </w:r>
      <w:r w:rsidRPr="00526194">
        <w:rPr>
          <w:lang w:val="en-GB" w:eastAsia="ja-JP"/>
        </w:rPr>
        <w:t>4)</w:t>
      </w:r>
      <w:r w:rsidRPr="00C45AE4">
        <w:rPr>
          <w:lang w:val="en-GB" w:eastAsia="ja-JP"/>
        </w:rPr>
        <w:t>.</w:t>
      </w:r>
      <w:r>
        <w:rPr>
          <w:lang w:val="en-GB" w:eastAsia="ja-JP"/>
        </w:rPr>
        <w:t xml:space="preserve"> Two other single</w:t>
      </w:r>
      <w:r w:rsidR="00480343">
        <w:rPr>
          <w:lang w:val="en-GB" w:eastAsia="ja-JP"/>
        </w:rPr>
        <w:t>-</w:t>
      </w:r>
      <w:r>
        <w:rPr>
          <w:lang w:val="en-GB" w:eastAsia="ja-JP"/>
        </w:rPr>
        <w:t xml:space="preserve">chamber LPMs, </w:t>
      </w:r>
      <w:r w:rsidR="00561CAC">
        <w:rPr>
          <w:lang w:val="en-GB" w:eastAsia="ja-JP"/>
        </w:rPr>
        <w:t xml:space="preserve">the </w:t>
      </w:r>
      <w:r>
        <w:rPr>
          <w:lang w:val="en-GB" w:eastAsia="ja-JP"/>
        </w:rPr>
        <w:t xml:space="preserve">Micra VR2 </w:t>
      </w:r>
      <w:r w:rsidR="00561CAC">
        <w:rPr>
          <w:lang w:val="en-GB" w:eastAsia="ja-JP"/>
        </w:rPr>
        <w:t xml:space="preserve">(Medtronic) </w:t>
      </w:r>
      <w:r>
        <w:rPr>
          <w:lang w:val="en-GB" w:eastAsia="ja-JP"/>
        </w:rPr>
        <w:t xml:space="preserve">and the </w:t>
      </w:r>
      <w:proofErr w:type="spellStart"/>
      <w:r w:rsidRPr="00A11BC8">
        <w:rPr>
          <w:lang w:val="en-GB" w:eastAsia="ja-JP"/>
        </w:rPr>
        <w:t>Aveir</w:t>
      </w:r>
      <w:proofErr w:type="spellEnd"/>
      <w:r w:rsidRPr="00A11BC8">
        <w:rPr>
          <w:lang w:val="en-GB" w:eastAsia="ja-JP"/>
        </w:rPr>
        <w:t xml:space="preserve"> VR</w:t>
      </w:r>
      <w:r>
        <w:rPr>
          <w:lang w:val="en-GB" w:eastAsia="ja-JP"/>
        </w:rPr>
        <w:t xml:space="preserve"> (</w:t>
      </w:r>
      <w:r w:rsidRPr="00A11BC8">
        <w:rPr>
          <w:lang w:val="en-GB" w:eastAsia="ja-JP"/>
        </w:rPr>
        <w:t>Abbott Medical Australia Pty Ltd</w:t>
      </w:r>
      <w:r>
        <w:rPr>
          <w:lang w:val="en-GB" w:eastAsia="ja-JP"/>
        </w:rPr>
        <w:t xml:space="preserve">), were </w:t>
      </w:r>
      <w:r w:rsidR="0085239E">
        <w:rPr>
          <w:lang w:val="en-GB" w:eastAsia="ja-JP"/>
        </w:rPr>
        <w:t>also</w:t>
      </w:r>
      <w:r>
        <w:rPr>
          <w:lang w:val="en-GB" w:eastAsia="ja-JP"/>
        </w:rPr>
        <w:t xml:space="preserve"> listed </w:t>
      </w:r>
      <w:r w:rsidRPr="00C45AE4">
        <w:rPr>
          <w:lang w:val="en-GB" w:eastAsia="ja-JP"/>
        </w:rPr>
        <w:t>on the PL in November 202</w:t>
      </w:r>
      <w:r>
        <w:rPr>
          <w:lang w:val="en-GB" w:eastAsia="ja-JP"/>
        </w:rPr>
        <w:t>4.</w:t>
      </w:r>
    </w:p>
    <w:bookmarkEnd w:id="4"/>
    <w:p w14:paraId="6F52500A" w14:textId="6A7F8D6D" w:rsidR="00772829" w:rsidRPr="00CE28E3" w:rsidRDefault="00772829" w:rsidP="004167A0">
      <w:pPr>
        <w:pStyle w:val="Heading2"/>
        <w:numPr>
          <w:ilvl w:val="0"/>
          <w:numId w:val="27"/>
        </w:numPr>
        <w:ind w:hanging="720"/>
      </w:pPr>
      <w:r w:rsidRPr="00CE28E3">
        <w:t>Prerequisites to implementation of any funding advice</w:t>
      </w:r>
      <w:bookmarkEnd w:id="5"/>
    </w:p>
    <w:p w14:paraId="3AB770CA" w14:textId="126A58F6" w:rsidR="00F8789A" w:rsidRPr="007920EB" w:rsidRDefault="00F8789A" w:rsidP="00560177">
      <w:bookmarkStart w:id="6" w:name="_Toc69491418"/>
      <w:r w:rsidRPr="007920EB">
        <w:t>The Micra A</w:t>
      </w:r>
      <w:r w:rsidR="00637D53">
        <w:t>V</w:t>
      </w:r>
      <w:r w:rsidRPr="007920EB">
        <w:t xml:space="preserve"> LPM </w:t>
      </w:r>
      <w:r>
        <w:t>is</w:t>
      </w:r>
      <w:r w:rsidRPr="007920EB">
        <w:t xml:space="preserve"> included on the Australian Register of Therapeutic Goods (ARTG) </w:t>
      </w:r>
      <w:r>
        <w:t>along</w:t>
      </w:r>
      <w:r w:rsidRPr="007920EB">
        <w:t xml:space="preserve"> with an ‘introducer’ for inserting the device. </w:t>
      </w:r>
      <w:r w:rsidR="00B9098F">
        <w:fldChar w:fldCharType="begin"/>
      </w:r>
      <w:r w:rsidR="00B9098F">
        <w:instrText xml:space="preserve"> REF _Ref186708997 \h </w:instrText>
      </w:r>
      <w:r w:rsidR="00B9098F">
        <w:fldChar w:fldCharType="separate"/>
      </w:r>
      <w:r w:rsidR="00D96B61">
        <w:t xml:space="preserve">Table </w:t>
      </w:r>
      <w:r w:rsidR="00D96B61">
        <w:rPr>
          <w:noProof/>
        </w:rPr>
        <w:t>1</w:t>
      </w:r>
      <w:r w:rsidR="00B9098F">
        <w:fldChar w:fldCharType="end"/>
      </w:r>
      <w:r w:rsidRPr="007920EB">
        <w:t xml:space="preserve"> provides details of the Therapeutic Goods Administration status from the ARTG for the Micra A</w:t>
      </w:r>
      <w:r>
        <w:t>V</w:t>
      </w:r>
      <w:r w:rsidRPr="007920EB">
        <w:t xml:space="preserve"> and its consumables.</w:t>
      </w:r>
    </w:p>
    <w:p w14:paraId="0A0CCC21" w14:textId="10F143AB" w:rsidR="00C766CC" w:rsidRDefault="00C766CC" w:rsidP="009C553D">
      <w:pPr>
        <w:pStyle w:val="Caption"/>
      </w:pPr>
      <w:bookmarkStart w:id="7" w:name="_Ref186708997"/>
      <w:r>
        <w:lastRenderedPageBreak/>
        <w:t xml:space="preserve">Table </w:t>
      </w:r>
      <w:r w:rsidR="00B00A5A">
        <w:fldChar w:fldCharType="begin"/>
      </w:r>
      <w:r w:rsidR="00B00A5A">
        <w:instrText xml:space="preserve"> SEQ Table \* ARABIC </w:instrText>
      </w:r>
      <w:r w:rsidR="00B00A5A">
        <w:fldChar w:fldCharType="separate"/>
      </w:r>
      <w:r w:rsidR="00B00A5A">
        <w:rPr>
          <w:noProof/>
        </w:rPr>
        <w:t>1</w:t>
      </w:r>
      <w:r w:rsidR="00B00A5A">
        <w:rPr>
          <w:noProof/>
        </w:rPr>
        <w:fldChar w:fldCharType="end"/>
      </w:r>
      <w:bookmarkEnd w:id="7"/>
      <w:r w:rsidR="00B9098F">
        <w:tab/>
      </w:r>
      <w:r w:rsidR="00B9098F" w:rsidRPr="007920EB">
        <w:t xml:space="preserve">Micra </w:t>
      </w:r>
      <w:r w:rsidR="00B9098F">
        <w:t>AV LPM</w:t>
      </w:r>
      <w:r w:rsidR="00B9098F" w:rsidRPr="007920EB">
        <w:t xml:space="preserve"> and consumables listed on the ARTG</w:t>
      </w:r>
    </w:p>
    <w:tbl>
      <w:tblPr>
        <w:tblStyle w:val="TableGrid"/>
        <w:tblW w:w="5000" w:type="pct"/>
        <w:tblLook w:val="04A0" w:firstRow="1" w:lastRow="0" w:firstColumn="1" w:lastColumn="0" w:noHBand="0" w:noVBand="1"/>
        <w:tblCaption w:val="Regulatory information for leadless pacemakers in Australia"/>
        <w:tblDescription w:val="A summary of the regulatory information for all leadless pacemakers included on the ARTG. The Micra VR and an associated consumable are the only devices included on the ARTG. A functional description of these devices and the intended purpose is shown. "/>
      </w:tblPr>
      <w:tblGrid>
        <w:gridCol w:w="1334"/>
        <w:gridCol w:w="1922"/>
        <w:gridCol w:w="2880"/>
        <w:gridCol w:w="2880"/>
      </w:tblGrid>
      <w:tr w:rsidR="00F8789A" w:rsidRPr="00D66A69" w14:paraId="0E8585CE" w14:textId="77777777" w:rsidTr="00327AC7">
        <w:trPr>
          <w:cantSplit/>
          <w:tblHeader/>
        </w:trPr>
        <w:tc>
          <w:tcPr>
            <w:tcW w:w="740" w:type="pct"/>
          </w:tcPr>
          <w:p w14:paraId="75E00898" w14:textId="77777777" w:rsidR="00F8789A" w:rsidRPr="00D66A69" w:rsidRDefault="00F8789A" w:rsidP="00327AC7">
            <w:pPr>
              <w:pStyle w:val="TableHeading"/>
              <w:spacing w:before="0" w:after="0"/>
            </w:pPr>
            <w:r w:rsidRPr="00D66A69">
              <w:t xml:space="preserve">Product name </w:t>
            </w:r>
            <w:r>
              <w:t>(s</w:t>
            </w:r>
            <w:r w:rsidRPr="00D66A69">
              <w:t>ponsor</w:t>
            </w:r>
            <w:r>
              <w:t>)</w:t>
            </w:r>
          </w:p>
        </w:tc>
        <w:tc>
          <w:tcPr>
            <w:tcW w:w="1066" w:type="pct"/>
          </w:tcPr>
          <w:p w14:paraId="2EB6ACF3" w14:textId="77777777" w:rsidR="00F8789A" w:rsidRPr="00D66A69" w:rsidRDefault="00F8789A" w:rsidP="00327AC7">
            <w:pPr>
              <w:pStyle w:val="TableHeading"/>
              <w:spacing w:before="0" w:after="0"/>
            </w:pPr>
            <w:r w:rsidRPr="00D66A69">
              <w:t>ARTG summary</w:t>
            </w:r>
          </w:p>
        </w:tc>
        <w:tc>
          <w:tcPr>
            <w:tcW w:w="1597" w:type="pct"/>
          </w:tcPr>
          <w:p w14:paraId="3115B853" w14:textId="77777777" w:rsidR="00F8789A" w:rsidRPr="00D66A69" w:rsidRDefault="00F8789A" w:rsidP="00327AC7">
            <w:pPr>
              <w:pStyle w:val="TableHeading"/>
              <w:spacing w:before="0" w:after="0"/>
            </w:pPr>
            <w:r w:rsidRPr="00D66A69">
              <w:t>Functional description</w:t>
            </w:r>
          </w:p>
        </w:tc>
        <w:tc>
          <w:tcPr>
            <w:tcW w:w="1597" w:type="pct"/>
          </w:tcPr>
          <w:p w14:paraId="294D1E06" w14:textId="77777777" w:rsidR="00F8789A" w:rsidRPr="00D66A69" w:rsidRDefault="00F8789A" w:rsidP="00327AC7">
            <w:pPr>
              <w:pStyle w:val="TableHeading"/>
              <w:spacing w:before="0" w:after="0"/>
            </w:pPr>
            <w:r w:rsidRPr="00D66A69">
              <w:t>Intended purpose</w:t>
            </w:r>
          </w:p>
        </w:tc>
      </w:tr>
      <w:tr w:rsidR="00F8789A" w:rsidRPr="00AA71D6" w14:paraId="31BFC0F5" w14:textId="77777777" w:rsidTr="00327AC7">
        <w:trPr>
          <w:cantSplit/>
        </w:trPr>
        <w:tc>
          <w:tcPr>
            <w:tcW w:w="740" w:type="pct"/>
          </w:tcPr>
          <w:p w14:paraId="336AD719" w14:textId="452357D7" w:rsidR="00F8789A" w:rsidRDefault="00F8789A" w:rsidP="00327AC7">
            <w:pPr>
              <w:pStyle w:val="TableText"/>
              <w:spacing w:before="0" w:after="0"/>
              <w:rPr>
                <w:lang w:val="en-GB" w:eastAsia="ja-JP"/>
              </w:rPr>
            </w:pPr>
            <w:r w:rsidRPr="005E1E56">
              <w:rPr>
                <w:lang w:val="en-GB" w:eastAsia="ja-JP"/>
              </w:rPr>
              <w:t>Micra AV MC1AVR1 Intracardiac pacemaker</w:t>
            </w:r>
          </w:p>
          <w:p w14:paraId="24CABAD1" w14:textId="77777777" w:rsidR="00F8789A" w:rsidRPr="00AA71D6" w:rsidRDefault="00F8789A" w:rsidP="00327AC7">
            <w:pPr>
              <w:pStyle w:val="Tabletext0"/>
              <w:spacing w:before="0" w:after="0"/>
              <w:jc w:val="left"/>
              <w:rPr>
                <w:highlight w:val="yellow"/>
              </w:rPr>
            </w:pPr>
            <w:r>
              <w:rPr>
                <w:lang w:val="en-GB" w:eastAsia="ja-JP"/>
              </w:rPr>
              <w:t>(</w:t>
            </w:r>
            <w:r w:rsidRPr="005E1E56">
              <w:rPr>
                <w:lang w:val="en-GB" w:eastAsia="ja-JP"/>
              </w:rPr>
              <w:t>Medtronic Australasia Pty Ltd</w:t>
            </w:r>
            <w:r>
              <w:rPr>
                <w:lang w:val="en-GB" w:eastAsia="ja-JP"/>
              </w:rPr>
              <w:t>)</w:t>
            </w:r>
          </w:p>
        </w:tc>
        <w:tc>
          <w:tcPr>
            <w:tcW w:w="1066" w:type="pct"/>
          </w:tcPr>
          <w:p w14:paraId="106DAA83" w14:textId="77777777" w:rsidR="00F8789A" w:rsidRPr="00265976" w:rsidRDefault="00F8789A" w:rsidP="00327AC7">
            <w:pPr>
              <w:pStyle w:val="TableText"/>
              <w:shd w:val="clear" w:color="auto" w:fill="FFFFFF" w:themeFill="background1"/>
              <w:spacing w:before="0" w:after="0"/>
              <w:rPr>
                <w:lang w:val="en-GB" w:eastAsia="ja-JP"/>
              </w:rPr>
            </w:pPr>
            <w:r w:rsidRPr="004C3C8F">
              <w:rPr>
                <w:b/>
                <w:bCs/>
                <w:lang w:val="en-GB" w:eastAsia="ja-JP"/>
              </w:rPr>
              <w:t>ARTG ID:</w:t>
            </w:r>
            <w:r>
              <w:rPr>
                <w:b/>
                <w:bCs/>
                <w:lang w:val="en-GB" w:eastAsia="ja-JP"/>
              </w:rPr>
              <w:t xml:space="preserve"> </w:t>
            </w:r>
            <w:r w:rsidRPr="00D723AF">
              <w:rPr>
                <w:lang w:val="en-GB" w:eastAsia="ja-JP"/>
              </w:rPr>
              <w:t>391832,</w:t>
            </w:r>
            <w:r>
              <w:rPr>
                <w:b/>
                <w:bCs/>
                <w:lang w:val="en-GB" w:eastAsia="ja-JP"/>
              </w:rPr>
              <w:t xml:space="preserve"> </w:t>
            </w:r>
            <w:r w:rsidRPr="00265976">
              <w:rPr>
                <w:lang w:val="en-GB" w:eastAsia="ja-JP"/>
              </w:rPr>
              <w:t>391833</w:t>
            </w:r>
          </w:p>
          <w:p w14:paraId="5A331B1C" w14:textId="77777777" w:rsidR="00F8789A" w:rsidRPr="00265976" w:rsidRDefault="00F8789A" w:rsidP="00327AC7">
            <w:pPr>
              <w:pStyle w:val="TableText"/>
              <w:shd w:val="clear" w:color="auto" w:fill="FFFFFF" w:themeFill="background1"/>
              <w:spacing w:before="0" w:after="0"/>
              <w:rPr>
                <w:lang w:val="en-GB" w:eastAsia="ja-JP"/>
              </w:rPr>
            </w:pPr>
            <w:r w:rsidRPr="004C3C8F">
              <w:rPr>
                <w:b/>
                <w:bCs/>
                <w:lang w:val="en-GB" w:eastAsia="ja-JP"/>
              </w:rPr>
              <w:t>Start date:</w:t>
            </w:r>
            <w:r>
              <w:rPr>
                <w:b/>
                <w:bCs/>
                <w:lang w:val="en-GB" w:eastAsia="ja-JP"/>
              </w:rPr>
              <w:t xml:space="preserve"> </w:t>
            </w:r>
            <w:r w:rsidRPr="006B30E9">
              <w:rPr>
                <w:lang w:val="en-GB" w:eastAsia="ja-JP"/>
              </w:rPr>
              <w:t>5/07/2022</w:t>
            </w:r>
          </w:p>
          <w:p w14:paraId="75A3F1DC" w14:textId="77777777" w:rsidR="00F8789A" w:rsidRPr="006B30E9" w:rsidRDefault="00F8789A" w:rsidP="00327AC7">
            <w:pPr>
              <w:pStyle w:val="TableText"/>
              <w:shd w:val="clear" w:color="auto" w:fill="FFFFFF" w:themeFill="background1"/>
              <w:spacing w:before="0" w:after="0"/>
              <w:rPr>
                <w:lang w:val="en-GB" w:eastAsia="ja-JP"/>
              </w:rPr>
            </w:pPr>
            <w:r w:rsidRPr="004C3C8F">
              <w:rPr>
                <w:b/>
                <w:bCs/>
                <w:lang w:val="en-GB" w:eastAsia="ja-JP"/>
              </w:rPr>
              <w:t>Category:</w:t>
            </w:r>
            <w:r>
              <w:rPr>
                <w:b/>
                <w:bCs/>
                <w:lang w:val="en-GB" w:eastAsia="ja-JP"/>
              </w:rPr>
              <w:t xml:space="preserve"> </w:t>
            </w:r>
            <w:r w:rsidRPr="006B30E9">
              <w:rPr>
                <w:lang w:val="en-GB" w:eastAsia="ja-JP"/>
              </w:rPr>
              <w:t>Medical Device Class III</w:t>
            </w:r>
          </w:p>
          <w:p w14:paraId="2D828C52" w14:textId="77777777" w:rsidR="00F8789A" w:rsidRPr="00AA71D6" w:rsidRDefault="00F8789A" w:rsidP="00327AC7">
            <w:pPr>
              <w:pStyle w:val="Tabletext0"/>
              <w:shd w:val="clear" w:color="auto" w:fill="FFFFFF" w:themeFill="background1"/>
              <w:spacing w:before="0" w:after="0"/>
              <w:jc w:val="left"/>
              <w:rPr>
                <w:highlight w:val="yellow"/>
              </w:rPr>
            </w:pPr>
            <w:r w:rsidRPr="004C3C8F">
              <w:rPr>
                <w:b/>
                <w:bCs/>
                <w:lang w:val="en-GB" w:eastAsia="ja-JP"/>
              </w:rPr>
              <w:t>GMDN:</w:t>
            </w:r>
            <w:r>
              <w:rPr>
                <w:b/>
                <w:bCs/>
                <w:lang w:val="en-GB" w:eastAsia="ja-JP"/>
              </w:rPr>
              <w:t xml:space="preserve"> </w:t>
            </w:r>
            <w:r w:rsidRPr="00E93931">
              <w:rPr>
                <w:lang w:val="en-GB" w:eastAsia="ja-JP"/>
              </w:rPr>
              <w:t>60789 Intracardiac pacemaker</w:t>
            </w:r>
          </w:p>
        </w:tc>
        <w:tc>
          <w:tcPr>
            <w:tcW w:w="1597" w:type="pct"/>
            <w:shd w:val="clear" w:color="auto" w:fill="FFFFFF" w:themeFill="background1"/>
          </w:tcPr>
          <w:p w14:paraId="044DE1F6" w14:textId="249D860D" w:rsidR="00F8789A" w:rsidRPr="00AA71D6" w:rsidRDefault="00F8789A" w:rsidP="00327AC7">
            <w:pPr>
              <w:pStyle w:val="Tabletext0"/>
              <w:spacing w:before="0" w:after="0"/>
              <w:jc w:val="left"/>
              <w:rPr>
                <w:highlight w:val="yellow"/>
              </w:rPr>
            </w:pPr>
            <w:r w:rsidRPr="007C734F">
              <w:rPr>
                <w:lang w:val="en-GB" w:eastAsia="ja-JP"/>
              </w:rPr>
              <w:t xml:space="preserve">MR Conditional </w:t>
            </w:r>
            <w:r w:rsidR="00152FCB">
              <w:rPr>
                <w:lang w:val="en-GB" w:eastAsia="ja-JP"/>
              </w:rPr>
              <w:t>single-</w:t>
            </w:r>
            <w:r w:rsidRPr="007C734F">
              <w:rPr>
                <w:lang w:val="en-GB" w:eastAsia="ja-JP"/>
              </w:rPr>
              <w:t xml:space="preserve">chamber, transcatheter pacing system with </w:t>
            </w:r>
            <w:proofErr w:type="spellStart"/>
            <w:r w:rsidRPr="007C734F">
              <w:rPr>
                <w:lang w:val="en-GB" w:eastAsia="ja-JP"/>
              </w:rPr>
              <w:t>SureScan</w:t>
            </w:r>
            <w:proofErr w:type="spellEnd"/>
            <w:r w:rsidRPr="007C734F">
              <w:rPr>
                <w:lang w:val="en-GB" w:eastAsia="ja-JP"/>
              </w:rPr>
              <w:t xml:space="preserve"> technology is a programmable cardiac device that monitors and regulates the patient's heart rate by providing rate-responsive bradycardia pacing to the right ventricle and AV synchrony based on the mechanical sensing of atrial activity. The device senses both the electrical activity and the mechanical activity of the patient's heart using sensing and pacing electrodes and an accelerometer enclosed in a titanium capsule.</w:t>
            </w:r>
          </w:p>
        </w:tc>
        <w:tc>
          <w:tcPr>
            <w:tcW w:w="1597" w:type="pct"/>
            <w:shd w:val="clear" w:color="auto" w:fill="FFFFFF" w:themeFill="background1"/>
          </w:tcPr>
          <w:p w14:paraId="3AE24860" w14:textId="76D691A4" w:rsidR="00F8789A" w:rsidRDefault="00F8789A" w:rsidP="00327AC7">
            <w:pPr>
              <w:pStyle w:val="TableText"/>
              <w:spacing w:before="0" w:after="0"/>
              <w:rPr>
                <w:lang w:val="en-GB" w:eastAsia="ja-JP"/>
              </w:rPr>
            </w:pPr>
            <w:r w:rsidRPr="007C734F">
              <w:rPr>
                <w:lang w:val="en-GB" w:eastAsia="ja-JP"/>
              </w:rPr>
              <w:t>Transcatheter pacing systems are sterile, single use only, active implantable medical devices that are implanted in patients by healthcare professionals trained in cardiology. Transcatheter pacing systems are intended to improve cardiac output, prevent symptoms of and protect against arrhythmias related to cardiac impulse formation or conduction disorders by providing pacing therapy to the heart.</w:t>
            </w:r>
          </w:p>
          <w:p w14:paraId="15FF5296" w14:textId="31D6E5B1" w:rsidR="00F8789A" w:rsidRDefault="00F8789A" w:rsidP="00327AC7">
            <w:pPr>
              <w:pStyle w:val="TableText"/>
              <w:spacing w:before="0" w:after="0"/>
              <w:rPr>
                <w:lang w:val="en-GB" w:eastAsia="ja-JP"/>
              </w:rPr>
            </w:pPr>
            <w:r w:rsidRPr="007C734F">
              <w:rPr>
                <w:lang w:val="en-GB" w:eastAsia="ja-JP"/>
              </w:rPr>
              <w:t xml:space="preserve">Micra AV Model MC1AVR1 is indicated for </w:t>
            </w:r>
            <w:r w:rsidRPr="00C44F8A">
              <w:rPr>
                <w:lang w:val="en-GB" w:eastAsia="ja-JP"/>
              </w:rPr>
              <w:t>VDD</w:t>
            </w:r>
            <w:r w:rsidRPr="007C734F">
              <w:rPr>
                <w:lang w:val="en-GB" w:eastAsia="ja-JP"/>
              </w:rPr>
              <w:t xml:space="preserve"> pacing in patients </w:t>
            </w:r>
            <w:bookmarkStart w:id="8" w:name="_Hlk158298676"/>
            <w:r w:rsidRPr="007C734F">
              <w:rPr>
                <w:lang w:val="en-GB" w:eastAsia="ja-JP"/>
              </w:rPr>
              <w:t>when a dual</w:t>
            </w:r>
            <w:r w:rsidR="007019A8">
              <w:rPr>
                <w:lang w:val="en-GB" w:eastAsia="ja-JP"/>
              </w:rPr>
              <w:t>-</w:t>
            </w:r>
            <w:r w:rsidRPr="007C734F">
              <w:rPr>
                <w:lang w:val="en-GB" w:eastAsia="ja-JP"/>
              </w:rPr>
              <w:t>chamber transvenous pacing system is considered a poor option or not deemed necessary for effective therapy</w:t>
            </w:r>
            <w:bookmarkEnd w:id="8"/>
            <w:r w:rsidRPr="007C734F">
              <w:rPr>
                <w:lang w:val="en-GB" w:eastAsia="ja-JP"/>
              </w:rPr>
              <w:t>, and when a right ventricular transcatheter pacing system promoting AV synchrony at rest is acceptable. Conditions when a patient is considered a poor candidate for transvenous pacing may include, but are not limited to, tortuous anatomy, a need to preserve venous access, or increased risk of infection. The device provides AV synchrony at rest and rate</w:t>
            </w:r>
            <w:r w:rsidR="00233868">
              <w:rPr>
                <w:lang w:val="en-GB" w:eastAsia="ja-JP"/>
              </w:rPr>
              <w:t>-</w:t>
            </w:r>
            <w:r w:rsidRPr="007C734F">
              <w:rPr>
                <w:lang w:val="en-GB" w:eastAsia="ja-JP"/>
              </w:rPr>
              <w:t>responsive (VVIR) pacing during periods of high patient activity. Device-mediated AV synchrony can vary depending on patient condition and activity levels, and it can be limited at high sinus rates. During periods of intermittent AV synchrony, the device will provide ventricular pacing support with an increased potential for pacing rate variability. Micra AV Model MC1AVR1 is indicated for use in patients who have experienced one of the following:</w:t>
            </w:r>
          </w:p>
          <w:p w14:paraId="7F0FF172" w14:textId="1C367F9C" w:rsidR="00F8789A" w:rsidRDefault="004C2AE1" w:rsidP="00327AC7">
            <w:pPr>
              <w:pStyle w:val="TableText"/>
              <w:numPr>
                <w:ilvl w:val="0"/>
                <w:numId w:val="14"/>
              </w:numPr>
              <w:spacing w:before="0" w:after="0"/>
              <w:rPr>
                <w:lang w:val="en-GB" w:eastAsia="ja-JP"/>
              </w:rPr>
            </w:pPr>
            <w:r>
              <w:rPr>
                <w:lang w:val="en-GB" w:eastAsia="ja-JP"/>
              </w:rPr>
              <w:t>p</w:t>
            </w:r>
            <w:r w:rsidR="00F8789A" w:rsidRPr="007C734F">
              <w:rPr>
                <w:lang w:val="en-GB" w:eastAsia="ja-JP"/>
              </w:rPr>
              <w:t>aroxysmal or permanent high-grade AV block in the absence of AF</w:t>
            </w:r>
          </w:p>
          <w:p w14:paraId="21AEA205" w14:textId="71CA4202" w:rsidR="00F8789A" w:rsidRDefault="004C2AE1" w:rsidP="00327AC7">
            <w:pPr>
              <w:pStyle w:val="TableText"/>
              <w:numPr>
                <w:ilvl w:val="0"/>
                <w:numId w:val="14"/>
              </w:numPr>
              <w:spacing w:before="0" w:after="0"/>
              <w:rPr>
                <w:lang w:val="en-GB" w:eastAsia="ja-JP"/>
              </w:rPr>
            </w:pPr>
            <w:r>
              <w:rPr>
                <w:lang w:val="en-GB" w:eastAsia="ja-JP"/>
              </w:rPr>
              <w:t>p</w:t>
            </w:r>
            <w:r w:rsidR="00F8789A" w:rsidRPr="007C734F">
              <w:rPr>
                <w:lang w:val="en-GB" w:eastAsia="ja-JP"/>
              </w:rPr>
              <w:t>aroxysmal or permanent high-grade AV block in the presence of paroxysmal AF</w:t>
            </w:r>
          </w:p>
          <w:p w14:paraId="438A5A2E" w14:textId="77534BB9" w:rsidR="00F8789A" w:rsidRDefault="004C2AE1" w:rsidP="00327AC7">
            <w:pPr>
              <w:pStyle w:val="TableText"/>
              <w:numPr>
                <w:ilvl w:val="0"/>
                <w:numId w:val="14"/>
              </w:numPr>
              <w:spacing w:before="0" w:after="0"/>
              <w:rPr>
                <w:lang w:val="en-GB" w:eastAsia="ja-JP"/>
              </w:rPr>
            </w:pPr>
            <w:r>
              <w:rPr>
                <w:lang w:val="en-GB" w:eastAsia="ja-JP"/>
              </w:rPr>
              <w:t>p</w:t>
            </w:r>
            <w:r w:rsidR="00F8789A" w:rsidRPr="007C734F">
              <w:rPr>
                <w:lang w:val="en-GB" w:eastAsia="ja-JP"/>
              </w:rPr>
              <w:t>aroxysmal or permanent high-grade AV block in the presence of persistent AF when attempts at restoring sinus rhythm are still planned</w:t>
            </w:r>
            <w:r>
              <w:rPr>
                <w:lang w:val="en-GB" w:eastAsia="ja-JP"/>
              </w:rPr>
              <w:t>.</w:t>
            </w:r>
          </w:p>
          <w:p w14:paraId="2DB271AD" w14:textId="77777777" w:rsidR="00F8789A" w:rsidRPr="00AA71D6" w:rsidRDefault="00F8789A" w:rsidP="00327AC7">
            <w:pPr>
              <w:pStyle w:val="Tabletext0"/>
              <w:spacing w:before="0" w:after="0"/>
              <w:contextualSpacing/>
              <w:jc w:val="left"/>
              <w:rPr>
                <w:highlight w:val="yellow"/>
              </w:rPr>
            </w:pPr>
            <w:r w:rsidRPr="007C734F">
              <w:rPr>
                <w:lang w:val="en-GB" w:eastAsia="ja-JP"/>
              </w:rPr>
              <w:t>The device is designed to be used only in the right ventricle.</w:t>
            </w:r>
          </w:p>
        </w:tc>
      </w:tr>
      <w:tr w:rsidR="00F8789A" w:rsidRPr="00AA71D6" w14:paraId="7ACE953B" w14:textId="77777777" w:rsidTr="00327AC7">
        <w:trPr>
          <w:cantSplit/>
        </w:trPr>
        <w:tc>
          <w:tcPr>
            <w:tcW w:w="740" w:type="pct"/>
          </w:tcPr>
          <w:p w14:paraId="245A38F1" w14:textId="670313B7" w:rsidR="00F8789A" w:rsidRDefault="00F8789A" w:rsidP="00327AC7">
            <w:pPr>
              <w:pStyle w:val="TableText"/>
              <w:spacing w:before="0" w:after="0"/>
              <w:rPr>
                <w:lang w:val="en-GB" w:eastAsia="ja-JP"/>
              </w:rPr>
            </w:pPr>
            <w:r w:rsidRPr="005E1E56">
              <w:rPr>
                <w:lang w:val="en-GB" w:eastAsia="ja-JP"/>
              </w:rPr>
              <w:lastRenderedPageBreak/>
              <w:t>Micra AV</w:t>
            </w:r>
            <w:r>
              <w:rPr>
                <w:lang w:val="en-GB" w:eastAsia="ja-JP"/>
              </w:rPr>
              <w:t>2</w:t>
            </w:r>
            <w:r w:rsidRPr="005E1E56">
              <w:rPr>
                <w:lang w:val="en-GB" w:eastAsia="ja-JP"/>
              </w:rPr>
              <w:t xml:space="preserve"> MC</w:t>
            </w:r>
            <w:r>
              <w:rPr>
                <w:lang w:val="en-GB" w:eastAsia="ja-JP"/>
              </w:rPr>
              <w:t>2</w:t>
            </w:r>
            <w:r w:rsidRPr="005E1E56">
              <w:rPr>
                <w:lang w:val="en-GB" w:eastAsia="ja-JP"/>
              </w:rPr>
              <w:t>AVR1 Intracardiac pacemaker</w:t>
            </w:r>
          </w:p>
          <w:p w14:paraId="34474966" w14:textId="77777777" w:rsidR="00F8789A" w:rsidRPr="000E0E4C" w:rsidRDefault="00F8789A" w:rsidP="00327AC7">
            <w:pPr>
              <w:pStyle w:val="TableText"/>
              <w:keepNext/>
              <w:spacing w:before="0" w:after="0"/>
              <w:rPr>
                <w:lang w:val="en-GB" w:eastAsia="ja-JP"/>
              </w:rPr>
            </w:pPr>
            <w:r>
              <w:rPr>
                <w:lang w:val="en-GB" w:eastAsia="ja-JP"/>
              </w:rPr>
              <w:t>(</w:t>
            </w:r>
            <w:r w:rsidRPr="005E1E56">
              <w:rPr>
                <w:lang w:val="en-GB" w:eastAsia="ja-JP"/>
              </w:rPr>
              <w:t>Medtronic Australasia Pty Ltd</w:t>
            </w:r>
            <w:r>
              <w:rPr>
                <w:lang w:val="en-GB" w:eastAsia="ja-JP"/>
              </w:rPr>
              <w:t>)</w:t>
            </w:r>
          </w:p>
        </w:tc>
        <w:tc>
          <w:tcPr>
            <w:tcW w:w="1066" w:type="pct"/>
          </w:tcPr>
          <w:p w14:paraId="2DD78B59" w14:textId="77777777" w:rsidR="00F8789A" w:rsidRPr="00B838AA" w:rsidRDefault="00F8789A" w:rsidP="00327AC7">
            <w:pPr>
              <w:pStyle w:val="TableText"/>
              <w:spacing w:before="0" w:after="0"/>
              <w:rPr>
                <w:b/>
                <w:bCs/>
                <w:lang w:val="en-GB" w:eastAsia="ja-JP"/>
              </w:rPr>
            </w:pPr>
            <w:r w:rsidRPr="00B838AA">
              <w:rPr>
                <w:b/>
                <w:bCs/>
                <w:lang w:val="en-GB" w:eastAsia="ja-JP"/>
              </w:rPr>
              <w:t xml:space="preserve">ARTG ID: </w:t>
            </w:r>
            <w:r w:rsidRPr="00B838AA">
              <w:rPr>
                <w:lang w:eastAsia="ja-JP"/>
              </w:rPr>
              <w:t>455510</w:t>
            </w:r>
          </w:p>
          <w:p w14:paraId="41099F23" w14:textId="77777777" w:rsidR="00F8789A" w:rsidRPr="00B838AA" w:rsidRDefault="00F8789A" w:rsidP="00327AC7">
            <w:pPr>
              <w:pStyle w:val="TableText"/>
              <w:spacing w:before="0" w:after="0"/>
              <w:rPr>
                <w:lang w:val="en-GB" w:eastAsia="ja-JP"/>
              </w:rPr>
            </w:pPr>
            <w:r w:rsidRPr="00B838AA">
              <w:rPr>
                <w:b/>
                <w:bCs/>
                <w:lang w:val="en-GB" w:eastAsia="ja-JP"/>
              </w:rPr>
              <w:t xml:space="preserve">Start date: </w:t>
            </w:r>
            <w:r w:rsidRPr="00B838AA">
              <w:rPr>
                <w:lang w:eastAsia="ja-JP"/>
              </w:rPr>
              <w:t>17/07/2024</w:t>
            </w:r>
          </w:p>
          <w:p w14:paraId="6BBA0DD1" w14:textId="0A3FF271" w:rsidR="00F8789A" w:rsidRPr="00327AC7" w:rsidRDefault="00F8789A" w:rsidP="00327AC7">
            <w:pPr>
              <w:pStyle w:val="TableText"/>
              <w:spacing w:before="0" w:after="0"/>
              <w:rPr>
                <w:lang w:val="en-GB" w:eastAsia="ja-JP"/>
              </w:rPr>
            </w:pPr>
            <w:r w:rsidRPr="00556192">
              <w:rPr>
                <w:b/>
                <w:bCs/>
                <w:lang w:val="en-GB" w:eastAsia="ja-JP"/>
              </w:rPr>
              <w:t xml:space="preserve">Category: </w:t>
            </w:r>
            <w:r w:rsidRPr="00556192">
              <w:rPr>
                <w:lang w:val="en-GB" w:eastAsia="ja-JP"/>
              </w:rPr>
              <w:t>M</w:t>
            </w:r>
            <w:r w:rsidRPr="006B30E9">
              <w:rPr>
                <w:lang w:val="en-GB" w:eastAsia="ja-JP"/>
              </w:rPr>
              <w:t>edical Device Class III</w:t>
            </w:r>
            <w:r w:rsidRPr="00B838AA">
              <w:rPr>
                <w:b/>
                <w:bCs/>
                <w:lang w:val="en-GB" w:eastAsia="ja-JP"/>
              </w:rPr>
              <w:t xml:space="preserve"> GMDN: </w:t>
            </w:r>
            <w:r w:rsidRPr="00B838AA">
              <w:rPr>
                <w:lang w:val="en-GB" w:eastAsia="ja-JP"/>
              </w:rPr>
              <w:t>60789 Intracardiac pacemaker</w:t>
            </w:r>
          </w:p>
        </w:tc>
        <w:tc>
          <w:tcPr>
            <w:tcW w:w="1597" w:type="pct"/>
          </w:tcPr>
          <w:p w14:paraId="5BB0FC11" w14:textId="0E89338C" w:rsidR="00F8789A" w:rsidRPr="00D021B0" w:rsidRDefault="00F8789A" w:rsidP="00327AC7">
            <w:pPr>
              <w:pStyle w:val="Tabletext0"/>
              <w:keepNext/>
              <w:spacing w:before="0" w:after="0"/>
              <w:jc w:val="left"/>
              <w:rPr>
                <w:lang w:eastAsia="ja-JP"/>
              </w:rPr>
            </w:pPr>
            <w:r w:rsidRPr="4C0A0968">
              <w:t>MR Conditional dual</w:t>
            </w:r>
            <w:r w:rsidR="007019A8" w:rsidRPr="4C0A0968">
              <w:t>-</w:t>
            </w:r>
            <w:r w:rsidRPr="4C0A0968">
              <w:t xml:space="preserve">chamber, transcatheter pacing system with </w:t>
            </w:r>
            <w:proofErr w:type="spellStart"/>
            <w:r w:rsidRPr="4C0A0968">
              <w:t>SureScan</w:t>
            </w:r>
            <w:proofErr w:type="spellEnd"/>
            <w:r w:rsidRPr="4C0A0968">
              <w:t xml:space="preserve"> technology is a programmable cardiac device that monitors and regulates the patient's heart rate by providing rate-responsive bradycardia pacing to the right ventricle and AV synchrony based on the mechanical sensing of atrial activity. It senses both the electrical activity and the mechanical activity of the patient's heart using sensing and pacing electrodes and an accelerometer enclosed in a miniature titanium caps</w:t>
            </w:r>
            <w:r w:rsidR="0020103A" w:rsidRPr="4C0A0968">
              <w:t>ule</w:t>
            </w:r>
            <w:r w:rsidRPr="4C0A0968">
              <w:t>.</w:t>
            </w:r>
          </w:p>
        </w:tc>
        <w:tc>
          <w:tcPr>
            <w:tcW w:w="1597" w:type="pct"/>
          </w:tcPr>
          <w:p w14:paraId="2FC2FCCE" w14:textId="60B25755" w:rsidR="00F8789A" w:rsidRDefault="00F8789A" w:rsidP="00327AC7">
            <w:pPr>
              <w:pStyle w:val="Tabletext0"/>
              <w:keepNext/>
              <w:spacing w:before="0" w:after="0"/>
              <w:jc w:val="left"/>
              <w:rPr>
                <w:lang w:eastAsia="ja-JP"/>
              </w:rPr>
            </w:pPr>
            <w:r w:rsidRPr="4C0A0968">
              <w:rPr>
                <w:lang w:eastAsia="ja-JP"/>
              </w:rPr>
              <w:t>Micra AV2 Model MC2AVR1 is indicated for VDD pacing in patients when a dual</w:t>
            </w:r>
            <w:r w:rsidR="007019A8" w:rsidRPr="4C0A0968">
              <w:rPr>
                <w:lang w:eastAsia="ja-JP"/>
              </w:rPr>
              <w:t>-</w:t>
            </w:r>
            <w:r w:rsidRPr="4C0A0968">
              <w:rPr>
                <w:lang w:eastAsia="ja-JP"/>
              </w:rPr>
              <w:t>chamber transvenous pacing system is considered a poor option or not deemed necessary for effective therapy, and when a right ventricular transcatheter pacing system promoting AV synchrony at rest is acceptable. Conditions when a patient is considered a poor candidate for transvenous pacing may include, but are not limited to, tortuous anatomy, a need to preserve venous access, or increased risk of infection. The device provides AV synchrony at rest and rate</w:t>
            </w:r>
            <w:r w:rsidR="00233868" w:rsidRPr="4C0A0968">
              <w:rPr>
                <w:lang w:eastAsia="ja-JP"/>
              </w:rPr>
              <w:t>-</w:t>
            </w:r>
            <w:r w:rsidRPr="4C0A0968">
              <w:rPr>
                <w:lang w:eastAsia="ja-JP"/>
              </w:rPr>
              <w:t>responsive (VVIR) pacing during periods of high patient activity. Device-mediated AV synchrony can vary depending on patient condition and activity levels, and it can be limited at high sinus rates. During periods of intermittent AV synchrony, the device will provide ventricular pacing support with an increased potential for pacing rate variability. Micra AV2 is indicated for use in patients who have experienced one of the following:</w:t>
            </w:r>
          </w:p>
          <w:p w14:paraId="66694280" w14:textId="34CD426E" w:rsidR="00F8789A" w:rsidRPr="00DB00A8" w:rsidRDefault="00B1070A" w:rsidP="00327AC7">
            <w:pPr>
              <w:pStyle w:val="TableText"/>
              <w:numPr>
                <w:ilvl w:val="0"/>
                <w:numId w:val="14"/>
              </w:numPr>
              <w:spacing w:before="0" w:after="0"/>
              <w:rPr>
                <w:lang w:val="en-GB" w:eastAsia="ja-JP"/>
              </w:rPr>
            </w:pPr>
            <w:r>
              <w:rPr>
                <w:lang w:val="en-GB" w:eastAsia="ja-JP"/>
              </w:rPr>
              <w:t>p</w:t>
            </w:r>
            <w:r w:rsidR="00F8789A" w:rsidRPr="00DB00A8">
              <w:rPr>
                <w:lang w:val="en-GB" w:eastAsia="ja-JP"/>
              </w:rPr>
              <w:t xml:space="preserve">aroxysmal or permanent high-grade AV block in the absence of AF </w:t>
            </w:r>
          </w:p>
          <w:p w14:paraId="6F291644" w14:textId="18E6CA14" w:rsidR="00F8789A" w:rsidRPr="00DB00A8" w:rsidRDefault="00B1070A" w:rsidP="00327AC7">
            <w:pPr>
              <w:pStyle w:val="TableText"/>
              <w:numPr>
                <w:ilvl w:val="0"/>
                <w:numId w:val="14"/>
              </w:numPr>
              <w:spacing w:before="0" w:after="0"/>
              <w:rPr>
                <w:lang w:val="en-GB" w:eastAsia="ja-JP"/>
              </w:rPr>
            </w:pPr>
            <w:r>
              <w:rPr>
                <w:lang w:val="en-GB" w:eastAsia="ja-JP"/>
              </w:rPr>
              <w:t>p</w:t>
            </w:r>
            <w:r w:rsidR="00F8789A" w:rsidRPr="00DB00A8">
              <w:rPr>
                <w:lang w:val="en-GB" w:eastAsia="ja-JP"/>
              </w:rPr>
              <w:t>aroxysmal or permanent high-grade AV block in the presence of paroxysmal AF</w:t>
            </w:r>
          </w:p>
          <w:p w14:paraId="164832E1" w14:textId="68E31351" w:rsidR="00F8789A" w:rsidRPr="00DB00A8" w:rsidRDefault="00B1070A" w:rsidP="00327AC7">
            <w:pPr>
              <w:pStyle w:val="TableText"/>
              <w:numPr>
                <w:ilvl w:val="0"/>
                <w:numId w:val="14"/>
              </w:numPr>
              <w:spacing w:before="0" w:after="0"/>
              <w:rPr>
                <w:lang w:val="en-GB" w:eastAsia="ja-JP"/>
              </w:rPr>
            </w:pPr>
            <w:r>
              <w:rPr>
                <w:lang w:val="en-GB" w:eastAsia="ja-JP"/>
              </w:rPr>
              <w:t>p</w:t>
            </w:r>
            <w:r w:rsidR="00F8789A" w:rsidRPr="00DB00A8">
              <w:rPr>
                <w:lang w:val="en-GB" w:eastAsia="ja-JP"/>
              </w:rPr>
              <w:t>aroxysmal or permanent high-grade AV block in the presence of persistent AF when attempts at restoring sinus rhythm are still planned</w:t>
            </w:r>
            <w:r>
              <w:rPr>
                <w:lang w:val="en-GB" w:eastAsia="ja-JP"/>
              </w:rPr>
              <w:t>.</w:t>
            </w:r>
            <w:r w:rsidR="00F8789A" w:rsidRPr="00DB00A8">
              <w:rPr>
                <w:lang w:val="en-GB" w:eastAsia="ja-JP"/>
              </w:rPr>
              <w:t xml:space="preserve"> </w:t>
            </w:r>
          </w:p>
          <w:p w14:paraId="6AD4A519" w14:textId="77777777" w:rsidR="00F8789A" w:rsidRPr="00D021B0" w:rsidRDefault="00F8789A" w:rsidP="00327AC7">
            <w:pPr>
              <w:pStyle w:val="Tabletext0"/>
              <w:keepNext/>
              <w:spacing w:before="0" w:after="0"/>
              <w:jc w:val="left"/>
              <w:rPr>
                <w:lang w:val="en-GB" w:eastAsia="ja-JP"/>
              </w:rPr>
            </w:pPr>
            <w:r w:rsidRPr="00F24297">
              <w:rPr>
                <w:lang w:eastAsia="ja-JP"/>
              </w:rPr>
              <w:t>The device is designed to be used only in the right ventricle</w:t>
            </w:r>
            <w:r>
              <w:rPr>
                <w:lang w:eastAsia="ja-JP"/>
              </w:rPr>
              <w:t>.</w:t>
            </w:r>
          </w:p>
        </w:tc>
      </w:tr>
      <w:tr w:rsidR="00F8789A" w:rsidRPr="00AA71D6" w14:paraId="536EE14A" w14:textId="77777777" w:rsidTr="00327AC7">
        <w:trPr>
          <w:cantSplit/>
        </w:trPr>
        <w:tc>
          <w:tcPr>
            <w:tcW w:w="740" w:type="pct"/>
          </w:tcPr>
          <w:p w14:paraId="62400107" w14:textId="0CC11F76" w:rsidR="00F8789A" w:rsidRDefault="00F8789A" w:rsidP="00327AC7">
            <w:pPr>
              <w:pStyle w:val="TableText"/>
              <w:keepNext/>
              <w:spacing w:before="0" w:after="0"/>
              <w:rPr>
                <w:lang w:val="en-GB" w:eastAsia="ja-JP"/>
              </w:rPr>
            </w:pPr>
            <w:r w:rsidRPr="000E0E4C">
              <w:rPr>
                <w:lang w:val="en-GB" w:eastAsia="ja-JP"/>
              </w:rPr>
              <w:t>Micra Introducer Model MI2355A Cardiovascular device introducer,</w:t>
            </w:r>
            <w:r>
              <w:rPr>
                <w:lang w:val="en-GB" w:eastAsia="ja-JP"/>
              </w:rPr>
              <w:t xml:space="preserve"> </w:t>
            </w:r>
            <w:r w:rsidRPr="000E0E4C">
              <w:rPr>
                <w:lang w:val="en-GB" w:eastAsia="ja-JP"/>
              </w:rPr>
              <w:t>non-steerable</w:t>
            </w:r>
          </w:p>
          <w:p w14:paraId="4C74487A" w14:textId="77777777" w:rsidR="00F8789A" w:rsidRPr="00AA71D6" w:rsidRDefault="00F8789A" w:rsidP="00327AC7">
            <w:pPr>
              <w:pStyle w:val="Tabletext0"/>
              <w:keepNext/>
              <w:spacing w:before="0" w:after="0"/>
              <w:jc w:val="left"/>
              <w:rPr>
                <w:highlight w:val="yellow"/>
              </w:rPr>
            </w:pPr>
            <w:r>
              <w:rPr>
                <w:lang w:val="en-GB" w:eastAsia="ja-JP"/>
              </w:rPr>
              <w:t>(</w:t>
            </w:r>
            <w:r w:rsidRPr="00E75218">
              <w:rPr>
                <w:lang w:val="en-GB" w:eastAsia="ja-JP"/>
              </w:rPr>
              <w:t>Medtronic Australasia Pty Ltd</w:t>
            </w:r>
            <w:r>
              <w:rPr>
                <w:lang w:val="en-GB" w:eastAsia="ja-JP"/>
              </w:rPr>
              <w:t>)</w:t>
            </w:r>
          </w:p>
        </w:tc>
        <w:tc>
          <w:tcPr>
            <w:tcW w:w="1066" w:type="pct"/>
          </w:tcPr>
          <w:p w14:paraId="240D4F7B" w14:textId="77777777" w:rsidR="00F8789A" w:rsidRPr="00D021B0" w:rsidRDefault="00F8789A" w:rsidP="00327AC7">
            <w:pPr>
              <w:pStyle w:val="TableText"/>
              <w:keepNext/>
              <w:spacing w:before="0" w:after="0"/>
              <w:rPr>
                <w:b/>
                <w:bCs/>
                <w:lang w:val="en-GB" w:eastAsia="ja-JP"/>
              </w:rPr>
            </w:pPr>
            <w:r w:rsidRPr="00D021B0">
              <w:rPr>
                <w:b/>
                <w:bCs/>
                <w:lang w:val="en-GB" w:eastAsia="ja-JP"/>
              </w:rPr>
              <w:t xml:space="preserve">ARTG ID: </w:t>
            </w:r>
            <w:r w:rsidRPr="00D021B0">
              <w:rPr>
                <w:lang w:val="en-GB" w:eastAsia="ja-JP"/>
              </w:rPr>
              <w:t>221570</w:t>
            </w:r>
          </w:p>
          <w:p w14:paraId="2DAEEF63" w14:textId="77777777" w:rsidR="00F8789A" w:rsidRPr="00D021B0" w:rsidRDefault="00F8789A" w:rsidP="00327AC7">
            <w:pPr>
              <w:pStyle w:val="TableText"/>
              <w:keepNext/>
              <w:spacing w:before="0" w:after="0"/>
              <w:rPr>
                <w:lang w:val="en-GB" w:eastAsia="ja-JP"/>
              </w:rPr>
            </w:pPr>
            <w:r w:rsidRPr="00D021B0">
              <w:rPr>
                <w:b/>
                <w:bCs/>
                <w:lang w:val="en-GB" w:eastAsia="ja-JP"/>
              </w:rPr>
              <w:t xml:space="preserve">Start date: </w:t>
            </w:r>
            <w:r w:rsidRPr="00D021B0">
              <w:rPr>
                <w:lang w:val="en-GB" w:eastAsia="ja-JP"/>
              </w:rPr>
              <w:t>24/03/2014</w:t>
            </w:r>
          </w:p>
          <w:p w14:paraId="2B226A4E" w14:textId="77777777" w:rsidR="00F8789A" w:rsidRPr="00D021B0" w:rsidRDefault="00F8789A" w:rsidP="00327AC7">
            <w:pPr>
              <w:pStyle w:val="TableText"/>
              <w:keepNext/>
              <w:spacing w:before="0" w:after="0"/>
              <w:rPr>
                <w:lang w:val="en-GB" w:eastAsia="ja-JP"/>
              </w:rPr>
            </w:pPr>
            <w:r w:rsidRPr="00D021B0">
              <w:rPr>
                <w:b/>
                <w:bCs/>
                <w:lang w:val="en-GB" w:eastAsia="ja-JP"/>
              </w:rPr>
              <w:t xml:space="preserve">Category: </w:t>
            </w:r>
            <w:r w:rsidRPr="00D021B0">
              <w:rPr>
                <w:lang w:val="en-GB" w:eastAsia="ja-JP"/>
              </w:rPr>
              <w:t>Medical Device Class III</w:t>
            </w:r>
          </w:p>
          <w:p w14:paraId="6254F4CC" w14:textId="77777777" w:rsidR="00F8789A" w:rsidRPr="00D021B0" w:rsidRDefault="00F8789A" w:rsidP="00327AC7">
            <w:pPr>
              <w:pStyle w:val="Tabletext0"/>
              <w:keepNext/>
              <w:spacing w:before="0" w:after="0"/>
              <w:jc w:val="left"/>
            </w:pPr>
            <w:r w:rsidRPr="00D021B0">
              <w:rPr>
                <w:b/>
                <w:bCs/>
                <w:lang w:val="en-GB" w:eastAsia="ja-JP"/>
              </w:rPr>
              <w:t xml:space="preserve">GMDN: </w:t>
            </w:r>
            <w:r w:rsidRPr="00D021B0">
              <w:rPr>
                <w:lang w:val="en-GB" w:eastAsia="ja-JP"/>
              </w:rPr>
              <w:t>57941 Cardiovascular device introducer, non-steerable</w:t>
            </w:r>
          </w:p>
        </w:tc>
        <w:tc>
          <w:tcPr>
            <w:tcW w:w="1597" w:type="pct"/>
          </w:tcPr>
          <w:p w14:paraId="7040145E" w14:textId="325EB9AF" w:rsidR="00F8789A" w:rsidRPr="00D021B0" w:rsidRDefault="00F8789A" w:rsidP="00327AC7">
            <w:pPr>
              <w:pStyle w:val="Tabletext0"/>
              <w:keepNext/>
              <w:spacing w:before="0" w:after="0"/>
              <w:jc w:val="left"/>
            </w:pPr>
            <w:r w:rsidRPr="00D021B0">
              <w:rPr>
                <w:lang w:val="en-GB" w:eastAsia="ja-JP"/>
              </w:rPr>
              <w:t xml:space="preserve">The Micra introducer is a single-use, disposable, </w:t>
            </w:r>
            <w:proofErr w:type="spellStart"/>
            <w:r w:rsidRPr="00D021B0">
              <w:rPr>
                <w:lang w:val="en-GB" w:eastAsia="ja-JP"/>
              </w:rPr>
              <w:t>hydrophilically</w:t>
            </w:r>
            <w:proofErr w:type="spellEnd"/>
            <w:r w:rsidRPr="00D021B0">
              <w:rPr>
                <w:lang w:val="en-GB" w:eastAsia="ja-JP"/>
              </w:rPr>
              <w:t xml:space="preserve"> coated sheath that provides a flexible and haemostatic conduit for the insertion of intravascular devices into the venous system to minimi</w:t>
            </w:r>
            <w:r w:rsidR="00A847B3">
              <w:rPr>
                <w:lang w:val="en-GB" w:eastAsia="ja-JP"/>
              </w:rPr>
              <w:t>s</w:t>
            </w:r>
            <w:r w:rsidRPr="00D021B0">
              <w:rPr>
                <w:lang w:val="en-GB" w:eastAsia="ja-JP"/>
              </w:rPr>
              <w:t>e blood loss. The system is comprised of 2 components: a dilator that accommodates a guidewire and an introducer.</w:t>
            </w:r>
          </w:p>
        </w:tc>
        <w:tc>
          <w:tcPr>
            <w:tcW w:w="1597" w:type="pct"/>
          </w:tcPr>
          <w:p w14:paraId="655A4751" w14:textId="42CDAD74" w:rsidR="00F8789A" w:rsidRPr="00D021B0" w:rsidRDefault="00F8789A" w:rsidP="00327AC7">
            <w:pPr>
              <w:pStyle w:val="Tabletext0"/>
              <w:keepNext/>
              <w:spacing w:before="0" w:after="0"/>
              <w:jc w:val="left"/>
            </w:pPr>
            <w:r w:rsidRPr="00D021B0">
              <w:rPr>
                <w:lang w:val="en-GB" w:eastAsia="ja-JP"/>
              </w:rPr>
              <w:t>The Micra introducer is intended to provide a conduit for the insertion of devices into the venous system and to minimi</w:t>
            </w:r>
            <w:r w:rsidR="00A847B3">
              <w:rPr>
                <w:lang w:val="en-GB" w:eastAsia="ja-JP"/>
              </w:rPr>
              <w:t>s</w:t>
            </w:r>
            <w:r w:rsidRPr="00D021B0">
              <w:rPr>
                <w:lang w:val="en-GB" w:eastAsia="ja-JP"/>
              </w:rPr>
              <w:t>e blood loss associated with such insertions.</w:t>
            </w:r>
          </w:p>
        </w:tc>
      </w:tr>
    </w:tbl>
    <w:p w14:paraId="49F91C95" w14:textId="77777777" w:rsidR="00FA37CF" w:rsidRDefault="00555AB9" w:rsidP="001A0B71">
      <w:pPr>
        <w:pStyle w:val="Tablenotes"/>
        <w:spacing w:before="40" w:after="40"/>
        <w:rPr>
          <w:lang w:val="en-GB" w:eastAsia="ja-JP"/>
        </w:rPr>
      </w:pPr>
      <w:r w:rsidRPr="001A0B71">
        <w:rPr>
          <w:b/>
          <w:bCs/>
          <w:u w:val="single"/>
          <w:lang w:val="en-GB" w:eastAsia="ja-JP"/>
        </w:rPr>
        <w:t>Abbreviations</w:t>
      </w:r>
    </w:p>
    <w:p w14:paraId="5FC5BF2E" w14:textId="51C47E45" w:rsidR="00F8789A" w:rsidRPr="00642D04" w:rsidRDefault="00F8789A" w:rsidP="00F8789A">
      <w:pPr>
        <w:pStyle w:val="Tablenotes"/>
        <w:spacing w:after="0"/>
        <w:rPr>
          <w:lang w:val="en-GB" w:eastAsia="ja-JP"/>
        </w:rPr>
      </w:pPr>
      <w:r w:rsidRPr="001A0B71">
        <w:rPr>
          <w:b/>
          <w:lang w:val="en-GB"/>
        </w:rPr>
        <w:t>AF</w:t>
      </w:r>
      <w:r w:rsidR="00B81856">
        <w:rPr>
          <w:lang w:val="en-GB" w:eastAsia="ja-JP"/>
        </w:rPr>
        <w:t xml:space="preserve"> =</w:t>
      </w:r>
      <w:r>
        <w:rPr>
          <w:lang w:val="en-GB" w:eastAsia="ja-JP"/>
        </w:rPr>
        <w:t xml:space="preserve"> atrial fibrillation</w:t>
      </w:r>
      <w:r w:rsidR="00B81856">
        <w:rPr>
          <w:lang w:val="en-GB" w:eastAsia="ja-JP"/>
        </w:rPr>
        <w:t>,</w:t>
      </w:r>
      <w:r>
        <w:rPr>
          <w:lang w:val="en-GB" w:eastAsia="ja-JP"/>
        </w:rPr>
        <w:t xml:space="preserve"> </w:t>
      </w:r>
      <w:r w:rsidRPr="001A0B71">
        <w:rPr>
          <w:b/>
          <w:lang w:val="en-GB"/>
        </w:rPr>
        <w:t>ARTG</w:t>
      </w:r>
      <w:r w:rsidR="00B81856">
        <w:rPr>
          <w:lang w:val="en-GB" w:eastAsia="ja-JP"/>
        </w:rPr>
        <w:t xml:space="preserve"> =</w:t>
      </w:r>
      <w:r>
        <w:rPr>
          <w:lang w:val="en-GB" w:eastAsia="ja-JP"/>
        </w:rPr>
        <w:t xml:space="preserve"> </w:t>
      </w:r>
      <w:r w:rsidRPr="00972663">
        <w:rPr>
          <w:lang w:val="en-GB" w:eastAsia="ja-JP"/>
        </w:rPr>
        <w:t>Australian Register of Therapeutic Goods</w:t>
      </w:r>
      <w:r w:rsidR="00B81856">
        <w:rPr>
          <w:lang w:val="en-GB" w:eastAsia="ja-JP"/>
        </w:rPr>
        <w:t>,</w:t>
      </w:r>
      <w:r>
        <w:rPr>
          <w:lang w:val="en-GB" w:eastAsia="ja-JP"/>
        </w:rPr>
        <w:t xml:space="preserve"> </w:t>
      </w:r>
      <w:r w:rsidRPr="001A0B71">
        <w:rPr>
          <w:b/>
          <w:lang w:val="en-GB"/>
        </w:rPr>
        <w:t>AV</w:t>
      </w:r>
      <w:r w:rsidR="00B81856">
        <w:rPr>
          <w:lang w:val="en-GB" w:eastAsia="ja-JP"/>
        </w:rPr>
        <w:t xml:space="preserve"> =</w:t>
      </w:r>
      <w:r>
        <w:rPr>
          <w:lang w:val="en-GB" w:eastAsia="ja-JP"/>
        </w:rPr>
        <w:t xml:space="preserve"> atrioventricular</w:t>
      </w:r>
      <w:r w:rsidR="00B81856">
        <w:rPr>
          <w:lang w:val="en-GB" w:eastAsia="ja-JP"/>
        </w:rPr>
        <w:t>,</w:t>
      </w:r>
      <w:r>
        <w:rPr>
          <w:lang w:val="en-GB" w:eastAsia="ja-JP"/>
        </w:rPr>
        <w:t xml:space="preserve"> </w:t>
      </w:r>
      <w:r w:rsidRPr="001A0B71">
        <w:rPr>
          <w:b/>
          <w:lang w:val="en-GB"/>
        </w:rPr>
        <w:t>MR</w:t>
      </w:r>
      <w:r w:rsidR="00B81856">
        <w:rPr>
          <w:lang w:val="en-GB" w:eastAsia="ja-JP"/>
        </w:rPr>
        <w:t xml:space="preserve"> =</w:t>
      </w:r>
      <w:r>
        <w:rPr>
          <w:lang w:val="en-GB" w:eastAsia="ja-JP"/>
        </w:rPr>
        <w:t xml:space="preserve"> magnetic resonance.</w:t>
      </w:r>
    </w:p>
    <w:p w14:paraId="0BE49C9D" w14:textId="77777777" w:rsidR="00FA37CF" w:rsidRDefault="00F8789A" w:rsidP="001A0B71">
      <w:pPr>
        <w:pStyle w:val="Tablenotes"/>
        <w:spacing w:before="40" w:after="40"/>
        <w:rPr>
          <w:lang w:val="en-GB" w:eastAsia="ja-JP"/>
        </w:rPr>
      </w:pPr>
      <w:r w:rsidRPr="001A0B71">
        <w:rPr>
          <w:b/>
          <w:u w:val="single"/>
          <w:lang w:val="en-GB"/>
        </w:rPr>
        <w:t>Source</w:t>
      </w:r>
    </w:p>
    <w:p w14:paraId="404425BF" w14:textId="6F08EE5A" w:rsidR="00F8789A" w:rsidRPr="00E403D2" w:rsidRDefault="00F8789A" w:rsidP="00F8789A">
      <w:pPr>
        <w:pStyle w:val="Tablenotes"/>
        <w:rPr>
          <w:lang w:val="en-GB" w:eastAsia="ja-JP"/>
        </w:rPr>
      </w:pPr>
      <w:r>
        <w:rPr>
          <w:lang w:val="en-GB" w:eastAsia="ja-JP"/>
        </w:rPr>
        <w:t>ARTG Public Summary documents</w:t>
      </w:r>
      <w:r w:rsidRPr="00E403D2">
        <w:rPr>
          <w:lang w:val="en-GB" w:eastAsia="ja-JP"/>
        </w:rPr>
        <w:t>. Verified by assessment group on 13 November 2024.</w:t>
      </w:r>
    </w:p>
    <w:p w14:paraId="1168E8A8" w14:textId="3B803163" w:rsidR="00F8789A" w:rsidRPr="00D159C5" w:rsidRDefault="00F8789A" w:rsidP="003077D5">
      <w:pPr>
        <w:spacing w:before="240"/>
      </w:pPr>
      <w:r>
        <w:lastRenderedPageBreak/>
        <w:t>The Micra AV2 was listed on the ARTG in July 2024. It has a projected median longevity of 15.6</w:t>
      </w:r>
      <w:r w:rsidR="00327AC7">
        <w:t> </w:t>
      </w:r>
      <w:r>
        <w:t>years (44</w:t>
      </w:r>
      <w:r w:rsidR="00CC65B2">
        <w:t>%</w:t>
      </w:r>
      <w:r>
        <w:t xml:space="preserve"> longer than the Micra AV). It also features improved automatic AV synchrony at heart rates between 80 and 100 beats per minute (and an upper tracking limit of 135 beats per minute), more customisable settings that reduce the need for manual programming by 50% and a lower tip pressure from the catheter delivery system during implantation.</w:t>
      </w:r>
      <w:bookmarkStart w:id="9" w:name="_Ref183109837"/>
      <w:r>
        <w:rPr>
          <w:rStyle w:val="FootnoteReference"/>
        </w:rPr>
        <w:footnoteReference w:id="4"/>
      </w:r>
      <w:bookmarkEnd w:id="9"/>
      <w:r>
        <w:t xml:space="preserve"> The current MSAC application pertains to the Micra AV device, since the Micra AV2 was not included in the ARTG at the time of writing.</w:t>
      </w:r>
    </w:p>
    <w:p w14:paraId="00B22776" w14:textId="52D717E5" w:rsidR="00F8789A" w:rsidRDefault="00F8789A" w:rsidP="000A0B66">
      <w:r w:rsidRPr="4C0A0968">
        <w:t>The applicant specified some prerequisites for Micra AV use, including a proficiency in femoral venous access and large</w:t>
      </w:r>
      <w:r w:rsidR="003025F7" w:rsidRPr="4C0A0968">
        <w:t>-</w:t>
      </w:r>
      <w:r w:rsidRPr="4C0A0968">
        <w:t>bore catheter manipulation</w:t>
      </w:r>
      <w:r w:rsidR="00BB2E2B" w:rsidRPr="4C0A0968">
        <w:t>, as well as</w:t>
      </w:r>
      <w:r w:rsidRPr="4C0A0968">
        <w:t xml:space="preserve"> the completion of a dedicated training course (online modules and in-person, provided free of charge). Support by a Medtronic Micra technical expert is recommended for at least the first 10 implants.</w:t>
      </w:r>
    </w:p>
    <w:p w14:paraId="4DA096B5" w14:textId="001F294F" w:rsidR="00F8789A" w:rsidRDefault="00F8789A" w:rsidP="00F8789A">
      <w:r w:rsidRPr="4C0A0968">
        <w:t xml:space="preserve">The </w:t>
      </w:r>
      <w:proofErr w:type="spellStart"/>
      <w:r w:rsidRPr="4C0A0968">
        <w:t>Aveir</w:t>
      </w:r>
      <w:proofErr w:type="spellEnd"/>
      <w:r w:rsidRPr="4C0A0968">
        <w:t xml:space="preserve"> VR LPM (Abbott Medical Australia Pty Ltd) was listed on the ARTG on 10 October 2024 (ARTG ID: 464035), along with a retrieval catheter (ARTG ID: 464038) and a programming interface unit (ARTG ID: 464039). In June 2023, United States Food and Drug Administration </w:t>
      </w:r>
      <w:r w:rsidR="00601E00" w:rsidRPr="4C0A0968">
        <w:t xml:space="preserve">(U.S. FDA) </w:t>
      </w:r>
      <w:r w:rsidRPr="4C0A0968">
        <w:t>approved a dual</w:t>
      </w:r>
      <w:r w:rsidR="007019A8" w:rsidRPr="4C0A0968">
        <w:t>-</w:t>
      </w:r>
      <w:r w:rsidRPr="4C0A0968">
        <w:t xml:space="preserve">chamber LPM, the </w:t>
      </w:r>
      <w:proofErr w:type="spellStart"/>
      <w:r w:rsidRPr="4C0A0968">
        <w:t>Aveir</w:t>
      </w:r>
      <w:proofErr w:type="spellEnd"/>
      <w:r w:rsidRPr="4C0A0968">
        <w:t>™ DR Leadless System, developed by Abbott.</w:t>
      </w:r>
      <w:r w:rsidRPr="4C0A0968">
        <w:rPr>
          <w:rStyle w:val="FootnoteReference"/>
        </w:rPr>
        <w:footnoteReference w:id="5"/>
      </w:r>
      <w:r w:rsidRPr="4C0A0968">
        <w:t xml:space="preserve"> The system consists of </w:t>
      </w:r>
      <w:r w:rsidR="005F1699" w:rsidRPr="4C0A0968">
        <w:t xml:space="preserve">2 </w:t>
      </w:r>
      <w:r w:rsidRPr="4C0A0968">
        <w:t>percutaneously implanted devices</w:t>
      </w:r>
      <w:r w:rsidR="000C5192" w:rsidRPr="4C0A0968">
        <w:t>:</w:t>
      </w:r>
      <w:r w:rsidRPr="4C0A0968">
        <w:t xml:space="preserve"> the single-chamber AVEIR VR leadless pacemaker implanted in the right ventricle and the AVEIR AR single-chamber pacemaker implanted in the right atrium. No dual</w:t>
      </w:r>
      <w:r w:rsidR="007019A8" w:rsidRPr="4C0A0968">
        <w:t>-</w:t>
      </w:r>
      <w:r w:rsidRPr="4C0A0968">
        <w:t>chamber LPMs are currently available in Australia.</w:t>
      </w:r>
    </w:p>
    <w:p w14:paraId="44C3B242" w14:textId="354A8BA6" w:rsidR="00772829" w:rsidRPr="00CE28E3" w:rsidRDefault="00772829" w:rsidP="004167A0">
      <w:pPr>
        <w:pStyle w:val="Heading2"/>
        <w:numPr>
          <w:ilvl w:val="0"/>
          <w:numId w:val="27"/>
        </w:numPr>
        <w:ind w:hanging="720"/>
      </w:pPr>
      <w:r w:rsidRPr="00CE28E3">
        <w:t>Proposal for public funding</w:t>
      </w:r>
      <w:bookmarkEnd w:id="6"/>
    </w:p>
    <w:p w14:paraId="3E7444A7" w14:textId="68216C0E" w:rsidR="008C4388" w:rsidRDefault="007A38BF">
      <w:pPr>
        <w:spacing w:after="240"/>
      </w:pPr>
      <w:bookmarkStart w:id="10" w:name="_Toc69491419"/>
      <w:r w:rsidRPr="4C0A0968">
        <w:t xml:space="preserve">This </w:t>
      </w:r>
      <w:r w:rsidR="00BF5A39">
        <w:t xml:space="preserve">application is primarily </w:t>
      </w:r>
      <w:r w:rsidR="00664E51">
        <w:t>to request</w:t>
      </w:r>
      <w:r w:rsidR="002F5075" w:rsidRPr="4C0A0968">
        <w:t xml:space="preserve"> </w:t>
      </w:r>
      <w:r w:rsidRPr="4C0A0968">
        <w:t>listing of the Micr</w:t>
      </w:r>
      <w:r w:rsidR="00B0117B">
        <w:t>a</w:t>
      </w:r>
      <w:r w:rsidRPr="4C0A0968">
        <w:t xml:space="preserve"> AV on the Prescribed List of Medical Devices and Human Tissue Products (PL)</w:t>
      </w:r>
      <w:r w:rsidR="00100213" w:rsidRPr="00100213">
        <w:t xml:space="preserve"> </w:t>
      </w:r>
      <w:r w:rsidR="00100213" w:rsidRPr="0018045D">
        <w:t>via the Tier 3 full health technology assessment (HTA) pathway</w:t>
      </w:r>
      <w:r w:rsidR="0088122E">
        <w:t>, following MSAC consideration</w:t>
      </w:r>
      <w:r w:rsidRPr="4C0A0968">
        <w:t xml:space="preserve">. </w:t>
      </w:r>
    </w:p>
    <w:p w14:paraId="4BC88172" w14:textId="20E051CD" w:rsidR="008F17ED" w:rsidRDefault="008F17ED" w:rsidP="00F71EE2">
      <w:pPr>
        <w:spacing w:after="240"/>
      </w:pPr>
      <w:r w:rsidRPr="4C0A0968">
        <w:t xml:space="preserve">The proposed population is a subset of the population defined in the ARTG intended purpose for the Micra AV devices (see </w:t>
      </w:r>
      <w:r>
        <w:fldChar w:fldCharType="begin"/>
      </w:r>
      <w:r>
        <w:instrText xml:space="preserve"> REF _Ref186708997 \h </w:instrText>
      </w:r>
      <w:r>
        <w:fldChar w:fldCharType="separate"/>
      </w:r>
      <w:r w:rsidR="00D96B61" w:rsidRPr="4C0A0968">
        <w:t xml:space="preserve">Table </w:t>
      </w:r>
      <w:r w:rsidR="00D96B61" w:rsidRPr="4C0A0968">
        <w:rPr>
          <w:noProof/>
        </w:rPr>
        <w:t>1</w:t>
      </w:r>
      <w:r>
        <w:fldChar w:fldCharType="end"/>
      </w:r>
      <w:r w:rsidRPr="4C0A0968">
        <w:t>) and includes patients indicated for permanent pacing to treat bradycardia due to paroxysmal or permanent high-grade AV block who are in sinus rhythm. The following criteria also apply:</w:t>
      </w:r>
    </w:p>
    <w:p w14:paraId="661AD7F1" w14:textId="581FE444" w:rsidR="008F17ED" w:rsidRDefault="008F17ED" w:rsidP="004167A0">
      <w:pPr>
        <w:pStyle w:val="ListParagraph"/>
        <w:numPr>
          <w:ilvl w:val="0"/>
          <w:numId w:val="16"/>
        </w:numPr>
      </w:pPr>
      <w:r w:rsidRPr="4C0A0968">
        <w:t>A dual-chamber transvenous pacemaker (DC-TVPM) is considered a poor option (e.g. tortuous anatomy, a need to preserve venous access, increased risk of infection) or not deemed necessary for effective therapy.</w:t>
      </w:r>
    </w:p>
    <w:p w14:paraId="2EDB171D" w14:textId="5A84E908" w:rsidR="008F17ED" w:rsidRDefault="008F17ED" w:rsidP="004167A0">
      <w:pPr>
        <w:pStyle w:val="ListParagraph"/>
        <w:numPr>
          <w:ilvl w:val="0"/>
          <w:numId w:val="16"/>
        </w:numPr>
      </w:pPr>
      <w:r w:rsidRPr="4C0A0968">
        <w:t>A right ventricular transcatheter pacing system promoting AV synchrony at rest is acceptable (i.e. atrial pacing or close to 100% AV synchronicity is not required).</w:t>
      </w:r>
    </w:p>
    <w:p w14:paraId="26126FDB" w14:textId="0C1E2DE4" w:rsidR="008F17ED" w:rsidRDefault="008F17ED" w:rsidP="008F17ED">
      <w:r w:rsidRPr="4C0A0968">
        <w:t xml:space="preserve">The Micra AV is a permanent single-chamber implantable transcatheter LPM that is inserted via the femoral vein and implanted directly into the right ventricular myocardium, negating the need for transvenous wires. The device monitors the electrical and mechanical activity of the patient’s heart (atrium and ventricle) and provides rate-responsive AV synchronous pacing to the right ventricle in response to bradycardia. Mechanical activity in the atrium is sensed by an internal </w:t>
      </w:r>
      <w:r w:rsidR="006B03EB">
        <w:br/>
      </w:r>
      <w:r w:rsidR="00FD7CEA" w:rsidRPr="4C0A0968">
        <w:t>3</w:t>
      </w:r>
      <w:r w:rsidRPr="4C0A0968">
        <w:t xml:space="preserve">-axis accelerometer. </w:t>
      </w:r>
      <w:proofErr w:type="gramStart"/>
      <w:r w:rsidRPr="4C0A0968">
        <w:t>Similar to</w:t>
      </w:r>
      <w:proofErr w:type="gramEnd"/>
      <w:r w:rsidRPr="4C0A0968">
        <w:t xml:space="preserve"> transvenous pacemakers, the Micra VR TPS has traditional remote monitoring capabilities (via a physical monitor), although it is not capable of Bluetooth® monitoring (via a mobile app) due to its small size (25.9 mm long and 6.7 mm diameter). A </w:t>
      </w:r>
      <w:r w:rsidRPr="4C0A0968">
        <w:lastRenderedPageBreak/>
        <w:t>generic Medtronic cardiac device programmer (provided free of charge) is used to program the device.</w:t>
      </w:r>
      <w:r w:rsidRPr="4C0A0968">
        <w:rPr>
          <w:rStyle w:val="FootnoteReference"/>
        </w:rPr>
        <w:footnoteReference w:id="6"/>
      </w:r>
      <w:r w:rsidRPr="4C0A0968">
        <w:t xml:space="preserve"> The Micra AV is not intended to be removed at the end of its service life but remains in situ, and either a new LPM is inserted in the right </w:t>
      </w:r>
      <w:proofErr w:type="gramStart"/>
      <w:r w:rsidRPr="4C0A0968">
        <w:t>ventricle</w:t>
      </w:r>
      <w:proofErr w:type="gramEnd"/>
      <w:r w:rsidRPr="4C0A0968">
        <w:t xml:space="preserve"> or an alternative pacing approach is used.</w:t>
      </w:r>
    </w:p>
    <w:p w14:paraId="1D006E74" w14:textId="7F0E39AA" w:rsidR="00D96417" w:rsidRDefault="00D96417" w:rsidP="008F17ED">
      <w:r>
        <w:t xml:space="preserve">This application is also </w:t>
      </w:r>
      <w:r w:rsidRPr="4C0A0968">
        <w:t xml:space="preserve">requesting a new Medicare Benefits Schedule (MBS) </w:t>
      </w:r>
      <w:r w:rsidR="00BF5A39">
        <w:t>item</w:t>
      </w:r>
      <w:r w:rsidRPr="4C0A0968">
        <w:t xml:space="preserve"> for the insertion of a single-chamber leadless pacemaker (LPM) with atrioventricular (AV) synchronous pacing (Micra™ AV) for patients with bradycardia due to AV block who are in sinus rhythm</w:t>
      </w:r>
      <w:r>
        <w:t>.</w:t>
      </w:r>
    </w:p>
    <w:p w14:paraId="2C59E081" w14:textId="77777777" w:rsidR="008F17ED" w:rsidRPr="00F32CE0" w:rsidRDefault="008F17ED" w:rsidP="008F17ED">
      <w:pPr>
        <w:jc w:val="both"/>
      </w:pPr>
      <w:r w:rsidRPr="00F32CE0">
        <w:t xml:space="preserve">The following existing MBS items </w:t>
      </w:r>
      <w:r>
        <w:t>can be</w:t>
      </w:r>
      <w:r w:rsidRPr="00F32CE0">
        <w:t xml:space="preserve"> used to claim </w:t>
      </w:r>
      <w:r>
        <w:t>for services associated with the Micra AV device</w:t>
      </w:r>
      <w:r w:rsidRPr="00F32CE0">
        <w:t>:</w:t>
      </w:r>
    </w:p>
    <w:p w14:paraId="0F067455" w14:textId="77777777" w:rsidR="008F17ED" w:rsidRPr="003C194C" w:rsidRDefault="008F17ED" w:rsidP="004167A0">
      <w:pPr>
        <w:pStyle w:val="ListParagraph"/>
        <w:numPr>
          <w:ilvl w:val="0"/>
          <w:numId w:val="15"/>
        </w:numPr>
      </w:pPr>
      <w:r w:rsidRPr="003C194C">
        <w:t>MBS item 383</w:t>
      </w:r>
      <w:r>
        <w:t>73</w:t>
      </w:r>
      <w:r w:rsidRPr="003C194C">
        <w:t xml:space="preserve">, for </w:t>
      </w:r>
      <w:r>
        <w:t>percutaneous retrieval and</w:t>
      </w:r>
      <w:r w:rsidRPr="003C194C">
        <w:t xml:space="preserve"> replacement of a </w:t>
      </w:r>
      <w:r w:rsidRPr="00196AEF">
        <w:rPr>
          <w:lang w:val="en-US" w:eastAsia="ja-JP"/>
        </w:rPr>
        <w:t>single</w:t>
      </w:r>
      <w:r w:rsidRPr="00196AEF">
        <w:rPr>
          <w:rFonts w:ascii="Cambria Math" w:hAnsi="Cambria Math" w:cs="Cambria Math"/>
          <w:lang w:val="en-US" w:eastAsia="ja-JP"/>
        </w:rPr>
        <w:t>‑</w:t>
      </w:r>
      <w:r w:rsidRPr="00196AEF">
        <w:rPr>
          <w:lang w:val="en-US" w:eastAsia="ja-JP"/>
        </w:rPr>
        <w:t>chamber ventricular</w:t>
      </w:r>
      <w:r w:rsidRPr="006679B4">
        <w:rPr>
          <w:lang w:val="en-US" w:eastAsia="ja-JP"/>
        </w:rPr>
        <w:t xml:space="preserve"> </w:t>
      </w:r>
      <w:r>
        <w:rPr>
          <w:lang w:val="en-US" w:eastAsia="ja-JP"/>
        </w:rPr>
        <w:t>LPM</w:t>
      </w:r>
      <w:r w:rsidRPr="003C194C">
        <w:t xml:space="preserve">. </w:t>
      </w:r>
    </w:p>
    <w:p w14:paraId="05A98E97" w14:textId="77777777" w:rsidR="008F17ED" w:rsidRPr="00BE320F" w:rsidRDefault="008F17ED" w:rsidP="004167A0">
      <w:pPr>
        <w:pStyle w:val="ListParagraph"/>
        <w:numPr>
          <w:ilvl w:val="0"/>
          <w:numId w:val="15"/>
        </w:numPr>
        <w:jc w:val="both"/>
      </w:pPr>
      <w:r w:rsidRPr="00BE320F">
        <w:t xml:space="preserve">MBS item </w:t>
      </w:r>
      <w:r w:rsidRPr="003C194C">
        <w:t>383</w:t>
      </w:r>
      <w:r>
        <w:t>74</w:t>
      </w:r>
      <w:r w:rsidRPr="00BE320F">
        <w:t xml:space="preserve"> for </w:t>
      </w:r>
      <w:r>
        <w:t xml:space="preserve">percutaneous retrieval </w:t>
      </w:r>
      <w:r w:rsidRPr="003C194C">
        <w:t xml:space="preserve">of a </w:t>
      </w:r>
      <w:r w:rsidRPr="00196AEF">
        <w:rPr>
          <w:lang w:val="en-US" w:eastAsia="ja-JP"/>
        </w:rPr>
        <w:t>single</w:t>
      </w:r>
      <w:r w:rsidRPr="00196AEF">
        <w:rPr>
          <w:rFonts w:ascii="Cambria Math" w:hAnsi="Cambria Math" w:cs="Cambria Math"/>
          <w:lang w:val="en-US" w:eastAsia="ja-JP"/>
        </w:rPr>
        <w:t>‑</w:t>
      </w:r>
      <w:r w:rsidRPr="00196AEF">
        <w:rPr>
          <w:lang w:val="en-US" w:eastAsia="ja-JP"/>
        </w:rPr>
        <w:t>chamber ventricular</w:t>
      </w:r>
      <w:r w:rsidRPr="006679B4">
        <w:rPr>
          <w:lang w:val="en-US" w:eastAsia="ja-JP"/>
        </w:rPr>
        <w:t xml:space="preserve"> </w:t>
      </w:r>
      <w:r>
        <w:rPr>
          <w:lang w:val="en-US" w:eastAsia="ja-JP"/>
        </w:rPr>
        <w:t>LPM</w:t>
      </w:r>
      <w:r w:rsidRPr="00BE320F">
        <w:t>.</w:t>
      </w:r>
    </w:p>
    <w:p w14:paraId="54CFE2B0" w14:textId="1A35F518" w:rsidR="008F17ED" w:rsidRPr="00BE320F" w:rsidRDefault="008F17ED" w:rsidP="004167A0">
      <w:pPr>
        <w:pStyle w:val="ListParagraph"/>
        <w:numPr>
          <w:ilvl w:val="0"/>
          <w:numId w:val="15"/>
        </w:numPr>
        <w:jc w:val="both"/>
      </w:pPr>
      <w:r w:rsidRPr="00BE320F">
        <w:t>MBS item 383</w:t>
      </w:r>
      <w:r>
        <w:t>75</w:t>
      </w:r>
      <w:r w:rsidRPr="00BE320F">
        <w:t xml:space="preserve"> for </w:t>
      </w:r>
      <w:r>
        <w:t>removal of a</w:t>
      </w:r>
      <w:r w:rsidRPr="003C194C">
        <w:t xml:space="preserve"> </w:t>
      </w:r>
      <w:r w:rsidRPr="00196AEF">
        <w:rPr>
          <w:lang w:val="en-US" w:eastAsia="ja-JP"/>
        </w:rPr>
        <w:t>single</w:t>
      </w:r>
      <w:r w:rsidRPr="00196AEF">
        <w:rPr>
          <w:rFonts w:ascii="Cambria Math" w:hAnsi="Cambria Math" w:cs="Cambria Math"/>
          <w:lang w:val="en-US" w:eastAsia="ja-JP"/>
        </w:rPr>
        <w:t>‑</w:t>
      </w:r>
      <w:r w:rsidRPr="00196AEF">
        <w:rPr>
          <w:lang w:val="en-US" w:eastAsia="ja-JP"/>
        </w:rPr>
        <w:t>chamber ventricular</w:t>
      </w:r>
      <w:r w:rsidRPr="006679B4">
        <w:rPr>
          <w:lang w:val="en-US" w:eastAsia="ja-JP"/>
        </w:rPr>
        <w:t xml:space="preserve"> </w:t>
      </w:r>
      <w:r w:rsidR="00CE6A75">
        <w:rPr>
          <w:lang w:val="en-US" w:eastAsia="ja-JP"/>
        </w:rPr>
        <w:t xml:space="preserve">LPM </w:t>
      </w:r>
      <w:r>
        <w:rPr>
          <w:lang w:val="en-US" w:eastAsia="ja-JP"/>
        </w:rPr>
        <w:t>by open surgical approach</w:t>
      </w:r>
      <w:r w:rsidRPr="00BE320F">
        <w:t>.</w:t>
      </w:r>
    </w:p>
    <w:p w14:paraId="418A64F0" w14:textId="2E004B3D" w:rsidR="00A4545E" w:rsidRPr="00B86223" w:rsidRDefault="008F17ED" w:rsidP="00B86223">
      <w:r w:rsidRPr="007406D8">
        <w:t>The applicant proposed an additional MBS item for</w:t>
      </w:r>
      <w:r w:rsidRPr="007406D8">
        <w:rPr>
          <w:lang w:val="en-US" w:eastAsia="ja-JP"/>
        </w:rPr>
        <w:t xml:space="preserve"> percutaneous insertion of</w:t>
      </w:r>
      <w:r w:rsidRPr="007406D8">
        <w:t xml:space="preserve"> the Micra AV device </w:t>
      </w:r>
      <w:r>
        <w:t>at the same fee as for MBS item 38372 (percutaneous insertion</w:t>
      </w:r>
      <w:r w:rsidRPr="003C194C">
        <w:t xml:space="preserve"> of a </w:t>
      </w:r>
      <w:r w:rsidRPr="00196AEF">
        <w:rPr>
          <w:lang w:val="en-US" w:eastAsia="ja-JP"/>
        </w:rPr>
        <w:t>single</w:t>
      </w:r>
      <w:r w:rsidRPr="00196AEF">
        <w:rPr>
          <w:rFonts w:ascii="Cambria Math" w:hAnsi="Cambria Math" w:cs="Cambria Math"/>
          <w:lang w:val="en-US" w:eastAsia="ja-JP"/>
        </w:rPr>
        <w:t>‑</w:t>
      </w:r>
      <w:r w:rsidRPr="00196AEF">
        <w:rPr>
          <w:lang w:val="en-US" w:eastAsia="ja-JP"/>
        </w:rPr>
        <w:t>chamber ventricular</w:t>
      </w:r>
      <w:r w:rsidRPr="006679B4">
        <w:rPr>
          <w:lang w:val="en-US" w:eastAsia="ja-JP"/>
        </w:rPr>
        <w:t xml:space="preserve"> </w:t>
      </w:r>
      <w:r>
        <w:rPr>
          <w:lang w:val="en-US" w:eastAsia="ja-JP"/>
        </w:rPr>
        <w:t>LPM)</w:t>
      </w:r>
      <w:r w:rsidRPr="007406D8">
        <w:t xml:space="preserve"> (see </w:t>
      </w:r>
      <w:r w:rsidR="00A2111F">
        <w:fldChar w:fldCharType="begin"/>
      </w:r>
      <w:r w:rsidR="00A2111F">
        <w:instrText xml:space="preserve"> REF _Ref186709092 \h </w:instrText>
      </w:r>
      <w:r w:rsidR="00A2111F">
        <w:fldChar w:fldCharType="separate"/>
      </w:r>
      <w:r w:rsidR="00D96B61">
        <w:t xml:space="preserve">Table </w:t>
      </w:r>
      <w:r w:rsidR="00D96B61">
        <w:rPr>
          <w:noProof/>
        </w:rPr>
        <w:t>2</w:t>
      </w:r>
      <w:r w:rsidR="00A2111F">
        <w:fldChar w:fldCharType="end"/>
      </w:r>
      <w:r w:rsidRPr="007406D8">
        <w:t>).</w:t>
      </w:r>
      <w:r>
        <w:t xml:space="preserve"> The explanatory note for the item specifically indicates the patients for whom the device is not recommended, in accordance with the Micra AV device manual and examples stipulated by </w:t>
      </w:r>
      <w:r w:rsidR="009D2714">
        <w:t xml:space="preserve">the </w:t>
      </w:r>
      <w:r w:rsidR="009D2714" w:rsidRPr="009D2714">
        <w:t xml:space="preserve">PICO Advisory Sub-committee </w:t>
      </w:r>
      <w:r w:rsidR="009D2714">
        <w:t>(</w:t>
      </w:r>
      <w:r w:rsidRPr="001C1628">
        <w:t>PASC</w:t>
      </w:r>
      <w:r w:rsidR="009D2714">
        <w:t>)</w:t>
      </w:r>
      <w:r>
        <w:t>.</w:t>
      </w:r>
      <w:r w:rsidR="00B86223">
        <w:t xml:space="preserve"> </w:t>
      </w:r>
      <w:r w:rsidR="00A4545E" w:rsidRPr="5D4650BD">
        <w:rPr>
          <w:rFonts w:eastAsia="Franklin Gothic Book" w:cs="Franklin Gothic Book"/>
        </w:rPr>
        <w:t xml:space="preserve">However, </w:t>
      </w:r>
      <w:r w:rsidR="00B86223">
        <w:rPr>
          <w:rFonts w:eastAsia="Franklin Gothic Book" w:cs="Franklin Gothic Book"/>
        </w:rPr>
        <w:t>it should be noted that</w:t>
      </w:r>
      <w:r w:rsidR="00A4545E" w:rsidRPr="5D4650BD">
        <w:rPr>
          <w:rFonts w:eastAsia="Franklin Gothic Book" w:cs="Franklin Gothic Book"/>
        </w:rPr>
        <w:t xml:space="preserve"> MBS item 38372, as it is currently worded, can still be used for insertion of an LPM with AV pacing in patients: </w:t>
      </w:r>
      <w:r w:rsidR="00C01E4A">
        <w:rPr>
          <w:rFonts w:eastAsia="Franklin Gothic Book" w:cs="Franklin Gothic Book"/>
        </w:rPr>
        <w:t>‘</w:t>
      </w:r>
      <w:r w:rsidR="00A4545E" w:rsidRPr="5D4650BD">
        <w:rPr>
          <w:rFonts w:eastAsia="Franklin Gothic Book" w:cs="Franklin Gothic Book"/>
        </w:rPr>
        <w:t xml:space="preserve">Leadless permanent cardiac pacemaker, single-chamber ventricular, percutaneous insertion of, for the treatment of bradycardia, including cardiac electrophysiological </w:t>
      </w:r>
      <w:proofErr w:type="gramStart"/>
      <w:r w:rsidR="00A4545E" w:rsidRPr="5D4650BD">
        <w:rPr>
          <w:rFonts w:eastAsia="Franklin Gothic Book" w:cs="Franklin Gothic Book"/>
        </w:rPr>
        <w:t>services</w:t>
      </w:r>
      <w:r w:rsidR="00C01E4A">
        <w:rPr>
          <w:rFonts w:eastAsia="Franklin Gothic Book" w:cs="Franklin Gothic Book"/>
        </w:rPr>
        <w:t>’</w:t>
      </w:r>
      <w:proofErr w:type="gramEnd"/>
      <w:r w:rsidR="00A4545E" w:rsidRPr="5D4650BD">
        <w:rPr>
          <w:rFonts w:eastAsia="Franklin Gothic Book" w:cs="Franklin Gothic Book"/>
        </w:rPr>
        <w:t xml:space="preserve">. Therefore, </w:t>
      </w:r>
      <w:r w:rsidR="00136867" w:rsidRPr="5D4650BD">
        <w:rPr>
          <w:rFonts w:eastAsia="Franklin Gothic Book" w:cs="Franklin Gothic Book"/>
        </w:rPr>
        <w:t>to avoid leakage</w:t>
      </w:r>
      <w:r w:rsidR="00C01E4A">
        <w:rPr>
          <w:rFonts w:eastAsia="Franklin Gothic Book" w:cs="Franklin Gothic Book"/>
        </w:rPr>
        <w:t>,</w:t>
      </w:r>
      <w:r w:rsidR="00136867" w:rsidRPr="5D4650BD">
        <w:rPr>
          <w:rFonts w:eastAsia="Franklin Gothic Book" w:cs="Franklin Gothic Book"/>
        </w:rPr>
        <w:t xml:space="preserve"> </w:t>
      </w:r>
      <w:r w:rsidR="00A4545E" w:rsidRPr="5D4650BD">
        <w:rPr>
          <w:rFonts w:eastAsia="Franklin Gothic Book" w:cs="Franklin Gothic Book"/>
        </w:rPr>
        <w:t xml:space="preserve">MBS item 38372 will need to be amended to limit its use to patients indicated for a LPM with ventricular pacing only. </w:t>
      </w:r>
    </w:p>
    <w:p w14:paraId="1B3C779C" w14:textId="03D9B02E" w:rsidR="00A2111F" w:rsidRPr="00F71EE2" w:rsidRDefault="00A2111F" w:rsidP="009C553D">
      <w:pPr>
        <w:pStyle w:val="Caption"/>
        <w:rPr>
          <w:i/>
        </w:rPr>
      </w:pPr>
      <w:bookmarkStart w:id="11" w:name="_Ref186709092"/>
      <w:r>
        <w:lastRenderedPageBreak/>
        <w:t xml:space="preserve">Table </w:t>
      </w:r>
      <w:r w:rsidR="00B00A5A">
        <w:fldChar w:fldCharType="begin"/>
      </w:r>
      <w:r w:rsidR="00B00A5A">
        <w:instrText xml:space="preserve"> SEQ Table \* ARABIC </w:instrText>
      </w:r>
      <w:r w:rsidR="00B00A5A">
        <w:fldChar w:fldCharType="separate"/>
      </w:r>
      <w:r w:rsidR="00B00A5A">
        <w:rPr>
          <w:noProof/>
        </w:rPr>
        <w:t>2</w:t>
      </w:r>
      <w:r w:rsidR="00B00A5A">
        <w:rPr>
          <w:noProof/>
        </w:rPr>
        <w:fldChar w:fldCharType="end"/>
      </w:r>
      <w:bookmarkEnd w:id="11"/>
      <w:r>
        <w:tab/>
        <w:t>P</w:t>
      </w:r>
      <w:r w:rsidRPr="002A3541">
        <w:t>roposed MBS item</w:t>
      </w:r>
      <w:r>
        <w:t>s</w:t>
      </w:r>
      <w:r w:rsidR="00C46E92">
        <w:t xml:space="preserve"> </w:t>
      </w:r>
      <w:r w:rsidR="00F56856" w:rsidRPr="00401B0A">
        <w:rPr>
          <w:i/>
          <w:iCs/>
          <w:color w:val="ED0000"/>
        </w:rPr>
        <w:t>with ESC proposed amendments</w:t>
      </w:r>
    </w:p>
    <w:tbl>
      <w:tblPr>
        <w:tblStyle w:val="TableGrid"/>
        <w:tblW w:w="0" w:type="auto"/>
        <w:tblLook w:val="04A0" w:firstRow="1" w:lastRow="0" w:firstColumn="1" w:lastColumn="0" w:noHBand="0" w:noVBand="1"/>
        <w:tblCaption w:val="Proposed item descriptor for diagnostic testing"/>
        <w:tblDescription w:val="Proposed item descriptor for diagnostic testing"/>
      </w:tblPr>
      <w:tblGrid>
        <w:gridCol w:w="9016"/>
      </w:tblGrid>
      <w:tr w:rsidR="008F17ED" w:rsidRPr="0001290C" w14:paraId="5E285BA0" w14:textId="77777777" w:rsidTr="5D4650BD">
        <w:trPr>
          <w:cantSplit/>
          <w:trHeight w:val="350"/>
          <w:tblHeader/>
        </w:trPr>
        <w:tc>
          <w:tcPr>
            <w:tcW w:w="9016" w:type="dxa"/>
          </w:tcPr>
          <w:p w14:paraId="3CF64294" w14:textId="77777777" w:rsidR="008F17ED" w:rsidRPr="00022182" w:rsidRDefault="008F17ED" w:rsidP="00F06258">
            <w:pPr>
              <w:pStyle w:val="Tabletext0"/>
              <w:jc w:val="left"/>
              <w:rPr>
                <w:b/>
                <w:bCs/>
              </w:rPr>
            </w:pPr>
            <w:r w:rsidRPr="00022182">
              <w:rPr>
                <w:b/>
                <w:bCs/>
              </w:rPr>
              <w:t>Category 3 – THERAPEUTIC PROCEDURES</w:t>
            </w:r>
          </w:p>
          <w:p w14:paraId="4E65019B" w14:textId="496BB956" w:rsidR="008F17ED" w:rsidRPr="00022182" w:rsidRDefault="008F17ED" w:rsidP="00F06258">
            <w:pPr>
              <w:pStyle w:val="Tabletext0"/>
              <w:jc w:val="left"/>
              <w:rPr>
                <w:b/>
                <w:bCs/>
              </w:rPr>
            </w:pPr>
            <w:r w:rsidRPr="00022182">
              <w:rPr>
                <w:b/>
                <w:bCs/>
              </w:rPr>
              <w:t xml:space="preserve">Group T8 </w:t>
            </w:r>
            <w:r w:rsidR="003C0E0B">
              <w:rPr>
                <w:b/>
                <w:bCs/>
              </w:rPr>
              <w:t>–</w:t>
            </w:r>
            <w:r w:rsidRPr="00022182">
              <w:rPr>
                <w:b/>
                <w:bCs/>
              </w:rPr>
              <w:t xml:space="preserve"> Surgical Operations</w:t>
            </w:r>
          </w:p>
          <w:p w14:paraId="13FB68FC" w14:textId="44B1F873" w:rsidR="008F17ED" w:rsidRPr="00022182" w:rsidRDefault="008F17ED" w:rsidP="00F06258">
            <w:pPr>
              <w:pStyle w:val="Tabletext0"/>
              <w:jc w:val="left"/>
              <w:rPr>
                <w:b/>
                <w:bCs/>
              </w:rPr>
            </w:pPr>
            <w:r w:rsidRPr="00022182">
              <w:rPr>
                <w:b/>
                <w:bCs/>
              </w:rPr>
              <w:t xml:space="preserve">Subgroup 6 </w:t>
            </w:r>
            <w:r w:rsidR="003C0E0B">
              <w:rPr>
                <w:b/>
                <w:bCs/>
              </w:rPr>
              <w:t>–</w:t>
            </w:r>
            <w:r w:rsidRPr="00022182">
              <w:rPr>
                <w:b/>
                <w:bCs/>
              </w:rPr>
              <w:t xml:space="preserve"> Cardio-Thoracic</w:t>
            </w:r>
          </w:p>
          <w:p w14:paraId="2EF73E93" w14:textId="7A95364E" w:rsidR="008F17ED" w:rsidRPr="0001290C" w:rsidRDefault="008F17ED" w:rsidP="00F06258">
            <w:pPr>
              <w:pStyle w:val="Tabletext0"/>
              <w:jc w:val="left"/>
            </w:pPr>
            <w:r w:rsidRPr="00022182">
              <w:rPr>
                <w:b/>
                <w:bCs/>
              </w:rPr>
              <w:t xml:space="preserve">Subheading 4 </w:t>
            </w:r>
            <w:r w:rsidR="003C0E0B">
              <w:rPr>
                <w:b/>
                <w:bCs/>
              </w:rPr>
              <w:t>–</w:t>
            </w:r>
            <w:r w:rsidRPr="00022182">
              <w:rPr>
                <w:b/>
                <w:bCs/>
              </w:rPr>
              <w:t xml:space="preserve"> Miscellaneous Cardiac Procedures</w:t>
            </w:r>
          </w:p>
        </w:tc>
      </w:tr>
      <w:tr w:rsidR="008F17ED" w:rsidRPr="0001290C" w14:paraId="374D255C" w14:textId="77777777" w:rsidTr="5D4650BD">
        <w:trPr>
          <w:cantSplit/>
          <w:tblHeader/>
        </w:trPr>
        <w:tc>
          <w:tcPr>
            <w:tcW w:w="9016" w:type="dxa"/>
          </w:tcPr>
          <w:p w14:paraId="4D4FFB3E" w14:textId="6A236336" w:rsidR="008F17ED" w:rsidRPr="00022182" w:rsidRDefault="008F17ED" w:rsidP="00F06258">
            <w:pPr>
              <w:pStyle w:val="Tabletext0"/>
              <w:jc w:val="left"/>
              <w:rPr>
                <w:b/>
                <w:bCs/>
                <w:lang w:val="en-US" w:eastAsia="ja-JP"/>
              </w:rPr>
            </w:pPr>
            <w:r w:rsidRPr="00022182">
              <w:rPr>
                <w:b/>
                <w:bCs/>
                <w:lang w:val="en-US" w:eastAsia="ja-JP"/>
              </w:rPr>
              <w:t>MBS item *XXXX</w:t>
            </w:r>
            <w:r w:rsidR="00FB5020">
              <w:rPr>
                <w:b/>
                <w:bCs/>
                <w:lang w:val="en-US" w:eastAsia="ja-JP"/>
              </w:rPr>
              <w:br/>
            </w:r>
            <w:r w:rsidR="00FB5020" w:rsidRPr="00936753">
              <w:rPr>
                <w:lang w:val="en-US" w:eastAsia="ja-JP"/>
              </w:rPr>
              <w:t>Leadless permanent cardiac pacemaker with atrioventricular synchronous pacing</w:t>
            </w:r>
            <w:r w:rsidR="00FB5020">
              <w:rPr>
                <w:lang w:val="en-US" w:eastAsia="ja-JP"/>
              </w:rPr>
              <w:t xml:space="preserve">, </w:t>
            </w:r>
            <w:r w:rsidR="00FB5020" w:rsidRPr="00936753">
              <w:rPr>
                <w:lang w:val="en-US" w:eastAsia="ja-JP"/>
              </w:rPr>
              <w:t>single</w:t>
            </w:r>
            <w:r w:rsidR="00FB5020">
              <w:rPr>
                <w:lang w:val="en-US" w:eastAsia="ja-JP"/>
              </w:rPr>
              <w:t>-</w:t>
            </w:r>
            <w:r w:rsidR="00FB5020" w:rsidRPr="00936753">
              <w:rPr>
                <w:lang w:val="en-US" w:eastAsia="ja-JP"/>
              </w:rPr>
              <w:t>chamber ventricular, percutaneous insertion of, for the treatment of bradycardia</w:t>
            </w:r>
            <w:r w:rsidR="00FB5020">
              <w:rPr>
                <w:lang w:val="en-US" w:eastAsia="ja-JP"/>
              </w:rPr>
              <w:t xml:space="preserve"> </w:t>
            </w:r>
            <w:r w:rsidR="00FB5020" w:rsidRPr="00F0717D">
              <w:rPr>
                <w:i/>
                <w:iCs/>
                <w:strike/>
                <w:lang w:val="en-US" w:eastAsia="ja-JP"/>
              </w:rPr>
              <w:t xml:space="preserve">due to atrioventricular block and who are in sinus rhythm, including cardiac electrophysiological </w:t>
            </w:r>
            <w:r w:rsidR="00FB5020" w:rsidRPr="00833D44">
              <w:rPr>
                <w:i/>
                <w:iCs/>
                <w:strike/>
                <w:lang w:val="en-US" w:eastAsia="ja-JP"/>
              </w:rPr>
              <w:t>services (</w:t>
            </w:r>
            <w:r w:rsidR="00FB5020" w:rsidRPr="00422771">
              <w:rPr>
                <w:rFonts w:cstheme="minorHAnsi"/>
                <w:i/>
                <w:iCs/>
                <w:color w:val="ED0000"/>
              </w:rPr>
              <w:t>by a cardiologist or cardiothoracic surgeon</w:t>
            </w:r>
            <w:r w:rsidR="00FB5020" w:rsidRPr="00F71EE2">
              <w:rPr>
                <w:rFonts w:cstheme="minorHAnsi"/>
                <w:i/>
                <w:iCs/>
              </w:rPr>
              <w:t>,</w:t>
            </w:r>
            <w:r w:rsidR="00FB5020" w:rsidRPr="00F71EE2">
              <w:rPr>
                <w:rFonts w:cstheme="minorHAnsi"/>
              </w:rPr>
              <w:t xml:space="preserve"> </w:t>
            </w:r>
          </w:p>
          <w:p w14:paraId="26578366" w14:textId="046C25E8" w:rsidR="006618E9" w:rsidRPr="00422771" w:rsidRDefault="006618E9" w:rsidP="004167A0">
            <w:pPr>
              <w:pStyle w:val="Tabletext0"/>
              <w:numPr>
                <w:ilvl w:val="0"/>
                <w:numId w:val="26"/>
              </w:numPr>
              <w:jc w:val="left"/>
              <w:rPr>
                <w:rFonts w:cstheme="minorHAnsi"/>
                <w:i/>
                <w:iCs/>
                <w:color w:val="ED0000"/>
                <w:lang w:val="en-US"/>
              </w:rPr>
            </w:pPr>
            <w:r w:rsidRPr="00422771">
              <w:rPr>
                <w:rFonts w:cstheme="minorHAnsi"/>
                <w:i/>
                <w:iCs/>
                <w:color w:val="ED0000"/>
                <w:lang w:val="en-US"/>
              </w:rPr>
              <w:t>For a patient:</w:t>
            </w:r>
          </w:p>
          <w:p w14:paraId="0658B780" w14:textId="77777777" w:rsidR="006618E9" w:rsidRPr="00422771" w:rsidRDefault="006618E9" w:rsidP="004167A0">
            <w:pPr>
              <w:pStyle w:val="Tabletext0"/>
              <w:numPr>
                <w:ilvl w:val="0"/>
                <w:numId w:val="25"/>
              </w:numPr>
              <w:jc w:val="left"/>
              <w:rPr>
                <w:rFonts w:cstheme="minorHAnsi"/>
                <w:i/>
                <w:iCs/>
                <w:color w:val="ED0000"/>
                <w:lang w:val="en-US"/>
              </w:rPr>
            </w:pPr>
            <w:r w:rsidRPr="00422771">
              <w:rPr>
                <w:rFonts w:cstheme="minorHAnsi"/>
                <w:i/>
                <w:iCs/>
                <w:color w:val="ED0000"/>
                <w:lang w:val="en-US"/>
              </w:rPr>
              <w:t>where a right ventricular transcatheter pacing system promoting AV synchrony at rest is acceptable; and</w:t>
            </w:r>
          </w:p>
          <w:p w14:paraId="14845C01" w14:textId="77777777" w:rsidR="006618E9" w:rsidRPr="00422771" w:rsidRDefault="006618E9" w:rsidP="004167A0">
            <w:pPr>
              <w:pStyle w:val="Tabletext0"/>
              <w:numPr>
                <w:ilvl w:val="0"/>
                <w:numId w:val="25"/>
              </w:numPr>
              <w:jc w:val="left"/>
              <w:rPr>
                <w:rFonts w:cstheme="minorHAnsi"/>
                <w:i/>
                <w:iCs/>
                <w:color w:val="ED0000"/>
                <w:lang w:val="en-US"/>
              </w:rPr>
            </w:pPr>
            <w:r w:rsidRPr="00422771">
              <w:rPr>
                <w:rFonts w:cstheme="minorHAnsi"/>
                <w:i/>
                <w:iCs/>
                <w:color w:val="ED0000"/>
                <w:lang w:val="en-GB"/>
              </w:rPr>
              <w:t>with Paroxysmal or permanent high-grade AV block and</w:t>
            </w:r>
          </w:p>
          <w:p w14:paraId="34CA562D" w14:textId="77777777" w:rsidR="006618E9" w:rsidRPr="00422771" w:rsidRDefault="006618E9" w:rsidP="004167A0">
            <w:pPr>
              <w:pStyle w:val="Tabletext0"/>
              <w:numPr>
                <w:ilvl w:val="0"/>
                <w:numId w:val="25"/>
              </w:numPr>
              <w:jc w:val="left"/>
              <w:rPr>
                <w:rFonts w:cstheme="minorHAnsi"/>
                <w:i/>
                <w:iCs/>
                <w:color w:val="ED0000"/>
                <w:lang w:val="en-US"/>
              </w:rPr>
            </w:pPr>
            <w:r w:rsidRPr="00422771">
              <w:rPr>
                <w:rFonts w:cstheme="minorHAnsi"/>
                <w:i/>
                <w:iCs/>
                <w:color w:val="ED0000"/>
                <w:lang w:val="en-GB"/>
              </w:rPr>
              <w:t>in sinus rhythm; and</w:t>
            </w:r>
          </w:p>
          <w:p w14:paraId="5158BE95" w14:textId="77777777" w:rsidR="006618E9" w:rsidRPr="00422771" w:rsidRDefault="006618E9" w:rsidP="004167A0">
            <w:pPr>
              <w:pStyle w:val="Tabletext0"/>
              <w:numPr>
                <w:ilvl w:val="0"/>
                <w:numId w:val="25"/>
              </w:numPr>
              <w:jc w:val="left"/>
              <w:rPr>
                <w:rFonts w:cstheme="minorHAnsi"/>
                <w:i/>
                <w:iCs/>
                <w:color w:val="ED0000"/>
                <w:lang w:val="en-US"/>
              </w:rPr>
            </w:pPr>
            <w:r w:rsidRPr="00422771">
              <w:rPr>
                <w:rFonts w:cstheme="minorHAnsi"/>
                <w:i/>
                <w:iCs/>
                <w:color w:val="ED0000"/>
                <w:lang w:val="en-US"/>
              </w:rPr>
              <w:t>where a DC-TVPM is contraindicated; and</w:t>
            </w:r>
          </w:p>
          <w:p w14:paraId="549449D9" w14:textId="77777777" w:rsidR="00FB5020" w:rsidRPr="00422771" w:rsidRDefault="006618E9" w:rsidP="004167A0">
            <w:pPr>
              <w:pStyle w:val="Tabletext0"/>
              <w:numPr>
                <w:ilvl w:val="0"/>
                <w:numId w:val="26"/>
              </w:numPr>
              <w:jc w:val="left"/>
              <w:rPr>
                <w:rFonts w:cstheme="minorHAnsi"/>
                <w:i/>
                <w:iCs/>
                <w:color w:val="ED0000"/>
                <w:lang w:val="en-US"/>
              </w:rPr>
            </w:pPr>
            <w:r w:rsidRPr="00422771">
              <w:rPr>
                <w:rFonts w:cstheme="minorHAnsi"/>
                <w:i/>
                <w:iCs/>
                <w:color w:val="ED0000"/>
                <w:lang w:val="en-US"/>
              </w:rPr>
              <w:t xml:space="preserve">including cardiac electrophysiological services </w:t>
            </w:r>
          </w:p>
          <w:p w14:paraId="3E852062" w14:textId="3513F9D8" w:rsidR="008F17ED" w:rsidRPr="00DE4E66" w:rsidRDefault="008F17ED" w:rsidP="00DE4E66">
            <w:pPr>
              <w:pStyle w:val="Tabletext0"/>
              <w:spacing w:after="120"/>
              <w:jc w:val="left"/>
              <w:rPr>
                <w:rFonts w:asciiTheme="minorHAnsi" w:hAnsiTheme="minorHAnsi" w:cstheme="minorHAnsi"/>
                <w:i/>
                <w:color w:val="FF0000"/>
                <w:lang w:val="en-US"/>
              </w:rPr>
            </w:pPr>
            <w:r w:rsidRPr="00936753">
              <w:rPr>
                <w:lang w:val="en-US" w:eastAsia="ja-JP"/>
              </w:rPr>
              <w:t xml:space="preserve">other than a service associated with a service to which item 38350 </w:t>
            </w:r>
            <w:r w:rsidR="006F25DC" w:rsidRPr="00422771">
              <w:rPr>
                <w:i/>
                <w:iCs/>
                <w:color w:val="ED0000"/>
                <w:lang w:val="en-US" w:eastAsia="ja-JP"/>
              </w:rPr>
              <w:t>or 38372</w:t>
            </w:r>
            <w:r w:rsidR="006F25DC" w:rsidRPr="00422771">
              <w:rPr>
                <w:color w:val="ED0000"/>
                <w:lang w:val="en-US" w:eastAsia="ja-JP"/>
              </w:rPr>
              <w:t xml:space="preserve"> </w:t>
            </w:r>
            <w:r w:rsidRPr="00936753">
              <w:rPr>
                <w:lang w:val="en-US" w:eastAsia="ja-JP"/>
              </w:rPr>
              <w:t>applies</w:t>
            </w:r>
            <w:r w:rsidRPr="00F71EE2">
              <w:rPr>
                <w:strike/>
                <w:lang w:val="en-US" w:eastAsia="ja-JP"/>
              </w:rPr>
              <w:t>)</w:t>
            </w:r>
            <w:r w:rsidRPr="00936753">
              <w:rPr>
                <w:lang w:val="en-US" w:eastAsia="ja-JP"/>
              </w:rPr>
              <w:t xml:space="preserve"> (H)</w:t>
            </w:r>
          </w:p>
          <w:p w14:paraId="14382420" w14:textId="77777777" w:rsidR="008F17ED" w:rsidRPr="00936753" w:rsidRDefault="008F17ED" w:rsidP="00F06258">
            <w:pPr>
              <w:pStyle w:val="Tabletext0"/>
              <w:jc w:val="left"/>
              <w:rPr>
                <w:lang w:val="en-US" w:eastAsia="ja-JP"/>
              </w:rPr>
            </w:pPr>
            <w:r w:rsidRPr="00936753">
              <w:rPr>
                <w:lang w:val="en-US" w:eastAsia="ja-JP"/>
              </w:rPr>
              <w:t>Multiple Operation Rule</w:t>
            </w:r>
          </w:p>
          <w:p w14:paraId="48CE8EE8" w14:textId="77777777" w:rsidR="008F17ED" w:rsidRPr="00815320" w:rsidRDefault="008F17ED" w:rsidP="00F06258">
            <w:pPr>
              <w:pStyle w:val="Tabletext0"/>
              <w:jc w:val="left"/>
              <w:rPr>
                <w:lang w:val="en-US" w:eastAsia="ja-JP"/>
              </w:rPr>
            </w:pPr>
            <w:r w:rsidRPr="00936753">
              <w:rPr>
                <w:lang w:val="en-US" w:eastAsia="ja-JP"/>
              </w:rPr>
              <w:t>(Anaes.)</w:t>
            </w:r>
          </w:p>
        </w:tc>
      </w:tr>
      <w:tr w:rsidR="008F17ED" w:rsidRPr="0001290C" w14:paraId="62DEDFC0" w14:textId="77777777" w:rsidTr="5D4650BD">
        <w:trPr>
          <w:cantSplit/>
          <w:trHeight w:val="223"/>
          <w:tblHeader/>
        </w:trPr>
        <w:tc>
          <w:tcPr>
            <w:tcW w:w="9016" w:type="dxa"/>
          </w:tcPr>
          <w:p w14:paraId="259F146A" w14:textId="77777777" w:rsidR="008F17ED" w:rsidRPr="0001290C" w:rsidRDefault="008F17ED" w:rsidP="00F06258">
            <w:pPr>
              <w:pStyle w:val="Tabletext0"/>
              <w:jc w:val="left"/>
              <w:rPr>
                <w:snapToGrid w:val="0"/>
              </w:rPr>
            </w:pPr>
            <w:r w:rsidRPr="00815320">
              <w:rPr>
                <w:lang w:val="en-US" w:eastAsia="ja-JP"/>
              </w:rPr>
              <w:t>$859.35 Benefit: 75% = $644.55</w:t>
            </w:r>
          </w:p>
        </w:tc>
      </w:tr>
      <w:tr w:rsidR="008F17ED" w:rsidRPr="0001290C" w14:paraId="5EA8FD24" w14:textId="77777777" w:rsidTr="5D4650BD">
        <w:trPr>
          <w:cantSplit/>
          <w:trHeight w:val="223"/>
          <w:tblHeader/>
        </w:trPr>
        <w:tc>
          <w:tcPr>
            <w:tcW w:w="9016" w:type="dxa"/>
          </w:tcPr>
          <w:p w14:paraId="37EE9951" w14:textId="44FDBF48" w:rsidR="008F17ED" w:rsidRDefault="008F17ED" w:rsidP="00DE4E66">
            <w:pPr>
              <w:pStyle w:val="Tabletext0"/>
              <w:spacing w:after="120"/>
              <w:jc w:val="left"/>
              <w:rPr>
                <w:lang w:val="en-US" w:eastAsia="ja-JP"/>
              </w:rPr>
            </w:pPr>
            <w:r w:rsidRPr="00E907E0">
              <w:rPr>
                <w:lang w:val="en-US" w:eastAsia="ja-JP"/>
              </w:rPr>
              <w:t>(See para</w:t>
            </w:r>
            <w:r w:rsidR="005E3FAD">
              <w:rPr>
                <w:lang w:val="en-US" w:eastAsia="ja-JP"/>
              </w:rPr>
              <w:t>.</w:t>
            </w:r>
            <w:r w:rsidRPr="00E907E0">
              <w:rPr>
                <w:lang w:val="en-US" w:eastAsia="ja-JP"/>
              </w:rPr>
              <w:t xml:space="preserve"> TN.</w:t>
            </w:r>
            <w:proofErr w:type="gramStart"/>
            <w:r>
              <w:rPr>
                <w:lang w:val="en-US" w:eastAsia="ja-JP"/>
              </w:rPr>
              <w:t>X</w:t>
            </w:r>
            <w:r w:rsidRPr="00E907E0">
              <w:rPr>
                <w:lang w:val="en-US" w:eastAsia="ja-JP"/>
              </w:rPr>
              <w:t>.</w:t>
            </w:r>
            <w:r>
              <w:rPr>
                <w:lang w:val="en-US" w:eastAsia="ja-JP"/>
              </w:rPr>
              <w:t>XX</w:t>
            </w:r>
            <w:proofErr w:type="gramEnd"/>
            <w:r w:rsidRPr="00E907E0">
              <w:rPr>
                <w:lang w:val="en-US" w:eastAsia="ja-JP"/>
              </w:rPr>
              <w:t xml:space="preserve"> of explanatory notes to this Category)</w:t>
            </w:r>
          </w:p>
          <w:p w14:paraId="577C7D22" w14:textId="77777777" w:rsidR="008F17ED" w:rsidRDefault="008F17ED" w:rsidP="00F06258">
            <w:pPr>
              <w:pStyle w:val="Tabletext0"/>
              <w:jc w:val="left"/>
              <w:rPr>
                <w:lang w:val="en-US" w:eastAsia="ja-JP"/>
              </w:rPr>
            </w:pPr>
            <w:r w:rsidRPr="00E907E0">
              <w:rPr>
                <w:lang w:val="en-US" w:eastAsia="ja-JP"/>
              </w:rPr>
              <w:t>TN.</w:t>
            </w:r>
            <w:proofErr w:type="gramStart"/>
            <w:r>
              <w:rPr>
                <w:lang w:val="en-US" w:eastAsia="ja-JP"/>
              </w:rPr>
              <w:t>X</w:t>
            </w:r>
            <w:r w:rsidRPr="00E907E0">
              <w:rPr>
                <w:lang w:val="en-US" w:eastAsia="ja-JP"/>
              </w:rPr>
              <w:t>.</w:t>
            </w:r>
            <w:r>
              <w:rPr>
                <w:lang w:val="en-US" w:eastAsia="ja-JP"/>
              </w:rPr>
              <w:t>XX</w:t>
            </w:r>
            <w:proofErr w:type="gramEnd"/>
          </w:p>
          <w:p w14:paraId="5DD970D8" w14:textId="482C3D4D" w:rsidR="008F17ED" w:rsidRPr="00375ACF" w:rsidRDefault="008F17ED" w:rsidP="00F06258">
            <w:pPr>
              <w:pStyle w:val="Tabletext0"/>
              <w:jc w:val="left"/>
              <w:rPr>
                <w:b/>
                <w:bCs/>
                <w:lang w:val="en-US" w:eastAsia="ja-JP"/>
              </w:rPr>
            </w:pPr>
            <w:r w:rsidRPr="00375ACF">
              <w:rPr>
                <w:b/>
                <w:bCs/>
                <w:lang w:val="en-US" w:eastAsia="ja-JP"/>
              </w:rPr>
              <w:t xml:space="preserve">Eligibility requirements for </w:t>
            </w:r>
            <w:r w:rsidR="00FC35CB">
              <w:rPr>
                <w:b/>
                <w:bCs/>
                <w:lang w:val="en-US" w:eastAsia="ja-JP"/>
              </w:rPr>
              <w:t>i</w:t>
            </w:r>
            <w:r w:rsidRPr="00375ACF">
              <w:rPr>
                <w:b/>
                <w:bCs/>
                <w:lang w:val="en-US" w:eastAsia="ja-JP"/>
              </w:rPr>
              <w:t>tem XXXX</w:t>
            </w:r>
          </w:p>
          <w:p w14:paraId="33521281" w14:textId="77777777" w:rsidR="001022B5" w:rsidRPr="00422771" w:rsidRDefault="008F17ED" w:rsidP="001022B5">
            <w:pPr>
              <w:pStyle w:val="Tabletext0"/>
              <w:rPr>
                <w:i/>
                <w:iCs/>
                <w:color w:val="ED0000"/>
                <w:lang w:val="en-US" w:eastAsia="ja-JP"/>
              </w:rPr>
            </w:pPr>
            <w:r w:rsidRPr="00E75F42">
              <w:rPr>
                <w:lang w:val="en-US" w:eastAsia="ja-JP"/>
              </w:rPr>
              <w:t xml:space="preserve">The decision to implant </w:t>
            </w:r>
            <w:r>
              <w:rPr>
                <w:lang w:val="en-US" w:eastAsia="ja-JP"/>
              </w:rPr>
              <w:t>a</w:t>
            </w:r>
            <w:r w:rsidRPr="00E75F42">
              <w:rPr>
                <w:lang w:val="en-US" w:eastAsia="ja-JP"/>
              </w:rPr>
              <w:t xml:space="preserve"> </w:t>
            </w:r>
            <w:r>
              <w:rPr>
                <w:lang w:val="en-US" w:eastAsia="ja-JP"/>
              </w:rPr>
              <w:t>l</w:t>
            </w:r>
            <w:r w:rsidRPr="00E75F42">
              <w:rPr>
                <w:lang w:val="en-US" w:eastAsia="ja-JP"/>
              </w:rPr>
              <w:t>eadless permanent cardiac pacemaker with atrioventricular synchronous pacing should consider the benefits of transcatheter</w:t>
            </w:r>
            <w:r>
              <w:rPr>
                <w:lang w:val="en-US" w:eastAsia="ja-JP"/>
              </w:rPr>
              <w:t xml:space="preserve"> </w:t>
            </w:r>
            <w:r w:rsidRPr="00E75F42">
              <w:rPr>
                <w:lang w:val="en-US" w:eastAsia="ja-JP"/>
              </w:rPr>
              <w:t>pacing versus the patient’s need for continuous AV synchrony</w:t>
            </w:r>
            <w:r>
              <w:rPr>
                <w:lang w:val="en-US" w:eastAsia="ja-JP"/>
              </w:rPr>
              <w:t xml:space="preserve">. </w:t>
            </w:r>
            <w:r w:rsidR="001022B5">
              <w:rPr>
                <w:lang w:val="en-US" w:eastAsia="ja-JP"/>
              </w:rPr>
              <w:br/>
            </w:r>
            <w:r w:rsidR="001022B5" w:rsidRPr="00422771">
              <w:rPr>
                <w:i/>
                <w:iCs/>
                <w:color w:val="ED0000"/>
                <w:lang w:val="en-US" w:eastAsia="ja-JP"/>
              </w:rPr>
              <w:t>This item is intended (but not limited to) patients where TVPM is contraindicated, as follows:</w:t>
            </w:r>
          </w:p>
          <w:p w14:paraId="6E9CBEC5" w14:textId="2ECB2074" w:rsidR="001022B5" w:rsidRPr="00422771" w:rsidRDefault="001022B5" w:rsidP="004167A0">
            <w:pPr>
              <w:pStyle w:val="Tabletext0"/>
              <w:numPr>
                <w:ilvl w:val="0"/>
                <w:numId w:val="24"/>
              </w:numPr>
              <w:rPr>
                <w:i/>
                <w:iCs/>
                <w:color w:val="ED0000"/>
                <w:lang w:val="en-US" w:eastAsia="ja-JP"/>
              </w:rPr>
            </w:pPr>
            <w:r w:rsidRPr="00422771">
              <w:rPr>
                <w:i/>
                <w:iCs/>
                <w:color w:val="ED0000"/>
                <w:lang w:val="en-US" w:eastAsia="ja-JP"/>
              </w:rPr>
              <w:t>inaccessible or tortuous upper extremity venous system</w:t>
            </w:r>
          </w:p>
          <w:p w14:paraId="0E4F8418" w14:textId="6EE71C2E" w:rsidR="001022B5" w:rsidRPr="00422771" w:rsidRDefault="001022B5" w:rsidP="004167A0">
            <w:pPr>
              <w:pStyle w:val="Tabletext0"/>
              <w:numPr>
                <w:ilvl w:val="0"/>
                <w:numId w:val="24"/>
              </w:numPr>
              <w:rPr>
                <w:i/>
                <w:iCs/>
                <w:color w:val="ED0000"/>
                <w:lang w:val="en-US" w:eastAsia="ja-JP"/>
              </w:rPr>
            </w:pPr>
            <w:r w:rsidRPr="00422771">
              <w:rPr>
                <w:i/>
                <w:iCs/>
                <w:color w:val="ED0000"/>
                <w:lang w:val="en-US" w:eastAsia="ja-JP"/>
              </w:rPr>
              <w:t xml:space="preserve">increased risk of infection </w:t>
            </w:r>
          </w:p>
          <w:p w14:paraId="79CAF318" w14:textId="3330F292" w:rsidR="008F17ED" w:rsidRPr="00422771" w:rsidRDefault="001022B5" w:rsidP="004167A0">
            <w:pPr>
              <w:pStyle w:val="Tabletext0"/>
              <w:numPr>
                <w:ilvl w:val="0"/>
                <w:numId w:val="24"/>
              </w:numPr>
              <w:jc w:val="left"/>
              <w:rPr>
                <w:i/>
                <w:color w:val="ED0000"/>
                <w:lang w:val="en-US" w:eastAsia="ja-JP"/>
              </w:rPr>
            </w:pPr>
            <w:r w:rsidRPr="00422771">
              <w:rPr>
                <w:i/>
                <w:iCs/>
                <w:color w:val="ED0000"/>
                <w:lang w:val="en-US" w:eastAsia="ja-JP"/>
              </w:rPr>
              <w:t>history of venous thrombosis</w:t>
            </w:r>
          </w:p>
          <w:p w14:paraId="79DCDDBF" w14:textId="77777777" w:rsidR="008F17ED" w:rsidRDefault="008F17ED" w:rsidP="00F06258">
            <w:pPr>
              <w:pStyle w:val="Tabletext0"/>
              <w:jc w:val="left"/>
              <w:rPr>
                <w:lang w:val="en-US" w:eastAsia="ja-JP"/>
              </w:rPr>
            </w:pPr>
            <w:r>
              <w:rPr>
                <w:lang w:val="en-US" w:eastAsia="ja-JP"/>
              </w:rPr>
              <w:t xml:space="preserve">This item is not intended for use in patients </w:t>
            </w:r>
            <w:r w:rsidRPr="004F4BC4">
              <w:rPr>
                <w:lang w:val="en-US" w:eastAsia="ja-JP"/>
              </w:rPr>
              <w:t xml:space="preserve">who </w:t>
            </w:r>
            <w:r>
              <w:rPr>
                <w:lang w:val="en-US" w:eastAsia="ja-JP"/>
              </w:rPr>
              <w:t>will not benefit from the AV synchronous mode (VDD), including:</w:t>
            </w:r>
            <w:r w:rsidRPr="004F4BC4">
              <w:rPr>
                <w:lang w:val="en-US" w:eastAsia="ja-JP"/>
              </w:rPr>
              <w:t xml:space="preserve"> </w:t>
            </w:r>
          </w:p>
          <w:p w14:paraId="2933D64F" w14:textId="77777777" w:rsidR="008F17ED" w:rsidRPr="00D51717" w:rsidRDefault="008F17ED" w:rsidP="004167A0">
            <w:pPr>
              <w:pStyle w:val="Tabletext0"/>
              <w:numPr>
                <w:ilvl w:val="0"/>
                <w:numId w:val="17"/>
              </w:numPr>
              <w:jc w:val="left"/>
              <w:rPr>
                <w:lang w:val="en-US" w:eastAsia="ja-JP"/>
              </w:rPr>
            </w:pPr>
            <w:r w:rsidRPr="00D51717">
              <w:rPr>
                <w:lang w:val="en-US" w:eastAsia="ja-JP"/>
              </w:rPr>
              <w:t>Sinus node dysfunction</w:t>
            </w:r>
          </w:p>
          <w:p w14:paraId="44B15A28" w14:textId="77777777" w:rsidR="008F17ED" w:rsidRPr="00D51717" w:rsidRDefault="008F17ED" w:rsidP="004167A0">
            <w:pPr>
              <w:pStyle w:val="Tabletext0"/>
              <w:numPr>
                <w:ilvl w:val="0"/>
                <w:numId w:val="17"/>
              </w:numPr>
              <w:jc w:val="left"/>
              <w:rPr>
                <w:lang w:val="en-US" w:eastAsia="ja-JP"/>
              </w:rPr>
            </w:pPr>
            <w:r w:rsidRPr="00D51717">
              <w:rPr>
                <w:lang w:val="en-US" w:eastAsia="ja-JP"/>
              </w:rPr>
              <w:t>High sinus rates requiring atrial tracking</w:t>
            </w:r>
          </w:p>
          <w:p w14:paraId="62DC98FB" w14:textId="77777777" w:rsidR="008F17ED" w:rsidRPr="00D51717" w:rsidRDefault="008F17ED" w:rsidP="004167A0">
            <w:pPr>
              <w:pStyle w:val="Tabletext0"/>
              <w:numPr>
                <w:ilvl w:val="0"/>
                <w:numId w:val="17"/>
              </w:numPr>
              <w:jc w:val="left"/>
              <w:rPr>
                <w:lang w:val="en-US" w:eastAsia="ja-JP"/>
              </w:rPr>
            </w:pPr>
            <w:r w:rsidRPr="00D51717">
              <w:rPr>
                <w:lang w:val="en-US" w:eastAsia="ja-JP"/>
              </w:rPr>
              <w:t>Weak atrial contraction</w:t>
            </w:r>
          </w:p>
          <w:p w14:paraId="43E5B6F7" w14:textId="2D962B36" w:rsidR="008F17ED" w:rsidRPr="001F1125" w:rsidRDefault="008F17ED" w:rsidP="004167A0">
            <w:pPr>
              <w:pStyle w:val="Tabletext0"/>
              <w:numPr>
                <w:ilvl w:val="0"/>
                <w:numId w:val="17"/>
              </w:numPr>
              <w:jc w:val="left"/>
              <w:rPr>
                <w:i/>
                <w:lang w:val="en-US" w:eastAsia="ja-JP"/>
              </w:rPr>
            </w:pPr>
            <w:r w:rsidRPr="00E75F42">
              <w:rPr>
                <w:lang w:val="en-US" w:eastAsia="ja-JP"/>
              </w:rPr>
              <w:t>Frequent premature atrial or ventricular contractions where atrial tracking is required immediately after the premature beat</w:t>
            </w:r>
          </w:p>
        </w:tc>
      </w:tr>
    </w:tbl>
    <w:p w14:paraId="14043F00" w14:textId="7CB4B2F5" w:rsidR="008F17ED" w:rsidRDefault="008F17ED" w:rsidP="00C467AA">
      <w:pPr>
        <w:spacing w:before="240"/>
      </w:pPr>
      <w:r w:rsidRPr="4C0A0968">
        <w:t>Introduction of the Micra AV is not likely to affect the patient workup for pacing treatment. Patients with symptomatic bradycardia may first seek treatment from a hospital or general practitioner before being referred to a specialist cardiologist. The patient's history and physical examination and resting electrocardiogram (ECG) results are all important components of the medical evaluation to assess eligibility for a single-chamber LPM.</w:t>
      </w:r>
      <w:bookmarkStart w:id="12" w:name="_Ref182469750"/>
      <w:r w:rsidRPr="4C0A0968">
        <w:rPr>
          <w:vertAlign w:val="superscript"/>
        </w:rPr>
        <w:footnoteReference w:id="7"/>
      </w:r>
      <w:bookmarkEnd w:id="12"/>
      <w:r w:rsidRPr="4C0A0968">
        <w:t xml:space="preserve"> Further non-invasive assessments may include an exercise or ambulatory ECG, imaging, laboratory tests, genetic tests and sleep apnoea tests. When non-invasive examinations are not diagnostic, invasive testing (e.g. implantable cardiac monitors and electrophysiology studies) may be required.</w:t>
      </w:r>
      <w:r w:rsidRPr="00B244CC">
        <w:rPr>
          <w:vertAlign w:val="superscript"/>
        </w:rPr>
        <w:fldChar w:fldCharType="begin"/>
      </w:r>
      <w:r w:rsidRPr="00B244CC">
        <w:rPr>
          <w:vertAlign w:val="superscript"/>
        </w:rPr>
        <w:instrText xml:space="preserve"> NOTEREF _Ref182469750 \h </w:instrText>
      </w:r>
      <w:r>
        <w:rPr>
          <w:vertAlign w:val="superscript"/>
        </w:rPr>
        <w:instrText xml:space="preserve"> \* MERGEFORMAT </w:instrText>
      </w:r>
      <w:r w:rsidRPr="00B244CC">
        <w:rPr>
          <w:vertAlign w:val="superscript"/>
        </w:rPr>
      </w:r>
      <w:r w:rsidRPr="00B244CC">
        <w:rPr>
          <w:vertAlign w:val="superscript"/>
        </w:rPr>
        <w:fldChar w:fldCharType="separate"/>
      </w:r>
      <w:r w:rsidR="00D96B61" w:rsidRPr="4C0A0968">
        <w:rPr>
          <w:vertAlign w:val="superscript"/>
        </w:rPr>
        <w:t>4</w:t>
      </w:r>
      <w:r w:rsidRPr="00B244CC">
        <w:rPr>
          <w:vertAlign w:val="superscript"/>
        </w:rPr>
        <w:fldChar w:fldCharType="end"/>
      </w:r>
    </w:p>
    <w:p w14:paraId="01F18C37" w14:textId="7AAF55FC" w:rsidR="008F17ED" w:rsidRDefault="008F17ED" w:rsidP="008F17ED">
      <w:r w:rsidRPr="4C0A0968">
        <w:rPr>
          <w:lang w:eastAsia="ja-JP"/>
        </w:rPr>
        <w:t xml:space="preserve">LPM insertion is performed as an inpatient service, either in the public or private hospital setting by specialist cardiologists (interventional cardiologist, cardiac electrophysiologist) or cardiac </w:t>
      </w:r>
      <w:r w:rsidRPr="4C0A0968">
        <w:rPr>
          <w:lang w:eastAsia="ja-JP"/>
        </w:rPr>
        <w:lastRenderedPageBreak/>
        <w:t xml:space="preserve">surgeons in a cardiac catheterisation laboratory or operating room. </w:t>
      </w:r>
      <w:r w:rsidRPr="4C0A0968">
        <w:t>The procedure is usually performed under local anaesthetic.</w:t>
      </w:r>
      <w:bookmarkStart w:id="13" w:name="_Ref182473718"/>
      <w:r w:rsidRPr="4C0A0968">
        <w:rPr>
          <w:rStyle w:val="FootnoteReference"/>
        </w:rPr>
        <w:footnoteReference w:id="8"/>
      </w:r>
      <w:bookmarkEnd w:id="13"/>
      <w:r w:rsidRPr="4C0A0968">
        <w:t xml:space="preserve"> The healthcare resources required to implant a DC-TVPM (the nominated comparator), including anaesthesia, the professional service itself and hospitalisation are </w:t>
      </w:r>
      <w:proofErr w:type="gramStart"/>
      <w:r w:rsidRPr="4C0A0968">
        <w:t>similar to</w:t>
      </w:r>
      <w:proofErr w:type="gramEnd"/>
      <w:r w:rsidRPr="4C0A0968">
        <w:t xml:space="preserve"> those required to deliver the Micra AV device. The frequency of patient monitoring and duration of stay are the same for both procedures, with patients generally being admitted overnight. According to Palmisano et al. (2021)</w:t>
      </w:r>
      <w:bookmarkStart w:id="14" w:name="_Ref186711665"/>
      <w:r w:rsidRPr="4C0A0968">
        <w:rPr>
          <w:rStyle w:val="FootnoteReference"/>
        </w:rPr>
        <w:footnoteReference w:id="9"/>
      </w:r>
      <w:bookmarkEnd w:id="14"/>
      <w:r w:rsidRPr="4C0A0968">
        <w:t xml:space="preserve"> and an Australian study by Denman et al. (2019)</w:t>
      </w:r>
      <w:r w:rsidRPr="002C2181">
        <w:rPr>
          <w:vertAlign w:val="superscript"/>
        </w:rPr>
        <w:fldChar w:fldCharType="begin"/>
      </w:r>
      <w:r w:rsidRPr="002C2181">
        <w:rPr>
          <w:vertAlign w:val="superscript"/>
        </w:rPr>
        <w:instrText xml:space="preserve"> NOTEREF _Ref182473718 \h </w:instrText>
      </w:r>
      <w:r>
        <w:rPr>
          <w:vertAlign w:val="superscript"/>
        </w:rPr>
        <w:instrText xml:space="preserve"> \* MERGEFORMAT </w:instrText>
      </w:r>
      <w:r w:rsidRPr="002C2181">
        <w:rPr>
          <w:vertAlign w:val="superscript"/>
        </w:rPr>
      </w:r>
      <w:r w:rsidRPr="002C2181">
        <w:rPr>
          <w:vertAlign w:val="superscript"/>
        </w:rPr>
        <w:fldChar w:fldCharType="separate"/>
      </w:r>
      <w:r w:rsidR="00D96B61" w:rsidRPr="4C0A0968">
        <w:rPr>
          <w:vertAlign w:val="superscript"/>
        </w:rPr>
        <w:t>5</w:t>
      </w:r>
      <w:r w:rsidRPr="002C2181">
        <w:rPr>
          <w:vertAlign w:val="superscript"/>
        </w:rPr>
        <w:fldChar w:fldCharType="end"/>
      </w:r>
      <w:r w:rsidRPr="4C0A0968">
        <w:t>, the length of time required to insert an LPM, once proficiency is achieved, is similar to that for a DC-TVPM (around 30 minutes).</w:t>
      </w:r>
    </w:p>
    <w:p w14:paraId="23C00866" w14:textId="5FC71C87" w:rsidR="00A268F2" w:rsidRPr="00BA5F37" w:rsidRDefault="008F17ED" w:rsidP="008F17ED">
      <w:r w:rsidRPr="4C0A0968">
        <w:t xml:space="preserve">No key issues with the proposed descriptors have been </w:t>
      </w:r>
      <w:r w:rsidR="003F672A">
        <w:t>identified</w:t>
      </w:r>
      <w:r w:rsidRPr="4C0A0968">
        <w:t>. The 2021 European Society of Cardiology (ESC)</w:t>
      </w:r>
      <w:r w:rsidRPr="4C0A0968">
        <w:rPr>
          <w:vertAlign w:val="superscript"/>
        </w:rPr>
        <w:footnoteReference w:id="10"/>
      </w:r>
      <w:r w:rsidRPr="4C0A0968">
        <w:t xml:space="preserve"> guidelines state that LPMs should be considered as an alternative to transvenous pacemakers when no upper extremity venous access exists or when risk of device pocket infection is particularly high, such as in patients with a previous infection or those on haemodialysis; and LPMs may be considered as an alternative to standard single-lead ventricular pacing, taking into consideration life expectancy and using shared decision-making. Guidelines from the American College of Cardiology (ACC)</w:t>
      </w:r>
      <w:r w:rsidR="00C8717B" w:rsidRPr="4C0A0968">
        <w:t xml:space="preserve">, </w:t>
      </w:r>
      <w:r w:rsidRPr="4C0A0968">
        <w:t>American Heart Association (AHA)</w:t>
      </w:r>
      <w:r w:rsidR="00C8717B" w:rsidRPr="4C0A0968">
        <w:t xml:space="preserve"> and </w:t>
      </w:r>
      <w:r w:rsidRPr="4C0A0968">
        <w:t>Heart Rhythm Society (HRS)</w:t>
      </w:r>
      <w:r w:rsidRPr="00C36611">
        <w:rPr>
          <w:vertAlign w:val="superscript"/>
        </w:rPr>
        <w:fldChar w:fldCharType="begin"/>
      </w:r>
      <w:r w:rsidRPr="00C36611">
        <w:rPr>
          <w:vertAlign w:val="superscript"/>
        </w:rPr>
        <w:instrText xml:space="preserve"> NOTEREF _Ref182469750 \h  \* MERGEFORMAT </w:instrText>
      </w:r>
      <w:r w:rsidRPr="00C36611">
        <w:rPr>
          <w:vertAlign w:val="superscript"/>
        </w:rPr>
      </w:r>
      <w:r w:rsidRPr="00C36611">
        <w:rPr>
          <w:vertAlign w:val="superscript"/>
        </w:rPr>
        <w:fldChar w:fldCharType="separate"/>
      </w:r>
      <w:r w:rsidR="00D96B61" w:rsidRPr="4C0A0968">
        <w:rPr>
          <w:vertAlign w:val="superscript"/>
        </w:rPr>
        <w:t>4</w:t>
      </w:r>
      <w:r w:rsidRPr="00C36611">
        <w:rPr>
          <w:vertAlign w:val="superscript"/>
        </w:rPr>
        <w:fldChar w:fldCharType="end"/>
      </w:r>
      <w:r w:rsidRPr="4C0A0968">
        <w:t xml:space="preserve"> noted that identifying patient populations that will benefit the most from LPMs will require further investigation</w:t>
      </w:r>
      <w:r w:rsidR="005A6F50" w:rsidRPr="4C0A0968">
        <w:t>,</w:t>
      </w:r>
      <w:r w:rsidRPr="4C0A0968">
        <w:t xml:space="preserve"> and that the potential interaction </w:t>
      </w:r>
      <w:r w:rsidR="005A6F50" w:rsidRPr="4C0A0968">
        <w:t xml:space="preserve">of LPMs </w:t>
      </w:r>
      <w:r w:rsidRPr="4C0A0968">
        <w:t>with other cardiac devices is still unclear.</w:t>
      </w:r>
    </w:p>
    <w:p w14:paraId="34E0B08F" w14:textId="11F231BC" w:rsidR="00772829" w:rsidRPr="00CE28E3" w:rsidRDefault="00772829" w:rsidP="004167A0">
      <w:pPr>
        <w:pStyle w:val="Heading2"/>
        <w:numPr>
          <w:ilvl w:val="0"/>
          <w:numId w:val="27"/>
        </w:numPr>
        <w:ind w:hanging="720"/>
      </w:pPr>
      <w:r w:rsidRPr="00CE28E3">
        <w:t>Population</w:t>
      </w:r>
      <w:bookmarkEnd w:id="10"/>
      <w:r w:rsidRPr="00CE28E3">
        <w:t xml:space="preserve"> </w:t>
      </w:r>
    </w:p>
    <w:p w14:paraId="4D03F75A" w14:textId="17BD23CF" w:rsidR="00B821DC" w:rsidRDefault="00B821DC" w:rsidP="00B821DC">
      <w:pPr>
        <w:rPr>
          <w:lang w:val="en-GB"/>
        </w:rPr>
      </w:pPr>
      <w:bookmarkStart w:id="15" w:name="_Toc69491420"/>
      <w:r w:rsidRPr="4C0A0968">
        <w:rPr>
          <w:lang w:val="en-GB"/>
        </w:rPr>
        <w:t xml:space="preserve">One </w:t>
      </w:r>
      <w:r w:rsidR="000662BB" w:rsidRPr="4C0A0968">
        <w:rPr>
          <w:lang w:val="en-GB"/>
        </w:rPr>
        <w:t>population, intervention</w:t>
      </w:r>
      <w:r w:rsidR="00173A6E" w:rsidRPr="4C0A0968">
        <w:rPr>
          <w:lang w:val="en-GB"/>
        </w:rPr>
        <w:t>, comparator and outcome (</w:t>
      </w:r>
      <w:r w:rsidRPr="4C0A0968">
        <w:rPr>
          <w:lang w:val="en-GB"/>
        </w:rPr>
        <w:t>PICO</w:t>
      </w:r>
      <w:r w:rsidR="00173A6E" w:rsidRPr="4C0A0968">
        <w:rPr>
          <w:lang w:val="en-GB"/>
        </w:rPr>
        <w:t>)</w:t>
      </w:r>
      <w:r w:rsidRPr="4C0A0968">
        <w:rPr>
          <w:lang w:val="en-GB"/>
        </w:rPr>
        <w:t xml:space="preserve"> set was defined for the proposed technology, the Micra AV LPM, as an alternative to standard DC-TVPMs in select patients (see </w:t>
      </w:r>
      <w:r w:rsidR="00A2111F">
        <w:fldChar w:fldCharType="begin"/>
      </w:r>
      <w:r w:rsidR="00A2111F">
        <w:instrText xml:space="preserve"> REF _Ref186709123 \h </w:instrText>
      </w:r>
      <w:r w:rsidR="00A2111F">
        <w:fldChar w:fldCharType="separate"/>
      </w:r>
      <w:r w:rsidR="00D96B61" w:rsidRPr="4C0A0968">
        <w:rPr>
          <w:lang w:val="en-GB"/>
        </w:rPr>
        <w:t xml:space="preserve">Table </w:t>
      </w:r>
      <w:r w:rsidR="00D96B61" w:rsidRPr="4C0A0968">
        <w:rPr>
          <w:noProof/>
          <w:lang w:val="en-GB"/>
        </w:rPr>
        <w:t>3</w:t>
      </w:r>
      <w:r w:rsidR="00A2111F">
        <w:fldChar w:fldCharType="end"/>
      </w:r>
      <w:r w:rsidRPr="4C0A0968">
        <w:rPr>
          <w:lang w:val="en-GB"/>
        </w:rPr>
        <w:t xml:space="preserve">). </w:t>
      </w:r>
      <w:r w:rsidR="003C7CD9">
        <w:rPr>
          <w:lang w:val="en-GB"/>
        </w:rPr>
        <w:t xml:space="preserve">The current </w:t>
      </w:r>
      <w:r w:rsidR="00BD0FAE">
        <w:rPr>
          <w:lang w:val="en-GB"/>
        </w:rPr>
        <w:t>clinical management algorithm for</w:t>
      </w:r>
      <w:r w:rsidR="001D50F8">
        <w:rPr>
          <w:lang w:val="en-GB"/>
        </w:rPr>
        <w:t xml:space="preserve"> </w:t>
      </w:r>
      <w:r w:rsidR="001D50F8" w:rsidRPr="001D50F8">
        <w:rPr>
          <w:lang w:val="en-GB"/>
        </w:rPr>
        <w:t>patients indicated for permanent pacing to treat bradycardia due to AVB who are in sinus rhythm in the absence of the Micra AV device</w:t>
      </w:r>
      <w:r w:rsidR="001D50F8">
        <w:rPr>
          <w:lang w:val="en-GB"/>
        </w:rPr>
        <w:t xml:space="preserve"> is shown below</w:t>
      </w:r>
      <w:r w:rsidR="0099576B">
        <w:rPr>
          <w:lang w:val="en-GB"/>
        </w:rPr>
        <w:t xml:space="preserve"> in Figure 1. Micra AV </w:t>
      </w:r>
      <w:r w:rsidRPr="4C0A0968">
        <w:rPr>
          <w:lang w:val="en-GB"/>
        </w:rPr>
        <w:t xml:space="preserve">would also </w:t>
      </w:r>
      <w:r>
        <w:rPr>
          <w:lang w:val="en-GB" w:eastAsia="ja-JP"/>
        </w:rPr>
        <w:t>replace the Micra VR as an option for right ventricular pacing in patients indicated for a pacemaker with dual</w:t>
      </w:r>
      <w:r w:rsidR="007019A8">
        <w:rPr>
          <w:lang w:val="en-GB" w:eastAsia="ja-JP"/>
        </w:rPr>
        <w:t>-</w:t>
      </w:r>
      <w:r>
        <w:rPr>
          <w:lang w:val="en-GB" w:eastAsia="ja-JP"/>
        </w:rPr>
        <w:t>chamber functionality.</w:t>
      </w:r>
      <w:r w:rsidRPr="4C0A0968">
        <w:rPr>
          <w:lang w:val="en-GB"/>
        </w:rPr>
        <w:t xml:space="preserve"> The clinical management algorithm incorporating the Micra AV device was based on the 2018 guidelines developed by the ACC, AHA and HRS</w:t>
      </w:r>
      <w:r w:rsidRPr="00833887">
        <w:rPr>
          <w:vertAlign w:val="superscript"/>
        </w:rPr>
        <w:fldChar w:fldCharType="begin"/>
      </w:r>
      <w:r w:rsidRPr="00833887">
        <w:rPr>
          <w:vertAlign w:val="superscript"/>
        </w:rPr>
        <w:instrText xml:space="preserve"> NOTEREF _Ref182469750 \h </w:instrText>
      </w:r>
      <w:r>
        <w:rPr>
          <w:vertAlign w:val="superscript"/>
        </w:rPr>
        <w:instrText xml:space="preserve"> \* MERGEFORMAT </w:instrText>
      </w:r>
      <w:r w:rsidRPr="00833887">
        <w:rPr>
          <w:vertAlign w:val="superscript"/>
        </w:rPr>
      </w:r>
      <w:r w:rsidRPr="00833887">
        <w:rPr>
          <w:vertAlign w:val="superscript"/>
        </w:rPr>
        <w:fldChar w:fldCharType="separate"/>
      </w:r>
      <w:r w:rsidR="00D96B61" w:rsidRPr="4C0A0968">
        <w:rPr>
          <w:vertAlign w:val="superscript"/>
          <w:lang w:val="en-GB"/>
        </w:rPr>
        <w:t>4</w:t>
      </w:r>
      <w:r w:rsidRPr="00833887">
        <w:rPr>
          <w:vertAlign w:val="superscript"/>
        </w:rPr>
        <w:fldChar w:fldCharType="end"/>
      </w:r>
      <w:r w:rsidR="009A60B0" w:rsidRPr="4C0A0968">
        <w:rPr>
          <w:lang w:val="en-GB"/>
        </w:rPr>
        <w:t>, as well as</w:t>
      </w:r>
      <w:r w:rsidRPr="4C0A0968">
        <w:rPr>
          <w:lang w:val="en-GB"/>
        </w:rPr>
        <w:t xml:space="preserve"> consultation with several Australian cardiologists.</w:t>
      </w:r>
    </w:p>
    <w:p w14:paraId="6E1957F8" w14:textId="0A5A319B" w:rsidR="00185849" w:rsidRPr="00966446" w:rsidRDefault="000657C9" w:rsidP="00B821DC">
      <w:r>
        <w:rPr>
          <w:noProof/>
        </w:rPr>
        <w:lastRenderedPageBreak/>
        <w:drawing>
          <wp:inline distT="0" distB="0" distL="0" distR="0" wp14:anchorId="412DB3D1" wp14:editId="15925A5F">
            <wp:extent cx="5731510" cy="3209925"/>
            <wp:effectExtent l="0" t="0" r="2540" b="9525"/>
            <wp:docPr id="13" name="Picture 13" descr="Figure 1 Clinical management algorithm for current practice without the Micra 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Figure 1 Clinical management algorithm for current practice without the Micra AV"/>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3209925"/>
                    </a:xfrm>
                    <a:prstGeom prst="rect">
                      <a:avLst/>
                    </a:prstGeom>
                    <a:noFill/>
                  </pic:spPr>
                </pic:pic>
              </a:graphicData>
            </a:graphic>
          </wp:inline>
        </w:drawing>
      </w:r>
    </w:p>
    <w:p w14:paraId="0BA5BB9B" w14:textId="49CAFB8B" w:rsidR="00C4278A" w:rsidRDefault="00F63064" w:rsidP="00C4278A">
      <w:pPr>
        <w:pStyle w:val="Caption"/>
      </w:pPr>
      <w:r>
        <w:t>Figure</w:t>
      </w:r>
      <w:r w:rsidR="00E27EDF">
        <w:t xml:space="preserve"> 1 </w:t>
      </w:r>
      <w:r w:rsidR="00C4278A">
        <w:t xml:space="preserve">Current clinical management algorithm </w:t>
      </w:r>
    </w:p>
    <w:p w14:paraId="701ACE05" w14:textId="77777777" w:rsidR="00C4278A" w:rsidRDefault="00C4278A" w:rsidP="00E95A1D">
      <w:pPr>
        <w:pStyle w:val="Notes-TableFigure"/>
      </w:pPr>
      <w:r>
        <w:t xml:space="preserve">Abbreviations: AF, atrial fibrillation; AV, atrio-ventricular; CRT, cardiac </w:t>
      </w:r>
      <w:proofErr w:type="spellStart"/>
      <w:r>
        <w:t>resynchronisation</w:t>
      </w:r>
      <w:proofErr w:type="spellEnd"/>
      <w:r>
        <w:t xml:space="preserve"> therapy; CRTP, cardiac </w:t>
      </w:r>
      <w:proofErr w:type="spellStart"/>
      <w:r>
        <w:t>resynchronisation</w:t>
      </w:r>
      <w:proofErr w:type="spellEnd"/>
      <w:r>
        <w:t xml:space="preserve"> therapy pacemaker; HF, heart failure; LV, left ventricular; LVEF, left ventricular ejection fraction; TVPM, transvenous pacemaker.</w:t>
      </w:r>
    </w:p>
    <w:p w14:paraId="21353895" w14:textId="78FC931E" w:rsidR="00C4278A" w:rsidRDefault="00C4278A" w:rsidP="00BB56F7">
      <w:pPr>
        <w:pStyle w:val="Notes-TableFigure"/>
      </w:pPr>
      <w:r>
        <w:t xml:space="preserve">Source: </w:t>
      </w:r>
      <w:r w:rsidR="001A24AC">
        <w:t>1772</w:t>
      </w:r>
      <w:r w:rsidR="00EA1726">
        <w:t xml:space="preserve"> </w:t>
      </w:r>
      <w:r w:rsidR="007570C7">
        <w:t>Applicant Derived Assessment Report (</w:t>
      </w:r>
      <w:r w:rsidR="00EA1726">
        <w:t>ADAR</w:t>
      </w:r>
      <w:r w:rsidR="007570C7">
        <w:t>)</w:t>
      </w:r>
      <w:r w:rsidR="00EA1726">
        <w:t xml:space="preserve"> </w:t>
      </w:r>
    </w:p>
    <w:p w14:paraId="2C351C07" w14:textId="09E49503" w:rsidR="00B821DC" w:rsidRDefault="00B821DC" w:rsidP="00B821DC">
      <w:r w:rsidRPr="4C0A0968">
        <w:t>The Micra A</w:t>
      </w:r>
      <w:r w:rsidR="00540A6C" w:rsidRPr="4C0A0968">
        <w:t>V</w:t>
      </w:r>
      <w:r w:rsidRPr="4C0A0968">
        <w:t xml:space="preserve"> LPM is indicated for patients who require permanent pacing to treat bradycardia due to paroxysmal or permanent high-grade AV block and who are in sinus rhythm. The following criteria also apply:</w:t>
      </w:r>
    </w:p>
    <w:p w14:paraId="0C80F457" w14:textId="77777777" w:rsidR="00B821DC" w:rsidRDefault="00B821DC" w:rsidP="004167A0">
      <w:pPr>
        <w:pStyle w:val="ListParagraph"/>
        <w:numPr>
          <w:ilvl w:val="0"/>
          <w:numId w:val="16"/>
        </w:numPr>
      </w:pPr>
      <w:r w:rsidRPr="4C0A0968">
        <w:t>A dual-chamber transvenous pacing system is considered a poor option (e.g. tortuous anatomy, a need to preserve venous access, increased risk of infection) or not deemed necessary for effective therapy.</w:t>
      </w:r>
    </w:p>
    <w:p w14:paraId="4A2A5F22" w14:textId="77777777" w:rsidR="00B821DC" w:rsidRDefault="00B821DC" w:rsidP="004167A0">
      <w:pPr>
        <w:pStyle w:val="ListParagraph"/>
        <w:numPr>
          <w:ilvl w:val="0"/>
          <w:numId w:val="16"/>
        </w:numPr>
      </w:pPr>
      <w:r w:rsidRPr="4C0A0968">
        <w:t>A right ventricular transcatheter pacing system promoting AV synchrony at rest is acceptable (i.e. atrial pacing or close to 100% AV synchronicity is not required).</w:t>
      </w:r>
    </w:p>
    <w:p w14:paraId="19CA59FE" w14:textId="2B0EA1D6" w:rsidR="00193F58" w:rsidRDefault="00B821DC" w:rsidP="00B821DC">
      <w:r w:rsidRPr="4C0A0968">
        <w:t xml:space="preserve">Given that the Micra AV device senses atrial activity, it is not indicated for patients with </w:t>
      </w:r>
      <w:r w:rsidR="007C4C81" w:rsidRPr="4C0A0968">
        <w:t>atrial fibrillation</w:t>
      </w:r>
      <w:r w:rsidRPr="4C0A0968">
        <w:t xml:space="preserve"> </w:t>
      </w:r>
      <w:r w:rsidR="007C4C81" w:rsidRPr="4C0A0968">
        <w:t>(</w:t>
      </w:r>
      <w:r w:rsidRPr="4C0A0968">
        <w:t>AF</w:t>
      </w:r>
      <w:r w:rsidR="007C4C81" w:rsidRPr="4C0A0968">
        <w:t>)</w:t>
      </w:r>
      <w:r w:rsidRPr="4C0A0968">
        <w:t xml:space="preserve"> or those who require pacing to the atrium (i.e. patients with sinus bradycardia with or without chronotropic incompetence) or close to 100% AV synchronicity. The applicant noted that these criteria require a degree of subjective interpretation by the clinician in terms of determining patient need for the device.</w:t>
      </w:r>
      <w:r w:rsidR="00CA79B2" w:rsidRPr="4C0A0968">
        <w:t xml:space="preserve"> However, </w:t>
      </w:r>
      <w:r w:rsidR="00FC1C90" w:rsidRPr="4C0A0968">
        <w:t xml:space="preserve">it is </w:t>
      </w:r>
      <w:r w:rsidR="00CA79B2" w:rsidRPr="4C0A0968">
        <w:t>unclear how this is determined or what the cutoff is in terms of the lower or upper limit of AV synchronicity permissible in the proposed MBS population.</w:t>
      </w:r>
    </w:p>
    <w:p w14:paraId="0E1CE583" w14:textId="5E093B02" w:rsidR="05FD51AC" w:rsidRPr="009C553D" w:rsidRDefault="00081660">
      <w:r w:rsidRPr="4C0A0968">
        <w:t>Per the first bullet point in the criteria listed above,</w:t>
      </w:r>
      <w:r w:rsidR="05FD51AC" w:rsidRPr="4C0A0968">
        <w:t xml:space="preserve"> there are </w:t>
      </w:r>
      <w:r w:rsidR="00964E10" w:rsidRPr="4C0A0968">
        <w:t xml:space="preserve">2 </w:t>
      </w:r>
      <w:r w:rsidR="05FD51AC" w:rsidRPr="4C0A0968">
        <w:t>potential subpopulations in the MBS proposed population of patients with bradycardia due to paroxysmal or permanent high-grade AV block who are in sinus rhythm: a) those for whom a dual-chamber transvenous pacing system is not an option because of, for example, tortuous anatomy, a need to preserve venous access or increased risk of infection</w:t>
      </w:r>
      <w:r w:rsidRPr="4C0A0968">
        <w:t>; and b) those for whom a dual-chamber transvenous pacing system is an option but is not necessary for effective therapy.</w:t>
      </w:r>
      <w:r w:rsidR="05FD51AC" w:rsidRPr="4C0A0968">
        <w:t xml:space="preserve"> This difference affects the choice of comparator since the appropriate comparator for the former population is </w:t>
      </w:r>
      <w:r w:rsidR="233600AC" w:rsidRPr="4C0A0968">
        <w:t xml:space="preserve">an epicardial pacemaker or </w:t>
      </w:r>
      <w:r w:rsidRPr="4C0A0968">
        <w:t>no pacing</w:t>
      </w:r>
      <w:r w:rsidR="05FD51AC" w:rsidRPr="4C0A0968">
        <w:t xml:space="preserve">, whereas the appropriate comparator for the latter population is </w:t>
      </w:r>
      <w:r w:rsidRPr="4C0A0968">
        <w:t>a DC-TVPM.</w:t>
      </w:r>
      <w:r w:rsidR="05FD51AC" w:rsidRPr="4C0A0968">
        <w:t xml:space="preserve"> There is also a third small group noted in the PICO Confirmation: people who currently </w:t>
      </w:r>
      <w:r w:rsidR="05FD51AC" w:rsidRPr="4C0A0968">
        <w:lastRenderedPageBreak/>
        <w:t xml:space="preserve">have a Micra VR implant </w:t>
      </w:r>
      <w:r w:rsidR="003F672A">
        <w:t xml:space="preserve">who </w:t>
      </w:r>
      <w:r w:rsidR="05FD51AC" w:rsidRPr="4C0A0968">
        <w:t>might benefit from switching to the Micra AV.</w:t>
      </w:r>
      <w:r w:rsidRPr="4C0A0968">
        <w:t xml:space="preserve"> </w:t>
      </w:r>
      <w:r w:rsidR="3AB7BE20" w:rsidRPr="4C0A0968">
        <w:t xml:space="preserve">The </w:t>
      </w:r>
      <w:r w:rsidR="00F43B37">
        <w:t>commentary’s</w:t>
      </w:r>
      <w:r w:rsidR="3AB7BE20" w:rsidRPr="4C0A0968">
        <w:t xml:space="preserve"> clinical expert confirmed that </w:t>
      </w:r>
      <w:r w:rsidR="7FDFF5A3" w:rsidRPr="4C0A0968">
        <w:t>this would only occur in the rare instance that a lack of AV synchrony cause</w:t>
      </w:r>
      <w:r w:rsidR="18D12E7A" w:rsidRPr="4C0A0968">
        <w:t>d</w:t>
      </w:r>
      <w:r w:rsidR="7FDFF5A3" w:rsidRPr="4C0A0968">
        <w:t xml:space="preserve"> problematic symptoms</w:t>
      </w:r>
      <w:r w:rsidR="005E3B37">
        <w:t>.</w:t>
      </w:r>
      <w:r w:rsidR="00262CDA">
        <w:t xml:space="preserve"> </w:t>
      </w:r>
      <w:r w:rsidR="00F45011">
        <w:t xml:space="preserve">Notwithstanding </w:t>
      </w:r>
      <w:r w:rsidR="00262CDA">
        <w:t>th</w:t>
      </w:r>
      <w:r w:rsidR="00A80828">
        <w:t>e applicant’s decis</w:t>
      </w:r>
      <w:r w:rsidR="00FD2CCC">
        <w:t xml:space="preserve">ion to exclude Micra VR as a clinical comparator, </w:t>
      </w:r>
      <w:r w:rsidR="00F45011">
        <w:t>ESC noted that</w:t>
      </w:r>
      <w:r w:rsidR="00F766B6">
        <w:t xml:space="preserve"> this meant that no evidence was presented to support </w:t>
      </w:r>
      <w:r w:rsidR="007001F8">
        <w:t>the higher proposed PL benefit for Micra AV</w:t>
      </w:r>
      <w:r w:rsidR="41900AD1" w:rsidRPr="4C0A0968">
        <w:t>.</w:t>
      </w:r>
    </w:p>
    <w:p w14:paraId="556B12CC" w14:textId="49462068" w:rsidR="00A2111F" w:rsidRDefault="00A2111F" w:rsidP="00C96BF1">
      <w:pPr>
        <w:pStyle w:val="Caption"/>
        <w:keepLines/>
      </w:pPr>
      <w:bookmarkStart w:id="16" w:name="_Ref186709123"/>
      <w:r>
        <w:lastRenderedPageBreak/>
        <w:t xml:space="preserve">Table </w:t>
      </w:r>
      <w:r w:rsidR="00B00A5A">
        <w:fldChar w:fldCharType="begin"/>
      </w:r>
      <w:r w:rsidR="00B00A5A">
        <w:instrText xml:space="preserve"> SEQ Table \* ARABIC </w:instrText>
      </w:r>
      <w:r w:rsidR="00B00A5A">
        <w:fldChar w:fldCharType="separate"/>
      </w:r>
      <w:r w:rsidR="00B00A5A">
        <w:rPr>
          <w:noProof/>
        </w:rPr>
        <w:t>3</w:t>
      </w:r>
      <w:r w:rsidR="00B00A5A">
        <w:rPr>
          <w:noProof/>
        </w:rPr>
        <w:fldChar w:fldCharType="end"/>
      </w:r>
      <w:bookmarkEnd w:id="16"/>
      <w:r>
        <w:tab/>
      </w:r>
      <w:r w:rsidRPr="0001290C">
        <w:t xml:space="preserve">PICO criteria for assessing </w:t>
      </w:r>
      <w:r>
        <w:t>s</w:t>
      </w:r>
      <w:r w:rsidRPr="00B14FBF">
        <w:t>ingle</w:t>
      </w:r>
      <w:r>
        <w:t>-</w:t>
      </w:r>
      <w:r w:rsidRPr="00B14FBF">
        <w:t>chamber leadless pacing with atrioventricular synchronous pacing in patients with bradycardia</w:t>
      </w:r>
      <w:r>
        <w:t xml:space="preserve"> and who are in sinus rhythm</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2"/>
        <w:gridCol w:w="7070"/>
      </w:tblGrid>
      <w:tr w:rsidR="00B821DC" w:rsidRPr="00A167AC" w14:paraId="6131E30F" w14:textId="77777777" w:rsidTr="4C0A0968">
        <w:trPr>
          <w:tblHeader/>
        </w:trPr>
        <w:tc>
          <w:tcPr>
            <w:tcW w:w="2002" w:type="dxa"/>
          </w:tcPr>
          <w:p w14:paraId="32C72466" w14:textId="77777777" w:rsidR="00B821DC" w:rsidRPr="00A167AC" w:rsidRDefault="00B821DC" w:rsidP="00C96BF1">
            <w:pPr>
              <w:pStyle w:val="Tabletext0"/>
              <w:keepNext/>
              <w:keepLines/>
              <w:spacing w:before="0" w:after="0"/>
              <w:jc w:val="left"/>
              <w:rPr>
                <w:b/>
                <w:bCs/>
              </w:rPr>
            </w:pPr>
            <w:bookmarkStart w:id="17" w:name="Title_Table15"/>
            <w:r w:rsidRPr="4C0A0968">
              <w:rPr>
                <w:b/>
                <w:bCs/>
              </w:rPr>
              <w:t>Component</w:t>
            </w:r>
          </w:p>
        </w:tc>
        <w:tc>
          <w:tcPr>
            <w:tcW w:w="7070" w:type="dxa"/>
          </w:tcPr>
          <w:p w14:paraId="1CCC359F" w14:textId="77777777" w:rsidR="00B821DC" w:rsidRPr="00A167AC" w:rsidRDefault="00B821DC" w:rsidP="00C96BF1">
            <w:pPr>
              <w:pStyle w:val="Tabletext0"/>
              <w:keepNext/>
              <w:keepLines/>
              <w:spacing w:before="0" w:after="0"/>
              <w:jc w:val="left"/>
              <w:rPr>
                <w:b/>
                <w:bCs/>
              </w:rPr>
            </w:pPr>
            <w:r w:rsidRPr="00A167AC">
              <w:rPr>
                <w:b/>
                <w:bCs/>
              </w:rPr>
              <w:t>Description</w:t>
            </w:r>
          </w:p>
        </w:tc>
      </w:tr>
      <w:bookmarkEnd w:id="17"/>
      <w:tr w:rsidR="00B821DC" w:rsidRPr="0001290C" w14:paraId="5F16DD7F" w14:textId="77777777" w:rsidTr="4C0A0968">
        <w:tc>
          <w:tcPr>
            <w:tcW w:w="2002" w:type="dxa"/>
          </w:tcPr>
          <w:p w14:paraId="51E0AF88" w14:textId="77777777" w:rsidR="00B821DC" w:rsidRPr="0001290C" w:rsidRDefault="00B821DC" w:rsidP="00C96BF1">
            <w:pPr>
              <w:pStyle w:val="Tabletext0"/>
              <w:keepNext/>
              <w:keepLines/>
              <w:spacing w:before="0" w:after="0"/>
              <w:jc w:val="left"/>
            </w:pPr>
            <w:r w:rsidRPr="0001290C">
              <w:t>Population</w:t>
            </w:r>
          </w:p>
        </w:tc>
        <w:tc>
          <w:tcPr>
            <w:tcW w:w="7070" w:type="dxa"/>
          </w:tcPr>
          <w:p w14:paraId="33BAE2A0" w14:textId="77777777" w:rsidR="00B821DC" w:rsidRPr="00A167AC" w:rsidRDefault="00B821DC" w:rsidP="00C96BF1">
            <w:pPr>
              <w:pStyle w:val="Tabletext0"/>
              <w:keepNext/>
              <w:keepLines/>
              <w:spacing w:before="0" w:after="0"/>
              <w:jc w:val="left"/>
            </w:pPr>
            <w:r w:rsidRPr="4C0A0968">
              <w:t xml:space="preserve">Patients who are indicated for permanent pacing to treat bradycardia due to paroxysmal or permanent high-grade AV block and who are in sinus rhythm. </w:t>
            </w:r>
          </w:p>
          <w:p w14:paraId="2394F562" w14:textId="77777777" w:rsidR="00B821DC" w:rsidRPr="00A167AC" w:rsidRDefault="00B821DC" w:rsidP="00C96BF1">
            <w:pPr>
              <w:pStyle w:val="Tabletext0"/>
              <w:keepNext/>
              <w:keepLines/>
              <w:spacing w:before="0" w:after="0"/>
              <w:jc w:val="left"/>
            </w:pPr>
            <w:r w:rsidRPr="00A167AC">
              <w:t xml:space="preserve">The following criteria also apply: </w:t>
            </w:r>
          </w:p>
          <w:p w14:paraId="2496819A" w14:textId="77777777" w:rsidR="00B821DC" w:rsidRPr="00A167AC" w:rsidRDefault="00B821DC" w:rsidP="00C96BF1">
            <w:pPr>
              <w:pStyle w:val="Tabletext0"/>
              <w:keepNext/>
              <w:keepLines/>
              <w:numPr>
                <w:ilvl w:val="0"/>
                <w:numId w:val="18"/>
              </w:numPr>
              <w:spacing w:before="0" w:after="0"/>
              <w:jc w:val="left"/>
            </w:pPr>
            <w:r w:rsidRPr="4C0A0968">
              <w:t>A dual-chamber transvenous pacing system is considered a poor option (e.g. tortuous anatomy, a need to preserve venous access, increased risk of infection) or not deemed necessary for effective therapy.</w:t>
            </w:r>
          </w:p>
          <w:p w14:paraId="3CF6B1FC" w14:textId="77777777" w:rsidR="00B821DC" w:rsidRPr="0001290C" w:rsidRDefault="00B821DC" w:rsidP="00C96BF1">
            <w:pPr>
              <w:pStyle w:val="Tabletext0"/>
              <w:keepNext/>
              <w:keepLines/>
              <w:numPr>
                <w:ilvl w:val="0"/>
                <w:numId w:val="18"/>
              </w:numPr>
              <w:spacing w:before="0" w:after="0"/>
              <w:jc w:val="left"/>
            </w:pPr>
            <w:r w:rsidRPr="4C0A0968">
              <w:t>A right ventricular transcatheter pacing system promoting AV synchrony at rest is acceptable (i.e. atrial pacing or close to 100% AV synchronicity is not required).</w:t>
            </w:r>
          </w:p>
        </w:tc>
      </w:tr>
      <w:tr w:rsidR="00B821DC" w:rsidRPr="0001290C" w14:paraId="351044A9" w14:textId="77777777" w:rsidTr="4C0A0968">
        <w:tc>
          <w:tcPr>
            <w:tcW w:w="2002" w:type="dxa"/>
          </w:tcPr>
          <w:p w14:paraId="0B3C3FE2" w14:textId="77777777" w:rsidR="00B821DC" w:rsidRPr="0001290C" w:rsidRDefault="00B821DC" w:rsidP="00C96BF1">
            <w:pPr>
              <w:pStyle w:val="Tabletext0"/>
              <w:keepNext/>
              <w:keepLines/>
              <w:spacing w:before="0" w:after="0"/>
              <w:jc w:val="left"/>
            </w:pPr>
            <w:r w:rsidRPr="0001290C">
              <w:t>Intervention</w:t>
            </w:r>
          </w:p>
        </w:tc>
        <w:tc>
          <w:tcPr>
            <w:tcW w:w="7070" w:type="dxa"/>
          </w:tcPr>
          <w:p w14:paraId="216B866A" w14:textId="77777777" w:rsidR="00B821DC" w:rsidRPr="0001290C" w:rsidRDefault="00B821DC" w:rsidP="00C96BF1">
            <w:pPr>
              <w:pStyle w:val="Tabletext0"/>
              <w:keepNext/>
              <w:keepLines/>
              <w:spacing w:before="0" w:after="0"/>
              <w:jc w:val="left"/>
            </w:pPr>
            <w:r w:rsidRPr="006E4BDD">
              <w:t>Insertion of a LPM into the right ventricle, that promotes AV synchronous pacing (Medtronic Micra AV)</w:t>
            </w:r>
          </w:p>
        </w:tc>
      </w:tr>
      <w:tr w:rsidR="00B821DC" w:rsidRPr="0001290C" w14:paraId="571DC5C1" w14:textId="77777777" w:rsidTr="4C0A0968">
        <w:tc>
          <w:tcPr>
            <w:tcW w:w="2002" w:type="dxa"/>
          </w:tcPr>
          <w:p w14:paraId="4C26CB0E" w14:textId="77777777" w:rsidR="00B821DC" w:rsidRPr="008D6A5D" w:rsidRDefault="00B821DC" w:rsidP="00C96BF1">
            <w:pPr>
              <w:pStyle w:val="Tabletext0"/>
              <w:keepNext/>
              <w:keepLines/>
              <w:spacing w:before="0" w:after="0"/>
              <w:jc w:val="left"/>
            </w:pPr>
            <w:r w:rsidRPr="008D6A5D">
              <w:t>Comparator</w:t>
            </w:r>
          </w:p>
        </w:tc>
        <w:tc>
          <w:tcPr>
            <w:tcW w:w="7070" w:type="dxa"/>
          </w:tcPr>
          <w:p w14:paraId="0748B2C1" w14:textId="77777777" w:rsidR="00B821DC" w:rsidRDefault="00B821DC" w:rsidP="00C96BF1">
            <w:pPr>
              <w:pStyle w:val="Tabletext0"/>
              <w:keepNext/>
              <w:keepLines/>
              <w:spacing w:before="0" w:after="0"/>
              <w:jc w:val="left"/>
            </w:pPr>
            <w:r w:rsidRPr="008D6A5D">
              <w:t>Primary: insertion of a conventional</w:t>
            </w:r>
            <w:r>
              <w:t xml:space="preserve"> </w:t>
            </w:r>
            <w:r w:rsidRPr="008D6A5D">
              <w:t>DC-TVPM</w:t>
            </w:r>
          </w:p>
          <w:p w14:paraId="0AFE415A" w14:textId="1848A918" w:rsidR="00B821DC" w:rsidRPr="008D6A5D" w:rsidRDefault="00B821DC" w:rsidP="00C96BF1">
            <w:pPr>
              <w:pStyle w:val="Tabletext0"/>
              <w:keepNext/>
              <w:keepLines/>
              <w:spacing w:before="0" w:after="0"/>
              <w:jc w:val="left"/>
            </w:pPr>
            <w:r w:rsidRPr="004A4025">
              <w:t>Secondary: insertion of a Micra VR LPM (if applicant intends to seek a higher PL benefit for the Micra AV)</w:t>
            </w:r>
            <w:r w:rsidR="00001BCD">
              <w:t xml:space="preserve"> </w:t>
            </w:r>
            <w:r w:rsidR="00F91BA1" w:rsidRPr="009C553D">
              <w:rPr>
                <w:vertAlign w:val="superscript"/>
              </w:rPr>
              <w:t>a</w:t>
            </w:r>
          </w:p>
        </w:tc>
      </w:tr>
      <w:tr w:rsidR="00B821DC" w:rsidRPr="0001290C" w14:paraId="0A77BE34" w14:textId="77777777" w:rsidTr="4C0A0968">
        <w:tc>
          <w:tcPr>
            <w:tcW w:w="2002" w:type="dxa"/>
          </w:tcPr>
          <w:p w14:paraId="2C384F76" w14:textId="027B9BA9" w:rsidR="00B821DC" w:rsidRPr="0001290C" w:rsidRDefault="00B821DC" w:rsidP="00C96BF1">
            <w:pPr>
              <w:pStyle w:val="Tabletext0"/>
              <w:keepNext/>
              <w:keepLines/>
              <w:spacing w:before="0" w:after="0"/>
              <w:jc w:val="left"/>
            </w:pPr>
            <w:r w:rsidRPr="0001290C">
              <w:t>Outcomes</w:t>
            </w:r>
            <w:r>
              <w:t xml:space="preserve"> </w:t>
            </w:r>
            <w:r w:rsidR="004B321E">
              <w:rPr>
                <w:vertAlign w:val="superscript"/>
              </w:rPr>
              <w:t>bb</w:t>
            </w:r>
          </w:p>
        </w:tc>
        <w:tc>
          <w:tcPr>
            <w:tcW w:w="7070" w:type="dxa"/>
          </w:tcPr>
          <w:p w14:paraId="074D2D40" w14:textId="77777777" w:rsidR="00B821DC" w:rsidRPr="0078084B" w:rsidRDefault="00B821DC" w:rsidP="00C96BF1">
            <w:pPr>
              <w:pStyle w:val="Tabletext0"/>
              <w:keepNext/>
              <w:keepLines/>
              <w:spacing w:before="0" w:after="0"/>
              <w:jc w:val="left"/>
              <w:rPr>
                <w:b/>
              </w:rPr>
            </w:pPr>
            <w:r w:rsidRPr="0078084B">
              <w:rPr>
                <w:b/>
              </w:rPr>
              <w:t>Technical performance</w:t>
            </w:r>
          </w:p>
          <w:p w14:paraId="36CD9963" w14:textId="77777777" w:rsidR="00B821DC" w:rsidRPr="00A73E09" w:rsidRDefault="00B821DC" w:rsidP="00C96BF1">
            <w:pPr>
              <w:pStyle w:val="Tabletext0"/>
              <w:keepNext/>
              <w:keepLines/>
              <w:spacing w:before="0" w:after="0"/>
              <w:jc w:val="left"/>
              <w:rPr>
                <w:bCs/>
              </w:rPr>
            </w:pPr>
            <w:r w:rsidRPr="00A73E09">
              <w:rPr>
                <w:bCs/>
              </w:rPr>
              <w:t>Pacing performance (sensing, impedance, pacing threshold, AV synchronicity, rate-responsiveness)</w:t>
            </w:r>
          </w:p>
          <w:p w14:paraId="08823A18" w14:textId="77777777" w:rsidR="00B821DC" w:rsidRPr="00A73E09" w:rsidRDefault="00B821DC" w:rsidP="00C96BF1">
            <w:pPr>
              <w:pStyle w:val="Tabletext0"/>
              <w:keepNext/>
              <w:keepLines/>
              <w:spacing w:before="0" w:after="0"/>
              <w:jc w:val="left"/>
              <w:rPr>
                <w:bCs/>
              </w:rPr>
            </w:pPr>
            <w:r w:rsidRPr="00A73E09">
              <w:rPr>
                <w:bCs/>
              </w:rPr>
              <w:t>Battery life</w:t>
            </w:r>
          </w:p>
          <w:p w14:paraId="06FB5701" w14:textId="77777777" w:rsidR="00B821DC" w:rsidRPr="0078084B" w:rsidRDefault="00B821DC" w:rsidP="00C96BF1">
            <w:pPr>
              <w:pStyle w:val="Tabletext0"/>
              <w:keepNext/>
              <w:keepLines/>
              <w:spacing w:before="0" w:after="0"/>
              <w:jc w:val="left"/>
              <w:rPr>
                <w:b/>
              </w:rPr>
            </w:pPr>
            <w:r w:rsidRPr="0078084B">
              <w:rPr>
                <w:b/>
              </w:rPr>
              <w:t>Patient-relevant effectiveness</w:t>
            </w:r>
          </w:p>
          <w:p w14:paraId="73458240" w14:textId="77777777" w:rsidR="00B821DC" w:rsidRPr="00A73E09" w:rsidRDefault="00B821DC" w:rsidP="00C96BF1">
            <w:pPr>
              <w:pStyle w:val="Tabletext0"/>
              <w:keepNext/>
              <w:keepLines/>
              <w:spacing w:before="0" w:after="0"/>
              <w:jc w:val="left"/>
              <w:rPr>
                <w:bCs/>
              </w:rPr>
            </w:pPr>
            <w:r w:rsidRPr="00A73E09">
              <w:rPr>
                <w:bCs/>
              </w:rPr>
              <w:t>Mortality (all-cause, cardiovascular)</w:t>
            </w:r>
          </w:p>
          <w:p w14:paraId="4CA2B6A1" w14:textId="77777777" w:rsidR="00B821DC" w:rsidRPr="00A73E09" w:rsidRDefault="00B821DC" w:rsidP="00C96BF1">
            <w:pPr>
              <w:pStyle w:val="Tabletext0"/>
              <w:keepNext/>
              <w:keepLines/>
              <w:spacing w:before="0" w:after="0"/>
              <w:jc w:val="left"/>
            </w:pPr>
            <w:r w:rsidRPr="4C0A0968">
              <w:t>Exercise capacity</w:t>
            </w:r>
          </w:p>
          <w:p w14:paraId="19450F30" w14:textId="77777777" w:rsidR="00B821DC" w:rsidRPr="00A73E09" w:rsidRDefault="00B821DC" w:rsidP="00C96BF1">
            <w:pPr>
              <w:pStyle w:val="Tabletext0"/>
              <w:keepNext/>
              <w:keepLines/>
              <w:spacing w:before="0" w:after="0"/>
              <w:jc w:val="left"/>
              <w:rPr>
                <w:bCs/>
              </w:rPr>
            </w:pPr>
            <w:r w:rsidRPr="00A73E09">
              <w:rPr>
                <w:bCs/>
              </w:rPr>
              <w:t>Switch to an alternative device (a different pacemaker or defibrillator)</w:t>
            </w:r>
          </w:p>
          <w:p w14:paraId="09646FF8" w14:textId="77777777" w:rsidR="00B821DC" w:rsidRPr="00A73E09" w:rsidRDefault="00B821DC" w:rsidP="00C96BF1">
            <w:pPr>
              <w:pStyle w:val="Tabletext0"/>
              <w:keepNext/>
              <w:keepLines/>
              <w:spacing w:before="0" w:after="0"/>
              <w:jc w:val="left"/>
              <w:rPr>
                <w:bCs/>
              </w:rPr>
            </w:pPr>
            <w:r w:rsidRPr="00A73E09">
              <w:rPr>
                <w:bCs/>
              </w:rPr>
              <w:t>Health-related quality of life</w:t>
            </w:r>
          </w:p>
          <w:p w14:paraId="6D28342A" w14:textId="77777777" w:rsidR="00B821DC" w:rsidRPr="00A73E09" w:rsidRDefault="00B821DC" w:rsidP="00C96BF1">
            <w:pPr>
              <w:pStyle w:val="Tabletext0"/>
              <w:keepNext/>
              <w:keepLines/>
              <w:spacing w:before="0" w:after="0"/>
              <w:jc w:val="left"/>
              <w:rPr>
                <w:bCs/>
              </w:rPr>
            </w:pPr>
            <w:r w:rsidRPr="00A73E09">
              <w:rPr>
                <w:bCs/>
              </w:rPr>
              <w:t>Patient satisfaction</w:t>
            </w:r>
          </w:p>
          <w:p w14:paraId="3A661C81" w14:textId="77777777" w:rsidR="00B821DC" w:rsidRPr="00A73E09" w:rsidRDefault="00B821DC" w:rsidP="00C96BF1">
            <w:pPr>
              <w:pStyle w:val="Tabletext0"/>
              <w:keepNext/>
              <w:keepLines/>
              <w:spacing w:before="0" w:after="0"/>
              <w:jc w:val="left"/>
              <w:rPr>
                <w:bCs/>
              </w:rPr>
            </w:pPr>
            <w:r w:rsidRPr="00A73E09">
              <w:rPr>
                <w:bCs/>
              </w:rPr>
              <w:t>Any differential outcome by patient characteristics (e.g. age, comorbidities, pacing indications)</w:t>
            </w:r>
          </w:p>
          <w:p w14:paraId="7A605468" w14:textId="77777777" w:rsidR="00B821DC" w:rsidRPr="0078084B" w:rsidRDefault="00B821DC" w:rsidP="00C96BF1">
            <w:pPr>
              <w:pStyle w:val="Tabletext0"/>
              <w:keepNext/>
              <w:keepLines/>
              <w:spacing w:before="0" w:after="0"/>
              <w:jc w:val="left"/>
              <w:rPr>
                <w:b/>
              </w:rPr>
            </w:pPr>
            <w:r w:rsidRPr="0078084B">
              <w:rPr>
                <w:b/>
              </w:rPr>
              <w:t>Safety</w:t>
            </w:r>
          </w:p>
          <w:p w14:paraId="5C9307ED" w14:textId="77777777" w:rsidR="00B821DC" w:rsidRPr="00A73E09" w:rsidRDefault="00B821DC" w:rsidP="00C96BF1">
            <w:pPr>
              <w:pStyle w:val="Tabletext0"/>
              <w:keepNext/>
              <w:keepLines/>
              <w:spacing w:before="0" w:after="0"/>
              <w:jc w:val="left"/>
              <w:rPr>
                <w:bCs/>
              </w:rPr>
            </w:pPr>
            <w:r w:rsidRPr="00A73E09">
              <w:rPr>
                <w:bCs/>
              </w:rPr>
              <w:t>Implant success/failure rates</w:t>
            </w:r>
          </w:p>
          <w:p w14:paraId="0FA3E98A" w14:textId="77777777" w:rsidR="00B821DC" w:rsidRPr="00A73E09" w:rsidRDefault="00B821DC" w:rsidP="00C96BF1">
            <w:pPr>
              <w:pStyle w:val="Tabletext0"/>
              <w:keepNext/>
              <w:keepLines/>
              <w:spacing w:before="0" w:after="0"/>
              <w:jc w:val="left"/>
              <w:rPr>
                <w:bCs/>
              </w:rPr>
            </w:pPr>
            <w:r w:rsidRPr="00A73E09">
              <w:rPr>
                <w:bCs/>
              </w:rPr>
              <w:t>Procedure-related mortality and major complications (acute, chronic)</w:t>
            </w:r>
          </w:p>
          <w:p w14:paraId="1E430FD4" w14:textId="77777777" w:rsidR="00B821DC" w:rsidRPr="00A73E09" w:rsidRDefault="00B821DC" w:rsidP="00C96BF1">
            <w:pPr>
              <w:pStyle w:val="Tabletext0"/>
              <w:keepNext/>
              <w:keepLines/>
              <w:spacing w:before="0" w:after="0"/>
              <w:jc w:val="left"/>
              <w:rPr>
                <w:bCs/>
              </w:rPr>
            </w:pPr>
            <w:r w:rsidRPr="00A73E09">
              <w:rPr>
                <w:bCs/>
              </w:rPr>
              <w:t>Major device-related complications (device dislodgement, device malfunction, battery failure, device infection, pacemaker-induced arrhythmia)</w:t>
            </w:r>
          </w:p>
          <w:p w14:paraId="0DC2F071" w14:textId="77777777" w:rsidR="00B821DC" w:rsidRPr="00A73E09" w:rsidRDefault="00B821DC" w:rsidP="00C96BF1">
            <w:pPr>
              <w:pStyle w:val="Tabletext0"/>
              <w:keepNext/>
              <w:keepLines/>
              <w:spacing w:before="0" w:after="0"/>
              <w:jc w:val="left"/>
              <w:rPr>
                <w:bCs/>
              </w:rPr>
            </w:pPr>
            <w:r w:rsidRPr="00A73E09">
              <w:rPr>
                <w:bCs/>
              </w:rPr>
              <w:t>Pacemaker syndrome</w:t>
            </w:r>
          </w:p>
          <w:p w14:paraId="0A8EC9EA" w14:textId="77777777" w:rsidR="00B821DC" w:rsidRPr="00A73E09" w:rsidRDefault="00B821DC" w:rsidP="00C96BF1">
            <w:pPr>
              <w:pStyle w:val="Tabletext0"/>
              <w:keepNext/>
              <w:keepLines/>
              <w:spacing w:before="0" w:after="0"/>
              <w:jc w:val="left"/>
            </w:pPr>
            <w:r w:rsidRPr="4C0A0968">
              <w:t>Device revision, retrieval, replacement, explantation, reintervention rates</w:t>
            </w:r>
          </w:p>
          <w:p w14:paraId="22E4C597" w14:textId="77777777" w:rsidR="00B821DC" w:rsidRPr="00A73E09" w:rsidRDefault="00B821DC" w:rsidP="00C96BF1">
            <w:pPr>
              <w:pStyle w:val="Tabletext0"/>
              <w:keepNext/>
              <w:keepLines/>
              <w:spacing w:before="0" w:after="0"/>
              <w:jc w:val="left"/>
              <w:rPr>
                <w:bCs/>
              </w:rPr>
            </w:pPr>
            <w:r w:rsidRPr="00A73E09">
              <w:rPr>
                <w:bCs/>
              </w:rPr>
              <w:t>Any serious adverse events</w:t>
            </w:r>
          </w:p>
          <w:p w14:paraId="3D7CF272" w14:textId="77777777" w:rsidR="00B821DC" w:rsidRPr="0078084B" w:rsidRDefault="00B821DC" w:rsidP="00C96BF1">
            <w:pPr>
              <w:pStyle w:val="Tabletext0"/>
              <w:keepNext/>
              <w:keepLines/>
              <w:spacing w:before="0" w:after="0"/>
              <w:jc w:val="left"/>
              <w:rPr>
                <w:b/>
              </w:rPr>
            </w:pPr>
            <w:r w:rsidRPr="0078084B">
              <w:rPr>
                <w:b/>
              </w:rPr>
              <w:t>Healthcare resources</w:t>
            </w:r>
          </w:p>
          <w:p w14:paraId="7D6DC8EA" w14:textId="77777777" w:rsidR="00B821DC" w:rsidRPr="00A73E09" w:rsidRDefault="00B821DC" w:rsidP="00C96BF1">
            <w:pPr>
              <w:pStyle w:val="Tabletext0"/>
              <w:keepNext/>
              <w:keepLines/>
              <w:spacing w:before="0" w:after="0"/>
              <w:jc w:val="left"/>
              <w:rPr>
                <w:bCs/>
              </w:rPr>
            </w:pPr>
            <w:r w:rsidRPr="00A73E09">
              <w:rPr>
                <w:bCs/>
              </w:rPr>
              <w:t>Cost of the device and consumables</w:t>
            </w:r>
          </w:p>
          <w:p w14:paraId="77C1C07A" w14:textId="77777777" w:rsidR="00B821DC" w:rsidRPr="00A73E09" w:rsidRDefault="00B821DC" w:rsidP="00C96BF1">
            <w:pPr>
              <w:pStyle w:val="Tabletext0"/>
              <w:keepNext/>
              <w:keepLines/>
              <w:spacing w:before="0" w:after="0"/>
              <w:jc w:val="left"/>
              <w:rPr>
                <w:bCs/>
              </w:rPr>
            </w:pPr>
            <w:r w:rsidRPr="00A73E09">
              <w:rPr>
                <w:bCs/>
              </w:rPr>
              <w:t xml:space="preserve">Procedure-related costs </w:t>
            </w:r>
          </w:p>
          <w:p w14:paraId="5F01F1BE" w14:textId="0940CF96" w:rsidR="00B821DC" w:rsidRPr="00A73E09" w:rsidRDefault="00B821DC" w:rsidP="00C96BF1">
            <w:pPr>
              <w:pStyle w:val="Tabletext0"/>
              <w:keepNext/>
              <w:keepLines/>
              <w:spacing w:before="0" w:after="0"/>
              <w:jc w:val="left"/>
              <w:rPr>
                <w:bCs/>
              </w:rPr>
            </w:pPr>
            <w:r w:rsidRPr="00A73E09">
              <w:rPr>
                <w:bCs/>
              </w:rPr>
              <w:t>Follow</w:t>
            </w:r>
            <w:r w:rsidR="007019A8">
              <w:rPr>
                <w:bCs/>
              </w:rPr>
              <w:t>-</w:t>
            </w:r>
            <w:r w:rsidRPr="00A73E09">
              <w:rPr>
                <w:bCs/>
              </w:rPr>
              <w:t xml:space="preserve">up evaluation and monitoring costs </w:t>
            </w:r>
          </w:p>
          <w:p w14:paraId="68A3F5BD" w14:textId="77777777" w:rsidR="00B821DC" w:rsidRPr="00A73E09" w:rsidRDefault="00B821DC" w:rsidP="00C96BF1">
            <w:pPr>
              <w:pStyle w:val="Tabletext0"/>
              <w:keepNext/>
              <w:keepLines/>
              <w:spacing w:before="0" w:after="0"/>
              <w:jc w:val="left"/>
              <w:rPr>
                <w:bCs/>
              </w:rPr>
            </w:pPr>
            <w:r w:rsidRPr="00A73E09">
              <w:rPr>
                <w:bCs/>
              </w:rPr>
              <w:t>Costs associated with the management of complications</w:t>
            </w:r>
          </w:p>
          <w:p w14:paraId="75174D31" w14:textId="77777777" w:rsidR="00B821DC" w:rsidRPr="0078084B" w:rsidRDefault="00B821DC" w:rsidP="00C96BF1">
            <w:pPr>
              <w:pStyle w:val="Tabletext0"/>
              <w:keepNext/>
              <w:keepLines/>
              <w:spacing w:before="0" w:after="0"/>
              <w:jc w:val="left"/>
              <w:rPr>
                <w:b/>
              </w:rPr>
            </w:pPr>
            <w:r w:rsidRPr="0078084B">
              <w:rPr>
                <w:b/>
              </w:rPr>
              <w:t>Cost-effectiveness</w:t>
            </w:r>
          </w:p>
          <w:p w14:paraId="19F94278" w14:textId="77777777" w:rsidR="00B821DC" w:rsidRPr="0001290C" w:rsidRDefault="00B821DC" w:rsidP="00C96BF1">
            <w:pPr>
              <w:pStyle w:val="Tabletext0"/>
              <w:keepNext/>
              <w:keepLines/>
              <w:spacing w:before="0" w:after="0"/>
              <w:jc w:val="left"/>
            </w:pPr>
            <w:r w:rsidRPr="0078084B">
              <w:rPr>
                <w:b/>
              </w:rPr>
              <w:t>Total Australian Government health care costs (e.g. public/private hospital, PHI, OOP)</w:t>
            </w:r>
          </w:p>
        </w:tc>
      </w:tr>
      <w:tr w:rsidR="00B821DC" w:rsidRPr="0001290C" w14:paraId="5A7FF221" w14:textId="77777777" w:rsidTr="4C0A0968">
        <w:trPr>
          <w:trHeight w:val="1142"/>
        </w:trPr>
        <w:tc>
          <w:tcPr>
            <w:tcW w:w="9072" w:type="dxa"/>
            <w:gridSpan w:val="2"/>
          </w:tcPr>
          <w:p w14:paraId="2EC884BE" w14:textId="77777777" w:rsidR="00B821DC" w:rsidRPr="0001290C" w:rsidRDefault="00B821DC" w:rsidP="00C96BF1">
            <w:pPr>
              <w:pStyle w:val="Tabletext0"/>
              <w:keepNext/>
              <w:keepLines/>
              <w:spacing w:before="0" w:after="0"/>
              <w:jc w:val="left"/>
            </w:pPr>
            <w:r w:rsidRPr="0001290C">
              <w:t>Systematic review questions:</w:t>
            </w:r>
          </w:p>
          <w:p w14:paraId="5D993B2C" w14:textId="16685C2D" w:rsidR="00B821DC" w:rsidRPr="0001290C" w:rsidRDefault="00B821DC" w:rsidP="00C96BF1">
            <w:pPr>
              <w:pStyle w:val="Tabletext0"/>
              <w:keepNext/>
              <w:keepLines/>
              <w:spacing w:before="0" w:after="0"/>
              <w:jc w:val="left"/>
            </w:pPr>
            <w:r w:rsidRPr="4C0A0968">
              <w:t>What is the safety, effectiveness and cost-effectiveness of single</w:t>
            </w:r>
            <w:r w:rsidR="00480343" w:rsidRPr="4C0A0968">
              <w:t>-</w:t>
            </w:r>
            <w:r w:rsidRPr="4C0A0968">
              <w:t>chamber leadless pacing with atrioventricular synchronous pacing compared to a dual-chamber transvenous pacemaker in patients with bradycardia due to paroxysmal or permanent high-grade atrioventricular block and who are in sinus rhythm</w:t>
            </w:r>
            <w:r w:rsidR="003329D7" w:rsidRPr="4C0A0968">
              <w:t xml:space="preserve"> and are ineligible for or do not require a DC-TVPM</w:t>
            </w:r>
            <w:r w:rsidRPr="4C0A0968">
              <w:t>?</w:t>
            </w:r>
          </w:p>
        </w:tc>
      </w:tr>
    </w:tbl>
    <w:p w14:paraId="4CD75EB1" w14:textId="77777777" w:rsidR="00FA37CF" w:rsidRPr="006F173C" w:rsidRDefault="00B821DC" w:rsidP="00C96BF1">
      <w:pPr>
        <w:pStyle w:val="TableFigNote"/>
        <w:keepNext/>
        <w:keepLines/>
        <w:spacing w:before="40" w:after="0"/>
        <w:contextualSpacing w:val="0"/>
        <w:rPr>
          <w:rFonts w:ascii="Arial Narrow" w:hAnsi="Arial Narrow"/>
          <w:szCs w:val="18"/>
          <w:u w:val="single"/>
        </w:rPr>
      </w:pPr>
      <w:r w:rsidRPr="006F173C">
        <w:rPr>
          <w:rFonts w:ascii="Arial Narrow" w:hAnsi="Arial Narrow"/>
          <w:b/>
          <w:u w:val="single"/>
        </w:rPr>
        <w:t>Abbreviations</w:t>
      </w:r>
    </w:p>
    <w:p w14:paraId="7978D272" w14:textId="1C74792F" w:rsidR="00B821DC" w:rsidRPr="006F173C" w:rsidRDefault="00B821DC" w:rsidP="00C96BF1">
      <w:pPr>
        <w:pStyle w:val="TableFigNote"/>
        <w:keepNext/>
        <w:keepLines/>
        <w:spacing w:before="40" w:after="40"/>
        <w:contextualSpacing w:val="0"/>
        <w:rPr>
          <w:rFonts w:ascii="Arial Narrow" w:hAnsi="Arial Narrow"/>
        </w:rPr>
      </w:pPr>
      <w:r w:rsidRPr="006F173C">
        <w:rPr>
          <w:rFonts w:ascii="Arial Narrow" w:hAnsi="Arial Narrow"/>
          <w:b/>
        </w:rPr>
        <w:t>AV</w:t>
      </w:r>
      <w:r w:rsidR="005B29F2">
        <w:rPr>
          <w:rFonts w:ascii="Arial Narrow" w:hAnsi="Arial Narrow"/>
          <w:szCs w:val="18"/>
        </w:rPr>
        <w:t xml:space="preserve"> =</w:t>
      </w:r>
      <w:r w:rsidRPr="006F173C">
        <w:rPr>
          <w:rFonts w:ascii="Arial Narrow" w:hAnsi="Arial Narrow"/>
        </w:rPr>
        <w:t xml:space="preserve"> atrioventricular</w:t>
      </w:r>
      <w:r w:rsidR="005B29F2">
        <w:rPr>
          <w:rFonts w:ascii="Arial Narrow" w:hAnsi="Arial Narrow"/>
          <w:szCs w:val="18"/>
        </w:rPr>
        <w:t>,</w:t>
      </w:r>
      <w:r w:rsidRPr="006F173C">
        <w:rPr>
          <w:rFonts w:ascii="Arial Narrow" w:hAnsi="Arial Narrow"/>
        </w:rPr>
        <w:t xml:space="preserve"> </w:t>
      </w:r>
      <w:r w:rsidRPr="006F173C">
        <w:rPr>
          <w:rFonts w:ascii="Arial Narrow" w:hAnsi="Arial Narrow"/>
          <w:b/>
        </w:rPr>
        <w:t>DC-TVPM</w:t>
      </w:r>
      <w:r w:rsidR="009E5ABE">
        <w:rPr>
          <w:rFonts w:ascii="Arial Narrow" w:hAnsi="Arial Narrow"/>
          <w:szCs w:val="18"/>
        </w:rPr>
        <w:t xml:space="preserve"> =</w:t>
      </w:r>
      <w:r w:rsidRPr="006F173C">
        <w:rPr>
          <w:rFonts w:ascii="Arial Narrow" w:hAnsi="Arial Narrow"/>
        </w:rPr>
        <w:t xml:space="preserve"> dual-chamber transvenous pacemaker</w:t>
      </w:r>
      <w:r w:rsidR="009E5ABE">
        <w:rPr>
          <w:rFonts w:ascii="Arial Narrow" w:hAnsi="Arial Narrow"/>
          <w:szCs w:val="18"/>
        </w:rPr>
        <w:t>,</w:t>
      </w:r>
      <w:r w:rsidRPr="006F173C">
        <w:rPr>
          <w:rFonts w:ascii="Arial Narrow" w:hAnsi="Arial Narrow"/>
        </w:rPr>
        <w:t xml:space="preserve"> </w:t>
      </w:r>
      <w:r w:rsidRPr="006F173C">
        <w:rPr>
          <w:rFonts w:ascii="Arial Narrow" w:hAnsi="Arial Narrow"/>
          <w:b/>
        </w:rPr>
        <w:t>LPM</w:t>
      </w:r>
      <w:r w:rsidR="009E5ABE">
        <w:rPr>
          <w:rFonts w:ascii="Arial Narrow" w:hAnsi="Arial Narrow"/>
          <w:szCs w:val="18"/>
        </w:rPr>
        <w:t xml:space="preserve"> =</w:t>
      </w:r>
      <w:r w:rsidRPr="006F173C">
        <w:rPr>
          <w:rFonts w:ascii="Arial Narrow" w:hAnsi="Arial Narrow"/>
        </w:rPr>
        <w:t xml:space="preserve"> leadless pacemaker</w:t>
      </w:r>
      <w:r w:rsidR="009E5ABE">
        <w:rPr>
          <w:rFonts w:ascii="Arial Narrow" w:hAnsi="Arial Narrow"/>
          <w:szCs w:val="18"/>
        </w:rPr>
        <w:t>,</w:t>
      </w:r>
      <w:r w:rsidRPr="006F173C">
        <w:rPr>
          <w:rFonts w:ascii="Arial Narrow" w:hAnsi="Arial Narrow"/>
        </w:rPr>
        <w:t xml:space="preserve"> </w:t>
      </w:r>
      <w:r w:rsidRPr="006F173C">
        <w:rPr>
          <w:rFonts w:ascii="Arial Narrow" w:hAnsi="Arial Narrow"/>
          <w:b/>
        </w:rPr>
        <w:t>OOP</w:t>
      </w:r>
      <w:r w:rsidR="009E5ABE">
        <w:rPr>
          <w:rFonts w:ascii="Arial Narrow" w:hAnsi="Arial Narrow"/>
          <w:szCs w:val="18"/>
        </w:rPr>
        <w:t xml:space="preserve"> =</w:t>
      </w:r>
      <w:r w:rsidRPr="006F173C">
        <w:rPr>
          <w:rFonts w:ascii="Arial Narrow" w:hAnsi="Arial Narrow"/>
        </w:rPr>
        <w:t xml:space="preserve"> patient out-of-pocket</w:t>
      </w:r>
      <w:r w:rsidR="009E5ABE">
        <w:rPr>
          <w:rFonts w:ascii="Arial Narrow" w:hAnsi="Arial Narrow"/>
          <w:szCs w:val="18"/>
        </w:rPr>
        <w:t>,</w:t>
      </w:r>
      <w:r w:rsidRPr="006F173C">
        <w:rPr>
          <w:rFonts w:ascii="Arial Narrow" w:hAnsi="Arial Narrow"/>
        </w:rPr>
        <w:t xml:space="preserve"> </w:t>
      </w:r>
      <w:r w:rsidRPr="006F173C">
        <w:rPr>
          <w:rFonts w:ascii="Arial Narrow" w:hAnsi="Arial Narrow"/>
          <w:b/>
        </w:rPr>
        <w:t>PHI</w:t>
      </w:r>
      <w:r w:rsidR="009E5ABE">
        <w:rPr>
          <w:rFonts w:ascii="Arial Narrow" w:hAnsi="Arial Narrow"/>
          <w:szCs w:val="18"/>
        </w:rPr>
        <w:t xml:space="preserve"> =</w:t>
      </w:r>
      <w:r w:rsidRPr="006F173C">
        <w:rPr>
          <w:rFonts w:ascii="Arial Narrow" w:hAnsi="Arial Narrow"/>
        </w:rPr>
        <w:t xml:space="preserve"> private health insurer</w:t>
      </w:r>
      <w:r w:rsidR="009E5ABE">
        <w:rPr>
          <w:rFonts w:ascii="Arial Narrow" w:hAnsi="Arial Narrow"/>
          <w:szCs w:val="18"/>
        </w:rPr>
        <w:t>,</w:t>
      </w:r>
      <w:r w:rsidRPr="006F173C">
        <w:rPr>
          <w:rFonts w:ascii="Arial Narrow" w:hAnsi="Arial Narrow"/>
        </w:rPr>
        <w:t xml:space="preserve"> </w:t>
      </w:r>
      <w:r w:rsidRPr="006F173C">
        <w:rPr>
          <w:rFonts w:ascii="Arial Narrow" w:hAnsi="Arial Narrow"/>
          <w:b/>
        </w:rPr>
        <w:t>PL</w:t>
      </w:r>
      <w:r w:rsidR="009E5ABE">
        <w:rPr>
          <w:rFonts w:ascii="Arial Narrow" w:hAnsi="Arial Narrow"/>
          <w:szCs w:val="18"/>
        </w:rPr>
        <w:t xml:space="preserve"> =</w:t>
      </w:r>
      <w:r w:rsidRPr="006F173C">
        <w:rPr>
          <w:rFonts w:ascii="Arial Narrow" w:hAnsi="Arial Narrow"/>
        </w:rPr>
        <w:t xml:space="preserve"> Prescribed List of Medical Devices and Human Tissue Products.</w:t>
      </w:r>
      <w:r w:rsidRPr="006F173C">
        <w:rPr>
          <w:rFonts w:ascii="Arial Narrow" w:hAnsi="Arial Narrow"/>
          <w:color w:val="258221"/>
        </w:rPr>
        <w:t xml:space="preserve"> </w:t>
      </w:r>
    </w:p>
    <w:p w14:paraId="6682DC1C" w14:textId="0D387A56" w:rsidR="00FA37CF" w:rsidRPr="006F173C" w:rsidRDefault="00727C2B" w:rsidP="00C96BF1">
      <w:pPr>
        <w:pStyle w:val="TableFigNote"/>
        <w:keepNext/>
        <w:keepLines/>
        <w:spacing w:before="40" w:after="0"/>
        <w:contextualSpacing w:val="0"/>
        <w:rPr>
          <w:rFonts w:ascii="Arial Narrow" w:hAnsi="Arial Narrow" w:cstheme="minorHAnsi"/>
          <w:b/>
          <w:bCs/>
          <w:szCs w:val="18"/>
          <w:u w:val="single"/>
        </w:rPr>
      </w:pPr>
      <w:r w:rsidRPr="006F173C">
        <w:rPr>
          <w:rFonts w:ascii="Arial Narrow" w:hAnsi="Arial Narrow" w:cstheme="minorHAnsi"/>
          <w:b/>
          <w:bCs/>
          <w:szCs w:val="18"/>
          <w:u w:val="single"/>
        </w:rPr>
        <w:t>Notes</w:t>
      </w:r>
      <w:r w:rsidR="009E5ABE" w:rsidRPr="006F173C">
        <w:rPr>
          <w:rFonts w:ascii="Arial Narrow" w:hAnsi="Arial Narrow"/>
          <w:b/>
          <w:bCs/>
          <w:szCs w:val="18"/>
          <w:u w:val="single"/>
        </w:rPr>
        <w:t xml:space="preserve"> </w:t>
      </w:r>
    </w:p>
    <w:p w14:paraId="12A9CEB8" w14:textId="568DC3F3" w:rsidR="004B321E" w:rsidRDefault="00741DF7" w:rsidP="00C96BF1">
      <w:pPr>
        <w:pStyle w:val="TableFigNote"/>
        <w:keepNext/>
        <w:keepLines/>
        <w:spacing w:before="40" w:after="40"/>
        <w:rPr>
          <w:rFonts w:ascii="Arial Narrow" w:hAnsi="Arial Narrow"/>
        </w:rPr>
      </w:pPr>
      <w:r w:rsidRPr="4C0A0968">
        <w:rPr>
          <w:rFonts w:ascii="Arial Narrow" w:hAnsi="Arial Narrow"/>
          <w:b/>
          <w:bCs/>
        </w:rPr>
        <w:t>a</w:t>
      </w:r>
      <w:r w:rsidRPr="4C0A0968">
        <w:rPr>
          <w:rFonts w:ascii="Arial Narrow" w:hAnsi="Arial Narrow"/>
        </w:rPr>
        <w:t xml:space="preserve"> </w:t>
      </w:r>
      <w:r w:rsidR="004B321E" w:rsidRPr="4C0A0968">
        <w:rPr>
          <w:rFonts w:ascii="Arial Narrow" w:hAnsi="Arial Narrow"/>
        </w:rPr>
        <w:t xml:space="preserve">= </w:t>
      </w:r>
      <w:r w:rsidR="0007398C" w:rsidRPr="4C0A0968">
        <w:rPr>
          <w:rFonts w:ascii="Arial Narrow" w:hAnsi="Arial Narrow"/>
        </w:rPr>
        <w:t xml:space="preserve">The applicant </w:t>
      </w:r>
      <w:r w:rsidR="56F4E022" w:rsidRPr="4C0A0968">
        <w:rPr>
          <w:rFonts w:ascii="Arial Narrow" w:hAnsi="Arial Narrow"/>
        </w:rPr>
        <w:t>claimed that th</w:t>
      </w:r>
      <w:r w:rsidR="0007398C" w:rsidRPr="4C0A0968">
        <w:rPr>
          <w:rFonts w:ascii="Arial Narrow" w:hAnsi="Arial Narrow"/>
        </w:rPr>
        <w:t xml:space="preserve">is secondary comparator is unnecessary </w:t>
      </w:r>
      <w:r w:rsidR="7A23CAE1" w:rsidRPr="4C0A0968">
        <w:rPr>
          <w:rFonts w:ascii="Arial Narrow" w:hAnsi="Arial Narrow"/>
        </w:rPr>
        <w:t>because it is</w:t>
      </w:r>
      <w:r w:rsidR="00920426" w:rsidRPr="4C0A0968">
        <w:rPr>
          <w:rFonts w:ascii="Arial Narrow" w:hAnsi="Arial Narrow"/>
        </w:rPr>
        <w:t xml:space="preserve"> clinically inappropriate to use the Micra VR in the proposed patient population when the Micra AV is available. Also, a formal comparison between the Micra VR and AV is not necessary for the very small group of patients who currently have a Micra VR implant but might benefit from switching to the Micra AV.</w:t>
      </w:r>
      <w:r w:rsidR="001257CC" w:rsidRPr="4C0A0968">
        <w:rPr>
          <w:rFonts w:ascii="Arial Narrow" w:hAnsi="Arial Narrow"/>
        </w:rPr>
        <w:t xml:space="preserve"> This reasoning was confirmed by the assessment group’s clinical expert.</w:t>
      </w:r>
    </w:p>
    <w:p w14:paraId="2B2E6649" w14:textId="6C0EE666" w:rsidR="00B821DC" w:rsidRPr="006F173C" w:rsidRDefault="004B321E" w:rsidP="00C96BF1">
      <w:pPr>
        <w:pStyle w:val="TableFigNote"/>
        <w:keepNext/>
        <w:keepLines/>
        <w:spacing w:before="40" w:after="40"/>
        <w:rPr>
          <w:rFonts w:ascii="Arial Narrow" w:hAnsi="Arial Narrow"/>
        </w:rPr>
      </w:pPr>
      <w:r w:rsidRPr="4C0A0968">
        <w:rPr>
          <w:rFonts w:ascii="Arial Narrow" w:hAnsi="Arial Narrow"/>
          <w:b/>
          <w:bCs/>
        </w:rPr>
        <w:t>b</w:t>
      </w:r>
      <w:r w:rsidRPr="4C0A0968">
        <w:rPr>
          <w:rFonts w:ascii="Arial Narrow" w:hAnsi="Arial Narrow"/>
        </w:rPr>
        <w:t xml:space="preserve"> </w:t>
      </w:r>
      <w:r w:rsidR="00741DF7" w:rsidRPr="4C0A0968">
        <w:rPr>
          <w:rFonts w:ascii="Arial Narrow" w:hAnsi="Arial Narrow"/>
        </w:rPr>
        <w:t xml:space="preserve">= </w:t>
      </w:r>
      <w:r w:rsidR="52DDB869" w:rsidRPr="4C0A0968">
        <w:rPr>
          <w:rFonts w:ascii="Arial Narrow" w:hAnsi="Arial Narrow"/>
        </w:rPr>
        <w:t xml:space="preserve">The following outcomes were not addressed in the submission because no evidence was available in the included studies: cardiovascular </w:t>
      </w:r>
      <w:r w:rsidR="6AA0CEE4" w:rsidRPr="4C0A0968">
        <w:rPr>
          <w:rFonts w:ascii="Arial Narrow" w:hAnsi="Arial Narrow"/>
        </w:rPr>
        <w:t xml:space="preserve">or procedure-related </w:t>
      </w:r>
      <w:r w:rsidR="52DDB869" w:rsidRPr="4C0A0968">
        <w:rPr>
          <w:rFonts w:ascii="Arial Narrow" w:hAnsi="Arial Narrow"/>
        </w:rPr>
        <w:t>mortality, exercise capacity, patient satisfaction, implant success and failure rates and differential outcome by patient characteristics. Quality of life, battery life and AV synchronicity were addressed with supportive evidence only.</w:t>
      </w:r>
    </w:p>
    <w:p w14:paraId="5E182455" w14:textId="5B0F4CE1" w:rsidR="2288FEDE" w:rsidRDefault="2AB2D29E" w:rsidP="0036388A">
      <w:pPr>
        <w:spacing w:before="240" w:line="257" w:lineRule="auto"/>
      </w:pPr>
      <w:r w:rsidRPr="4C0A0968">
        <w:rPr>
          <w:rFonts w:eastAsia="Franklin Gothic Book" w:cs="Franklin Gothic Book"/>
        </w:rPr>
        <w:lastRenderedPageBreak/>
        <w:t>The proposed population is a subgroup of the overall patient population that would be eligible for a DC-TVPM. Based on the usage statistics for MBS item 38356 (insertion, removal or replacement of dual-chamber permanent transvenous electrodes), the applicant reasonably estimated that approximately 8,900</w:t>
      </w:r>
      <w:r w:rsidR="00A97DD2" w:rsidRPr="4C0A0968">
        <w:rPr>
          <w:rFonts w:eastAsia="Franklin Gothic Book" w:cs="Franklin Gothic Book"/>
        </w:rPr>
        <w:t xml:space="preserve"> to </w:t>
      </w:r>
      <w:r w:rsidRPr="4C0A0968">
        <w:rPr>
          <w:rFonts w:eastAsia="Franklin Gothic Book" w:cs="Franklin Gothic Book"/>
        </w:rPr>
        <w:t>9,700 implantation procedures will be performed for DC-TVPM each year from 2024 to 2027. Of those, it was estimated that up to 35% will be in patients with AV block and normal sinus rhythm, equating to approximately 3,100</w:t>
      </w:r>
      <w:r w:rsidR="00A97DD2" w:rsidRPr="4C0A0968">
        <w:rPr>
          <w:rFonts w:eastAsia="Franklin Gothic Book" w:cs="Franklin Gothic Book"/>
        </w:rPr>
        <w:t xml:space="preserve"> to </w:t>
      </w:r>
      <w:r w:rsidRPr="4C0A0968">
        <w:rPr>
          <w:rFonts w:eastAsia="Franklin Gothic Book" w:cs="Franklin Gothic Book"/>
        </w:rPr>
        <w:t xml:space="preserve">3,400 patients each year. However, some of the services provided under MBS item 38356 relate to removal and replacement of existing leads, so the annual number of patients is likely to be lower than the estimate because lead complications do not occur with Micra AV. In addition, the estimate does not include the patients </w:t>
      </w:r>
      <w:r w:rsidR="00AB7FC8" w:rsidRPr="4C0A0968">
        <w:rPr>
          <w:rFonts w:eastAsia="Franklin Gothic Book" w:cs="Franklin Gothic Book"/>
        </w:rPr>
        <w:t>with</w:t>
      </w:r>
      <w:r w:rsidR="00CC7192" w:rsidRPr="4C0A0968">
        <w:rPr>
          <w:rFonts w:eastAsia="Franklin Gothic Book" w:cs="Franklin Gothic Book"/>
        </w:rPr>
        <w:t>out</w:t>
      </w:r>
      <w:r w:rsidR="00AB7FC8" w:rsidRPr="4C0A0968">
        <w:rPr>
          <w:rFonts w:eastAsia="Franklin Gothic Book" w:cs="Franklin Gothic Book"/>
        </w:rPr>
        <w:t xml:space="preserve"> AF </w:t>
      </w:r>
      <w:r w:rsidRPr="4C0A0968">
        <w:rPr>
          <w:rFonts w:eastAsia="Franklin Gothic Book" w:cs="Franklin Gothic Book"/>
        </w:rPr>
        <w:t xml:space="preserve">in which the Micra AV will </w:t>
      </w:r>
      <w:r w:rsidR="00AB7FC8" w:rsidRPr="4C0A0968">
        <w:rPr>
          <w:rFonts w:eastAsia="Franklin Gothic Book" w:cs="Franklin Gothic Book"/>
        </w:rPr>
        <w:t>supplant use of the Micra VR</w:t>
      </w:r>
      <w:r w:rsidRPr="4C0A0968">
        <w:rPr>
          <w:rFonts w:eastAsia="Franklin Gothic Book" w:cs="Franklin Gothic Book"/>
        </w:rPr>
        <w:t xml:space="preserve"> and those who currently have a Micra VR implant but might benefit from switching to the Micra AV. It is unclear how these additional patients will affect the proposed population size.</w:t>
      </w:r>
      <w:r w:rsidR="44011DBC" w:rsidRPr="4C0A0968">
        <w:rPr>
          <w:rFonts w:eastAsia="Franklin Gothic Book" w:cs="Franklin Gothic Book"/>
        </w:rPr>
        <w:t xml:space="preserve"> The applicant noted advice from Australian clinical experts that not more than 5% of patients in sinus rhythm with AV block would be contraindicated for a transvenous option or have a very high clinical need for a</w:t>
      </w:r>
      <w:r w:rsidR="003F369F" w:rsidRPr="4C0A0968">
        <w:rPr>
          <w:rFonts w:eastAsia="Franklin Gothic Book" w:cs="Franklin Gothic Book"/>
        </w:rPr>
        <w:t>n</w:t>
      </w:r>
      <w:r w:rsidR="44011DBC" w:rsidRPr="4C0A0968">
        <w:rPr>
          <w:rFonts w:eastAsia="Franklin Gothic Book" w:cs="Franklin Gothic Book"/>
        </w:rPr>
        <w:t xml:space="preserve"> LPM.</w:t>
      </w:r>
    </w:p>
    <w:p w14:paraId="3F616AD5" w14:textId="753AC4EC" w:rsidR="00301EB5" w:rsidRPr="002D4743" w:rsidRDefault="00301EB5" w:rsidP="00301EB5">
      <w:pPr>
        <w:jc w:val="both"/>
      </w:pPr>
      <w:r w:rsidRPr="4C0A0968">
        <w:t xml:space="preserve">The current MSAC application pertains to the Micra AV device, since the Micra AV2 was not included in the ARTG at the time of writing. However, the Micra AV2 features improved automatic AV synchrony at heart rates between 80 and 100 beats per minute (and an upper tracking limit of 135 beats per minute), which could possibly expand the population to slightly </w:t>
      </w:r>
      <w:r w:rsidR="006D4F7B" w:rsidRPr="4C0A0968">
        <w:t>‘</w:t>
      </w:r>
      <w:r w:rsidRPr="4C0A0968">
        <w:t>younger</w:t>
      </w:r>
      <w:r w:rsidR="006D4F7B" w:rsidRPr="4C0A0968">
        <w:t>’</w:t>
      </w:r>
      <w:r w:rsidRPr="4C0A0968">
        <w:t xml:space="preserve"> individuals.</w:t>
      </w:r>
      <w:r w:rsidR="00A57A50" w:rsidRPr="008F1005">
        <w:rPr>
          <w:vertAlign w:val="superscript"/>
        </w:rPr>
        <w:fldChar w:fldCharType="begin"/>
      </w:r>
      <w:r w:rsidR="00A57A50" w:rsidRPr="008F1005">
        <w:rPr>
          <w:vertAlign w:val="superscript"/>
        </w:rPr>
        <w:instrText xml:space="preserve"> NOTEREF _Ref183109837 \h </w:instrText>
      </w:r>
      <w:r w:rsidR="008F1005">
        <w:rPr>
          <w:vertAlign w:val="superscript"/>
        </w:rPr>
        <w:instrText xml:space="preserve"> \* MERGEFORMAT </w:instrText>
      </w:r>
      <w:r w:rsidR="00A57A50" w:rsidRPr="008F1005">
        <w:rPr>
          <w:vertAlign w:val="superscript"/>
        </w:rPr>
      </w:r>
      <w:r w:rsidR="00A57A50" w:rsidRPr="008F1005">
        <w:rPr>
          <w:vertAlign w:val="superscript"/>
        </w:rPr>
        <w:fldChar w:fldCharType="separate"/>
      </w:r>
      <w:r w:rsidR="00D96B61" w:rsidRPr="4C0A0968">
        <w:rPr>
          <w:vertAlign w:val="superscript"/>
        </w:rPr>
        <w:t>1</w:t>
      </w:r>
      <w:r w:rsidR="00A57A50" w:rsidRPr="008F1005">
        <w:rPr>
          <w:vertAlign w:val="superscript"/>
        </w:rPr>
        <w:fldChar w:fldCharType="end"/>
      </w:r>
      <w:r w:rsidRPr="4C0A0968">
        <w:t xml:space="preserve"> </w:t>
      </w:r>
    </w:p>
    <w:p w14:paraId="21EB9B68" w14:textId="4C726F3B" w:rsidR="2288FEDE" w:rsidRDefault="2288FEDE" w:rsidP="4B8D8748">
      <w:pPr>
        <w:spacing w:line="257" w:lineRule="auto"/>
      </w:pPr>
      <w:r w:rsidRPr="4C0A0968">
        <w:rPr>
          <w:rFonts w:eastAsia="Franklin Gothic Book" w:cs="Franklin Gothic Book"/>
        </w:rPr>
        <w:t xml:space="preserve">The </w:t>
      </w:r>
      <w:r w:rsidR="00570046" w:rsidRPr="4C0A0968">
        <w:rPr>
          <w:rFonts w:eastAsia="Franklin Gothic Book" w:cs="Franklin Gothic Book"/>
        </w:rPr>
        <w:t>applicant-developed assessment report (</w:t>
      </w:r>
      <w:r w:rsidRPr="4C0A0968">
        <w:rPr>
          <w:rFonts w:eastAsia="Franklin Gothic Book" w:cs="Franklin Gothic Book"/>
        </w:rPr>
        <w:t>ADAR</w:t>
      </w:r>
      <w:r w:rsidR="00570046" w:rsidRPr="4C0A0968">
        <w:rPr>
          <w:rFonts w:eastAsia="Franklin Gothic Book" w:cs="Franklin Gothic Book"/>
        </w:rPr>
        <w:t>)</w:t>
      </w:r>
      <w:r w:rsidRPr="4C0A0968">
        <w:rPr>
          <w:rFonts w:eastAsia="Franklin Gothic Book" w:cs="Franklin Gothic Book"/>
        </w:rPr>
        <w:t xml:space="preserve"> largely addresses the requirements of the </w:t>
      </w:r>
      <w:r w:rsidR="00B136C4" w:rsidRPr="4C0A0968">
        <w:rPr>
          <w:rFonts w:eastAsia="Franklin Gothic Book" w:cs="Franklin Gothic Book"/>
        </w:rPr>
        <w:t>c</w:t>
      </w:r>
      <w:r w:rsidRPr="4C0A0968">
        <w:rPr>
          <w:rFonts w:eastAsia="Franklin Gothic Book" w:cs="Franklin Gothic Book"/>
        </w:rPr>
        <w:t xml:space="preserve">onfirmed PICO, although some of the prespecified outcomes were not reported in the included studies (Table 3). In addition, it would have been helpful to specify a maximum proportion of patients allowed with concomitant procedures in the included studies to </w:t>
      </w:r>
      <w:r w:rsidR="009C4F32" w:rsidRPr="4C0A0968">
        <w:rPr>
          <w:rFonts w:eastAsia="Franklin Gothic Book" w:cs="Franklin Gothic Book"/>
        </w:rPr>
        <w:t>minimise</w:t>
      </w:r>
      <w:r w:rsidRPr="4C0A0968">
        <w:rPr>
          <w:rFonts w:eastAsia="Franklin Gothic Book" w:cs="Franklin Gothic Book"/>
        </w:rPr>
        <w:t xml:space="preserve"> confounding (&lt;10% would have been appropriate)</w:t>
      </w:r>
      <w:r w:rsidR="009C4F32" w:rsidRPr="4C0A0968">
        <w:rPr>
          <w:rFonts w:eastAsia="Franklin Gothic Book" w:cs="Franklin Gothic Book"/>
        </w:rPr>
        <w:t xml:space="preserve"> and clear application of the selection criteria</w:t>
      </w:r>
      <w:r w:rsidRPr="4C0A0968">
        <w:rPr>
          <w:rFonts w:eastAsia="Franklin Gothic Book" w:cs="Franklin Gothic Book"/>
        </w:rPr>
        <w:t>.</w:t>
      </w:r>
    </w:p>
    <w:p w14:paraId="66BDFCC1" w14:textId="5CA424B6" w:rsidR="00772829" w:rsidRPr="00CE28E3" w:rsidRDefault="00772829" w:rsidP="004167A0">
      <w:pPr>
        <w:pStyle w:val="Heading2"/>
        <w:numPr>
          <w:ilvl w:val="0"/>
          <w:numId w:val="27"/>
        </w:numPr>
        <w:ind w:hanging="720"/>
      </w:pPr>
      <w:r w:rsidRPr="00CE28E3">
        <w:t>Comparator</w:t>
      </w:r>
      <w:bookmarkEnd w:id="15"/>
    </w:p>
    <w:p w14:paraId="72E5DB70" w14:textId="5DC981CA" w:rsidR="001B3581" w:rsidRPr="00A167AC" w:rsidRDefault="001B3581" w:rsidP="001B3581">
      <w:bookmarkStart w:id="18" w:name="_Toc69491422"/>
      <w:r w:rsidRPr="4C0A0968">
        <w:t xml:space="preserve">The nominated </w:t>
      </w:r>
      <w:r w:rsidR="003F69CF">
        <w:t xml:space="preserve">primary </w:t>
      </w:r>
      <w:r w:rsidRPr="4C0A0968">
        <w:t xml:space="preserve">comparator is insertion of a conventional DC-TVPM, which is appropriate for patients with bradycardia due to paroxysmal or permanent high-grade AV block who are in sinus rhythm. However, it should be noted that for the subgroup of these patients who are ineligible to receive a DC-TVPM (e.g. because of tortuous anatomy, a need to preserve venous access or increased risk of infection), the appropriate comparator would be </w:t>
      </w:r>
      <w:r w:rsidR="6ED37B04" w:rsidRPr="4C0A0968">
        <w:t xml:space="preserve">an epicardial pacemaker or </w:t>
      </w:r>
      <w:r w:rsidRPr="4C0A0968">
        <w:t xml:space="preserve">no pacing. </w:t>
      </w:r>
      <w:r w:rsidR="00B11FF0" w:rsidRPr="4C0A0968">
        <w:t>In the small group of patients who currently have a Micra VR implant but might benefit from switching to the Micra AV</w:t>
      </w:r>
      <w:r w:rsidR="00DB73D9" w:rsidRPr="4C0A0968">
        <w:t xml:space="preserve"> (noted in the PICO Confirmation), the </w:t>
      </w:r>
      <w:r w:rsidR="00025D13" w:rsidRPr="4C0A0968">
        <w:t>appropriate</w:t>
      </w:r>
      <w:r w:rsidR="00886FAF" w:rsidRPr="4C0A0968">
        <w:t xml:space="preserve"> comparator would be </w:t>
      </w:r>
      <w:r w:rsidR="00E24027" w:rsidRPr="4C0A0968">
        <w:t>the Micra AV</w:t>
      </w:r>
      <w:r w:rsidR="00B11FF0" w:rsidRPr="4C0A0968">
        <w:t>.</w:t>
      </w:r>
      <w:r w:rsidR="005D16FA" w:rsidRPr="4C0A0968">
        <w:t xml:space="preserve"> However, the assessment group</w:t>
      </w:r>
      <w:r w:rsidR="00B4611B" w:rsidRPr="4C0A0968">
        <w:t>’</w:t>
      </w:r>
      <w:r w:rsidR="005D16FA" w:rsidRPr="4C0A0968">
        <w:t xml:space="preserve">s clinical expert stated that this would only be considered </w:t>
      </w:r>
      <w:r w:rsidR="00B4611B" w:rsidRPr="4C0A0968">
        <w:t xml:space="preserve">in the rare instance that </w:t>
      </w:r>
      <w:r w:rsidR="005D16FA" w:rsidRPr="4C0A0968">
        <w:t xml:space="preserve">a lack of AV synchrony </w:t>
      </w:r>
      <w:r w:rsidR="00B4611B" w:rsidRPr="4C0A0968">
        <w:t xml:space="preserve">caused </w:t>
      </w:r>
      <w:r w:rsidR="005D16FA" w:rsidRPr="4C0A0968">
        <w:t>problematic</w:t>
      </w:r>
      <w:r w:rsidR="00B4611B" w:rsidRPr="4C0A0968">
        <w:t xml:space="preserve"> symptoms.</w:t>
      </w:r>
    </w:p>
    <w:p w14:paraId="77205677" w14:textId="6B05F00F" w:rsidR="001B3581" w:rsidRDefault="001B3581" w:rsidP="001B3581">
      <w:r w:rsidRPr="4C0A0968">
        <w:t xml:space="preserve">A DC-TVPM consists of a pulse generator (containing the battery and the machinery for sensing and timing of electrical impulses) and </w:t>
      </w:r>
      <w:r w:rsidR="00EB3799" w:rsidRPr="4C0A0968">
        <w:t xml:space="preserve">2 </w:t>
      </w:r>
      <w:r w:rsidRPr="4C0A0968">
        <w:t xml:space="preserve">leads (insulated wires that deliver electrical impulses from the pulse generator to the heart). The pulse generator is implanted in a subcutaneous pocket created in the anterior chest wall. Two leads are inserted percutaneously either via subclavian, cephalic or axillary veins and guided </w:t>
      </w:r>
      <w:proofErr w:type="spellStart"/>
      <w:r w:rsidRPr="4C0A0968">
        <w:t>transvenously</w:t>
      </w:r>
      <w:proofErr w:type="spellEnd"/>
      <w:r w:rsidRPr="4C0A0968">
        <w:t xml:space="preserve"> past the tricuspid valve into the ventricle and atrium using fluoroscopy. The leads are attached </w:t>
      </w:r>
      <w:r w:rsidR="00053EF1" w:rsidRPr="4C0A0968">
        <w:t>to the myocardium</w:t>
      </w:r>
      <w:r w:rsidRPr="4C0A0968">
        <w:t xml:space="preserve"> </w:t>
      </w:r>
      <w:r w:rsidR="00D61595" w:rsidRPr="4C0A0968">
        <w:t xml:space="preserve">either </w:t>
      </w:r>
      <w:r w:rsidRPr="4C0A0968">
        <w:t xml:space="preserve">with </w:t>
      </w:r>
      <w:r w:rsidR="006048CD" w:rsidRPr="4C0A0968">
        <w:t xml:space="preserve">a screw or </w:t>
      </w:r>
      <w:r w:rsidRPr="4C0A0968">
        <w:t xml:space="preserve">tines, which become fixed via granulation tissue formation. When the DC-TVPM is used in DDD mode, both the ventricle and atrium are sensed and paced. </w:t>
      </w:r>
    </w:p>
    <w:p w14:paraId="2EA1F9F5" w14:textId="267AD41E" w:rsidR="001B3581" w:rsidRDefault="001B3581" w:rsidP="001B3581">
      <w:r>
        <w:t xml:space="preserve">DC-TVPMs </w:t>
      </w:r>
      <w:r w:rsidR="00F57995">
        <w:t xml:space="preserve">associated procedures </w:t>
      </w:r>
      <w:r>
        <w:t xml:space="preserve">are </w:t>
      </w:r>
      <w:r w:rsidRPr="001D0FA1">
        <w:t xml:space="preserve">currently funded through the MBS items outlined in </w:t>
      </w:r>
      <w:r w:rsidR="00513B5C">
        <w:fldChar w:fldCharType="begin"/>
      </w:r>
      <w:r w:rsidR="00513B5C">
        <w:instrText xml:space="preserve"> REF _Ref186709182 \h </w:instrText>
      </w:r>
      <w:r w:rsidR="00513B5C">
        <w:fldChar w:fldCharType="separate"/>
      </w:r>
      <w:r w:rsidR="00D96B61">
        <w:t>Table</w:t>
      </w:r>
      <w:r w:rsidR="00B8570F">
        <w:t> </w:t>
      </w:r>
      <w:r w:rsidR="00D96B61">
        <w:rPr>
          <w:noProof/>
        </w:rPr>
        <w:t>4</w:t>
      </w:r>
      <w:r w:rsidR="00513B5C">
        <w:fldChar w:fldCharType="end"/>
      </w:r>
      <w:r w:rsidR="006D3B2B">
        <w:t>.</w:t>
      </w:r>
    </w:p>
    <w:p w14:paraId="4A2C65E4" w14:textId="3592DC19" w:rsidR="00A2111F" w:rsidRDefault="00A2111F" w:rsidP="00B8570F">
      <w:pPr>
        <w:pStyle w:val="Caption"/>
        <w:keepLines/>
      </w:pPr>
      <w:bookmarkStart w:id="19" w:name="_Ref186709182"/>
      <w:r>
        <w:lastRenderedPageBreak/>
        <w:t xml:space="preserve">Table </w:t>
      </w:r>
      <w:r w:rsidR="00B00A5A">
        <w:fldChar w:fldCharType="begin"/>
      </w:r>
      <w:r w:rsidR="00B00A5A">
        <w:instrText xml:space="preserve"> SEQ Table \* ARABIC </w:instrText>
      </w:r>
      <w:r w:rsidR="00B00A5A">
        <w:fldChar w:fldCharType="separate"/>
      </w:r>
      <w:r w:rsidR="00B00A5A">
        <w:rPr>
          <w:noProof/>
        </w:rPr>
        <w:t>4</w:t>
      </w:r>
      <w:r w:rsidR="00B00A5A">
        <w:rPr>
          <w:noProof/>
        </w:rPr>
        <w:fldChar w:fldCharType="end"/>
      </w:r>
      <w:bookmarkEnd w:id="19"/>
      <w:r>
        <w:tab/>
      </w:r>
      <w:r w:rsidRPr="00F91ED3">
        <w:t>MBS items associated with a DC-TVPM and leads</w:t>
      </w:r>
    </w:p>
    <w:tbl>
      <w:tblPr>
        <w:tblStyle w:val="TableGrid"/>
        <w:tblW w:w="9085" w:type="dxa"/>
        <w:tblLook w:val="04A0" w:firstRow="1" w:lastRow="0" w:firstColumn="1" w:lastColumn="0" w:noHBand="0" w:noVBand="1"/>
      </w:tblPr>
      <w:tblGrid>
        <w:gridCol w:w="1345"/>
        <w:gridCol w:w="5670"/>
        <w:gridCol w:w="2070"/>
      </w:tblGrid>
      <w:tr w:rsidR="001B3581" w:rsidRPr="005E280C" w14:paraId="52EF71F2" w14:textId="77777777" w:rsidTr="4C0A0968">
        <w:trPr>
          <w:tblHeader/>
        </w:trPr>
        <w:tc>
          <w:tcPr>
            <w:tcW w:w="1345" w:type="dxa"/>
          </w:tcPr>
          <w:p w14:paraId="50BDFF12" w14:textId="77777777" w:rsidR="001B3581" w:rsidRPr="005E280C" w:rsidRDefault="001B3581" w:rsidP="00B8570F">
            <w:pPr>
              <w:pStyle w:val="Tabletext0"/>
              <w:keepNext/>
              <w:keepLines/>
              <w:rPr>
                <w:b/>
                <w:bCs/>
              </w:rPr>
            </w:pPr>
            <w:r w:rsidRPr="005E280C">
              <w:rPr>
                <w:b/>
                <w:bCs/>
              </w:rPr>
              <w:t>Item no.</w:t>
            </w:r>
          </w:p>
        </w:tc>
        <w:tc>
          <w:tcPr>
            <w:tcW w:w="5670" w:type="dxa"/>
          </w:tcPr>
          <w:p w14:paraId="23EF39B8" w14:textId="77777777" w:rsidR="001B3581" w:rsidRPr="005E280C" w:rsidRDefault="001B3581" w:rsidP="00B8570F">
            <w:pPr>
              <w:pStyle w:val="Tabletext0"/>
              <w:keepNext/>
              <w:keepLines/>
              <w:jc w:val="left"/>
              <w:rPr>
                <w:b/>
                <w:bCs/>
              </w:rPr>
            </w:pPr>
            <w:r w:rsidRPr="005E280C">
              <w:rPr>
                <w:b/>
                <w:bCs/>
              </w:rPr>
              <w:t>Description</w:t>
            </w:r>
          </w:p>
        </w:tc>
        <w:tc>
          <w:tcPr>
            <w:tcW w:w="2070" w:type="dxa"/>
          </w:tcPr>
          <w:p w14:paraId="2B861C11" w14:textId="77777777" w:rsidR="001B3581" w:rsidRPr="005E280C" w:rsidRDefault="001B3581" w:rsidP="00B8570F">
            <w:pPr>
              <w:pStyle w:val="Tabletext0"/>
              <w:keepNext/>
              <w:keepLines/>
              <w:jc w:val="left"/>
              <w:rPr>
                <w:b/>
                <w:bCs/>
              </w:rPr>
            </w:pPr>
            <w:r w:rsidRPr="00824A78">
              <w:rPr>
                <w:b/>
                <w:bCs/>
              </w:rPr>
              <w:t>Fee and benefit</w:t>
            </w:r>
          </w:p>
        </w:tc>
      </w:tr>
      <w:tr w:rsidR="001B3581" w14:paraId="3D7148A5" w14:textId="77777777" w:rsidTr="4C0A0968">
        <w:tc>
          <w:tcPr>
            <w:tcW w:w="1345" w:type="dxa"/>
          </w:tcPr>
          <w:p w14:paraId="46F32C7A" w14:textId="77777777" w:rsidR="001B3581" w:rsidRDefault="001B3581" w:rsidP="00B8570F">
            <w:pPr>
              <w:pStyle w:val="Tabletext0"/>
              <w:keepNext/>
              <w:keepLines/>
            </w:pPr>
            <w:r w:rsidRPr="00450CD6">
              <w:t>38353</w:t>
            </w:r>
          </w:p>
        </w:tc>
        <w:tc>
          <w:tcPr>
            <w:tcW w:w="5670" w:type="dxa"/>
          </w:tcPr>
          <w:p w14:paraId="79FE1CCF" w14:textId="77777777" w:rsidR="001B3581" w:rsidRDefault="001B3581" w:rsidP="00B8570F">
            <w:pPr>
              <w:pStyle w:val="Tabletext0"/>
              <w:keepNext/>
              <w:keepLines/>
              <w:jc w:val="left"/>
            </w:pPr>
            <w:r w:rsidRPr="4C0A0968">
              <w:t xml:space="preserve">PERMANENT CARDIAC PACEMAKER, insertion, removal or replacement of, not for cardiac resynchronisation therapy, including cardiac electrophysiological services </w:t>
            </w:r>
            <w:proofErr w:type="gramStart"/>
            <w:r w:rsidRPr="4C0A0968">
              <w:t>where</w:t>
            </w:r>
            <w:proofErr w:type="gramEnd"/>
            <w:r w:rsidRPr="4C0A0968">
              <w:t xml:space="preserve"> used for pacemaker implantation</w:t>
            </w:r>
          </w:p>
          <w:p w14:paraId="24A41EE5" w14:textId="77777777" w:rsidR="001B3581" w:rsidRDefault="001B3581" w:rsidP="00B8570F">
            <w:pPr>
              <w:pStyle w:val="Tabletext0"/>
              <w:keepNext/>
              <w:keepLines/>
              <w:jc w:val="left"/>
            </w:pPr>
            <w:r>
              <w:t>Multiple Operation Rule</w:t>
            </w:r>
          </w:p>
          <w:p w14:paraId="47420E08" w14:textId="77777777" w:rsidR="001B3581" w:rsidRDefault="001B3581" w:rsidP="00B8570F">
            <w:pPr>
              <w:pStyle w:val="Tabletext0"/>
              <w:keepNext/>
              <w:keepLines/>
              <w:jc w:val="left"/>
            </w:pPr>
            <w:r>
              <w:t>(Anaes.)</w:t>
            </w:r>
          </w:p>
          <w:p w14:paraId="4C2136C0" w14:textId="58DF5D31" w:rsidR="001B3581" w:rsidRDefault="001B3581" w:rsidP="00B8570F">
            <w:pPr>
              <w:pStyle w:val="Tabletext0"/>
              <w:keepNext/>
              <w:keepLines/>
              <w:jc w:val="left"/>
            </w:pPr>
            <w:r w:rsidRPr="4C0A0968">
              <w:t>(See para</w:t>
            </w:r>
            <w:r w:rsidR="005E3FAD" w:rsidRPr="4C0A0968">
              <w:t>.</w:t>
            </w:r>
            <w:r w:rsidRPr="4C0A0968">
              <w:t xml:space="preserve"> TN.8.60 of explanatory notes to this </w:t>
            </w:r>
            <w:proofErr w:type="gramStart"/>
            <w:r w:rsidRPr="4C0A0968">
              <w:t>Category)</w:t>
            </w:r>
            <w:r w:rsidRPr="4C0A0968">
              <w:rPr>
                <w:vertAlign w:val="superscript"/>
              </w:rPr>
              <w:t>a</w:t>
            </w:r>
            <w:proofErr w:type="gramEnd"/>
          </w:p>
        </w:tc>
        <w:tc>
          <w:tcPr>
            <w:tcW w:w="2070" w:type="dxa"/>
          </w:tcPr>
          <w:p w14:paraId="313E4888" w14:textId="77777777" w:rsidR="001B3581" w:rsidRDefault="001B3581" w:rsidP="00B8570F">
            <w:pPr>
              <w:pStyle w:val="Tabletext0"/>
              <w:keepNext/>
              <w:keepLines/>
              <w:jc w:val="left"/>
            </w:pPr>
            <w:r w:rsidRPr="00074F5F">
              <w:t xml:space="preserve">Fee: $291.00 </w:t>
            </w:r>
            <w:r>
              <w:br/>
            </w:r>
            <w:r w:rsidRPr="00074F5F">
              <w:t>Benefit: 75% = $218.25</w:t>
            </w:r>
          </w:p>
        </w:tc>
      </w:tr>
      <w:tr w:rsidR="001B3581" w14:paraId="01A0F6E0" w14:textId="77777777" w:rsidTr="4C0A0968">
        <w:tc>
          <w:tcPr>
            <w:tcW w:w="1345" w:type="dxa"/>
          </w:tcPr>
          <w:p w14:paraId="3DFCC778" w14:textId="77777777" w:rsidR="001B3581" w:rsidRDefault="001B3581" w:rsidP="00B8570F">
            <w:pPr>
              <w:pStyle w:val="Tabletext0"/>
              <w:keepNext/>
              <w:keepLines/>
            </w:pPr>
            <w:r w:rsidRPr="00450CD6">
              <w:t>38356</w:t>
            </w:r>
          </w:p>
        </w:tc>
        <w:tc>
          <w:tcPr>
            <w:tcW w:w="5670" w:type="dxa"/>
          </w:tcPr>
          <w:p w14:paraId="257D2528" w14:textId="77777777" w:rsidR="001B3581" w:rsidRDefault="001B3581" w:rsidP="00B8570F">
            <w:pPr>
              <w:pStyle w:val="Tabletext0"/>
              <w:keepNext/>
              <w:keepLines/>
              <w:jc w:val="left"/>
            </w:pPr>
            <w:r w:rsidRPr="4C0A0968">
              <w:t xml:space="preserve">DUAL-CHAMBER PERMANENT TRANSVENOUS ELECTRODES, insertion, removal or replacement of, including cardiac electrophysiological services </w:t>
            </w:r>
            <w:proofErr w:type="gramStart"/>
            <w:r w:rsidRPr="4C0A0968">
              <w:t>where</w:t>
            </w:r>
            <w:proofErr w:type="gramEnd"/>
            <w:r w:rsidRPr="4C0A0968">
              <w:t xml:space="preserve"> used for pacemaker implantation</w:t>
            </w:r>
          </w:p>
          <w:p w14:paraId="4D072BD9" w14:textId="77777777" w:rsidR="001B3581" w:rsidRDefault="001B3581" w:rsidP="00B8570F">
            <w:pPr>
              <w:pStyle w:val="Tabletext0"/>
              <w:keepNext/>
              <w:keepLines/>
              <w:jc w:val="left"/>
            </w:pPr>
            <w:r>
              <w:t>Multiple Operation Rule</w:t>
            </w:r>
          </w:p>
          <w:p w14:paraId="272A0624" w14:textId="77777777" w:rsidR="001B3581" w:rsidRDefault="001B3581" w:rsidP="00B8570F">
            <w:pPr>
              <w:pStyle w:val="Tabletext0"/>
              <w:keepNext/>
              <w:keepLines/>
              <w:jc w:val="left"/>
            </w:pPr>
            <w:r>
              <w:t>(Anaes.)</w:t>
            </w:r>
          </w:p>
          <w:p w14:paraId="123A528C" w14:textId="30189644" w:rsidR="001B3581" w:rsidRDefault="001B3581" w:rsidP="00B8570F">
            <w:pPr>
              <w:pStyle w:val="Tabletext0"/>
              <w:keepNext/>
              <w:keepLines/>
              <w:jc w:val="left"/>
            </w:pPr>
            <w:r w:rsidRPr="4C0A0968">
              <w:t>(See para</w:t>
            </w:r>
            <w:r w:rsidR="005E3FAD" w:rsidRPr="4C0A0968">
              <w:t>.</w:t>
            </w:r>
            <w:r w:rsidRPr="4C0A0968">
              <w:t xml:space="preserve"> TN.8.60 of explanatory notes to this </w:t>
            </w:r>
            <w:proofErr w:type="gramStart"/>
            <w:r w:rsidRPr="4C0A0968">
              <w:t>Category)</w:t>
            </w:r>
            <w:r w:rsidRPr="4C0A0968">
              <w:rPr>
                <w:vertAlign w:val="superscript"/>
              </w:rPr>
              <w:t>a</w:t>
            </w:r>
            <w:proofErr w:type="gramEnd"/>
          </w:p>
        </w:tc>
        <w:tc>
          <w:tcPr>
            <w:tcW w:w="2070" w:type="dxa"/>
          </w:tcPr>
          <w:p w14:paraId="627D7290" w14:textId="77777777" w:rsidR="001B3581" w:rsidRDefault="001B3581" w:rsidP="00B8570F">
            <w:pPr>
              <w:pStyle w:val="Tabletext0"/>
              <w:keepNext/>
              <w:keepLines/>
              <w:jc w:val="left"/>
            </w:pPr>
            <w:r w:rsidRPr="00980EE5">
              <w:t xml:space="preserve">Fee: $953.90 </w:t>
            </w:r>
            <w:r>
              <w:br/>
            </w:r>
            <w:r w:rsidRPr="00980EE5">
              <w:t>Benefit: 75% = $715.45</w:t>
            </w:r>
          </w:p>
        </w:tc>
      </w:tr>
      <w:tr w:rsidR="001B3581" w14:paraId="24F20E8B" w14:textId="77777777" w:rsidTr="4C0A0968">
        <w:tc>
          <w:tcPr>
            <w:tcW w:w="1345" w:type="dxa"/>
          </w:tcPr>
          <w:p w14:paraId="172BACD2" w14:textId="77777777" w:rsidR="001B3581" w:rsidRDefault="001B3581" w:rsidP="00B8570F">
            <w:pPr>
              <w:pStyle w:val="Tabletext0"/>
              <w:keepNext/>
              <w:keepLines/>
            </w:pPr>
            <w:r w:rsidRPr="00450CD6">
              <w:t>38358</w:t>
            </w:r>
          </w:p>
        </w:tc>
        <w:tc>
          <w:tcPr>
            <w:tcW w:w="5670" w:type="dxa"/>
          </w:tcPr>
          <w:p w14:paraId="0191A5AC" w14:textId="77777777" w:rsidR="001B3581" w:rsidRDefault="001B3581" w:rsidP="00B8570F">
            <w:pPr>
              <w:pStyle w:val="Tabletext0"/>
              <w:keepNext/>
              <w:keepLines/>
              <w:jc w:val="left"/>
            </w:pPr>
            <w:r>
              <w:t>Extraction of one or more chronically implanted transvenous pacing or defibrillator leads, by percutaneous method, with locking stylets and snares, with extraction sheaths (if any), if:</w:t>
            </w:r>
          </w:p>
          <w:p w14:paraId="4B8D6AFF" w14:textId="77777777" w:rsidR="001B3581" w:rsidRDefault="001B3581" w:rsidP="00B8570F">
            <w:pPr>
              <w:pStyle w:val="Tabletext0"/>
              <w:keepNext/>
              <w:keepLines/>
              <w:ind w:left="346" w:hanging="180"/>
              <w:jc w:val="left"/>
            </w:pPr>
            <w:r>
              <w:t>(a) the leads have been in place for more than 6 months and require removal; and</w:t>
            </w:r>
          </w:p>
          <w:p w14:paraId="0B4EA0FB" w14:textId="77777777" w:rsidR="001B3581" w:rsidRDefault="001B3581" w:rsidP="00B8570F">
            <w:pPr>
              <w:pStyle w:val="Tabletext0"/>
              <w:keepNext/>
              <w:keepLines/>
              <w:ind w:left="346" w:hanging="180"/>
              <w:jc w:val="left"/>
            </w:pPr>
            <w:r>
              <w:t>(b) the service is performed:</w:t>
            </w:r>
          </w:p>
          <w:p w14:paraId="62826678" w14:textId="77777777" w:rsidR="001B3581" w:rsidRDefault="001B3581" w:rsidP="00B8570F">
            <w:pPr>
              <w:pStyle w:val="Tabletext0"/>
              <w:keepNext/>
              <w:keepLines/>
              <w:ind w:left="346"/>
              <w:jc w:val="left"/>
            </w:pPr>
            <w:r w:rsidRPr="4C0A0968">
              <w:t>(</w:t>
            </w:r>
            <w:proofErr w:type="spellStart"/>
            <w:r w:rsidRPr="4C0A0968">
              <w:t>i</w:t>
            </w:r>
            <w:proofErr w:type="spellEnd"/>
            <w:r w:rsidRPr="4C0A0968">
              <w:t>) in association with a service to which item 61109 or 60509 applies; and</w:t>
            </w:r>
          </w:p>
          <w:p w14:paraId="3FA1E6A8" w14:textId="77777777" w:rsidR="001B3581" w:rsidRDefault="001B3581" w:rsidP="00B8570F">
            <w:pPr>
              <w:pStyle w:val="Tabletext0"/>
              <w:keepNext/>
              <w:keepLines/>
              <w:ind w:left="346"/>
              <w:jc w:val="left"/>
            </w:pPr>
            <w:r>
              <w:t>(ii) by a specialist or consultant physician who has undertaken the training to perform the service; and</w:t>
            </w:r>
          </w:p>
          <w:p w14:paraId="411A856F" w14:textId="77777777" w:rsidR="001B3581" w:rsidRDefault="001B3581" w:rsidP="00B8570F">
            <w:pPr>
              <w:pStyle w:val="Tabletext0"/>
              <w:keepNext/>
              <w:keepLines/>
              <w:ind w:left="346"/>
              <w:jc w:val="left"/>
            </w:pPr>
            <w:r w:rsidRPr="4C0A0968">
              <w:t>(iii) in a facility where cardiothoracic surgery is available and a thoracotomy can be performed immediately and without transfer; and</w:t>
            </w:r>
          </w:p>
          <w:p w14:paraId="317DDB53" w14:textId="77777777" w:rsidR="001B3581" w:rsidRDefault="001B3581" w:rsidP="00B8570F">
            <w:pPr>
              <w:pStyle w:val="Tabletext0"/>
              <w:keepNext/>
              <w:keepLines/>
              <w:ind w:left="346" w:hanging="180"/>
              <w:jc w:val="left"/>
            </w:pPr>
            <w:r>
              <w:t>(c) if the service is performed by an interventional cardiologist—a cardiothoracic surgeon is in attendance during the service</w:t>
            </w:r>
          </w:p>
          <w:p w14:paraId="4453DD7D" w14:textId="77777777" w:rsidR="001B3581" w:rsidRDefault="001B3581" w:rsidP="00B8570F">
            <w:pPr>
              <w:pStyle w:val="Tabletext0"/>
              <w:keepNext/>
              <w:keepLines/>
              <w:jc w:val="left"/>
            </w:pPr>
            <w:r>
              <w:t>(H)</w:t>
            </w:r>
          </w:p>
          <w:p w14:paraId="6064D22F" w14:textId="77777777" w:rsidR="001B3581" w:rsidRDefault="001B3581" w:rsidP="00B8570F">
            <w:pPr>
              <w:pStyle w:val="Tabletext0"/>
              <w:keepNext/>
              <w:keepLines/>
              <w:jc w:val="left"/>
            </w:pPr>
            <w:r>
              <w:t>Multiple Operation Rule</w:t>
            </w:r>
          </w:p>
          <w:p w14:paraId="16E043BF" w14:textId="77777777" w:rsidR="001B3581" w:rsidRDefault="001B3581" w:rsidP="00B8570F">
            <w:pPr>
              <w:pStyle w:val="Tabletext0"/>
              <w:keepNext/>
              <w:keepLines/>
              <w:jc w:val="left"/>
            </w:pPr>
            <w:r>
              <w:t>(Anaes.) (Assist)</w:t>
            </w:r>
          </w:p>
          <w:p w14:paraId="3493B4BA" w14:textId="661ECB00" w:rsidR="001B3581" w:rsidRDefault="001B3581" w:rsidP="00B8570F">
            <w:pPr>
              <w:pStyle w:val="Tabletext0"/>
              <w:keepNext/>
              <w:keepLines/>
              <w:jc w:val="left"/>
            </w:pPr>
            <w:r w:rsidRPr="4C0A0968">
              <w:t>(See para</w:t>
            </w:r>
            <w:r w:rsidR="005E3FAD" w:rsidRPr="4C0A0968">
              <w:t>.</w:t>
            </w:r>
            <w:r w:rsidRPr="4C0A0968">
              <w:t xml:space="preserve"> TN.8.64, TN.8.214 of explanatory notes to this </w:t>
            </w:r>
            <w:proofErr w:type="gramStart"/>
            <w:r w:rsidRPr="4C0A0968">
              <w:t>Category)</w:t>
            </w:r>
            <w:proofErr w:type="spellStart"/>
            <w:r w:rsidRPr="4C0A0968">
              <w:rPr>
                <w:vertAlign w:val="superscript"/>
              </w:rPr>
              <w:t>b</w:t>
            </w:r>
            <w:proofErr w:type="gramEnd"/>
            <w:r w:rsidRPr="4C0A0968">
              <w:rPr>
                <w:vertAlign w:val="superscript"/>
              </w:rPr>
              <w:t>,c</w:t>
            </w:r>
            <w:proofErr w:type="spellEnd"/>
          </w:p>
        </w:tc>
        <w:tc>
          <w:tcPr>
            <w:tcW w:w="2070" w:type="dxa"/>
          </w:tcPr>
          <w:p w14:paraId="21892235" w14:textId="77777777" w:rsidR="001B3581" w:rsidRDefault="001B3581" w:rsidP="00B8570F">
            <w:pPr>
              <w:pStyle w:val="Tabletext0"/>
              <w:keepNext/>
              <w:keepLines/>
              <w:jc w:val="left"/>
            </w:pPr>
            <w:r w:rsidRPr="00735227">
              <w:t xml:space="preserve">Fee: $3,267.35 </w:t>
            </w:r>
            <w:r>
              <w:br/>
            </w:r>
            <w:r w:rsidRPr="00735227">
              <w:t>Benefit: 75% = $2,450.55</w:t>
            </w:r>
          </w:p>
        </w:tc>
      </w:tr>
    </w:tbl>
    <w:p w14:paraId="4F2E4835" w14:textId="4E76AE9B" w:rsidR="00826B12" w:rsidRPr="00515913" w:rsidRDefault="001B3581" w:rsidP="00B8570F">
      <w:pPr>
        <w:pStyle w:val="TableFigNote"/>
        <w:keepNext/>
        <w:keepLines/>
        <w:spacing w:before="40" w:after="40"/>
        <w:rPr>
          <w:rFonts w:ascii="Arial Narrow" w:hAnsi="Arial Narrow"/>
          <w:b/>
          <w:bCs/>
          <w:u w:val="single"/>
        </w:rPr>
      </w:pPr>
      <w:r w:rsidRPr="00515913">
        <w:rPr>
          <w:rFonts w:ascii="Arial Narrow" w:hAnsi="Arial Narrow"/>
          <w:b/>
          <w:u w:val="single"/>
        </w:rPr>
        <w:t>Abbreviations</w:t>
      </w:r>
    </w:p>
    <w:p w14:paraId="7524A251" w14:textId="34F319CF" w:rsidR="001B3581" w:rsidRPr="00515913" w:rsidRDefault="001B3581" w:rsidP="00B8570F">
      <w:pPr>
        <w:pStyle w:val="TableFigNote"/>
        <w:keepNext/>
        <w:keepLines/>
        <w:spacing w:before="40" w:after="40"/>
        <w:rPr>
          <w:rFonts w:ascii="Arial Narrow" w:hAnsi="Arial Narrow"/>
        </w:rPr>
      </w:pPr>
      <w:r w:rsidRPr="00515913">
        <w:rPr>
          <w:rFonts w:ascii="Arial Narrow" w:hAnsi="Arial Narrow"/>
          <w:b/>
        </w:rPr>
        <w:t>no</w:t>
      </w:r>
      <w:r w:rsidRPr="00515913">
        <w:rPr>
          <w:rFonts w:ascii="Arial Narrow" w:hAnsi="Arial Narrow"/>
          <w:b/>
          <w:bCs/>
        </w:rPr>
        <w:t>.</w:t>
      </w:r>
      <w:r w:rsidR="00B871F3">
        <w:rPr>
          <w:rFonts w:ascii="Arial Narrow" w:hAnsi="Arial Narrow"/>
        </w:rPr>
        <w:t xml:space="preserve"> =</w:t>
      </w:r>
      <w:r w:rsidRPr="00515913">
        <w:rPr>
          <w:rFonts w:ascii="Arial Narrow" w:hAnsi="Arial Narrow"/>
        </w:rPr>
        <w:t xml:space="preserve"> number, </w:t>
      </w:r>
      <w:r w:rsidRPr="00515913">
        <w:rPr>
          <w:rFonts w:ascii="Arial Narrow" w:hAnsi="Arial Narrow"/>
          <w:b/>
        </w:rPr>
        <w:t>DC-TVPM</w:t>
      </w:r>
      <w:r w:rsidR="00B871F3">
        <w:rPr>
          <w:rFonts w:ascii="Arial Narrow" w:hAnsi="Arial Narrow"/>
        </w:rPr>
        <w:t xml:space="preserve"> =</w:t>
      </w:r>
      <w:r w:rsidRPr="00515913">
        <w:rPr>
          <w:rFonts w:ascii="Arial Narrow" w:hAnsi="Arial Narrow"/>
        </w:rPr>
        <w:t xml:space="preserve"> dual-chamber transvenous pacemaker.</w:t>
      </w:r>
    </w:p>
    <w:p w14:paraId="35AD81B3" w14:textId="77777777" w:rsidR="00826B12" w:rsidRPr="003D5D26" w:rsidRDefault="00826B12" w:rsidP="00B8570F">
      <w:pPr>
        <w:pStyle w:val="TableFigNote"/>
        <w:keepNext/>
        <w:keepLines/>
        <w:spacing w:before="40" w:after="40"/>
        <w:rPr>
          <w:rFonts w:ascii="Arial Narrow" w:hAnsi="Arial Narrow"/>
          <w:b/>
          <w:u w:val="single"/>
        </w:rPr>
      </w:pPr>
      <w:r w:rsidRPr="003D5D26">
        <w:rPr>
          <w:rFonts w:ascii="Arial Narrow" w:hAnsi="Arial Narrow"/>
          <w:b/>
          <w:u w:val="single"/>
        </w:rPr>
        <w:t>Notes</w:t>
      </w:r>
    </w:p>
    <w:p w14:paraId="1973E3A1" w14:textId="77F5A4F5" w:rsidR="001B3581" w:rsidRPr="009C553D" w:rsidRDefault="00236453" w:rsidP="00B8570F">
      <w:pPr>
        <w:pStyle w:val="TableFigNote"/>
        <w:keepNext/>
        <w:keepLines/>
        <w:rPr>
          <w:rFonts w:ascii="Arial Narrow" w:hAnsi="Arial Narrow"/>
        </w:rPr>
      </w:pPr>
      <w:r w:rsidRPr="4C0A0968">
        <w:rPr>
          <w:rFonts w:ascii="Arial Narrow" w:hAnsi="Arial Narrow"/>
          <w:b/>
          <w:bCs/>
        </w:rPr>
        <w:t xml:space="preserve">a </w:t>
      </w:r>
      <w:r w:rsidRPr="4C0A0968">
        <w:rPr>
          <w:rFonts w:ascii="Arial Narrow" w:hAnsi="Arial Narrow"/>
        </w:rPr>
        <w:t>=</w:t>
      </w:r>
      <w:r w:rsidR="001B3581" w:rsidRPr="4C0A0968">
        <w:rPr>
          <w:rFonts w:ascii="Arial Narrow" w:hAnsi="Arial Narrow"/>
        </w:rPr>
        <w:t xml:space="preserve"> TN.8.60: The fees for the insertion of a pacemaker (Items 38350, 38353 and 38356) cover the testing of cardiac conduction or conduction threshold, etc</w:t>
      </w:r>
      <w:r w:rsidR="008177F1" w:rsidRPr="4C0A0968">
        <w:rPr>
          <w:rFonts w:ascii="Arial Narrow" w:hAnsi="Arial Narrow"/>
        </w:rPr>
        <w:t>. r</w:t>
      </w:r>
      <w:r w:rsidR="001B3581" w:rsidRPr="4C0A0968">
        <w:rPr>
          <w:rFonts w:ascii="Arial Narrow" w:hAnsi="Arial Narrow"/>
        </w:rPr>
        <w:t>elated to the pacemaker and pacemaker function. Accordingly, additional benefits are not payable for such routine testing under Item 38209 or 38212 (Cardiac electrophysiological studies).</w:t>
      </w:r>
    </w:p>
    <w:p w14:paraId="0DF0680A" w14:textId="76563EDB" w:rsidR="001B3581" w:rsidRPr="00BF7A6D" w:rsidRDefault="001B3581" w:rsidP="00B8570F">
      <w:pPr>
        <w:pStyle w:val="TableFigNote"/>
        <w:keepNext/>
        <w:keepLines/>
        <w:spacing w:before="40" w:after="40"/>
        <w:rPr>
          <w:rFonts w:ascii="Arial Narrow" w:hAnsi="Arial Narrow"/>
        </w:rPr>
      </w:pPr>
      <w:r w:rsidRPr="008177F1">
        <w:rPr>
          <w:rFonts w:ascii="Arial Narrow" w:hAnsi="Arial Narrow"/>
          <w:b/>
        </w:rPr>
        <w:t>b</w:t>
      </w:r>
      <w:r w:rsidRPr="00BF7A6D">
        <w:rPr>
          <w:rFonts w:ascii="Arial Narrow" w:hAnsi="Arial Narrow"/>
        </w:rPr>
        <w:t xml:space="preserve"> </w:t>
      </w:r>
      <w:r w:rsidR="00B871F3">
        <w:rPr>
          <w:rFonts w:ascii="Arial Narrow" w:hAnsi="Arial Narrow"/>
        </w:rPr>
        <w:t xml:space="preserve">= </w:t>
      </w:r>
      <w:r w:rsidRPr="00BF7A6D">
        <w:rPr>
          <w:rFonts w:ascii="Arial Narrow" w:hAnsi="Arial Narrow"/>
        </w:rPr>
        <w:t>TN.8.64</w:t>
      </w:r>
      <w:r w:rsidR="00D256CF">
        <w:rPr>
          <w:rFonts w:ascii="Arial Narrow" w:hAnsi="Arial Narrow"/>
        </w:rPr>
        <w:t>:</w:t>
      </w:r>
      <w:r w:rsidRPr="00BF7A6D">
        <w:rPr>
          <w:rFonts w:ascii="Arial Narrow" w:hAnsi="Arial Narrow"/>
        </w:rPr>
        <w:t xml:space="preserve"> For the purposes of </w:t>
      </w:r>
      <w:r w:rsidR="00FC35CB" w:rsidRPr="00BF7A6D">
        <w:rPr>
          <w:rFonts w:ascii="Arial Narrow" w:hAnsi="Arial Narrow"/>
        </w:rPr>
        <w:t>i</w:t>
      </w:r>
      <w:r w:rsidRPr="00BF7A6D">
        <w:rPr>
          <w:rFonts w:ascii="Arial Narrow" w:hAnsi="Arial Narrow"/>
        </w:rPr>
        <w:t>tem 38358</w:t>
      </w:r>
      <w:r w:rsidR="006067A4">
        <w:rPr>
          <w:rFonts w:ascii="Arial Narrow" w:hAnsi="Arial Narrow"/>
        </w:rPr>
        <w:t>,</w:t>
      </w:r>
      <w:r w:rsidRPr="00BF7A6D">
        <w:rPr>
          <w:rFonts w:ascii="Arial Narrow" w:hAnsi="Arial Narrow"/>
        </w:rPr>
        <w:t xml:space="preserve"> specialists or consultant physicians claiming this item must have training recognised by the Lead Extraction Advisory Committee of the Cardiac Society of Australia and New Zealand, and the Department of Human Services notified of that recognition. The procedure should only be undertaken in a hospital capable of providing cardiac surgery.</w:t>
      </w:r>
    </w:p>
    <w:p w14:paraId="5AD40539" w14:textId="1E6BAFEF" w:rsidR="001B3581" w:rsidRPr="00BF7A6D" w:rsidRDefault="001B3581" w:rsidP="00B8570F">
      <w:pPr>
        <w:pStyle w:val="TableFigNote"/>
        <w:keepNext/>
        <w:keepLines/>
        <w:spacing w:before="40" w:after="40"/>
        <w:rPr>
          <w:rFonts w:ascii="Arial Narrow" w:hAnsi="Arial Narrow"/>
        </w:rPr>
      </w:pPr>
      <w:r w:rsidRPr="4C0A0968">
        <w:rPr>
          <w:rFonts w:ascii="Arial Narrow" w:hAnsi="Arial Narrow"/>
          <w:b/>
          <w:bCs/>
        </w:rPr>
        <w:t>c</w:t>
      </w:r>
      <w:r w:rsidRPr="4C0A0968">
        <w:rPr>
          <w:rFonts w:ascii="Arial Narrow" w:hAnsi="Arial Narrow"/>
        </w:rPr>
        <w:t xml:space="preserve"> </w:t>
      </w:r>
      <w:r w:rsidR="00B871F3" w:rsidRPr="4C0A0968">
        <w:rPr>
          <w:rFonts w:ascii="Arial Narrow" w:hAnsi="Arial Narrow"/>
        </w:rPr>
        <w:t xml:space="preserve">= </w:t>
      </w:r>
      <w:r w:rsidRPr="4C0A0968">
        <w:rPr>
          <w:rFonts w:ascii="Arial Narrow" w:hAnsi="Arial Narrow"/>
        </w:rPr>
        <w:t>TN.8.214</w:t>
      </w:r>
      <w:r w:rsidR="00D256CF" w:rsidRPr="4C0A0968">
        <w:rPr>
          <w:rFonts w:ascii="Arial Narrow" w:hAnsi="Arial Narrow"/>
        </w:rPr>
        <w:t>:</w:t>
      </w:r>
      <w:r w:rsidRPr="4C0A0968">
        <w:rPr>
          <w:rFonts w:ascii="Arial Narrow" w:hAnsi="Arial Narrow"/>
        </w:rPr>
        <w:t xml:space="preserve"> International guidelines and claiming guide for extraction of leads: International guidelines state that delays from injury to open access to the heart of more than 5</w:t>
      </w:r>
      <w:r w:rsidR="00F45AE2" w:rsidRPr="4C0A0968">
        <w:rPr>
          <w:rFonts w:ascii="Arial Narrow" w:hAnsi="Arial Narrow"/>
        </w:rPr>
        <w:t xml:space="preserve"> to </w:t>
      </w:r>
      <w:r w:rsidRPr="4C0A0968">
        <w:rPr>
          <w:rFonts w:ascii="Arial Narrow" w:hAnsi="Arial Narrow"/>
        </w:rPr>
        <w:t>10 minutes are often associated with a fatal outcome. Preparations for this procedure should provide for this rare but life-threatening circumstance. Claiming guide: When the service to which item 38358 applies is provided to a patient by an accredited interventional cardiologist</w:t>
      </w:r>
      <w:r w:rsidR="00F45AE2" w:rsidRPr="4C0A0968">
        <w:rPr>
          <w:rFonts w:ascii="Arial Narrow" w:hAnsi="Arial Narrow"/>
        </w:rPr>
        <w:t>,</w:t>
      </w:r>
      <w:r w:rsidRPr="4C0A0968">
        <w:rPr>
          <w:rFonts w:ascii="Arial Narrow" w:hAnsi="Arial Narrow"/>
        </w:rPr>
        <w:t xml:space="preserve"> the following claiming will apply:</w:t>
      </w:r>
    </w:p>
    <w:p w14:paraId="12D94163" w14:textId="77777777" w:rsidR="001B3581" w:rsidRPr="00BF7A6D" w:rsidRDefault="001B3581" w:rsidP="00B8570F">
      <w:pPr>
        <w:pStyle w:val="TableFigNote"/>
        <w:keepNext/>
        <w:keepLines/>
        <w:numPr>
          <w:ilvl w:val="0"/>
          <w:numId w:val="19"/>
        </w:numPr>
        <w:spacing w:before="40" w:after="40"/>
        <w:rPr>
          <w:rFonts w:ascii="Arial Narrow" w:hAnsi="Arial Narrow"/>
        </w:rPr>
      </w:pPr>
      <w:r w:rsidRPr="00BF7A6D">
        <w:rPr>
          <w:rFonts w:ascii="Arial Narrow" w:hAnsi="Arial Narrow"/>
        </w:rPr>
        <w:t>Item 38358 is to be claimed by the accredited interventional cardiologist; and</w:t>
      </w:r>
    </w:p>
    <w:p w14:paraId="33AE3919" w14:textId="77777777" w:rsidR="001B3581" w:rsidRPr="00BF7A6D" w:rsidRDefault="001B3581" w:rsidP="00B8570F">
      <w:pPr>
        <w:pStyle w:val="TableFigNote"/>
        <w:keepNext/>
        <w:keepLines/>
        <w:numPr>
          <w:ilvl w:val="0"/>
          <w:numId w:val="19"/>
        </w:numPr>
        <w:spacing w:before="40" w:after="40"/>
        <w:rPr>
          <w:rFonts w:ascii="Arial Narrow" w:hAnsi="Arial Narrow"/>
        </w:rPr>
      </w:pPr>
      <w:r w:rsidRPr="00BF7A6D">
        <w:rPr>
          <w:rFonts w:ascii="Arial Narrow" w:hAnsi="Arial Narrow"/>
        </w:rPr>
        <w:t>Item 90300 is to be claimed by the standby cardiothoracic surgeon.</w:t>
      </w:r>
    </w:p>
    <w:p w14:paraId="3DD14E85" w14:textId="0719EDB9" w:rsidR="001B3581" w:rsidRPr="00BF7A6D" w:rsidRDefault="001B3581" w:rsidP="00B8570F">
      <w:pPr>
        <w:pStyle w:val="TableFigNote"/>
        <w:keepNext/>
        <w:keepLines/>
        <w:spacing w:before="40" w:after="40"/>
        <w:rPr>
          <w:rFonts w:ascii="Arial Narrow" w:hAnsi="Arial Narrow"/>
        </w:rPr>
      </w:pPr>
      <w:r w:rsidRPr="00BF7A6D">
        <w:rPr>
          <w:rFonts w:ascii="Arial Narrow" w:hAnsi="Arial Narrow"/>
        </w:rPr>
        <w:t>When the service to which item 38358 applies is provided to a patient by an accredited cardiothoracic surgeon</w:t>
      </w:r>
      <w:r w:rsidR="00F45AE2">
        <w:rPr>
          <w:rFonts w:ascii="Arial Narrow" w:hAnsi="Arial Narrow"/>
        </w:rPr>
        <w:t>,</w:t>
      </w:r>
      <w:r w:rsidRPr="00BF7A6D">
        <w:rPr>
          <w:rFonts w:ascii="Arial Narrow" w:hAnsi="Arial Narrow"/>
        </w:rPr>
        <w:t xml:space="preserve"> the following claiming will apply:</w:t>
      </w:r>
    </w:p>
    <w:p w14:paraId="21BE2760" w14:textId="0350B955" w:rsidR="001B3581" w:rsidRPr="003D5D26" w:rsidRDefault="001B3581" w:rsidP="00B8570F">
      <w:pPr>
        <w:pStyle w:val="TableFigNote"/>
        <w:keepNext/>
        <w:keepLines/>
        <w:numPr>
          <w:ilvl w:val="0"/>
          <w:numId w:val="20"/>
        </w:numPr>
        <w:spacing w:before="40" w:after="40"/>
        <w:rPr>
          <w:rFonts w:ascii="Arial Narrow" w:hAnsi="Arial Narrow"/>
        </w:rPr>
      </w:pPr>
      <w:r w:rsidRPr="00BF7A6D">
        <w:rPr>
          <w:rFonts w:ascii="Arial Narrow" w:hAnsi="Arial Narrow"/>
        </w:rPr>
        <w:t>Item 38358 is to be claimed by the accredited cardiothoracic surgeon only</w:t>
      </w:r>
      <w:r w:rsidR="00F45AE2">
        <w:rPr>
          <w:rFonts w:ascii="Arial Narrow" w:hAnsi="Arial Narrow"/>
        </w:rPr>
        <w:t>.</w:t>
      </w:r>
    </w:p>
    <w:p w14:paraId="60494EA1" w14:textId="77777777" w:rsidR="00DC35E4" w:rsidRPr="003D5D26" w:rsidRDefault="001B3581" w:rsidP="00B8570F">
      <w:pPr>
        <w:pStyle w:val="TableFigNote"/>
        <w:keepNext/>
        <w:keepLines/>
        <w:spacing w:before="40" w:after="40"/>
        <w:rPr>
          <w:rFonts w:ascii="Arial Narrow" w:hAnsi="Arial Narrow"/>
          <w:b/>
          <w:u w:val="single"/>
        </w:rPr>
      </w:pPr>
      <w:r w:rsidRPr="003D5D26">
        <w:rPr>
          <w:rFonts w:ascii="Arial Narrow" w:hAnsi="Arial Narrow"/>
          <w:b/>
          <w:u w:val="single"/>
        </w:rPr>
        <w:t>Source</w:t>
      </w:r>
    </w:p>
    <w:p w14:paraId="16F9464D" w14:textId="201EB766" w:rsidR="001B3581" w:rsidRPr="003D5D26" w:rsidRDefault="001B3581" w:rsidP="00B8570F">
      <w:pPr>
        <w:pStyle w:val="TableFigNote"/>
        <w:keepNext/>
        <w:keepLines/>
        <w:spacing w:before="40" w:after="40"/>
        <w:rPr>
          <w:rFonts w:ascii="Arial Narrow" w:hAnsi="Arial Narrow"/>
        </w:rPr>
      </w:pPr>
      <w:r w:rsidRPr="003D5D26">
        <w:rPr>
          <w:rFonts w:ascii="Arial Narrow" w:hAnsi="Arial Narrow"/>
        </w:rPr>
        <w:t>MBS online</w:t>
      </w:r>
      <w:r w:rsidRPr="003D5D26">
        <w:rPr>
          <w:rFonts w:ascii="Arial Narrow" w:hAnsi="Arial Narrow"/>
          <w:lang w:val="en-GB"/>
        </w:rPr>
        <w:t>. Verified by assessment group on 13 November 2024.</w:t>
      </w:r>
    </w:p>
    <w:p w14:paraId="08729476" w14:textId="06C87616" w:rsidR="0055220A" w:rsidRDefault="02BB2864" w:rsidP="00DE4E66">
      <w:pPr>
        <w:spacing w:before="240"/>
        <w:rPr>
          <w:rFonts w:eastAsia="Franklin Gothic Book" w:cs="Franklin Gothic Book"/>
        </w:rPr>
      </w:pPr>
      <w:r w:rsidRPr="4B8D8748">
        <w:rPr>
          <w:rFonts w:eastAsia="Franklin Gothic Book" w:cs="Franklin Gothic Book"/>
        </w:rPr>
        <w:t xml:space="preserve">The PICO Confirmation </w:t>
      </w:r>
      <w:r w:rsidR="003F69CF">
        <w:rPr>
          <w:rFonts w:eastAsia="Franklin Gothic Book" w:cs="Franklin Gothic Book"/>
        </w:rPr>
        <w:t>specified</w:t>
      </w:r>
      <w:r w:rsidR="003F69CF" w:rsidRPr="4B8D8748">
        <w:rPr>
          <w:rFonts w:eastAsia="Franklin Gothic Book" w:cs="Franklin Gothic Book"/>
        </w:rPr>
        <w:t xml:space="preserve"> </w:t>
      </w:r>
      <w:r w:rsidRPr="4B8D8748">
        <w:rPr>
          <w:rFonts w:eastAsia="Franklin Gothic Book" w:cs="Franklin Gothic Book"/>
        </w:rPr>
        <w:t xml:space="preserve">insertion of a Micra VR LPM as a secondary comparator if </w:t>
      </w:r>
      <w:r w:rsidR="00643930">
        <w:rPr>
          <w:rFonts w:eastAsia="Franklin Gothic Book" w:cs="Franklin Gothic Book"/>
        </w:rPr>
        <w:t xml:space="preserve">the </w:t>
      </w:r>
      <w:r w:rsidRPr="4B8D8748">
        <w:rPr>
          <w:rFonts w:eastAsia="Franklin Gothic Book" w:cs="Franklin Gothic Book"/>
        </w:rPr>
        <w:t>applicant intended to seek a higher PL benefit for the Micra AV. The proposed benefit for the Micra AV device in this ADAR is</w:t>
      </w:r>
      <w:r w:rsidR="00241D34">
        <w:rPr>
          <w:rFonts w:eastAsia="Franklin Gothic Book" w:cs="Franklin Gothic Book"/>
        </w:rPr>
        <w:t xml:space="preserve"> </w:t>
      </w:r>
      <w:r w:rsidR="008454D3">
        <w:t>$</w:t>
      </w:r>
      <w:r w:rsidR="008454D3">
        <w:rPr>
          <w:b/>
          <w:bCs/>
        </w:rPr>
        <w:t>redacted</w:t>
      </w:r>
      <w:r w:rsidRPr="4B8D8748">
        <w:rPr>
          <w:rFonts w:eastAsia="Franklin Gothic Book" w:cs="Franklin Gothic Book"/>
        </w:rPr>
        <w:t>, which is higher than that for the Micra VR device (</w:t>
      </w:r>
      <w:r w:rsidRPr="4B8D8748">
        <w:rPr>
          <w:rFonts w:eastAsia="Franklin Gothic Book" w:cs="Franklin Gothic Book"/>
          <w:lang w:val="en-GB"/>
        </w:rPr>
        <w:t>$10,083)</w:t>
      </w:r>
      <w:r w:rsidRPr="4B8D8748">
        <w:rPr>
          <w:rFonts w:eastAsia="Franklin Gothic Book" w:cs="Franklin Gothic Book"/>
        </w:rPr>
        <w:t xml:space="preserve">. </w:t>
      </w:r>
      <w:r w:rsidR="003F69CF">
        <w:rPr>
          <w:rFonts w:eastAsia="Franklin Gothic Book" w:cs="Franklin Gothic Book"/>
        </w:rPr>
        <w:t xml:space="preserve">ESC noted that the applicant argued that </w:t>
      </w:r>
      <w:r w:rsidRPr="4B8D8748">
        <w:rPr>
          <w:rFonts w:eastAsia="Franklin Gothic Book" w:cs="Franklin Gothic Book"/>
        </w:rPr>
        <w:t xml:space="preserve">given the small overlap in the populations </w:t>
      </w:r>
      <w:r w:rsidRPr="4B8D8748">
        <w:rPr>
          <w:rFonts w:eastAsia="Franklin Gothic Book" w:cs="Franklin Gothic Book"/>
        </w:rPr>
        <w:lastRenderedPageBreak/>
        <w:t xml:space="preserve">between the </w:t>
      </w:r>
      <w:r w:rsidR="00D52473">
        <w:rPr>
          <w:rFonts w:eastAsia="Franklin Gothic Book" w:cs="Franklin Gothic Book"/>
        </w:rPr>
        <w:t>2</w:t>
      </w:r>
      <w:r w:rsidR="00D52473" w:rsidRPr="4B8D8748">
        <w:rPr>
          <w:rFonts w:eastAsia="Franklin Gothic Book" w:cs="Franklin Gothic Book"/>
        </w:rPr>
        <w:t xml:space="preserve"> </w:t>
      </w:r>
      <w:r w:rsidRPr="4B8D8748">
        <w:rPr>
          <w:rFonts w:eastAsia="Franklin Gothic Book" w:cs="Franklin Gothic Book"/>
        </w:rPr>
        <w:t xml:space="preserve">devices (≤5%), and the fact that this overlap was due to VR being the only LPM available at the time, a formal comparison with Micra VR was not provided. The applicant consulted </w:t>
      </w:r>
      <w:r w:rsidR="00D52473">
        <w:rPr>
          <w:rFonts w:eastAsia="Franklin Gothic Book" w:cs="Franklin Gothic Book"/>
        </w:rPr>
        <w:t>3</w:t>
      </w:r>
      <w:r w:rsidR="00D52473" w:rsidRPr="4B8D8748">
        <w:rPr>
          <w:rFonts w:eastAsia="Franklin Gothic Book" w:cs="Franklin Gothic Book"/>
        </w:rPr>
        <w:t xml:space="preserve"> </w:t>
      </w:r>
      <w:r w:rsidRPr="4B8D8748">
        <w:rPr>
          <w:rFonts w:eastAsia="Franklin Gothic Book" w:cs="Franklin Gothic Book"/>
        </w:rPr>
        <w:t>Australian cardiologists who confirmed that</w:t>
      </w:r>
      <w:r w:rsidR="00B402EB">
        <w:rPr>
          <w:rFonts w:eastAsia="Franklin Gothic Book" w:cs="Franklin Gothic Book"/>
        </w:rPr>
        <w:t>:</w:t>
      </w:r>
      <w:r w:rsidRPr="4B8D8748">
        <w:rPr>
          <w:rFonts w:eastAsia="Franklin Gothic Book" w:cs="Franklin Gothic Book"/>
        </w:rPr>
        <w:t xml:space="preserve"> </w:t>
      </w:r>
      <w:r w:rsidR="000B1E42">
        <w:rPr>
          <w:rFonts w:eastAsia="Franklin Gothic Book" w:cs="Franklin Gothic Book"/>
        </w:rPr>
        <w:t xml:space="preserve">a) </w:t>
      </w:r>
      <w:r w:rsidRPr="4B8D8748">
        <w:rPr>
          <w:rFonts w:eastAsia="Franklin Gothic Book" w:cs="Franklin Gothic Book"/>
        </w:rPr>
        <w:t>it would be clinically inappropriate to use the Micra VR in the proposed patient population when the Micra AV is available</w:t>
      </w:r>
      <w:r w:rsidR="00B402EB">
        <w:rPr>
          <w:rFonts w:eastAsia="Franklin Gothic Book" w:cs="Franklin Gothic Book"/>
        </w:rPr>
        <w:t xml:space="preserve">; and </w:t>
      </w:r>
      <w:r w:rsidR="000B1E42">
        <w:rPr>
          <w:rFonts w:eastAsia="Franklin Gothic Book" w:cs="Franklin Gothic Book"/>
        </w:rPr>
        <w:t>b)</w:t>
      </w:r>
      <w:r w:rsidR="00A57A5D">
        <w:rPr>
          <w:rFonts w:eastAsia="Franklin Gothic Book" w:cs="Franklin Gothic Book"/>
        </w:rPr>
        <w:t xml:space="preserve"> </w:t>
      </w:r>
      <w:r w:rsidRPr="4B8D8748">
        <w:rPr>
          <w:rFonts w:eastAsia="Franklin Gothic Book" w:cs="Franklin Gothic Book"/>
        </w:rPr>
        <w:t xml:space="preserve">a formal comparison between the Micra VR and AV is not necessary for the </w:t>
      </w:r>
      <w:r w:rsidR="005617C2">
        <w:rPr>
          <w:rFonts w:eastAsia="Franklin Gothic Book" w:cs="Franklin Gothic Book"/>
        </w:rPr>
        <w:t xml:space="preserve">very </w:t>
      </w:r>
      <w:r w:rsidRPr="4B8D8748">
        <w:rPr>
          <w:rFonts w:eastAsia="Franklin Gothic Book" w:cs="Franklin Gothic Book"/>
        </w:rPr>
        <w:t>small group of patients who currently have a Micra VR implant but might benefit from switching to the Micra AV.</w:t>
      </w:r>
      <w:r w:rsidR="001A3280">
        <w:rPr>
          <w:rFonts w:eastAsia="Franklin Gothic Book" w:cs="Franklin Gothic Book"/>
        </w:rPr>
        <w:t xml:space="preserve"> </w:t>
      </w:r>
    </w:p>
    <w:p w14:paraId="0B495E17" w14:textId="32D74BA8" w:rsidR="008653C3" w:rsidRDefault="00833F95" w:rsidP="008653C3">
      <w:pPr>
        <w:rPr>
          <w:rFonts w:eastAsia="Franklin Gothic Book" w:cs="Franklin Gothic Book"/>
        </w:rPr>
      </w:pPr>
      <w:r>
        <w:rPr>
          <w:rFonts w:eastAsia="Franklin Gothic Book" w:cs="Franklin Gothic Book"/>
        </w:rPr>
        <w:t>MSAC</w:t>
      </w:r>
      <w:r w:rsidR="005A126E">
        <w:rPr>
          <w:rFonts w:eastAsia="Franklin Gothic Book" w:cs="Franklin Gothic Book"/>
        </w:rPr>
        <w:t xml:space="preserve"> noted that no information comparing the </w:t>
      </w:r>
      <w:r w:rsidR="005A126E" w:rsidRPr="00DD65B0">
        <w:rPr>
          <w:rFonts w:eastAsia="Franklin Gothic Book" w:cs="Franklin Gothic Book"/>
        </w:rPr>
        <w:t xml:space="preserve">design, characteristics, </w:t>
      </w:r>
      <w:r w:rsidR="005A126E">
        <w:rPr>
          <w:rFonts w:eastAsia="Franklin Gothic Book" w:cs="Franklin Gothic Book"/>
        </w:rPr>
        <w:t xml:space="preserve">or </w:t>
      </w:r>
      <w:r w:rsidR="005A126E" w:rsidRPr="00DD65B0">
        <w:rPr>
          <w:rFonts w:eastAsia="Franklin Gothic Book" w:cs="Franklin Gothic Book"/>
        </w:rPr>
        <w:t>specifications</w:t>
      </w:r>
      <w:r w:rsidR="00950009">
        <w:rPr>
          <w:rFonts w:eastAsia="Franklin Gothic Book" w:cs="Franklin Gothic Book"/>
        </w:rPr>
        <w:t xml:space="preserve"> of the Micra AV and Micra VR were provided in the ADAR</w:t>
      </w:r>
      <w:r w:rsidR="00C60AAE">
        <w:rPr>
          <w:rFonts w:eastAsia="Franklin Gothic Book" w:cs="Franklin Gothic Book"/>
        </w:rPr>
        <w:t xml:space="preserve">, but that this </w:t>
      </w:r>
      <w:r w:rsidR="00A2049C">
        <w:rPr>
          <w:rFonts w:eastAsia="Franklin Gothic Book" w:cs="Franklin Gothic Book"/>
        </w:rPr>
        <w:t>i</w:t>
      </w:r>
      <w:r w:rsidR="00C60AAE">
        <w:rPr>
          <w:rFonts w:eastAsia="Franklin Gothic Book" w:cs="Franklin Gothic Book"/>
        </w:rPr>
        <w:t xml:space="preserve">nformation </w:t>
      </w:r>
      <w:r>
        <w:rPr>
          <w:rFonts w:eastAsia="Franklin Gothic Book" w:cs="Franklin Gothic Book"/>
        </w:rPr>
        <w:t xml:space="preserve">may </w:t>
      </w:r>
      <w:r w:rsidR="00C60AAE">
        <w:rPr>
          <w:rFonts w:eastAsia="Franklin Gothic Book" w:cs="Franklin Gothic Book"/>
        </w:rPr>
        <w:t xml:space="preserve">be required for </w:t>
      </w:r>
      <w:r>
        <w:rPr>
          <w:rFonts w:eastAsia="Franklin Gothic Book" w:cs="Franklin Gothic Book"/>
        </w:rPr>
        <w:t xml:space="preserve">any subsequent PL </w:t>
      </w:r>
      <w:r w:rsidR="00A2049C">
        <w:rPr>
          <w:rFonts w:eastAsia="Franklin Gothic Book" w:cs="Franklin Gothic Book"/>
        </w:rPr>
        <w:t>application for the Micra AV</w:t>
      </w:r>
      <w:r w:rsidR="00950009">
        <w:rPr>
          <w:rFonts w:eastAsia="Franklin Gothic Book" w:cs="Franklin Gothic Book"/>
        </w:rPr>
        <w:t>.</w:t>
      </w:r>
    </w:p>
    <w:p w14:paraId="2BA94635" w14:textId="77777777" w:rsidR="004167A0" w:rsidRPr="00D155C0" w:rsidRDefault="454D647D" w:rsidP="00DE4E66">
      <w:pPr>
        <w:pStyle w:val="Heading2"/>
        <w:numPr>
          <w:ilvl w:val="0"/>
          <w:numId w:val="27"/>
        </w:numPr>
        <w:ind w:hanging="720"/>
      </w:pPr>
      <w:bookmarkStart w:id="20" w:name="_Toc69491421"/>
      <w:bookmarkStart w:id="21" w:name="_Hlk193982804"/>
      <w:r>
        <w:t>Summary of public consultation input</w:t>
      </w:r>
      <w:bookmarkEnd w:id="20"/>
      <w:bookmarkEnd w:id="21"/>
    </w:p>
    <w:p w14:paraId="3F147CFC" w14:textId="32842DA2" w:rsidR="77CBD943" w:rsidRDefault="77CBD943" w:rsidP="4FCD29BA">
      <w:pPr>
        <w:tabs>
          <w:tab w:val="left" w:pos="3686"/>
        </w:tabs>
        <w:spacing w:line="256" w:lineRule="auto"/>
        <w:rPr>
          <w:rFonts w:eastAsia="Franklin Gothic Book" w:cs="Franklin Gothic Book"/>
          <w:color w:val="000000" w:themeColor="text1"/>
        </w:rPr>
      </w:pPr>
      <w:r w:rsidRPr="4FCD29BA">
        <w:rPr>
          <w:rFonts w:eastAsia="Franklin Gothic Book" w:cs="Franklin Gothic Book"/>
          <w:color w:val="000000" w:themeColor="text1"/>
        </w:rPr>
        <w:t xml:space="preserve">Consultation input was received from </w:t>
      </w:r>
      <w:r w:rsidR="2D78B3EB" w:rsidRPr="4FCD29BA">
        <w:rPr>
          <w:rFonts w:eastAsia="Franklin Gothic Book" w:cs="Franklin Gothic Book"/>
          <w:color w:val="000000" w:themeColor="text1"/>
        </w:rPr>
        <w:t xml:space="preserve">one </w:t>
      </w:r>
      <w:r w:rsidRPr="4FCD29BA">
        <w:rPr>
          <w:rFonts w:eastAsia="Franklin Gothic Book" w:cs="Franklin Gothic Book"/>
          <w:color w:val="000000" w:themeColor="text1"/>
        </w:rPr>
        <w:t>medical, health, or other (non-consumer) organisation</w:t>
      </w:r>
      <w:r w:rsidR="68BE9443" w:rsidRPr="4FCD29BA">
        <w:rPr>
          <w:rFonts w:eastAsia="Franklin Gothic Book" w:cs="Franklin Gothic Book"/>
          <w:color w:val="000000" w:themeColor="text1"/>
        </w:rPr>
        <w:t xml:space="preserve"> and one consumer organisation</w:t>
      </w:r>
      <w:r w:rsidRPr="4FCD29BA">
        <w:rPr>
          <w:rFonts w:eastAsia="Franklin Gothic Book" w:cs="Franklin Gothic Book"/>
          <w:color w:val="000000" w:themeColor="text1"/>
        </w:rPr>
        <w:t xml:space="preserve">. </w:t>
      </w:r>
    </w:p>
    <w:p w14:paraId="7A9B6DB7" w14:textId="50E88E36" w:rsidR="77CBD943" w:rsidRDefault="77CBD943" w:rsidP="4FCD29BA">
      <w:pPr>
        <w:tabs>
          <w:tab w:val="left" w:pos="3686"/>
        </w:tabs>
        <w:spacing w:line="256" w:lineRule="auto"/>
        <w:rPr>
          <w:rFonts w:eastAsia="Franklin Gothic Book" w:cs="Franklin Gothic Book"/>
          <w:color w:val="000000" w:themeColor="text1"/>
        </w:rPr>
      </w:pPr>
      <w:r w:rsidRPr="4FCD29BA">
        <w:rPr>
          <w:rFonts w:eastAsia="Franklin Gothic Book" w:cs="Franklin Gothic Book"/>
          <w:color w:val="000000" w:themeColor="text1"/>
        </w:rPr>
        <w:t>The organisations that submitted input were:</w:t>
      </w:r>
    </w:p>
    <w:p w14:paraId="7FC047FC" w14:textId="4F78CCC9" w:rsidR="49F5C238" w:rsidRDefault="49F5C238" w:rsidP="4FCD29BA">
      <w:pPr>
        <w:pStyle w:val="ListParagraph"/>
        <w:numPr>
          <w:ilvl w:val="0"/>
          <w:numId w:val="4"/>
        </w:numPr>
        <w:tabs>
          <w:tab w:val="left" w:pos="3686"/>
        </w:tabs>
        <w:spacing w:line="256" w:lineRule="auto"/>
        <w:rPr>
          <w:rFonts w:eastAsia="Franklin Gothic Book" w:cs="Franklin Gothic Book"/>
          <w:color w:val="000000" w:themeColor="text1"/>
        </w:rPr>
      </w:pPr>
      <w:r w:rsidRPr="4FCD29BA">
        <w:rPr>
          <w:rFonts w:eastAsia="Franklin Gothic Book" w:cs="Franklin Gothic Book"/>
          <w:color w:val="000000" w:themeColor="text1"/>
        </w:rPr>
        <w:t>Hearts4Heart</w:t>
      </w:r>
    </w:p>
    <w:p w14:paraId="2F814FE4" w14:textId="647F847C" w:rsidR="49F5C238" w:rsidRDefault="49F5C238" w:rsidP="4FCD29BA">
      <w:pPr>
        <w:pStyle w:val="ListParagraph"/>
        <w:numPr>
          <w:ilvl w:val="0"/>
          <w:numId w:val="4"/>
        </w:numPr>
        <w:tabs>
          <w:tab w:val="left" w:pos="3686"/>
        </w:tabs>
        <w:spacing w:line="256" w:lineRule="auto"/>
        <w:rPr>
          <w:rFonts w:eastAsia="Franklin Gothic Book" w:cs="Franklin Gothic Book"/>
          <w:color w:val="000000" w:themeColor="text1"/>
        </w:rPr>
      </w:pPr>
      <w:r w:rsidRPr="4FCD29BA">
        <w:rPr>
          <w:rFonts w:eastAsia="Franklin Gothic Book" w:cs="Franklin Gothic Book"/>
          <w:color w:val="000000" w:themeColor="text1"/>
        </w:rPr>
        <w:t>Abbott Medical Australia Pty Ltd</w:t>
      </w:r>
      <w:r w:rsidR="2068169F" w:rsidRPr="4FCD29BA">
        <w:rPr>
          <w:rFonts w:eastAsia="Franklin Gothic Book" w:cs="Franklin Gothic Book"/>
          <w:color w:val="000000" w:themeColor="text1"/>
        </w:rPr>
        <w:t xml:space="preserve"> (Abbott)</w:t>
      </w:r>
    </w:p>
    <w:p w14:paraId="5002732E" w14:textId="18B9AC59" w:rsidR="49F5C238" w:rsidRDefault="49F5C238" w:rsidP="4FCD29BA">
      <w:pPr>
        <w:rPr>
          <w:rFonts w:eastAsia="Franklin Gothic Book" w:cs="Franklin Gothic Book"/>
          <w:color w:val="000000" w:themeColor="text1"/>
          <w:sz w:val="24"/>
          <w:szCs w:val="24"/>
        </w:rPr>
      </w:pPr>
      <w:r w:rsidRPr="4FCD29BA">
        <w:rPr>
          <w:rFonts w:eastAsia="Franklin Gothic Book" w:cs="Franklin Gothic Book"/>
          <w:b/>
          <w:bCs/>
          <w:color w:val="000000" w:themeColor="text1"/>
          <w:sz w:val="24"/>
          <w:szCs w:val="24"/>
        </w:rPr>
        <w:t xml:space="preserve">Level of support for public funding </w:t>
      </w:r>
    </w:p>
    <w:p w14:paraId="04640A1D" w14:textId="380B6808" w:rsidR="3B090A54" w:rsidRDefault="3B090A54" w:rsidP="4FCD29BA">
      <w:pPr>
        <w:rPr>
          <w:rFonts w:eastAsia="Franklin Gothic Book" w:cs="Franklin Gothic Book"/>
          <w:color w:val="000000" w:themeColor="text1"/>
        </w:rPr>
      </w:pPr>
      <w:r w:rsidRPr="4FCD29BA">
        <w:rPr>
          <w:rFonts w:eastAsia="Franklin Gothic Book" w:cs="Franklin Gothic Book"/>
          <w:color w:val="000000" w:themeColor="text1"/>
        </w:rPr>
        <w:t>Both organisations supported public funding</w:t>
      </w:r>
      <w:r w:rsidR="3AB44CF2" w:rsidRPr="4FCD29BA">
        <w:rPr>
          <w:rFonts w:eastAsia="Franklin Gothic Book" w:cs="Franklin Gothic Book"/>
          <w:color w:val="000000" w:themeColor="text1"/>
        </w:rPr>
        <w:t xml:space="preserve"> of a wider range of clinically safe, effective, and cost-effective leadless technology options for indicated patients in Australia</w:t>
      </w:r>
      <w:r w:rsidRPr="4FCD29BA">
        <w:rPr>
          <w:rFonts w:eastAsia="Franklin Gothic Book" w:cs="Franklin Gothic Book"/>
          <w:color w:val="000000" w:themeColor="text1"/>
        </w:rPr>
        <w:t xml:space="preserve">. However, </w:t>
      </w:r>
      <w:r w:rsidR="7C84CDE5" w:rsidRPr="4FCD29BA">
        <w:rPr>
          <w:rFonts w:eastAsia="Franklin Gothic Book" w:cs="Franklin Gothic Book"/>
          <w:color w:val="000000" w:themeColor="text1"/>
        </w:rPr>
        <w:t>Abbott</w:t>
      </w:r>
      <w:r w:rsidR="24D3CDF8" w:rsidRPr="4FCD29BA">
        <w:rPr>
          <w:rFonts w:eastAsia="Franklin Gothic Book" w:cs="Franklin Gothic Book"/>
          <w:color w:val="000000" w:themeColor="text1"/>
        </w:rPr>
        <w:t xml:space="preserve"> </w:t>
      </w:r>
      <w:r w:rsidR="303FBA21" w:rsidRPr="4FCD29BA">
        <w:rPr>
          <w:rFonts w:eastAsia="Franklin Gothic Book" w:cs="Franklin Gothic Book"/>
          <w:color w:val="000000" w:themeColor="text1"/>
        </w:rPr>
        <w:t xml:space="preserve">referred to </w:t>
      </w:r>
      <w:r w:rsidR="24D3CDF8" w:rsidRPr="4FCD29BA">
        <w:rPr>
          <w:rFonts w:eastAsia="Franklin Gothic Book" w:cs="Franklin Gothic Book"/>
          <w:color w:val="000000" w:themeColor="text1"/>
        </w:rPr>
        <w:t>inconsistencies in the application relating to the PICO</w:t>
      </w:r>
      <w:r w:rsidR="4DF5F665" w:rsidRPr="4FCD29BA">
        <w:rPr>
          <w:rFonts w:eastAsia="Franklin Gothic Book" w:cs="Franklin Gothic Book"/>
          <w:color w:val="000000" w:themeColor="text1"/>
        </w:rPr>
        <w:t>, as described below.</w:t>
      </w:r>
    </w:p>
    <w:p w14:paraId="6CDB7418" w14:textId="2C6A9574" w:rsidR="49F5C238" w:rsidRDefault="49F5C238" w:rsidP="4FCD29BA">
      <w:pPr>
        <w:rPr>
          <w:rFonts w:eastAsia="Franklin Gothic Book" w:cs="Franklin Gothic Book"/>
          <w:color w:val="000000" w:themeColor="text1"/>
          <w:sz w:val="24"/>
          <w:szCs w:val="24"/>
        </w:rPr>
      </w:pPr>
      <w:r w:rsidRPr="4FCD29BA">
        <w:rPr>
          <w:rFonts w:eastAsia="Franklin Gothic Book" w:cs="Franklin Gothic Book"/>
          <w:b/>
          <w:bCs/>
          <w:color w:val="000000" w:themeColor="text1"/>
          <w:sz w:val="24"/>
          <w:szCs w:val="24"/>
        </w:rPr>
        <w:t xml:space="preserve">Comments on PICO </w:t>
      </w:r>
    </w:p>
    <w:p w14:paraId="3C8198A0" w14:textId="5366EDA7" w:rsidR="3F8D30B2" w:rsidRDefault="3F8D30B2" w:rsidP="4FCD29BA">
      <w:r w:rsidRPr="5907BD80">
        <w:t>Abbott</w:t>
      </w:r>
      <w:r w:rsidR="002A63CC">
        <w:t xml:space="preserve">, </w:t>
      </w:r>
      <w:r w:rsidR="00032D2E">
        <w:t>developers of a</w:t>
      </w:r>
      <w:r w:rsidR="004C6D92">
        <w:t xml:space="preserve"> competitor </w:t>
      </w:r>
      <w:r w:rsidR="00F9580C" w:rsidRPr="00F9580C">
        <w:t>dual chamber leadless pacemaker</w:t>
      </w:r>
      <w:r w:rsidR="004C6D92">
        <w:t xml:space="preserve"> system</w:t>
      </w:r>
      <w:r w:rsidR="005A6169">
        <w:t>,</w:t>
      </w:r>
      <w:r w:rsidRPr="5907BD80">
        <w:t xml:space="preserve"> </w:t>
      </w:r>
      <w:r w:rsidR="0074792B">
        <w:t xml:space="preserve">considered that a single chamber pacemaker </w:t>
      </w:r>
      <w:r w:rsidR="005D5AAC">
        <w:t>would be the mo</w:t>
      </w:r>
      <w:r w:rsidR="003B6743">
        <w:t>st</w:t>
      </w:r>
      <w:r w:rsidR="005D5AAC">
        <w:t xml:space="preserve"> appropriate comparator for </w:t>
      </w:r>
      <w:r w:rsidR="00AC6061">
        <w:t xml:space="preserve">the Mica AV, </w:t>
      </w:r>
      <w:r w:rsidR="00101C16">
        <w:t>based</w:t>
      </w:r>
      <w:r w:rsidR="00FC7C2F">
        <w:t xml:space="preserve"> </w:t>
      </w:r>
      <w:r w:rsidR="00101C16">
        <w:t xml:space="preserve">on the proposed population and </w:t>
      </w:r>
      <w:r w:rsidR="00101C16" w:rsidRPr="002A4E41">
        <w:t>technical features of the proposed technology.</w:t>
      </w:r>
      <w:r w:rsidR="00101C16" w:rsidRPr="5907BD80">
        <w:t xml:space="preserve"> </w:t>
      </w:r>
      <w:r w:rsidR="00101C16">
        <w:t xml:space="preserve"> </w:t>
      </w:r>
      <w:r w:rsidR="00AC6061">
        <w:t xml:space="preserve"> as it </w:t>
      </w:r>
      <w:r w:rsidR="00AC6061" w:rsidRPr="5907BD80">
        <w:t xml:space="preserve">is proposed for </w:t>
      </w:r>
      <w:r w:rsidR="00AC6061">
        <w:t>a</w:t>
      </w:r>
      <w:r w:rsidR="00AC6061" w:rsidRPr="5907BD80">
        <w:t xml:space="preserve"> population in need of single chamber pacing and sensing of the atrium (as opposed to both chambers of the heart)</w:t>
      </w:r>
      <w:r w:rsidR="00AC6061">
        <w:t xml:space="preserve">. </w:t>
      </w:r>
      <w:r w:rsidR="00FB1AB0">
        <w:t xml:space="preserve">Abbott </w:t>
      </w:r>
      <w:r w:rsidR="00872E29">
        <w:t xml:space="preserve">provided </w:t>
      </w:r>
      <w:r w:rsidR="00510ED9">
        <w:t xml:space="preserve">input </w:t>
      </w:r>
      <w:r w:rsidR="00BB4CB5">
        <w:t>regarding</w:t>
      </w:r>
      <w:r w:rsidR="006432D0">
        <w:t xml:space="preserve"> </w:t>
      </w:r>
      <w:r w:rsidR="0012645A">
        <w:t xml:space="preserve">its consideration of </w:t>
      </w:r>
      <w:r w:rsidR="006432D0">
        <w:t>the app</w:t>
      </w:r>
      <w:r w:rsidR="00EF5097">
        <w:t xml:space="preserve">ropriate </w:t>
      </w:r>
      <w:r w:rsidR="00271274">
        <w:t xml:space="preserve">category and </w:t>
      </w:r>
      <w:r w:rsidR="00C926A9">
        <w:t>p</w:t>
      </w:r>
      <w:r w:rsidR="0012645A">
        <w:t>roduct sub</w:t>
      </w:r>
      <w:r w:rsidR="00F8458E">
        <w:t>group</w:t>
      </w:r>
      <w:r w:rsidR="00D6172A">
        <w:t xml:space="preserve"> for the PL if approved for listing</w:t>
      </w:r>
      <w:r w:rsidR="00F8458E">
        <w:t>.</w:t>
      </w:r>
      <w:r w:rsidR="00D6172A" w:rsidDel="00FC7C2F">
        <w:t xml:space="preserve"> </w:t>
      </w:r>
    </w:p>
    <w:p w14:paraId="21762566" w14:textId="2986F63D" w:rsidR="49F5C238" w:rsidRDefault="49F5C238" w:rsidP="4FCD29BA">
      <w:pPr>
        <w:rPr>
          <w:rFonts w:eastAsia="Franklin Gothic Book" w:cs="Franklin Gothic Book"/>
          <w:color w:val="000000" w:themeColor="text1"/>
          <w:sz w:val="24"/>
          <w:szCs w:val="24"/>
        </w:rPr>
      </w:pPr>
      <w:r w:rsidRPr="4FCD29BA">
        <w:rPr>
          <w:rFonts w:eastAsia="Franklin Gothic Book" w:cs="Franklin Gothic Book"/>
          <w:b/>
          <w:bCs/>
          <w:color w:val="000000" w:themeColor="text1"/>
          <w:sz w:val="24"/>
          <w:szCs w:val="24"/>
        </w:rPr>
        <w:t xml:space="preserve">Perceived Advantages </w:t>
      </w:r>
    </w:p>
    <w:p w14:paraId="5B2A3041" w14:textId="5BF2CBE3" w:rsidR="49F5C238" w:rsidRDefault="49F5C238" w:rsidP="4FCD29BA">
      <w:pPr>
        <w:rPr>
          <w:rFonts w:eastAsia="Franklin Gothic Book" w:cs="Franklin Gothic Book"/>
          <w:color w:val="000000" w:themeColor="text1"/>
        </w:rPr>
      </w:pPr>
      <w:r w:rsidRPr="4FCD29BA">
        <w:rPr>
          <w:rFonts w:eastAsia="Franklin Gothic Book" w:cs="Franklin Gothic Book"/>
          <w:color w:val="000000" w:themeColor="text1"/>
        </w:rPr>
        <w:t xml:space="preserve">Advantages of the </w:t>
      </w:r>
      <w:r w:rsidR="5F5E0D12" w:rsidRPr="4FCD29BA">
        <w:rPr>
          <w:rFonts w:eastAsia="Franklin Gothic Book" w:cs="Franklin Gothic Book"/>
          <w:color w:val="000000" w:themeColor="text1"/>
        </w:rPr>
        <w:t>technology were noted by Hearts4Heart, including:</w:t>
      </w:r>
    </w:p>
    <w:p w14:paraId="16AF99F6" w14:textId="037F94A3" w:rsidR="0D28E0AB" w:rsidRDefault="0D28E0AB" w:rsidP="4FCD29BA">
      <w:pPr>
        <w:pStyle w:val="ListParagraph"/>
        <w:numPr>
          <w:ilvl w:val="0"/>
          <w:numId w:val="2"/>
        </w:numPr>
        <w:tabs>
          <w:tab w:val="left" w:pos="3686"/>
        </w:tabs>
        <w:spacing w:line="256" w:lineRule="auto"/>
        <w:rPr>
          <w:rFonts w:eastAsia="Franklin Gothic Book" w:cs="Franklin Gothic Book"/>
          <w:color w:val="000000" w:themeColor="text1"/>
        </w:rPr>
      </w:pPr>
      <w:r w:rsidRPr="4FCD29BA">
        <w:rPr>
          <w:rFonts w:eastAsia="Franklin Gothic Book" w:cs="Franklin Gothic Book"/>
          <w:color w:val="000000" w:themeColor="text1"/>
        </w:rPr>
        <w:t>Small size and improved battery life.</w:t>
      </w:r>
    </w:p>
    <w:p w14:paraId="05748E21" w14:textId="5D1E9BA7" w:rsidR="0AFB2EE9" w:rsidRDefault="0AFB2EE9" w:rsidP="4FCD29BA">
      <w:pPr>
        <w:pStyle w:val="ListParagraph"/>
        <w:numPr>
          <w:ilvl w:val="0"/>
          <w:numId w:val="2"/>
        </w:numPr>
        <w:tabs>
          <w:tab w:val="left" w:pos="3686"/>
        </w:tabs>
        <w:spacing w:line="256" w:lineRule="auto"/>
        <w:rPr>
          <w:rFonts w:eastAsia="Franklin Gothic Book" w:cs="Franklin Gothic Book"/>
          <w:color w:val="000000" w:themeColor="text1"/>
        </w:rPr>
      </w:pPr>
      <w:r w:rsidRPr="4FCD29BA">
        <w:rPr>
          <w:rFonts w:eastAsia="Franklin Gothic Book" w:cs="Franklin Gothic Book"/>
          <w:color w:val="000000" w:themeColor="text1"/>
        </w:rPr>
        <w:t xml:space="preserve">Minimally invasive procedure, leading to fewer post-implant activity restrictions and no obstructions to shoulder movement. </w:t>
      </w:r>
    </w:p>
    <w:p w14:paraId="074265C9" w14:textId="1B455B9C" w:rsidR="5F3B1B2D" w:rsidRDefault="5F3B1B2D" w:rsidP="4FCD29BA">
      <w:pPr>
        <w:pStyle w:val="ListParagraph"/>
        <w:numPr>
          <w:ilvl w:val="0"/>
          <w:numId w:val="2"/>
        </w:numPr>
        <w:tabs>
          <w:tab w:val="left" w:pos="3686"/>
        </w:tabs>
        <w:spacing w:line="256" w:lineRule="auto"/>
        <w:rPr>
          <w:rFonts w:eastAsia="Franklin Gothic Book" w:cs="Franklin Gothic Book"/>
          <w:color w:val="000000" w:themeColor="text1"/>
        </w:rPr>
      </w:pPr>
      <w:r w:rsidRPr="4FCD29BA">
        <w:rPr>
          <w:rFonts w:eastAsia="Franklin Gothic Book" w:cs="Franklin Gothic Book"/>
          <w:color w:val="000000" w:themeColor="text1"/>
        </w:rPr>
        <w:t>Improved quality of life</w:t>
      </w:r>
      <w:r w:rsidR="635B269A" w:rsidRPr="4FCD29BA">
        <w:rPr>
          <w:rFonts w:eastAsia="Franklin Gothic Book" w:cs="Franklin Gothic Book"/>
          <w:color w:val="000000" w:themeColor="text1"/>
        </w:rPr>
        <w:t xml:space="preserve"> due to l</w:t>
      </w:r>
      <w:r w:rsidR="325B8C7F" w:rsidRPr="4FCD29BA">
        <w:rPr>
          <w:rFonts w:eastAsia="Franklin Gothic Book" w:cs="Franklin Gothic Book"/>
          <w:color w:val="000000" w:themeColor="text1"/>
        </w:rPr>
        <w:t>eadless technology</w:t>
      </w:r>
      <w:r w:rsidRPr="4FCD29BA">
        <w:rPr>
          <w:rFonts w:eastAsia="Franklin Gothic Book" w:cs="Franklin Gothic Book"/>
          <w:color w:val="000000" w:themeColor="text1"/>
        </w:rPr>
        <w:t>, including ability to participate in work, physical activity, and community life.</w:t>
      </w:r>
    </w:p>
    <w:p w14:paraId="4ACCB609" w14:textId="48C876D2" w:rsidR="5F3B1B2D" w:rsidRDefault="5F3B1B2D" w:rsidP="4FCD29BA">
      <w:pPr>
        <w:pStyle w:val="ListParagraph"/>
        <w:numPr>
          <w:ilvl w:val="0"/>
          <w:numId w:val="2"/>
        </w:numPr>
        <w:tabs>
          <w:tab w:val="left" w:pos="3686"/>
        </w:tabs>
        <w:spacing w:line="256" w:lineRule="auto"/>
        <w:rPr>
          <w:rFonts w:eastAsia="Franklin Gothic Book" w:cs="Franklin Gothic Book"/>
          <w:color w:val="000000" w:themeColor="text1"/>
        </w:rPr>
      </w:pPr>
      <w:r w:rsidRPr="4FCD29BA">
        <w:rPr>
          <w:rFonts w:eastAsia="Franklin Gothic Book" w:cs="Franklin Gothic Book"/>
          <w:color w:val="000000" w:themeColor="text1"/>
        </w:rPr>
        <w:t xml:space="preserve">Increased safety of leadless pacing compared to conventional single-chamber pacing, </w:t>
      </w:r>
      <w:r w:rsidR="4B64C468" w:rsidRPr="4FCD29BA">
        <w:rPr>
          <w:rFonts w:eastAsia="Franklin Gothic Book" w:cs="Franklin Gothic Book"/>
          <w:color w:val="000000" w:themeColor="text1"/>
        </w:rPr>
        <w:t>including psychiatric patients, kidney failure patients, patients with disabilities, and the young and active population.</w:t>
      </w:r>
    </w:p>
    <w:p w14:paraId="139DDC51" w14:textId="0FB3644E" w:rsidR="5F3B1B2D" w:rsidRDefault="5F3B1B2D" w:rsidP="4FCD29BA">
      <w:pPr>
        <w:pStyle w:val="ListParagraph"/>
        <w:numPr>
          <w:ilvl w:val="0"/>
          <w:numId w:val="2"/>
        </w:numPr>
        <w:tabs>
          <w:tab w:val="left" w:pos="3686"/>
        </w:tabs>
        <w:spacing w:line="256" w:lineRule="auto"/>
        <w:rPr>
          <w:rFonts w:eastAsia="Franklin Gothic Book" w:cs="Franklin Gothic Book"/>
          <w:color w:val="000000" w:themeColor="text1"/>
        </w:rPr>
      </w:pPr>
      <w:r w:rsidRPr="4FCD29BA">
        <w:rPr>
          <w:rFonts w:eastAsia="Franklin Gothic Book" w:cs="Franklin Gothic Book"/>
          <w:color w:val="000000" w:themeColor="text1"/>
        </w:rPr>
        <w:t>Reduced risk of infection due to lead infections</w:t>
      </w:r>
      <w:r w:rsidR="658490A2" w:rsidRPr="4FCD29BA">
        <w:rPr>
          <w:rFonts w:eastAsia="Franklin Gothic Book" w:cs="Franklin Gothic Book"/>
          <w:color w:val="000000" w:themeColor="text1"/>
        </w:rPr>
        <w:t xml:space="preserve">, resulting in </w:t>
      </w:r>
      <w:r w:rsidR="5836267F" w:rsidRPr="4FCD29BA">
        <w:rPr>
          <w:rFonts w:eastAsia="Franklin Gothic Book" w:cs="Franklin Gothic Book"/>
          <w:color w:val="000000" w:themeColor="text1"/>
        </w:rPr>
        <w:t>the reduced need for long hospital stays and antibiotic use.</w:t>
      </w:r>
    </w:p>
    <w:p w14:paraId="2E8B8A9E" w14:textId="4FCF8EDB" w:rsidR="5836267F" w:rsidRDefault="5836267F" w:rsidP="4FCD29BA">
      <w:pPr>
        <w:pStyle w:val="ListParagraph"/>
        <w:numPr>
          <w:ilvl w:val="0"/>
          <w:numId w:val="2"/>
        </w:numPr>
        <w:tabs>
          <w:tab w:val="left" w:pos="3686"/>
        </w:tabs>
        <w:spacing w:line="256" w:lineRule="auto"/>
        <w:rPr>
          <w:rFonts w:eastAsia="Franklin Gothic Book" w:cs="Franklin Gothic Book"/>
          <w:color w:val="000000" w:themeColor="text1"/>
        </w:rPr>
      </w:pPr>
      <w:r w:rsidRPr="4FCD29BA">
        <w:rPr>
          <w:rFonts w:eastAsia="Franklin Gothic Book" w:cs="Franklin Gothic Book"/>
          <w:color w:val="000000" w:themeColor="text1"/>
        </w:rPr>
        <w:t xml:space="preserve">No visible sign of a medical device under skin and absence of a scar post-implantation. </w:t>
      </w:r>
    </w:p>
    <w:p w14:paraId="03C7A1F1" w14:textId="11B4CCDD" w:rsidR="00772829" w:rsidRPr="00CE28E3" w:rsidRDefault="00772829" w:rsidP="004167A0">
      <w:pPr>
        <w:pStyle w:val="Heading2"/>
        <w:numPr>
          <w:ilvl w:val="0"/>
          <w:numId w:val="27"/>
        </w:numPr>
        <w:ind w:hanging="720"/>
      </w:pPr>
      <w:r w:rsidRPr="00CE28E3">
        <w:lastRenderedPageBreak/>
        <w:t>Characteristics of the evidence base</w:t>
      </w:r>
      <w:bookmarkEnd w:id="18"/>
    </w:p>
    <w:p w14:paraId="632B83AF" w14:textId="5457AEE3" w:rsidR="00883C94" w:rsidRDefault="00883C94" w:rsidP="00883C94">
      <w:r>
        <w:t>A predefined post</w:t>
      </w:r>
      <w:r w:rsidR="00097DE0">
        <w:t xml:space="preserve"> </w:t>
      </w:r>
      <w:r>
        <w:t xml:space="preserve">hoc subgroup analysis of the Micra AV </w:t>
      </w:r>
      <w:r w:rsidR="006B6582">
        <w:t>coverage with evidence development (</w:t>
      </w:r>
      <w:r w:rsidR="00BD68E3">
        <w:t>CED</w:t>
      </w:r>
      <w:r w:rsidR="006B6582">
        <w:t>)</w:t>
      </w:r>
      <w:r>
        <w:t xml:space="preserve"> study formed the main evidence for this submission (</w:t>
      </w:r>
      <w:r w:rsidR="00A2111F">
        <w:fldChar w:fldCharType="begin"/>
      </w:r>
      <w:r w:rsidR="00A2111F">
        <w:instrText xml:space="preserve"> REF _Ref186709207 \h </w:instrText>
      </w:r>
      <w:r w:rsidR="00A2111F">
        <w:fldChar w:fldCharType="separate"/>
      </w:r>
      <w:r w:rsidR="00D96B61">
        <w:t xml:space="preserve">Table </w:t>
      </w:r>
      <w:r w:rsidR="00D96B61">
        <w:rPr>
          <w:noProof/>
        </w:rPr>
        <w:t>5</w:t>
      </w:r>
      <w:r w:rsidR="00A2111F">
        <w:fldChar w:fldCharType="end"/>
      </w:r>
      <w:r>
        <w:t xml:space="preserve">). </w:t>
      </w:r>
    </w:p>
    <w:p w14:paraId="22BDA078" w14:textId="4472E558" w:rsidR="00A2111F" w:rsidRDefault="00A2111F" w:rsidP="009C553D">
      <w:pPr>
        <w:pStyle w:val="Caption"/>
      </w:pPr>
      <w:bookmarkStart w:id="22" w:name="_Ref186709207"/>
      <w:r>
        <w:t xml:space="preserve">Table </w:t>
      </w:r>
      <w:r w:rsidR="00B00A5A">
        <w:fldChar w:fldCharType="begin"/>
      </w:r>
      <w:r w:rsidR="00B00A5A">
        <w:instrText xml:space="preserve"> SEQ Table \* ARABIC </w:instrText>
      </w:r>
      <w:r w:rsidR="00B00A5A">
        <w:fldChar w:fldCharType="separate"/>
      </w:r>
      <w:r w:rsidR="00B00A5A">
        <w:rPr>
          <w:noProof/>
        </w:rPr>
        <w:t>5</w:t>
      </w:r>
      <w:r w:rsidR="00B00A5A">
        <w:rPr>
          <w:noProof/>
        </w:rPr>
        <w:fldChar w:fldCharType="end"/>
      </w:r>
      <w:bookmarkEnd w:id="22"/>
      <w:r>
        <w:tab/>
      </w:r>
      <w:r w:rsidRPr="00CE28E3">
        <w:t>Key features of the included evidence</w:t>
      </w:r>
      <w:r w:rsidRPr="00564476">
        <w:t xml:space="preserve"> </w:t>
      </w:r>
      <w:r w:rsidRPr="000114BE">
        <w:t>comparing</w:t>
      </w:r>
      <w:r>
        <w:t xml:space="preserve"> the</w:t>
      </w:r>
      <w:r w:rsidRPr="000114BE">
        <w:t xml:space="preserve"> Micra AV LPM with DC-TVPM</w:t>
      </w:r>
      <w: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6"/>
        <w:gridCol w:w="838"/>
        <w:gridCol w:w="1408"/>
        <w:gridCol w:w="1118"/>
        <w:gridCol w:w="1544"/>
        <w:gridCol w:w="1361"/>
        <w:gridCol w:w="1461"/>
      </w:tblGrid>
      <w:tr w:rsidR="00965AE9" w:rsidRPr="00CE28E3" w14:paraId="097AE32E" w14:textId="77777777" w:rsidTr="001348F5">
        <w:trPr>
          <w:cantSplit/>
          <w:tblHeader/>
        </w:trPr>
        <w:tc>
          <w:tcPr>
            <w:tcW w:w="713" w:type="pct"/>
          </w:tcPr>
          <w:p w14:paraId="00D8E0F9" w14:textId="77777777" w:rsidR="00883C94" w:rsidRPr="00CE28E3" w:rsidRDefault="00883C94" w:rsidP="00BF7A6D">
            <w:pPr>
              <w:pStyle w:val="In-tableHeading"/>
            </w:pPr>
            <w:r w:rsidRPr="00CE28E3">
              <w:t>Reference</w:t>
            </w:r>
          </w:p>
        </w:tc>
        <w:tc>
          <w:tcPr>
            <w:tcW w:w="465" w:type="pct"/>
          </w:tcPr>
          <w:p w14:paraId="1B3B722C" w14:textId="77777777" w:rsidR="00883C94" w:rsidRPr="00CE28E3" w:rsidRDefault="00883C94" w:rsidP="00BF7A6D">
            <w:pPr>
              <w:pStyle w:val="In-tableHeading"/>
            </w:pPr>
            <w:r w:rsidRPr="00CE28E3">
              <w:t>N</w:t>
            </w:r>
          </w:p>
        </w:tc>
        <w:tc>
          <w:tcPr>
            <w:tcW w:w="781" w:type="pct"/>
          </w:tcPr>
          <w:p w14:paraId="5297C0ED" w14:textId="77777777" w:rsidR="00883C94" w:rsidRPr="00CE28E3" w:rsidRDefault="00883C94" w:rsidP="00BF7A6D">
            <w:pPr>
              <w:pStyle w:val="In-tableHeading"/>
            </w:pPr>
            <w:r w:rsidRPr="00CE28E3">
              <w:t>Design/duration</w:t>
            </w:r>
          </w:p>
        </w:tc>
        <w:tc>
          <w:tcPr>
            <w:tcW w:w="620" w:type="pct"/>
          </w:tcPr>
          <w:p w14:paraId="22D11941" w14:textId="77777777" w:rsidR="00883C94" w:rsidRPr="00CE28E3" w:rsidRDefault="00883C94" w:rsidP="00BF7A6D">
            <w:pPr>
              <w:pStyle w:val="In-tableHeading"/>
            </w:pPr>
            <w:r w:rsidRPr="00CE28E3">
              <w:t>Risk of bias</w:t>
            </w:r>
          </w:p>
        </w:tc>
        <w:tc>
          <w:tcPr>
            <w:tcW w:w="856" w:type="pct"/>
          </w:tcPr>
          <w:p w14:paraId="4AC2A9FB" w14:textId="77777777" w:rsidR="00883C94" w:rsidRPr="00CE28E3" w:rsidRDefault="00883C94" w:rsidP="00BF7A6D">
            <w:pPr>
              <w:pStyle w:val="In-tableHeading"/>
            </w:pPr>
            <w:r w:rsidRPr="00CE28E3">
              <w:t>Patient population</w:t>
            </w:r>
          </w:p>
        </w:tc>
        <w:tc>
          <w:tcPr>
            <w:tcW w:w="755" w:type="pct"/>
          </w:tcPr>
          <w:p w14:paraId="28FFD415" w14:textId="77777777" w:rsidR="00883C94" w:rsidRPr="00CE28E3" w:rsidRDefault="00883C94" w:rsidP="00BF7A6D">
            <w:pPr>
              <w:pStyle w:val="In-tableHeading"/>
            </w:pPr>
            <w:r w:rsidRPr="00CE28E3">
              <w:t>Outcome(s)</w:t>
            </w:r>
          </w:p>
        </w:tc>
        <w:tc>
          <w:tcPr>
            <w:tcW w:w="810" w:type="pct"/>
          </w:tcPr>
          <w:p w14:paraId="7977F18F" w14:textId="77777777" w:rsidR="00883C94" w:rsidRPr="00CE28E3" w:rsidRDefault="00883C94" w:rsidP="00BF7A6D">
            <w:pPr>
              <w:pStyle w:val="In-tableHeading"/>
            </w:pPr>
            <w:r w:rsidRPr="00CE28E3">
              <w:t>Use in modelled evaluation</w:t>
            </w:r>
          </w:p>
        </w:tc>
      </w:tr>
      <w:tr w:rsidR="00965AE9" w:rsidRPr="00CE28E3" w14:paraId="3E0600D7" w14:textId="77777777" w:rsidTr="00AC0141">
        <w:trPr>
          <w:cantSplit/>
        </w:trPr>
        <w:tc>
          <w:tcPr>
            <w:tcW w:w="713" w:type="pct"/>
          </w:tcPr>
          <w:p w14:paraId="4A6A024C" w14:textId="77777777" w:rsidR="00883C94" w:rsidRDefault="00883C94" w:rsidP="00AC0141">
            <w:pPr>
              <w:pStyle w:val="TableText"/>
            </w:pPr>
            <w:r>
              <w:t>Micra AV CED</w:t>
            </w:r>
          </w:p>
          <w:p w14:paraId="5FE70C5A" w14:textId="77777777" w:rsidR="00883C94" w:rsidRPr="00CE28E3" w:rsidRDefault="00883C94" w:rsidP="00AC0141">
            <w:pPr>
              <w:pStyle w:val="TableText"/>
              <w:rPr>
                <w:lang w:val="en-US"/>
              </w:rPr>
            </w:pPr>
            <w:r w:rsidRPr="00763A16">
              <w:t>NCT04235491</w:t>
            </w:r>
          </w:p>
        </w:tc>
        <w:tc>
          <w:tcPr>
            <w:tcW w:w="465" w:type="pct"/>
          </w:tcPr>
          <w:p w14:paraId="3DD1C45E" w14:textId="77777777" w:rsidR="00883C94" w:rsidRPr="00CE28E3" w:rsidRDefault="00883C94" w:rsidP="00AC0141">
            <w:pPr>
              <w:pStyle w:val="TableText"/>
              <w:rPr>
                <w:lang w:val="en-US"/>
              </w:rPr>
            </w:pPr>
            <w:r>
              <w:rPr>
                <w:lang w:val="en-US"/>
              </w:rPr>
              <w:t xml:space="preserve">41,979 </w:t>
            </w:r>
            <w:r w:rsidRPr="000B3300">
              <w:rPr>
                <w:i/>
                <w:vertAlign w:val="superscript"/>
                <w:lang w:val="en-US"/>
              </w:rPr>
              <w:t>a</w:t>
            </w:r>
          </w:p>
        </w:tc>
        <w:tc>
          <w:tcPr>
            <w:tcW w:w="781" w:type="pct"/>
          </w:tcPr>
          <w:p w14:paraId="336724AA" w14:textId="77777777" w:rsidR="00883C94" w:rsidRDefault="00883C94" w:rsidP="00AC0141">
            <w:pPr>
              <w:pStyle w:val="TableText"/>
            </w:pPr>
            <w:r w:rsidRPr="00806683">
              <w:t xml:space="preserve">Non-randomised </w:t>
            </w:r>
            <w:r>
              <w:t>comparative study</w:t>
            </w:r>
            <w:r w:rsidRPr="00806683">
              <w:t>,</w:t>
            </w:r>
            <w:r>
              <w:t xml:space="preserve"> prospective (treatment arm)/retrospective (control arm)</w:t>
            </w:r>
          </w:p>
          <w:p w14:paraId="16F6516C" w14:textId="77777777" w:rsidR="00883C94" w:rsidRPr="00CE28E3" w:rsidRDefault="00883C94" w:rsidP="00AC0141">
            <w:pPr>
              <w:pStyle w:val="TableText"/>
              <w:rPr>
                <w:lang w:val="en-US"/>
              </w:rPr>
            </w:pPr>
            <w:r>
              <w:t xml:space="preserve">5 </w:t>
            </w:r>
            <w:r w:rsidRPr="001F22FF">
              <w:t xml:space="preserve">February 2020 to </w:t>
            </w:r>
            <w:r>
              <w:t xml:space="preserve">31 </w:t>
            </w:r>
            <w:r w:rsidRPr="001F22FF">
              <w:t>December</w:t>
            </w:r>
            <w:r>
              <w:t xml:space="preserve"> 2021</w:t>
            </w:r>
          </w:p>
        </w:tc>
        <w:tc>
          <w:tcPr>
            <w:tcW w:w="620" w:type="pct"/>
          </w:tcPr>
          <w:p w14:paraId="029E508A" w14:textId="77777777" w:rsidR="00883C94" w:rsidRPr="00CE28E3" w:rsidRDefault="00883C94" w:rsidP="003D5D26">
            <w:pPr>
              <w:pStyle w:val="TableText"/>
              <w:rPr>
                <w:i/>
                <w:lang w:val="en-US"/>
              </w:rPr>
            </w:pPr>
            <w:r w:rsidRPr="00CE28E3">
              <w:rPr>
                <w:i/>
                <w:lang w:val="en-US"/>
              </w:rPr>
              <w:t>Low</w:t>
            </w:r>
            <w:r>
              <w:rPr>
                <w:i/>
                <w:lang w:val="en-US"/>
              </w:rPr>
              <w:t xml:space="preserve"> </w:t>
            </w:r>
            <w:r w:rsidRPr="00371165">
              <w:rPr>
                <w:i/>
                <w:vertAlign w:val="superscript"/>
                <w:lang w:val="en-US"/>
              </w:rPr>
              <w:t>b</w:t>
            </w:r>
          </w:p>
        </w:tc>
        <w:tc>
          <w:tcPr>
            <w:tcW w:w="856" w:type="pct"/>
          </w:tcPr>
          <w:p w14:paraId="0E84695F" w14:textId="77777777" w:rsidR="00883C94" w:rsidRDefault="00883C94" w:rsidP="00AC0141">
            <w:pPr>
              <w:pStyle w:val="TableText"/>
              <w:rPr>
                <w:szCs w:val="20"/>
                <w:lang w:eastAsia="en-NZ"/>
              </w:rPr>
            </w:pPr>
            <w:r>
              <w:t>United States Medicare fee-for-service beneficiaries implanted with a Micra AV or DC-</w:t>
            </w:r>
            <w:r w:rsidRPr="000061EE">
              <w:rPr>
                <w:szCs w:val="20"/>
                <w:lang w:eastAsia="en-NZ"/>
              </w:rPr>
              <w:t>TVPM</w:t>
            </w:r>
          </w:p>
          <w:p w14:paraId="08CB0D93" w14:textId="77777777" w:rsidR="00883C94" w:rsidRPr="00CE28E3" w:rsidRDefault="00883C94" w:rsidP="00AC0141">
            <w:pPr>
              <w:pStyle w:val="TableText"/>
              <w:rPr>
                <w:lang w:val="en-US"/>
              </w:rPr>
            </w:pPr>
            <w:r>
              <w:rPr>
                <w:szCs w:val="20"/>
                <w:lang w:eastAsia="en-NZ"/>
              </w:rPr>
              <w:t>P</w:t>
            </w:r>
            <w:r w:rsidRPr="000061EE">
              <w:rPr>
                <w:szCs w:val="20"/>
                <w:lang w:eastAsia="en-NZ"/>
              </w:rPr>
              <w:t xml:space="preserve">atients </w:t>
            </w:r>
            <w:r w:rsidRPr="00EC704A">
              <w:rPr>
                <w:szCs w:val="20"/>
                <w:lang w:eastAsia="en-NZ"/>
              </w:rPr>
              <w:t>identified using the ICD-10-</w:t>
            </w:r>
            <w:r>
              <w:t xml:space="preserve"> Procedure Coding System and the Current Procedural Terminology codes</w:t>
            </w:r>
          </w:p>
        </w:tc>
        <w:tc>
          <w:tcPr>
            <w:tcW w:w="755" w:type="pct"/>
          </w:tcPr>
          <w:p w14:paraId="70D48363" w14:textId="77777777" w:rsidR="00883C94" w:rsidRPr="001B7F91" w:rsidRDefault="00883C94" w:rsidP="00AC0141">
            <w:pPr>
              <w:pStyle w:val="TableText"/>
            </w:pPr>
            <w:r w:rsidRPr="001B7F91">
              <w:rPr>
                <w:b/>
                <w:bCs/>
                <w:i/>
                <w:iCs/>
              </w:rPr>
              <w:t>Primary</w:t>
            </w:r>
            <w:r w:rsidRPr="001B7F91">
              <w:t xml:space="preserve">: </w:t>
            </w:r>
            <w:r>
              <w:t>A</w:t>
            </w:r>
            <w:r w:rsidRPr="001B7F91">
              <w:t>cute complication</w:t>
            </w:r>
            <w:r>
              <w:t xml:space="preserve"> rate</w:t>
            </w:r>
            <w:r w:rsidRPr="001B7F91">
              <w:t xml:space="preserve"> </w:t>
            </w:r>
            <w:r>
              <w:t xml:space="preserve">(30 days) </w:t>
            </w:r>
            <w:r w:rsidRPr="001B7F91">
              <w:t>and 2-year survival</w:t>
            </w:r>
          </w:p>
          <w:p w14:paraId="23C155A4" w14:textId="77777777" w:rsidR="00883C94" w:rsidRPr="00CE28E3" w:rsidRDefault="00883C94" w:rsidP="00AC0141">
            <w:pPr>
              <w:pStyle w:val="TableText"/>
              <w:rPr>
                <w:lang w:val="en-US"/>
              </w:rPr>
            </w:pPr>
            <w:r w:rsidRPr="001B7F91">
              <w:rPr>
                <w:b/>
                <w:bCs/>
                <w:i/>
                <w:iCs/>
              </w:rPr>
              <w:t>Secondary</w:t>
            </w:r>
            <w:r w:rsidRPr="001B7F91">
              <w:t xml:space="preserve">: </w:t>
            </w:r>
            <w:r>
              <w:t>C</w:t>
            </w:r>
            <w:r w:rsidRPr="001B7F91">
              <w:t>hronic complication</w:t>
            </w:r>
            <w:r>
              <w:t xml:space="preserve"> and device-related </w:t>
            </w:r>
            <w:r w:rsidRPr="001B7F91">
              <w:t>reintervention</w:t>
            </w:r>
            <w:r>
              <w:t xml:space="preserve"> rates at 2 years</w:t>
            </w:r>
          </w:p>
        </w:tc>
        <w:tc>
          <w:tcPr>
            <w:tcW w:w="810" w:type="pct"/>
          </w:tcPr>
          <w:p w14:paraId="4AFF44FA" w14:textId="77777777" w:rsidR="00883C94" w:rsidRPr="00CE28E3" w:rsidRDefault="00883C94" w:rsidP="003D5D26">
            <w:pPr>
              <w:pStyle w:val="TableText"/>
              <w:rPr>
                <w:lang w:val="en-US"/>
              </w:rPr>
            </w:pPr>
            <w:r>
              <w:rPr>
                <w:lang w:val="en-US"/>
              </w:rPr>
              <w:t xml:space="preserve">Yes </w:t>
            </w:r>
            <w:r>
              <w:rPr>
                <w:vertAlign w:val="superscript"/>
                <w:lang w:val="en-US"/>
              </w:rPr>
              <w:t>c</w:t>
            </w:r>
          </w:p>
        </w:tc>
      </w:tr>
    </w:tbl>
    <w:p w14:paraId="15574662" w14:textId="77777777" w:rsidR="00E22B17" w:rsidRPr="00D6277E" w:rsidRDefault="00E22B17" w:rsidP="00D6277E">
      <w:pPr>
        <w:pStyle w:val="TableFigureFooter"/>
        <w:spacing w:before="40" w:after="40"/>
        <w:rPr>
          <w:b/>
          <w:bCs/>
          <w:u w:val="single"/>
        </w:rPr>
      </w:pPr>
      <w:r w:rsidRPr="00D6277E">
        <w:rPr>
          <w:b/>
          <w:bCs/>
          <w:u w:val="single"/>
        </w:rPr>
        <w:t>Abbreviations</w:t>
      </w:r>
    </w:p>
    <w:p w14:paraId="6579CE69" w14:textId="55EA8352" w:rsidR="00E22B17" w:rsidRDefault="00883C94" w:rsidP="00D6277E">
      <w:pPr>
        <w:pStyle w:val="TableFigureFooter"/>
        <w:spacing w:before="40" w:after="40"/>
        <w:rPr>
          <w:vertAlign w:val="superscript"/>
        </w:rPr>
      </w:pPr>
      <w:r w:rsidRPr="00D6277E">
        <w:rPr>
          <w:b/>
        </w:rPr>
        <w:t>CED</w:t>
      </w:r>
      <w:r w:rsidR="00E22B17">
        <w:t xml:space="preserve"> =</w:t>
      </w:r>
      <w:r>
        <w:t xml:space="preserve"> </w:t>
      </w:r>
      <w:r w:rsidRPr="008D5347">
        <w:t>coverage with evidence development</w:t>
      </w:r>
      <w:r>
        <w:t xml:space="preserve">, </w:t>
      </w:r>
      <w:r w:rsidRPr="00D6277E">
        <w:rPr>
          <w:b/>
        </w:rPr>
        <w:t>DC-TVPM</w:t>
      </w:r>
      <w:r w:rsidR="00E22B17">
        <w:t xml:space="preserve"> =</w:t>
      </w:r>
      <w:r>
        <w:t xml:space="preserve"> dual-chamber transvenous pacemaker</w:t>
      </w:r>
      <w:r w:rsidR="00E22B17">
        <w:t>,</w:t>
      </w:r>
      <w:r w:rsidRPr="00CE28E3">
        <w:t xml:space="preserve"> </w:t>
      </w:r>
      <w:r w:rsidRPr="00D6277E">
        <w:rPr>
          <w:b/>
        </w:rPr>
        <w:t>ICD</w:t>
      </w:r>
      <w:r w:rsidR="00E22B17">
        <w:t xml:space="preserve"> =</w:t>
      </w:r>
      <w:r w:rsidRPr="00CE28E3">
        <w:t xml:space="preserve"> </w:t>
      </w:r>
      <w:r>
        <w:t>International Classification of Disease</w:t>
      </w:r>
      <w:r w:rsidR="00E22B17">
        <w:t>.</w:t>
      </w:r>
    </w:p>
    <w:p w14:paraId="03C27005" w14:textId="77777777" w:rsidR="00E22B17" w:rsidRPr="00D6277E" w:rsidRDefault="00E22B17" w:rsidP="00D6277E">
      <w:pPr>
        <w:pStyle w:val="TableFigureFooter"/>
        <w:spacing w:before="40" w:after="40"/>
        <w:rPr>
          <w:b/>
          <w:bCs/>
          <w:u w:val="single"/>
        </w:rPr>
      </w:pPr>
      <w:r w:rsidRPr="00D6277E">
        <w:rPr>
          <w:b/>
          <w:bCs/>
          <w:u w:val="single"/>
        </w:rPr>
        <w:t>Notes</w:t>
      </w:r>
    </w:p>
    <w:p w14:paraId="7BE77231" w14:textId="40A6B6E6" w:rsidR="00101D69" w:rsidRDefault="00E22B17" w:rsidP="00D6277E">
      <w:pPr>
        <w:pStyle w:val="TableFigureFooter"/>
        <w:spacing w:before="0" w:after="0"/>
      </w:pPr>
      <w:r w:rsidRPr="00D6277E">
        <w:rPr>
          <w:b/>
          <w:bCs/>
        </w:rPr>
        <w:t>a</w:t>
      </w:r>
      <w:r w:rsidRPr="00D6277E">
        <w:t xml:space="preserve"> </w:t>
      </w:r>
      <w:r>
        <w:t xml:space="preserve">= </w:t>
      </w:r>
      <w:r w:rsidR="00883C94">
        <w:t>Subgroup of patients with</w:t>
      </w:r>
      <w:r w:rsidR="00883C94" w:rsidRPr="005D6D19">
        <w:t xml:space="preserve"> </w:t>
      </w:r>
      <w:r w:rsidR="00883C94">
        <w:t>atrioventricular block without atrial fibrillation, derived from the main study (N=118,110); the post</w:t>
      </w:r>
      <w:r w:rsidR="00097DE0">
        <w:t xml:space="preserve"> </w:t>
      </w:r>
      <w:r w:rsidR="00883C94">
        <w:t>hoc subgroup analysis was defined a priori</w:t>
      </w:r>
    </w:p>
    <w:p w14:paraId="64B9F556" w14:textId="56C378FC" w:rsidR="00101D69" w:rsidRDefault="00883C94" w:rsidP="00D6277E">
      <w:pPr>
        <w:pStyle w:val="TableFigureFooter"/>
        <w:spacing w:before="0" w:after="0"/>
      </w:pPr>
      <w:r w:rsidRPr="4C0A0968">
        <w:rPr>
          <w:b/>
          <w:bCs/>
        </w:rPr>
        <w:t>b</w:t>
      </w:r>
      <w:r w:rsidRPr="4C0A0968">
        <w:t xml:space="preserve"> </w:t>
      </w:r>
      <w:r w:rsidR="00E22B17" w:rsidRPr="4C0A0968">
        <w:t xml:space="preserve">= </w:t>
      </w:r>
      <w:r w:rsidRPr="4C0A0968">
        <w:t>Assessed with the National Heart, Lung and Blood Institute (NHLBI) Study Quality Assessment tool for observational and cross-sectional studies</w:t>
      </w:r>
    </w:p>
    <w:p w14:paraId="79488B34" w14:textId="240536D0" w:rsidR="00E22B17" w:rsidRDefault="00883C94" w:rsidP="00D6277E">
      <w:pPr>
        <w:pStyle w:val="TableFigureFooter"/>
        <w:spacing w:before="0" w:after="0"/>
      </w:pPr>
      <w:r w:rsidRPr="00D6277E">
        <w:rPr>
          <w:b/>
        </w:rPr>
        <w:t>c</w:t>
      </w:r>
      <w:r w:rsidRPr="00D6277E">
        <w:t xml:space="preserve"> </w:t>
      </w:r>
      <w:r w:rsidR="00E22B17">
        <w:t>=</w:t>
      </w:r>
      <w:r w:rsidR="00E22B17" w:rsidRPr="00D6277E">
        <w:t xml:space="preserve"> </w:t>
      </w:r>
      <w:r w:rsidRPr="003E1E85">
        <w:t>Adjusted rates used for economic model</w:t>
      </w:r>
    </w:p>
    <w:p w14:paraId="4234DAE5" w14:textId="7714862D" w:rsidR="00E22B17" w:rsidRPr="00D6277E" w:rsidRDefault="00883C94" w:rsidP="00E22B17">
      <w:pPr>
        <w:pStyle w:val="TableFigureFooter"/>
        <w:spacing w:before="40" w:after="40"/>
        <w:rPr>
          <w:b/>
          <w:bCs/>
          <w:u w:val="single"/>
        </w:rPr>
      </w:pPr>
      <w:r w:rsidRPr="00D6277E">
        <w:rPr>
          <w:b/>
          <w:u w:val="single"/>
        </w:rPr>
        <w:t>Source</w:t>
      </w:r>
    </w:p>
    <w:p w14:paraId="075AFFAA" w14:textId="696C6A86" w:rsidR="00883C94" w:rsidRPr="003D5D26" w:rsidRDefault="00883C94" w:rsidP="4C0A0968">
      <w:pPr>
        <w:pStyle w:val="TableFigureFooter"/>
        <w:spacing w:before="40" w:after="40"/>
      </w:pPr>
      <w:r w:rsidRPr="4C0A0968">
        <w:t>Full CED study: Crossley (2024)</w:t>
      </w:r>
      <w:bookmarkStart w:id="23" w:name="_Ref182572066"/>
      <w:r w:rsidRPr="4C0A0968">
        <w:rPr>
          <w:rStyle w:val="FootnoteReference"/>
        </w:rPr>
        <w:footnoteReference w:id="11"/>
      </w:r>
      <w:bookmarkEnd w:id="23"/>
      <w:r w:rsidRPr="4C0A0968">
        <w:t>, El-Chami (2024)</w:t>
      </w:r>
      <w:bookmarkStart w:id="24" w:name="_Ref186811063"/>
      <w:r w:rsidRPr="4C0A0968">
        <w:rPr>
          <w:rStyle w:val="FootnoteReference"/>
        </w:rPr>
        <w:footnoteReference w:id="12"/>
      </w:r>
      <w:bookmarkEnd w:id="24"/>
    </w:p>
    <w:p w14:paraId="490EE224" w14:textId="0E374C87" w:rsidR="00883C94" w:rsidRPr="00830AF2" w:rsidRDefault="00883C94" w:rsidP="00883C94">
      <w:r w:rsidRPr="00D572B0">
        <w:t>Since the M</w:t>
      </w:r>
      <w:r>
        <w:t xml:space="preserve">icra AV CED study did not capture data on </w:t>
      </w:r>
      <w:r w:rsidR="00AF253C">
        <w:t>quality of life</w:t>
      </w:r>
      <w:r>
        <w:t xml:space="preserve"> </w:t>
      </w:r>
      <w:r w:rsidR="00AF253C">
        <w:t>(</w:t>
      </w:r>
      <w:r w:rsidRPr="00287C60">
        <w:t>QoL</w:t>
      </w:r>
      <w:r w:rsidR="00AF253C">
        <w:t>)</w:t>
      </w:r>
      <w:r>
        <w:t xml:space="preserve">, AV synchrony or battery life, </w:t>
      </w:r>
      <w:r w:rsidR="00B54DCC">
        <w:t xml:space="preserve">5 </w:t>
      </w:r>
      <w:r>
        <w:t xml:space="preserve">additional studies were included as supportive evidence: </w:t>
      </w:r>
      <w:r w:rsidR="00B54DCC">
        <w:t xml:space="preserve">2 </w:t>
      </w:r>
      <w:r>
        <w:t xml:space="preserve">single-arm studies and </w:t>
      </w:r>
      <w:r w:rsidR="00B54DCC">
        <w:t>1</w:t>
      </w:r>
      <w:r w:rsidR="008D0247">
        <w:t> </w:t>
      </w:r>
      <w:r>
        <w:t>modelling study on the Micra AV or AV2 for data on battery life and AV synchronicity;</w:t>
      </w:r>
      <w:bookmarkStart w:id="25" w:name="_Ref186711634"/>
      <w:r>
        <w:rPr>
          <w:rStyle w:val="FootnoteReference"/>
        </w:rPr>
        <w:footnoteReference w:id="13"/>
      </w:r>
      <w:bookmarkEnd w:id="25"/>
      <w:r>
        <w:t xml:space="preserve"> and </w:t>
      </w:r>
      <w:r w:rsidR="00B54DCC">
        <w:t>2</w:t>
      </w:r>
      <w:r w:rsidR="008D0247">
        <w:t> </w:t>
      </w:r>
      <w:r>
        <w:t xml:space="preserve">prospective non-randomised studies comparing Micra VR with conventional pacemakers with respect to </w:t>
      </w:r>
      <w:r w:rsidR="000A6AC6">
        <w:t>QoL</w:t>
      </w:r>
      <w:r>
        <w:t xml:space="preserve"> (</w:t>
      </w:r>
      <w:r w:rsidR="00316849">
        <w:fldChar w:fldCharType="begin"/>
      </w:r>
      <w:r w:rsidR="00316849">
        <w:instrText xml:space="preserve"> REF _Ref186709324 \h </w:instrText>
      </w:r>
      <w:r w:rsidR="00316849">
        <w:fldChar w:fldCharType="separate"/>
      </w:r>
      <w:r w:rsidR="00D96B61">
        <w:t xml:space="preserve">Table </w:t>
      </w:r>
      <w:r w:rsidR="00D96B61">
        <w:rPr>
          <w:noProof/>
        </w:rPr>
        <w:t>6</w:t>
      </w:r>
      <w:r w:rsidR="00316849">
        <w:fldChar w:fldCharType="end"/>
      </w:r>
      <w:r>
        <w:t>).</w:t>
      </w:r>
      <w:r w:rsidR="00142A0A" w:rsidRPr="009C553D">
        <w:rPr>
          <w:vertAlign w:val="superscript"/>
        </w:rPr>
        <w:fldChar w:fldCharType="begin"/>
      </w:r>
      <w:r w:rsidR="00142A0A" w:rsidRPr="00F31A7F">
        <w:rPr>
          <w:vertAlign w:val="superscript"/>
        </w:rPr>
        <w:instrText xml:space="preserve"> NOTEREF _Ref186711665 \h </w:instrText>
      </w:r>
      <w:r w:rsidR="00142A0A">
        <w:rPr>
          <w:vertAlign w:val="superscript"/>
        </w:rPr>
        <w:instrText xml:space="preserve"> \* MERGEFORMAT </w:instrText>
      </w:r>
      <w:r w:rsidR="00142A0A" w:rsidRPr="009C553D">
        <w:rPr>
          <w:vertAlign w:val="superscript"/>
        </w:rPr>
      </w:r>
      <w:r w:rsidR="00142A0A" w:rsidRPr="009C553D">
        <w:rPr>
          <w:vertAlign w:val="superscript"/>
        </w:rPr>
        <w:fldChar w:fldCharType="separate"/>
      </w:r>
      <w:r w:rsidR="00D96B61">
        <w:rPr>
          <w:vertAlign w:val="superscript"/>
        </w:rPr>
        <w:t>6</w:t>
      </w:r>
      <w:r w:rsidR="00142A0A" w:rsidRPr="009C553D">
        <w:rPr>
          <w:vertAlign w:val="superscript"/>
        </w:rPr>
        <w:fldChar w:fldCharType="end"/>
      </w:r>
      <w:r>
        <w:rPr>
          <w:vertAlign w:val="superscript"/>
        </w:rPr>
        <w:t xml:space="preserve"> </w:t>
      </w:r>
      <w:r>
        <w:rPr>
          <w:rStyle w:val="FootnoteReference"/>
        </w:rPr>
        <w:footnoteReference w:id="14"/>
      </w:r>
      <w:r>
        <w:t xml:space="preserve"> These </w:t>
      </w:r>
      <w:r w:rsidR="000A6AC6">
        <w:t xml:space="preserve">5 </w:t>
      </w:r>
      <w:r>
        <w:t>studies did not undergo quality appraisal.</w:t>
      </w:r>
    </w:p>
    <w:p w14:paraId="244FDF1C" w14:textId="5C59BA21" w:rsidR="00316849" w:rsidRDefault="00316849" w:rsidP="009C553D">
      <w:pPr>
        <w:pStyle w:val="Caption"/>
      </w:pPr>
      <w:bookmarkStart w:id="26" w:name="_Ref186709324"/>
      <w:r>
        <w:lastRenderedPageBreak/>
        <w:t xml:space="preserve">Table </w:t>
      </w:r>
      <w:r w:rsidR="00B00A5A">
        <w:fldChar w:fldCharType="begin"/>
      </w:r>
      <w:r w:rsidR="00B00A5A">
        <w:instrText xml:space="preserve"> SEQ Table \* ARABIC </w:instrText>
      </w:r>
      <w:r w:rsidR="00B00A5A">
        <w:fldChar w:fldCharType="separate"/>
      </w:r>
      <w:r w:rsidR="00B00A5A">
        <w:rPr>
          <w:noProof/>
        </w:rPr>
        <w:t>6</w:t>
      </w:r>
      <w:r w:rsidR="00B00A5A">
        <w:rPr>
          <w:noProof/>
        </w:rPr>
        <w:fldChar w:fldCharType="end"/>
      </w:r>
      <w:bookmarkEnd w:id="26"/>
      <w:r>
        <w:tab/>
      </w:r>
      <w:r w:rsidRPr="00CE28E3">
        <w:t xml:space="preserve">Key features </w:t>
      </w:r>
      <w:r>
        <w:t xml:space="preserve">of supportive evidence to inform QoL, AV synchrony and battery life for the </w:t>
      </w:r>
      <w:r w:rsidRPr="000114BE">
        <w:t>Micra AV LPM</w:t>
      </w:r>
    </w:p>
    <w:tbl>
      <w:tblPr>
        <w:tblStyle w:val="TableGrid"/>
        <w:tblW w:w="8995" w:type="dxa"/>
        <w:tblLook w:val="04A0" w:firstRow="1" w:lastRow="0" w:firstColumn="1" w:lastColumn="0" w:noHBand="0" w:noVBand="1"/>
      </w:tblPr>
      <w:tblGrid>
        <w:gridCol w:w="1255"/>
        <w:gridCol w:w="2610"/>
        <w:gridCol w:w="2163"/>
        <w:gridCol w:w="1347"/>
        <w:gridCol w:w="1620"/>
      </w:tblGrid>
      <w:tr w:rsidR="00965AE9" w14:paraId="380C36F3" w14:textId="77777777" w:rsidTr="4C0A0968">
        <w:trPr>
          <w:tblHeader/>
        </w:trPr>
        <w:tc>
          <w:tcPr>
            <w:tcW w:w="1255" w:type="dxa"/>
            <w:shd w:val="clear" w:color="auto" w:fill="FFFFFF" w:themeFill="background1"/>
          </w:tcPr>
          <w:p w14:paraId="1EB333DB" w14:textId="77777777" w:rsidR="00883C94" w:rsidRPr="00D95CC8" w:rsidRDefault="00883C94" w:rsidP="00D6277E">
            <w:pPr>
              <w:pStyle w:val="In-tableHeading"/>
            </w:pPr>
            <w:r w:rsidRPr="00CE28E3">
              <w:t>Reference</w:t>
            </w:r>
          </w:p>
        </w:tc>
        <w:tc>
          <w:tcPr>
            <w:tcW w:w="2610" w:type="dxa"/>
            <w:shd w:val="clear" w:color="auto" w:fill="FFFFFF" w:themeFill="background1"/>
          </w:tcPr>
          <w:p w14:paraId="5BD90D3B" w14:textId="77777777" w:rsidR="00883C94" w:rsidRPr="00D95CC8" w:rsidRDefault="00883C94" w:rsidP="00D6277E">
            <w:pPr>
              <w:pStyle w:val="In-tableHeading"/>
            </w:pPr>
            <w:r w:rsidRPr="00CE28E3">
              <w:t>Design/duration</w:t>
            </w:r>
          </w:p>
        </w:tc>
        <w:tc>
          <w:tcPr>
            <w:tcW w:w="2163" w:type="dxa"/>
            <w:shd w:val="clear" w:color="auto" w:fill="FFFFFF" w:themeFill="background1"/>
          </w:tcPr>
          <w:p w14:paraId="30DD84E0" w14:textId="77777777" w:rsidR="00883C94" w:rsidRPr="00D95CC8" w:rsidRDefault="00883C94" w:rsidP="00D6277E">
            <w:pPr>
              <w:pStyle w:val="In-tableHeading"/>
            </w:pPr>
            <w:r w:rsidRPr="00CE28E3">
              <w:t>Patient population</w:t>
            </w:r>
          </w:p>
        </w:tc>
        <w:tc>
          <w:tcPr>
            <w:tcW w:w="1347" w:type="dxa"/>
            <w:shd w:val="clear" w:color="auto" w:fill="FFFFFF" w:themeFill="background1"/>
          </w:tcPr>
          <w:p w14:paraId="3D3F4331" w14:textId="77777777" w:rsidR="00883C94" w:rsidRPr="00D95CC8" w:rsidRDefault="00883C94" w:rsidP="00D6277E">
            <w:pPr>
              <w:pStyle w:val="In-tableHeading"/>
            </w:pPr>
            <w:r w:rsidRPr="00CE28E3">
              <w:t>Outcome(s)</w:t>
            </w:r>
          </w:p>
        </w:tc>
        <w:tc>
          <w:tcPr>
            <w:tcW w:w="1620" w:type="dxa"/>
            <w:shd w:val="clear" w:color="auto" w:fill="FFFFFF" w:themeFill="background1"/>
          </w:tcPr>
          <w:p w14:paraId="3F018305" w14:textId="24491C70" w:rsidR="00883C94" w:rsidRPr="00CE28E3" w:rsidRDefault="00883C94" w:rsidP="00D6277E">
            <w:pPr>
              <w:pStyle w:val="In-tableHeading"/>
            </w:pPr>
            <w:r w:rsidRPr="00CE28E3">
              <w:t>Use in modelled evaluation</w:t>
            </w:r>
          </w:p>
        </w:tc>
      </w:tr>
      <w:tr w:rsidR="00883C94" w14:paraId="0A4CEEA5" w14:textId="77777777" w:rsidTr="4C0A0968">
        <w:tc>
          <w:tcPr>
            <w:tcW w:w="1255" w:type="dxa"/>
          </w:tcPr>
          <w:p w14:paraId="47A4E3D7" w14:textId="76B55EC3" w:rsidR="00883C94" w:rsidRDefault="00883C94">
            <w:pPr>
              <w:pStyle w:val="TableText"/>
            </w:pPr>
            <w:r w:rsidRPr="00967600">
              <w:t>Cabanas-Grand</w:t>
            </w:r>
            <w:r w:rsidR="00B01002" w:rsidRPr="001A4803">
              <w:rPr>
                <w:rFonts w:hint="eastAsia"/>
                <w:lang w:val="en-US"/>
              </w:rPr>
              <w:t>í</w:t>
            </w:r>
            <w:r w:rsidRPr="00967600">
              <w:t>o 2020</w:t>
            </w:r>
          </w:p>
        </w:tc>
        <w:tc>
          <w:tcPr>
            <w:tcW w:w="2610" w:type="dxa"/>
          </w:tcPr>
          <w:p w14:paraId="1BC58799" w14:textId="27014498" w:rsidR="00883C94" w:rsidRDefault="00883C94">
            <w:pPr>
              <w:pStyle w:val="TableText"/>
            </w:pPr>
            <w:r>
              <w:t xml:space="preserve">Multicentre, observational study at </w:t>
            </w:r>
            <w:r w:rsidR="0028677D">
              <w:t xml:space="preserve">4 </w:t>
            </w:r>
            <w:r>
              <w:t xml:space="preserve">tertiary hospitals in Spain </w:t>
            </w:r>
          </w:p>
          <w:p w14:paraId="03EFBFEB" w14:textId="77777777" w:rsidR="00883C94" w:rsidRDefault="00883C94">
            <w:pPr>
              <w:pStyle w:val="TableText"/>
            </w:pPr>
            <w:r w:rsidRPr="00EF4CCF">
              <w:t>December 2016 to March 2018</w:t>
            </w:r>
          </w:p>
        </w:tc>
        <w:tc>
          <w:tcPr>
            <w:tcW w:w="2163" w:type="dxa"/>
          </w:tcPr>
          <w:p w14:paraId="1FA24ADA" w14:textId="5310BBCD" w:rsidR="00883C94" w:rsidRDefault="00883C94">
            <w:pPr>
              <w:pStyle w:val="TableText"/>
            </w:pPr>
            <w:r w:rsidRPr="4C0A0968">
              <w:t>Patients age</w:t>
            </w:r>
            <w:r w:rsidR="00714F9F">
              <w:t>d</w:t>
            </w:r>
            <w:r w:rsidRPr="4C0A0968">
              <w:t xml:space="preserve"> ≥18 years with an indication for single-chamber pacemaker implantation</w:t>
            </w:r>
          </w:p>
          <w:p w14:paraId="301E54AE" w14:textId="77777777" w:rsidR="00883C94" w:rsidRPr="00B7630A" w:rsidRDefault="00883C94">
            <w:pPr>
              <w:pStyle w:val="TableText"/>
              <w:rPr>
                <w:lang w:val="pt-BR"/>
              </w:rPr>
            </w:pPr>
            <w:r w:rsidRPr="00B7630A">
              <w:rPr>
                <w:lang w:val="pt-BR"/>
              </w:rPr>
              <w:t>Conventional PM (N=64)</w:t>
            </w:r>
          </w:p>
          <w:p w14:paraId="16A355A1" w14:textId="77777777" w:rsidR="00883C94" w:rsidRPr="00B7630A" w:rsidRDefault="00883C94">
            <w:pPr>
              <w:pStyle w:val="TableText"/>
              <w:rPr>
                <w:lang w:val="pt-BR"/>
              </w:rPr>
            </w:pPr>
            <w:r w:rsidRPr="00B7630A">
              <w:rPr>
                <w:lang w:val="pt-BR"/>
              </w:rPr>
              <w:t>Micra VR (N=42)</w:t>
            </w:r>
          </w:p>
        </w:tc>
        <w:tc>
          <w:tcPr>
            <w:tcW w:w="1347" w:type="dxa"/>
          </w:tcPr>
          <w:p w14:paraId="1318C0BB" w14:textId="77777777" w:rsidR="00883C94" w:rsidRDefault="00883C94">
            <w:pPr>
              <w:pStyle w:val="TableText"/>
            </w:pPr>
            <w:r>
              <w:t>QoL (SF-36)</w:t>
            </w:r>
          </w:p>
        </w:tc>
        <w:tc>
          <w:tcPr>
            <w:tcW w:w="1620" w:type="dxa"/>
          </w:tcPr>
          <w:p w14:paraId="37A68519" w14:textId="77777777" w:rsidR="00883C94" w:rsidRDefault="00883C94">
            <w:pPr>
              <w:pStyle w:val="TableText"/>
            </w:pPr>
            <w:r>
              <w:t>No</w:t>
            </w:r>
          </w:p>
        </w:tc>
      </w:tr>
      <w:tr w:rsidR="00883C94" w14:paraId="0CD0A1EB" w14:textId="77777777" w:rsidTr="4C0A0968">
        <w:tc>
          <w:tcPr>
            <w:tcW w:w="1255" w:type="dxa"/>
          </w:tcPr>
          <w:p w14:paraId="446BEC42" w14:textId="77777777" w:rsidR="00883C94" w:rsidRDefault="00883C94">
            <w:pPr>
              <w:pStyle w:val="TableText"/>
            </w:pPr>
            <w:r w:rsidRPr="00967600">
              <w:t>Palmisano 2021</w:t>
            </w:r>
          </w:p>
        </w:tc>
        <w:tc>
          <w:tcPr>
            <w:tcW w:w="2610" w:type="dxa"/>
          </w:tcPr>
          <w:p w14:paraId="7B538247" w14:textId="77777777" w:rsidR="00883C94" w:rsidRDefault="00883C94">
            <w:pPr>
              <w:pStyle w:val="TableText"/>
            </w:pPr>
            <w:r w:rsidRPr="00F04803">
              <w:t>Prospective, single-</w:t>
            </w:r>
            <w:r w:rsidRPr="005104F4">
              <w:t xml:space="preserve">centre </w:t>
            </w:r>
            <w:r w:rsidRPr="00334F5A">
              <w:t>PSM</w:t>
            </w:r>
            <w:r>
              <w:t xml:space="preserve"> cohort </w:t>
            </w:r>
            <w:r w:rsidRPr="00F04803">
              <w:t>study</w:t>
            </w:r>
            <w:r>
              <w:t xml:space="preserve"> at a single centre in Italy </w:t>
            </w:r>
          </w:p>
          <w:p w14:paraId="4DB9E9FC" w14:textId="77777777" w:rsidR="00883C94" w:rsidRDefault="00883C94">
            <w:pPr>
              <w:pStyle w:val="TableText"/>
            </w:pPr>
            <w:r w:rsidRPr="008B42AD">
              <w:t>February 2016 to May 2020</w:t>
            </w:r>
          </w:p>
        </w:tc>
        <w:tc>
          <w:tcPr>
            <w:tcW w:w="2163" w:type="dxa"/>
          </w:tcPr>
          <w:p w14:paraId="70523CB0" w14:textId="77777777" w:rsidR="00883C94" w:rsidRDefault="00883C94">
            <w:pPr>
              <w:pStyle w:val="TableText"/>
            </w:pPr>
            <w:r>
              <w:t>Patients who met class I or II guideline recommendations for de novo ventricular pacing with a single-chamber PM</w:t>
            </w:r>
          </w:p>
          <w:p w14:paraId="1DEF2B78" w14:textId="77777777" w:rsidR="00883C94" w:rsidRPr="00B7630A" w:rsidRDefault="00883C94">
            <w:pPr>
              <w:pStyle w:val="TableText"/>
              <w:rPr>
                <w:lang w:val="pt-BR"/>
              </w:rPr>
            </w:pPr>
            <w:r w:rsidRPr="00B7630A">
              <w:rPr>
                <w:lang w:val="pt-BR"/>
              </w:rPr>
              <w:t>Conventional PM (N=77)</w:t>
            </w:r>
          </w:p>
          <w:p w14:paraId="7B63540F" w14:textId="77777777" w:rsidR="00883C94" w:rsidRPr="00B7630A" w:rsidRDefault="00883C94">
            <w:pPr>
              <w:pStyle w:val="TableText"/>
              <w:rPr>
                <w:lang w:val="pt-BR"/>
              </w:rPr>
            </w:pPr>
            <w:r w:rsidRPr="00B7630A">
              <w:rPr>
                <w:lang w:val="pt-BR"/>
              </w:rPr>
              <w:t>Micra VR (N=77)</w:t>
            </w:r>
          </w:p>
        </w:tc>
        <w:tc>
          <w:tcPr>
            <w:tcW w:w="1347" w:type="dxa"/>
          </w:tcPr>
          <w:p w14:paraId="2C9CCFDE" w14:textId="77777777" w:rsidR="00883C94" w:rsidRDefault="00883C94">
            <w:pPr>
              <w:pStyle w:val="TableText"/>
            </w:pPr>
            <w:r>
              <w:t>QoL (SF-36)</w:t>
            </w:r>
          </w:p>
        </w:tc>
        <w:tc>
          <w:tcPr>
            <w:tcW w:w="1620" w:type="dxa"/>
          </w:tcPr>
          <w:p w14:paraId="16DF3A6A" w14:textId="77777777" w:rsidR="00883C94" w:rsidRDefault="00883C94">
            <w:pPr>
              <w:pStyle w:val="TableText"/>
            </w:pPr>
            <w:r>
              <w:t>Yes</w:t>
            </w:r>
          </w:p>
        </w:tc>
      </w:tr>
      <w:tr w:rsidR="00883C94" w:rsidRPr="003240A3" w14:paraId="280D3BB3" w14:textId="77777777" w:rsidTr="4C0A0968">
        <w:tc>
          <w:tcPr>
            <w:tcW w:w="1255" w:type="dxa"/>
          </w:tcPr>
          <w:p w14:paraId="3AE06AB2" w14:textId="77777777" w:rsidR="00883C94" w:rsidRDefault="00883C94">
            <w:pPr>
              <w:pStyle w:val="TableText"/>
            </w:pPr>
            <w:proofErr w:type="spellStart"/>
            <w:r w:rsidRPr="4C0A0968">
              <w:t>AccelAV</w:t>
            </w:r>
            <w:proofErr w:type="spellEnd"/>
          </w:p>
          <w:p w14:paraId="4E69FC97" w14:textId="77777777" w:rsidR="00883C94" w:rsidRPr="00967600" w:rsidRDefault="00883C94">
            <w:pPr>
              <w:pStyle w:val="TableText"/>
            </w:pPr>
            <w:r>
              <w:t>(Chinitz 2023)</w:t>
            </w:r>
          </w:p>
        </w:tc>
        <w:tc>
          <w:tcPr>
            <w:tcW w:w="2610" w:type="dxa"/>
          </w:tcPr>
          <w:p w14:paraId="530C0319" w14:textId="77777777" w:rsidR="00883C94" w:rsidRDefault="00883C94">
            <w:pPr>
              <w:pStyle w:val="TableText"/>
            </w:pPr>
            <w:r>
              <w:t xml:space="preserve">Prospective, multicentre, single-arm study at 20 centres in the USA and Hong Kong </w:t>
            </w:r>
          </w:p>
          <w:p w14:paraId="0EDFB28C" w14:textId="77777777" w:rsidR="00883C94" w:rsidRDefault="00883C94">
            <w:pPr>
              <w:pStyle w:val="TableText"/>
            </w:pPr>
            <w:r>
              <w:t xml:space="preserve">June 2020 to September 2021 </w:t>
            </w:r>
          </w:p>
        </w:tc>
        <w:tc>
          <w:tcPr>
            <w:tcW w:w="2163" w:type="dxa"/>
          </w:tcPr>
          <w:p w14:paraId="36D15DE1" w14:textId="5765BA92" w:rsidR="00883C94" w:rsidRDefault="00883C94">
            <w:pPr>
              <w:pStyle w:val="TableText"/>
            </w:pPr>
            <w:r w:rsidRPr="4C0A0968">
              <w:t>Patients age ≥18 years who planned to undergo Micra AV implantation for an approved indication</w:t>
            </w:r>
          </w:p>
          <w:p w14:paraId="190B6359" w14:textId="77777777" w:rsidR="00883C94" w:rsidRDefault="00883C94">
            <w:pPr>
              <w:pStyle w:val="TableText"/>
            </w:pPr>
            <w:r>
              <w:t xml:space="preserve">Micra AV (N=152) </w:t>
            </w:r>
          </w:p>
        </w:tc>
        <w:tc>
          <w:tcPr>
            <w:tcW w:w="1347" w:type="dxa"/>
          </w:tcPr>
          <w:p w14:paraId="64EF024E" w14:textId="77777777" w:rsidR="00883C94" w:rsidRPr="00B7630A" w:rsidRDefault="00883C94">
            <w:pPr>
              <w:pStyle w:val="TableText"/>
              <w:rPr>
                <w:lang w:val="es-ES"/>
              </w:rPr>
            </w:pPr>
            <w:r w:rsidRPr="00B7630A">
              <w:rPr>
                <w:lang w:val="es-ES"/>
              </w:rPr>
              <w:t>AVS</w:t>
            </w:r>
          </w:p>
          <w:p w14:paraId="40385449" w14:textId="77777777" w:rsidR="00883C94" w:rsidRPr="00B7630A" w:rsidRDefault="00883C94">
            <w:pPr>
              <w:pStyle w:val="TableText"/>
              <w:rPr>
                <w:lang w:val="es-ES"/>
              </w:rPr>
            </w:pPr>
            <w:proofErr w:type="spellStart"/>
            <w:r w:rsidRPr="00B7630A">
              <w:rPr>
                <w:lang w:val="es-ES"/>
              </w:rPr>
              <w:t>QoL</w:t>
            </w:r>
            <w:proofErr w:type="spellEnd"/>
            <w:r w:rsidRPr="00B7630A">
              <w:rPr>
                <w:lang w:val="es-ES"/>
              </w:rPr>
              <w:t xml:space="preserve"> (EQ-5D-3L) </w:t>
            </w:r>
          </w:p>
        </w:tc>
        <w:tc>
          <w:tcPr>
            <w:tcW w:w="1620" w:type="dxa"/>
          </w:tcPr>
          <w:p w14:paraId="4C064837" w14:textId="77777777" w:rsidR="00883C94" w:rsidRPr="009C517F" w:rsidRDefault="00883C94">
            <w:pPr>
              <w:pStyle w:val="TableText"/>
            </w:pPr>
            <w:r>
              <w:t>Yes (utility data)</w:t>
            </w:r>
          </w:p>
        </w:tc>
      </w:tr>
      <w:tr w:rsidR="00883C94" w14:paraId="098E4A42" w14:textId="77777777" w:rsidTr="4C0A0968">
        <w:tc>
          <w:tcPr>
            <w:tcW w:w="1255" w:type="dxa"/>
          </w:tcPr>
          <w:p w14:paraId="1EB81414" w14:textId="77777777" w:rsidR="00883C94" w:rsidRDefault="00883C94">
            <w:pPr>
              <w:pStyle w:val="TableText"/>
            </w:pPr>
            <w:r>
              <w:t>Micra AV PAR</w:t>
            </w:r>
          </w:p>
          <w:p w14:paraId="16E6F2C6" w14:textId="77777777" w:rsidR="00883C94" w:rsidRDefault="00883C94">
            <w:pPr>
              <w:pStyle w:val="TableText"/>
            </w:pPr>
            <w:r w:rsidRPr="4C0A0968">
              <w:t>(</w:t>
            </w:r>
            <w:proofErr w:type="spellStart"/>
            <w:r w:rsidRPr="4C0A0968">
              <w:t>Garweg</w:t>
            </w:r>
            <w:proofErr w:type="spellEnd"/>
            <w:r w:rsidRPr="4C0A0968">
              <w:t xml:space="preserve"> 2024)</w:t>
            </w:r>
          </w:p>
        </w:tc>
        <w:tc>
          <w:tcPr>
            <w:tcW w:w="2610" w:type="dxa"/>
          </w:tcPr>
          <w:p w14:paraId="34FC4F8D" w14:textId="77777777" w:rsidR="00883C94" w:rsidRDefault="00883C94">
            <w:pPr>
              <w:pStyle w:val="TableText"/>
            </w:pPr>
            <w:r>
              <w:t>P</w:t>
            </w:r>
            <w:r w:rsidRPr="00AF5845">
              <w:t>rospective, single-arm, observational registry</w:t>
            </w:r>
            <w:r>
              <w:t xml:space="preserve"> data from 97 centres in 19 countries </w:t>
            </w:r>
          </w:p>
          <w:p w14:paraId="4E84A1D9" w14:textId="77777777" w:rsidR="00883C94" w:rsidRDefault="00883C94">
            <w:pPr>
              <w:pStyle w:val="TableText"/>
            </w:pPr>
            <w:r>
              <w:t>February 2020 and April 2022</w:t>
            </w:r>
          </w:p>
        </w:tc>
        <w:tc>
          <w:tcPr>
            <w:tcW w:w="2163" w:type="dxa"/>
          </w:tcPr>
          <w:p w14:paraId="5141E290" w14:textId="77777777" w:rsidR="00883C94" w:rsidRDefault="00883C94">
            <w:pPr>
              <w:pStyle w:val="TableText"/>
            </w:pPr>
            <w:r>
              <w:t>All patients intended to be implanted with a market approved Micra AV device at participating centres</w:t>
            </w:r>
          </w:p>
          <w:p w14:paraId="679D9B42" w14:textId="77777777" w:rsidR="00883C94" w:rsidRDefault="00883C94">
            <w:pPr>
              <w:pStyle w:val="TableText"/>
            </w:pPr>
            <w:r>
              <w:t>Micra AV (N=801)</w:t>
            </w:r>
          </w:p>
        </w:tc>
        <w:tc>
          <w:tcPr>
            <w:tcW w:w="1347" w:type="dxa"/>
          </w:tcPr>
          <w:p w14:paraId="245A10DD" w14:textId="77777777" w:rsidR="00883C94" w:rsidRDefault="00883C94">
            <w:pPr>
              <w:pStyle w:val="TableText"/>
            </w:pPr>
            <w:r>
              <w:t>AVS</w:t>
            </w:r>
          </w:p>
          <w:p w14:paraId="2E45B89E" w14:textId="77777777" w:rsidR="00883C94" w:rsidRDefault="00883C94">
            <w:pPr>
              <w:pStyle w:val="TableText"/>
            </w:pPr>
            <w:r>
              <w:t>B</w:t>
            </w:r>
            <w:r w:rsidRPr="00087E6D">
              <w:t>attery longevity</w:t>
            </w:r>
          </w:p>
          <w:p w14:paraId="43C84011" w14:textId="77777777" w:rsidR="00883C94" w:rsidRDefault="00883C94">
            <w:pPr>
              <w:pStyle w:val="TableText"/>
            </w:pPr>
            <w:r>
              <w:t>Incidence of pacemaker syndrome</w:t>
            </w:r>
          </w:p>
        </w:tc>
        <w:tc>
          <w:tcPr>
            <w:tcW w:w="1620" w:type="dxa"/>
          </w:tcPr>
          <w:p w14:paraId="744EAEA1" w14:textId="77777777" w:rsidR="00883C94" w:rsidRDefault="00883C94">
            <w:pPr>
              <w:pStyle w:val="TableText"/>
            </w:pPr>
            <w:r>
              <w:t>No</w:t>
            </w:r>
          </w:p>
        </w:tc>
      </w:tr>
      <w:tr w:rsidR="00883C94" w14:paraId="0FC887D9" w14:textId="77777777" w:rsidTr="4C0A0968">
        <w:tc>
          <w:tcPr>
            <w:tcW w:w="1255" w:type="dxa"/>
          </w:tcPr>
          <w:p w14:paraId="32C36B84" w14:textId="77777777" w:rsidR="00883C94" w:rsidRDefault="00883C94">
            <w:pPr>
              <w:pStyle w:val="TableText"/>
            </w:pPr>
            <w:r>
              <w:t>Leal 2024</w:t>
            </w:r>
          </w:p>
        </w:tc>
        <w:tc>
          <w:tcPr>
            <w:tcW w:w="2610" w:type="dxa"/>
          </w:tcPr>
          <w:p w14:paraId="0E0080DF" w14:textId="77777777" w:rsidR="00883C94" w:rsidRDefault="00883C94">
            <w:pPr>
              <w:pStyle w:val="TableText"/>
            </w:pPr>
            <w:r w:rsidRPr="4C0A0968">
              <w:t xml:space="preserve">Modelling and simulation-based analyses based on real-world pacing and accelerometer data from the </w:t>
            </w:r>
            <w:proofErr w:type="spellStart"/>
            <w:r w:rsidRPr="4C0A0968">
              <w:t>AccelAV</w:t>
            </w:r>
            <w:proofErr w:type="spellEnd"/>
            <w:r w:rsidRPr="4C0A0968">
              <w:t xml:space="preserve"> study were used to create virtual patients and compare AVS between enhanced and original algorithms to estimate the AVS rate of the Micra AV2 and Micra VR2</w:t>
            </w:r>
          </w:p>
        </w:tc>
        <w:tc>
          <w:tcPr>
            <w:tcW w:w="2163" w:type="dxa"/>
          </w:tcPr>
          <w:p w14:paraId="445C9D4A" w14:textId="77777777" w:rsidR="00883C94" w:rsidRPr="00E315CB" w:rsidRDefault="00883C94">
            <w:pPr>
              <w:pStyle w:val="TableText"/>
            </w:pPr>
            <w:r w:rsidRPr="000F7609">
              <w:t>Micra AV2 analysis</w:t>
            </w:r>
            <w:r>
              <w:t>:</w:t>
            </w:r>
            <w:r w:rsidRPr="000F7609">
              <w:t xml:space="preserve"> pacing and accelerometer parameters from a deidentified </w:t>
            </w:r>
            <w:proofErr w:type="spellStart"/>
            <w:r w:rsidRPr="000F7609">
              <w:t>CareLink</w:t>
            </w:r>
            <w:proofErr w:type="spellEnd"/>
            <w:r w:rsidRPr="000F7609">
              <w:t xml:space="preserve"> analysis of 999 Micra AV devices that had been implanted for longer than 6 months</w:t>
            </w:r>
          </w:p>
        </w:tc>
        <w:tc>
          <w:tcPr>
            <w:tcW w:w="1347" w:type="dxa"/>
          </w:tcPr>
          <w:p w14:paraId="300AF527" w14:textId="77777777" w:rsidR="00883C94" w:rsidRDefault="00883C94">
            <w:pPr>
              <w:pStyle w:val="TableText"/>
            </w:pPr>
            <w:r>
              <w:t>AVS</w:t>
            </w:r>
          </w:p>
          <w:p w14:paraId="2F6BA7C5" w14:textId="77777777" w:rsidR="00883C94" w:rsidRDefault="00883C94">
            <w:pPr>
              <w:pStyle w:val="TableText"/>
            </w:pPr>
            <w:r>
              <w:t>Battery longevity</w:t>
            </w:r>
          </w:p>
        </w:tc>
        <w:tc>
          <w:tcPr>
            <w:tcW w:w="1620" w:type="dxa"/>
          </w:tcPr>
          <w:p w14:paraId="500FF8CC" w14:textId="77777777" w:rsidR="00883C94" w:rsidRDefault="00883C94">
            <w:pPr>
              <w:pStyle w:val="TableText"/>
            </w:pPr>
            <w:r>
              <w:t>Yes (model duration)</w:t>
            </w:r>
          </w:p>
        </w:tc>
      </w:tr>
    </w:tbl>
    <w:p w14:paraId="5917D136" w14:textId="77777777" w:rsidR="00F7063C" w:rsidRPr="001E7BE9" w:rsidRDefault="00883C94" w:rsidP="00883C94">
      <w:pPr>
        <w:pStyle w:val="TableFigNote"/>
        <w:rPr>
          <w:rFonts w:ascii="Arial Narrow" w:hAnsi="Arial Narrow"/>
          <w:b/>
          <w:bCs/>
          <w:u w:val="single"/>
        </w:rPr>
      </w:pPr>
      <w:r w:rsidRPr="001E7BE9">
        <w:rPr>
          <w:rFonts w:ascii="Arial Narrow" w:hAnsi="Arial Narrow"/>
          <w:b/>
          <w:u w:val="single"/>
        </w:rPr>
        <w:t>Abbreviations</w:t>
      </w:r>
    </w:p>
    <w:p w14:paraId="1B104C3A" w14:textId="2FD9872B" w:rsidR="00883C94" w:rsidRPr="001E7BE9" w:rsidRDefault="00883C94" w:rsidP="00883C94">
      <w:pPr>
        <w:pStyle w:val="TableFigNote"/>
        <w:rPr>
          <w:rFonts w:ascii="Arial Narrow" w:hAnsi="Arial Narrow"/>
        </w:rPr>
      </w:pPr>
      <w:r w:rsidRPr="001E7BE9">
        <w:rPr>
          <w:rFonts w:ascii="Arial Narrow" w:hAnsi="Arial Narrow"/>
          <w:b/>
        </w:rPr>
        <w:t>AVS</w:t>
      </w:r>
      <w:r w:rsidR="00F7063C">
        <w:rPr>
          <w:rFonts w:ascii="Arial Narrow" w:hAnsi="Arial Narrow"/>
        </w:rPr>
        <w:t xml:space="preserve"> =</w:t>
      </w:r>
      <w:r w:rsidRPr="001E7BE9">
        <w:rPr>
          <w:rFonts w:ascii="Arial Narrow" w:hAnsi="Arial Narrow"/>
        </w:rPr>
        <w:t xml:space="preserve"> atrioventricular synchronicity</w:t>
      </w:r>
      <w:r w:rsidR="00F7063C">
        <w:rPr>
          <w:rFonts w:ascii="Arial Narrow" w:hAnsi="Arial Narrow"/>
        </w:rPr>
        <w:t>,</w:t>
      </w:r>
      <w:r w:rsidRPr="001E7BE9">
        <w:rPr>
          <w:rFonts w:ascii="Arial Narrow" w:hAnsi="Arial Narrow"/>
        </w:rPr>
        <w:t xml:space="preserve"> </w:t>
      </w:r>
      <w:r w:rsidRPr="001E7BE9">
        <w:rPr>
          <w:rFonts w:ascii="Arial Narrow" w:hAnsi="Arial Narrow"/>
          <w:b/>
        </w:rPr>
        <w:t>PM</w:t>
      </w:r>
      <w:r w:rsidR="00F7063C">
        <w:rPr>
          <w:rFonts w:ascii="Arial Narrow" w:hAnsi="Arial Narrow"/>
        </w:rPr>
        <w:t xml:space="preserve"> =</w:t>
      </w:r>
      <w:r w:rsidRPr="001E7BE9">
        <w:rPr>
          <w:rFonts w:ascii="Arial Narrow" w:hAnsi="Arial Narrow"/>
        </w:rPr>
        <w:t xml:space="preserve"> pacemaker</w:t>
      </w:r>
      <w:r w:rsidR="00F7063C">
        <w:rPr>
          <w:rFonts w:ascii="Arial Narrow" w:hAnsi="Arial Narrow"/>
        </w:rPr>
        <w:t>,</w:t>
      </w:r>
      <w:r w:rsidRPr="001E7BE9">
        <w:rPr>
          <w:rFonts w:ascii="Arial Narrow" w:hAnsi="Arial Narrow"/>
        </w:rPr>
        <w:t xml:space="preserve"> </w:t>
      </w:r>
      <w:r w:rsidRPr="001E7BE9">
        <w:rPr>
          <w:rFonts w:ascii="Arial Narrow" w:hAnsi="Arial Narrow"/>
          <w:b/>
        </w:rPr>
        <w:t>PSM</w:t>
      </w:r>
      <w:r w:rsidR="00F7063C">
        <w:rPr>
          <w:rFonts w:ascii="Arial Narrow" w:hAnsi="Arial Narrow"/>
        </w:rPr>
        <w:t xml:space="preserve"> =</w:t>
      </w:r>
      <w:r w:rsidRPr="001E7BE9">
        <w:rPr>
          <w:rFonts w:ascii="Arial Narrow" w:hAnsi="Arial Narrow"/>
        </w:rPr>
        <w:t xml:space="preserve"> propensity score matched</w:t>
      </w:r>
      <w:r w:rsidR="00F7063C">
        <w:rPr>
          <w:rFonts w:ascii="Arial Narrow" w:hAnsi="Arial Narrow"/>
        </w:rPr>
        <w:t>,</w:t>
      </w:r>
      <w:r w:rsidRPr="001E7BE9">
        <w:rPr>
          <w:rFonts w:ascii="Arial Narrow" w:hAnsi="Arial Narrow"/>
        </w:rPr>
        <w:t xml:space="preserve"> </w:t>
      </w:r>
      <w:r w:rsidRPr="001E7BE9">
        <w:rPr>
          <w:rFonts w:ascii="Arial Narrow" w:hAnsi="Arial Narrow"/>
          <w:b/>
        </w:rPr>
        <w:t>QoL</w:t>
      </w:r>
      <w:r w:rsidR="00F7063C">
        <w:rPr>
          <w:rFonts w:ascii="Arial Narrow" w:hAnsi="Arial Narrow"/>
        </w:rPr>
        <w:t xml:space="preserve"> =</w:t>
      </w:r>
      <w:r w:rsidRPr="001E7BE9">
        <w:rPr>
          <w:rFonts w:ascii="Arial Narrow" w:hAnsi="Arial Narrow"/>
        </w:rPr>
        <w:t xml:space="preserve"> quality of life.</w:t>
      </w:r>
    </w:p>
    <w:p w14:paraId="5B490FFB" w14:textId="77777777" w:rsidR="00883C94" w:rsidRDefault="00883C94" w:rsidP="00883C94">
      <w:pPr>
        <w:pStyle w:val="Heading3"/>
      </w:pPr>
      <w:r w:rsidRPr="00191DCD">
        <w:t xml:space="preserve">Methodological considerations </w:t>
      </w:r>
    </w:p>
    <w:p w14:paraId="1CF6F1E4" w14:textId="77777777" w:rsidR="00883C94" w:rsidRPr="004442F8" w:rsidRDefault="00883C94" w:rsidP="00883C94">
      <w:pPr>
        <w:pStyle w:val="Heading4"/>
      </w:pPr>
      <w:r>
        <w:t>Study selection and data extraction</w:t>
      </w:r>
    </w:p>
    <w:p w14:paraId="48AA8C46" w14:textId="1738E2EB" w:rsidR="00883C94" w:rsidRDefault="00883C94" w:rsidP="00883C94">
      <w:r w:rsidRPr="4C0A0968">
        <w:t>The selection of databases searched was adequate</w:t>
      </w:r>
      <w:r w:rsidR="00173BF3" w:rsidRPr="4C0A0968">
        <w:t>,</w:t>
      </w:r>
      <w:r w:rsidRPr="4C0A0968">
        <w:t xml:space="preserve"> and the search strategies were broad enough to capture any relevant published literature. However, relevant conference proceedings and other grey literature sources (including the INAHTA HTA database) were not searched, which is a limitation given that there were likely to be few published studies. However, this was partially offset by the searches conducted in the </w:t>
      </w:r>
      <w:r w:rsidR="00372C7B" w:rsidRPr="4C0A0968">
        <w:t>a</w:t>
      </w:r>
      <w:r w:rsidRPr="4C0A0968">
        <w:t>pplicant’s trials database and hand searching the reference lists of retrieved studies.</w:t>
      </w:r>
    </w:p>
    <w:p w14:paraId="51D4281B" w14:textId="52C506DA" w:rsidR="00883C94" w:rsidRDefault="00883C94" w:rsidP="00883C94">
      <w:pPr>
        <w:spacing w:before="0"/>
        <w:rPr>
          <w:lang w:val="en-US"/>
        </w:rPr>
      </w:pPr>
      <w:r w:rsidRPr="005F3513">
        <w:t>The listed study selection criteria appear to have been uniformly and correctly applied. However, there were very few details reported about how the study selection</w:t>
      </w:r>
      <w:r>
        <w:t xml:space="preserve"> and </w:t>
      </w:r>
      <w:r w:rsidRPr="005F3513">
        <w:t xml:space="preserve">data extraction </w:t>
      </w:r>
      <w:r>
        <w:t xml:space="preserve">processes </w:t>
      </w:r>
      <w:r w:rsidRPr="005F3513">
        <w:t>were undertaken. This may, in part, be because the main evidence for this submission</w:t>
      </w:r>
      <w:r w:rsidRPr="002D6C6F">
        <w:rPr>
          <w:lang w:val="en-US"/>
        </w:rPr>
        <w:t xml:space="preserve"> was a post </w:t>
      </w:r>
      <w:r w:rsidRPr="002D6C6F">
        <w:rPr>
          <w:lang w:val="en-US"/>
        </w:rPr>
        <w:lastRenderedPageBreak/>
        <w:t xml:space="preserve">hoc analysis of data from the </w:t>
      </w:r>
      <w:r w:rsidR="00FE5E0B">
        <w:rPr>
          <w:lang w:val="en-US"/>
        </w:rPr>
        <w:t>a</w:t>
      </w:r>
      <w:r w:rsidRPr="002D6C6F">
        <w:rPr>
          <w:lang w:val="en-US"/>
        </w:rPr>
        <w:t>pplicant’s device registry. However, best practice for systematic reviews requires that data extraction forms and procedures be established a priori, regardless of the reviewers’ expectations of what the final evidence base will include</w:t>
      </w:r>
      <w:r>
        <w:rPr>
          <w:lang w:val="en-US"/>
        </w:rPr>
        <w:t>. Single-arm studies were not included for safety outcomes, which is appropriate given</w:t>
      </w:r>
      <w:r w:rsidRPr="00CF457A">
        <w:rPr>
          <w:lang w:val="en-US"/>
        </w:rPr>
        <w:t xml:space="preserve"> </w:t>
      </w:r>
      <w:r>
        <w:rPr>
          <w:lang w:val="en-US"/>
        </w:rPr>
        <w:t>the size of the Micra CED study</w:t>
      </w:r>
      <w:r w:rsidR="00A96643">
        <w:rPr>
          <w:lang w:val="en-US"/>
        </w:rPr>
        <w:t>. Also, since</w:t>
      </w:r>
      <w:r>
        <w:rPr>
          <w:lang w:val="en-US"/>
        </w:rPr>
        <w:t xml:space="preserve"> </w:t>
      </w:r>
      <w:proofErr w:type="gramStart"/>
      <w:r w:rsidRPr="001708A8">
        <w:rPr>
          <w:lang w:val="en-US"/>
        </w:rPr>
        <w:t>the Micra</w:t>
      </w:r>
      <w:proofErr w:type="gramEnd"/>
      <w:r w:rsidRPr="001708A8">
        <w:rPr>
          <w:lang w:val="en-US"/>
        </w:rPr>
        <w:t xml:space="preserve"> AV has only been widely available in Europe and the USA since 2020</w:t>
      </w:r>
      <w:r w:rsidR="00A96643">
        <w:rPr>
          <w:lang w:val="en-US"/>
        </w:rPr>
        <w:t>,</w:t>
      </w:r>
      <w:r>
        <w:rPr>
          <w:lang w:val="en-US"/>
        </w:rPr>
        <w:t xml:space="preserve"> </w:t>
      </w:r>
      <w:r w:rsidRPr="001708A8">
        <w:rPr>
          <w:lang w:val="en-US"/>
        </w:rPr>
        <w:t>it is unlikely that expanding the study eligibility would provide any useful information on longer</w:t>
      </w:r>
      <w:r w:rsidR="00144FCC">
        <w:rPr>
          <w:lang w:val="en-US"/>
        </w:rPr>
        <w:t>-</w:t>
      </w:r>
      <w:r w:rsidRPr="001708A8">
        <w:rPr>
          <w:lang w:val="en-US"/>
        </w:rPr>
        <w:t>term safety outcomes (</w:t>
      </w:r>
      <w:r>
        <w:rPr>
          <w:lang w:val="en-US"/>
        </w:rPr>
        <w:t>i.e.</w:t>
      </w:r>
      <w:r w:rsidRPr="001708A8">
        <w:rPr>
          <w:lang w:val="en-US"/>
        </w:rPr>
        <w:t xml:space="preserve"> beyond </w:t>
      </w:r>
      <w:r w:rsidR="00AF66C7">
        <w:rPr>
          <w:lang w:val="en-US"/>
        </w:rPr>
        <w:t>2</w:t>
      </w:r>
      <w:r w:rsidR="00AF66C7" w:rsidRPr="001708A8">
        <w:rPr>
          <w:lang w:val="en-US"/>
        </w:rPr>
        <w:t xml:space="preserve"> </w:t>
      </w:r>
      <w:r w:rsidRPr="001708A8">
        <w:rPr>
          <w:lang w:val="en-US"/>
        </w:rPr>
        <w:t>years).</w:t>
      </w:r>
    </w:p>
    <w:p w14:paraId="53136302" w14:textId="77777777" w:rsidR="00883C94" w:rsidRPr="004442F8" w:rsidRDefault="00883C94" w:rsidP="00883C94">
      <w:pPr>
        <w:pStyle w:val="Heading4"/>
      </w:pPr>
      <w:r w:rsidRPr="004442F8">
        <w:t>Synthesis of evidence</w:t>
      </w:r>
    </w:p>
    <w:p w14:paraId="29CA1D58" w14:textId="0B365FD0" w:rsidR="00883C94" w:rsidRPr="005E460D" w:rsidRDefault="00883C94" w:rsidP="0046021E">
      <w:pPr>
        <w:spacing w:line="257" w:lineRule="auto"/>
        <w:rPr>
          <w:lang w:val="en-US"/>
        </w:rPr>
      </w:pPr>
      <w:r w:rsidRPr="00FC7A64">
        <w:rPr>
          <w:lang w:val="en-US"/>
        </w:rPr>
        <w:t>The quality of the Micra CED study was assessed with the National Heart, Lung and Blood Institute (NHLBI) Study Quality Assessment tool for observational and cross-sectional studies</w:t>
      </w:r>
      <w:r>
        <w:rPr>
          <w:lang w:val="en-US"/>
        </w:rPr>
        <w:t xml:space="preserve">, although </w:t>
      </w:r>
      <w:r>
        <w:t>no</w:t>
      </w:r>
      <w:r w:rsidRPr="005F3513">
        <w:t xml:space="preserve"> details </w:t>
      </w:r>
      <w:r w:rsidR="007E65AF">
        <w:t>were</w:t>
      </w:r>
      <w:r w:rsidRPr="005F3513">
        <w:t xml:space="preserve"> </w:t>
      </w:r>
      <w:r>
        <w:t>provided</w:t>
      </w:r>
      <w:r w:rsidRPr="005F3513">
        <w:t xml:space="preserve"> about how the </w:t>
      </w:r>
      <w:r>
        <w:t>quality appraisal</w:t>
      </w:r>
      <w:r w:rsidRPr="005F3513">
        <w:t xml:space="preserve"> </w:t>
      </w:r>
      <w:r>
        <w:t xml:space="preserve">process </w:t>
      </w:r>
      <w:r w:rsidRPr="005F3513">
        <w:t>w</w:t>
      </w:r>
      <w:r>
        <w:t>as</w:t>
      </w:r>
      <w:r w:rsidRPr="005F3513">
        <w:t xml:space="preserve"> </w:t>
      </w:r>
      <w:r>
        <w:t>conducted</w:t>
      </w:r>
      <w:r w:rsidRPr="00FC7A64">
        <w:rPr>
          <w:lang w:val="en-US"/>
        </w:rPr>
        <w:t xml:space="preserve">. The </w:t>
      </w:r>
      <w:r w:rsidR="009A6988" w:rsidRPr="00FC7A64">
        <w:rPr>
          <w:lang w:val="en-US"/>
        </w:rPr>
        <w:t>Micra CED</w:t>
      </w:r>
      <w:r w:rsidRPr="00FC7A64">
        <w:rPr>
          <w:lang w:val="en-US"/>
        </w:rPr>
        <w:t xml:space="preserve"> study was deemed to </w:t>
      </w:r>
      <w:r>
        <w:rPr>
          <w:lang w:val="en-US"/>
        </w:rPr>
        <w:t xml:space="preserve">be of good quality, </w:t>
      </w:r>
      <w:r w:rsidRPr="00FC7A64">
        <w:rPr>
          <w:lang w:val="en-US"/>
        </w:rPr>
        <w:t>despite significant differences</w:t>
      </w:r>
      <w:r>
        <w:rPr>
          <w:lang w:val="en-US"/>
        </w:rPr>
        <w:t xml:space="preserve"> in several </w:t>
      </w:r>
      <w:r w:rsidRPr="00FC7A64">
        <w:rPr>
          <w:lang w:val="en-US"/>
        </w:rPr>
        <w:t xml:space="preserve">baseline </w:t>
      </w:r>
      <w:r>
        <w:rPr>
          <w:lang w:val="en-US"/>
        </w:rPr>
        <w:t xml:space="preserve">patient </w:t>
      </w:r>
      <w:r w:rsidRPr="00FC7A64">
        <w:rPr>
          <w:lang w:val="en-US"/>
        </w:rPr>
        <w:t>characteristics</w:t>
      </w:r>
      <w:r>
        <w:rPr>
          <w:lang w:val="en-US"/>
        </w:rPr>
        <w:t xml:space="preserve"> and prognostic factors</w:t>
      </w:r>
      <w:r w:rsidRPr="00FC7A64">
        <w:rPr>
          <w:lang w:val="en-US"/>
        </w:rPr>
        <w:t xml:space="preserve"> between the LPM and DC-TVPM treatment groups</w:t>
      </w:r>
      <w:r>
        <w:rPr>
          <w:lang w:val="en-US"/>
        </w:rPr>
        <w:t xml:space="preserve">, because it used a </w:t>
      </w:r>
      <w:r w:rsidRPr="004116BF">
        <w:rPr>
          <w:lang w:val="en-US"/>
        </w:rPr>
        <w:t xml:space="preserve">propensity score </w:t>
      </w:r>
      <w:r w:rsidRPr="00FD6E51">
        <w:rPr>
          <w:lang w:val="en-US"/>
        </w:rPr>
        <w:t>weighting method to create a comparison of patients at clinical equipoise with respect to the treatments being compared. The weighting method adjusted for 31 baseline and encounter characteristics. Outcomes were also adjusted for age, sex and comorbid conditions.</w:t>
      </w:r>
      <w:r w:rsidRPr="00FD6E51">
        <w:t xml:space="preserve"> </w:t>
      </w:r>
      <w:r w:rsidRPr="00B65573">
        <w:t xml:space="preserve">However, it should be noted that the </w:t>
      </w:r>
      <w:r w:rsidRPr="00B65573">
        <w:rPr>
          <w:lang w:val="en-US"/>
        </w:rPr>
        <w:t xml:space="preserve">propensity score weighting method </w:t>
      </w:r>
      <w:r w:rsidRPr="00B65573">
        <w:t>is not necessarily exhaustive, since it cannot adjust for patient characteristics that are not measured</w:t>
      </w:r>
      <w:r>
        <w:t xml:space="preserve"> but may influence a clinician’s decision regarding treatment allocation</w:t>
      </w:r>
      <w:r w:rsidRPr="00B65573">
        <w:t xml:space="preserve">. For example, it appears likely that the LPM group included patients </w:t>
      </w:r>
      <w:r w:rsidR="005020E5">
        <w:t>who</w:t>
      </w:r>
      <w:r w:rsidRPr="00B65573">
        <w:t xml:space="preserve"> were ineligible to receive a DC-TVPM</w:t>
      </w:r>
      <w:r w:rsidR="00E54256">
        <w:t xml:space="preserve"> </w:t>
      </w:r>
      <w:r w:rsidRPr="00B65573">
        <w:t>(23% of patients in the LPM group in the larger Micra CED study)</w:t>
      </w:r>
      <w:r w:rsidR="00777F75">
        <w:t>, which may lead to</w:t>
      </w:r>
      <w:r w:rsidR="00777F75" w:rsidRPr="00B65573">
        <w:t xml:space="preserve"> selection bias</w:t>
      </w:r>
      <w:r w:rsidRPr="00B65573">
        <w:t>. These patients tend to have a higher all-cause mortality rate than those who are eligible for both devices,</w:t>
      </w:r>
      <w:r w:rsidRPr="00B65573">
        <w:rPr>
          <w:vertAlign w:val="superscript"/>
        </w:rPr>
        <w:fldChar w:fldCharType="begin"/>
      </w:r>
      <w:r w:rsidRPr="00B65573">
        <w:rPr>
          <w:vertAlign w:val="superscript"/>
        </w:rPr>
        <w:instrText xml:space="preserve"> NOTEREF _Ref182572066 \h  \* MERGEFORMAT </w:instrText>
      </w:r>
      <w:r w:rsidRPr="00B65573">
        <w:rPr>
          <w:vertAlign w:val="superscript"/>
        </w:rPr>
      </w:r>
      <w:r w:rsidRPr="00B65573">
        <w:rPr>
          <w:vertAlign w:val="superscript"/>
        </w:rPr>
        <w:fldChar w:fldCharType="separate"/>
      </w:r>
      <w:r w:rsidR="00D96B61">
        <w:rPr>
          <w:vertAlign w:val="superscript"/>
        </w:rPr>
        <w:t>8</w:t>
      </w:r>
      <w:r w:rsidRPr="00B65573">
        <w:rPr>
          <w:vertAlign w:val="superscript"/>
        </w:rPr>
        <w:fldChar w:fldCharType="end"/>
      </w:r>
      <w:r w:rsidRPr="00B65573">
        <w:t xml:space="preserve"> and </w:t>
      </w:r>
      <w:r w:rsidR="001A322C">
        <w:t>i</w:t>
      </w:r>
      <w:r w:rsidRPr="00B65573">
        <w:t xml:space="preserve">t is unclear how many of these patients were in the non-AF subgroup analysed in this submission. </w:t>
      </w:r>
      <w:r w:rsidR="008B4B5E" w:rsidRPr="0046021E">
        <w:t>This is a significant confounding factor</w:t>
      </w:r>
      <w:r w:rsidR="0046021E">
        <w:t>,</w:t>
      </w:r>
      <w:r w:rsidR="008B4B5E" w:rsidRPr="0046021E">
        <w:t xml:space="preserve"> given that </w:t>
      </w:r>
      <w:r w:rsidRPr="00B65573">
        <w:t xml:space="preserve">the </w:t>
      </w:r>
      <w:r w:rsidR="008B4B5E" w:rsidRPr="0046021E">
        <w:t xml:space="preserve">appropriate comparator for these patients is </w:t>
      </w:r>
      <w:r w:rsidR="753D2B16" w:rsidRPr="0046021E">
        <w:t xml:space="preserve">an epicardial pacemaker or </w:t>
      </w:r>
      <w:r w:rsidR="008B4B5E" w:rsidRPr="0046021E">
        <w:t>no pacing at all</w:t>
      </w:r>
      <w:r w:rsidR="0046021E">
        <w:t>,</w:t>
      </w:r>
      <w:r w:rsidRPr="00B65573">
        <w:t xml:space="preserve"> that is not necessarily offset by the propensity score matching method used to correct for the many other differences between the </w:t>
      </w:r>
      <w:r w:rsidR="003D007B">
        <w:t>2</w:t>
      </w:r>
      <w:r w:rsidR="003D007B" w:rsidRPr="00B65573">
        <w:t xml:space="preserve"> </w:t>
      </w:r>
      <w:r w:rsidRPr="00B65573">
        <w:t>treatment groups at baseline.</w:t>
      </w:r>
    </w:p>
    <w:p w14:paraId="3B9FC2AD" w14:textId="4694838A" w:rsidR="00772829" w:rsidRPr="00CE28E3" w:rsidRDefault="00772829" w:rsidP="004167A0">
      <w:pPr>
        <w:pStyle w:val="Heading2"/>
        <w:numPr>
          <w:ilvl w:val="0"/>
          <w:numId w:val="27"/>
        </w:numPr>
        <w:ind w:hanging="720"/>
      </w:pPr>
      <w:bookmarkStart w:id="27" w:name="_Toc69491423"/>
      <w:r w:rsidRPr="00CE28E3">
        <w:t>Comparative safety</w:t>
      </w:r>
      <w:bookmarkEnd w:id="27"/>
    </w:p>
    <w:p w14:paraId="0B95FA46" w14:textId="77777777" w:rsidR="007D4F22" w:rsidRPr="007D4F22" w:rsidRDefault="007D4F22" w:rsidP="007D4F22">
      <w:bookmarkStart w:id="28" w:name="_Toc69491424"/>
      <w:r w:rsidRPr="007D4F22">
        <w:t>The safety outcomes discussed are those from the Micra AV CED study post hoc subgroup analysis.</w:t>
      </w:r>
    </w:p>
    <w:p w14:paraId="13AF08E7" w14:textId="7E3125CE" w:rsidR="007D4F22" w:rsidRPr="007D4F22" w:rsidRDefault="007D4F22" w:rsidP="007D4F22">
      <w:pPr>
        <w:keepNext/>
        <w:keepLines/>
        <w:tabs>
          <w:tab w:val="left" w:pos="851"/>
        </w:tabs>
        <w:spacing w:before="360" w:after="200" w:line="240" w:lineRule="auto"/>
        <w:outlineLvl w:val="2"/>
        <w:rPr>
          <w:rFonts w:ascii="Franklin Gothic Medium" w:eastAsiaTheme="majorEastAsia" w:hAnsi="Franklin Gothic Medium" w:cstheme="majorBidi"/>
          <w:sz w:val="24"/>
          <w:szCs w:val="24"/>
        </w:rPr>
      </w:pPr>
      <w:r w:rsidRPr="007D4F22">
        <w:rPr>
          <w:rFonts w:ascii="Franklin Gothic Medium" w:eastAsiaTheme="majorEastAsia" w:hAnsi="Franklin Gothic Medium" w:cstheme="majorBidi"/>
          <w:sz w:val="24"/>
          <w:szCs w:val="24"/>
        </w:rPr>
        <w:t>Acute complications (30 days)</w:t>
      </w:r>
    </w:p>
    <w:p w14:paraId="3CF5459C" w14:textId="60E06150" w:rsidR="007D4F22" w:rsidRPr="007D4F22" w:rsidRDefault="007D4F22" w:rsidP="000058F5">
      <w:r w:rsidRPr="4C0A0968">
        <w:t>Patients implanted with a Micra AV had a significantly lower incidence of acute complications within 30 days than those who received a DC-TVPM (8.7% versus 10.4%; relative risk [RR] 0.83, 95% confidence interval [CI] 0.75, 0.92) (</w:t>
      </w:r>
      <w:r>
        <w:fldChar w:fldCharType="begin"/>
      </w:r>
      <w:r>
        <w:instrText xml:space="preserve"> REF _Ref183613143 \h </w:instrText>
      </w:r>
      <w:r>
        <w:fldChar w:fldCharType="separate"/>
      </w:r>
      <w:r w:rsidR="00D96B61" w:rsidRPr="4C0A0968">
        <w:t xml:space="preserve">Table </w:t>
      </w:r>
      <w:r w:rsidR="00D96B61" w:rsidRPr="4C0A0968">
        <w:rPr>
          <w:noProof/>
        </w:rPr>
        <w:t>7</w:t>
      </w:r>
      <w:r>
        <w:fldChar w:fldCharType="end"/>
      </w:r>
      <w:r w:rsidRPr="4C0A0968">
        <w:t>). The main underlying complications in the LPM group were deep vein thrombosis, puncture site events and cardiac effusion and tamponade. In contrast, the acute complications for DC-TVPM were mostly driven by device-related complications such as device dislodgment and breakdown, haemorrhage, pain and pocket complications.</w:t>
      </w:r>
    </w:p>
    <w:p w14:paraId="287C3449" w14:textId="1F60840D" w:rsidR="007D4F22" w:rsidRPr="007D4F22" w:rsidRDefault="007D4F22" w:rsidP="000058F5">
      <w:r w:rsidRPr="4C0A0968">
        <w:t>Without further data on the extent and severity of the device-related complications in the DC-TVPM group and how they were remedied, it is difficult to determine whether this represents a clinically important difference. A device-related complication that can be managed easily has a very different outcome to a complication that requires device removal. Since the Micra A</w:t>
      </w:r>
      <w:r w:rsidR="00DD642F" w:rsidRPr="4C0A0968">
        <w:t>V</w:t>
      </w:r>
      <w:r w:rsidRPr="4C0A0968">
        <w:t xml:space="preserve"> device is designed to remain in situ if it fails, it is unclear whether device dislodgment or other mechanical failure can escalate into a serious adverse event. </w:t>
      </w:r>
      <w:r w:rsidR="00AC1C7D" w:rsidRPr="4C0A0968">
        <w:t xml:space="preserve">The vascular events more </w:t>
      </w:r>
      <w:r w:rsidR="00AC1C7D" w:rsidRPr="4C0A0968">
        <w:lastRenderedPageBreak/>
        <w:t>frequently associated with LPM implantation, including arteriovenous fistula and vascular aneurysm at the puncture site, embolism and thrombosis may not be immediately life</w:t>
      </w:r>
      <w:r w:rsidR="000C3EDF" w:rsidRPr="4C0A0968">
        <w:t>-</w:t>
      </w:r>
      <w:r w:rsidR="00AC1C7D" w:rsidRPr="4C0A0968">
        <w:t xml:space="preserve">threatening and often require only conservative management, but their potential to become so should be considered. </w:t>
      </w:r>
      <w:r w:rsidRPr="4C0A0968">
        <w:t xml:space="preserve">In addition, although adjusted rates of cardiac perforation are similar between the </w:t>
      </w:r>
      <w:r w:rsidR="0036592D" w:rsidRPr="4C0A0968">
        <w:t xml:space="preserve">2 </w:t>
      </w:r>
      <w:r w:rsidRPr="4C0A0968">
        <w:t>devices, it has been noted that major complications related to cardiac perforation following implantation of the Micra VR, which is identical to the Micra AV in size and shape, tend to be more severe than for patients who receive a transvenous pacemaker.</w:t>
      </w:r>
      <w:r w:rsidRPr="4C0A0968">
        <w:rPr>
          <w:vertAlign w:val="superscript"/>
        </w:rPr>
        <w:footnoteReference w:id="15"/>
      </w:r>
      <w:r w:rsidRPr="4C0A0968">
        <w:t xml:space="preserve"> </w:t>
      </w:r>
    </w:p>
    <w:p w14:paraId="3FEE9A5A" w14:textId="77777777" w:rsidR="007D4F22" w:rsidRPr="007D4F22" w:rsidRDefault="007D4F22" w:rsidP="007D4F22">
      <w:pPr>
        <w:rPr>
          <w:color w:val="258221"/>
        </w:rPr>
        <w:sectPr w:rsidR="007D4F22" w:rsidRPr="007D4F22" w:rsidSect="007D4F22">
          <w:footerReference w:type="even" r:id="rId16"/>
          <w:footerReference w:type="default" r:id="rId17"/>
          <w:headerReference w:type="first" r:id="rId18"/>
          <w:footerReference w:type="first" r:id="rId19"/>
          <w:type w:val="oddPage"/>
          <w:pgSz w:w="11906" w:h="16838"/>
          <w:pgMar w:top="1440" w:right="1440" w:bottom="1440" w:left="1440" w:header="708" w:footer="708" w:gutter="0"/>
          <w:cols w:space="708"/>
          <w:docGrid w:linePitch="360"/>
        </w:sectPr>
      </w:pPr>
    </w:p>
    <w:p w14:paraId="5EE40A49" w14:textId="244C73A3" w:rsidR="0072059A" w:rsidRDefault="0072059A" w:rsidP="00493E5A">
      <w:pPr>
        <w:pStyle w:val="Caption"/>
      </w:pPr>
      <w:bookmarkStart w:id="29" w:name="_Ref183613143"/>
      <w:r>
        <w:lastRenderedPageBreak/>
        <w:t xml:space="preserve">Table </w:t>
      </w:r>
      <w:r w:rsidR="00B00A5A">
        <w:fldChar w:fldCharType="begin"/>
      </w:r>
      <w:r w:rsidR="00B00A5A">
        <w:instrText xml:space="preserve"> SEQ Table \* ARABIC </w:instrText>
      </w:r>
      <w:r w:rsidR="00B00A5A">
        <w:fldChar w:fldCharType="separate"/>
      </w:r>
      <w:r w:rsidR="00B00A5A">
        <w:rPr>
          <w:noProof/>
        </w:rPr>
        <w:t>7</w:t>
      </w:r>
      <w:r w:rsidR="00B00A5A">
        <w:rPr>
          <w:noProof/>
        </w:rPr>
        <w:fldChar w:fldCharType="end"/>
      </w:r>
      <w:bookmarkEnd w:id="29"/>
      <w:r w:rsidR="00B21915">
        <w:tab/>
      </w:r>
      <w:r w:rsidRPr="003E6E26">
        <w:t>Acute complications at 30 days in the Micra AV CED study (AV block without AF subgroup)</w:t>
      </w:r>
    </w:p>
    <w:tbl>
      <w:tblPr>
        <w:tblStyle w:val="TableGrid"/>
        <w:tblW w:w="5000" w:type="pct"/>
        <w:tblLook w:val="04A0" w:firstRow="1" w:lastRow="0" w:firstColumn="1" w:lastColumn="0" w:noHBand="0" w:noVBand="1"/>
      </w:tblPr>
      <w:tblGrid>
        <w:gridCol w:w="1912"/>
        <w:gridCol w:w="1060"/>
        <w:gridCol w:w="993"/>
        <w:gridCol w:w="1531"/>
        <w:gridCol w:w="1587"/>
        <w:gridCol w:w="851"/>
        <w:gridCol w:w="990"/>
        <w:gridCol w:w="1135"/>
        <w:gridCol w:w="1487"/>
        <w:gridCol w:w="1487"/>
        <w:gridCol w:w="915"/>
      </w:tblGrid>
      <w:tr w:rsidR="007D4F22" w:rsidRPr="007D4F22" w14:paraId="313F2828" w14:textId="77777777" w:rsidTr="4C0A0968">
        <w:trPr>
          <w:trHeight w:val="20"/>
          <w:tblHeader/>
        </w:trPr>
        <w:tc>
          <w:tcPr>
            <w:tcW w:w="685" w:type="pct"/>
            <w:shd w:val="clear" w:color="auto" w:fill="D9D9D9" w:themeFill="background1" w:themeFillShade="D9"/>
            <w:noWrap/>
            <w:hideMark/>
          </w:tcPr>
          <w:p w14:paraId="1E28EE4E" w14:textId="77777777" w:rsidR="007D4F22" w:rsidRPr="007D4F22" w:rsidRDefault="007D4F22" w:rsidP="007D4F22">
            <w:pPr>
              <w:widowControl w:val="0"/>
              <w:spacing w:before="40" w:after="40"/>
              <w:rPr>
                <w:rFonts w:ascii="Arial Narrow" w:hAnsi="Arial Narrow"/>
                <w:sz w:val="20"/>
              </w:rPr>
            </w:pPr>
          </w:p>
        </w:tc>
        <w:tc>
          <w:tcPr>
            <w:tcW w:w="2159" w:type="pct"/>
            <w:gridSpan w:val="5"/>
            <w:shd w:val="clear" w:color="auto" w:fill="D9D9D9" w:themeFill="background1" w:themeFillShade="D9"/>
            <w:noWrap/>
            <w:hideMark/>
          </w:tcPr>
          <w:p w14:paraId="234ADD43" w14:textId="77777777" w:rsidR="007D4F22" w:rsidRPr="007D4F22" w:rsidRDefault="007D4F22" w:rsidP="007D4F22">
            <w:pPr>
              <w:widowControl w:val="0"/>
              <w:spacing w:before="40" w:after="40"/>
              <w:rPr>
                <w:rFonts w:ascii="Arial Narrow" w:hAnsi="Arial Narrow"/>
                <w:b/>
                <w:bCs/>
                <w:sz w:val="20"/>
              </w:rPr>
            </w:pPr>
            <w:r w:rsidRPr="007D4F22">
              <w:rPr>
                <w:rFonts w:ascii="Arial Narrow" w:hAnsi="Arial Narrow"/>
                <w:b/>
                <w:bCs/>
                <w:sz w:val="20"/>
              </w:rPr>
              <w:t>Unadjusted</w:t>
            </w:r>
          </w:p>
        </w:tc>
        <w:tc>
          <w:tcPr>
            <w:tcW w:w="2156" w:type="pct"/>
            <w:gridSpan w:val="5"/>
            <w:shd w:val="clear" w:color="auto" w:fill="D9D9D9" w:themeFill="background1" w:themeFillShade="D9"/>
            <w:noWrap/>
            <w:hideMark/>
          </w:tcPr>
          <w:p w14:paraId="0A170C4A" w14:textId="44DEE450" w:rsidR="007D4F22" w:rsidRPr="007D4F22" w:rsidRDefault="007D4F22" w:rsidP="4C0A0968">
            <w:pPr>
              <w:widowControl w:val="0"/>
              <w:spacing w:before="40" w:after="40"/>
              <w:rPr>
                <w:rFonts w:ascii="Arial Narrow" w:hAnsi="Arial Narrow"/>
                <w:b/>
                <w:bCs/>
                <w:sz w:val="20"/>
                <w:szCs w:val="20"/>
              </w:rPr>
            </w:pPr>
            <w:proofErr w:type="spellStart"/>
            <w:r w:rsidRPr="4C0A0968">
              <w:rPr>
                <w:rFonts w:ascii="Arial Narrow" w:hAnsi="Arial Narrow"/>
                <w:b/>
                <w:bCs/>
                <w:sz w:val="20"/>
                <w:szCs w:val="20"/>
              </w:rPr>
              <w:t>Adjusted</w:t>
            </w:r>
            <w:r w:rsidR="00BF6801" w:rsidRPr="4C0A0968">
              <w:rPr>
                <w:rFonts w:ascii="Arial Narrow" w:hAnsi="Arial Narrow"/>
                <w:b/>
                <w:bCs/>
                <w:sz w:val="20"/>
                <w:szCs w:val="20"/>
                <w:vertAlign w:val="superscript"/>
              </w:rPr>
              <w:t>a</w:t>
            </w:r>
            <w:proofErr w:type="spellEnd"/>
          </w:p>
        </w:tc>
      </w:tr>
      <w:tr w:rsidR="007D4F22" w:rsidRPr="007D4F22" w14:paraId="1D0F0831" w14:textId="77777777" w:rsidTr="4C0A0968">
        <w:trPr>
          <w:trHeight w:val="20"/>
          <w:tblHeader/>
        </w:trPr>
        <w:tc>
          <w:tcPr>
            <w:tcW w:w="685" w:type="pct"/>
            <w:tcBorders>
              <w:bottom w:val="single" w:sz="4" w:space="0" w:color="auto"/>
            </w:tcBorders>
            <w:shd w:val="clear" w:color="auto" w:fill="D9D9D9" w:themeFill="background1" w:themeFillShade="D9"/>
            <w:hideMark/>
          </w:tcPr>
          <w:p w14:paraId="5EF465FD" w14:textId="77777777" w:rsidR="007D4F22" w:rsidRPr="007D4F22" w:rsidRDefault="007D4F22" w:rsidP="007D4F22">
            <w:pPr>
              <w:widowControl w:val="0"/>
              <w:spacing w:before="40" w:after="40"/>
              <w:rPr>
                <w:rFonts w:ascii="Arial Narrow" w:hAnsi="Arial Narrow"/>
                <w:b/>
                <w:bCs/>
                <w:sz w:val="20"/>
              </w:rPr>
            </w:pPr>
            <w:r w:rsidRPr="007D4F22">
              <w:rPr>
                <w:rFonts w:ascii="Arial Narrow" w:hAnsi="Arial Narrow"/>
                <w:b/>
                <w:bCs/>
                <w:sz w:val="20"/>
              </w:rPr>
              <w:t xml:space="preserve">Complication </w:t>
            </w:r>
          </w:p>
        </w:tc>
        <w:tc>
          <w:tcPr>
            <w:tcW w:w="380" w:type="pct"/>
            <w:tcBorders>
              <w:bottom w:val="single" w:sz="4" w:space="0" w:color="auto"/>
            </w:tcBorders>
            <w:shd w:val="clear" w:color="auto" w:fill="D9D9D9" w:themeFill="background1" w:themeFillShade="D9"/>
            <w:hideMark/>
          </w:tcPr>
          <w:p w14:paraId="60F9847C" w14:textId="77777777" w:rsidR="007D4F22" w:rsidRPr="007D4F22" w:rsidRDefault="007D4F22" w:rsidP="007D4F22">
            <w:pPr>
              <w:widowControl w:val="0"/>
              <w:spacing w:before="40" w:after="40"/>
              <w:rPr>
                <w:rFonts w:ascii="Arial Narrow" w:hAnsi="Arial Narrow"/>
                <w:b/>
                <w:bCs/>
                <w:sz w:val="20"/>
                <w:lang w:val="sv-SE"/>
              </w:rPr>
            </w:pPr>
            <w:r w:rsidRPr="007D4F22">
              <w:rPr>
                <w:rFonts w:ascii="Arial Narrow" w:hAnsi="Arial Narrow"/>
                <w:b/>
                <w:bCs/>
                <w:sz w:val="20"/>
                <w:lang w:val="sv-SE"/>
              </w:rPr>
              <w:t>Micra AV</w:t>
            </w:r>
          </w:p>
        </w:tc>
        <w:tc>
          <w:tcPr>
            <w:tcW w:w="356" w:type="pct"/>
            <w:tcBorders>
              <w:bottom w:val="single" w:sz="4" w:space="0" w:color="auto"/>
            </w:tcBorders>
            <w:shd w:val="clear" w:color="auto" w:fill="D9D9D9" w:themeFill="background1" w:themeFillShade="D9"/>
            <w:hideMark/>
          </w:tcPr>
          <w:p w14:paraId="5F5C6043" w14:textId="77777777" w:rsidR="007D4F22" w:rsidRPr="007D4F22" w:rsidRDefault="007D4F22" w:rsidP="007D4F22">
            <w:pPr>
              <w:widowControl w:val="0"/>
              <w:spacing w:before="40" w:after="40"/>
              <w:rPr>
                <w:rFonts w:ascii="Arial Narrow" w:hAnsi="Arial Narrow"/>
                <w:b/>
                <w:bCs/>
                <w:sz w:val="20"/>
              </w:rPr>
            </w:pPr>
            <w:r w:rsidRPr="007D4F22">
              <w:rPr>
                <w:rFonts w:ascii="Arial Narrow" w:hAnsi="Arial Narrow"/>
                <w:b/>
                <w:bCs/>
                <w:sz w:val="20"/>
              </w:rPr>
              <w:t>DC-TVPM</w:t>
            </w:r>
          </w:p>
        </w:tc>
        <w:tc>
          <w:tcPr>
            <w:tcW w:w="549" w:type="pct"/>
            <w:vMerge w:val="restart"/>
            <w:shd w:val="clear" w:color="auto" w:fill="D9D9D9" w:themeFill="background1" w:themeFillShade="D9"/>
          </w:tcPr>
          <w:p w14:paraId="75E5D4A9" w14:textId="77777777" w:rsidR="007D4F22" w:rsidRPr="007D4F22" w:rsidRDefault="007D4F22" w:rsidP="007D4F22">
            <w:pPr>
              <w:widowControl w:val="0"/>
              <w:spacing w:before="40" w:after="40"/>
              <w:rPr>
                <w:rFonts w:ascii="Arial Narrow" w:hAnsi="Arial Narrow"/>
                <w:b/>
                <w:bCs/>
                <w:sz w:val="20"/>
              </w:rPr>
            </w:pPr>
            <w:r w:rsidRPr="007D4F22">
              <w:rPr>
                <w:rFonts w:ascii="Arial Narrow" w:hAnsi="Arial Narrow"/>
                <w:b/>
                <w:bCs/>
                <w:sz w:val="20"/>
              </w:rPr>
              <w:t>RR [95% CI]</w:t>
            </w:r>
          </w:p>
        </w:tc>
        <w:tc>
          <w:tcPr>
            <w:tcW w:w="569" w:type="pct"/>
            <w:vMerge w:val="restart"/>
            <w:shd w:val="clear" w:color="auto" w:fill="D9D9D9" w:themeFill="background1" w:themeFillShade="D9"/>
          </w:tcPr>
          <w:p w14:paraId="0D1C4DEF" w14:textId="77777777" w:rsidR="007D4F22" w:rsidRPr="007D4F22" w:rsidRDefault="007D4F22" w:rsidP="007D4F22">
            <w:pPr>
              <w:widowControl w:val="0"/>
              <w:spacing w:before="40" w:after="40"/>
              <w:rPr>
                <w:rFonts w:ascii="Arial Narrow" w:hAnsi="Arial Narrow"/>
                <w:b/>
                <w:bCs/>
                <w:sz w:val="20"/>
              </w:rPr>
            </w:pPr>
            <w:r w:rsidRPr="007D4F22">
              <w:rPr>
                <w:rFonts w:ascii="Arial Narrow" w:hAnsi="Arial Narrow"/>
                <w:b/>
                <w:bCs/>
                <w:sz w:val="20"/>
              </w:rPr>
              <w:t>RD [95% CI]</w:t>
            </w:r>
          </w:p>
        </w:tc>
        <w:tc>
          <w:tcPr>
            <w:tcW w:w="305" w:type="pct"/>
            <w:vMerge w:val="restart"/>
            <w:shd w:val="clear" w:color="auto" w:fill="D9D9D9" w:themeFill="background1" w:themeFillShade="D9"/>
          </w:tcPr>
          <w:p w14:paraId="11E68B17" w14:textId="4B998230" w:rsidR="007D4F22" w:rsidRPr="007D4F22" w:rsidRDefault="007D4F22" w:rsidP="007D4F22">
            <w:pPr>
              <w:widowControl w:val="0"/>
              <w:spacing w:before="40" w:after="40"/>
              <w:rPr>
                <w:rFonts w:ascii="Arial Narrow" w:hAnsi="Arial Narrow"/>
                <w:b/>
                <w:bCs/>
                <w:sz w:val="20"/>
              </w:rPr>
            </w:pPr>
            <w:r w:rsidRPr="007D4F22">
              <w:rPr>
                <w:rFonts w:ascii="Arial Narrow" w:hAnsi="Arial Narrow"/>
                <w:b/>
                <w:bCs/>
                <w:sz w:val="20"/>
              </w:rPr>
              <w:t>P</w:t>
            </w:r>
            <w:r w:rsidR="00B21915">
              <w:rPr>
                <w:rFonts w:ascii="Arial Narrow" w:hAnsi="Arial Narrow"/>
                <w:b/>
                <w:bCs/>
                <w:sz w:val="20"/>
              </w:rPr>
              <w:t xml:space="preserve"> v</w:t>
            </w:r>
            <w:r w:rsidRPr="007D4F22">
              <w:rPr>
                <w:rFonts w:ascii="Arial Narrow" w:hAnsi="Arial Narrow"/>
                <w:b/>
                <w:bCs/>
                <w:sz w:val="20"/>
              </w:rPr>
              <w:t>alue</w:t>
            </w:r>
          </w:p>
        </w:tc>
        <w:tc>
          <w:tcPr>
            <w:tcW w:w="355" w:type="pct"/>
            <w:tcBorders>
              <w:bottom w:val="single" w:sz="4" w:space="0" w:color="auto"/>
            </w:tcBorders>
            <w:shd w:val="clear" w:color="auto" w:fill="D9D9D9" w:themeFill="background1" w:themeFillShade="D9"/>
            <w:hideMark/>
          </w:tcPr>
          <w:p w14:paraId="5472ACD9" w14:textId="77777777" w:rsidR="007D4F22" w:rsidRPr="007D4F22" w:rsidRDefault="007D4F22" w:rsidP="007D4F22">
            <w:pPr>
              <w:widowControl w:val="0"/>
              <w:spacing w:before="40" w:after="40"/>
              <w:rPr>
                <w:rFonts w:ascii="Arial Narrow" w:hAnsi="Arial Narrow"/>
                <w:b/>
                <w:bCs/>
                <w:sz w:val="20"/>
              </w:rPr>
            </w:pPr>
            <w:r w:rsidRPr="007D4F22">
              <w:rPr>
                <w:rFonts w:ascii="Arial Narrow" w:hAnsi="Arial Narrow"/>
                <w:b/>
                <w:bCs/>
                <w:sz w:val="20"/>
                <w:lang w:val="sv-SE"/>
              </w:rPr>
              <w:t>Micra AV</w:t>
            </w:r>
          </w:p>
        </w:tc>
        <w:tc>
          <w:tcPr>
            <w:tcW w:w="407" w:type="pct"/>
            <w:tcBorders>
              <w:bottom w:val="single" w:sz="4" w:space="0" w:color="auto"/>
            </w:tcBorders>
            <w:shd w:val="clear" w:color="auto" w:fill="D9D9D9" w:themeFill="background1" w:themeFillShade="D9"/>
            <w:hideMark/>
          </w:tcPr>
          <w:p w14:paraId="4E5DE336" w14:textId="77777777" w:rsidR="007D4F22" w:rsidRPr="007D4F22" w:rsidRDefault="007D4F22" w:rsidP="007D4F22">
            <w:pPr>
              <w:widowControl w:val="0"/>
              <w:spacing w:before="40" w:after="40"/>
              <w:rPr>
                <w:rFonts w:ascii="Arial Narrow" w:hAnsi="Arial Narrow"/>
                <w:b/>
                <w:bCs/>
                <w:sz w:val="20"/>
              </w:rPr>
            </w:pPr>
            <w:r w:rsidRPr="007D4F22">
              <w:rPr>
                <w:rFonts w:ascii="Arial Narrow" w:hAnsi="Arial Narrow"/>
                <w:b/>
                <w:bCs/>
                <w:sz w:val="20"/>
              </w:rPr>
              <w:t>DC-TVPM</w:t>
            </w:r>
          </w:p>
        </w:tc>
        <w:tc>
          <w:tcPr>
            <w:tcW w:w="533" w:type="pct"/>
            <w:vMerge w:val="restart"/>
            <w:shd w:val="clear" w:color="auto" w:fill="D9D9D9" w:themeFill="background1" w:themeFillShade="D9"/>
          </w:tcPr>
          <w:p w14:paraId="02E27B6B" w14:textId="77777777" w:rsidR="007D4F22" w:rsidRPr="007D4F22" w:rsidRDefault="007D4F22" w:rsidP="007D4F22">
            <w:pPr>
              <w:widowControl w:val="0"/>
              <w:spacing w:before="40" w:after="40"/>
              <w:rPr>
                <w:rFonts w:ascii="Arial Narrow" w:hAnsi="Arial Narrow"/>
                <w:b/>
                <w:bCs/>
                <w:sz w:val="20"/>
              </w:rPr>
            </w:pPr>
            <w:r w:rsidRPr="007D4F22">
              <w:rPr>
                <w:rFonts w:ascii="Arial Narrow" w:hAnsi="Arial Narrow"/>
                <w:b/>
                <w:bCs/>
                <w:sz w:val="20"/>
              </w:rPr>
              <w:t>RR [95% CI]</w:t>
            </w:r>
          </w:p>
        </w:tc>
        <w:tc>
          <w:tcPr>
            <w:tcW w:w="533" w:type="pct"/>
            <w:vMerge w:val="restart"/>
            <w:shd w:val="clear" w:color="auto" w:fill="D9D9D9" w:themeFill="background1" w:themeFillShade="D9"/>
          </w:tcPr>
          <w:p w14:paraId="45A56175" w14:textId="77777777" w:rsidR="007D4F22" w:rsidRPr="007D4F22" w:rsidRDefault="007D4F22" w:rsidP="007D4F22">
            <w:pPr>
              <w:widowControl w:val="0"/>
              <w:spacing w:before="40" w:after="40"/>
              <w:rPr>
                <w:rFonts w:ascii="Arial Narrow" w:hAnsi="Arial Narrow"/>
                <w:b/>
                <w:bCs/>
                <w:sz w:val="20"/>
              </w:rPr>
            </w:pPr>
            <w:r w:rsidRPr="007D4F22">
              <w:rPr>
                <w:rFonts w:ascii="Arial Narrow" w:hAnsi="Arial Narrow"/>
                <w:b/>
                <w:bCs/>
                <w:sz w:val="20"/>
              </w:rPr>
              <w:t>RD [95% CI]</w:t>
            </w:r>
          </w:p>
        </w:tc>
        <w:tc>
          <w:tcPr>
            <w:tcW w:w="328" w:type="pct"/>
            <w:vMerge w:val="restart"/>
            <w:shd w:val="clear" w:color="auto" w:fill="D9D9D9" w:themeFill="background1" w:themeFillShade="D9"/>
          </w:tcPr>
          <w:p w14:paraId="74989813" w14:textId="5B244F77" w:rsidR="007D4F22" w:rsidRPr="007D4F22" w:rsidRDefault="007D4F22" w:rsidP="007D4F22">
            <w:pPr>
              <w:widowControl w:val="0"/>
              <w:spacing w:before="40" w:after="40"/>
              <w:rPr>
                <w:rFonts w:ascii="Arial Narrow" w:hAnsi="Arial Narrow"/>
                <w:b/>
                <w:bCs/>
                <w:sz w:val="20"/>
              </w:rPr>
            </w:pPr>
            <w:r w:rsidRPr="007D4F22">
              <w:rPr>
                <w:rFonts w:ascii="Arial Narrow" w:hAnsi="Arial Narrow"/>
                <w:b/>
                <w:bCs/>
                <w:sz w:val="20"/>
              </w:rPr>
              <w:t>P</w:t>
            </w:r>
            <w:r w:rsidR="00D66808">
              <w:rPr>
                <w:rFonts w:ascii="Arial Narrow" w:hAnsi="Arial Narrow"/>
                <w:b/>
                <w:bCs/>
                <w:sz w:val="20"/>
              </w:rPr>
              <w:t xml:space="preserve"> v</w:t>
            </w:r>
            <w:r w:rsidRPr="007D4F22">
              <w:rPr>
                <w:rFonts w:ascii="Arial Narrow" w:hAnsi="Arial Narrow"/>
                <w:b/>
                <w:bCs/>
                <w:sz w:val="20"/>
              </w:rPr>
              <w:t>alue</w:t>
            </w:r>
          </w:p>
        </w:tc>
      </w:tr>
      <w:tr w:rsidR="007D4F22" w:rsidRPr="007D4F22" w14:paraId="4D2EF405" w14:textId="77777777" w:rsidTr="4C0A0968">
        <w:trPr>
          <w:trHeight w:val="20"/>
        </w:trPr>
        <w:tc>
          <w:tcPr>
            <w:tcW w:w="685" w:type="pct"/>
            <w:tcBorders>
              <w:bottom w:val="single" w:sz="4" w:space="0" w:color="auto"/>
            </w:tcBorders>
            <w:shd w:val="clear" w:color="auto" w:fill="D9D9D9" w:themeFill="background1" w:themeFillShade="D9"/>
          </w:tcPr>
          <w:p w14:paraId="64B9F9DE" w14:textId="77777777" w:rsidR="007D4F22" w:rsidRPr="007D4F22" w:rsidRDefault="007D4F22" w:rsidP="007D4F22">
            <w:pPr>
              <w:widowControl w:val="0"/>
              <w:spacing w:before="40" w:after="40"/>
              <w:rPr>
                <w:rFonts w:ascii="Arial Narrow" w:hAnsi="Arial Narrow"/>
                <w:b/>
                <w:bCs/>
                <w:sz w:val="20"/>
              </w:rPr>
            </w:pPr>
            <w:r w:rsidRPr="007D4F22">
              <w:rPr>
                <w:rFonts w:ascii="Arial Narrow" w:hAnsi="Arial Narrow"/>
                <w:b/>
                <w:bCs/>
                <w:sz w:val="20"/>
              </w:rPr>
              <w:t>N</w:t>
            </w:r>
          </w:p>
        </w:tc>
        <w:tc>
          <w:tcPr>
            <w:tcW w:w="380" w:type="pct"/>
            <w:tcBorders>
              <w:bottom w:val="single" w:sz="4" w:space="0" w:color="auto"/>
            </w:tcBorders>
            <w:shd w:val="clear" w:color="auto" w:fill="D9D9D9" w:themeFill="background1" w:themeFillShade="D9"/>
          </w:tcPr>
          <w:p w14:paraId="4DB3B115" w14:textId="77777777" w:rsidR="007D4F22" w:rsidRPr="007D4F22" w:rsidRDefault="007D4F22" w:rsidP="007D4F22">
            <w:pPr>
              <w:widowControl w:val="0"/>
              <w:spacing w:before="40" w:after="40"/>
              <w:rPr>
                <w:rFonts w:ascii="Arial Narrow" w:hAnsi="Arial Narrow"/>
                <w:b/>
                <w:bCs/>
                <w:sz w:val="20"/>
              </w:rPr>
            </w:pPr>
            <w:r w:rsidRPr="007D4F22">
              <w:rPr>
                <w:rFonts w:ascii="Arial Narrow" w:hAnsi="Arial Narrow"/>
                <w:b/>
                <w:bCs/>
                <w:sz w:val="20"/>
              </w:rPr>
              <w:t>3,902</w:t>
            </w:r>
          </w:p>
        </w:tc>
        <w:tc>
          <w:tcPr>
            <w:tcW w:w="356" w:type="pct"/>
            <w:tcBorders>
              <w:bottom w:val="single" w:sz="4" w:space="0" w:color="auto"/>
            </w:tcBorders>
            <w:shd w:val="clear" w:color="auto" w:fill="D9D9D9" w:themeFill="background1" w:themeFillShade="D9"/>
          </w:tcPr>
          <w:p w14:paraId="019D6101" w14:textId="77777777" w:rsidR="007D4F22" w:rsidRPr="007D4F22" w:rsidRDefault="007D4F22" w:rsidP="007D4F22">
            <w:pPr>
              <w:widowControl w:val="0"/>
              <w:spacing w:before="40" w:after="40"/>
              <w:rPr>
                <w:rFonts w:ascii="Arial Narrow" w:hAnsi="Arial Narrow"/>
                <w:b/>
                <w:bCs/>
                <w:sz w:val="20"/>
              </w:rPr>
            </w:pPr>
            <w:r w:rsidRPr="007D4F22">
              <w:rPr>
                <w:rFonts w:ascii="Arial Narrow" w:hAnsi="Arial Narrow"/>
                <w:b/>
                <w:bCs/>
                <w:sz w:val="20"/>
              </w:rPr>
              <w:t>38,077</w:t>
            </w:r>
          </w:p>
        </w:tc>
        <w:tc>
          <w:tcPr>
            <w:tcW w:w="549" w:type="pct"/>
            <w:vMerge/>
          </w:tcPr>
          <w:p w14:paraId="0D9F05D5" w14:textId="77777777" w:rsidR="007D4F22" w:rsidRPr="007D4F22" w:rsidRDefault="007D4F22" w:rsidP="007D4F22">
            <w:pPr>
              <w:widowControl w:val="0"/>
              <w:spacing w:before="40" w:after="40"/>
              <w:rPr>
                <w:rFonts w:ascii="Arial Narrow" w:hAnsi="Arial Narrow"/>
                <w:b/>
                <w:bCs/>
                <w:sz w:val="20"/>
              </w:rPr>
            </w:pPr>
          </w:p>
        </w:tc>
        <w:tc>
          <w:tcPr>
            <w:tcW w:w="569" w:type="pct"/>
            <w:vMerge/>
          </w:tcPr>
          <w:p w14:paraId="28AF8523" w14:textId="77777777" w:rsidR="007D4F22" w:rsidRPr="007D4F22" w:rsidRDefault="007D4F22" w:rsidP="007D4F22">
            <w:pPr>
              <w:widowControl w:val="0"/>
              <w:spacing w:before="40" w:after="40"/>
              <w:rPr>
                <w:rFonts w:ascii="Arial Narrow" w:hAnsi="Arial Narrow"/>
                <w:b/>
                <w:bCs/>
                <w:sz w:val="20"/>
              </w:rPr>
            </w:pPr>
          </w:p>
        </w:tc>
        <w:tc>
          <w:tcPr>
            <w:tcW w:w="305" w:type="pct"/>
            <w:vMerge/>
          </w:tcPr>
          <w:p w14:paraId="70935D00" w14:textId="77777777" w:rsidR="007D4F22" w:rsidRPr="007D4F22" w:rsidRDefault="007D4F22" w:rsidP="007D4F22">
            <w:pPr>
              <w:widowControl w:val="0"/>
              <w:spacing w:before="40" w:after="40"/>
              <w:rPr>
                <w:rFonts w:ascii="Arial Narrow" w:hAnsi="Arial Narrow"/>
                <w:b/>
                <w:bCs/>
                <w:sz w:val="20"/>
              </w:rPr>
            </w:pPr>
          </w:p>
        </w:tc>
        <w:tc>
          <w:tcPr>
            <w:tcW w:w="355" w:type="pct"/>
            <w:tcBorders>
              <w:bottom w:val="single" w:sz="4" w:space="0" w:color="auto"/>
            </w:tcBorders>
            <w:shd w:val="clear" w:color="auto" w:fill="D9D9D9" w:themeFill="background1" w:themeFillShade="D9"/>
          </w:tcPr>
          <w:p w14:paraId="6063C3EB" w14:textId="77777777" w:rsidR="007D4F22" w:rsidRPr="007D4F22" w:rsidRDefault="007D4F22" w:rsidP="007D4F22">
            <w:pPr>
              <w:widowControl w:val="0"/>
              <w:spacing w:before="40" w:after="40"/>
              <w:rPr>
                <w:rFonts w:ascii="Arial Narrow" w:hAnsi="Arial Narrow"/>
                <w:b/>
                <w:bCs/>
                <w:sz w:val="20"/>
              </w:rPr>
            </w:pPr>
            <w:r w:rsidRPr="007D4F22">
              <w:rPr>
                <w:rFonts w:ascii="Arial Narrow" w:hAnsi="Arial Narrow"/>
                <w:b/>
                <w:bCs/>
                <w:sz w:val="20"/>
              </w:rPr>
              <w:t>3,902</w:t>
            </w:r>
          </w:p>
        </w:tc>
        <w:tc>
          <w:tcPr>
            <w:tcW w:w="407" w:type="pct"/>
            <w:tcBorders>
              <w:bottom w:val="single" w:sz="4" w:space="0" w:color="auto"/>
            </w:tcBorders>
            <w:shd w:val="clear" w:color="auto" w:fill="D9D9D9" w:themeFill="background1" w:themeFillShade="D9"/>
          </w:tcPr>
          <w:p w14:paraId="6E5FFACA" w14:textId="77777777" w:rsidR="007D4F22" w:rsidRPr="007D4F22" w:rsidRDefault="007D4F22" w:rsidP="007D4F22">
            <w:pPr>
              <w:widowControl w:val="0"/>
              <w:spacing w:before="40" w:after="40"/>
              <w:rPr>
                <w:rFonts w:ascii="Arial Narrow" w:hAnsi="Arial Narrow"/>
                <w:b/>
                <w:bCs/>
                <w:sz w:val="20"/>
              </w:rPr>
            </w:pPr>
            <w:r w:rsidRPr="007D4F22">
              <w:rPr>
                <w:rFonts w:ascii="Arial Narrow" w:hAnsi="Arial Narrow"/>
                <w:b/>
                <w:bCs/>
                <w:sz w:val="20"/>
              </w:rPr>
              <w:t>38,077</w:t>
            </w:r>
          </w:p>
        </w:tc>
        <w:tc>
          <w:tcPr>
            <w:tcW w:w="533" w:type="pct"/>
            <w:vMerge/>
          </w:tcPr>
          <w:p w14:paraId="73251137" w14:textId="77777777" w:rsidR="007D4F22" w:rsidRPr="007D4F22" w:rsidRDefault="007D4F22" w:rsidP="007D4F22">
            <w:pPr>
              <w:widowControl w:val="0"/>
              <w:spacing w:before="40" w:after="40"/>
              <w:rPr>
                <w:rFonts w:ascii="Arial Narrow" w:hAnsi="Arial Narrow"/>
                <w:b/>
                <w:bCs/>
                <w:sz w:val="20"/>
              </w:rPr>
            </w:pPr>
          </w:p>
        </w:tc>
        <w:tc>
          <w:tcPr>
            <w:tcW w:w="533" w:type="pct"/>
            <w:vMerge/>
          </w:tcPr>
          <w:p w14:paraId="7012524E" w14:textId="77777777" w:rsidR="007D4F22" w:rsidRPr="007D4F22" w:rsidRDefault="007D4F22" w:rsidP="007D4F22">
            <w:pPr>
              <w:widowControl w:val="0"/>
              <w:spacing w:before="40" w:after="40"/>
              <w:rPr>
                <w:rFonts w:ascii="Arial Narrow" w:hAnsi="Arial Narrow"/>
                <w:b/>
                <w:bCs/>
                <w:sz w:val="20"/>
              </w:rPr>
            </w:pPr>
          </w:p>
        </w:tc>
        <w:tc>
          <w:tcPr>
            <w:tcW w:w="328" w:type="pct"/>
            <w:vMerge/>
          </w:tcPr>
          <w:p w14:paraId="09EC66C3" w14:textId="77777777" w:rsidR="007D4F22" w:rsidRPr="007D4F22" w:rsidRDefault="007D4F22" w:rsidP="007D4F22">
            <w:pPr>
              <w:widowControl w:val="0"/>
              <w:spacing w:before="40" w:after="40"/>
              <w:rPr>
                <w:rFonts w:ascii="Arial Narrow" w:hAnsi="Arial Narrow"/>
                <w:b/>
                <w:bCs/>
                <w:sz w:val="20"/>
              </w:rPr>
            </w:pPr>
          </w:p>
        </w:tc>
      </w:tr>
      <w:tr w:rsidR="007D4F22" w:rsidRPr="007D4F22" w14:paraId="334A5D65" w14:textId="77777777" w:rsidTr="4C0A0968">
        <w:trPr>
          <w:trHeight w:val="20"/>
        </w:trPr>
        <w:tc>
          <w:tcPr>
            <w:tcW w:w="685" w:type="pct"/>
            <w:tcBorders>
              <w:bottom w:val="single" w:sz="4" w:space="0" w:color="auto"/>
            </w:tcBorders>
          </w:tcPr>
          <w:p w14:paraId="1D5451F7" w14:textId="6FC7F331" w:rsidR="007D4F22" w:rsidRPr="007D4F22" w:rsidRDefault="007D4F22" w:rsidP="007D4F22">
            <w:pPr>
              <w:widowControl w:val="0"/>
              <w:spacing w:before="40" w:after="40"/>
              <w:rPr>
                <w:rFonts w:ascii="Arial Narrow" w:hAnsi="Arial Narrow"/>
                <w:sz w:val="20"/>
              </w:rPr>
            </w:pPr>
            <w:r w:rsidRPr="007D4F22">
              <w:rPr>
                <w:rFonts w:ascii="Arial Narrow" w:hAnsi="Arial Narrow"/>
                <w:b/>
                <w:bCs/>
                <w:sz w:val="20"/>
              </w:rPr>
              <w:t>Overall (any) complications, n (%)</w:t>
            </w:r>
            <w:r w:rsidR="00C66E29">
              <w:rPr>
                <w:rFonts w:ascii="Arial Narrow" w:hAnsi="Arial Narrow"/>
                <w:b/>
                <w:bCs/>
                <w:sz w:val="20"/>
              </w:rPr>
              <w:t xml:space="preserve"> </w:t>
            </w:r>
            <w:r w:rsidR="00C66E29" w:rsidRPr="009C553D">
              <w:rPr>
                <w:rFonts w:ascii="Arial Narrow" w:hAnsi="Arial Narrow"/>
                <w:b/>
                <w:sz w:val="20"/>
                <w:vertAlign w:val="superscript"/>
              </w:rPr>
              <w:t xml:space="preserve">b </w:t>
            </w:r>
          </w:p>
        </w:tc>
        <w:tc>
          <w:tcPr>
            <w:tcW w:w="380" w:type="pct"/>
            <w:tcBorders>
              <w:bottom w:val="single" w:sz="4" w:space="0" w:color="auto"/>
            </w:tcBorders>
          </w:tcPr>
          <w:p w14:paraId="46D924A8"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354 (9.1)</w:t>
            </w:r>
          </w:p>
        </w:tc>
        <w:tc>
          <w:tcPr>
            <w:tcW w:w="356" w:type="pct"/>
            <w:tcBorders>
              <w:bottom w:val="single" w:sz="4" w:space="0" w:color="auto"/>
            </w:tcBorders>
          </w:tcPr>
          <w:p w14:paraId="13601627"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3561 (9.4)</w:t>
            </w:r>
          </w:p>
        </w:tc>
        <w:tc>
          <w:tcPr>
            <w:tcW w:w="549" w:type="pct"/>
            <w:tcBorders>
              <w:bottom w:val="single" w:sz="4" w:space="0" w:color="auto"/>
            </w:tcBorders>
          </w:tcPr>
          <w:p w14:paraId="683E96D4"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0.97 [0.87, 1.08]</w:t>
            </w:r>
          </w:p>
        </w:tc>
        <w:tc>
          <w:tcPr>
            <w:tcW w:w="569" w:type="pct"/>
            <w:tcBorders>
              <w:bottom w:val="single" w:sz="4" w:space="0" w:color="auto"/>
            </w:tcBorders>
          </w:tcPr>
          <w:p w14:paraId="442D39DA" w14:textId="42C49C6B" w:rsidR="007D4F22" w:rsidRPr="007D4F22" w:rsidRDefault="00F61DF4" w:rsidP="007D4F22">
            <w:pPr>
              <w:widowControl w:val="0"/>
              <w:spacing w:before="40" w:after="40"/>
              <w:rPr>
                <w:rFonts w:ascii="Arial Narrow" w:hAnsi="Arial Narrow"/>
                <w:sz w:val="20"/>
              </w:rPr>
            </w:pPr>
            <w:r w:rsidRPr="00F61DF4">
              <w:rPr>
                <w:rFonts w:ascii="Arial Narrow" w:hAnsi="Arial Narrow"/>
                <w:sz w:val="20"/>
                <w:lang w:val="en"/>
              </w:rPr>
              <w:t>−</w:t>
            </w:r>
            <w:r w:rsidR="007D4F22" w:rsidRPr="007D4F22">
              <w:rPr>
                <w:rFonts w:ascii="Arial Narrow" w:hAnsi="Arial Narrow"/>
                <w:sz w:val="20"/>
              </w:rPr>
              <w:t>0.00 [</w:t>
            </w:r>
            <w:r w:rsidRPr="00F61DF4">
              <w:rPr>
                <w:rFonts w:ascii="Arial Narrow" w:hAnsi="Arial Narrow"/>
                <w:sz w:val="20"/>
                <w:lang w:val="en"/>
              </w:rPr>
              <w:t>−</w:t>
            </w:r>
            <w:r w:rsidR="007D4F22" w:rsidRPr="007D4F22">
              <w:rPr>
                <w:rFonts w:ascii="Arial Narrow" w:hAnsi="Arial Narrow"/>
                <w:sz w:val="20"/>
              </w:rPr>
              <w:t>0.01, 0.01]</w:t>
            </w:r>
          </w:p>
        </w:tc>
        <w:tc>
          <w:tcPr>
            <w:tcW w:w="305" w:type="pct"/>
            <w:tcBorders>
              <w:bottom w:val="single" w:sz="4" w:space="0" w:color="auto"/>
            </w:tcBorders>
          </w:tcPr>
          <w:p w14:paraId="16113D2F"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0.6598</w:t>
            </w:r>
          </w:p>
        </w:tc>
        <w:tc>
          <w:tcPr>
            <w:tcW w:w="355" w:type="pct"/>
            <w:tcBorders>
              <w:bottom w:val="single" w:sz="4" w:space="0" w:color="auto"/>
            </w:tcBorders>
          </w:tcPr>
          <w:p w14:paraId="2E64F783"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339 (8.7)</w:t>
            </w:r>
          </w:p>
        </w:tc>
        <w:tc>
          <w:tcPr>
            <w:tcW w:w="407" w:type="pct"/>
            <w:tcBorders>
              <w:bottom w:val="single" w:sz="4" w:space="0" w:color="auto"/>
            </w:tcBorders>
          </w:tcPr>
          <w:p w14:paraId="72782258"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3978 (10.4)</w:t>
            </w:r>
          </w:p>
        </w:tc>
        <w:tc>
          <w:tcPr>
            <w:tcW w:w="533" w:type="pct"/>
            <w:tcBorders>
              <w:bottom w:val="single" w:sz="4" w:space="0" w:color="auto"/>
            </w:tcBorders>
          </w:tcPr>
          <w:p w14:paraId="05CA8E4C"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0.83 [0.75, 0.92]</w:t>
            </w:r>
          </w:p>
        </w:tc>
        <w:tc>
          <w:tcPr>
            <w:tcW w:w="533" w:type="pct"/>
            <w:tcBorders>
              <w:bottom w:val="single" w:sz="4" w:space="0" w:color="auto"/>
            </w:tcBorders>
          </w:tcPr>
          <w:p w14:paraId="46C1A4B1" w14:textId="6FE01D86" w:rsidR="007D4F22" w:rsidRPr="007D4F22" w:rsidRDefault="00203454" w:rsidP="007D4F22">
            <w:pPr>
              <w:widowControl w:val="0"/>
              <w:spacing w:before="40" w:after="40"/>
              <w:rPr>
                <w:rFonts w:ascii="Arial Narrow" w:hAnsi="Arial Narrow"/>
                <w:sz w:val="20"/>
              </w:rPr>
            </w:pPr>
            <w:r w:rsidRPr="00203454">
              <w:rPr>
                <w:rFonts w:ascii="Arial Narrow" w:hAnsi="Arial Narrow"/>
                <w:sz w:val="20"/>
                <w:lang w:val="en"/>
              </w:rPr>
              <w:t>−</w:t>
            </w:r>
            <w:r w:rsidR="007D4F22" w:rsidRPr="007D4F22">
              <w:rPr>
                <w:rFonts w:ascii="Arial Narrow" w:hAnsi="Arial Narrow"/>
                <w:sz w:val="20"/>
              </w:rPr>
              <w:t>0.02 [</w:t>
            </w:r>
            <w:r w:rsidRPr="00203454">
              <w:rPr>
                <w:rFonts w:ascii="Arial Narrow" w:hAnsi="Arial Narrow"/>
                <w:sz w:val="20"/>
                <w:lang w:val="en"/>
              </w:rPr>
              <w:t>−</w:t>
            </w:r>
            <w:r w:rsidR="007D4F22" w:rsidRPr="007D4F22">
              <w:rPr>
                <w:rFonts w:ascii="Arial Narrow" w:hAnsi="Arial Narrow"/>
                <w:sz w:val="20"/>
              </w:rPr>
              <w:t xml:space="preserve">0.03, </w:t>
            </w:r>
            <w:r w:rsidRPr="00203454">
              <w:rPr>
                <w:rFonts w:ascii="Arial Narrow" w:hAnsi="Arial Narrow"/>
                <w:sz w:val="20"/>
                <w:lang w:val="en"/>
              </w:rPr>
              <w:t>−</w:t>
            </w:r>
            <w:r w:rsidR="007D4F22" w:rsidRPr="007D4F22">
              <w:rPr>
                <w:rFonts w:ascii="Arial Narrow" w:hAnsi="Arial Narrow"/>
                <w:sz w:val="20"/>
              </w:rPr>
              <w:t>0.01]</w:t>
            </w:r>
          </w:p>
        </w:tc>
        <w:tc>
          <w:tcPr>
            <w:tcW w:w="328" w:type="pct"/>
            <w:shd w:val="clear" w:color="auto" w:fill="FFFFFF" w:themeFill="background1"/>
          </w:tcPr>
          <w:p w14:paraId="0DD80527" w14:textId="77777777" w:rsidR="007D4F22" w:rsidRPr="007D4F22" w:rsidRDefault="007D4F22" w:rsidP="007D4F22">
            <w:pPr>
              <w:widowControl w:val="0"/>
              <w:spacing w:before="40" w:after="40"/>
              <w:rPr>
                <w:rFonts w:ascii="Arial Narrow" w:hAnsi="Arial Narrow"/>
                <w:b/>
                <w:bCs/>
                <w:sz w:val="20"/>
              </w:rPr>
            </w:pPr>
            <w:r w:rsidRPr="007D4F22">
              <w:rPr>
                <w:rFonts w:ascii="Arial Narrow" w:hAnsi="Arial Narrow"/>
                <w:b/>
                <w:bCs/>
                <w:sz w:val="20"/>
              </w:rPr>
              <w:t>0.0009</w:t>
            </w:r>
          </w:p>
        </w:tc>
      </w:tr>
      <w:tr w:rsidR="007D4F22" w:rsidRPr="007D4F22" w14:paraId="6E099C8B" w14:textId="77777777" w:rsidTr="4C0A0968">
        <w:trPr>
          <w:trHeight w:val="20"/>
        </w:trPr>
        <w:tc>
          <w:tcPr>
            <w:tcW w:w="685" w:type="pct"/>
            <w:tcBorders>
              <w:bottom w:val="single" w:sz="4" w:space="0" w:color="auto"/>
            </w:tcBorders>
          </w:tcPr>
          <w:p w14:paraId="46EDB652" w14:textId="1B0974E1"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 xml:space="preserve">Embolism and </w:t>
            </w:r>
            <w:r w:rsidR="000B364E">
              <w:rPr>
                <w:rFonts w:ascii="Arial Narrow" w:hAnsi="Arial Narrow"/>
                <w:sz w:val="20"/>
              </w:rPr>
              <w:t>t</w:t>
            </w:r>
            <w:r w:rsidRPr="007D4F22">
              <w:rPr>
                <w:rFonts w:ascii="Arial Narrow" w:hAnsi="Arial Narrow"/>
                <w:sz w:val="20"/>
              </w:rPr>
              <w:t>hrombosis</w:t>
            </w:r>
          </w:p>
        </w:tc>
        <w:tc>
          <w:tcPr>
            <w:tcW w:w="380" w:type="pct"/>
            <w:tcBorders>
              <w:bottom w:val="single" w:sz="4" w:space="0" w:color="auto"/>
            </w:tcBorders>
          </w:tcPr>
          <w:p w14:paraId="28783E55"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175 (4.5)</w:t>
            </w:r>
          </w:p>
        </w:tc>
        <w:tc>
          <w:tcPr>
            <w:tcW w:w="356" w:type="pct"/>
            <w:tcBorders>
              <w:bottom w:val="single" w:sz="4" w:space="0" w:color="auto"/>
            </w:tcBorders>
          </w:tcPr>
          <w:p w14:paraId="27FC14DA"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1176 (3.1)</w:t>
            </w:r>
          </w:p>
        </w:tc>
        <w:tc>
          <w:tcPr>
            <w:tcW w:w="549" w:type="pct"/>
            <w:tcBorders>
              <w:bottom w:val="single" w:sz="4" w:space="0" w:color="auto"/>
            </w:tcBorders>
          </w:tcPr>
          <w:p w14:paraId="0CB8BE19"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1.45 [1.24, 1.70]</w:t>
            </w:r>
          </w:p>
        </w:tc>
        <w:tc>
          <w:tcPr>
            <w:tcW w:w="569" w:type="pct"/>
            <w:tcBorders>
              <w:bottom w:val="single" w:sz="4" w:space="0" w:color="auto"/>
            </w:tcBorders>
          </w:tcPr>
          <w:p w14:paraId="266182D3"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0.01 [0.01, 0.02]</w:t>
            </w:r>
          </w:p>
        </w:tc>
        <w:tc>
          <w:tcPr>
            <w:tcW w:w="305" w:type="pct"/>
            <w:tcBorders>
              <w:bottom w:val="single" w:sz="4" w:space="0" w:color="auto"/>
            </w:tcBorders>
            <w:shd w:val="clear" w:color="auto" w:fill="FFFFFF" w:themeFill="background1"/>
          </w:tcPr>
          <w:p w14:paraId="05E4A5E8" w14:textId="77777777" w:rsidR="007D4F22" w:rsidRPr="007D4F22" w:rsidRDefault="007D4F22" w:rsidP="007D4F22">
            <w:pPr>
              <w:widowControl w:val="0"/>
              <w:spacing w:before="40" w:after="40"/>
              <w:rPr>
                <w:rFonts w:ascii="Arial Narrow" w:hAnsi="Arial Narrow"/>
                <w:b/>
                <w:bCs/>
                <w:sz w:val="20"/>
              </w:rPr>
            </w:pPr>
            <w:r w:rsidRPr="007D4F22">
              <w:rPr>
                <w:rFonts w:ascii="Arial Narrow" w:hAnsi="Arial Narrow"/>
                <w:b/>
                <w:bCs/>
                <w:sz w:val="20"/>
              </w:rPr>
              <w:t>&lt;0.0001</w:t>
            </w:r>
          </w:p>
        </w:tc>
        <w:tc>
          <w:tcPr>
            <w:tcW w:w="355" w:type="pct"/>
            <w:tcBorders>
              <w:bottom w:val="single" w:sz="4" w:space="0" w:color="auto"/>
            </w:tcBorders>
          </w:tcPr>
          <w:p w14:paraId="2FBD732C"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167 (4.3)</w:t>
            </w:r>
          </w:p>
        </w:tc>
        <w:tc>
          <w:tcPr>
            <w:tcW w:w="407" w:type="pct"/>
            <w:tcBorders>
              <w:bottom w:val="single" w:sz="4" w:space="0" w:color="auto"/>
            </w:tcBorders>
          </w:tcPr>
          <w:p w14:paraId="11F83A2D"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1384 (3.6)</w:t>
            </w:r>
          </w:p>
        </w:tc>
        <w:tc>
          <w:tcPr>
            <w:tcW w:w="533" w:type="pct"/>
            <w:tcBorders>
              <w:bottom w:val="single" w:sz="4" w:space="0" w:color="auto"/>
            </w:tcBorders>
          </w:tcPr>
          <w:p w14:paraId="7ADC85FE"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1.18 [1.01, 1.38]</w:t>
            </w:r>
          </w:p>
        </w:tc>
        <w:tc>
          <w:tcPr>
            <w:tcW w:w="533" w:type="pct"/>
            <w:tcBorders>
              <w:bottom w:val="single" w:sz="4" w:space="0" w:color="auto"/>
            </w:tcBorders>
          </w:tcPr>
          <w:p w14:paraId="790D6392" w14:textId="3703D37E"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0.01 [</w:t>
            </w:r>
            <w:r w:rsidR="00203454" w:rsidRPr="00203454">
              <w:rPr>
                <w:rFonts w:ascii="Arial Narrow" w:hAnsi="Arial Narrow"/>
                <w:sz w:val="20"/>
                <w:lang w:val="en"/>
              </w:rPr>
              <w:t>−</w:t>
            </w:r>
            <w:r w:rsidRPr="007D4F22">
              <w:rPr>
                <w:rFonts w:ascii="Arial Narrow" w:hAnsi="Arial Narrow"/>
                <w:sz w:val="20"/>
              </w:rPr>
              <w:t>0.00, 0.01]</w:t>
            </w:r>
          </w:p>
        </w:tc>
        <w:tc>
          <w:tcPr>
            <w:tcW w:w="328" w:type="pct"/>
            <w:shd w:val="clear" w:color="auto" w:fill="FFFFFF" w:themeFill="background1"/>
          </w:tcPr>
          <w:p w14:paraId="11B1D373" w14:textId="77777777" w:rsidR="007D4F22" w:rsidRPr="007D4F22" w:rsidRDefault="007D4F22" w:rsidP="007D4F22">
            <w:pPr>
              <w:widowControl w:val="0"/>
              <w:spacing w:before="40" w:after="40"/>
              <w:rPr>
                <w:rFonts w:ascii="Arial Narrow" w:hAnsi="Arial Narrow"/>
                <w:b/>
                <w:bCs/>
                <w:sz w:val="20"/>
              </w:rPr>
            </w:pPr>
            <w:r w:rsidRPr="007D4F22">
              <w:rPr>
                <w:rFonts w:ascii="Arial Narrow" w:hAnsi="Arial Narrow"/>
                <w:b/>
                <w:bCs/>
                <w:sz w:val="20"/>
              </w:rPr>
              <w:t>0.0492</w:t>
            </w:r>
          </w:p>
        </w:tc>
      </w:tr>
      <w:tr w:rsidR="007D4F22" w:rsidRPr="007D4F22" w14:paraId="43FEDA8A" w14:textId="77777777" w:rsidTr="4C0A0968">
        <w:trPr>
          <w:trHeight w:val="20"/>
        </w:trPr>
        <w:tc>
          <w:tcPr>
            <w:tcW w:w="685" w:type="pct"/>
            <w:tcBorders>
              <w:bottom w:val="single" w:sz="4" w:space="0" w:color="auto"/>
            </w:tcBorders>
          </w:tcPr>
          <w:p w14:paraId="01C7826D" w14:textId="77777777" w:rsidR="007D4F22" w:rsidRPr="007D4F22" w:rsidRDefault="007D4F22" w:rsidP="007D4F22">
            <w:pPr>
              <w:widowControl w:val="0"/>
              <w:spacing w:before="40" w:after="40"/>
              <w:ind w:left="171"/>
              <w:rPr>
                <w:rFonts w:ascii="Arial Narrow" w:hAnsi="Arial Narrow"/>
                <w:sz w:val="20"/>
              </w:rPr>
            </w:pPr>
            <w:r w:rsidRPr="007D4F22">
              <w:rPr>
                <w:rFonts w:ascii="Arial Narrow" w:hAnsi="Arial Narrow"/>
                <w:sz w:val="20"/>
              </w:rPr>
              <w:t>Deep vein thrombosis</w:t>
            </w:r>
          </w:p>
        </w:tc>
        <w:tc>
          <w:tcPr>
            <w:tcW w:w="380" w:type="pct"/>
            <w:tcBorders>
              <w:bottom w:val="single" w:sz="4" w:space="0" w:color="auto"/>
            </w:tcBorders>
          </w:tcPr>
          <w:p w14:paraId="5DE341DF"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120 (3.1)</w:t>
            </w:r>
          </w:p>
        </w:tc>
        <w:tc>
          <w:tcPr>
            <w:tcW w:w="356" w:type="pct"/>
            <w:tcBorders>
              <w:bottom w:val="single" w:sz="4" w:space="0" w:color="auto"/>
            </w:tcBorders>
          </w:tcPr>
          <w:p w14:paraId="726303A5"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775 (2.0)</w:t>
            </w:r>
          </w:p>
        </w:tc>
        <w:tc>
          <w:tcPr>
            <w:tcW w:w="549" w:type="pct"/>
            <w:tcBorders>
              <w:bottom w:val="single" w:sz="4" w:space="0" w:color="auto"/>
            </w:tcBorders>
          </w:tcPr>
          <w:p w14:paraId="5B8FB68B"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1.51 [1.25, 1.83]</w:t>
            </w:r>
          </w:p>
        </w:tc>
        <w:tc>
          <w:tcPr>
            <w:tcW w:w="569" w:type="pct"/>
            <w:tcBorders>
              <w:bottom w:val="single" w:sz="4" w:space="0" w:color="auto"/>
            </w:tcBorders>
          </w:tcPr>
          <w:p w14:paraId="335AD806"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0.01 [0.00, 0.02]</w:t>
            </w:r>
          </w:p>
        </w:tc>
        <w:tc>
          <w:tcPr>
            <w:tcW w:w="305" w:type="pct"/>
            <w:tcBorders>
              <w:bottom w:val="single" w:sz="4" w:space="0" w:color="auto"/>
            </w:tcBorders>
            <w:shd w:val="clear" w:color="auto" w:fill="FFFFFF" w:themeFill="background1"/>
          </w:tcPr>
          <w:p w14:paraId="3F1E3CBD" w14:textId="77777777" w:rsidR="007D4F22" w:rsidRPr="007D4F22" w:rsidRDefault="007D4F22" w:rsidP="007D4F22">
            <w:pPr>
              <w:widowControl w:val="0"/>
              <w:spacing w:before="40" w:after="40"/>
              <w:rPr>
                <w:rFonts w:ascii="Arial Narrow" w:hAnsi="Arial Narrow"/>
                <w:b/>
                <w:bCs/>
                <w:sz w:val="20"/>
              </w:rPr>
            </w:pPr>
            <w:r w:rsidRPr="007D4F22">
              <w:rPr>
                <w:rFonts w:ascii="Arial Narrow" w:hAnsi="Arial Narrow"/>
                <w:b/>
                <w:bCs/>
                <w:sz w:val="20"/>
              </w:rPr>
              <w:t>&lt;0.0001</w:t>
            </w:r>
          </w:p>
        </w:tc>
        <w:tc>
          <w:tcPr>
            <w:tcW w:w="355" w:type="pct"/>
            <w:tcBorders>
              <w:bottom w:val="single" w:sz="4" w:space="0" w:color="auto"/>
            </w:tcBorders>
          </w:tcPr>
          <w:p w14:paraId="060D0158"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116 (3.0)</w:t>
            </w:r>
          </w:p>
        </w:tc>
        <w:tc>
          <w:tcPr>
            <w:tcW w:w="407" w:type="pct"/>
            <w:tcBorders>
              <w:bottom w:val="single" w:sz="4" w:space="0" w:color="auto"/>
            </w:tcBorders>
          </w:tcPr>
          <w:p w14:paraId="3BF948E9"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915 (2.4)</w:t>
            </w:r>
          </w:p>
        </w:tc>
        <w:tc>
          <w:tcPr>
            <w:tcW w:w="533" w:type="pct"/>
            <w:tcBorders>
              <w:bottom w:val="single" w:sz="4" w:space="0" w:color="auto"/>
            </w:tcBorders>
          </w:tcPr>
          <w:p w14:paraId="656EF878"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1.24 [1.02, 1.50]</w:t>
            </w:r>
          </w:p>
        </w:tc>
        <w:tc>
          <w:tcPr>
            <w:tcW w:w="533" w:type="pct"/>
            <w:tcBorders>
              <w:bottom w:val="single" w:sz="4" w:space="0" w:color="auto"/>
            </w:tcBorders>
          </w:tcPr>
          <w:p w14:paraId="6D3F0E06"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0.01 [0.00, 0.01]</w:t>
            </w:r>
          </w:p>
        </w:tc>
        <w:tc>
          <w:tcPr>
            <w:tcW w:w="328" w:type="pct"/>
            <w:shd w:val="clear" w:color="auto" w:fill="FFFFFF" w:themeFill="background1"/>
          </w:tcPr>
          <w:p w14:paraId="2709F4BE" w14:textId="77777777" w:rsidR="007D4F22" w:rsidRPr="007D4F22" w:rsidRDefault="007D4F22" w:rsidP="007D4F22">
            <w:pPr>
              <w:widowControl w:val="0"/>
              <w:spacing w:before="40" w:after="40"/>
              <w:rPr>
                <w:rFonts w:ascii="Arial Narrow" w:hAnsi="Arial Narrow"/>
                <w:b/>
                <w:bCs/>
                <w:sz w:val="20"/>
              </w:rPr>
            </w:pPr>
            <w:r w:rsidRPr="007D4F22">
              <w:rPr>
                <w:rFonts w:ascii="Arial Narrow" w:hAnsi="Arial Narrow"/>
                <w:b/>
                <w:bCs/>
                <w:sz w:val="20"/>
              </w:rPr>
              <w:t>0.0417</w:t>
            </w:r>
          </w:p>
        </w:tc>
      </w:tr>
      <w:tr w:rsidR="007D4F22" w:rsidRPr="007D4F22" w14:paraId="62C1851C" w14:textId="77777777" w:rsidTr="4C0A0968">
        <w:trPr>
          <w:trHeight w:val="20"/>
        </w:trPr>
        <w:tc>
          <w:tcPr>
            <w:tcW w:w="685" w:type="pct"/>
            <w:tcBorders>
              <w:bottom w:val="single" w:sz="4" w:space="0" w:color="auto"/>
            </w:tcBorders>
          </w:tcPr>
          <w:p w14:paraId="2312BED8" w14:textId="77777777" w:rsidR="007D4F22" w:rsidRPr="007D4F22" w:rsidRDefault="007D4F22" w:rsidP="007D4F22">
            <w:pPr>
              <w:widowControl w:val="0"/>
              <w:spacing w:before="40" w:after="40"/>
              <w:ind w:left="171"/>
              <w:rPr>
                <w:rFonts w:ascii="Arial Narrow" w:hAnsi="Arial Narrow"/>
                <w:sz w:val="20"/>
              </w:rPr>
            </w:pPr>
            <w:r w:rsidRPr="007D4F22">
              <w:rPr>
                <w:rFonts w:ascii="Arial Narrow" w:hAnsi="Arial Narrow"/>
                <w:sz w:val="20"/>
              </w:rPr>
              <w:t>Pulmonary embolism</w:t>
            </w:r>
          </w:p>
        </w:tc>
        <w:tc>
          <w:tcPr>
            <w:tcW w:w="380" w:type="pct"/>
            <w:tcBorders>
              <w:bottom w:val="single" w:sz="4" w:space="0" w:color="auto"/>
            </w:tcBorders>
          </w:tcPr>
          <w:p w14:paraId="21302EBA"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64 (1.6)</w:t>
            </w:r>
          </w:p>
        </w:tc>
        <w:tc>
          <w:tcPr>
            <w:tcW w:w="356" w:type="pct"/>
            <w:tcBorders>
              <w:bottom w:val="single" w:sz="4" w:space="0" w:color="auto"/>
            </w:tcBorders>
          </w:tcPr>
          <w:p w14:paraId="507D4945"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490 (1.3)</w:t>
            </w:r>
          </w:p>
        </w:tc>
        <w:tc>
          <w:tcPr>
            <w:tcW w:w="549" w:type="pct"/>
            <w:tcBorders>
              <w:bottom w:val="single" w:sz="4" w:space="0" w:color="auto"/>
            </w:tcBorders>
          </w:tcPr>
          <w:p w14:paraId="7170C2A4"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1.27 [0.98, 1.65]</w:t>
            </w:r>
          </w:p>
        </w:tc>
        <w:tc>
          <w:tcPr>
            <w:tcW w:w="569" w:type="pct"/>
            <w:tcBorders>
              <w:bottom w:val="single" w:sz="4" w:space="0" w:color="auto"/>
            </w:tcBorders>
          </w:tcPr>
          <w:p w14:paraId="0DE800F9" w14:textId="6B3ABD5C"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0.00 [</w:t>
            </w:r>
            <w:r w:rsidR="00F61DF4" w:rsidRPr="00F61DF4">
              <w:rPr>
                <w:rFonts w:ascii="Arial Narrow" w:hAnsi="Arial Narrow"/>
                <w:sz w:val="20"/>
                <w:lang w:val="en"/>
              </w:rPr>
              <w:t>−</w:t>
            </w:r>
            <w:r w:rsidRPr="007D4F22">
              <w:rPr>
                <w:rFonts w:ascii="Arial Narrow" w:hAnsi="Arial Narrow"/>
                <w:sz w:val="20"/>
              </w:rPr>
              <w:t>0.00, 0.01]</w:t>
            </w:r>
          </w:p>
        </w:tc>
        <w:tc>
          <w:tcPr>
            <w:tcW w:w="305" w:type="pct"/>
            <w:tcBorders>
              <w:bottom w:val="single" w:sz="4" w:space="0" w:color="auto"/>
            </w:tcBorders>
          </w:tcPr>
          <w:p w14:paraId="1879F972"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0.0624</w:t>
            </w:r>
          </w:p>
        </w:tc>
        <w:tc>
          <w:tcPr>
            <w:tcW w:w="355" w:type="pct"/>
            <w:tcBorders>
              <w:bottom w:val="single" w:sz="4" w:space="0" w:color="auto"/>
            </w:tcBorders>
          </w:tcPr>
          <w:p w14:paraId="1A634B9B"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60 (1.5)</w:t>
            </w:r>
          </w:p>
        </w:tc>
        <w:tc>
          <w:tcPr>
            <w:tcW w:w="407" w:type="pct"/>
            <w:tcBorders>
              <w:bottom w:val="single" w:sz="4" w:space="0" w:color="auto"/>
            </w:tcBorders>
          </w:tcPr>
          <w:p w14:paraId="6E582DD5"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577 (1.5)</w:t>
            </w:r>
          </w:p>
        </w:tc>
        <w:tc>
          <w:tcPr>
            <w:tcW w:w="533" w:type="pct"/>
            <w:tcBorders>
              <w:bottom w:val="single" w:sz="4" w:space="0" w:color="auto"/>
            </w:tcBorders>
          </w:tcPr>
          <w:p w14:paraId="47E32AE1"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1.01 [0.78, 1.32]</w:t>
            </w:r>
          </w:p>
        </w:tc>
        <w:tc>
          <w:tcPr>
            <w:tcW w:w="533" w:type="pct"/>
            <w:tcBorders>
              <w:bottom w:val="single" w:sz="4" w:space="0" w:color="auto"/>
            </w:tcBorders>
          </w:tcPr>
          <w:p w14:paraId="70F0E628" w14:textId="38363BCF"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0.00 [</w:t>
            </w:r>
            <w:r w:rsidR="00F61DF4" w:rsidRPr="00F61DF4">
              <w:rPr>
                <w:rFonts w:ascii="Arial Narrow" w:hAnsi="Arial Narrow"/>
                <w:sz w:val="20"/>
                <w:lang w:val="en"/>
              </w:rPr>
              <w:t>−</w:t>
            </w:r>
            <w:r w:rsidRPr="007D4F22">
              <w:rPr>
                <w:rFonts w:ascii="Arial Narrow" w:hAnsi="Arial Narrow"/>
                <w:sz w:val="20"/>
              </w:rPr>
              <w:t>0.00, 0.00]</w:t>
            </w:r>
          </w:p>
        </w:tc>
        <w:tc>
          <w:tcPr>
            <w:tcW w:w="328" w:type="pct"/>
          </w:tcPr>
          <w:p w14:paraId="64BA865D"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0.9174</w:t>
            </w:r>
          </w:p>
        </w:tc>
      </w:tr>
      <w:tr w:rsidR="007D4F22" w:rsidRPr="007D4F22" w14:paraId="798B6318" w14:textId="77777777" w:rsidTr="4C0A0968">
        <w:trPr>
          <w:trHeight w:val="20"/>
        </w:trPr>
        <w:tc>
          <w:tcPr>
            <w:tcW w:w="685" w:type="pct"/>
            <w:tcBorders>
              <w:bottom w:val="single" w:sz="4" w:space="0" w:color="auto"/>
            </w:tcBorders>
          </w:tcPr>
          <w:p w14:paraId="351C6F85" w14:textId="77777777" w:rsidR="007D4F22" w:rsidRPr="007D4F22" w:rsidRDefault="007D4F22" w:rsidP="007D4F22">
            <w:pPr>
              <w:widowControl w:val="0"/>
              <w:spacing w:before="40" w:after="40"/>
              <w:ind w:left="171"/>
              <w:rPr>
                <w:rFonts w:ascii="Arial Narrow" w:hAnsi="Arial Narrow"/>
                <w:sz w:val="20"/>
              </w:rPr>
            </w:pPr>
            <w:r w:rsidRPr="007D4F22">
              <w:rPr>
                <w:rFonts w:ascii="Arial Narrow" w:hAnsi="Arial Narrow"/>
                <w:sz w:val="20"/>
              </w:rPr>
              <w:t>Thrombosis due to cardiac device</w:t>
            </w:r>
          </w:p>
        </w:tc>
        <w:tc>
          <w:tcPr>
            <w:tcW w:w="380" w:type="pct"/>
            <w:tcBorders>
              <w:bottom w:val="single" w:sz="4" w:space="0" w:color="auto"/>
            </w:tcBorders>
          </w:tcPr>
          <w:p w14:paraId="1EEF0DD2"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w:t>
            </w:r>
          </w:p>
        </w:tc>
        <w:tc>
          <w:tcPr>
            <w:tcW w:w="356" w:type="pct"/>
            <w:tcBorders>
              <w:bottom w:val="single" w:sz="4" w:space="0" w:color="auto"/>
            </w:tcBorders>
          </w:tcPr>
          <w:p w14:paraId="53F1F639"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24 (0.1)</w:t>
            </w:r>
          </w:p>
        </w:tc>
        <w:tc>
          <w:tcPr>
            <w:tcW w:w="549" w:type="pct"/>
            <w:tcBorders>
              <w:bottom w:val="single" w:sz="4" w:space="0" w:color="auto"/>
            </w:tcBorders>
          </w:tcPr>
          <w:p w14:paraId="047FC6BF"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w:t>
            </w:r>
          </w:p>
        </w:tc>
        <w:tc>
          <w:tcPr>
            <w:tcW w:w="569" w:type="pct"/>
            <w:tcBorders>
              <w:bottom w:val="single" w:sz="4" w:space="0" w:color="auto"/>
            </w:tcBorders>
          </w:tcPr>
          <w:p w14:paraId="34F83F4A"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w:t>
            </w:r>
          </w:p>
        </w:tc>
        <w:tc>
          <w:tcPr>
            <w:tcW w:w="305" w:type="pct"/>
            <w:tcBorders>
              <w:bottom w:val="single" w:sz="4" w:space="0" w:color="auto"/>
            </w:tcBorders>
            <w:shd w:val="clear" w:color="auto" w:fill="FFFFFF" w:themeFill="background1"/>
          </w:tcPr>
          <w:p w14:paraId="32A0D2AD" w14:textId="77777777" w:rsidR="007D4F22" w:rsidRPr="007D4F22" w:rsidRDefault="007D4F22" w:rsidP="007D4F22">
            <w:pPr>
              <w:widowControl w:val="0"/>
              <w:spacing w:before="40" w:after="40"/>
              <w:rPr>
                <w:rFonts w:ascii="Arial Narrow" w:hAnsi="Arial Narrow"/>
                <w:b/>
                <w:bCs/>
                <w:sz w:val="20"/>
              </w:rPr>
            </w:pPr>
            <w:r w:rsidRPr="007D4F22">
              <w:rPr>
                <w:rFonts w:ascii="Arial Narrow" w:hAnsi="Arial Narrow"/>
                <w:b/>
                <w:bCs/>
                <w:sz w:val="20"/>
              </w:rPr>
              <w:t>0.0473</w:t>
            </w:r>
          </w:p>
        </w:tc>
        <w:tc>
          <w:tcPr>
            <w:tcW w:w="355" w:type="pct"/>
            <w:tcBorders>
              <w:bottom w:val="single" w:sz="4" w:space="0" w:color="auto"/>
            </w:tcBorders>
          </w:tcPr>
          <w:p w14:paraId="5EBEF3B0"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w:t>
            </w:r>
          </w:p>
        </w:tc>
        <w:tc>
          <w:tcPr>
            <w:tcW w:w="407" w:type="pct"/>
            <w:tcBorders>
              <w:bottom w:val="single" w:sz="4" w:space="0" w:color="auto"/>
            </w:tcBorders>
          </w:tcPr>
          <w:p w14:paraId="5E9793A8"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28 (0.1)</w:t>
            </w:r>
          </w:p>
        </w:tc>
        <w:tc>
          <w:tcPr>
            <w:tcW w:w="533" w:type="pct"/>
            <w:tcBorders>
              <w:bottom w:val="single" w:sz="4" w:space="0" w:color="auto"/>
            </w:tcBorders>
          </w:tcPr>
          <w:p w14:paraId="7808835F"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w:t>
            </w:r>
          </w:p>
        </w:tc>
        <w:tc>
          <w:tcPr>
            <w:tcW w:w="533" w:type="pct"/>
            <w:tcBorders>
              <w:bottom w:val="single" w:sz="4" w:space="0" w:color="auto"/>
            </w:tcBorders>
          </w:tcPr>
          <w:p w14:paraId="79A4D090"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w:t>
            </w:r>
          </w:p>
        </w:tc>
        <w:tc>
          <w:tcPr>
            <w:tcW w:w="328" w:type="pct"/>
          </w:tcPr>
          <w:p w14:paraId="42E22AA9"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0.1495</w:t>
            </w:r>
          </w:p>
        </w:tc>
      </w:tr>
      <w:tr w:rsidR="007D4F22" w:rsidRPr="007D4F22" w14:paraId="7CC79243" w14:textId="77777777" w:rsidTr="4C0A0968">
        <w:trPr>
          <w:trHeight w:val="20"/>
        </w:trPr>
        <w:tc>
          <w:tcPr>
            <w:tcW w:w="685" w:type="pct"/>
            <w:tcBorders>
              <w:bottom w:val="single" w:sz="4" w:space="0" w:color="auto"/>
            </w:tcBorders>
          </w:tcPr>
          <w:p w14:paraId="7365776B" w14:textId="77777777" w:rsidR="007D4F22" w:rsidRPr="007D4F22" w:rsidRDefault="007D4F22" w:rsidP="007D4F22">
            <w:pPr>
              <w:widowControl w:val="0"/>
              <w:spacing w:before="40" w:after="40"/>
              <w:ind w:left="171"/>
              <w:rPr>
                <w:rFonts w:ascii="Arial Narrow" w:hAnsi="Arial Narrow"/>
                <w:sz w:val="20"/>
              </w:rPr>
            </w:pPr>
            <w:r w:rsidRPr="007D4F22">
              <w:rPr>
                <w:rFonts w:ascii="Arial Narrow" w:hAnsi="Arial Narrow"/>
                <w:sz w:val="20"/>
              </w:rPr>
              <w:t>Embolism due to cardiac device</w:t>
            </w:r>
          </w:p>
        </w:tc>
        <w:tc>
          <w:tcPr>
            <w:tcW w:w="380" w:type="pct"/>
            <w:tcBorders>
              <w:bottom w:val="single" w:sz="4" w:space="0" w:color="auto"/>
            </w:tcBorders>
          </w:tcPr>
          <w:p w14:paraId="16A32CB3"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w:t>
            </w:r>
          </w:p>
        </w:tc>
        <w:tc>
          <w:tcPr>
            <w:tcW w:w="356" w:type="pct"/>
            <w:tcBorders>
              <w:bottom w:val="single" w:sz="4" w:space="0" w:color="auto"/>
            </w:tcBorders>
          </w:tcPr>
          <w:p w14:paraId="0CF68701"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w:t>
            </w:r>
          </w:p>
        </w:tc>
        <w:tc>
          <w:tcPr>
            <w:tcW w:w="549" w:type="pct"/>
            <w:tcBorders>
              <w:bottom w:val="single" w:sz="4" w:space="0" w:color="auto"/>
            </w:tcBorders>
          </w:tcPr>
          <w:p w14:paraId="68A5D8C6"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w:t>
            </w:r>
          </w:p>
        </w:tc>
        <w:tc>
          <w:tcPr>
            <w:tcW w:w="569" w:type="pct"/>
            <w:tcBorders>
              <w:bottom w:val="single" w:sz="4" w:space="0" w:color="auto"/>
            </w:tcBorders>
          </w:tcPr>
          <w:p w14:paraId="3D7A1299"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w:t>
            </w:r>
          </w:p>
        </w:tc>
        <w:tc>
          <w:tcPr>
            <w:tcW w:w="305" w:type="pct"/>
            <w:tcBorders>
              <w:bottom w:val="single" w:sz="4" w:space="0" w:color="auto"/>
            </w:tcBorders>
          </w:tcPr>
          <w:p w14:paraId="0F285C4A"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0.5398</w:t>
            </w:r>
          </w:p>
        </w:tc>
        <w:tc>
          <w:tcPr>
            <w:tcW w:w="355" w:type="pct"/>
            <w:tcBorders>
              <w:bottom w:val="single" w:sz="4" w:space="0" w:color="auto"/>
            </w:tcBorders>
          </w:tcPr>
          <w:p w14:paraId="1A693B28"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w:t>
            </w:r>
          </w:p>
        </w:tc>
        <w:tc>
          <w:tcPr>
            <w:tcW w:w="407" w:type="pct"/>
            <w:tcBorders>
              <w:bottom w:val="single" w:sz="4" w:space="0" w:color="auto"/>
            </w:tcBorders>
          </w:tcPr>
          <w:p w14:paraId="520F30D1"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w:t>
            </w:r>
          </w:p>
        </w:tc>
        <w:tc>
          <w:tcPr>
            <w:tcW w:w="533" w:type="pct"/>
            <w:tcBorders>
              <w:bottom w:val="single" w:sz="4" w:space="0" w:color="auto"/>
            </w:tcBorders>
          </w:tcPr>
          <w:p w14:paraId="2BD0A01D"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w:t>
            </w:r>
          </w:p>
        </w:tc>
        <w:tc>
          <w:tcPr>
            <w:tcW w:w="533" w:type="pct"/>
            <w:tcBorders>
              <w:bottom w:val="single" w:sz="4" w:space="0" w:color="auto"/>
            </w:tcBorders>
          </w:tcPr>
          <w:p w14:paraId="7D9B385F"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w:t>
            </w:r>
          </w:p>
        </w:tc>
        <w:tc>
          <w:tcPr>
            <w:tcW w:w="328" w:type="pct"/>
          </w:tcPr>
          <w:p w14:paraId="46CE8B6C"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0.7402</w:t>
            </w:r>
          </w:p>
        </w:tc>
      </w:tr>
      <w:tr w:rsidR="007D4F22" w:rsidRPr="007D4F22" w14:paraId="0EB663BA" w14:textId="77777777" w:rsidTr="4C0A0968">
        <w:trPr>
          <w:trHeight w:val="20"/>
        </w:trPr>
        <w:tc>
          <w:tcPr>
            <w:tcW w:w="685" w:type="pct"/>
            <w:tcBorders>
              <w:bottom w:val="single" w:sz="4" w:space="0" w:color="auto"/>
            </w:tcBorders>
          </w:tcPr>
          <w:p w14:paraId="0F4300FD" w14:textId="1AA2D8D9"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 xml:space="preserve">Events at </w:t>
            </w:r>
            <w:r w:rsidR="00D66808">
              <w:rPr>
                <w:rFonts w:ascii="Arial Narrow" w:hAnsi="Arial Narrow"/>
                <w:sz w:val="20"/>
              </w:rPr>
              <w:t>p</w:t>
            </w:r>
            <w:r w:rsidRPr="007D4F22">
              <w:rPr>
                <w:rFonts w:ascii="Arial Narrow" w:hAnsi="Arial Narrow"/>
                <w:sz w:val="20"/>
              </w:rPr>
              <w:t xml:space="preserve">uncture </w:t>
            </w:r>
            <w:r w:rsidR="00D66808">
              <w:rPr>
                <w:rFonts w:ascii="Arial Narrow" w:hAnsi="Arial Narrow"/>
                <w:sz w:val="20"/>
              </w:rPr>
              <w:t>s</w:t>
            </w:r>
            <w:r w:rsidRPr="007D4F22">
              <w:rPr>
                <w:rFonts w:ascii="Arial Narrow" w:hAnsi="Arial Narrow"/>
                <w:sz w:val="20"/>
              </w:rPr>
              <w:t>ite</w:t>
            </w:r>
          </w:p>
        </w:tc>
        <w:tc>
          <w:tcPr>
            <w:tcW w:w="380" w:type="pct"/>
            <w:tcBorders>
              <w:bottom w:val="single" w:sz="4" w:space="0" w:color="auto"/>
            </w:tcBorders>
          </w:tcPr>
          <w:p w14:paraId="1889AC13"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33 (0.8)</w:t>
            </w:r>
          </w:p>
        </w:tc>
        <w:tc>
          <w:tcPr>
            <w:tcW w:w="356" w:type="pct"/>
            <w:tcBorders>
              <w:bottom w:val="single" w:sz="4" w:space="0" w:color="auto"/>
            </w:tcBorders>
          </w:tcPr>
          <w:p w14:paraId="749B1749"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92 (0.2)</w:t>
            </w:r>
          </w:p>
        </w:tc>
        <w:tc>
          <w:tcPr>
            <w:tcW w:w="549" w:type="pct"/>
            <w:tcBorders>
              <w:bottom w:val="single" w:sz="4" w:space="0" w:color="auto"/>
            </w:tcBorders>
          </w:tcPr>
          <w:p w14:paraId="7CD9492C"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3.50 [2.35, 5.20]</w:t>
            </w:r>
          </w:p>
        </w:tc>
        <w:tc>
          <w:tcPr>
            <w:tcW w:w="569" w:type="pct"/>
            <w:tcBorders>
              <w:bottom w:val="single" w:sz="4" w:space="0" w:color="auto"/>
            </w:tcBorders>
          </w:tcPr>
          <w:p w14:paraId="36D90E5A"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0.01 [0.00, 0.01]</w:t>
            </w:r>
          </w:p>
        </w:tc>
        <w:tc>
          <w:tcPr>
            <w:tcW w:w="305" w:type="pct"/>
            <w:tcBorders>
              <w:bottom w:val="single" w:sz="4" w:space="0" w:color="auto"/>
            </w:tcBorders>
            <w:shd w:val="clear" w:color="auto" w:fill="FFFFFF" w:themeFill="background1"/>
          </w:tcPr>
          <w:p w14:paraId="400865CB" w14:textId="77777777" w:rsidR="007D4F22" w:rsidRPr="007D4F22" w:rsidRDefault="007D4F22" w:rsidP="007D4F22">
            <w:pPr>
              <w:widowControl w:val="0"/>
              <w:spacing w:before="40" w:after="40"/>
              <w:rPr>
                <w:rFonts w:ascii="Arial Narrow" w:hAnsi="Arial Narrow"/>
                <w:b/>
                <w:bCs/>
                <w:sz w:val="20"/>
              </w:rPr>
            </w:pPr>
            <w:r w:rsidRPr="007D4F22">
              <w:rPr>
                <w:rFonts w:ascii="Arial Narrow" w:hAnsi="Arial Narrow"/>
                <w:b/>
                <w:bCs/>
                <w:sz w:val="20"/>
              </w:rPr>
              <w:t>&lt;0.0001</w:t>
            </w:r>
          </w:p>
        </w:tc>
        <w:tc>
          <w:tcPr>
            <w:tcW w:w="355" w:type="pct"/>
            <w:tcBorders>
              <w:bottom w:val="single" w:sz="4" w:space="0" w:color="auto"/>
            </w:tcBorders>
          </w:tcPr>
          <w:p w14:paraId="1D35E115"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30 (0.8)</w:t>
            </w:r>
          </w:p>
        </w:tc>
        <w:tc>
          <w:tcPr>
            <w:tcW w:w="407" w:type="pct"/>
            <w:tcBorders>
              <w:bottom w:val="single" w:sz="4" w:space="0" w:color="auto"/>
            </w:tcBorders>
          </w:tcPr>
          <w:p w14:paraId="3708AF48"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145 (0.4)</w:t>
            </w:r>
          </w:p>
        </w:tc>
        <w:tc>
          <w:tcPr>
            <w:tcW w:w="533" w:type="pct"/>
            <w:tcBorders>
              <w:bottom w:val="single" w:sz="4" w:space="0" w:color="auto"/>
            </w:tcBorders>
          </w:tcPr>
          <w:p w14:paraId="63393006"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2.02 [1.36, 2.99]</w:t>
            </w:r>
          </w:p>
        </w:tc>
        <w:tc>
          <w:tcPr>
            <w:tcW w:w="533" w:type="pct"/>
            <w:tcBorders>
              <w:bottom w:val="single" w:sz="4" w:space="0" w:color="auto"/>
            </w:tcBorders>
          </w:tcPr>
          <w:p w14:paraId="23F45257"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0.00 [0.00, 0.01]</w:t>
            </w:r>
          </w:p>
        </w:tc>
        <w:tc>
          <w:tcPr>
            <w:tcW w:w="328" w:type="pct"/>
            <w:shd w:val="clear" w:color="auto" w:fill="FFFFFF" w:themeFill="background1"/>
          </w:tcPr>
          <w:p w14:paraId="6F078641" w14:textId="77777777" w:rsidR="007D4F22" w:rsidRPr="007D4F22" w:rsidRDefault="007D4F22" w:rsidP="007D4F22">
            <w:pPr>
              <w:widowControl w:val="0"/>
              <w:spacing w:before="40" w:after="40"/>
              <w:rPr>
                <w:rFonts w:ascii="Arial Narrow" w:hAnsi="Arial Narrow"/>
                <w:b/>
                <w:bCs/>
                <w:sz w:val="20"/>
              </w:rPr>
            </w:pPr>
            <w:r w:rsidRPr="007D4F22">
              <w:rPr>
                <w:rFonts w:ascii="Arial Narrow" w:hAnsi="Arial Narrow"/>
                <w:b/>
                <w:bCs/>
                <w:sz w:val="20"/>
              </w:rPr>
              <w:t>0.0019</w:t>
            </w:r>
          </w:p>
        </w:tc>
      </w:tr>
      <w:tr w:rsidR="007D4F22" w:rsidRPr="007D4F22" w14:paraId="67BADF01" w14:textId="77777777" w:rsidTr="4C0A0968">
        <w:trPr>
          <w:trHeight w:val="20"/>
        </w:trPr>
        <w:tc>
          <w:tcPr>
            <w:tcW w:w="685" w:type="pct"/>
            <w:tcBorders>
              <w:bottom w:val="single" w:sz="4" w:space="0" w:color="auto"/>
            </w:tcBorders>
          </w:tcPr>
          <w:p w14:paraId="061C90A5" w14:textId="77777777" w:rsidR="007D4F22" w:rsidRPr="007D4F22" w:rsidRDefault="007D4F22" w:rsidP="007D4F22">
            <w:pPr>
              <w:widowControl w:val="0"/>
              <w:spacing w:before="40" w:after="40"/>
              <w:ind w:left="171"/>
              <w:rPr>
                <w:rFonts w:ascii="Arial Narrow" w:hAnsi="Arial Narrow"/>
                <w:sz w:val="20"/>
              </w:rPr>
            </w:pPr>
            <w:r w:rsidRPr="007D4F22">
              <w:rPr>
                <w:rFonts w:ascii="Arial Narrow" w:hAnsi="Arial Narrow"/>
                <w:sz w:val="20"/>
              </w:rPr>
              <w:t>Arteriovenous fistula</w:t>
            </w:r>
          </w:p>
        </w:tc>
        <w:tc>
          <w:tcPr>
            <w:tcW w:w="380" w:type="pct"/>
            <w:tcBorders>
              <w:bottom w:val="single" w:sz="4" w:space="0" w:color="auto"/>
            </w:tcBorders>
          </w:tcPr>
          <w:p w14:paraId="10E5B4A7"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17 (0.4)</w:t>
            </w:r>
          </w:p>
        </w:tc>
        <w:tc>
          <w:tcPr>
            <w:tcW w:w="356" w:type="pct"/>
            <w:tcBorders>
              <w:bottom w:val="single" w:sz="4" w:space="0" w:color="auto"/>
            </w:tcBorders>
          </w:tcPr>
          <w:p w14:paraId="575032AC"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27 (0.1)</w:t>
            </w:r>
          </w:p>
        </w:tc>
        <w:tc>
          <w:tcPr>
            <w:tcW w:w="549" w:type="pct"/>
            <w:tcBorders>
              <w:bottom w:val="single" w:sz="4" w:space="0" w:color="auto"/>
            </w:tcBorders>
          </w:tcPr>
          <w:p w14:paraId="3AB4DFAE"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6.14 [3.35, 11.26]</w:t>
            </w:r>
          </w:p>
        </w:tc>
        <w:tc>
          <w:tcPr>
            <w:tcW w:w="569" w:type="pct"/>
            <w:tcBorders>
              <w:bottom w:val="single" w:sz="4" w:space="0" w:color="auto"/>
            </w:tcBorders>
          </w:tcPr>
          <w:p w14:paraId="47F5DEF7"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0.00 [0.00, 0.01]</w:t>
            </w:r>
          </w:p>
        </w:tc>
        <w:tc>
          <w:tcPr>
            <w:tcW w:w="305" w:type="pct"/>
            <w:tcBorders>
              <w:bottom w:val="single" w:sz="4" w:space="0" w:color="auto"/>
            </w:tcBorders>
            <w:shd w:val="clear" w:color="auto" w:fill="FFFFFF" w:themeFill="background1"/>
          </w:tcPr>
          <w:p w14:paraId="3E7791E2" w14:textId="77777777" w:rsidR="007D4F22" w:rsidRPr="007D4F22" w:rsidRDefault="007D4F22" w:rsidP="007D4F22">
            <w:pPr>
              <w:widowControl w:val="0"/>
              <w:spacing w:before="40" w:after="40"/>
              <w:rPr>
                <w:rFonts w:ascii="Arial Narrow" w:hAnsi="Arial Narrow"/>
                <w:b/>
                <w:bCs/>
                <w:sz w:val="20"/>
              </w:rPr>
            </w:pPr>
            <w:r w:rsidRPr="007D4F22">
              <w:rPr>
                <w:rFonts w:ascii="Arial Narrow" w:hAnsi="Arial Narrow"/>
                <w:b/>
                <w:bCs/>
                <w:sz w:val="20"/>
              </w:rPr>
              <w:t>&lt;0.0001</w:t>
            </w:r>
          </w:p>
        </w:tc>
        <w:tc>
          <w:tcPr>
            <w:tcW w:w="355" w:type="pct"/>
            <w:tcBorders>
              <w:bottom w:val="single" w:sz="4" w:space="0" w:color="auto"/>
            </w:tcBorders>
          </w:tcPr>
          <w:p w14:paraId="0C245103"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14 (0.4)</w:t>
            </w:r>
          </w:p>
        </w:tc>
        <w:tc>
          <w:tcPr>
            <w:tcW w:w="407" w:type="pct"/>
            <w:tcBorders>
              <w:bottom w:val="single" w:sz="4" w:space="0" w:color="auto"/>
            </w:tcBorders>
          </w:tcPr>
          <w:p w14:paraId="6844A59F"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73 (0.2)</w:t>
            </w:r>
          </w:p>
        </w:tc>
        <w:tc>
          <w:tcPr>
            <w:tcW w:w="533" w:type="pct"/>
            <w:tcBorders>
              <w:bottom w:val="single" w:sz="4" w:space="0" w:color="auto"/>
            </w:tcBorders>
          </w:tcPr>
          <w:p w14:paraId="2C92B42E"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1.87 [1.06, 3.31]</w:t>
            </w:r>
          </w:p>
        </w:tc>
        <w:tc>
          <w:tcPr>
            <w:tcW w:w="533" w:type="pct"/>
            <w:tcBorders>
              <w:bottom w:val="single" w:sz="4" w:space="0" w:color="auto"/>
            </w:tcBorders>
          </w:tcPr>
          <w:p w14:paraId="13172660" w14:textId="7B2D97C6"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0.00 [</w:t>
            </w:r>
            <w:r w:rsidR="00F61DF4" w:rsidRPr="00F61DF4">
              <w:rPr>
                <w:rFonts w:ascii="Arial Narrow" w:hAnsi="Arial Narrow"/>
                <w:sz w:val="20"/>
                <w:lang w:val="en"/>
              </w:rPr>
              <w:t>−</w:t>
            </w:r>
            <w:r w:rsidRPr="007D4F22">
              <w:rPr>
                <w:rFonts w:ascii="Arial Narrow" w:hAnsi="Arial Narrow"/>
                <w:sz w:val="20"/>
              </w:rPr>
              <w:t>0.00, 0.00]</w:t>
            </w:r>
          </w:p>
        </w:tc>
        <w:tc>
          <w:tcPr>
            <w:tcW w:w="328" w:type="pct"/>
          </w:tcPr>
          <w:p w14:paraId="7A27E64C"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0.0966</w:t>
            </w:r>
          </w:p>
        </w:tc>
      </w:tr>
      <w:tr w:rsidR="007D4F22" w:rsidRPr="007D4F22" w14:paraId="5AABA998" w14:textId="77777777" w:rsidTr="4C0A0968">
        <w:trPr>
          <w:trHeight w:val="20"/>
        </w:trPr>
        <w:tc>
          <w:tcPr>
            <w:tcW w:w="685" w:type="pct"/>
            <w:tcBorders>
              <w:bottom w:val="single" w:sz="4" w:space="0" w:color="auto"/>
            </w:tcBorders>
          </w:tcPr>
          <w:p w14:paraId="070A0AB3" w14:textId="77777777" w:rsidR="007D4F22" w:rsidRPr="007D4F22" w:rsidRDefault="007D4F22" w:rsidP="007D4F22">
            <w:pPr>
              <w:widowControl w:val="0"/>
              <w:spacing w:before="40" w:after="40"/>
              <w:ind w:left="171"/>
              <w:rPr>
                <w:rFonts w:ascii="Arial Narrow" w:hAnsi="Arial Narrow"/>
                <w:sz w:val="20"/>
              </w:rPr>
            </w:pPr>
            <w:r w:rsidRPr="007D4F22">
              <w:rPr>
                <w:rFonts w:ascii="Arial Narrow" w:hAnsi="Arial Narrow"/>
                <w:sz w:val="20"/>
              </w:rPr>
              <w:t>Vascular aneurysm</w:t>
            </w:r>
          </w:p>
        </w:tc>
        <w:tc>
          <w:tcPr>
            <w:tcW w:w="380" w:type="pct"/>
            <w:tcBorders>
              <w:bottom w:val="single" w:sz="4" w:space="0" w:color="auto"/>
            </w:tcBorders>
          </w:tcPr>
          <w:p w14:paraId="274926A2"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19 (0.5)</w:t>
            </w:r>
          </w:p>
        </w:tc>
        <w:tc>
          <w:tcPr>
            <w:tcW w:w="356" w:type="pct"/>
            <w:tcBorders>
              <w:bottom w:val="single" w:sz="4" w:space="0" w:color="auto"/>
            </w:tcBorders>
          </w:tcPr>
          <w:p w14:paraId="3C5BD1C5"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66 (0.2)</w:t>
            </w:r>
          </w:p>
        </w:tc>
        <w:tc>
          <w:tcPr>
            <w:tcW w:w="549" w:type="pct"/>
            <w:tcBorders>
              <w:bottom w:val="single" w:sz="4" w:space="0" w:color="auto"/>
            </w:tcBorders>
          </w:tcPr>
          <w:p w14:paraId="298B3FE5"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2.81 [1.69, 4.67]</w:t>
            </w:r>
          </w:p>
        </w:tc>
        <w:tc>
          <w:tcPr>
            <w:tcW w:w="569" w:type="pct"/>
            <w:tcBorders>
              <w:bottom w:val="single" w:sz="4" w:space="0" w:color="auto"/>
            </w:tcBorders>
          </w:tcPr>
          <w:p w14:paraId="5E1EF90D"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0.00 [0.00, 0.01]</w:t>
            </w:r>
          </w:p>
        </w:tc>
        <w:tc>
          <w:tcPr>
            <w:tcW w:w="305" w:type="pct"/>
            <w:tcBorders>
              <w:bottom w:val="single" w:sz="4" w:space="0" w:color="auto"/>
            </w:tcBorders>
            <w:shd w:val="clear" w:color="auto" w:fill="FFFFFF" w:themeFill="background1"/>
          </w:tcPr>
          <w:p w14:paraId="65453ECA" w14:textId="77777777" w:rsidR="007D4F22" w:rsidRPr="007D4F22" w:rsidRDefault="007D4F22" w:rsidP="007D4F22">
            <w:pPr>
              <w:widowControl w:val="0"/>
              <w:spacing w:before="40" w:after="40"/>
              <w:rPr>
                <w:rFonts w:ascii="Arial Narrow" w:hAnsi="Arial Narrow"/>
                <w:b/>
                <w:bCs/>
                <w:sz w:val="20"/>
              </w:rPr>
            </w:pPr>
            <w:r w:rsidRPr="007D4F22">
              <w:rPr>
                <w:rFonts w:ascii="Arial Narrow" w:hAnsi="Arial Narrow"/>
                <w:b/>
                <w:bCs/>
                <w:sz w:val="20"/>
              </w:rPr>
              <w:t>&lt;0.0001</w:t>
            </w:r>
          </w:p>
        </w:tc>
        <w:tc>
          <w:tcPr>
            <w:tcW w:w="355" w:type="pct"/>
            <w:tcBorders>
              <w:bottom w:val="single" w:sz="4" w:space="0" w:color="auto"/>
            </w:tcBorders>
          </w:tcPr>
          <w:p w14:paraId="2C86A7C5"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19 (0.5)</w:t>
            </w:r>
          </w:p>
        </w:tc>
        <w:tc>
          <w:tcPr>
            <w:tcW w:w="407" w:type="pct"/>
            <w:tcBorders>
              <w:bottom w:val="single" w:sz="4" w:space="0" w:color="auto"/>
            </w:tcBorders>
          </w:tcPr>
          <w:p w14:paraId="44DF08FB"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75 (0.2)</w:t>
            </w:r>
          </w:p>
        </w:tc>
        <w:tc>
          <w:tcPr>
            <w:tcW w:w="533" w:type="pct"/>
            <w:tcBorders>
              <w:bottom w:val="single" w:sz="4" w:space="0" w:color="auto"/>
            </w:tcBorders>
          </w:tcPr>
          <w:p w14:paraId="3B686BE9"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2.47 [1.50, 4.09]</w:t>
            </w:r>
          </w:p>
        </w:tc>
        <w:tc>
          <w:tcPr>
            <w:tcW w:w="533" w:type="pct"/>
            <w:tcBorders>
              <w:bottom w:val="single" w:sz="4" w:space="0" w:color="auto"/>
            </w:tcBorders>
          </w:tcPr>
          <w:p w14:paraId="3000A49C"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0.00 [0.00, 0.01]</w:t>
            </w:r>
          </w:p>
        </w:tc>
        <w:tc>
          <w:tcPr>
            <w:tcW w:w="328" w:type="pct"/>
            <w:shd w:val="clear" w:color="auto" w:fill="FFFFFF" w:themeFill="background1"/>
          </w:tcPr>
          <w:p w14:paraId="23B7BBC8" w14:textId="77777777" w:rsidR="007D4F22" w:rsidRPr="007D4F22" w:rsidRDefault="007D4F22" w:rsidP="007D4F22">
            <w:pPr>
              <w:widowControl w:val="0"/>
              <w:spacing w:before="40" w:after="40"/>
              <w:rPr>
                <w:rFonts w:ascii="Arial Narrow" w:hAnsi="Arial Narrow"/>
                <w:b/>
                <w:bCs/>
                <w:sz w:val="20"/>
              </w:rPr>
            </w:pPr>
            <w:r w:rsidRPr="007D4F22">
              <w:rPr>
                <w:rFonts w:ascii="Arial Narrow" w:hAnsi="Arial Narrow"/>
                <w:b/>
                <w:bCs/>
                <w:sz w:val="20"/>
              </w:rPr>
              <w:t>0.0006</w:t>
            </w:r>
          </w:p>
        </w:tc>
      </w:tr>
      <w:tr w:rsidR="007D4F22" w:rsidRPr="007D4F22" w14:paraId="77D9D451" w14:textId="77777777" w:rsidTr="4C0A0968">
        <w:trPr>
          <w:trHeight w:val="20"/>
        </w:trPr>
        <w:tc>
          <w:tcPr>
            <w:tcW w:w="685" w:type="pct"/>
            <w:tcBorders>
              <w:bottom w:val="single" w:sz="4" w:space="0" w:color="auto"/>
            </w:tcBorders>
          </w:tcPr>
          <w:p w14:paraId="06960011" w14:textId="681EA2D8"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 xml:space="preserve">Cardiac </w:t>
            </w:r>
            <w:r w:rsidR="00D66808">
              <w:rPr>
                <w:rFonts w:ascii="Arial Narrow" w:hAnsi="Arial Narrow"/>
                <w:sz w:val="20"/>
              </w:rPr>
              <w:t>e</w:t>
            </w:r>
            <w:r w:rsidRPr="007D4F22">
              <w:rPr>
                <w:rFonts w:ascii="Arial Narrow" w:hAnsi="Arial Narrow"/>
                <w:sz w:val="20"/>
              </w:rPr>
              <w:t>ffusion/</w:t>
            </w:r>
            <w:r w:rsidR="00D66808">
              <w:rPr>
                <w:rFonts w:ascii="Arial Narrow" w:hAnsi="Arial Narrow"/>
                <w:sz w:val="20"/>
              </w:rPr>
              <w:t>p</w:t>
            </w:r>
            <w:r w:rsidRPr="007D4F22">
              <w:rPr>
                <w:rFonts w:ascii="Arial Narrow" w:hAnsi="Arial Narrow"/>
                <w:sz w:val="20"/>
              </w:rPr>
              <w:t>erforation</w:t>
            </w:r>
          </w:p>
        </w:tc>
        <w:tc>
          <w:tcPr>
            <w:tcW w:w="380" w:type="pct"/>
            <w:tcBorders>
              <w:bottom w:val="single" w:sz="4" w:space="0" w:color="auto"/>
            </w:tcBorders>
          </w:tcPr>
          <w:p w14:paraId="438D4978"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60 (1.5)</w:t>
            </w:r>
          </w:p>
        </w:tc>
        <w:tc>
          <w:tcPr>
            <w:tcW w:w="356" w:type="pct"/>
            <w:tcBorders>
              <w:bottom w:val="single" w:sz="4" w:space="0" w:color="auto"/>
            </w:tcBorders>
          </w:tcPr>
          <w:p w14:paraId="1E484A67"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239 (0.6)</w:t>
            </w:r>
          </w:p>
        </w:tc>
        <w:tc>
          <w:tcPr>
            <w:tcW w:w="549" w:type="pct"/>
            <w:tcBorders>
              <w:bottom w:val="single" w:sz="4" w:space="0" w:color="auto"/>
            </w:tcBorders>
          </w:tcPr>
          <w:p w14:paraId="565B01AC"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2.45 [1.85, 3.24]</w:t>
            </w:r>
          </w:p>
        </w:tc>
        <w:tc>
          <w:tcPr>
            <w:tcW w:w="569" w:type="pct"/>
            <w:tcBorders>
              <w:bottom w:val="single" w:sz="4" w:space="0" w:color="auto"/>
            </w:tcBorders>
          </w:tcPr>
          <w:p w14:paraId="7C5BFC6C"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0.01 [0.01, 0.01]</w:t>
            </w:r>
          </w:p>
        </w:tc>
        <w:tc>
          <w:tcPr>
            <w:tcW w:w="305" w:type="pct"/>
            <w:tcBorders>
              <w:bottom w:val="single" w:sz="4" w:space="0" w:color="auto"/>
            </w:tcBorders>
            <w:shd w:val="clear" w:color="auto" w:fill="FFFFFF" w:themeFill="background1"/>
          </w:tcPr>
          <w:p w14:paraId="6FEFAC60" w14:textId="77777777" w:rsidR="007D4F22" w:rsidRPr="007D4F22" w:rsidRDefault="007D4F22" w:rsidP="007D4F22">
            <w:pPr>
              <w:widowControl w:val="0"/>
              <w:spacing w:before="40" w:after="40"/>
              <w:rPr>
                <w:rFonts w:ascii="Arial Narrow" w:hAnsi="Arial Narrow"/>
                <w:b/>
                <w:bCs/>
                <w:sz w:val="20"/>
              </w:rPr>
            </w:pPr>
            <w:r w:rsidRPr="007D4F22">
              <w:rPr>
                <w:rFonts w:ascii="Arial Narrow" w:hAnsi="Arial Narrow"/>
                <w:b/>
                <w:bCs/>
                <w:sz w:val="20"/>
              </w:rPr>
              <w:t>&lt;0.0001</w:t>
            </w:r>
          </w:p>
        </w:tc>
        <w:tc>
          <w:tcPr>
            <w:tcW w:w="355" w:type="pct"/>
            <w:tcBorders>
              <w:bottom w:val="single" w:sz="4" w:space="0" w:color="auto"/>
            </w:tcBorders>
          </w:tcPr>
          <w:p w14:paraId="58B4C381"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61 (1.6)</w:t>
            </w:r>
          </w:p>
        </w:tc>
        <w:tc>
          <w:tcPr>
            <w:tcW w:w="407" w:type="pct"/>
            <w:tcBorders>
              <w:bottom w:val="single" w:sz="4" w:space="0" w:color="auto"/>
            </w:tcBorders>
          </w:tcPr>
          <w:p w14:paraId="29BD039B"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277 (0.7)</w:t>
            </w:r>
          </w:p>
        </w:tc>
        <w:tc>
          <w:tcPr>
            <w:tcW w:w="533" w:type="pct"/>
            <w:tcBorders>
              <w:bottom w:val="single" w:sz="4" w:space="0" w:color="auto"/>
            </w:tcBorders>
          </w:tcPr>
          <w:p w14:paraId="53401FAF"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2.15 [1.63, 2.83]</w:t>
            </w:r>
          </w:p>
        </w:tc>
        <w:tc>
          <w:tcPr>
            <w:tcW w:w="533" w:type="pct"/>
            <w:tcBorders>
              <w:bottom w:val="single" w:sz="4" w:space="0" w:color="auto"/>
            </w:tcBorders>
          </w:tcPr>
          <w:p w14:paraId="5E0C5643"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0.01 [0.00, 0.01]</w:t>
            </w:r>
          </w:p>
        </w:tc>
        <w:tc>
          <w:tcPr>
            <w:tcW w:w="328" w:type="pct"/>
            <w:shd w:val="clear" w:color="auto" w:fill="FFFFFF" w:themeFill="background1"/>
          </w:tcPr>
          <w:p w14:paraId="1A563271" w14:textId="77777777" w:rsidR="007D4F22" w:rsidRPr="007D4F22" w:rsidRDefault="007D4F22" w:rsidP="007D4F22">
            <w:pPr>
              <w:widowControl w:val="0"/>
              <w:spacing w:before="40" w:after="40"/>
              <w:rPr>
                <w:rFonts w:ascii="Arial Narrow" w:hAnsi="Arial Narrow"/>
                <w:b/>
                <w:bCs/>
                <w:sz w:val="20"/>
              </w:rPr>
            </w:pPr>
            <w:r w:rsidRPr="007D4F22">
              <w:rPr>
                <w:rFonts w:ascii="Arial Narrow" w:hAnsi="Arial Narrow"/>
                <w:b/>
                <w:bCs/>
                <w:sz w:val="20"/>
              </w:rPr>
              <w:t>&lt;0.0001</w:t>
            </w:r>
          </w:p>
        </w:tc>
      </w:tr>
      <w:tr w:rsidR="007D4F22" w:rsidRPr="007D4F22" w14:paraId="203C45C3" w14:textId="77777777" w:rsidTr="4C0A0968">
        <w:trPr>
          <w:trHeight w:val="20"/>
        </w:trPr>
        <w:tc>
          <w:tcPr>
            <w:tcW w:w="685" w:type="pct"/>
            <w:tcBorders>
              <w:bottom w:val="single" w:sz="4" w:space="0" w:color="auto"/>
            </w:tcBorders>
          </w:tcPr>
          <w:p w14:paraId="7AB31B43" w14:textId="77777777" w:rsidR="007D4F22" w:rsidRPr="007D4F22" w:rsidRDefault="007D4F22" w:rsidP="007D4F22">
            <w:pPr>
              <w:widowControl w:val="0"/>
              <w:spacing w:before="40" w:after="40"/>
              <w:ind w:left="171"/>
              <w:rPr>
                <w:rFonts w:ascii="Arial Narrow" w:hAnsi="Arial Narrow"/>
                <w:sz w:val="20"/>
              </w:rPr>
            </w:pPr>
            <w:r w:rsidRPr="007D4F22">
              <w:rPr>
                <w:rFonts w:ascii="Arial Narrow" w:hAnsi="Arial Narrow"/>
                <w:sz w:val="20"/>
              </w:rPr>
              <w:t>Cardiac perforation</w:t>
            </w:r>
          </w:p>
        </w:tc>
        <w:tc>
          <w:tcPr>
            <w:tcW w:w="380" w:type="pct"/>
            <w:tcBorders>
              <w:bottom w:val="single" w:sz="4" w:space="0" w:color="auto"/>
            </w:tcBorders>
          </w:tcPr>
          <w:p w14:paraId="4429D2A6"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8 (0.2)</w:t>
            </w:r>
          </w:p>
        </w:tc>
        <w:tc>
          <w:tcPr>
            <w:tcW w:w="356" w:type="pct"/>
            <w:tcBorders>
              <w:bottom w:val="single" w:sz="4" w:space="0" w:color="auto"/>
            </w:tcBorders>
          </w:tcPr>
          <w:p w14:paraId="13830725"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34 (0.1)</w:t>
            </w:r>
          </w:p>
        </w:tc>
        <w:tc>
          <w:tcPr>
            <w:tcW w:w="549" w:type="pct"/>
            <w:tcBorders>
              <w:bottom w:val="single" w:sz="4" w:space="0" w:color="auto"/>
            </w:tcBorders>
          </w:tcPr>
          <w:p w14:paraId="24B5CBF1"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2.30 [1.06, 4.96]</w:t>
            </w:r>
          </w:p>
        </w:tc>
        <w:tc>
          <w:tcPr>
            <w:tcW w:w="569" w:type="pct"/>
            <w:tcBorders>
              <w:bottom w:val="single" w:sz="4" w:space="0" w:color="auto"/>
            </w:tcBorders>
          </w:tcPr>
          <w:p w14:paraId="6D5DAA8C" w14:textId="21782B60"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0.00 [</w:t>
            </w:r>
            <w:r w:rsidR="00F61DF4" w:rsidRPr="00F61DF4">
              <w:rPr>
                <w:rFonts w:ascii="Arial Narrow" w:hAnsi="Arial Narrow"/>
                <w:sz w:val="20"/>
                <w:lang w:val="en"/>
              </w:rPr>
              <w:t>−</w:t>
            </w:r>
            <w:r w:rsidRPr="007D4F22">
              <w:rPr>
                <w:rFonts w:ascii="Arial Narrow" w:hAnsi="Arial Narrow"/>
                <w:sz w:val="20"/>
              </w:rPr>
              <w:t>0.00, 0.00]</w:t>
            </w:r>
          </w:p>
        </w:tc>
        <w:tc>
          <w:tcPr>
            <w:tcW w:w="305" w:type="pct"/>
            <w:tcBorders>
              <w:bottom w:val="single" w:sz="4" w:space="0" w:color="auto"/>
            </w:tcBorders>
            <w:shd w:val="clear" w:color="auto" w:fill="FFFFFF" w:themeFill="background1"/>
          </w:tcPr>
          <w:p w14:paraId="3D64C06F" w14:textId="77777777" w:rsidR="007D4F22" w:rsidRPr="007D4F22" w:rsidRDefault="007D4F22" w:rsidP="007D4F22">
            <w:pPr>
              <w:widowControl w:val="0"/>
              <w:spacing w:before="40" w:after="40"/>
              <w:rPr>
                <w:rFonts w:ascii="Arial Narrow" w:hAnsi="Arial Narrow"/>
                <w:b/>
                <w:bCs/>
                <w:sz w:val="20"/>
              </w:rPr>
            </w:pPr>
            <w:r w:rsidRPr="007D4F22">
              <w:rPr>
                <w:rFonts w:ascii="Arial Narrow" w:hAnsi="Arial Narrow"/>
                <w:b/>
                <w:bCs/>
                <w:sz w:val="20"/>
              </w:rPr>
              <w:t>0.0396</w:t>
            </w:r>
          </w:p>
        </w:tc>
        <w:tc>
          <w:tcPr>
            <w:tcW w:w="355" w:type="pct"/>
            <w:tcBorders>
              <w:bottom w:val="single" w:sz="4" w:space="0" w:color="auto"/>
            </w:tcBorders>
          </w:tcPr>
          <w:p w14:paraId="5D373AAA"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8 (0.2)</w:t>
            </w:r>
          </w:p>
        </w:tc>
        <w:tc>
          <w:tcPr>
            <w:tcW w:w="407" w:type="pct"/>
            <w:tcBorders>
              <w:bottom w:val="single" w:sz="4" w:space="0" w:color="auto"/>
            </w:tcBorders>
          </w:tcPr>
          <w:p w14:paraId="2AD26B85"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40 (0.1)</w:t>
            </w:r>
          </w:p>
        </w:tc>
        <w:tc>
          <w:tcPr>
            <w:tcW w:w="533" w:type="pct"/>
            <w:tcBorders>
              <w:bottom w:val="single" w:sz="4" w:space="0" w:color="auto"/>
            </w:tcBorders>
          </w:tcPr>
          <w:p w14:paraId="65738609"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1.95 [0.91, 4.17]</w:t>
            </w:r>
          </w:p>
        </w:tc>
        <w:tc>
          <w:tcPr>
            <w:tcW w:w="533" w:type="pct"/>
            <w:tcBorders>
              <w:bottom w:val="single" w:sz="4" w:space="0" w:color="auto"/>
            </w:tcBorders>
          </w:tcPr>
          <w:p w14:paraId="1BE9F45E" w14:textId="6857E231"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0.00 [</w:t>
            </w:r>
            <w:r w:rsidR="00F61DF4" w:rsidRPr="00F61DF4">
              <w:rPr>
                <w:rFonts w:ascii="Arial Narrow" w:hAnsi="Arial Narrow"/>
                <w:sz w:val="20"/>
                <w:lang w:val="en"/>
              </w:rPr>
              <w:t>−</w:t>
            </w:r>
            <w:r w:rsidRPr="007D4F22">
              <w:rPr>
                <w:rFonts w:ascii="Arial Narrow" w:hAnsi="Arial Narrow"/>
                <w:sz w:val="20"/>
              </w:rPr>
              <w:t>0.00, 0.00]</w:t>
            </w:r>
          </w:p>
        </w:tc>
        <w:tc>
          <w:tcPr>
            <w:tcW w:w="328" w:type="pct"/>
          </w:tcPr>
          <w:p w14:paraId="79507F9B"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0.0793</w:t>
            </w:r>
          </w:p>
        </w:tc>
      </w:tr>
      <w:tr w:rsidR="007D4F22" w:rsidRPr="007D4F22" w14:paraId="388A19A4" w14:textId="77777777" w:rsidTr="4C0A0968">
        <w:trPr>
          <w:trHeight w:val="20"/>
        </w:trPr>
        <w:tc>
          <w:tcPr>
            <w:tcW w:w="685" w:type="pct"/>
            <w:tcBorders>
              <w:bottom w:val="single" w:sz="4" w:space="0" w:color="auto"/>
            </w:tcBorders>
          </w:tcPr>
          <w:p w14:paraId="434D0568" w14:textId="77777777" w:rsidR="007D4F22" w:rsidRPr="007D4F22" w:rsidRDefault="007D4F22" w:rsidP="007D4F22">
            <w:pPr>
              <w:widowControl w:val="0"/>
              <w:spacing w:before="40" w:after="40"/>
              <w:ind w:left="171"/>
              <w:rPr>
                <w:rFonts w:ascii="Arial Narrow" w:hAnsi="Arial Narrow"/>
                <w:sz w:val="20"/>
              </w:rPr>
            </w:pPr>
            <w:r w:rsidRPr="007D4F22">
              <w:rPr>
                <w:rFonts w:ascii="Arial Narrow" w:hAnsi="Arial Narrow"/>
                <w:sz w:val="20"/>
              </w:rPr>
              <w:t>Pericardial effusion</w:t>
            </w:r>
          </w:p>
        </w:tc>
        <w:tc>
          <w:tcPr>
            <w:tcW w:w="380" w:type="pct"/>
            <w:tcBorders>
              <w:bottom w:val="single" w:sz="4" w:space="0" w:color="auto"/>
            </w:tcBorders>
          </w:tcPr>
          <w:p w14:paraId="7CD55021"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11 (0.3)</w:t>
            </w:r>
          </w:p>
        </w:tc>
        <w:tc>
          <w:tcPr>
            <w:tcW w:w="356" w:type="pct"/>
            <w:tcBorders>
              <w:bottom w:val="single" w:sz="4" w:space="0" w:color="auto"/>
            </w:tcBorders>
          </w:tcPr>
          <w:p w14:paraId="1E6FEAAA"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41 (0.1)</w:t>
            </w:r>
          </w:p>
        </w:tc>
        <w:tc>
          <w:tcPr>
            <w:tcW w:w="549" w:type="pct"/>
            <w:tcBorders>
              <w:bottom w:val="single" w:sz="4" w:space="0" w:color="auto"/>
            </w:tcBorders>
          </w:tcPr>
          <w:p w14:paraId="468A4C28"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2.62 [1.35, 5.09]</w:t>
            </w:r>
          </w:p>
        </w:tc>
        <w:tc>
          <w:tcPr>
            <w:tcW w:w="569" w:type="pct"/>
            <w:tcBorders>
              <w:bottom w:val="single" w:sz="4" w:space="0" w:color="auto"/>
            </w:tcBorders>
          </w:tcPr>
          <w:p w14:paraId="4298708D"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0.00 [0.00, 0.00]</w:t>
            </w:r>
          </w:p>
        </w:tc>
        <w:tc>
          <w:tcPr>
            <w:tcW w:w="305" w:type="pct"/>
            <w:tcBorders>
              <w:bottom w:val="single" w:sz="4" w:space="0" w:color="auto"/>
            </w:tcBorders>
            <w:shd w:val="clear" w:color="auto" w:fill="FFFFFF" w:themeFill="background1"/>
          </w:tcPr>
          <w:p w14:paraId="6D2298C7" w14:textId="77777777" w:rsidR="007D4F22" w:rsidRPr="007D4F22" w:rsidRDefault="007D4F22" w:rsidP="007D4F22">
            <w:pPr>
              <w:widowControl w:val="0"/>
              <w:spacing w:before="40" w:after="40"/>
              <w:rPr>
                <w:rFonts w:ascii="Arial Narrow" w:hAnsi="Arial Narrow"/>
                <w:b/>
                <w:bCs/>
                <w:sz w:val="20"/>
              </w:rPr>
            </w:pPr>
            <w:r w:rsidRPr="007D4F22">
              <w:rPr>
                <w:rFonts w:ascii="Arial Narrow" w:hAnsi="Arial Narrow"/>
                <w:b/>
                <w:bCs/>
                <w:sz w:val="20"/>
              </w:rPr>
              <w:t>0.0037</w:t>
            </w:r>
          </w:p>
        </w:tc>
        <w:tc>
          <w:tcPr>
            <w:tcW w:w="355" w:type="pct"/>
            <w:tcBorders>
              <w:bottom w:val="single" w:sz="4" w:space="0" w:color="auto"/>
            </w:tcBorders>
          </w:tcPr>
          <w:p w14:paraId="634BF60A"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12 (0.3)</w:t>
            </w:r>
          </w:p>
        </w:tc>
        <w:tc>
          <w:tcPr>
            <w:tcW w:w="407" w:type="pct"/>
            <w:tcBorders>
              <w:bottom w:val="single" w:sz="4" w:space="0" w:color="auto"/>
            </w:tcBorders>
          </w:tcPr>
          <w:p w14:paraId="742ABF43"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48 (0.1)</w:t>
            </w:r>
          </w:p>
        </w:tc>
        <w:tc>
          <w:tcPr>
            <w:tcW w:w="533" w:type="pct"/>
            <w:tcBorders>
              <w:bottom w:val="single" w:sz="4" w:space="0" w:color="auto"/>
            </w:tcBorders>
          </w:tcPr>
          <w:p w14:paraId="26F8612E"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2.44 [1.30, 4.59]</w:t>
            </w:r>
          </w:p>
        </w:tc>
        <w:tc>
          <w:tcPr>
            <w:tcW w:w="533" w:type="pct"/>
            <w:tcBorders>
              <w:bottom w:val="single" w:sz="4" w:space="0" w:color="auto"/>
            </w:tcBorders>
          </w:tcPr>
          <w:p w14:paraId="21B4F4A9"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0.00 [0.00, 0.00]</w:t>
            </w:r>
          </w:p>
        </w:tc>
        <w:tc>
          <w:tcPr>
            <w:tcW w:w="328" w:type="pct"/>
            <w:shd w:val="clear" w:color="auto" w:fill="FFFFFF" w:themeFill="background1"/>
          </w:tcPr>
          <w:p w14:paraId="361AADCB" w14:textId="77777777" w:rsidR="007D4F22" w:rsidRPr="007D4F22" w:rsidRDefault="007D4F22" w:rsidP="007D4F22">
            <w:pPr>
              <w:widowControl w:val="0"/>
              <w:spacing w:before="40" w:after="40"/>
              <w:rPr>
                <w:rFonts w:ascii="Arial Narrow" w:hAnsi="Arial Narrow"/>
                <w:b/>
                <w:bCs/>
                <w:sz w:val="20"/>
              </w:rPr>
            </w:pPr>
            <w:r w:rsidRPr="007D4F22">
              <w:rPr>
                <w:rFonts w:ascii="Arial Narrow" w:hAnsi="Arial Narrow"/>
                <w:b/>
                <w:bCs/>
                <w:sz w:val="20"/>
              </w:rPr>
              <w:t>0.0120</w:t>
            </w:r>
          </w:p>
        </w:tc>
      </w:tr>
      <w:tr w:rsidR="007D4F22" w:rsidRPr="007D4F22" w14:paraId="60337649" w14:textId="77777777" w:rsidTr="4C0A0968">
        <w:trPr>
          <w:trHeight w:val="20"/>
        </w:trPr>
        <w:tc>
          <w:tcPr>
            <w:tcW w:w="685" w:type="pct"/>
            <w:tcBorders>
              <w:bottom w:val="single" w:sz="4" w:space="0" w:color="auto"/>
            </w:tcBorders>
          </w:tcPr>
          <w:p w14:paraId="25067AB4" w14:textId="77777777" w:rsidR="007D4F22" w:rsidRPr="007D4F22" w:rsidRDefault="007D4F22" w:rsidP="007D4F22">
            <w:pPr>
              <w:widowControl w:val="0"/>
              <w:spacing w:before="40" w:after="40"/>
              <w:ind w:left="171"/>
              <w:rPr>
                <w:rFonts w:ascii="Arial Narrow" w:hAnsi="Arial Narrow"/>
                <w:sz w:val="20"/>
              </w:rPr>
            </w:pPr>
            <w:r w:rsidRPr="007D4F22">
              <w:rPr>
                <w:rFonts w:ascii="Arial Narrow" w:hAnsi="Arial Narrow"/>
                <w:sz w:val="20"/>
              </w:rPr>
              <w:t>Cardiac tamponade</w:t>
            </w:r>
          </w:p>
        </w:tc>
        <w:tc>
          <w:tcPr>
            <w:tcW w:w="380" w:type="pct"/>
            <w:tcBorders>
              <w:bottom w:val="single" w:sz="4" w:space="0" w:color="auto"/>
            </w:tcBorders>
          </w:tcPr>
          <w:p w14:paraId="049E01DE"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52 (1.3)</w:t>
            </w:r>
          </w:p>
        </w:tc>
        <w:tc>
          <w:tcPr>
            <w:tcW w:w="356" w:type="pct"/>
            <w:tcBorders>
              <w:bottom w:val="single" w:sz="4" w:space="0" w:color="auto"/>
            </w:tcBorders>
          </w:tcPr>
          <w:p w14:paraId="3CBA5726"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194 (0.5)</w:t>
            </w:r>
          </w:p>
        </w:tc>
        <w:tc>
          <w:tcPr>
            <w:tcW w:w="549" w:type="pct"/>
            <w:tcBorders>
              <w:bottom w:val="single" w:sz="4" w:space="0" w:color="auto"/>
            </w:tcBorders>
          </w:tcPr>
          <w:p w14:paraId="53AE1ACE"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2.62 [1.93, 3.55]</w:t>
            </w:r>
          </w:p>
        </w:tc>
        <w:tc>
          <w:tcPr>
            <w:tcW w:w="569" w:type="pct"/>
            <w:tcBorders>
              <w:bottom w:val="single" w:sz="4" w:space="0" w:color="auto"/>
            </w:tcBorders>
          </w:tcPr>
          <w:p w14:paraId="59472E0C"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0.01 [0.00, 0.01]</w:t>
            </w:r>
          </w:p>
        </w:tc>
        <w:tc>
          <w:tcPr>
            <w:tcW w:w="305" w:type="pct"/>
            <w:tcBorders>
              <w:bottom w:val="single" w:sz="4" w:space="0" w:color="auto"/>
            </w:tcBorders>
            <w:shd w:val="clear" w:color="auto" w:fill="FFFFFF" w:themeFill="background1"/>
          </w:tcPr>
          <w:p w14:paraId="1ABE5AB4" w14:textId="77777777" w:rsidR="007D4F22" w:rsidRPr="007D4F22" w:rsidRDefault="007D4F22" w:rsidP="007D4F22">
            <w:pPr>
              <w:widowControl w:val="0"/>
              <w:spacing w:before="40" w:after="40"/>
              <w:rPr>
                <w:rFonts w:ascii="Arial Narrow" w:hAnsi="Arial Narrow"/>
                <w:b/>
                <w:bCs/>
                <w:sz w:val="20"/>
              </w:rPr>
            </w:pPr>
            <w:r w:rsidRPr="007D4F22">
              <w:rPr>
                <w:rFonts w:ascii="Arial Narrow" w:hAnsi="Arial Narrow"/>
                <w:b/>
                <w:bCs/>
                <w:sz w:val="20"/>
              </w:rPr>
              <w:t>&lt;0.0001</w:t>
            </w:r>
          </w:p>
        </w:tc>
        <w:tc>
          <w:tcPr>
            <w:tcW w:w="355" w:type="pct"/>
            <w:tcBorders>
              <w:bottom w:val="single" w:sz="4" w:space="0" w:color="auto"/>
            </w:tcBorders>
          </w:tcPr>
          <w:p w14:paraId="13AA64CA"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53 (1.4)</w:t>
            </w:r>
          </w:p>
        </w:tc>
        <w:tc>
          <w:tcPr>
            <w:tcW w:w="407" w:type="pct"/>
            <w:tcBorders>
              <w:bottom w:val="single" w:sz="4" w:space="0" w:color="auto"/>
            </w:tcBorders>
          </w:tcPr>
          <w:p w14:paraId="0AE9521B"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223 (0.6)</w:t>
            </w:r>
          </w:p>
        </w:tc>
        <w:tc>
          <w:tcPr>
            <w:tcW w:w="533" w:type="pct"/>
            <w:tcBorders>
              <w:bottom w:val="single" w:sz="4" w:space="0" w:color="auto"/>
            </w:tcBorders>
          </w:tcPr>
          <w:p w14:paraId="33FF9C8B"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2.32 [1.72, 3.12]</w:t>
            </w:r>
          </w:p>
        </w:tc>
        <w:tc>
          <w:tcPr>
            <w:tcW w:w="533" w:type="pct"/>
            <w:tcBorders>
              <w:bottom w:val="single" w:sz="4" w:space="0" w:color="auto"/>
            </w:tcBorders>
          </w:tcPr>
          <w:p w14:paraId="702545F4"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0.01 [0.00, 0.01]</w:t>
            </w:r>
          </w:p>
        </w:tc>
        <w:tc>
          <w:tcPr>
            <w:tcW w:w="328" w:type="pct"/>
            <w:shd w:val="clear" w:color="auto" w:fill="FFFFFF" w:themeFill="background1"/>
          </w:tcPr>
          <w:p w14:paraId="60F98A17" w14:textId="77777777" w:rsidR="007D4F22" w:rsidRPr="007D4F22" w:rsidRDefault="007D4F22" w:rsidP="007D4F22">
            <w:pPr>
              <w:widowControl w:val="0"/>
              <w:spacing w:before="40" w:after="40"/>
              <w:rPr>
                <w:rFonts w:ascii="Arial Narrow" w:hAnsi="Arial Narrow"/>
                <w:b/>
                <w:bCs/>
                <w:sz w:val="20"/>
              </w:rPr>
            </w:pPr>
            <w:r w:rsidRPr="007D4F22">
              <w:rPr>
                <w:rFonts w:ascii="Arial Narrow" w:hAnsi="Arial Narrow"/>
                <w:b/>
                <w:bCs/>
                <w:sz w:val="20"/>
              </w:rPr>
              <w:t>&lt;0.0001</w:t>
            </w:r>
          </w:p>
        </w:tc>
      </w:tr>
      <w:tr w:rsidR="007D4F22" w:rsidRPr="007D4F22" w14:paraId="1123D424" w14:textId="77777777" w:rsidTr="4C0A0968">
        <w:trPr>
          <w:trHeight w:val="20"/>
        </w:trPr>
        <w:tc>
          <w:tcPr>
            <w:tcW w:w="685" w:type="pct"/>
            <w:tcBorders>
              <w:bottom w:val="single" w:sz="4" w:space="0" w:color="auto"/>
            </w:tcBorders>
          </w:tcPr>
          <w:p w14:paraId="314DB7DF"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Device-related complication</w:t>
            </w:r>
          </w:p>
        </w:tc>
        <w:tc>
          <w:tcPr>
            <w:tcW w:w="380" w:type="pct"/>
            <w:tcBorders>
              <w:bottom w:val="single" w:sz="4" w:space="0" w:color="auto"/>
            </w:tcBorders>
          </w:tcPr>
          <w:p w14:paraId="0D93A854"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62 (1.6)</w:t>
            </w:r>
          </w:p>
        </w:tc>
        <w:tc>
          <w:tcPr>
            <w:tcW w:w="356" w:type="pct"/>
            <w:tcBorders>
              <w:bottom w:val="single" w:sz="4" w:space="0" w:color="auto"/>
            </w:tcBorders>
          </w:tcPr>
          <w:p w14:paraId="74AD4879"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1,480 (3.9)</w:t>
            </w:r>
          </w:p>
        </w:tc>
        <w:tc>
          <w:tcPr>
            <w:tcW w:w="549" w:type="pct"/>
            <w:tcBorders>
              <w:bottom w:val="single" w:sz="4" w:space="0" w:color="auto"/>
            </w:tcBorders>
          </w:tcPr>
          <w:p w14:paraId="36C23F5F"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0.41 [0.32, 0.53]</w:t>
            </w:r>
          </w:p>
        </w:tc>
        <w:tc>
          <w:tcPr>
            <w:tcW w:w="569" w:type="pct"/>
            <w:tcBorders>
              <w:bottom w:val="single" w:sz="4" w:space="0" w:color="auto"/>
            </w:tcBorders>
          </w:tcPr>
          <w:p w14:paraId="5505EB43" w14:textId="23CC9E31" w:rsidR="007D4F22" w:rsidRPr="007D4F22" w:rsidRDefault="00F61DF4" w:rsidP="007D4F22">
            <w:pPr>
              <w:widowControl w:val="0"/>
              <w:spacing w:before="40" w:after="40"/>
              <w:rPr>
                <w:rFonts w:ascii="Arial Narrow" w:hAnsi="Arial Narrow"/>
                <w:sz w:val="20"/>
              </w:rPr>
            </w:pPr>
            <w:r w:rsidRPr="00F61DF4">
              <w:rPr>
                <w:rFonts w:ascii="Arial Narrow" w:hAnsi="Arial Narrow"/>
                <w:sz w:val="20"/>
                <w:lang w:val="en"/>
              </w:rPr>
              <w:t>−</w:t>
            </w:r>
            <w:r w:rsidR="007D4F22" w:rsidRPr="007D4F22">
              <w:rPr>
                <w:rFonts w:ascii="Arial Narrow" w:hAnsi="Arial Narrow"/>
                <w:sz w:val="20"/>
              </w:rPr>
              <w:t>0.02 [</w:t>
            </w:r>
            <w:r w:rsidRPr="00F61DF4">
              <w:rPr>
                <w:rFonts w:ascii="Arial Narrow" w:hAnsi="Arial Narrow"/>
                <w:sz w:val="20"/>
                <w:lang w:val="en"/>
              </w:rPr>
              <w:t>−</w:t>
            </w:r>
            <w:r w:rsidR="007D4F22" w:rsidRPr="007D4F22">
              <w:rPr>
                <w:rFonts w:ascii="Arial Narrow" w:hAnsi="Arial Narrow"/>
                <w:sz w:val="20"/>
              </w:rPr>
              <w:t xml:space="preserve">0.03, </w:t>
            </w:r>
            <w:r w:rsidRPr="00F61DF4">
              <w:rPr>
                <w:rFonts w:ascii="Arial Narrow" w:hAnsi="Arial Narrow"/>
                <w:sz w:val="20"/>
                <w:lang w:val="en"/>
              </w:rPr>
              <w:t>−</w:t>
            </w:r>
            <w:r w:rsidR="007D4F22" w:rsidRPr="007D4F22">
              <w:rPr>
                <w:rFonts w:ascii="Arial Narrow" w:hAnsi="Arial Narrow"/>
                <w:sz w:val="20"/>
              </w:rPr>
              <w:t>0.02]</w:t>
            </w:r>
          </w:p>
        </w:tc>
        <w:tc>
          <w:tcPr>
            <w:tcW w:w="305" w:type="pct"/>
            <w:tcBorders>
              <w:bottom w:val="single" w:sz="4" w:space="0" w:color="auto"/>
            </w:tcBorders>
            <w:shd w:val="clear" w:color="auto" w:fill="FFFFFF" w:themeFill="background1"/>
          </w:tcPr>
          <w:p w14:paraId="5F1F5BAE" w14:textId="77777777" w:rsidR="007D4F22" w:rsidRPr="007D4F22" w:rsidRDefault="007D4F22" w:rsidP="007D4F22">
            <w:pPr>
              <w:widowControl w:val="0"/>
              <w:spacing w:before="40" w:after="40"/>
              <w:rPr>
                <w:rFonts w:ascii="Arial Narrow" w:hAnsi="Arial Narrow"/>
                <w:b/>
                <w:bCs/>
                <w:sz w:val="20"/>
              </w:rPr>
            </w:pPr>
            <w:r w:rsidRPr="007D4F22">
              <w:rPr>
                <w:rFonts w:ascii="Arial Narrow" w:hAnsi="Arial Narrow"/>
                <w:b/>
                <w:bCs/>
                <w:sz w:val="20"/>
              </w:rPr>
              <w:t>&lt;0.0001</w:t>
            </w:r>
          </w:p>
        </w:tc>
        <w:tc>
          <w:tcPr>
            <w:tcW w:w="355" w:type="pct"/>
            <w:tcBorders>
              <w:bottom w:val="single" w:sz="4" w:space="0" w:color="auto"/>
            </w:tcBorders>
          </w:tcPr>
          <w:p w14:paraId="510D0318"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58 (1.5)</w:t>
            </w:r>
          </w:p>
        </w:tc>
        <w:tc>
          <w:tcPr>
            <w:tcW w:w="407" w:type="pct"/>
            <w:tcBorders>
              <w:bottom w:val="single" w:sz="4" w:space="0" w:color="auto"/>
            </w:tcBorders>
          </w:tcPr>
          <w:p w14:paraId="7B3C843C"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1552 (4.1)</w:t>
            </w:r>
          </w:p>
        </w:tc>
        <w:tc>
          <w:tcPr>
            <w:tcW w:w="533" w:type="pct"/>
            <w:tcBorders>
              <w:bottom w:val="single" w:sz="4" w:space="0" w:color="auto"/>
            </w:tcBorders>
          </w:tcPr>
          <w:p w14:paraId="5BA9EDCD"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0.36 [0.28, 0.47]</w:t>
            </w:r>
          </w:p>
        </w:tc>
        <w:tc>
          <w:tcPr>
            <w:tcW w:w="533" w:type="pct"/>
            <w:tcBorders>
              <w:bottom w:val="single" w:sz="4" w:space="0" w:color="auto"/>
            </w:tcBorders>
          </w:tcPr>
          <w:p w14:paraId="2114C2FE" w14:textId="4538E4E4" w:rsidR="007D4F22" w:rsidRPr="007D4F22" w:rsidRDefault="00F61DF4" w:rsidP="007D4F22">
            <w:pPr>
              <w:widowControl w:val="0"/>
              <w:spacing w:before="40" w:after="40"/>
              <w:rPr>
                <w:rFonts w:ascii="Arial Narrow" w:hAnsi="Arial Narrow"/>
                <w:sz w:val="20"/>
              </w:rPr>
            </w:pPr>
            <w:r w:rsidRPr="00F61DF4">
              <w:rPr>
                <w:rFonts w:ascii="Arial Narrow" w:hAnsi="Arial Narrow"/>
                <w:sz w:val="20"/>
                <w:lang w:val="en"/>
              </w:rPr>
              <w:t>−</w:t>
            </w:r>
            <w:r w:rsidR="007D4F22" w:rsidRPr="007D4F22">
              <w:rPr>
                <w:rFonts w:ascii="Arial Narrow" w:hAnsi="Arial Narrow"/>
                <w:sz w:val="20"/>
              </w:rPr>
              <w:t>0.03 [</w:t>
            </w:r>
            <w:r w:rsidRPr="00F61DF4">
              <w:rPr>
                <w:rFonts w:ascii="Arial Narrow" w:hAnsi="Arial Narrow"/>
                <w:sz w:val="20"/>
                <w:lang w:val="en"/>
              </w:rPr>
              <w:t>−</w:t>
            </w:r>
            <w:r w:rsidR="007D4F22" w:rsidRPr="007D4F22">
              <w:rPr>
                <w:rFonts w:ascii="Arial Narrow" w:hAnsi="Arial Narrow"/>
                <w:sz w:val="20"/>
              </w:rPr>
              <w:t xml:space="preserve">0.03, </w:t>
            </w:r>
            <w:r w:rsidRPr="00F61DF4">
              <w:rPr>
                <w:rFonts w:ascii="Arial Narrow" w:hAnsi="Arial Narrow"/>
                <w:sz w:val="20"/>
                <w:lang w:val="en"/>
              </w:rPr>
              <w:t>−</w:t>
            </w:r>
            <w:r w:rsidR="007D4F22" w:rsidRPr="007D4F22">
              <w:rPr>
                <w:rFonts w:ascii="Arial Narrow" w:hAnsi="Arial Narrow"/>
                <w:sz w:val="20"/>
              </w:rPr>
              <w:t>0.02]</w:t>
            </w:r>
          </w:p>
        </w:tc>
        <w:tc>
          <w:tcPr>
            <w:tcW w:w="328" w:type="pct"/>
            <w:shd w:val="clear" w:color="auto" w:fill="FFFFFF" w:themeFill="background1"/>
          </w:tcPr>
          <w:p w14:paraId="348944DE" w14:textId="77777777" w:rsidR="007D4F22" w:rsidRPr="007D4F22" w:rsidRDefault="007D4F22" w:rsidP="007D4F22">
            <w:pPr>
              <w:widowControl w:val="0"/>
              <w:spacing w:before="40" w:after="40"/>
              <w:rPr>
                <w:rFonts w:ascii="Arial Narrow" w:hAnsi="Arial Narrow"/>
                <w:b/>
                <w:bCs/>
                <w:sz w:val="20"/>
              </w:rPr>
            </w:pPr>
            <w:r w:rsidRPr="007D4F22">
              <w:rPr>
                <w:rFonts w:ascii="Arial Narrow" w:hAnsi="Arial Narrow"/>
                <w:b/>
                <w:bCs/>
                <w:sz w:val="20"/>
              </w:rPr>
              <w:t>&lt;0.0001</w:t>
            </w:r>
          </w:p>
        </w:tc>
      </w:tr>
      <w:tr w:rsidR="007D4F22" w:rsidRPr="007D4F22" w14:paraId="74464A64" w14:textId="77777777" w:rsidTr="4C0A0968">
        <w:trPr>
          <w:trHeight w:val="20"/>
        </w:trPr>
        <w:tc>
          <w:tcPr>
            <w:tcW w:w="685" w:type="pct"/>
            <w:tcBorders>
              <w:bottom w:val="single" w:sz="4" w:space="0" w:color="auto"/>
            </w:tcBorders>
          </w:tcPr>
          <w:p w14:paraId="268E143D" w14:textId="77777777" w:rsidR="007D4F22" w:rsidRPr="007D4F22" w:rsidRDefault="007D4F22" w:rsidP="007D4F22">
            <w:pPr>
              <w:widowControl w:val="0"/>
              <w:spacing w:before="40" w:after="40"/>
              <w:ind w:left="171"/>
              <w:rPr>
                <w:rFonts w:ascii="Arial Narrow" w:hAnsi="Arial Narrow"/>
                <w:sz w:val="20"/>
              </w:rPr>
            </w:pPr>
            <w:r w:rsidRPr="007D4F22">
              <w:rPr>
                <w:rFonts w:ascii="Arial Narrow" w:hAnsi="Arial Narrow"/>
                <w:sz w:val="20"/>
              </w:rPr>
              <w:t xml:space="preserve">Mechanical </w:t>
            </w:r>
            <w:r w:rsidRPr="007D4F22">
              <w:rPr>
                <w:rFonts w:ascii="Arial Narrow" w:hAnsi="Arial Narrow"/>
                <w:sz w:val="20"/>
              </w:rPr>
              <w:lastRenderedPageBreak/>
              <w:t>breakdown of CIED</w:t>
            </w:r>
          </w:p>
        </w:tc>
        <w:tc>
          <w:tcPr>
            <w:tcW w:w="380" w:type="pct"/>
            <w:tcBorders>
              <w:bottom w:val="single" w:sz="4" w:space="0" w:color="auto"/>
            </w:tcBorders>
          </w:tcPr>
          <w:p w14:paraId="33AB339D"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lastRenderedPageBreak/>
              <w:t>19 (0.5)</w:t>
            </w:r>
          </w:p>
        </w:tc>
        <w:tc>
          <w:tcPr>
            <w:tcW w:w="356" w:type="pct"/>
            <w:tcBorders>
              <w:bottom w:val="single" w:sz="4" w:space="0" w:color="auto"/>
            </w:tcBorders>
          </w:tcPr>
          <w:p w14:paraId="49E7E481"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501 (1.3)</w:t>
            </w:r>
          </w:p>
        </w:tc>
        <w:tc>
          <w:tcPr>
            <w:tcW w:w="549" w:type="pct"/>
            <w:tcBorders>
              <w:bottom w:val="single" w:sz="4" w:space="0" w:color="auto"/>
            </w:tcBorders>
          </w:tcPr>
          <w:p w14:paraId="6035F3DD"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0.37 [0.23, 0.58]</w:t>
            </w:r>
          </w:p>
        </w:tc>
        <w:tc>
          <w:tcPr>
            <w:tcW w:w="569" w:type="pct"/>
            <w:tcBorders>
              <w:bottom w:val="single" w:sz="4" w:space="0" w:color="auto"/>
            </w:tcBorders>
          </w:tcPr>
          <w:p w14:paraId="10D95EAC" w14:textId="022F155F" w:rsidR="007D4F22" w:rsidRPr="007D4F22" w:rsidRDefault="00F61DF4" w:rsidP="007D4F22">
            <w:pPr>
              <w:widowControl w:val="0"/>
              <w:spacing w:before="40" w:after="40"/>
              <w:rPr>
                <w:rFonts w:ascii="Arial Narrow" w:hAnsi="Arial Narrow"/>
                <w:sz w:val="20"/>
              </w:rPr>
            </w:pPr>
            <w:r w:rsidRPr="00F61DF4">
              <w:rPr>
                <w:rFonts w:ascii="Arial Narrow" w:hAnsi="Arial Narrow"/>
                <w:sz w:val="20"/>
                <w:lang w:val="en"/>
              </w:rPr>
              <w:t>−</w:t>
            </w:r>
            <w:r w:rsidR="007D4F22" w:rsidRPr="007D4F22">
              <w:rPr>
                <w:rFonts w:ascii="Arial Narrow" w:hAnsi="Arial Narrow"/>
                <w:sz w:val="20"/>
              </w:rPr>
              <w:t>0.01 [</w:t>
            </w:r>
            <w:r w:rsidRPr="00F61DF4">
              <w:rPr>
                <w:rFonts w:ascii="Arial Narrow" w:hAnsi="Arial Narrow"/>
                <w:sz w:val="20"/>
                <w:lang w:val="en"/>
              </w:rPr>
              <w:t>−</w:t>
            </w:r>
            <w:r w:rsidR="007D4F22" w:rsidRPr="007D4F22">
              <w:rPr>
                <w:rFonts w:ascii="Arial Narrow" w:hAnsi="Arial Narrow"/>
                <w:sz w:val="20"/>
              </w:rPr>
              <w:t xml:space="preserve">0.01, </w:t>
            </w:r>
            <w:r w:rsidRPr="00F61DF4">
              <w:rPr>
                <w:rFonts w:ascii="Arial Narrow" w:hAnsi="Arial Narrow"/>
                <w:sz w:val="20"/>
                <w:lang w:val="en"/>
              </w:rPr>
              <w:lastRenderedPageBreak/>
              <w:t>−</w:t>
            </w:r>
            <w:r w:rsidR="007D4F22" w:rsidRPr="007D4F22">
              <w:rPr>
                <w:rFonts w:ascii="Arial Narrow" w:hAnsi="Arial Narrow"/>
                <w:sz w:val="20"/>
              </w:rPr>
              <w:t>0.01]</w:t>
            </w:r>
          </w:p>
        </w:tc>
        <w:tc>
          <w:tcPr>
            <w:tcW w:w="305" w:type="pct"/>
            <w:tcBorders>
              <w:bottom w:val="single" w:sz="4" w:space="0" w:color="auto"/>
            </w:tcBorders>
            <w:shd w:val="clear" w:color="auto" w:fill="FFFFFF" w:themeFill="background1"/>
          </w:tcPr>
          <w:p w14:paraId="7E11A9D9" w14:textId="77777777" w:rsidR="007D4F22" w:rsidRPr="007D4F22" w:rsidRDefault="007D4F22" w:rsidP="007D4F22">
            <w:pPr>
              <w:widowControl w:val="0"/>
              <w:spacing w:before="40" w:after="40"/>
              <w:rPr>
                <w:rFonts w:ascii="Arial Narrow" w:hAnsi="Arial Narrow"/>
                <w:b/>
                <w:bCs/>
                <w:sz w:val="20"/>
              </w:rPr>
            </w:pPr>
            <w:r w:rsidRPr="007D4F22">
              <w:rPr>
                <w:rFonts w:ascii="Arial Narrow" w:hAnsi="Arial Narrow"/>
                <w:b/>
                <w:bCs/>
                <w:sz w:val="20"/>
              </w:rPr>
              <w:lastRenderedPageBreak/>
              <w:t>&lt;0.0001</w:t>
            </w:r>
          </w:p>
        </w:tc>
        <w:tc>
          <w:tcPr>
            <w:tcW w:w="355" w:type="pct"/>
            <w:tcBorders>
              <w:bottom w:val="single" w:sz="4" w:space="0" w:color="auto"/>
            </w:tcBorders>
          </w:tcPr>
          <w:p w14:paraId="06ADE0F9"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20 (0.5)</w:t>
            </w:r>
          </w:p>
        </w:tc>
        <w:tc>
          <w:tcPr>
            <w:tcW w:w="407" w:type="pct"/>
            <w:tcBorders>
              <w:bottom w:val="single" w:sz="4" w:space="0" w:color="auto"/>
            </w:tcBorders>
          </w:tcPr>
          <w:p w14:paraId="579C5CBD"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515 (1.4)</w:t>
            </w:r>
          </w:p>
        </w:tc>
        <w:tc>
          <w:tcPr>
            <w:tcW w:w="533" w:type="pct"/>
            <w:tcBorders>
              <w:bottom w:val="single" w:sz="4" w:space="0" w:color="auto"/>
            </w:tcBorders>
          </w:tcPr>
          <w:p w14:paraId="249EA5EA"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0.38 [0.24, 0.59]</w:t>
            </w:r>
          </w:p>
        </w:tc>
        <w:tc>
          <w:tcPr>
            <w:tcW w:w="533" w:type="pct"/>
            <w:tcBorders>
              <w:bottom w:val="single" w:sz="4" w:space="0" w:color="auto"/>
            </w:tcBorders>
          </w:tcPr>
          <w:p w14:paraId="754FC105" w14:textId="19CB7251" w:rsidR="007D4F22" w:rsidRPr="007D4F22" w:rsidRDefault="00F61DF4" w:rsidP="007D4F22">
            <w:pPr>
              <w:widowControl w:val="0"/>
              <w:spacing w:before="40" w:after="40"/>
              <w:rPr>
                <w:rFonts w:ascii="Arial Narrow" w:hAnsi="Arial Narrow"/>
                <w:sz w:val="20"/>
              </w:rPr>
            </w:pPr>
            <w:r w:rsidRPr="00F61DF4">
              <w:rPr>
                <w:rFonts w:ascii="Arial Narrow" w:hAnsi="Arial Narrow"/>
                <w:sz w:val="20"/>
                <w:lang w:val="en"/>
              </w:rPr>
              <w:t>−</w:t>
            </w:r>
            <w:r w:rsidR="007D4F22" w:rsidRPr="007D4F22">
              <w:rPr>
                <w:rFonts w:ascii="Arial Narrow" w:hAnsi="Arial Narrow"/>
                <w:sz w:val="20"/>
              </w:rPr>
              <w:t>0.01 [</w:t>
            </w:r>
            <w:r w:rsidRPr="00F61DF4">
              <w:rPr>
                <w:rFonts w:ascii="Arial Narrow" w:hAnsi="Arial Narrow"/>
                <w:sz w:val="20"/>
                <w:lang w:val="en"/>
              </w:rPr>
              <w:t>−</w:t>
            </w:r>
            <w:r w:rsidR="007D4F22" w:rsidRPr="007D4F22">
              <w:rPr>
                <w:rFonts w:ascii="Arial Narrow" w:hAnsi="Arial Narrow"/>
                <w:sz w:val="20"/>
              </w:rPr>
              <w:t xml:space="preserve">0.01, </w:t>
            </w:r>
            <w:r w:rsidRPr="00F61DF4">
              <w:rPr>
                <w:rFonts w:ascii="Arial Narrow" w:hAnsi="Arial Narrow"/>
                <w:sz w:val="20"/>
                <w:lang w:val="en"/>
              </w:rPr>
              <w:lastRenderedPageBreak/>
              <w:t>−</w:t>
            </w:r>
            <w:r w:rsidR="007D4F22" w:rsidRPr="007D4F22">
              <w:rPr>
                <w:rFonts w:ascii="Arial Narrow" w:hAnsi="Arial Narrow"/>
                <w:sz w:val="20"/>
              </w:rPr>
              <w:t>0.01]</w:t>
            </w:r>
          </w:p>
        </w:tc>
        <w:tc>
          <w:tcPr>
            <w:tcW w:w="328" w:type="pct"/>
            <w:shd w:val="clear" w:color="auto" w:fill="FFFFFF" w:themeFill="background1"/>
          </w:tcPr>
          <w:p w14:paraId="0FACD3CE" w14:textId="77777777" w:rsidR="007D4F22" w:rsidRPr="007D4F22" w:rsidRDefault="007D4F22" w:rsidP="007D4F22">
            <w:pPr>
              <w:widowControl w:val="0"/>
              <w:spacing w:before="40" w:after="40"/>
              <w:rPr>
                <w:rFonts w:ascii="Arial Narrow" w:hAnsi="Arial Narrow"/>
                <w:b/>
                <w:bCs/>
                <w:sz w:val="20"/>
              </w:rPr>
            </w:pPr>
            <w:r w:rsidRPr="007D4F22">
              <w:rPr>
                <w:rFonts w:ascii="Arial Narrow" w:hAnsi="Arial Narrow"/>
                <w:b/>
                <w:bCs/>
                <w:sz w:val="20"/>
              </w:rPr>
              <w:lastRenderedPageBreak/>
              <w:t>&lt;0.0001</w:t>
            </w:r>
          </w:p>
        </w:tc>
      </w:tr>
      <w:tr w:rsidR="007D4F22" w:rsidRPr="007D4F22" w14:paraId="563F1E17" w14:textId="77777777" w:rsidTr="4C0A0968">
        <w:trPr>
          <w:trHeight w:val="20"/>
        </w:trPr>
        <w:tc>
          <w:tcPr>
            <w:tcW w:w="685" w:type="pct"/>
            <w:tcBorders>
              <w:bottom w:val="single" w:sz="4" w:space="0" w:color="auto"/>
            </w:tcBorders>
          </w:tcPr>
          <w:p w14:paraId="47A0E63F" w14:textId="77777777" w:rsidR="007D4F22" w:rsidRPr="007D4F22" w:rsidRDefault="007D4F22" w:rsidP="007D4F22">
            <w:pPr>
              <w:widowControl w:val="0"/>
              <w:spacing w:before="40" w:after="40"/>
              <w:ind w:left="171"/>
              <w:rPr>
                <w:rFonts w:ascii="Arial Narrow" w:hAnsi="Arial Narrow"/>
                <w:sz w:val="20"/>
              </w:rPr>
            </w:pPr>
            <w:r w:rsidRPr="007D4F22">
              <w:rPr>
                <w:rFonts w:ascii="Arial Narrow" w:hAnsi="Arial Narrow"/>
                <w:sz w:val="20"/>
              </w:rPr>
              <w:t>Device dislodgment</w:t>
            </w:r>
          </w:p>
        </w:tc>
        <w:tc>
          <w:tcPr>
            <w:tcW w:w="380" w:type="pct"/>
            <w:tcBorders>
              <w:bottom w:val="single" w:sz="4" w:space="0" w:color="auto"/>
            </w:tcBorders>
          </w:tcPr>
          <w:p w14:paraId="02ADEBE9"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16 (0.4)</w:t>
            </w:r>
          </w:p>
        </w:tc>
        <w:tc>
          <w:tcPr>
            <w:tcW w:w="356" w:type="pct"/>
            <w:tcBorders>
              <w:bottom w:val="single" w:sz="4" w:space="0" w:color="auto"/>
            </w:tcBorders>
          </w:tcPr>
          <w:p w14:paraId="65400822"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795 (2.1)</w:t>
            </w:r>
          </w:p>
        </w:tc>
        <w:tc>
          <w:tcPr>
            <w:tcW w:w="549" w:type="pct"/>
            <w:tcBorders>
              <w:bottom w:val="single" w:sz="4" w:space="0" w:color="auto"/>
            </w:tcBorders>
          </w:tcPr>
          <w:p w14:paraId="6484ECEC"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0.20 [0.12, 0.32]</w:t>
            </w:r>
          </w:p>
        </w:tc>
        <w:tc>
          <w:tcPr>
            <w:tcW w:w="569" w:type="pct"/>
            <w:tcBorders>
              <w:bottom w:val="single" w:sz="4" w:space="0" w:color="auto"/>
            </w:tcBorders>
          </w:tcPr>
          <w:p w14:paraId="5A821225" w14:textId="73684505" w:rsidR="007D4F22" w:rsidRPr="007D4F22" w:rsidRDefault="00F61DF4" w:rsidP="007D4F22">
            <w:pPr>
              <w:widowControl w:val="0"/>
              <w:spacing w:before="40" w:after="40"/>
              <w:rPr>
                <w:rFonts w:ascii="Arial Narrow" w:hAnsi="Arial Narrow"/>
                <w:sz w:val="20"/>
              </w:rPr>
            </w:pPr>
            <w:r w:rsidRPr="00F61DF4">
              <w:rPr>
                <w:rFonts w:ascii="Arial Narrow" w:hAnsi="Arial Narrow"/>
                <w:sz w:val="20"/>
                <w:lang w:val="en"/>
              </w:rPr>
              <w:t>−</w:t>
            </w:r>
            <w:r w:rsidR="007D4F22" w:rsidRPr="007D4F22">
              <w:rPr>
                <w:rFonts w:ascii="Arial Narrow" w:hAnsi="Arial Narrow"/>
                <w:sz w:val="20"/>
              </w:rPr>
              <w:t>0.02 [</w:t>
            </w:r>
            <w:r w:rsidRPr="00F61DF4">
              <w:rPr>
                <w:rFonts w:ascii="Arial Narrow" w:hAnsi="Arial Narrow"/>
                <w:sz w:val="20"/>
                <w:lang w:val="en"/>
              </w:rPr>
              <w:t>−</w:t>
            </w:r>
            <w:r w:rsidR="007D4F22" w:rsidRPr="007D4F22">
              <w:rPr>
                <w:rFonts w:ascii="Arial Narrow" w:hAnsi="Arial Narrow"/>
                <w:sz w:val="20"/>
              </w:rPr>
              <w:t xml:space="preserve">0.02, </w:t>
            </w:r>
            <w:r w:rsidRPr="00F61DF4">
              <w:rPr>
                <w:rFonts w:ascii="Arial Narrow" w:hAnsi="Arial Narrow"/>
                <w:sz w:val="20"/>
                <w:lang w:val="en"/>
              </w:rPr>
              <w:t>−</w:t>
            </w:r>
            <w:r w:rsidR="007D4F22" w:rsidRPr="007D4F22">
              <w:rPr>
                <w:rFonts w:ascii="Arial Narrow" w:hAnsi="Arial Narrow"/>
                <w:sz w:val="20"/>
              </w:rPr>
              <w:t>0.01]</w:t>
            </w:r>
          </w:p>
        </w:tc>
        <w:tc>
          <w:tcPr>
            <w:tcW w:w="305" w:type="pct"/>
            <w:tcBorders>
              <w:bottom w:val="single" w:sz="4" w:space="0" w:color="auto"/>
            </w:tcBorders>
            <w:shd w:val="clear" w:color="auto" w:fill="FFFFFF" w:themeFill="background1"/>
          </w:tcPr>
          <w:p w14:paraId="4AFEEB4F" w14:textId="77777777" w:rsidR="007D4F22" w:rsidRPr="007D4F22" w:rsidRDefault="007D4F22" w:rsidP="007D4F22">
            <w:pPr>
              <w:widowControl w:val="0"/>
              <w:spacing w:before="40" w:after="40"/>
              <w:rPr>
                <w:rFonts w:ascii="Arial Narrow" w:hAnsi="Arial Narrow"/>
                <w:b/>
                <w:bCs/>
                <w:sz w:val="20"/>
              </w:rPr>
            </w:pPr>
            <w:r w:rsidRPr="007D4F22">
              <w:rPr>
                <w:rFonts w:ascii="Arial Narrow" w:hAnsi="Arial Narrow"/>
                <w:b/>
                <w:bCs/>
                <w:sz w:val="20"/>
              </w:rPr>
              <w:t>&lt;0.0001</w:t>
            </w:r>
          </w:p>
        </w:tc>
        <w:tc>
          <w:tcPr>
            <w:tcW w:w="355" w:type="pct"/>
            <w:tcBorders>
              <w:bottom w:val="single" w:sz="4" w:space="0" w:color="auto"/>
            </w:tcBorders>
          </w:tcPr>
          <w:p w14:paraId="309615AF"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16 (0.4)</w:t>
            </w:r>
          </w:p>
        </w:tc>
        <w:tc>
          <w:tcPr>
            <w:tcW w:w="407" w:type="pct"/>
            <w:tcBorders>
              <w:bottom w:val="single" w:sz="4" w:space="0" w:color="auto"/>
            </w:tcBorders>
          </w:tcPr>
          <w:p w14:paraId="08CAA834"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803 (2.1)</w:t>
            </w:r>
          </w:p>
        </w:tc>
        <w:tc>
          <w:tcPr>
            <w:tcW w:w="533" w:type="pct"/>
            <w:tcBorders>
              <w:bottom w:val="single" w:sz="4" w:space="0" w:color="auto"/>
            </w:tcBorders>
          </w:tcPr>
          <w:p w14:paraId="61A38D42"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0.19 [0.12, 0.32]</w:t>
            </w:r>
          </w:p>
        </w:tc>
        <w:tc>
          <w:tcPr>
            <w:tcW w:w="533" w:type="pct"/>
            <w:tcBorders>
              <w:bottom w:val="single" w:sz="4" w:space="0" w:color="auto"/>
            </w:tcBorders>
          </w:tcPr>
          <w:p w14:paraId="5A6F09EC" w14:textId="003A6E33" w:rsidR="007D4F22" w:rsidRPr="007D4F22" w:rsidRDefault="00F61DF4" w:rsidP="007D4F22">
            <w:pPr>
              <w:widowControl w:val="0"/>
              <w:spacing w:before="40" w:after="40"/>
              <w:rPr>
                <w:rFonts w:ascii="Arial Narrow" w:hAnsi="Arial Narrow"/>
                <w:sz w:val="20"/>
              </w:rPr>
            </w:pPr>
            <w:r w:rsidRPr="00F61DF4">
              <w:rPr>
                <w:rFonts w:ascii="Arial Narrow" w:hAnsi="Arial Narrow"/>
                <w:sz w:val="20"/>
                <w:lang w:val="en"/>
              </w:rPr>
              <w:t>−</w:t>
            </w:r>
            <w:r w:rsidR="007D4F22" w:rsidRPr="007D4F22">
              <w:rPr>
                <w:rFonts w:ascii="Arial Narrow" w:hAnsi="Arial Narrow"/>
                <w:sz w:val="20"/>
              </w:rPr>
              <w:t>0.02 [</w:t>
            </w:r>
            <w:r w:rsidRPr="00F61DF4">
              <w:rPr>
                <w:rFonts w:ascii="Arial Narrow" w:hAnsi="Arial Narrow"/>
                <w:sz w:val="20"/>
                <w:lang w:val="en"/>
              </w:rPr>
              <w:t>−</w:t>
            </w:r>
            <w:r w:rsidR="007D4F22" w:rsidRPr="007D4F22">
              <w:rPr>
                <w:rFonts w:ascii="Arial Narrow" w:hAnsi="Arial Narrow"/>
                <w:sz w:val="20"/>
              </w:rPr>
              <w:t xml:space="preserve">0.02, </w:t>
            </w:r>
            <w:r w:rsidRPr="00F61DF4">
              <w:rPr>
                <w:rFonts w:ascii="Arial Narrow" w:hAnsi="Arial Narrow"/>
                <w:sz w:val="20"/>
                <w:lang w:val="en"/>
              </w:rPr>
              <w:t>−</w:t>
            </w:r>
            <w:r w:rsidR="007D4F22" w:rsidRPr="007D4F22">
              <w:rPr>
                <w:rFonts w:ascii="Arial Narrow" w:hAnsi="Arial Narrow"/>
                <w:sz w:val="20"/>
              </w:rPr>
              <w:t>0.01]</w:t>
            </w:r>
          </w:p>
        </w:tc>
        <w:tc>
          <w:tcPr>
            <w:tcW w:w="328" w:type="pct"/>
            <w:shd w:val="clear" w:color="auto" w:fill="FFFFFF" w:themeFill="background1"/>
          </w:tcPr>
          <w:p w14:paraId="70DC809E" w14:textId="77777777" w:rsidR="007D4F22" w:rsidRPr="007D4F22" w:rsidRDefault="007D4F22" w:rsidP="007D4F22">
            <w:pPr>
              <w:widowControl w:val="0"/>
              <w:spacing w:before="40" w:after="40"/>
              <w:rPr>
                <w:rFonts w:ascii="Arial Narrow" w:hAnsi="Arial Narrow"/>
                <w:b/>
                <w:bCs/>
                <w:sz w:val="20"/>
              </w:rPr>
            </w:pPr>
            <w:r w:rsidRPr="007D4F22">
              <w:rPr>
                <w:rFonts w:ascii="Arial Narrow" w:hAnsi="Arial Narrow"/>
                <w:b/>
                <w:bCs/>
                <w:sz w:val="20"/>
              </w:rPr>
              <w:t>&lt;0.0001</w:t>
            </w:r>
          </w:p>
        </w:tc>
      </w:tr>
      <w:tr w:rsidR="007D4F22" w:rsidRPr="007D4F22" w14:paraId="526D2909" w14:textId="77777777" w:rsidTr="4C0A0968">
        <w:trPr>
          <w:trHeight w:val="20"/>
        </w:trPr>
        <w:tc>
          <w:tcPr>
            <w:tcW w:w="685" w:type="pct"/>
            <w:tcBorders>
              <w:bottom w:val="single" w:sz="4" w:space="0" w:color="auto"/>
            </w:tcBorders>
          </w:tcPr>
          <w:p w14:paraId="4E723963" w14:textId="77777777" w:rsidR="007D4F22" w:rsidRPr="007D4F22" w:rsidRDefault="007D4F22" w:rsidP="007D4F22">
            <w:pPr>
              <w:widowControl w:val="0"/>
              <w:spacing w:before="40" w:after="40"/>
              <w:ind w:left="171"/>
              <w:rPr>
                <w:rFonts w:ascii="Arial Narrow" w:hAnsi="Arial Narrow"/>
                <w:sz w:val="20"/>
              </w:rPr>
            </w:pPr>
            <w:r w:rsidRPr="007D4F22">
              <w:rPr>
                <w:rFonts w:ascii="Arial Narrow" w:hAnsi="Arial Narrow"/>
                <w:sz w:val="20"/>
              </w:rPr>
              <w:t>Other mechanical complication of CIED</w:t>
            </w:r>
          </w:p>
        </w:tc>
        <w:tc>
          <w:tcPr>
            <w:tcW w:w="380" w:type="pct"/>
            <w:tcBorders>
              <w:bottom w:val="single" w:sz="4" w:space="0" w:color="auto"/>
            </w:tcBorders>
          </w:tcPr>
          <w:p w14:paraId="0F106D6D"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15 (0.4)</w:t>
            </w:r>
          </w:p>
        </w:tc>
        <w:tc>
          <w:tcPr>
            <w:tcW w:w="356" w:type="pct"/>
            <w:tcBorders>
              <w:bottom w:val="single" w:sz="4" w:space="0" w:color="auto"/>
            </w:tcBorders>
          </w:tcPr>
          <w:p w14:paraId="044295A4"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289 (0.8)</w:t>
            </w:r>
          </w:p>
        </w:tc>
        <w:tc>
          <w:tcPr>
            <w:tcW w:w="549" w:type="pct"/>
            <w:tcBorders>
              <w:bottom w:val="single" w:sz="4" w:space="0" w:color="auto"/>
            </w:tcBorders>
          </w:tcPr>
          <w:p w14:paraId="09735A0C"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0.51 [0.30, 0.85]</w:t>
            </w:r>
          </w:p>
        </w:tc>
        <w:tc>
          <w:tcPr>
            <w:tcW w:w="569" w:type="pct"/>
            <w:tcBorders>
              <w:bottom w:val="single" w:sz="4" w:space="0" w:color="auto"/>
            </w:tcBorders>
          </w:tcPr>
          <w:p w14:paraId="29522AF2" w14:textId="0AC58C8D" w:rsidR="007D4F22" w:rsidRPr="007D4F22" w:rsidRDefault="00F61DF4" w:rsidP="007D4F22">
            <w:pPr>
              <w:widowControl w:val="0"/>
              <w:spacing w:before="40" w:after="40"/>
              <w:rPr>
                <w:rFonts w:ascii="Arial Narrow" w:hAnsi="Arial Narrow"/>
                <w:sz w:val="20"/>
              </w:rPr>
            </w:pPr>
            <w:r w:rsidRPr="00F61DF4">
              <w:rPr>
                <w:rFonts w:ascii="Arial Narrow" w:hAnsi="Arial Narrow"/>
                <w:sz w:val="20"/>
                <w:lang w:val="en"/>
              </w:rPr>
              <w:t>−</w:t>
            </w:r>
            <w:r w:rsidR="007D4F22" w:rsidRPr="007D4F22">
              <w:rPr>
                <w:rFonts w:ascii="Arial Narrow" w:hAnsi="Arial Narrow"/>
                <w:sz w:val="20"/>
              </w:rPr>
              <w:t>0.00 [</w:t>
            </w:r>
            <w:r w:rsidRPr="00F61DF4">
              <w:rPr>
                <w:rFonts w:ascii="Arial Narrow" w:hAnsi="Arial Narrow"/>
                <w:sz w:val="20"/>
                <w:lang w:val="en"/>
              </w:rPr>
              <w:t>−</w:t>
            </w:r>
            <w:r w:rsidR="007D4F22" w:rsidRPr="007D4F22">
              <w:rPr>
                <w:rFonts w:ascii="Arial Narrow" w:hAnsi="Arial Narrow"/>
                <w:sz w:val="20"/>
              </w:rPr>
              <w:t xml:space="preserve">0.01, </w:t>
            </w:r>
            <w:r w:rsidRPr="00F61DF4">
              <w:rPr>
                <w:rFonts w:ascii="Arial Narrow" w:hAnsi="Arial Narrow"/>
                <w:sz w:val="20"/>
                <w:lang w:val="en"/>
              </w:rPr>
              <w:t>−</w:t>
            </w:r>
            <w:r w:rsidR="007D4F22" w:rsidRPr="007D4F22">
              <w:rPr>
                <w:rFonts w:ascii="Arial Narrow" w:hAnsi="Arial Narrow"/>
                <w:sz w:val="20"/>
              </w:rPr>
              <w:t>0.00]</w:t>
            </w:r>
          </w:p>
        </w:tc>
        <w:tc>
          <w:tcPr>
            <w:tcW w:w="305" w:type="pct"/>
            <w:tcBorders>
              <w:bottom w:val="single" w:sz="4" w:space="0" w:color="auto"/>
            </w:tcBorders>
            <w:shd w:val="clear" w:color="auto" w:fill="FFFFFF" w:themeFill="background1"/>
          </w:tcPr>
          <w:p w14:paraId="50463C50" w14:textId="77777777" w:rsidR="007D4F22" w:rsidRPr="007D4F22" w:rsidRDefault="007D4F22" w:rsidP="007D4F22">
            <w:pPr>
              <w:widowControl w:val="0"/>
              <w:spacing w:before="40" w:after="40"/>
              <w:rPr>
                <w:rFonts w:ascii="Arial Narrow" w:hAnsi="Arial Narrow"/>
                <w:b/>
                <w:bCs/>
                <w:sz w:val="20"/>
              </w:rPr>
            </w:pPr>
            <w:r w:rsidRPr="007D4F22">
              <w:rPr>
                <w:rFonts w:ascii="Arial Narrow" w:hAnsi="Arial Narrow"/>
                <w:b/>
                <w:bCs/>
                <w:sz w:val="20"/>
              </w:rPr>
              <w:t>0.0071</w:t>
            </w:r>
          </w:p>
        </w:tc>
        <w:tc>
          <w:tcPr>
            <w:tcW w:w="355" w:type="pct"/>
            <w:tcBorders>
              <w:bottom w:val="single" w:sz="4" w:space="0" w:color="auto"/>
            </w:tcBorders>
          </w:tcPr>
          <w:p w14:paraId="31849DF5"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14 (0.4)</w:t>
            </w:r>
          </w:p>
        </w:tc>
        <w:tc>
          <w:tcPr>
            <w:tcW w:w="407" w:type="pct"/>
            <w:tcBorders>
              <w:bottom w:val="single" w:sz="4" w:space="0" w:color="auto"/>
            </w:tcBorders>
          </w:tcPr>
          <w:p w14:paraId="47AC9220"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277 (0.7)</w:t>
            </w:r>
          </w:p>
        </w:tc>
        <w:tc>
          <w:tcPr>
            <w:tcW w:w="533" w:type="pct"/>
            <w:tcBorders>
              <w:bottom w:val="single" w:sz="4" w:space="0" w:color="auto"/>
            </w:tcBorders>
          </w:tcPr>
          <w:p w14:paraId="426EB276"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0.49 [0.29, 0.84]</w:t>
            </w:r>
          </w:p>
        </w:tc>
        <w:tc>
          <w:tcPr>
            <w:tcW w:w="533" w:type="pct"/>
            <w:tcBorders>
              <w:bottom w:val="single" w:sz="4" w:space="0" w:color="auto"/>
            </w:tcBorders>
          </w:tcPr>
          <w:p w14:paraId="2BC134BB" w14:textId="29119E1F" w:rsidR="007D4F22" w:rsidRPr="007D4F22" w:rsidRDefault="00F61DF4" w:rsidP="007D4F22">
            <w:pPr>
              <w:widowControl w:val="0"/>
              <w:spacing w:before="40" w:after="40"/>
              <w:rPr>
                <w:rFonts w:ascii="Arial Narrow" w:hAnsi="Arial Narrow"/>
                <w:sz w:val="20"/>
              </w:rPr>
            </w:pPr>
            <w:r w:rsidRPr="00F61DF4">
              <w:rPr>
                <w:rFonts w:ascii="Arial Narrow" w:hAnsi="Arial Narrow"/>
                <w:sz w:val="20"/>
                <w:lang w:val="en"/>
              </w:rPr>
              <w:t>−</w:t>
            </w:r>
            <w:r w:rsidR="007D4F22" w:rsidRPr="007D4F22">
              <w:rPr>
                <w:rFonts w:ascii="Arial Narrow" w:hAnsi="Arial Narrow"/>
                <w:sz w:val="20"/>
              </w:rPr>
              <w:t>0.00 [</w:t>
            </w:r>
            <w:r w:rsidRPr="00F61DF4">
              <w:rPr>
                <w:rFonts w:ascii="Arial Narrow" w:hAnsi="Arial Narrow"/>
                <w:sz w:val="20"/>
                <w:lang w:val="en"/>
              </w:rPr>
              <w:t>−</w:t>
            </w:r>
            <w:r w:rsidR="007D4F22" w:rsidRPr="007D4F22">
              <w:rPr>
                <w:rFonts w:ascii="Arial Narrow" w:hAnsi="Arial Narrow"/>
                <w:sz w:val="20"/>
              </w:rPr>
              <w:t xml:space="preserve">0.01, </w:t>
            </w:r>
            <w:r w:rsidRPr="00F61DF4">
              <w:rPr>
                <w:rFonts w:ascii="Arial Narrow" w:hAnsi="Arial Narrow"/>
                <w:sz w:val="20"/>
                <w:lang w:val="en"/>
              </w:rPr>
              <w:t>−</w:t>
            </w:r>
            <w:r w:rsidR="007D4F22" w:rsidRPr="007D4F22">
              <w:rPr>
                <w:rFonts w:ascii="Arial Narrow" w:hAnsi="Arial Narrow"/>
                <w:sz w:val="20"/>
              </w:rPr>
              <w:t>0.00]</w:t>
            </w:r>
          </w:p>
        </w:tc>
        <w:tc>
          <w:tcPr>
            <w:tcW w:w="328" w:type="pct"/>
            <w:shd w:val="clear" w:color="auto" w:fill="FFFFFF" w:themeFill="background1"/>
          </w:tcPr>
          <w:p w14:paraId="2E10B7EF" w14:textId="77777777" w:rsidR="007D4F22" w:rsidRPr="007D4F22" w:rsidRDefault="007D4F22" w:rsidP="007D4F22">
            <w:pPr>
              <w:widowControl w:val="0"/>
              <w:spacing w:before="40" w:after="40"/>
              <w:rPr>
                <w:rFonts w:ascii="Arial Narrow" w:hAnsi="Arial Narrow"/>
                <w:b/>
                <w:bCs/>
                <w:sz w:val="20"/>
              </w:rPr>
            </w:pPr>
            <w:r w:rsidRPr="007D4F22">
              <w:rPr>
                <w:rFonts w:ascii="Arial Narrow" w:hAnsi="Arial Narrow"/>
                <w:b/>
                <w:bCs/>
                <w:sz w:val="20"/>
              </w:rPr>
              <w:t>0.0076</w:t>
            </w:r>
          </w:p>
        </w:tc>
      </w:tr>
      <w:tr w:rsidR="007D4F22" w:rsidRPr="007D4F22" w14:paraId="06E71108" w14:textId="77777777" w:rsidTr="4C0A0968">
        <w:trPr>
          <w:trHeight w:val="20"/>
        </w:trPr>
        <w:tc>
          <w:tcPr>
            <w:tcW w:w="685" w:type="pct"/>
            <w:tcBorders>
              <w:bottom w:val="single" w:sz="4" w:space="0" w:color="auto"/>
            </w:tcBorders>
          </w:tcPr>
          <w:p w14:paraId="40CC169C" w14:textId="77777777" w:rsidR="007D4F22" w:rsidRPr="007D4F22" w:rsidRDefault="007D4F22" w:rsidP="007D4F22">
            <w:pPr>
              <w:widowControl w:val="0"/>
              <w:spacing w:before="40" w:after="40"/>
              <w:ind w:left="171"/>
              <w:rPr>
                <w:rFonts w:ascii="Arial Narrow" w:hAnsi="Arial Narrow"/>
                <w:sz w:val="20"/>
              </w:rPr>
            </w:pPr>
            <w:r w:rsidRPr="007D4F22">
              <w:rPr>
                <w:rFonts w:ascii="Arial Narrow" w:hAnsi="Arial Narrow"/>
                <w:sz w:val="20"/>
              </w:rPr>
              <w:t xml:space="preserve">Infection due to device, implant, grafts </w:t>
            </w:r>
          </w:p>
        </w:tc>
        <w:tc>
          <w:tcPr>
            <w:tcW w:w="380" w:type="pct"/>
            <w:tcBorders>
              <w:bottom w:val="single" w:sz="4" w:space="0" w:color="auto"/>
            </w:tcBorders>
          </w:tcPr>
          <w:p w14:paraId="708C3E6D"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 (0.0)</w:t>
            </w:r>
          </w:p>
        </w:tc>
        <w:tc>
          <w:tcPr>
            <w:tcW w:w="356" w:type="pct"/>
            <w:tcBorders>
              <w:bottom w:val="single" w:sz="4" w:space="0" w:color="auto"/>
            </w:tcBorders>
          </w:tcPr>
          <w:p w14:paraId="4F43E10B"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30 (0.1)</w:t>
            </w:r>
          </w:p>
        </w:tc>
        <w:tc>
          <w:tcPr>
            <w:tcW w:w="549" w:type="pct"/>
            <w:tcBorders>
              <w:bottom w:val="single" w:sz="4" w:space="0" w:color="auto"/>
            </w:tcBorders>
          </w:tcPr>
          <w:p w14:paraId="7A1D502A"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0.16 [0.01, 2.61]</w:t>
            </w:r>
          </w:p>
        </w:tc>
        <w:tc>
          <w:tcPr>
            <w:tcW w:w="569" w:type="pct"/>
            <w:tcBorders>
              <w:bottom w:val="single" w:sz="4" w:space="0" w:color="auto"/>
            </w:tcBorders>
          </w:tcPr>
          <w:p w14:paraId="51994E0C" w14:textId="74EB47A4" w:rsidR="007D4F22" w:rsidRPr="007D4F22" w:rsidRDefault="00F61DF4" w:rsidP="007D4F22">
            <w:pPr>
              <w:widowControl w:val="0"/>
              <w:spacing w:before="40" w:after="40"/>
              <w:rPr>
                <w:rFonts w:ascii="Arial Narrow" w:hAnsi="Arial Narrow"/>
                <w:sz w:val="20"/>
              </w:rPr>
            </w:pPr>
            <w:r w:rsidRPr="00F61DF4">
              <w:rPr>
                <w:rFonts w:ascii="Arial Narrow" w:hAnsi="Arial Narrow"/>
                <w:sz w:val="20"/>
                <w:lang w:val="en"/>
              </w:rPr>
              <w:t>−</w:t>
            </w:r>
            <w:r w:rsidR="007D4F22" w:rsidRPr="007D4F22">
              <w:rPr>
                <w:rFonts w:ascii="Arial Narrow" w:hAnsi="Arial Narrow"/>
                <w:sz w:val="20"/>
              </w:rPr>
              <w:t>0.00 [</w:t>
            </w:r>
            <w:r w:rsidRPr="00F61DF4">
              <w:rPr>
                <w:rFonts w:ascii="Arial Narrow" w:hAnsi="Arial Narrow"/>
                <w:sz w:val="20"/>
                <w:lang w:val="en"/>
              </w:rPr>
              <w:t>−</w:t>
            </w:r>
            <w:r w:rsidR="007D4F22" w:rsidRPr="007D4F22">
              <w:rPr>
                <w:rFonts w:ascii="Arial Narrow" w:hAnsi="Arial Narrow"/>
                <w:sz w:val="20"/>
              </w:rPr>
              <w:t xml:space="preserve">0.00, </w:t>
            </w:r>
            <w:r w:rsidRPr="00F61DF4">
              <w:rPr>
                <w:rFonts w:ascii="Arial Narrow" w:hAnsi="Arial Narrow"/>
                <w:sz w:val="20"/>
                <w:lang w:val="en"/>
              </w:rPr>
              <w:t>−</w:t>
            </w:r>
            <w:r w:rsidR="007D4F22" w:rsidRPr="007D4F22">
              <w:rPr>
                <w:rFonts w:ascii="Arial Narrow" w:hAnsi="Arial Narrow"/>
                <w:sz w:val="20"/>
              </w:rPr>
              <w:t>0.00]</w:t>
            </w:r>
          </w:p>
        </w:tc>
        <w:tc>
          <w:tcPr>
            <w:tcW w:w="305" w:type="pct"/>
            <w:tcBorders>
              <w:bottom w:val="single" w:sz="4" w:space="0" w:color="auto"/>
            </w:tcBorders>
          </w:tcPr>
          <w:p w14:paraId="015406B1"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NE</w:t>
            </w:r>
          </w:p>
        </w:tc>
        <w:tc>
          <w:tcPr>
            <w:tcW w:w="355" w:type="pct"/>
            <w:tcBorders>
              <w:bottom w:val="single" w:sz="4" w:space="0" w:color="auto"/>
            </w:tcBorders>
          </w:tcPr>
          <w:p w14:paraId="0F917019"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 (0.0)</w:t>
            </w:r>
          </w:p>
        </w:tc>
        <w:tc>
          <w:tcPr>
            <w:tcW w:w="407" w:type="pct"/>
            <w:tcBorders>
              <w:bottom w:val="single" w:sz="4" w:space="0" w:color="auto"/>
            </w:tcBorders>
          </w:tcPr>
          <w:p w14:paraId="5986209C"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31 (0.1)</w:t>
            </w:r>
          </w:p>
        </w:tc>
        <w:tc>
          <w:tcPr>
            <w:tcW w:w="533" w:type="pct"/>
            <w:tcBorders>
              <w:bottom w:val="single" w:sz="4" w:space="0" w:color="auto"/>
            </w:tcBorders>
          </w:tcPr>
          <w:p w14:paraId="099DE87D"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0.15 [0.01, 2.53]</w:t>
            </w:r>
          </w:p>
        </w:tc>
        <w:tc>
          <w:tcPr>
            <w:tcW w:w="533" w:type="pct"/>
            <w:tcBorders>
              <w:bottom w:val="single" w:sz="4" w:space="0" w:color="auto"/>
            </w:tcBorders>
          </w:tcPr>
          <w:p w14:paraId="09ECBD1C" w14:textId="7386B652" w:rsidR="007D4F22" w:rsidRPr="007D4F22" w:rsidRDefault="00F61DF4" w:rsidP="007D4F22">
            <w:pPr>
              <w:widowControl w:val="0"/>
              <w:spacing w:before="40" w:after="40"/>
              <w:rPr>
                <w:rFonts w:ascii="Arial Narrow" w:hAnsi="Arial Narrow"/>
                <w:sz w:val="20"/>
              </w:rPr>
            </w:pPr>
            <w:r w:rsidRPr="00F61DF4">
              <w:rPr>
                <w:rFonts w:ascii="Arial Narrow" w:hAnsi="Arial Narrow"/>
                <w:sz w:val="20"/>
                <w:lang w:val="en"/>
              </w:rPr>
              <w:t>−</w:t>
            </w:r>
            <w:r w:rsidR="007D4F22" w:rsidRPr="007D4F22">
              <w:rPr>
                <w:rFonts w:ascii="Arial Narrow" w:hAnsi="Arial Narrow"/>
                <w:sz w:val="20"/>
              </w:rPr>
              <w:t>0.00 [</w:t>
            </w:r>
            <w:r w:rsidRPr="00F61DF4">
              <w:rPr>
                <w:rFonts w:ascii="Arial Narrow" w:hAnsi="Arial Narrow"/>
                <w:sz w:val="20"/>
                <w:lang w:val="en"/>
              </w:rPr>
              <w:t>−</w:t>
            </w:r>
            <w:r w:rsidR="007D4F22" w:rsidRPr="007D4F22">
              <w:rPr>
                <w:rFonts w:ascii="Arial Narrow" w:hAnsi="Arial Narrow"/>
                <w:sz w:val="20"/>
              </w:rPr>
              <w:t xml:space="preserve">0.00, </w:t>
            </w:r>
            <w:r w:rsidRPr="00F61DF4">
              <w:rPr>
                <w:rFonts w:ascii="Arial Narrow" w:hAnsi="Arial Narrow"/>
                <w:sz w:val="20"/>
                <w:lang w:val="en"/>
              </w:rPr>
              <w:t>−</w:t>
            </w:r>
            <w:r w:rsidR="007D4F22" w:rsidRPr="007D4F22">
              <w:rPr>
                <w:rFonts w:ascii="Arial Narrow" w:hAnsi="Arial Narrow"/>
                <w:sz w:val="20"/>
              </w:rPr>
              <w:t>0.00]</w:t>
            </w:r>
          </w:p>
        </w:tc>
        <w:tc>
          <w:tcPr>
            <w:tcW w:w="328" w:type="pct"/>
          </w:tcPr>
          <w:p w14:paraId="5A1F8967"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NE</w:t>
            </w:r>
          </w:p>
        </w:tc>
      </w:tr>
      <w:tr w:rsidR="007D4F22" w:rsidRPr="007D4F22" w14:paraId="26221CBF" w14:textId="77777777" w:rsidTr="4C0A0968">
        <w:trPr>
          <w:trHeight w:val="20"/>
        </w:trPr>
        <w:tc>
          <w:tcPr>
            <w:tcW w:w="685" w:type="pct"/>
            <w:tcBorders>
              <w:bottom w:val="single" w:sz="4" w:space="0" w:color="auto"/>
            </w:tcBorders>
          </w:tcPr>
          <w:p w14:paraId="698526DC" w14:textId="77777777" w:rsidR="007D4F22" w:rsidRPr="007D4F22" w:rsidRDefault="007D4F22" w:rsidP="007D4F22">
            <w:pPr>
              <w:widowControl w:val="0"/>
              <w:spacing w:before="40" w:after="40"/>
              <w:ind w:left="171"/>
              <w:rPr>
                <w:rFonts w:ascii="Arial Narrow" w:hAnsi="Arial Narrow"/>
                <w:sz w:val="20"/>
              </w:rPr>
            </w:pPr>
            <w:r w:rsidRPr="007D4F22">
              <w:rPr>
                <w:rFonts w:ascii="Arial Narrow" w:hAnsi="Arial Narrow"/>
                <w:sz w:val="20"/>
              </w:rPr>
              <w:t>Haemorrhage due to device, implant, grafts</w:t>
            </w:r>
          </w:p>
        </w:tc>
        <w:tc>
          <w:tcPr>
            <w:tcW w:w="380" w:type="pct"/>
            <w:tcBorders>
              <w:bottom w:val="single" w:sz="4" w:space="0" w:color="auto"/>
            </w:tcBorders>
          </w:tcPr>
          <w:p w14:paraId="3430C6A6"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w:t>
            </w:r>
          </w:p>
        </w:tc>
        <w:tc>
          <w:tcPr>
            <w:tcW w:w="356" w:type="pct"/>
            <w:tcBorders>
              <w:bottom w:val="single" w:sz="4" w:space="0" w:color="auto"/>
            </w:tcBorders>
          </w:tcPr>
          <w:p w14:paraId="4E41AA64"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76 (0.2)</w:t>
            </w:r>
          </w:p>
        </w:tc>
        <w:tc>
          <w:tcPr>
            <w:tcW w:w="549" w:type="pct"/>
            <w:tcBorders>
              <w:bottom w:val="single" w:sz="4" w:space="0" w:color="auto"/>
            </w:tcBorders>
          </w:tcPr>
          <w:p w14:paraId="4832A13C"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w:t>
            </w:r>
          </w:p>
        </w:tc>
        <w:tc>
          <w:tcPr>
            <w:tcW w:w="569" w:type="pct"/>
            <w:tcBorders>
              <w:bottom w:val="single" w:sz="4" w:space="0" w:color="auto"/>
            </w:tcBorders>
          </w:tcPr>
          <w:p w14:paraId="59604BA5"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w:t>
            </w:r>
          </w:p>
        </w:tc>
        <w:tc>
          <w:tcPr>
            <w:tcW w:w="305" w:type="pct"/>
            <w:tcBorders>
              <w:bottom w:val="single" w:sz="4" w:space="0" w:color="auto"/>
            </w:tcBorders>
          </w:tcPr>
          <w:p w14:paraId="5E42D267"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0.0586</w:t>
            </w:r>
          </w:p>
        </w:tc>
        <w:tc>
          <w:tcPr>
            <w:tcW w:w="355" w:type="pct"/>
            <w:tcBorders>
              <w:bottom w:val="single" w:sz="4" w:space="0" w:color="auto"/>
            </w:tcBorders>
          </w:tcPr>
          <w:p w14:paraId="448EB4FA"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w:t>
            </w:r>
          </w:p>
        </w:tc>
        <w:tc>
          <w:tcPr>
            <w:tcW w:w="407" w:type="pct"/>
            <w:tcBorders>
              <w:bottom w:val="single" w:sz="4" w:space="0" w:color="auto"/>
            </w:tcBorders>
          </w:tcPr>
          <w:p w14:paraId="31C1A274"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88 (0.2)</w:t>
            </w:r>
          </w:p>
        </w:tc>
        <w:tc>
          <w:tcPr>
            <w:tcW w:w="533" w:type="pct"/>
            <w:tcBorders>
              <w:bottom w:val="single" w:sz="4" w:space="0" w:color="auto"/>
            </w:tcBorders>
          </w:tcPr>
          <w:p w14:paraId="6C82087D"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w:t>
            </w:r>
          </w:p>
        </w:tc>
        <w:tc>
          <w:tcPr>
            <w:tcW w:w="533" w:type="pct"/>
            <w:tcBorders>
              <w:bottom w:val="single" w:sz="4" w:space="0" w:color="auto"/>
            </w:tcBorders>
          </w:tcPr>
          <w:p w14:paraId="538CA722"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w:t>
            </w:r>
          </w:p>
        </w:tc>
        <w:tc>
          <w:tcPr>
            <w:tcW w:w="328" w:type="pct"/>
          </w:tcPr>
          <w:p w14:paraId="55F4A9C7"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0.0524</w:t>
            </w:r>
          </w:p>
        </w:tc>
      </w:tr>
      <w:tr w:rsidR="007D4F22" w:rsidRPr="007D4F22" w14:paraId="04E76584" w14:textId="77777777" w:rsidTr="4C0A0968">
        <w:trPr>
          <w:trHeight w:val="20"/>
        </w:trPr>
        <w:tc>
          <w:tcPr>
            <w:tcW w:w="685" w:type="pct"/>
            <w:tcBorders>
              <w:bottom w:val="single" w:sz="4" w:space="0" w:color="auto"/>
            </w:tcBorders>
          </w:tcPr>
          <w:p w14:paraId="05B5A2FB" w14:textId="77777777" w:rsidR="007D4F22" w:rsidRPr="007D4F22" w:rsidRDefault="007D4F22" w:rsidP="007D4F22">
            <w:pPr>
              <w:widowControl w:val="0"/>
              <w:spacing w:before="40" w:after="40"/>
              <w:ind w:left="171"/>
              <w:rPr>
                <w:rFonts w:ascii="Arial Narrow" w:hAnsi="Arial Narrow"/>
                <w:sz w:val="20"/>
              </w:rPr>
            </w:pPr>
            <w:r w:rsidRPr="007D4F22">
              <w:rPr>
                <w:rFonts w:ascii="Arial Narrow" w:hAnsi="Arial Narrow"/>
                <w:sz w:val="20"/>
              </w:rPr>
              <w:t>Pain due to device, implant, grafts</w:t>
            </w:r>
          </w:p>
        </w:tc>
        <w:tc>
          <w:tcPr>
            <w:tcW w:w="380" w:type="pct"/>
            <w:tcBorders>
              <w:bottom w:val="single" w:sz="4" w:space="0" w:color="auto"/>
            </w:tcBorders>
          </w:tcPr>
          <w:p w14:paraId="243A37A0"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w:t>
            </w:r>
          </w:p>
        </w:tc>
        <w:tc>
          <w:tcPr>
            <w:tcW w:w="356" w:type="pct"/>
            <w:tcBorders>
              <w:bottom w:val="single" w:sz="4" w:space="0" w:color="auto"/>
            </w:tcBorders>
          </w:tcPr>
          <w:p w14:paraId="6874B0B1"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55 (0.1)</w:t>
            </w:r>
          </w:p>
        </w:tc>
        <w:tc>
          <w:tcPr>
            <w:tcW w:w="549" w:type="pct"/>
            <w:tcBorders>
              <w:bottom w:val="single" w:sz="4" w:space="0" w:color="auto"/>
            </w:tcBorders>
          </w:tcPr>
          <w:p w14:paraId="5FAB5FA6"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w:t>
            </w:r>
          </w:p>
        </w:tc>
        <w:tc>
          <w:tcPr>
            <w:tcW w:w="569" w:type="pct"/>
            <w:tcBorders>
              <w:bottom w:val="single" w:sz="4" w:space="0" w:color="auto"/>
            </w:tcBorders>
          </w:tcPr>
          <w:p w14:paraId="4C814BFB"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w:t>
            </w:r>
          </w:p>
        </w:tc>
        <w:tc>
          <w:tcPr>
            <w:tcW w:w="305" w:type="pct"/>
            <w:tcBorders>
              <w:bottom w:val="single" w:sz="4" w:space="0" w:color="auto"/>
            </w:tcBorders>
          </w:tcPr>
          <w:p w14:paraId="174CAC82"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0.2883</w:t>
            </w:r>
          </w:p>
        </w:tc>
        <w:tc>
          <w:tcPr>
            <w:tcW w:w="355" w:type="pct"/>
            <w:tcBorders>
              <w:bottom w:val="single" w:sz="4" w:space="0" w:color="auto"/>
            </w:tcBorders>
          </w:tcPr>
          <w:p w14:paraId="7382C646"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w:t>
            </w:r>
          </w:p>
        </w:tc>
        <w:tc>
          <w:tcPr>
            <w:tcW w:w="407" w:type="pct"/>
            <w:tcBorders>
              <w:bottom w:val="single" w:sz="4" w:space="0" w:color="auto"/>
            </w:tcBorders>
          </w:tcPr>
          <w:p w14:paraId="7AFD5D78"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71 (0.2)</w:t>
            </w:r>
          </w:p>
        </w:tc>
        <w:tc>
          <w:tcPr>
            <w:tcW w:w="533" w:type="pct"/>
            <w:tcBorders>
              <w:bottom w:val="single" w:sz="4" w:space="0" w:color="auto"/>
            </w:tcBorders>
          </w:tcPr>
          <w:p w14:paraId="64F7B01D"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w:t>
            </w:r>
          </w:p>
        </w:tc>
        <w:tc>
          <w:tcPr>
            <w:tcW w:w="533" w:type="pct"/>
            <w:tcBorders>
              <w:bottom w:val="single" w:sz="4" w:space="0" w:color="auto"/>
            </w:tcBorders>
          </w:tcPr>
          <w:p w14:paraId="0D2C3B8E"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w:t>
            </w:r>
          </w:p>
        </w:tc>
        <w:tc>
          <w:tcPr>
            <w:tcW w:w="328" w:type="pct"/>
          </w:tcPr>
          <w:p w14:paraId="74F56317"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0.1600</w:t>
            </w:r>
          </w:p>
        </w:tc>
      </w:tr>
      <w:tr w:rsidR="007D4F22" w:rsidRPr="007D4F22" w14:paraId="495FE65F" w14:textId="77777777" w:rsidTr="4C0A0968">
        <w:trPr>
          <w:trHeight w:val="20"/>
        </w:trPr>
        <w:tc>
          <w:tcPr>
            <w:tcW w:w="685" w:type="pct"/>
            <w:tcBorders>
              <w:bottom w:val="single" w:sz="4" w:space="0" w:color="auto"/>
            </w:tcBorders>
          </w:tcPr>
          <w:p w14:paraId="3C2E2BAE" w14:textId="77777777" w:rsidR="007D4F22" w:rsidRPr="007D4F22" w:rsidRDefault="007D4F22" w:rsidP="007D4F22">
            <w:pPr>
              <w:widowControl w:val="0"/>
              <w:spacing w:before="40" w:after="40"/>
              <w:ind w:left="171"/>
              <w:rPr>
                <w:rFonts w:ascii="Arial Narrow" w:hAnsi="Arial Narrow"/>
                <w:sz w:val="20"/>
              </w:rPr>
            </w:pPr>
            <w:r w:rsidRPr="007D4F22">
              <w:rPr>
                <w:rFonts w:ascii="Arial Narrow" w:hAnsi="Arial Narrow"/>
                <w:sz w:val="20"/>
              </w:rPr>
              <w:t>Stenosis due to device, implant, grafts</w:t>
            </w:r>
          </w:p>
        </w:tc>
        <w:tc>
          <w:tcPr>
            <w:tcW w:w="380" w:type="pct"/>
            <w:tcBorders>
              <w:bottom w:val="single" w:sz="4" w:space="0" w:color="auto"/>
            </w:tcBorders>
          </w:tcPr>
          <w:p w14:paraId="524E8AED"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w:t>
            </w:r>
          </w:p>
        </w:tc>
        <w:tc>
          <w:tcPr>
            <w:tcW w:w="356" w:type="pct"/>
            <w:tcBorders>
              <w:bottom w:val="single" w:sz="4" w:space="0" w:color="auto"/>
            </w:tcBorders>
          </w:tcPr>
          <w:p w14:paraId="2A348256"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44 (0.1)</w:t>
            </w:r>
          </w:p>
        </w:tc>
        <w:tc>
          <w:tcPr>
            <w:tcW w:w="549" w:type="pct"/>
            <w:tcBorders>
              <w:bottom w:val="single" w:sz="4" w:space="0" w:color="auto"/>
            </w:tcBorders>
          </w:tcPr>
          <w:p w14:paraId="3B78E7B9"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w:t>
            </w:r>
          </w:p>
        </w:tc>
        <w:tc>
          <w:tcPr>
            <w:tcW w:w="569" w:type="pct"/>
            <w:tcBorders>
              <w:bottom w:val="single" w:sz="4" w:space="0" w:color="auto"/>
            </w:tcBorders>
          </w:tcPr>
          <w:p w14:paraId="285E6CD0"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w:t>
            </w:r>
          </w:p>
        </w:tc>
        <w:tc>
          <w:tcPr>
            <w:tcW w:w="305" w:type="pct"/>
            <w:tcBorders>
              <w:bottom w:val="single" w:sz="4" w:space="0" w:color="auto"/>
            </w:tcBorders>
          </w:tcPr>
          <w:p w14:paraId="498141C7"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0.4766</w:t>
            </w:r>
          </w:p>
        </w:tc>
        <w:tc>
          <w:tcPr>
            <w:tcW w:w="355" w:type="pct"/>
            <w:tcBorders>
              <w:bottom w:val="single" w:sz="4" w:space="0" w:color="auto"/>
            </w:tcBorders>
          </w:tcPr>
          <w:p w14:paraId="7EC53D71"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w:t>
            </w:r>
          </w:p>
        </w:tc>
        <w:tc>
          <w:tcPr>
            <w:tcW w:w="407" w:type="pct"/>
            <w:tcBorders>
              <w:bottom w:val="single" w:sz="4" w:space="0" w:color="auto"/>
            </w:tcBorders>
          </w:tcPr>
          <w:p w14:paraId="6FD30332"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46 (0.1)</w:t>
            </w:r>
          </w:p>
        </w:tc>
        <w:tc>
          <w:tcPr>
            <w:tcW w:w="533" w:type="pct"/>
            <w:tcBorders>
              <w:bottom w:val="single" w:sz="4" w:space="0" w:color="auto"/>
            </w:tcBorders>
          </w:tcPr>
          <w:p w14:paraId="0D2E8BC7"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w:t>
            </w:r>
          </w:p>
        </w:tc>
        <w:tc>
          <w:tcPr>
            <w:tcW w:w="533" w:type="pct"/>
            <w:tcBorders>
              <w:bottom w:val="single" w:sz="4" w:space="0" w:color="auto"/>
            </w:tcBorders>
          </w:tcPr>
          <w:p w14:paraId="4DB51973"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w:t>
            </w:r>
          </w:p>
        </w:tc>
        <w:tc>
          <w:tcPr>
            <w:tcW w:w="328" w:type="pct"/>
          </w:tcPr>
          <w:p w14:paraId="379E278C"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0.6412</w:t>
            </w:r>
          </w:p>
        </w:tc>
      </w:tr>
      <w:tr w:rsidR="007D4F22" w:rsidRPr="007D4F22" w14:paraId="60C23DFD" w14:textId="77777777" w:rsidTr="4C0A0968">
        <w:trPr>
          <w:trHeight w:val="20"/>
        </w:trPr>
        <w:tc>
          <w:tcPr>
            <w:tcW w:w="685" w:type="pct"/>
            <w:tcBorders>
              <w:bottom w:val="single" w:sz="4" w:space="0" w:color="auto"/>
            </w:tcBorders>
          </w:tcPr>
          <w:p w14:paraId="7F15B368" w14:textId="77777777" w:rsidR="007D4F22" w:rsidRPr="007D4F22" w:rsidRDefault="007D4F22" w:rsidP="007D4F22">
            <w:pPr>
              <w:widowControl w:val="0"/>
              <w:spacing w:before="40" w:after="40"/>
              <w:ind w:left="171"/>
              <w:rPr>
                <w:rFonts w:ascii="Arial Narrow" w:hAnsi="Arial Narrow"/>
                <w:sz w:val="20"/>
              </w:rPr>
            </w:pPr>
            <w:r w:rsidRPr="007D4F22">
              <w:rPr>
                <w:rFonts w:ascii="Arial Narrow" w:hAnsi="Arial Narrow"/>
                <w:sz w:val="20"/>
              </w:rPr>
              <w:t>Pocket complications</w:t>
            </w:r>
          </w:p>
        </w:tc>
        <w:tc>
          <w:tcPr>
            <w:tcW w:w="380" w:type="pct"/>
            <w:tcBorders>
              <w:bottom w:val="single" w:sz="4" w:space="0" w:color="auto"/>
            </w:tcBorders>
          </w:tcPr>
          <w:p w14:paraId="7E90A85F"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N/A</w:t>
            </w:r>
          </w:p>
        </w:tc>
        <w:tc>
          <w:tcPr>
            <w:tcW w:w="356" w:type="pct"/>
            <w:tcBorders>
              <w:bottom w:val="single" w:sz="4" w:space="0" w:color="auto"/>
            </w:tcBorders>
          </w:tcPr>
          <w:p w14:paraId="0E982DA4"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241 (0.6)</w:t>
            </w:r>
          </w:p>
        </w:tc>
        <w:tc>
          <w:tcPr>
            <w:tcW w:w="549" w:type="pct"/>
            <w:tcBorders>
              <w:bottom w:val="single" w:sz="4" w:space="0" w:color="auto"/>
            </w:tcBorders>
          </w:tcPr>
          <w:p w14:paraId="7F1B9A0E"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w:t>
            </w:r>
          </w:p>
        </w:tc>
        <w:tc>
          <w:tcPr>
            <w:tcW w:w="569" w:type="pct"/>
            <w:tcBorders>
              <w:bottom w:val="single" w:sz="4" w:space="0" w:color="auto"/>
            </w:tcBorders>
          </w:tcPr>
          <w:p w14:paraId="60F2151A"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w:t>
            </w:r>
          </w:p>
        </w:tc>
        <w:tc>
          <w:tcPr>
            <w:tcW w:w="305" w:type="pct"/>
            <w:tcBorders>
              <w:bottom w:val="single" w:sz="4" w:space="0" w:color="auto"/>
            </w:tcBorders>
          </w:tcPr>
          <w:p w14:paraId="422076C3"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NE</w:t>
            </w:r>
          </w:p>
        </w:tc>
        <w:tc>
          <w:tcPr>
            <w:tcW w:w="355" w:type="pct"/>
            <w:tcBorders>
              <w:bottom w:val="single" w:sz="4" w:space="0" w:color="auto"/>
            </w:tcBorders>
          </w:tcPr>
          <w:p w14:paraId="7278FB64"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N/A</w:t>
            </w:r>
          </w:p>
        </w:tc>
        <w:tc>
          <w:tcPr>
            <w:tcW w:w="407" w:type="pct"/>
            <w:tcBorders>
              <w:bottom w:val="single" w:sz="4" w:space="0" w:color="auto"/>
            </w:tcBorders>
          </w:tcPr>
          <w:p w14:paraId="26512264"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268 (0.7)</w:t>
            </w:r>
          </w:p>
        </w:tc>
        <w:tc>
          <w:tcPr>
            <w:tcW w:w="533" w:type="pct"/>
            <w:tcBorders>
              <w:bottom w:val="single" w:sz="4" w:space="0" w:color="auto"/>
            </w:tcBorders>
          </w:tcPr>
          <w:p w14:paraId="11A121EF"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w:t>
            </w:r>
          </w:p>
        </w:tc>
        <w:tc>
          <w:tcPr>
            <w:tcW w:w="533" w:type="pct"/>
            <w:tcBorders>
              <w:bottom w:val="single" w:sz="4" w:space="0" w:color="auto"/>
            </w:tcBorders>
          </w:tcPr>
          <w:p w14:paraId="6D9F8BDD"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w:t>
            </w:r>
          </w:p>
        </w:tc>
        <w:tc>
          <w:tcPr>
            <w:tcW w:w="328" w:type="pct"/>
          </w:tcPr>
          <w:p w14:paraId="1CC58669"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NE</w:t>
            </w:r>
          </w:p>
        </w:tc>
      </w:tr>
      <w:tr w:rsidR="007D4F22" w:rsidRPr="007D4F22" w14:paraId="6154A7A9" w14:textId="77777777" w:rsidTr="4C0A0968">
        <w:trPr>
          <w:trHeight w:val="20"/>
        </w:trPr>
        <w:tc>
          <w:tcPr>
            <w:tcW w:w="685" w:type="pct"/>
            <w:tcBorders>
              <w:bottom w:val="single" w:sz="4" w:space="0" w:color="auto"/>
            </w:tcBorders>
          </w:tcPr>
          <w:p w14:paraId="16D0F691"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Other complications</w:t>
            </w:r>
          </w:p>
        </w:tc>
        <w:tc>
          <w:tcPr>
            <w:tcW w:w="380" w:type="pct"/>
            <w:tcBorders>
              <w:bottom w:val="single" w:sz="4" w:space="0" w:color="auto"/>
            </w:tcBorders>
          </w:tcPr>
          <w:p w14:paraId="698FE27A"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77 (2.0)</w:t>
            </w:r>
          </w:p>
        </w:tc>
        <w:tc>
          <w:tcPr>
            <w:tcW w:w="356" w:type="pct"/>
            <w:tcBorders>
              <w:bottom w:val="single" w:sz="4" w:space="0" w:color="auto"/>
            </w:tcBorders>
          </w:tcPr>
          <w:p w14:paraId="4FF05F4D"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998 (2.6)</w:t>
            </w:r>
          </w:p>
        </w:tc>
        <w:tc>
          <w:tcPr>
            <w:tcW w:w="549" w:type="pct"/>
            <w:tcBorders>
              <w:bottom w:val="single" w:sz="4" w:space="0" w:color="auto"/>
            </w:tcBorders>
          </w:tcPr>
          <w:p w14:paraId="5384E5E9"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0.75 [0.60, 0.95]</w:t>
            </w:r>
          </w:p>
        </w:tc>
        <w:tc>
          <w:tcPr>
            <w:tcW w:w="569" w:type="pct"/>
            <w:tcBorders>
              <w:bottom w:val="single" w:sz="4" w:space="0" w:color="auto"/>
            </w:tcBorders>
          </w:tcPr>
          <w:p w14:paraId="2C750CCA" w14:textId="4836783D" w:rsidR="007D4F22" w:rsidRPr="007D4F22" w:rsidRDefault="00F61DF4" w:rsidP="007D4F22">
            <w:pPr>
              <w:widowControl w:val="0"/>
              <w:spacing w:before="40" w:after="40"/>
              <w:rPr>
                <w:rFonts w:ascii="Arial Narrow" w:hAnsi="Arial Narrow"/>
                <w:sz w:val="20"/>
              </w:rPr>
            </w:pPr>
            <w:r w:rsidRPr="00F61DF4">
              <w:rPr>
                <w:rFonts w:ascii="Arial Narrow" w:hAnsi="Arial Narrow"/>
                <w:sz w:val="20"/>
                <w:lang w:val="en"/>
              </w:rPr>
              <w:t>−</w:t>
            </w:r>
            <w:r w:rsidR="007D4F22" w:rsidRPr="007D4F22">
              <w:rPr>
                <w:rFonts w:ascii="Arial Narrow" w:hAnsi="Arial Narrow"/>
                <w:sz w:val="20"/>
              </w:rPr>
              <w:t>0.01 [</w:t>
            </w:r>
            <w:r w:rsidRPr="00F61DF4">
              <w:rPr>
                <w:rFonts w:ascii="Arial Narrow" w:hAnsi="Arial Narrow"/>
                <w:sz w:val="20"/>
                <w:lang w:val="en"/>
              </w:rPr>
              <w:t>−</w:t>
            </w:r>
            <w:r w:rsidR="007D4F22" w:rsidRPr="007D4F22">
              <w:rPr>
                <w:rFonts w:ascii="Arial Narrow" w:hAnsi="Arial Narrow"/>
                <w:sz w:val="20"/>
              </w:rPr>
              <w:t xml:space="preserve">0.01, </w:t>
            </w:r>
            <w:r w:rsidRPr="00F61DF4">
              <w:rPr>
                <w:rFonts w:ascii="Arial Narrow" w:hAnsi="Arial Narrow"/>
                <w:sz w:val="20"/>
                <w:lang w:val="en"/>
              </w:rPr>
              <w:t>−</w:t>
            </w:r>
            <w:r w:rsidR="007D4F22" w:rsidRPr="007D4F22">
              <w:rPr>
                <w:rFonts w:ascii="Arial Narrow" w:hAnsi="Arial Narrow"/>
                <w:sz w:val="20"/>
              </w:rPr>
              <w:t>0.00]</w:t>
            </w:r>
          </w:p>
        </w:tc>
        <w:tc>
          <w:tcPr>
            <w:tcW w:w="305" w:type="pct"/>
            <w:tcBorders>
              <w:bottom w:val="single" w:sz="4" w:space="0" w:color="auto"/>
            </w:tcBorders>
            <w:shd w:val="clear" w:color="auto" w:fill="FFFFFF" w:themeFill="background1"/>
          </w:tcPr>
          <w:p w14:paraId="21785F80" w14:textId="77777777" w:rsidR="007D4F22" w:rsidRPr="007D4F22" w:rsidRDefault="007D4F22" w:rsidP="007D4F22">
            <w:pPr>
              <w:widowControl w:val="0"/>
              <w:spacing w:before="40" w:after="40"/>
              <w:rPr>
                <w:rFonts w:ascii="Arial Narrow" w:hAnsi="Arial Narrow"/>
                <w:b/>
                <w:bCs/>
                <w:sz w:val="20"/>
              </w:rPr>
            </w:pPr>
            <w:r w:rsidRPr="007D4F22">
              <w:rPr>
                <w:rFonts w:ascii="Arial Narrow" w:hAnsi="Arial Narrow"/>
                <w:b/>
                <w:bCs/>
                <w:sz w:val="20"/>
              </w:rPr>
              <w:t>0.0208</w:t>
            </w:r>
          </w:p>
        </w:tc>
        <w:tc>
          <w:tcPr>
            <w:tcW w:w="355" w:type="pct"/>
            <w:tcBorders>
              <w:bottom w:val="single" w:sz="4" w:space="0" w:color="auto"/>
            </w:tcBorders>
          </w:tcPr>
          <w:p w14:paraId="21F47B3B"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72 (1.9)</w:t>
            </w:r>
          </w:p>
        </w:tc>
        <w:tc>
          <w:tcPr>
            <w:tcW w:w="407" w:type="pct"/>
            <w:tcBorders>
              <w:bottom w:val="single" w:sz="4" w:space="0" w:color="auto"/>
            </w:tcBorders>
          </w:tcPr>
          <w:p w14:paraId="3B285615"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1092 (2.9)</w:t>
            </w:r>
          </w:p>
        </w:tc>
        <w:tc>
          <w:tcPr>
            <w:tcW w:w="533" w:type="pct"/>
            <w:tcBorders>
              <w:bottom w:val="single" w:sz="4" w:space="0" w:color="auto"/>
            </w:tcBorders>
          </w:tcPr>
          <w:p w14:paraId="157B40B1"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0.64 [0.51, 0.81]</w:t>
            </w:r>
          </w:p>
        </w:tc>
        <w:tc>
          <w:tcPr>
            <w:tcW w:w="533" w:type="pct"/>
            <w:tcBorders>
              <w:bottom w:val="single" w:sz="4" w:space="0" w:color="auto"/>
            </w:tcBorders>
          </w:tcPr>
          <w:p w14:paraId="346D90B5" w14:textId="6CD8B94E" w:rsidR="007D4F22" w:rsidRPr="007D4F22" w:rsidRDefault="00F61DF4" w:rsidP="007D4F22">
            <w:pPr>
              <w:widowControl w:val="0"/>
              <w:spacing w:before="40" w:after="40"/>
              <w:rPr>
                <w:rFonts w:ascii="Arial Narrow" w:hAnsi="Arial Narrow"/>
                <w:sz w:val="20"/>
              </w:rPr>
            </w:pPr>
            <w:r w:rsidRPr="00F61DF4">
              <w:rPr>
                <w:rFonts w:ascii="Arial Narrow" w:hAnsi="Arial Narrow"/>
                <w:sz w:val="20"/>
                <w:lang w:val="en"/>
              </w:rPr>
              <w:t>−</w:t>
            </w:r>
            <w:r w:rsidR="007D4F22" w:rsidRPr="007D4F22">
              <w:rPr>
                <w:rFonts w:ascii="Arial Narrow" w:hAnsi="Arial Narrow"/>
                <w:sz w:val="20"/>
              </w:rPr>
              <w:t>0.01 [</w:t>
            </w:r>
            <w:r w:rsidRPr="00F61DF4">
              <w:rPr>
                <w:rFonts w:ascii="Arial Narrow" w:hAnsi="Arial Narrow"/>
                <w:sz w:val="20"/>
                <w:lang w:val="en"/>
              </w:rPr>
              <w:t>−</w:t>
            </w:r>
            <w:r w:rsidR="007D4F22" w:rsidRPr="007D4F22">
              <w:rPr>
                <w:rFonts w:ascii="Arial Narrow" w:hAnsi="Arial Narrow"/>
                <w:sz w:val="20"/>
              </w:rPr>
              <w:t xml:space="preserve">0.01, </w:t>
            </w:r>
            <w:r w:rsidRPr="00F61DF4">
              <w:rPr>
                <w:rFonts w:ascii="Arial Narrow" w:hAnsi="Arial Narrow"/>
                <w:sz w:val="20"/>
                <w:lang w:val="en"/>
              </w:rPr>
              <w:t>−</w:t>
            </w:r>
            <w:r w:rsidR="007D4F22" w:rsidRPr="007D4F22">
              <w:rPr>
                <w:rFonts w:ascii="Arial Narrow" w:hAnsi="Arial Narrow"/>
                <w:sz w:val="20"/>
              </w:rPr>
              <w:t>0.01]</w:t>
            </w:r>
          </w:p>
        </w:tc>
        <w:tc>
          <w:tcPr>
            <w:tcW w:w="328" w:type="pct"/>
            <w:shd w:val="clear" w:color="auto" w:fill="FFFFFF" w:themeFill="background1"/>
          </w:tcPr>
          <w:p w14:paraId="6A553164" w14:textId="77777777" w:rsidR="007D4F22" w:rsidRPr="007D4F22" w:rsidRDefault="007D4F22" w:rsidP="007D4F22">
            <w:pPr>
              <w:widowControl w:val="0"/>
              <w:spacing w:before="40" w:after="40"/>
              <w:rPr>
                <w:rFonts w:ascii="Arial Narrow" w:hAnsi="Arial Narrow"/>
                <w:b/>
                <w:bCs/>
                <w:sz w:val="20"/>
              </w:rPr>
            </w:pPr>
            <w:r w:rsidRPr="007D4F22">
              <w:rPr>
                <w:rFonts w:ascii="Arial Narrow" w:hAnsi="Arial Narrow"/>
                <w:b/>
                <w:bCs/>
                <w:sz w:val="20"/>
              </w:rPr>
              <w:t>0.0007</w:t>
            </w:r>
          </w:p>
        </w:tc>
      </w:tr>
      <w:tr w:rsidR="007D4F22" w:rsidRPr="007D4F22" w14:paraId="44150662" w14:textId="77777777" w:rsidTr="4C0A0968">
        <w:trPr>
          <w:trHeight w:val="20"/>
        </w:trPr>
        <w:tc>
          <w:tcPr>
            <w:tcW w:w="685" w:type="pct"/>
            <w:tcBorders>
              <w:bottom w:val="single" w:sz="4" w:space="0" w:color="auto"/>
            </w:tcBorders>
          </w:tcPr>
          <w:p w14:paraId="07B0F28A" w14:textId="77777777" w:rsidR="007D4F22" w:rsidRPr="007D4F22" w:rsidRDefault="007D4F22" w:rsidP="007D4F22">
            <w:pPr>
              <w:widowControl w:val="0"/>
              <w:spacing w:before="40" w:after="40"/>
              <w:ind w:left="171"/>
              <w:rPr>
                <w:rFonts w:ascii="Arial Narrow" w:hAnsi="Arial Narrow"/>
                <w:sz w:val="20"/>
              </w:rPr>
            </w:pPr>
            <w:r w:rsidRPr="007D4F22">
              <w:rPr>
                <w:rFonts w:ascii="Arial Narrow" w:hAnsi="Arial Narrow"/>
                <w:sz w:val="20"/>
              </w:rPr>
              <w:t>AMI, device-related</w:t>
            </w:r>
          </w:p>
        </w:tc>
        <w:tc>
          <w:tcPr>
            <w:tcW w:w="380" w:type="pct"/>
            <w:tcBorders>
              <w:bottom w:val="single" w:sz="4" w:space="0" w:color="auto"/>
            </w:tcBorders>
          </w:tcPr>
          <w:p w14:paraId="2A553A14"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w:t>
            </w:r>
          </w:p>
        </w:tc>
        <w:tc>
          <w:tcPr>
            <w:tcW w:w="356" w:type="pct"/>
            <w:tcBorders>
              <w:bottom w:val="single" w:sz="4" w:space="0" w:color="auto"/>
            </w:tcBorders>
          </w:tcPr>
          <w:p w14:paraId="22A1CF9C"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23 (0.1)</w:t>
            </w:r>
          </w:p>
        </w:tc>
        <w:tc>
          <w:tcPr>
            <w:tcW w:w="549" w:type="pct"/>
            <w:tcBorders>
              <w:bottom w:val="single" w:sz="4" w:space="0" w:color="auto"/>
            </w:tcBorders>
          </w:tcPr>
          <w:p w14:paraId="34A64BF2"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w:t>
            </w:r>
          </w:p>
        </w:tc>
        <w:tc>
          <w:tcPr>
            <w:tcW w:w="569" w:type="pct"/>
            <w:tcBorders>
              <w:bottom w:val="single" w:sz="4" w:space="0" w:color="auto"/>
            </w:tcBorders>
          </w:tcPr>
          <w:p w14:paraId="6ABC4633"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w:t>
            </w:r>
          </w:p>
        </w:tc>
        <w:tc>
          <w:tcPr>
            <w:tcW w:w="305" w:type="pct"/>
            <w:tcBorders>
              <w:bottom w:val="single" w:sz="4" w:space="0" w:color="auto"/>
            </w:tcBorders>
          </w:tcPr>
          <w:p w14:paraId="53DDF0B6"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0.8347</w:t>
            </w:r>
          </w:p>
        </w:tc>
        <w:tc>
          <w:tcPr>
            <w:tcW w:w="355" w:type="pct"/>
            <w:tcBorders>
              <w:bottom w:val="single" w:sz="4" w:space="0" w:color="auto"/>
            </w:tcBorders>
          </w:tcPr>
          <w:p w14:paraId="04685C53"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w:t>
            </w:r>
          </w:p>
        </w:tc>
        <w:tc>
          <w:tcPr>
            <w:tcW w:w="407" w:type="pct"/>
            <w:tcBorders>
              <w:bottom w:val="single" w:sz="4" w:space="0" w:color="auto"/>
            </w:tcBorders>
          </w:tcPr>
          <w:p w14:paraId="32AA8657"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26 (0.1)</w:t>
            </w:r>
          </w:p>
        </w:tc>
        <w:tc>
          <w:tcPr>
            <w:tcW w:w="533" w:type="pct"/>
            <w:tcBorders>
              <w:bottom w:val="single" w:sz="4" w:space="0" w:color="auto"/>
            </w:tcBorders>
          </w:tcPr>
          <w:p w14:paraId="52F07532"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w:t>
            </w:r>
          </w:p>
        </w:tc>
        <w:tc>
          <w:tcPr>
            <w:tcW w:w="533" w:type="pct"/>
            <w:tcBorders>
              <w:bottom w:val="single" w:sz="4" w:space="0" w:color="auto"/>
            </w:tcBorders>
          </w:tcPr>
          <w:p w14:paraId="6DCCE4D7"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w:t>
            </w:r>
          </w:p>
        </w:tc>
        <w:tc>
          <w:tcPr>
            <w:tcW w:w="328" w:type="pct"/>
          </w:tcPr>
          <w:p w14:paraId="6873F899"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0.4704</w:t>
            </w:r>
          </w:p>
        </w:tc>
      </w:tr>
      <w:tr w:rsidR="007D4F22" w:rsidRPr="007D4F22" w14:paraId="1DCB70E4" w14:textId="77777777" w:rsidTr="4C0A0968">
        <w:trPr>
          <w:trHeight w:val="20"/>
        </w:trPr>
        <w:tc>
          <w:tcPr>
            <w:tcW w:w="685" w:type="pct"/>
            <w:tcBorders>
              <w:bottom w:val="single" w:sz="4" w:space="0" w:color="auto"/>
            </w:tcBorders>
          </w:tcPr>
          <w:p w14:paraId="75A2C0A7" w14:textId="77777777" w:rsidR="007D4F22" w:rsidRPr="007D4F22" w:rsidRDefault="007D4F22" w:rsidP="007D4F22">
            <w:pPr>
              <w:widowControl w:val="0"/>
              <w:spacing w:before="40" w:after="40"/>
              <w:ind w:left="171"/>
              <w:rPr>
                <w:rFonts w:ascii="Arial Narrow" w:hAnsi="Arial Narrow"/>
                <w:sz w:val="20"/>
              </w:rPr>
            </w:pPr>
            <w:r w:rsidRPr="007D4F22">
              <w:rPr>
                <w:rFonts w:ascii="Arial Narrow" w:hAnsi="Arial Narrow"/>
                <w:sz w:val="20"/>
              </w:rPr>
              <w:t>Hematoma-post-procedural</w:t>
            </w:r>
          </w:p>
        </w:tc>
        <w:tc>
          <w:tcPr>
            <w:tcW w:w="380" w:type="pct"/>
            <w:tcBorders>
              <w:bottom w:val="single" w:sz="4" w:space="0" w:color="auto"/>
            </w:tcBorders>
          </w:tcPr>
          <w:p w14:paraId="7FC5CBD0"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13 (0.3)</w:t>
            </w:r>
          </w:p>
        </w:tc>
        <w:tc>
          <w:tcPr>
            <w:tcW w:w="356" w:type="pct"/>
            <w:tcBorders>
              <w:bottom w:val="single" w:sz="4" w:space="0" w:color="auto"/>
            </w:tcBorders>
          </w:tcPr>
          <w:p w14:paraId="6228E239"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81 (0.2)</w:t>
            </w:r>
          </w:p>
        </w:tc>
        <w:tc>
          <w:tcPr>
            <w:tcW w:w="549" w:type="pct"/>
            <w:tcBorders>
              <w:bottom w:val="single" w:sz="4" w:space="0" w:color="auto"/>
            </w:tcBorders>
          </w:tcPr>
          <w:p w14:paraId="557B81B1"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1.57 [0.87, 2.81]</w:t>
            </w:r>
          </w:p>
        </w:tc>
        <w:tc>
          <w:tcPr>
            <w:tcW w:w="569" w:type="pct"/>
            <w:tcBorders>
              <w:bottom w:val="single" w:sz="4" w:space="0" w:color="auto"/>
            </w:tcBorders>
          </w:tcPr>
          <w:p w14:paraId="7E2B4D19" w14:textId="587CB828"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0.00 [</w:t>
            </w:r>
            <w:r w:rsidR="00F61DF4" w:rsidRPr="00F61DF4">
              <w:rPr>
                <w:rFonts w:ascii="Arial Narrow" w:hAnsi="Arial Narrow"/>
                <w:sz w:val="20"/>
                <w:lang w:val="en"/>
              </w:rPr>
              <w:t>−</w:t>
            </w:r>
            <w:r w:rsidRPr="007D4F22">
              <w:rPr>
                <w:rFonts w:ascii="Arial Narrow" w:hAnsi="Arial Narrow"/>
                <w:sz w:val="20"/>
              </w:rPr>
              <w:t>0.00, 0.00]</w:t>
            </w:r>
          </w:p>
        </w:tc>
        <w:tc>
          <w:tcPr>
            <w:tcW w:w="305" w:type="pct"/>
            <w:tcBorders>
              <w:bottom w:val="single" w:sz="4" w:space="0" w:color="auto"/>
            </w:tcBorders>
          </w:tcPr>
          <w:p w14:paraId="5E39A434"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0.1722</w:t>
            </w:r>
          </w:p>
        </w:tc>
        <w:tc>
          <w:tcPr>
            <w:tcW w:w="355" w:type="pct"/>
            <w:tcBorders>
              <w:bottom w:val="single" w:sz="4" w:space="0" w:color="auto"/>
            </w:tcBorders>
          </w:tcPr>
          <w:p w14:paraId="645D3CEC"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12 (0.3)</w:t>
            </w:r>
          </w:p>
        </w:tc>
        <w:tc>
          <w:tcPr>
            <w:tcW w:w="407" w:type="pct"/>
            <w:tcBorders>
              <w:bottom w:val="single" w:sz="4" w:space="0" w:color="auto"/>
            </w:tcBorders>
          </w:tcPr>
          <w:p w14:paraId="67F7285C"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99 (0.3)</w:t>
            </w:r>
          </w:p>
        </w:tc>
        <w:tc>
          <w:tcPr>
            <w:tcW w:w="533" w:type="pct"/>
            <w:tcBorders>
              <w:bottom w:val="single" w:sz="4" w:space="0" w:color="auto"/>
            </w:tcBorders>
          </w:tcPr>
          <w:p w14:paraId="0FD45094"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1.18 [0.65, 2.15]</w:t>
            </w:r>
          </w:p>
        </w:tc>
        <w:tc>
          <w:tcPr>
            <w:tcW w:w="533" w:type="pct"/>
            <w:tcBorders>
              <w:bottom w:val="single" w:sz="4" w:space="0" w:color="auto"/>
            </w:tcBorders>
          </w:tcPr>
          <w:p w14:paraId="5F23FA9B" w14:textId="37542790"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0.00 [</w:t>
            </w:r>
            <w:r w:rsidR="00F61DF4" w:rsidRPr="00F61DF4">
              <w:rPr>
                <w:rFonts w:ascii="Arial Narrow" w:hAnsi="Arial Narrow"/>
                <w:sz w:val="20"/>
                <w:lang w:val="en"/>
              </w:rPr>
              <w:t>−</w:t>
            </w:r>
            <w:r w:rsidRPr="007D4F22">
              <w:rPr>
                <w:rFonts w:ascii="Arial Narrow" w:hAnsi="Arial Narrow"/>
                <w:sz w:val="20"/>
              </w:rPr>
              <w:t>0.00, 0.00]</w:t>
            </w:r>
          </w:p>
        </w:tc>
        <w:tc>
          <w:tcPr>
            <w:tcW w:w="328" w:type="pct"/>
          </w:tcPr>
          <w:p w14:paraId="0251F909"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0.6450</w:t>
            </w:r>
          </w:p>
        </w:tc>
      </w:tr>
      <w:tr w:rsidR="007D4F22" w:rsidRPr="007D4F22" w14:paraId="2A01140F" w14:textId="77777777" w:rsidTr="4C0A0968">
        <w:trPr>
          <w:trHeight w:val="20"/>
        </w:trPr>
        <w:tc>
          <w:tcPr>
            <w:tcW w:w="685" w:type="pct"/>
            <w:tcBorders>
              <w:bottom w:val="single" w:sz="4" w:space="0" w:color="auto"/>
            </w:tcBorders>
          </w:tcPr>
          <w:p w14:paraId="20B68B29" w14:textId="77777777" w:rsidR="007D4F22" w:rsidRPr="007D4F22" w:rsidRDefault="007D4F22" w:rsidP="007D4F22">
            <w:pPr>
              <w:widowControl w:val="0"/>
              <w:spacing w:before="40" w:after="40"/>
              <w:ind w:left="171"/>
              <w:rPr>
                <w:rFonts w:ascii="Arial Narrow" w:hAnsi="Arial Narrow"/>
                <w:sz w:val="20"/>
              </w:rPr>
            </w:pPr>
            <w:r w:rsidRPr="007D4F22">
              <w:rPr>
                <w:rFonts w:ascii="Arial Narrow" w:hAnsi="Arial Narrow"/>
                <w:sz w:val="20"/>
              </w:rPr>
              <w:t>Haemorrhage-post-procedural</w:t>
            </w:r>
          </w:p>
        </w:tc>
        <w:tc>
          <w:tcPr>
            <w:tcW w:w="380" w:type="pct"/>
            <w:tcBorders>
              <w:bottom w:val="single" w:sz="4" w:space="0" w:color="auto"/>
            </w:tcBorders>
          </w:tcPr>
          <w:p w14:paraId="16057472"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13 (0.3)</w:t>
            </w:r>
          </w:p>
        </w:tc>
        <w:tc>
          <w:tcPr>
            <w:tcW w:w="356" w:type="pct"/>
            <w:tcBorders>
              <w:bottom w:val="single" w:sz="4" w:space="0" w:color="auto"/>
            </w:tcBorders>
          </w:tcPr>
          <w:p w14:paraId="6A50F701"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60 (0.2)</w:t>
            </w:r>
          </w:p>
        </w:tc>
        <w:tc>
          <w:tcPr>
            <w:tcW w:w="549" w:type="pct"/>
            <w:tcBorders>
              <w:bottom w:val="single" w:sz="4" w:space="0" w:color="auto"/>
            </w:tcBorders>
          </w:tcPr>
          <w:p w14:paraId="3F20C70B"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2.11 [1.16, 3.85]</w:t>
            </w:r>
          </w:p>
        </w:tc>
        <w:tc>
          <w:tcPr>
            <w:tcW w:w="569" w:type="pct"/>
            <w:tcBorders>
              <w:bottom w:val="single" w:sz="4" w:space="0" w:color="auto"/>
            </w:tcBorders>
          </w:tcPr>
          <w:p w14:paraId="6780B720" w14:textId="0BF3D735"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0.00 [</w:t>
            </w:r>
            <w:r w:rsidR="00F61DF4" w:rsidRPr="00F61DF4">
              <w:rPr>
                <w:rFonts w:ascii="Arial Narrow" w:hAnsi="Arial Narrow"/>
                <w:sz w:val="20"/>
                <w:lang w:val="en"/>
              </w:rPr>
              <w:t>−</w:t>
            </w:r>
            <w:r w:rsidRPr="007D4F22">
              <w:rPr>
                <w:rFonts w:ascii="Arial Narrow" w:hAnsi="Arial Narrow"/>
                <w:sz w:val="20"/>
              </w:rPr>
              <w:t>0.00, 0.00]</w:t>
            </w:r>
          </w:p>
        </w:tc>
        <w:tc>
          <w:tcPr>
            <w:tcW w:w="305" w:type="pct"/>
            <w:tcBorders>
              <w:bottom w:val="single" w:sz="4" w:space="0" w:color="auto"/>
            </w:tcBorders>
            <w:shd w:val="clear" w:color="auto" w:fill="FFFFFF" w:themeFill="background1"/>
          </w:tcPr>
          <w:p w14:paraId="4FFE476D" w14:textId="77777777" w:rsidR="007D4F22" w:rsidRPr="007D4F22" w:rsidRDefault="007D4F22" w:rsidP="007D4F22">
            <w:pPr>
              <w:widowControl w:val="0"/>
              <w:spacing w:before="40" w:after="40"/>
              <w:rPr>
                <w:rFonts w:ascii="Arial Narrow" w:hAnsi="Arial Narrow"/>
                <w:b/>
                <w:bCs/>
                <w:sz w:val="20"/>
              </w:rPr>
            </w:pPr>
            <w:r w:rsidRPr="007D4F22">
              <w:rPr>
                <w:rFonts w:ascii="Arial Narrow" w:hAnsi="Arial Narrow"/>
                <w:b/>
                <w:bCs/>
                <w:sz w:val="20"/>
              </w:rPr>
              <w:t>0.0116</w:t>
            </w:r>
          </w:p>
        </w:tc>
        <w:tc>
          <w:tcPr>
            <w:tcW w:w="355" w:type="pct"/>
            <w:tcBorders>
              <w:bottom w:val="single" w:sz="4" w:space="0" w:color="auto"/>
            </w:tcBorders>
          </w:tcPr>
          <w:p w14:paraId="690703A7"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13 (0.3)</w:t>
            </w:r>
          </w:p>
        </w:tc>
        <w:tc>
          <w:tcPr>
            <w:tcW w:w="407" w:type="pct"/>
            <w:tcBorders>
              <w:bottom w:val="single" w:sz="4" w:space="0" w:color="auto"/>
            </w:tcBorders>
          </w:tcPr>
          <w:p w14:paraId="4D23FC74"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69 (0.2)</w:t>
            </w:r>
          </w:p>
        </w:tc>
        <w:tc>
          <w:tcPr>
            <w:tcW w:w="533" w:type="pct"/>
            <w:tcBorders>
              <w:bottom w:val="single" w:sz="4" w:space="0" w:color="auto"/>
            </w:tcBorders>
          </w:tcPr>
          <w:p w14:paraId="7898BF5C"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1.84 [1.02, 3.32]</w:t>
            </w:r>
          </w:p>
        </w:tc>
        <w:tc>
          <w:tcPr>
            <w:tcW w:w="533" w:type="pct"/>
            <w:tcBorders>
              <w:bottom w:val="single" w:sz="4" w:space="0" w:color="auto"/>
            </w:tcBorders>
          </w:tcPr>
          <w:p w14:paraId="16F228BB" w14:textId="1784FE2D"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0.00 [</w:t>
            </w:r>
            <w:r w:rsidR="00F61DF4" w:rsidRPr="00F61DF4">
              <w:rPr>
                <w:rFonts w:ascii="Arial Narrow" w:hAnsi="Arial Narrow"/>
                <w:sz w:val="20"/>
                <w:lang w:val="en"/>
              </w:rPr>
              <w:t>−</w:t>
            </w:r>
            <w:r w:rsidRPr="007D4F22">
              <w:rPr>
                <w:rFonts w:ascii="Arial Narrow" w:hAnsi="Arial Narrow"/>
                <w:sz w:val="20"/>
              </w:rPr>
              <w:t>0.00, 0.00]</w:t>
            </w:r>
          </w:p>
        </w:tc>
        <w:tc>
          <w:tcPr>
            <w:tcW w:w="328" w:type="pct"/>
          </w:tcPr>
          <w:p w14:paraId="63114E98"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0.0666</w:t>
            </w:r>
          </w:p>
        </w:tc>
      </w:tr>
      <w:tr w:rsidR="007D4F22" w:rsidRPr="007D4F22" w14:paraId="13AF8981" w14:textId="77777777" w:rsidTr="4C0A0968">
        <w:trPr>
          <w:trHeight w:val="20"/>
        </w:trPr>
        <w:tc>
          <w:tcPr>
            <w:tcW w:w="685" w:type="pct"/>
            <w:tcBorders>
              <w:bottom w:val="single" w:sz="4" w:space="0" w:color="auto"/>
            </w:tcBorders>
          </w:tcPr>
          <w:p w14:paraId="066B3A13" w14:textId="77777777" w:rsidR="007D4F22" w:rsidRPr="007D4F22" w:rsidRDefault="007D4F22" w:rsidP="007D4F22">
            <w:pPr>
              <w:widowControl w:val="0"/>
              <w:spacing w:before="40" w:after="40"/>
              <w:ind w:left="171"/>
              <w:rPr>
                <w:rFonts w:ascii="Arial Narrow" w:hAnsi="Arial Narrow"/>
                <w:sz w:val="20"/>
              </w:rPr>
            </w:pPr>
            <w:r w:rsidRPr="007D4F22">
              <w:rPr>
                <w:rFonts w:ascii="Arial Narrow" w:hAnsi="Arial Narrow"/>
                <w:sz w:val="20"/>
              </w:rPr>
              <w:t>Intraoperative cardiac arrest</w:t>
            </w:r>
          </w:p>
        </w:tc>
        <w:tc>
          <w:tcPr>
            <w:tcW w:w="380" w:type="pct"/>
            <w:tcBorders>
              <w:bottom w:val="single" w:sz="4" w:space="0" w:color="auto"/>
            </w:tcBorders>
          </w:tcPr>
          <w:p w14:paraId="5A9FAE56"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15 (0.4)</w:t>
            </w:r>
          </w:p>
        </w:tc>
        <w:tc>
          <w:tcPr>
            <w:tcW w:w="356" w:type="pct"/>
            <w:tcBorders>
              <w:bottom w:val="single" w:sz="4" w:space="0" w:color="auto"/>
            </w:tcBorders>
          </w:tcPr>
          <w:p w14:paraId="3AF0055D"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100 (0.3)</w:t>
            </w:r>
          </w:p>
        </w:tc>
        <w:tc>
          <w:tcPr>
            <w:tcW w:w="549" w:type="pct"/>
            <w:tcBorders>
              <w:bottom w:val="single" w:sz="4" w:space="0" w:color="auto"/>
            </w:tcBorders>
          </w:tcPr>
          <w:p w14:paraId="250A9EBF"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1.46 [0.85, 2.52]</w:t>
            </w:r>
          </w:p>
        </w:tc>
        <w:tc>
          <w:tcPr>
            <w:tcW w:w="569" w:type="pct"/>
            <w:tcBorders>
              <w:bottom w:val="single" w:sz="4" w:space="0" w:color="auto"/>
            </w:tcBorders>
          </w:tcPr>
          <w:p w14:paraId="2378D6B0" w14:textId="5AD2D8C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0.00 [</w:t>
            </w:r>
            <w:r w:rsidR="00F61DF4" w:rsidRPr="00F61DF4">
              <w:rPr>
                <w:rFonts w:ascii="Arial Narrow" w:hAnsi="Arial Narrow"/>
                <w:sz w:val="20"/>
                <w:lang w:val="en"/>
              </w:rPr>
              <w:t>−</w:t>
            </w:r>
            <w:r w:rsidRPr="007D4F22">
              <w:rPr>
                <w:rFonts w:ascii="Arial Narrow" w:hAnsi="Arial Narrow"/>
                <w:sz w:val="20"/>
              </w:rPr>
              <w:t>0.00, 0.00]</w:t>
            </w:r>
          </w:p>
        </w:tc>
        <w:tc>
          <w:tcPr>
            <w:tcW w:w="305" w:type="pct"/>
            <w:tcBorders>
              <w:bottom w:val="single" w:sz="4" w:space="0" w:color="auto"/>
            </w:tcBorders>
          </w:tcPr>
          <w:p w14:paraId="6DD0D47C"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0.1811</w:t>
            </w:r>
          </w:p>
        </w:tc>
        <w:tc>
          <w:tcPr>
            <w:tcW w:w="355" w:type="pct"/>
            <w:tcBorders>
              <w:bottom w:val="single" w:sz="4" w:space="0" w:color="auto"/>
            </w:tcBorders>
          </w:tcPr>
          <w:p w14:paraId="7F747BE0"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15 (0.4)</w:t>
            </w:r>
          </w:p>
        </w:tc>
        <w:tc>
          <w:tcPr>
            <w:tcW w:w="407" w:type="pct"/>
            <w:tcBorders>
              <w:bottom w:val="single" w:sz="4" w:space="0" w:color="auto"/>
            </w:tcBorders>
          </w:tcPr>
          <w:p w14:paraId="32C130B2"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128 (0.3)</w:t>
            </w:r>
          </w:p>
        </w:tc>
        <w:tc>
          <w:tcPr>
            <w:tcW w:w="533" w:type="pct"/>
            <w:tcBorders>
              <w:bottom w:val="single" w:sz="4" w:space="0" w:color="auto"/>
            </w:tcBorders>
          </w:tcPr>
          <w:p w14:paraId="3875DAEE"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1.14 [0.67, 1.95]</w:t>
            </w:r>
          </w:p>
        </w:tc>
        <w:tc>
          <w:tcPr>
            <w:tcW w:w="533" w:type="pct"/>
            <w:tcBorders>
              <w:bottom w:val="single" w:sz="4" w:space="0" w:color="auto"/>
            </w:tcBorders>
          </w:tcPr>
          <w:p w14:paraId="1C5CB421" w14:textId="52BF14D5"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0.00 [</w:t>
            </w:r>
            <w:r w:rsidR="00F61DF4" w:rsidRPr="00F61DF4">
              <w:rPr>
                <w:rFonts w:ascii="Arial Narrow" w:hAnsi="Arial Narrow"/>
                <w:sz w:val="20"/>
                <w:lang w:val="en"/>
              </w:rPr>
              <w:t>−</w:t>
            </w:r>
            <w:r w:rsidRPr="007D4F22">
              <w:rPr>
                <w:rFonts w:ascii="Arial Narrow" w:hAnsi="Arial Narrow"/>
                <w:sz w:val="20"/>
              </w:rPr>
              <w:t>0.00, 0.00]</w:t>
            </w:r>
          </w:p>
        </w:tc>
        <w:tc>
          <w:tcPr>
            <w:tcW w:w="328" w:type="pct"/>
          </w:tcPr>
          <w:p w14:paraId="2B771D66"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0.6634</w:t>
            </w:r>
          </w:p>
        </w:tc>
      </w:tr>
      <w:tr w:rsidR="007D4F22" w:rsidRPr="007D4F22" w14:paraId="03C96FFC" w14:textId="77777777" w:rsidTr="4C0A0968">
        <w:trPr>
          <w:trHeight w:val="20"/>
        </w:trPr>
        <w:tc>
          <w:tcPr>
            <w:tcW w:w="685" w:type="pct"/>
            <w:tcBorders>
              <w:bottom w:val="single" w:sz="4" w:space="0" w:color="auto"/>
            </w:tcBorders>
          </w:tcPr>
          <w:p w14:paraId="503ADD39" w14:textId="77777777" w:rsidR="007D4F22" w:rsidRPr="007D4F22" w:rsidRDefault="007D4F22" w:rsidP="007D4F22">
            <w:pPr>
              <w:widowControl w:val="0"/>
              <w:spacing w:before="40" w:after="40"/>
              <w:ind w:left="171"/>
              <w:rPr>
                <w:rFonts w:ascii="Arial Narrow" w:hAnsi="Arial Narrow"/>
                <w:sz w:val="20"/>
              </w:rPr>
            </w:pPr>
            <w:r w:rsidRPr="007D4F22">
              <w:rPr>
                <w:rFonts w:ascii="Arial Narrow" w:hAnsi="Arial Narrow"/>
                <w:sz w:val="20"/>
              </w:rPr>
              <w:t>Pericarditis</w:t>
            </w:r>
          </w:p>
        </w:tc>
        <w:tc>
          <w:tcPr>
            <w:tcW w:w="380" w:type="pct"/>
            <w:tcBorders>
              <w:bottom w:val="single" w:sz="4" w:space="0" w:color="auto"/>
            </w:tcBorders>
          </w:tcPr>
          <w:p w14:paraId="7D45B8DB"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34 (0.9)</w:t>
            </w:r>
          </w:p>
        </w:tc>
        <w:tc>
          <w:tcPr>
            <w:tcW w:w="356" w:type="pct"/>
            <w:tcBorders>
              <w:bottom w:val="single" w:sz="4" w:space="0" w:color="auto"/>
            </w:tcBorders>
          </w:tcPr>
          <w:p w14:paraId="76D1B200"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262 (0.7)</w:t>
            </w:r>
          </w:p>
        </w:tc>
        <w:tc>
          <w:tcPr>
            <w:tcW w:w="549" w:type="pct"/>
            <w:tcBorders>
              <w:bottom w:val="single" w:sz="4" w:space="0" w:color="auto"/>
            </w:tcBorders>
          </w:tcPr>
          <w:p w14:paraId="65A6A15C"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1.27 [0.89, 1.81]</w:t>
            </w:r>
          </w:p>
        </w:tc>
        <w:tc>
          <w:tcPr>
            <w:tcW w:w="569" w:type="pct"/>
            <w:tcBorders>
              <w:bottom w:val="single" w:sz="4" w:space="0" w:color="auto"/>
            </w:tcBorders>
          </w:tcPr>
          <w:p w14:paraId="44892DE6" w14:textId="73B4C244"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0.00 [</w:t>
            </w:r>
            <w:r w:rsidR="00F61DF4" w:rsidRPr="00F61DF4">
              <w:rPr>
                <w:rFonts w:ascii="Arial Narrow" w:hAnsi="Arial Narrow"/>
                <w:sz w:val="20"/>
                <w:lang w:val="en"/>
              </w:rPr>
              <w:t>−</w:t>
            </w:r>
            <w:r w:rsidRPr="007D4F22">
              <w:rPr>
                <w:rFonts w:ascii="Arial Narrow" w:hAnsi="Arial Narrow"/>
                <w:sz w:val="20"/>
              </w:rPr>
              <w:t>0.00, 0.00]</w:t>
            </w:r>
          </w:p>
        </w:tc>
        <w:tc>
          <w:tcPr>
            <w:tcW w:w="305" w:type="pct"/>
            <w:tcBorders>
              <w:bottom w:val="single" w:sz="4" w:space="0" w:color="auto"/>
            </w:tcBorders>
          </w:tcPr>
          <w:p w14:paraId="5DB2A479"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0.2772</w:t>
            </w:r>
          </w:p>
        </w:tc>
        <w:tc>
          <w:tcPr>
            <w:tcW w:w="355" w:type="pct"/>
            <w:tcBorders>
              <w:bottom w:val="single" w:sz="4" w:space="0" w:color="auto"/>
            </w:tcBorders>
          </w:tcPr>
          <w:p w14:paraId="295CA095"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31 (0.8)</w:t>
            </w:r>
          </w:p>
        </w:tc>
        <w:tc>
          <w:tcPr>
            <w:tcW w:w="407" w:type="pct"/>
            <w:tcBorders>
              <w:bottom w:val="single" w:sz="4" w:space="0" w:color="auto"/>
            </w:tcBorders>
          </w:tcPr>
          <w:p w14:paraId="618939CF"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270 (0.7)</w:t>
            </w:r>
          </w:p>
        </w:tc>
        <w:tc>
          <w:tcPr>
            <w:tcW w:w="533" w:type="pct"/>
            <w:tcBorders>
              <w:bottom w:val="single" w:sz="4" w:space="0" w:color="auto"/>
            </w:tcBorders>
          </w:tcPr>
          <w:p w14:paraId="687BB78D"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1.12 [0.77, 1.62]</w:t>
            </w:r>
          </w:p>
        </w:tc>
        <w:tc>
          <w:tcPr>
            <w:tcW w:w="533" w:type="pct"/>
            <w:tcBorders>
              <w:bottom w:val="single" w:sz="4" w:space="0" w:color="auto"/>
            </w:tcBorders>
          </w:tcPr>
          <w:p w14:paraId="6D3D9800" w14:textId="24453541"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0.00 [</w:t>
            </w:r>
            <w:r w:rsidR="00F61DF4" w:rsidRPr="00F61DF4">
              <w:rPr>
                <w:rFonts w:ascii="Arial Narrow" w:hAnsi="Arial Narrow"/>
                <w:sz w:val="20"/>
                <w:lang w:val="en"/>
              </w:rPr>
              <w:t>−</w:t>
            </w:r>
            <w:r w:rsidRPr="007D4F22">
              <w:rPr>
                <w:rFonts w:ascii="Arial Narrow" w:hAnsi="Arial Narrow"/>
                <w:sz w:val="20"/>
              </w:rPr>
              <w:t xml:space="preserve">0.00, </w:t>
            </w:r>
            <w:r w:rsidRPr="007D4F22">
              <w:rPr>
                <w:rFonts w:ascii="Arial Narrow" w:hAnsi="Arial Narrow"/>
                <w:sz w:val="20"/>
              </w:rPr>
              <w:lastRenderedPageBreak/>
              <w:t>0.00]</w:t>
            </w:r>
          </w:p>
        </w:tc>
        <w:tc>
          <w:tcPr>
            <w:tcW w:w="328" w:type="pct"/>
          </w:tcPr>
          <w:p w14:paraId="6EFD3AE6"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lastRenderedPageBreak/>
              <w:t>0.5797</w:t>
            </w:r>
          </w:p>
        </w:tc>
      </w:tr>
      <w:tr w:rsidR="007D4F22" w:rsidRPr="007D4F22" w14:paraId="7E10EFE3" w14:textId="77777777" w:rsidTr="4C0A0968">
        <w:trPr>
          <w:trHeight w:val="20"/>
        </w:trPr>
        <w:tc>
          <w:tcPr>
            <w:tcW w:w="685" w:type="pct"/>
            <w:tcBorders>
              <w:bottom w:val="single" w:sz="4" w:space="0" w:color="auto"/>
            </w:tcBorders>
          </w:tcPr>
          <w:p w14:paraId="61D9D5B6" w14:textId="77777777" w:rsidR="007D4F22" w:rsidRPr="007D4F22" w:rsidRDefault="007D4F22" w:rsidP="007D4F22">
            <w:pPr>
              <w:widowControl w:val="0"/>
              <w:spacing w:before="40" w:after="40"/>
              <w:ind w:left="171"/>
              <w:rPr>
                <w:rFonts w:ascii="Arial Narrow" w:hAnsi="Arial Narrow"/>
                <w:sz w:val="20"/>
              </w:rPr>
            </w:pPr>
            <w:r w:rsidRPr="007D4F22">
              <w:rPr>
                <w:rFonts w:ascii="Arial Narrow" w:hAnsi="Arial Narrow"/>
                <w:sz w:val="20"/>
              </w:rPr>
              <w:t>Vascular complication</w:t>
            </w:r>
          </w:p>
        </w:tc>
        <w:tc>
          <w:tcPr>
            <w:tcW w:w="380" w:type="pct"/>
            <w:tcBorders>
              <w:bottom w:val="single" w:sz="4" w:space="0" w:color="auto"/>
            </w:tcBorders>
          </w:tcPr>
          <w:p w14:paraId="7CE885AC"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18 (0.5)</w:t>
            </w:r>
          </w:p>
        </w:tc>
        <w:tc>
          <w:tcPr>
            <w:tcW w:w="356" w:type="pct"/>
            <w:tcBorders>
              <w:bottom w:val="single" w:sz="4" w:space="0" w:color="auto"/>
            </w:tcBorders>
          </w:tcPr>
          <w:p w14:paraId="7F5D2086"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74 (0.2)</w:t>
            </w:r>
          </w:p>
        </w:tc>
        <w:tc>
          <w:tcPr>
            <w:tcW w:w="549" w:type="pct"/>
            <w:tcBorders>
              <w:bottom w:val="single" w:sz="4" w:space="0" w:color="auto"/>
            </w:tcBorders>
          </w:tcPr>
          <w:p w14:paraId="32B5BD6D"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2.37 [1.42, 3.97]</w:t>
            </w:r>
          </w:p>
        </w:tc>
        <w:tc>
          <w:tcPr>
            <w:tcW w:w="569" w:type="pct"/>
            <w:tcBorders>
              <w:bottom w:val="single" w:sz="4" w:space="0" w:color="auto"/>
            </w:tcBorders>
          </w:tcPr>
          <w:p w14:paraId="0130C51C"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0.00 [0.00, 0.00]</w:t>
            </w:r>
          </w:p>
        </w:tc>
        <w:tc>
          <w:tcPr>
            <w:tcW w:w="305" w:type="pct"/>
            <w:tcBorders>
              <w:bottom w:val="single" w:sz="4" w:space="0" w:color="auto"/>
            </w:tcBorders>
            <w:shd w:val="clear" w:color="auto" w:fill="FFFFFF" w:themeFill="background1"/>
          </w:tcPr>
          <w:p w14:paraId="470673BA" w14:textId="77777777" w:rsidR="007D4F22" w:rsidRPr="007D4F22" w:rsidRDefault="007D4F22" w:rsidP="007D4F22">
            <w:pPr>
              <w:widowControl w:val="0"/>
              <w:spacing w:before="40" w:after="40"/>
              <w:rPr>
                <w:rFonts w:ascii="Arial Narrow" w:hAnsi="Arial Narrow"/>
                <w:b/>
                <w:bCs/>
                <w:sz w:val="20"/>
              </w:rPr>
            </w:pPr>
            <w:r w:rsidRPr="007D4F22">
              <w:rPr>
                <w:rFonts w:ascii="Arial Narrow" w:hAnsi="Arial Narrow"/>
                <w:b/>
                <w:bCs/>
                <w:sz w:val="20"/>
              </w:rPr>
              <w:t>0.0011</w:t>
            </w:r>
          </w:p>
        </w:tc>
        <w:tc>
          <w:tcPr>
            <w:tcW w:w="355" w:type="pct"/>
            <w:tcBorders>
              <w:bottom w:val="single" w:sz="4" w:space="0" w:color="auto"/>
            </w:tcBorders>
          </w:tcPr>
          <w:p w14:paraId="5D927505"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17 (0.4)</w:t>
            </w:r>
          </w:p>
        </w:tc>
        <w:tc>
          <w:tcPr>
            <w:tcW w:w="407" w:type="pct"/>
            <w:tcBorders>
              <w:bottom w:val="single" w:sz="4" w:space="0" w:color="auto"/>
            </w:tcBorders>
          </w:tcPr>
          <w:p w14:paraId="56A02CF0"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88 (0.2)</w:t>
            </w:r>
          </w:p>
        </w:tc>
        <w:tc>
          <w:tcPr>
            <w:tcW w:w="533" w:type="pct"/>
            <w:tcBorders>
              <w:bottom w:val="single" w:sz="4" w:space="0" w:color="auto"/>
            </w:tcBorders>
          </w:tcPr>
          <w:p w14:paraId="59E8D125"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1.89 [1.12, 3.17]</w:t>
            </w:r>
          </w:p>
        </w:tc>
        <w:tc>
          <w:tcPr>
            <w:tcW w:w="533" w:type="pct"/>
            <w:tcBorders>
              <w:bottom w:val="single" w:sz="4" w:space="0" w:color="auto"/>
            </w:tcBorders>
          </w:tcPr>
          <w:p w14:paraId="53AC701A" w14:textId="21AB8A3F"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0.00 [</w:t>
            </w:r>
            <w:r w:rsidR="00F61DF4" w:rsidRPr="00F61DF4">
              <w:rPr>
                <w:rFonts w:ascii="Arial Narrow" w:hAnsi="Arial Narrow"/>
                <w:sz w:val="20"/>
                <w:lang w:val="en"/>
              </w:rPr>
              <w:t>−</w:t>
            </w:r>
            <w:r w:rsidRPr="007D4F22">
              <w:rPr>
                <w:rFonts w:ascii="Arial Narrow" w:hAnsi="Arial Narrow"/>
                <w:sz w:val="20"/>
              </w:rPr>
              <w:t>0.00, 0.00]</w:t>
            </w:r>
          </w:p>
        </w:tc>
        <w:tc>
          <w:tcPr>
            <w:tcW w:w="328" w:type="pct"/>
            <w:shd w:val="clear" w:color="auto" w:fill="FFFFFF" w:themeFill="background1"/>
          </w:tcPr>
          <w:p w14:paraId="1955725C" w14:textId="77777777" w:rsidR="007D4F22" w:rsidRPr="007D4F22" w:rsidRDefault="007D4F22" w:rsidP="007D4F22">
            <w:pPr>
              <w:widowControl w:val="0"/>
              <w:spacing w:before="40" w:after="40"/>
              <w:rPr>
                <w:rFonts w:ascii="Arial Narrow" w:hAnsi="Arial Narrow"/>
                <w:b/>
                <w:bCs/>
                <w:sz w:val="20"/>
              </w:rPr>
            </w:pPr>
            <w:r w:rsidRPr="007D4F22">
              <w:rPr>
                <w:rFonts w:ascii="Arial Narrow" w:hAnsi="Arial Narrow"/>
                <w:b/>
                <w:bCs/>
                <w:sz w:val="20"/>
              </w:rPr>
              <w:t>0.0204</w:t>
            </w:r>
          </w:p>
        </w:tc>
      </w:tr>
      <w:tr w:rsidR="007D4F22" w:rsidRPr="007D4F22" w14:paraId="2A78F633" w14:textId="77777777" w:rsidTr="4C0A0968">
        <w:trPr>
          <w:trHeight w:val="20"/>
        </w:trPr>
        <w:tc>
          <w:tcPr>
            <w:tcW w:w="685" w:type="pct"/>
            <w:tcBorders>
              <w:bottom w:val="single" w:sz="4" w:space="0" w:color="auto"/>
            </w:tcBorders>
          </w:tcPr>
          <w:p w14:paraId="6ACFC7B5" w14:textId="77777777" w:rsidR="007D4F22" w:rsidRPr="007D4F22" w:rsidRDefault="007D4F22" w:rsidP="007D4F22">
            <w:pPr>
              <w:widowControl w:val="0"/>
              <w:spacing w:before="40" w:after="40"/>
              <w:ind w:left="171"/>
              <w:rPr>
                <w:rFonts w:ascii="Arial Narrow" w:hAnsi="Arial Narrow"/>
                <w:sz w:val="20"/>
              </w:rPr>
            </w:pPr>
            <w:r w:rsidRPr="007D4F22">
              <w:rPr>
                <w:rFonts w:ascii="Arial Narrow" w:hAnsi="Arial Narrow"/>
                <w:sz w:val="20"/>
              </w:rPr>
              <w:t>Hemothorax</w:t>
            </w:r>
          </w:p>
        </w:tc>
        <w:tc>
          <w:tcPr>
            <w:tcW w:w="380" w:type="pct"/>
            <w:tcBorders>
              <w:bottom w:val="single" w:sz="4" w:space="0" w:color="auto"/>
            </w:tcBorders>
          </w:tcPr>
          <w:p w14:paraId="402D487D"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w:t>
            </w:r>
          </w:p>
        </w:tc>
        <w:tc>
          <w:tcPr>
            <w:tcW w:w="356" w:type="pct"/>
            <w:tcBorders>
              <w:bottom w:val="single" w:sz="4" w:space="0" w:color="auto"/>
            </w:tcBorders>
          </w:tcPr>
          <w:p w14:paraId="2442C63E"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w:t>
            </w:r>
          </w:p>
        </w:tc>
        <w:tc>
          <w:tcPr>
            <w:tcW w:w="549" w:type="pct"/>
            <w:tcBorders>
              <w:bottom w:val="single" w:sz="4" w:space="0" w:color="auto"/>
            </w:tcBorders>
          </w:tcPr>
          <w:p w14:paraId="30BC0267"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w:t>
            </w:r>
          </w:p>
        </w:tc>
        <w:tc>
          <w:tcPr>
            <w:tcW w:w="569" w:type="pct"/>
            <w:tcBorders>
              <w:bottom w:val="single" w:sz="4" w:space="0" w:color="auto"/>
            </w:tcBorders>
          </w:tcPr>
          <w:p w14:paraId="37B50701"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w:t>
            </w:r>
          </w:p>
        </w:tc>
        <w:tc>
          <w:tcPr>
            <w:tcW w:w="305" w:type="pct"/>
            <w:tcBorders>
              <w:bottom w:val="single" w:sz="4" w:space="0" w:color="auto"/>
            </w:tcBorders>
          </w:tcPr>
          <w:p w14:paraId="36DA862F"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0.4235</w:t>
            </w:r>
          </w:p>
        </w:tc>
        <w:tc>
          <w:tcPr>
            <w:tcW w:w="355" w:type="pct"/>
            <w:tcBorders>
              <w:bottom w:val="single" w:sz="4" w:space="0" w:color="auto"/>
            </w:tcBorders>
          </w:tcPr>
          <w:p w14:paraId="785A8439"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w:t>
            </w:r>
          </w:p>
        </w:tc>
        <w:tc>
          <w:tcPr>
            <w:tcW w:w="407" w:type="pct"/>
            <w:tcBorders>
              <w:bottom w:val="single" w:sz="4" w:space="0" w:color="auto"/>
            </w:tcBorders>
          </w:tcPr>
          <w:p w14:paraId="438F8607"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w:t>
            </w:r>
          </w:p>
        </w:tc>
        <w:tc>
          <w:tcPr>
            <w:tcW w:w="533" w:type="pct"/>
            <w:tcBorders>
              <w:bottom w:val="single" w:sz="4" w:space="0" w:color="auto"/>
            </w:tcBorders>
          </w:tcPr>
          <w:p w14:paraId="7415962D"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w:t>
            </w:r>
          </w:p>
        </w:tc>
        <w:tc>
          <w:tcPr>
            <w:tcW w:w="533" w:type="pct"/>
            <w:tcBorders>
              <w:bottom w:val="single" w:sz="4" w:space="0" w:color="auto"/>
            </w:tcBorders>
          </w:tcPr>
          <w:p w14:paraId="7B2F422B"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w:t>
            </w:r>
          </w:p>
        </w:tc>
        <w:tc>
          <w:tcPr>
            <w:tcW w:w="328" w:type="pct"/>
          </w:tcPr>
          <w:p w14:paraId="5F0A5558"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0.4791</w:t>
            </w:r>
          </w:p>
        </w:tc>
      </w:tr>
      <w:tr w:rsidR="007D4F22" w:rsidRPr="007D4F22" w14:paraId="7BC42C5F" w14:textId="77777777" w:rsidTr="4C0A0968">
        <w:trPr>
          <w:trHeight w:val="20"/>
        </w:trPr>
        <w:tc>
          <w:tcPr>
            <w:tcW w:w="685" w:type="pct"/>
            <w:tcBorders>
              <w:bottom w:val="single" w:sz="4" w:space="0" w:color="auto"/>
            </w:tcBorders>
          </w:tcPr>
          <w:p w14:paraId="7D89C536" w14:textId="77777777" w:rsidR="007D4F22" w:rsidRPr="007D4F22" w:rsidRDefault="007D4F22" w:rsidP="007D4F22">
            <w:pPr>
              <w:widowControl w:val="0"/>
              <w:spacing w:before="40" w:after="40"/>
              <w:ind w:left="171"/>
              <w:rPr>
                <w:rFonts w:ascii="Arial Narrow" w:hAnsi="Arial Narrow"/>
                <w:sz w:val="20"/>
              </w:rPr>
            </w:pPr>
            <w:r w:rsidRPr="007D4F22">
              <w:rPr>
                <w:rFonts w:ascii="Arial Narrow" w:hAnsi="Arial Narrow"/>
                <w:sz w:val="20"/>
              </w:rPr>
              <w:t>Pneumothorax</w:t>
            </w:r>
          </w:p>
        </w:tc>
        <w:tc>
          <w:tcPr>
            <w:tcW w:w="380" w:type="pct"/>
            <w:tcBorders>
              <w:bottom w:val="single" w:sz="4" w:space="0" w:color="auto"/>
            </w:tcBorders>
          </w:tcPr>
          <w:p w14:paraId="295F9BC9"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N/A</w:t>
            </w:r>
          </w:p>
        </w:tc>
        <w:tc>
          <w:tcPr>
            <w:tcW w:w="356" w:type="pct"/>
            <w:tcBorders>
              <w:bottom w:val="single" w:sz="4" w:space="0" w:color="auto"/>
            </w:tcBorders>
          </w:tcPr>
          <w:p w14:paraId="53E8288A"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495 (1.3)</w:t>
            </w:r>
          </w:p>
        </w:tc>
        <w:tc>
          <w:tcPr>
            <w:tcW w:w="549" w:type="pct"/>
            <w:tcBorders>
              <w:bottom w:val="single" w:sz="4" w:space="0" w:color="auto"/>
            </w:tcBorders>
          </w:tcPr>
          <w:p w14:paraId="0C680AA8"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w:t>
            </w:r>
          </w:p>
        </w:tc>
        <w:tc>
          <w:tcPr>
            <w:tcW w:w="569" w:type="pct"/>
            <w:tcBorders>
              <w:bottom w:val="single" w:sz="4" w:space="0" w:color="auto"/>
            </w:tcBorders>
          </w:tcPr>
          <w:p w14:paraId="0E6D7E50"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w:t>
            </w:r>
          </w:p>
        </w:tc>
        <w:tc>
          <w:tcPr>
            <w:tcW w:w="305" w:type="pct"/>
            <w:tcBorders>
              <w:bottom w:val="single" w:sz="4" w:space="0" w:color="auto"/>
            </w:tcBorders>
          </w:tcPr>
          <w:p w14:paraId="19938E25"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NE</w:t>
            </w:r>
          </w:p>
        </w:tc>
        <w:tc>
          <w:tcPr>
            <w:tcW w:w="355" w:type="pct"/>
            <w:tcBorders>
              <w:bottom w:val="single" w:sz="4" w:space="0" w:color="auto"/>
            </w:tcBorders>
          </w:tcPr>
          <w:p w14:paraId="4CC0D511"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N/A</w:t>
            </w:r>
          </w:p>
        </w:tc>
        <w:tc>
          <w:tcPr>
            <w:tcW w:w="407" w:type="pct"/>
            <w:tcBorders>
              <w:bottom w:val="single" w:sz="4" w:space="0" w:color="auto"/>
            </w:tcBorders>
          </w:tcPr>
          <w:p w14:paraId="1CBACCC9"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531 (1.4)</w:t>
            </w:r>
          </w:p>
        </w:tc>
        <w:tc>
          <w:tcPr>
            <w:tcW w:w="533" w:type="pct"/>
            <w:tcBorders>
              <w:bottom w:val="single" w:sz="4" w:space="0" w:color="auto"/>
            </w:tcBorders>
          </w:tcPr>
          <w:p w14:paraId="454F0C2B"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w:t>
            </w:r>
          </w:p>
        </w:tc>
        <w:tc>
          <w:tcPr>
            <w:tcW w:w="533" w:type="pct"/>
            <w:tcBorders>
              <w:bottom w:val="single" w:sz="4" w:space="0" w:color="auto"/>
            </w:tcBorders>
          </w:tcPr>
          <w:p w14:paraId="04929C99"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w:t>
            </w:r>
          </w:p>
        </w:tc>
        <w:tc>
          <w:tcPr>
            <w:tcW w:w="328" w:type="pct"/>
          </w:tcPr>
          <w:p w14:paraId="078E5E4C"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NE</w:t>
            </w:r>
          </w:p>
        </w:tc>
      </w:tr>
      <w:tr w:rsidR="007D4F22" w:rsidRPr="007D4F22" w14:paraId="605C4FAC" w14:textId="77777777" w:rsidTr="4C0A0968">
        <w:trPr>
          <w:trHeight w:val="20"/>
        </w:trPr>
        <w:tc>
          <w:tcPr>
            <w:tcW w:w="685" w:type="pct"/>
            <w:tcBorders>
              <w:bottom w:val="single" w:sz="4" w:space="0" w:color="auto"/>
            </w:tcBorders>
          </w:tcPr>
          <w:p w14:paraId="2FE74381"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b/>
                <w:bCs/>
                <w:sz w:val="20"/>
              </w:rPr>
              <w:t>30-day mortality</w:t>
            </w:r>
          </w:p>
        </w:tc>
        <w:tc>
          <w:tcPr>
            <w:tcW w:w="380" w:type="pct"/>
            <w:tcBorders>
              <w:bottom w:val="single" w:sz="4" w:space="0" w:color="auto"/>
            </w:tcBorders>
          </w:tcPr>
          <w:p w14:paraId="5615839A"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242 (6.2)</w:t>
            </w:r>
          </w:p>
        </w:tc>
        <w:tc>
          <w:tcPr>
            <w:tcW w:w="356" w:type="pct"/>
            <w:tcBorders>
              <w:bottom w:val="single" w:sz="4" w:space="0" w:color="auto"/>
            </w:tcBorders>
          </w:tcPr>
          <w:p w14:paraId="12669FB0"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772 (2.0)</w:t>
            </w:r>
          </w:p>
        </w:tc>
        <w:tc>
          <w:tcPr>
            <w:tcW w:w="549" w:type="pct"/>
            <w:tcBorders>
              <w:bottom w:val="single" w:sz="4" w:space="0" w:color="auto"/>
            </w:tcBorders>
          </w:tcPr>
          <w:p w14:paraId="0608D644"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3.06 [2.66, 3.52]</w:t>
            </w:r>
          </w:p>
        </w:tc>
        <w:tc>
          <w:tcPr>
            <w:tcW w:w="569" w:type="pct"/>
            <w:tcBorders>
              <w:bottom w:val="single" w:sz="4" w:space="0" w:color="auto"/>
            </w:tcBorders>
          </w:tcPr>
          <w:p w14:paraId="1C10B271"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0.04 [0.03, 0.05]</w:t>
            </w:r>
          </w:p>
        </w:tc>
        <w:tc>
          <w:tcPr>
            <w:tcW w:w="305" w:type="pct"/>
            <w:tcBorders>
              <w:bottom w:val="single" w:sz="4" w:space="0" w:color="auto"/>
            </w:tcBorders>
            <w:shd w:val="clear" w:color="auto" w:fill="FFFFFF" w:themeFill="background1"/>
          </w:tcPr>
          <w:p w14:paraId="479A5452" w14:textId="77777777" w:rsidR="007D4F22" w:rsidRPr="007D4F22" w:rsidRDefault="007D4F22" w:rsidP="007D4F22">
            <w:pPr>
              <w:widowControl w:val="0"/>
              <w:spacing w:before="40" w:after="40"/>
              <w:rPr>
                <w:rFonts w:ascii="Arial Narrow" w:hAnsi="Arial Narrow"/>
                <w:b/>
                <w:bCs/>
                <w:sz w:val="20"/>
              </w:rPr>
            </w:pPr>
            <w:r w:rsidRPr="007D4F22">
              <w:rPr>
                <w:rFonts w:ascii="Arial Narrow" w:hAnsi="Arial Narrow"/>
                <w:b/>
                <w:bCs/>
                <w:sz w:val="20"/>
              </w:rPr>
              <w:t>&lt;0.0001</w:t>
            </w:r>
          </w:p>
        </w:tc>
        <w:tc>
          <w:tcPr>
            <w:tcW w:w="355" w:type="pct"/>
            <w:tcBorders>
              <w:bottom w:val="single" w:sz="4" w:space="0" w:color="auto"/>
            </w:tcBorders>
          </w:tcPr>
          <w:p w14:paraId="06A19B45"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226 (5.8)</w:t>
            </w:r>
          </w:p>
        </w:tc>
        <w:tc>
          <w:tcPr>
            <w:tcW w:w="407" w:type="pct"/>
            <w:tcBorders>
              <w:bottom w:val="single" w:sz="4" w:space="0" w:color="auto"/>
            </w:tcBorders>
          </w:tcPr>
          <w:p w14:paraId="00CE5281"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1134 (3.0)</w:t>
            </w:r>
          </w:p>
        </w:tc>
        <w:tc>
          <w:tcPr>
            <w:tcW w:w="533" w:type="pct"/>
            <w:tcBorders>
              <w:bottom w:val="single" w:sz="4" w:space="0" w:color="auto"/>
            </w:tcBorders>
          </w:tcPr>
          <w:p w14:paraId="063FC754"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1.94 [1.69, 2.23]</w:t>
            </w:r>
          </w:p>
        </w:tc>
        <w:tc>
          <w:tcPr>
            <w:tcW w:w="533" w:type="pct"/>
            <w:tcBorders>
              <w:bottom w:val="single" w:sz="4" w:space="0" w:color="auto"/>
            </w:tcBorders>
          </w:tcPr>
          <w:p w14:paraId="57CE984A" w14:textId="77777777" w:rsidR="007D4F22" w:rsidRPr="007D4F22" w:rsidRDefault="007D4F22" w:rsidP="007D4F22">
            <w:pPr>
              <w:widowControl w:val="0"/>
              <w:spacing w:before="40" w:after="40"/>
              <w:rPr>
                <w:rFonts w:ascii="Arial Narrow" w:hAnsi="Arial Narrow"/>
                <w:sz w:val="20"/>
              </w:rPr>
            </w:pPr>
            <w:r w:rsidRPr="007D4F22">
              <w:rPr>
                <w:rFonts w:ascii="Arial Narrow" w:hAnsi="Arial Narrow"/>
                <w:sz w:val="20"/>
              </w:rPr>
              <w:t>1.94 [1.69, 2.23]</w:t>
            </w:r>
          </w:p>
        </w:tc>
        <w:tc>
          <w:tcPr>
            <w:tcW w:w="328" w:type="pct"/>
            <w:shd w:val="clear" w:color="auto" w:fill="FFFFFF" w:themeFill="background1"/>
          </w:tcPr>
          <w:p w14:paraId="2BB52BC1" w14:textId="77777777" w:rsidR="007D4F22" w:rsidRPr="007D4F22" w:rsidRDefault="007D4F22" w:rsidP="007D4F22">
            <w:pPr>
              <w:widowControl w:val="0"/>
              <w:spacing w:before="40" w:after="40"/>
              <w:rPr>
                <w:rFonts w:ascii="Arial Narrow" w:hAnsi="Arial Narrow"/>
                <w:b/>
                <w:bCs/>
                <w:sz w:val="20"/>
              </w:rPr>
            </w:pPr>
            <w:r w:rsidRPr="007D4F22">
              <w:rPr>
                <w:rFonts w:ascii="Arial Narrow" w:hAnsi="Arial Narrow"/>
                <w:b/>
                <w:bCs/>
                <w:sz w:val="20"/>
              </w:rPr>
              <w:t>&lt;0.0001</w:t>
            </w:r>
          </w:p>
        </w:tc>
      </w:tr>
    </w:tbl>
    <w:p w14:paraId="7461C73D" w14:textId="77777777" w:rsidR="009825FC" w:rsidRPr="003D5D26" w:rsidRDefault="007D4F22" w:rsidP="007D4F22">
      <w:pPr>
        <w:widowControl w:val="0"/>
        <w:spacing w:after="360" w:line="240" w:lineRule="auto"/>
        <w:contextualSpacing/>
        <w:rPr>
          <w:rFonts w:ascii="Arial Narrow" w:hAnsi="Arial Narrow"/>
          <w:b/>
          <w:sz w:val="18"/>
          <w:u w:val="single"/>
        </w:rPr>
      </w:pPr>
      <w:r w:rsidRPr="003D5D26">
        <w:rPr>
          <w:rFonts w:ascii="Arial Narrow" w:hAnsi="Arial Narrow"/>
          <w:b/>
          <w:sz w:val="18"/>
          <w:u w:val="single"/>
        </w:rPr>
        <w:t>Abbreviations</w:t>
      </w:r>
    </w:p>
    <w:p w14:paraId="50695B0A" w14:textId="48C3E6BC" w:rsidR="007D4F22" w:rsidRPr="00B6382D" w:rsidRDefault="007D4F22" w:rsidP="007D4F22">
      <w:pPr>
        <w:widowControl w:val="0"/>
        <w:spacing w:after="360" w:line="240" w:lineRule="auto"/>
        <w:contextualSpacing/>
        <w:rPr>
          <w:rFonts w:ascii="Arial Narrow" w:hAnsi="Arial Narrow"/>
          <w:sz w:val="18"/>
        </w:rPr>
      </w:pPr>
      <w:r w:rsidRPr="00B6382D">
        <w:rPr>
          <w:rFonts w:ascii="Arial Narrow" w:hAnsi="Arial Narrow"/>
          <w:b/>
          <w:sz w:val="18"/>
        </w:rPr>
        <w:t>AF</w:t>
      </w:r>
      <w:r w:rsidR="00C36AF1">
        <w:rPr>
          <w:rFonts w:ascii="Arial Narrow" w:hAnsi="Arial Narrow"/>
          <w:sz w:val="18"/>
        </w:rPr>
        <w:t xml:space="preserve"> =</w:t>
      </w:r>
      <w:r w:rsidRPr="00B6382D">
        <w:rPr>
          <w:rFonts w:ascii="Arial Narrow" w:hAnsi="Arial Narrow"/>
          <w:sz w:val="18"/>
        </w:rPr>
        <w:t xml:space="preserve"> atrial fibrillation</w:t>
      </w:r>
      <w:r w:rsidR="00C36AF1">
        <w:rPr>
          <w:rFonts w:ascii="Arial Narrow" w:hAnsi="Arial Narrow"/>
          <w:sz w:val="18"/>
        </w:rPr>
        <w:t>,</w:t>
      </w:r>
      <w:r w:rsidRPr="00B6382D">
        <w:rPr>
          <w:rFonts w:ascii="Arial Narrow" w:hAnsi="Arial Narrow"/>
          <w:sz w:val="18"/>
        </w:rPr>
        <w:t xml:space="preserve"> </w:t>
      </w:r>
      <w:r w:rsidRPr="00B6382D">
        <w:rPr>
          <w:rFonts w:ascii="Arial Narrow" w:hAnsi="Arial Narrow"/>
          <w:b/>
          <w:sz w:val="18"/>
        </w:rPr>
        <w:t>AVB</w:t>
      </w:r>
      <w:r w:rsidR="00C36AF1">
        <w:rPr>
          <w:rFonts w:ascii="Arial Narrow" w:hAnsi="Arial Narrow"/>
          <w:sz w:val="18"/>
        </w:rPr>
        <w:t xml:space="preserve"> =</w:t>
      </w:r>
      <w:r w:rsidRPr="00B6382D">
        <w:rPr>
          <w:rFonts w:ascii="Arial Narrow" w:hAnsi="Arial Narrow"/>
          <w:sz w:val="18"/>
        </w:rPr>
        <w:t xml:space="preserve"> atrioventricular block</w:t>
      </w:r>
      <w:r w:rsidR="00C36AF1">
        <w:rPr>
          <w:rFonts w:ascii="Arial Narrow" w:hAnsi="Arial Narrow"/>
          <w:sz w:val="18"/>
        </w:rPr>
        <w:t>,</w:t>
      </w:r>
      <w:r w:rsidRPr="00B6382D">
        <w:rPr>
          <w:rFonts w:ascii="Arial Narrow" w:hAnsi="Arial Narrow"/>
          <w:sz w:val="18"/>
        </w:rPr>
        <w:t xml:space="preserve"> </w:t>
      </w:r>
      <w:r w:rsidRPr="00B6382D">
        <w:rPr>
          <w:rFonts w:ascii="Arial Narrow" w:hAnsi="Arial Narrow"/>
          <w:b/>
          <w:sz w:val="18"/>
        </w:rPr>
        <w:t>AMI</w:t>
      </w:r>
      <w:r w:rsidR="00C36AF1">
        <w:rPr>
          <w:rFonts w:ascii="Arial Narrow" w:hAnsi="Arial Narrow"/>
          <w:sz w:val="18"/>
        </w:rPr>
        <w:t xml:space="preserve"> =</w:t>
      </w:r>
      <w:r w:rsidRPr="00B6382D">
        <w:rPr>
          <w:rFonts w:ascii="Arial Narrow" w:hAnsi="Arial Narrow"/>
          <w:sz w:val="18"/>
        </w:rPr>
        <w:t xml:space="preserve"> acute myocardial infarction</w:t>
      </w:r>
      <w:r w:rsidR="00C36AF1">
        <w:rPr>
          <w:rFonts w:ascii="Arial Narrow" w:hAnsi="Arial Narrow"/>
          <w:sz w:val="18"/>
        </w:rPr>
        <w:t>,</w:t>
      </w:r>
      <w:r w:rsidRPr="00B6382D">
        <w:rPr>
          <w:rFonts w:ascii="Arial Narrow" w:hAnsi="Arial Narrow"/>
          <w:sz w:val="18"/>
        </w:rPr>
        <w:t xml:space="preserve"> </w:t>
      </w:r>
      <w:r w:rsidRPr="00B6382D">
        <w:rPr>
          <w:rFonts w:ascii="Arial Narrow" w:hAnsi="Arial Narrow"/>
          <w:b/>
          <w:sz w:val="18"/>
        </w:rPr>
        <w:t>CI</w:t>
      </w:r>
      <w:r w:rsidR="00C36AF1">
        <w:rPr>
          <w:rFonts w:ascii="Arial Narrow" w:hAnsi="Arial Narrow"/>
          <w:sz w:val="18"/>
        </w:rPr>
        <w:t xml:space="preserve"> =</w:t>
      </w:r>
      <w:r w:rsidRPr="00B6382D">
        <w:rPr>
          <w:rFonts w:ascii="Arial Narrow" w:hAnsi="Arial Narrow"/>
          <w:sz w:val="18"/>
        </w:rPr>
        <w:t xml:space="preserve"> confidence interval</w:t>
      </w:r>
      <w:r w:rsidR="00C36AF1">
        <w:rPr>
          <w:rFonts w:ascii="Arial Narrow" w:hAnsi="Arial Narrow"/>
          <w:sz w:val="18"/>
        </w:rPr>
        <w:t>,</w:t>
      </w:r>
      <w:r w:rsidRPr="00B6382D">
        <w:rPr>
          <w:rFonts w:ascii="Arial Narrow" w:hAnsi="Arial Narrow"/>
          <w:sz w:val="18"/>
        </w:rPr>
        <w:t xml:space="preserve"> </w:t>
      </w:r>
      <w:r w:rsidRPr="00B6382D">
        <w:rPr>
          <w:rFonts w:ascii="Arial Narrow" w:hAnsi="Arial Narrow"/>
          <w:b/>
          <w:sz w:val="18"/>
        </w:rPr>
        <w:t>CIED</w:t>
      </w:r>
      <w:r w:rsidR="00C36AF1">
        <w:rPr>
          <w:rFonts w:ascii="Arial Narrow" w:hAnsi="Arial Narrow"/>
          <w:sz w:val="18"/>
        </w:rPr>
        <w:t xml:space="preserve"> =</w:t>
      </w:r>
      <w:r w:rsidRPr="00B6382D">
        <w:rPr>
          <w:rFonts w:ascii="Arial Narrow" w:hAnsi="Arial Narrow"/>
          <w:sz w:val="18"/>
        </w:rPr>
        <w:t xml:space="preserve"> cardiovascular implantable electronic device</w:t>
      </w:r>
      <w:r w:rsidR="00C36AF1">
        <w:rPr>
          <w:rFonts w:ascii="Arial Narrow" w:hAnsi="Arial Narrow"/>
          <w:sz w:val="18"/>
        </w:rPr>
        <w:t>,</w:t>
      </w:r>
      <w:r w:rsidRPr="00B6382D">
        <w:rPr>
          <w:rFonts w:ascii="Arial Narrow" w:hAnsi="Arial Narrow"/>
          <w:sz w:val="18"/>
        </w:rPr>
        <w:t xml:space="preserve"> </w:t>
      </w:r>
      <w:r w:rsidRPr="00B6382D">
        <w:rPr>
          <w:rFonts w:ascii="Arial Narrow" w:hAnsi="Arial Narrow"/>
          <w:b/>
          <w:sz w:val="18"/>
        </w:rPr>
        <w:t>DC-TVPM</w:t>
      </w:r>
      <w:r w:rsidR="00C36AF1">
        <w:rPr>
          <w:rFonts w:ascii="Arial Narrow" w:hAnsi="Arial Narrow"/>
          <w:sz w:val="18"/>
        </w:rPr>
        <w:t xml:space="preserve"> =</w:t>
      </w:r>
      <w:r w:rsidRPr="00B6382D">
        <w:rPr>
          <w:rFonts w:ascii="Arial Narrow" w:hAnsi="Arial Narrow"/>
          <w:sz w:val="18"/>
        </w:rPr>
        <w:t xml:space="preserve"> dual-chamber transvenous pacemaker</w:t>
      </w:r>
      <w:r w:rsidR="00C36AF1">
        <w:rPr>
          <w:rFonts w:ascii="Arial Narrow" w:hAnsi="Arial Narrow"/>
          <w:sz w:val="18"/>
        </w:rPr>
        <w:t>,</w:t>
      </w:r>
      <w:r w:rsidRPr="00B6382D">
        <w:rPr>
          <w:rFonts w:ascii="Arial Narrow" w:hAnsi="Arial Narrow"/>
          <w:sz w:val="18"/>
        </w:rPr>
        <w:t xml:space="preserve"> </w:t>
      </w:r>
      <w:r w:rsidRPr="00B6382D">
        <w:rPr>
          <w:rFonts w:ascii="Arial Narrow" w:hAnsi="Arial Narrow"/>
          <w:b/>
          <w:sz w:val="18"/>
        </w:rPr>
        <w:t>NA</w:t>
      </w:r>
      <w:r w:rsidR="00C36AF1">
        <w:rPr>
          <w:rFonts w:ascii="Arial Narrow" w:hAnsi="Arial Narrow"/>
          <w:sz w:val="18"/>
        </w:rPr>
        <w:t xml:space="preserve"> =</w:t>
      </w:r>
      <w:r w:rsidRPr="00B6382D">
        <w:rPr>
          <w:rFonts w:ascii="Arial Narrow" w:hAnsi="Arial Narrow"/>
          <w:sz w:val="18"/>
        </w:rPr>
        <w:t xml:space="preserve"> not applicable</w:t>
      </w:r>
      <w:r w:rsidR="00C36AF1">
        <w:rPr>
          <w:rFonts w:ascii="Arial Narrow" w:hAnsi="Arial Narrow"/>
          <w:sz w:val="18"/>
        </w:rPr>
        <w:t>,</w:t>
      </w:r>
      <w:r w:rsidRPr="00B6382D">
        <w:rPr>
          <w:rFonts w:ascii="Arial Narrow" w:hAnsi="Arial Narrow"/>
          <w:sz w:val="18"/>
        </w:rPr>
        <w:t xml:space="preserve"> </w:t>
      </w:r>
      <w:r w:rsidRPr="00B6382D">
        <w:rPr>
          <w:rFonts w:ascii="Arial Narrow" w:hAnsi="Arial Narrow"/>
          <w:b/>
          <w:sz w:val="18"/>
        </w:rPr>
        <w:t>NE</w:t>
      </w:r>
      <w:r w:rsidR="00C36AF1">
        <w:rPr>
          <w:rFonts w:ascii="Arial Narrow" w:hAnsi="Arial Narrow"/>
          <w:sz w:val="18"/>
        </w:rPr>
        <w:t xml:space="preserve"> =</w:t>
      </w:r>
      <w:r w:rsidRPr="00B6382D">
        <w:rPr>
          <w:rFonts w:ascii="Arial Narrow" w:hAnsi="Arial Narrow"/>
          <w:sz w:val="18"/>
        </w:rPr>
        <w:t xml:space="preserve"> not estimable</w:t>
      </w:r>
      <w:r w:rsidR="00B737C7">
        <w:rPr>
          <w:rFonts w:ascii="Arial Narrow" w:hAnsi="Arial Narrow"/>
          <w:sz w:val="18"/>
        </w:rPr>
        <w:t>,</w:t>
      </w:r>
      <w:r w:rsidRPr="00B6382D">
        <w:rPr>
          <w:rFonts w:ascii="Arial Narrow" w:hAnsi="Arial Narrow"/>
          <w:sz w:val="18"/>
        </w:rPr>
        <w:t xml:space="preserve"> </w:t>
      </w:r>
      <w:r w:rsidRPr="00B6382D">
        <w:rPr>
          <w:rFonts w:ascii="Arial Narrow" w:hAnsi="Arial Narrow"/>
          <w:b/>
          <w:sz w:val="18"/>
        </w:rPr>
        <w:t>RD</w:t>
      </w:r>
      <w:r w:rsidR="00B737C7">
        <w:rPr>
          <w:rFonts w:ascii="Arial Narrow" w:hAnsi="Arial Narrow"/>
          <w:sz w:val="18"/>
        </w:rPr>
        <w:t xml:space="preserve"> =</w:t>
      </w:r>
      <w:r w:rsidRPr="00B6382D">
        <w:rPr>
          <w:rFonts w:ascii="Arial Narrow" w:hAnsi="Arial Narrow"/>
          <w:sz w:val="18"/>
        </w:rPr>
        <w:t xml:space="preserve"> risk difference</w:t>
      </w:r>
      <w:r w:rsidR="00B737C7">
        <w:rPr>
          <w:rFonts w:ascii="Arial Narrow" w:hAnsi="Arial Narrow"/>
          <w:sz w:val="18"/>
        </w:rPr>
        <w:t>,</w:t>
      </w:r>
      <w:r w:rsidRPr="00B6382D">
        <w:rPr>
          <w:rFonts w:ascii="Arial Narrow" w:hAnsi="Arial Narrow"/>
          <w:sz w:val="18"/>
        </w:rPr>
        <w:t xml:space="preserve"> </w:t>
      </w:r>
      <w:r w:rsidRPr="00B6382D">
        <w:rPr>
          <w:rFonts w:ascii="Arial Narrow" w:hAnsi="Arial Narrow"/>
          <w:b/>
          <w:sz w:val="18"/>
        </w:rPr>
        <w:t>RR</w:t>
      </w:r>
      <w:r w:rsidRPr="00B6382D">
        <w:rPr>
          <w:rFonts w:ascii="Arial Narrow" w:hAnsi="Arial Narrow"/>
          <w:sz w:val="18"/>
        </w:rPr>
        <w:t>, relative risk.</w:t>
      </w:r>
    </w:p>
    <w:p w14:paraId="769F208F" w14:textId="18A40F14" w:rsidR="00C36AF1" w:rsidRPr="00B6382D" w:rsidRDefault="00C36AF1" w:rsidP="007D4F22">
      <w:pPr>
        <w:widowControl w:val="0"/>
        <w:spacing w:after="360" w:line="240" w:lineRule="auto"/>
        <w:contextualSpacing/>
        <w:rPr>
          <w:rFonts w:ascii="Arial Narrow" w:hAnsi="Arial Narrow"/>
          <w:b/>
          <w:sz w:val="18"/>
          <w:u w:val="single"/>
        </w:rPr>
      </w:pPr>
      <w:r w:rsidRPr="00B6382D">
        <w:rPr>
          <w:rFonts w:ascii="Arial Narrow" w:hAnsi="Arial Narrow"/>
          <w:b/>
          <w:sz w:val="18"/>
          <w:u w:val="single"/>
        </w:rPr>
        <w:t>Notes</w:t>
      </w:r>
    </w:p>
    <w:p w14:paraId="18E1FB13" w14:textId="12A045C6" w:rsidR="00C36AF1" w:rsidRPr="00105E02" w:rsidRDefault="00C36AF1" w:rsidP="00C36AF1">
      <w:pPr>
        <w:widowControl w:val="0"/>
        <w:spacing w:after="360" w:line="240" w:lineRule="auto"/>
        <w:contextualSpacing/>
        <w:rPr>
          <w:rFonts w:ascii="Arial Narrow" w:hAnsi="Arial Narrow"/>
          <w:sz w:val="18"/>
        </w:rPr>
      </w:pPr>
      <w:r w:rsidRPr="00105E02">
        <w:rPr>
          <w:rFonts w:ascii="Arial Narrow" w:hAnsi="Arial Narrow"/>
          <w:sz w:val="18"/>
        </w:rPr>
        <w:t xml:space="preserve">* </w:t>
      </w:r>
      <w:r w:rsidR="00236453">
        <w:rPr>
          <w:rFonts w:ascii="Arial Narrow" w:hAnsi="Arial Narrow"/>
          <w:sz w:val="18"/>
        </w:rPr>
        <w:t xml:space="preserve">= </w:t>
      </w:r>
      <w:r w:rsidRPr="00105E02">
        <w:rPr>
          <w:rFonts w:ascii="Arial Narrow" w:hAnsi="Arial Narrow"/>
          <w:sz w:val="18"/>
        </w:rPr>
        <w:t>Complications that were experienced by &lt;10 patients.</w:t>
      </w:r>
    </w:p>
    <w:p w14:paraId="56C26D88" w14:textId="35E9AAFA" w:rsidR="009F2E95" w:rsidRDefault="00236453" w:rsidP="4C0A0968">
      <w:pPr>
        <w:widowControl w:val="0"/>
        <w:spacing w:after="360" w:line="240" w:lineRule="auto"/>
        <w:contextualSpacing/>
        <w:rPr>
          <w:rFonts w:ascii="Arial Narrow" w:hAnsi="Arial Narrow"/>
          <w:sz w:val="18"/>
          <w:szCs w:val="18"/>
        </w:rPr>
      </w:pPr>
      <w:r w:rsidRPr="4C0A0968">
        <w:rPr>
          <w:rFonts w:ascii="Arial Narrow" w:hAnsi="Arial Narrow"/>
          <w:b/>
          <w:bCs/>
          <w:sz w:val="18"/>
          <w:szCs w:val="18"/>
        </w:rPr>
        <w:t>a</w:t>
      </w:r>
      <w:r w:rsidRPr="4C0A0968">
        <w:rPr>
          <w:rFonts w:ascii="Arial Narrow" w:hAnsi="Arial Narrow"/>
          <w:sz w:val="18"/>
          <w:szCs w:val="18"/>
        </w:rPr>
        <w:t xml:space="preserve"> =</w:t>
      </w:r>
      <w:r w:rsidR="009F2E95" w:rsidRPr="4C0A0968">
        <w:rPr>
          <w:rFonts w:ascii="Arial Narrow" w:hAnsi="Arial Narrow"/>
          <w:sz w:val="18"/>
          <w:szCs w:val="18"/>
        </w:rPr>
        <w:t xml:space="preserve"> </w:t>
      </w:r>
      <w:r w:rsidR="001D6963" w:rsidRPr="4C0A0968">
        <w:rPr>
          <w:rFonts w:ascii="Arial Narrow" w:hAnsi="Arial Narrow"/>
          <w:sz w:val="18"/>
          <w:szCs w:val="18"/>
        </w:rPr>
        <w:t>Adjusted for observed differences in patient characteristics, such as age, sex and comorbid conditions (Attachment 5d</w:t>
      </w:r>
      <w:r w:rsidR="001407E7" w:rsidRPr="4C0A0968">
        <w:rPr>
          <w:rFonts w:ascii="Arial Narrow" w:hAnsi="Arial Narrow"/>
          <w:sz w:val="18"/>
          <w:szCs w:val="18"/>
        </w:rPr>
        <w:t xml:space="preserve"> ‘El-Chami 2024a_CED Protocol’</w:t>
      </w:r>
      <w:r w:rsidR="001D6963" w:rsidRPr="4C0A0968">
        <w:rPr>
          <w:rFonts w:ascii="Arial Narrow" w:hAnsi="Arial Narrow"/>
          <w:sz w:val="18"/>
          <w:szCs w:val="18"/>
        </w:rPr>
        <w:t>)</w:t>
      </w:r>
      <w:r w:rsidR="005F05E5" w:rsidRPr="4C0A0968">
        <w:rPr>
          <w:rFonts w:ascii="Arial Narrow" w:hAnsi="Arial Narrow"/>
          <w:sz w:val="18"/>
          <w:szCs w:val="18"/>
        </w:rPr>
        <w:t>.</w:t>
      </w:r>
    </w:p>
    <w:p w14:paraId="12255920" w14:textId="60511175" w:rsidR="00C66E29" w:rsidRPr="00C66E29" w:rsidRDefault="00236453" w:rsidP="009C553D">
      <w:pPr>
        <w:spacing w:after="0"/>
        <w:rPr>
          <w:rFonts w:ascii="Arial Narrow" w:hAnsi="Arial Narrow"/>
          <w:sz w:val="18"/>
          <w:szCs w:val="18"/>
        </w:rPr>
      </w:pPr>
      <w:r w:rsidRPr="009C553D">
        <w:rPr>
          <w:rFonts w:ascii="Arial Narrow" w:hAnsi="Arial Narrow"/>
          <w:b/>
          <w:sz w:val="18"/>
        </w:rPr>
        <w:t>b</w:t>
      </w:r>
      <w:r w:rsidRPr="009C553D">
        <w:rPr>
          <w:rFonts w:ascii="Arial Narrow" w:hAnsi="Arial Narrow"/>
          <w:sz w:val="18"/>
        </w:rPr>
        <w:t xml:space="preserve"> =</w:t>
      </w:r>
      <w:r w:rsidR="00C66E29" w:rsidRPr="25B5D30A">
        <w:rPr>
          <w:rFonts w:ascii="Arial Narrow" w:hAnsi="Arial Narrow"/>
          <w:sz w:val="18"/>
          <w:szCs w:val="18"/>
        </w:rPr>
        <w:t xml:space="preserve"> </w:t>
      </w:r>
      <w:r w:rsidR="00C66E29" w:rsidRPr="007321CD">
        <w:rPr>
          <w:rFonts w:ascii="Arial Narrow" w:hAnsi="Arial Narrow"/>
          <w:sz w:val="18"/>
          <w:szCs w:val="18"/>
        </w:rPr>
        <w:t xml:space="preserve">The assessment group was unable to find any explanation </w:t>
      </w:r>
      <w:r w:rsidR="00C66E29">
        <w:rPr>
          <w:rFonts w:ascii="Arial Narrow" w:hAnsi="Arial Narrow"/>
          <w:sz w:val="18"/>
          <w:szCs w:val="18"/>
        </w:rPr>
        <w:t>as to</w:t>
      </w:r>
      <w:r w:rsidR="00C66E29" w:rsidRPr="007321CD">
        <w:rPr>
          <w:rFonts w:ascii="Arial Narrow" w:hAnsi="Arial Narrow"/>
          <w:sz w:val="18"/>
          <w:szCs w:val="18"/>
        </w:rPr>
        <w:t xml:space="preserve"> why the subtotals and totals do not add up.</w:t>
      </w:r>
    </w:p>
    <w:p w14:paraId="092FD105" w14:textId="706A5DAC" w:rsidR="00C36AF1" w:rsidRPr="00B6382D" w:rsidRDefault="00C36AF1" w:rsidP="4C0A0968">
      <w:pPr>
        <w:spacing w:after="360" w:line="240" w:lineRule="auto"/>
        <w:contextualSpacing/>
        <w:rPr>
          <w:rFonts w:ascii="Arial Narrow" w:hAnsi="Arial Narrow"/>
          <w:sz w:val="18"/>
          <w:szCs w:val="18"/>
        </w:rPr>
      </w:pPr>
      <w:r w:rsidRPr="4C0A0968">
        <w:rPr>
          <w:rFonts w:ascii="Arial Narrow" w:hAnsi="Arial Narrow"/>
          <w:sz w:val="18"/>
          <w:szCs w:val="18"/>
        </w:rPr>
        <w:t>RDs, RRs and associated CIs were calculated based on n/Ns which were estimated using the percentages provided in the post</w:t>
      </w:r>
      <w:r w:rsidR="00097DE0" w:rsidRPr="4C0A0968">
        <w:rPr>
          <w:rFonts w:ascii="Arial Narrow" w:hAnsi="Arial Narrow"/>
          <w:sz w:val="18"/>
          <w:szCs w:val="18"/>
        </w:rPr>
        <w:t xml:space="preserve"> </w:t>
      </w:r>
      <w:r w:rsidRPr="4C0A0968">
        <w:rPr>
          <w:rFonts w:ascii="Arial Narrow" w:hAnsi="Arial Narrow"/>
          <w:sz w:val="18"/>
          <w:szCs w:val="18"/>
        </w:rPr>
        <w:t>hoc analyses (weighted estimates of the logistic model) (</w:t>
      </w:r>
      <w:proofErr w:type="spellStart"/>
      <w:r w:rsidRPr="4C0A0968">
        <w:rPr>
          <w:rFonts w:ascii="Arial Narrow" w:hAnsi="Arial Narrow"/>
          <w:sz w:val="18"/>
          <w:szCs w:val="18"/>
        </w:rPr>
        <w:t>RevMan</w:t>
      </w:r>
      <w:proofErr w:type="spellEnd"/>
      <w:r w:rsidRPr="4C0A0968">
        <w:rPr>
          <w:rFonts w:ascii="Arial Narrow" w:hAnsi="Arial Narrow"/>
          <w:sz w:val="18"/>
          <w:szCs w:val="18"/>
        </w:rPr>
        <w:t xml:space="preserve"> v5.4).</w:t>
      </w:r>
      <w:r>
        <w:br/>
      </w:r>
      <w:r w:rsidRPr="4C0A0968">
        <w:rPr>
          <w:rFonts w:ascii="Arial Narrow" w:hAnsi="Arial Narrow"/>
          <w:b/>
          <w:bCs/>
          <w:sz w:val="18"/>
          <w:szCs w:val="18"/>
        </w:rPr>
        <w:t>Bold</w:t>
      </w:r>
      <w:r w:rsidRPr="4C0A0968">
        <w:rPr>
          <w:rFonts w:ascii="Arial Narrow" w:hAnsi="Arial Narrow"/>
          <w:sz w:val="18"/>
          <w:szCs w:val="18"/>
        </w:rPr>
        <w:t xml:space="preserve"> denotes statistical significance.</w:t>
      </w:r>
    </w:p>
    <w:p w14:paraId="1F500CC1" w14:textId="77777777" w:rsidR="009825FC" w:rsidRPr="00B6382D" w:rsidRDefault="007D4F22" w:rsidP="007D4F22">
      <w:pPr>
        <w:widowControl w:val="0"/>
        <w:spacing w:after="360" w:line="240" w:lineRule="auto"/>
        <w:contextualSpacing/>
        <w:rPr>
          <w:rFonts w:ascii="Arial Narrow" w:hAnsi="Arial Narrow"/>
          <w:b/>
          <w:sz w:val="18"/>
          <w:u w:val="single"/>
        </w:rPr>
      </w:pPr>
      <w:r w:rsidRPr="00B6382D">
        <w:rPr>
          <w:rFonts w:ascii="Arial Narrow" w:hAnsi="Arial Narrow"/>
          <w:b/>
          <w:sz w:val="18"/>
          <w:u w:val="single"/>
        </w:rPr>
        <w:t>Source</w:t>
      </w:r>
    </w:p>
    <w:p w14:paraId="2D6E6178" w14:textId="422474F0" w:rsidR="007D4F22" w:rsidRPr="0031062B" w:rsidRDefault="007D4F22" w:rsidP="0031062B">
      <w:pPr>
        <w:widowControl w:val="0"/>
        <w:spacing w:after="360" w:line="240" w:lineRule="auto"/>
        <w:contextualSpacing/>
        <w:rPr>
          <w:rFonts w:ascii="Arial Narrow" w:hAnsi="Arial Narrow"/>
          <w:sz w:val="18"/>
        </w:rPr>
      </w:pPr>
      <w:r w:rsidRPr="00B6382D">
        <w:rPr>
          <w:rFonts w:ascii="Arial Narrow" w:hAnsi="Arial Narrow"/>
          <w:sz w:val="18"/>
        </w:rPr>
        <w:t>Attachment 8 ‘Results of the post</w:t>
      </w:r>
      <w:r w:rsidR="00097DE0">
        <w:rPr>
          <w:rFonts w:ascii="Arial Narrow" w:hAnsi="Arial Narrow"/>
          <w:sz w:val="18"/>
        </w:rPr>
        <w:t xml:space="preserve"> </w:t>
      </w:r>
      <w:r w:rsidRPr="00B6382D">
        <w:rPr>
          <w:rFonts w:ascii="Arial Narrow" w:hAnsi="Arial Narrow"/>
          <w:sz w:val="18"/>
        </w:rPr>
        <w:t>hoc subgroup analyses Micra AV CED’.xlsx</w:t>
      </w:r>
    </w:p>
    <w:p w14:paraId="7E9DF834" w14:textId="77777777" w:rsidR="007D4F22" w:rsidRPr="007D4F22" w:rsidRDefault="007D4F22" w:rsidP="007D4F22">
      <w:pPr>
        <w:rPr>
          <w:color w:val="258221"/>
        </w:rPr>
        <w:sectPr w:rsidR="007D4F22" w:rsidRPr="007D4F22" w:rsidSect="007D4F22">
          <w:pgSz w:w="16838" w:h="11906" w:orient="landscape"/>
          <w:pgMar w:top="1440" w:right="1440" w:bottom="1440" w:left="1440" w:header="708" w:footer="708" w:gutter="0"/>
          <w:cols w:space="708"/>
          <w:docGrid w:linePitch="360"/>
        </w:sectPr>
      </w:pPr>
    </w:p>
    <w:p w14:paraId="0D47EB43" w14:textId="77777777" w:rsidR="007D4F22" w:rsidRPr="007D4F22" w:rsidRDefault="007D4F22" w:rsidP="007D4F22">
      <w:pPr>
        <w:keepNext/>
        <w:keepLines/>
        <w:tabs>
          <w:tab w:val="left" w:pos="851"/>
        </w:tabs>
        <w:spacing w:before="360" w:after="200" w:line="240" w:lineRule="auto"/>
        <w:outlineLvl w:val="2"/>
        <w:rPr>
          <w:rFonts w:ascii="Franklin Gothic Medium" w:eastAsiaTheme="majorEastAsia" w:hAnsi="Franklin Gothic Medium" w:cstheme="majorBidi"/>
          <w:iCs/>
          <w:sz w:val="24"/>
          <w:szCs w:val="24"/>
        </w:rPr>
      </w:pPr>
      <w:bookmarkStart w:id="30" w:name="_Toc177551164"/>
      <w:bookmarkStart w:id="31" w:name="_Toc179294346"/>
      <w:r w:rsidRPr="007D4F22">
        <w:rPr>
          <w:rFonts w:ascii="Franklin Gothic Medium" w:eastAsiaTheme="majorEastAsia" w:hAnsi="Franklin Gothic Medium" w:cstheme="majorBidi"/>
          <w:iCs/>
          <w:sz w:val="24"/>
          <w:szCs w:val="24"/>
        </w:rPr>
        <w:lastRenderedPageBreak/>
        <w:t>Chronic complications (2 years)</w:t>
      </w:r>
      <w:bookmarkEnd w:id="30"/>
      <w:bookmarkEnd w:id="31"/>
    </w:p>
    <w:p w14:paraId="1B19334C" w14:textId="09A04D98" w:rsidR="007D4F22" w:rsidRPr="007D4F22" w:rsidRDefault="007D4F22" w:rsidP="00B6382D">
      <w:r w:rsidRPr="4C0A0968">
        <w:t xml:space="preserve">Adjusted weighted cumulative incidence estimates indicated that fewer patients implanted with the Micra AV had chronic complications over the </w:t>
      </w:r>
      <w:r w:rsidR="00C91DB7" w:rsidRPr="4C0A0968">
        <w:t xml:space="preserve">2 </w:t>
      </w:r>
      <w:r w:rsidRPr="4C0A0968">
        <w:t>years following surgery, compared with those receiving DC-TVPMs (4.8% versus 9.2%; hazard ratio [HR] 0.52, 95% CI 0.44, 0.61) (</w:t>
      </w:r>
      <w:r>
        <w:fldChar w:fldCharType="begin"/>
      </w:r>
      <w:r>
        <w:instrText xml:space="preserve"> REF _Ref183613148 \h </w:instrText>
      </w:r>
      <w:r>
        <w:fldChar w:fldCharType="separate"/>
      </w:r>
      <w:r w:rsidR="00D96B61" w:rsidRPr="4C0A0968">
        <w:t xml:space="preserve">Table </w:t>
      </w:r>
      <w:r w:rsidR="00D96B61" w:rsidRPr="4C0A0968">
        <w:rPr>
          <w:noProof/>
        </w:rPr>
        <w:t>8</w:t>
      </w:r>
      <w:r>
        <w:fldChar w:fldCharType="end"/>
      </w:r>
      <w:r w:rsidRPr="4C0A0968">
        <w:t>). This difference was mainly due to fewer incidences of device breakdown (1.4% versus 3.1%), dislodgment (0.5% versus 3.0%), device-related infection (0% versus 0.5%) and other mechanical failure</w:t>
      </w:r>
      <w:r w:rsidR="00FF5438" w:rsidRPr="4C0A0968">
        <w:t>s</w:t>
      </w:r>
      <w:r w:rsidRPr="4C0A0968">
        <w:t xml:space="preserve"> (0.6% versus 1.5%) in the Micra </w:t>
      </w:r>
      <w:r w:rsidR="007538C6" w:rsidRPr="4C0A0968">
        <w:t xml:space="preserve">AV </w:t>
      </w:r>
      <w:r w:rsidRPr="4C0A0968">
        <w:t xml:space="preserve">group. </w:t>
      </w:r>
    </w:p>
    <w:p w14:paraId="65DF1083" w14:textId="77777777" w:rsidR="007D4F22" w:rsidRPr="007D4F22" w:rsidRDefault="007D4F22" w:rsidP="007D4F22">
      <w:pPr>
        <w:rPr>
          <w:color w:val="258221"/>
        </w:rPr>
        <w:sectPr w:rsidR="007D4F22" w:rsidRPr="007D4F22" w:rsidSect="007D4F22">
          <w:pgSz w:w="11906" w:h="16838"/>
          <w:pgMar w:top="1440" w:right="1440" w:bottom="1440" w:left="1440" w:header="708" w:footer="708" w:gutter="0"/>
          <w:cols w:space="708"/>
          <w:docGrid w:linePitch="360"/>
        </w:sectPr>
      </w:pPr>
    </w:p>
    <w:p w14:paraId="68A9B2E0" w14:textId="5884013B" w:rsidR="0072059A" w:rsidRDefault="0072059A" w:rsidP="00493E5A">
      <w:pPr>
        <w:pStyle w:val="Caption"/>
      </w:pPr>
      <w:bookmarkStart w:id="32" w:name="_Ref183613148"/>
      <w:r>
        <w:lastRenderedPageBreak/>
        <w:t xml:space="preserve">Table </w:t>
      </w:r>
      <w:r w:rsidR="00B00A5A">
        <w:fldChar w:fldCharType="begin"/>
      </w:r>
      <w:r w:rsidR="00B00A5A">
        <w:instrText xml:space="preserve"> SEQ Table \* ARABIC </w:instrText>
      </w:r>
      <w:r w:rsidR="00B00A5A">
        <w:fldChar w:fldCharType="separate"/>
      </w:r>
      <w:r w:rsidR="00B00A5A">
        <w:rPr>
          <w:noProof/>
        </w:rPr>
        <w:t>8</w:t>
      </w:r>
      <w:r w:rsidR="00B00A5A">
        <w:rPr>
          <w:noProof/>
        </w:rPr>
        <w:fldChar w:fldCharType="end"/>
      </w:r>
      <w:bookmarkEnd w:id="32"/>
      <w:r w:rsidR="00283D62">
        <w:tab/>
      </w:r>
      <w:r w:rsidRPr="00F239EC">
        <w:t>Chronic complications at 2 years in the Micra AV CED study (AV block without AF subgroup)</w:t>
      </w:r>
    </w:p>
    <w:tbl>
      <w:tblPr>
        <w:tblStyle w:val="TableGrid11"/>
        <w:tblW w:w="5000" w:type="pct"/>
        <w:tblLook w:val="04A0" w:firstRow="1" w:lastRow="0" w:firstColumn="1" w:lastColumn="0" w:noHBand="0" w:noVBand="1"/>
      </w:tblPr>
      <w:tblGrid>
        <w:gridCol w:w="2882"/>
        <w:gridCol w:w="1520"/>
        <w:gridCol w:w="2098"/>
        <w:gridCol w:w="1573"/>
        <w:gridCol w:w="2204"/>
        <w:gridCol w:w="2201"/>
        <w:gridCol w:w="1470"/>
      </w:tblGrid>
      <w:tr w:rsidR="007D4F22" w:rsidRPr="007D4F22" w14:paraId="11B11AE7" w14:textId="77777777" w:rsidTr="00F265F7">
        <w:trPr>
          <w:cnfStyle w:val="100000000000" w:firstRow="1" w:lastRow="0" w:firstColumn="0" w:lastColumn="0" w:oddVBand="0" w:evenVBand="0" w:oddHBand="0" w:evenHBand="0" w:firstRowFirstColumn="0" w:firstRowLastColumn="0" w:lastRowFirstColumn="0" w:lastRowLastColumn="0"/>
          <w:trHeight w:val="450"/>
        </w:trPr>
        <w:tc>
          <w:tcPr>
            <w:tcW w:w="1033" w:type="pct"/>
            <w:shd w:val="clear" w:color="auto" w:fill="D9D9D9" w:themeFill="background1" w:themeFillShade="D9"/>
            <w:hideMark/>
          </w:tcPr>
          <w:p w14:paraId="63A9866C" w14:textId="77777777" w:rsidR="007D4F22" w:rsidRPr="007D4F22" w:rsidRDefault="007D4F22" w:rsidP="007D4F22">
            <w:pPr>
              <w:spacing w:before="40"/>
              <w:rPr>
                <w:rFonts w:ascii="Arial Narrow" w:hAnsi="Arial Narrow"/>
                <w:b/>
                <w:bCs/>
              </w:rPr>
            </w:pPr>
          </w:p>
        </w:tc>
        <w:tc>
          <w:tcPr>
            <w:tcW w:w="545" w:type="pct"/>
            <w:shd w:val="clear" w:color="auto" w:fill="D9D9D9" w:themeFill="background1" w:themeFillShade="D9"/>
            <w:hideMark/>
          </w:tcPr>
          <w:p w14:paraId="7996D6FD" w14:textId="77777777" w:rsidR="007D4F22" w:rsidRPr="007D4F22" w:rsidRDefault="007D4F22" w:rsidP="007D4F22">
            <w:pPr>
              <w:spacing w:before="40"/>
              <w:rPr>
                <w:rFonts w:ascii="Arial Narrow" w:hAnsi="Arial Narrow"/>
                <w:b/>
                <w:bCs/>
              </w:rPr>
            </w:pPr>
            <w:r w:rsidRPr="007D4F22">
              <w:rPr>
                <w:rFonts w:ascii="Arial Narrow" w:hAnsi="Arial Narrow"/>
                <w:b/>
                <w:bCs/>
              </w:rPr>
              <w:t>Observed events (%)</w:t>
            </w:r>
          </w:p>
        </w:tc>
        <w:tc>
          <w:tcPr>
            <w:tcW w:w="752" w:type="pct"/>
            <w:shd w:val="clear" w:color="auto" w:fill="D9D9D9" w:themeFill="background1" w:themeFillShade="D9"/>
          </w:tcPr>
          <w:p w14:paraId="2AC2AE7C" w14:textId="77777777" w:rsidR="007D4F22" w:rsidRPr="007D4F22" w:rsidRDefault="007D4F22" w:rsidP="007D4F22">
            <w:pPr>
              <w:spacing w:before="40"/>
              <w:rPr>
                <w:rFonts w:ascii="Arial Narrow" w:hAnsi="Arial Narrow"/>
                <w:b/>
                <w:bCs/>
              </w:rPr>
            </w:pPr>
            <w:r w:rsidRPr="007D4F22">
              <w:rPr>
                <w:rFonts w:ascii="Arial Narrow" w:hAnsi="Arial Narrow"/>
                <w:b/>
                <w:bCs/>
              </w:rPr>
              <w:t>2-year weighted CIF estimates (95% CI)</w:t>
            </w:r>
          </w:p>
        </w:tc>
        <w:tc>
          <w:tcPr>
            <w:tcW w:w="564" w:type="pct"/>
            <w:shd w:val="clear" w:color="auto" w:fill="D9D9D9" w:themeFill="background1" w:themeFillShade="D9"/>
          </w:tcPr>
          <w:p w14:paraId="09AC8738" w14:textId="77777777" w:rsidR="007D4F22" w:rsidRPr="007D4F22" w:rsidRDefault="007D4F22" w:rsidP="007D4F22">
            <w:pPr>
              <w:spacing w:before="40"/>
              <w:rPr>
                <w:rFonts w:ascii="Arial Narrow" w:hAnsi="Arial Narrow"/>
                <w:b/>
                <w:bCs/>
              </w:rPr>
            </w:pPr>
            <w:r w:rsidRPr="007D4F22">
              <w:rPr>
                <w:rFonts w:ascii="Arial Narrow" w:hAnsi="Arial Narrow"/>
                <w:b/>
                <w:bCs/>
              </w:rPr>
              <w:t>Observed events (%)</w:t>
            </w:r>
          </w:p>
        </w:tc>
        <w:tc>
          <w:tcPr>
            <w:tcW w:w="790" w:type="pct"/>
            <w:shd w:val="clear" w:color="auto" w:fill="D9D9D9" w:themeFill="background1" w:themeFillShade="D9"/>
          </w:tcPr>
          <w:p w14:paraId="3ACC1D5A" w14:textId="77777777" w:rsidR="007D4F22" w:rsidRPr="007D4F22" w:rsidRDefault="007D4F22" w:rsidP="007D4F22">
            <w:pPr>
              <w:spacing w:before="40"/>
              <w:rPr>
                <w:rFonts w:ascii="Arial Narrow" w:hAnsi="Arial Narrow"/>
                <w:b/>
                <w:bCs/>
              </w:rPr>
            </w:pPr>
            <w:r w:rsidRPr="007D4F22">
              <w:rPr>
                <w:rFonts w:ascii="Arial Narrow" w:hAnsi="Arial Narrow"/>
                <w:b/>
                <w:bCs/>
              </w:rPr>
              <w:t>2-year weighted CIF estimates (95% CI)</w:t>
            </w:r>
          </w:p>
        </w:tc>
        <w:tc>
          <w:tcPr>
            <w:tcW w:w="789" w:type="pct"/>
            <w:shd w:val="clear" w:color="auto" w:fill="D9D9D9" w:themeFill="background1" w:themeFillShade="D9"/>
            <w:hideMark/>
          </w:tcPr>
          <w:p w14:paraId="438ECD67" w14:textId="77777777" w:rsidR="007D4F22" w:rsidRPr="007D4F22" w:rsidRDefault="007D4F22" w:rsidP="007D4F22">
            <w:pPr>
              <w:spacing w:before="40"/>
              <w:rPr>
                <w:rFonts w:ascii="Arial Narrow" w:hAnsi="Arial Narrow"/>
                <w:b/>
                <w:bCs/>
              </w:rPr>
            </w:pPr>
            <w:r w:rsidRPr="007D4F22">
              <w:rPr>
                <w:rFonts w:ascii="Arial Narrow" w:hAnsi="Arial Narrow"/>
                <w:b/>
                <w:bCs/>
              </w:rPr>
              <w:t>RRR (95% CI)</w:t>
            </w:r>
          </w:p>
        </w:tc>
        <w:tc>
          <w:tcPr>
            <w:tcW w:w="527" w:type="pct"/>
            <w:shd w:val="clear" w:color="auto" w:fill="D9D9D9" w:themeFill="background1" w:themeFillShade="D9"/>
          </w:tcPr>
          <w:p w14:paraId="586ABBBD" w14:textId="7A5A3286" w:rsidR="007D4F22" w:rsidRPr="007D4F22" w:rsidRDefault="007D4F22" w:rsidP="007D4F22">
            <w:pPr>
              <w:spacing w:before="40"/>
              <w:rPr>
                <w:rFonts w:ascii="Arial Narrow" w:hAnsi="Arial Narrow"/>
                <w:b/>
                <w:bCs/>
              </w:rPr>
            </w:pPr>
            <w:r w:rsidRPr="007D4F22">
              <w:rPr>
                <w:rFonts w:ascii="Arial Narrow" w:hAnsi="Arial Narrow"/>
                <w:b/>
                <w:bCs/>
              </w:rPr>
              <w:t>P</w:t>
            </w:r>
            <w:r w:rsidR="005841A0">
              <w:rPr>
                <w:rFonts w:ascii="Arial Narrow" w:hAnsi="Arial Narrow"/>
                <w:b/>
                <w:bCs/>
              </w:rPr>
              <w:t xml:space="preserve"> v</w:t>
            </w:r>
            <w:r w:rsidRPr="007D4F22">
              <w:rPr>
                <w:rFonts w:ascii="Arial Narrow" w:hAnsi="Arial Narrow"/>
                <w:b/>
                <w:bCs/>
              </w:rPr>
              <w:t>alue</w:t>
            </w:r>
          </w:p>
        </w:tc>
      </w:tr>
      <w:tr w:rsidR="007D4F22" w:rsidRPr="00795054" w14:paraId="3C525341" w14:textId="77777777" w:rsidTr="00F265F7">
        <w:trPr>
          <w:trHeight w:val="20"/>
        </w:trPr>
        <w:tc>
          <w:tcPr>
            <w:tcW w:w="1033" w:type="pct"/>
            <w:shd w:val="clear" w:color="auto" w:fill="D9D9D9" w:themeFill="background1" w:themeFillShade="D9"/>
            <w:hideMark/>
          </w:tcPr>
          <w:p w14:paraId="5261D035" w14:textId="71513AC2" w:rsidR="007D4F22" w:rsidRPr="007D4F22" w:rsidRDefault="007D4F22" w:rsidP="007D4F22">
            <w:pPr>
              <w:spacing w:before="40"/>
              <w:rPr>
                <w:rFonts w:ascii="Arial Narrow" w:hAnsi="Arial Narrow"/>
                <w:b/>
                <w:bCs/>
                <w:i/>
                <w:iCs/>
              </w:rPr>
            </w:pPr>
            <w:r w:rsidRPr="007D4F22">
              <w:rPr>
                <w:rFonts w:ascii="Arial Narrow" w:hAnsi="Arial Narrow"/>
                <w:b/>
                <w:bCs/>
                <w:i/>
                <w:iCs/>
              </w:rPr>
              <w:t xml:space="preserve">AVB </w:t>
            </w:r>
            <w:r w:rsidR="00A227EA">
              <w:rPr>
                <w:rFonts w:ascii="Arial Narrow" w:hAnsi="Arial Narrow"/>
                <w:b/>
                <w:bCs/>
                <w:i/>
                <w:iCs/>
              </w:rPr>
              <w:t>w</w:t>
            </w:r>
            <w:r w:rsidRPr="007D4F22">
              <w:rPr>
                <w:rFonts w:ascii="Arial Narrow" w:hAnsi="Arial Narrow"/>
                <w:b/>
                <w:bCs/>
                <w:i/>
                <w:iCs/>
              </w:rPr>
              <w:t>ithout AF</w:t>
            </w:r>
          </w:p>
        </w:tc>
        <w:tc>
          <w:tcPr>
            <w:tcW w:w="1297" w:type="pct"/>
            <w:gridSpan w:val="2"/>
            <w:shd w:val="clear" w:color="auto" w:fill="D9D9D9" w:themeFill="background1" w:themeFillShade="D9"/>
            <w:hideMark/>
          </w:tcPr>
          <w:p w14:paraId="0D7D5540" w14:textId="77777777" w:rsidR="007D4F22" w:rsidRPr="007D4F22" w:rsidRDefault="007D4F22" w:rsidP="007D4F22">
            <w:pPr>
              <w:spacing w:before="40"/>
              <w:jc w:val="center"/>
              <w:rPr>
                <w:rFonts w:ascii="Arial Narrow" w:hAnsi="Arial Narrow"/>
                <w:b/>
                <w:bCs/>
              </w:rPr>
            </w:pPr>
            <w:r w:rsidRPr="007D4F22">
              <w:rPr>
                <w:rFonts w:ascii="Arial Narrow" w:hAnsi="Arial Narrow"/>
                <w:b/>
                <w:bCs/>
              </w:rPr>
              <w:t>Micra AV (N=3,902)</w:t>
            </w:r>
          </w:p>
        </w:tc>
        <w:tc>
          <w:tcPr>
            <w:tcW w:w="1354" w:type="pct"/>
            <w:gridSpan w:val="2"/>
            <w:shd w:val="clear" w:color="auto" w:fill="D9D9D9" w:themeFill="background1" w:themeFillShade="D9"/>
            <w:hideMark/>
          </w:tcPr>
          <w:p w14:paraId="1C3C437B" w14:textId="77777777" w:rsidR="007D4F22" w:rsidRPr="007D4F22" w:rsidRDefault="007D4F22" w:rsidP="007D4F22">
            <w:pPr>
              <w:spacing w:before="40"/>
              <w:jc w:val="center"/>
              <w:rPr>
                <w:rFonts w:ascii="Arial Narrow" w:hAnsi="Arial Narrow"/>
                <w:b/>
                <w:bCs/>
              </w:rPr>
            </w:pPr>
            <w:r w:rsidRPr="007D4F22">
              <w:rPr>
                <w:rFonts w:ascii="Arial Narrow" w:hAnsi="Arial Narrow"/>
                <w:b/>
                <w:bCs/>
              </w:rPr>
              <w:t>DC-TVPM (N=38,077)</w:t>
            </w:r>
          </w:p>
        </w:tc>
        <w:tc>
          <w:tcPr>
            <w:tcW w:w="1316" w:type="pct"/>
            <w:gridSpan w:val="2"/>
            <w:shd w:val="clear" w:color="auto" w:fill="D9D9D9" w:themeFill="background1" w:themeFillShade="D9"/>
          </w:tcPr>
          <w:p w14:paraId="4EF5873F" w14:textId="54481CE3" w:rsidR="007D4F22" w:rsidRPr="007D4F22" w:rsidRDefault="007D4F22" w:rsidP="007D4F22">
            <w:pPr>
              <w:spacing w:before="40"/>
              <w:jc w:val="center"/>
              <w:rPr>
                <w:rFonts w:ascii="Arial Narrow" w:hAnsi="Arial Narrow"/>
                <w:b/>
                <w:bCs/>
                <w:lang w:val="sv-SE"/>
              </w:rPr>
            </w:pPr>
            <w:r w:rsidRPr="007D4F22">
              <w:rPr>
                <w:rFonts w:ascii="Arial Narrow" w:hAnsi="Arial Narrow"/>
                <w:b/>
                <w:bCs/>
                <w:lang w:val="sv-SE"/>
              </w:rPr>
              <w:t>Micra AV vs DC-TVPM</w:t>
            </w:r>
          </w:p>
        </w:tc>
      </w:tr>
      <w:tr w:rsidR="007D4F22" w:rsidRPr="007D4F22" w14:paraId="05D7FF14" w14:textId="77777777" w:rsidTr="00F265F7">
        <w:trPr>
          <w:trHeight w:val="20"/>
        </w:trPr>
        <w:tc>
          <w:tcPr>
            <w:tcW w:w="1033" w:type="pct"/>
            <w:hideMark/>
          </w:tcPr>
          <w:p w14:paraId="3D50B683" w14:textId="44E8426B" w:rsidR="007D4F22" w:rsidRPr="007D4F22" w:rsidRDefault="007D4F22" w:rsidP="007D4F22">
            <w:pPr>
              <w:spacing w:before="40"/>
              <w:rPr>
                <w:rFonts w:ascii="Arial Narrow" w:hAnsi="Arial Narrow"/>
                <w:b/>
                <w:bCs/>
              </w:rPr>
            </w:pPr>
            <w:r w:rsidRPr="007D4F22">
              <w:rPr>
                <w:rFonts w:ascii="Arial Narrow" w:hAnsi="Arial Narrow"/>
                <w:b/>
                <w:bCs/>
              </w:rPr>
              <w:t>Overall complications</w:t>
            </w:r>
            <w:r w:rsidR="76A2CC41" w:rsidRPr="25B5D30A">
              <w:rPr>
                <w:rFonts w:ascii="Arial Narrow" w:hAnsi="Arial Narrow"/>
                <w:b/>
                <w:bCs/>
              </w:rPr>
              <w:t xml:space="preserve"> </w:t>
            </w:r>
            <w:r w:rsidR="76A2CC41" w:rsidRPr="009C553D">
              <w:rPr>
                <w:rFonts w:ascii="Arial Narrow" w:hAnsi="Arial Narrow"/>
                <w:b/>
                <w:vertAlign w:val="superscript"/>
              </w:rPr>
              <w:t>a</w:t>
            </w:r>
            <w:r w:rsidR="76A2CC41" w:rsidRPr="25B5D30A">
              <w:rPr>
                <w:rFonts w:ascii="Arial Narrow" w:hAnsi="Arial Narrow"/>
                <w:b/>
                <w:bCs/>
              </w:rPr>
              <w:t xml:space="preserve"> </w:t>
            </w:r>
          </w:p>
        </w:tc>
        <w:tc>
          <w:tcPr>
            <w:tcW w:w="545" w:type="pct"/>
            <w:hideMark/>
          </w:tcPr>
          <w:p w14:paraId="5C768785" w14:textId="77777777" w:rsidR="007D4F22" w:rsidRPr="007D4F22" w:rsidRDefault="007D4F22" w:rsidP="007D4F22">
            <w:pPr>
              <w:spacing w:before="40"/>
              <w:rPr>
                <w:rFonts w:ascii="Arial Narrow" w:hAnsi="Arial Narrow"/>
              </w:rPr>
            </w:pPr>
            <w:r w:rsidRPr="007D4F22">
              <w:rPr>
                <w:rFonts w:ascii="Arial Narrow" w:hAnsi="Arial Narrow"/>
              </w:rPr>
              <w:t>188 (4.8)</w:t>
            </w:r>
          </w:p>
        </w:tc>
        <w:tc>
          <w:tcPr>
            <w:tcW w:w="752" w:type="pct"/>
            <w:hideMark/>
          </w:tcPr>
          <w:p w14:paraId="4A39E18B" w14:textId="77777777" w:rsidR="007D4F22" w:rsidRPr="007D4F22" w:rsidRDefault="007D4F22" w:rsidP="007D4F22">
            <w:pPr>
              <w:spacing w:before="40"/>
              <w:rPr>
                <w:rFonts w:ascii="Arial Narrow" w:hAnsi="Arial Narrow"/>
              </w:rPr>
            </w:pPr>
            <w:r w:rsidRPr="007D4F22">
              <w:rPr>
                <w:rFonts w:ascii="Arial Narrow" w:hAnsi="Arial Narrow"/>
              </w:rPr>
              <w:t>4.8% (4.6%, 5.2%)</w:t>
            </w:r>
          </w:p>
        </w:tc>
        <w:tc>
          <w:tcPr>
            <w:tcW w:w="564" w:type="pct"/>
            <w:hideMark/>
          </w:tcPr>
          <w:p w14:paraId="298E5E60" w14:textId="77777777" w:rsidR="007D4F22" w:rsidRPr="007D4F22" w:rsidRDefault="007D4F22" w:rsidP="007D4F22">
            <w:pPr>
              <w:spacing w:before="40"/>
              <w:rPr>
                <w:rFonts w:ascii="Arial Narrow" w:hAnsi="Arial Narrow"/>
              </w:rPr>
            </w:pPr>
            <w:r w:rsidRPr="007D4F22">
              <w:rPr>
                <w:rFonts w:ascii="Arial Narrow" w:hAnsi="Arial Narrow"/>
              </w:rPr>
              <w:t>3088 (8.1)</w:t>
            </w:r>
          </w:p>
        </w:tc>
        <w:tc>
          <w:tcPr>
            <w:tcW w:w="790" w:type="pct"/>
            <w:hideMark/>
          </w:tcPr>
          <w:p w14:paraId="55C74A49" w14:textId="77777777" w:rsidR="007D4F22" w:rsidRPr="007D4F22" w:rsidRDefault="007D4F22" w:rsidP="007D4F22">
            <w:pPr>
              <w:spacing w:before="40"/>
              <w:rPr>
                <w:rFonts w:ascii="Arial Narrow" w:hAnsi="Arial Narrow"/>
              </w:rPr>
            </w:pPr>
            <w:r w:rsidRPr="007D4F22">
              <w:rPr>
                <w:rFonts w:ascii="Arial Narrow" w:hAnsi="Arial Narrow"/>
              </w:rPr>
              <w:t>9.2% (8.8%, 9.7%)</w:t>
            </w:r>
          </w:p>
        </w:tc>
        <w:tc>
          <w:tcPr>
            <w:tcW w:w="789" w:type="pct"/>
            <w:hideMark/>
          </w:tcPr>
          <w:p w14:paraId="5979C250" w14:textId="77777777" w:rsidR="007D4F22" w:rsidRPr="007D4F22" w:rsidRDefault="007D4F22" w:rsidP="007D4F22">
            <w:pPr>
              <w:spacing w:before="40"/>
              <w:rPr>
                <w:rFonts w:ascii="Arial Narrow" w:hAnsi="Arial Narrow"/>
              </w:rPr>
            </w:pPr>
            <w:r w:rsidRPr="007D4F22">
              <w:rPr>
                <w:rFonts w:ascii="Arial Narrow" w:hAnsi="Arial Narrow"/>
              </w:rPr>
              <w:t>48% (39%, 56%)</w:t>
            </w:r>
          </w:p>
        </w:tc>
        <w:tc>
          <w:tcPr>
            <w:tcW w:w="527" w:type="pct"/>
            <w:shd w:val="clear" w:color="auto" w:fill="FFFFFF" w:themeFill="background1"/>
            <w:noWrap/>
            <w:hideMark/>
          </w:tcPr>
          <w:p w14:paraId="2F205134" w14:textId="77777777" w:rsidR="007D4F22" w:rsidRPr="007D4F22" w:rsidRDefault="007D4F22" w:rsidP="007D4F22">
            <w:pPr>
              <w:spacing w:before="40"/>
              <w:rPr>
                <w:rFonts w:ascii="Arial Narrow" w:hAnsi="Arial Narrow"/>
                <w:b/>
                <w:bCs/>
              </w:rPr>
            </w:pPr>
            <w:r w:rsidRPr="007D4F22">
              <w:rPr>
                <w:rFonts w:ascii="Arial Narrow" w:hAnsi="Arial Narrow"/>
                <w:b/>
                <w:bCs/>
              </w:rPr>
              <w:t>&lt;0.0001</w:t>
            </w:r>
          </w:p>
        </w:tc>
      </w:tr>
      <w:tr w:rsidR="007D4F22" w:rsidRPr="007D4F22" w14:paraId="7B6A39AA" w14:textId="77777777" w:rsidTr="00F265F7">
        <w:trPr>
          <w:trHeight w:val="20"/>
        </w:trPr>
        <w:tc>
          <w:tcPr>
            <w:tcW w:w="1033" w:type="pct"/>
            <w:hideMark/>
          </w:tcPr>
          <w:p w14:paraId="4A6144CF" w14:textId="6D890668" w:rsidR="007D4F22" w:rsidRPr="007D4F22" w:rsidRDefault="007D4F22" w:rsidP="007D4F22">
            <w:pPr>
              <w:spacing w:before="40"/>
              <w:ind w:firstLine="29"/>
              <w:rPr>
                <w:rFonts w:ascii="Arial Narrow" w:hAnsi="Arial Narrow"/>
              </w:rPr>
            </w:pPr>
            <w:r w:rsidRPr="007D4F22">
              <w:rPr>
                <w:rFonts w:ascii="Arial Narrow" w:hAnsi="Arial Narrow"/>
              </w:rPr>
              <w:t xml:space="preserve">Embolism and </w:t>
            </w:r>
            <w:r w:rsidR="00A227EA">
              <w:rPr>
                <w:rFonts w:ascii="Arial Narrow" w:hAnsi="Arial Narrow"/>
              </w:rPr>
              <w:t>t</w:t>
            </w:r>
            <w:r w:rsidRPr="007D4F22">
              <w:rPr>
                <w:rFonts w:ascii="Arial Narrow" w:hAnsi="Arial Narrow"/>
              </w:rPr>
              <w:t>hrombosis</w:t>
            </w:r>
          </w:p>
        </w:tc>
        <w:tc>
          <w:tcPr>
            <w:tcW w:w="545" w:type="pct"/>
            <w:hideMark/>
          </w:tcPr>
          <w:p w14:paraId="109988ED" w14:textId="77777777" w:rsidR="007D4F22" w:rsidRPr="007D4F22" w:rsidRDefault="007D4F22" w:rsidP="007D4F22">
            <w:pPr>
              <w:spacing w:before="40"/>
              <w:rPr>
                <w:rFonts w:ascii="Arial Narrow" w:hAnsi="Arial Narrow"/>
              </w:rPr>
            </w:pPr>
            <w:r w:rsidRPr="007D4F22">
              <w:rPr>
                <w:rFonts w:ascii="Arial Narrow" w:hAnsi="Arial Narrow"/>
              </w:rPr>
              <w:t>12 (0.3)</w:t>
            </w:r>
          </w:p>
        </w:tc>
        <w:tc>
          <w:tcPr>
            <w:tcW w:w="752" w:type="pct"/>
            <w:hideMark/>
          </w:tcPr>
          <w:p w14:paraId="6D26A9C3" w14:textId="77777777" w:rsidR="007D4F22" w:rsidRPr="007D4F22" w:rsidRDefault="007D4F22" w:rsidP="007D4F22">
            <w:pPr>
              <w:spacing w:before="40"/>
              <w:rPr>
                <w:rFonts w:ascii="Arial Narrow" w:hAnsi="Arial Narrow"/>
              </w:rPr>
            </w:pPr>
            <w:r w:rsidRPr="007D4F22">
              <w:rPr>
                <w:rFonts w:ascii="Arial Narrow" w:hAnsi="Arial Narrow"/>
              </w:rPr>
              <w:t>0.3% (0.2%, 0.3%)</w:t>
            </w:r>
          </w:p>
        </w:tc>
        <w:tc>
          <w:tcPr>
            <w:tcW w:w="564" w:type="pct"/>
            <w:hideMark/>
          </w:tcPr>
          <w:p w14:paraId="7F4B8A7B" w14:textId="77777777" w:rsidR="007D4F22" w:rsidRPr="007D4F22" w:rsidRDefault="007D4F22" w:rsidP="007D4F22">
            <w:pPr>
              <w:spacing w:before="40"/>
              <w:rPr>
                <w:rFonts w:ascii="Arial Narrow" w:hAnsi="Arial Narrow"/>
              </w:rPr>
            </w:pPr>
            <w:r w:rsidRPr="007D4F22">
              <w:rPr>
                <w:rFonts w:ascii="Arial Narrow" w:hAnsi="Arial Narrow"/>
              </w:rPr>
              <w:t>76 (0.2)</w:t>
            </w:r>
          </w:p>
        </w:tc>
        <w:tc>
          <w:tcPr>
            <w:tcW w:w="790" w:type="pct"/>
            <w:hideMark/>
          </w:tcPr>
          <w:p w14:paraId="100C9F93" w14:textId="77777777" w:rsidR="007D4F22" w:rsidRPr="007D4F22" w:rsidRDefault="007D4F22" w:rsidP="007D4F22">
            <w:pPr>
              <w:spacing w:before="40"/>
              <w:rPr>
                <w:rFonts w:ascii="Arial Narrow" w:hAnsi="Arial Narrow"/>
              </w:rPr>
            </w:pPr>
            <w:r w:rsidRPr="007D4F22">
              <w:rPr>
                <w:rFonts w:ascii="Arial Narrow" w:hAnsi="Arial Narrow"/>
              </w:rPr>
              <w:t>0.3% (0.2%, 0.3%)</w:t>
            </w:r>
          </w:p>
        </w:tc>
        <w:tc>
          <w:tcPr>
            <w:tcW w:w="789" w:type="pct"/>
            <w:hideMark/>
          </w:tcPr>
          <w:p w14:paraId="4F528CDD" w14:textId="01801CEB" w:rsidR="007D4F22" w:rsidRPr="007D4F22" w:rsidRDefault="00B6382D" w:rsidP="007D4F22">
            <w:pPr>
              <w:spacing w:before="40"/>
              <w:rPr>
                <w:rFonts w:ascii="Arial Narrow" w:hAnsi="Arial Narrow"/>
              </w:rPr>
            </w:pPr>
            <w:r w:rsidRPr="00B6382D">
              <w:rPr>
                <w:rFonts w:ascii="Arial Narrow" w:hAnsi="Arial Narrow"/>
                <w:lang w:val="en"/>
              </w:rPr>
              <w:t>−</w:t>
            </w:r>
            <w:r w:rsidR="007D4F22" w:rsidRPr="007D4F22">
              <w:rPr>
                <w:rFonts w:ascii="Arial Narrow" w:hAnsi="Arial Narrow"/>
              </w:rPr>
              <w:t>7% (</w:t>
            </w:r>
            <w:r w:rsidRPr="00B6382D">
              <w:rPr>
                <w:rFonts w:ascii="Arial Narrow" w:hAnsi="Arial Narrow"/>
                <w:lang w:val="en"/>
              </w:rPr>
              <w:t>−</w:t>
            </w:r>
            <w:r w:rsidR="007D4F22" w:rsidRPr="007D4F22">
              <w:rPr>
                <w:rFonts w:ascii="Arial Narrow" w:hAnsi="Arial Narrow"/>
              </w:rPr>
              <w:t>106%, 44%)</w:t>
            </w:r>
          </w:p>
        </w:tc>
        <w:tc>
          <w:tcPr>
            <w:tcW w:w="527" w:type="pct"/>
            <w:noWrap/>
            <w:hideMark/>
          </w:tcPr>
          <w:p w14:paraId="2CF2D88C" w14:textId="77777777" w:rsidR="007D4F22" w:rsidRPr="007D4F22" w:rsidRDefault="007D4F22" w:rsidP="007D4F22">
            <w:pPr>
              <w:spacing w:before="40"/>
              <w:rPr>
                <w:rFonts w:ascii="Arial Narrow" w:hAnsi="Arial Narrow"/>
              </w:rPr>
            </w:pPr>
            <w:r w:rsidRPr="007D4F22">
              <w:rPr>
                <w:rFonts w:ascii="Arial Narrow" w:hAnsi="Arial Narrow"/>
              </w:rPr>
              <w:t>0.8336</w:t>
            </w:r>
          </w:p>
        </w:tc>
      </w:tr>
      <w:tr w:rsidR="007D4F22" w:rsidRPr="007D4F22" w14:paraId="67ADE84B" w14:textId="77777777" w:rsidTr="00F265F7">
        <w:trPr>
          <w:trHeight w:val="20"/>
        </w:trPr>
        <w:tc>
          <w:tcPr>
            <w:tcW w:w="1033" w:type="pct"/>
            <w:hideMark/>
          </w:tcPr>
          <w:p w14:paraId="3533218D" w14:textId="77777777" w:rsidR="007D4F22" w:rsidRPr="007D4F22" w:rsidRDefault="007D4F22" w:rsidP="007D4F22">
            <w:pPr>
              <w:spacing w:before="40"/>
              <w:ind w:left="313"/>
              <w:rPr>
                <w:rFonts w:ascii="Arial Narrow" w:hAnsi="Arial Narrow"/>
              </w:rPr>
            </w:pPr>
            <w:r w:rsidRPr="007D4F22">
              <w:rPr>
                <w:rFonts w:ascii="Arial Narrow" w:hAnsi="Arial Narrow"/>
              </w:rPr>
              <w:t>Thrombosis due to cardiac device</w:t>
            </w:r>
          </w:p>
        </w:tc>
        <w:tc>
          <w:tcPr>
            <w:tcW w:w="545" w:type="pct"/>
            <w:hideMark/>
          </w:tcPr>
          <w:p w14:paraId="059ADC31" w14:textId="77777777" w:rsidR="007D4F22" w:rsidRPr="007D4F22" w:rsidRDefault="007D4F22" w:rsidP="007D4F22">
            <w:pPr>
              <w:spacing w:before="40"/>
              <w:rPr>
                <w:rFonts w:ascii="Arial Narrow" w:hAnsi="Arial Narrow"/>
              </w:rPr>
            </w:pPr>
            <w:r w:rsidRPr="007D4F22">
              <w:rPr>
                <w:rFonts w:ascii="Arial Narrow" w:hAnsi="Arial Narrow"/>
              </w:rPr>
              <w:t>12 (0.3)</w:t>
            </w:r>
          </w:p>
        </w:tc>
        <w:tc>
          <w:tcPr>
            <w:tcW w:w="752" w:type="pct"/>
            <w:hideMark/>
          </w:tcPr>
          <w:p w14:paraId="20FDFF99" w14:textId="77777777" w:rsidR="007D4F22" w:rsidRPr="007D4F22" w:rsidRDefault="007D4F22" w:rsidP="007D4F22">
            <w:pPr>
              <w:spacing w:before="40"/>
              <w:rPr>
                <w:rFonts w:ascii="Arial Narrow" w:hAnsi="Arial Narrow"/>
              </w:rPr>
            </w:pPr>
            <w:r w:rsidRPr="007D4F22">
              <w:rPr>
                <w:rFonts w:ascii="Arial Narrow" w:hAnsi="Arial Narrow"/>
              </w:rPr>
              <w:t>0.3% (0.2%, 0.4%)</w:t>
            </w:r>
          </w:p>
        </w:tc>
        <w:tc>
          <w:tcPr>
            <w:tcW w:w="564" w:type="pct"/>
            <w:hideMark/>
          </w:tcPr>
          <w:p w14:paraId="4B43421C" w14:textId="77777777" w:rsidR="007D4F22" w:rsidRPr="007D4F22" w:rsidRDefault="007D4F22" w:rsidP="007D4F22">
            <w:pPr>
              <w:spacing w:before="40"/>
              <w:rPr>
                <w:rFonts w:ascii="Arial Narrow" w:hAnsi="Arial Narrow"/>
              </w:rPr>
            </w:pPr>
            <w:r w:rsidRPr="007D4F22">
              <w:rPr>
                <w:rFonts w:ascii="Arial Narrow" w:hAnsi="Arial Narrow"/>
              </w:rPr>
              <w:t>79 (0.2)</w:t>
            </w:r>
          </w:p>
        </w:tc>
        <w:tc>
          <w:tcPr>
            <w:tcW w:w="790" w:type="pct"/>
            <w:hideMark/>
          </w:tcPr>
          <w:p w14:paraId="6E4C087B" w14:textId="77777777" w:rsidR="007D4F22" w:rsidRPr="007D4F22" w:rsidRDefault="007D4F22" w:rsidP="007D4F22">
            <w:pPr>
              <w:spacing w:before="40"/>
              <w:rPr>
                <w:rFonts w:ascii="Arial Narrow" w:hAnsi="Arial Narrow"/>
              </w:rPr>
            </w:pPr>
            <w:r w:rsidRPr="007D4F22">
              <w:rPr>
                <w:rFonts w:ascii="Arial Narrow" w:hAnsi="Arial Narrow"/>
              </w:rPr>
              <w:t>0.3% (0.2%, 0.4%)</w:t>
            </w:r>
          </w:p>
        </w:tc>
        <w:tc>
          <w:tcPr>
            <w:tcW w:w="789" w:type="pct"/>
            <w:hideMark/>
          </w:tcPr>
          <w:p w14:paraId="75EE4E7E" w14:textId="756C6567" w:rsidR="007D4F22" w:rsidRPr="007D4F22" w:rsidRDefault="007D4F22" w:rsidP="007D4F22">
            <w:pPr>
              <w:spacing w:before="40"/>
              <w:rPr>
                <w:rFonts w:ascii="Arial Narrow" w:hAnsi="Arial Narrow"/>
              </w:rPr>
            </w:pPr>
            <w:r w:rsidRPr="007D4F22">
              <w:rPr>
                <w:rFonts w:ascii="Arial Narrow" w:hAnsi="Arial Narrow"/>
              </w:rPr>
              <w:t>3% (</w:t>
            </w:r>
            <w:r w:rsidR="00B6382D" w:rsidRPr="00B6382D">
              <w:rPr>
                <w:rFonts w:ascii="Arial Narrow" w:hAnsi="Arial Narrow"/>
                <w:lang w:val="en"/>
              </w:rPr>
              <w:t>−</w:t>
            </w:r>
            <w:r w:rsidRPr="007D4F22">
              <w:rPr>
                <w:rFonts w:ascii="Arial Narrow" w:hAnsi="Arial Narrow"/>
              </w:rPr>
              <w:t>88%, 49%)</w:t>
            </w:r>
          </w:p>
        </w:tc>
        <w:tc>
          <w:tcPr>
            <w:tcW w:w="527" w:type="pct"/>
            <w:noWrap/>
            <w:hideMark/>
          </w:tcPr>
          <w:p w14:paraId="524622B2" w14:textId="77777777" w:rsidR="007D4F22" w:rsidRPr="007D4F22" w:rsidRDefault="007D4F22" w:rsidP="007D4F22">
            <w:pPr>
              <w:spacing w:before="40"/>
              <w:rPr>
                <w:rFonts w:ascii="Arial Narrow" w:hAnsi="Arial Narrow"/>
              </w:rPr>
            </w:pPr>
            <w:r w:rsidRPr="007D4F22">
              <w:rPr>
                <w:rFonts w:ascii="Arial Narrow" w:hAnsi="Arial Narrow"/>
              </w:rPr>
              <w:t>0.9355</w:t>
            </w:r>
          </w:p>
        </w:tc>
      </w:tr>
      <w:tr w:rsidR="007D4F22" w:rsidRPr="007D4F22" w14:paraId="69682887" w14:textId="77777777" w:rsidTr="00F265F7">
        <w:trPr>
          <w:trHeight w:val="20"/>
        </w:trPr>
        <w:tc>
          <w:tcPr>
            <w:tcW w:w="1033" w:type="pct"/>
            <w:hideMark/>
          </w:tcPr>
          <w:p w14:paraId="15B57917" w14:textId="77777777" w:rsidR="007D4F22" w:rsidRPr="007D4F22" w:rsidRDefault="007D4F22" w:rsidP="007D4F22">
            <w:pPr>
              <w:spacing w:before="40"/>
              <w:ind w:left="313"/>
              <w:rPr>
                <w:rFonts w:ascii="Arial Narrow" w:hAnsi="Arial Narrow"/>
              </w:rPr>
            </w:pPr>
            <w:r w:rsidRPr="007D4F22">
              <w:rPr>
                <w:rFonts w:ascii="Arial Narrow" w:hAnsi="Arial Narrow"/>
              </w:rPr>
              <w:t>Embolism due to cardiac device</w:t>
            </w:r>
          </w:p>
        </w:tc>
        <w:tc>
          <w:tcPr>
            <w:tcW w:w="545" w:type="pct"/>
            <w:hideMark/>
          </w:tcPr>
          <w:p w14:paraId="6DF313C9" w14:textId="77777777" w:rsidR="007D4F22" w:rsidRPr="007D4F22" w:rsidRDefault="007D4F22" w:rsidP="007D4F22">
            <w:pPr>
              <w:spacing w:before="40"/>
              <w:rPr>
                <w:rFonts w:ascii="Arial Narrow" w:hAnsi="Arial Narrow"/>
              </w:rPr>
            </w:pPr>
            <w:r w:rsidRPr="007D4F22">
              <w:rPr>
                <w:rFonts w:ascii="Arial Narrow" w:hAnsi="Arial Narrow"/>
              </w:rPr>
              <w:t>*</w:t>
            </w:r>
          </w:p>
        </w:tc>
        <w:tc>
          <w:tcPr>
            <w:tcW w:w="752" w:type="pct"/>
            <w:hideMark/>
          </w:tcPr>
          <w:p w14:paraId="214AFB36" w14:textId="77777777" w:rsidR="007D4F22" w:rsidRPr="007D4F22" w:rsidRDefault="007D4F22" w:rsidP="007D4F22">
            <w:pPr>
              <w:spacing w:before="40"/>
              <w:rPr>
                <w:rFonts w:ascii="Arial Narrow" w:hAnsi="Arial Narrow"/>
              </w:rPr>
            </w:pPr>
            <w:r w:rsidRPr="007D4F22">
              <w:rPr>
                <w:rFonts w:ascii="Arial Narrow" w:hAnsi="Arial Narrow"/>
              </w:rPr>
              <w:t>*</w:t>
            </w:r>
          </w:p>
        </w:tc>
        <w:tc>
          <w:tcPr>
            <w:tcW w:w="564" w:type="pct"/>
            <w:hideMark/>
          </w:tcPr>
          <w:p w14:paraId="5493FD64" w14:textId="77777777" w:rsidR="007D4F22" w:rsidRPr="007D4F22" w:rsidRDefault="007D4F22" w:rsidP="007D4F22">
            <w:pPr>
              <w:spacing w:before="40"/>
              <w:rPr>
                <w:rFonts w:ascii="Arial Narrow" w:hAnsi="Arial Narrow"/>
              </w:rPr>
            </w:pPr>
            <w:r w:rsidRPr="007D4F22">
              <w:rPr>
                <w:rFonts w:ascii="Arial Narrow" w:hAnsi="Arial Narrow"/>
              </w:rPr>
              <w:t>*</w:t>
            </w:r>
          </w:p>
        </w:tc>
        <w:tc>
          <w:tcPr>
            <w:tcW w:w="790" w:type="pct"/>
            <w:hideMark/>
          </w:tcPr>
          <w:p w14:paraId="4C6CB6B3" w14:textId="77777777" w:rsidR="007D4F22" w:rsidRPr="007D4F22" w:rsidRDefault="007D4F22" w:rsidP="007D4F22">
            <w:pPr>
              <w:spacing w:before="40"/>
              <w:rPr>
                <w:rFonts w:ascii="Arial Narrow" w:hAnsi="Arial Narrow"/>
              </w:rPr>
            </w:pPr>
            <w:r w:rsidRPr="007D4F22">
              <w:rPr>
                <w:rFonts w:ascii="Arial Narrow" w:hAnsi="Arial Narrow"/>
              </w:rPr>
              <w:t>*</w:t>
            </w:r>
          </w:p>
        </w:tc>
        <w:tc>
          <w:tcPr>
            <w:tcW w:w="789" w:type="pct"/>
            <w:hideMark/>
          </w:tcPr>
          <w:p w14:paraId="01A9D4E9" w14:textId="77777777" w:rsidR="007D4F22" w:rsidRPr="007D4F22" w:rsidRDefault="007D4F22" w:rsidP="007D4F22">
            <w:pPr>
              <w:spacing w:before="40"/>
              <w:rPr>
                <w:rFonts w:ascii="Arial Narrow" w:hAnsi="Arial Narrow"/>
              </w:rPr>
            </w:pPr>
            <w:r w:rsidRPr="007D4F22">
              <w:rPr>
                <w:rFonts w:ascii="Arial Narrow" w:hAnsi="Arial Narrow"/>
              </w:rPr>
              <w:t>16% (-577%, 90%)</w:t>
            </w:r>
          </w:p>
        </w:tc>
        <w:tc>
          <w:tcPr>
            <w:tcW w:w="527" w:type="pct"/>
            <w:noWrap/>
            <w:hideMark/>
          </w:tcPr>
          <w:p w14:paraId="6B59A6FD" w14:textId="77777777" w:rsidR="007D4F22" w:rsidRPr="007D4F22" w:rsidRDefault="007D4F22" w:rsidP="007D4F22">
            <w:pPr>
              <w:spacing w:before="40"/>
              <w:rPr>
                <w:rFonts w:ascii="Arial Narrow" w:hAnsi="Arial Narrow"/>
              </w:rPr>
            </w:pPr>
            <w:r w:rsidRPr="007D4F22">
              <w:rPr>
                <w:rFonts w:ascii="Arial Narrow" w:hAnsi="Arial Narrow"/>
              </w:rPr>
              <w:t>0.869</w:t>
            </w:r>
          </w:p>
        </w:tc>
      </w:tr>
      <w:tr w:rsidR="007D4F22" w:rsidRPr="007D4F22" w14:paraId="540683CB" w14:textId="77777777" w:rsidTr="00F265F7">
        <w:trPr>
          <w:trHeight w:val="20"/>
        </w:trPr>
        <w:tc>
          <w:tcPr>
            <w:tcW w:w="1033" w:type="pct"/>
            <w:hideMark/>
          </w:tcPr>
          <w:p w14:paraId="5BE7A8B8" w14:textId="77777777" w:rsidR="007D4F22" w:rsidRPr="007D4F22" w:rsidRDefault="007D4F22" w:rsidP="007D4F22">
            <w:pPr>
              <w:spacing w:before="40"/>
              <w:ind w:firstLine="29"/>
              <w:rPr>
                <w:rFonts w:ascii="Arial Narrow" w:hAnsi="Arial Narrow"/>
              </w:rPr>
            </w:pPr>
            <w:r w:rsidRPr="007D4F22">
              <w:rPr>
                <w:rFonts w:ascii="Arial Narrow" w:hAnsi="Arial Narrow"/>
              </w:rPr>
              <w:t>Device-related complications</w:t>
            </w:r>
          </w:p>
        </w:tc>
        <w:tc>
          <w:tcPr>
            <w:tcW w:w="545" w:type="pct"/>
            <w:hideMark/>
          </w:tcPr>
          <w:p w14:paraId="61408757" w14:textId="77777777" w:rsidR="007D4F22" w:rsidRPr="007D4F22" w:rsidRDefault="007D4F22" w:rsidP="007D4F22">
            <w:pPr>
              <w:spacing w:before="40"/>
              <w:rPr>
                <w:rFonts w:ascii="Arial Narrow" w:hAnsi="Arial Narrow"/>
              </w:rPr>
            </w:pPr>
            <w:r w:rsidRPr="007D4F22">
              <w:rPr>
                <w:rFonts w:ascii="Arial Narrow" w:hAnsi="Arial Narrow"/>
              </w:rPr>
              <w:t>107 (2.7)</w:t>
            </w:r>
          </w:p>
        </w:tc>
        <w:tc>
          <w:tcPr>
            <w:tcW w:w="752" w:type="pct"/>
            <w:hideMark/>
          </w:tcPr>
          <w:p w14:paraId="0394EF0C" w14:textId="77777777" w:rsidR="007D4F22" w:rsidRPr="007D4F22" w:rsidRDefault="007D4F22" w:rsidP="007D4F22">
            <w:pPr>
              <w:spacing w:before="40"/>
              <w:rPr>
                <w:rFonts w:ascii="Arial Narrow" w:hAnsi="Arial Narrow"/>
              </w:rPr>
            </w:pPr>
            <w:r w:rsidRPr="007D4F22">
              <w:rPr>
                <w:rFonts w:ascii="Arial Narrow" w:hAnsi="Arial Narrow"/>
              </w:rPr>
              <w:t>2.6% (2.5%, 2.7%)</w:t>
            </w:r>
          </w:p>
        </w:tc>
        <w:tc>
          <w:tcPr>
            <w:tcW w:w="564" w:type="pct"/>
            <w:hideMark/>
          </w:tcPr>
          <w:p w14:paraId="03A35C0E" w14:textId="77777777" w:rsidR="007D4F22" w:rsidRPr="007D4F22" w:rsidRDefault="007D4F22" w:rsidP="007D4F22">
            <w:pPr>
              <w:spacing w:before="40"/>
              <w:rPr>
                <w:rFonts w:ascii="Arial Narrow" w:hAnsi="Arial Narrow"/>
              </w:rPr>
            </w:pPr>
            <w:r w:rsidRPr="007D4F22">
              <w:rPr>
                <w:rFonts w:ascii="Arial Narrow" w:hAnsi="Arial Narrow"/>
              </w:rPr>
              <w:t>2497 (6.6)</w:t>
            </w:r>
          </w:p>
        </w:tc>
        <w:tc>
          <w:tcPr>
            <w:tcW w:w="790" w:type="pct"/>
            <w:hideMark/>
          </w:tcPr>
          <w:p w14:paraId="2D0F3D82" w14:textId="77777777" w:rsidR="007D4F22" w:rsidRPr="007D4F22" w:rsidRDefault="007D4F22" w:rsidP="007D4F22">
            <w:pPr>
              <w:spacing w:before="40"/>
              <w:rPr>
                <w:rFonts w:ascii="Arial Narrow" w:hAnsi="Arial Narrow"/>
              </w:rPr>
            </w:pPr>
            <w:r w:rsidRPr="007D4F22">
              <w:rPr>
                <w:rFonts w:ascii="Arial Narrow" w:hAnsi="Arial Narrow"/>
              </w:rPr>
              <w:t>6.7% (6.6%, 6.8%)</w:t>
            </w:r>
          </w:p>
        </w:tc>
        <w:tc>
          <w:tcPr>
            <w:tcW w:w="789" w:type="pct"/>
            <w:hideMark/>
          </w:tcPr>
          <w:p w14:paraId="3CB77573" w14:textId="77777777" w:rsidR="007D4F22" w:rsidRPr="007D4F22" w:rsidRDefault="007D4F22" w:rsidP="007D4F22">
            <w:pPr>
              <w:spacing w:before="40"/>
              <w:rPr>
                <w:rFonts w:ascii="Arial Narrow" w:hAnsi="Arial Narrow"/>
              </w:rPr>
            </w:pPr>
            <w:r w:rsidRPr="007D4F22">
              <w:rPr>
                <w:rFonts w:ascii="Arial Narrow" w:hAnsi="Arial Narrow"/>
              </w:rPr>
              <w:t>62% (54%, 69%)</w:t>
            </w:r>
          </w:p>
        </w:tc>
        <w:tc>
          <w:tcPr>
            <w:tcW w:w="527" w:type="pct"/>
            <w:shd w:val="clear" w:color="auto" w:fill="FFFFFF" w:themeFill="background1"/>
            <w:noWrap/>
            <w:hideMark/>
          </w:tcPr>
          <w:p w14:paraId="652192B8" w14:textId="77777777" w:rsidR="007D4F22" w:rsidRPr="007D4F22" w:rsidRDefault="007D4F22" w:rsidP="007D4F22">
            <w:pPr>
              <w:spacing w:before="40"/>
              <w:rPr>
                <w:rFonts w:ascii="Arial Narrow" w:hAnsi="Arial Narrow"/>
                <w:b/>
                <w:bCs/>
              </w:rPr>
            </w:pPr>
            <w:r w:rsidRPr="007D4F22">
              <w:rPr>
                <w:rFonts w:ascii="Arial Narrow" w:hAnsi="Arial Narrow"/>
                <w:b/>
                <w:bCs/>
              </w:rPr>
              <w:t>&lt;0.0001</w:t>
            </w:r>
          </w:p>
        </w:tc>
      </w:tr>
      <w:tr w:rsidR="007D4F22" w:rsidRPr="007D4F22" w14:paraId="38C7B220" w14:textId="77777777" w:rsidTr="00F265F7">
        <w:trPr>
          <w:trHeight w:val="20"/>
        </w:trPr>
        <w:tc>
          <w:tcPr>
            <w:tcW w:w="1033" w:type="pct"/>
            <w:hideMark/>
          </w:tcPr>
          <w:p w14:paraId="18FAF29E" w14:textId="77777777" w:rsidR="007D4F22" w:rsidRPr="007D4F22" w:rsidRDefault="007D4F22" w:rsidP="007D4F22">
            <w:pPr>
              <w:spacing w:before="40"/>
              <w:ind w:firstLine="313"/>
              <w:rPr>
                <w:rFonts w:ascii="Arial Narrow" w:hAnsi="Arial Narrow"/>
              </w:rPr>
            </w:pPr>
            <w:r w:rsidRPr="007D4F22">
              <w:rPr>
                <w:rFonts w:ascii="Arial Narrow" w:hAnsi="Arial Narrow"/>
              </w:rPr>
              <w:t>Breakdown</w:t>
            </w:r>
          </w:p>
        </w:tc>
        <w:tc>
          <w:tcPr>
            <w:tcW w:w="545" w:type="pct"/>
            <w:hideMark/>
          </w:tcPr>
          <w:p w14:paraId="6E3A5224" w14:textId="77777777" w:rsidR="007D4F22" w:rsidRPr="007D4F22" w:rsidRDefault="007D4F22" w:rsidP="007D4F22">
            <w:pPr>
              <w:spacing w:before="40"/>
              <w:rPr>
                <w:rFonts w:ascii="Arial Narrow" w:hAnsi="Arial Narrow"/>
              </w:rPr>
            </w:pPr>
            <w:r w:rsidRPr="007D4F22">
              <w:rPr>
                <w:rFonts w:ascii="Arial Narrow" w:hAnsi="Arial Narrow"/>
              </w:rPr>
              <w:t>51 (1.3)</w:t>
            </w:r>
          </w:p>
        </w:tc>
        <w:tc>
          <w:tcPr>
            <w:tcW w:w="752" w:type="pct"/>
            <w:hideMark/>
          </w:tcPr>
          <w:p w14:paraId="4E6E1880" w14:textId="77777777" w:rsidR="007D4F22" w:rsidRPr="007D4F22" w:rsidRDefault="007D4F22" w:rsidP="007D4F22">
            <w:pPr>
              <w:spacing w:before="40"/>
              <w:rPr>
                <w:rFonts w:ascii="Arial Narrow" w:hAnsi="Arial Narrow"/>
              </w:rPr>
            </w:pPr>
            <w:r w:rsidRPr="007D4F22">
              <w:rPr>
                <w:rFonts w:ascii="Arial Narrow" w:hAnsi="Arial Narrow"/>
              </w:rPr>
              <w:t>1.4% (1.3%, 1.6%)</w:t>
            </w:r>
          </w:p>
        </w:tc>
        <w:tc>
          <w:tcPr>
            <w:tcW w:w="564" w:type="pct"/>
            <w:hideMark/>
          </w:tcPr>
          <w:p w14:paraId="70AED637" w14:textId="77777777" w:rsidR="007D4F22" w:rsidRPr="007D4F22" w:rsidRDefault="007D4F22" w:rsidP="007D4F22">
            <w:pPr>
              <w:spacing w:before="40"/>
              <w:rPr>
                <w:rFonts w:ascii="Arial Narrow" w:hAnsi="Arial Narrow"/>
              </w:rPr>
            </w:pPr>
            <w:r w:rsidRPr="007D4F22">
              <w:rPr>
                <w:rFonts w:ascii="Arial Narrow" w:hAnsi="Arial Narrow"/>
              </w:rPr>
              <w:t>1025 (2.7)</w:t>
            </w:r>
          </w:p>
        </w:tc>
        <w:tc>
          <w:tcPr>
            <w:tcW w:w="790" w:type="pct"/>
            <w:hideMark/>
          </w:tcPr>
          <w:p w14:paraId="7E5CF583" w14:textId="77777777" w:rsidR="007D4F22" w:rsidRPr="007D4F22" w:rsidRDefault="007D4F22" w:rsidP="007D4F22">
            <w:pPr>
              <w:spacing w:before="40"/>
              <w:rPr>
                <w:rFonts w:ascii="Arial Narrow" w:hAnsi="Arial Narrow"/>
              </w:rPr>
            </w:pPr>
            <w:r w:rsidRPr="007D4F22">
              <w:rPr>
                <w:rFonts w:ascii="Arial Narrow" w:hAnsi="Arial Narrow"/>
              </w:rPr>
              <w:t>3.1% (2.8%, 3.4%)</w:t>
            </w:r>
          </w:p>
        </w:tc>
        <w:tc>
          <w:tcPr>
            <w:tcW w:w="789" w:type="pct"/>
            <w:hideMark/>
          </w:tcPr>
          <w:p w14:paraId="4F439468" w14:textId="77777777" w:rsidR="007D4F22" w:rsidRPr="007D4F22" w:rsidRDefault="007D4F22" w:rsidP="007D4F22">
            <w:pPr>
              <w:spacing w:before="40"/>
              <w:rPr>
                <w:rFonts w:ascii="Arial Narrow" w:hAnsi="Arial Narrow"/>
              </w:rPr>
            </w:pPr>
            <w:r w:rsidRPr="007D4F22">
              <w:rPr>
                <w:rFonts w:ascii="Arial Narrow" w:hAnsi="Arial Narrow"/>
              </w:rPr>
              <w:t>55% (39%, 67%)</w:t>
            </w:r>
          </w:p>
        </w:tc>
        <w:tc>
          <w:tcPr>
            <w:tcW w:w="527" w:type="pct"/>
            <w:shd w:val="clear" w:color="auto" w:fill="FFFFFF" w:themeFill="background1"/>
            <w:noWrap/>
            <w:hideMark/>
          </w:tcPr>
          <w:p w14:paraId="6EA13052" w14:textId="77777777" w:rsidR="007D4F22" w:rsidRPr="007D4F22" w:rsidRDefault="007D4F22" w:rsidP="007D4F22">
            <w:pPr>
              <w:spacing w:before="40"/>
              <w:rPr>
                <w:rFonts w:ascii="Arial Narrow" w:hAnsi="Arial Narrow"/>
                <w:b/>
                <w:bCs/>
              </w:rPr>
            </w:pPr>
            <w:r w:rsidRPr="007D4F22">
              <w:rPr>
                <w:rFonts w:ascii="Arial Narrow" w:hAnsi="Arial Narrow"/>
                <w:b/>
                <w:bCs/>
              </w:rPr>
              <w:t>&lt;0.0001</w:t>
            </w:r>
          </w:p>
        </w:tc>
      </w:tr>
      <w:tr w:rsidR="007D4F22" w:rsidRPr="007D4F22" w14:paraId="2BE8263E" w14:textId="77777777" w:rsidTr="00F265F7">
        <w:trPr>
          <w:trHeight w:val="20"/>
        </w:trPr>
        <w:tc>
          <w:tcPr>
            <w:tcW w:w="1033" w:type="pct"/>
            <w:hideMark/>
          </w:tcPr>
          <w:p w14:paraId="600944AC" w14:textId="77777777" w:rsidR="007D4F22" w:rsidRPr="007D4F22" w:rsidRDefault="007D4F22" w:rsidP="007D4F22">
            <w:pPr>
              <w:spacing w:before="40"/>
              <w:ind w:firstLine="313"/>
              <w:rPr>
                <w:rFonts w:ascii="Arial Narrow" w:hAnsi="Arial Narrow"/>
              </w:rPr>
            </w:pPr>
            <w:r w:rsidRPr="007D4F22">
              <w:rPr>
                <w:rFonts w:ascii="Arial Narrow" w:hAnsi="Arial Narrow"/>
              </w:rPr>
              <w:t>Dislodgement</w:t>
            </w:r>
          </w:p>
        </w:tc>
        <w:tc>
          <w:tcPr>
            <w:tcW w:w="545" w:type="pct"/>
            <w:hideMark/>
          </w:tcPr>
          <w:p w14:paraId="5E9C6C86" w14:textId="77777777" w:rsidR="007D4F22" w:rsidRPr="007D4F22" w:rsidRDefault="007D4F22" w:rsidP="007D4F22">
            <w:pPr>
              <w:spacing w:before="40"/>
              <w:rPr>
                <w:rFonts w:ascii="Arial Narrow" w:hAnsi="Arial Narrow"/>
              </w:rPr>
            </w:pPr>
            <w:r w:rsidRPr="007D4F22">
              <w:rPr>
                <w:rFonts w:ascii="Arial Narrow" w:hAnsi="Arial Narrow"/>
              </w:rPr>
              <w:t>19 (0.5)</w:t>
            </w:r>
          </w:p>
        </w:tc>
        <w:tc>
          <w:tcPr>
            <w:tcW w:w="752" w:type="pct"/>
            <w:hideMark/>
          </w:tcPr>
          <w:p w14:paraId="31FC3C0E" w14:textId="77777777" w:rsidR="007D4F22" w:rsidRPr="007D4F22" w:rsidRDefault="007D4F22" w:rsidP="007D4F22">
            <w:pPr>
              <w:spacing w:before="40"/>
              <w:rPr>
                <w:rFonts w:ascii="Arial Narrow" w:hAnsi="Arial Narrow"/>
              </w:rPr>
            </w:pPr>
            <w:r w:rsidRPr="007D4F22">
              <w:rPr>
                <w:rFonts w:ascii="Arial Narrow" w:hAnsi="Arial Narrow"/>
              </w:rPr>
              <w:t>0.5% (0.5%, 0.5%)</w:t>
            </w:r>
          </w:p>
        </w:tc>
        <w:tc>
          <w:tcPr>
            <w:tcW w:w="564" w:type="pct"/>
            <w:hideMark/>
          </w:tcPr>
          <w:p w14:paraId="3498A3BA" w14:textId="77777777" w:rsidR="007D4F22" w:rsidRPr="007D4F22" w:rsidRDefault="007D4F22" w:rsidP="007D4F22">
            <w:pPr>
              <w:spacing w:before="40"/>
              <w:rPr>
                <w:rFonts w:ascii="Arial Narrow" w:hAnsi="Arial Narrow"/>
              </w:rPr>
            </w:pPr>
            <w:r w:rsidRPr="007D4F22">
              <w:rPr>
                <w:rFonts w:ascii="Arial Narrow" w:hAnsi="Arial Narrow"/>
              </w:rPr>
              <w:t>1094 (2.9)</w:t>
            </w:r>
          </w:p>
        </w:tc>
        <w:tc>
          <w:tcPr>
            <w:tcW w:w="790" w:type="pct"/>
            <w:hideMark/>
          </w:tcPr>
          <w:p w14:paraId="5ECDEAB7" w14:textId="77777777" w:rsidR="007D4F22" w:rsidRPr="007D4F22" w:rsidRDefault="007D4F22" w:rsidP="007D4F22">
            <w:pPr>
              <w:spacing w:before="40"/>
              <w:rPr>
                <w:rFonts w:ascii="Arial Narrow" w:hAnsi="Arial Narrow"/>
              </w:rPr>
            </w:pPr>
            <w:r w:rsidRPr="007D4F22">
              <w:rPr>
                <w:rFonts w:ascii="Arial Narrow" w:hAnsi="Arial Narrow"/>
              </w:rPr>
              <w:t>3.0% (2.8%, 3.1%)</w:t>
            </w:r>
          </w:p>
        </w:tc>
        <w:tc>
          <w:tcPr>
            <w:tcW w:w="789" w:type="pct"/>
            <w:hideMark/>
          </w:tcPr>
          <w:p w14:paraId="1CB247A6" w14:textId="77777777" w:rsidR="007D4F22" w:rsidRPr="007D4F22" w:rsidRDefault="007D4F22" w:rsidP="007D4F22">
            <w:pPr>
              <w:spacing w:before="40"/>
              <w:rPr>
                <w:rFonts w:ascii="Arial Narrow" w:hAnsi="Arial Narrow"/>
              </w:rPr>
            </w:pPr>
            <w:r w:rsidRPr="007D4F22">
              <w:rPr>
                <w:rFonts w:ascii="Arial Narrow" w:hAnsi="Arial Narrow"/>
              </w:rPr>
              <w:t>83% (74%, 89%)</w:t>
            </w:r>
          </w:p>
        </w:tc>
        <w:tc>
          <w:tcPr>
            <w:tcW w:w="527" w:type="pct"/>
            <w:shd w:val="clear" w:color="auto" w:fill="FFFFFF" w:themeFill="background1"/>
            <w:noWrap/>
            <w:hideMark/>
          </w:tcPr>
          <w:p w14:paraId="7E73649F" w14:textId="77777777" w:rsidR="007D4F22" w:rsidRPr="007D4F22" w:rsidRDefault="007D4F22" w:rsidP="007D4F22">
            <w:pPr>
              <w:spacing w:before="40"/>
              <w:rPr>
                <w:rFonts w:ascii="Arial Narrow" w:hAnsi="Arial Narrow"/>
                <w:b/>
                <w:bCs/>
              </w:rPr>
            </w:pPr>
            <w:r w:rsidRPr="007D4F22">
              <w:rPr>
                <w:rFonts w:ascii="Arial Narrow" w:hAnsi="Arial Narrow"/>
                <w:b/>
                <w:bCs/>
              </w:rPr>
              <w:t>&lt;0.0001</w:t>
            </w:r>
          </w:p>
        </w:tc>
      </w:tr>
      <w:tr w:rsidR="007D4F22" w:rsidRPr="007D4F22" w14:paraId="10EB80C9" w14:textId="77777777" w:rsidTr="00F265F7">
        <w:trPr>
          <w:trHeight w:val="20"/>
        </w:trPr>
        <w:tc>
          <w:tcPr>
            <w:tcW w:w="1033" w:type="pct"/>
            <w:hideMark/>
          </w:tcPr>
          <w:p w14:paraId="040FE361" w14:textId="77777777" w:rsidR="007D4F22" w:rsidRPr="007D4F22" w:rsidRDefault="007D4F22" w:rsidP="007D4F22">
            <w:pPr>
              <w:spacing w:before="40"/>
              <w:ind w:firstLine="313"/>
              <w:rPr>
                <w:rFonts w:ascii="Arial Narrow" w:hAnsi="Arial Narrow"/>
              </w:rPr>
            </w:pPr>
            <w:r w:rsidRPr="007D4F22">
              <w:rPr>
                <w:rFonts w:ascii="Arial Narrow" w:hAnsi="Arial Narrow"/>
              </w:rPr>
              <w:t>Other mechanical failure</w:t>
            </w:r>
          </w:p>
        </w:tc>
        <w:tc>
          <w:tcPr>
            <w:tcW w:w="545" w:type="pct"/>
            <w:hideMark/>
          </w:tcPr>
          <w:p w14:paraId="7092C552" w14:textId="77777777" w:rsidR="007D4F22" w:rsidRPr="007D4F22" w:rsidRDefault="007D4F22" w:rsidP="007D4F22">
            <w:pPr>
              <w:spacing w:before="40"/>
              <w:rPr>
                <w:rFonts w:ascii="Arial Narrow" w:hAnsi="Arial Narrow"/>
              </w:rPr>
            </w:pPr>
            <w:r w:rsidRPr="007D4F22">
              <w:rPr>
                <w:rFonts w:ascii="Arial Narrow" w:hAnsi="Arial Narrow"/>
              </w:rPr>
              <w:t>26 (0.7)</w:t>
            </w:r>
          </w:p>
        </w:tc>
        <w:tc>
          <w:tcPr>
            <w:tcW w:w="752" w:type="pct"/>
            <w:hideMark/>
          </w:tcPr>
          <w:p w14:paraId="49A8C6C3" w14:textId="77777777" w:rsidR="007D4F22" w:rsidRPr="007D4F22" w:rsidRDefault="007D4F22" w:rsidP="007D4F22">
            <w:pPr>
              <w:spacing w:before="40"/>
              <w:rPr>
                <w:rFonts w:ascii="Arial Narrow" w:hAnsi="Arial Narrow"/>
              </w:rPr>
            </w:pPr>
            <w:r w:rsidRPr="007D4F22">
              <w:rPr>
                <w:rFonts w:ascii="Arial Narrow" w:hAnsi="Arial Narrow"/>
              </w:rPr>
              <w:t>0.6% (0.6%, 0.8%)</w:t>
            </w:r>
          </w:p>
        </w:tc>
        <w:tc>
          <w:tcPr>
            <w:tcW w:w="564" w:type="pct"/>
            <w:hideMark/>
          </w:tcPr>
          <w:p w14:paraId="6ADDF6F0" w14:textId="77777777" w:rsidR="007D4F22" w:rsidRPr="007D4F22" w:rsidRDefault="007D4F22" w:rsidP="007D4F22">
            <w:pPr>
              <w:spacing w:before="40"/>
              <w:rPr>
                <w:rFonts w:ascii="Arial Narrow" w:hAnsi="Arial Narrow"/>
              </w:rPr>
            </w:pPr>
            <w:r w:rsidRPr="007D4F22">
              <w:rPr>
                <w:rFonts w:ascii="Arial Narrow" w:hAnsi="Arial Narrow"/>
              </w:rPr>
              <w:t>521 (1.4)</w:t>
            </w:r>
          </w:p>
        </w:tc>
        <w:tc>
          <w:tcPr>
            <w:tcW w:w="790" w:type="pct"/>
            <w:hideMark/>
          </w:tcPr>
          <w:p w14:paraId="605735B2" w14:textId="77777777" w:rsidR="007D4F22" w:rsidRPr="007D4F22" w:rsidRDefault="007D4F22" w:rsidP="007D4F22">
            <w:pPr>
              <w:spacing w:before="40"/>
              <w:rPr>
                <w:rFonts w:ascii="Arial Narrow" w:hAnsi="Arial Narrow"/>
              </w:rPr>
            </w:pPr>
            <w:r w:rsidRPr="007D4F22">
              <w:rPr>
                <w:rFonts w:ascii="Arial Narrow" w:hAnsi="Arial Narrow"/>
              </w:rPr>
              <w:t>1.5% (1.3%, 1.7%)</w:t>
            </w:r>
          </w:p>
        </w:tc>
        <w:tc>
          <w:tcPr>
            <w:tcW w:w="789" w:type="pct"/>
            <w:hideMark/>
          </w:tcPr>
          <w:p w14:paraId="0CB3C5B5" w14:textId="77777777" w:rsidR="007D4F22" w:rsidRPr="007D4F22" w:rsidRDefault="007D4F22" w:rsidP="007D4F22">
            <w:pPr>
              <w:spacing w:before="40"/>
              <w:rPr>
                <w:rFonts w:ascii="Arial Narrow" w:hAnsi="Arial Narrow"/>
              </w:rPr>
            </w:pPr>
            <w:r w:rsidRPr="007D4F22">
              <w:rPr>
                <w:rFonts w:ascii="Arial Narrow" w:hAnsi="Arial Narrow"/>
              </w:rPr>
              <w:t>56% (35%, 71%)</w:t>
            </w:r>
          </w:p>
        </w:tc>
        <w:tc>
          <w:tcPr>
            <w:tcW w:w="527" w:type="pct"/>
            <w:shd w:val="clear" w:color="auto" w:fill="FFFFFF" w:themeFill="background1"/>
            <w:noWrap/>
            <w:hideMark/>
          </w:tcPr>
          <w:p w14:paraId="67B474A3" w14:textId="77777777" w:rsidR="007D4F22" w:rsidRPr="007D4F22" w:rsidRDefault="007D4F22" w:rsidP="007D4F22">
            <w:pPr>
              <w:spacing w:before="40"/>
              <w:rPr>
                <w:rFonts w:ascii="Arial Narrow" w:hAnsi="Arial Narrow"/>
                <w:b/>
                <w:bCs/>
              </w:rPr>
            </w:pPr>
            <w:r w:rsidRPr="007D4F22">
              <w:rPr>
                <w:rFonts w:ascii="Arial Narrow" w:hAnsi="Arial Narrow"/>
                <w:b/>
                <w:bCs/>
              </w:rPr>
              <w:t>&lt;0.0001</w:t>
            </w:r>
          </w:p>
        </w:tc>
      </w:tr>
      <w:tr w:rsidR="007D4F22" w:rsidRPr="007D4F22" w14:paraId="44C8E856" w14:textId="77777777" w:rsidTr="00F265F7">
        <w:trPr>
          <w:trHeight w:val="20"/>
        </w:trPr>
        <w:tc>
          <w:tcPr>
            <w:tcW w:w="1033" w:type="pct"/>
            <w:hideMark/>
          </w:tcPr>
          <w:p w14:paraId="35B86441" w14:textId="77777777" w:rsidR="007D4F22" w:rsidRPr="007D4F22" w:rsidRDefault="007D4F22" w:rsidP="007D4F22">
            <w:pPr>
              <w:spacing w:before="40"/>
              <w:ind w:firstLine="313"/>
              <w:rPr>
                <w:rFonts w:ascii="Arial Narrow" w:hAnsi="Arial Narrow"/>
              </w:rPr>
            </w:pPr>
            <w:r w:rsidRPr="007D4F22">
              <w:rPr>
                <w:rFonts w:ascii="Arial Narrow" w:hAnsi="Arial Narrow"/>
              </w:rPr>
              <w:t>Infection</w:t>
            </w:r>
          </w:p>
        </w:tc>
        <w:tc>
          <w:tcPr>
            <w:tcW w:w="545" w:type="pct"/>
            <w:hideMark/>
          </w:tcPr>
          <w:p w14:paraId="7DEAE528" w14:textId="77777777" w:rsidR="007D4F22" w:rsidRPr="007D4F22" w:rsidRDefault="007D4F22" w:rsidP="007D4F22">
            <w:pPr>
              <w:spacing w:before="40"/>
              <w:rPr>
                <w:rFonts w:ascii="Arial Narrow" w:hAnsi="Arial Narrow"/>
              </w:rPr>
            </w:pPr>
            <w:r w:rsidRPr="007D4F22">
              <w:rPr>
                <w:rFonts w:ascii="Arial Narrow" w:hAnsi="Arial Narrow"/>
              </w:rPr>
              <w:t>0 (0)</w:t>
            </w:r>
          </w:p>
        </w:tc>
        <w:tc>
          <w:tcPr>
            <w:tcW w:w="752" w:type="pct"/>
            <w:hideMark/>
          </w:tcPr>
          <w:p w14:paraId="37661DAD" w14:textId="77777777" w:rsidR="007D4F22" w:rsidRPr="007D4F22" w:rsidRDefault="007D4F22" w:rsidP="007D4F22">
            <w:pPr>
              <w:spacing w:before="40"/>
              <w:rPr>
                <w:rFonts w:ascii="Arial Narrow" w:hAnsi="Arial Narrow"/>
              </w:rPr>
            </w:pPr>
            <w:r w:rsidRPr="007D4F22">
              <w:rPr>
                <w:rFonts w:ascii="Arial Narrow" w:hAnsi="Arial Narrow"/>
              </w:rPr>
              <w:t>0.0% (0.0%, 0.0%)</w:t>
            </w:r>
          </w:p>
        </w:tc>
        <w:tc>
          <w:tcPr>
            <w:tcW w:w="564" w:type="pct"/>
            <w:hideMark/>
          </w:tcPr>
          <w:p w14:paraId="638D5049" w14:textId="77777777" w:rsidR="007D4F22" w:rsidRPr="007D4F22" w:rsidRDefault="007D4F22" w:rsidP="007D4F22">
            <w:pPr>
              <w:spacing w:before="40"/>
              <w:rPr>
                <w:rFonts w:ascii="Arial Narrow" w:hAnsi="Arial Narrow"/>
              </w:rPr>
            </w:pPr>
            <w:r w:rsidRPr="007D4F22">
              <w:rPr>
                <w:rFonts w:ascii="Arial Narrow" w:hAnsi="Arial Narrow"/>
              </w:rPr>
              <w:t>128 (0.3)</w:t>
            </w:r>
          </w:p>
        </w:tc>
        <w:tc>
          <w:tcPr>
            <w:tcW w:w="790" w:type="pct"/>
            <w:hideMark/>
          </w:tcPr>
          <w:p w14:paraId="3F4DE393" w14:textId="77777777" w:rsidR="007D4F22" w:rsidRPr="007D4F22" w:rsidRDefault="007D4F22" w:rsidP="007D4F22">
            <w:pPr>
              <w:spacing w:before="40"/>
              <w:rPr>
                <w:rFonts w:ascii="Arial Narrow" w:hAnsi="Arial Narrow"/>
              </w:rPr>
            </w:pPr>
            <w:r w:rsidRPr="007D4F22">
              <w:rPr>
                <w:rFonts w:ascii="Arial Narrow" w:hAnsi="Arial Narrow"/>
              </w:rPr>
              <w:t>0.5% (0.4%, 0.6%)</w:t>
            </w:r>
          </w:p>
        </w:tc>
        <w:tc>
          <w:tcPr>
            <w:tcW w:w="789" w:type="pct"/>
            <w:hideMark/>
          </w:tcPr>
          <w:p w14:paraId="2A205D30" w14:textId="77777777" w:rsidR="007D4F22" w:rsidRPr="007D4F22" w:rsidRDefault="007D4F22" w:rsidP="007D4F22">
            <w:pPr>
              <w:spacing w:before="40"/>
              <w:rPr>
                <w:rFonts w:ascii="Arial Narrow" w:hAnsi="Arial Narrow"/>
              </w:rPr>
            </w:pPr>
            <w:r w:rsidRPr="007D4F22">
              <w:rPr>
                <w:rFonts w:ascii="Arial Narrow" w:hAnsi="Arial Narrow"/>
              </w:rPr>
              <w:t>100% (100%, 100%)</w:t>
            </w:r>
          </w:p>
        </w:tc>
        <w:tc>
          <w:tcPr>
            <w:tcW w:w="527" w:type="pct"/>
            <w:shd w:val="clear" w:color="auto" w:fill="FFFFFF" w:themeFill="background1"/>
            <w:noWrap/>
            <w:hideMark/>
          </w:tcPr>
          <w:p w14:paraId="36A3CBA9" w14:textId="77777777" w:rsidR="007D4F22" w:rsidRPr="007D4F22" w:rsidRDefault="007D4F22" w:rsidP="007D4F22">
            <w:pPr>
              <w:spacing w:before="40"/>
              <w:rPr>
                <w:rFonts w:ascii="Arial Narrow" w:hAnsi="Arial Narrow"/>
                <w:b/>
                <w:bCs/>
              </w:rPr>
            </w:pPr>
            <w:r w:rsidRPr="007D4F22">
              <w:rPr>
                <w:rFonts w:ascii="Arial Narrow" w:hAnsi="Arial Narrow"/>
                <w:b/>
                <w:bCs/>
              </w:rPr>
              <w:t>&lt;0.0001</w:t>
            </w:r>
          </w:p>
        </w:tc>
      </w:tr>
      <w:tr w:rsidR="007D4F22" w:rsidRPr="007D4F22" w14:paraId="48EFC6E3" w14:textId="77777777" w:rsidTr="00F265F7">
        <w:trPr>
          <w:trHeight w:val="20"/>
        </w:trPr>
        <w:tc>
          <w:tcPr>
            <w:tcW w:w="1033" w:type="pct"/>
            <w:hideMark/>
          </w:tcPr>
          <w:p w14:paraId="6A861231" w14:textId="77777777" w:rsidR="007D4F22" w:rsidRPr="007D4F22" w:rsidRDefault="007D4F22" w:rsidP="007D4F22">
            <w:pPr>
              <w:spacing w:before="40"/>
              <w:ind w:firstLine="313"/>
              <w:rPr>
                <w:rFonts w:ascii="Arial Narrow" w:hAnsi="Arial Narrow"/>
              </w:rPr>
            </w:pPr>
            <w:r w:rsidRPr="007D4F22">
              <w:rPr>
                <w:rFonts w:ascii="Arial Narrow" w:hAnsi="Arial Narrow"/>
              </w:rPr>
              <w:t>Device pain</w:t>
            </w:r>
          </w:p>
        </w:tc>
        <w:tc>
          <w:tcPr>
            <w:tcW w:w="545" w:type="pct"/>
            <w:hideMark/>
          </w:tcPr>
          <w:p w14:paraId="3474D1AB" w14:textId="77777777" w:rsidR="007D4F22" w:rsidRPr="007D4F22" w:rsidRDefault="007D4F22" w:rsidP="007D4F22">
            <w:pPr>
              <w:spacing w:before="40"/>
              <w:rPr>
                <w:rFonts w:ascii="Arial Narrow" w:hAnsi="Arial Narrow"/>
              </w:rPr>
            </w:pPr>
            <w:r w:rsidRPr="007D4F22">
              <w:rPr>
                <w:rFonts w:ascii="Arial Narrow" w:hAnsi="Arial Narrow"/>
              </w:rPr>
              <w:t>*</w:t>
            </w:r>
          </w:p>
        </w:tc>
        <w:tc>
          <w:tcPr>
            <w:tcW w:w="752" w:type="pct"/>
            <w:hideMark/>
          </w:tcPr>
          <w:p w14:paraId="009C6E3B" w14:textId="77777777" w:rsidR="007D4F22" w:rsidRPr="007D4F22" w:rsidRDefault="007D4F22" w:rsidP="007D4F22">
            <w:pPr>
              <w:spacing w:before="40"/>
              <w:rPr>
                <w:rFonts w:ascii="Arial Narrow" w:hAnsi="Arial Narrow"/>
              </w:rPr>
            </w:pPr>
            <w:r w:rsidRPr="007D4F22">
              <w:rPr>
                <w:rFonts w:ascii="Arial Narrow" w:hAnsi="Arial Narrow"/>
              </w:rPr>
              <w:t>*</w:t>
            </w:r>
          </w:p>
        </w:tc>
        <w:tc>
          <w:tcPr>
            <w:tcW w:w="564" w:type="pct"/>
            <w:hideMark/>
          </w:tcPr>
          <w:p w14:paraId="0C3D907F" w14:textId="77777777" w:rsidR="007D4F22" w:rsidRPr="007D4F22" w:rsidRDefault="007D4F22" w:rsidP="007D4F22">
            <w:pPr>
              <w:spacing w:before="40"/>
              <w:rPr>
                <w:rFonts w:ascii="Arial Narrow" w:hAnsi="Arial Narrow"/>
              </w:rPr>
            </w:pPr>
            <w:r w:rsidRPr="007D4F22">
              <w:rPr>
                <w:rFonts w:ascii="Arial Narrow" w:hAnsi="Arial Narrow"/>
              </w:rPr>
              <w:t>131 (0.3)</w:t>
            </w:r>
          </w:p>
        </w:tc>
        <w:tc>
          <w:tcPr>
            <w:tcW w:w="790" w:type="pct"/>
            <w:hideMark/>
          </w:tcPr>
          <w:p w14:paraId="30DD216B" w14:textId="77777777" w:rsidR="007D4F22" w:rsidRPr="007D4F22" w:rsidRDefault="007D4F22" w:rsidP="007D4F22">
            <w:pPr>
              <w:spacing w:before="40"/>
              <w:rPr>
                <w:rFonts w:ascii="Arial Narrow" w:hAnsi="Arial Narrow"/>
              </w:rPr>
            </w:pPr>
            <w:r w:rsidRPr="007D4F22">
              <w:rPr>
                <w:rFonts w:ascii="Arial Narrow" w:hAnsi="Arial Narrow"/>
              </w:rPr>
              <w:t>0.4% (0.3%, 0.5%)</w:t>
            </w:r>
          </w:p>
        </w:tc>
        <w:tc>
          <w:tcPr>
            <w:tcW w:w="789" w:type="pct"/>
            <w:hideMark/>
          </w:tcPr>
          <w:p w14:paraId="2E57DD93" w14:textId="77777777" w:rsidR="007D4F22" w:rsidRPr="007D4F22" w:rsidRDefault="007D4F22" w:rsidP="007D4F22">
            <w:pPr>
              <w:spacing w:before="40"/>
              <w:rPr>
                <w:rFonts w:ascii="Arial Narrow" w:hAnsi="Arial Narrow"/>
              </w:rPr>
            </w:pPr>
            <w:r w:rsidRPr="007D4F22">
              <w:rPr>
                <w:rFonts w:ascii="Arial Narrow" w:hAnsi="Arial Narrow"/>
              </w:rPr>
              <w:t>66% (19%, 86%)</w:t>
            </w:r>
          </w:p>
        </w:tc>
        <w:tc>
          <w:tcPr>
            <w:tcW w:w="527" w:type="pct"/>
            <w:shd w:val="clear" w:color="auto" w:fill="FFFFFF" w:themeFill="background1"/>
            <w:noWrap/>
            <w:hideMark/>
          </w:tcPr>
          <w:p w14:paraId="7BDC2E79" w14:textId="77777777" w:rsidR="007D4F22" w:rsidRPr="007D4F22" w:rsidRDefault="007D4F22" w:rsidP="007D4F22">
            <w:pPr>
              <w:spacing w:before="40"/>
              <w:rPr>
                <w:rFonts w:ascii="Arial Narrow" w:hAnsi="Arial Narrow"/>
                <w:b/>
                <w:bCs/>
              </w:rPr>
            </w:pPr>
            <w:r w:rsidRPr="007D4F22">
              <w:rPr>
                <w:rFonts w:ascii="Arial Narrow" w:hAnsi="Arial Narrow"/>
                <w:b/>
                <w:bCs/>
              </w:rPr>
              <w:t>0.0151</w:t>
            </w:r>
          </w:p>
        </w:tc>
      </w:tr>
      <w:tr w:rsidR="007D4F22" w:rsidRPr="007D4F22" w14:paraId="1018C091" w14:textId="77777777" w:rsidTr="00F265F7">
        <w:trPr>
          <w:trHeight w:val="20"/>
        </w:trPr>
        <w:tc>
          <w:tcPr>
            <w:tcW w:w="1033" w:type="pct"/>
            <w:hideMark/>
          </w:tcPr>
          <w:p w14:paraId="31ADDC7D" w14:textId="77777777" w:rsidR="007D4F22" w:rsidRPr="007D4F22" w:rsidRDefault="007D4F22" w:rsidP="007D4F22">
            <w:pPr>
              <w:spacing w:before="40"/>
              <w:ind w:firstLine="313"/>
              <w:rPr>
                <w:rFonts w:ascii="Arial Narrow" w:hAnsi="Arial Narrow"/>
              </w:rPr>
            </w:pPr>
            <w:r w:rsidRPr="007D4F22">
              <w:rPr>
                <w:rFonts w:ascii="Arial Narrow" w:hAnsi="Arial Narrow"/>
              </w:rPr>
              <w:t>Device stenosis</w:t>
            </w:r>
          </w:p>
        </w:tc>
        <w:tc>
          <w:tcPr>
            <w:tcW w:w="545" w:type="pct"/>
            <w:hideMark/>
          </w:tcPr>
          <w:p w14:paraId="75F08212" w14:textId="77777777" w:rsidR="007D4F22" w:rsidRPr="007D4F22" w:rsidRDefault="007D4F22" w:rsidP="007D4F22">
            <w:pPr>
              <w:spacing w:before="40"/>
              <w:rPr>
                <w:rFonts w:ascii="Arial Narrow" w:hAnsi="Arial Narrow"/>
              </w:rPr>
            </w:pPr>
            <w:r w:rsidRPr="007D4F22">
              <w:rPr>
                <w:rFonts w:ascii="Arial Narrow" w:hAnsi="Arial Narrow"/>
              </w:rPr>
              <w:t>19 (0.5)</w:t>
            </w:r>
          </w:p>
        </w:tc>
        <w:tc>
          <w:tcPr>
            <w:tcW w:w="752" w:type="pct"/>
            <w:hideMark/>
          </w:tcPr>
          <w:p w14:paraId="26BAE480" w14:textId="77777777" w:rsidR="007D4F22" w:rsidRPr="007D4F22" w:rsidRDefault="007D4F22" w:rsidP="007D4F22">
            <w:pPr>
              <w:spacing w:before="40"/>
              <w:rPr>
                <w:rFonts w:ascii="Arial Narrow" w:hAnsi="Arial Narrow"/>
              </w:rPr>
            </w:pPr>
            <w:r w:rsidRPr="007D4F22">
              <w:rPr>
                <w:rFonts w:ascii="Arial Narrow" w:hAnsi="Arial Narrow"/>
              </w:rPr>
              <w:t>0.5% (0.4%, 0.7%)</w:t>
            </w:r>
          </w:p>
        </w:tc>
        <w:tc>
          <w:tcPr>
            <w:tcW w:w="564" w:type="pct"/>
            <w:hideMark/>
          </w:tcPr>
          <w:p w14:paraId="6ADCD4FE" w14:textId="77777777" w:rsidR="007D4F22" w:rsidRPr="007D4F22" w:rsidRDefault="007D4F22" w:rsidP="007D4F22">
            <w:pPr>
              <w:spacing w:before="40"/>
              <w:rPr>
                <w:rFonts w:ascii="Arial Narrow" w:hAnsi="Arial Narrow"/>
              </w:rPr>
            </w:pPr>
            <w:r w:rsidRPr="007D4F22">
              <w:rPr>
                <w:rFonts w:ascii="Arial Narrow" w:hAnsi="Arial Narrow"/>
              </w:rPr>
              <w:t>150 (0.4)</w:t>
            </w:r>
          </w:p>
        </w:tc>
        <w:tc>
          <w:tcPr>
            <w:tcW w:w="790" w:type="pct"/>
            <w:hideMark/>
          </w:tcPr>
          <w:p w14:paraId="34E413F4" w14:textId="77777777" w:rsidR="007D4F22" w:rsidRPr="007D4F22" w:rsidRDefault="007D4F22" w:rsidP="007D4F22">
            <w:pPr>
              <w:spacing w:before="40"/>
              <w:rPr>
                <w:rFonts w:ascii="Arial Narrow" w:hAnsi="Arial Narrow"/>
              </w:rPr>
            </w:pPr>
            <w:r w:rsidRPr="007D4F22">
              <w:rPr>
                <w:rFonts w:ascii="Arial Narrow" w:hAnsi="Arial Narrow"/>
              </w:rPr>
              <w:t>0.6% (0.4%, 0.8%)</w:t>
            </w:r>
          </w:p>
        </w:tc>
        <w:tc>
          <w:tcPr>
            <w:tcW w:w="789" w:type="pct"/>
            <w:hideMark/>
          </w:tcPr>
          <w:p w14:paraId="2CDE3EE6" w14:textId="3BC9F7D9" w:rsidR="007D4F22" w:rsidRPr="007D4F22" w:rsidRDefault="007D4F22" w:rsidP="007D4F22">
            <w:pPr>
              <w:spacing w:before="40"/>
              <w:rPr>
                <w:rFonts w:ascii="Arial Narrow" w:hAnsi="Arial Narrow"/>
              </w:rPr>
            </w:pPr>
            <w:r w:rsidRPr="007D4F22">
              <w:rPr>
                <w:rFonts w:ascii="Arial Narrow" w:hAnsi="Arial Narrow"/>
              </w:rPr>
              <w:t>7% (</w:t>
            </w:r>
            <w:r w:rsidR="00585E20" w:rsidRPr="00585E20">
              <w:rPr>
                <w:rFonts w:ascii="Arial Narrow" w:hAnsi="Arial Narrow"/>
                <w:lang w:val="en"/>
              </w:rPr>
              <w:t>−</w:t>
            </w:r>
            <w:r w:rsidRPr="007D4F22">
              <w:rPr>
                <w:rFonts w:ascii="Arial Narrow" w:hAnsi="Arial Narrow"/>
              </w:rPr>
              <w:t>54%, 44%)</w:t>
            </w:r>
          </w:p>
        </w:tc>
        <w:tc>
          <w:tcPr>
            <w:tcW w:w="527" w:type="pct"/>
            <w:noWrap/>
            <w:hideMark/>
          </w:tcPr>
          <w:p w14:paraId="651FCD6D" w14:textId="77777777" w:rsidR="007D4F22" w:rsidRPr="007D4F22" w:rsidRDefault="007D4F22" w:rsidP="007D4F22">
            <w:pPr>
              <w:spacing w:before="40"/>
              <w:rPr>
                <w:rFonts w:ascii="Arial Narrow" w:hAnsi="Arial Narrow"/>
              </w:rPr>
            </w:pPr>
            <w:r w:rsidRPr="007D4F22">
              <w:rPr>
                <w:rFonts w:ascii="Arial Narrow" w:hAnsi="Arial Narrow"/>
              </w:rPr>
              <w:t>0.7673</w:t>
            </w:r>
          </w:p>
        </w:tc>
      </w:tr>
      <w:tr w:rsidR="007D4F22" w:rsidRPr="007D4F22" w14:paraId="1F743DC4" w14:textId="77777777" w:rsidTr="00F265F7">
        <w:trPr>
          <w:trHeight w:val="20"/>
        </w:trPr>
        <w:tc>
          <w:tcPr>
            <w:tcW w:w="1033" w:type="pct"/>
            <w:hideMark/>
          </w:tcPr>
          <w:p w14:paraId="20A038B8" w14:textId="77777777" w:rsidR="007D4F22" w:rsidRPr="007D4F22" w:rsidRDefault="007D4F22" w:rsidP="007D4F22">
            <w:pPr>
              <w:spacing w:before="40"/>
              <w:ind w:firstLine="313"/>
              <w:rPr>
                <w:rFonts w:ascii="Arial Narrow" w:hAnsi="Arial Narrow"/>
              </w:rPr>
            </w:pPr>
            <w:r w:rsidRPr="007D4F22">
              <w:rPr>
                <w:rFonts w:ascii="Arial Narrow" w:hAnsi="Arial Narrow"/>
              </w:rPr>
              <w:t>Pocket complications</w:t>
            </w:r>
          </w:p>
        </w:tc>
        <w:tc>
          <w:tcPr>
            <w:tcW w:w="545" w:type="pct"/>
            <w:hideMark/>
          </w:tcPr>
          <w:p w14:paraId="3DACAD9B" w14:textId="77777777" w:rsidR="007D4F22" w:rsidRPr="007D4F22" w:rsidRDefault="007D4F22" w:rsidP="007D4F22">
            <w:pPr>
              <w:spacing w:before="40"/>
              <w:rPr>
                <w:rFonts w:ascii="Arial Narrow" w:hAnsi="Arial Narrow"/>
              </w:rPr>
            </w:pPr>
            <w:r w:rsidRPr="007D4F22">
              <w:rPr>
                <w:rFonts w:ascii="Arial Narrow" w:hAnsi="Arial Narrow"/>
              </w:rPr>
              <w:t>N/A</w:t>
            </w:r>
          </w:p>
        </w:tc>
        <w:tc>
          <w:tcPr>
            <w:tcW w:w="752" w:type="pct"/>
            <w:hideMark/>
          </w:tcPr>
          <w:p w14:paraId="248CE715" w14:textId="77777777" w:rsidR="007D4F22" w:rsidRPr="007D4F22" w:rsidRDefault="007D4F22" w:rsidP="007D4F22">
            <w:pPr>
              <w:spacing w:before="40"/>
              <w:rPr>
                <w:rFonts w:ascii="Arial Narrow" w:hAnsi="Arial Narrow"/>
              </w:rPr>
            </w:pPr>
            <w:r w:rsidRPr="007D4F22">
              <w:rPr>
                <w:rFonts w:ascii="Arial Narrow" w:hAnsi="Arial Narrow"/>
              </w:rPr>
              <w:t>N/A</w:t>
            </w:r>
          </w:p>
        </w:tc>
        <w:tc>
          <w:tcPr>
            <w:tcW w:w="564" w:type="pct"/>
            <w:hideMark/>
          </w:tcPr>
          <w:p w14:paraId="4C89C6F4" w14:textId="77777777" w:rsidR="007D4F22" w:rsidRPr="007D4F22" w:rsidRDefault="007D4F22" w:rsidP="007D4F22">
            <w:pPr>
              <w:spacing w:before="40"/>
              <w:rPr>
                <w:rFonts w:ascii="Arial Narrow" w:hAnsi="Arial Narrow"/>
              </w:rPr>
            </w:pPr>
            <w:r w:rsidRPr="007D4F22">
              <w:rPr>
                <w:rFonts w:ascii="Arial Narrow" w:hAnsi="Arial Narrow"/>
              </w:rPr>
              <w:t>502 (1.3)</w:t>
            </w:r>
          </w:p>
        </w:tc>
        <w:tc>
          <w:tcPr>
            <w:tcW w:w="790" w:type="pct"/>
            <w:hideMark/>
          </w:tcPr>
          <w:p w14:paraId="5CA24C91" w14:textId="77777777" w:rsidR="007D4F22" w:rsidRPr="007D4F22" w:rsidRDefault="007D4F22" w:rsidP="007D4F22">
            <w:pPr>
              <w:spacing w:before="40"/>
              <w:rPr>
                <w:rFonts w:ascii="Arial Narrow" w:hAnsi="Arial Narrow"/>
              </w:rPr>
            </w:pPr>
            <w:r w:rsidRPr="007D4F22">
              <w:rPr>
                <w:rFonts w:ascii="Arial Narrow" w:hAnsi="Arial Narrow"/>
              </w:rPr>
              <w:t>1.6% (1.4%, 1.8%)</w:t>
            </w:r>
          </w:p>
        </w:tc>
        <w:tc>
          <w:tcPr>
            <w:tcW w:w="789" w:type="pct"/>
            <w:hideMark/>
          </w:tcPr>
          <w:p w14:paraId="59602CEB" w14:textId="77777777" w:rsidR="007D4F22" w:rsidRPr="007D4F22" w:rsidRDefault="007D4F22" w:rsidP="007D4F22">
            <w:pPr>
              <w:spacing w:before="40"/>
              <w:rPr>
                <w:rFonts w:ascii="Arial Narrow" w:hAnsi="Arial Narrow"/>
              </w:rPr>
            </w:pPr>
            <w:r w:rsidRPr="007D4F22">
              <w:rPr>
                <w:rFonts w:ascii="Arial Narrow" w:hAnsi="Arial Narrow"/>
              </w:rPr>
              <w:t>NE</w:t>
            </w:r>
          </w:p>
        </w:tc>
        <w:tc>
          <w:tcPr>
            <w:tcW w:w="527" w:type="pct"/>
            <w:noWrap/>
            <w:hideMark/>
          </w:tcPr>
          <w:p w14:paraId="59A80FD5" w14:textId="77777777" w:rsidR="007D4F22" w:rsidRPr="007D4F22" w:rsidRDefault="007D4F22" w:rsidP="007D4F22">
            <w:pPr>
              <w:spacing w:before="40"/>
              <w:rPr>
                <w:rFonts w:ascii="Arial Narrow" w:hAnsi="Arial Narrow"/>
              </w:rPr>
            </w:pPr>
            <w:r w:rsidRPr="007D4F22">
              <w:rPr>
                <w:rFonts w:ascii="Arial Narrow" w:hAnsi="Arial Narrow"/>
              </w:rPr>
              <w:t>NE</w:t>
            </w:r>
          </w:p>
        </w:tc>
      </w:tr>
      <w:tr w:rsidR="007D4F22" w:rsidRPr="007D4F22" w14:paraId="23E3CCAF" w14:textId="77777777" w:rsidTr="00F265F7">
        <w:trPr>
          <w:trHeight w:val="20"/>
        </w:trPr>
        <w:tc>
          <w:tcPr>
            <w:tcW w:w="1033" w:type="pct"/>
            <w:hideMark/>
          </w:tcPr>
          <w:p w14:paraId="49724472" w14:textId="77777777" w:rsidR="007D4F22" w:rsidRPr="007D4F22" w:rsidRDefault="007D4F22" w:rsidP="007D4F22">
            <w:pPr>
              <w:spacing w:before="40"/>
              <w:ind w:firstLine="29"/>
              <w:rPr>
                <w:rFonts w:ascii="Arial Narrow" w:hAnsi="Arial Narrow"/>
              </w:rPr>
            </w:pPr>
            <w:r w:rsidRPr="007D4F22">
              <w:rPr>
                <w:rFonts w:ascii="Arial Narrow" w:hAnsi="Arial Narrow"/>
              </w:rPr>
              <w:t>Other complications</w:t>
            </w:r>
          </w:p>
        </w:tc>
        <w:tc>
          <w:tcPr>
            <w:tcW w:w="545" w:type="pct"/>
            <w:hideMark/>
          </w:tcPr>
          <w:p w14:paraId="3FB8A4C1" w14:textId="77777777" w:rsidR="007D4F22" w:rsidRPr="007D4F22" w:rsidRDefault="007D4F22" w:rsidP="007D4F22">
            <w:pPr>
              <w:spacing w:before="40"/>
              <w:rPr>
                <w:rFonts w:ascii="Arial Narrow" w:hAnsi="Arial Narrow"/>
              </w:rPr>
            </w:pPr>
            <w:r w:rsidRPr="007D4F22">
              <w:rPr>
                <w:rFonts w:ascii="Arial Narrow" w:hAnsi="Arial Narrow"/>
              </w:rPr>
              <w:t>77 (2.0)</w:t>
            </w:r>
          </w:p>
        </w:tc>
        <w:tc>
          <w:tcPr>
            <w:tcW w:w="752" w:type="pct"/>
            <w:noWrap/>
            <w:hideMark/>
          </w:tcPr>
          <w:p w14:paraId="299543B3" w14:textId="77777777" w:rsidR="007D4F22" w:rsidRPr="007D4F22" w:rsidRDefault="007D4F22" w:rsidP="007D4F22">
            <w:pPr>
              <w:spacing w:before="40"/>
              <w:rPr>
                <w:rFonts w:ascii="Arial Narrow" w:hAnsi="Arial Narrow"/>
              </w:rPr>
            </w:pPr>
            <w:r w:rsidRPr="007D4F22">
              <w:rPr>
                <w:rFonts w:ascii="Arial Narrow" w:hAnsi="Arial Narrow"/>
              </w:rPr>
              <w:t>1.8% (1.8%, 1.9%)</w:t>
            </w:r>
          </w:p>
        </w:tc>
        <w:tc>
          <w:tcPr>
            <w:tcW w:w="564" w:type="pct"/>
            <w:hideMark/>
          </w:tcPr>
          <w:p w14:paraId="5E52FDB9" w14:textId="77777777" w:rsidR="007D4F22" w:rsidRPr="007D4F22" w:rsidRDefault="007D4F22" w:rsidP="007D4F22">
            <w:pPr>
              <w:spacing w:before="40"/>
              <w:rPr>
                <w:rFonts w:ascii="Arial Narrow" w:hAnsi="Arial Narrow"/>
              </w:rPr>
            </w:pPr>
            <w:r w:rsidRPr="007D4F22">
              <w:rPr>
                <w:rFonts w:ascii="Arial Narrow" w:hAnsi="Arial Narrow"/>
              </w:rPr>
              <w:t>591 (1.6)</w:t>
            </w:r>
          </w:p>
        </w:tc>
        <w:tc>
          <w:tcPr>
            <w:tcW w:w="790" w:type="pct"/>
            <w:noWrap/>
            <w:hideMark/>
          </w:tcPr>
          <w:p w14:paraId="30DC77ED" w14:textId="77777777" w:rsidR="007D4F22" w:rsidRPr="007D4F22" w:rsidRDefault="007D4F22" w:rsidP="007D4F22">
            <w:pPr>
              <w:spacing w:before="40"/>
              <w:rPr>
                <w:rFonts w:ascii="Arial Narrow" w:hAnsi="Arial Narrow"/>
              </w:rPr>
            </w:pPr>
            <w:r w:rsidRPr="007D4F22">
              <w:rPr>
                <w:rFonts w:ascii="Arial Narrow" w:hAnsi="Arial Narrow"/>
              </w:rPr>
              <w:t>1.8% (1.7%, 1.8%)</w:t>
            </w:r>
          </w:p>
        </w:tc>
        <w:tc>
          <w:tcPr>
            <w:tcW w:w="789" w:type="pct"/>
            <w:noWrap/>
            <w:hideMark/>
          </w:tcPr>
          <w:p w14:paraId="14F19126" w14:textId="1F5A52C8" w:rsidR="007D4F22" w:rsidRPr="007D4F22" w:rsidRDefault="00585E20" w:rsidP="007D4F22">
            <w:pPr>
              <w:spacing w:before="40"/>
              <w:rPr>
                <w:rFonts w:ascii="Arial Narrow" w:hAnsi="Arial Narrow"/>
              </w:rPr>
            </w:pPr>
            <w:r w:rsidRPr="00585E20">
              <w:rPr>
                <w:rFonts w:ascii="Arial Narrow" w:hAnsi="Arial Narrow"/>
                <w:lang w:val="en"/>
              </w:rPr>
              <w:t>−</w:t>
            </w:r>
            <w:r w:rsidR="007D4F22" w:rsidRPr="007D4F22">
              <w:rPr>
                <w:rFonts w:ascii="Arial Narrow" w:hAnsi="Arial Narrow"/>
              </w:rPr>
              <w:t>5% (</w:t>
            </w:r>
            <w:r w:rsidRPr="00585E20">
              <w:rPr>
                <w:rFonts w:ascii="Arial Narrow" w:hAnsi="Arial Narrow"/>
                <w:lang w:val="en"/>
              </w:rPr>
              <w:t>−</w:t>
            </w:r>
            <w:r w:rsidR="007D4F22" w:rsidRPr="007D4F22">
              <w:rPr>
                <w:rFonts w:ascii="Arial Narrow" w:hAnsi="Arial Narrow"/>
              </w:rPr>
              <w:t>36%, 19%)</w:t>
            </w:r>
          </w:p>
        </w:tc>
        <w:tc>
          <w:tcPr>
            <w:tcW w:w="527" w:type="pct"/>
            <w:noWrap/>
            <w:hideMark/>
          </w:tcPr>
          <w:p w14:paraId="125A0E50" w14:textId="77777777" w:rsidR="007D4F22" w:rsidRPr="007D4F22" w:rsidRDefault="007D4F22" w:rsidP="007D4F22">
            <w:pPr>
              <w:spacing w:before="40"/>
              <w:rPr>
                <w:rFonts w:ascii="Arial Narrow" w:hAnsi="Arial Narrow"/>
              </w:rPr>
            </w:pPr>
            <w:r w:rsidRPr="007D4F22">
              <w:rPr>
                <w:rFonts w:ascii="Arial Narrow" w:hAnsi="Arial Narrow"/>
              </w:rPr>
              <w:t>0.7394</w:t>
            </w:r>
          </w:p>
        </w:tc>
      </w:tr>
      <w:tr w:rsidR="007D4F22" w:rsidRPr="007D4F22" w14:paraId="01F0EF8C" w14:textId="77777777" w:rsidTr="00F265F7">
        <w:trPr>
          <w:trHeight w:val="20"/>
        </w:trPr>
        <w:tc>
          <w:tcPr>
            <w:tcW w:w="1033" w:type="pct"/>
            <w:noWrap/>
            <w:hideMark/>
          </w:tcPr>
          <w:p w14:paraId="75302332" w14:textId="77777777" w:rsidR="007D4F22" w:rsidRPr="007D4F22" w:rsidRDefault="007D4F22" w:rsidP="007D4F22">
            <w:pPr>
              <w:spacing w:before="40"/>
              <w:ind w:firstLine="313"/>
              <w:rPr>
                <w:rFonts w:ascii="Arial Narrow" w:hAnsi="Arial Narrow"/>
              </w:rPr>
            </w:pPr>
            <w:r w:rsidRPr="007D4F22">
              <w:rPr>
                <w:rFonts w:ascii="Arial Narrow" w:hAnsi="Arial Narrow"/>
              </w:rPr>
              <w:t>Pericarditis</w:t>
            </w:r>
          </w:p>
        </w:tc>
        <w:tc>
          <w:tcPr>
            <w:tcW w:w="545" w:type="pct"/>
            <w:noWrap/>
            <w:hideMark/>
          </w:tcPr>
          <w:p w14:paraId="52C33C42" w14:textId="77777777" w:rsidR="007D4F22" w:rsidRPr="007D4F22" w:rsidRDefault="007D4F22" w:rsidP="007D4F22">
            <w:pPr>
              <w:spacing w:before="40"/>
              <w:rPr>
                <w:rFonts w:ascii="Arial Narrow" w:hAnsi="Arial Narrow"/>
              </w:rPr>
            </w:pPr>
            <w:r w:rsidRPr="007D4F22">
              <w:rPr>
                <w:rFonts w:ascii="Arial Narrow" w:hAnsi="Arial Narrow"/>
              </w:rPr>
              <w:t>58 (1.5)</w:t>
            </w:r>
          </w:p>
        </w:tc>
        <w:tc>
          <w:tcPr>
            <w:tcW w:w="752" w:type="pct"/>
            <w:noWrap/>
            <w:hideMark/>
          </w:tcPr>
          <w:p w14:paraId="26EB9D00" w14:textId="77777777" w:rsidR="007D4F22" w:rsidRPr="007D4F22" w:rsidRDefault="007D4F22" w:rsidP="007D4F22">
            <w:pPr>
              <w:spacing w:before="40"/>
              <w:rPr>
                <w:rFonts w:ascii="Arial Narrow" w:hAnsi="Arial Narrow"/>
              </w:rPr>
            </w:pPr>
            <w:r w:rsidRPr="007D4F22">
              <w:rPr>
                <w:rFonts w:ascii="Arial Narrow" w:hAnsi="Arial Narrow"/>
              </w:rPr>
              <w:t>1.5% (1.3%, 1.7%)</w:t>
            </w:r>
          </w:p>
        </w:tc>
        <w:tc>
          <w:tcPr>
            <w:tcW w:w="564" w:type="pct"/>
            <w:noWrap/>
            <w:hideMark/>
          </w:tcPr>
          <w:p w14:paraId="37F2C77E" w14:textId="77777777" w:rsidR="007D4F22" w:rsidRPr="007D4F22" w:rsidRDefault="007D4F22" w:rsidP="007D4F22">
            <w:pPr>
              <w:spacing w:before="40"/>
              <w:rPr>
                <w:rFonts w:ascii="Arial Narrow" w:hAnsi="Arial Narrow"/>
              </w:rPr>
            </w:pPr>
            <w:r w:rsidRPr="007D4F22">
              <w:rPr>
                <w:rFonts w:ascii="Arial Narrow" w:hAnsi="Arial Narrow"/>
              </w:rPr>
              <w:t>521 (1.4)</w:t>
            </w:r>
          </w:p>
        </w:tc>
        <w:tc>
          <w:tcPr>
            <w:tcW w:w="790" w:type="pct"/>
            <w:noWrap/>
            <w:hideMark/>
          </w:tcPr>
          <w:p w14:paraId="77DBF2FA" w14:textId="77777777" w:rsidR="007D4F22" w:rsidRPr="007D4F22" w:rsidRDefault="007D4F22" w:rsidP="007D4F22">
            <w:pPr>
              <w:spacing w:before="40"/>
              <w:rPr>
                <w:rFonts w:ascii="Arial Narrow" w:hAnsi="Arial Narrow"/>
              </w:rPr>
            </w:pPr>
            <w:r w:rsidRPr="007D4F22">
              <w:rPr>
                <w:rFonts w:ascii="Arial Narrow" w:hAnsi="Arial Narrow"/>
              </w:rPr>
              <w:t>1.7% (1.5%, 1.9%)</w:t>
            </w:r>
          </w:p>
        </w:tc>
        <w:tc>
          <w:tcPr>
            <w:tcW w:w="789" w:type="pct"/>
            <w:noWrap/>
            <w:hideMark/>
          </w:tcPr>
          <w:p w14:paraId="4C056897" w14:textId="492143DA" w:rsidR="007D4F22" w:rsidRPr="007D4F22" w:rsidRDefault="007D4F22" w:rsidP="007D4F22">
            <w:pPr>
              <w:spacing w:before="40"/>
              <w:rPr>
                <w:rFonts w:ascii="Arial Narrow" w:hAnsi="Arial Narrow"/>
              </w:rPr>
            </w:pPr>
            <w:r w:rsidRPr="007D4F22">
              <w:rPr>
                <w:rFonts w:ascii="Arial Narrow" w:hAnsi="Arial Narrow"/>
              </w:rPr>
              <w:t>9% (</w:t>
            </w:r>
            <w:r w:rsidR="00585E20" w:rsidRPr="00585E20">
              <w:rPr>
                <w:rFonts w:ascii="Arial Narrow" w:hAnsi="Arial Narrow"/>
                <w:lang w:val="en"/>
              </w:rPr>
              <w:t>−</w:t>
            </w:r>
            <w:r w:rsidRPr="007D4F22">
              <w:rPr>
                <w:rFonts w:ascii="Arial Narrow" w:hAnsi="Arial Narrow"/>
              </w:rPr>
              <w:t>25%, 34%)</w:t>
            </w:r>
          </w:p>
        </w:tc>
        <w:tc>
          <w:tcPr>
            <w:tcW w:w="527" w:type="pct"/>
            <w:noWrap/>
            <w:hideMark/>
          </w:tcPr>
          <w:p w14:paraId="068A47CB" w14:textId="77777777" w:rsidR="007D4F22" w:rsidRPr="007D4F22" w:rsidRDefault="007D4F22" w:rsidP="007D4F22">
            <w:pPr>
              <w:spacing w:before="40"/>
              <w:rPr>
                <w:rFonts w:ascii="Arial Narrow" w:hAnsi="Arial Narrow"/>
              </w:rPr>
            </w:pPr>
            <w:r w:rsidRPr="007D4F22">
              <w:rPr>
                <w:rFonts w:ascii="Arial Narrow" w:hAnsi="Arial Narrow"/>
              </w:rPr>
              <w:t>0.5488</w:t>
            </w:r>
          </w:p>
        </w:tc>
      </w:tr>
      <w:tr w:rsidR="007D4F22" w:rsidRPr="007D4F22" w14:paraId="55652232" w14:textId="77777777" w:rsidTr="00F265F7">
        <w:trPr>
          <w:trHeight w:val="20"/>
        </w:trPr>
        <w:tc>
          <w:tcPr>
            <w:tcW w:w="1033" w:type="pct"/>
            <w:noWrap/>
            <w:hideMark/>
          </w:tcPr>
          <w:p w14:paraId="13227533" w14:textId="77777777" w:rsidR="007D4F22" w:rsidRPr="007D4F22" w:rsidRDefault="007D4F22" w:rsidP="007D4F22">
            <w:pPr>
              <w:spacing w:before="40"/>
              <w:ind w:firstLine="313"/>
              <w:rPr>
                <w:rFonts w:ascii="Arial Narrow" w:hAnsi="Arial Narrow"/>
              </w:rPr>
            </w:pPr>
            <w:r w:rsidRPr="007D4F22">
              <w:rPr>
                <w:rFonts w:ascii="Arial Narrow" w:hAnsi="Arial Narrow"/>
              </w:rPr>
              <w:t>Hemothorax</w:t>
            </w:r>
          </w:p>
        </w:tc>
        <w:tc>
          <w:tcPr>
            <w:tcW w:w="545" w:type="pct"/>
            <w:noWrap/>
            <w:hideMark/>
          </w:tcPr>
          <w:p w14:paraId="2BF6E6DE" w14:textId="77777777" w:rsidR="007D4F22" w:rsidRPr="007D4F22" w:rsidRDefault="007D4F22" w:rsidP="007D4F22">
            <w:pPr>
              <w:spacing w:before="40"/>
              <w:rPr>
                <w:rFonts w:ascii="Arial Narrow" w:hAnsi="Arial Narrow"/>
              </w:rPr>
            </w:pPr>
            <w:r w:rsidRPr="007D4F22">
              <w:rPr>
                <w:rFonts w:ascii="Arial Narrow" w:hAnsi="Arial Narrow"/>
              </w:rPr>
              <w:t>24 (0.6)</w:t>
            </w:r>
          </w:p>
        </w:tc>
        <w:tc>
          <w:tcPr>
            <w:tcW w:w="752" w:type="pct"/>
            <w:noWrap/>
            <w:hideMark/>
          </w:tcPr>
          <w:p w14:paraId="3A03AC1D" w14:textId="77777777" w:rsidR="007D4F22" w:rsidRPr="007D4F22" w:rsidRDefault="007D4F22" w:rsidP="007D4F22">
            <w:pPr>
              <w:spacing w:before="40"/>
              <w:rPr>
                <w:rFonts w:ascii="Arial Narrow" w:hAnsi="Arial Narrow"/>
              </w:rPr>
            </w:pPr>
            <w:r w:rsidRPr="007D4F22">
              <w:rPr>
                <w:rFonts w:ascii="Arial Narrow" w:hAnsi="Arial Narrow"/>
              </w:rPr>
              <w:t>0.7% (0.5%, 0.9%)</w:t>
            </w:r>
          </w:p>
        </w:tc>
        <w:tc>
          <w:tcPr>
            <w:tcW w:w="564" w:type="pct"/>
            <w:noWrap/>
            <w:hideMark/>
          </w:tcPr>
          <w:p w14:paraId="39EEA9BB" w14:textId="77777777" w:rsidR="007D4F22" w:rsidRPr="007D4F22" w:rsidRDefault="007D4F22" w:rsidP="007D4F22">
            <w:pPr>
              <w:spacing w:before="40"/>
              <w:rPr>
                <w:rFonts w:ascii="Arial Narrow" w:hAnsi="Arial Narrow"/>
              </w:rPr>
            </w:pPr>
            <w:r w:rsidRPr="007D4F22">
              <w:rPr>
                <w:rFonts w:ascii="Arial Narrow" w:hAnsi="Arial Narrow"/>
              </w:rPr>
              <w:t>154 (0.4)</w:t>
            </w:r>
          </w:p>
        </w:tc>
        <w:tc>
          <w:tcPr>
            <w:tcW w:w="790" w:type="pct"/>
            <w:noWrap/>
            <w:hideMark/>
          </w:tcPr>
          <w:p w14:paraId="13F23291" w14:textId="77777777" w:rsidR="007D4F22" w:rsidRPr="007D4F22" w:rsidRDefault="007D4F22" w:rsidP="007D4F22">
            <w:pPr>
              <w:spacing w:before="40"/>
              <w:rPr>
                <w:rFonts w:ascii="Arial Narrow" w:hAnsi="Arial Narrow"/>
              </w:rPr>
            </w:pPr>
            <w:r w:rsidRPr="007D4F22">
              <w:rPr>
                <w:rFonts w:ascii="Arial Narrow" w:hAnsi="Arial Narrow"/>
              </w:rPr>
              <w:t>0.6% (0.5%, 0.8%)</w:t>
            </w:r>
          </w:p>
        </w:tc>
        <w:tc>
          <w:tcPr>
            <w:tcW w:w="789" w:type="pct"/>
            <w:noWrap/>
            <w:hideMark/>
          </w:tcPr>
          <w:p w14:paraId="4D8AB107" w14:textId="41256085" w:rsidR="007D4F22" w:rsidRPr="007D4F22" w:rsidRDefault="00585E20" w:rsidP="007D4F22">
            <w:pPr>
              <w:spacing w:before="40"/>
              <w:rPr>
                <w:rFonts w:ascii="Arial Narrow" w:hAnsi="Arial Narrow"/>
              </w:rPr>
            </w:pPr>
            <w:r w:rsidRPr="00585E20">
              <w:rPr>
                <w:rFonts w:ascii="Arial Narrow" w:hAnsi="Arial Narrow"/>
                <w:lang w:val="en"/>
              </w:rPr>
              <w:t>−</w:t>
            </w:r>
            <w:r w:rsidR="007D4F22" w:rsidRPr="007D4F22">
              <w:rPr>
                <w:rFonts w:ascii="Arial Narrow" w:hAnsi="Arial Narrow"/>
              </w:rPr>
              <w:t>7% (</w:t>
            </w:r>
            <w:r w:rsidRPr="00585E20">
              <w:rPr>
                <w:rFonts w:ascii="Arial Narrow" w:hAnsi="Arial Narrow"/>
                <w:lang w:val="en"/>
              </w:rPr>
              <w:t>−</w:t>
            </w:r>
            <w:r w:rsidR="007D4F22" w:rsidRPr="007D4F22">
              <w:rPr>
                <w:rFonts w:ascii="Arial Narrow" w:hAnsi="Arial Narrow"/>
              </w:rPr>
              <w:t>68%, 32%)</w:t>
            </w:r>
          </w:p>
        </w:tc>
        <w:tc>
          <w:tcPr>
            <w:tcW w:w="527" w:type="pct"/>
            <w:noWrap/>
            <w:hideMark/>
          </w:tcPr>
          <w:p w14:paraId="5CB636E7" w14:textId="77777777" w:rsidR="007D4F22" w:rsidRPr="007D4F22" w:rsidRDefault="007D4F22" w:rsidP="007D4F22">
            <w:pPr>
              <w:spacing w:before="40"/>
              <w:rPr>
                <w:rFonts w:ascii="Arial Narrow" w:hAnsi="Arial Narrow"/>
              </w:rPr>
            </w:pPr>
            <w:r w:rsidRPr="007D4F22">
              <w:rPr>
                <w:rFonts w:ascii="Arial Narrow" w:hAnsi="Arial Narrow"/>
              </w:rPr>
              <w:t>0.7594</w:t>
            </w:r>
          </w:p>
        </w:tc>
      </w:tr>
    </w:tbl>
    <w:p w14:paraId="1AC7F9C8" w14:textId="77777777" w:rsidR="00276FA6" w:rsidRPr="003D5D26" w:rsidRDefault="007D4F22" w:rsidP="007D4F22">
      <w:pPr>
        <w:spacing w:after="360" w:line="240" w:lineRule="auto"/>
        <w:contextualSpacing/>
        <w:rPr>
          <w:rFonts w:ascii="Arial Narrow" w:hAnsi="Arial Narrow"/>
          <w:b/>
          <w:sz w:val="18"/>
          <w:u w:val="single"/>
        </w:rPr>
      </w:pPr>
      <w:r w:rsidRPr="003D5D26">
        <w:rPr>
          <w:rFonts w:ascii="Arial Narrow" w:hAnsi="Arial Narrow"/>
          <w:b/>
          <w:sz w:val="18"/>
          <w:u w:val="single"/>
        </w:rPr>
        <w:t>Abbreviations</w:t>
      </w:r>
    </w:p>
    <w:p w14:paraId="23DDAFAF" w14:textId="66E30DE1" w:rsidR="007D4F22" w:rsidRPr="005C3BCE" w:rsidRDefault="007D4F22" w:rsidP="007D4F22">
      <w:pPr>
        <w:spacing w:after="360" w:line="240" w:lineRule="auto"/>
        <w:contextualSpacing/>
        <w:rPr>
          <w:rFonts w:ascii="Arial Narrow" w:hAnsi="Arial Narrow"/>
          <w:sz w:val="18"/>
        </w:rPr>
      </w:pPr>
      <w:r w:rsidRPr="005C3BCE">
        <w:rPr>
          <w:rFonts w:ascii="Arial Narrow" w:hAnsi="Arial Narrow"/>
          <w:b/>
          <w:sz w:val="18"/>
        </w:rPr>
        <w:t>AF</w:t>
      </w:r>
      <w:r w:rsidR="00A60DF5">
        <w:rPr>
          <w:rFonts w:ascii="Arial Narrow" w:hAnsi="Arial Narrow"/>
          <w:sz w:val="18"/>
        </w:rPr>
        <w:t xml:space="preserve"> =</w:t>
      </w:r>
      <w:r w:rsidRPr="005C3BCE">
        <w:rPr>
          <w:rFonts w:ascii="Arial Narrow" w:hAnsi="Arial Narrow"/>
          <w:sz w:val="18"/>
        </w:rPr>
        <w:t xml:space="preserve"> atrial fibrillation</w:t>
      </w:r>
      <w:r w:rsidR="00A60DF5">
        <w:rPr>
          <w:rFonts w:ascii="Arial Narrow" w:hAnsi="Arial Narrow"/>
          <w:sz w:val="18"/>
        </w:rPr>
        <w:t>,</w:t>
      </w:r>
      <w:r w:rsidRPr="005C3BCE">
        <w:rPr>
          <w:rFonts w:ascii="Arial Narrow" w:hAnsi="Arial Narrow"/>
          <w:sz w:val="18"/>
        </w:rPr>
        <w:t xml:space="preserve"> </w:t>
      </w:r>
      <w:r w:rsidRPr="005C3BCE">
        <w:rPr>
          <w:rFonts w:ascii="Arial Narrow" w:hAnsi="Arial Narrow"/>
          <w:b/>
          <w:sz w:val="18"/>
        </w:rPr>
        <w:t>AVB</w:t>
      </w:r>
      <w:r w:rsidR="00A60DF5">
        <w:rPr>
          <w:rFonts w:ascii="Arial Narrow" w:hAnsi="Arial Narrow"/>
          <w:sz w:val="18"/>
        </w:rPr>
        <w:t xml:space="preserve"> =</w:t>
      </w:r>
      <w:r w:rsidRPr="005C3BCE">
        <w:rPr>
          <w:rFonts w:ascii="Arial Narrow" w:hAnsi="Arial Narrow"/>
          <w:sz w:val="18"/>
        </w:rPr>
        <w:t xml:space="preserve"> atrioventricular block</w:t>
      </w:r>
      <w:r w:rsidR="00A60DF5">
        <w:rPr>
          <w:rFonts w:ascii="Arial Narrow" w:hAnsi="Arial Narrow"/>
          <w:sz w:val="18"/>
        </w:rPr>
        <w:t>,</w:t>
      </w:r>
      <w:r w:rsidRPr="005C3BCE">
        <w:rPr>
          <w:rFonts w:ascii="Arial Narrow" w:hAnsi="Arial Narrow"/>
          <w:sz w:val="18"/>
        </w:rPr>
        <w:t xml:space="preserve"> </w:t>
      </w:r>
      <w:r w:rsidRPr="005C3BCE">
        <w:rPr>
          <w:rFonts w:ascii="Arial Narrow" w:hAnsi="Arial Narrow"/>
          <w:b/>
          <w:sz w:val="18"/>
        </w:rPr>
        <w:t>CI</w:t>
      </w:r>
      <w:r w:rsidR="00A60DF5">
        <w:rPr>
          <w:rFonts w:ascii="Arial Narrow" w:hAnsi="Arial Narrow"/>
          <w:sz w:val="18"/>
        </w:rPr>
        <w:t xml:space="preserve"> =</w:t>
      </w:r>
      <w:r w:rsidRPr="005C3BCE">
        <w:rPr>
          <w:rFonts w:ascii="Arial Narrow" w:hAnsi="Arial Narrow"/>
          <w:sz w:val="18"/>
        </w:rPr>
        <w:t xml:space="preserve"> confidence interval</w:t>
      </w:r>
      <w:r w:rsidR="00A60DF5">
        <w:rPr>
          <w:rFonts w:ascii="Arial Narrow" w:hAnsi="Arial Narrow"/>
          <w:sz w:val="18"/>
        </w:rPr>
        <w:t>,</w:t>
      </w:r>
      <w:r w:rsidRPr="005C3BCE">
        <w:rPr>
          <w:rFonts w:ascii="Arial Narrow" w:hAnsi="Arial Narrow"/>
          <w:sz w:val="18"/>
        </w:rPr>
        <w:t xml:space="preserve"> </w:t>
      </w:r>
      <w:r w:rsidRPr="005C3BCE">
        <w:rPr>
          <w:rFonts w:ascii="Arial Narrow" w:hAnsi="Arial Narrow"/>
          <w:b/>
          <w:sz w:val="18"/>
        </w:rPr>
        <w:t>CIF</w:t>
      </w:r>
      <w:r w:rsidR="00A60DF5">
        <w:rPr>
          <w:rFonts w:ascii="Arial Narrow" w:hAnsi="Arial Narrow"/>
          <w:sz w:val="18"/>
        </w:rPr>
        <w:t xml:space="preserve"> =</w:t>
      </w:r>
      <w:r w:rsidRPr="005C3BCE">
        <w:rPr>
          <w:rFonts w:ascii="Arial Narrow" w:hAnsi="Arial Narrow"/>
          <w:sz w:val="18"/>
        </w:rPr>
        <w:t xml:space="preserve"> cumulative incidence function</w:t>
      </w:r>
      <w:r w:rsidR="00A60DF5">
        <w:rPr>
          <w:rFonts w:ascii="Arial Narrow" w:hAnsi="Arial Narrow"/>
          <w:sz w:val="18"/>
        </w:rPr>
        <w:t>,</w:t>
      </w:r>
      <w:r w:rsidRPr="005C3BCE">
        <w:rPr>
          <w:rFonts w:ascii="Arial Narrow" w:hAnsi="Arial Narrow"/>
          <w:sz w:val="18"/>
        </w:rPr>
        <w:t xml:space="preserve"> </w:t>
      </w:r>
      <w:r w:rsidRPr="005C3BCE">
        <w:rPr>
          <w:rFonts w:ascii="Arial Narrow" w:hAnsi="Arial Narrow"/>
          <w:b/>
          <w:sz w:val="18"/>
        </w:rPr>
        <w:t>DC-TVPM</w:t>
      </w:r>
      <w:r w:rsidR="00A60DF5">
        <w:rPr>
          <w:rFonts w:ascii="Arial Narrow" w:hAnsi="Arial Narrow"/>
          <w:sz w:val="18"/>
        </w:rPr>
        <w:t xml:space="preserve"> =</w:t>
      </w:r>
      <w:r w:rsidRPr="005C3BCE">
        <w:rPr>
          <w:rFonts w:ascii="Arial Narrow" w:hAnsi="Arial Narrow"/>
          <w:sz w:val="18"/>
        </w:rPr>
        <w:t xml:space="preserve"> dual-chamber transvenous pacemaker</w:t>
      </w:r>
      <w:r w:rsidR="00A60DF5">
        <w:rPr>
          <w:rFonts w:ascii="Arial Narrow" w:hAnsi="Arial Narrow"/>
          <w:sz w:val="18"/>
        </w:rPr>
        <w:t>,</w:t>
      </w:r>
      <w:r w:rsidRPr="005C3BCE">
        <w:rPr>
          <w:rFonts w:ascii="Arial Narrow" w:hAnsi="Arial Narrow"/>
          <w:sz w:val="18"/>
        </w:rPr>
        <w:t xml:space="preserve"> </w:t>
      </w:r>
      <w:r w:rsidRPr="005C3BCE">
        <w:rPr>
          <w:rFonts w:ascii="Arial Narrow" w:hAnsi="Arial Narrow"/>
          <w:b/>
          <w:sz w:val="18"/>
        </w:rPr>
        <w:t>N/A</w:t>
      </w:r>
      <w:r w:rsidR="00A60DF5">
        <w:rPr>
          <w:rFonts w:ascii="Arial Narrow" w:hAnsi="Arial Narrow"/>
          <w:sz w:val="18"/>
        </w:rPr>
        <w:t xml:space="preserve"> =</w:t>
      </w:r>
      <w:r w:rsidRPr="005C3BCE">
        <w:rPr>
          <w:rFonts w:ascii="Arial Narrow" w:hAnsi="Arial Narrow"/>
          <w:sz w:val="18"/>
        </w:rPr>
        <w:t xml:space="preserve"> not applicable</w:t>
      </w:r>
      <w:r w:rsidR="00A60DF5">
        <w:rPr>
          <w:rFonts w:ascii="Arial Narrow" w:hAnsi="Arial Narrow"/>
          <w:sz w:val="18"/>
        </w:rPr>
        <w:t>,</w:t>
      </w:r>
      <w:r w:rsidRPr="005C3BCE">
        <w:rPr>
          <w:rFonts w:ascii="Arial Narrow" w:hAnsi="Arial Narrow"/>
          <w:sz w:val="18"/>
        </w:rPr>
        <w:t xml:space="preserve"> </w:t>
      </w:r>
      <w:r w:rsidRPr="005C3BCE">
        <w:rPr>
          <w:rFonts w:ascii="Arial Narrow" w:hAnsi="Arial Narrow"/>
          <w:b/>
          <w:sz w:val="18"/>
        </w:rPr>
        <w:t>NE</w:t>
      </w:r>
      <w:r w:rsidR="00A60DF5">
        <w:rPr>
          <w:rFonts w:ascii="Arial Narrow" w:hAnsi="Arial Narrow"/>
          <w:sz w:val="18"/>
        </w:rPr>
        <w:t xml:space="preserve"> =</w:t>
      </w:r>
      <w:r w:rsidRPr="005C3BCE">
        <w:rPr>
          <w:rFonts w:ascii="Arial Narrow" w:hAnsi="Arial Narrow"/>
          <w:sz w:val="18"/>
        </w:rPr>
        <w:t xml:space="preserve"> not estimable</w:t>
      </w:r>
      <w:r w:rsidR="00A60DF5">
        <w:rPr>
          <w:rFonts w:ascii="Arial Narrow" w:hAnsi="Arial Narrow"/>
          <w:sz w:val="18"/>
        </w:rPr>
        <w:t>,</w:t>
      </w:r>
      <w:r w:rsidRPr="005C3BCE">
        <w:rPr>
          <w:rFonts w:ascii="Arial Narrow" w:hAnsi="Arial Narrow"/>
          <w:sz w:val="18"/>
        </w:rPr>
        <w:t xml:space="preserve"> </w:t>
      </w:r>
      <w:r w:rsidRPr="005C3BCE">
        <w:rPr>
          <w:rFonts w:ascii="Arial Narrow" w:hAnsi="Arial Narrow"/>
          <w:b/>
          <w:sz w:val="18"/>
        </w:rPr>
        <w:t>RRR</w:t>
      </w:r>
      <w:r w:rsidR="00A60DF5">
        <w:rPr>
          <w:rFonts w:ascii="Arial Narrow" w:hAnsi="Arial Narrow"/>
          <w:sz w:val="18"/>
        </w:rPr>
        <w:t xml:space="preserve"> =</w:t>
      </w:r>
      <w:r w:rsidRPr="005C3BCE">
        <w:rPr>
          <w:rFonts w:ascii="Arial Narrow" w:hAnsi="Arial Narrow"/>
          <w:sz w:val="18"/>
        </w:rPr>
        <w:t xml:space="preserve"> relative risk reduction.</w:t>
      </w:r>
    </w:p>
    <w:p w14:paraId="5609E5D9" w14:textId="77777777" w:rsidR="00276FA6" w:rsidRPr="005C3BCE" w:rsidRDefault="00276FA6" w:rsidP="007D4F22">
      <w:pPr>
        <w:spacing w:after="360" w:line="240" w:lineRule="auto"/>
        <w:contextualSpacing/>
        <w:rPr>
          <w:rFonts w:ascii="Arial Narrow" w:hAnsi="Arial Narrow"/>
          <w:b/>
          <w:sz w:val="18"/>
          <w:u w:val="single"/>
        </w:rPr>
      </w:pPr>
      <w:r w:rsidRPr="005C3BCE">
        <w:rPr>
          <w:rFonts w:ascii="Arial Narrow" w:hAnsi="Arial Narrow"/>
          <w:b/>
          <w:sz w:val="18"/>
          <w:u w:val="single"/>
        </w:rPr>
        <w:t>Notes</w:t>
      </w:r>
    </w:p>
    <w:p w14:paraId="4042C3BF" w14:textId="71184DD7" w:rsidR="00A60DF5" w:rsidRPr="005C3BCE" w:rsidRDefault="00A60DF5" w:rsidP="00A60DF5">
      <w:pPr>
        <w:widowControl w:val="0"/>
        <w:spacing w:after="360" w:line="240" w:lineRule="auto"/>
        <w:contextualSpacing/>
        <w:rPr>
          <w:rFonts w:ascii="Arial Narrow" w:hAnsi="Arial Narrow"/>
          <w:sz w:val="18"/>
          <w:szCs w:val="18"/>
        </w:rPr>
      </w:pPr>
      <w:r w:rsidRPr="25B5D30A">
        <w:rPr>
          <w:rFonts w:ascii="Arial Narrow" w:hAnsi="Arial Narrow"/>
          <w:sz w:val="18"/>
          <w:szCs w:val="18"/>
        </w:rPr>
        <w:t xml:space="preserve">* </w:t>
      </w:r>
      <w:r w:rsidR="00F37AFE">
        <w:rPr>
          <w:rFonts w:ascii="Arial Narrow" w:hAnsi="Arial Narrow"/>
          <w:sz w:val="18"/>
          <w:szCs w:val="18"/>
        </w:rPr>
        <w:t xml:space="preserve">= </w:t>
      </w:r>
      <w:r w:rsidRPr="25B5D30A">
        <w:rPr>
          <w:rFonts w:ascii="Arial Narrow" w:hAnsi="Arial Narrow"/>
          <w:sz w:val="18"/>
          <w:szCs w:val="18"/>
        </w:rPr>
        <w:t>Event occurred in &lt;10 patients.</w:t>
      </w:r>
    </w:p>
    <w:p w14:paraId="32E07429" w14:textId="5276A2F9" w:rsidR="00A60DF5" w:rsidRPr="009C553D" w:rsidRDefault="00534484" w:rsidP="009C553D">
      <w:pPr>
        <w:spacing w:after="0"/>
        <w:rPr>
          <w:rFonts w:ascii="Arial Narrow" w:hAnsi="Arial Narrow"/>
          <w:sz w:val="18"/>
        </w:rPr>
      </w:pPr>
      <w:r w:rsidRPr="009C553D">
        <w:rPr>
          <w:rFonts w:ascii="Arial Narrow" w:hAnsi="Arial Narrow"/>
          <w:b/>
          <w:sz w:val="18"/>
        </w:rPr>
        <w:t>a</w:t>
      </w:r>
      <w:r w:rsidRPr="00F37AFE">
        <w:rPr>
          <w:rFonts w:ascii="Arial Narrow" w:hAnsi="Arial Narrow"/>
          <w:sz w:val="18"/>
          <w:szCs w:val="18"/>
        </w:rPr>
        <w:t xml:space="preserve"> </w:t>
      </w:r>
      <w:r w:rsidR="00F37AFE">
        <w:rPr>
          <w:rFonts w:ascii="Arial Narrow" w:hAnsi="Arial Narrow"/>
          <w:sz w:val="18"/>
          <w:szCs w:val="18"/>
        </w:rPr>
        <w:t xml:space="preserve">= </w:t>
      </w:r>
      <w:r w:rsidRPr="007321CD">
        <w:rPr>
          <w:rFonts w:ascii="Arial Narrow" w:hAnsi="Arial Narrow"/>
          <w:sz w:val="18"/>
          <w:szCs w:val="18"/>
        </w:rPr>
        <w:t xml:space="preserve">The assessment group was unable to find any explanation </w:t>
      </w:r>
      <w:r w:rsidR="00AD7FD5">
        <w:rPr>
          <w:rFonts w:ascii="Arial Narrow" w:hAnsi="Arial Narrow"/>
          <w:sz w:val="18"/>
          <w:szCs w:val="18"/>
        </w:rPr>
        <w:t>as to</w:t>
      </w:r>
      <w:r w:rsidRPr="007321CD">
        <w:rPr>
          <w:rFonts w:ascii="Arial Narrow" w:hAnsi="Arial Narrow"/>
          <w:sz w:val="18"/>
          <w:szCs w:val="18"/>
        </w:rPr>
        <w:t xml:space="preserve"> why the subtotals and totals do not add up.</w:t>
      </w:r>
    </w:p>
    <w:p w14:paraId="0E88547D" w14:textId="0EF6A3B6" w:rsidR="00A60DF5" w:rsidRPr="005C3BCE" w:rsidRDefault="00A60DF5" w:rsidP="009C553D">
      <w:pPr>
        <w:spacing w:before="0" w:after="0"/>
        <w:rPr>
          <w:rFonts w:ascii="Arial Narrow" w:hAnsi="Arial Narrow"/>
          <w:sz w:val="18"/>
          <w:szCs w:val="18"/>
        </w:rPr>
      </w:pPr>
      <w:r w:rsidRPr="25B5D30A">
        <w:rPr>
          <w:rFonts w:ascii="Arial Narrow" w:hAnsi="Arial Narrow"/>
          <w:b/>
          <w:sz w:val="18"/>
          <w:szCs w:val="18"/>
        </w:rPr>
        <w:t>Bold</w:t>
      </w:r>
      <w:r w:rsidRPr="25B5D30A">
        <w:rPr>
          <w:rFonts w:ascii="Arial Narrow" w:hAnsi="Arial Narrow"/>
          <w:sz w:val="18"/>
          <w:szCs w:val="18"/>
        </w:rPr>
        <w:t xml:space="preserve"> denotes statistical significance</w:t>
      </w:r>
    </w:p>
    <w:p w14:paraId="1EC087C6" w14:textId="4C78EC31" w:rsidR="00276FA6" w:rsidRPr="005C3BCE" w:rsidRDefault="007D4F22" w:rsidP="007D4F22">
      <w:pPr>
        <w:spacing w:after="360" w:line="240" w:lineRule="auto"/>
        <w:contextualSpacing/>
        <w:rPr>
          <w:rFonts w:ascii="Arial Narrow" w:hAnsi="Arial Narrow"/>
          <w:b/>
          <w:sz w:val="18"/>
          <w:u w:val="single"/>
        </w:rPr>
      </w:pPr>
      <w:r w:rsidRPr="005C3BCE">
        <w:rPr>
          <w:rFonts w:ascii="Arial Narrow" w:hAnsi="Arial Narrow"/>
          <w:b/>
          <w:sz w:val="18"/>
          <w:u w:val="single"/>
        </w:rPr>
        <w:t>Source</w:t>
      </w:r>
    </w:p>
    <w:p w14:paraId="0AA9860C" w14:textId="2F43F4C0" w:rsidR="007D4F22" w:rsidRPr="005C3BCE" w:rsidRDefault="007D4F22" w:rsidP="007D4F22">
      <w:pPr>
        <w:spacing w:after="360" w:line="240" w:lineRule="auto"/>
        <w:contextualSpacing/>
        <w:rPr>
          <w:rFonts w:ascii="Arial Narrow" w:hAnsi="Arial Narrow"/>
          <w:sz w:val="18"/>
        </w:rPr>
      </w:pPr>
      <w:r w:rsidRPr="005C3BCE">
        <w:rPr>
          <w:rFonts w:ascii="Arial Narrow" w:hAnsi="Arial Narrow"/>
          <w:sz w:val="18"/>
        </w:rPr>
        <w:t>Attachment 8 ‘Results of the post</w:t>
      </w:r>
      <w:r w:rsidR="00097DE0">
        <w:rPr>
          <w:rFonts w:ascii="Arial Narrow" w:hAnsi="Arial Narrow"/>
          <w:sz w:val="18"/>
        </w:rPr>
        <w:t xml:space="preserve"> </w:t>
      </w:r>
      <w:r w:rsidRPr="005C3BCE">
        <w:rPr>
          <w:rFonts w:ascii="Arial Narrow" w:hAnsi="Arial Narrow"/>
          <w:sz w:val="18"/>
        </w:rPr>
        <w:t>hoc subgroup analyses Micra AV CED’.xlsx</w:t>
      </w:r>
    </w:p>
    <w:p w14:paraId="4EF1E96E" w14:textId="77777777" w:rsidR="001E5205" w:rsidRDefault="001E5205" w:rsidP="007D4F22">
      <w:pPr>
        <w:rPr>
          <w:color w:val="258221"/>
        </w:rPr>
        <w:sectPr w:rsidR="001E5205" w:rsidSect="00DD3C1F">
          <w:pgSz w:w="16838" w:h="11906" w:orient="landscape" w:code="9"/>
          <w:pgMar w:top="1440" w:right="1440" w:bottom="1440" w:left="1440" w:header="709" w:footer="709" w:gutter="0"/>
          <w:pgNumType w:start="27"/>
          <w:cols w:space="708"/>
          <w:docGrid w:linePitch="360"/>
        </w:sectPr>
      </w:pPr>
    </w:p>
    <w:p w14:paraId="6ECF63ED" w14:textId="77777777" w:rsidR="001139A0" w:rsidRPr="007D4F22" w:rsidRDefault="001139A0" w:rsidP="001139A0">
      <w:pPr>
        <w:tabs>
          <w:tab w:val="left" w:pos="851"/>
        </w:tabs>
        <w:spacing w:before="360" w:after="200" w:line="240" w:lineRule="auto"/>
        <w:outlineLvl w:val="2"/>
        <w:rPr>
          <w:rFonts w:ascii="Franklin Gothic Medium" w:eastAsiaTheme="majorEastAsia" w:hAnsi="Franklin Gothic Medium" w:cstheme="majorBidi"/>
          <w:iCs/>
          <w:sz w:val="24"/>
          <w:szCs w:val="24"/>
        </w:rPr>
      </w:pPr>
      <w:r w:rsidRPr="007D4F22">
        <w:rPr>
          <w:rFonts w:ascii="Franklin Gothic Medium" w:eastAsiaTheme="majorEastAsia" w:hAnsi="Franklin Gothic Medium" w:cstheme="majorBidi"/>
          <w:iCs/>
          <w:sz w:val="24"/>
          <w:szCs w:val="24"/>
        </w:rPr>
        <w:lastRenderedPageBreak/>
        <w:t>Reinterventions (2 years)</w:t>
      </w:r>
    </w:p>
    <w:p w14:paraId="25396E1D" w14:textId="77777777" w:rsidR="001139A0" w:rsidRPr="007D4F22" w:rsidRDefault="001139A0" w:rsidP="001139A0">
      <w:r w:rsidRPr="00AF1CCE">
        <w:t>There was a</w:t>
      </w:r>
      <w:r w:rsidRPr="007D4F22">
        <w:t xml:space="preserve"> statistically significant lower incidence of reinterventions over </w:t>
      </w:r>
      <w:r>
        <w:t>2</w:t>
      </w:r>
      <w:r w:rsidRPr="007D4F22">
        <w:t xml:space="preserve"> years with the Micra AV, compared with DC-TVPMs (adjusted weighted cumulative incidence 3.3% versus 5.5%, HR 0.60, 95% CI 0.49, 0.72) (Table 9). This result was driven by lower rates of revisions (&lt;0.3% versus 1.6%), system switch</w:t>
      </w:r>
      <w:r w:rsidRPr="001753B1">
        <w:t xml:space="preserve"> (</w:t>
      </w:r>
      <w:r w:rsidRPr="009C553D">
        <w:t>leadless-to-transvenous or transvenous-to-leadless replacement</w:t>
      </w:r>
      <w:r w:rsidRPr="00F31A7F">
        <w:t>;</w:t>
      </w:r>
      <w:r w:rsidRPr="009C553D">
        <w:t xml:space="preserve"> </w:t>
      </w:r>
      <w:r w:rsidRPr="007D4F22">
        <w:t xml:space="preserve">0% versus 0.3%) and removal (&lt;0.3% versus 0.6%) and the lack of lead-related reinterventions, which occurred in 1.3% of patients in the DC-TVPM cohort. However, replacements occurred more frequently with the Micra AV device than with DC-TVPMs (0.5% versus 0.1%, relative risk reduction </w:t>
      </w:r>
      <w:r w:rsidRPr="007D4F22">
        <w:rPr>
          <w:lang w:eastAsia="en-AU"/>
        </w:rPr>
        <w:t xml:space="preserve">-829%, </w:t>
      </w:r>
      <w:r w:rsidRPr="007D4F22">
        <w:t xml:space="preserve">95% CI </w:t>
      </w:r>
      <w:r w:rsidRPr="005C3BCE">
        <w:rPr>
          <w:lang w:val="en"/>
        </w:rPr>
        <w:t>−</w:t>
      </w:r>
      <w:r w:rsidRPr="007D4F22">
        <w:rPr>
          <w:lang w:eastAsia="en-AU"/>
        </w:rPr>
        <w:t xml:space="preserve">1,894, </w:t>
      </w:r>
      <w:r w:rsidRPr="005C3BCE">
        <w:rPr>
          <w:lang w:val="en" w:eastAsia="en-AU"/>
        </w:rPr>
        <w:t>−</w:t>
      </w:r>
      <w:r w:rsidRPr="007D4F22">
        <w:rPr>
          <w:lang w:eastAsia="en-AU"/>
        </w:rPr>
        <w:t>333</w:t>
      </w:r>
      <w:r w:rsidRPr="007D4F22">
        <w:t xml:space="preserve">). The applicant does not explain why </w:t>
      </w:r>
      <w:r>
        <w:t>the rate of device replacement was 5</w:t>
      </w:r>
      <w:r w:rsidRPr="007D4F22">
        <w:t xml:space="preserve"> times </w:t>
      </w:r>
      <w:r>
        <w:t xml:space="preserve">higher in the </w:t>
      </w:r>
      <w:r w:rsidRPr="007D4F22">
        <w:t>in the LPM group</w:t>
      </w:r>
      <w:r>
        <w:t>.</w:t>
      </w:r>
      <w:r w:rsidRPr="007D4F22">
        <w:t xml:space="preserve"> </w:t>
      </w:r>
    </w:p>
    <w:p w14:paraId="2742217C" w14:textId="77777777" w:rsidR="001139A0" w:rsidRDefault="001139A0" w:rsidP="001139A0">
      <w:r w:rsidRPr="007D4F22">
        <w:t xml:space="preserve">The higher rate of replacements in the first </w:t>
      </w:r>
      <w:r>
        <w:t>2</w:t>
      </w:r>
      <w:r w:rsidRPr="007D4F22">
        <w:t xml:space="preserve"> years after implantation for the Micra AV, compared with DC-TVPMs, is pertinent from both economic and clinical perspectives. The Micra AV is not intended to be removed at the end of its life. It has been demonstrated that </w:t>
      </w:r>
      <w:r>
        <w:t>3</w:t>
      </w:r>
      <w:r w:rsidRPr="007D4F22">
        <w:t xml:space="preserve"> Micra devices can be accommodated in the right ventricle of human cadaver hearts, but no more than </w:t>
      </w:r>
      <w:r>
        <w:t>2</w:t>
      </w:r>
      <w:r w:rsidRPr="007D4F22">
        <w:t xml:space="preserve"> devices have been implanted in living patients.</w:t>
      </w:r>
      <w:r w:rsidRPr="007D4F22">
        <w:rPr>
          <w:vertAlign w:val="superscript"/>
        </w:rPr>
        <w:footnoteReference w:id="16"/>
      </w:r>
      <w:r w:rsidRPr="007D4F22">
        <w:t xml:space="preserve"> This indicates an upper limit for the number of times Micra AV implants can be replaced, which may affect the functional utility timeline of the device if a second implant fails and necessitates a device switch over the longer term (i.e. after </w:t>
      </w:r>
      <w:r>
        <w:t>2</w:t>
      </w:r>
      <w:r w:rsidRPr="007D4F22">
        <w:t xml:space="preserve"> years). It would be useful to know the reasons and timeline for these replacements, but this information was not reported in the submission. </w:t>
      </w:r>
    </w:p>
    <w:p w14:paraId="45AF4C43" w14:textId="77777777" w:rsidR="00F80A2F" w:rsidRDefault="00F80A2F" w:rsidP="00F80A2F">
      <w:pPr>
        <w:pStyle w:val="Caption"/>
      </w:pPr>
      <w:bookmarkStart w:id="33" w:name="_Ref186791767"/>
      <w:r>
        <w:t xml:space="preserve">Table </w:t>
      </w:r>
      <w:r>
        <w:fldChar w:fldCharType="begin"/>
      </w:r>
      <w:r>
        <w:instrText xml:space="preserve"> SEQ Table \* ARABIC </w:instrText>
      </w:r>
      <w:r>
        <w:fldChar w:fldCharType="separate"/>
      </w:r>
      <w:r>
        <w:rPr>
          <w:noProof/>
        </w:rPr>
        <w:t>9</w:t>
      </w:r>
      <w:r>
        <w:rPr>
          <w:noProof/>
        </w:rPr>
        <w:fldChar w:fldCharType="end"/>
      </w:r>
      <w:bookmarkEnd w:id="33"/>
      <w:r>
        <w:tab/>
      </w:r>
      <w:r w:rsidRPr="007D4F22">
        <w:t>Breakdown of the reinterventions at 2 years in the Micra AV CED study (AV block without AF subgroup)</w:t>
      </w:r>
    </w:p>
    <w:tbl>
      <w:tblPr>
        <w:tblW w:w="5000" w:type="pct"/>
        <w:tblLook w:val="04A0" w:firstRow="1" w:lastRow="0" w:firstColumn="1" w:lastColumn="0" w:noHBand="0" w:noVBand="1"/>
      </w:tblPr>
      <w:tblGrid>
        <w:gridCol w:w="1431"/>
        <w:gridCol w:w="1128"/>
        <w:gridCol w:w="1584"/>
        <w:gridCol w:w="1022"/>
        <w:gridCol w:w="1585"/>
        <w:gridCol w:w="1452"/>
        <w:gridCol w:w="814"/>
      </w:tblGrid>
      <w:tr w:rsidR="00F80A2F" w:rsidRPr="007D4F22" w14:paraId="43AAB2D8" w14:textId="77777777" w:rsidTr="008E607A">
        <w:trPr>
          <w:trHeight w:val="450"/>
        </w:trPr>
        <w:tc>
          <w:tcPr>
            <w:tcW w:w="79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0D8DF7" w14:textId="77777777" w:rsidR="00F80A2F" w:rsidRPr="007D4F22" w:rsidRDefault="00F80A2F" w:rsidP="008E607A">
            <w:pPr>
              <w:spacing w:before="40" w:after="40" w:line="240" w:lineRule="auto"/>
              <w:rPr>
                <w:rFonts w:ascii="Arial Narrow" w:hAnsi="Arial Narrow"/>
                <w:b/>
                <w:bCs/>
                <w:sz w:val="20"/>
                <w:lang w:eastAsia="en-AU"/>
              </w:rPr>
            </w:pPr>
            <w:r w:rsidRPr="007D4F22">
              <w:rPr>
                <w:rFonts w:ascii="Arial Narrow" w:hAnsi="Arial Narrow"/>
                <w:b/>
                <w:bCs/>
                <w:sz w:val="20"/>
                <w:lang w:eastAsia="en-AU"/>
              </w:rPr>
              <w:t> </w:t>
            </w:r>
          </w:p>
        </w:tc>
        <w:tc>
          <w:tcPr>
            <w:tcW w:w="626" w:type="pct"/>
            <w:tcBorders>
              <w:top w:val="single" w:sz="4" w:space="0" w:color="auto"/>
              <w:left w:val="single" w:sz="4" w:space="0" w:color="auto"/>
              <w:right w:val="single" w:sz="4" w:space="0" w:color="auto"/>
            </w:tcBorders>
            <w:shd w:val="clear" w:color="auto" w:fill="D9D9D9" w:themeFill="background1" w:themeFillShade="D9"/>
            <w:hideMark/>
          </w:tcPr>
          <w:p w14:paraId="300C1E97" w14:textId="77777777" w:rsidR="00F80A2F" w:rsidRPr="007D4F22" w:rsidRDefault="00F80A2F" w:rsidP="008E607A">
            <w:pPr>
              <w:spacing w:before="40" w:after="40" w:line="240" w:lineRule="auto"/>
              <w:rPr>
                <w:rFonts w:ascii="Arial Narrow" w:hAnsi="Arial Narrow"/>
                <w:b/>
                <w:bCs/>
                <w:sz w:val="20"/>
                <w:lang w:eastAsia="en-AU"/>
              </w:rPr>
            </w:pPr>
            <w:r w:rsidRPr="007D4F22">
              <w:rPr>
                <w:rFonts w:ascii="Arial Narrow" w:hAnsi="Arial Narrow"/>
                <w:b/>
                <w:bCs/>
                <w:sz w:val="20"/>
                <w:lang w:eastAsia="en-AU"/>
              </w:rPr>
              <w:t>Observed events (%)</w:t>
            </w:r>
          </w:p>
        </w:tc>
        <w:tc>
          <w:tcPr>
            <w:tcW w:w="878" w:type="pct"/>
            <w:tcBorders>
              <w:top w:val="single" w:sz="4" w:space="0" w:color="auto"/>
              <w:left w:val="single" w:sz="4" w:space="0" w:color="auto"/>
              <w:right w:val="single" w:sz="4" w:space="0" w:color="auto"/>
            </w:tcBorders>
            <w:shd w:val="clear" w:color="auto" w:fill="D9D9D9" w:themeFill="background1" w:themeFillShade="D9"/>
          </w:tcPr>
          <w:p w14:paraId="5BFE4306" w14:textId="77777777" w:rsidR="00F80A2F" w:rsidRPr="007D4F22" w:rsidRDefault="00F80A2F" w:rsidP="008E607A">
            <w:pPr>
              <w:spacing w:before="40" w:after="40" w:line="240" w:lineRule="auto"/>
              <w:rPr>
                <w:rFonts w:ascii="Arial Narrow" w:hAnsi="Arial Narrow"/>
                <w:b/>
                <w:bCs/>
                <w:sz w:val="20"/>
                <w:lang w:eastAsia="en-AU"/>
              </w:rPr>
            </w:pPr>
            <w:r w:rsidRPr="007D4F22">
              <w:rPr>
                <w:rFonts w:ascii="Arial Narrow" w:hAnsi="Arial Narrow"/>
                <w:b/>
                <w:bCs/>
                <w:sz w:val="20"/>
                <w:lang w:eastAsia="en-AU"/>
              </w:rPr>
              <w:t>2-year weighted CIF estimates (95% CI)</w:t>
            </w:r>
          </w:p>
        </w:tc>
        <w:tc>
          <w:tcPr>
            <w:tcW w:w="567" w:type="pct"/>
            <w:tcBorders>
              <w:top w:val="single" w:sz="4" w:space="0" w:color="auto"/>
              <w:left w:val="single" w:sz="4" w:space="0" w:color="auto"/>
              <w:right w:val="single" w:sz="4" w:space="0" w:color="auto"/>
            </w:tcBorders>
            <w:shd w:val="clear" w:color="auto" w:fill="D9D9D9" w:themeFill="background1" w:themeFillShade="D9"/>
          </w:tcPr>
          <w:p w14:paraId="445E118D" w14:textId="77777777" w:rsidR="00F80A2F" w:rsidRPr="007D4F22" w:rsidRDefault="00F80A2F" w:rsidP="008E607A">
            <w:pPr>
              <w:spacing w:before="40" w:after="40" w:line="240" w:lineRule="auto"/>
              <w:rPr>
                <w:rFonts w:ascii="Arial Narrow" w:hAnsi="Arial Narrow"/>
                <w:b/>
                <w:bCs/>
                <w:sz w:val="20"/>
                <w:lang w:eastAsia="en-AU"/>
              </w:rPr>
            </w:pPr>
            <w:r w:rsidRPr="007D4F22">
              <w:rPr>
                <w:rFonts w:ascii="Arial Narrow" w:hAnsi="Arial Narrow"/>
                <w:b/>
                <w:bCs/>
                <w:sz w:val="20"/>
                <w:lang w:eastAsia="en-AU"/>
              </w:rPr>
              <w:t>Observed events (%)</w:t>
            </w:r>
          </w:p>
        </w:tc>
        <w:tc>
          <w:tcPr>
            <w:tcW w:w="878" w:type="pct"/>
            <w:tcBorders>
              <w:top w:val="single" w:sz="4" w:space="0" w:color="auto"/>
              <w:left w:val="single" w:sz="4" w:space="0" w:color="auto"/>
              <w:right w:val="single" w:sz="4" w:space="0" w:color="auto"/>
            </w:tcBorders>
            <w:shd w:val="clear" w:color="auto" w:fill="D9D9D9" w:themeFill="background1" w:themeFillShade="D9"/>
          </w:tcPr>
          <w:p w14:paraId="67D415ED" w14:textId="77777777" w:rsidR="00F80A2F" w:rsidRPr="007D4F22" w:rsidRDefault="00F80A2F" w:rsidP="008E607A">
            <w:pPr>
              <w:spacing w:before="40" w:after="40" w:line="240" w:lineRule="auto"/>
              <w:rPr>
                <w:rFonts w:ascii="Arial Narrow" w:hAnsi="Arial Narrow"/>
                <w:b/>
                <w:bCs/>
                <w:sz w:val="20"/>
                <w:lang w:eastAsia="en-AU"/>
              </w:rPr>
            </w:pPr>
            <w:r w:rsidRPr="007D4F22">
              <w:rPr>
                <w:rFonts w:ascii="Arial Narrow" w:hAnsi="Arial Narrow"/>
                <w:b/>
                <w:bCs/>
                <w:sz w:val="20"/>
                <w:lang w:eastAsia="en-AU"/>
              </w:rPr>
              <w:t>2-year weighted CIF estimates (95% CI)</w:t>
            </w:r>
          </w:p>
        </w:tc>
        <w:tc>
          <w:tcPr>
            <w:tcW w:w="805" w:type="pct"/>
            <w:tcBorders>
              <w:top w:val="single" w:sz="4" w:space="0" w:color="auto"/>
              <w:left w:val="single" w:sz="4" w:space="0" w:color="auto"/>
              <w:right w:val="single" w:sz="4" w:space="0" w:color="auto"/>
            </w:tcBorders>
            <w:shd w:val="clear" w:color="auto" w:fill="D9D9D9" w:themeFill="background1" w:themeFillShade="D9"/>
            <w:hideMark/>
          </w:tcPr>
          <w:p w14:paraId="4E5A1EC8" w14:textId="77777777" w:rsidR="00F80A2F" w:rsidRPr="007D4F22" w:rsidRDefault="00F80A2F" w:rsidP="008E607A">
            <w:pPr>
              <w:spacing w:before="40" w:after="40" w:line="240" w:lineRule="auto"/>
              <w:rPr>
                <w:rFonts w:ascii="Arial Narrow" w:hAnsi="Arial Narrow"/>
                <w:b/>
                <w:bCs/>
                <w:sz w:val="20"/>
                <w:lang w:eastAsia="en-AU"/>
              </w:rPr>
            </w:pPr>
            <w:r w:rsidRPr="007D4F22">
              <w:rPr>
                <w:rFonts w:ascii="Arial Narrow" w:hAnsi="Arial Narrow"/>
                <w:b/>
                <w:bCs/>
                <w:sz w:val="20"/>
                <w:lang w:eastAsia="en-AU"/>
              </w:rPr>
              <w:t>RRR (95% CI)</w:t>
            </w:r>
          </w:p>
        </w:tc>
        <w:tc>
          <w:tcPr>
            <w:tcW w:w="451" w:type="pct"/>
            <w:tcBorders>
              <w:top w:val="single" w:sz="4" w:space="0" w:color="auto"/>
              <w:left w:val="single" w:sz="4" w:space="0" w:color="auto"/>
              <w:right w:val="single" w:sz="4" w:space="0" w:color="auto"/>
            </w:tcBorders>
            <w:shd w:val="clear" w:color="auto" w:fill="D9D9D9" w:themeFill="background1" w:themeFillShade="D9"/>
          </w:tcPr>
          <w:p w14:paraId="725BB7E5" w14:textId="77777777" w:rsidR="00F80A2F" w:rsidRPr="007D4F22" w:rsidRDefault="00F80A2F" w:rsidP="008E607A">
            <w:pPr>
              <w:spacing w:before="40" w:after="40" w:line="240" w:lineRule="auto"/>
              <w:rPr>
                <w:rFonts w:ascii="Arial Narrow" w:hAnsi="Arial Narrow"/>
                <w:b/>
                <w:bCs/>
                <w:sz w:val="20"/>
                <w:lang w:eastAsia="en-AU"/>
              </w:rPr>
            </w:pPr>
            <w:r w:rsidRPr="007D4F22">
              <w:rPr>
                <w:rFonts w:ascii="Arial Narrow" w:hAnsi="Arial Narrow"/>
                <w:b/>
                <w:bCs/>
                <w:sz w:val="20"/>
                <w:lang w:eastAsia="en-AU"/>
              </w:rPr>
              <w:t>P</w:t>
            </w:r>
            <w:r>
              <w:rPr>
                <w:rFonts w:ascii="Arial Narrow" w:hAnsi="Arial Narrow"/>
                <w:b/>
                <w:bCs/>
                <w:sz w:val="20"/>
                <w:lang w:eastAsia="en-AU"/>
              </w:rPr>
              <w:t xml:space="preserve"> v</w:t>
            </w:r>
            <w:r w:rsidRPr="007D4F22">
              <w:rPr>
                <w:rFonts w:ascii="Arial Narrow" w:hAnsi="Arial Narrow"/>
                <w:b/>
                <w:bCs/>
                <w:sz w:val="20"/>
                <w:lang w:eastAsia="en-AU"/>
              </w:rPr>
              <w:t>alue</w:t>
            </w:r>
          </w:p>
        </w:tc>
      </w:tr>
      <w:tr w:rsidR="00F80A2F" w:rsidRPr="00795054" w14:paraId="1F45EA27" w14:textId="77777777" w:rsidTr="008E607A">
        <w:trPr>
          <w:trHeight w:val="20"/>
        </w:trPr>
        <w:tc>
          <w:tcPr>
            <w:tcW w:w="794" w:type="pct"/>
            <w:tcBorders>
              <w:top w:val="nil"/>
              <w:left w:val="single" w:sz="4" w:space="0" w:color="auto"/>
              <w:bottom w:val="single" w:sz="4" w:space="0" w:color="auto"/>
              <w:right w:val="single" w:sz="4" w:space="0" w:color="auto"/>
            </w:tcBorders>
            <w:shd w:val="clear" w:color="auto" w:fill="D9D9D9" w:themeFill="background1" w:themeFillShade="D9"/>
            <w:hideMark/>
          </w:tcPr>
          <w:p w14:paraId="069BDC9E" w14:textId="77777777" w:rsidR="00F80A2F" w:rsidRPr="007D4F22" w:rsidRDefault="00F80A2F" w:rsidP="008E607A">
            <w:pPr>
              <w:spacing w:before="40" w:after="40" w:line="240" w:lineRule="auto"/>
              <w:rPr>
                <w:rFonts w:ascii="Arial Narrow" w:hAnsi="Arial Narrow"/>
                <w:b/>
                <w:bCs/>
                <w:i/>
                <w:iCs/>
                <w:sz w:val="20"/>
                <w:lang w:eastAsia="en-AU"/>
              </w:rPr>
            </w:pPr>
            <w:r w:rsidRPr="007D4F22">
              <w:rPr>
                <w:rFonts w:ascii="Arial Narrow" w:hAnsi="Arial Narrow"/>
                <w:b/>
                <w:bCs/>
                <w:i/>
                <w:iCs/>
                <w:sz w:val="20"/>
                <w:lang w:eastAsia="en-AU"/>
              </w:rPr>
              <w:t>AVB without AF</w:t>
            </w:r>
          </w:p>
        </w:tc>
        <w:tc>
          <w:tcPr>
            <w:tcW w:w="1504" w:type="pct"/>
            <w:gridSpan w:val="2"/>
            <w:tcBorders>
              <w:top w:val="single" w:sz="4" w:space="0" w:color="auto"/>
              <w:left w:val="nil"/>
              <w:bottom w:val="single" w:sz="4" w:space="0" w:color="auto"/>
              <w:right w:val="single" w:sz="4" w:space="0" w:color="auto"/>
            </w:tcBorders>
            <w:shd w:val="clear" w:color="auto" w:fill="D9D9D9" w:themeFill="background1" w:themeFillShade="D9"/>
            <w:hideMark/>
          </w:tcPr>
          <w:p w14:paraId="246B4C34" w14:textId="77777777" w:rsidR="00F80A2F" w:rsidRPr="007D4F22" w:rsidRDefault="00F80A2F" w:rsidP="008E607A">
            <w:pPr>
              <w:spacing w:before="40" w:after="40" w:line="240" w:lineRule="auto"/>
              <w:jc w:val="center"/>
              <w:rPr>
                <w:rFonts w:ascii="Arial Narrow" w:hAnsi="Arial Narrow"/>
                <w:b/>
                <w:bCs/>
                <w:sz w:val="20"/>
                <w:lang w:eastAsia="en-AU"/>
              </w:rPr>
            </w:pPr>
            <w:r w:rsidRPr="007D4F22">
              <w:rPr>
                <w:rFonts w:ascii="Arial Narrow" w:hAnsi="Arial Narrow"/>
                <w:b/>
                <w:bCs/>
                <w:sz w:val="20"/>
                <w:lang w:eastAsia="en-AU"/>
              </w:rPr>
              <w:t>Micra AV (N=3,902)</w:t>
            </w:r>
          </w:p>
        </w:tc>
        <w:tc>
          <w:tcPr>
            <w:tcW w:w="144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572036" w14:textId="77777777" w:rsidR="00F80A2F" w:rsidRPr="007D4F22" w:rsidRDefault="00F80A2F" w:rsidP="008E607A">
            <w:pPr>
              <w:spacing w:before="40" w:after="40" w:line="240" w:lineRule="auto"/>
              <w:jc w:val="center"/>
              <w:rPr>
                <w:rFonts w:ascii="Arial Narrow" w:hAnsi="Arial Narrow"/>
                <w:b/>
                <w:bCs/>
                <w:sz w:val="20"/>
                <w:lang w:eastAsia="en-AU"/>
              </w:rPr>
            </w:pPr>
            <w:r w:rsidRPr="007D4F22">
              <w:rPr>
                <w:rFonts w:ascii="Arial Narrow" w:hAnsi="Arial Narrow"/>
                <w:b/>
                <w:bCs/>
                <w:sz w:val="20"/>
                <w:lang w:eastAsia="en-AU"/>
              </w:rPr>
              <w:t>DC-TVPM (N=38,077)</w:t>
            </w:r>
          </w:p>
        </w:tc>
        <w:tc>
          <w:tcPr>
            <w:tcW w:w="1257" w:type="pct"/>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007B8FBD" w14:textId="77777777" w:rsidR="00F80A2F" w:rsidRPr="007D4F22" w:rsidRDefault="00F80A2F" w:rsidP="008E607A">
            <w:pPr>
              <w:spacing w:before="40" w:after="40" w:line="240" w:lineRule="auto"/>
              <w:jc w:val="center"/>
              <w:rPr>
                <w:rFonts w:ascii="Arial Narrow" w:hAnsi="Arial Narrow"/>
                <w:b/>
                <w:bCs/>
                <w:sz w:val="20"/>
                <w:lang w:val="sv-SE" w:eastAsia="en-AU"/>
              </w:rPr>
            </w:pPr>
            <w:r w:rsidRPr="007D4F22">
              <w:rPr>
                <w:rFonts w:ascii="Arial Narrow" w:hAnsi="Arial Narrow"/>
                <w:b/>
                <w:bCs/>
                <w:sz w:val="20"/>
                <w:lang w:val="sv-SE" w:eastAsia="en-AU"/>
              </w:rPr>
              <w:t>Micra AV vs DC-TVPM</w:t>
            </w:r>
          </w:p>
        </w:tc>
      </w:tr>
      <w:tr w:rsidR="00F80A2F" w:rsidRPr="007D4F22" w14:paraId="65FDCD08" w14:textId="77777777" w:rsidTr="008E607A">
        <w:trPr>
          <w:trHeight w:val="20"/>
        </w:trPr>
        <w:tc>
          <w:tcPr>
            <w:tcW w:w="794" w:type="pct"/>
            <w:tcBorders>
              <w:top w:val="single" w:sz="4" w:space="0" w:color="auto"/>
              <w:left w:val="single" w:sz="4" w:space="0" w:color="auto"/>
              <w:bottom w:val="single" w:sz="4" w:space="0" w:color="auto"/>
              <w:right w:val="single" w:sz="4" w:space="0" w:color="auto"/>
            </w:tcBorders>
            <w:hideMark/>
          </w:tcPr>
          <w:p w14:paraId="58349F40" w14:textId="77777777" w:rsidR="00F80A2F" w:rsidRPr="007D4F22" w:rsidRDefault="00F80A2F" w:rsidP="008E607A">
            <w:pPr>
              <w:spacing w:before="40" w:after="40" w:line="240" w:lineRule="auto"/>
              <w:rPr>
                <w:rFonts w:ascii="Arial Narrow" w:hAnsi="Arial Narrow"/>
                <w:sz w:val="20"/>
                <w:lang w:eastAsia="en-AU"/>
              </w:rPr>
            </w:pPr>
            <w:r w:rsidRPr="007D4F22">
              <w:rPr>
                <w:rFonts w:ascii="Arial Narrow" w:hAnsi="Arial Narrow"/>
                <w:sz w:val="20"/>
                <w:lang w:eastAsia="en-AU"/>
              </w:rPr>
              <w:t>Any reintervention</w:t>
            </w:r>
          </w:p>
        </w:tc>
        <w:tc>
          <w:tcPr>
            <w:tcW w:w="626" w:type="pct"/>
            <w:tcBorders>
              <w:top w:val="single" w:sz="4" w:space="0" w:color="auto"/>
              <w:left w:val="single" w:sz="4" w:space="0" w:color="auto"/>
              <w:bottom w:val="single" w:sz="4" w:space="0" w:color="auto"/>
              <w:right w:val="single" w:sz="4" w:space="0" w:color="auto"/>
            </w:tcBorders>
            <w:hideMark/>
          </w:tcPr>
          <w:p w14:paraId="75CE51B8" w14:textId="77777777" w:rsidR="00F80A2F" w:rsidRPr="007D4F22" w:rsidRDefault="00F80A2F" w:rsidP="008E607A">
            <w:pPr>
              <w:spacing w:before="40" w:after="40" w:line="240" w:lineRule="auto"/>
              <w:rPr>
                <w:rFonts w:ascii="Arial Narrow" w:hAnsi="Arial Narrow"/>
                <w:sz w:val="20"/>
                <w:lang w:eastAsia="en-AU"/>
              </w:rPr>
            </w:pPr>
            <w:r w:rsidRPr="007D4F22">
              <w:rPr>
                <w:rFonts w:ascii="Arial Narrow" w:hAnsi="Arial Narrow"/>
                <w:sz w:val="20"/>
                <w:lang w:eastAsia="en-AU"/>
              </w:rPr>
              <w:t>114 (2.9)</w:t>
            </w:r>
          </w:p>
        </w:tc>
        <w:tc>
          <w:tcPr>
            <w:tcW w:w="878" w:type="pct"/>
            <w:tcBorders>
              <w:top w:val="single" w:sz="4" w:space="0" w:color="auto"/>
              <w:left w:val="single" w:sz="4" w:space="0" w:color="auto"/>
              <w:bottom w:val="single" w:sz="4" w:space="0" w:color="auto"/>
              <w:right w:val="single" w:sz="4" w:space="0" w:color="auto"/>
            </w:tcBorders>
            <w:hideMark/>
          </w:tcPr>
          <w:p w14:paraId="072204EC" w14:textId="77777777" w:rsidR="00F80A2F" w:rsidRPr="007D4F22" w:rsidRDefault="00F80A2F" w:rsidP="008E607A">
            <w:pPr>
              <w:spacing w:before="40" w:after="40" w:line="240" w:lineRule="auto"/>
              <w:rPr>
                <w:rFonts w:ascii="Arial Narrow" w:hAnsi="Arial Narrow"/>
                <w:sz w:val="20"/>
                <w:lang w:eastAsia="en-AU"/>
              </w:rPr>
            </w:pPr>
            <w:r w:rsidRPr="007D4F22">
              <w:rPr>
                <w:rFonts w:ascii="Arial Narrow" w:hAnsi="Arial Narrow"/>
                <w:sz w:val="20"/>
                <w:lang w:eastAsia="en-AU"/>
              </w:rPr>
              <w:t>3.3% (3.1%, 3.6%)</w:t>
            </w:r>
          </w:p>
        </w:tc>
        <w:tc>
          <w:tcPr>
            <w:tcW w:w="567" w:type="pct"/>
            <w:tcBorders>
              <w:top w:val="single" w:sz="4" w:space="0" w:color="auto"/>
              <w:left w:val="single" w:sz="4" w:space="0" w:color="auto"/>
              <w:bottom w:val="single" w:sz="4" w:space="0" w:color="auto"/>
              <w:right w:val="single" w:sz="4" w:space="0" w:color="auto"/>
            </w:tcBorders>
            <w:hideMark/>
          </w:tcPr>
          <w:p w14:paraId="3F2375A0" w14:textId="77777777" w:rsidR="00F80A2F" w:rsidRPr="007D4F22" w:rsidRDefault="00F80A2F" w:rsidP="008E607A">
            <w:pPr>
              <w:spacing w:before="40" w:after="40" w:line="240" w:lineRule="auto"/>
              <w:rPr>
                <w:rFonts w:ascii="Arial Narrow" w:hAnsi="Arial Narrow"/>
                <w:sz w:val="20"/>
                <w:lang w:eastAsia="en-AU"/>
              </w:rPr>
            </w:pPr>
            <w:r w:rsidRPr="007D4F22">
              <w:rPr>
                <w:rFonts w:ascii="Arial Narrow" w:hAnsi="Arial Narrow"/>
                <w:sz w:val="20"/>
                <w:lang w:eastAsia="en-AU"/>
              </w:rPr>
              <w:t>1885 (5.0)</w:t>
            </w:r>
          </w:p>
        </w:tc>
        <w:tc>
          <w:tcPr>
            <w:tcW w:w="878" w:type="pct"/>
            <w:tcBorders>
              <w:top w:val="single" w:sz="4" w:space="0" w:color="auto"/>
              <w:left w:val="single" w:sz="4" w:space="0" w:color="auto"/>
              <w:bottom w:val="single" w:sz="4" w:space="0" w:color="auto"/>
              <w:right w:val="single" w:sz="4" w:space="0" w:color="auto"/>
            </w:tcBorders>
            <w:hideMark/>
          </w:tcPr>
          <w:p w14:paraId="4E645530" w14:textId="77777777" w:rsidR="00F80A2F" w:rsidRPr="007D4F22" w:rsidRDefault="00F80A2F" w:rsidP="008E607A">
            <w:pPr>
              <w:spacing w:before="40" w:after="40" w:line="240" w:lineRule="auto"/>
              <w:rPr>
                <w:rFonts w:ascii="Arial Narrow" w:hAnsi="Arial Narrow"/>
                <w:sz w:val="20"/>
                <w:lang w:eastAsia="en-AU"/>
              </w:rPr>
            </w:pPr>
            <w:r w:rsidRPr="007D4F22">
              <w:rPr>
                <w:rFonts w:ascii="Arial Narrow" w:hAnsi="Arial Narrow"/>
                <w:sz w:val="20"/>
                <w:lang w:eastAsia="en-AU"/>
              </w:rPr>
              <w:t>5.5% (5.1%, 5.9%)</w:t>
            </w:r>
          </w:p>
        </w:tc>
        <w:tc>
          <w:tcPr>
            <w:tcW w:w="805" w:type="pct"/>
            <w:tcBorders>
              <w:top w:val="single" w:sz="4" w:space="0" w:color="auto"/>
              <w:left w:val="single" w:sz="4" w:space="0" w:color="auto"/>
              <w:bottom w:val="single" w:sz="4" w:space="0" w:color="auto"/>
              <w:right w:val="single" w:sz="4" w:space="0" w:color="auto"/>
            </w:tcBorders>
            <w:hideMark/>
          </w:tcPr>
          <w:p w14:paraId="7A24F903" w14:textId="77777777" w:rsidR="00F80A2F" w:rsidRPr="007D4F22" w:rsidRDefault="00F80A2F" w:rsidP="008E607A">
            <w:pPr>
              <w:spacing w:before="40" w:after="40" w:line="240" w:lineRule="auto"/>
              <w:rPr>
                <w:rFonts w:ascii="Arial Narrow" w:hAnsi="Arial Narrow"/>
                <w:sz w:val="20"/>
                <w:lang w:eastAsia="en-AU"/>
              </w:rPr>
            </w:pPr>
            <w:r w:rsidRPr="007D4F22">
              <w:rPr>
                <w:rFonts w:ascii="Arial Narrow" w:hAnsi="Arial Narrow"/>
                <w:sz w:val="20"/>
                <w:lang w:eastAsia="en-AU"/>
              </w:rPr>
              <w:t>40% (28%, 51%)</w:t>
            </w:r>
          </w:p>
        </w:tc>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71DB7A" w14:textId="77777777" w:rsidR="00F80A2F" w:rsidRPr="007D4F22" w:rsidRDefault="00F80A2F" w:rsidP="008E607A">
            <w:pPr>
              <w:spacing w:before="40" w:after="40" w:line="240" w:lineRule="auto"/>
              <w:rPr>
                <w:rFonts w:ascii="Arial Narrow" w:hAnsi="Arial Narrow"/>
                <w:b/>
                <w:bCs/>
                <w:sz w:val="20"/>
                <w:lang w:eastAsia="en-AU"/>
              </w:rPr>
            </w:pPr>
            <w:r w:rsidRPr="007D4F22">
              <w:rPr>
                <w:rFonts w:ascii="Arial Narrow" w:hAnsi="Arial Narrow"/>
                <w:b/>
                <w:bCs/>
                <w:sz w:val="20"/>
                <w:lang w:eastAsia="en-AU"/>
              </w:rPr>
              <w:t>&lt;0.0001</w:t>
            </w:r>
          </w:p>
        </w:tc>
      </w:tr>
      <w:tr w:rsidR="00F80A2F" w:rsidRPr="007D4F22" w14:paraId="6701384B" w14:textId="77777777" w:rsidTr="008E607A">
        <w:trPr>
          <w:trHeight w:val="20"/>
        </w:trPr>
        <w:tc>
          <w:tcPr>
            <w:tcW w:w="794" w:type="pct"/>
            <w:tcBorders>
              <w:top w:val="single" w:sz="4" w:space="0" w:color="auto"/>
              <w:left w:val="single" w:sz="4" w:space="0" w:color="auto"/>
              <w:bottom w:val="single" w:sz="4" w:space="0" w:color="auto"/>
              <w:right w:val="single" w:sz="4" w:space="0" w:color="auto"/>
            </w:tcBorders>
            <w:hideMark/>
          </w:tcPr>
          <w:p w14:paraId="54AF9388" w14:textId="77777777" w:rsidR="00F80A2F" w:rsidRPr="007D4F22" w:rsidRDefault="00F80A2F" w:rsidP="008E607A">
            <w:pPr>
              <w:spacing w:before="40" w:after="40" w:line="240" w:lineRule="auto"/>
              <w:rPr>
                <w:rFonts w:ascii="Arial Narrow" w:hAnsi="Arial Narrow"/>
                <w:sz w:val="20"/>
                <w:lang w:eastAsia="en-AU"/>
              </w:rPr>
            </w:pPr>
            <w:r w:rsidRPr="007D4F22">
              <w:rPr>
                <w:rFonts w:ascii="Arial Narrow" w:hAnsi="Arial Narrow"/>
                <w:sz w:val="20"/>
                <w:lang w:eastAsia="en-AU"/>
              </w:rPr>
              <w:t>Revisions</w:t>
            </w:r>
          </w:p>
        </w:tc>
        <w:tc>
          <w:tcPr>
            <w:tcW w:w="626" w:type="pct"/>
            <w:tcBorders>
              <w:top w:val="single" w:sz="4" w:space="0" w:color="auto"/>
              <w:left w:val="single" w:sz="4" w:space="0" w:color="auto"/>
              <w:bottom w:val="single" w:sz="4" w:space="0" w:color="auto"/>
              <w:right w:val="single" w:sz="4" w:space="0" w:color="auto"/>
            </w:tcBorders>
            <w:hideMark/>
          </w:tcPr>
          <w:p w14:paraId="6EBBAA43" w14:textId="77777777" w:rsidR="00F80A2F" w:rsidRPr="007D4F22" w:rsidRDefault="00F80A2F" w:rsidP="008E607A">
            <w:pPr>
              <w:spacing w:before="40" w:after="40" w:line="240" w:lineRule="auto"/>
              <w:rPr>
                <w:rFonts w:ascii="Arial Narrow" w:hAnsi="Arial Narrow"/>
                <w:sz w:val="20"/>
                <w:lang w:eastAsia="en-AU"/>
              </w:rPr>
            </w:pPr>
            <w:r w:rsidRPr="007D4F22">
              <w:rPr>
                <w:rFonts w:ascii="Arial Narrow" w:hAnsi="Arial Narrow"/>
                <w:sz w:val="20"/>
                <w:lang w:eastAsia="en-AU"/>
              </w:rPr>
              <w:t>*</w:t>
            </w:r>
          </w:p>
        </w:tc>
        <w:tc>
          <w:tcPr>
            <w:tcW w:w="878" w:type="pct"/>
            <w:tcBorders>
              <w:top w:val="single" w:sz="4" w:space="0" w:color="auto"/>
              <w:left w:val="single" w:sz="4" w:space="0" w:color="auto"/>
              <w:bottom w:val="single" w:sz="4" w:space="0" w:color="auto"/>
              <w:right w:val="single" w:sz="4" w:space="0" w:color="auto"/>
            </w:tcBorders>
            <w:hideMark/>
          </w:tcPr>
          <w:p w14:paraId="307FAEB9" w14:textId="77777777" w:rsidR="00F80A2F" w:rsidRPr="007D4F22" w:rsidRDefault="00F80A2F" w:rsidP="008E607A">
            <w:pPr>
              <w:spacing w:before="40" w:after="40" w:line="240" w:lineRule="auto"/>
              <w:rPr>
                <w:rFonts w:ascii="Arial Narrow" w:hAnsi="Arial Narrow"/>
                <w:sz w:val="20"/>
                <w:lang w:eastAsia="en-AU"/>
              </w:rPr>
            </w:pPr>
            <w:r w:rsidRPr="007D4F22">
              <w:rPr>
                <w:rFonts w:ascii="Arial Narrow" w:hAnsi="Arial Narrow"/>
                <w:sz w:val="20"/>
                <w:lang w:eastAsia="en-AU"/>
              </w:rPr>
              <w:t>*</w:t>
            </w:r>
          </w:p>
        </w:tc>
        <w:tc>
          <w:tcPr>
            <w:tcW w:w="567" w:type="pct"/>
            <w:tcBorders>
              <w:top w:val="single" w:sz="4" w:space="0" w:color="auto"/>
              <w:left w:val="single" w:sz="4" w:space="0" w:color="auto"/>
              <w:bottom w:val="single" w:sz="4" w:space="0" w:color="auto"/>
              <w:right w:val="single" w:sz="4" w:space="0" w:color="auto"/>
            </w:tcBorders>
            <w:hideMark/>
          </w:tcPr>
          <w:p w14:paraId="2D5EB5B7" w14:textId="77777777" w:rsidR="00F80A2F" w:rsidRPr="007D4F22" w:rsidRDefault="00F80A2F" w:rsidP="008E607A">
            <w:pPr>
              <w:spacing w:before="40" w:after="40" w:line="240" w:lineRule="auto"/>
              <w:rPr>
                <w:rFonts w:ascii="Arial Narrow" w:hAnsi="Arial Narrow"/>
                <w:sz w:val="20"/>
                <w:lang w:eastAsia="en-AU"/>
              </w:rPr>
            </w:pPr>
            <w:r w:rsidRPr="007D4F22">
              <w:rPr>
                <w:rFonts w:ascii="Arial Narrow" w:hAnsi="Arial Narrow"/>
                <w:sz w:val="20"/>
                <w:lang w:eastAsia="en-AU"/>
              </w:rPr>
              <w:t>573 (1.5)</w:t>
            </w:r>
          </w:p>
        </w:tc>
        <w:tc>
          <w:tcPr>
            <w:tcW w:w="878" w:type="pct"/>
            <w:tcBorders>
              <w:top w:val="single" w:sz="4" w:space="0" w:color="auto"/>
              <w:left w:val="single" w:sz="4" w:space="0" w:color="auto"/>
              <w:bottom w:val="single" w:sz="4" w:space="0" w:color="auto"/>
              <w:right w:val="single" w:sz="4" w:space="0" w:color="auto"/>
            </w:tcBorders>
            <w:hideMark/>
          </w:tcPr>
          <w:p w14:paraId="256E0466" w14:textId="77777777" w:rsidR="00F80A2F" w:rsidRPr="007D4F22" w:rsidRDefault="00F80A2F" w:rsidP="008E607A">
            <w:pPr>
              <w:spacing w:before="40" w:after="40" w:line="240" w:lineRule="auto"/>
              <w:rPr>
                <w:rFonts w:ascii="Arial Narrow" w:hAnsi="Arial Narrow"/>
                <w:sz w:val="20"/>
                <w:lang w:eastAsia="en-AU"/>
              </w:rPr>
            </w:pPr>
            <w:r w:rsidRPr="007D4F22">
              <w:rPr>
                <w:rFonts w:ascii="Arial Narrow" w:hAnsi="Arial Narrow"/>
                <w:sz w:val="20"/>
                <w:lang w:eastAsia="en-AU"/>
              </w:rPr>
              <w:t>1.6% (1.4%, 1.8%)</w:t>
            </w:r>
          </w:p>
        </w:tc>
        <w:tc>
          <w:tcPr>
            <w:tcW w:w="805" w:type="pct"/>
            <w:tcBorders>
              <w:top w:val="single" w:sz="4" w:space="0" w:color="auto"/>
              <w:left w:val="single" w:sz="4" w:space="0" w:color="auto"/>
              <w:bottom w:val="single" w:sz="4" w:space="0" w:color="auto"/>
              <w:right w:val="single" w:sz="4" w:space="0" w:color="auto"/>
            </w:tcBorders>
            <w:hideMark/>
          </w:tcPr>
          <w:p w14:paraId="08AB8B82" w14:textId="77777777" w:rsidR="00F80A2F" w:rsidRPr="007D4F22" w:rsidRDefault="00F80A2F" w:rsidP="008E607A">
            <w:pPr>
              <w:spacing w:before="40" w:after="40" w:line="240" w:lineRule="auto"/>
              <w:rPr>
                <w:rFonts w:ascii="Arial Narrow" w:hAnsi="Arial Narrow"/>
                <w:sz w:val="20"/>
                <w:lang w:eastAsia="en-AU"/>
              </w:rPr>
            </w:pPr>
            <w:r w:rsidRPr="007D4F22">
              <w:rPr>
                <w:rFonts w:ascii="Arial Narrow" w:hAnsi="Arial Narrow"/>
                <w:sz w:val="20"/>
                <w:lang w:eastAsia="en-AU"/>
              </w:rPr>
              <w:t>93% (83%, 97%)</w:t>
            </w:r>
          </w:p>
        </w:tc>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13B486" w14:textId="77777777" w:rsidR="00F80A2F" w:rsidRPr="007D4F22" w:rsidRDefault="00F80A2F" w:rsidP="008E607A">
            <w:pPr>
              <w:spacing w:before="40" w:after="40" w:line="240" w:lineRule="auto"/>
              <w:rPr>
                <w:rFonts w:ascii="Arial Narrow" w:hAnsi="Arial Narrow"/>
                <w:b/>
                <w:bCs/>
                <w:sz w:val="20"/>
                <w:lang w:eastAsia="en-AU"/>
              </w:rPr>
            </w:pPr>
            <w:r w:rsidRPr="007D4F22">
              <w:rPr>
                <w:rFonts w:ascii="Arial Narrow" w:hAnsi="Arial Narrow"/>
                <w:b/>
                <w:bCs/>
                <w:sz w:val="20"/>
                <w:lang w:eastAsia="en-AU"/>
              </w:rPr>
              <w:t>&lt;0.0001</w:t>
            </w:r>
          </w:p>
        </w:tc>
      </w:tr>
      <w:tr w:rsidR="00F80A2F" w:rsidRPr="007D4F22" w14:paraId="4FBAB4D4" w14:textId="77777777" w:rsidTr="008E607A">
        <w:trPr>
          <w:trHeight w:val="20"/>
        </w:trPr>
        <w:tc>
          <w:tcPr>
            <w:tcW w:w="794" w:type="pct"/>
            <w:tcBorders>
              <w:top w:val="single" w:sz="4" w:space="0" w:color="auto"/>
              <w:left w:val="single" w:sz="4" w:space="0" w:color="auto"/>
              <w:bottom w:val="single" w:sz="4" w:space="0" w:color="auto"/>
              <w:right w:val="single" w:sz="4" w:space="0" w:color="auto"/>
            </w:tcBorders>
            <w:hideMark/>
          </w:tcPr>
          <w:p w14:paraId="34D97741" w14:textId="77777777" w:rsidR="00F80A2F" w:rsidRPr="007D4F22" w:rsidRDefault="00F80A2F" w:rsidP="008E607A">
            <w:pPr>
              <w:spacing w:before="40" w:after="40" w:line="240" w:lineRule="auto"/>
              <w:rPr>
                <w:rFonts w:ascii="Arial Narrow" w:hAnsi="Arial Narrow"/>
                <w:sz w:val="20"/>
                <w:lang w:eastAsia="en-AU"/>
              </w:rPr>
            </w:pPr>
            <w:r w:rsidRPr="007D4F22">
              <w:rPr>
                <w:rFonts w:ascii="Arial Narrow" w:hAnsi="Arial Narrow"/>
                <w:sz w:val="20"/>
                <w:lang w:eastAsia="en-AU"/>
              </w:rPr>
              <w:t>Lead-related reinterventions</w:t>
            </w:r>
          </w:p>
        </w:tc>
        <w:tc>
          <w:tcPr>
            <w:tcW w:w="626" w:type="pct"/>
            <w:tcBorders>
              <w:top w:val="single" w:sz="4" w:space="0" w:color="auto"/>
              <w:left w:val="single" w:sz="4" w:space="0" w:color="auto"/>
              <w:bottom w:val="single" w:sz="4" w:space="0" w:color="auto"/>
              <w:right w:val="single" w:sz="4" w:space="0" w:color="auto"/>
            </w:tcBorders>
            <w:hideMark/>
          </w:tcPr>
          <w:p w14:paraId="15C0C292" w14:textId="77777777" w:rsidR="00F80A2F" w:rsidRPr="007D4F22" w:rsidRDefault="00F80A2F" w:rsidP="008E607A">
            <w:pPr>
              <w:spacing w:before="40" w:after="40" w:line="240" w:lineRule="auto"/>
              <w:rPr>
                <w:rFonts w:ascii="Arial Narrow" w:hAnsi="Arial Narrow"/>
                <w:sz w:val="20"/>
                <w:lang w:eastAsia="en-AU"/>
              </w:rPr>
            </w:pPr>
            <w:r w:rsidRPr="007D4F22">
              <w:rPr>
                <w:rFonts w:ascii="Arial Narrow" w:hAnsi="Arial Narrow"/>
                <w:sz w:val="20"/>
                <w:lang w:eastAsia="en-AU"/>
              </w:rPr>
              <w:t>N/A</w:t>
            </w:r>
          </w:p>
        </w:tc>
        <w:tc>
          <w:tcPr>
            <w:tcW w:w="878" w:type="pct"/>
            <w:tcBorders>
              <w:top w:val="single" w:sz="4" w:space="0" w:color="auto"/>
              <w:left w:val="single" w:sz="4" w:space="0" w:color="auto"/>
              <w:bottom w:val="single" w:sz="4" w:space="0" w:color="auto"/>
              <w:right w:val="single" w:sz="4" w:space="0" w:color="auto"/>
            </w:tcBorders>
            <w:hideMark/>
          </w:tcPr>
          <w:p w14:paraId="1EF5193B" w14:textId="77777777" w:rsidR="00F80A2F" w:rsidRPr="007D4F22" w:rsidRDefault="00F80A2F" w:rsidP="008E607A">
            <w:pPr>
              <w:spacing w:before="40" w:after="40" w:line="240" w:lineRule="auto"/>
              <w:rPr>
                <w:rFonts w:ascii="Arial Narrow" w:hAnsi="Arial Narrow"/>
                <w:sz w:val="20"/>
                <w:lang w:eastAsia="en-AU"/>
              </w:rPr>
            </w:pPr>
            <w:r w:rsidRPr="007D4F22">
              <w:rPr>
                <w:rFonts w:ascii="Arial Narrow" w:hAnsi="Arial Narrow"/>
                <w:sz w:val="20"/>
                <w:lang w:eastAsia="en-AU"/>
              </w:rPr>
              <w:t>N/A</w:t>
            </w:r>
          </w:p>
        </w:tc>
        <w:tc>
          <w:tcPr>
            <w:tcW w:w="567" w:type="pct"/>
            <w:tcBorders>
              <w:top w:val="single" w:sz="4" w:space="0" w:color="auto"/>
              <w:left w:val="single" w:sz="4" w:space="0" w:color="auto"/>
              <w:bottom w:val="single" w:sz="4" w:space="0" w:color="auto"/>
              <w:right w:val="single" w:sz="4" w:space="0" w:color="auto"/>
            </w:tcBorders>
            <w:hideMark/>
          </w:tcPr>
          <w:p w14:paraId="3BD5BD22" w14:textId="77777777" w:rsidR="00F80A2F" w:rsidRPr="007D4F22" w:rsidRDefault="00F80A2F" w:rsidP="008E607A">
            <w:pPr>
              <w:spacing w:before="40" w:after="40" w:line="240" w:lineRule="auto"/>
              <w:rPr>
                <w:rFonts w:ascii="Arial Narrow" w:hAnsi="Arial Narrow"/>
                <w:sz w:val="20"/>
                <w:lang w:eastAsia="en-AU"/>
              </w:rPr>
            </w:pPr>
            <w:r w:rsidRPr="007D4F22">
              <w:rPr>
                <w:rFonts w:ascii="Arial Narrow" w:hAnsi="Arial Narrow"/>
                <w:sz w:val="20"/>
                <w:lang w:eastAsia="en-AU"/>
              </w:rPr>
              <w:t>471 (1.2)</w:t>
            </w:r>
          </w:p>
        </w:tc>
        <w:tc>
          <w:tcPr>
            <w:tcW w:w="878" w:type="pct"/>
            <w:tcBorders>
              <w:top w:val="single" w:sz="4" w:space="0" w:color="auto"/>
              <w:left w:val="single" w:sz="4" w:space="0" w:color="auto"/>
              <w:bottom w:val="single" w:sz="4" w:space="0" w:color="auto"/>
              <w:right w:val="single" w:sz="4" w:space="0" w:color="auto"/>
            </w:tcBorders>
            <w:hideMark/>
          </w:tcPr>
          <w:p w14:paraId="11C58CE2" w14:textId="77777777" w:rsidR="00F80A2F" w:rsidRPr="007D4F22" w:rsidRDefault="00F80A2F" w:rsidP="008E607A">
            <w:pPr>
              <w:spacing w:before="40" w:after="40" w:line="240" w:lineRule="auto"/>
              <w:rPr>
                <w:rFonts w:ascii="Arial Narrow" w:hAnsi="Arial Narrow"/>
                <w:sz w:val="20"/>
                <w:lang w:eastAsia="en-AU"/>
              </w:rPr>
            </w:pPr>
            <w:r w:rsidRPr="007D4F22">
              <w:rPr>
                <w:rFonts w:ascii="Arial Narrow" w:hAnsi="Arial Narrow"/>
                <w:sz w:val="20"/>
                <w:lang w:eastAsia="en-AU"/>
              </w:rPr>
              <w:t>1.3% (1.2%, 1.5%)</w:t>
            </w:r>
          </w:p>
        </w:tc>
        <w:tc>
          <w:tcPr>
            <w:tcW w:w="805" w:type="pct"/>
            <w:tcBorders>
              <w:top w:val="single" w:sz="4" w:space="0" w:color="auto"/>
              <w:left w:val="single" w:sz="4" w:space="0" w:color="auto"/>
              <w:bottom w:val="single" w:sz="4" w:space="0" w:color="auto"/>
              <w:right w:val="single" w:sz="4" w:space="0" w:color="auto"/>
            </w:tcBorders>
            <w:hideMark/>
          </w:tcPr>
          <w:p w14:paraId="62BA712C" w14:textId="77777777" w:rsidR="00F80A2F" w:rsidRPr="007D4F22" w:rsidRDefault="00F80A2F" w:rsidP="008E607A">
            <w:pPr>
              <w:spacing w:before="40" w:after="40" w:line="240" w:lineRule="auto"/>
              <w:rPr>
                <w:rFonts w:ascii="Arial Narrow" w:hAnsi="Arial Narrow"/>
                <w:sz w:val="20"/>
                <w:lang w:eastAsia="en-AU"/>
              </w:rPr>
            </w:pPr>
            <w:r w:rsidRPr="007D4F22">
              <w:rPr>
                <w:rFonts w:ascii="Arial Narrow" w:hAnsi="Arial Narrow"/>
                <w:sz w:val="20"/>
                <w:lang w:eastAsia="en-AU"/>
              </w:rPr>
              <w:t>NE</w:t>
            </w:r>
          </w:p>
        </w:tc>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94923B" w14:textId="77777777" w:rsidR="00F80A2F" w:rsidRPr="007D4F22" w:rsidRDefault="00F80A2F" w:rsidP="008E607A">
            <w:pPr>
              <w:spacing w:before="40" w:after="40" w:line="240" w:lineRule="auto"/>
              <w:rPr>
                <w:rFonts w:ascii="Arial Narrow" w:hAnsi="Arial Narrow"/>
                <w:sz w:val="20"/>
                <w:lang w:eastAsia="en-AU"/>
              </w:rPr>
            </w:pPr>
            <w:r w:rsidRPr="007D4F22">
              <w:rPr>
                <w:rFonts w:ascii="Arial Narrow" w:hAnsi="Arial Narrow"/>
                <w:sz w:val="20"/>
                <w:lang w:eastAsia="en-AU"/>
              </w:rPr>
              <w:t>NE</w:t>
            </w:r>
          </w:p>
        </w:tc>
      </w:tr>
      <w:tr w:rsidR="00F80A2F" w:rsidRPr="007D4F22" w14:paraId="069E68D7" w14:textId="77777777" w:rsidTr="008E607A">
        <w:trPr>
          <w:trHeight w:val="20"/>
        </w:trPr>
        <w:tc>
          <w:tcPr>
            <w:tcW w:w="794" w:type="pct"/>
            <w:tcBorders>
              <w:top w:val="single" w:sz="4" w:space="0" w:color="auto"/>
              <w:left w:val="single" w:sz="4" w:space="0" w:color="auto"/>
              <w:bottom w:val="single" w:sz="4" w:space="0" w:color="auto"/>
              <w:right w:val="single" w:sz="4" w:space="0" w:color="auto"/>
            </w:tcBorders>
            <w:hideMark/>
          </w:tcPr>
          <w:p w14:paraId="48B80939" w14:textId="77777777" w:rsidR="00F80A2F" w:rsidRPr="007D4F22" w:rsidRDefault="00F80A2F" w:rsidP="008E607A">
            <w:pPr>
              <w:spacing w:before="40" w:after="40" w:line="240" w:lineRule="auto"/>
              <w:rPr>
                <w:rFonts w:ascii="Arial Narrow" w:hAnsi="Arial Narrow"/>
                <w:sz w:val="20"/>
                <w:lang w:eastAsia="en-AU"/>
              </w:rPr>
            </w:pPr>
            <w:r w:rsidRPr="007D4F22">
              <w:rPr>
                <w:rFonts w:ascii="Arial Narrow" w:hAnsi="Arial Narrow"/>
                <w:sz w:val="20"/>
                <w:lang w:eastAsia="en-AU"/>
              </w:rPr>
              <w:t>Replacement</w:t>
            </w:r>
          </w:p>
        </w:tc>
        <w:tc>
          <w:tcPr>
            <w:tcW w:w="626" w:type="pct"/>
            <w:tcBorders>
              <w:top w:val="single" w:sz="4" w:space="0" w:color="auto"/>
              <w:left w:val="single" w:sz="4" w:space="0" w:color="auto"/>
              <w:bottom w:val="single" w:sz="4" w:space="0" w:color="auto"/>
              <w:right w:val="single" w:sz="4" w:space="0" w:color="auto"/>
            </w:tcBorders>
            <w:hideMark/>
          </w:tcPr>
          <w:p w14:paraId="5746B23D" w14:textId="77777777" w:rsidR="00F80A2F" w:rsidRPr="007D4F22" w:rsidRDefault="00F80A2F" w:rsidP="008E607A">
            <w:pPr>
              <w:spacing w:before="40" w:after="40" w:line="240" w:lineRule="auto"/>
              <w:rPr>
                <w:rFonts w:ascii="Arial Narrow" w:hAnsi="Arial Narrow"/>
                <w:sz w:val="20"/>
                <w:lang w:eastAsia="en-AU"/>
              </w:rPr>
            </w:pPr>
            <w:r w:rsidRPr="007D4F22">
              <w:rPr>
                <w:rFonts w:ascii="Arial Narrow" w:hAnsi="Arial Narrow"/>
                <w:sz w:val="20"/>
                <w:lang w:eastAsia="en-AU"/>
              </w:rPr>
              <w:t>18 (0.5)</w:t>
            </w:r>
          </w:p>
        </w:tc>
        <w:tc>
          <w:tcPr>
            <w:tcW w:w="878" w:type="pct"/>
            <w:tcBorders>
              <w:top w:val="single" w:sz="4" w:space="0" w:color="auto"/>
              <w:left w:val="single" w:sz="4" w:space="0" w:color="auto"/>
              <w:bottom w:val="single" w:sz="4" w:space="0" w:color="auto"/>
              <w:right w:val="single" w:sz="4" w:space="0" w:color="auto"/>
            </w:tcBorders>
            <w:hideMark/>
          </w:tcPr>
          <w:p w14:paraId="4E30A287" w14:textId="77777777" w:rsidR="00F80A2F" w:rsidRPr="007D4F22" w:rsidRDefault="00F80A2F" w:rsidP="008E607A">
            <w:pPr>
              <w:spacing w:before="40" w:after="40" w:line="240" w:lineRule="auto"/>
              <w:rPr>
                <w:rFonts w:ascii="Arial Narrow" w:hAnsi="Arial Narrow"/>
                <w:sz w:val="20"/>
                <w:lang w:eastAsia="en-AU"/>
              </w:rPr>
            </w:pPr>
            <w:r w:rsidRPr="007D4F22">
              <w:rPr>
                <w:rFonts w:ascii="Arial Narrow" w:hAnsi="Arial Narrow"/>
                <w:sz w:val="20"/>
                <w:lang w:eastAsia="en-AU"/>
              </w:rPr>
              <w:t>0.5% (0.4%, 0.8%)</w:t>
            </w:r>
          </w:p>
        </w:tc>
        <w:tc>
          <w:tcPr>
            <w:tcW w:w="567" w:type="pct"/>
            <w:tcBorders>
              <w:top w:val="single" w:sz="4" w:space="0" w:color="auto"/>
              <w:left w:val="single" w:sz="4" w:space="0" w:color="auto"/>
              <w:bottom w:val="single" w:sz="4" w:space="0" w:color="auto"/>
              <w:right w:val="single" w:sz="4" w:space="0" w:color="auto"/>
            </w:tcBorders>
            <w:hideMark/>
          </w:tcPr>
          <w:p w14:paraId="3AD8031D" w14:textId="77777777" w:rsidR="00F80A2F" w:rsidRPr="007D4F22" w:rsidRDefault="00F80A2F" w:rsidP="008E607A">
            <w:pPr>
              <w:spacing w:before="40" w:after="40" w:line="240" w:lineRule="auto"/>
              <w:rPr>
                <w:rFonts w:ascii="Arial Narrow" w:hAnsi="Arial Narrow"/>
                <w:sz w:val="20"/>
                <w:lang w:eastAsia="en-AU"/>
              </w:rPr>
            </w:pPr>
            <w:r w:rsidRPr="007D4F22">
              <w:rPr>
                <w:rFonts w:ascii="Arial Narrow" w:hAnsi="Arial Narrow"/>
                <w:sz w:val="20"/>
                <w:lang w:eastAsia="en-AU"/>
              </w:rPr>
              <w:t>18 (0.1)</w:t>
            </w:r>
          </w:p>
        </w:tc>
        <w:tc>
          <w:tcPr>
            <w:tcW w:w="878" w:type="pct"/>
            <w:tcBorders>
              <w:top w:val="single" w:sz="4" w:space="0" w:color="auto"/>
              <w:left w:val="single" w:sz="4" w:space="0" w:color="auto"/>
              <w:bottom w:val="single" w:sz="4" w:space="0" w:color="auto"/>
              <w:right w:val="single" w:sz="4" w:space="0" w:color="auto"/>
            </w:tcBorders>
            <w:hideMark/>
          </w:tcPr>
          <w:p w14:paraId="0BFC42DC" w14:textId="77777777" w:rsidR="00F80A2F" w:rsidRPr="007D4F22" w:rsidRDefault="00F80A2F" w:rsidP="008E607A">
            <w:pPr>
              <w:spacing w:before="40" w:after="40" w:line="240" w:lineRule="auto"/>
              <w:rPr>
                <w:rFonts w:ascii="Arial Narrow" w:hAnsi="Arial Narrow"/>
                <w:sz w:val="20"/>
                <w:lang w:eastAsia="en-AU"/>
              </w:rPr>
            </w:pPr>
            <w:r w:rsidRPr="007D4F22">
              <w:rPr>
                <w:rFonts w:ascii="Arial Narrow" w:hAnsi="Arial Narrow"/>
                <w:sz w:val="20"/>
                <w:lang w:eastAsia="en-AU"/>
              </w:rPr>
              <w:t>0.1% (0.0%, 0.1%)</w:t>
            </w:r>
          </w:p>
        </w:tc>
        <w:tc>
          <w:tcPr>
            <w:tcW w:w="805" w:type="pct"/>
            <w:tcBorders>
              <w:top w:val="single" w:sz="4" w:space="0" w:color="auto"/>
              <w:left w:val="single" w:sz="4" w:space="0" w:color="auto"/>
              <w:bottom w:val="single" w:sz="4" w:space="0" w:color="auto"/>
              <w:right w:val="single" w:sz="4" w:space="0" w:color="auto"/>
            </w:tcBorders>
            <w:hideMark/>
          </w:tcPr>
          <w:p w14:paraId="679DA4CC" w14:textId="77777777" w:rsidR="00F80A2F" w:rsidRPr="007D4F22" w:rsidRDefault="00F80A2F" w:rsidP="008E607A">
            <w:pPr>
              <w:spacing w:before="40" w:after="40" w:line="240" w:lineRule="auto"/>
              <w:rPr>
                <w:rFonts w:ascii="Arial Narrow" w:hAnsi="Arial Narrow"/>
                <w:sz w:val="20"/>
                <w:lang w:eastAsia="en-AU"/>
              </w:rPr>
            </w:pPr>
            <w:r w:rsidRPr="00B50F41">
              <w:rPr>
                <w:rFonts w:ascii="Arial Narrow" w:hAnsi="Arial Narrow"/>
                <w:sz w:val="20"/>
                <w:lang w:val="en" w:eastAsia="en-AU"/>
              </w:rPr>
              <w:t>−</w:t>
            </w:r>
            <w:r w:rsidRPr="007D4F22">
              <w:rPr>
                <w:rFonts w:ascii="Arial Narrow" w:hAnsi="Arial Narrow"/>
                <w:sz w:val="20"/>
                <w:lang w:eastAsia="en-AU"/>
              </w:rPr>
              <w:t>829% (</w:t>
            </w:r>
            <w:r w:rsidRPr="00B50F41">
              <w:rPr>
                <w:rFonts w:ascii="Arial Narrow" w:hAnsi="Arial Narrow"/>
                <w:sz w:val="20"/>
                <w:lang w:val="en" w:eastAsia="en-AU"/>
              </w:rPr>
              <w:t>−</w:t>
            </w:r>
            <w:r w:rsidRPr="007D4F22">
              <w:rPr>
                <w:rFonts w:ascii="Arial Narrow" w:hAnsi="Arial Narrow"/>
                <w:sz w:val="20"/>
                <w:lang w:eastAsia="en-AU"/>
              </w:rPr>
              <w:t xml:space="preserve">1894%, </w:t>
            </w:r>
            <w:r w:rsidRPr="00F625E7">
              <w:rPr>
                <w:rFonts w:ascii="Arial Narrow" w:hAnsi="Arial Narrow"/>
                <w:sz w:val="20"/>
                <w:lang w:val="en" w:eastAsia="en-AU"/>
              </w:rPr>
              <w:t>−</w:t>
            </w:r>
            <w:r w:rsidRPr="007D4F22">
              <w:rPr>
                <w:rFonts w:ascii="Arial Narrow" w:hAnsi="Arial Narrow"/>
                <w:sz w:val="20"/>
                <w:lang w:eastAsia="en-AU"/>
              </w:rPr>
              <w:t>333%)</w:t>
            </w:r>
          </w:p>
        </w:tc>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C80CC3" w14:textId="77777777" w:rsidR="00F80A2F" w:rsidRPr="007D4F22" w:rsidRDefault="00F80A2F" w:rsidP="008E607A">
            <w:pPr>
              <w:spacing w:before="40" w:after="40" w:line="240" w:lineRule="auto"/>
              <w:rPr>
                <w:rFonts w:ascii="Arial Narrow" w:hAnsi="Arial Narrow"/>
                <w:sz w:val="20"/>
                <w:lang w:eastAsia="en-AU"/>
              </w:rPr>
            </w:pPr>
            <w:r w:rsidRPr="007D4F22">
              <w:rPr>
                <w:rFonts w:ascii="Arial Narrow" w:hAnsi="Arial Narrow"/>
                <w:b/>
                <w:bCs/>
                <w:sz w:val="20"/>
                <w:lang w:eastAsia="en-AU"/>
              </w:rPr>
              <w:t>&lt;0.0001</w:t>
            </w:r>
          </w:p>
        </w:tc>
      </w:tr>
      <w:tr w:rsidR="00F80A2F" w:rsidRPr="007D4F22" w14:paraId="65412B9F" w14:textId="77777777" w:rsidTr="008E607A">
        <w:trPr>
          <w:trHeight w:val="20"/>
        </w:trPr>
        <w:tc>
          <w:tcPr>
            <w:tcW w:w="794" w:type="pct"/>
            <w:tcBorders>
              <w:top w:val="single" w:sz="4" w:space="0" w:color="auto"/>
              <w:left w:val="single" w:sz="4" w:space="0" w:color="auto"/>
              <w:bottom w:val="single" w:sz="4" w:space="0" w:color="auto"/>
              <w:right w:val="single" w:sz="4" w:space="0" w:color="auto"/>
            </w:tcBorders>
            <w:hideMark/>
          </w:tcPr>
          <w:p w14:paraId="0628A4F9" w14:textId="77777777" w:rsidR="00F80A2F" w:rsidRPr="007D4F22" w:rsidRDefault="00F80A2F" w:rsidP="008E607A">
            <w:pPr>
              <w:spacing w:before="40" w:after="40" w:line="240" w:lineRule="auto"/>
              <w:rPr>
                <w:rFonts w:ascii="Arial Narrow" w:hAnsi="Arial Narrow"/>
                <w:sz w:val="20"/>
                <w:lang w:eastAsia="en-AU"/>
              </w:rPr>
            </w:pPr>
            <w:r w:rsidRPr="007D4F22">
              <w:rPr>
                <w:rFonts w:ascii="Arial Narrow" w:hAnsi="Arial Narrow"/>
                <w:sz w:val="20"/>
                <w:lang w:eastAsia="en-AU"/>
              </w:rPr>
              <w:t>System switch</w:t>
            </w:r>
          </w:p>
        </w:tc>
        <w:tc>
          <w:tcPr>
            <w:tcW w:w="626" w:type="pct"/>
            <w:tcBorders>
              <w:top w:val="single" w:sz="4" w:space="0" w:color="auto"/>
              <w:left w:val="single" w:sz="4" w:space="0" w:color="auto"/>
              <w:bottom w:val="single" w:sz="4" w:space="0" w:color="auto"/>
              <w:right w:val="single" w:sz="4" w:space="0" w:color="auto"/>
            </w:tcBorders>
            <w:hideMark/>
          </w:tcPr>
          <w:p w14:paraId="604DA605" w14:textId="77777777" w:rsidR="00F80A2F" w:rsidRPr="007D4F22" w:rsidRDefault="00F80A2F" w:rsidP="008E607A">
            <w:pPr>
              <w:spacing w:before="40" w:after="40" w:line="240" w:lineRule="auto"/>
              <w:rPr>
                <w:rFonts w:ascii="Arial Narrow" w:hAnsi="Arial Narrow"/>
                <w:sz w:val="20"/>
                <w:lang w:eastAsia="en-AU"/>
              </w:rPr>
            </w:pPr>
            <w:r w:rsidRPr="007D4F22">
              <w:rPr>
                <w:rFonts w:ascii="Arial Narrow" w:hAnsi="Arial Narrow"/>
                <w:sz w:val="20"/>
                <w:lang w:eastAsia="en-AU"/>
              </w:rPr>
              <w:t>0 (0)</w:t>
            </w:r>
          </w:p>
        </w:tc>
        <w:tc>
          <w:tcPr>
            <w:tcW w:w="878" w:type="pct"/>
            <w:tcBorders>
              <w:top w:val="single" w:sz="4" w:space="0" w:color="auto"/>
              <w:left w:val="single" w:sz="4" w:space="0" w:color="auto"/>
              <w:bottom w:val="single" w:sz="4" w:space="0" w:color="auto"/>
              <w:right w:val="single" w:sz="4" w:space="0" w:color="auto"/>
            </w:tcBorders>
            <w:hideMark/>
          </w:tcPr>
          <w:p w14:paraId="1DE6E52F" w14:textId="77777777" w:rsidR="00F80A2F" w:rsidRPr="007D4F22" w:rsidRDefault="00F80A2F" w:rsidP="008E607A">
            <w:pPr>
              <w:spacing w:before="40" w:after="40" w:line="240" w:lineRule="auto"/>
              <w:rPr>
                <w:rFonts w:ascii="Arial Narrow" w:hAnsi="Arial Narrow"/>
                <w:sz w:val="20"/>
                <w:lang w:eastAsia="en-AU"/>
              </w:rPr>
            </w:pPr>
            <w:r w:rsidRPr="007D4F22">
              <w:rPr>
                <w:rFonts w:ascii="Arial Narrow" w:hAnsi="Arial Narrow"/>
                <w:sz w:val="20"/>
                <w:lang w:eastAsia="en-AU"/>
              </w:rPr>
              <w:t>0.0% (0.0%, 0.0%)</w:t>
            </w:r>
          </w:p>
        </w:tc>
        <w:tc>
          <w:tcPr>
            <w:tcW w:w="567" w:type="pct"/>
            <w:tcBorders>
              <w:top w:val="single" w:sz="4" w:space="0" w:color="auto"/>
              <w:left w:val="single" w:sz="4" w:space="0" w:color="auto"/>
              <w:bottom w:val="single" w:sz="4" w:space="0" w:color="auto"/>
              <w:right w:val="single" w:sz="4" w:space="0" w:color="auto"/>
            </w:tcBorders>
            <w:hideMark/>
          </w:tcPr>
          <w:p w14:paraId="3DF30DF9" w14:textId="77777777" w:rsidR="00F80A2F" w:rsidRPr="007D4F22" w:rsidRDefault="00F80A2F" w:rsidP="008E607A">
            <w:pPr>
              <w:spacing w:before="40" w:after="40" w:line="240" w:lineRule="auto"/>
              <w:rPr>
                <w:rFonts w:ascii="Arial Narrow" w:hAnsi="Arial Narrow"/>
                <w:sz w:val="20"/>
                <w:lang w:eastAsia="en-AU"/>
              </w:rPr>
            </w:pPr>
            <w:r w:rsidRPr="007D4F22">
              <w:rPr>
                <w:rFonts w:ascii="Arial Narrow" w:hAnsi="Arial Narrow"/>
                <w:sz w:val="20"/>
                <w:lang w:eastAsia="en-AU"/>
              </w:rPr>
              <w:t>59 (0.2)</w:t>
            </w:r>
          </w:p>
        </w:tc>
        <w:tc>
          <w:tcPr>
            <w:tcW w:w="878" w:type="pct"/>
            <w:tcBorders>
              <w:top w:val="single" w:sz="4" w:space="0" w:color="auto"/>
              <w:left w:val="single" w:sz="4" w:space="0" w:color="auto"/>
              <w:bottom w:val="single" w:sz="4" w:space="0" w:color="auto"/>
              <w:right w:val="single" w:sz="4" w:space="0" w:color="auto"/>
            </w:tcBorders>
            <w:hideMark/>
          </w:tcPr>
          <w:p w14:paraId="306BD164" w14:textId="77777777" w:rsidR="00F80A2F" w:rsidRPr="007D4F22" w:rsidRDefault="00F80A2F" w:rsidP="008E607A">
            <w:pPr>
              <w:spacing w:before="40" w:after="40" w:line="240" w:lineRule="auto"/>
              <w:rPr>
                <w:rFonts w:ascii="Arial Narrow" w:hAnsi="Arial Narrow"/>
                <w:sz w:val="20"/>
                <w:lang w:eastAsia="en-AU"/>
              </w:rPr>
            </w:pPr>
            <w:r w:rsidRPr="007D4F22">
              <w:rPr>
                <w:rFonts w:ascii="Arial Narrow" w:hAnsi="Arial Narrow"/>
                <w:sz w:val="20"/>
                <w:lang w:eastAsia="en-AU"/>
              </w:rPr>
              <w:t>0.3% (0.2%, 0.4%)</w:t>
            </w:r>
          </w:p>
        </w:tc>
        <w:tc>
          <w:tcPr>
            <w:tcW w:w="805" w:type="pct"/>
            <w:tcBorders>
              <w:top w:val="single" w:sz="4" w:space="0" w:color="auto"/>
              <w:left w:val="single" w:sz="4" w:space="0" w:color="auto"/>
              <w:bottom w:val="single" w:sz="4" w:space="0" w:color="auto"/>
              <w:right w:val="single" w:sz="4" w:space="0" w:color="auto"/>
            </w:tcBorders>
            <w:hideMark/>
          </w:tcPr>
          <w:p w14:paraId="334CAB31" w14:textId="77777777" w:rsidR="00F80A2F" w:rsidRPr="007D4F22" w:rsidRDefault="00F80A2F" w:rsidP="008E607A">
            <w:pPr>
              <w:spacing w:before="40" w:after="40" w:line="240" w:lineRule="auto"/>
              <w:rPr>
                <w:rFonts w:ascii="Arial Narrow" w:hAnsi="Arial Narrow"/>
                <w:sz w:val="20"/>
                <w:lang w:eastAsia="en-AU"/>
              </w:rPr>
            </w:pPr>
            <w:r w:rsidRPr="007D4F22">
              <w:rPr>
                <w:rFonts w:ascii="Arial Narrow" w:hAnsi="Arial Narrow"/>
                <w:sz w:val="20"/>
                <w:lang w:eastAsia="en-AU"/>
              </w:rPr>
              <w:t>100% (100%, 100%)</w:t>
            </w:r>
          </w:p>
        </w:tc>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F5043AE" w14:textId="77777777" w:rsidR="00F80A2F" w:rsidRPr="007D4F22" w:rsidRDefault="00F80A2F" w:rsidP="008E607A">
            <w:pPr>
              <w:spacing w:before="40" w:after="40" w:line="240" w:lineRule="auto"/>
              <w:rPr>
                <w:rFonts w:ascii="Arial Narrow" w:hAnsi="Arial Narrow"/>
                <w:sz w:val="20"/>
                <w:lang w:eastAsia="en-AU"/>
              </w:rPr>
            </w:pPr>
            <w:r w:rsidRPr="007D4F22">
              <w:rPr>
                <w:rFonts w:ascii="Arial Narrow" w:hAnsi="Arial Narrow"/>
                <w:b/>
                <w:bCs/>
                <w:sz w:val="20"/>
                <w:lang w:eastAsia="en-AU"/>
              </w:rPr>
              <w:t>&lt;0.0001</w:t>
            </w:r>
          </w:p>
        </w:tc>
      </w:tr>
      <w:tr w:rsidR="00F80A2F" w:rsidRPr="007D4F22" w14:paraId="62B9E682" w14:textId="77777777" w:rsidTr="008E607A">
        <w:trPr>
          <w:trHeight w:val="20"/>
        </w:trPr>
        <w:tc>
          <w:tcPr>
            <w:tcW w:w="794" w:type="pct"/>
            <w:tcBorders>
              <w:top w:val="single" w:sz="4" w:space="0" w:color="auto"/>
              <w:left w:val="single" w:sz="4" w:space="0" w:color="auto"/>
              <w:bottom w:val="single" w:sz="4" w:space="0" w:color="auto"/>
              <w:right w:val="single" w:sz="4" w:space="0" w:color="auto"/>
            </w:tcBorders>
            <w:hideMark/>
          </w:tcPr>
          <w:p w14:paraId="1033628F" w14:textId="77777777" w:rsidR="00F80A2F" w:rsidRPr="007D4F22" w:rsidRDefault="00F80A2F" w:rsidP="008E607A">
            <w:pPr>
              <w:spacing w:before="40" w:after="40" w:line="240" w:lineRule="auto"/>
              <w:rPr>
                <w:rFonts w:ascii="Arial Narrow" w:hAnsi="Arial Narrow"/>
                <w:sz w:val="20"/>
                <w:lang w:eastAsia="en-AU"/>
              </w:rPr>
            </w:pPr>
            <w:r w:rsidRPr="007D4F22">
              <w:rPr>
                <w:rFonts w:ascii="Arial Narrow" w:hAnsi="Arial Narrow"/>
                <w:sz w:val="20"/>
                <w:lang w:eastAsia="en-AU"/>
              </w:rPr>
              <w:t>Removal</w:t>
            </w:r>
          </w:p>
        </w:tc>
        <w:tc>
          <w:tcPr>
            <w:tcW w:w="626" w:type="pct"/>
            <w:tcBorders>
              <w:top w:val="single" w:sz="4" w:space="0" w:color="auto"/>
              <w:left w:val="single" w:sz="4" w:space="0" w:color="auto"/>
              <w:bottom w:val="single" w:sz="4" w:space="0" w:color="auto"/>
              <w:right w:val="single" w:sz="4" w:space="0" w:color="auto"/>
            </w:tcBorders>
            <w:hideMark/>
          </w:tcPr>
          <w:p w14:paraId="1E58BBBA" w14:textId="77777777" w:rsidR="00F80A2F" w:rsidRPr="007D4F22" w:rsidRDefault="00F80A2F" w:rsidP="008E607A">
            <w:pPr>
              <w:spacing w:before="40" w:after="40" w:line="240" w:lineRule="auto"/>
              <w:rPr>
                <w:rFonts w:ascii="Arial Narrow" w:hAnsi="Arial Narrow"/>
                <w:sz w:val="20"/>
                <w:lang w:eastAsia="en-AU"/>
              </w:rPr>
            </w:pPr>
            <w:r w:rsidRPr="007D4F22">
              <w:rPr>
                <w:rFonts w:ascii="Arial Narrow" w:hAnsi="Arial Narrow"/>
                <w:sz w:val="20"/>
                <w:lang w:eastAsia="en-AU"/>
              </w:rPr>
              <w:t>*</w:t>
            </w:r>
          </w:p>
        </w:tc>
        <w:tc>
          <w:tcPr>
            <w:tcW w:w="878" w:type="pct"/>
            <w:tcBorders>
              <w:top w:val="single" w:sz="4" w:space="0" w:color="auto"/>
              <w:left w:val="single" w:sz="4" w:space="0" w:color="auto"/>
              <w:bottom w:val="single" w:sz="4" w:space="0" w:color="auto"/>
              <w:right w:val="single" w:sz="4" w:space="0" w:color="auto"/>
            </w:tcBorders>
            <w:hideMark/>
          </w:tcPr>
          <w:p w14:paraId="4D2695C0" w14:textId="77777777" w:rsidR="00F80A2F" w:rsidRPr="007D4F22" w:rsidRDefault="00F80A2F" w:rsidP="008E607A">
            <w:pPr>
              <w:spacing w:before="40" w:after="40" w:line="240" w:lineRule="auto"/>
              <w:rPr>
                <w:rFonts w:ascii="Arial Narrow" w:hAnsi="Arial Narrow"/>
                <w:sz w:val="20"/>
                <w:lang w:eastAsia="en-AU"/>
              </w:rPr>
            </w:pPr>
            <w:r w:rsidRPr="007D4F22">
              <w:rPr>
                <w:rFonts w:ascii="Arial Narrow" w:hAnsi="Arial Narrow"/>
                <w:sz w:val="20"/>
                <w:lang w:eastAsia="en-AU"/>
              </w:rPr>
              <w:t>*</w:t>
            </w:r>
          </w:p>
        </w:tc>
        <w:tc>
          <w:tcPr>
            <w:tcW w:w="567" w:type="pct"/>
            <w:tcBorders>
              <w:top w:val="single" w:sz="4" w:space="0" w:color="auto"/>
              <w:left w:val="single" w:sz="4" w:space="0" w:color="auto"/>
              <w:bottom w:val="single" w:sz="4" w:space="0" w:color="auto"/>
              <w:right w:val="single" w:sz="4" w:space="0" w:color="auto"/>
            </w:tcBorders>
            <w:hideMark/>
          </w:tcPr>
          <w:p w14:paraId="5C4BD604" w14:textId="77777777" w:rsidR="00F80A2F" w:rsidRPr="007D4F22" w:rsidRDefault="00F80A2F" w:rsidP="008E607A">
            <w:pPr>
              <w:spacing w:before="40" w:after="40" w:line="240" w:lineRule="auto"/>
              <w:rPr>
                <w:rFonts w:ascii="Arial Narrow" w:hAnsi="Arial Narrow"/>
                <w:sz w:val="20"/>
                <w:lang w:eastAsia="en-AU"/>
              </w:rPr>
            </w:pPr>
            <w:r w:rsidRPr="007D4F22">
              <w:rPr>
                <w:rFonts w:ascii="Arial Narrow" w:hAnsi="Arial Narrow"/>
                <w:sz w:val="20"/>
                <w:lang w:eastAsia="en-AU"/>
              </w:rPr>
              <w:t>167 (0.4)</w:t>
            </w:r>
          </w:p>
        </w:tc>
        <w:tc>
          <w:tcPr>
            <w:tcW w:w="878" w:type="pct"/>
            <w:tcBorders>
              <w:top w:val="single" w:sz="4" w:space="0" w:color="auto"/>
              <w:left w:val="single" w:sz="4" w:space="0" w:color="auto"/>
              <w:bottom w:val="single" w:sz="4" w:space="0" w:color="auto"/>
              <w:right w:val="single" w:sz="4" w:space="0" w:color="auto"/>
            </w:tcBorders>
            <w:hideMark/>
          </w:tcPr>
          <w:p w14:paraId="645E4D8A" w14:textId="77777777" w:rsidR="00F80A2F" w:rsidRPr="007D4F22" w:rsidRDefault="00F80A2F" w:rsidP="008E607A">
            <w:pPr>
              <w:spacing w:before="40" w:after="40" w:line="240" w:lineRule="auto"/>
              <w:rPr>
                <w:rFonts w:ascii="Arial Narrow" w:hAnsi="Arial Narrow"/>
                <w:sz w:val="20"/>
                <w:lang w:eastAsia="en-AU"/>
              </w:rPr>
            </w:pPr>
            <w:r w:rsidRPr="007D4F22">
              <w:rPr>
                <w:rFonts w:ascii="Arial Narrow" w:hAnsi="Arial Narrow"/>
                <w:sz w:val="20"/>
                <w:lang w:eastAsia="en-AU"/>
              </w:rPr>
              <w:t>0.6% (0.5%, 0.7%)</w:t>
            </w:r>
          </w:p>
        </w:tc>
        <w:tc>
          <w:tcPr>
            <w:tcW w:w="805" w:type="pct"/>
            <w:tcBorders>
              <w:top w:val="single" w:sz="4" w:space="0" w:color="auto"/>
              <w:left w:val="single" w:sz="4" w:space="0" w:color="auto"/>
              <w:bottom w:val="single" w:sz="4" w:space="0" w:color="auto"/>
              <w:right w:val="single" w:sz="4" w:space="0" w:color="auto"/>
            </w:tcBorders>
            <w:hideMark/>
          </w:tcPr>
          <w:p w14:paraId="10D18B2A" w14:textId="77777777" w:rsidR="00F80A2F" w:rsidRPr="007D4F22" w:rsidRDefault="00F80A2F" w:rsidP="008E607A">
            <w:pPr>
              <w:spacing w:before="40" w:after="40" w:line="240" w:lineRule="auto"/>
              <w:rPr>
                <w:rFonts w:ascii="Arial Narrow" w:hAnsi="Arial Narrow"/>
                <w:sz w:val="20"/>
                <w:lang w:eastAsia="en-AU"/>
              </w:rPr>
            </w:pPr>
            <w:r w:rsidRPr="007D4F22">
              <w:rPr>
                <w:rFonts w:ascii="Arial Narrow" w:hAnsi="Arial Narrow"/>
                <w:sz w:val="20"/>
                <w:lang w:eastAsia="en-AU"/>
              </w:rPr>
              <w:t>86% (56%, 96%)</w:t>
            </w:r>
          </w:p>
        </w:tc>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D4908A" w14:textId="77777777" w:rsidR="00F80A2F" w:rsidRPr="007D4F22" w:rsidRDefault="00F80A2F" w:rsidP="008E607A">
            <w:pPr>
              <w:spacing w:before="40" w:after="40" w:line="240" w:lineRule="auto"/>
              <w:rPr>
                <w:rFonts w:ascii="Arial Narrow" w:hAnsi="Arial Narrow"/>
                <w:b/>
                <w:bCs/>
                <w:sz w:val="20"/>
                <w:lang w:eastAsia="en-AU"/>
              </w:rPr>
            </w:pPr>
            <w:r w:rsidRPr="007D4F22">
              <w:rPr>
                <w:rFonts w:ascii="Arial Narrow" w:hAnsi="Arial Narrow"/>
                <w:b/>
                <w:bCs/>
                <w:sz w:val="20"/>
                <w:lang w:eastAsia="en-AU"/>
              </w:rPr>
              <w:t>0.0009</w:t>
            </w:r>
          </w:p>
        </w:tc>
      </w:tr>
      <w:tr w:rsidR="00F80A2F" w:rsidRPr="007D4F22" w14:paraId="061CD4CE" w14:textId="77777777" w:rsidTr="008E607A">
        <w:trPr>
          <w:trHeight w:val="20"/>
        </w:trPr>
        <w:tc>
          <w:tcPr>
            <w:tcW w:w="794" w:type="pct"/>
            <w:tcBorders>
              <w:top w:val="single" w:sz="4" w:space="0" w:color="auto"/>
              <w:left w:val="single" w:sz="4" w:space="0" w:color="auto"/>
              <w:bottom w:val="single" w:sz="4" w:space="0" w:color="auto"/>
              <w:right w:val="single" w:sz="4" w:space="0" w:color="auto"/>
            </w:tcBorders>
            <w:noWrap/>
            <w:hideMark/>
          </w:tcPr>
          <w:p w14:paraId="10CCE40B" w14:textId="77777777" w:rsidR="00F80A2F" w:rsidRPr="007D4F22" w:rsidRDefault="00F80A2F" w:rsidP="008E607A">
            <w:pPr>
              <w:spacing w:before="40" w:after="40" w:line="240" w:lineRule="auto"/>
              <w:rPr>
                <w:rFonts w:ascii="Arial Narrow" w:hAnsi="Arial Narrow"/>
                <w:sz w:val="20"/>
                <w:lang w:eastAsia="en-AU"/>
              </w:rPr>
            </w:pPr>
            <w:r w:rsidRPr="007D4F22">
              <w:rPr>
                <w:rFonts w:ascii="Arial Narrow" w:hAnsi="Arial Narrow"/>
                <w:sz w:val="20"/>
                <w:lang w:eastAsia="en-AU"/>
              </w:rPr>
              <w:t>Upgrade to CRT</w:t>
            </w:r>
          </w:p>
        </w:tc>
        <w:tc>
          <w:tcPr>
            <w:tcW w:w="626" w:type="pct"/>
            <w:tcBorders>
              <w:top w:val="single" w:sz="4" w:space="0" w:color="auto"/>
              <w:left w:val="single" w:sz="4" w:space="0" w:color="auto"/>
              <w:bottom w:val="single" w:sz="4" w:space="0" w:color="auto"/>
              <w:right w:val="single" w:sz="4" w:space="0" w:color="auto"/>
            </w:tcBorders>
            <w:noWrap/>
            <w:hideMark/>
          </w:tcPr>
          <w:p w14:paraId="1F55332B" w14:textId="77777777" w:rsidR="00F80A2F" w:rsidRPr="007D4F22" w:rsidRDefault="00F80A2F" w:rsidP="008E607A">
            <w:pPr>
              <w:spacing w:before="40" w:after="40" w:line="240" w:lineRule="auto"/>
              <w:rPr>
                <w:rFonts w:ascii="Arial Narrow" w:hAnsi="Arial Narrow"/>
                <w:sz w:val="20"/>
                <w:lang w:eastAsia="en-AU"/>
              </w:rPr>
            </w:pPr>
            <w:r w:rsidRPr="007D4F22">
              <w:rPr>
                <w:rFonts w:ascii="Arial Narrow" w:hAnsi="Arial Narrow"/>
                <w:sz w:val="20"/>
                <w:lang w:eastAsia="en-AU"/>
              </w:rPr>
              <w:t>47 (1.2)</w:t>
            </w:r>
          </w:p>
        </w:tc>
        <w:tc>
          <w:tcPr>
            <w:tcW w:w="878" w:type="pct"/>
            <w:tcBorders>
              <w:top w:val="single" w:sz="4" w:space="0" w:color="auto"/>
              <w:left w:val="single" w:sz="4" w:space="0" w:color="auto"/>
              <w:bottom w:val="single" w:sz="4" w:space="0" w:color="auto"/>
              <w:right w:val="single" w:sz="4" w:space="0" w:color="auto"/>
            </w:tcBorders>
            <w:noWrap/>
            <w:hideMark/>
          </w:tcPr>
          <w:p w14:paraId="2298C2CD" w14:textId="77777777" w:rsidR="00F80A2F" w:rsidRPr="007D4F22" w:rsidRDefault="00F80A2F" w:rsidP="008E607A">
            <w:pPr>
              <w:spacing w:before="40" w:after="40" w:line="240" w:lineRule="auto"/>
              <w:rPr>
                <w:rFonts w:ascii="Arial Narrow" w:hAnsi="Arial Narrow"/>
                <w:sz w:val="20"/>
                <w:lang w:eastAsia="en-AU"/>
              </w:rPr>
            </w:pPr>
            <w:r w:rsidRPr="007D4F22">
              <w:rPr>
                <w:rFonts w:ascii="Arial Narrow" w:hAnsi="Arial Narrow"/>
                <w:sz w:val="20"/>
                <w:lang w:eastAsia="en-AU"/>
              </w:rPr>
              <w:t>1.5% (1.3%, 1.7%)</w:t>
            </w:r>
          </w:p>
        </w:tc>
        <w:tc>
          <w:tcPr>
            <w:tcW w:w="567" w:type="pct"/>
            <w:tcBorders>
              <w:top w:val="single" w:sz="4" w:space="0" w:color="auto"/>
              <w:left w:val="single" w:sz="4" w:space="0" w:color="auto"/>
              <w:bottom w:val="single" w:sz="4" w:space="0" w:color="auto"/>
              <w:right w:val="single" w:sz="4" w:space="0" w:color="auto"/>
            </w:tcBorders>
            <w:noWrap/>
            <w:hideMark/>
          </w:tcPr>
          <w:p w14:paraId="59760591" w14:textId="77777777" w:rsidR="00F80A2F" w:rsidRPr="007D4F22" w:rsidRDefault="00F80A2F" w:rsidP="008E607A">
            <w:pPr>
              <w:spacing w:before="40" w:after="40" w:line="240" w:lineRule="auto"/>
              <w:rPr>
                <w:rFonts w:ascii="Arial Narrow" w:hAnsi="Arial Narrow"/>
                <w:sz w:val="20"/>
                <w:lang w:eastAsia="en-AU"/>
              </w:rPr>
            </w:pPr>
            <w:r w:rsidRPr="007D4F22">
              <w:rPr>
                <w:rFonts w:ascii="Arial Narrow" w:hAnsi="Arial Narrow"/>
                <w:sz w:val="20"/>
                <w:lang w:eastAsia="en-AU"/>
              </w:rPr>
              <w:t>603 (1.6)</w:t>
            </w:r>
          </w:p>
        </w:tc>
        <w:tc>
          <w:tcPr>
            <w:tcW w:w="878" w:type="pct"/>
            <w:tcBorders>
              <w:top w:val="single" w:sz="4" w:space="0" w:color="auto"/>
              <w:left w:val="single" w:sz="4" w:space="0" w:color="auto"/>
              <w:bottom w:val="single" w:sz="4" w:space="0" w:color="auto"/>
              <w:right w:val="single" w:sz="4" w:space="0" w:color="auto"/>
            </w:tcBorders>
            <w:noWrap/>
            <w:hideMark/>
          </w:tcPr>
          <w:p w14:paraId="1FC07660" w14:textId="77777777" w:rsidR="00F80A2F" w:rsidRPr="007D4F22" w:rsidRDefault="00F80A2F" w:rsidP="008E607A">
            <w:pPr>
              <w:spacing w:before="40" w:after="40" w:line="240" w:lineRule="auto"/>
              <w:rPr>
                <w:rFonts w:ascii="Arial Narrow" w:hAnsi="Arial Narrow"/>
                <w:sz w:val="20"/>
                <w:lang w:eastAsia="en-AU"/>
              </w:rPr>
            </w:pPr>
            <w:r w:rsidRPr="007D4F22">
              <w:rPr>
                <w:rFonts w:ascii="Arial Narrow" w:hAnsi="Arial Narrow"/>
                <w:sz w:val="20"/>
                <w:lang w:eastAsia="en-AU"/>
              </w:rPr>
              <w:t>1.9% (1.6%, 2.1%)</w:t>
            </w:r>
          </w:p>
        </w:tc>
        <w:tc>
          <w:tcPr>
            <w:tcW w:w="805" w:type="pct"/>
            <w:tcBorders>
              <w:top w:val="single" w:sz="4" w:space="0" w:color="auto"/>
              <w:left w:val="single" w:sz="4" w:space="0" w:color="auto"/>
              <w:bottom w:val="single" w:sz="4" w:space="0" w:color="auto"/>
              <w:right w:val="single" w:sz="4" w:space="0" w:color="auto"/>
            </w:tcBorders>
            <w:noWrap/>
            <w:hideMark/>
          </w:tcPr>
          <w:p w14:paraId="358A0D87" w14:textId="77777777" w:rsidR="00F80A2F" w:rsidRPr="007D4F22" w:rsidRDefault="00F80A2F" w:rsidP="008E607A">
            <w:pPr>
              <w:spacing w:before="40" w:after="40" w:line="240" w:lineRule="auto"/>
              <w:rPr>
                <w:rFonts w:ascii="Arial Narrow" w:hAnsi="Arial Narrow"/>
                <w:sz w:val="20"/>
                <w:lang w:eastAsia="en-AU"/>
              </w:rPr>
            </w:pPr>
            <w:r w:rsidRPr="007D4F22">
              <w:rPr>
                <w:rFonts w:ascii="Arial Narrow" w:hAnsi="Arial Narrow"/>
                <w:sz w:val="20"/>
                <w:lang w:eastAsia="en-AU"/>
              </w:rPr>
              <w:t>20% (</w:t>
            </w:r>
            <w:r w:rsidRPr="00B50F41">
              <w:rPr>
                <w:rFonts w:ascii="Arial Narrow" w:hAnsi="Arial Narrow"/>
                <w:sz w:val="20"/>
                <w:lang w:val="en" w:eastAsia="en-AU"/>
              </w:rPr>
              <w:t>−</w:t>
            </w:r>
            <w:r w:rsidRPr="007D4F22">
              <w:rPr>
                <w:rFonts w:ascii="Arial Narrow" w:hAnsi="Arial Narrow"/>
                <w:sz w:val="20"/>
                <w:lang w:eastAsia="en-AU"/>
              </w:rPr>
              <w:t>9%, 41%)</w:t>
            </w:r>
          </w:p>
        </w:tc>
        <w:tc>
          <w:tcPr>
            <w:tcW w:w="451" w:type="pct"/>
            <w:tcBorders>
              <w:top w:val="single" w:sz="4" w:space="0" w:color="auto"/>
              <w:left w:val="single" w:sz="4" w:space="0" w:color="auto"/>
              <w:bottom w:val="single" w:sz="4" w:space="0" w:color="auto"/>
              <w:right w:val="single" w:sz="4" w:space="0" w:color="auto"/>
            </w:tcBorders>
            <w:noWrap/>
            <w:hideMark/>
          </w:tcPr>
          <w:p w14:paraId="0C35C6EB" w14:textId="77777777" w:rsidR="00F80A2F" w:rsidRPr="007D4F22" w:rsidRDefault="00F80A2F" w:rsidP="008E607A">
            <w:pPr>
              <w:spacing w:before="40" w:after="40" w:line="240" w:lineRule="auto"/>
              <w:rPr>
                <w:rFonts w:ascii="Arial Narrow" w:hAnsi="Arial Narrow"/>
                <w:sz w:val="20"/>
                <w:lang w:eastAsia="en-AU"/>
              </w:rPr>
            </w:pPr>
            <w:r w:rsidRPr="007D4F22">
              <w:rPr>
                <w:rFonts w:ascii="Arial Narrow" w:hAnsi="Arial Narrow"/>
                <w:sz w:val="20"/>
                <w:lang w:eastAsia="en-AU"/>
              </w:rPr>
              <w:t>0.1596</w:t>
            </w:r>
          </w:p>
        </w:tc>
      </w:tr>
    </w:tbl>
    <w:p w14:paraId="1B1C957D" w14:textId="77777777" w:rsidR="00F80A2F" w:rsidRPr="00F625E7" w:rsidRDefault="00F80A2F" w:rsidP="00F80A2F">
      <w:pPr>
        <w:spacing w:after="360" w:line="240" w:lineRule="auto"/>
        <w:contextualSpacing/>
        <w:rPr>
          <w:rFonts w:ascii="Arial Narrow" w:hAnsi="Arial Narrow"/>
          <w:b/>
          <w:sz w:val="18"/>
          <w:u w:val="single"/>
        </w:rPr>
      </w:pPr>
      <w:r w:rsidRPr="00F625E7">
        <w:rPr>
          <w:rFonts w:ascii="Arial Narrow" w:hAnsi="Arial Narrow"/>
          <w:b/>
          <w:sz w:val="18"/>
          <w:u w:val="single"/>
        </w:rPr>
        <w:t>Abbreviations</w:t>
      </w:r>
    </w:p>
    <w:p w14:paraId="329FAE28" w14:textId="77777777" w:rsidR="00F80A2F" w:rsidRPr="00F625E7" w:rsidRDefault="00F80A2F" w:rsidP="00F80A2F">
      <w:pPr>
        <w:spacing w:after="360" w:line="240" w:lineRule="auto"/>
        <w:contextualSpacing/>
        <w:rPr>
          <w:rFonts w:ascii="Arial Narrow" w:hAnsi="Arial Narrow"/>
          <w:sz w:val="18"/>
        </w:rPr>
      </w:pPr>
      <w:r w:rsidRPr="00F625E7">
        <w:rPr>
          <w:rFonts w:ascii="Arial Narrow" w:hAnsi="Arial Narrow"/>
          <w:b/>
          <w:sz w:val="18"/>
        </w:rPr>
        <w:t>AF</w:t>
      </w:r>
      <w:r>
        <w:rPr>
          <w:rFonts w:ascii="Arial Narrow" w:hAnsi="Arial Narrow"/>
          <w:sz w:val="18"/>
        </w:rPr>
        <w:t xml:space="preserve"> =</w:t>
      </w:r>
      <w:r w:rsidRPr="00F625E7">
        <w:rPr>
          <w:rFonts w:ascii="Arial Narrow" w:hAnsi="Arial Narrow"/>
          <w:sz w:val="18"/>
        </w:rPr>
        <w:t xml:space="preserve"> atrial fibrillation</w:t>
      </w:r>
      <w:r>
        <w:rPr>
          <w:rFonts w:ascii="Arial Narrow" w:hAnsi="Arial Narrow"/>
          <w:sz w:val="18"/>
        </w:rPr>
        <w:t>,</w:t>
      </w:r>
      <w:r w:rsidRPr="00F625E7">
        <w:rPr>
          <w:rFonts w:ascii="Arial Narrow" w:hAnsi="Arial Narrow"/>
          <w:sz w:val="18"/>
        </w:rPr>
        <w:t xml:space="preserve"> </w:t>
      </w:r>
      <w:r w:rsidRPr="00F625E7">
        <w:rPr>
          <w:rFonts w:ascii="Arial Narrow" w:hAnsi="Arial Narrow"/>
          <w:b/>
          <w:sz w:val="18"/>
        </w:rPr>
        <w:t>AVB</w:t>
      </w:r>
      <w:r>
        <w:rPr>
          <w:rFonts w:ascii="Arial Narrow" w:hAnsi="Arial Narrow"/>
          <w:sz w:val="18"/>
        </w:rPr>
        <w:t xml:space="preserve"> =</w:t>
      </w:r>
      <w:r w:rsidRPr="00F625E7">
        <w:rPr>
          <w:rFonts w:ascii="Arial Narrow" w:hAnsi="Arial Narrow"/>
          <w:sz w:val="18"/>
        </w:rPr>
        <w:t xml:space="preserve"> atrioventricular block</w:t>
      </w:r>
      <w:r>
        <w:rPr>
          <w:rFonts w:ascii="Arial Narrow" w:hAnsi="Arial Narrow"/>
          <w:sz w:val="18"/>
        </w:rPr>
        <w:t>,</w:t>
      </w:r>
      <w:r w:rsidRPr="00F625E7">
        <w:rPr>
          <w:rFonts w:ascii="Arial Narrow" w:hAnsi="Arial Narrow"/>
          <w:sz w:val="18"/>
        </w:rPr>
        <w:t xml:space="preserve"> </w:t>
      </w:r>
      <w:r w:rsidRPr="00F625E7">
        <w:rPr>
          <w:rFonts w:ascii="Arial Narrow" w:hAnsi="Arial Narrow"/>
          <w:b/>
          <w:sz w:val="18"/>
        </w:rPr>
        <w:t>CED</w:t>
      </w:r>
      <w:r>
        <w:rPr>
          <w:rFonts w:ascii="Arial Narrow" w:hAnsi="Arial Narrow"/>
          <w:sz w:val="18"/>
        </w:rPr>
        <w:t xml:space="preserve"> = </w:t>
      </w:r>
      <w:r w:rsidRPr="00961756">
        <w:rPr>
          <w:rFonts w:ascii="Arial Narrow" w:hAnsi="Arial Narrow"/>
          <w:sz w:val="18"/>
        </w:rPr>
        <w:t>coverage with evidence development</w:t>
      </w:r>
      <w:r>
        <w:rPr>
          <w:rFonts w:ascii="Arial Narrow" w:hAnsi="Arial Narrow"/>
          <w:sz w:val="18"/>
        </w:rPr>
        <w:t>,</w:t>
      </w:r>
      <w:r w:rsidRPr="00F625E7">
        <w:rPr>
          <w:rFonts w:ascii="Arial Narrow" w:hAnsi="Arial Narrow"/>
          <w:sz w:val="18"/>
        </w:rPr>
        <w:t xml:space="preserve"> </w:t>
      </w:r>
      <w:r w:rsidRPr="00F625E7">
        <w:rPr>
          <w:rFonts w:ascii="Arial Narrow" w:hAnsi="Arial Narrow"/>
          <w:b/>
          <w:sz w:val="18"/>
        </w:rPr>
        <w:t>CI</w:t>
      </w:r>
      <w:r>
        <w:rPr>
          <w:rFonts w:ascii="Arial Narrow" w:hAnsi="Arial Narrow"/>
          <w:sz w:val="18"/>
        </w:rPr>
        <w:t xml:space="preserve"> =</w:t>
      </w:r>
      <w:r w:rsidRPr="00F625E7">
        <w:rPr>
          <w:rFonts w:ascii="Arial Narrow" w:hAnsi="Arial Narrow"/>
          <w:sz w:val="18"/>
        </w:rPr>
        <w:t xml:space="preserve"> confidence interval</w:t>
      </w:r>
      <w:r>
        <w:rPr>
          <w:rFonts w:ascii="Arial Narrow" w:hAnsi="Arial Narrow"/>
          <w:sz w:val="18"/>
        </w:rPr>
        <w:t>,</w:t>
      </w:r>
      <w:r w:rsidRPr="00F625E7">
        <w:rPr>
          <w:rFonts w:ascii="Arial Narrow" w:hAnsi="Arial Narrow"/>
          <w:sz w:val="18"/>
        </w:rPr>
        <w:t xml:space="preserve"> </w:t>
      </w:r>
      <w:r w:rsidRPr="00F625E7">
        <w:rPr>
          <w:rFonts w:ascii="Arial Narrow" w:hAnsi="Arial Narrow"/>
          <w:b/>
          <w:sz w:val="18"/>
        </w:rPr>
        <w:t>CIF</w:t>
      </w:r>
      <w:r>
        <w:rPr>
          <w:rFonts w:ascii="Arial Narrow" w:hAnsi="Arial Narrow"/>
          <w:sz w:val="18"/>
        </w:rPr>
        <w:t xml:space="preserve"> =</w:t>
      </w:r>
      <w:r w:rsidRPr="00F625E7">
        <w:rPr>
          <w:rFonts w:ascii="Arial Narrow" w:hAnsi="Arial Narrow"/>
          <w:sz w:val="18"/>
        </w:rPr>
        <w:t xml:space="preserve"> cumulative incidence function</w:t>
      </w:r>
      <w:r>
        <w:rPr>
          <w:rFonts w:ascii="Arial Narrow" w:hAnsi="Arial Narrow"/>
          <w:sz w:val="18"/>
        </w:rPr>
        <w:t>,</w:t>
      </w:r>
      <w:r w:rsidRPr="00F625E7">
        <w:rPr>
          <w:rFonts w:ascii="Arial Narrow" w:hAnsi="Arial Narrow"/>
          <w:sz w:val="18"/>
        </w:rPr>
        <w:t xml:space="preserve"> </w:t>
      </w:r>
      <w:r w:rsidRPr="00F625E7">
        <w:rPr>
          <w:rFonts w:ascii="Arial Narrow" w:hAnsi="Arial Narrow"/>
          <w:b/>
          <w:sz w:val="18"/>
        </w:rPr>
        <w:t>CRT</w:t>
      </w:r>
      <w:r>
        <w:rPr>
          <w:rFonts w:ascii="Arial Narrow" w:hAnsi="Arial Narrow"/>
          <w:sz w:val="18"/>
        </w:rPr>
        <w:t xml:space="preserve"> =</w:t>
      </w:r>
      <w:r w:rsidRPr="00F625E7">
        <w:rPr>
          <w:rFonts w:ascii="Arial Narrow" w:hAnsi="Arial Narrow"/>
          <w:sz w:val="18"/>
        </w:rPr>
        <w:t xml:space="preserve"> cardiac resynchronisation therapy</w:t>
      </w:r>
      <w:r>
        <w:rPr>
          <w:rFonts w:ascii="Arial Narrow" w:hAnsi="Arial Narrow"/>
          <w:sz w:val="18"/>
        </w:rPr>
        <w:t>,</w:t>
      </w:r>
      <w:r w:rsidRPr="00F625E7">
        <w:rPr>
          <w:rFonts w:ascii="Arial Narrow" w:hAnsi="Arial Narrow"/>
          <w:sz w:val="18"/>
        </w:rPr>
        <w:t xml:space="preserve"> </w:t>
      </w:r>
      <w:r w:rsidRPr="00F625E7">
        <w:rPr>
          <w:rFonts w:ascii="Arial Narrow" w:hAnsi="Arial Narrow"/>
          <w:b/>
          <w:sz w:val="18"/>
        </w:rPr>
        <w:t xml:space="preserve">DC-TVPM </w:t>
      </w:r>
      <w:r>
        <w:rPr>
          <w:rFonts w:ascii="Arial Narrow" w:hAnsi="Arial Narrow"/>
          <w:sz w:val="18"/>
        </w:rPr>
        <w:t>=</w:t>
      </w:r>
      <w:r w:rsidRPr="00F625E7">
        <w:rPr>
          <w:rFonts w:ascii="Arial Narrow" w:hAnsi="Arial Narrow"/>
          <w:sz w:val="18"/>
        </w:rPr>
        <w:t xml:space="preserve"> dual-chamber transvenous pacemaker; </w:t>
      </w:r>
      <w:r w:rsidRPr="00F625E7">
        <w:rPr>
          <w:rFonts w:ascii="Arial Narrow" w:hAnsi="Arial Narrow"/>
          <w:b/>
          <w:sz w:val="18"/>
        </w:rPr>
        <w:t>N/A</w:t>
      </w:r>
      <w:r>
        <w:rPr>
          <w:rFonts w:ascii="Arial Narrow" w:hAnsi="Arial Narrow"/>
          <w:sz w:val="18"/>
        </w:rPr>
        <w:t xml:space="preserve"> =</w:t>
      </w:r>
      <w:r w:rsidRPr="00F625E7">
        <w:rPr>
          <w:rFonts w:ascii="Arial Narrow" w:hAnsi="Arial Narrow"/>
          <w:sz w:val="18"/>
        </w:rPr>
        <w:t xml:space="preserve"> not applicable</w:t>
      </w:r>
      <w:r>
        <w:rPr>
          <w:rFonts w:ascii="Arial Narrow" w:hAnsi="Arial Narrow"/>
          <w:sz w:val="18"/>
        </w:rPr>
        <w:t>,</w:t>
      </w:r>
      <w:r w:rsidRPr="00F625E7">
        <w:rPr>
          <w:rFonts w:ascii="Arial Narrow" w:hAnsi="Arial Narrow"/>
          <w:sz w:val="18"/>
        </w:rPr>
        <w:t xml:space="preserve"> </w:t>
      </w:r>
      <w:r w:rsidRPr="00F625E7">
        <w:rPr>
          <w:rFonts w:ascii="Arial Narrow" w:hAnsi="Arial Narrow"/>
          <w:b/>
          <w:sz w:val="18"/>
        </w:rPr>
        <w:t>NE</w:t>
      </w:r>
      <w:r>
        <w:rPr>
          <w:rFonts w:ascii="Arial Narrow" w:hAnsi="Arial Narrow"/>
          <w:sz w:val="18"/>
        </w:rPr>
        <w:t xml:space="preserve"> =</w:t>
      </w:r>
      <w:r w:rsidRPr="00F625E7">
        <w:rPr>
          <w:rFonts w:ascii="Arial Narrow" w:hAnsi="Arial Narrow"/>
          <w:sz w:val="18"/>
        </w:rPr>
        <w:t xml:space="preserve"> not estimable</w:t>
      </w:r>
      <w:r>
        <w:rPr>
          <w:rFonts w:ascii="Arial Narrow" w:hAnsi="Arial Narrow"/>
          <w:sz w:val="18"/>
        </w:rPr>
        <w:t>,</w:t>
      </w:r>
      <w:r w:rsidRPr="00F625E7">
        <w:rPr>
          <w:rFonts w:ascii="Arial Narrow" w:hAnsi="Arial Narrow"/>
          <w:sz w:val="18"/>
        </w:rPr>
        <w:t xml:space="preserve"> </w:t>
      </w:r>
      <w:r w:rsidRPr="00F625E7">
        <w:rPr>
          <w:rFonts w:ascii="Arial Narrow" w:hAnsi="Arial Narrow"/>
          <w:b/>
          <w:sz w:val="18"/>
        </w:rPr>
        <w:t>RRR</w:t>
      </w:r>
      <w:r>
        <w:rPr>
          <w:rFonts w:ascii="Arial Narrow" w:hAnsi="Arial Narrow"/>
          <w:sz w:val="18"/>
        </w:rPr>
        <w:t xml:space="preserve"> =</w:t>
      </w:r>
      <w:r w:rsidRPr="00F625E7">
        <w:rPr>
          <w:rFonts w:ascii="Arial Narrow" w:hAnsi="Arial Narrow"/>
          <w:sz w:val="18"/>
        </w:rPr>
        <w:t xml:space="preserve"> relative risk reduction.</w:t>
      </w:r>
    </w:p>
    <w:p w14:paraId="32E914E4" w14:textId="77777777" w:rsidR="00F80A2F" w:rsidRPr="00F625E7" w:rsidRDefault="00F80A2F" w:rsidP="00F80A2F">
      <w:pPr>
        <w:spacing w:after="360" w:line="240" w:lineRule="auto"/>
        <w:contextualSpacing/>
        <w:rPr>
          <w:rFonts w:ascii="Arial Narrow" w:hAnsi="Arial Narrow"/>
          <w:b/>
          <w:sz w:val="18"/>
          <w:u w:val="single"/>
        </w:rPr>
      </w:pPr>
      <w:r w:rsidRPr="00F625E7">
        <w:rPr>
          <w:rFonts w:ascii="Arial Narrow" w:hAnsi="Arial Narrow"/>
          <w:b/>
          <w:sz w:val="18"/>
          <w:u w:val="single"/>
        </w:rPr>
        <w:t>Notes</w:t>
      </w:r>
    </w:p>
    <w:p w14:paraId="32D338EF" w14:textId="77777777" w:rsidR="00F80A2F" w:rsidRPr="00105E02" w:rsidRDefault="00F80A2F" w:rsidP="00F80A2F">
      <w:pPr>
        <w:widowControl w:val="0"/>
        <w:spacing w:after="360" w:line="240" w:lineRule="auto"/>
        <w:contextualSpacing/>
        <w:rPr>
          <w:rFonts w:ascii="Arial Narrow" w:hAnsi="Arial Narrow"/>
          <w:sz w:val="18"/>
        </w:rPr>
      </w:pPr>
      <w:r w:rsidRPr="00105E02">
        <w:rPr>
          <w:rFonts w:ascii="Arial Narrow" w:hAnsi="Arial Narrow"/>
          <w:sz w:val="18"/>
        </w:rPr>
        <w:t>*</w:t>
      </w:r>
      <w:r>
        <w:rPr>
          <w:rFonts w:ascii="Arial Narrow" w:hAnsi="Arial Narrow"/>
          <w:sz w:val="18"/>
        </w:rPr>
        <w:t xml:space="preserve"> =</w:t>
      </w:r>
      <w:r w:rsidRPr="00105E02">
        <w:rPr>
          <w:rFonts w:ascii="Arial Narrow" w:hAnsi="Arial Narrow"/>
          <w:sz w:val="18"/>
        </w:rPr>
        <w:t xml:space="preserve"> Event occurred in &lt;10 patients.</w:t>
      </w:r>
    </w:p>
    <w:p w14:paraId="6C3BF4F3" w14:textId="77777777" w:rsidR="00F80A2F" w:rsidRPr="00F625E7" w:rsidRDefault="00F80A2F" w:rsidP="00F80A2F">
      <w:pPr>
        <w:spacing w:after="360" w:line="240" w:lineRule="auto"/>
        <w:contextualSpacing/>
        <w:rPr>
          <w:rFonts w:ascii="Arial Narrow" w:hAnsi="Arial Narrow"/>
          <w:sz w:val="18"/>
        </w:rPr>
      </w:pPr>
      <w:r w:rsidRPr="00105E02">
        <w:rPr>
          <w:rFonts w:ascii="Arial Narrow" w:hAnsi="Arial Narrow"/>
          <w:b/>
          <w:bCs/>
          <w:sz w:val="18"/>
        </w:rPr>
        <w:t>Bold</w:t>
      </w:r>
      <w:r w:rsidRPr="00105E02">
        <w:rPr>
          <w:rFonts w:ascii="Arial Narrow" w:hAnsi="Arial Narrow"/>
          <w:sz w:val="18"/>
        </w:rPr>
        <w:t xml:space="preserve"> denotes statistical significance</w:t>
      </w:r>
    </w:p>
    <w:p w14:paraId="5E2B7EE0" w14:textId="6DF156D9" w:rsidR="00F80A2F" w:rsidRPr="00F80A2F" w:rsidRDefault="00F80A2F" w:rsidP="00F80A2F">
      <w:pPr>
        <w:spacing w:after="360" w:line="240" w:lineRule="auto"/>
        <w:contextualSpacing/>
        <w:rPr>
          <w:rFonts w:ascii="Arial Narrow" w:hAnsi="Arial Narrow"/>
          <w:sz w:val="18"/>
        </w:rPr>
      </w:pPr>
      <w:r w:rsidRPr="00F625E7">
        <w:rPr>
          <w:rFonts w:ascii="Arial Narrow" w:hAnsi="Arial Narrow"/>
          <w:b/>
          <w:sz w:val="18"/>
          <w:u w:val="single"/>
        </w:rPr>
        <w:t>Source</w:t>
      </w:r>
      <w:r>
        <w:rPr>
          <w:rFonts w:ascii="Arial Narrow" w:hAnsi="Arial Narrow"/>
          <w:sz w:val="18"/>
        </w:rPr>
        <w:t xml:space="preserve"> </w:t>
      </w:r>
      <w:r w:rsidRPr="00F625E7">
        <w:rPr>
          <w:rFonts w:ascii="Arial Narrow" w:hAnsi="Arial Narrow"/>
          <w:sz w:val="18"/>
        </w:rPr>
        <w:t>Attachment 8 ‘Results of the post</w:t>
      </w:r>
      <w:r>
        <w:rPr>
          <w:rFonts w:ascii="Arial Narrow" w:hAnsi="Arial Narrow"/>
          <w:sz w:val="18"/>
        </w:rPr>
        <w:t xml:space="preserve"> </w:t>
      </w:r>
      <w:r w:rsidRPr="00F625E7">
        <w:rPr>
          <w:rFonts w:ascii="Arial Narrow" w:hAnsi="Arial Narrow"/>
          <w:sz w:val="18"/>
        </w:rPr>
        <w:t>hoc subgroup analyses Micra AV CED’.xlsx</w:t>
      </w:r>
    </w:p>
    <w:p w14:paraId="599E61D4" w14:textId="77777777" w:rsidR="007D4F22" w:rsidRPr="007D4F22" w:rsidRDefault="007D4F22" w:rsidP="007D4F22">
      <w:pPr>
        <w:rPr>
          <w:color w:val="258221"/>
        </w:rPr>
        <w:sectPr w:rsidR="007D4F22" w:rsidRPr="007D4F22" w:rsidSect="001E5205">
          <w:type w:val="evenPage"/>
          <w:pgSz w:w="11906" w:h="16838" w:code="9"/>
          <w:pgMar w:top="1440" w:right="1440" w:bottom="1440" w:left="1440" w:header="709" w:footer="709" w:gutter="0"/>
          <w:pgNumType w:start="27"/>
          <w:cols w:space="708"/>
          <w:docGrid w:linePitch="360"/>
        </w:sectPr>
      </w:pPr>
    </w:p>
    <w:p w14:paraId="0BE13F3B" w14:textId="77777777" w:rsidR="007D4F22" w:rsidRPr="0002240F" w:rsidRDefault="007D4F22" w:rsidP="00CE5460">
      <w:pPr>
        <w:keepNext/>
        <w:keepLines/>
        <w:spacing w:before="480" w:after="120" w:line="240" w:lineRule="auto"/>
        <w:outlineLvl w:val="2"/>
        <w:rPr>
          <w:rFonts w:ascii="Franklin Gothic Medium" w:eastAsiaTheme="majorEastAsia" w:hAnsi="Franklin Gothic Medium" w:cstheme="majorBidi"/>
          <w:color w:val="000000" w:themeColor="text1"/>
          <w:sz w:val="24"/>
          <w:szCs w:val="24"/>
          <w:lang w:val="en-US"/>
        </w:rPr>
      </w:pPr>
      <w:r w:rsidRPr="0002240F">
        <w:rPr>
          <w:rFonts w:ascii="Franklin Gothic Medium" w:eastAsiaTheme="majorEastAsia" w:hAnsi="Franklin Gothic Medium" w:cstheme="majorBidi"/>
          <w:color w:val="000000" w:themeColor="text1"/>
          <w:sz w:val="24"/>
          <w:szCs w:val="24"/>
          <w:lang w:val="en-US"/>
        </w:rPr>
        <w:t>Pacemaker syndrome</w:t>
      </w:r>
    </w:p>
    <w:p w14:paraId="5B4360F2" w14:textId="440184FC" w:rsidR="007D4F22" w:rsidRPr="007D4F22" w:rsidRDefault="007D4F22" w:rsidP="0089050B">
      <w:r w:rsidRPr="4C0A0968">
        <w:t xml:space="preserve">The Micra AV CED did not report pacemaker syndrome explicitly, which would likely have been captured in the rate of system revisions. Data from </w:t>
      </w:r>
      <w:r w:rsidR="00593A32" w:rsidRPr="4C0A0968">
        <w:t xml:space="preserve">2 </w:t>
      </w:r>
      <w:r w:rsidRPr="4C0A0968">
        <w:t xml:space="preserve">single-arm studies were provided as supportive evidence, which indicated that pacemaker syndrome occurred in 0% to 0.3% of patients from </w:t>
      </w:r>
      <w:r w:rsidR="00593A32" w:rsidRPr="4C0A0968">
        <w:t xml:space="preserve">3 </w:t>
      </w:r>
      <w:r w:rsidRPr="4C0A0968">
        <w:t xml:space="preserve">to 12 months after implantation with a Micra AV. However, at least 13% of patients had AF in each study, so it is unclear whether the rates of pacemaker syndrome reported in these studies </w:t>
      </w:r>
      <w:r w:rsidR="006D6279">
        <w:t>apply</w:t>
      </w:r>
      <w:r w:rsidRPr="4C0A0968">
        <w:t xml:space="preserve"> to the proposed MBS population. </w:t>
      </w:r>
      <w:r w:rsidR="7947327C" w:rsidRPr="4C0A0968">
        <w:t>There were no data available on the rate of pacemaker syndrome in patients receiving a DC-TVPM.</w:t>
      </w:r>
    </w:p>
    <w:p w14:paraId="42EB0BB1" w14:textId="77777777" w:rsidR="007D4F22" w:rsidRPr="007D4F22" w:rsidRDefault="007D4F22" w:rsidP="00CE5460">
      <w:pPr>
        <w:keepNext/>
        <w:keepLines/>
        <w:spacing w:before="240" w:after="120" w:line="240" w:lineRule="auto"/>
        <w:outlineLvl w:val="2"/>
        <w:rPr>
          <w:rFonts w:ascii="Franklin Gothic Medium" w:eastAsiaTheme="majorEastAsia" w:hAnsi="Franklin Gothic Medium" w:cstheme="majorBidi"/>
          <w:color w:val="000000" w:themeColor="text1"/>
          <w:sz w:val="24"/>
          <w:szCs w:val="24"/>
          <w:lang w:val="en-US"/>
        </w:rPr>
      </w:pPr>
      <w:r w:rsidRPr="007D4F22">
        <w:rPr>
          <w:rFonts w:ascii="Franklin Gothic Medium" w:eastAsiaTheme="majorEastAsia" w:hAnsi="Franklin Gothic Medium" w:cstheme="majorBidi"/>
          <w:color w:val="000000" w:themeColor="text1"/>
          <w:sz w:val="24"/>
          <w:szCs w:val="24"/>
          <w:lang w:val="en-US"/>
        </w:rPr>
        <w:t>Interpretation and limitations of the safety data</w:t>
      </w:r>
    </w:p>
    <w:p w14:paraId="4E2C4EBB" w14:textId="29C822DA" w:rsidR="007D4F22" w:rsidRPr="007D4F22" w:rsidRDefault="007D4F22" w:rsidP="007D4F22">
      <w:pPr>
        <w:spacing w:before="0"/>
      </w:pPr>
      <w:r w:rsidRPr="007D4F22">
        <w:rPr>
          <w:lang w:val="en-US"/>
        </w:rPr>
        <w:t>The main safety data are derived from a post hoc subgroup analysis of a single large non-</w:t>
      </w:r>
      <w:proofErr w:type="spellStart"/>
      <w:r w:rsidRPr="007D4F22">
        <w:rPr>
          <w:lang w:val="en-US"/>
        </w:rPr>
        <w:t>randomised</w:t>
      </w:r>
      <w:proofErr w:type="spellEnd"/>
      <w:r w:rsidRPr="007D4F22">
        <w:rPr>
          <w:lang w:val="en-US"/>
        </w:rPr>
        <w:t xml:space="preserve"> comparative study (low certainty evidence) (</w:t>
      </w:r>
      <w:r w:rsidR="00C1780B">
        <w:rPr>
          <w:lang w:val="en-US"/>
        </w:rPr>
        <w:fldChar w:fldCharType="begin"/>
      </w:r>
      <w:r w:rsidR="00C1780B">
        <w:rPr>
          <w:lang w:val="en-US"/>
        </w:rPr>
        <w:instrText xml:space="preserve"> REF _Ref186709892 \h </w:instrText>
      </w:r>
      <w:r w:rsidR="00C1780B">
        <w:rPr>
          <w:lang w:val="en-US"/>
        </w:rPr>
      </w:r>
      <w:r w:rsidR="00C1780B">
        <w:rPr>
          <w:lang w:val="en-US"/>
        </w:rPr>
        <w:fldChar w:fldCharType="separate"/>
      </w:r>
      <w:r w:rsidR="00D96B61">
        <w:t xml:space="preserve">Table </w:t>
      </w:r>
      <w:r w:rsidR="00D96B61">
        <w:rPr>
          <w:noProof/>
        </w:rPr>
        <w:t>10</w:t>
      </w:r>
      <w:r w:rsidR="00C1780B">
        <w:rPr>
          <w:lang w:val="en-US"/>
        </w:rPr>
        <w:fldChar w:fldCharType="end"/>
      </w:r>
      <w:r w:rsidRPr="007D4F22">
        <w:rPr>
          <w:lang w:val="en-US"/>
        </w:rPr>
        <w:t xml:space="preserve">) in patients that are applicable to the proposed MBS population. The results indicated that the Micra AV is safer than DC-TVPMs with respect to rates of acute and chronic complications and reinterventions up to </w:t>
      </w:r>
      <w:r w:rsidR="004F646B">
        <w:rPr>
          <w:lang w:val="en-US"/>
        </w:rPr>
        <w:t>2</w:t>
      </w:r>
      <w:r w:rsidR="004F646B" w:rsidRPr="007D4F22">
        <w:rPr>
          <w:lang w:val="en-US"/>
        </w:rPr>
        <w:t xml:space="preserve"> </w:t>
      </w:r>
      <w:r w:rsidRPr="007D4F22">
        <w:rPr>
          <w:lang w:val="en-US"/>
        </w:rPr>
        <w:t xml:space="preserve">years, mainly due to differences in rates of device-related events. However, the lack of information on the </w:t>
      </w:r>
      <w:r w:rsidRPr="007D4F22">
        <w:t xml:space="preserve">extent and severity of these device-related complications and how they were remedied made it difficult to determine how clinically important the differences are. </w:t>
      </w:r>
    </w:p>
    <w:p w14:paraId="14D53613" w14:textId="5E452960" w:rsidR="007D4F22" w:rsidRPr="007D4F22" w:rsidRDefault="007D4F22" w:rsidP="007D4F22">
      <w:pPr>
        <w:spacing w:before="0"/>
      </w:pPr>
      <w:r w:rsidRPr="4C0A0968">
        <w:t xml:space="preserve">It is also unclear how the higher rate of replacements in the first </w:t>
      </w:r>
      <w:r w:rsidR="004F646B" w:rsidRPr="4C0A0968">
        <w:t xml:space="preserve">2 </w:t>
      </w:r>
      <w:r w:rsidRPr="4C0A0968">
        <w:t xml:space="preserve">years after implantation for the Micra AV, compared with DC-TVPMs, affects the functional utility timeline of the device if a second implant fails and necessitates a device switch </w:t>
      </w:r>
      <w:r w:rsidR="00DD2D31" w:rsidRPr="4C0A0968">
        <w:t>in an equivalently short time frame</w:t>
      </w:r>
      <w:r w:rsidRPr="4C0A0968">
        <w:t>. Given that the Micra AV2 may be operative for at least 15 years, the lack of longer</w:t>
      </w:r>
      <w:r w:rsidR="005237EF" w:rsidRPr="4C0A0968">
        <w:t>-term</w:t>
      </w:r>
      <w:r w:rsidRPr="4C0A0968">
        <w:t xml:space="preserve"> data is an issue that warrants consideration of ongoing data collection.</w:t>
      </w:r>
    </w:p>
    <w:p w14:paraId="3717AA01" w14:textId="2823ABA1" w:rsidR="00772829" w:rsidRPr="00CE28E3" w:rsidRDefault="00772829" w:rsidP="004167A0">
      <w:pPr>
        <w:pStyle w:val="Heading2"/>
        <w:numPr>
          <w:ilvl w:val="0"/>
          <w:numId w:val="27"/>
        </w:numPr>
        <w:ind w:hanging="720"/>
      </w:pPr>
      <w:r w:rsidRPr="00CE28E3">
        <w:t>Comparative effectiveness</w:t>
      </w:r>
      <w:bookmarkEnd w:id="28"/>
    </w:p>
    <w:p w14:paraId="6AA131CE" w14:textId="77777777" w:rsidR="00F42D17" w:rsidRPr="00AB2987" w:rsidRDefault="00F42D17" w:rsidP="00CE5460">
      <w:pPr>
        <w:pStyle w:val="Heading3"/>
        <w:spacing w:before="240" w:after="120"/>
      </w:pPr>
      <w:r>
        <w:t>All-cause mortality (</w:t>
      </w:r>
      <w:r w:rsidRPr="00AB2987">
        <w:t>30 days</w:t>
      </w:r>
      <w:r>
        <w:t xml:space="preserve"> and 2 years)</w:t>
      </w:r>
    </w:p>
    <w:p w14:paraId="6D8C3ACE" w14:textId="1BD5A264" w:rsidR="00777D58" w:rsidRDefault="00F42D17" w:rsidP="002322B0">
      <w:pPr>
        <w:rPr>
          <w:lang w:val="en-US"/>
        </w:rPr>
      </w:pPr>
      <w:r w:rsidRPr="005C4705">
        <w:t xml:space="preserve">The 30-day mortality rate was higher </w:t>
      </w:r>
      <w:r>
        <w:t>with</w:t>
      </w:r>
      <w:r w:rsidRPr="005C4705">
        <w:t xml:space="preserve"> Micra AV</w:t>
      </w:r>
      <w:r>
        <w:t xml:space="preserve"> implantation than</w:t>
      </w:r>
      <w:r w:rsidRPr="005C4705">
        <w:t xml:space="preserve"> with DC-TVPMs, in both unadjusted and adjusted analyses (</w:t>
      </w:r>
      <w:r w:rsidR="00F96338">
        <w:t xml:space="preserve">adjusted analysis: </w:t>
      </w:r>
      <w:r w:rsidRPr="005C4705">
        <w:t>5.8% versus 3.0%; RR 1.94, 95% CI 1.69, 2.23)</w:t>
      </w:r>
      <w:r>
        <w:t xml:space="preserve"> (</w:t>
      </w:r>
      <w:r w:rsidR="00C1780B">
        <w:fldChar w:fldCharType="begin"/>
      </w:r>
      <w:r w:rsidR="00C1780B">
        <w:instrText xml:space="preserve"> REF _Ref183613143 \h </w:instrText>
      </w:r>
      <w:r w:rsidR="00C1780B">
        <w:fldChar w:fldCharType="separate"/>
      </w:r>
      <w:r w:rsidR="00D96B61">
        <w:t xml:space="preserve">Table </w:t>
      </w:r>
      <w:r w:rsidR="00D96B61">
        <w:rPr>
          <w:noProof/>
        </w:rPr>
        <w:t>7</w:t>
      </w:r>
      <w:r w:rsidR="00C1780B">
        <w:fldChar w:fldCharType="end"/>
      </w:r>
      <w:r>
        <w:t>)</w:t>
      </w:r>
      <w:r w:rsidRPr="005C4705">
        <w:t xml:space="preserve">. </w:t>
      </w:r>
      <w:r>
        <w:t>Within</w:t>
      </w:r>
      <w:r w:rsidR="00B624ED">
        <w:t xml:space="preserve"> </w:t>
      </w:r>
      <w:r w:rsidR="00111839">
        <w:t xml:space="preserve">2 </w:t>
      </w:r>
      <w:r>
        <w:t xml:space="preserve">years of surgery, 28.9% of patients implanted with the Micra AV and 14.6% of patients implanted with DC-TVPMs had died (HR 1.55, 95% CI 1.44, 1.68; p&lt;0.0001). The adjusted cumulative incidence was 31.5% in the Micra AV group and 21.6% in the DC-TVPM group. </w:t>
      </w:r>
      <w:r w:rsidRPr="005C4705">
        <w:rPr>
          <w:lang w:val="en-US"/>
        </w:rPr>
        <w:t>As noted previously</w:t>
      </w:r>
      <w:r>
        <w:rPr>
          <w:lang w:val="en-US"/>
        </w:rPr>
        <w:t xml:space="preserve">, it is possible that a proportion of </w:t>
      </w:r>
      <w:r w:rsidRPr="005C4705">
        <w:rPr>
          <w:lang w:val="en-US"/>
        </w:rPr>
        <w:t xml:space="preserve">patients who received the </w:t>
      </w:r>
      <w:r w:rsidRPr="005C4705">
        <w:t>Micra AV</w:t>
      </w:r>
      <w:r w:rsidRPr="005C4705">
        <w:rPr>
          <w:lang w:val="en-US"/>
        </w:rPr>
        <w:t xml:space="preserve"> </w:t>
      </w:r>
      <w:r>
        <w:rPr>
          <w:lang w:val="en-US"/>
        </w:rPr>
        <w:t xml:space="preserve">in the subgroup analysis </w:t>
      </w:r>
      <w:r w:rsidRPr="005C4705">
        <w:rPr>
          <w:lang w:val="en-US"/>
        </w:rPr>
        <w:t>would have been ineligible for a DC-TVPM. This is a</w:t>
      </w:r>
      <w:r w:rsidR="007D2F87">
        <w:rPr>
          <w:lang w:val="en-US"/>
        </w:rPr>
        <w:t>n important</w:t>
      </w:r>
      <w:r w:rsidRPr="005C4705">
        <w:rPr>
          <w:lang w:val="en-US"/>
        </w:rPr>
        <w:t xml:space="preserve"> confounding factor given that </w:t>
      </w:r>
      <w:r>
        <w:rPr>
          <w:lang w:val="en-US"/>
        </w:rPr>
        <w:t>t</w:t>
      </w:r>
      <w:r w:rsidRPr="005C4705">
        <w:rPr>
          <w:lang w:val="en-US"/>
        </w:rPr>
        <w:t xml:space="preserve">hese patients </w:t>
      </w:r>
      <w:r>
        <w:rPr>
          <w:lang w:val="en-US"/>
        </w:rPr>
        <w:t>tend to have a</w:t>
      </w:r>
      <w:r w:rsidRPr="005C4705">
        <w:rPr>
          <w:lang w:val="en-US"/>
        </w:rPr>
        <w:t xml:space="preserve"> significantly higher rate of all-cause mortality than those who </w:t>
      </w:r>
      <w:r>
        <w:rPr>
          <w:lang w:val="en-US"/>
        </w:rPr>
        <w:t>a</w:t>
      </w:r>
      <w:r w:rsidRPr="005C4705">
        <w:rPr>
          <w:lang w:val="en-US"/>
        </w:rPr>
        <w:t>re eligible for either therapy</w:t>
      </w:r>
      <w:r>
        <w:rPr>
          <w:lang w:val="en-US"/>
        </w:rPr>
        <w:t>.</w:t>
      </w:r>
      <w:r w:rsidRPr="003036AF">
        <w:rPr>
          <w:vertAlign w:val="superscript"/>
          <w:lang w:val="en-US"/>
        </w:rPr>
        <w:fldChar w:fldCharType="begin"/>
      </w:r>
      <w:r w:rsidRPr="003036AF">
        <w:rPr>
          <w:vertAlign w:val="superscript"/>
          <w:lang w:val="en-US"/>
        </w:rPr>
        <w:instrText xml:space="preserve"> NOTEREF _Ref182572066 \h </w:instrText>
      </w:r>
      <w:r>
        <w:rPr>
          <w:vertAlign w:val="superscript"/>
          <w:lang w:val="en-US"/>
        </w:rPr>
        <w:instrText xml:space="preserve"> \* MERGEFORMAT </w:instrText>
      </w:r>
      <w:r w:rsidRPr="003036AF">
        <w:rPr>
          <w:vertAlign w:val="superscript"/>
          <w:lang w:val="en-US"/>
        </w:rPr>
      </w:r>
      <w:r w:rsidRPr="003036AF">
        <w:rPr>
          <w:vertAlign w:val="superscript"/>
          <w:lang w:val="en-US"/>
        </w:rPr>
        <w:fldChar w:fldCharType="separate"/>
      </w:r>
      <w:r w:rsidR="00D96B61">
        <w:rPr>
          <w:vertAlign w:val="superscript"/>
          <w:lang w:val="en-US"/>
        </w:rPr>
        <w:t>8</w:t>
      </w:r>
      <w:r w:rsidRPr="003036AF">
        <w:rPr>
          <w:vertAlign w:val="superscript"/>
          <w:lang w:val="en-US"/>
        </w:rPr>
        <w:fldChar w:fldCharType="end"/>
      </w:r>
      <w:r w:rsidRPr="005C4705">
        <w:rPr>
          <w:lang w:val="en-US"/>
        </w:rPr>
        <w:t xml:space="preserve"> It is also possible that the large imbalance in sample sizes between the </w:t>
      </w:r>
      <w:r w:rsidR="00900801">
        <w:rPr>
          <w:lang w:val="en-US"/>
        </w:rPr>
        <w:t>2</w:t>
      </w:r>
      <w:r w:rsidR="00900801" w:rsidRPr="005C4705">
        <w:rPr>
          <w:lang w:val="en-US"/>
        </w:rPr>
        <w:t xml:space="preserve"> </w:t>
      </w:r>
      <w:r w:rsidRPr="005C4705">
        <w:rPr>
          <w:lang w:val="en-US"/>
        </w:rPr>
        <w:t xml:space="preserve">treatment groups </w:t>
      </w:r>
      <w:r w:rsidR="7A0D37D8" w:rsidRPr="005C4705">
        <w:rPr>
          <w:lang w:val="en-US"/>
        </w:rPr>
        <w:t xml:space="preserve">(3,902 for </w:t>
      </w:r>
      <w:r w:rsidR="7A0D37D8">
        <w:t>Micra AV</w:t>
      </w:r>
      <w:r w:rsidR="7A0D37D8" w:rsidRPr="005C4705">
        <w:rPr>
          <w:lang w:val="en-US"/>
        </w:rPr>
        <w:t xml:space="preserve"> and 38,077 for </w:t>
      </w:r>
      <w:r w:rsidR="7A0D37D8">
        <w:t>DC-TVPM</w:t>
      </w:r>
      <w:r w:rsidR="7A0D37D8" w:rsidRPr="005C4705">
        <w:rPr>
          <w:lang w:val="en-US"/>
        </w:rPr>
        <w:t xml:space="preserve">) </w:t>
      </w:r>
      <w:r w:rsidRPr="005C4705">
        <w:rPr>
          <w:lang w:val="en-US"/>
        </w:rPr>
        <w:t xml:space="preserve">may be an issue when controlling for baseline characteristics that are not </w:t>
      </w:r>
      <w:r w:rsidRPr="0051640B">
        <w:rPr>
          <w:lang w:val="en-US"/>
        </w:rPr>
        <w:t>independent of each other.</w:t>
      </w:r>
      <w:r w:rsidRPr="005C4705">
        <w:rPr>
          <w:lang w:val="en-US"/>
        </w:rPr>
        <w:t xml:space="preserve"> </w:t>
      </w:r>
    </w:p>
    <w:p w14:paraId="45009EED" w14:textId="07F5B340" w:rsidR="00F42D17" w:rsidRPr="00D409AA" w:rsidRDefault="0051640B" w:rsidP="002322B0">
      <w:pPr>
        <w:rPr>
          <w:lang w:val="en-US"/>
        </w:rPr>
      </w:pPr>
      <w:r w:rsidRPr="0051640B">
        <w:rPr>
          <w:lang w:val="en-US"/>
        </w:rPr>
        <w:t>Even though the study used</w:t>
      </w:r>
      <w:r w:rsidR="00F42D17" w:rsidRPr="0051640B">
        <w:rPr>
          <w:lang w:val="en-US"/>
        </w:rPr>
        <w:t xml:space="preserve"> a weighted cohort of patients that </w:t>
      </w:r>
      <w:r w:rsidRPr="0051640B">
        <w:rPr>
          <w:lang w:val="en-US"/>
        </w:rPr>
        <w:t xml:space="preserve">differed with respect to device type but </w:t>
      </w:r>
      <w:r w:rsidR="00F42D17" w:rsidRPr="005C4705">
        <w:rPr>
          <w:lang w:val="en-US"/>
        </w:rPr>
        <w:t xml:space="preserve">were similar with respect to 31 other baseline and encounter characteristics (preclusion for Micra AV was not considered), </w:t>
      </w:r>
      <w:proofErr w:type="gramStart"/>
      <w:r w:rsidRPr="0051640B">
        <w:rPr>
          <w:lang w:val="en-US"/>
        </w:rPr>
        <w:t>it is clear that there</w:t>
      </w:r>
      <w:proofErr w:type="gramEnd"/>
      <w:r w:rsidRPr="0051640B">
        <w:rPr>
          <w:lang w:val="en-US"/>
        </w:rPr>
        <w:t xml:space="preserve"> may still be confounding factors in the study. </w:t>
      </w:r>
      <w:r w:rsidR="00BC0E12" w:rsidRPr="002A027F">
        <w:rPr>
          <w:lang w:val="en-US"/>
        </w:rPr>
        <w:t xml:space="preserve">Consequently, </w:t>
      </w:r>
      <w:r w:rsidR="00F42D17" w:rsidRPr="005C4705">
        <w:rPr>
          <w:lang w:val="en-US"/>
        </w:rPr>
        <w:t xml:space="preserve">the possibility that there are </w:t>
      </w:r>
      <w:r w:rsidR="5808AE3E" w:rsidRPr="1B7899C8">
        <w:rPr>
          <w:lang w:val="en-US"/>
        </w:rPr>
        <w:t>selection- and</w:t>
      </w:r>
      <w:r w:rsidR="168B473A" w:rsidRPr="1B7899C8">
        <w:rPr>
          <w:lang w:val="en-US"/>
        </w:rPr>
        <w:t xml:space="preserve"> </w:t>
      </w:r>
      <w:r w:rsidR="00F42D17" w:rsidRPr="005C4705">
        <w:rPr>
          <w:lang w:val="en-US"/>
        </w:rPr>
        <w:t xml:space="preserve">device-related effects influencing </w:t>
      </w:r>
      <w:r w:rsidR="00BC0E12" w:rsidRPr="002A027F">
        <w:rPr>
          <w:lang w:val="en-US"/>
        </w:rPr>
        <w:t>th</w:t>
      </w:r>
      <w:r w:rsidR="007F236D" w:rsidRPr="002A027F">
        <w:rPr>
          <w:lang w:val="en-US"/>
        </w:rPr>
        <w:t>e</w:t>
      </w:r>
      <w:r w:rsidR="00F42D17" w:rsidRPr="005C4705">
        <w:rPr>
          <w:lang w:val="en-US"/>
        </w:rPr>
        <w:t xml:space="preserve"> result cannot be dismissed. </w:t>
      </w:r>
      <w:r w:rsidR="00F42D17" w:rsidRPr="002A027F">
        <w:rPr>
          <w:lang w:val="en-US"/>
        </w:rPr>
        <w:t>Therefore</w:t>
      </w:r>
      <w:r w:rsidR="00F42D17">
        <w:rPr>
          <w:rFonts w:eastAsia="Calibri" w:cs="Arial"/>
        </w:rPr>
        <w:t>, although</w:t>
      </w:r>
      <w:r w:rsidR="00F42D17" w:rsidRPr="005C4705">
        <w:rPr>
          <w:rFonts w:eastAsia="Calibri" w:cs="Arial"/>
        </w:rPr>
        <w:t xml:space="preserve"> the Micra AV resulted in a </w:t>
      </w:r>
      <w:r w:rsidR="00F42D17" w:rsidRPr="005C4705">
        <w:t xml:space="preserve">statistically significant higher 30-day </w:t>
      </w:r>
      <w:r w:rsidR="00F42D17">
        <w:t xml:space="preserve">and </w:t>
      </w:r>
      <w:r w:rsidR="009D04AF">
        <w:t>2</w:t>
      </w:r>
      <w:r w:rsidR="00F42D17">
        <w:t xml:space="preserve">-year </w:t>
      </w:r>
      <w:r w:rsidR="00F42D17" w:rsidRPr="00D409AA">
        <w:rPr>
          <w:lang w:val="en-US"/>
        </w:rPr>
        <w:t>adjusted all-cause mortality rate than DC-TVPMs, it is unclear whether or to what extent the inclusion of</w:t>
      </w:r>
      <w:r w:rsidR="00F42D17" w:rsidRPr="005C4705">
        <w:rPr>
          <w:lang w:val="en-US"/>
        </w:rPr>
        <w:t xml:space="preserve"> patients in the LPM group who were ineligible for a DC-TVPM</w:t>
      </w:r>
      <w:r w:rsidR="00545A25" w:rsidRPr="00D409AA">
        <w:rPr>
          <w:lang w:val="en-US"/>
        </w:rPr>
        <w:t>, and other potential confounding factors related to patient selection,</w:t>
      </w:r>
      <w:r w:rsidR="00F42D17" w:rsidRPr="00D409AA">
        <w:rPr>
          <w:lang w:val="en-US"/>
        </w:rPr>
        <w:t xml:space="preserve"> affected this outcome.</w:t>
      </w:r>
    </w:p>
    <w:p w14:paraId="43DDC3F0" w14:textId="77777777" w:rsidR="00F42D17" w:rsidRDefault="00F42D17" w:rsidP="00F42D17">
      <w:pPr>
        <w:pStyle w:val="Heading3"/>
        <w:sectPr w:rsidR="00F42D17" w:rsidSect="00632468">
          <w:type w:val="oddPage"/>
          <w:pgSz w:w="11906" w:h="16838"/>
          <w:pgMar w:top="1440" w:right="1440" w:bottom="1440" w:left="1440" w:header="708" w:footer="708" w:gutter="0"/>
          <w:pgNumType w:start="28"/>
          <w:cols w:space="708"/>
          <w:docGrid w:linePitch="360"/>
        </w:sectPr>
      </w:pPr>
    </w:p>
    <w:p w14:paraId="509F3C28" w14:textId="0E209489" w:rsidR="00C1780B" w:rsidRDefault="00C1780B" w:rsidP="009C553D">
      <w:pPr>
        <w:pStyle w:val="Caption"/>
      </w:pPr>
      <w:bookmarkStart w:id="34" w:name="_Ref186709892"/>
      <w:r>
        <w:t xml:space="preserve">Table </w:t>
      </w:r>
      <w:r w:rsidR="00B00A5A">
        <w:fldChar w:fldCharType="begin"/>
      </w:r>
      <w:r w:rsidR="00B00A5A">
        <w:instrText xml:space="preserve"> SEQ Table \* ARABIC </w:instrText>
      </w:r>
      <w:r w:rsidR="00B00A5A">
        <w:fldChar w:fldCharType="separate"/>
      </w:r>
      <w:r w:rsidR="00B00A5A">
        <w:rPr>
          <w:noProof/>
        </w:rPr>
        <w:t>10</w:t>
      </w:r>
      <w:r w:rsidR="00B00A5A">
        <w:rPr>
          <w:noProof/>
        </w:rPr>
        <w:fldChar w:fldCharType="end"/>
      </w:r>
      <w:bookmarkEnd w:id="34"/>
      <w:r>
        <w:tab/>
      </w:r>
      <w:r w:rsidRPr="00183D08">
        <w:t>Summary of evidence: Micra AV LPM versus DC-TVPM</w:t>
      </w:r>
      <w:r>
        <w:t>s</w:t>
      </w:r>
    </w:p>
    <w:tbl>
      <w:tblPr>
        <w:tblW w:w="5000" w:type="pct"/>
        <w:tblCellMar>
          <w:top w:w="63" w:type="dxa"/>
          <w:left w:w="63" w:type="dxa"/>
          <w:bottom w:w="63" w:type="dxa"/>
          <w:right w:w="63" w:type="dxa"/>
        </w:tblCellMar>
        <w:tblLook w:val="04A0" w:firstRow="1" w:lastRow="0" w:firstColumn="1" w:lastColumn="0" w:noHBand="0" w:noVBand="1"/>
      </w:tblPr>
      <w:tblGrid>
        <w:gridCol w:w="2503"/>
        <w:gridCol w:w="2034"/>
        <w:gridCol w:w="1699"/>
        <w:gridCol w:w="1420"/>
        <w:gridCol w:w="2126"/>
        <w:gridCol w:w="1278"/>
        <w:gridCol w:w="2890"/>
      </w:tblGrid>
      <w:tr w:rsidR="00C539C6" w:rsidRPr="000A42DE" w14:paraId="68457E5C" w14:textId="77777777" w:rsidTr="00C1780B">
        <w:trPr>
          <w:cantSplit/>
          <w:trHeight w:val="20"/>
          <w:tblHeader/>
        </w:trPr>
        <w:tc>
          <w:tcPr>
            <w:tcW w:w="897" w:type="pct"/>
            <w:vMerge w:val="restart"/>
            <w:tcBorders>
              <w:top w:val="nil"/>
              <w:left w:val="nil"/>
              <w:bottom w:val="nil"/>
              <w:right w:val="single" w:sz="6" w:space="0" w:color="EFEFEF"/>
            </w:tcBorders>
            <w:shd w:val="clear" w:color="auto" w:fill="3271AA"/>
            <w:hideMark/>
          </w:tcPr>
          <w:p w14:paraId="38AB9450" w14:textId="77777777" w:rsidR="00F42D17" w:rsidRPr="00472A69" w:rsidRDefault="00F42D17">
            <w:pPr>
              <w:pStyle w:val="TableText"/>
              <w:rPr>
                <w:b/>
                <w:bCs/>
              </w:rPr>
            </w:pPr>
            <w:r w:rsidRPr="00472A69">
              <w:rPr>
                <w:b/>
                <w:bCs/>
                <w:color w:val="FFFFFF" w:themeColor="background1"/>
              </w:rPr>
              <w:t>Outcomes</w:t>
            </w:r>
          </w:p>
        </w:tc>
        <w:tc>
          <w:tcPr>
            <w:tcW w:w="1338" w:type="pct"/>
            <w:gridSpan w:val="2"/>
            <w:tcBorders>
              <w:top w:val="single" w:sz="6" w:space="0" w:color="EFEFEF"/>
              <w:left w:val="nil"/>
              <w:bottom w:val="nil"/>
              <w:right w:val="single" w:sz="6" w:space="0" w:color="EFEFEF"/>
            </w:tcBorders>
            <w:shd w:val="clear" w:color="auto" w:fill="E0E0E0"/>
            <w:hideMark/>
          </w:tcPr>
          <w:p w14:paraId="29658F4A" w14:textId="77777777" w:rsidR="00F42D17" w:rsidRPr="000A42DE" w:rsidRDefault="00F42D17">
            <w:pPr>
              <w:pStyle w:val="TableText"/>
              <w:rPr>
                <w:b/>
                <w:bCs/>
              </w:rPr>
            </w:pPr>
            <w:r w:rsidRPr="000A42DE">
              <w:rPr>
                <w:b/>
                <w:bCs/>
              </w:rPr>
              <w:t>Anticipated absolute effects</w:t>
            </w:r>
            <w:r w:rsidRPr="000A42DE">
              <w:rPr>
                <w:b/>
                <w:bCs/>
                <w:vertAlign w:val="superscript"/>
              </w:rPr>
              <w:t>*</w:t>
            </w:r>
            <w:r w:rsidRPr="000A42DE">
              <w:rPr>
                <w:b/>
                <w:bCs/>
              </w:rPr>
              <w:t xml:space="preserve"> </w:t>
            </w:r>
            <w:r w:rsidRPr="000A42DE">
              <w:t>(95% CI)</w:t>
            </w:r>
          </w:p>
        </w:tc>
        <w:tc>
          <w:tcPr>
            <w:tcW w:w="509" w:type="pct"/>
            <w:vMerge w:val="restart"/>
            <w:tcBorders>
              <w:top w:val="nil"/>
              <w:left w:val="nil"/>
              <w:bottom w:val="nil"/>
              <w:right w:val="single" w:sz="6" w:space="0" w:color="EFEFEF"/>
            </w:tcBorders>
            <w:shd w:val="clear" w:color="auto" w:fill="3271AA"/>
            <w:hideMark/>
          </w:tcPr>
          <w:p w14:paraId="3836D5A3" w14:textId="77777777" w:rsidR="00F42D17" w:rsidRPr="00472A69" w:rsidRDefault="00F42D17">
            <w:pPr>
              <w:pStyle w:val="TableText"/>
              <w:rPr>
                <w:b/>
                <w:bCs/>
                <w:color w:val="FFFFFF" w:themeColor="background1"/>
              </w:rPr>
            </w:pPr>
            <w:r w:rsidRPr="00472A69">
              <w:rPr>
                <w:b/>
                <w:bCs/>
                <w:color w:val="FFFFFF" w:themeColor="background1"/>
              </w:rPr>
              <w:t>Relative effect</w:t>
            </w:r>
            <w:r w:rsidRPr="00472A69">
              <w:rPr>
                <w:b/>
                <w:bCs/>
                <w:color w:val="FFFFFF" w:themeColor="background1"/>
              </w:rPr>
              <w:br/>
              <w:t>(95% CI)</w:t>
            </w:r>
          </w:p>
        </w:tc>
        <w:tc>
          <w:tcPr>
            <w:tcW w:w="762" w:type="pct"/>
            <w:vMerge w:val="restart"/>
            <w:tcBorders>
              <w:top w:val="nil"/>
              <w:left w:val="nil"/>
              <w:bottom w:val="nil"/>
              <w:right w:val="single" w:sz="6" w:space="0" w:color="EFEFEF"/>
            </w:tcBorders>
            <w:shd w:val="clear" w:color="auto" w:fill="3271AA"/>
            <w:hideMark/>
          </w:tcPr>
          <w:p w14:paraId="2AAE9A32" w14:textId="77777777" w:rsidR="00F42D17" w:rsidRPr="00472A69" w:rsidRDefault="00F42D17">
            <w:pPr>
              <w:pStyle w:val="TableText"/>
              <w:rPr>
                <w:b/>
                <w:bCs/>
                <w:color w:val="FFFFFF" w:themeColor="background1"/>
              </w:rPr>
            </w:pPr>
            <w:r w:rsidRPr="00472A69">
              <w:rPr>
                <w:b/>
                <w:bCs/>
                <w:color w:val="FFFFFF" w:themeColor="background1"/>
              </w:rPr>
              <w:t>№ of participants</w:t>
            </w:r>
            <w:r w:rsidRPr="00472A69">
              <w:rPr>
                <w:b/>
                <w:bCs/>
                <w:color w:val="FFFFFF" w:themeColor="background1"/>
              </w:rPr>
              <w:br/>
              <w:t>(studies)</w:t>
            </w:r>
          </w:p>
        </w:tc>
        <w:tc>
          <w:tcPr>
            <w:tcW w:w="458" w:type="pct"/>
            <w:vMerge w:val="restart"/>
            <w:tcBorders>
              <w:top w:val="nil"/>
              <w:left w:val="nil"/>
              <w:bottom w:val="nil"/>
              <w:right w:val="single" w:sz="6" w:space="0" w:color="EFEFEF"/>
            </w:tcBorders>
            <w:shd w:val="clear" w:color="auto" w:fill="3271AA"/>
            <w:hideMark/>
          </w:tcPr>
          <w:p w14:paraId="075E2AB0" w14:textId="4D0225DA" w:rsidR="00F42D17" w:rsidRPr="00472A69" w:rsidRDefault="00F42D17">
            <w:pPr>
              <w:pStyle w:val="TableText"/>
              <w:rPr>
                <w:b/>
                <w:bCs/>
                <w:color w:val="FFFFFF" w:themeColor="background1"/>
              </w:rPr>
            </w:pPr>
            <w:r w:rsidRPr="00472A69">
              <w:rPr>
                <w:b/>
                <w:bCs/>
                <w:color w:val="FFFFFF" w:themeColor="background1"/>
              </w:rPr>
              <w:t>Certainty of the evidence</w:t>
            </w:r>
            <w:r>
              <w:br/>
            </w:r>
            <w:r w:rsidRPr="00472A69">
              <w:rPr>
                <w:b/>
                <w:bCs/>
                <w:color w:val="FFFFFF" w:themeColor="background1"/>
              </w:rPr>
              <w:t>(GRADE)</w:t>
            </w:r>
          </w:p>
        </w:tc>
        <w:tc>
          <w:tcPr>
            <w:tcW w:w="1037" w:type="pct"/>
            <w:vMerge w:val="restart"/>
            <w:tcBorders>
              <w:top w:val="nil"/>
              <w:left w:val="nil"/>
              <w:bottom w:val="nil"/>
              <w:right w:val="single" w:sz="6" w:space="0" w:color="EFEFEF"/>
            </w:tcBorders>
            <w:shd w:val="clear" w:color="auto" w:fill="3271AA"/>
            <w:hideMark/>
          </w:tcPr>
          <w:p w14:paraId="42985018" w14:textId="77777777" w:rsidR="00F42D17" w:rsidRPr="00472A69" w:rsidRDefault="00F42D17">
            <w:pPr>
              <w:pStyle w:val="TableText"/>
              <w:rPr>
                <w:b/>
                <w:bCs/>
                <w:color w:val="FFFFFF" w:themeColor="background1"/>
              </w:rPr>
            </w:pPr>
            <w:r w:rsidRPr="00472A69">
              <w:rPr>
                <w:b/>
                <w:bCs/>
                <w:color w:val="FFFFFF" w:themeColor="background1"/>
              </w:rPr>
              <w:t>Comments</w:t>
            </w:r>
          </w:p>
        </w:tc>
      </w:tr>
      <w:tr w:rsidR="003870B5" w:rsidRPr="000A42DE" w14:paraId="084F43AF" w14:textId="77777777" w:rsidTr="1B7899C8">
        <w:trPr>
          <w:cantSplit/>
          <w:trHeight w:val="20"/>
          <w:tblHeader/>
        </w:trPr>
        <w:tc>
          <w:tcPr>
            <w:tcW w:w="897" w:type="pct"/>
            <w:vMerge/>
            <w:vAlign w:val="center"/>
            <w:hideMark/>
          </w:tcPr>
          <w:p w14:paraId="4D0D80DD" w14:textId="77777777" w:rsidR="00F42D17" w:rsidRPr="000A42DE" w:rsidRDefault="00F42D17">
            <w:pPr>
              <w:pStyle w:val="TableText"/>
            </w:pPr>
          </w:p>
        </w:tc>
        <w:tc>
          <w:tcPr>
            <w:tcW w:w="729" w:type="pct"/>
            <w:tcBorders>
              <w:top w:val="single" w:sz="6" w:space="0" w:color="EFEFEF"/>
              <w:left w:val="nil"/>
              <w:bottom w:val="nil"/>
              <w:right w:val="single" w:sz="6" w:space="0" w:color="EFEFEF"/>
            </w:tcBorders>
            <w:shd w:val="clear" w:color="auto" w:fill="E0E0E0"/>
            <w:vAlign w:val="bottom"/>
            <w:hideMark/>
          </w:tcPr>
          <w:p w14:paraId="1A157847" w14:textId="77777777" w:rsidR="00F42D17" w:rsidRPr="000A42DE" w:rsidRDefault="00F42D17">
            <w:pPr>
              <w:pStyle w:val="TableText"/>
              <w:rPr>
                <w:b/>
                <w:bCs/>
              </w:rPr>
            </w:pPr>
            <w:r w:rsidRPr="000A42DE">
              <w:rPr>
                <w:b/>
                <w:bCs/>
              </w:rPr>
              <w:t>Risk with DC-TVPM</w:t>
            </w:r>
          </w:p>
        </w:tc>
        <w:tc>
          <w:tcPr>
            <w:tcW w:w="609" w:type="pct"/>
            <w:tcBorders>
              <w:top w:val="single" w:sz="6" w:space="0" w:color="EFEFEF"/>
              <w:left w:val="nil"/>
              <w:bottom w:val="nil"/>
              <w:right w:val="single" w:sz="6" w:space="0" w:color="EFEFEF"/>
            </w:tcBorders>
            <w:shd w:val="clear" w:color="auto" w:fill="E0E0E0"/>
            <w:vAlign w:val="bottom"/>
            <w:hideMark/>
          </w:tcPr>
          <w:p w14:paraId="44B3F50A" w14:textId="77777777" w:rsidR="00F42D17" w:rsidRPr="000A42DE" w:rsidRDefault="00F42D17">
            <w:pPr>
              <w:pStyle w:val="TableText"/>
              <w:rPr>
                <w:b/>
                <w:bCs/>
              </w:rPr>
            </w:pPr>
            <w:r w:rsidRPr="000A42DE">
              <w:rPr>
                <w:b/>
                <w:bCs/>
              </w:rPr>
              <w:t>Risk with Micra AV</w:t>
            </w:r>
          </w:p>
        </w:tc>
        <w:tc>
          <w:tcPr>
            <w:tcW w:w="509" w:type="pct"/>
            <w:vMerge/>
            <w:vAlign w:val="center"/>
            <w:hideMark/>
          </w:tcPr>
          <w:p w14:paraId="46CC51C8" w14:textId="77777777" w:rsidR="00F42D17" w:rsidRPr="000A42DE" w:rsidRDefault="00F42D17">
            <w:pPr>
              <w:pStyle w:val="TableText"/>
            </w:pPr>
          </w:p>
        </w:tc>
        <w:tc>
          <w:tcPr>
            <w:tcW w:w="762" w:type="pct"/>
            <w:vMerge/>
            <w:vAlign w:val="center"/>
            <w:hideMark/>
          </w:tcPr>
          <w:p w14:paraId="276A34A2" w14:textId="77777777" w:rsidR="00F42D17" w:rsidRPr="000A42DE" w:rsidRDefault="00F42D17">
            <w:pPr>
              <w:pStyle w:val="TableText"/>
            </w:pPr>
          </w:p>
        </w:tc>
        <w:tc>
          <w:tcPr>
            <w:tcW w:w="458" w:type="pct"/>
            <w:vMerge/>
            <w:vAlign w:val="center"/>
            <w:hideMark/>
          </w:tcPr>
          <w:p w14:paraId="3071EF90" w14:textId="77777777" w:rsidR="00F42D17" w:rsidRPr="000A42DE" w:rsidRDefault="00F42D17">
            <w:pPr>
              <w:pStyle w:val="TableText"/>
            </w:pPr>
          </w:p>
        </w:tc>
        <w:tc>
          <w:tcPr>
            <w:tcW w:w="1037" w:type="pct"/>
            <w:vMerge/>
            <w:vAlign w:val="center"/>
            <w:hideMark/>
          </w:tcPr>
          <w:p w14:paraId="1E003072" w14:textId="77777777" w:rsidR="00F42D17" w:rsidRPr="000A42DE" w:rsidRDefault="00F42D17">
            <w:pPr>
              <w:pStyle w:val="TableText"/>
            </w:pPr>
          </w:p>
        </w:tc>
      </w:tr>
      <w:tr w:rsidR="00F42D17" w:rsidRPr="000A42DE" w14:paraId="46C01C25" w14:textId="77777777" w:rsidTr="57847D84">
        <w:trPr>
          <w:cantSplit/>
          <w:trHeight w:val="20"/>
        </w:trPr>
        <w:tc>
          <w:tcPr>
            <w:tcW w:w="5000" w:type="pct"/>
            <w:gridSpan w:val="7"/>
            <w:tcBorders>
              <w:top w:val="single" w:sz="6" w:space="0" w:color="000000" w:themeColor="text1"/>
              <w:left w:val="nil"/>
              <w:bottom w:val="single" w:sz="6" w:space="0" w:color="000000" w:themeColor="text1"/>
              <w:right w:val="nil"/>
            </w:tcBorders>
            <w:shd w:val="clear" w:color="auto" w:fill="DEEAF6" w:themeFill="accent1" w:themeFillTint="33"/>
            <w:vAlign w:val="center"/>
          </w:tcPr>
          <w:p w14:paraId="63E441E0" w14:textId="77777777" w:rsidR="00F42D17" w:rsidRPr="000A42DE" w:rsidRDefault="00F42D17">
            <w:pPr>
              <w:pStyle w:val="TableText"/>
            </w:pPr>
            <w:r w:rsidRPr="007720AE">
              <w:t xml:space="preserve">Micra AV CED </w:t>
            </w:r>
            <w:r>
              <w:t xml:space="preserve">study </w:t>
            </w:r>
            <w:r w:rsidRPr="007720AE">
              <w:t xml:space="preserve">– ‘AVB </w:t>
            </w:r>
            <w:r w:rsidRPr="00540AC5">
              <w:rPr>
                <w:i/>
                <w:iCs/>
              </w:rPr>
              <w:t>without</w:t>
            </w:r>
            <w:r w:rsidRPr="007720AE">
              <w:t xml:space="preserve"> AF’ </w:t>
            </w:r>
            <w:r>
              <w:t xml:space="preserve">subgroup – </w:t>
            </w:r>
            <w:r w:rsidRPr="007720AE">
              <w:t>adjusted</w:t>
            </w:r>
            <w:r>
              <w:t xml:space="preserve"> analyses</w:t>
            </w:r>
          </w:p>
        </w:tc>
      </w:tr>
      <w:tr w:rsidR="00F42D17" w:rsidRPr="000A42DE" w14:paraId="55A5CBF9" w14:textId="77777777" w:rsidTr="1B7899C8">
        <w:trPr>
          <w:cantSplit/>
          <w:trHeight w:val="20"/>
        </w:trPr>
        <w:tc>
          <w:tcPr>
            <w:tcW w:w="897" w:type="pct"/>
            <w:tcBorders>
              <w:top w:val="single" w:sz="6" w:space="0" w:color="000000" w:themeColor="text1"/>
              <w:left w:val="nil"/>
              <w:bottom w:val="single" w:sz="6" w:space="0" w:color="000000" w:themeColor="text1"/>
              <w:right w:val="nil"/>
            </w:tcBorders>
            <w:vAlign w:val="center"/>
            <w:hideMark/>
          </w:tcPr>
          <w:p w14:paraId="53049540" w14:textId="77777777" w:rsidR="00F42D17" w:rsidRPr="000A42DE" w:rsidRDefault="00F42D17">
            <w:pPr>
              <w:pStyle w:val="TableText"/>
            </w:pPr>
            <w:r w:rsidRPr="000A42DE">
              <w:t>Acute complications (30 days)</w:t>
            </w:r>
          </w:p>
        </w:tc>
        <w:tc>
          <w:tcPr>
            <w:tcW w:w="729" w:type="pct"/>
            <w:tcBorders>
              <w:top w:val="single" w:sz="6" w:space="0" w:color="000000" w:themeColor="text1"/>
              <w:left w:val="nil"/>
              <w:bottom w:val="single" w:sz="6" w:space="0" w:color="000000" w:themeColor="text1"/>
              <w:right w:val="nil"/>
            </w:tcBorders>
            <w:vAlign w:val="center"/>
            <w:hideMark/>
          </w:tcPr>
          <w:p w14:paraId="71DEA1F9" w14:textId="77777777" w:rsidR="00F42D17" w:rsidRPr="00913155" w:rsidRDefault="00F42D17">
            <w:pPr>
              <w:pStyle w:val="TableText"/>
              <w:rPr>
                <w:highlight w:val="yellow"/>
              </w:rPr>
            </w:pPr>
            <w:r w:rsidRPr="0088312D">
              <w:t>104 per 1,000</w:t>
            </w:r>
          </w:p>
        </w:tc>
        <w:tc>
          <w:tcPr>
            <w:tcW w:w="609" w:type="pct"/>
            <w:tcBorders>
              <w:top w:val="single" w:sz="6" w:space="0" w:color="000000" w:themeColor="text1"/>
              <w:left w:val="nil"/>
              <w:bottom w:val="single" w:sz="6" w:space="0" w:color="000000" w:themeColor="text1"/>
              <w:right w:val="nil"/>
            </w:tcBorders>
            <w:shd w:val="clear" w:color="auto" w:fill="EBEBEB"/>
            <w:hideMark/>
          </w:tcPr>
          <w:p w14:paraId="04F8B29D" w14:textId="77777777" w:rsidR="00F42D17" w:rsidRPr="00923008" w:rsidRDefault="00F42D17">
            <w:pPr>
              <w:pStyle w:val="TableText"/>
              <w:rPr>
                <w:highlight w:val="yellow"/>
              </w:rPr>
            </w:pPr>
            <w:r w:rsidRPr="00923008">
              <w:t>87 per 1,000</w:t>
            </w:r>
            <w:r w:rsidRPr="00923008">
              <w:br/>
              <w:t>(78 to 96)</w:t>
            </w:r>
          </w:p>
        </w:tc>
        <w:tc>
          <w:tcPr>
            <w:tcW w:w="509" w:type="pct"/>
            <w:tcBorders>
              <w:top w:val="single" w:sz="6" w:space="0" w:color="000000" w:themeColor="text1"/>
              <w:left w:val="nil"/>
              <w:bottom w:val="single" w:sz="6" w:space="0" w:color="000000" w:themeColor="text1"/>
              <w:right w:val="nil"/>
            </w:tcBorders>
            <w:vAlign w:val="center"/>
            <w:hideMark/>
          </w:tcPr>
          <w:p w14:paraId="53E8ECE7" w14:textId="77777777" w:rsidR="00F42D17" w:rsidRPr="00913155" w:rsidRDefault="00F42D17">
            <w:pPr>
              <w:pStyle w:val="TableText"/>
              <w:rPr>
                <w:highlight w:val="yellow"/>
              </w:rPr>
            </w:pPr>
            <w:r w:rsidRPr="00E31513">
              <w:rPr>
                <w:b/>
                <w:bCs/>
              </w:rPr>
              <w:t>RR 0.83</w:t>
            </w:r>
            <w:r w:rsidRPr="00E31513">
              <w:br/>
              <w:t>(0.75 to 0.92)</w:t>
            </w:r>
          </w:p>
        </w:tc>
        <w:tc>
          <w:tcPr>
            <w:tcW w:w="762" w:type="pct"/>
            <w:tcBorders>
              <w:top w:val="single" w:sz="6" w:space="0" w:color="000000" w:themeColor="text1"/>
              <w:left w:val="nil"/>
              <w:bottom w:val="single" w:sz="6" w:space="0" w:color="000000" w:themeColor="text1"/>
              <w:right w:val="nil"/>
            </w:tcBorders>
            <w:vAlign w:val="center"/>
            <w:hideMark/>
          </w:tcPr>
          <w:p w14:paraId="29D538C7" w14:textId="77777777" w:rsidR="00F42D17" w:rsidRPr="000A42DE" w:rsidRDefault="00F42D17">
            <w:pPr>
              <w:pStyle w:val="TableText"/>
            </w:pPr>
            <w:r w:rsidRPr="000A42DE">
              <w:t>41979</w:t>
            </w:r>
            <w:r w:rsidRPr="000A42DE">
              <w:br/>
              <w:t>(1 non-randomised study)</w:t>
            </w:r>
          </w:p>
        </w:tc>
        <w:tc>
          <w:tcPr>
            <w:tcW w:w="458" w:type="pct"/>
            <w:tcBorders>
              <w:top w:val="single" w:sz="6" w:space="0" w:color="000000" w:themeColor="text1"/>
              <w:left w:val="nil"/>
              <w:bottom w:val="single" w:sz="6" w:space="0" w:color="000000" w:themeColor="text1"/>
              <w:right w:val="nil"/>
            </w:tcBorders>
            <w:hideMark/>
          </w:tcPr>
          <w:p w14:paraId="73F0027B" w14:textId="77777777" w:rsidR="00F42D17" w:rsidRPr="000A42DE" w:rsidRDefault="00F42D17">
            <w:pPr>
              <w:pStyle w:val="TableText"/>
            </w:pPr>
            <w:r w:rsidRPr="005173C6">
              <w:rPr>
                <w:rFonts w:ascii="Cambria Math" w:hAnsi="Cambria Math"/>
                <w:color w:val="388600"/>
              </w:rPr>
              <w:t>⨁⨁</w:t>
            </w:r>
            <w:r w:rsidRPr="00B52AB6">
              <w:rPr>
                <w:rFonts w:ascii="Cambria Math" w:hAnsi="Cambria Math" w:cs="Cambria Math"/>
                <w:color w:val="C00000"/>
              </w:rPr>
              <w:t>⨀⨀</w:t>
            </w:r>
            <w:r w:rsidRPr="00B52AB6">
              <w:br/>
              <w:t>Low</w:t>
            </w:r>
          </w:p>
        </w:tc>
        <w:tc>
          <w:tcPr>
            <w:tcW w:w="1037" w:type="pct"/>
            <w:tcBorders>
              <w:top w:val="single" w:sz="6" w:space="0" w:color="000000" w:themeColor="text1"/>
              <w:left w:val="nil"/>
              <w:bottom w:val="single" w:sz="6" w:space="0" w:color="000000" w:themeColor="text1"/>
              <w:right w:val="nil"/>
            </w:tcBorders>
            <w:vAlign w:val="center"/>
            <w:hideMark/>
          </w:tcPr>
          <w:p w14:paraId="599C20DE" w14:textId="77777777" w:rsidR="00F42D17" w:rsidRPr="000A42DE" w:rsidRDefault="00F42D17">
            <w:pPr>
              <w:pStyle w:val="TableText"/>
            </w:pPr>
            <w:r w:rsidRPr="000A42DE">
              <w:t>Micra AV reduces acute complications (30 days).</w:t>
            </w:r>
          </w:p>
        </w:tc>
      </w:tr>
      <w:tr w:rsidR="00F42D17" w:rsidRPr="000A42DE" w14:paraId="21CA7C85" w14:textId="77777777" w:rsidTr="1B7899C8">
        <w:trPr>
          <w:cantSplit/>
          <w:trHeight w:val="20"/>
        </w:trPr>
        <w:tc>
          <w:tcPr>
            <w:tcW w:w="897" w:type="pct"/>
            <w:tcBorders>
              <w:top w:val="single" w:sz="6" w:space="0" w:color="000000" w:themeColor="text1"/>
              <w:left w:val="nil"/>
              <w:bottom w:val="single" w:sz="6" w:space="0" w:color="000000" w:themeColor="text1"/>
              <w:right w:val="nil"/>
            </w:tcBorders>
            <w:vAlign w:val="center"/>
          </w:tcPr>
          <w:p w14:paraId="548EFBCD" w14:textId="77777777" w:rsidR="00F42D17" w:rsidRPr="000A42DE" w:rsidRDefault="00F42D17">
            <w:pPr>
              <w:pStyle w:val="TableText"/>
            </w:pPr>
            <w:r>
              <w:t>Device-related complications (30 days)</w:t>
            </w:r>
          </w:p>
        </w:tc>
        <w:tc>
          <w:tcPr>
            <w:tcW w:w="729" w:type="pct"/>
            <w:tcBorders>
              <w:top w:val="single" w:sz="6" w:space="0" w:color="000000" w:themeColor="text1"/>
              <w:left w:val="nil"/>
              <w:bottom w:val="single" w:sz="6" w:space="0" w:color="000000" w:themeColor="text1"/>
              <w:right w:val="nil"/>
            </w:tcBorders>
            <w:vAlign w:val="center"/>
          </w:tcPr>
          <w:p w14:paraId="0C5EDA57" w14:textId="77777777" w:rsidR="00F42D17" w:rsidRPr="0088312D" w:rsidRDefault="00F42D17">
            <w:pPr>
              <w:pStyle w:val="TableText"/>
            </w:pPr>
            <w:r>
              <w:t>41 per 1,000</w:t>
            </w:r>
          </w:p>
        </w:tc>
        <w:tc>
          <w:tcPr>
            <w:tcW w:w="609" w:type="pct"/>
            <w:tcBorders>
              <w:top w:val="single" w:sz="6" w:space="0" w:color="000000" w:themeColor="text1"/>
              <w:left w:val="nil"/>
              <w:bottom w:val="single" w:sz="6" w:space="0" w:color="000000" w:themeColor="text1"/>
              <w:right w:val="nil"/>
            </w:tcBorders>
            <w:shd w:val="clear" w:color="auto" w:fill="EBEBEB"/>
          </w:tcPr>
          <w:p w14:paraId="2DEB008A" w14:textId="77777777" w:rsidR="00F42D17" w:rsidRPr="00923008" w:rsidRDefault="00F42D17">
            <w:pPr>
              <w:pStyle w:val="TableText"/>
            </w:pPr>
            <w:r w:rsidRPr="00923008">
              <w:t>15 per 1,000</w:t>
            </w:r>
            <w:r w:rsidRPr="00923008">
              <w:br/>
              <w:t>(11 to 19)</w:t>
            </w:r>
          </w:p>
        </w:tc>
        <w:tc>
          <w:tcPr>
            <w:tcW w:w="509" w:type="pct"/>
            <w:tcBorders>
              <w:top w:val="single" w:sz="6" w:space="0" w:color="000000" w:themeColor="text1"/>
              <w:left w:val="nil"/>
              <w:bottom w:val="single" w:sz="6" w:space="0" w:color="000000" w:themeColor="text1"/>
              <w:right w:val="nil"/>
            </w:tcBorders>
            <w:vAlign w:val="center"/>
          </w:tcPr>
          <w:p w14:paraId="2B808C2B" w14:textId="77777777" w:rsidR="00F42D17" w:rsidRPr="00E31513" w:rsidRDefault="00F42D17">
            <w:pPr>
              <w:pStyle w:val="TableText"/>
              <w:rPr>
                <w:b/>
                <w:bCs/>
              </w:rPr>
            </w:pPr>
            <w:r>
              <w:rPr>
                <w:b/>
                <w:bCs/>
              </w:rPr>
              <w:t xml:space="preserve">RR 0.36 </w:t>
            </w:r>
            <w:r>
              <w:rPr>
                <w:b/>
                <w:bCs/>
              </w:rPr>
              <w:br/>
            </w:r>
            <w:r w:rsidRPr="00913155">
              <w:t>(0.28, 0.47)</w:t>
            </w:r>
          </w:p>
        </w:tc>
        <w:tc>
          <w:tcPr>
            <w:tcW w:w="762" w:type="pct"/>
            <w:tcBorders>
              <w:top w:val="single" w:sz="6" w:space="0" w:color="000000" w:themeColor="text1"/>
              <w:left w:val="nil"/>
              <w:bottom w:val="single" w:sz="6" w:space="0" w:color="000000" w:themeColor="text1"/>
              <w:right w:val="nil"/>
            </w:tcBorders>
            <w:vAlign w:val="center"/>
          </w:tcPr>
          <w:p w14:paraId="7D8E25E2" w14:textId="77777777" w:rsidR="00F42D17" w:rsidRPr="000A42DE" w:rsidRDefault="00F42D17">
            <w:pPr>
              <w:pStyle w:val="TableText"/>
            </w:pPr>
            <w:r w:rsidRPr="000A42DE">
              <w:t>41979</w:t>
            </w:r>
            <w:r w:rsidRPr="000A42DE">
              <w:br/>
              <w:t>(1 non-randomised study)</w:t>
            </w:r>
          </w:p>
        </w:tc>
        <w:tc>
          <w:tcPr>
            <w:tcW w:w="458" w:type="pct"/>
            <w:tcBorders>
              <w:top w:val="single" w:sz="6" w:space="0" w:color="000000" w:themeColor="text1"/>
              <w:left w:val="nil"/>
              <w:bottom w:val="single" w:sz="6" w:space="0" w:color="000000" w:themeColor="text1"/>
              <w:right w:val="nil"/>
            </w:tcBorders>
          </w:tcPr>
          <w:p w14:paraId="51504E41" w14:textId="77777777" w:rsidR="00F42D17" w:rsidRPr="00B52AB6" w:rsidRDefault="00F42D17">
            <w:pPr>
              <w:pStyle w:val="TableText"/>
              <w:rPr>
                <w:rFonts w:ascii="Cambria Math" w:hAnsi="Cambria Math"/>
                <w:color w:val="00B050"/>
              </w:rPr>
            </w:pPr>
            <w:r w:rsidRPr="005173C6">
              <w:rPr>
                <w:rFonts w:ascii="Cambria Math" w:hAnsi="Cambria Math"/>
                <w:color w:val="388600"/>
              </w:rPr>
              <w:t>⨁⨁</w:t>
            </w:r>
            <w:r w:rsidRPr="00B52AB6">
              <w:rPr>
                <w:rFonts w:ascii="Cambria Math" w:hAnsi="Cambria Math" w:cs="Cambria Math"/>
                <w:color w:val="C00000"/>
              </w:rPr>
              <w:t>⨀⨀</w:t>
            </w:r>
            <w:r w:rsidRPr="00B52AB6">
              <w:br/>
              <w:t>Low</w:t>
            </w:r>
          </w:p>
        </w:tc>
        <w:tc>
          <w:tcPr>
            <w:tcW w:w="1037" w:type="pct"/>
            <w:tcBorders>
              <w:top w:val="single" w:sz="6" w:space="0" w:color="000000" w:themeColor="text1"/>
              <w:left w:val="nil"/>
              <w:bottom w:val="single" w:sz="6" w:space="0" w:color="000000" w:themeColor="text1"/>
              <w:right w:val="nil"/>
            </w:tcBorders>
            <w:vAlign w:val="center"/>
          </w:tcPr>
          <w:p w14:paraId="10D6F6E5" w14:textId="77777777" w:rsidR="00F42D17" w:rsidRPr="000A42DE" w:rsidRDefault="00F42D17">
            <w:pPr>
              <w:pStyle w:val="TableText"/>
            </w:pPr>
            <w:r w:rsidRPr="000A42DE">
              <w:t xml:space="preserve">Micra AV reduces </w:t>
            </w:r>
            <w:r>
              <w:t xml:space="preserve">device-related </w:t>
            </w:r>
            <w:r w:rsidRPr="000A42DE">
              <w:t>complications (30 days).</w:t>
            </w:r>
          </w:p>
        </w:tc>
      </w:tr>
      <w:tr w:rsidR="00F42D17" w:rsidRPr="000A42DE" w14:paraId="5A045008" w14:textId="77777777" w:rsidTr="1B7899C8">
        <w:trPr>
          <w:cantSplit/>
          <w:trHeight w:val="20"/>
        </w:trPr>
        <w:tc>
          <w:tcPr>
            <w:tcW w:w="897" w:type="pct"/>
            <w:tcBorders>
              <w:top w:val="single" w:sz="6" w:space="0" w:color="000000" w:themeColor="text1"/>
              <w:left w:val="nil"/>
              <w:bottom w:val="single" w:sz="6" w:space="0" w:color="000000" w:themeColor="text1"/>
              <w:right w:val="nil"/>
            </w:tcBorders>
            <w:vAlign w:val="center"/>
          </w:tcPr>
          <w:p w14:paraId="7017BF2C" w14:textId="77777777" w:rsidR="00F42D17" w:rsidRDefault="00F42D17">
            <w:pPr>
              <w:pStyle w:val="TableText"/>
            </w:pPr>
            <w:r w:rsidRPr="000A42DE">
              <w:t>All-cause mortality (</w:t>
            </w:r>
            <w:r>
              <w:t>30 days</w:t>
            </w:r>
            <w:r w:rsidRPr="000A42DE">
              <w:t>)</w:t>
            </w:r>
          </w:p>
        </w:tc>
        <w:tc>
          <w:tcPr>
            <w:tcW w:w="729" w:type="pct"/>
            <w:tcBorders>
              <w:top w:val="single" w:sz="6" w:space="0" w:color="000000" w:themeColor="text1"/>
              <w:left w:val="nil"/>
              <w:bottom w:val="single" w:sz="6" w:space="0" w:color="000000" w:themeColor="text1"/>
              <w:right w:val="nil"/>
            </w:tcBorders>
            <w:vAlign w:val="center"/>
          </w:tcPr>
          <w:p w14:paraId="5A0DF86A" w14:textId="77777777" w:rsidR="00F42D17" w:rsidRDefault="00F42D17">
            <w:pPr>
              <w:pStyle w:val="TableText"/>
            </w:pPr>
            <w:r>
              <w:t>30 per 1,000</w:t>
            </w:r>
          </w:p>
        </w:tc>
        <w:tc>
          <w:tcPr>
            <w:tcW w:w="609" w:type="pct"/>
            <w:tcBorders>
              <w:top w:val="single" w:sz="6" w:space="0" w:color="000000" w:themeColor="text1"/>
              <w:left w:val="nil"/>
              <w:bottom w:val="single" w:sz="6" w:space="0" w:color="000000" w:themeColor="text1"/>
              <w:right w:val="nil"/>
            </w:tcBorders>
            <w:shd w:val="clear" w:color="auto" w:fill="EBEBEB"/>
          </w:tcPr>
          <w:p w14:paraId="64FFD70B" w14:textId="77777777" w:rsidR="00F42D17" w:rsidRPr="00923008" w:rsidRDefault="00F42D17">
            <w:pPr>
              <w:pStyle w:val="TableText"/>
            </w:pPr>
            <w:r>
              <w:t>58 per 1,000</w:t>
            </w:r>
            <w:r>
              <w:br/>
            </w:r>
            <w:r w:rsidRPr="00923008">
              <w:t>(</w:t>
            </w:r>
            <w:r>
              <w:t>51 to 67</w:t>
            </w:r>
            <w:r w:rsidRPr="00923008">
              <w:t>)</w:t>
            </w:r>
          </w:p>
        </w:tc>
        <w:tc>
          <w:tcPr>
            <w:tcW w:w="509" w:type="pct"/>
            <w:tcBorders>
              <w:top w:val="single" w:sz="6" w:space="0" w:color="000000" w:themeColor="text1"/>
              <w:left w:val="nil"/>
              <w:bottom w:val="single" w:sz="6" w:space="0" w:color="000000" w:themeColor="text1"/>
              <w:right w:val="nil"/>
            </w:tcBorders>
            <w:vAlign w:val="center"/>
          </w:tcPr>
          <w:p w14:paraId="45E9A759" w14:textId="77777777" w:rsidR="00F42D17" w:rsidRDefault="00F42D17">
            <w:pPr>
              <w:pStyle w:val="TableText"/>
              <w:rPr>
                <w:b/>
                <w:bCs/>
              </w:rPr>
            </w:pPr>
            <w:r>
              <w:rPr>
                <w:b/>
                <w:bCs/>
              </w:rPr>
              <w:t xml:space="preserve">RR 1.94 </w:t>
            </w:r>
            <w:r>
              <w:rPr>
                <w:b/>
                <w:bCs/>
              </w:rPr>
              <w:br/>
            </w:r>
            <w:r>
              <w:t>(</w:t>
            </w:r>
            <w:r w:rsidRPr="000733B4">
              <w:t>1.69, 2.23</w:t>
            </w:r>
            <w:r>
              <w:t>)</w:t>
            </w:r>
          </w:p>
        </w:tc>
        <w:tc>
          <w:tcPr>
            <w:tcW w:w="762" w:type="pct"/>
            <w:tcBorders>
              <w:top w:val="single" w:sz="6" w:space="0" w:color="000000" w:themeColor="text1"/>
              <w:left w:val="nil"/>
              <w:bottom w:val="single" w:sz="6" w:space="0" w:color="000000" w:themeColor="text1"/>
              <w:right w:val="nil"/>
            </w:tcBorders>
            <w:vAlign w:val="center"/>
          </w:tcPr>
          <w:p w14:paraId="2FC5DFD1" w14:textId="77777777" w:rsidR="00F42D17" w:rsidRPr="000A42DE" w:rsidRDefault="00F42D17">
            <w:pPr>
              <w:pStyle w:val="TableText"/>
            </w:pPr>
            <w:r w:rsidRPr="000A42DE">
              <w:t>41979</w:t>
            </w:r>
            <w:r w:rsidRPr="000A42DE">
              <w:br/>
              <w:t>(1 non-randomised study)</w:t>
            </w:r>
          </w:p>
        </w:tc>
        <w:tc>
          <w:tcPr>
            <w:tcW w:w="458" w:type="pct"/>
            <w:tcBorders>
              <w:top w:val="single" w:sz="6" w:space="0" w:color="000000" w:themeColor="text1"/>
              <w:left w:val="nil"/>
              <w:bottom w:val="single" w:sz="6" w:space="0" w:color="000000" w:themeColor="text1"/>
              <w:right w:val="nil"/>
            </w:tcBorders>
          </w:tcPr>
          <w:p w14:paraId="552830A3" w14:textId="77777777" w:rsidR="00F42D17" w:rsidRPr="00B52AB6" w:rsidRDefault="00F42D17">
            <w:pPr>
              <w:pStyle w:val="TableText"/>
              <w:rPr>
                <w:rFonts w:ascii="Cambria Math" w:hAnsi="Cambria Math"/>
                <w:color w:val="00B050"/>
              </w:rPr>
            </w:pPr>
            <w:r w:rsidRPr="005173C6">
              <w:rPr>
                <w:rFonts w:ascii="Cambria Math" w:hAnsi="Cambria Math"/>
                <w:color w:val="388600"/>
              </w:rPr>
              <w:t>⨁⨁</w:t>
            </w:r>
            <w:r w:rsidRPr="5F5AB831">
              <w:rPr>
                <w:rFonts w:ascii="Cambria Math" w:hAnsi="Cambria Math" w:cs="Cambria Math"/>
                <w:color w:val="C00000"/>
              </w:rPr>
              <w:t xml:space="preserve">⨀⨀ </w:t>
            </w:r>
            <w:r w:rsidRPr="5F5AB831">
              <w:rPr>
                <w:rFonts w:ascii="Cambria Math" w:hAnsi="Cambria Math" w:cs="Cambria Math"/>
                <w:vertAlign w:val="superscript"/>
              </w:rPr>
              <w:t>a</w:t>
            </w:r>
            <w:r>
              <w:br/>
              <w:t>Low</w:t>
            </w:r>
          </w:p>
        </w:tc>
        <w:tc>
          <w:tcPr>
            <w:tcW w:w="1037" w:type="pct"/>
            <w:tcBorders>
              <w:top w:val="single" w:sz="6" w:space="0" w:color="000000" w:themeColor="text1"/>
              <w:left w:val="nil"/>
              <w:bottom w:val="single" w:sz="6" w:space="0" w:color="000000" w:themeColor="text1"/>
              <w:right w:val="nil"/>
            </w:tcBorders>
            <w:vAlign w:val="center"/>
          </w:tcPr>
          <w:p w14:paraId="01DEC3A5" w14:textId="77777777" w:rsidR="00F42D17" w:rsidRPr="000A42DE" w:rsidRDefault="00F42D17">
            <w:pPr>
              <w:pStyle w:val="TableText"/>
            </w:pPr>
            <w:r w:rsidRPr="000A42DE">
              <w:t xml:space="preserve">Micra AV </w:t>
            </w:r>
            <w:r>
              <w:t>increases</w:t>
            </w:r>
            <w:r w:rsidRPr="000A42DE">
              <w:t xml:space="preserve"> all-cause mortality (30 days)</w:t>
            </w:r>
            <w:r>
              <w:t>.</w:t>
            </w:r>
          </w:p>
        </w:tc>
      </w:tr>
      <w:tr w:rsidR="003870B5" w:rsidRPr="000A42DE" w14:paraId="052EE8B6" w14:textId="77777777" w:rsidTr="1B7899C8">
        <w:trPr>
          <w:cantSplit/>
          <w:trHeight w:val="20"/>
        </w:trPr>
        <w:tc>
          <w:tcPr>
            <w:tcW w:w="897" w:type="pct"/>
            <w:tcBorders>
              <w:top w:val="single" w:sz="6" w:space="0" w:color="000000" w:themeColor="text1"/>
              <w:left w:val="nil"/>
              <w:bottom w:val="single" w:sz="6" w:space="0" w:color="000000" w:themeColor="text1"/>
              <w:right w:val="nil"/>
            </w:tcBorders>
            <w:vAlign w:val="center"/>
            <w:hideMark/>
          </w:tcPr>
          <w:p w14:paraId="727F1A7F" w14:textId="77777777" w:rsidR="00F42D17" w:rsidRPr="000A42DE" w:rsidRDefault="00F42D17">
            <w:pPr>
              <w:pStyle w:val="TableText"/>
            </w:pPr>
            <w:r w:rsidRPr="000A42DE">
              <w:t>Chronic complications (2 years)</w:t>
            </w:r>
          </w:p>
        </w:tc>
        <w:tc>
          <w:tcPr>
            <w:tcW w:w="729" w:type="pct"/>
            <w:tcBorders>
              <w:top w:val="single" w:sz="6" w:space="0" w:color="000000" w:themeColor="text1"/>
              <w:left w:val="nil"/>
              <w:right w:val="nil"/>
            </w:tcBorders>
            <w:vAlign w:val="center"/>
          </w:tcPr>
          <w:p w14:paraId="112877F2" w14:textId="77777777" w:rsidR="00F42D17" w:rsidRPr="00913155" w:rsidRDefault="00F42D17">
            <w:pPr>
              <w:pStyle w:val="TableText"/>
              <w:rPr>
                <w:b/>
                <w:bCs/>
                <w:highlight w:val="yellow"/>
              </w:rPr>
            </w:pPr>
            <w:r w:rsidRPr="00590070">
              <w:t>92 per 1,000</w:t>
            </w:r>
          </w:p>
        </w:tc>
        <w:tc>
          <w:tcPr>
            <w:tcW w:w="609" w:type="pct"/>
            <w:tcBorders>
              <w:top w:val="single" w:sz="6" w:space="0" w:color="000000" w:themeColor="text1"/>
              <w:left w:val="nil"/>
              <w:right w:val="nil"/>
            </w:tcBorders>
            <w:shd w:val="clear" w:color="auto" w:fill="EBEBEB"/>
            <w:vAlign w:val="center"/>
          </w:tcPr>
          <w:p w14:paraId="588E317D" w14:textId="77777777" w:rsidR="00F42D17" w:rsidRPr="00923008" w:rsidRDefault="00F42D17">
            <w:pPr>
              <w:pStyle w:val="TableText"/>
              <w:rPr>
                <w:highlight w:val="yellow"/>
              </w:rPr>
            </w:pPr>
            <w:r w:rsidRPr="00923008">
              <w:t>48 per 1,000</w:t>
            </w:r>
            <w:r w:rsidRPr="00923008">
              <w:rPr>
                <w:highlight w:val="yellow"/>
              </w:rPr>
              <w:br/>
            </w:r>
            <w:r w:rsidRPr="00923008">
              <w:t>(42 to 57)</w:t>
            </w:r>
          </w:p>
        </w:tc>
        <w:tc>
          <w:tcPr>
            <w:tcW w:w="509" w:type="pct"/>
            <w:tcBorders>
              <w:top w:val="single" w:sz="6" w:space="0" w:color="000000" w:themeColor="text1"/>
              <w:left w:val="nil"/>
              <w:bottom w:val="single" w:sz="6" w:space="0" w:color="000000" w:themeColor="text1"/>
              <w:right w:val="nil"/>
            </w:tcBorders>
            <w:vAlign w:val="center"/>
            <w:hideMark/>
          </w:tcPr>
          <w:p w14:paraId="620D798D" w14:textId="77777777" w:rsidR="00F42D17" w:rsidRPr="00913155" w:rsidRDefault="00F42D17">
            <w:pPr>
              <w:pStyle w:val="TableText"/>
              <w:rPr>
                <w:highlight w:val="yellow"/>
              </w:rPr>
            </w:pPr>
            <w:r w:rsidRPr="00E235FD">
              <w:rPr>
                <w:b/>
                <w:bCs/>
              </w:rPr>
              <w:t>HR 0.52</w:t>
            </w:r>
            <w:r w:rsidRPr="00E235FD">
              <w:br/>
              <w:t>(0.44 to 0.61)</w:t>
            </w:r>
          </w:p>
        </w:tc>
        <w:tc>
          <w:tcPr>
            <w:tcW w:w="762" w:type="pct"/>
            <w:tcBorders>
              <w:top w:val="single" w:sz="6" w:space="0" w:color="000000" w:themeColor="text1"/>
              <w:left w:val="nil"/>
              <w:bottom w:val="single" w:sz="6" w:space="0" w:color="000000" w:themeColor="text1"/>
              <w:right w:val="nil"/>
            </w:tcBorders>
            <w:vAlign w:val="center"/>
            <w:hideMark/>
          </w:tcPr>
          <w:p w14:paraId="39FCFAB4" w14:textId="77777777" w:rsidR="00F42D17" w:rsidRPr="000A42DE" w:rsidRDefault="00F42D17">
            <w:pPr>
              <w:pStyle w:val="TableText"/>
            </w:pPr>
            <w:r w:rsidRPr="000A42DE">
              <w:t>41979</w:t>
            </w:r>
            <w:r w:rsidRPr="000A42DE">
              <w:br/>
              <w:t>(1 non-randomised study)</w:t>
            </w:r>
          </w:p>
        </w:tc>
        <w:tc>
          <w:tcPr>
            <w:tcW w:w="458" w:type="pct"/>
            <w:tcBorders>
              <w:top w:val="single" w:sz="6" w:space="0" w:color="000000" w:themeColor="text1"/>
              <w:left w:val="nil"/>
              <w:bottom w:val="single" w:sz="6" w:space="0" w:color="000000" w:themeColor="text1"/>
              <w:right w:val="nil"/>
            </w:tcBorders>
            <w:hideMark/>
          </w:tcPr>
          <w:p w14:paraId="392A951F" w14:textId="77777777" w:rsidR="00F42D17" w:rsidRPr="000A42DE" w:rsidRDefault="00F42D17">
            <w:pPr>
              <w:pStyle w:val="TableText"/>
            </w:pPr>
            <w:r w:rsidRPr="005173C6">
              <w:rPr>
                <w:rFonts w:ascii="Cambria Math" w:hAnsi="Cambria Math"/>
                <w:color w:val="388600"/>
              </w:rPr>
              <w:t>⨁⨁</w:t>
            </w:r>
            <w:r w:rsidRPr="00B52AB6">
              <w:rPr>
                <w:rFonts w:ascii="Cambria Math" w:hAnsi="Cambria Math" w:cs="Cambria Math"/>
                <w:color w:val="C00000"/>
              </w:rPr>
              <w:t>⨀⨀</w:t>
            </w:r>
            <w:r w:rsidRPr="00B52AB6">
              <w:br/>
              <w:t>Low</w:t>
            </w:r>
          </w:p>
        </w:tc>
        <w:tc>
          <w:tcPr>
            <w:tcW w:w="1037" w:type="pct"/>
            <w:tcBorders>
              <w:top w:val="single" w:sz="6" w:space="0" w:color="000000" w:themeColor="text1"/>
              <w:left w:val="nil"/>
              <w:bottom w:val="single" w:sz="6" w:space="0" w:color="000000" w:themeColor="text1"/>
              <w:right w:val="nil"/>
            </w:tcBorders>
            <w:vAlign w:val="center"/>
            <w:hideMark/>
          </w:tcPr>
          <w:p w14:paraId="31A795E9" w14:textId="77777777" w:rsidR="00F42D17" w:rsidRPr="000A42DE" w:rsidRDefault="00F42D17">
            <w:pPr>
              <w:pStyle w:val="TableText"/>
            </w:pPr>
            <w:r w:rsidRPr="000A42DE">
              <w:t>Micra AV reduces chronic complications (2 years).</w:t>
            </w:r>
          </w:p>
        </w:tc>
      </w:tr>
      <w:tr w:rsidR="003870B5" w:rsidRPr="000A42DE" w14:paraId="25E050CB" w14:textId="77777777" w:rsidTr="1B7899C8">
        <w:trPr>
          <w:cantSplit/>
          <w:trHeight w:val="20"/>
        </w:trPr>
        <w:tc>
          <w:tcPr>
            <w:tcW w:w="897" w:type="pct"/>
            <w:tcBorders>
              <w:top w:val="single" w:sz="6" w:space="0" w:color="000000" w:themeColor="text1"/>
              <w:left w:val="nil"/>
              <w:bottom w:val="single" w:sz="6" w:space="0" w:color="000000" w:themeColor="text1"/>
              <w:right w:val="nil"/>
            </w:tcBorders>
            <w:vAlign w:val="center"/>
          </w:tcPr>
          <w:p w14:paraId="73A23228" w14:textId="77777777" w:rsidR="00F42D17" w:rsidRPr="000A42DE" w:rsidRDefault="00F42D17">
            <w:pPr>
              <w:pStyle w:val="TableText"/>
            </w:pPr>
            <w:r>
              <w:t>Device-related complications (2 years)</w:t>
            </w:r>
          </w:p>
        </w:tc>
        <w:tc>
          <w:tcPr>
            <w:tcW w:w="729" w:type="pct"/>
            <w:tcBorders>
              <w:top w:val="single" w:sz="6" w:space="0" w:color="000000" w:themeColor="text1"/>
              <w:left w:val="nil"/>
              <w:right w:val="nil"/>
            </w:tcBorders>
            <w:vAlign w:val="center"/>
          </w:tcPr>
          <w:p w14:paraId="306B1088" w14:textId="77777777" w:rsidR="00F42D17" w:rsidRPr="0051385B" w:rsidRDefault="00F42D17">
            <w:pPr>
              <w:pStyle w:val="TableText"/>
            </w:pPr>
            <w:r>
              <w:t>67</w:t>
            </w:r>
            <w:r w:rsidRPr="00590070">
              <w:t xml:space="preserve"> per 1,000</w:t>
            </w:r>
          </w:p>
        </w:tc>
        <w:tc>
          <w:tcPr>
            <w:tcW w:w="609" w:type="pct"/>
            <w:tcBorders>
              <w:top w:val="single" w:sz="6" w:space="0" w:color="000000" w:themeColor="text1"/>
              <w:left w:val="nil"/>
              <w:right w:val="nil"/>
            </w:tcBorders>
            <w:shd w:val="clear" w:color="auto" w:fill="EBEBEB"/>
            <w:vAlign w:val="center"/>
          </w:tcPr>
          <w:p w14:paraId="16660FBE" w14:textId="3F9D0ABF" w:rsidR="00F42D17" w:rsidRPr="00F70466" w:rsidDel="00F70466" w:rsidRDefault="00506C6E">
            <w:pPr>
              <w:pStyle w:val="TableText"/>
              <w:rPr>
                <w:b/>
                <w:bCs/>
              </w:rPr>
            </w:pPr>
            <w:r w:rsidRPr="009B161F">
              <w:t>26 per 1,000</w:t>
            </w:r>
            <w:r w:rsidRPr="0049108A">
              <w:rPr>
                <w:highlight w:val="yellow"/>
              </w:rPr>
              <w:br/>
            </w:r>
            <w:r w:rsidRPr="000A42DE">
              <w:t>(</w:t>
            </w:r>
            <w:r>
              <w:t>21 to 31</w:t>
            </w:r>
            <w:r w:rsidRPr="000A42DE">
              <w:t>)</w:t>
            </w:r>
          </w:p>
        </w:tc>
        <w:tc>
          <w:tcPr>
            <w:tcW w:w="509" w:type="pct"/>
            <w:tcBorders>
              <w:top w:val="single" w:sz="6" w:space="0" w:color="000000" w:themeColor="text1"/>
              <w:left w:val="nil"/>
              <w:bottom w:val="single" w:sz="6" w:space="0" w:color="000000" w:themeColor="text1"/>
              <w:right w:val="nil"/>
            </w:tcBorders>
            <w:vAlign w:val="center"/>
          </w:tcPr>
          <w:p w14:paraId="6476B9CC" w14:textId="5517E042" w:rsidR="00F42D17" w:rsidRPr="003B78B5" w:rsidRDefault="00F42D17">
            <w:pPr>
              <w:pStyle w:val="TableText"/>
              <w:rPr>
                <w:b/>
                <w:bCs/>
              </w:rPr>
            </w:pPr>
            <w:r w:rsidRPr="57847D84">
              <w:rPr>
                <w:b/>
                <w:bCs/>
              </w:rPr>
              <w:t xml:space="preserve">HR </w:t>
            </w:r>
            <w:r w:rsidR="003B78B5" w:rsidRPr="57847D84">
              <w:rPr>
                <w:b/>
                <w:bCs/>
              </w:rPr>
              <w:t>0.39</w:t>
            </w:r>
            <w:r>
              <w:br/>
            </w:r>
            <w:r w:rsidR="003B78B5">
              <w:t>(0.32 to 0.47)</w:t>
            </w:r>
          </w:p>
        </w:tc>
        <w:tc>
          <w:tcPr>
            <w:tcW w:w="762" w:type="pct"/>
            <w:tcBorders>
              <w:top w:val="single" w:sz="6" w:space="0" w:color="000000" w:themeColor="text1"/>
              <w:left w:val="nil"/>
              <w:bottom w:val="single" w:sz="6" w:space="0" w:color="000000" w:themeColor="text1"/>
              <w:right w:val="nil"/>
            </w:tcBorders>
            <w:vAlign w:val="center"/>
          </w:tcPr>
          <w:p w14:paraId="39C2B5C7" w14:textId="77777777" w:rsidR="00F42D17" w:rsidRPr="000A42DE" w:rsidRDefault="00F42D17">
            <w:pPr>
              <w:pStyle w:val="TableText"/>
            </w:pPr>
            <w:r w:rsidRPr="000A42DE">
              <w:t>41979</w:t>
            </w:r>
            <w:r w:rsidRPr="000A42DE">
              <w:br/>
              <w:t>(1 non-randomised study)</w:t>
            </w:r>
          </w:p>
        </w:tc>
        <w:tc>
          <w:tcPr>
            <w:tcW w:w="458" w:type="pct"/>
            <w:tcBorders>
              <w:top w:val="single" w:sz="6" w:space="0" w:color="000000" w:themeColor="text1"/>
              <w:left w:val="nil"/>
              <w:bottom w:val="single" w:sz="6" w:space="0" w:color="000000" w:themeColor="text1"/>
              <w:right w:val="nil"/>
            </w:tcBorders>
          </w:tcPr>
          <w:p w14:paraId="7DC477FE" w14:textId="77777777" w:rsidR="00F42D17" w:rsidRPr="00B52AB6" w:rsidRDefault="00F42D17">
            <w:pPr>
              <w:pStyle w:val="TableText"/>
              <w:rPr>
                <w:rFonts w:ascii="Cambria Math" w:hAnsi="Cambria Math"/>
                <w:color w:val="00B050"/>
              </w:rPr>
            </w:pPr>
            <w:r w:rsidRPr="005173C6">
              <w:rPr>
                <w:rFonts w:ascii="Cambria Math" w:hAnsi="Cambria Math"/>
                <w:color w:val="388600"/>
              </w:rPr>
              <w:t>⨁⨁</w:t>
            </w:r>
            <w:r w:rsidRPr="00B52AB6">
              <w:rPr>
                <w:rFonts w:ascii="Cambria Math" w:hAnsi="Cambria Math" w:cs="Cambria Math"/>
                <w:color w:val="C00000"/>
              </w:rPr>
              <w:t>⨀⨀</w:t>
            </w:r>
            <w:r w:rsidRPr="00B52AB6">
              <w:br/>
              <w:t>Low</w:t>
            </w:r>
          </w:p>
        </w:tc>
        <w:tc>
          <w:tcPr>
            <w:tcW w:w="1037" w:type="pct"/>
            <w:tcBorders>
              <w:top w:val="single" w:sz="6" w:space="0" w:color="000000" w:themeColor="text1"/>
              <w:left w:val="nil"/>
              <w:bottom w:val="single" w:sz="6" w:space="0" w:color="000000" w:themeColor="text1"/>
              <w:right w:val="nil"/>
            </w:tcBorders>
            <w:vAlign w:val="center"/>
          </w:tcPr>
          <w:p w14:paraId="753C5045" w14:textId="77777777" w:rsidR="00F42D17" w:rsidRDefault="00F42D17">
            <w:pPr>
              <w:pStyle w:val="TableText"/>
            </w:pPr>
            <w:r w:rsidRPr="000A42DE">
              <w:t xml:space="preserve">Micra AV reduces </w:t>
            </w:r>
            <w:r>
              <w:t xml:space="preserve">device-related </w:t>
            </w:r>
            <w:r w:rsidRPr="000A42DE">
              <w:t>complications (</w:t>
            </w:r>
            <w:r>
              <w:t>2 years</w:t>
            </w:r>
            <w:r w:rsidRPr="000A42DE">
              <w:t>).</w:t>
            </w:r>
          </w:p>
        </w:tc>
      </w:tr>
      <w:tr w:rsidR="00F42D17" w:rsidRPr="000A42DE" w14:paraId="177D5065" w14:textId="77777777" w:rsidTr="1B7899C8">
        <w:trPr>
          <w:cantSplit/>
          <w:trHeight w:val="20"/>
        </w:trPr>
        <w:tc>
          <w:tcPr>
            <w:tcW w:w="897" w:type="pct"/>
            <w:tcBorders>
              <w:top w:val="single" w:sz="6" w:space="0" w:color="000000" w:themeColor="text1"/>
              <w:left w:val="nil"/>
              <w:bottom w:val="single" w:sz="6" w:space="0" w:color="000000" w:themeColor="text1"/>
              <w:right w:val="nil"/>
            </w:tcBorders>
            <w:vAlign w:val="center"/>
            <w:hideMark/>
          </w:tcPr>
          <w:p w14:paraId="29883A9D" w14:textId="77777777" w:rsidR="00F42D17" w:rsidRPr="000A42DE" w:rsidRDefault="00F42D17">
            <w:pPr>
              <w:pStyle w:val="TableText"/>
            </w:pPr>
            <w:r w:rsidRPr="000A42DE">
              <w:t>All-cause mortality (2 years)</w:t>
            </w:r>
          </w:p>
        </w:tc>
        <w:tc>
          <w:tcPr>
            <w:tcW w:w="729" w:type="pct"/>
            <w:tcBorders>
              <w:top w:val="single" w:sz="6" w:space="0" w:color="000000" w:themeColor="text1"/>
              <w:left w:val="nil"/>
              <w:bottom w:val="single" w:sz="6" w:space="0" w:color="000000" w:themeColor="text1"/>
              <w:right w:val="nil"/>
            </w:tcBorders>
            <w:vAlign w:val="center"/>
            <w:hideMark/>
          </w:tcPr>
          <w:p w14:paraId="6A3D5BB8" w14:textId="77777777" w:rsidR="00F42D17" w:rsidRPr="0051385B" w:rsidRDefault="00F42D17">
            <w:pPr>
              <w:pStyle w:val="TableText"/>
              <w:rPr>
                <w:b/>
                <w:bCs/>
              </w:rPr>
            </w:pPr>
            <w:r w:rsidRPr="0051385B">
              <w:t>216 per 1,000</w:t>
            </w:r>
          </w:p>
        </w:tc>
        <w:tc>
          <w:tcPr>
            <w:tcW w:w="609" w:type="pct"/>
            <w:tcBorders>
              <w:top w:val="single" w:sz="6" w:space="0" w:color="000000" w:themeColor="text1"/>
              <w:left w:val="nil"/>
              <w:bottom w:val="single" w:sz="6" w:space="0" w:color="000000" w:themeColor="text1"/>
              <w:right w:val="nil"/>
            </w:tcBorders>
            <w:shd w:val="clear" w:color="auto" w:fill="EBEBEB"/>
            <w:vAlign w:val="center"/>
          </w:tcPr>
          <w:p w14:paraId="4EF49502" w14:textId="77777777" w:rsidR="00F42D17" w:rsidRPr="00923008" w:rsidRDefault="00F42D17">
            <w:pPr>
              <w:pStyle w:val="TableText"/>
              <w:rPr>
                <w:highlight w:val="yellow"/>
              </w:rPr>
            </w:pPr>
            <w:r w:rsidRPr="00923008">
              <w:t>315 per 1,000</w:t>
            </w:r>
            <w:r w:rsidRPr="00923008">
              <w:rPr>
                <w:highlight w:val="yellow"/>
              </w:rPr>
              <w:br/>
            </w:r>
            <w:r w:rsidRPr="00923008">
              <w:t>(296 to 336)</w:t>
            </w:r>
          </w:p>
        </w:tc>
        <w:tc>
          <w:tcPr>
            <w:tcW w:w="509" w:type="pct"/>
            <w:tcBorders>
              <w:top w:val="single" w:sz="6" w:space="0" w:color="000000" w:themeColor="text1"/>
              <w:left w:val="nil"/>
              <w:bottom w:val="single" w:sz="6" w:space="0" w:color="000000" w:themeColor="text1"/>
              <w:right w:val="nil"/>
            </w:tcBorders>
            <w:vAlign w:val="center"/>
            <w:hideMark/>
          </w:tcPr>
          <w:p w14:paraId="18054E89" w14:textId="77777777" w:rsidR="00F42D17" w:rsidRPr="00913155" w:rsidRDefault="00F42D17">
            <w:pPr>
              <w:pStyle w:val="TableText"/>
              <w:rPr>
                <w:highlight w:val="yellow"/>
              </w:rPr>
            </w:pPr>
            <w:r w:rsidRPr="00F61D43">
              <w:rPr>
                <w:b/>
                <w:bCs/>
              </w:rPr>
              <w:t>HR 1.55</w:t>
            </w:r>
            <w:r w:rsidRPr="00F61D43">
              <w:br/>
              <w:t>(1.44 to 1.68)</w:t>
            </w:r>
          </w:p>
        </w:tc>
        <w:tc>
          <w:tcPr>
            <w:tcW w:w="762" w:type="pct"/>
            <w:tcBorders>
              <w:top w:val="single" w:sz="6" w:space="0" w:color="000000" w:themeColor="text1"/>
              <w:left w:val="nil"/>
              <w:bottom w:val="single" w:sz="6" w:space="0" w:color="000000" w:themeColor="text1"/>
              <w:right w:val="nil"/>
            </w:tcBorders>
            <w:vAlign w:val="center"/>
            <w:hideMark/>
          </w:tcPr>
          <w:p w14:paraId="1EA2AB53" w14:textId="77777777" w:rsidR="00F42D17" w:rsidRPr="000A42DE" w:rsidRDefault="00F42D17">
            <w:pPr>
              <w:pStyle w:val="TableText"/>
            </w:pPr>
            <w:r w:rsidRPr="000A42DE">
              <w:t>41979</w:t>
            </w:r>
            <w:r w:rsidRPr="000A42DE">
              <w:br/>
              <w:t>(1 non-randomised study)</w:t>
            </w:r>
          </w:p>
        </w:tc>
        <w:tc>
          <w:tcPr>
            <w:tcW w:w="458" w:type="pct"/>
            <w:tcBorders>
              <w:top w:val="single" w:sz="6" w:space="0" w:color="000000" w:themeColor="text1"/>
              <w:left w:val="nil"/>
              <w:bottom w:val="single" w:sz="6" w:space="0" w:color="000000" w:themeColor="text1"/>
              <w:right w:val="nil"/>
            </w:tcBorders>
            <w:hideMark/>
          </w:tcPr>
          <w:p w14:paraId="6193428D" w14:textId="77777777" w:rsidR="00F42D17" w:rsidRPr="000A42DE" w:rsidRDefault="00F42D17">
            <w:pPr>
              <w:pStyle w:val="TableText"/>
            </w:pPr>
            <w:r w:rsidRPr="005173C6">
              <w:rPr>
                <w:rFonts w:ascii="Cambria Math" w:hAnsi="Cambria Math"/>
                <w:color w:val="388600"/>
              </w:rPr>
              <w:t>⨁⨁</w:t>
            </w:r>
            <w:r w:rsidRPr="5F5AB831">
              <w:rPr>
                <w:rFonts w:ascii="Cambria Math" w:hAnsi="Cambria Math" w:cs="Cambria Math"/>
                <w:color w:val="C00000"/>
              </w:rPr>
              <w:t xml:space="preserve">⨀⨀ </w:t>
            </w:r>
            <w:r w:rsidRPr="5F5AB831">
              <w:rPr>
                <w:rFonts w:ascii="Cambria Math" w:hAnsi="Cambria Math" w:cs="Cambria Math"/>
                <w:vertAlign w:val="superscript"/>
              </w:rPr>
              <w:t>a</w:t>
            </w:r>
            <w:r>
              <w:br/>
              <w:t>Low</w:t>
            </w:r>
          </w:p>
        </w:tc>
        <w:tc>
          <w:tcPr>
            <w:tcW w:w="1037" w:type="pct"/>
            <w:tcBorders>
              <w:top w:val="single" w:sz="6" w:space="0" w:color="000000" w:themeColor="text1"/>
              <w:left w:val="nil"/>
              <w:bottom w:val="single" w:sz="6" w:space="0" w:color="000000" w:themeColor="text1"/>
              <w:right w:val="nil"/>
            </w:tcBorders>
            <w:vAlign w:val="center"/>
            <w:hideMark/>
          </w:tcPr>
          <w:p w14:paraId="696D0C4A" w14:textId="77777777" w:rsidR="00F42D17" w:rsidRPr="000A42DE" w:rsidRDefault="00F42D17">
            <w:pPr>
              <w:pStyle w:val="TableText"/>
            </w:pPr>
            <w:r w:rsidRPr="000A42DE">
              <w:t xml:space="preserve">Micra AV </w:t>
            </w:r>
            <w:r>
              <w:t>increases</w:t>
            </w:r>
            <w:r w:rsidRPr="000A42DE">
              <w:t xml:space="preserve"> all-cause mortality (2 years)</w:t>
            </w:r>
            <w:r>
              <w:t>.</w:t>
            </w:r>
          </w:p>
        </w:tc>
      </w:tr>
      <w:tr w:rsidR="003870B5" w:rsidRPr="000A42DE" w14:paraId="29AD18DE" w14:textId="77777777" w:rsidTr="1B7899C8">
        <w:trPr>
          <w:cantSplit/>
          <w:trHeight w:val="20"/>
        </w:trPr>
        <w:tc>
          <w:tcPr>
            <w:tcW w:w="897" w:type="pct"/>
            <w:tcBorders>
              <w:top w:val="single" w:sz="6" w:space="0" w:color="000000" w:themeColor="text1"/>
              <w:left w:val="nil"/>
              <w:bottom w:val="single" w:sz="6" w:space="0" w:color="000000" w:themeColor="text1"/>
              <w:right w:val="nil"/>
            </w:tcBorders>
            <w:vAlign w:val="center"/>
            <w:hideMark/>
          </w:tcPr>
          <w:p w14:paraId="3D82008B" w14:textId="77777777" w:rsidR="00F42D17" w:rsidRPr="000A42DE" w:rsidRDefault="00F42D17">
            <w:pPr>
              <w:pStyle w:val="TableText"/>
            </w:pPr>
            <w:r w:rsidRPr="000A42DE">
              <w:t>Reinterventions (2 years)</w:t>
            </w:r>
          </w:p>
        </w:tc>
        <w:tc>
          <w:tcPr>
            <w:tcW w:w="729" w:type="pct"/>
            <w:tcBorders>
              <w:top w:val="single" w:sz="6" w:space="0" w:color="000000" w:themeColor="text1"/>
              <w:left w:val="nil"/>
              <w:bottom w:val="single" w:sz="4" w:space="0" w:color="auto"/>
              <w:right w:val="nil"/>
            </w:tcBorders>
            <w:vAlign w:val="center"/>
            <w:hideMark/>
          </w:tcPr>
          <w:p w14:paraId="3F5BA3C5" w14:textId="77777777" w:rsidR="00F42D17" w:rsidRPr="00913155" w:rsidRDefault="00F42D17">
            <w:pPr>
              <w:pStyle w:val="TableText"/>
              <w:rPr>
                <w:b/>
                <w:bCs/>
                <w:highlight w:val="yellow"/>
              </w:rPr>
            </w:pPr>
            <w:r w:rsidRPr="00925A42">
              <w:t>55 per 1,000</w:t>
            </w:r>
          </w:p>
        </w:tc>
        <w:tc>
          <w:tcPr>
            <w:tcW w:w="609" w:type="pct"/>
            <w:tcBorders>
              <w:top w:val="single" w:sz="6" w:space="0" w:color="000000" w:themeColor="text1"/>
              <w:left w:val="nil"/>
              <w:bottom w:val="single" w:sz="4" w:space="0" w:color="auto"/>
              <w:right w:val="nil"/>
            </w:tcBorders>
            <w:shd w:val="clear" w:color="auto" w:fill="EBEBEB"/>
            <w:vAlign w:val="center"/>
          </w:tcPr>
          <w:p w14:paraId="39A69D26" w14:textId="77777777" w:rsidR="00F42D17" w:rsidRPr="00923008" w:rsidRDefault="00F42D17">
            <w:pPr>
              <w:pStyle w:val="TableText"/>
            </w:pPr>
            <w:r w:rsidRPr="00923008">
              <w:t>33 per 1,000</w:t>
            </w:r>
            <w:r w:rsidRPr="00923008">
              <w:br/>
              <w:t>(27 to 40)</w:t>
            </w:r>
          </w:p>
        </w:tc>
        <w:tc>
          <w:tcPr>
            <w:tcW w:w="509" w:type="pct"/>
            <w:tcBorders>
              <w:top w:val="single" w:sz="6" w:space="0" w:color="000000" w:themeColor="text1"/>
              <w:left w:val="nil"/>
              <w:bottom w:val="single" w:sz="6" w:space="0" w:color="000000" w:themeColor="text1"/>
              <w:right w:val="nil"/>
            </w:tcBorders>
            <w:vAlign w:val="center"/>
            <w:hideMark/>
          </w:tcPr>
          <w:p w14:paraId="47E799D0" w14:textId="77777777" w:rsidR="00F42D17" w:rsidRPr="00913155" w:rsidRDefault="00F42D17">
            <w:pPr>
              <w:pStyle w:val="TableText"/>
              <w:rPr>
                <w:highlight w:val="yellow"/>
              </w:rPr>
            </w:pPr>
            <w:r w:rsidRPr="00925A42">
              <w:rPr>
                <w:b/>
                <w:bCs/>
              </w:rPr>
              <w:t>HR 0.60</w:t>
            </w:r>
            <w:r w:rsidRPr="00925A42">
              <w:br/>
              <w:t>(0.49 to 0.73)</w:t>
            </w:r>
          </w:p>
        </w:tc>
        <w:tc>
          <w:tcPr>
            <w:tcW w:w="762" w:type="pct"/>
            <w:tcBorders>
              <w:top w:val="single" w:sz="6" w:space="0" w:color="000000" w:themeColor="text1"/>
              <w:left w:val="nil"/>
              <w:bottom w:val="single" w:sz="6" w:space="0" w:color="000000" w:themeColor="text1"/>
              <w:right w:val="nil"/>
            </w:tcBorders>
            <w:vAlign w:val="center"/>
            <w:hideMark/>
          </w:tcPr>
          <w:p w14:paraId="1B04A6B1" w14:textId="77777777" w:rsidR="00F42D17" w:rsidRPr="000A42DE" w:rsidRDefault="00F42D17">
            <w:pPr>
              <w:pStyle w:val="TableText"/>
            </w:pPr>
            <w:r w:rsidRPr="000A42DE">
              <w:t>41979</w:t>
            </w:r>
            <w:r w:rsidRPr="000A42DE">
              <w:br/>
              <w:t>(1 non-randomised study)</w:t>
            </w:r>
          </w:p>
        </w:tc>
        <w:tc>
          <w:tcPr>
            <w:tcW w:w="458" w:type="pct"/>
            <w:tcBorders>
              <w:top w:val="single" w:sz="6" w:space="0" w:color="000000" w:themeColor="text1"/>
              <w:left w:val="nil"/>
              <w:bottom w:val="single" w:sz="6" w:space="0" w:color="000000" w:themeColor="text1"/>
              <w:right w:val="nil"/>
            </w:tcBorders>
            <w:hideMark/>
          </w:tcPr>
          <w:p w14:paraId="1C7B9DE2" w14:textId="77777777" w:rsidR="00F42D17" w:rsidRPr="000A42DE" w:rsidRDefault="00F42D17">
            <w:pPr>
              <w:pStyle w:val="TableText"/>
            </w:pPr>
            <w:r w:rsidRPr="005173C6">
              <w:rPr>
                <w:rFonts w:ascii="Cambria Math" w:hAnsi="Cambria Math"/>
                <w:color w:val="388600"/>
              </w:rPr>
              <w:t>⨁⨁</w:t>
            </w:r>
            <w:r w:rsidRPr="00B52AB6">
              <w:rPr>
                <w:rFonts w:ascii="Cambria Math" w:hAnsi="Cambria Math" w:cs="Cambria Math"/>
                <w:color w:val="C00000"/>
              </w:rPr>
              <w:t>⨀⨀</w:t>
            </w:r>
            <w:r w:rsidRPr="00B52AB6">
              <w:br/>
              <w:t>Low</w:t>
            </w:r>
          </w:p>
        </w:tc>
        <w:tc>
          <w:tcPr>
            <w:tcW w:w="1037" w:type="pct"/>
            <w:tcBorders>
              <w:top w:val="single" w:sz="6" w:space="0" w:color="000000" w:themeColor="text1"/>
              <w:left w:val="nil"/>
              <w:bottom w:val="single" w:sz="6" w:space="0" w:color="000000" w:themeColor="text1"/>
              <w:right w:val="nil"/>
            </w:tcBorders>
            <w:vAlign w:val="center"/>
            <w:hideMark/>
          </w:tcPr>
          <w:p w14:paraId="4D64A8D0" w14:textId="77777777" w:rsidR="00F42D17" w:rsidRPr="000A42DE" w:rsidRDefault="00F42D17">
            <w:pPr>
              <w:pStyle w:val="TableText"/>
            </w:pPr>
            <w:r w:rsidRPr="000A42DE">
              <w:t>Micra AV reduces reinterventions (2 years).</w:t>
            </w:r>
          </w:p>
        </w:tc>
      </w:tr>
    </w:tbl>
    <w:p w14:paraId="7430E88A" w14:textId="77777777" w:rsidR="00767EA8" w:rsidRPr="003D5D26" w:rsidRDefault="00F42D17" w:rsidP="00F42D17">
      <w:pPr>
        <w:pStyle w:val="TableFigNote"/>
        <w:rPr>
          <w:rFonts w:ascii="Arial Narrow" w:hAnsi="Arial Narrow"/>
          <w:b/>
          <w:szCs w:val="18"/>
          <w:u w:val="single"/>
        </w:rPr>
      </w:pPr>
      <w:r w:rsidRPr="003D5D26">
        <w:rPr>
          <w:rFonts w:ascii="Arial Narrow" w:hAnsi="Arial Narrow"/>
          <w:b/>
          <w:u w:val="single"/>
        </w:rPr>
        <w:t>Abbreviations</w:t>
      </w:r>
    </w:p>
    <w:p w14:paraId="709FC64D" w14:textId="3E39D941" w:rsidR="00F42D17" w:rsidRPr="003D5D26" w:rsidRDefault="001D5EF6" w:rsidP="00F42D17">
      <w:pPr>
        <w:pStyle w:val="TableFigNote"/>
        <w:rPr>
          <w:rFonts w:ascii="Arial Narrow" w:hAnsi="Arial Narrow"/>
        </w:rPr>
      </w:pPr>
      <w:r>
        <w:rPr>
          <w:rFonts w:ascii="Arial Narrow" w:hAnsi="Arial Narrow"/>
          <w:b/>
        </w:rPr>
        <w:t xml:space="preserve">AF </w:t>
      </w:r>
      <w:r w:rsidRPr="009C553D">
        <w:rPr>
          <w:rFonts w:ascii="Arial Narrow" w:hAnsi="Arial Narrow"/>
        </w:rPr>
        <w:t>= atrial fibrillation,</w:t>
      </w:r>
      <w:r>
        <w:rPr>
          <w:rFonts w:ascii="Arial Narrow" w:hAnsi="Arial Narrow"/>
          <w:b/>
        </w:rPr>
        <w:t xml:space="preserve"> AVB </w:t>
      </w:r>
      <w:r w:rsidRPr="009C553D">
        <w:rPr>
          <w:rFonts w:ascii="Arial Narrow" w:hAnsi="Arial Narrow"/>
        </w:rPr>
        <w:t>= atrio-ventricular block,</w:t>
      </w:r>
      <w:r>
        <w:rPr>
          <w:rFonts w:ascii="Arial Narrow" w:hAnsi="Arial Narrow"/>
          <w:b/>
        </w:rPr>
        <w:t xml:space="preserve"> </w:t>
      </w:r>
      <w:r w:rsidR="00F42D17" w:rsidRPr="003D5D26">
        <w:rPr>
          <w:rFonts w:ascii="Arial Narrow" w:hAnsi="Arial Narrow"/>
          <w:b/>
        </w:rPr>
        <w:t>CI</w:t>
      </w:r>
      <w:r w:rsidR="001C7016">
        <w:rPr>
          <w:rFonts w:ascii="Arial Narrow" w:hAnsi="Arial Narrow"/>
          <w:szCs w:val="18"/>
        </w:rPr>
        <w:t xml:space="preserve"> =</w:t>
      </w:r>
      <w:r w:rsidR="00F42D17" w:rsidRPr="003D5D26">
        <w:rPr>
          <w:rFonts w:ascii="Arial Narrow" w:hAnsi="Arial Narrow"/>
        </w:rPr>
        <w:t xml:space="preserve"> confidence interval</w:t>
      </w:r>
      <w:r w:rsidR="001C7016">
        <w:rPr>
          <w:rFonts w:ascii="Arial Narrow" w:hAnsi="Arial Narrow"/>
          <w:szCs w:val="18"/>
        </w:rPr>
        <w:t>,</w:t>
      </w:r>
      <w:r w:rsidR="00F42D17" w:rsidRPr="003D5D26">
        <w:rPr>
          <w:rFonts w:ascii="Arial Narrow" w:hAnsi="Arial Narrow"/>
        </w:rPr>
        <w:t xml:space="preserve"> </w:t>
      </w:r>
      <w:r w:rsidR="00F42D17" w:rsidRPr="003D5D26">
        <w:rPr>
          <w:rFonts w:ascii="Arial Narrow" w:hAnsi="Arial Narrow"/>
          <w:b/>
        </w:rPr>
        <w:t>HR</w:t>
      </w:r>
      <w:r w:rsidR="001C7016">
        <w:rPr>
          <w:rFonts w:ascii="Arial Narrow" w:hAnsi="Arial Narrow"/>
          <w:szCs w:val="18"/>
        </w:rPr>
        <w:t xml:space="preserve"> =</w:t>
      </w:r>
      <w:r w:rsidR="00F42D17" w:rsidRPr="003D5D26">
        <w:rPr>
          <w:rFonts w:ascii="Arial Narrow" w:hAnsi="Arial Narrow"/>
        </w:rPr>
        <w:t xml:space="preserve"> hazard ratio</w:t>
      </w:r>
      <w:r w:rsidR="001C7016">
        <w:rPr>
          <w:rFonts w:ascii="Arial Narrow" w:hAnsi="Arial Narrow"/>
          <w:szCs w:val="18"/>
        </w:rPr>
        <w:t>,</w:t>
      </w:r>
      <w:r w:rsidR="00F42D17" w:rsidRPr="003D5D26">
        <w:rPr>
          <w:rFonts w:ascii="Arial Narrow" w:hAnsi="Arial Narrow"/>
        </w:rPr>
        <w:t xml:space="preserve"> </w:t>
      </w:r>
      <w:r w:rsidR="00F42D17" w:rsidRPr="003D5D26">
        <w:rPr>
          <w:rFonts w:ascii="Arial Narrow" w:hAnsi="Arial Narrow"/>
          <w:b/>
        </w:rPr>
        <w:t>MD</w:t>
      </w:r>
      <w:r w:rsidR="001C7016">
        <w:rPr>
          <w:rFonts w:ascii="Arial Narrow" w:hAnsi="Arial Narrow"/>
          <w:szCs w:val="18"/>
        </w:rPr>
        <w:t xml:space="preserve"> =</w:t>
      </w:r>
      <w:r w:rsidR="00F42D17" w:rsidRPr="003D5D26">
        <w:rPr>
          <w:rFonts w:ascii="Arial Narrow" w:hAnsi="Arial Narrow"/>
        </w:rPr>
        <w:t xml:space="preserve"> mean difference</w:t>
      </w:r>
      <w:r w:rsidR="001C7016">
        <w:rPr>
          <w:rFonts w:ascii="Arial Narrow" w:hAnsi="Arial Narrow"/>
          <w:szCs w:val="18"/>
        </w:rPr>
        <w:t>,</w:t>
      </w:r>
      <w:r w:rsidR="00F42D17" w:rsidRPr="003D5D26">
        <w:rPr>
          <w:rFonts w:ascii="Arial Narrow" w:hAnsi="Arial Narrow"/>
        </w:rPr>
        <w:t xml:space="preserve"> </w:t>
      </w:r>
      <w:r w:rsidR="00F42D17" w:rsidRPr="003D5D26">
        <w:rPr>
          <w:rFonts w:ascii="Arial Narrow" w:hAnsi="Arial Narrow"/>
          <w:b/>
        </w:rPr>
        <w:t>RR</w:t>
      </w:r>
      <w:r w:rsidR="001C7016">
        <w:rPr>
          <w:rFonts w:ascii="Arial Narrow" w:hAnsi="Arial Narrow"/>
          <w:szCs w:val="18"/>
        </w:rPr>
        <w:t xml:space="preserve"> =</w:t>
      </w:r>
      <w:r w:rsidR="00F42D17" w:rsidRPr="003D5D26">
        <w:rPr>
          <w:rFonts w:ascii="Arial Narrow" w:hAnsi="Arial Narrow"/>
        </w:rPr>
        <w:t xml:space="preserve"> relative risk</w:t>
      </w:r>
      <w:r w:rsidR="001C7016">
        <w:rPr>
          <w:rFonts w:ascii="Arial Narrow" w:hAnsi="Arial Narrow"/>
          <w:szCs w:val="18"/>
        </w:rPr>
        <w:t>.</w:t>
      </w:r>
    </w:p>
    <w:p w14:paraId="2A55D006" w14:textId="521FB7EF" w:rsidR="00363342" w:rsidRPr="003D5D26" w:rsidRDefault="00363342" w:rsidP="00F42D17">
      <w:pPr>
        <w:pStyle w:val="TableFigNote"/>
        <w:rPr>
          <w:rFonts w:ascii="Arial Narrow" w:hAnsi="Arial Narrow"/>
          <w:b/>
          <w:szCs w:val="18"/>
          <w:u w:val="single"/>
        </w:rPr>
      </w:pPr>
      <w:r w:rsidRPr="003D5D26">
        <w:rPr>
          <w:rFonts w:ascii="Arial Narrow" w:hAnsi="Arial Narrow"/>
          <w:b/>
          <w:szCs w:val="18"/>
          <w:u w:val="single"/>
        </w:rPr>
        <w:t>Notes</w:t>
      </w:r>
    </w:p>
    <w:p w14:paraId="3C876704" w14:textId="25E02A16" w:rsidR="00F42D17" w:rsidRPr="003D5D26" w:rsidRDefault="00F42D17" w:rsidP="00F42D17">
      <w:pPr>
        <w:pStyle w:val="TableFigNote"/>
        <w:rPr>
          <w:rFonts w:ascii="Arial Narrow" w:hAnsi="Arial Narrow"/>
        </w:rPr>
      </w:pPr>
      <w:r w:rsidRPr="003D5D26">
        <w:rPr>
          <w:rFonts w:ascii="Arial Narrow" w:hAnsi="Arial Narrow"/>
          <w:b/>
          <w:szCs w:val="18"/>
        </w:rPr>
        <w:t>*</w:t>
      </w:r>
      <w:r w:rsidR="001C7016">
        <w:rPr>
          <w:rFonts w:ascii="Arial Narrow" w:hAnsi="Arial Narrow"/>
          <w:szCs w:val="18"/>
        </w:rPr>
        <w:t xml:space="preserve"> = </w:t>
      </w:r>
      <w:r w:rsidRPr="003D5D26">
        <w:rPr>
          <w:rFonts w:ascii="Arial Narrow" w:hAnsi="Arial Narrow"/>
        </w:rPr>
        <w:t xml:space="preserve">The risk in the intervention group (and its 95% </w:t>
      </w:r>
      <w:r w:rsidR="00B705CF">
        <w:rPr>
          <w:rFonts w:ascii="Arial Narrow" w:hAnsi="Arial Narrow"/>
          <w:szCs w:val="18"/>
        </w:rPr>
        <w:t>CI</w:t>
      </w:r>
      <w:r w:rsidRPr="003D5D26">
        <w:rPr>
          <w:rFonts w:ascii="Arial Narrow" w:hAnsi="Arial Narrow"/>
        </w:rPr>
        <w:t>) is based on the assumed risk in the comparison group and the relative effect of the intervention (and its 95% CI).</w:t>
      </w:r>
      <w:r w:rsidRPr="003D5D26">
        <w:rPr>
          <w:rFonts w:ascii="Arial Narrow" w:hAnsi="Arial Narrow"/>
        </w:rPr>
        <w:br/>
      </w:r>
      <w:r w:rsidRPr="003D5D26">
        <w:rPr>
          <w:rFonts w:ascii="Arial Narrow" w:hAnsi="Arial Narrow"/>
          <w:b/>
        </w:rPr>
        <w:t>a</w:t>
      </w:r>
      <w:r w:rsidRPr="003D5D26">
        <w:rPr>
          <w:rFonts w:ascii="Arial Narrow" w:hAnsi="Arial Narrow"/>
        </w:rPr>
        <w:t xml:space="preserve"> </w:t>
      </w:r>
      <w:r w:rsidR="001C7016" w:rsidRPr="003D5D26">
        <w:rPr>
          <w:rFonts w:ascii="Arial Narrow" w:hAnsi="Arial Narrow" w:cs="Cambria Math"/>
          <w:szCs w:val="18"/>
        </w:rPr>
        <w:t xml:space="preserve">= </w:t>
      </w:r>
      <w:r w:rsidRPr="003D5D26">
        <w:rPr>
          <w:rFonts w:ascii="Arial Narrow" w:hAnsi="Arial Narrow"/>
        </w:rPr>
        <w:t>Possible confounding due to selection bias but unclear to what extent it affected the results.</w:t>
      </w:r>
    </w:p>
    <w:p w14:paraId="3187E5C9" w14:textId="77777777" w:rsidR="00F42D17" w:rsidRPr="003D5D26" w:rsidRDefault="00F42D17" w:rsidP="4C0A0968">
      <w:pPr>
        <w:pStyle w:val="TableFigNote"/>
        <w:rPr>
          <w:rFonts w:ascii="Arial Narrow" w:hAnsi="Arial Narrow"/>
        </w:rPr>
      </w:pPr>
      <w:r w:rsidRPr="4C0A0968">
        <w:rPr>
          <w:rFonts w:ascii="Cambria Math" w:hAnsi="Cambria Math" w:cs="Cambria Math"/>
          <w:color w:val="388600"/>
        </w:rPr>
        <w:t>⨁⨁⨁⨁</w:t>
      </w:r>
      <w:r w:rsidRPr="4C0A0968">
        <w:rPr>
          <w:rFonts w:ascii="Arial Narrow" w:hAnsi="Arial Narrow"/>
          <w:color w:val="388600"/>
        </w:rPr>
        <w:t xml:space="preserve"> </w:t>
      </w:r>
      <w:r w:rsidRPr="4C0A0968">
        <w:rPr>
          <w:rFonts w:ascii="Arial Narrow" w:hAnsi="Arial Narrow"/>
          <w:b/>
          <w:bCs/>
        </w:rPr>
        <w:t>High quality:</w:t>
      </w:r>
      <w:r w:rsidRPr="4C0A0968">
        <w:rPr>
          <w:rFonts w:ascii="Arial Narrow" w:hAnsi="Arial Narrow"/>
        </w:rPr>
        <w:t xml:space="preserve"> We are very confident that the true effect lies close to that of the estimate of effect. </w:t>
      </w:r>
      <w:r>
        <w:br/>
      </w:r>
      <w:r w:rsidRPr="4C0A0968">
        <w:rPr>
          <w:rFonts w:ascii="Cambria Math" w:hAnsi="Cambria Math" w:cs="Cambria Math"/>
          <w:color w:val="388600"/>
        </w:rPr>
        <w:t>⨁⨁⨁</w:t>
      </w:r>
      <w:r w:rsidRPr="4C0A0968">
        <w:rPr>
          <w:rFonts w:ascii="Cambria Math" w:hAnsi="Cambria Math" w:cs="Cambria Math"/>
          <w:color w:val="C00000"/>
        </w:rPr>
        <w:t>⨀</w:t>
      </w:r>
      <w:r w:rsidRPr="4C0A0968">
        <w:rPr>
          <w:rFonts w:ascii="Arial Narrow" w:hAnsi="Arial Narrow"/>
          <w:color w:val="C00000"/>
        </w:rPr>
        <w:t xml:space="preserve"> </w:t>
      </w:r>
      <w:r w:rsidRPr="4C0A0968">
        <w:rPr>
          <w:rFonts w:ascii="Arial Narrow" w:hAnsi="Arial Narrow"/>
          <w:b/>
          <w:bCs/>
        </w:rPr>
        <w:t>Moderate quality:</w:t>
      </w:r>
      <w:r w:rsidRPr="4C0A0968">
        <w:rPr>
          <w:rFonts w:ascii="Arial Narrow" w:hAnsi="Arial Narrow"/>
        </w:rPr>
        <w:t xml:space="preserve"> We are moderately confident in the effect estimate: The true effect is likely to be close to the estimate of the effect, but there is a possibility that it is substantially different. </w:t>
      </w:r>
      <w:r>
        <w:br/>
      </w:r>
      <w:r w:rsidRPr="4C0A0968">
        <w:rPr>
          <w:rFonts w:ascii="Cambria Math" w:hAnsi="Cambria Math" w:cs="Cambria Math"/>
          <w:color w:val="388600"/>
        </w:rPr>
        <w:t>⨁⨁</w:t>
      </w:r>
      <w:r w:rsidRPr="4C0A0968">
        <w:rPr>
          <w:rFonts w:ascii="Cambria Math" w:hAnsi="Cambria Math" w:cs="Cambria Math"/>
          <w:color w:val="C00000"/>
        </w:rPr>
        <w:t>⨀⨀</w:t>
      </w:r>
      <w:r w:rsidRPr="4C0A0968">
        <w:rPr>
          <w:rFonts w:ascii="Arial Narrow" w:hAnsi="Arial Narrow"/>
          <w:color w:val="C00000"/>
        </w:rPr>
        <w:t xml:space="preserve"> </w:t>
      </w:r>
      <w:r w:rsidRPr="4C0A0968">
        <w:rPr>
          <w:rFonts w:ascii="Arial Narrow" w:hAnsi="Arial Narrow"/>
          <w:b/>
          <w:bCs/>
        </w:rPr>
        <w:t>Low quality:</w:t>
      </w:r>
      <w:r w:rsidRPr="4C0A0968">
        <w:rPr>
          <w:rFonts w:ascii="Arial Narrow" w:hAnsi="Arial Narrow"/>
        </w:rPr>
        <w:t xml:space="preserve"> Our confidence in the effect estimate is limited: The true effect may be substantially different from the estimate of the effect.</w:t>
      </w:r>
      <w:r>
        <w:br/>
      </w:r>
      <w:r w:rsidRPr="4C0A0968">
        <w:rPr>
          <w:rFonts w:ascii="Cambria Math" w:hAnsi="Cambria Math" w:cs="Cambria Math"/>
          <w:color w:val="388600"/>
        </w:rPr>
        <w:t>⨁</w:t>
      </w:r>
      <w:r w:rsidRPr="4C0A0968">
        <w:rPr>
          <w:rFonts w:ascii="Cambria Math" w:hAnsi="Cambria Math" w:cs="Cambria Math"/>
          <w:color w:val="C00000"/>
        </w:rPr>
        <w:t>⨀⨀⨀</w:t>
      </w:r>
      <w:r w:rsidRPr="4C0A0968">
        <w:rPr>
          <w:rFonts w:ascii="Arial Narrow" w:hAnsi="Arial Narrow"/>
          <w:color w:val="C00000"/>
        </w:rPr>
        <w:t xml:space="preserve"> </w:t>
      </w:r>
      <w:r w:rsidRPr="4C0A0968">
        <w:rPr>
          <w:rFonts w:ascii="Arial Narrow" w:hAnsi="Arial Narrow"/>
          <w:b/>
          <w:bCs/>
        </w:rPr>
        <w:t>Very low quality:</w:t>
      </w:r>
      <w:r w:rsidRPr="4C0A0968">
        <w:rPr>
          <w:rFonts w:ascii="Arial Narrow" w:hAnsi="Arial Narrow"/>
        </w:rPr>
        <w:t xml:space="preserve"> We have very little confidence in the effect estimate: The true effect is likely to be substantially different from the estimate of effect.</w:t>
      </w:r>
    </w:p>
    <w:p w14:paraId="458727FC" w14:textId="3B47D35F" w:rsidR="00F42D17" w:rsidRPr="003D5D26" w:rsidRDefault="00F42D17" w:rsidP="00F42D17">
      <w:pPr>
        <w:pStyle w:val="TableFigNote"/>
        <w:rPr>
          <w:rFonts w:ascii="Arial Narrow" w:hAnsi="Arial Narrow"/>
        </w:rPr>
      </w:pPr>
      <w:r w:rsidRPr="003D5D26">
        <w:rPr>
          <w:rFonts w:ascii="Arial Narrow" w:hAnsi="Arial Narrow"/>
          <w:b/>
          <w:color w:val="000000" w:themeColor="text1"/>
          <w:lang w:val="en"/>
        </w:rPr>
        <w:t>Bold</w:t>
      </w:r>
      <w:r w:rsidRPr="003D5D26">
        <w:rPr>
          <w:rFonts w:ascii="Arial Narrow" w:hAnsi="Arial Narrow"/>
          <w:color w:val="000000" w:themeColor="text1"/>
          <w:lang w:val="en"/>
        </w:rPr>
        <w:t>: Statistically significant difference between groups</w:t>
      </w:r>
      <w:r w:rsidR="00767EA8" w:rsidRPr="003D5D26">
        <w:rPr>
          <w:rFonts w:ascii="Arial Narrow" w:hAnsi="Arial Narrow"/>
          <w:color w:val="000000" w:themeColor="text1"/>
          <w:szCs w:val="18"/>
          <w:lang w:val="en"/>
        </w:rPr>
        <w:t>.</w:t>
      </w:r>
    </w:p>
    <w:p w14:paraId="6D15D1D3" w14:textId="77777777" w:rsidR="00F42D17" w:rsidRDefault="00F42D17" w:rsidP="00F42D17">
      <w:pPr>
        <w:pStyle w:val="Heading3"/>
        <w:sectPr w:rsidR="00F42D17" w:rsidSect="00F42D17">
          <w:pgSz w:w="16838" w:h="11906" w:orient="landscape"/>
          <w:pgMar w:top="1440" w:right="1440" w:bottom="1440" w:left="1440" w:header="708" w:footer="708" w:gutter="0"/>
          <w:cols w:space="708"/>
          <w:docGrid w:linePitch="360"/>
        </w:sectPr>
      </w:pPr>
    </w:p>
    <w:p w14:paraId="791F7F57" w14:textId="77777777" w:rsidR="00F42D17" w:rsidRPr="00AB2987" w:rsidRDefault="00F42D17" w:rsidP="00F42D17">
      <w:pPr>
        <w:pStyle w:val="Heading3"/>
      </w:pPr>
      <w:r>
        <w:t xml:space="preserve">Quality of life </w:t>
      </w:r>
    </w:p>
    <w:p w14:paraId="486517D4" w14:textId="7BA24E0D" w:rsidR="00F42D17" w:rsidRDefault="00F42D17" w:rsidP="00F42D17">
      <w:r w:rsidRPr="4C0A0968">
        <w:t xml:space="preserve">The Micra AV CED study did not report on QoL outcomes, so data from the prior MSAC Application 1672 </w:t>
      </w:r>
      <w:r w:rsidR="009639DA" w:rsidRPr="4C0A0968">
        <w:t>on</w:t>
      </w:r>
      <w:r w:rsidRPr="4C0A0968">
        <w:t xml:space="preserve"> the Micra VR LPM compared with single</w:t>
      </w:r>
      <w:r w:rsidR="00480343" w:rsidRPr="4C0A0968">
        <w:t>-</w:t>
      </w:r>
      <w:r w:rsidRPr="4C0A0968">
        <w:t xml:space="preserve">chamber transvenous pacemakers </w:t>
      </w:r>
      <w:r w:rsidR="007D5237" w:rsidRPr="4C0A0968">
        <w:t xml:space="preserve">were </w:t>
      </w:r>
      <w:r w:rsidRPr="4C0A0968">
        <w:t xml:space="preserve">provided. One of these supportive studies reported statistically significant differences in favour of LPMs relative to transvenous pacemakers at </w:t>
      </w:r>
      <w:r w:rsidR="00CD4EF3" w:rsidRPr="4C0A0968">
        <w:t xml:space="preserve">6 </w:t>
      </w:r>
      <w:r w:rsidRPr="4C0A0968">
        <w:t>months with respect to physical functioning, role physical, mental health and physical component summary scores. The other study reported statistically significant differences in favour of the LPM with respect to general health, vitality, social function, emotional</w:t>
      </w:r>
      <w:r w:rsidR="002D640D" w:rsidRPr="4C0A0968">
        <w:t xml:space="preserve"> wellbeing</w:t>
      </w:r>
      <w:r w:rsidRPr="4C0A0968">
        <w:t xml:space="preserve"> and the mental component summary scores. There was no reference made to the minimal clinically important differences for these measures among patients with heart conditions.</w:t>
      </w:r>
    </w:p>
    <w:p w14:paraId="694FF728" w14:textId="52024012" w:rsidR="00F42D17" w:rsidRPr="00C6047A" w:rsidRDefault="00F42D17" w:rsidP="00F42D17">
      <w:r w:rsidRPr="4C0A0968">
        <w:t xml:space="preserve">However, using QoL outcomes from the prior MSAC </w:t>
      </w:r>
      <w:r w:rsidR="003D40AE" w:rsidRPr="4C0A0968">
        <w:t>Application 1672</w:t>
      </w:r>
      <w:r w:rsidRPr="4C0A0968">
        <w:t xml:space="preserve"> is appropriate only for the immediate aftercare period when healing of the generator pocket imposes restrictions on range of motion in the upper body</w:t>
      </w:r>
      <w:r w:rsidR="003A3F22" w:rsidRPr="4C0A0968">
        <w:t xml:space="preserve"> and recovery</w:t>
      </w:r>
      <w:r w:rsidRPr="4C0A0968">
        <w:t>. QoL outcomes beyond this period are likely to reflect not only patient comfort and activity restrictions related to device function, but also any effects of the devices on bradycardia symptoms, such as exercise capacity, shortness of breath, fatigue, dizziness and memory problems. Also, there are significant differences between the patients receiving LPMs in the Micra VR CED and Micra A</w:t>
      </w:r>
      <w:r w:rsidR="009E33ED" w:rsidRPr="4C0A0968">
        <w:t>V</w:t>
      </w:r>
      <w:r w:rsidRPr="4C0A0968">
        <w:t xml:space="preserve"> CED studies with respect to baseline rates of AF and other characteristics that are likely to affect QoL outcomes. It should also be noted that the evidence from the </w:t>
      </w:r>
      <w:r w:rsidR="0044427C" w:rsidRPr="4C0A0968">
        <w:t xml:space="preserve">2 </w:t>
      </w:r>
      <w:r w:rsidRPr="4C0A0968">
        <w:t>studies was deemed to be of low certainty in the prior MSAC assessment. Therefore, given these issues and the differences in function between the Micra AV and VR, QoL outcomes from the Micra VR CED are not generalisable to the proposed MBS population</w:t>
      </w:r>
      <w:r w:rsidR="00756C22" w:rsidRPr="4C0A0968">
        <w:t>—</w:t>
      </w:r>
      <w:r w:rsidRPr="4C0A0968">
        <w:t xml:space="preserve">certainly not beyond the initial </w:t>
      </w:r>
      <w:r w:rsidR="006D7948" w:rsidRPr="4C0A0968">
        <w:t>4</w:t>
      </w:r>
      <w:r w:rsidRPr="4C0A0968">
        <w:t xml:space="preserve">- to </w:t>
      </w:r>
      <w:r w:rsidR="006D7948" w:rsidRPr="4C0A0968">
        <w:t>6</w:t>
      </w:r>
      <w:r w:rsidRPr="4C0A0968">
        <w:t>-week recovery phase</w:t>
      </w:r>
      <w:r w:rsidR="00756C22" w:rsidRPr="4C0A0968">
        <w:t>—</w:t>
      </w:r>
      <w:r w:rsidRPr="4C0A0968">
        <w:t>which precludes any definitive conclusions regarding QoL outcomes for the Micra AV.</w:t>
      </w:r>
    </w:p>
    <w:p w14:paraId="3BC99CE3" w14:textId="77777777" w:rsidR="00F42D17" w:rsidRPr="00AB2987" w:rsidRDefault="00F42D17" w:rsidP="00F42D17">
      <w:pPr>
        <w:pStyle w:val="Heading3"/>
      </w:pPr>
      <w:r>
        <w:t>Technical performance</w:t>
      </w:r>
    </w:p>
    <w:p w14:paraId="409484C2" w14:textId="77777777" w:rsidR="00F42D17" w:rsidRDefault="00F42D17" w:rsidP="00F42D17">
      <w:r>
        <w:t>The Micra AV CED study did not report data on AV synchronicity or battery life.</w:t>
      </w:r>
    </w:p>
    <w:p w14:paraId="1CB5ED95" w14:textId="76FD5DFE" w:rsidR="00F42D17" w:rsidRDefault="00F42D17" w:rsidP="00F42D17">
      <w:r w:rsidRPr="4C0A0968">
        <w:t>A single modelling study of the Micra AV2 device projected a median battery life of 15.6 years (interquartile range 13.8, 18.7).</w:t>
      </w:r>
      <w:bookmarkStart w:id="35" w:name="_Ref182841154"/>
      <w:r w:rsidRPr="4C0A0968">
        <w:rPr>
          <w:rStyle w:val="FootnoteReference"/>
        </w:rPr>
        <w:footnoteReference w:id="17"/>
      </w:r>
      <w:bookmarkEnd w:id="35"/>
      <w:r w:rsidRPr="4C0A0968">
        <w:t xml:space="preserve"> The study included patients with AV block, but it was unclear how many had normal sinus function or AF, and survival projections were based on data from patients receiving their first Medtronic dual-chamber pacemaker in the year 2000. Thus, the modelling of sinus rate variability may not be an accurate reflection of how the device would function in the proposed MBS population, and real-life comparative data are lacking.</w:t>
      </w:r>
    </w:p>
    <w:p w14:paraId="0A681E36" w14:textId="51E9BAF1" w:rsidR="00F42D17" w:rsidRPr="003A0990" w:rsidRDefault="00F42D17" w:rsidP="4C0A0968">
      <w:pPr>
        <w:pStyle w:val="Instructionaltext"/>
        <w:rPr>
          <w:color w:val="auto"/>
        </w:rPr>
      </w:pPr>
      <w:r w:rsidRPr="4C0A0968">
        <w:rPr>
          <w:color w:val="auto"/>
        </w:rPr>
        <w:t>Three supportive single-arm studies provided data on AV synchronicity. With optimal programming, resting and ambulatory AV synchronicity of 84.1% (95% CI 78.3, 88.6) and 82.6% (95% CI 75.8, 87.7) was achieved by the Micra AV.</w:t>
      </w:r>
      <w:r w:rsidR="00F51D81" w:rsidRPr="009C553D">
        <w:rPr>
          <w:color w:val="auto"/>
          <w:vertAlign w:val="superscript"/>
        </w:rPr>
        <w:fldChar w:fldCharType="begin"/>
      </w:r>
      <w:r w:rsidR="00F51D81" w:rsidRPr="00F31A7F">
        <w:rPr>
          <w:color w:val="auto"/>
          <w:vertAlign w:val="superscript"/>
        </w:rPr>
        <w:instrText xml:space="preserve"> NOTEREF _Ref186711634 \h </w:instrText>
      </w:r>
      <w:r w:rsidR="00142A0A">
        <w:rPr>
          <w:color w:val="auto"/>
          <w:vertAlign w:val="superscript"/>
        </w:rPr>
        <w:instrText xml:space="preserve"> \* MERGEFORMAT </w:instrText>
      </w:r>
      <w:r w:rsidR="00F51D81" w:rsidRPr="009C553D">
        <w:rPr>
          <w:color w:val="auto"/>
          <w:vertAlign w:val="superscript"/>
        </w:rPr>
      </w:r>
      <w:r w:rsidR="00F51D81" w:rsidRPr="009C553D">
        <w:rPr>
          <w:color w:val="auto"/>
          <w:vertAlign w:val="superscript"/>
        </w:rPr>
        <w:fldChar w:fldCharType="separate"/>
      </w:r>
      <w:r w:rsidR="00D96B61" w:rsidRPr="4C0A0968">
        <w:rPr>
          <w:color w:val="auto"/>
          <w:vertAlign w:val="superscript"/>
        </w:rPr>
        <w:t>10</w:t>
      </w:r>
      <w:r w:rsidR="00F51D81" w:rsidRPr="009C553D">
        <w:rPr>
          <w:color w:val="auto"/>
          <w:vertAlign w:val="superscript"/>
        </w:rPr>
        <w:fldChar w:fldCharType="end"/>
      </w:r>
      <w:r w:rsidRPr="4C0A0968">
        <w:rPr>
          <w:color w:val="auto"/>
        </w:rPr>
        <w:t xml:space="preserve"> Additional analysis of these data to simulate the function of the Micra AV and AV2 devices in virtual patients found that the Micra AV2 achieved an AV synchronicity of more than 70% in 90% of patients (27/30), compared with 43% (13/30) of patients with the Micra AV (p&lt;0.001).</w:t>
      </w:r>
      <w:r w:rsidRPr="001953FF">
        <w:rPr>
          <w:color w:val="auto"/>
          <w:vertAlign w:val="superscript"/>
        </w:rPr>
        <w:fldChar w:fldCharType="begin"/>
      </w:r>
      <w:r w:rsidRPr="001953FF">
        <w:rPr>
          <w:color w:val="auto"/>
          <w:vertAlign w:val="superscript"/>
        </w:rPr>
        <w:instrText xml:space="preserve"> NOTEREF _Ref182841154 \h </w:instrText>
      </w:r>
      <w:r>
        <w:rPr>
          <w:color w:val="auto"/>
          <w:vertAlign w:val="superscript"/>
        </w:rPr>
        <w:instrText xml:space="preserve"> \* MERGEFORMAT </w:instrText>
      </w:r>
      <w:r w:rsidRPr="001953FF">
        <w:rPr>
          <w:color w:val="auto"/>
          <w:vertAlign w:val="superscript"/>
        </w:rPr>
      </w:r>
      <w:r w:rsidRPr="001953FF">
        <w:rPr>
          <w:color w:val="auto"/>
          <w:vertAlign w:val="superscript"/>
        </w:rPr>
        <w:fldChar w:fldCharType="separate"/>
      </w:r>
      <w:r w:rsidR="00D96B61" w:rsidRPr="4C0A0968">
        <w:rPr>
          <w:color w:val="auto"/>
          <w:vertAlign w:val="superscript"/>
        </w:rPr>
        <w:t>14</w:t>
      </w:r>
      <w:r w:rsidRPr="001953FF">
        <w:rPr>
          <w:color w:val="auto"/>
          <w:vertAlign w:val="superscript"/>
        </w:rPr>
        <w:fldChar w:fldCharType="end"/>
      </w:r>
      <w:r w:rsidRPr="4C0A0968">
        <w:rPr>
          <w:color w:val="auto"/>
        </w:rPr>
        <w:t xml:space="preserve"> A third study found a median AV synchrony index of 79.4% in those paced &gt;90% with the Micra AV.</w:t>
      </w:r>
      <w:r w:rsidRPr="4C0A0968">
        <w:rPr>
          <w:rStyle w:val="FootnoteReference"/>
          <w:color w:val="auto"/>
        </w:rPr>
        <w:footnoteReference w:id="18"/>
      </w:r>
      <w:r w:rsidRPr="4C0A0968">
        <w:rPr>
          <w:color w:val="auto"/>
        </w:rPr>
        <w:t xml:space="preserve"> However, </w:t>
      </w:r>
      <w:r w:rsidR="000F7532" w:rsidRPr="4C0A0968">
        <w:rPr>
          <w:color w:val="auto"/>
        </w:rPr>
        <w:t xml:space="preserve">2 </w:t>
      </w:r>
      <w:r w:rsidRPr="4C0A0968">
        <w:rPr>
          <w:color w:val="auto"/>
        </w:rPr>
        <w:t>of these studies included patients with AF (13%)</w:t>
      </w:r>
      <w:r w:rsidR="000F7532" w:rsidRPr="4C0A0968">
        <w:rPr>
          <w:color w:val="auto"/>
        </w:rPr>
        <w:t>,</w:t>
      </w:r>
      <w:r w:rsidRPr="4C0A0968">
        <w:rPr>
          <w:color w:val="auto"/>
        </w:rPr>
        <w:t xml:space="preserve"> and in one study it was unclear how many patients had normal sinus function or AF. Since these data are derived from single-arm studies, they cannot provide evidence on the effects of the Micra AV relative to DC-TVPMs for AV</w:t>
      </w:r>
      <w:r w:rsidR="574191CB" w:rsidRPr="4C0A0968">
        <w:rPr>
          <w:color w:val="auto"/>
        </w:rPr>
        <w:t xml:space="preserve"> </w:t>
      </w:r>
      <w:r w:rsidR="002F6291" w:rsidRPr="4C0A0968">
        <w:rPr>
          <w:color w:val="auto"/>
        </w:rPr>
        <w:t>synchronicity</w:t>
      </w:r>
      <w:r w:rsidRPr="4C0A0968">
        <w:rPr>
          <w:color w:val="auto"/>
        </w:rPr>
        <w:t>.</w:t>
      </w:r>
    </w:p>
    <w:p w14:paraId="575BB01E" w14:textId="77777777" w:rsidR="00F42D17" w:rsidRPr="00622D8E" w:rsidRDefault="00F42D17" w:rsidP="00F42D17">
      <w:pPr>
        <w:pStyle w:val="Heading3nonumbers"/>
      </w:pPr>
      <w:r>
        <w:t>Interpretation and limitations</w:t>
      </w:r>
      <w:r w:rsidRPr="00622D8E">
        <w:t xml:space="preserve"> of</w:t>
      </w:r>
      <w:r>
        <w:t xml:space="preserve"> the</w:t>
      </w:r>
      <w:r w:rsidRPr="00622D8E">
        <w:t xml:space="preserve"> </w:t>
      </w:r>
      <w:r>
        <w:t xml:space="preserve">effectiveness </w:t>
      </w:r>
      <w:r w:rsidRPr="00622D8E">
        <w:t>data</w:t>
      </w:r>
    </w:p>
    <w:p w14:paraId="5C61232A" w14:textId="42C1C7BD" w:rsidR="00D03590" w:rsidRDefault="00F42D17">
      <w:pPr>
        <w:pStyle w:val="Instructionaltext"/>
      </w:pPr>
      <w:r w:rsidRPr="4C0A0968">
        <w:rPr>
          <w:color w:val="auto"/>
        </w:rPr>
        <w:t xml:space="preserve">The main effectiveness data are derived from a post hoc subgroup analysis of a single large non-randomised comparative study Table 10) in patients that are applicable to the proposed MBS population. </w:t>
      </w:r>
      <w:r w:rsidR="35A7481E" w:rsidRPr="4C0A0968">
        <w:rPr>
          <w:color w:val="auto"/>
        </w:rPr>
        <w:t xml:space="preserve">This constituted low certainty evidence because </w:t>
      </w:r>
      <w:r w:rsidR="1F625528" w:rsidRPr="4C0A0968">
        <w:rPr>
          <w:color w:val="auto"/>
        </w:rPr>
        <w:t xml:space="preserve">it was </w:t>
      </w:r>
      <w:r w:rsidR="35A7481E" w:rsidRPr="4C0A0968">
        <w:rPr>
          <w:color w:val="auto"/>
        </w:rPr>
        <w:t>likely that the LPM group included patients who were ineligible to receive a DC-TVP</w:t>
      </w:r>
      <w:r w:rsidR="55E596A5" w:rsidRPr="4C0A0968">
        <w:rPr>
          <w:color w:val="auto"/>
        </w:rPr>
        <w:t>M</w:t>
      </w:r>
      <w:r w:rsidR="35A7481E" w:rsidRPr="4C0A0968">
        <w:rPr>
          <w:color w:val="auto"/>
        </w:rPr>
        <w:t xml:space="preserve"> (1 in 4 in the overall CED study LPM cohort). This </w:t>
      </w:r>
      <w:r w:rsidR="53C14494" w:rsidRPr="4C0A0968">
        <w:rPr>
          <w:color w:val="auto"/>
        </w:rPr>
        <w:t xml:space="preserve">selection bias potentially confounds </w:t>
      </w:r>
      <w:r w:rsidR="35A7481E" w:rsidRPr="4C0A0968">
        <w:rPr>
          <w:color w:val="auto"/>
        </w:rPr>
        <w:t>the data in a way that is not necessarily offset by the propensity score matching method used to correct for the many other differences between the 2 treatment groups at baseline. Also, the DC-TVPM arm of the study represents retrospective data collection, a factor that would normally lead to downgrading in GRADE.</w:t>
      </w:r>
    </w:p>
    <w:p w14:paraId="28BB9FA5" w14:textId="3FDBF2C3" w:rsidR="00D03590" w:rsidRDefault="00F42D17" w:rsidP="4C0A0968">
      <w:pPr>
        <w:pStyle w:val="Instructionaltext"/>
        <w:rPr>
          <w:color w:val="auto"/>
        </w:rPr>
      </w:pPr>
      <w:r w:rsidRPr="4C0A0968">
        <w:rPr>
          <w:color w:val="auto"/>
        </w:rPr>
        <w:t xml:space="preserve">The results indicated that </w:t>
      </w:r>
      <w:r w:rsidR="00ED45C1">
        <w:rPr>
          <w:color w:val="auto"/>
        </w:rPr>
        <w:t xml:space="preserve">the </w:t>
      </w:r>
      <w:r w:rsidRPr="4C0A0968">
        <w:rPr>
          <w:color w:val="auto"/>
        </w:rPr>
        <w:t xml:space="preserve">implantation of a Micra AV results in higher all-cause mortality </w:t>
      </w:r>
      <w:r w:rsidR="00ED45C1">
        <w:rPr>
          <w:color w:val="auto"/>
        </w:rPr>
        <w:t xml:space="preserve">for </w:t>
      </w:r>
      <w:r w:rsidRPr="4C0A0968">
        <w:rPr>
          <w:color w:val="auto"/>
        </w:rPr>
        <w:t xml:space="preserve">up to </w:t>
      </w:r>
      <w:r w:rsidR="009467EC" w:rsidRPr="4C0A0968">
        <w:rPr>
          <w:color w:val="auto"/>
        </w:rPr>
        <w:t xml:space="preserve">2 </w:t>
      </w:r>
      <w:r w:rsidRPr="4C0A0968">
        <w:rPr>
          <w:color w:val="auto"/>
        </w:rPr>
        <w:t xml:space="preserve">years, compared with DC-TVPMs. </w:t>
      </w:r>
      <w:r w:rsidR="00ED45C1">
        <w:rPr>
          <w:color w:val="auto"/>
        </w:rPr>
        <w:t>No comparative data was</w:t>
      </w:r>
      <w:r w:rsidRPr="4C0A0968">
        <w:rPr>
          <w:color w:val="auto"/>
        </w:rPr>
        <w:t xml:space="preserve"> available for cardiovascular or procedure-related mortality, exercise capacity, patient satisfaction, implant success and failure rates and differential outcome by patient characteristics. The lack of cardiovascular and procedure-related mortality is problematic as it is unclear how many of the deaths in each treatment group were directly attributable to device function. </w:t>
      </w:r>
    </w:p>
    <w:p w14:paraId="73805912" w14:textId="4A7F3C01" w:rsidR="00F42D17" w:rsidRPr="004B13C9" w:rsidRDefault="00F42D17" w:rsidP="4C0A0968">
      <w:pPr>
        <w:pStyle w:val="Instructionaltext"/>
        <w:rPr>
          <w:color w:val="auto"/>
        </w:rPr>
      </w:pPr>
      <w:r w:rsidRPr="4C0A0968">
        <w:rPr>
          <w:color w:val="auto"/>
        </w:rPr>
        <w:t xml:space="preserve">Despite using a weighted cohort of patients that were similar with respect to 31 baseline and encounter characteristics (preclusion for Micra AV was not considered), </w:t>
      </w:r>
      <w:r w:rsidR="00C41C6F">
        <w:rPr>
          <w:color w:val="auto"/>
        </w:rPr>
        <w:t>uncontrolled confounding factors may influence</w:t>
      </w:r>
      <w:r w:rsidRPr="4C0A0968">
        <w:rPr>
          <w:color w:val="auto"/>
        </w:rPr>
        <w:t xml:space="preserve"> these results. For example, the large imbalance in sample sizes between the </w:t>
      </w:r>
      <w:r w:rsidR="00E36A9B" w:rsidRPr="4C0A0968">
        <w:rPr>
          <w:color w:val="auto"/>
        </w:rPr>
        <w:t xml:space="preserve">2 </w:t>
      </w:r>
      <w:r w:rsidRPr="4C0A0968">
        <w:rPr>
          <w:color w:val="auto"/>
        </w:rPr>
        <w:t xml:space="preserve">treatment groups may be an issue when controlling for baseline characteristics that are not independent of each other. Also, it is possible that a proportion of patients who received the Micra AV in the subgroup analysis would have been ineligible for a DC-TVPM, and it is unclear whether or to what extent the inclusion of </w:t>
      </w:r>
      <w:r w:rsidR="00881AE8" w:rsidRPr="4C0A0968">
        <w:rPr>
          <w:color w:val="auto"/>
        </w:rPr>
        <w:t xml:space="preserve">these </w:t>
      </w:r>
      <w:r w:rsidRPr="4C0A0968">
        <w:rPr>
          <w:color w:val="auto"/>
        </w:rPr>
        <w:t xml:space="preserve">patients in the LPM group confounded the outcomes. While it is possible that these factors skewed the mortality results in favour of DC-TVPMs, the possibility that there are other device-related effects influencing this result cannot be dismissed. The lack of mortality data beyond </w:t>
      </w:r>
      <w:r w:rsidR="00186701" w:rsidRPr="4C0A0968">
        <w:rPr>
          <w:color w:val="auto"/>
        </w:rPr>
        <w:t xml:space="preserve">2 </w:t>
      </w:r>
      <w:r w:rsidRPr="4C0A0968">
        <w:rPr>
          <w:color w:val="auto"/>
        </w:rPr>
        <w:t>years after surgery is an issue that warrants consideration of ongoing data collection</w:t>
      </w:r>
      <w:r w:rsidR="00E54066" w:rsidRPr="4C0A0968">
        <w:rPr>
          <w:color w:val="auto"/>
        </w:rPr>
        <w:t xml:space="preserve"> given the projected longevity of the Micra AV device.</w:t>
      </w:r>
    </w:p>
    <w:p w14:paraId="1DE5F024" w14:textId="77777777" w:rsidR="00F42D17" w:rsidRDefault="00F42D17" w:rsidP="00F42D17">
      <w:pPr>
        <w:pStyle w:val="Instructionaltext"/>
        <w:rPr>
          <w:color w:val="auto"/>
        </w:rPr>
      </w:pPr>
      <w:r w:rsidRPr="00A45A70">
        <w:rPr>
          <w:color w:val="auto"/>
        </w:rPr>
        <w:t>Quality of life, battery life and AV synchronicity were addressed with supportive evidence only</w:t>
      </w:r>
      <w:r>
        <w:rPr>
          <w:color w:val="auto"/>
        </w:rPr>
        <w:t>, most of which was derived from single-arm studies in populations or devices (the Micra VR) that were not directly applicable to the MBS proposal.</w:t>
      </w:r>
    </w:p>
    <w:p w14:paraId="193A5E70" w14:textId="08729B2B" w:rsidR="00F42D17" w:rsidRDefault="00F42D17" w:rsidP="4C0A0968">
      <w:pPr>
        <w:pStyle w:val="Instructionaltext"/>
        <w:rPr>
          <w:color w:val="auto"/>
        </w:rPr>
      </w:pPr>
      <w:r w:rsidRPr="4C0A0968">
        <w:rPr>
          <w:color w:val="auto"/>
        </w:rPr>
        <w:t>It should be noted that</w:t>
      </w:r>
      <w:r w:rsidR="005B6D86" w:rsidRPr="4C0A0968">
        <w:rPr>
          <w:color w:val="auto"/>
        </w:rPr>
        <w:t xml:space="preserve"> the</w:t>
      </w:r>
      <w:r w:rsidRPr="4C0A0968">
        <w:rPr>
          <w:color w:val="auto"/>
        </w:rPr>
        <w:t xml:space="preserve"> bulk of the evidence pertains to the Micra AV device, whereas the Micra AV2 will be used in Australia henceforth. Since the devices are identical</w:t>
      </w:r>
      <w:r w:rsidR="001F2792" w:rsidRPr="4C0A0968">
        <w:rPr>
          <w:color w:val="auto"/>
        </w:rPr>
        <w:t xml:space="preserve"> in size, shape, mass, appearance, design and implant procedure</w:t>
      </w:r>
      <w:r w:rsidRPr="4C0A0968">
        <w:rPr>
          <w:color w:val="auto"/>
        </w:rPr>
        <w:t xml:space="preserve">, this is unlikely to affect safety outcomes. However, some effectiveness </w:t>
      </w:r>
      <w:r w:rsidR="007078AD" w:rsidRPr="4C0A0968">
        <w:rPr>
          <w:color w:val="auto"/>
        </w:rPr>
        <w:t>outcomes</w:t>
      </w:r>
      <w:r w:rsidRPr="4C0A0968">
        <w:rPr>
          <w:color w:val="auto"/>
        </w:rPr>
        <w:t xml:space="preserve"> could be improved due to the enhanced atrial sensing and algorithms of the Micra AV2.</w:t>
      </w:r>
    </w:p>
    <w:p w14:paraId="6F459B7E" w14:textId="77777777" w:rsidR="00F42D17" w:rsidRPr="00223664" w:rsidRDefault="00F42D17" w:rsidP="00F42D17">
      <w:pPr>
        <w:tabs>
          <w:tab w:val="left" w:pos="720"/>
          <w:tab w:val="left" w:pos="1140"/>
        </w:tabs>
        <w:spacing w:before="240" w:after="120"/>
        <w:rPr>
          <w:b/>
          <w:bCs/>
        </w:rPr>
      </w:pPr>
      <w:r w:rsidRPr="00223664">
        <w:rPr>
          <w:b/>
          <w:bCs/>
        </w:rPr>
        <w:t>Clinical claim</w:t>
      </w:r>
    </w:p>
    <w:p w14:paraId="151511A9" w14:textId="16233D8C" w:rsidR="00F42D17" w:rsidRPr="00AE7C08" w:rsidRDefault="00F42D17" w:rsidP="00F42D17">
      <w:pPr>
        <w:rPr>
          <w:lang w:val="en-NZ"/>
        </w:rPr>
      </w:pPr>
      <w:r w:rsidRPr="00A82F64">
        <w:t>The clinical claim made by the applicant is that, compared with DC-TVPMs, the use of a Micra AV</w:t>
      </w:r>
      <w:r w:rsidRPr="1B7899C8">
        <w:rPr>
          <w:lang w:val="en-NZ"/>
        </w:rPr>
        <w:t xml:space="preserve"> </w:t>
      </w:r>
      <w:r w:rsidRPr="008A1953">
        <w:t xml:space="preserve">results </w:t>
      </w:r>
      <w:r>
        <w:t xml:space="preserve">in </w:t>
      </w:r>
      <w:r w:rsidRPr="008A1953">
        <w:t xml:space="preserve">non-inferior effectiveness </w:t>
      </w:r>
      <w:r>
        <w:t>(all-cause mortality), inferior technical performance with respect to AV synchronicity</w:t>
      </w:r>
      <w:r w:rsidRPr="008A1953">
        <w:t xml:space="preserve"> and superior health</w:t>
      </w:r>
      <w:r>
        <w:t>-</w:t>
      </w:r>
      <w:r w:rsidRPr="008A1953">
        <w:t xml:space="preserve">related </w:t>
      </w:r>
      <w:r>
        <w:t>QoL</w:t>
      </w:r>
      <w:r w:rsidR="00B96F25">
        <w:t>,</w:t>
      </w:r>
      <w:r w:rsidRPr="008A1953">
        <w:t xml:space="preserve"> </w:t>
      </w:r>
      <w:r w:rsidR="00B60361">
        <w:t>as well as</w:t>
      </w:r>
      <w:r w:rsidRPr="008A1953">
        <w:t xml:space="preserve"> superior safety </w:t>
      </w:r>
      <w:r>
        <w:t>with respect to</w:t>
      </w:r>
      <w:r w:rsidRPr="008A1953">
        <w:t xml:space="preserve"> </w:t>
      </w:r>
      <w:r>
        <w:t xml:space="preserve">rates of acute and </w:t>
      </w:r>
      <w:r w:rsidRPr="008A1953">
        <w:t>chronic complications and reinterventions</w:t>
      </w:r>
      <w:r>
        <w:t>.</w:t>
      </w:r>
      <w:r w:rsidR="3A7B09C9">
        <w:t xml:space="preserve"> </w:t>
      </w:r>
      <w:r w:rsidR="40979723">
        <w:t>While the</w:t>
      </w:r>
      <w:r w:rsidR="648F7FFB">
        <w:t xml:space="preserve"> evidence provided </w:t>
      </w:r>
      <w:r w:rsidR="53DA0DEE">
        <w:t>supports t</w:t>
      </w:r>
      <w:r w:rsidR="3F557A71">
        <w:t>he</w:t>
      </w:r>
      <w:r w:rsidR="53DA0DEE">
        <w:t xml:space="preserve"> claim of superior safet</w:t>
      </w:r>
      <w:r w:rsidR="72196DC9">
        <w:t>y,</w:t>
      </w:r>
      <w:r w:rsidR="53DA0DEE">
        <w:t xml:space="preserve"> it </w:t>
      </w:r>
      <w:r w:rsidR="648F7FFB">
        <w:t>does not support the claims of</w:t>
      </w:r>
      <w:r w:rsidR="3A7B09C9">
        <w:t xml:space="preserve"> </w:t>
      </w:r>
      <w:r w:rsidR="393F66FB">
        <w:t>non-inferior effectiveness (all-cause mortality)</w:t>
      </w:r>
      <w:r w:rsidR="0D579E52">
        <w:t xml:space="preserve">, </w:t>
      </w:r>
      <w:r w:rsidR="393F66FB">
        <w:t xml:space="preserve">inferior technical performance </w:t>
      </w:r>
      <w:r w:rsidR="4DC1FC69">
        <w:t>(</w:t>
      </w:r>
      <w:r w:rsidR="393F66FB">
        <w:t>with respect to AV synchronicity</w:t>
      </w:r>
      <w:r w:rsidR="58064900">
        <w:t>) or</w:t>
      </w:r>
      <w:r w:rsidR="393F66FB">
        <w:t xml:space="preserve"> superior health-related QoL.</w:t>
      </w:r>
    </w:p>
    <w:p w14:paraId="1CDB1DF7" w14:textId="39D235E9" w:rsidR="00D74DB6" w:rsidRPr="008A1953" w:rsidRDefault="00F42D17" w:rsidP="4C0A0968">
      <w:pPr>
        <w:rPr>
          <w:rFonts w:eastAsia="Franklin Gothic Book" w:cs="Franklin Gothic Book"/>
        </w:rPr>
      </w:pPr>
      <w:r w:rsidRPr="4C0A0968">
        <w:t xml:space="preserve">Results from one large non-randomised study indicate that patients who received a Micra AV for AV block in the absence of AF experienced significantly fewer </w:t>
      </w:r>
      <w:r w:rsidR="0412014E" w:rsidRPr="4C0A0968">
        <w:t xml:space="preserve">complications (including device-related complications) and </w:t>
      </w:r>
      <w:r w:rsidRPr="4C0A0968">
        <w:t xml:space="preserve">reinterventions at </w:t>
      </w:r>
      <w:r w:rsidR="003E48DC" w:rsidRPr="4C0A0968">
        <w:t xml:space="preserve">2 </w:t>
      </w:r>
      <w:r w:rsidRPr="4C0A0968">
        <w:t xml:space="preserve">years, compared with DC-TVPMs (low certainty evidence). However, the all-cause mortality rates are </w:t>
      </w:r>
      <w:r w:rsidR="009077B7" w:rsidRPr="4C0A0968">
        <w:t>significantly</w:t>
      </w:r>
      <w:r w:rsidRPr="4C0A0968">
        <w:t xml:space="preserve"> higher following Micra AV implantation at </w:t>
      </w:r>
      <w:r w:rsidR="00567CDF" w:rsidRPr="4C0A0968">
        <w:t xml:space="preserve">30 days and </w:t>
      </w:r>
      <w:r w:rsidR="00050CA2" w:rsidRPr="4C0A0968">
        <w:t xml:space="preserve">2 </w:t>
      </w:r>
      <w:r w:rsidRPr="4C0A0968">
        <w:t xml:space="preserve">years. Given the low certainty of the evidence, it is unclear to what degree this result represents confounding or </w:t>
      </w:r>
      <w:r w:rsidR="2E778CEC" w:rsidRPr="4C0A0968">
        <w:t xml:space="preserve">selection- or </w:t>
      </w:r>
      <w:r w:rsidRPr="4C0A0968">
        <w:t xml:space="preserve">device-related effects. Very limited data on QoL from studies on patients receiving a similar device (Micra VR) suggested that physical and mental functioning was better in those receiving an LPM device, compared with DC-TVPMs, in the postoperative recovery period up to one month following surgery. This is most likely due to the shorter period of activity restriction and recovery required for LPM recipients than for patients receiving DC-TVPM (approximately 24 hours versus </w:t>
      </w:r>
      <w:r w:rsidR="00050CA2" w:rsidRPr="4C0A0968">
        <w:t xml:space="preserve">4 </w:t>
      </w:r>
      <w:r w:rsidRPr="4C0A0968">
        <w:t xml:space="preserve">to </w:t>
      </w:r>
      <w:r w:rsidR="00050CA2" w:rsidRPr="4C0A0968">
        <w:t xml:space="preserve">6 </w:t>
      </w:r>
      <w:r w:rsidRPr="4C0A0968">
        <w:t>weeks). However, these patients were not representative of the proposed MBS population</w:t>
      </w:r>
      <w:r w:rsidR="168B473A" w:rsidRPr="4C0A0968">
        <w:t xml:space="preserve"> </w:t>
      </w:r>
      <w:r w:rsidR="1A02CB83" w:rsidRPr="4C0A0968">
        <w:t xml:space="preserve">because of the large differences between the LPM patients in the Micra VR </w:t>
      </w:r>
      <w:r w:rsidR="79E70046" w:rsidRPr="4C0A0968">
        <w:t xml:space="preserve">studies </w:t>
      </w:r>
      <w:r w:rsidR="1A02CB83" w:rsidRPr="4C0A0968">
        <w:t xml:space="preserve">and </w:t>
      </w:r>
      <w:r w:rsidR="1F2B4764" w:rsidRPr="4C0A0968">
        <w:t xml:space="preserve">the </w:t>
      </w:r>
      <w:r w:rsidR="1A02CB83" w:rsidRPr="4C0A0968">
        <w:t>Micra AV CED study subgroup with respect to baseline rates of A</w:t>
      </w:r>
      <w:r w:rsidR="1C80E0C6" w:rsidRPr="4C0A0968">
        <w:t>F</w:t>
      </w:r>
      <w:r w:rsidR="1A02CB83" w:rsidRPr="4C0A0968">
        <w:t>, congestive heart failure, chronic obstructive pulmonary disease and other characteristics likely to affect QoL outcomes.</w:t>
      </w:r>
      <w:r w:rsidR="222303BE" w:rsidRPr="4C0A0968">
        <w:t xml:space="preserve"> </w:t>
      </w:r>
      <w:r w:rsidR="168B473A" w:rsidRPr="4C0A0968">
        <w:t xml:space="preserve">The lack of comparative data on </w:t>
      </w:r>
      <w:r w:rsidR="00C41C6F">
        <w:t>the</w:t>
      </w:r>
      <w:r w:rsidR="168B473A" w:rsidRPr="4C0A0968">
        <w:t xml:space="preserve"> technical performance of the Micra AV in terms of AV</w:t>
      </w:r>
      <w:r w:rsidR="411166EC" w:rsidRPr="4C0A0968">
        <w:t xml:space="preserve"> synchrony</w:t>
      </w:r>
      <w:r w:rsidR="168B473A" w:rsidRPr="4C0A0968">
        <w:t xml:space="preserve"> and battery life precludes any definitive conclusions on these aspects.</w:t>
      </w:r>
    </w:p>
    <w:p w14:paraId="0D09C9E4" w14:textId="19DB6F50" w:rsidR="00772829" w:rsidRPr="00CE28E3" w:rsidRDefault="00772829" w:rsidP="004167A0">
      <w:pPr>
        <w:pStyle w:val="Heading2"/>
        <w:numPr>
          <w:ilvl w:val="0"/>
          <w:numId w:val="27"/>
        </w:numPr>
        <w:ind w:hanging="720"/>
      </w:pPr>
      <w:bookmarkStart w:id="36" w:name="_Toc69491425"/>
      <w:r w:rsidRPr="00CE28E3">
        <w:t>Economic evaluation</w:t>
      </w:r>
      <w:bookmarkEnd w:id="36"/>
    </w:p>
    <w:p w14:paraId="23828FFB" w14:textId="220B3024" w:rsidR="00CD4A96" w:rsidRPr="001E5779" w:rsidRDefault="00CD4A96" w:rsidP="4C0A0968">
      <w:pPr>
        <w:pStyle w:val="Instructionaltext"/>
        <w:rPr>
          <w:color w:val="auto"/>
        </w:rPr>
      </w:pPr>
      <w:r w:rsidRPr="4C0A0968">
        <w:rPr>
          <w:color w:val="auto"/>
        </w:rPr>
        <w:t xml:space="preserve">A </w:t>
      </w:r>
      <w:r w:rsidR="00C41C6F">
        <w:rPr>
          <w:color w:val="auto"/>
        </w:rPr>
        <w:t>cost-</w:t>
      </w:r>
      <w:r w:rsidRPr="4C0A0968">
        <w:rPr>
          <w:color w:val="auto"/>
        </w:rPr>
        <w:t>utility analysis (CUA) comparing the Micra AV LPM to DC-TVPM was performed based on the clinical claim of superior safety and non-inferior effectiveness. This analysis adapted the March 2022 CUA model developed for single</w:t>
      </w:r>
      <w:r w:rsidR="00050202" w:rsidRPr="4C0A0968">
        <w:rPr>
          <w:color w:val="auto"/>
        </w:rPr>
        <w:t>-</w:t>
      </w:r>
      <w:r w:rsidRPr="4C0A0968">
        <w:rPr>
          <w:color w:val="auto"/>
        </w:rPr>
        <w:t>chamber LPM v</w:t>
      </w:r>
      <w:r w:rsidR="008B10AC" w:rsidRPr="4C0A0968">
        <w:rPr>
          <w:color w:val="auto"/>
        </w:rPr>
        <w:t>ersu</w:t>
      </w:r>
      <w:r w:rsidRPr="4C0A0968">
        <w:rPr>
          <w:color w:val="auto"/>
        </w:rPr>
        <w:t>s Micra VR pacing (MSAC Application 1672) to assess the Micra AV LPM. The model was structured to capture and evaluate the costs and health outcomes associated with the Micra AV and DC-TVPM over a time horizon of 16 years (i.e. estimated battery life</w:t>
      </w:r>
      <w:r w:rsidR="008B2067" w:rsidRPr="4C0A0968">
        <w:rPr>
          <w:color w:val="auto"/>
        </w:rPr>
        <w:t xml:space="preserve"> of the Micra AV LPM</w:t>
      </w:r>
      <w:r w:rsidRPr="4C0A0968">
        <w:rPr>
          <w:color w:val="auto"/>
        </w:rPr>
        <w:t>). An Australian healthcare system perspective was taken, and a Markov model was used</w:t>
      </w:r>
      <w:r w:rsidR="00061E6F">
        <w:rPr>
          <w:color w:val="auto"/>
        </w:rPr>
        <w:t>,</w:t>
      </w:r>
      <w:r w:rsidRPr="4C0A0968">
        <w:rPr>
          <w:color w:val="auto"/>
        </w:rPr>
        <w:t xml:space="preserve"> including alive and dead health states. Most inputs from the original model were retained and applied to the updated model</w:t>
      </w:r>
      <w:r w:rsidR="007D5840" w:rsidRPr="4C0A0968">
        <w:rPr>
          <w:color w:val="auto"/>
        </w:rPr>
        <w:t>. However</w:t>
      </w:r>
      <w:r w:rsidRPr="4C0A0968">
        <w:rPr>
          <w:color w:val="auto"/>
        </w:rPr>
        <w:t xml:space="preserve">, complication risks and baseline utility values were </w:t>
      </w:r>
      <w:r w:rsidR="000747A9" w:rsidRPr="4C0A0968">
        <w:rPr>
          <w:color w:val="auto"/>
        </w:rPr>
        <w:t xml:space="preserve">revised based on evidence </w:t>
      </w:r>
      <w:r w:rsidRPr="4C0A0968">
        <w:rPr>
          <w:color w:val="auto"/>
        </w:rPr>
        <w:t>from the literature. A stepped approach was applied to present results over a model duration of 2</w:t>
      </w:r>
      <w:r w:rsidR="00C32A9B" w:rsidRPr="4C0A0968">
        <w:rPr>
          <w:color w:val="auto"/>
        </w:rPr>
        <w:t xml:space="preserve"> </w:t>
      </w:r>
      <w:r w:rsidRPr="4C0A0968">
        <w:rPr>
          <w:color w:val="auto"/>
        </w:rPr>
        <w:t>year</w:t>
      </w:r>
      <w:r w:rsidR="00C32A9B" w:rsidRPr="4C0A0968">
        <w:rPr>
          <w:color w:val="auto"/>
        </w:rPr>
        <w:t>s</w:t>
      </w:r>
      <w:r w:rsidRPr="4C0A0968">
        <w:rPr>
          <w:color w:val="auto"/>
        </w:rPr>
        <w:t xml:space="preserve"> to 16</w:t>
      </w:r>
      <w:r w:rsidR="00C32A9B" w:rsidRPr="4C0A0968">
        <w:rPr>
          <w:color w:val="auto"/>
        </w:rPr>
        <w:t xml:space="preserve"> </w:t>
      </w:r>
      <w:r w:rsidRPr="4C0A0968">
        <w:rPr>
          <w:color w:val="auto"/>
        </w:rPr>
        <w:t>year</w:t>
      </w:r>
      <w:r w:rsidR="00C32A9B" w:rsidRPr="4C0A0968">
        <w:rPr>
          <w:color w:val="auto"/>
        </w:rPr>
        <w:t>s</w:t>
      </w:r>
      <w:r w:rsidRPr="4C0A0968">
        <w:rPr>
          <w:color w:val="auto"/>
        </w:rPr>
        <w:t xml:space="preserve">, and different </w:t>
      </w:r>
      <w:r w:rsidR="00961ACC" w:rsidRPr="4C0A0968">
        <w:rPr>
          <w:color w:val="auto"/>
        </w:rPr>
        <w:t>quality-adjusted life year</w:t>
      </w:r>
      <w:r w:rsidRPr="4C0A0968">
        <w:rPr>
          <w:color w:val="auto"/>
        </w:rPr>
        <w:t xml:space="preserve"> </w:t>
      </w:r>
      <w:r w:rsidR="00961ACC" w:rsidRPr="4C0A0968">
        <w:rPr>
          <w:color w:val="auto"/>
        </w:rPr>
        <w:t>(</w:t>
      </w:r>
      <w:r w:rsidRPr="4C0A0968">
        <w:rPr>
          <w:color w:val="auto"/>
        </w:rPr>
        <w:t>QALY</w:t>
      </w:r>
      <w:r w:rsidR="00961ACC" w:rsidRPr="4C0A0968">
        <w:rPr>
          <w:color w:val="auto"/>
        </w:rPr>
        <w:t>)</w:t>
      </w:r>
      <w:r w:rsidRPr="4C0A0968">
        <w:rPr>
          <w:color w:val="auto"/>
        </w:rPr>
        <w:t xml:space="preserve"> transformations. </w:t>
      </w:r>
      <w:r w:rsidR="007D77F7">
        <w:rPr>
          <w:color w:val="auto"/>
        </w:rPr>
        <w:fldChar w:fldCharType="begin"/>
      </w:r>
      <w:r w:rsidR="007D77F7">
        <w:rPr>
          <w:color w:val="auto"/>
        </w:rPr>
        <w:instrText xml:space="preserve"> REF _Ref187075444 \h  \* MERGEFORMAT </w:instrText>
      </w:r>
      <w:r w:rsidR="007D77F7">
        <w:rPr>
          <w:color w:val="auto"/>
        </w:rPr>
      </w:r>
      <w:r w:rsidR="007D77F7">
        <w:rPr>
          <w:color w:val="auto"/>
        </w:rPr>
        <w:fldChar w:fldCharType="separate"/>
      </w:r>
      <w:r w:rsidR="00D96B61" w:rsidRPr="4C0A0968">
        <w:rPr>
          <w:color w:val="auto"/>
        </w:rPr>
        <w:t>Table 11</w:t>
      </w:r>
      <w:r w:rsidR="007D77F7">
        <w:rPr>
          <w:color w:val="auto"/>
        </w:rPr>
        <w:fldChar w:fldCharType="end"/>
      </w:r>
      <w:r w:rsidRPr="00175926">
        <w:rPr>
          <w:color w:val="auto"/>
        </w:rPr>
        <w:fldChar w:fldCharType="begin"/>
      </w:r>
      <w:r w:rsidRPr="00175926">
        <w:rPr>
          <w:color w:val="auto"/>
        </w:rPr>
        <w:fldChar w:fldCharType="separate"/>
      </w:r>
      <w:r w:rsidR="00552B8F" w:rsidRPr="4C0A0968">
        <w:rPr>
          <w:color w:val="auto"/>
        </w:rPr>
        <w:t>Table 11</w:t>
      </w:r>
      <w:r w:rsidRPr="00175926">
        <w:rPr>
          <w:color w:val="auto"/>
        </w:rPr>
        <w:fldChar w:fldCharType="end"/>
      </w:r>
      <w:r w:rsidR="00864ADD" w:rsidRPr="4C0A0968">
        <w:rPr>
          <w:color w:val="auto"/>
        </w:rPr>
        <w:t xml:space="preserve"> </w:t>
      </w:r>
      <w:r w:rsidR="00061E6F">
        <w:rPr>
          <w:color w:val="auto"/>
        </w:rPr>
        <w:t>summarises</w:t>
      </w:r>
      <w:r w:rsidRPr="4C0A0968">
        <w:rPr>
          <w:color w:val="auto"/>
        </w:rPr>
        <w:t xml:space="preserve"> the economic evaluation and an overview of the model parameters.</w:t>
      </w:r>
    </w:p>
    <w:p w14:paraId="7832FEBA" w14:textId="310E37E6" w:rsidR="00C107C3" w:rsidRPr="00CE28E3" w:rsidRDefault="00C107C3" w:rsidP="00F31A7F">
      <w:pPr>
        <w:pStyle w:val="Caption"/>
      </w:pPr>
      <w:bookmarkStart w:id="37" w:name="_Ref187075444"/>
      <w:bookmarkStart w:id="38" w:name="_Ref69725820"/>
      <w:r w:rsidRPr="00CE28E3">
        <w:t>Table</w:t>
      </w:r>
      <w:r w:rsidR="007D77F7">
        <w:t xml:space="preserve"> </w:t>
      </w:r>
      <w:r w:rsidR="00B00A5A">
        <w:fldChar w:fldCharType="begin"/>
      </w:r>
      <w:r w:rsidR="00B00A5A">
        <w:instrText xml:space="preserve"> SEQ Table \* ARABIC </w:instrText>
      </w:r>
      <w:r w:rsidR="00B00A5A">
        <w:fldChar w:fldCharType="separate"/>
      </w:r>
      <w:r w:rsidR="00B00A5A">
        <w:rPr>
          <w:noProof/>
        </w:rPr>
        <w:t>11</w:t>
      </w:r>
      <w:r w:rsidR="00B00A5A">
        <w:rPr>
          <w:noProof/>
        </w:rPr>
        <w:fldChar w:fldCharType="end"/>
      </w:r>
      <w:bookmarkEnd w:id="37"/>
      <w:bookmarkEnd w:id="38"/>
      <w:r w:rsidRPr="00CE28E3">
        <w:tab/>
        <w:t>Summary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the economic evaluation "/>
        <w:tblDescription w:val="This table describes the key constructs of the economic evaluation that is provided in the assessment report."/>
      </w:tblPr>
      <w:tblGrid>
        <w:gridCol w:w="2317"/>
        <w:gridCol w:w="6699"/>
      </w:tblGrid>
      <w:tr w:rsidR="00F8539F" w:rsidRPr="00CE28E3" w14:paraId="12B40354" w14:textId="77777777" w:rsidTr="4C0A0968">
        <w:trPr>
          <w:tblHeader/>
        </w:trPr>
        <w:tc>
          <w:tcPr>
            <w:tcW w:w="1285" w:type="pct"/>
          </w:tcPr>
          <w:p w14:paraId="0B1A97EA" w14:textId="77777777" w:rsidR="00F8539F" w:rsidRPr="000449D1" w:rsidRDefault="00F8539F">
            <w:pPr>
              <w:pStyle w:val="TableHeading"/>
            </w:pPr>
            <w:bookmarkStart w:id="39" w:name="Title_Table5"/>
            <w:bookmarkStart w:id="40" w:name="_Hlk68276446"/>
            <w:bookmarkEnd w:id="39"/>
            <w:r w:rsidRPr="4C0A0968">
              <w:t>Component</w:t>
            </w:r>
          </w:p>
        </w:tc>
        <w:tc>
          <w:tcPr>
            <w:tcW w:w="3715" w:type="pct"/>
          </w:tcPr>
          <w:p w14:paraId="164290A7" w14:textId="77777777" w:rsidR="00F8539F" w:rsidRPr="000449D1" w:rsidRDefault="00F8539F">
            <w:pPr>
              <w:pStyle w:val="TableHeading"/>
              <w:rPr>
                <w:szCs w:val="20"/>
              </w:rPr>
            </w:pPr>
            <w:r w:rsidRPr="000449D1">
              <w:rPr>
                <w:szCs w:val="20"/>
              </w:rPr>
              <w:t>Description</w:t>
            </w:r>
          </w:p>
        </w:tc>
      </w:tr>
      <w:tr w:rsidR="00F8539F" w:rsidRPr="000449D1" w14:paraId="47FCD3DF" w14:textId="77777777" w:rsidTr="4C0A0968">
        <w:tc>
          <w:tcPr>
            <w:tcW w:w="1285" w:type="pct"/>
          </w:tcPr>
          <w:p w14:paraId="1EF06AE2" w14:textId="77777777" w:rsidR="00F8539F" w:rsidRPr="000449D1" w:rsidRDefault="00F8539F">
            <w:pPr>
              <w:pStyle w:val="TableText"/>
              <w:keepNext/>
              <w:rPr>
                <w:szCs w:val="20"/>
              </w:rPr>
            </w:pPr>
            <w:r w:rsidRPr="000449D1">
              <w:rPr>
                <w:szCs w:val="20"/>
              </w:rPr>
              <w:t>Perspective</w:t>
            </w:r>
          </w:p>
        </w:tc>
        <w:tc>
          <w:tcPr>
            <w:tcW w:w="3715" w:type="pct"/>
          </w:tcPr>
          <w:p w14:paraId="084130E1" w14:textId="3408ACA5" w:rsidR="00F8539F" w:rsidRPr="00F97C4C" w:rsidRDefault="00F8539F">
            <w:pPr>
              <w:pStyle w:val="TableText"/>
              <w:keepNext/>
              <w:rPr>
                <w:szCs w:val="20"/>
              </w:rPr>
            </w:pPr>
            <w:r w:rsidRPr="00F97C4C">
              <w:rPr>
                <w:szCs w:val="20"/>
              </w:rPr>
              <w:t>Healthcare system perspective</w:t>
            </w:r>
          </w:p>
        </w:tc>
      </w:tr>
      <w:tr w:rsidR="00F8539F" w:rsidRPr="000449D1" w14:paraId="487EC7CE" w14:textId="77777777" w:rsidTr="4C0A0968">
        <w:trPr>
          <w:tblHeader/>
        </w:trPr>
        <w:tc>
          <w:tcPr>
            <w:tcW w:w="1285" w:type="pct"/>
          </w:tcPr>
          <w:p w14:paraId="4958EB53" w14:textId="77777777" w:rsidR="00F8539F" w:rsidRPr="000449D1" w:rsidRDefault="00F8539F">
            <w:pPr>
              <w:pStyle w:val="TableText"/>
              <w:keepNext/>
              <w:rPr>
                <w:szCs w:val="20"/>
              </w:rPr>
            </w:pPr>
            <w:r w:rsidRPr="000449D1">
              <w:rPr>
                <w:szCs w:val="20"/>
              </w:rPr>
              <w:t>Population</w:t>
            </w:r>
          </w:p>
        </w:tc>
        <w:tc>
          <w:tcPr>
            <w:tcW w:w="3715" w:type="pct"/>
          </w:tcPr>
          <w:p w14:paraId="7348BCC5" w14:textId="77777777" w:rsidR="00F8539F" w:rsidRPr="00F97C4C" w:rsidRDefault="00F8539F">
            <w:pPr>
              <w:pStyle w:val="TableText"/>
              <w:keepNext/>
            </w:pPr>
            <w:r w:rsidRPr="4C0A0968">
              <w:t>Patients who are indicated for permanent pacing for the treatment of bradycardia due to paroxysmal or permanent high-grade AV block and who are in sinus rhythm</w:t>
            </w:r>
          </w:p>
        </w:tc>
      </w:tr>
      <w:tr w:rsidR="00F8539F" w:rsidRPr="000449D1" w14:paraId="1BCF6544" w14:textId="77777777" w:rsidTr="4C0A0968">
        <w:tc>
          <w:tcPr>
            <w:tcW w:w="1285" w:type="pct"/>
          </w:tcPr>
          <w:p w14:paraId="42C3F597" w14:textId="77777777" w:rsidR="00F8539F" w:rsidRPr="000449D1" w:rsidRDefault="00F8539F">
            <w:pPr>
              <w:pStyle w:val="TableText"/>
              <w:keepNext/>
              <w:rPr>
                <w:szCs w:val="20"/>
              </w:rPr>
            </w:pPr>
            <w:r w:rsidRPr="000449D1">
              <w:rPr>
                <w:szCs w:val="20"/>
              </w:rPr>
              <w:t>Comparator</w:t>
            </w:r>
          </w:p>
        </w:tc>
        <w:tc>
          <w:tcPr>
            <w:tcW w:w="3715" w:type="pct"/>
          </w:tcPr>
          <w:p w14:paraId="72B16DD4" w14:textId="2327108A" w:rsidR="00F8539F" w:rsidRPr="00F97C4C" w:rsidRDefault="00F8539F">
            <w:pPr>
              <w:pStyle w:val="TableText"/>
              <w:keepNext/>
              <w:rPr>
                <w:szCs w:val="20"/>
              </w:rPr>
            </w:pPr>
            <w:r w:rsidRPr="00040155">
              <w:t>DC-TVPM</w:t>
            </w:r>
            <w:r w:rsidR="00D51709">
              <w:t xml:space="preserve"> </w:t>
            </w:r>
            <w:r w:rsidR="00CD55F6">
              <w:t>(i.e. the</w:t>
            </w:r>
            <w:r w:rsidRPr="00040155">
              <w:t xml:space="preserve"> conventional strategy)</w:t>
            </w:r>
          </w:p>
        </w:tc>
      </w:tr>
      <w:tr w:rsidR="00F8539F" w:rsidRPr="000449D1" w14:paraId="4F49AFA5" w14:textId="77777777" w:rsidTr="4C0A0968">
        <w:tc>
          <w:tcPr>
            <w:tcW w:w="1285" w:type="pct"/>
          </w:tcPr>
          <w:p w14:paraId="7E6C8FEE" w14:textId="77777777" w:rsidR="00F8539F" w:rsidRPr="000449D1" w:rsidRDefault="00F8539F">
            <w:pPr>
              <w:pStyle w:val="TableText"/>
              <w:keepNext/>
              <w:rPr>
                <w:szCs w:val="20"/>
              </w:rPr>
            </w:pPr>
            <w:r w:rsidRPr="000449D1">
              <w:rPr>
                <w:szCs w:val="20"/>
              </w:rPr>
              <w:t>Type(s) of analysis</w:t>
            </w:r>
          </w:p>
        </w:tc>
        <w:tc>
          <w:tcPr>
            <w:tcW w:w="3715" w:type="pct"/>
          </w:tcPr>
          <w:p w14:paraId="25DAA070" w14:textId="4BD40404" w:rsidR="00F8539F" w:rsidRPr="00F97C4C" w:rsidRDefault="00F8539F">
            <w:pPr>
              <w:pStyle w:val="TableText"/>
              <w:keepNext/>
              <w:rPr>
                <w:szCs w:val="20"/>
              </w:rPr>
            </w:pPr>
            <w:r w:rsidRPr="00040155">
              <w:t>Cost</w:t>
            </w:r>
            <w:r w:rsidR="000B7E4A">
              <w:t>–</w:t>
            </w:r>
            <w:r w:rsidRPr="00040155">
              <w:t>utility analysis</w:t>
            </w:r>
          </w:p>
        </w:tc>
      </w:tr>
      <w:tr w:rsidR="00F8539F" w:rsidRPr="000449D1" w14:paraId="6CBD8D23" w14:textId="77777777" w:rsidTr="4C0A0968">
        <w:tc>
          <w:tcPr>
            <w:tcW w:w="1285" w:type="pct"/>
          </w:tcPr>
          <w:p w14:paraId="58E4274E" w14:textId="77777777" w:rsidR="00F8539F" w:rsidRPr="000449D1" w:rsidRDefault="00F8539F">
            <w:pPr>
              <w:pStyle w:val="TableText"/>
              <w:keepNext/>
              <w:rPr>
                <w:szCs w:val="20"/>
              </w:rPr>
            </w:pPr>
            <w:r w:rsidRPr="000449D1">
              <w:rPr>
                <w:szCs w:val="20"/>
              </w:rPr>
              <w:t>Outcomes</w:t>
            </w:r>
          </w:p>
        </w:tc>
        <w:tc>
          <w:tcPr>
            <w:tcW w:w="3715" w:type="pct"/>
          </w:tcPr>
          <w:p w14:paraId="43C4B76C" w14:textId="77777777" w:rsidR="00F8539F" w:rsidRPr="00F97C4C" w:rsidRDefault="00F8539F">
            <w:pPr>
              <w:pStyle w:val="TableText"/>
              <w:keepNext/>
              <w:rPr>
                <w:szCs w:val="20"/>
              </w:rPr>
            </w:pPr>
            <w:r w:rsidRPr="00AC4098">
              <w:t xml:space="preserve">Quality-adjusted life years, life years </w:t>
            </w:r>
          </w:p>
        </w:tc>
      </w:tr>
      <w:tr w:rsidR="00F8539F" w:rsidRPr="000449D1" w14:paraId="53CD7060" w14:textId="77777777" w:rsidTr="4C0A0968">
        <w:tc>
          <w:tcPr>
            <w:tcW w:w="1285" w:type="pct"/>
          </w:tcPr>
          <w:p w14:paraId="3EDC6EED" w14:textId="77777777" w:rsidR="00F8539F" w:rsidRPr="000449D1" w:rsidRDefault="00F8539F">
            <w:pPr>
              <w:pStyle w:val="TableText"/>
              <w:keepNext/>
              <w:rPr>
                <w:szCs w:val="20"/>
              </w:rPr>
            </w:pPr>
            <w:r w:rsidRPr="000449D1">
              <w:rPr>
                <w:szCs w:val="20"/>
              </w:rPr>
              <w:t>Time horizon</w:t>
            </w:r>
          </w:p>
        </w:tc>
        <w:tc>
          <w:tcPr>
            <w:tcW w:w="3715" w:type="pct"/>
          </w:tcPr>
          <w:p w14:paraId="299853A3" w14:textId="2DC18091" w:rsidR="00F8539F" w:rsidRPr="00F97C4C" w:rsidRDefault="00F8539F">
            <w:pPr>
              <w:pStyle w:val="TableText"/>
              <w:keepNext/>
              <w:rPr>
                <w:szCs w:val="20"/>
              </w:rPr>
            </w:pPr>
            <w:r w:rsidRPr="00AC4098">
              <w:t>16 years (expected battery life</w:t>
            </w:r>
            <w:r w:rsidR="004E6EAB">
              <w:t xml:space="preserve"> of the Micra AV</w:t>
            </w:r>
            <w:r w:rsidRPr="00AC4098">
              <w:t>)</w:t>
            </w:r>
          </w:p>
        </w:tc>
      </w:tr>
      <w:tr w:rsidR="00F8539F" w:rsidRPr="000449D1" w14:paraId="3AF30829" w14:textId="77777777" w:rsidTr="4C0A0968">
        <w:tc>
          <w:tcPr>
            <w:tcW w:w="1285" w:type="pct"/>
          </w:tcPr>
          <w:p w14:paraId="0B5CFCC1" w14:textId="77777777" w:rsidR="00F8539F" w:rsidRPr="000449D1" w:rsidRDefault="00F8539F">
            <w:pPr>
              <w:pStyle w:val="TableText"/>
              <w:keepNext/>
              <w:rPr>
                <w:szCs w:val="20"/>
              </w:rPr>
            </w:pPr>
            <w:r w:rsidRPr="000449D1">
              <w:rPr>
                <w:szCs w:val="20"/>
              </w:rPr>
              <w:t>Computational method</w:t>
            </w:r>
          </w:p>
        </w:tc>
        <w:tc>
          <w:tcPr>
            <w:tcW w:w="3715" w:type="pct"/>
          </w:tcPr>
          <w:p w14:paraId="09591E7B" w14:textId="77777777" w:rsidR="00F8539F" w:rsidRPr="00F97C4C" w:rsidRDefault="00F8539F">
            <w:pPr>
              <w:pStyle w:val="TableText"/>
              <w:keepNext/>
              <w:rPr>
                <w:szCs w:val="20"/>
              </w:rPr>
            </w:pPr>
            <w:r w:rsidRPr="00F97C4C">
              <w:t>Markov analysis</w:t>
            </w:r>
          </w:p>
        </w:tc>
      </w:tr>
      <w:tr w:rsidR="00F8539F" w:rsidRPr="000449D1" w14:paraId="7AA6772B" w14:textId="77777777" w:rsidTr="4C0A0968">
        <w:tc>
          <w:tcPr>
            <w:tcW w:w="1285" w:type="pct"/>
          </w:tcPr>
          <w:p w14:paraId="188CDE92" w14:textId="77777777" w:rsidR="00F8539F" w:rsidRPr="000449D1" w:rsidRDefault="00F8539F">
            <w:pPr>
              <w:pStyle w:val="TableText"/>
              <w:keepNext/>
              <w:rPr>
                <w:szCs w:val="20"/>
              </w:rPr>
            </w:pPr>
            <w:r w:rsidRPr="000449D1">
              <w:rPr>
                <w:szCs w:val="20"/>
              </w:rPr>
              <w:t>Generation of the base case</w:t>
            </w:r>
          </w:p>
        </w:tc>
        <w:tc>
          <w:tcPr>
            <w:tcW w:w="3715" w:type="pct"/>
          </w:tcPr>
          <w:p w14:paraId="6F433A10" w14:textId="77777777" w:rsidR="00F8539F" w:rsidRPr="006E674A" w:rsidRDefault="00F8539F">
            <w:pPr>
              <w:pStyle w:val="TableText"/>
              <w:keepNext/>
              <w:rPr>
                <w:szCs w:val="20"/>
              </w:rPr>
            </w:pPr>
            <w:r w:rsidRPr="006E674A">
              <w:rPr>
                <w:szCs w:val="20"/>
              </w:rPr>
              <w:t>Modelled analysis</w:t>
            </w:r>
          </w:p>
          <w:p w14:paraId="01176C68" w14:textId="0C459F85" w:rsidR="00F8539F" w:rsidRPr="00F97C4C" w:rsidRDefault="00F8539F">
            <w:pPr>
              <w:pStyle w:val="TableText"/>
              <w:keepNext/>
              <w:rPr>
                <w:szCs w:val="20"/>
              </w:rPr>
            </w:pPr>
            <w:r w:rsidRPr="006E674A">
              <w:rPr>
                <w:szCs w:val="20"/>
              </w:rPr>
              <w:t>Extrapolation of the within-trial risk estimates is presented in a stepped approach</w:t>
            </w:r>
          </w:p>
        </w:tc>
      </w:tr>
      <w:tr w:rsidR="00F8539F" w:rsidRPr="000449D1" w14:paraId="3362315F" w14:textId="77777777" w:rsidTr="4C0A0968">
        <w:tc>
          <w:tcPr>
            <w:tcW w:w="1285" w:type="pct"/>
          </w:tcPr>
          <w:p w14:paraId="5F369EF6" w14:textId="77777777" w:rsidR="00F8539F" w:rsidRPr="000449D1" w:rsidRDefault="00F8539F">
            <w:pPr>
              <w:pStyle w:val="TableText"/>
              <w:keepNext/>
              <w:rPr>
                <w:szCs w:val="20"/>
              </w:rPr>
            </w:pPr>
            <w:r w:rsidRPr="000449D1">
              <w:rPr>
                <w:szCs w:val="20"/>
              </w:rPr>
              <w:t>Health states</w:t>
            </w:r>
          </w:p>
        </w:tc>
        <w:tc>
          <w:tcPr>
            <w:tcW w:w="3715" w:type="pct"/>
          </w:tcPr>
          <w:p w14:paraId="4D7D2FCA" w14:textId="77777777" w:rsidR="00F8539F" w:rsidRPr="00F97C4C" w:rsidRDefault="00F8539F">
            <w:pPr>
              <w:pStyle w:val="TableText"/>
              <w:keepNext/>
              <w:rPr>
                <w:szCs w:val="20"/>
              </w:rPr>
            </w:pPr>
            <w:r w:rsidRPr="00F97C4C">
              <w:rPr>
                <w:szCs w:val="20"/>
              </w:rPr>
              <w:t>Alive</w:t>
            </w:r>
          </w:p>
          <w:p w14:paraId="569F2BDA" w14:textId="77777777" w:rsidR="00F8539F" w:rsidRPr="00F97C4C" w:rsidRDefault="00F8539F">
            <w:pPr>
              <w:pStyle w:val="TableText"/>
              <w:keepNext/>
              <w:rPr>
                <w:szCs w:val="20"/>
              </w:rPr>
            </w:pPr>
            <w:r w:rsidRPr="00F97C4C">
              <w:rPr>
                <w:szCs w:val="20"/>
              </w:rPr>
              <w:t>Dead</w:t>
            </w:r>
          </w:p>
        </w:tc>
      </w:tr>
      <w:tr w:rsidR="00F8539F" w:rsidRPr="000449D1" w14:paraId="6DB9BBDE" w14:textId="77777777" w:rsidTr="4C0A0968">
        <w:tc>
          <w:tcPr>
            <w:tcW w:w="1285" w:type="pct"/>
          </w:tcPr>
          <w:p w14:paraId="590CE7EC" w14:textId="77777777" w:rsidR="00F8539F" w:rsidRPr="000449D1" w:rsidRDefault="00F8539F">
            <w:pPr>
              <w:pStyle w:val="TableText"/>
              <w:keepNext/>
              <w:rPr>
                <w:szCs w:val="20"/>
              </w:rPr>
            </w:pPr>
            <w:r w:rsidRPr="000449D1">
              <w:rPr>
                <w:szCs w:val="20"/>
              </w:rPr>
              <w:t>Cycle length</w:t>
            </w:r>
          </w:p>
        </w:tc>
        <w:tc>
          <w:tcPr>
            <w:tcW w:w="3715" w:type="pct"/>
          </w:tcPr>
          <w:p w14:paraId="5F2A1D7A" w14:textId="77777777" w:rsidR="00F8539F" w:rsidRPr="00F97C4C" w:rsidRDefault="00F8539F">
            <w:pPr>
              <w:pStyle w:val="TableText"/>
              <w:keepNext/>
              <w:rPr>
                <w:szCs w:val="20"/>
              </w:rPr>
            </w:pPr>
            <w:r w:rsidRPr="00F97C4C">
              <w:rPr>
                <w:szCs w:val="20"/>
              </w:rPr>
              <w:t>Annual</w:t>
            </w:r>
          </w:p>
        </w:tc>
      </w:tr>
      <w:tr w:rsidR="00F8539F" w:rsidRPr="000449D1" w14:paraId="76908344" w14:textId="77777777" w:rsidTr="4C0A0968">
        <w:tc>
          <w:tcPr>
            <w:tcW w:w="1285" w:type="pct"/>
          </w:tcPr>
          <w:p w14:paraId="096918BB" w14:textId="2CB24B3C" w:rsidR="00F8539F" w:rsidRPr="000449D1" w:rsidRDefault="00F8539F">
            <w:pPr>
              <w:pStyle w:val="TableText"/>
              <w:keepNext/>
            </w:pPr>
            <w:r w:rsidRPr="4C0A0968">
              <w:t xml:space="preserve">Transition probabilities / clinical </w:t>
            </w:r>
            <w:proofErr w:type="spellStart"/>
            <w:r w:rsidRPr="4C0A0968">
              <w:t>events</w:t>
            </w:r>
            <w:r w:rsidR="00FC302F" w:rsidRPr="4C0A0968">
              <w:rPr>
                <w:vertAlign w:val="superscript"/>
              </w:rPr>
              <w:t>a</w:t>
            </w:r>
            <w:proofErr w:type="spellEnd"/>
          </w:p>
        </w:tc>
        <w:tc>
          <w:tcPr>
            <w:tcW w:w="3715" w:type="pct"/>
          </w:tcPr>
          <w:p w14:paraId="1FE672C3" w14:textId="77777777" w:rsidR="00F8539F" w:rsidRPr="006E674A" w:rsidRDefault="00F8539F">
            <w:pPr>
              <w:pStyle w:val="TableText"/>
              <w:keepNext/>
              <w:rPr>
                <w:szCs w:val="20"/>
              </w:rPr>
            </w:pPr>
            <w:r w:rsidRPr="006E674A">
              <w:rPr>
                <w:szCs w:val="20"/>
              </w:rPr>
              <w:t>Infection (fatal and non-fatal)</w:t>
            </w:r>
          </w:p>
          <w:p w14:paraId="66CD587D" w14:textId="77777777" w:rsidR="00F8539F" w:rsidRPr="006E674A" w:rsidRDefault="00F8539F">
            <w:pPr>
              <w:pStyle w:val="TableText"/>
              <w:keepNext/>
              <w:rPr>
                <w:szCs w:val="20"/>
              </w:rPr>
            </w:pPr>
            <w:r w:rsidRPr="006E674A">
              <w:rPr>
                <w:szCs w:val="20"/>
              </w:rPr>
              <w:t>Revision</w:t>
            </w:r>
          </w:p>
          <w:p w14:paraId="6EC88F58" w14:textId="77777777" w:rsidR="00F8539F" w:rsidRPr="006E674A" w:rsidRDefault="00F8539F">
            <w:pPr>
              <w:pStyle w:val="TableText"/>
              <w:keepNext/>
              <w:rPr>
                <w:szCs w:val="20"/>
              </w:rPr>
            </w:pPr>
            <w:r w:rsidRPr="006E674A">
              <w:rPr>
                <w:szCs w:val="20"/>
              </w:rPr>
              <w:t>Lead-related reintervention</w:t>
            </w:r>
          </w:p>
          <w:p w14:paraId="1F301E4E" w14:textId="77777777" w:rsidR="00F8539F" w:rsidRPr="006E674A" w:rsidRDefault="00F8539F">
            <w:pPr>
              <w:pStyle w:val="TableText"/>
              <w:keepNext/>
              <w:rPr>
                <w:szCs w:val="20"/>
              </w:rPr>
            </w:pPr>
            <w:r w:rsidRPr="006E674A">
              <w:rPr>
                <w:szCs w:val="20"/>
              </w:rPr>
              <w:t>Replacement</w:t>
            </w:r>
          </w:p>
          <w:p w14:paraId="14074937" w14:textId="77777777" w:rsidR="00F8539F" w:rsidRPr="00F97C4C" w:rsidRDefault="00F8539F">
            <w:pPr>
              <w:pStyle w:val="TableText"/>
              <w:keepNext/>
              <w:rPr>
                <w:szCs w:val="20"/>
              </w:rPr>
            </w:pPr>
            <w:r w:rsidRPr="006E674A">
              <w:rPr>
                <w:szCs w:val="20"/>
              </w:rPr>
              <w:t>Removal</w:t>
            </w:r>
          </w:p>
        </w:tc>
      </w:tr>
      <w:tr w:rsidR="00F8539F" w:rsidRPr="000449D1" w14:paraId="55F6666E" w14:textId="77777777" w:rsidTr="4C0A0968">
        <w:tc>
          <w:tcPr>
            <w:tcW w:w="1285" w:type="pct"/>
          </w:tcPr>
          <w:p w14:paraId="2108C210" w14:textId="77777777" w:rsidR="00F8539F" w:rsidRPr="000449D1" w:rsidRDefault="00F8539F">
            <w:pPr>
              <w:pStyle w:val="TableText"/>
              <w:keepNext/>
              <w:rPr>
                <w:szCs w:val="20"/>
              </w:rPr>
            </w:pPr>
            <w:r w:rsidRPr="000449D1">
              <w:rPr>
                <w:szCs w:val="20"/>
              </w:rPr>
              <w:t>Discount rate</w:t>
            </w:r>
          </w:p>
        </w:tc>
        <w:tc>
          <w:tcPr>
            <w:tcW w:w="3715" w:type="pct"/>
          </w:tcPr>
          <w:p w14:paraId="6809AB1D" w14:textId="77777777" w:rsidR="00F8539F" w:rsidRPr="000449D1" w:rsidRDefault="00F8539F">
            <w:pPr>
              <w:pStyle w:val="TableText"/>
              <w:keepNext/>
              <w:rPr>
                <w:szCs w:val="20"/>
              </w:rPr>
            </w:pPr>
            <w:r w:rsidRPr="00D37469">
              <w:t>5% for both costs and outcomes</w:t>
            </w:r>
          </w:p>
        </w:tc>
      </w:tr>
      <w:tr w:rsidR="00F8539F" w:rsidRPr="000449D1" w14:paraId="2473DB74" w14:textId="77777777" w:rsidTr="4C0A0968">
        <w:tc>
          <w:tcPr>
            <w:tcW w:w="1285" w:type="pct"/>
          </w:tcPr>
          <w:p w14:paraId="68C45D34" w14:textId="77777777" w:rsidR="00F8539F" w:rsidRPr="000449D1" w:rsidRDefault="00F8539F">
            <w:pPr>
              <w:pStyle w:val="TableText"/>
              <w:keepNext/>
              <w:rPr>
                <w:szCs w:val="20"/>
              </w:rPr>
            </w:pPr>
            <w:r w:rsidRPr="000449D1">
              <w:rPr>
                <w:szCs w:val="20"/>
              </w:rPr>
              <w:t>Software</w:t>
            </w:r>
          </w:p>
        </w:tc>
        <w:tc>
          <w:tcPr>
            <w:tcW w:w="3715" w:type="pct"/>
          </w:tcPr>
          <w:p w14:paraId="50388C86" w14:textId="77777777" w:rsidR="00F8539F" w:rsidRPr="000449D1" w:rsidRDefault="00F8539F">
            <w:pPr>
              <w:pStyle w:val="TableText"/>
              <w:keepNext/>
              <w:rPr>
                <w:szCs w:val="20"/>
              </w:rPr>
            </w:pPr>
            <w:r w:rsidRPr="00D37469">
              <w:t>Excel</w:t>
            </w:r>
          </w:p>
        </w:tc>
      </w:tr>
    </w:tbl>
    <w:p w14:paraId="580EE771" w14:textId="32EE0709" w:rsidR="001C7016" w:rsidRPr="000476DD" w:rsidRDefault="00F8539F" w:rsidP="000476DD">
      <w:pPr>
        <w:spacing w:before="40" w:after="40" w:line="240" w:lineRule="auto"/>
        <w:rPr>
          <w:b/>
          <w:bCs/>
          <w:szCs w:val="18"/>
          <w:u w:val="single"/>
        </w:rPr>
      </w:pPr>
      <w:bookmarkStart w:id="41" w:name="_Hlk68276459"/>
      <w:bookmarkEnd w:id="40"/>
      <w:r w:rsidRPr="000476DD">
        <w:rPr>
          <w:rFonts w:ascii="Arial Narrow" w:hAnsi="Arial Narrow"/>
          <w:b/>
          <w:sz w:val="18"/>
          <w:u w:val="single"/>
        </w:rPr>
        <w:t>Abbreviations</w:t>
      </w:r>
    </w:p>
    <w:p w14:paraId="0BB6C4C4" w14:textId="2E099FEC" w:rsidR="00F8539F" w:rsidRPr="00A80024" w:rsidRDefault="00F8539F" w:rsidP="000476DD">
      <w:pPr>
        <w:spacing w:before="40" w:after="40" w:line="240" w:lineRule="auto"/>
        <w:rPr>
          <w:szCs w:val="18"/>
        </w:rPr>
      </w:pPr>
      <w:r w:rsidRPr="000476DD">
        <w:rPr>
          <w:rFonts w:ascii="Arial Narrow" w:hAnsi="Arial Narrow"/>
          <w:b/>
          <w:sz w:val="18"/>
        </w:rPr>
        <w:t>AV</w:t>
      </w:r>
      <w:r w:rsidR="00783027">
        <w:rPr>
          <w:rFonts w:ascii="Arial Narrow" w:hAnsi="Arial Narrow"/>
          <w:sz w:val="18"/>
          <w:szCs w:val="18"/>
        </w:rPr>
        <w:t xml:space="preserve"> =</w:t>
      </w:r>
      <w:r w:rsidRPr="000476DD">
        <w:rPr>
          <w:rFonts w:ascii="Arial Narrow" w:hAnsi="Arial Narrow"/>
          <w:sz w:val="18"/>
        </w:rPr>
        <w:t xml:space="preserve"> atrioventricular block</w:t>
      </w:r>
      <w:r w:rsidR="00783027">
        <w:rPr>
          <w:rFonts w:ascii="Arial Narrow" w:hAnsi="Arial Narrow"/>
          <w:sz w:val="18"/>
          <w:szCs w:val="18"/>
        </w:rPr>
        <w:t>,</w:t>
      </w:r>
      <w:r w:rsidRPr="000476DD">
        <w:rPr>
          <w:rFonts w:ascii="Arial Narrow" w:hAnsi="Arial Narrow"/>
          <w:sz w:val="18"/>
        </w:rPr>
        <w:t xml:space="preserve"> </w:t>
      </w:r>
      <w:r w:rsidRPr="000476DD">
        <w:rPr>
          <w:rFonts w:ascii="Arial Narrow" w:hAnsi="Arial Narrow"/>
          <w:b/>
          <w:sz w:val="18"/>
        </w:rPr>
        <w:t>DC</w:t>
      </w:r>
      <w:r w:rsidR="00CD55F6">
        <w:rPr>
          <w:rFonts w:ascii="Arial Narrow" w:hAnsi="Arial Narrow"/>
          <w:b/>
          <w:sz w:val="18"/>
        </w:rPr>
        <w:t>-TVPM</w:t>
      </w:r>
      <w:r w:rsidR="00783027">
        <w:rPr>
          <w:rFonts w:ascii="Arial Narrow" w:hAnsi="Arial Narrow"/>
          <w:sz w:val="18"/>
          <w:szCs w:val="18"/>
        </w:rPr>
        <w:t xml:space="preserve"> =</w:t>
      </w:r>
      <w:r w:rsidRPr="000476DD">
        <w:rPr>
          <w:rFonts w:ascii="Arial Narrow" w:hAnsi="Arial Narrow"/>
          <w:sz w:val="18"/>
        </w:rPr>
        <w:t xml:space="preserve"> dual-chamber</w:t>
      </w:r>
      <w:r w:rsidR="00CD55F6">
        <w:rPr>
          <w:rFonts w:ascii="Arial Narrow" w:hAnsi="Arial Narrow"/>
          <w:sz w:val="18"/>
        </w:rPr>
        <w:t xml:space="preserve"> transvenous pacemaker</w:t>
      </w:r>
      <w:r w:rsidR="00783027">
        <w:rPr>
          <w:rFonts w:ascii="Arial Narrow" w:hAnsi="Arial Narrow"/>
          <w:sz w:val="18"/>
          <w:szCs w:val="18"/>
        </w:rPr>
        <w:t>,</w:t>
      </w:r>
      <w:r w:rsidRPr="000476DD">
        <w:rPr>
          <w:rFonts w:ascii="Arial Narrow" w:hAnsi="Arial Narrow"/>
          <w:sz w:val="18"/>
        </w:rPr>
        <w:t xml:space="preserve"> </w:t>
      </w:r>
      <w:r w:rsidRPr="000476DD">
        <w:rPr>
          <w:rFonts w:ascii="Arial Narrow" w:hAnsi="Arial Narrow"/>
          <w:b/>
          <w:sz w:val="18"/>
        </w:rPr>
        <w:t>SND</w:t>
      </w:r>
      <w:r w:rsidR="00783027">
        <w:rPr>
          <w:rFonts w:ascii="Arial Narrow" w:hAnsi="Arial Narrow"/>
          <w:sz w:val="18"/>
          <w:szCs w:val="18"/>
        </w:rPr>
        <w:t xml:space="preserve"> =</w:t>
      </w:r>
      <w:r w:rsidRPr="000476DD">
        <w:rPr>
          <w:rFonts w:ascii="Arial Narrow" w:hAnsi="Arial Narrow"/>
          <w:sz w:val="18"/>
        </w:rPr>
        <w:t xml:space="preserve"> sinus node dysfunction. </w:t>
      </w:r>
    </w:p>
    <w:p w14:paraId="0B7864B6" w14:textId="21F5AD71" w:rsidR="00AA5F7B" w:rsidRPr="000476DD" w:rsidRDefault="00AA5F7B" w:rsidP="000476DD">
      <w:pPr>
        <w:spacing w:before="40" w:after="40" w:line="240" w:lineRule="auto"/>
        <w:rPr>
          <w:b/>
          <w:bCs/>
          <w:szCs w:val="18"/>
          <w:u w:val="single"/>
        </w:rPr>
      </w:pPr>
      <w:r w:rsidRPr="000476DD">
        <w:rPr>
          <w:rFonts w:ascii="Arial Narrow" w:hAnsi="Arial Narrow"/>
          <w:b/>
          <w:bCs/>
          <w:sz w:val="18"/>
          <w:szCs w:val="18"/>
          <w:u w:val="single"/>
        </w:rPr>
        <w:t>Notes</w:t>
      </w:r>
    </w:p>
    <w:p w14:paraId="7DA73B96" w14:textId="6D66824A" w:rsidR="00F8539F" w:rsidRPr="00A80024" w:rsidRDefault="00FC302F" w:rsidP="000476DD">
      <w:pPr>
        <w:spacing w:before="40" w:after="40" w:line="240" w:lineRule="auto"/>
      </w:pPr>
      <w:r w:rsidRPr="4C0A0968">
        <w:rPr>
          <w:rFonts w:ascii="Arial Narrow" w:hAnsi="Arial Narrow"/>
          <w:b/>
          <w:bCs/>
          <w:sz w:val="18"/>
          <w:szCs w:val="18"/>
        </w:rPr>
        <w:t>a</w:t>
      </w:r>
      <w:r w:rsidR="00F8539F" w:rsidRPr="4C0A0968">
        <w:rPr>
          <w:rFonts w:ascii="Arial Narrow" w:hAnsi="Arial Narrow"/>
          <w:sz w:val="18"/>
          <w:szCs w:val="18"/>
        </w:rPr>
        <w:t xml:space="preserve"> </w:t>
      </w:r>
      <w:r w:rsidR="003A0F4F" w:rsidRPr="4C0A0968">
        <w:rPr>
          <w:rFonts w:ascii="Arial Narrow" w:hAnsi="Arial Narrow"/>
          <w:sz w:val="18"/>
          <w:szCs w:val="18"/>
        </w:rPr>
        <w:t xml:space="preserve">= </w:t>
      </w:r>
      <w:r w:rsidR="00F8539F" w:rsidRPr="4C0A0968">
        <w:rPr>
          <w:rFonts w:ascii="Arial Narrow" w:hAnsi="Arial Narrow"/>
          <w:sz w:val="18"/>
          <w:szCs w:val="18"/>
        </w:rPr>
        <w:t xml:space="preserve">The only modelled clinical events </w:t>
      </w:r>
      <w:r w:rsidR="000B4769">
        <w:rPr>
          <w:rFonts w:ascii="Arial Narrow" w:hAnsi="Arial Narrow"/>
          <w:sz w:val="18"/>
          <w:szCs w:val="18"/>
        </w:rPr>
        <w:t xml:space="preserve">that </w:t>
      </w:r>
      <w:r w:rsidR="00F8539F" w:rsidRPr="4C0A0968">
        <w:rPr>
          <w:rFonts w:ascii="Arial Narrow" w:hAnsi="Arial Narrow"/>
          <w:sz w:val="18"/>
          <w:szCs w:val="18"/>
        </w:rPr>
        <w:t xml:space="preserve">trigger a transition to </w:t>
      </w:r>
      <w:r w:rsidR="000B4769">
        <w:rPr>
          <w:rFonts w:ascii="Arial Narrow" w:hAnsi="Arial Narrow"/>
          <w:sz w:val="18"/>
          <w:szCs w:val="18"/>
        </w:rPr>
        <w:t xml:space="preserve">a </w:t>
      </w:r>
      <w:r w:rsidR="00F8539F" w:rsidRPr="4C0A0968">
        <w:rPr>
          <w:rFonts w:ascii="Arial Narrow" w:hAnsi="Arial Narrow"/>
          <w:sz w:val="18"/>
          <w:szCs w:val="18"/>
        </w:rPr>
        <w:t xml:space="preserve">‘Dead’ state </w:t>
      </w:r>
      <w:r w:rsidR="000B4769">
        <w:rPr>
          <w:rFonts w:ascii="Arial Narrow" w:hAnsi="Arial Narrow"/>
          <w:sz w:val="18"/>
          <w:szCs w:val="18"/>
        </w:rPr>
        <w:t>are</w:t>
      </w:r>
      <w:r w:rsidR="00F8539F" w:rsidRPr="4C0A0968">
        <w:rPr>
          <w:rFonts w:ascii="Arial Narrow" w:hAnsi="Arial Narrow"/>
          <w:sz w:val="18"/>
          <w:szCs w:val="18"/>
        </w:rPr>
        <w:t xml:space="preserve"> fatal infection and other cause death (as informed by the Australian life table). Other clinical events are associated with transient cost/QoL implications without triggering any health state transitions.</w:t>
      </w:r>
    </w:p>
    <w:p w14:paraId="45C7E2A7" w14:textId="28AADE3C" w:rsidR="004E6EAB" w:rsidRPr="000476DD" w:rsidRDefault="004E6EAB" w:rsidP="4C0A0968">
      <w:pPr>
        <w:pStyle w:val="Instructionaltext-afterfiguretable"/>
        <w:rPr>
          <w:color w:val="auto"/>
        </w:rPr>
      </w:pPr>
      <w:r w:rsidRPr="4C0A0968">
        <w:rPr>
          <w:color w:val="auto"/>
        </w:rPr>
        <w:t>The ADAR base-case analysis is considered appropriate and robust. The assumptions, methodology and parameters</w:t>
      </w:r>
      <w:r w:rsidR="000B4769">
        <w:rPr>
          <w:color w:val="auto"/>
        </w:rPr>
        <w:t>,</w:t>
      </w:r>
      <w:r w:rsidRPr="4C0A0968">
        <w:t xml:space="preserve"> </w:t>
      </w:r>
      <w:r w:rsidRPr="4C0A0968">
        <w:rPr>
          <w:color w:val="auto"/>
        </w:rPr>
        <w:t>by and large</w:t>
      </w:r>
      <w:r w:rsidR="000B4769">
        <w:rPr>
          <w:color w:val="auto"/>
        </w:rPr>
        <w:t>,</w:t>
      </w:r>
      <w:r w:rsidRPr="4C0A0968">
        <w:rPr>
          <w:color w:val="auto"/>
        </w:rPr>
        <w:t xml:space="preserve"> align with the available evidence and practice</w:t>
      </w:r>
      <w:r w:rsidR="0035765E" w:rsidRPr="4C0A0968">
        <w:rPr>
          <w:color w:val="auto"/>
        </w:rPr>
        <w:t xml:space="preserve">. </w:t>
      </w:r>
      <w:r w:rsidRPr="4C0A0968">
        <w:rPr>
          <w:color w:val="auto"/>
        </w:rPr>
        <w:t>Uncertainties associated with the utility inputs and cost comparisons, including parameter variability and model assumptions, are discussed in the subsequent sections.</w:t>
      </w:r>
    </w:p>
    <w:bookmarkEnd w:id="41"/>
    <w:p w14:paraId="476BFAD0" w14:textId="77777777" w:rsidR="00036AFD" w:rsidRPr="00175926" w:rsidRDefault="00036AFD" w:rsidP="00B616FC">
      <w:pPr>
        <w:pStyle w:val="Heading3"/>
        <w:spacing w:before="240" w:after="120"/>
      </w:pPr>
      <w:r w:rsidRPr="00175926">
        <w:t>Clinical inputs</w:t>
      </w:r>
    </w:p>
    <w:p w14:paraId="1481E617" w14:textId="38A1B9CA" w:rsidR="00036AFD" w:rsidRPr="00493E5A" w:rsidRDefault="00036AFD" w:rsidP="00B616FC">
      <w:pPr>
        <w:pStyle w:val="Instructionaltext-afterfiguretable"/>
        <w:spacing w:before="120"/>
        <w:rPr>
          <w:color w:val="auto"/>
        </w:rPr>
      </w:pPr>
      <w:r w:rsidRPr="4C0A0968">
        <w:rPr>
          <w:color w:val="auto"/>
        </w:rPr>
        <w:t>Complication risks, including infection, revision, lead-related reintervention, replacement and removal</w:t>
      </w:r>
      <w:r w:rsidR="00E63706" w:rsidRPr="4C0A0968">
        <w:rPr>
          <w:color w:val="auto"/>
        </w:rPr>
        <w:t>,</w:t>
      </w:r>
      <w:r w:rsidRPr="4C0A0968">
        <w:rPr>
          <w:color w:val="auto"/>
        </w:rPr>
        <w:t xml:space="preserve"> were derived from the CED study focusing on the subgroup of AV</w:t>
      </w:r>
      <w:r w:rsidR="001D5EF6" w:rsidRPr="4C0A0968">
        <w:rPr>
          <w:color w:val="auto"/>
        </w:rPr>
        <w:t xml:space="preserve"> block</w:t>
      </w:r>
      <w:r w:rsidRPr="4C0A0968">
        <w:rPr>
          <w:color w:val="auto"/>
        </w:rPr>
        <w:t xml:space="preserve"> and normal sinus rhythm. </w:t>
      </w:r>
      <w:r w:rsidR="004C6166" w:rsidRPr="4C0A0968">
        <w:rPr>
          <w:color w:val="auto"/>
        </w:rPr>
        <w:t>Both first- and second-year risks were generally lower for LPM compared to DC-TVPM</w:t>
      </w:r>
      <w:r w:rsidR="00EB0A67" w:rsidRPr="4C0A0968">
        <w:rPr>
          <w:color w:val="auto"/>
        </w:rPr>
        <w:t xml:space="preserve"> (</w:t>
      </w:r>
      <w:r w:rsidR="003513A6">
        <w:rPr>
          <w:color w:val="auto"/>
        </w:rPr>
        <w:t>except for</w:t>
      </w:r>
      <w:r w:rsidR="00261A65" w:rsidRPr="4C0A0968">
        <w:rPr>
          <w:color w:val="auto"/>
        </w:rPr>
        <w:t xml:space="preserve"> </w:t>
      </w:r>
      <w:r w:rsidR="00873D12" w:rsidRPr="4C0A0968">
        <w:rPr>
          <w:color w:val="auto"/>
        </w:rPr>
        <w:t>‘</w:t>
      </w:r>
      <w:r w:rsidR="00261A65" w:rsidRPr="4C0A0968">
        <w:rPr>
          <w:color w:val="auto"/>
        </w:rPr>
        <w:t>replacement</w:t>
      </w:r>
      <w:r w:rsidR="00873D12" w:rsidRPr="4C0A0968">
        <w:rPr>
          <w:color w:val="auto"/>
        </w:rPr>
        <w:t>’</w:t>
      </w:r>
      <w:r w:rsidR="00EB0A67" w:rsidRPr="4C0A0968">
        <w:rPr>
          <w:color w:val="auto"/>
        </w:rPr>
        <w:t>)</w:t>
      </w:r>
      <w:r w:rsidR="004C6166" w:rsidRPr="4C0A0968">
        <w:rPr>
          <w:color w:val="auto"/>
        </w:rPr>
        <w:t xml:space="preserve">, aligning with the clinical findings that LPM had a significantly lower incidence of acute, chronic and device-related complications, as well as reinterventions. </w:t>
      </w:r>
      <w:r w:rsidRPr="4C0A0968">
        <w:rPr>
          <w:color w:val="auto"/>
        </w:rPr>
        <w:t xml:space="preserve">The second-year risk was used </w:t>
      </w:r>
      <w:r w:rsidR="00DA293C" w:rsidRPr="4C0A0968">
        <w:rPr>
          <w:color w:val="auto"/>
        </w:rPr>
        <w:t>as</w:t>
      </w:r>
      <w:r w:rsidR="00E24C2A" w:rsidRPr="4C0A0968">
        <w:rPr>
          <w:color w:val="auto"/>
        </w:rPr>
        <w:t xml:space="preserve"> </w:t>
      </w:r>
      <w:r w:rsidR="0062138E" w:rsidRPr="4C0A0968">
        <w:rPr>
          <w:color w:val="auto"/>
        </w:rPr>
        <w:t xml:space="preserve">the </w:t>
      </w:r>
      <w:r w:rsidR="00E24C2A" w:rsidRPr="4C0A0968">
        <w:rPr>
          <w:color w:val="auto"/>
        </w:rPr>
        <w:t>annual r</w:t>
      </w:r>
      <w:r w:rsidR="002A374A" w:rsidRPr="4C0A0968">
        <w:rPr>
          <w:color w:val="auto"/>
        </w:rPr>
        <w:t>ate for</w:t>
      </w:r>
      <w:r w:rsidRPr="4C0A0968">
        <w:rPr>
          <w:color w:val="auto"/>
        </w:rPr>
        <w:t xml:space="preserve"> the subsequent years throughout the model duration. Mortality rates, however, were assumed to be the same across both arms. Mortality due to infection was informed by Sohail (2015), while all-cause mortality was based on Australian lifetables (Australian Bureau of Statistics).</w:t>
      </w:r>
      <w:r w:rsidR="00184C59" w:rsidRPr="4C0A0968">
        <w:rPr>
          <w:color w:val="auto"/>
        </w:rPr>
        <w:t xml:space="preserve"> </w:t>
      </w:r>
      <w:r w:rsidR="006326B7" w:rsidRPr="4C0A0968">
        <w:rPr>
          <w:color w:val="auto"/>
        </w:rPr>
        <w:t>Although the clinical review indicated that LPM may increase all-cause mortality</w:t>
      </w:r>
      <w:r w:rsidR="00114ADA" w:rsidRPr="4C0A0968">
        <w:rPr>
          <w:color w:val="auto"/>
        </w:rPr>
        <w:t xml:space="preserve"> </w:t>
      </w:r>
      <w:r w:rsidR="006326B7" w:rsidRPr="4C0A0968">
        <w:rPr>
          <w:color w:val="auto"/>
        </w:rPr>
        <w:t>within 30 days and at 2 years, this finding was not used to inform the economic model inputs due to the low certainty of the evidence.</w:t>
      </w:r>
    </w:p>
    <w:p w14:paraId="5664C2BE" w14:textId="77777777" w:rsidR="00036AFD" w:rsidRPr="00175926" w:rsidRDefault="00036AFD" w:rsidP="00B616FC">
      <w:pPr>
        <w:pStyle w:val="Heading3"/>
        <w:spacing w:before="240" w:after="120"/>
      </w:pPr>
      <w:r w:rsidRPr="00175926">
        <w:t>QoL inputs</w:t>
      </w:r>
    </w:p>
    <w:p w14:paraId="728FCA50" w14:textId="33F63156" w:rsidR="00036AFD" w:rsidRPr="00493E5A" w:rsidRDefault="00036AFD" w:rsidP="00B616FC">
      <w:pPr>
        <w:pStyle w:val="Instructionaltext-afterfiguretable"/>
        <w:spacing w:before="120"/>
        <w:rPr>
          <w:color w:val="auto"/>
        </w:rPr>
      </w:pPr>
      <w:r w:rsidRPr="4C0A0968">
        <w:rPr>
          <w:color w:val="auto"/>
        </w:rPr>
        <w:t xml:space="preserve">Baseline utility values were sourced from Chinitz (2023) and were identical between arms. Short-term and long-term disutility were modelled using data from Palmisano (2021) and applied exclusively to </w:t>
      </w:r>
      <w:r w:rsidR="008809C7" w:rsidRPr="4C0A0968">
        <w:rPr>
          <w:color w:val="auto"/>
        </w:rPr>
        <w:t>the DC-</w:t>
      </w:r>
      <w:r w:rsidRPr="4C0A0968">
        <w:rPr>
          <w:color w:val="auto"/>
        </w:rPr>
        <w:t>TVPM</w:t>
      </w:r>
      <w:r w:rsidR="008809C7" w:rsidRPr="4C0A0968">
        <w:rPr>
          <w:color w:val="auto"/>
        </w:rPr>
        <w:t xml:space="preserve"> arm</w:t>
      </w:r>
      <w:r w:rsidRPr="4C0A0968">
        <w:rPr>
          <w:color w:val="auto"/>
        </w:rPr>
        <w:t xml:space="preserve">. </w:t>
      </w:r>
      <w:r w:rsidR="0016300F" w:rsidRPr="4C0A0968">
        <w:rPr>
          <w:color w:val="auto"/>
        </w:rPr>
        <w:t>Short-term disutility</w:t>
      </w:r>
      <w:r w:rsidR="003513A6">
        <w:rPr>
          <w:color w:val="auto"/>
        </w:rPr>
        <w:t xml:space="preserve"> was applied for the first model cycle</w:t>
      </w:r>
      <w:r w:rsidR="0016300F" w:rsidRPr="4C0A0968">
        <w:rPr>
          <w:color w:val="auto"/>
        </w:rPr>
        <w:t xml:space="preserve">, primarily attributed to post-implantation </w:t>
      </w:r>
      <w:r w:rsidR="00696786" w:rsidRPr="4C0A0968">
        <w:rPr>
          <w:color w:val="auto"/>
        </w:rPr>
        <w:t xml:space="preserve">physical </w:t>
      </w:r>
      <w:r w:rsidR="0016300F" w:rsidRPr="4C0A0968">
        <w:rPr>
          <w:color w:val="auto"/>
        </w:rPr>
        <w:t>restrictions and discomfort. Long-term disutility, reflecting the ongoing impact of lead or pocket, was assumed to apply to each cycle.</w:t>
      </w:r>
      <w:r w:rsidR="00C761F6" w:rsidRPr="4C0A0968">
        <w:rPr>
          <w:color w:val="auto"/>
        </w:rPr>
        <w:t xml:space="preserve"> </w:t>
      </w:r>
      <w:proofErr w:type="spellStart"/>
      <w:r w:rsidRPr="4C0A0968">
        <w:rPr>
          <w:color w:val="auto"/>
        </w:rPr>
        <w:t>Disutilities</w:t>
      </w:r>
      <w:proofErr w:type="spellEnd"/>
      <w:r w:rsidRPr="4C0A0968">
        <w:rPr>
          <w:color w:val="auto"/>
        </w:rPr>
        <w:t xml:space="preserve"> due to complications were applied per event and were equal </w:t>
      </w:r>
      <w:r w:rsidR="008809C7" w:rsidRPr="4C0A0968">
        <w:rPr>
          <w:color w:val="auto"/>
        </w:rPr>
        <w:t>across</w:t>
      </w:r>
      <w:r w:rsidRPr="4C0A0968">
        <w:rPr>
          <w:color w:val="auto"/>
        </w:rPr>
        <w:t xml:space="preserve"> both arms. Infection-related </w:t>
      </w:r>
      <w:proofErr w:type="spellStart"/>
      <w:r w:rsidRPr="4C0A0968">
        <w:rPr>
          <w:color w:val="auto"/>
        </w:rPr>
        <w:t>disutilities</w:t>
      </w:r>
      <w:proofErr w:type="spellEnd"/>
      <w:r w:rsidRPr="4C0A0968">
        <w:rPr>
          <w:color w:val="auto"/>
        </w:rPr>
        <w:t xml:space="preserve"> were informed by Wilkoff (2020), while </w:t>
      </w:r>
      <w:proofErr w:type="spellStart"/>
      <w:r w:rsidRPr="4C0A0968">
        <w:rPr>
          <w:color w:val="auto"/>
        </w:rPr>
        <w:t>disutilities</w:t>
      </w:r>
      <w:proofErr w:type="spellEnd"/>
      <w:r w:rsidRPr="4C0A0968">
        <w:rPr>
          <w:color w:val="auto"/>
        </w:rPr>
        <w:t xml:space="preserve"> were same for other complications (i.e. revision, lead-related reintervention, replacement and removal) and based on Palmisano (2021).</w:t>
      </w:r>
    </w:p>
    <w:p w14:paraId="1151505B" w14:textId="77777777" w:rsidR="00036AFD" w:rsidRPr="00175926" w:rsidRDefault="00036AFD" w:rsidP="00B616FC">
      <w:pPr>
        <w:pStyle w:val="Heading3"/>
        <w:spacing w:before="240" w:after="120"/>
      </w:pPr>
      <w:r w:rsidRPr="00175926">
        <w:t>Cost inputs</w:t>
      </w:r>
    </w:p>
    <w:p w14:paraId="77847F1C" w14:textId="5008873F" w:rsidR="00036AFD" w:rsidRPr="00493E5A" w:rsidRDefault="00036AFD" w:rsidP="00B616FC">
      <w:pPr>
        <w:pStyle w:val="Instructionaltext-afterfiguretable"/>
        <w:spacing w:before="120"/>
        <w:rPr>
          <w:color w:val="auto"/>
        </w:rPr>
      </w:pPr>
      <w:r w:rsidRPr="00493E5A">
        <w:rPr>
          <w:color w:val="auto"/>
        </w:rPr>
        <w:t xml:space="preserve">Cost estimates for implantation </w:t>
      </w:r>
      <w:r w:rsidR="004A4360">
        <w:rPr>
          <w:color w:val="auto"/>
        </w:rPr>
        <w:t>procedures</w:t>
      </w:r>
      <w:r w:rsidRPr="00493E5A">
        <w:rPr>
          <w:color w:val="auto"/>
        </w:rPr>
        <w:t xml:space="preserve"> were calculated based on</w:t>
      </w:r>
      <w:r w:rsidR="009E2BC6">
        <w:rPr>
          <w:color w:val="auto"/>
        </w:rPr>
        <w:t xml:space="preserve"> medical devices</w:t>
      </w:r>
      <w:r w:rsidRPr="00493E5A">
        <w:rPr>
          <w:color w:val="auto"/>
        </w:rPr>
        <w:t>, professional services (MBS fees)</w:t>
      </w:r>
      <w:r w:rsidR="004A4360">
        <w:rPr>
          <w:color w:val="auto"/>
        </w:rPr>
        <w:t>,</w:t>
      </w:r>
      <w:r w:rsidRPr="00493E5A">
        <w:rPr>
          <w:color w:val="auto"/>
        </w:rPr>
        <w:t xml:space="preserve"> and hospital stays. Management of complications used per event costs. </w:t>
      </w:r>
      <w:r w:rsidR="004A4360">
        <w:rPr>
          <w:color w:val="auto"/>
        </w:rPr>
        <w:t>The cost</w:t>
      </w:r>
      <w:r w:rsidRPr="00493E5A">
        <w:rPr>
          <w:color w:val="auto"/>
        </w:rPr>
        <w:t xml:space="preserve"> of managing an infection event was identical for both arms, based on </w:t>
      </w:r>
      <w:proofErr w:type="spellStart"/>
      <w:r w:rsidRPr="00493E5A">
        <w:rPr>
          <w:color w:val="auto"/>
        </w:rPr>
        <w:t>Roder</w:t>
      </w:r>
      <w:proofErr w:type="spellEnd"/>
      <w:r w:rsidRPr="00493E5A">
        <w:rPr>
          <w:color w:val="auto"/>
        </w:rPr>
        <w:t xml:space="preserve"> (2019), but the higher frequency of infections in the DC-TVPM arm led to greater overall costs. For other complications, management costs were calculated by adding an extra </w:t>
      </w:r>
      <w:r w:rsidR="009439B0" w:rsidRPr="009439B0">
        <w:rPr>
          <w:color w:val="auto"/>
        </w:rPr>
        <w:t>length of stay</w:t>
      </w:r>
      <w:r w:rsidR="009439B0">
        <w:rPr>
          <w:color w:val="auto"/>
        </w:rPr>
        <w:t xml:space="preserve"> (</w:t>
      </w:r>
      <w:r w:rsidRPr="00A83BD6">
        <w:rPr>
          <w:color w:val="auto"/>
        </w:rPr>
        <w:t>LOS</w:t>
      </w:r>
      <w:r w:rsidR="009439B0">
        <w:rPr>
          <w:color w:val="auto"/>
        </w:rPr>
        <w:t>)</w:t>
      </w:r>
      <w:r w:rsidRPr="00493E5A">
        <w:rPr>
          <w:color w:val="auto"/>
        </w:rPr>
        <w:t>, with (for replacement only) or without the inclusion of the device fee. These costs were the same regardless of the complication types.</w:t>
      </w:r>
    </w:p>
    <w:p w14:paraId="09AB3332" w14:textId="7DF63A9D" w:rsidR="00EA00D3" w:rsidRPr="00175926" w:rsidRDefault="004E6EAB" w:rsidP="00B616FC">
      <w:pPr>
        <w:pStyle w:val="Heading3"/>
        <w:spacing w:before="240" w:after="120"/>
      </w:pPr>
      <w:r>
        <w:t>Results</w:t>
      </w:r>
    </w:p>
    <w:p w14:paraId="6D0C03A8" w14:textId="3B328AC2" w:rsidR="00FA7F6C" w:rsidRDefault="00FA7F6C" w:rsidP="4C0A0968">
      <w:pPr>
        <w:pStyle w:val="Instructionaltext"/>
        <w:rPr>
          <w:color w:val="auto"/>
        </w:rPr>
      </w:pPr>
      <w:r w:rsidRPr="4C0A0968">
        <w:rPr>
          <w:color w:val="auto"/>
        </w:rPr>
        <w:t>According to the ADAR submission, the base ca</w:t>
      </w:r>
      <w:r w:rsidR="0060790E" w:rsidRPr="4C0A0968">
        <w:rPr>
          <w:color w:val="auto"/>
        </w:rPr>
        <w:t>s</w:t>
      </w:r>
      <w:r w:rsidRPr="4C0A0968">
        <w:rPr>
          <w:color w:val="auto"/>
        </w:rPr>
        <w:t xml:space="preserve">e results </w:t>
      </w:r>
      <w:r w:rsidR="003A3956" w:rsidRPr="4C0A0968">
        <w:rPr>
          <w:color w:val="auto"/>
        </w:rPr>
        <w:t>were derived from a stepped model analysis</w:t>
      </w:r>
      <w:r w:rsidR="4E2B47AE" w:rsidRPr="4C0A0968">
        <w:rPr>
          <w:color w:val="auto"/>
        </w:rPr>
        <w:t xml:space="preserve"> </w:t>
      </w:r>
      <w:r w:rsidRPr="00655C24">
        <w:rPr>
          <w:color w:val="auto"/>
        </w:rPr>
        <w:fldChar w:fldCharType="begin"/>
      </w:r>
      <w:r w:rsidRPr="00655C24">
        <w:rPr>
          <w:color w:val="auto"/>
        </w:rPr>
        <w:fldChar w:fldCharType="separate"/>
      </w:r>
      <w:r w:rsidR="00552B8F" w:rsidRPr="4C0A0968">
        <w:t>Table </w:t>
      </w:r>
      <w:r w:rsidR="00552B8F" w:rsidRPr="4C0A0968">
        <w:rPr>
          <w:noProof/>
        </w:rPr>
        <w:t>12</w:t>
      </w:r>
      <w:r w:rsidRPr="00655C24">
        <w:rPr>
          <w:color w:val="auto"/>
        </w:rPr>
        <w:fldChar w:fldCharType="end"/>
      </w:r>
      <w:r w:rsidRPr="4C0A0968">
        <w:rPr>
          <w:color w:val="auto"/>
        </w:rPr>
        <w:t>. The effects of model duration and QALY transformations were examined in a stepped manner to assess the impact on the model results</w:t>
      </w:r>
      <w:r w:rsidR="00705149" w:rsidRPr="4C0A0968">
        <w:rPr>
          <w:color w:val="auto"/>
        </w:rPr>
        <w:t xml:space="preserve"> (</w:t>
      </w:r>
      <w:r w:rsidR="00705149">
        <w:rPr>
          <w:color w:val="auto"/>
        </w:rPr>
        <w:fldChar w:fldCharType="begin"/>
      </w:r>
      <w:r w:rsidR="00705149">
        <w:rPr>
          <w:color w:val="auto"/>
        </w:rPr>
        <w:instrText xml:space="preserve"> REF _Ref187073379 \h </w:instrText>
      </w:r>
      <w:r w:rsidR="00085F0A">
        <w:rPr>
          <w:color w:val="auto"/>
        </w:rPr>
        <w:instrText xml:space="preserve"> \* MERGEFORMAT </w:instrText>
      </w:r>
      <w:r w:rsidR="00705149">
        <w:rPr>
          <w:color w:val="auto"/>
        </w:rPr>
      </w:r>
      <w:r w:rsidR="00705149">
        <w:rPr>
          <w:color w:val="auto"/>
        </w:rPr>
        <w:fldChar w:fldCharType="separate"/>
      </w:r>
      <w:r w:rsidR="00D96B61" w:rsidRPr="4C0A0968">
        <w:rPr>
          <w:color w:val="auto"/>
        </w:rPr>
        <w:t>Table 12</w:t>
      </w:r>
      <w:r w:rsidR="00705149">
        <w:rPr>
          <w:color w:val="auto"/>
        </w:rPr>
        <w:fldChar w:fldCharType="end"/>
      </w:r>
      <w:r w:rsidR="00705149" w:rsidRPr="4C0A0968">
        <w:rPr>
          <w:color w:val="auto"/>
        </w:rPr>
        <w:t>)</w:t>
      </w:r>
      <w:r w:rsidRPr="4C0A0968">
        <w:rPr>
          <w:color w:val="auto"/>
        </w:rPr>
        <w:t xml:space="preserve">. The findings highlighted that the model duration </w:t>
      </w:r>
      <w:r w:rsidR="00BB3B99">
        <w:rPr>
          <w:color w:val="auto"/>
        </w:rPr>
        <w:t>significantly impacts</w:t>
      </w:r>
      <w:r w:rsidRPr="4C0A0968">
        <w:rPr>
          <w:color w:val="auto"/>
        </w:rPr>
        <w:t xml:space="preserve"> the outcomes. This is primarily because the high intervention cost is a one-time cost incurred at baseline, while the ongoing benefits accrue gradually over time. </w:t>
      </w:r>
    </w:p>
    <w:p w14:paraId="3650A475" w14:textId="4AB99BCA" w:rsidR="00FC5603" w:rsidRPr="00CE28E3" w:rsidRDefault="00FC5603" w:rsidP="00FC5603">
      <w:pPr>
        <w:pStyle w:val="Caption"/>
      </w:pPr>
      <w:bookmarkStart w:id="42" w:name="_Ref69725870"/>
      <w:bookmarkStart w:id="43" w:name="_Ref187073379"/>
      <w:r w:rsidRPr="00CE28E3">
        <w:t>Table</w:t>
      </w:r>
      <w:r w:rsidR="004A4FDF">
        <w:t> </w:t>
      </w:r>
      <w:bookmarkEnd w:id="42"/>
      <w:r w:rsidRPr="00CE28E3">
        <w:rPr>
          <w:noProof/>
        </w:rPr>
        <w:fldChar w:fldCharType="begin"/>
      </w:r>
      <w:r w:rsidRPr="00CE28E3">
        <w:rPr>
          <w:noProof/>
        </w:rPr>
        <w:instrText xml:space="preserve"> SEQ Table \* ARABIC </w:instrText>
      </w:r>
      <w:r w:rsidRPr="00CE28E3">
        <w:rPr>
          <w:noProof/>
        </w:rPr>
        <w:fldChar w:fldCharType="separate"/>
      </w:r>
      <w:r w:rsidR="00B00A5A">
        <w:rPr>
          <w:noProof/>
        </w:rPr>
        <w:t>12</w:t>
      </w:r>
      <w:r w:rsidRPr="00CE28E3">
        <w:rPr>
          <w:noProof/>
        </w:rPr>
        <w:fldChar w:fldCharType="end"/>
      </w:r>
      <w:bookmarkEnd w:id="43"/>
      <w:r w:rsidRPr="00CE28E3">
        <w:tab/>
        <w:t>Results of the stepped economic analysis</w:t>
      </w:r>
    </w:p>
    <w:tbl>
      <w:tblPr>
        <w:tblStyle w:val="TableGrid1"/>
        <w:tblW w:w="5000" w:type="pct"/>
        <w:tblLayout w:type="fixed"/>
        <w:tblLook w:val="04A0" w:firstRow="1" w:lastRow="0" w:firstColumn="1" w:lastColumn="0" w:noHBand="0" w:noVBand="1"/>
        <w:tblCaption w:val="Results of the stepped economic analyses"/>
      </w:tblPr>
      <w:tblGrid>
        <w:gridCol w:w="3539"/>
        <w:gridCol w:w="1323"/>
        <w:gridCol w:w="1324"/>
        <w:gridCol w:w="1324"/>
        <w:gridCol w:w="1506"/>
      </w:tblGrid>
      <w:tr w:rsidR="007E5B97" w:rsidRPr="00CE28E3" w14:paraId="251ABC92" w14:textId="77777777" w:rsidTr="00AE219F">
        <w:trPr>
          <w:cnfStyle w:val="100000000000" w:firstRow="1" w:lastRow="0" w:firstColumn="0" w:lastColumn="0" w:oddVBand="0" w:evenVBand="0" w:oddHBand="0" w:evenHBand="0" w:firstRowFirstColumn="0" w:firstRowLastColumn="0" w:lastRowFirstColumn="0" w:lastRowLastColumn="0"/>
          <w:cantSplit/>
          <w:trHeight w:val="300"/>
          <w:tblHeader/>
        </w:trPr>
        <w:tc>
          <w:tcPr>
            <w:tcW w:w="1963" w:type="pct"/>
            <w:noWrap/>
            <w:hideMark/>
          </w:tcPr>
          <w:p w14:paraId="2EED5F07" w14:textId="77777777" w:rsidR="007E5B97" w:rsidRPr="00CE28E3" w:rsidRDefault="007E5B97">
            <w:pPr>
              <w:pStyle w:val="TableHeading"/>
            </w:pPr>
            <w:bookmarkStart w:id="44" w:name="Title_Table6"/>
            <w:bookmarkStart w:id="45" w:name="_Hlk68276518"/>
            <w:bookmarkEnd w:id="44"/>
            <w:r>
              <w:t>Step</w:t>
            </w:r>
          </w:p>
        </w:tc>
        <w:tc>
          <w:tcPr>
            <w:tcW w:w="734" w:type="pct"/>
            <w:noWrap/>
            <w:hideMark/>
          </w:tcPr>
          <w:p w14:paraId="636354A0" w14:textId="77777777" w:rsidR="007E5B97" w:rsidRPr="00CE28E3" w:rsidRDefault="007E5B97">
            <w:pPr>
              <w:pStyle w:val="TableHeading"/>
              <w:jc w:val="center"/>
            </w:pPr>
            <w:r w:rsidRPr="00E57008">
              <w:t>Micra AV</w:t>
            </w:r>
          </w:p>
        </w:tc>
        <w:tc>
          <w:tcPr>
            <w:tcW w:w="734" w:type="pct"/>
            <w:noWrap/>
            <w:hideMark/>
          </w:tcPr>
          <w:p w14:paraId="74B26A18" w14:textId="77777777" w:rsidR="007E5B97" w:rsidRPr="00CE28E3" w:rsidRDefault="007E5B97">
            <w:pPr>
              <w:pStyle w:val="TableHeading"/>
              <w:jc w:val="center"/>
            </w:pPr>
            <w:r w:rsidRPr="00E57008">
              <w:t>DC-TVPM</w:t>
            </w:r>
          </w:p>
        </w:tc>
        <w:tc>
          <w:tcPr>
            <w:tcW w:w="734" w:type="pct"/>
            <w:noWrap/>
            <w:hideMark/>
          </w:tcPr>
          <w:p w14:paraId="7B9D111A" w14:textId="77777777" w:rsidR="007E5B97" w:rsidRPr="00CE28E3" w:rsidRDefault="007E5B97">
            <w:pPr>
              <w:pStyle w:val="TableHeading"/>
              <w:jc w:val="center"/>
            </w:pPr>
            <w:r w:rsidRPr="009E23EC">
              <w:t>Increment</w:t>
            </w:r>
          </w:p>
        </w:tc>
        <w:tc>
          <w:tcPr>
            <w:tcW w:w="835" w:type="pct"/>
          </w:tcPr>
          <w:p w14:paraId="53A61259" w14:textId="77777777" w:rsidR="007E5B97" w:rsidRPr="00CE28E3" w:rsidRDefault="007E5B97">
            <w:pPr>
              <w:pStyle w:val="TableHeading"/>
              <w:jc w:val="center"/>
            </w:pPr>
            <w:r w:rsidRPr="00CE28E3">
              <w:t>ICER</w:t>
            </w:r>
          </w:p>
        </w:tc>
      </w:tr>
      <w:tr w:rsidR="007E5B97" w:rsidRPr="00CE28E3" w14:paraId="3EE471EC" w14:textId="77777777" w:rsidTr="00AE219F">
        <w:trPr>
          <w:cnfStyle w:val="100000000000" w:firstRow="1" w:lastRow="0" w:firstColumn="0" w:lastColumn="0" w:oddVBand="0" w:evenVBand="0" w:oddHBand="0" w:evenHBand="0" w:firstRowFirstColumn="0" w:firstRowLastColumn="0" w:lastRowFirstColumn="0" w:lastRowLastColumn="0"/>
          <w:cantSplit/>
          <w:trHeight w:val="300"/>
          <w:tblHeader/>
        </w:trPr>
        <w:tc>
          <w:tcPr>
            <w:tcW w:w="5000" w:type="pct"/>
            <w:gridSpan w:val="5"/>
            <w:tcBorders>
              <w:bottom w:val="single" w:sz="4" w:space="0" w:color="auto"/>
            </w:tcBorders>
            <w:noWrap/>
          </w:tcPr>
          <w:p w14:paraId="0DC0F785" w14:textId="24194978" w:rsidR="007E5B97" w:rsidRPr="00CE28E3" w:rsidRDefault="007E5B97">
            <w:pPr>
              <w:pStyle w:val="Tabletext0"/>
              <w:jc w:val="left"/>
            </w:pPr>
            <w:r w:rsidRPr="4C0A0968">
              <w:t>Step 1 – Model duration of 2</w:t>
            </w:r>
            <w:r w:rsidR="00BB3B99">
              <w:t xml:space="preserve"> years</w:t>
            </w:r>
            <w:r w:rsidRPr="4C0A0968">
              <w:t xml:space="preserve"> (CED trial maximum follow-up), all utility/disutility inputs captured</w:t>
            </w:r>
          </w:p>
        </w:tc>
      </w:tr>
      <w:tr w:rsidR="007E5B97" w:rsidRPr="00CE28E3" w14:paraId="46648768" w14:textId="77777777" w:rsidTr="00AE219F">
        <w:trPr>
          <w:cnfStyle w:val="100000000000" w:firstRow="1" w:lastRow="0" w:firstColumn="0" w:lastColumn="0" w:oddVBand="0" w:evenVBand="0" w:oddHBand="0" w:evenHBand="0" w:firstRowFirstColumn="0" w:firstRowLastColumn="0" w:lastRowFirstColumn="0" w:lastRowLastColumn="0"/>
          <w:trHeight w:val="300"/>
          <w:tblHeader/>
        </w:trPr>
        <w:tc>
          <w:tcPr>
            <w:tcW w:w="1963" w:type="pct"/>
            <w:tcBorders>
              <w:bottom w:val="nil"/>
            </w:tcBorders>
            <w:noWrap/>
          </w:tcPr>
          <w:p w14:paraId="5CF344F2" w14:textId="77777777" w:rsidR="007E5B97" w:rsidRPr="00CE28E3" w:rsidRDefault="007E5B97">
            <w:pPr>
              <w:pStyle w:val="Tabletext0"/>
            </w:pPr>
            <w:r>
              <w:t>Costs</w:t>
            </w:r>
          </w:p>
        </w:tc>
        <w:tc>
          <w:tcPr>
            <w:tcW w:w="734" w:type="pct"/>
            <w:tcBorders>
              <w:bottom w:val="nil"/>
            </w:tcBorders>
            <w:noWrap/>
          </w:tcPr>
          <w:p w14:paraId="7BA8EC6D" w14:textId="7126F91F" w:rsidR="007E5B97" w:rsidRPr="00655805" w:rsidRDefault="007E55F0">
            <w:pPr>
              <w:pStyle w:val="Tabletext0"/>
              <w:jc w:val="right"/>
              <w:rPr>
                <w:highlight w:val="yellow"/>
              </w:rPr>
            </w:pPr>
            <w:r>
              <w:t>$</w:t>
            </w:r>
            <w:r>
              <w:rPr>
                <w:b/>
                <w:bCs/>
              </w:rPr>
              <w:t>redacted</w:t>
            </w:r>
          </w:p>
        </w:tc>
        <w:tc>
          <w:tcPr>
            <w:tcW w:w="734" w:type="pct"/>
            <w:tcBorders>
              <w:bottom w:val="nil"/>
            </w:tcBorders>
            <w:noWrap/>
          </w:tcPr>
          <w:p w14:paraId="1A82FCBF" w14:textId="5E23CAB7" w:rsidR="007E5B97" w:rsidRPr="00655805" w:rsidRDefault="007E5B97">
            <w:pPr>
              <w:pStyle w:val="Tabletext0"/>
              <w:jc w:val="right"/>
              <w:rPr>
                <w:highlight w:val="yellow"/>
              </w:rPr>
            </w:pPr>
            <w:r w:rsidRPr="00D54950">
              <w:t>$14,395.08</w:t>
            </w:r>
          </w:p>
        </w:tc>
        <w:tc>
          <w:tcPr>
            <w:tcW w:w="734" w:type="pct"/>
            <w:tcBorders>
              <w:bottom w:val="nil"/>
            </w:tcBorders>
            <w:noWrap/>
          </w:tcPr>
          <w:p w14:paraId="2E26FBA3" w14:textId="7ED3C66C" w:rsidR="007E5B97" w:rsidRPr="00CE28E3" w:rsidRDefault="007E55F0">
            <w:pPr>
              <w:pStyle w:val="Tabletext0"/>
              <w:jc w:val="right"/>
            </w:pPr>
            <w:r>
              <w:t>$</w:t>
            </w:r>
            <w:r>
              <w:rPr>
                <w:b/>
                <w:bCs/>
              </w:rPr>
              <w:t>redacted</w:t>
            </w:r>
          </w:p>
        </w:tc>
        <w:tc>
          <w:tcPr>
            <w:tcW w:w="835" w:type="pct"/>
            <w:tcBorders>
              <w:bottom w:val="nil"/>
            </w:tcBorders>
          </w:tcPr>
          <w:p w14:paraId="2890644C" w14:textId="77777777" w:rsidR="007E5B97" w:rsidRPr="00CE28E3" w:rsidRDefault="007E5B97">
            <w:pPr>
              <w:pStyle w:val="Tabletext0"/>
              <w:jc w:val="right"/>
            </w:pPr>
          </w:p>
        </w:tc>
      </w:tr>
      <w:tr w:rsidR="007E5B97" w:rsidRPr="00CE28E3" w14:paraId="09B517C8" w14:textId="77777777" w:rsidTr="00AE219F">
        <w:trPr>
          <w:cnfStyle w:val="100000000000" w:firstRow="1" w:lastRow="0" w:firstColumn="0" w:lastColumn="0" w:oddVBand="0" w:evenVBand="0" w:oddHBand="0" w:evenHBand="0" w:firstRowFirstColumn="0" w:firstRowLastColumn="0" w:lastRowFirstColumn="0" w:lastRowLastColumn="0"/>
          <w:trHeight w:val="300"/>
          <w:tblHeader/>
        </w:trPr>
        <w:tc>
          <w:tcPr>
            <w:tcW w:w="1963" w:type="pct"/>
            <w:tcBorders>
              <w:top w:val="nil"/>
              <w:bottom w:val="nil"/>
            </w:tcBorders>
            <w:noWrap/>
          </w:tcPr>
          <w:p w14:paraId="19AB8BC8" w14:textId="77777777" w:rsidR="007E5B97" w:rsidRDefault="007E5B97">
            <w:pPr>
              <w:pStyle w:val="Tabletext0"/>
            </w:pPr>
            <w:r>
              <w:t>QALYs</w:t>
            </w:r>
          </w:p>
        </w:tc>
        <w:tc>
          <w:tcPr>
            <w:tcW w:w="734" w:type="pct"/>
            <w:tcBorders>
              <w:top w:val="nil"/>
              <w:bottom w:val="nil"/>
            </w:tcBorders>
            <w:noWrap/>
          </w:tcPr>
          <w:p w14:paraId="651E39D1" w14:textId="77777777" w:rsidR="007E5B97" w:rsidRPr="00655805" w:rsidRDefault="007E5B97">
            <w:pPr>
              <w:pStyle w:val="Tabletext0"/>
              <w:jc w:val="right"/>
              <w:rPr>
                <w:highlight w:val="yellow"/>
              </w:rPr>
            </w:pPr>
            <w:r w:rsidRPr="00D54950">
              <w:t>1.5972</w:t>
            </w:r>
          </w:p>
        </w:tc>
        <w:tc>
          <w:tcPr>
            <w:tcW w:w="734" w:type="pct"/>
            <w:tcBorders>
              <w:top w:val="nil"/>
              <w:bottom w:val="nil"/>
            </w:tcBorders>
            <w:noWrap/>
          </w:tcPr>
          <w:p w14:paraId="539CEFAD" w14:textId="77777777" w:rsidR="007E5B97" w:rsidRPr="00655805" w:rsidRDefault="007E5B97">
            <w:pPr>
              <w:pStyle w:val="Tabletext0"/>
              <w:jc w:val="right"/>
              <w:rPr>
                <w:highlight w:val="yellow"/>
              </w:rPr>
            </w:pPr>
            <w:r w:rsidRPr="00D54950">
              <w:t>1.5582</w:t>
            </w:r>
          </w:p>
        </w:tc>
        <w:tc>
          <w:tcPr>
            <w:tcW w:w="734" w:type="pct"/>
            <w:tcBorders>
              <w:top w:val="nil"/>
              <w:bottom w:val="nil"/>
            </w:tcBorders>
            <w:noWrap/>
          </w:tcPr>
          <w:p w14:paraId="46A39724" w14:textId="77777777" w:rsidR="007E5B97" w:rsidRDefault="007E5B97">
            <w:pPr>
              <w:pStyle w:val="Tabletext0"/>
              <w:jc w:val="right"/>
            </w:pPr>
            <w:r w:rsidRPr="00E57008">
              <w:t>0.0390</w:t>
            </w:r>
          </w:p>
        </w:tc>
        <w:tc>
          <w:tcPr>
            <w:tcW w:w="835" w:type="pct"/>
            <w:tcBorders>
              <w:top w:val="nil"/>
              <w:bottom w:val="nil"/>
            </w:tcBorders>
          </w:tcPr>
          <w:p w14:paraId="0CEA0B03" w14:textId="6C4E02CB" w:rsidR="007E5B97" w:rsidRPr="00CE28E3" w:rsidRDefault="007E55F0">
            <w:pPr>
              <w:pStyle w:val="Tabletext0"/>
              <w:jc w:val="right"/>
            </w:pPr>
            <w:r>
              <w:t>$</w:t>
            </w:r>
            <w:r>
              <w:rPr>
                <w:b/>
                <w:bCs/>
              </w:rPr>
              <w:t>redacted</w:t>
            </w:r>
          </w:p>
        </w:tc>
      </w:tr>
      <w:tr w:rsidR="007E5B97" w:rsidRPr="00CE28E3" w14:paraId="4B5DFCD7" w14:textId="77777777" w:rsidTr="00AE219F">
        <w:trPr>
          <w:cnfStyle w:val="100000000000" w:firstRow="1" w:lastRow="0" w:firstColumn="0" w:lastColumn="0" w:oddVBand="0" w:evenVBand="0" w:oddHBand="0" w:evenHBand="0" w:firstRowFirstColumn="0" w:firstRowLastColumn="0" w:lastRowFirstColumn="0" w:lastRowLastColumn="0"/>
          <w:cantSplit/>
          <w:trHeight w:val="300"/>
          <w:tblHeader/>
        </w:trPr>
        <w:tc>
          <w:tcPr>
            <w:tcW w:w="5000" w:type="pct"/>
            <w:gridSpan w:val="5"/>
            <w:tcBorders>
              <w:bottom w:val="single" w:sz="4" w:space="0" w:color="auto"/>
            </w:tcBorders>
            <w:noWrap/>
          </w:tcPr>
          <w:p w14:paraId="035E1526" w14:textId="2D010EFF" w:rsidR="007E5B97" w:rsidRPr="00CE28E3" w:rsidRDefault="007E5B97">
            <w:pPr>
              <w:pStyle w:val="Tabletext0"/>
              <w:jc w:val="left"/>
            </w:pPr>
            <w:r w:rsidRPr="0049180D">
              <w:t xml:space="preserve">Step </w:t>
            </w:r>
            <w:r>
              <w:t>2</w:t>
            </w:r>
            <w:r w:rsidRPr="0049180D">
              <w:t xml:space="preserve"> – </w:t>
            </w:r>
            <w:r w:rsidRPr="00E57008">
              <w:t xml:space="preserve">Model duration </w:t>
            </w:r>
            <w:r>
              <w:t>of 3</w:t>
            </w:r>
            <w:r w:rsidR="00BB3B99">
              <w:t xml:space="preserve"> years</w:t>
            </w:r>
            <w:r>
              <w:t xml:space="preserve"> (</w:t>
            </w:r>
            <w:r w:rsidRPr="0049180D">
              <w:t>extrapolation beyond the CED data</w:t>
            </w:r>
            <w:r>
              <w:t>), a</w:t>
            </w:r>
            <w:r w:rsidRPr="0049180D">
              <w:t>ll utility/disutility inputs captured</w:t>
            </w:r>
          </w:p>
        </w:tc>
      </w:tr>
      <w:tr w:rsidR="007E5B97" w:rsidRPr="00CE28E3" w14:paraId="7F99E204" w14:textId="77777777" w:rsidTr="00AE219F">
        <w:trPr>
          <w:cnfStyle w:val="100000000000" w:firstRow="1" w:lastRow="0" w:firstColumn="0" w:lastColumn="0" w:oddVBand="0" w:evenVBand="0" w:oddHBand="0" w:evenHBand="0" w:firstRowFirstColumn="0" w:firstRowLastColumn="0" w:lastRowFirstColumn="0" w:lastRowLastColumn="0"/>
          <w:trHeight w:val="300"/>
          <w:tblHeader/>
        </w:trPr>
        <w:tc>
          <w:tcPr>
            <w:tcW w:w="1963" w:type="pct"/>
            <w:tcBorders>
              <w:bottom w:val="nil"/>
            </w:tcBorders>
            <w:noWrap/>
          </w:tcPr>
          <w:p w14:paraId="6FB99A1F" w14:textId="77777777" w:rsidR="007E5B97" w:rsidRPr="00CE28E3" w:rsidRDefault="007E5B97">
            <w:pPr>
              <w:pStyle w:val="Tabletext0"/>
            </w:pPr>
            <w:r>
              <w:t>Costs</w:t>
            </w:r>
          </w:p>
        </w:tc>
        <w:tc>
          <w:tcPr>
            <w:tcW w:w="734" w:type="pct"/>
            <w:tcBorders>
              <w:bottom w:val="nil"/>
            </w:tcBorders>
            <w:noWrap/>
          </w:tcPr>
          <w:p w14:paraId="3E5A852F" w14:textId="521E934F" w:rsidR="007E5B97" w:rsidRPr="00655805" w:rsidRDefault="007E55F0">
            <w:pPr>
              <w:pStyle w:val="Tabletext0"/>
              <w:tabs>
                <w:tab w:val="center" w:pos="553"/>
                <w:tab w:val="right" w:pos="1107"/>
              </w:tabs>
              <w:jc w:val="right"/>
              <w:rPr>
                <w:highlight w:val="yellow"/>
              </w:rPr>
            </w:pPr>
            <w:r>
              <w:t>$</w:t>
            </w:r>
            <w:r>
              <w:rPr>
                <w:b/>
                <w:bCs/>
              </w:rPr>
              <w:t>redacted</w:t>
            </w:r>
          </w:p>
        </w:tc>
        <w:tc>
          <w:tcPr>
            <w:tcW w:w="734" w:type="pct"/>
            <w:tcBorders>
              <w:bottom w:val="nil"/>
            </w:tcBorders>
            <w:noWrap/>
          </w:tcPr>
          <w:p w14:paraId="31B42189" w14:textId="7FF4732F" w:rsidR="007E5B97" w:rsidRPr="00655805" w:rsidRDefault="007E5B97">
            <w:pPr>
              <w:pStyle w:val="Tabletext0"/>
              <w:jc w:val="right"/>
              <w:rPr>
                <w:highlight w:val="yellow"/>
              </w:rPr>
            </w:pPr>
            <w:r w:rsidRPr="00D54950">
              <w:t>$14,509.32</w:t>
            </w:r>
          </w:p>
        </w:tc>
        <w:tc>
          <w:tcPr>
            <w:tcW w:w="734" w:type="pct"/>
            <w:tcBorders>
              <w:bottom w:val="nil"/>
            </w:tcBorders>
            <w:noWrap/>
          </w:tcPr>
          <w:p w14:paraId="667746DB" w14:textId="57E53DE7" w:rsidR="007E5B97" w:rsidRPr="00CE28E3" w:rsidRDefault="007E55F0">
            <w:pPr>
              <w:pStyle w:val="Tabletext0"/>
              <w:jc w:val="right"/>
            </w:pPr>
            <w:r>
              <w:t>$</w:t>
            </w:r>
            <w:r>
              <w:rPr>
                <w:b/>
                <w:bCs/>
              </w:rPr>
              <w:t>redacted</w:t>
            </w:r>
          </w:p>
        </w:tc>
        <w:tc>
          <w:tcPr>
            <w:tcW w:w="835" w:type="pct"/>
            <w:tcBorders>
              <w:bottom w:val="nil"/>
            </w:tcBorders>
          </w:tcPr>
          <w:p w14:paraId="08E62158" w14:textId="77777777" w:rsidR="007E5B97" w:rsidRPr="00CE28E3" w:rsidRDefault="007E5B97">
            <w:pPr>
              <w:pStyle w:val="Tabletext0"/>
              <w:jc w:val="right"/>
            </w:pPr>
          </w:p>
        </w:tc>
      </w:tr>
      <w:tr w:rsidR="007E5B97" w:rsidRPr="00CE28E3" w14:paraId="3AC52DFE" w14:textId="77777777" w:rsidTr="00AE219F">
        <w:trPr>
          <w:cnfStyle w:val="100000000000" w:firstRow="1" w:lastRow="0" w:firstColumn="0" w:lastColumn="0" w:oddVBand="0" w:evenVBand="0" w:oddHBand="0" w:evenHBand="0" w:firstRowFirstColumn="0" w:firstRowLastColumn="0" w:lastRowFirstColumn="0" w:lastRowLastColumn="0"/>
          <w:trHeight w:val="300"/>
          <w:tblHeader/>
        </w:trPr>
        <w:tc>
          <w:tcPr>
            <w:tcW w:w="1963" w:type="pct"/>
            <w:tcBorders>
              <w:top w:val="nil"/>
            </w:tcBorders>
            <w:noWrap/>
          </w:tcPr>
          <w:p w14:paraId="4D80A45F" w14:textId="77777777" w:rsidR="007E5B97" w:rsidRDefault="007E5B97">
            <w:pPr>
              <w:pStyle w:val="Tabletext0"/>
            </w:pPr>
            <w:r>
              <w:t>QALYs</w:t>
            </w:r>
          </w:p>
        </w:tc>
        <w:tc>
          <w:tcPr>
            <w:tcW w:w="734" w:type="pct"/>
            <w:tcBorders>
              <w:top w:val="nil"/>
            </w:tcBorders>
            <w:noWrap/>
          </w:tcPr>
          <w:p w14:paraId="5B2EA029" w14:textId="77777777" w:rsidR="007E5B97" w:rsidRPr="00655805" w:rsidRDefault="007E5B97">
            <w:pPr>
              <w:pStyle w:val="Tabletext0"/>
              <w:jc w:val="right"/>
              <w:rPr>
                <w:highlight w:val="yellow"/>
              </w:rPr>
            </w:pPr>
            <w:r w:rsidRPr="00D54950">
              <w:t>2.3060</w:t>
            </w:r>
          </w:p>
        </w:tc>
        <w:tc>
          <w:tcPr>
            <w:tcW w:w="734" w:type="pct"/>
            <w:tcBorders>
              <w:top w:val="nil"/>
            </w:tcBorders>
            <w:noWrap/>
          </w:tcPr>
          <w:p w14:paraId="26C321F5" w14:textId="77777777" w:rsidR="007E5B97" w:rsidRPr="00655805" w:rsidRDefault="007E5B97">
            <w:pPr>
              <w:pStyle w:val="Tabletext0"/>
              <w:jc w:val="right"/>
              <w:rPr>
                <w:highlight w:val="yellow"/>
              </w:rPr>
            </w:pPr>
            <w:r w:rsidRPr="00D54950">
              <w:t>2.2616</w:t>
            </w:r>
          </w:p>
        </w:tc>
        <w:tc>
          <w:tcPr>
            <w:tcW w:w="734" w:type="pct"/>
            <w:tcBorders>
              <w:top w:val="nil"/>
            </w:tcBorders>
            <w:noWrap/>
          </w:tcPr>
          <w:p w14:paraId="26FA7E69" w14:textId="77777777" w:rsidR="007E5B97" w:rsidRDefault="007E5B97">
            <w:pPr>
              <w:pStyle w:val="Tabletext0"/>
              <w:jc w:val="right"/>
            </w:pPr>
            <w:r w:rsidRPr="00E57008">
              <w:t>0.0444</w:t>
            </w:r>
          </w:p>
        </w:tc>
        <w:tc>
          <w:tcPr>
            <w:tcW w:w="835" w:type="pct"/>
            <w:tcBorders>
              <w:top w:val="nil"/>
            </w:tcBorders>
          </w:tcPr>
          <w:p w14:paraId="72D043C7" w14:textId="2BC4C705" w:rsidR="007E5B97" w:rsidRPr="00CE28E3" w:rsidRDefault="007E55F0">
            <w:pPr>
              <w:pStyle w:val="Tabletext0"/>
              <w:jc w:val="right"/>
            </w:pPr>
            <w:r>
              <w:t>$</w:t>
            </w:r>
            <w:r>
              <w:rPr>
                <w:b/>
                <w:bCs/>
              </w:rPr>
              <w:t>redacted</w:t>
            </w:r>
          </w:p>
        </w:tc>
      </w:tr>
      <w:tr w:rsidR="007E5B97" w:rsidRPr="00CE28E3" w14:paraId="538995E6" w14:textId="77777777" w:rsidTr="00AE219F">
        <w:trPr>
          <w:cnfStyle w:val="100000000000" w:firstRow="1" w:lastRow="0" w:firstColumn="0" w:lastColumn="0" w:oddVBand="0" w:evenVBand="0" w:oddHBand="0" w:evenHBand="0" w:firstRowFirstColumn="0" w:firstRowLastColumn="0" w:lastRowFirstColumn="0" w:lastRowLastColumn="0"/>
          <w:cantSplit/>
          <w:trHeight w:val="300"/>
          <w:tblHeader/>
        </w:trPr>
        <w:tc>
          <w:tcPr>
            <w:tcW w:w="5000" w:type="pct"/>
            <w:gridSpan w:val="5"/>
            <w:tcBorders>
              <w:bottom w:val="single" w:sz="4" w:space="0" w:color="auto"/>
            </w:tcBorders>
            <w:noWrap/>
          </w:tcPr>
          <w:p w14:paraId="39823720" w14:textId="4920F5BF" w:rsidR="007E5B97" w:rsidRPr="00CE28E3" w:rsidRDefault="007E5B97">
            <w:pPr>
              <w:pStyle w:val="Tabletext0"/>
              <w:jc w:val="left"/>
            </w:pPr>
            <w:r w:rsidRPr="0049180D">
              <w:t xml:space="preserve">Step </w:t>
            </w:r>
            <w:r>
              <w:t>3</w:t>
            </w:r>
            <w:r w:rsidRPr="0049180D">
              <w:t xml:space="preserve"> – </w:t>
            </w:r>
            <w:r w:rsidRPr="00E57008">
              <w:t xml:space="preserve">Model duration </w:t>
            </w:r>
            <w:r>
              <w:t>of 5</w:t>
            </w:r>
            <w:r w:rsidR="00BB3B99">
              <w:t xml:space="preserve"> years</w:t>
            </w:r>
            <w:r>
              <w:t xml:space="preserve"> (</w:t>
            </w:r>
            <w:r w:rsidRPr="0049180D">
              <w:t>extrapolation beyond the CED data</w:t>
            </w:r>
            <w:r>
              <w:t>), a</w:t>
            </w:r>
            <w:r w:rsidRPr="0049180D">
              <w:t>ll utility/disutility inputs captured</w:t>
            </w:r>
          </w:p>
        </w:tc>
      </w:tr>
      <w:tr w:rsidR="007E5B97" w:rsidRPr="00CE28E3" w14:paraId="0E09A518" w14:textId="77777777" w:rsidTr="00AE219F">
        <w:trPr>
          <w:cnfStyle w:val="100000000000" w:firstRow="1" w:lastRow="0" w:firstColumn="0" w:lastColumn="0" w:oddVBand="0" w:evenVBand="0" w:oddHBand="0" w:evenHBand="0" w:firstRowFirstColumn="0" w:firstRowLastColumn="0" w:lastRowFirstColumn="0" w:lastRowLastColumn="0"/>
          <w:trHeight w:val="300"/>
          <w:tblHeader/>
        </w:trPr>
        <w:tc>
          <w:tcPr>
            <w:tcW w:w="1963" w:type="pct"/>
            <w:tcBorders>
              <w:bottom w:val="nil"/>
            </w:tcBorders>
            <w:noWrap/>
          </w:tcPr>
          <w:p w14:paraId="60487923" w14:textId="77777777" w:rsidR="007E5B97" w:rsidRPr="00CE28E3" w:rsidRDefault="007E5B97">
            <w:pPr>
              <w:pStyle w:val="Tabletext0"/>
            </w:pPr>
            <w:r>
              <w:t>Costs</w:t>
            </w:r>
          </w:p>
        </w:tc>
        <w:tc>
          <w:tcPr>
            <w:tcW w:w="734" w:type="pct"/>
            <w:tcBorders>
              <w:bottom w:val="nil"/>
            </w:tcBorders>
            <w:noWrap/>
          </w:tcPr>
          <w:p w14:paraId="575C12B9" w14:textId="4202374E" w:rsidR="007E5B97" w:rsidRPr="00655805" w:rsidRDefault="007E55F0">
            <w:pPr>
              <w:pStyle w:val="Tabletext0"/>
              <w:jc w:val="right"/>
              <w:rPr>
                <w:highlight w:val="yellow"/>
              </w:rPr>
            </w:pPr>
            <w:r>
              <w:t>$</w:t>
            </w:r>
            <w:r>
              <w:rPr>
                <w:b/>
                <w:bCs/>
              </w:rPr>
              <w:t>redacted</w:t>
            </w:r>
          </w:p>
        </w:tc>
        <w:tc>
          <w:tcPr>
            <w:tcW w:w="734" w:type="pct"/>
            <w:tcBorders>
              <w:bottom w:val="nil"/>
            </w:tcBorders>
            <w:noWrap/>
          </w:tcPr>
          <w:p w14:paraId="02472957" w14:textId="0EA3D88D" w:rsidR="007E5B97" w:rsidRPr="00655805" w:rsidRDefault="007E5B97">
            <w:pPr>
              <w:pStyle w:val="Tabletext0"/>
              <w:jc w:val="right"/>
              <w:rPr>
                <w:highlight w:val="yellow"/>
              </w:rPr>
            </w:pPr>
            <w:r w:rsidRPr="00D54950">
              <w:t>$14,711.61</w:t>
            </w:r>
          </w:p>
        </w:tc>
        <w:tc>
          <w:tcPr>
            <w:tcW w:w="734" w:type="pct"/>
            <w:tcBorders>
              <w:bottom w:val="nil"/>
            </w:tcBorders>
            <w:noWrap/>
          </w:tcPr>
          <w:p w14:paraId="7F0991D1" w14:textId="4D10606C" w:rsidR="007E5B97" w:rsidRPr="00CE28E3" w:rsidRDefault="007E55F0">
            <w:pPr>
              <w:pStyle w:val="Tabletext0"/>
              <w:jc w:val="right"/>
            </w:pPr>
            <w:r>
              <w:t>$</w:t>
            </w:r>
            <w:r>
              <w:rPr>
                <w:b/>
                <w:bCs/>
              </w:rPr>
              <w:t>redacted</w:t>
            </w:r>
          </w:p>
        </w:tc>
        <w:tc>
          <w:tcPr>
            <w:tcW w:w="835" w:type="pct"/>
            <w:tcBorders>
              <w:bottom w:val="nil"/>
            </w:tcBorders>
          </w:tcPr>
          <w:p w14:paraId="2D2C0D5E" w14:textId="77777777" w:rsidR="007E5B97" w:rsidRPr="00CE28E3" w:rsidRDefault="007E5B97">
            <w:pPr>
              <w:pStyle w:val="Tabletext0"/>
              <w:jc w:val="right"/>
            </w:pPr>
          </w:p>
        </w:tc>
      </w:tr>
      <w:tr w:rsidR="007E5B97" w:rsidRPr="00CE28E3" w14:paraId="4B4C1112" w14:textId="77777777" w:rsidTr="00AE219F">
        <w:trPr>
          <w:cnfStyle w:val="100000000000" w:firstRow="1" w:lastRow="0" w:firstColumn="0" w:lastColumn="0" w:oddVBand="0" w:evenVBand="0" w:oddHBand="0" w:evenHBand="0" w:firstRowFirstColumn="0" w:firstRowLastColumn="0" w:lastRowFirstColumn="0" w:lastRowLastColumn="0"/>
          <w:trHeight w:val="300"/>
          <w:tblHeader/>
        </w:trPr>
        <w:tc>
          <w:tcPr>
            <w:tcW w:w="1963" w:type="pct"/>
            <w:tcBorders>
              <w:top w:val="nil"/>
            </w:tcBorders>
            <w:noWrap/>
          </w:tcPr>
          <w:p w14:paraId="230F4A4F" w14:textId="77777777" w:rsidR="007E5B97" w:rsidRDefault="007E5B97">
            <w:pPr>
              <w:pStyle w:val="Tabletext0"/>
            </w:pPr>
            <w:r>
              <w:t>QALYs</w:t>
            </w:r>
          </w:p>
        </w:tc>
        <w:tc>
          <w:tcPr>
            <w:tcW w:w="734" w:type="pct"/>
            <w:tcBorders>
              <w:top w:val="nil"/>
            </w:tcBorders>
            <w:noWrap/>
          </w:tcPr>
          <w:p w14:paraId="1CA28235" w14:textId="77777777" w:rsidR="007E5B97" w:rsidRPr="00655805" w:rsidRDefault="007E5B97">
            <w:pPr>
              <w:pStyle w:val="Tabletext0"/>
              <w:jc w:val="right"/>
              <w:rPr>
                <w:highlight w:val="yellow"/>
              </w:rPr>
            </w:pPr>
            <w:r w:rsidRPr="00D54950">
              <w:t>3.5538</w:t>
            </w:r>
          </w:p>
        </w:tc>
        <w:tc>
          <w:tcPr>
            <w:tcW w:w="734" w:type="pct"/>
            <w:tcBorders>
              <w:top w:val="nil"/>
            </w:tcBorders>
            <w:noWrap/>
          </w:tcPr>
          <w:p w14:paraId="2169E600" w14:textId="77777777" w:rsidR="007E5B97" w:rsidRPr="00655805" w:rsidRDefault="007E5B97">
            <w:pPr>
              <w:pStyle w:val="Tabletext0"/>
              <w:jc w:val="right"/>
              <w:rPr>
                <w:highlight w:val="yellow"/>
              </w:rPr>
            </w:pPr>
            <w:r w:rsidRPr="00D54950">
              <w:t>3.4993</w:t>
            </w:r>
          </w:p>
        </w:tc>
        <w:tc>
          <w:tcPr>
            <w:tcW w:w="734" w:type="pct"/>
            <w:tcBorders>
              <w:top w:val="nil"/>
            </w:tcBorders>
            <w:noWrap/>
          </w:tcPr>
          <w:p w14:paraId="76A9510F" w14:textId="77777777" w:rsidR="007E5B97" w:rsidRDefault="007E5B97">
            <w:pPr>
              <w:pStyle w:val="Tabletext0"/>
              <w:jc w:val="right"/>
            </w:pPr>
            <w:r w:rsidRPr="00E57008">
              <w:t>0.0545</w:t>
            </w:r>
          </w:p>
        </w:tc>
        <w:tc>
          <w:tcPr>
            <w:tcW w:w="835" w:type="pct"/>
            <w:tcBorders>
              <w:top w:val="nil"/>
            </w:tcBorders>
          </w:tcPr>
          <w:p w14:paraId="58979C17" w14:textId="308D1461" w:rsidR="007E5B97" w:rsidRPr="00CE28E3" w:rsidRDefault="007E55F0">
            <w:pPr>
              <w:pStyle w:val="Tabletext0"/>
              <w:jc w:val="right"/>
            </w:pPr>
            <w:r>
              <w:t>$</w:t>
            </w:r>
            <w:r>
              <w:rPr>
                <w:b/>
                <w:bCs/>
              </w:rPr>
              <w:t>redacted</w:t>
            </w:r>
          </w:p>
        </w:tc>
      </w:tr>
      <w:tr w:rsidR="007E5B97" w:rsidRPr="00CE28E3" w14:paraId="3556A9D5" w14:textId="77777777" w:rsidTr="00AE219F">
        <w:trPr>
          <w:cnfStyle w:val="100000000000" w:firstRow="1" w:lastRow="0" w:firstColumn="0" w:lastColumn="0" w:oddVBand="0" w:evenVBand="0" w:oddHBand="0" w:evenHBand="0" w:firstRowFirstColumn="0" w:firstRowLastColumn="0" w:lastRowFirstColumn="0" w:lastRowLastColumn="0"/>
          <w:cantSplit/>
          <w:trHeight w:val="300"/>
          <w:tblHeader/>
        </w:trPr>
        <w:tc>
          <w:tcPr>
            <w:tcW w:w="5000" w:type="pct"/>
            <w:gridSpan w:val="5"/>
            <w:tcBorders>
              <w:bottom w:val="single" w:sz="4" w:space="0" w:color="auto"/>
            </w:tcBorders>
            <w:noWrap/>
          </w:tcPr>
          <w:p w14:paraId="4037BCE6" w14:textId="68266A27" w:rsidR="007E5B97" w:rsidRPr="00CE28E3" w:rsidRDefault="007E5B97">
            <w:pPr>
              <w:pStyle w:val="Tabletext0"/>
              <w:jc w:val="left"/>
            </w:pPr>
            <w:r w:rsidRPr="0049180D">
              <w:t xml:space="preserve">Step </w:t>
            </w:r>
            <w:r>
              <w:t>4</w:t>
            </w:r>
            <w:r w:rsidRPr="0049180D">
              <w:t xml:space="preserve"> – </w:t>
            </w:r>
            <w:r w:rsidRPr="00E57008">
              <w:t xml:space="preserve">Model duration </w:t>
            </w:r>
            <w:r>
              <w:t>of 10</w:t>
            </w:r>
            <w:r w:rsidR="00BB3B99">
              <w:t xml:space="preserve"> years</w:t>
            </w:r>
            <w:r>
              <w:t xml:space="preserve"> (</w:t>
            </w:r>
            <w:r w:rsidRPr="0049180D">
              <w:t>extrapolation beyond the CED data</w:t>
            </w:r>
            <w:r>
              <w:t>), a</w:t>
            </w:r>
            <w:r w:rsidRPr="0049180D">
              <w:t>ll utility/disutility inputs captured</w:t>
            </w:r>
          </w:p>
        </w:tc>
      </w:tr>
      <w:tr w:rsidR="007E5B97" w:rsidRPr="00CE28E3" w14:paraId="521810BF" w14:textId="77777777" w:rsidTr="00AE219F">
        <w:trPr>
          <w:cnfStyle w:val="100000000000" w:firstRow="1" w:lastRow="0" w:firstColumn="0" w:lastColumn="0" w:oddVBand="0" w:evenVBand="0" w:oddHBand="0" w:evenHBand="0" w:firstRowFirstColumn="0" w:firstRowLastColumn="0" w:lastRowFirstColumn="0" w:lastRowLastColumn="0"/>
          <w:trHeight w:val="300"/>
          <w:tblHeader/>
        </w:trPr>
        <w:tc>
          <w:tcPr>
            <w:tcW w:w="1963" w:type="pct"/>
            <w:tcBorders>
              <w:bottom w:val="nil"/>
            </w:tcBorders>
            <w:noWrap/>
          </w:tcPr>
          <w:p w14:paraId="58BE27E5" w14:textId="77777777" w:rsidR="007E5B97" w:rsidRPr="00CE28E3" w:rsidRDefault="007E5B97">
            <w:pPr>
              <w:pStyle w:val="Tabletext0"/>
            </w:pPr>
            <w:r>
              <w:t>Costs</w:t>
            </w:r>
          </w:p>
        </w:tc>
        <w:tc>
          <w:tcPr>
            <w:tcW w:w="734" w:type="pct"/>
            <w:tcBorders>
              <w:bottom w:val="nil"/>
            </w:tcBorders>
            <w:noWrap/>
          </w:tcPr>
          <w:p w14:paraId="120D5C07" w14:textId="43100F21" w:rsidR="007E5B97" w:rsidRPr="00945A2D" w:rsidRDefault="007E55F0">
            <w:pPr>
              <w:pStyle w:val="Tabletext0"/>
              <w:jc w:val="right"/>
              <w:rPr>
                <w:highlight w:val="yellow"/>
              </w:rPr>
            </w:pPr>
            <w:r>
              <w:t>$</w:t>
            </w:r>
            <w:r>
              <w:rPr>
                <w:b/>
                <w:bCs/>
              </w:rPr>
              <w:t>redacted</w:t>
            </w:r>
          </w:p>
        </w:tc>
        <w:tc>
          <w:tcPr>
            <w:tcW w:w="734" w:type="pct"/>
            <w:tcBorders>
              <w:bottom w:val="nil"/>
            </w:tcBorders>
            <w:noWrap/>
          </w:tcPr>
          <w:p w14:paraId="2590383C" w14:textId="3F106D43" w:rsidR="007E5B97" w:rsidRPr="00945A2D" w:rsidRDefault="007E5B97">
            <w:pPr>
              <w:pStyle w:val="Tabletext0"/>
              <w:jc w:val="right"/>
              <w:rPr>
                <w:highlight w:val="yellow"/>
              </w:rPr>
            </w:pPr>
            <w:r w:rsidRPr="002110F8">
              <w:t>$15,077.58</w:t>
            </w:r>
          </w:p>
        </w:tc>
        <w:tc>
          <w:tcPr>
            <w:tcW w:w="734" w:type="pct"/>
            <w:tcBorders>
              <w:bottom w:val="nil"/>
            </w:tcBorders>
            <w:noWrap/>
          </w:tcPr>
          <w:p w14:paraId="28CA1869" w14:textId="0C1AD202" w:rsidR="007E5B97" w:rsidRPr="00CE28E3" w:rsidRDefault="007E55F0">
            <w:pPr>
              <w:pStyle w:val="Tabletext0"/>
              <w:jc w:val="right"/>
            </w:pPr>
            <w:r>
              <w:t>$</w:t>
            </w:r>
            <w:r>
              <w:rPr>
                <w:b/>
                <w:bCs/>
              </w:rPr>
              <w:t>redacted</w:t>
            </w:r>
          </w:p>
        </w:tc>
        <w:tc>
          <w:tcPr>
            <w:tcW w:w="835" w:type="pct"/>
            <w:tcBorders>
              <w:bottom w:val="nil"/>
            </w:tcBorders>
          </w:tcPr>
          <w:p w14:paraId="6C1739FA" w14:textId="77777777" w:rsidR="007E5B97" w:rsidRPr="00CE28E3" w:rsidRDefault="007E5B97">
            <w:pPr>
              <w:pStyle w:val="Tabletext0"/>
              <w:jc w:val="right"/>
            </w:pPr>
          </w:p>
        </w:tc>
      </w:tr>
      <w:tr w:rsidR="007E5B97" w:rsidRPr="00CE28E3" w14:paraId="76C6AA85" w14:textId="77777777" w:rsidTr="00AE219F">
        <w:trPr>
          <w:cnfStyle w:val="100000000000" w:firstRow="1" w:lastRow="0" w:firstColumn="0" w:lastColumn="0" w:oddVBand="0" w:evenVBand="0" w:oddHBand="0" w:evenHBand="0" w:firstRowFirstColumn="0" w:firstRowLastColumn="0" w:lastRowFirstColumn="0" w:lastRowLastColumn="0"/>
          <w:trHeight w:val="300"/>
          <w:tblHeader/>
        </w:trPr>
        <w:tc>
          <w:tcPr>
            <w:tcW w:w="1963" w:type="pct"/>
            <w:tcBorders>
              <w:top w:val="nil"/>
            </w:tcBorders>
            <w:noWrap/>
          </w:tcPr>
          <w:p w14:paraId="00476301" w14:textId="77777777" w:rsidR="007E5B97" w:rsidRDefault="007E5B97">
            <w:pPr>
              <w:pStyle w:val="Tabletext0"/>
            </w:pPr>
            <w:r>
              <w:t>QALYs</w:t>
            </w:r>
          </w:p>
        </w:tc>
        <w:tc>
          <w:tcPr>
            <w:tcW w:w="734" w:type="pct"/>
            <w:tcBorders>
              <w:top w:val="nil"/>
            </w:tcBorders>
            <w:noWrap/>
          </w:tcPr>
          <w:p w14:paraId="4DADDB41" w14:textId="77777777" w:rsidR="007E5B97" w:rsidRPr="00945A2D" w:rsidRDefault="007E5B97">
            <w:pPr>
              <w:pStyle w:val="Tabletext0"/>
              <w:jc w:val="right"/>
              <w:rPr>
                <w:highlight w:val="yellow"/>
              </w:rPr>
            </w:pPr>
            <w:r w:rsidRPr="002110F8">
              <w:t>5.7674</w:t>
            </w:r>
          </w:p>
        </w:tc>
        <w:tc>
          <w:tcPr>
            <w:tcW w:w="734" w:type="pct"/>
            <w:tcBorders>
              <w:top w:val="nil"/>
            </w:tcBorders>
            <w:noWrap/>
          </w:tcPr>
          <w:p w14:paraId="21C127CE" w14:textId="77777777" w:rsidR="007E5B97" w:rsidRPr="00945A2D" w:rsidRDefault="007E5B97">
            <w:pPr>
              <w:pStyle w:val="Tabletext0"/>
              <w:jc w:val="right"/>
              <w:rPr>
                <w:highlight w:val="yellow"/>
              </w:rPr>
            </w:pPr>
            <w:r w:rsidRPr="002110F8">
              <w:t>5.6935</w:t>
            </w:r>
          </w:p>
        </w:tc>
        <w:tc>
          <w:tcPr>
            <w:tcW w:w="734" w:type="pct"/>
            <w:tcBorders>
              <w:top w:val="nil"/>
            </w:tcBorders>
            <w:noWrap/>
          </w:tcPr>
          <w:p w14:paraId="0A20CDE0" w14:textId="77777777" w:rsidR="007E5B97" w:rsidRDefault="007E5B97">
            <w:pPr>
              <w:pStyle w:val="Tabletext0"/>
              <w:jc w:val="right"/>
            </w:pPr>
            <w:r w:rsidRPr="00E57008">
              <w:t>0.0739</w:t>
            </w:r>
          </w:p>
        </w:tc>
        <w:tc>
          <w:tcPr>
            <w:tcW w:w="835" w:type="pct"/>
            <w:tcBorders>
              <w:top w:val="nil"/>
            </w:tcBorders>
          </w:tcPr>
          <w:p w14:paraId="2786BB28" w14:textId="2CDF8FDA" w:rsidR="007E5B97" w:rsidRPr="00CE28E3" w:rsidRDefault="007E55F0">
            <w:pPr>
              <w:pStyle w:val="Tabletext0"/>
              <w:jc w:val="right"/>
            </w:pPr>
            <w:r>
              <w:t>$</w:t>
            </w:r>
            <w:r>
              <w:rPr>
                <w:b/>
                <w:bCs/>
              </w:rPr>
              <w:t>redacted</w:t>
            </w:r>
          </w:p>
        </w:tc>
      </w:tr>
      <w:tr w:rsidR="007E5B97" w:rsidRPr="00CE28E3" w14:paraId="1C13F9A3" w14:textId="77777777" w:rsidTr="00AE219F">
        <w:trPr>
          <w:cnfStyle w:val="100000000000" w:firstRow="1" w:lastRow="0" w:firstColumn="0" w:lastColumn="0" w:oddVBand="0" w:evenVBand="0" w:oddHBand="0" w:evenHBand="0" w:firstRowFirstColumn="0" w:firstRowLastColumn="0" w:lastRowFirstColumn="0" w:lastRowLastColumn="0"/>
          <w:cantSplit/>
          <w:trHeight w:val="300"/>
          <w:tblHeader/>
        </w:trPr>
        <w:tc>
          <w:tcPr>
            <w:tcW w:w="5000" w:type="pct"/>
            <w:gridSpan w:val="5"/>
            <w:tcBorders>
              <w:bottom w:val="single" w:sz="4" w:space="0" w:color="auto"/>
            </w:tcBorders>
            <w:noWrap/>
          </w:tcPr>
          <w:p w14:paraId="3E88AAF9" w14:textId="06315A14" w:rsidR="007E5B97" w:rsidRPr="00945A2D" w:rsidRDefault="007E5B97" w:rsidP="009C553D">
            <w:pPr>
              <w:pStyle w:val="Tabletext0"/>
              <w:keepNext/>
              <w:jc w:val="left"/>
            </w:pPr>
            <w:r w:rsidRPr="0049180D">
              <w:t xml:space="preserve">Step </w:t>
            </w:r>
            <w:r>
              <w:t>5</w:t>
            </w:r>
            <w:r w:rsidRPr="0049180D">
              <w:t xml:space="preserve"> – Model duration of </w:t>
            </w:r>
            <w:r>
              <w:t>16</w:t>
            </w:r>
            <w:r w:rsidR="00BB3B99">
              <w:t xml:space="preserve"> </w:t>
            </w:r>
            <w:r w:rsidRPr="0049180D">
              <w:t>year</w:t>
            </w:r>
            <w:r w:rsidR="00BB3B99">
              <w:t>s</w:t>
            </w:r>
            <w:r w:rsidRPr="0049180D">
              <w:t xml:space="preserve"> (extrapolation beyond the CED data), all utility/disutility inputs captured</w:t>
            </w:r>
            <w:r w:rsidRPr="00945A2D">
              <w:t xml:space="preserve"> (</w:t>
            </w:r>
            <w:r w:rsidRPr="00E843FE">
              <w:rPr>
                <w:b/>
                <w:bCs/>
              </w:rPr>
              <w:t>= base</w:t>
            </w:r>
            <w:r w:rsidR="00853925">
              <w:rPr>
                <w:b/>
                <w:bCs/>
              </w:rPr>
              <w:t xml:space="preserve"> </w:t>
            </w:r>
            <w:r w:rsidRPr="00E843FE">
              <w:rPr>
                <w:b/>
                <w:bCs/>
              </w:rPr>
              <w:t>case</w:t>
            </w:r>
            <w:r w:rsidRPr="00945A2D">
              <w:t>)</w:t>
            </w:r>
          </w:p>
        </w:tc>
      </w:tr>
      <w:tr w:rsidR="007E5B97" w:rsidRPr="00CE28E3" w14:paraId="01AC772A" w14:textId="77777777" w:rsidTr="00AE219F">
        <w:trPr>
          <w:cnfStyle w:val="100000000000" w:firstRow="1" w:lastRow="0" w:firstColumn="0" w:lastColumn="0" w:oddVBand="0" w:evenVBand="0" w:oddHBand="0" w:evenHBand="0" w:firstRowFirstColumn="0" w:firstRowLastColumn="0" w:lastRowFirstColumn="0" w:lastRowLastColumn="0"/>
          <w:trHeight w:val="300"/>
          <w:tblHeader/>
        </w:trPr>
        <w:tc>
          <w:tcPr>
            <w:tcW w:w="1963" w:type="pct"/>
            <w:tcBorders>
              <w:bottom w:val="nil"/>
            </w:tcBorders>
            <w:noWrap/>
          </w:tcPr>
          <w:p w14:paraId="455C9A43" w14:textId="77777777" w:rsidR="007E5B97" w:rsidRPr="00CE28E3" w:rsidRDefault="007E5B97" w:rsidP="009C553D">
            <w:pPr>
              <w:pStyle w:val="Tabletext0"/>
              <w:keepNext/>
            </w:pPr>
            <w:r>
              <w:t>Costs</w:t>
            </w:r>
          </w:p>
        </w:tc>
        <w:tc>
          <w:tcPr>
            <w:tcW w:w="734" w:type="pct"/>
            <w:tcBorders>
              <w:bottom w:val="nil"/>
            </w:tcBorders>
            <w:noWrap/>
          </w:tcPr>
          <w:p w14:paraId="0C96D116" w14:textId="0EEF481B" w:rsidR="007E5B97" w:rsidRPr="00CE28E3" w:rsidRDefault="007E55F0" w:rsidP="009C553D">
            <w:pPr>
              <w:pStyle w:val="Tabletext0"/>
              <w:keepNext/>
              <w:jc w:val="right"/>
            </w:pPr>
            <w:r>
              <w:t>$</w:t>
            </w:r>
            <w:r>
              <w:rPr>
                <w:b/>
                <w:bCs/>
              </w:rPr>
              <w:t>redacted</w:t>
            </w:r>
          </w:p>
        </w:tc>
        <w:tc>
          <w:tcPr>
            <w:tcW w:w="734" w:type="pct"/>
            <w:tcBorders>
              <w:bottom w:val="nil"/>
            </w:tcBorders>
            <w:noWrap/>
          </w:tcPr>
          <w:p w14:paraId="10DFFD2E" w14:textId="654A7306" w:rsidR="007E5B97" w:rsidRPr="00CE28E3" w:rsidRDefault="007E5B97" w:rsidP="009C553D">
            <w:pPr>
              <w:pStyle w:val="Tabletext0"/>
              <w:keepNext/>
              <w:jc w:val="right"/>
            </w:pPr>
            <w:r w:rsidRPr="00782451">
              <w:t>$15,296.65</w:t>
            </w:r>
          </w:p>
        </w:tc>
        <w:tc>
          <w:tcPr>
            <w:tcW w:w="734" w:type="pct"/>
            <w:tcBorders>
              <w:bottom w:val="nil"/>
            </w:tcBorders>
            <w:noWrap/>
          </w:tcPr>
          <w:p w14:paraId="7C008C6C" w14:textId="39C2FE4B" w:rsidR="007E5B97" w:rsidRPr="00CE28E3" w:rsidRDefault="007E55F0" w:rsidP="009C553D">
            <w:pPr>
              <w:pStyle w:val="Tabletext0"/>
              <w:keepNext/>
              <w:jc w:val="right"/>
            </w:pPr>
            <w:r>
              <w:t>$</w:t>
            </w:r>
            <w:r>
              <w:rPr>
                <w:b/>
                <w:bCs/>
              </w:rPr>
              <w:t>redacted</w:t>
            </w:r>
          </w:p>
        </w:tc>
        <w:tc>
          <w:tcPr>
            <w:tcW w:w="835" w:type="pct"/>
            <w:tcBorders>
              <w:bottom w:val="nil"/>
            </w:tcBorders>
          </w:tcPr>
          <w:p w14:paraId="3C180CB6" w14:textId="77777777" w:rsidR="007E5B97" w:rsidRPr="00CE28E3" w:rsidRDefault="007E5B97" w:rsidP="009C553D">
            <w:pPr>
              <w:pStyle w:val="Tabletext0"/>
              <w:keepNext/>
              <w:jc w:val="right"/>
            </w:pPr>
          </w:p>
        </w:tc>
      </w:tr>
      <w:tr w:rsidR="007E5B97" w:rsidRPr="00CE28E3" w14:paraId="4C051747" w14:textId="77777777" w:rsidTr="00AE219F">
        <w:trPr>
          <w:cnfStyle w:val="100000000000" w:firstRow="1" w:lastRow="0" w:firstColumn="0" w:lastColumn="0" w:oddVBand="0" w:evenVBand="0" w:oddHBand="0" w:evenHBand="0" w:firstRowFirstColumn="0" w:firstRowLastColumn="0" w:lastRowFirstColumn="0" w:lastRowLastColumn="0"/>
          <w:trHeight w:val="300"/>
          <w:tblHeader/>
        </w:trPr>
        <w:tc>
          <w:tcPr>
            <w:tcW w:w="1963" w:type="pct"/>
            <w:tcBorders>
              <w:top w:val="nil"/>
            </w:tcBorders>
            <w:noWrap/>
          </w:tcPr>
          <w:p w14:paraId="50643FF4" w14:textId="77777777" w:rsidR="007E5B97" w:rsidRDefault="007E5B97">
            <w:pPr>
              <w:pStyle w:val="Tabletext0"/>
            </w:pPr>
            <w:r>
              <w:t>QALYs</w:t>
            </w:r>
          </w:p>
        </w:tc>
        <w:tc>
          <w:tcPr>
            <w:tcW w:w="734" w:type="pct"/>
            <w:tcBorders>
              <w:top w:val="nil"/>
            </w:tcBorders>
            <w:noWrap/>
          </w:tcPr>
          <w:p w14:paraId="30F6483D" w14:textId="77777777" w:rsidR="007E5B97" w:rsidRDefault="007E5B97">
            <w:pPr>
              <w:pStyle w:val="Tabletext0"/>
              <w:jc w:val="right"/>
            </w:pPr>
            <w:r w:rsidRPr="00782451">
              <w:t>7.0218</w:t>
            </w:r>
          </w:p>
        </w:tc>
        <w:tc>
          <w:tcPr>
            <w:tcW w:w="734" w:type="pct"/>
            <w:tcBorders>
              <w:top w:val="nil"/>
            </w:tcBorders>
            <w:noWrap/>
          </w:tcPr>
          <w:p w14:paraId="733E1969" w14:textId="77777777" w:rsidR="007E5B97" w:rsidRDefault="007E5B97">
            <w:pPr>
              <w:pStyle w:val="Tabletext0"/>
              <w:jc w:val="right"/>
            </w:pPr>
            <w:r w:rsidRPr="00782451">
              <w:t>6.9355</w:t>
            </w:r>
          </w:p>
        </w:tc>
        <w:tc>
          <w:tcPr>
            <w:tcW w:w="734" w:type="pct"/>
            <w:tcBorders>
              <w:top w:val="nil"/>
            </w:tcBorders>
            <w:noWrap/>
          </w:tcPr>
          <w:p w14:paraId="3061B566" w14:textId="77777777" w:rsidR="007E5B97" w:rsidRDefault="007E5B97">
            <w:pPr>
              <w:pStyle w:val="Tabletext0"/>
              <w:jc w:val="right"/>
            </w:pPr>
            <w:r w:rsidRPr="00E57008">
              <w:t>0.0863</w:t>
            </w:r>
          </w:p>
        </w:tc>
        <w:tc>
          <w:tcPr>
            <w:tcW w:w="835" w:type="pct"/>
            <w:tcBorders>
              <w:top w:val="nil"/>
            </w:tcBorders>
          </w:tcPr>
          <w:p w14:paraId="2F78E565" w14:textId="0F598812" w:rsidR="007E5B97" w:rsidRPr="00CE28E3" w:rsidRDefault="007E55F0">
            <w:pPr>
              <w:pStyle w:val="Tabletext0"/>
              <w:jc w:val="right"/>
            </w:pPr>
            <w:r>
              <w:t>$</w:t>
            </w:r>
            <w:r>
              <w:rPr>
                <w:b/>
                <w:bCs/>
              </w:rPr>
              <w:t>redacted</w:t>
            </w:r>
          </w:p>
        </w:tc>
      </w:tr>
      <w:tr w:rsidR="007E5B97" w:rsidRPr="00CE28E3" w14:paraId="0949DB22" w14:textId="77777777" w:rsidTr="00AE219F">
        <w:trPr>
          <w:cnfStyle w:val="100000000000" w:firstRow="1" w:lastRow="0" w:firstColumn="0" w:lastColumn="0" w:oddVBand="0" w:evenVBand="0" w:oddHBand="0" w:evenHBand="0" w:firstRowFirstColumn="0" w:firstRowLastColumn="0" w:lastRowFirstColumn="0" w:lastRowLastColumn="0"/>
          <w:cantSplit/>
          <w:trHeight w:val="300"/>
          <w:tblHeader/>
        </w:trPr>
        <w:tc>
          <w:tcPr>
            <w:tcW w:w="5000" w:type="pct"/>
            <w:gridSpan w:val="5"/>
            <w:tcBorders>
              <w:bottom w:val="single" w:sz="4" w:space="0" w:color="auto"/>
            </w:tcBorders>
            <w:noWrap/>
          </w:tcPr>
          <w:p w14:paraId="7A5AD27C" w14:textId="0D02E508" w:rsidR="007E5B97" w:rsidRPr="00CE28E3" w:rsidRDefault="007E5B97">
            <w:pPr>
              <w:pStyle w:val="Tabletext0"/>
              <w:jc w:val="left"/>
            </w:pPr>
            <w:r w:rsidRPr="0049180D">
              <w:t xml:space="preserve">Step </w:t>
            </w:r>
            <w:r>
              <w:t>6</w:t>
            </w:r>
            <w:r w:rsidRPr="0049180D">
              <w:t xml:space="preserve"> – Model duration of </w:t>
            </w:r>
            <w:r>
              <w:t>16</w:t>
            </w:r>
            <w:r w:rsidR="00BB3B99">
              <w:t xml:space="preserve"> </w:t>
            </w:r>
            <w:r w:rsidRPr="0049180D">
              <w:t>year</w:t>
            </w:r>
            <w:r w:rsidR="00E00C49">
              <w:t>s</w:t>
            </w:r>
            <w:r w:rsidRPr="0049180D">
              <w:t xml:space="preserve"> (extrapolation beyond the CED data), </w:t>
            </w:r>
            <w:r>
              <w:t>c</w:t>
            </w:r>
            <w:r w:rsidRPr="00E03ADB">
              <w:t>apture complication-related impacts only</w:t>
            </w:r>
          </w:p>
        </w:tc>
      </w:tr>
      <w:tr w:rsidR="007E5B97" w:rsidRPr="00CE28E3" w14:paraId="2AD12D68" w14:textId="77777777" w:rsidTr="00AE219F">
        <w:trPr>
          <w:cnfStyle w:val="100000000000" w:firstRow="1" w:lastRow="0" w:firstColumn="0" w:lastColumn="0" w:oddVBand="0" w:evenVBand="0" w:oddHBand="0" w:evenHBand="0" w:firstRowFirstColumn="0" w:firstRowLastColumn="0" w:lastRowFirstColumn="0" w:lastRowLastColumn="0"/>
          <w:trHeight w:val="300"/>
          <w:tblHeader/>
        </w:trPr>
        <w:tc>
          <w:tcPr>
            <w:tcW w:w="1963" w:type="pct"/>
            <w:tcBorders>
              <w:bottom w:val="nil"/>
            </w:tcBorders>
            <w:noWrap/>
          </w:tcPr>
          <w:p w14:paraId="71685308" w14:textId="77777777" w:rsidR="007E5B97" w:rsidRPr="00CE28E3" w:rsidRDefault="007E5B97">
            <w:pPr>
              <w:pStyle w:val="Tabletext0"/>
            </w:pPr>
            <w:r>
              <w:t>Costs</w:t>
            </w:r>
          </w:p>
        </w:tc>
        <w:tc>
          <w:tcPr>
            <w:tcW w:w="734" w:type="pct"/>
            <w:tcBorders>
              <w:bottom w:val="nil"/>
            </w:tcBorders>
            <w:noWrap/>
          </w:tcPr>
          <w:p w14:paraId="4A465623" w14:textId="281C4B64" w:rsidR="007E5B97" w:rsidRPr="00945A2D" w:rsidRDefault="007E55F0">
            <w:pPr>
              <w:pStyle w:val="Tabletext0"/>
              <w:jc w:val="right"/>
              <w:rPr>
                <w:highlight w:val="yellow"/>
              </w:rPr>
            </w:pPr>
            <w:r>
              <w:t>$</w:t>
            </w:r>
            <w:r>
              <w:rPr>
                <w:b/>
                <w:bCs/>
              </w:rPr>
              <w:t>redacted</w:t>
            </w:r>
          </w:p>
        </w:tc>
        <w:tc>
          <w:tcPr>
            <w:tcW w:w="734" w:type="pct"/>
            <w:tcBorders>
              <w:bottom w:val="nil"/>
            </w:tcBorders>
            <w:noWrap/>
          </w:tcPr>
          <w:p w14:paraId="07635CDA" w14:textId="5BAC76F0" w:rsidR="007E5B97" w:rsidRPr="00945A2D" w:rsidRDefault="007E5B97">
            <w:pPr>
              <w:pStyle w:val="Tabletext0"/>
              <w:jc w:val="right"/>
              <w:rPr>
                <w:highlight w:val="yellow"/>
              </w:rPr>
            </w:pPr>
            <w:r w:rsidRPr="00782451">
              <w:t>$15,296.65</w:t>
            </w:r>
          </w:p>
        </w:tc>
        <w:tc>
          <w:tcPr>
            <w:tcW w:w="734" w:type="pct"/>
            <w:tcBorders>
              <w:bottom w:val="nil"/>
            </w:tcBorders>
            <w:noWrap/>
          </w:tcPr>
          <w:p w14:paraId="09EDCC66" w14:textId="613E095F" w:rsidR="007E5B97" w:rsidRPr="00CE28E3" w:rsidRDefault="007E55F0">
            <w:pPr>
              <w:pStyle w:val="Tabletext0"/>
              <w:jc w:val="right"/>
            </w:pPr>
            <w:r>
              <w:t>$</w:t>
            </w:r>
            <w:r>
              <w:rPr>
                <w:b/>
                <w:bCs/>
              </w:rPr>
              <w:t>redacted</w:t>
            </w:r>
          </w:p>
        </w:tc>
        <w:tc>
          <w:tcPr>
            <w:tcW w:w="835" w:type="pct"/>
            <w:tcBorders>
              <w:bottom w:val="nil"/>
            </w:tcBorders>
          </w:tcPr>
          <w:p w14:paraId="02C71730" w14:textId="77777777" w:rsidR="007E5B97" w:rsidRPr="00CE28E3" w:rsidRDefault="007E5B97">
            <w:pPr>
              <w:pStyle w:val="Tabletext0"/>
              <w:jc w:val="right"/>
            </w:pPr>
          </w:p>
        </w:tc>
      </w:tr>
      <w:tr w:rsidR="007E5B97" w:rsidRPr="00CE28E3" w14:paraId="3C9F463B" w14:textId="77777777" w:rsidTr="00AE219F">
        <w:trPr>
          <w:cnfStyle w:val="100000000000" w:firstRow="1" w:lastRow="0" w:firstColumn="0" w:lastColumn="0" w:oddVBand="0" w:evenVBand="0" w:oddHBand="0" w:evenHBand="0" w:firstRowFirstColumn="0" w:firstRowLastColumn="0" w:lastRowFirstColumn="0" w:lastRowLastColumn="0"/>
          <w:trHeight w:val="300"/>
          <w:tblHeader/>
        </w:trPr>
        <w:tc>
          <w:tcPr>
            <w:tcW w:w="1963" w:type="pct"/>
            <w:tcBorders>
              <w:top w:val="nil"/>
              <w:bottom w:val="nil"/>
            </w:tcBorders>
            <w:noWrap/>
          </w:tcPr>
          <w:p w14:paraId="35C7C5A0" w14:textId="77777777" w:rsidR="007E5B97" w:rsidRDefault="007E5B97">
            <w:pPr>
              <w:pStyle w:val="Tabletext0"/>
            </w:pPr>
            <w:r>
              <w:t>QALYs</w:t>
            </w:r>
          </w:p>
        </w:tc>
        <w:tc>
          <w:tcPr>
            <w:tcW w:w="734" w:type="pct"/>
            <w:tcBorders>
              <w:top w:val="nil"/>
              <w:bottom w:val="nil"/>
            </w:tcBorders>
            <w:noWrap/>
          </w:tcPr>
          <w:p w14:paraId="4BF5699C" w14:textId="77777777" w:rsidR="007E5B97" w:rsidRPr="00945A2D" w:rsidRDefault="007E5B97">
            <w:pPr>
              <w:pStyle w:val="Tabletext0"/>
              <w:jc w:val="right"/>
              <w:rPr>
                <w:highlight w:val="yellow"/>
              </w:rPr>
            </w:pPr>
            <w:r w:rsidRPr="0004464E">
              <w:t>7.0218</w:t>
            </w:r>
          </w:p>
        </w:tc>
        <w:tc>
          <w:tcPr>
            <w:tcW w:w="734" w:type="pct"/>
            <w:tcBorders>
              <w:top w:val="nil"/>
              <w:bottom w:val="nil"/>
            </w:tcBorders>
            <w:noWrap/>
          </w:tcPr>
          <w:p w14:paraId="20E16163" w14:textId="77777777" w:rsidR="007E5B97" w:rsidRPr="00945A2D" w:rsidRDefault="007E5B97">
            <w:pPr>
              <w:pStyle w:val="Tabletext0"/>
              <w:jc w:val="right"/>
              <w:rPr>
                <w:highlight w:val="yellow"/>
              </w:rPr>
            </w:pPr>
            <w:r w:rsidRPr="0004464E">
              <w:t>7.0052</w:t>
            </w:r>
          </w:p>
        </w:tc>
        <w:tc>
          <w:tcPr>
            <w:tcW w:w="734" w:type="pct"/>
            <w:tcBorders>
              <w:top w:val="nil"/>
              <w:bottom w:val="nil"/>
            </w:tcBorders>
            <w:noWrap/>
          </w:tcPr>
          <w:p w14:paraId="0161D308" w14:textId="23D4AA90" w:rsidR="007E5B97" w:rsidRPr="005173C6" w:rsidRDefault="007E5B97">
            <w:pPr>
              <w:pStyle w:val="Tabletext0"/>
              <w:jc w:val="right"/>
              <w:rPr>
                <w:color w:val="C00000"/>
              </w:rPr>
            </w:pPr>
            <w:r w:rsidRPr="005173C6">
              <w:rPr>
                <w:color w:val="C00000"/>
              </w:rPr>
              <w:t>0.0166</w:t>
            </w:r>
          </w:p>
        </w:tc>
        <w:tc>
          <w:tcPr>
            <w:tcW w:w="835" w:type="pct"/>
            <w:tcBorders>
              <w:top w:val="nil"/>
              <w:bottom w:val="nil"/>
            </w:tcBorders>
          </w:tcPr>
          <w:p w14:paraId="20E99900" w14:textId="2988A10A" w:rsidR="007E5B97" w:rsidRPr="00CE28E3" w:rsidRDefault="007E55F0">
            <w:pPr>
              <w:pStyle w:val="Tabletext0"/>
              <w:jc w:val="right"/>
            </w:pPr>
            <w:r w:rsidRPr="00025F84">
              <w:rPr>
                <w:color w:val="C00000"/>
              </w:rPr>
              <w:t>$</w:t>
            </w:r>
            <w:r w:rsidRPr="00025F84">
              <w:rPr>
                <w:b/>
                <w:bCs/>
                <w:color w:val="C00000"/>
              </w:rPr>
              <w:t>redacted</w:t>
            </w:r>
          </w:p>
        </w:tc>
      </w:tr>
      <w:tr w:rsidR="007E5B97" w:rsidRPr="00CE28E3" w14:paraId="11E55A0F" w14:textId="77777777" w:rsidTr="00AE219F">
        <w:trPr>
          <w:cnfStyle w:val="100000000000" w:firstRow="1" w:lastRow="0" w:firstColumn="0" w:lastColumn="0" w:oddVBand="0" w:evenVBand="0" w:oddHBand="0" w:evenHBand="0" w:firstRowFirstColumn="0" w:firstRowLastColumn="0" w:lastRowFirstColumn="0" w:lastRowLastColumn="0"/>
          <w:cantSplit/>
          <w:trHeight w:val="300"/>
          <w:tblHeader/>
        </w:trPr>
        <w:tc>
          <w:tcPr>
            <w:tcW w:w="5000" w:type="pct"/>
            <w:gridSpan w:val="5"/>
            <w:tcBorders>
              <w:bottom w:val="single" w:sz="4" w:space="0" w:color="auto"/>
            </w:tcBorders>
            <w:noWrap/>
          </w:tcPr>
          <w:p w14:paraId="45561160" w14:textId="58BF3A9F" w:rsidR="007E5B97" w:rsidRPr="00CE28E3" w:rsidRDefault="007E5B97">
            <w:pPr>
              <w:pStyle w:val="Tabletext0"/>
              <w:jc w:val="left"/>
            </w:pPr>
            <w:r w:rsidRPr="0049180D">
              <w:t xml:space="preserve">Step </w:t>
            </w:r>
            <w:r>
              <w:t>7</w:t>
            </w:r>
            <w:r w:rsidRPr="0049180D">
              <w:t xml:space="preserve"> – Model duration of </w:t>
            </w:r>
            <w:r>
              <w:t>16</w:t>
            </w:r>
            <w:r w:rsidR="00E00C49">
              <w:t xml:space="preserve"> </w:t>
            </w:r>
            <w:r w:rsidRPr="0049180D">
              <w:t>year</w:t>
            </w:r>
            <w:r w:rsidR="00E00C49">
              <w:t>s</w:t>
            </w:r>
            <w:r w:rsidRPr="0049180D">
              <w:t xml:space="preserve"> (extrapolation beyond the CED data), </w:t>
            </w:r>
            <w:r>
              <w:t>c</w:t>
            </w:r>
            <w:r w:rsidRPr="00E03ADB">
              <w:t>apture complication-related &amp; post-procedural impacts only</w:t>
            </w:r>
          </w:p>
        </w:tc>
      </w:tr>
      <w:tr w:rsidR="007E5B97" w:rsidRPr="00CE28E3" w14:paraId="1546EA94" w14:textId="77777777" w:rsidTr="00AE219F">
        <w:trPr>
          <w:cnfStyle w:val="100000000000" w:firstRow="1" w:lastRow="0" w:firstColumn="0" w:lastColumn="0" w:oddVBand="0" w:evenVBand="0" w:oddHBand="0" w:evenHBand="0" w:firstRowFirstColumn="0" w:firstRowLastColumn="0" w:lastRowFirstColumn="0" w:lastRowLastColumn="0"/>
          <w:trHeight w:val="300"/>
          <w:tblHeader/>
        </w:trPr>
        <w:tc>
          <w:tcPr>
            <w:tcW w:w="1963" w:type="pct"/>
            <w:tcBorders>
              <w:bottom w:val="nil"/>
            </w:tcBorders>
            <w:noWrap/>
          </w:tcPr>
          <w:p w14:paraId="26BC9E2F" w14:textId="77777777" w:rsidR="007E5B97" w:rsidRPr="00CE28E3" w:rsidRDefault="007E5B97">
            <w:pPr>
              <w:pStyle w:val="Tabletext0"/>
            </w:pPr>
            <w:r>
              <w:t>Costs</w:t>
            </w:r>
          </w:p>
        </w:tc>
        <w:tc>
          <w:tcPr>
            <w:tcW w:w="734" w:type="pct"/>
            <w:tcBorders>
              <w:bottom w:val="nil"/>
            </w:tcBorders>
            <w:noWrap/>
          </w:tcPr>
          <w:p w14:paraId="2D0D3569" w14:textId="512419E2" w:rsidR="007E5B97" w:rsidRPr="00945A2D" w:rsidRDefault="007E55F0">
            <w:pPr>
              <w:pStyle w:val="Tabletext0"/>
              <w:jc w:val="right"/>
              <w:rPr>
                <w:highlight w:val="yellow"/>
              </w:rPr>
            </w:pPr>
            <w:r>
              <w:t>$</w:t>
            </w:r>
            <w:r>
              <w:rPr>
                <w:b/>
                <w:bCs/>
              </w:rPr>
              <w:t>redacted</w:t>
            </w:r>
          </w:p>
        </w:tc>
        <w:tc>
          <w:tcPr>
            <w:tcW w:w="734" w:type="pct"/>
            <w:tcBorders>
              <w:bottom w:val="nil"/>
            </w:tcBorders>
            <w:noWrap/>
          </w:tcPr>
          <w:p w14:paraId="6EC6C9CB" w14:textId="483B78C8" w:rsidR="007E5B97" w:rsidRPr="00945A2D" w:rsidRDefault="007E5B97">
            <w:pPr>
              <w:pStyle w:val="Tabletext0"/>
              <w:jc w:val="right"/>
              <w:rPr>
                <w:highlight w:val="yellow"/>
              </w:rPr>
            </w:pPr>
            <w:r w:rsidRPr="00C0770B">
              <w:t>$15,296.65</w:t>
            </w:r>
          </w:p>
        </w:tc>
        <w:tc>
          <w:tcPr>
            <w:tcW w:w="734" w:type="pct"/>
            <w:tcBorders>
              <w:bottom w:val="nil"/>
            </w:tcBorders>
            <w:noWrap/>
          </w:tcPr>
          <w:p w14:paraId="5B3869FB" w14:textId="42C78AAF" w:rsidR="007E5B97" w:rsidRPr="00CE28E3" w:rsidRDefault="007E55F0">
            <w:pPr>
              <w:pStyle w:val="Tabletext0"/>
              <w:jc w:val="right"/>
            </w:pPr>
            <w:r>
              <w:t>$</w:t>
            </w:r>
            <w:r>
              <w:rPr>
                <w:b/>
                <w:bCs/>
              </w:rPr>
              <w:t>redacted</w:t>
            </w:r>
          </w:p>
        </w:tc>
        <w:tc>
          <w:tcPr>
            <w:tcW w:w="835" w:type="pct"/>
            <w:tcBorders>
              <w:bottom w:val="nil"/>
            </w:tcBorders>
          </w:tcPr>
          <w:p w14:paraId="1E469821" w14:textId="77777777" w:rsidR="007E5B97" w:rsidRPr="00CE28E3" w:rsidRDefault="007E5B97">
            <w:pPr>
              <w:pStyle w:val="Tabletext0"/>
              <w:jc w:val="right"/>
            </w:pPr>
          </w:p>
        </w:tc>
      </w:tr>
      <w:tr w:rsidR="007E5B97" w:rsidRPr="00CE28E3" w14:paraId="59B773A3" w14:textId="77777777" w:rsidTr="00AE219F">
        <w:trPr>
          <w:cnfStyle w:val="100000000000" w:firstRow="1" w:lastRow="0" w:firstColumn="0" w:lastColumn="0" w:oddVBand="0" w:evenVBand="0" w:oddHBand="0" w:evenHBand="0" w:firstRowFirstColumn="0" w:firstRowLastColumn="0" w:lastRowFirstColumn="0" w:lastRowLastColumn="0"/>
          <w:trHeight w:val="300"/>
          <w:tblHeader/>
        </w:trPr>
        <w:tc>
          <w:tcPr>
            <w:tcW w:w="1963" w:type="pct"/>
            <w:tcBorders>
              <w:top w:val="nil"/>
              <w:bottom w:val="single" w:sz="4" w:space="0" w:color="auto"/>
            </w:tcBorders>
            <w:noWrap/>
          </w:tcPr>
          <w:p w14:paraId="5CA1F945" w14:textId="77777777" w:rsidR="007E5B97" w:rsidRDefault="007E5B97">
            <w:pPr>
              <w:pStyle w:val="Tabletext0"/>
            </w:pPr>
            <w:r>
              <w:t>QALYs</w:t>
            </w:r>
          </w:p>
        </w:tc>
        <w:tc>
          <w:tcPr>
            <w:tcW w:w="734" w:type="pct"/>
            <w:tcBorders>
              <w:top w:val="nil"/>
              <w:bottom w:val="single" w:sz="4" w:space="0" w:color="auto"/>
            </w:tcBorders>
            <w:noWrap/>
          </w:tcPr>
          <w:p w14:paraId="4CE4AD2C" w14:textId="77777777" w:rsidR="007E5B97" w:rsidRPr="00945A2D" w:rsidRDefault="007E5B97">
            <w:pPr>
              <w:pStyle w:val="Tabletext0"/>
              <w:jc w:val="right"/>
              <w:rPr>
                <w:highlight w:val="yellow"/>
              </w:rPr>
            </w:pPr>
            <w:r w:rsidRPr="00E8516E">
              <w:t>7.0218</w:t>
            </w:r>
          </w:p>
        </w:tc>
        <w:tc>
          <w:tcPr>
            <w:tcW w:w="734" w:type="pct"/>
            <w:tcBorders>
              <w:top w:val="nil"/>
              <w:bottom w:val="single" w:sz="4" w:space="0" w:color="auto"/>
            </w:tcBorders>
            <w:noWrap/>
          </w:tcPr>
          <w:p w14:paraId="7BD45A68" w14:textId="77777777" w:rsidR="007E5B97" w:rsidRPr="00945A2D" w:rsidRDefault="007E5B97">
            <w:pPr>
              <w:pStyle w:val="Tabletext0"/>
              <w:jc w:val="right"/>
              <w:rPr>
                <w:highlight w:val="yellow"/>
              </w:rPr>
            </w:pPr>
            <w:r w:rsidRPr="00E8516E">
              <w:t>6.9753</w:t>
            </w:r>
          </w:p>
        </w:tc>
        <w:tc>
          <w:tcPr>
            <w:tcW w:w="734" w:type="pct"/>
            <w:tcBorders>
              <w:top w:val="nil"/>
              <w:bottom w:val="single" w:sz="4" w:space="0" w:color="auto"/>
            </w:tcBorders>
            <w:noWrap/>
          </w:tcPr>
          <w:p w14:paraId="1C9D376D" w14:textId="0A16D45B" w:rsidR="007E5B97" w:rsidRDefault="007E5B97">
            <w:pPr>
              <w:pStyle w:val="Tabletext0"/>
              <w:jc w:val="right"/>
            </w:pPr>
            <w:r w:rsidRPr="005173C6">
              <w:rPr>
                <w:color w:val="ED0000"/>
              </w:rPr>
              <w:t>0.0465</w:t>
            </w:r>
          </w:p>
        </w:tc>
        <w:tc>
          <w:tcPr>
            <w:tcW w:w="835" w:type="pct"/>
            <w:tcBorders>
              <w:top w:val="nil"/>
              <w:bottom w:val="single" w:sz="4" w:space="0" w:color="auto"/>
            </w:tcBorders>
          </w:tcPr>
          <w:p w14:paraId="56641CF3" w14:textId="5C137378" w:rsidR="007E5B97" w:rsidRPr="00CE28E3" w:rsidRDefault="007E55F0">
            <w:pPr>
              <w:pStyle w:val="Tabletext0"/>
              <w:jc w:val="right"/>
            </w:pPr>
            <w:r w:rsidRPr="00025F84">
              <w:rPr>
                <w:color w:val="C00000"/>
              </w:rPr>
              <w:t>$</w:t>
            </w:r>
            <w:r w:rsidRPr="00025F84">
              <w:rPr>
                <w:b/>
                <w:bCs/>
                <w:color w:val="C00000"/>
              </w:rPr>
              <w:t>redacted</w:t>
            </w:r>
          </w:p>
        </w:tc>
      </w:tr>
    </w:tbl>
    <w:p w14:paraId="3AD7FC08" w14:textId="77777777" w:rsidR="003A0F4F" w:rsidRPr="00CD6C60" w:rsidRDefault="003A0F4F" w:rsidP="00281A26">
      <w:pPr>
        <w:spacing w:before="40" w:after="40" w:line="240" w:lineRule="auto"/>
        <w:rPr>
          <w:b/>
          <w:bCs/>
          <w:szCs w:val="18"/>
          <w:u w:val="single"/>
        </w:rPr>
      </w:pPr>
      <w:r w:rsidRPr="00281A26">
        <w:rPr>
          <w:rFonts w:ascii="Arial Narrow" w:hAnsi="Arial Narrow"/>
          <w:b/>
          <w:bCs/>
          <w:sz w:val="18"/>
          <w:szCs w:val="18"/>
          <w:u w:val="single"/>
        </w:rPr>
        <w:t>Abbreviations</w:t>
      </w:r>
    </w:p>
    <w:p w14:paraId="6DDC1A7D" w14:textId="0BD1CB52" w:rsidR="00FC5603" w:rsidRPr="00CD6C60" w:rsidRDefault="00DF4F17" w:rsidP="00281A26">
      <w:pPr>
        <w:spacing w:before="40" w:after="40" w:line="240" w:lineRule="auto"/>
      </w:pPr>
      <w:r w:rsidRPr="00DF4F17">
        <w:rPr>
          <w:rFonts w:ascii="Arial Narrow" w:hAnsi="Arial Narrow"/>
          <w:b/>
          <w:sz w:val="18"/>
        </w:rPr>
        <w:t>AV</w:t>
      </w:r>
      <w:r w:rsidRPr="00DF4F17">
        <w:rPr>
          <w:rFonts w:ascii="Arial Narrow" w:hAnsi="Arial Narrow"/>
          <w:bCs/>
          <w:sz w:val="18"/>
        </w:rPr>
        <w:t xml:space="preserve"> = atrioventricular, </w:t>
      </w:r>
      <w:r w:rsidR="00E72DA0" w:rsidRPr="00DF4F17">
        <w:rPr>
          <w:rFonts w:ascii="Arial Narrow" w:hAnsi="Arial Narrow"/>
          <w:b/>
          <w:sz w:val="18"/>
        </w:rPr>
        <w:t>CED</w:t>
      </w:r>
      <w:r w:rsidR="00E72DA0" w:rsidRPr="00DF4F17">
        <w:rPr>
          <w:rFonts w:ascii="Arial Narrow" w:hAnsi="Arial Narrow"/>
          <w:bCs/>
          <w:sz w:val="18"/>
        </w:rPr>
        <w:t xml:space="preserve"> =</w:t>
      </w:r>
      <w:r w:rsidR="00E72DA0" w:rsidRPr="00DF4F17">
        <w:rPr>
          <w:bCs/>
        </w:rPr>
        <w:t xml:space="preserve"> </w:t>
      </w:r>
      <w:r w:rsidR="00E72DA0" w:rsidRPr="00DF4F17">
        <w:rPr>
          <w:rFonts w:ascii="Arial Narrow" w:hAnsi="Arial Narrow"/>
          <w:bCs/>
          <w:sz w:val="18"/>
        </w:rPr>
        <w:t xml:space="preserve">coverage with evidence development, </w:t>
      </w:r>
      <w:r w:rsidRPr="00DF4F17">
        <w:rPr>
          <w:rFonts w:ascii="Arial Narrow" w:hAnsi="Arial Narrow"/>
          <w:b/>
          <w:sz w:val="18"/>
        </w:rPr>
        <w:t>DC-TVPM</w:t>
      </w:r>
      <w:r w:rsidRPr="00DF4F17">
        <w:rPr>
          <w:rFonts w:ascii="Arial Narrow" w:hAnsi="Arial Narrow"/>
          <w:bCs/>
          <w:sz w:val="18"/>
        </w:rPr>
        <w:t xml:space="preserve"> = dual-chamber transvenous pacemaker, </w:t>
      </w:r>
      <w:r w:rsidR="00FC5603" w:rsidRPr="00DF4F17">
        <w:rPr>
          <w:rFonts w:ascii="Arial Narrow" w:hAnsi="Arial Narrow"/>
          <w:b/>
          <w:sz w:val="18"/>
        </w:rPr>
        <w:t>ICER</w:t>
      </w:r>
      <w:r w:rsidR="00FC5603" w:rsidRPr="00DF4F17">
        <w:rPr>
          <w:rFonts w:ascii="Arial Narrow" w:hAnsi="Arial Narrow"/>
          <w:bCs/>
          <w:sz w:val="18"/>
        </w:rPr>
        <w:t xml:space="preserve"> =</w:t>
      </w:r>
      <w:r w:rsidR="00FC5603" w:rsidRPr="00CD6C60">
        <w:rPr>
          <w:rFonts w:ascii="Arial Narrow" w:hAnsi="Arial Narrow"/>
          <w:sz w:val="18"/>
        </w:rPr>
        <w:t xml:space="preserve"> incremental cost-effectiveness ratio</w:t>
      </w:r>
      <w:r w:rsidR="003A0F4F">
        <w:rPr>
          <w:rFonts w:ascii="Arial Narrow" w:hAnsi="Arial Narrow"/>
          <w:sz w:val="18"/>
          <w:szCs w:val="18"/>
        </w:rPr>
        <w:t>,</w:t>
      </w:r>
      <w:r w:rsidR="00FC5603" w:rsidRPr="00CD6C60">
        <w:rPr>
          <w:rFonts w:ascii="Arial Narrow" w:hAnsi="Arial Narrow"/>
          <w:sz w:val="18"/>
        </w:rPr>
        <w:t xml:space="preserve"> </w:t>
      </w:r>
      <w:r w:rsidR="00FC5603" w:rsidRPr="00CD6C60">
        <w:rPr>
          <w:rFonts w:ascii="Arial Narrow" w:hAnsi="Arial Narrow"/>
          <w:b/>
          <w:sz w:val="18"/>
        </w:rPr>
        <w:t>QALY</w:t>
      </w:r>
      <w:r w:rsidR="00FC5603" w:rsidRPr="00CD6C60">
        <w:rPr>
          <w:rFonts w:ascii="Arial Narrow" w:hAnsi="Arial Narrow"/>
          <w:sz w:val="18"/>
        </w:rPr>
        <w:t xml:space="preserve"> = quality-adjusted life year</w:t>
      </w:r>
      <w:r w:rsidR="0045093D" w:rsidRPr="00CD6C60">
        <w:rPr>
          <w:rFonts w:ascii="Arial Narrow" w:hAnsi="Arial Narrow"/>
          <w:sz w:val="18"/>
        </w:rPr>
        <w:t>.</w:t>
      </w:r>
    </w:p>
    <w:p w14:paraId="5BA183CD" w14:textId="77777777" w:rsidR="003A0F4F" w:rsidRPr="00CD6C60" w:rsidRDefault="00A74226" w:rsidP="00281A26">
      <w:pPr>
        <w:spacing w:before="40" w:after="40" w:line="240" w:lineRule="auto"/>
        <w:rPr>
          <w:b/>
          <w:bCs/>
          <w:szCs w:val="18"/>
          <w:u w:val="single"/>
        </w:rPr>
      </w:pPr>
      <w:r w:rsidRPr="00CD6C60">
        <w:rPr>
          <w:rFonts w:ascii="Arial Narrow" w:hAnsi="Arial Narrow"/>
          <w:b/>
          <w:sz w:val="18"/>
          <w:u w:val="single"/>
        </w:rPr>
        <w:t>Note</w:t>
      </w:r>
    </w:p>
    <w:p w14:paraId="2FF12B4A" w14:textId="3CBBC101" w:rsidR="00A74226" w:rsidRDefault="00A74226" w:rsidP="00281A26">
      <w:pPr>
        <w:spacing w:before="40" w:after="40" w:line="240" w:lineRule="auto"/>
        <w:rPr>
          <w:rFonts w:ascii="Arial Narrow" w:hAnsi="Arial Narrow"/>
          <w:sz w:val="18"/>
        </w:rPr>
      </w:pPr>
      <w:r w:rsidRPr="00CD6C60">
        <w:rPr>
          <w:rFonts w:ascii="Arial Narrow" w:hAnsi="Arial Narrow"/>
          <w:sz w:val="18"/>
        </w:rPr>
        <w:t>Multiple outcomes may be informative for MSAC decision</w:t>
      </w:r>
      <w:r w:rsidR="006C040B" w:rsidRPr="00CD6C60">
        <w:rPr>
          <w:rFonts w:ascii="Arial Narrow" w:hAnsi="Arial Narrow"/>
          <w:sz w:val="18"/>
          <w:szCs w:val="18"/>
        </w:rPr>
        <w:t>-</w:t>
      </w:r>
      <w:r w:rsidRPr="00CD6C60">
        <w:rPr>
          <w:rFonts w:ascii="Arial Narrow" w:hAnsi="Arial Narrow"/>
          <w:sz w:val="18"/>
        </w:rPr>
        <w:t>making</w:t>
      </w:r>
      <w:r w:rsidR="0055435D" w:rsidRPr="00CD6C60">
        <w:rPr>
          <w:rFonts w:ascii="Arial Narrow" w:hAnsi="Arial Narrow"/>
          <w:sz w:val="18"/>
          <w:szCs w:val="18"/>
        </w:rPr>
        <w:t xml:space="preserve"> </w:t>
      </w:r>
      <w:r w:rsidRPr="00CD6C60">
        <w:rPr>
          <w:rFonts w:ascii="Arial Narrow" w:hAnsi="Arial Narrow"/>
          <w:sz w:val="18"/>
        </w:rPr>
        <w:t>within each step.</w:t>
      </w:r>
    </w:p>
    <w:bookmarkEnd w:id="45"/>
    <w:p w14:paraId="7E0D7EDD" w14:textId="4ABC4343" w:rsidR="00DB3F21" w:rsidRPr="00DB3F21" w:rsidRDefault="00260E26" w:rsidP="00281A26">
      <w:pPr>
        <w:spacing w:before="40" w:after="40" w:line="240" w:lineRule="auto"/>
        <w:rPr>
          <w:rFonts w:ascii="Arial Narrow" w:hAnsi="Arial Narrow"/>
          <w:sz w:val="18"/>
        </w:rPr>
      </w:pPr>
      <w:r w:rsidRPr="00260E26">
        <w:rPr>
          <w:rFonts w:ascii="Arial Narrow" w:hAnsi="Arial Narrow"/>
          <w:sz w:val="18"/>
        </w:rPr>
        <w:t>The values highlighted in red were updated during the commentary</w:t>
      </w:r>
      <w:r w:rsidR="00EC6723" w:rsidRPr="00EC6723">
        <w:t xml:space="preserve"> </w:t>
      </w:r>
      <w:r w:rsidR="00EC6723" w:rsidRPr="00EC6723">
        <w:rPr>
          <w:rFonts w:ascii="Arial Narrow" w:hAnsi="Arial Narrow"/>
          <w:sz w:val="18"/>
        </w:rPr>
        <w:t>to correct a calculation error. No changes were made to the model</w:t>
      </w:r>
      <w:r w:rsidRPr="00260E26">
        <w:rPr>
          <w:rFonts w:ascii="Arial Narrow" w:hAnsi="Arial Narrow"/>
          <w:sz w:val="18"/>
        </w:rPr>
        <w:t>.</w:t>
      </w:r>
    </w:p>
    <w:p w14:paraId="18AB11F0" w14:textId="1B4DC0C3" w:rsidR="004B24AA" w:rsidRPr="00831372" w:rsidRDefault="004B24AA" w:rsidP="004167A0">
      <w:pPr>
        <w:pStyle w:val="Instructionaltext-afterfiguretable"/>
        <w:rPr>
          <w:color w:val="auto"/>
        </w:rPr>
      </w:pPr>
      <w:r w:rsidRPr="00831372">
        <w:rPr>
          <w:color w:val="auto"/>
        </w:rPr>
        <w:t>In the base-case model results</w:t>
      </w:r>
      <w:r>
        <w:rPr>
          <w:color w:val="auto"/>
        </w:rPr>
        <w:t xml:space="preserve"> (</w:t>
      </w:r>
      <w:r w:rsidR="007D77F7">
        <w:rPr>
          <w:color w:val="auto"/>
        </w:rPr>
        <w:fldChar w:fldCharType="begin"/>
      </w:r>
      <w:r w:rsidR="007D77F7">
        <w:rPr>
          <w:color w:val="auto"/>
        </w:rPr>
        <w:instrText xml:space="preserve"> REF _Ref187075291 \h  \* MERGEFORMAT </w:instrText>
      </w:r>
      <w:r w:rsidR="007D77F7">
        <w:rPr>
          <w:color w:val="auto"/>
        </w:rPr>
      </w:r>
      <w:r w:rsidR="007D77F7">
        <w:rPr>
          <w:color w:val="auto"/>
        </w:rPr>
        <w:fldChar w:fldCharType="separate"/>
      </w:r>
      <w:r w:rsidR="00D96B61" w:rsidRPr="00D96B61">
        <w:rPr>
          <w:color w:val="auto"/>
        </w:rPr>
        <w:t>Table 13</w:t>
      </w:r>
      <w:r w:rsidR="007D77F7">
        <w:rPr>
          <w:color w:val="auto"/>
        </w:rPr>
        <w:fldChar w:fldCharType="end"/>
      </w:r>
      <w:r w:rsidRPr="002051F7">
        <w:rPr>
          <w:color w:val="auto"/>
        </w:rPr>
        <w:fldChar w:fldCharType="begin"/>
      </w:r>
      <w:r w:rsidRPr="002051F7">
        <w:rPr>
          <w:color w:val="auto"/>
        </w:rPr>
        <w:fldChar w:fldCharType="separate"/>
      </w:r>
      <w:r w:rsidR="00552B8F" w:rsidRPr="0045028B">
        <w:rPr>
          <w:color w:val="auto"/>
        </w:rPr>
        <w:t>Table 13</w:t>
      </w:r>
      <w:r w:rsidRPr="002051F7">
        <w:rPr>
          <w:color w:val="auto"/>
        </w:rPr>
        <w:fldChar w:fldCharType="end"/>
      </w:r>
      <w:r>
        <w:rPr>
          <w:color w:val="auto"/>
        </w:rPr>
        <w:t>)</w:t>
      </w:r>
      <w:r w:rsidRPr="00831372">
        <w:rPr>
          <w:color w:val="auto"/>
        </w:rPr>
        <w:t xml:space="preserve">, </w:t>
      </w:r>
      <w:r>
        <w:rPr>
          <w:color w:val="auto"/>
        </w:rPr>
        <w:t>where a</w:t>
      </w:r>
      <w:r w:rsidRPr="00831372">
        <w:rPr>
          <w:color w:val="auto"/>
        </w:rPr>
        <w:t>ll utility</w:t>
      </w:r>
      <w:r>
        <w:rPr>
          <w:color w:val="auto"/>
        </w:rPr>
        <w:t>/</w:t>
      </w:r>
      <w:r w:rsidRPr="00831372">
        <w:rPr>
          <w:color w:val="auto"/>
        </w:rPr>
        <w:t xml:space="preserve">disutility inputs </w:t>
      </w:r>
      <w:r>
        <w:rPr>
          <w:color w:val="auto"/>
        </w:rPr>
        <w:t>were</w:t>
      </w:r>
      <w:r w:rsidRPr="00831372">
        <w:rPr>
          <w:color w:val="auto"/>
        </w:rPr>
        <w:t xml:space="preserve"> captured</w:t>
      </w:r>
      <w:r>
        <w:rPr>
          <w:color w:val="auto"/>
        </w:rPr>
        <w:t>,</w:t>
      </w:r>
      <w:r w:rsidRPr="00831372">
        <w:rPr>
          <w:color w:val="auto"/>
        </w:rPr>
        <w:t xml:space="preserve"> Micra AV demonstrated an average gain of 0.0863 QALYs compared to DC-TVPM, resulting in an </w:t>
      </w:r>
      <w:r w:rsidR="003261E3">
        <w:rPr>
          <w:color w:val="auto"/>
        </w:rPr>
        <w:t>incremental cost</w:t>
      </w:r>
      <w:r w:rsidR="00961ACC">
        <w:rPr>
          <w:color w:val="auto"/>
        </w:rPr>
        <w:t>-effectiveness ratio (</w:t>
      </w:r>
      <w:r w:rsidRPr="00271158">
        <w:rPr>
          <w:color w:val="auto"/>
        </w:rPr>
        <w:t>ICER</w:t>
      </w:r>
      <w:r w:rsidR="00961ACC">
        <w:rPr>
          <w:color w:val="auto"/>
        </w:rPr>
        <w:t>)</w:t>
      </w:r>
      <w:r w:rsidRPr="00271158">
        <w:rPr>
          <w:color w:val="auto"/>
        </w:rPr>
        <w:t xml:space="preserve"> </w:t>
      </w:r>
      <w:r w:rsidRPr="00831372">
        <w:rPr>
          <w:color w:val="auto"/>
        </w:rPr>
        <w:t xml:space="preserve">of </w:t>
      </w:r>
      <w:r w:rsidR="0023172D" w:rsidRPr="00025F84">
        <w:rPr>
          <w:color w:val="000000" w:themeColor="text1"/>
        </w:rPr>
        <w:t>$</w:t>
      </w:r>
      <w:r w:rsidR="0023172D" w:rsidRPr="00025F84">
        <w:rPr>
          <w:b/>
          <w:bCs/>
          <w:color w:val="000000" w:themeColor="text1"/>
        </w:rPr>
        <w:t>redacted</w:t>
      </w:r>
      <w:r w:rsidR="0023172D" w:rsidRPr="4C0A0968" w:rsidDel="00401FD9">
        <w:t xml:space="preserve"> </w:t>
      </w:r>
      <w:r w:rsidRPr="00831372">
        <w:rPr>
          <w:color w:val="auto"/>
        </w:rPr>
        <w:t>per QALY gained.</w:t>
      </w:r>
      <w:r w:rsidR="008705B8">
        <w:rPr>
          <w:color w:val="auto"/>
        </w:rPr>
        <w:t xml:space="preserve"> ESC noted that the </w:t>
      </w:r>
      <w:r w:rsidR="001A1B21">
        <w:rPr>
          <w:color w:val="auto"/>
        </w:rPr>
        <w:t>base-case results for Micra AV yielded an ICER that was higher than the base-case ICER</w:t>
      </w:r>
      <w:r w:rsidR="00737C10">
        <w:rPr>
          <w:color w:val="auto"/>
        </w:rPr>
        <w:t xml:space="preserve"> for the Micra VR in Application 1672 (Table 14).</w:t>
      </w:r>
    </w:p>
    <w:p w14:paraId="75DBD21E" w14:textId="55ABF9B3" w:rsidR="002F32FB" w:rsidRPr="00CE28E3" w:rsidRDefault="002F32FB" w:rsidP="004167A0">
      <w:pPr>
        <w:pStyle w:val="Caption"/>
        <w:keepLines/>
      </w:pPr>
      <w:bookmarkStart w:id="46" w:name="_Ref187075291"/>
      <w:bookmarkStart w:id="47" w:name="_Ref69726284"/>
      <w:r w:rsidRPr="00CE28E3">
        <w:t>Table</w:t>
      </w:r>
      <w:r w:rsidR="007D77F7">
        <w:t xml:space="preserve"> </w:t>
      </w:r>
      <w:r w:rsidR="00B00A5A">
        <w:fldChar w:fldCharType="begin"/>
      </w:r>
      <w:r w:rsidR="00B00A5A">
        <w:instrText xml:space="preserve"> SEQ Table \* ARABIC </w:instrText>
      </w:r>
      <w:r w:rsidR="00B00A5A">
        <w:fldChar w:fldCharType="separate"/>
      </w:r>
      <w:r w:rsidR="00B00A5A">
        <w:rPr>
          <w:noProof/>
        </w:rPr>
        <w:t>13</w:t>
      </w:r>
      <w:r w:rsidR="00B00A5A">
        <w:rPr>
          <w:noProof/>
        </w:rPr>
        <w:fldChar w:fldCharType="end"/>
      </w:r>
      <w:bookmarkEnd w:id="46"/>
      <w:bookmarkEnd w:id="47"/>
      <w:r w:rsidRPr="00CE28E3">
        <w:tab/>
        <w:t>Results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699"/>
        <w:gridCol w:w="2440"/>
        <w:gridCol w:w="2378"/>
        <w:gridCol w:w="2499"/>
      </w:tblGrid>
      <w:tr w:rsidR="004B24AA" w:rsidRPr="00CE28E3" w14:paraId="3E401E50" w14:textId="77777777" w:rsidTr="4C0A0968">
        <w:trPr>
          <w:cantSplit/>
          <w:tblHeader/>
        </w:trPr>
        <w:tc>
          <w:tcPr>
            <w:tcW w:w="942" w:type="pct"/>
            <w:shd w:val="clear" w:color="auto" w:fill="FFFFFF" w:themeFill="background1"/>
          </w:tcPr>
          <w:p w14:paraId="0D18B001" w14:textId="77777777" w:rsidR="004B24AA" w:rsidRPr="00CE28E3" w:rsidRDefault="004B24AA" w:rsidP="004167A0">
            <w:pPr>
              <w:pStyle w:val="In-tableHeading"/>
              <w:keepLines/>
            </w:pPr>
            <w:bookmarkStart w:id="48" w:name="Title_Table9" w:colFirst="0" w:colLast="0"/>
            <w:bookmarkStart w:id="49" w:name="_Hlk68276590"/>
            <w:r>
              <w:t xml:space="preserve">Parameter </w:t>
            </w:r>
          </w:p>
        </w:tc>
        <w:tc>
          <w:tcPr>
            <w:tcW w:w="1353" w:type="pct"/>
            <w:shd w:val="clear" w:color="auto" w:fill="FFFFFF" w:themeFill="background1"/>
          </w:tcPr>
          <w:p w14:paraId="0724C772" w14:textId="77777777" w:rsidR="004B24AA" w:rsidRPr="00CE28E3" w:rsidRDefault="004B24AA" w:rsidP="004167A0">
            <w:pPr>
              <w:pStyle w:val="In-tableHeading"/>
              <w:keepLines/>
              <w:jc w:val="center"/>
            </w:pPr>
            <w:r w:rsidRPr="00375533">
              <w:t>Micra AV</w:t>
            </w:r>
          </w:p>
        </w:tc>
        <w:tc>
          <w:tcPr>
            <w:tcW w:w="1319" w:type="pct"/>
            <w:shd w:val="clear" w:color="auto" w:fill="FFFFFF" w:themeFill="background1"/>
          </w:tcPr>
          <w:p w14:paraId="290412EB" w14:textId="77777777" w:rsidR="004B24AA" w:rsidRPr="00CE28E3" w:rsidRDefault="004B24AA" w:rsidP="004167A0">
            <w:pPr>
              <w:pStyle w:val="In-tableHeading"/>
              <w:keepLines/>
              <w:jc w:val="center"/>
            </w:pPr>
            <w:r w:rsidRPr="00375533">
              <w:t>DC-TVPM</w:t>
            </w:r>
          </w:p>
        </w:tc>
        <w:tc>
          <w:tcPr>
            <w:tcW w:w="1386" w:type="pct"/>
            <w:shd w:val="clear" w:color="auto" w:fill="FFFFFF" w:themeFill="background1"/>
            <w:vAlign w:val="center"/>
          </w:tcPr>
          <w:p w14:paraId="1C56852F" w14:textId="77777777" w:rsidR="004B24AA" w:rsidRPr="00CE28E3" w:rsidRDefault="004B24AA" w:rsidP="004167A0">
            <w:pPr>
              <w:pStyle w:val="In-tableHeading"/>
              <w:keepLines/>
              <w:jc w:val="center"/>
            </w:pPr>
            <w:r w:rsidRPr="00CE28E3">
              <w:t>Increment</w:t>
            </w:r>
          </w:p>
        </w:tc>
      </w:tr>
      <w:bookmarkEnd w:id="48"/>
      <w:tr w:rsidR="004B24AA" w:rsidRPr="00CE28E3" w14:paraId="1F9D631C" w14:textId="77777777" w:rsidTr="4C0A0968">
        <w:trPr>
          <w:cantSplit/>
        </w:trPr>
        <w:tc>
          <w:tcPr>
            <w:tcW w:w="942" w:type="pct"/>
          </w:tcPr>
          <w:p w14:paraId="3CD7AC6B" w14:textId="2AC4D63F" w:rsidR="004B24AA" w:rsidRPr="00CE28E3" w:rsidRDefault="004B24AA" w:rsidP="004167A0">
            <w:pPr>
              <w:pStyle w:val="TableText"/>
              <w:keepNext/>
              <w:keepLines/>
            </w:pPr>
            <w:proofErr w:type="spellStart"/>
            <w:r w:rsidRPr="4C0A0968">
              <w:t>Costs</w:t>
            </w:r>
            <w:r w:rsidR="00FC302F" w:rsidRPr="4C0A0968">
              <w:rPr>
                <w:vertAlign w:val="superscript"/>
              </w:rPr>
              <w:t>a</w:t>
            </w:r>
            <w:proofErr w:type="spellEnd"/>
          </w:p>
        </w:tc>
        <w:tc>
          <w:tcPr>
            <w:tcW w:w="1353" w:type="pct"/>
          </w:tcPr>
          <w:p w14:paraId="38FE580B" w14:textId="1387CEFD" w:rsidR="004B24AA" w:rsidRPr="00CE28E3" w:rsidRDefault="00C95E30" w:rsidP="004167A0">
            <w:pPr>
              <w:pStyle w:val="TableText"/>
              <w:keepNext/>
              <w:keepLines/>
              <w:jc w:val="center"/>
            </w:pPr>
            <w:r>
              <w:t>$</w:t>
            </w:r>
            <w:r>
              <w:rPr>
                <w:b/>
                <w:bCs/>
              </w:rPr>
              <w:t>redacted</w:t>
            </w:r>
          </w:p>
        </w:tc>
        <w:tc>
          <w:tcPr>
            <w:tcW w:w="1319" w:type="pct"/>
          </w:tcPr>
          <w:p w14:paraId="1084694D" w14:textId="77777777" w:rsidR="004B24AA" w:rsidRPr="00CE28E3" w:rsidRDefault="004B24AA" w:rsidP="004167A0">
            <w:pPr>
              <w:pStyle w:val="TableText"/>
              <w:keepNext/>
              <w:keepLines/>
              <w:jc w:val="center"/>
            </w:pPr>
            <w:r w:rsidRPr="00A801A8">
              <w:t>$15,296.65</w:t>
            </w:r>
          </w:p>
        </w:tc>
        <w:tc>
          <w:tcPr>
            <w:tcW w:w="1386" w:type="pct"/>
          </w:tcPr>
          <w:p w14:paraId="42C87781" w14:textId="738E8455" w:rsidR="004B24AA" w:rsidRPr="00CE28E3" w:rsidRDefault="00C95E30" w:rsidP="004167A0">
            <w:pPr>
              <w:pStyle w:val="TableText"/>
              <w:keepNext/>
              <w:keepLines/>
              <w:jc w:val="center"/>
            </w:pPr>
            <w:r>
              <w:t>$</w:t>
            </w:r>
            <w:r>
              <w:rPr>
                <w:b/>
                <w:bCs/>
              </w:rPr>
              <w:t>redacted</w:t>
            </w:r>
          </w:p>
        </w:tc>
      </w:tr>
      <w:tr w:rsidR="004B24AA" w:rsidRPr="00CE28E3" w14:paraId="532E6AC5" w14:textId="77777777" w:rsidTr="4C0A0968">
        <w:trPr>
          <w:cantSplit/>
        </w:trPr>
        <w:tc>
          <w:tcPr>
            <w:tcW w:w="942" w:type="pct"/>
          </w:tcPr>
          <w:p w14:paraId="73EFFB71" w14:textId="77777777" w:rsidR="004B24AA" w:rsidRPr="00CE28E3" w:rsidRDefault="004B24AA" w:rsidP="004167A0">
            <w:pPr>
              <w:pStyle w:val="TableText"/>
              <w:keepNext/>
              <w:keepLines/>
            </w:pPr>
            <w:r w:rsidRPr="00CE28E3">
              <w:t>QALY</w:t>
            </w:r>
            <w:r>
              <w:t>s</w:t>
            </w:r>
          </w:p>
        </w:tc>
        <w:tc>
          <w:tcPr>
            <w:tcW w:w="1353" w:type="pct"/>
          </w:tcPr>
          <w:p w14:paraId="588E08D3" w14:textId="77777777" w:rsidR="004B24AA" w:rsidRPr="00CE28E3" w:rsidRDefault="004B24AA" w:rsidP="004167A0">
            <w:pPr>
              <w:pStyle w:val="TableText"/>
              <w:keepNext/>
              <w:keepLines/>
              <w:jc w:val="center"/>
            </w:pPr>
            <w:r w:rsidRPr="00E2059E">
              <w:t xml:space="preserve">7.0218 </w:t>
            </w:r>
          </w:p>
        </w:tc>
        <w:tc>
          <w:tcPr>
            <w:tcW w:w="1319" w:type="pct"/>
          </w:tcPr>
          <w:p w14:paraId="5BF55A59" w14:textId="77777777" w:rsidR="004B24AA" w:rsidRPr="00CE28E3" w:rsidRDefault="004B24AA" w:rsidP="004167A0">
            <w:pPr>
              <w:pStyle w:val="TableText"/>
              <w:keepNext/>
              <w:keepLines/>
              <w:jc w:val="center"/>
            </w:pPr>
            <w:r w:rsidRPr="00E2059E">
              <w:t xml:space="preserve">6.9355 </w:t>
            </w:r>
          </w:p>
        </w:tc>
        <w:tc>
          <w:tcPr>
            <w:tcW w:w="1386" w:type="pct"/>
          </w:tcPr>
          <w:p w14:paraId="6E97DE0C" w14:textId="77777777" w:rsidR="004B24AA" w:rsidRPr="00CE28E3" w:rsidRDefault="004B24AA" w:rsidP="004167A0">
            <w:pPr>
              <w:pStyle w:val="TableText"/>
              <w:keepNext/>
              <w:keepLines/>
              <w:jc w:val="center"/>
            </w:pPr>
            <w:r w:rsidRPr="00E2059E">
              <w:t xml:space="preserve">0.0863 </w:t>
            </w:r>
          </w:p>
        </w:tc>
      </w:tr>
      <w:tr w:rsidR="004B24AA" w:rsidRPr="00CE28E3" w14:paraId="038BCD38" w14:textId="77777777" w:rsidTr="4C0A0968">
        <w:trPr>
          <w:cantSplit/>
          <w:trHeight w:val="211"/>
        </w:trPr>
        <w:tc>
          <w:tcPr>
            <w:tcW w:w="3614" w:type="pct"/>
            <w:gridSpan w:val="3"/>
            <w:tcBorders>
              <w:right w:val="single" w:sz="4" w:space="0" w:color="000000" w:themeColor="text1"/>
            </w:tcBorders>
          </w:tcPr>
          <w:p w14:paraId="36C2DD83" w14:textId="77777777" w:rsidR="004B24AA" w:rsidRPr="000D4419" w:rsidRDefault="004B24AA" w:rsidP="004167A0">
            <w:pPr>
              <w:keepNext/>
              <w:keepLines/>
              <w:rPr>
                <w:rFonts w:ascii="Arial Narrow" w:eastAsia="Calibri" w:hAnsi="Arial Narrow"/>
                <w:b/>
                <w:sz w:val="20"/>
                <w:szCs w:val="20"/>
              </w:rPr>
            </w:pPr>
            <w:r w:rsidRPr="000D4419">
              <w:rPr>
                <w:rFonts w:ascii="Arial Narrow" w:eastAsia="Calibri" w:hAnsi="Arial Narrow"/>
                <w:b/>
                <w:sz w:val="20"/>
                <w:szCs w:val="20"/>
              </w:rPr>
              <w:t>Incremental cost per QALY gained</w:t>
            </w:r>
          </w:p>
        </w:tc>
        <w:tc>
          <w:tcPr>
            <w:tcW w:w="1386" w:type="pct"/>
            <w:tcBorders>
              <w:left w:val="single" w:sz="4" w:space="0" w:color="000000" w:themeColor="text1"/>
            </w:tcBorders>
          </w:tcPr>
          <w:p w14:paraId="6CB8AB2D" w14:textId="3D343114" w:rsidR="004B24AA" w:rsidRPr="00CE28E3" w:rsidRDefault="00C95E30" w:rsidP="004167A0">
            <w:pPr>
              <w:keepNext/>
              <w:keepLines/>
              <w:jc w:val="center"/>
              <w:rPr>
                <w:rFonts w:ascii="Arial Narrow" w:eastAsia="Calibri" w:hAnsi="Arial Narrow"/>
                <w:b/>
                <w:sz w:val="20"/>
                <w:szCs w:val="20"/>
              </w:rPr>
            </w:pPr>
            <w:r w:rsidRPr="00025F84">
              <w:rPr>
                <w:rFonts w:ascii="Arial Narrow" w:hAnsi="Arial Narrow"/>
                <w:sz w:val="20"/>
                <w:szCs w:val="20"/>
              </w:rPr>
              <w:t>$</w:t>
            </w:r>
            <w:r w:rsidRPr="00025F84">
              <w:rPr>
                <w:rFonts w:ascii="Arial Narrow" w:hAnsi="Arial Narrow"/>
                <w:b/>
                <w:bCs/>
                <w:sz w:val="20"/>
                <w:szCs w:val="20"/>
              </w:rPr>
              <w:t>redacted</w:t>
            </w:r>
          </w:p>
        </w:tc>
      </w:tr>
    </w:tbl>
    <w:p w14:paraId="0723C575" w14:textId="77777777" w:rsidR="003A0F4F" w:rsidRPr="00CD6C60" w:rsidRDefault="003A0F4F" w:rsidP="004167A0">
      <w:pPr>
        <w:pStyle w:val="TableFigureFooter"/>
        <w:keepNext/>
        <w:keepLines/>
        <w:spacing w:before="40" w:after="40"/>
        <w:rPr>
          <w:rFonts w:eastAsia="Calibri"/>
          <w:b/>
          <w:bCs/>
          <w:u w:val="single"/>
        </w:rPr>
      </w:pPr>
      <w:bookmarkStart w:id="50" w:name="_Hlk68276600"/>
      <w:bookmarkEnd w:id="49"/>
      <w:r w:rsidRPr="00CD6C60">
        <w:rPr>
          <w:rFonts w:eastAsia="Calibri"/>
          <w:b/>
          <w:bCs/>
          <w:u w:val="single"/>
        </w:rPr>
        <w:t>Abbreviation</w:t>
      </w:r>
    </w:p>
    <w:p w14:paraId="254C982A" w14:textId="1A9F2709" w:rsidR="002F32FB" w:rsidRPr="00945A2D" w:rsidRDefault="00783F67" w:rsidP="004167A0">
      <w:pPr>
        <w:pStyle w:val="TableFigureFooter"/>
        <w:keepNext/>
        <w:keepLines/>
        <w:spacing w:before="40" w:after="40"/>
        <w:rPr>
          <w:rFonts w:eastAsia="Calibri"/>
        </w:rPr>
      </w:pPr>
      <w:r w:rsidRPr="00783F67">
        <w:rPr>
          <w:rFonts w:eastAsia="Calibri"/>
          <w:b/>
        </w:rPr>
        <w:t xml:space="preserve">AV </w:t>
      </w:r>
      <w:r w:rsidRPr="00783F67">
        <w:rPr>
          <w:rFonts w:eastAsia="Calibri"/>
          <w:bCs/>
        </w:rPr>
        <w:t>= atrioventricular,</w:t>
      </w:r>
      <w:r w:rsidRPr="00783F67">
        <w:rPr>
          <w:rFonts w:eastAsia="Calibri"/>
          <w:b/>
        </w:rPr>
        <w:t xml:space="preserve"> DC-TVPM </w:t>
      </w:r>
      <w:r w:rsidRPr="00783F67">
        <w:rPr>
          <w:rFonts w:eastAsia="Calibri"/>
          <w:bCs/>
        </w:rPr>
        <w:t>= dual-chamber transvenous pacemaker,</w:t>
      </w:r>
      <w:r w:rsidRPr="00783F67">
        <w:rPr>
          <w:rFonts w:eastAsia="Calibri"/>
          <w:b/>
        </w:rPr>
        <w:t xml:space="preserve"> </w:t>
      </w:r>
      <w:r w:rsidR="002F32FB" w:rsidRPr="00CD6C60">
        <w:rPr>
          <w:rFonts w:eastAsia="Calibri"/>
          <w:b/>
        </w:rPr>
        <w:t>QALY</w:t>
      </w:r>
      <w:r w:rsidR="002F32FB" w:rsidRPr="00945A2D">
        <w:rPr>
          <w:rFonts w:eastAsia="Calibri"/>
        </w:rPr>
        <w:t xml:space="preserve"> = quality</w:t>
      </w:r>
      <w:r w:rsidR="0045093D" w:rsidRPr="00945A2D">
        <w:rPr>
          <w:rFonts w:eastAsia="Calibri"/>
        </w:rPr>
        <w:t>-</w:t>
      </w:r>
      <w:r w:rsidR="002F32FB" w:rsidRPr="00945A2D">
        <w:rPr>
          <w:rFonts w:eastAsia="Calibri"/>
        </w:rPr>
        <w:t>adjusted life year.</w:t>
      </w:r>
      <w:r w:rsidR="0045093D" w:rsidRPr="00945A2D">
        <w:rPr>
          <w:rFonts w:eastAsia="Calibri"/>
        </w:rPr>
        <w:t xml:space="preserve"> </w:t>
      </w:r>
    </w:p>
    <w:bookmarkEnd w:id="50"/>
    <w:p w14:paraId="54861E7D" w14:textId="77777777" w:rsidR="003A0F4F" w:rsidRPr="00CD6C60" w:rsidRDefault="004B24AA" w:rsidP="004167A0">
      <w:pPr>
        <w:pStyle w:val="TableFigureFooter"/>
        <w:keepNext/>
        <w:keepLines/>
        <w:spacing w:before="40" w:after="40"/>
        <w:rPr>
          <w:b/>
          <w:bCs/>
          <w:u w:val="single"/>
        </w:rPr>
      </w:pPr>
      <w:r w:rsidRPr="00CD6C60">
        <w:rPr>
          <w:b/>
          <w:u w:val="single"/>
        </w:rPr>
        <w:t>Note</w:t>
      </w:r>
    </w:p>
    <w:p w14:paraId="06764D4A" w14:textId="22A473C5" w:rsidR="004B24AA" w:rsidRDefault="00FC302F" w:rsidP="004167A0">
      <w:pPr>
        <w:pStyle w:val="TableFigureFooter"/>
        <w:keepNext/>
        <w:keepLines/>
        <w:spacing w:before="40" w:after="40"/>
      </w:pPr>
      <w:r>
        <w:rPr>
          <w:b/>
          <w:bCs/>
          <w:szCs w:val="18"/>
        </w:rPr>
        <w:t>a</w:t>
      </w:r>
      <w:r w:rsidR="00A35C24" w:rsidRPr="000476DD">
        <w:rPr>
          <w:szCs w:val="18"/>
        </w:rPr>
        <w:t xml:space="preserve"> </w:t>
      </w:r>
      <w:r w:rsidR="00A35C24">
        <w:rPr>
          <w:szCs w:val="18"/>
        </w:rPr>
        <w:t>=</w:t>
      </w:r>
      <w:r w:rsidR="00A35C24" w:rsidRPr="000476DD">
        <w:t xml:space="preserve"> </w:t>
      </w:r>
      <w:r w:rsidR="004B24AA">
        <w:t>Both costs for i</w:t>
      </w:r>
      <w:r w:rsidR="004B24AA" w:rsidRPr="00945A2D">
        <w:t xml:space="preserve">mplantation and management of </w:t>
      </w:r>
      <w:r w:rsidR="00105E8D">
        <w:t>complications</w:t>
      </w:r>
      <w:r w:rsidR="004B24AA" w:rsidRPr="00945A2D">
        <w:t xml:space="preserve"> are captured in the base case.</w:t>
      </w:r>
    </w:p>
    <w:p w14:paraId="7D350F80" w14:textId="3053026C" w:rsidR="00B00A5A" w:rsidRDefault="00B00A5A" w:rsidP="00F71EE2">
      <w:pPr>
        <w:pStyle w:val="Caption"/>
      </w:pPr>
      <w:bookmarkStart w:id="51" w:name="_Ref191633442"/>
      <w:r>
        <w:t xml:space="preserve">Table </w:t>
      </w:r>
      <w:r>
        <w:fldChar w:fldCharType="begin"/>
      </w:r>
      <w:r>
        <w:instrText xml:space="preserve"> SEQ Table \* ARABIC </w:instrText>
      </w:r>
      <w:r>
        <w:fldChar w:fldCharType="separate"/>
      </w:r>
      <w:r>
        <w:rPr>
          <w:noProof/>
        </w:rPr>
        <w:t>14</w:t>
      </w:r>
      <w:r>
        <w:rPr>
          <w:noProof/>
        </w:rPr>
        <w:fldChar w:fldCharType="end"/>
      </w:r>
      <w:bookmarkEnd w:id="51"/>
      <w:r>
        <w:t xml:space="preserve"> </w:t>
      </w:r>
      <w:r w:rsidR="002E7257">
        <w:t>Micra</w:t>
      </w:r>
      <w:r>
        <w:t xml:space="preserve"> VR</w:t>
      </w:r>
      <w:r w:rsidR="00AD0462">
        <w:t xml:space="preserve"> base-case</w:t>
      </w:r>
      <w:r w:rsidR="00320CCB">
        <w:t xml:space="preserve"> results</w:t>
      </w:r>
      <w:r w:rsidR="00890E11">
        <w:rPr>
          <w:vertAlign w:val="superscript"/>
        </w:rPr>
        <w:t>#</w:t>
      </w:r>
      <w:r w:rsidR="00931145">
        <w:t xml:space="preserve"> (12</w:t>
      </w:r>
      <w:r w:rsidR="005E072B">
        <w:t>-</w:t>
      </w:r>
      <w:r w:rsidR="00931145">
        <w:t>year model duration)</w:t>
      </w:r>
      <w:r w:rsidR="00AD0462">
        <w:t xml:space="preserve"> </w:t>
      </w:r>
      <w:r>
        <w:t>(MSAC application 1672)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699"/>
        <w:gridCol w:w="2440"/>
        <w:gridCol w:w="2378"/>
        <w:gridCol w:w="2499"/>
      </w:tblGrid>
      <w:tr w:rsidR="00A001E2" w:rsidRPr="00CE28E3" w14:paraId="4A11E6D1" w14:textId="77777777" w:rsidTr="00A82191">
        <w:trPr>
          <w:cantSplit/>
          <w:tblHeader/>
        </w:trPr>
        <w:tc>
          <w:tcPr>
            <w:tcW w:w="942" w:type="pct"/>
            <w:shd w:val="clear" w:color="auto" w:fill="FFFFFF" w:themeFill="background1"/>
          </w:tcPr>
          <w:p w14:paraId="25AC900E" w14:textId="77777777" w:rsidR="00A001E2" w:rsidRPr="00CE28E3" w:rsidRDefault="00A001E2" w:rsidP="00A82191">
            <w:pPr>
              <w:pStyle w:val="In-tableHeading"/>
            </w:pPr>
            <w:r>
              <w:t xml:space="preserve">Parameter </w:t>
            </w:r>
          </w:p>
        </w:tc>
        <w:tc>
          <w:tcPr>
            <w:tcW w:w="1353" w:type="pct"/>
            <w:shd w:val="clear" w:color="auto" w:fill="FFFFFF" w:themeFill="background1"/>
          </w:tcPr>
          <w:p w14:paraId="681F2CF8" w14:textId="0E2F8F05" w:rsidR="00A001E2" w:rsidRPr="00CE28E3" w:rsidRDefault="00A001E2" w:rsidP="00A82191">
            <w:pPr>
              <w:pStyle w:val="In-tableHeading"/>
              <w:jc w:val="center"/>
            </w:pPr>
            <w:r w:rsidRPr="00375533">
              <w:t xml:space="preserve">Micra </w:t>
            </w:r>
            <w:r>
              <w:t>VR</w:t>
            </w:r>
          </w:p>
        </w:tc>
        <w:tc>
          <w:tcPr>
            <w:tcW w:w="1319" w:type="pct"/>
            <w:shd w:val="clear" w:color="auto" w:fill="FFFFFF" w:themeFill="background1"/>
          </w:tcPr>
          <w:p w14:paraId="0F0D15AA" w14:textId="2FAA49D5" w:rsidR="00A001E2" w:rsidRPr="00CE28E3" w:rsidRDefault="00A001E2" w:rsidP="00A82191">
            <w:pPr>
              <w:pStyle w:val="In-tableHeading"/>
              <w:jc w:val="center"/>
            </w:pPr>
            <w:r w:rsidRPr="00375533">
              <w:t>TVPM</w:t>
            </w:r>
          </w:p>
        </w:tc>
        <w:tc>
          <w:tcPr>
            <w:tcW w:w="1386" w:type="pct"/>
            <w:shd w:val="clear" w:color="auto" w:fill="FFFFFF" w:themeFill="background1"/>
            <w:vAlign w:val="center"/>
          </w:tcPr>
          <w:p w14:paraId="0404DFFF" w14:textId="77777777" w:rsidR="00A001E2" w:rsidRPr="00CE28E3" w:rsidRDefault="00A001E2" w:rsidP="00A82191">
            <w:pPr>
              <w:pStyle w:val="In-tableHeading"/>
              <w:jc w:val="center"/>
            </w:pPr>
            <w:r w:rsidRPr="00CE28E3">
              <w:t>Increment</w:t>
            </w:r>
          </w:p>
        </w:tc>
      </w:tr>
      <w:tr w:rsidR="00A001E2" w:rsidRPr="00CE28E3" w14:paraId="5F3DD0C9" w14:textId="77777777" w:rsidTr="00A82191">
        <w:trPr>
          <w:cantSplit/>
        </w:trPr>
        <w:tc>
          <w:tcPr>
            <w:tcW w:w="942" w:type="pct"/>
          </w:tcPr>
          <w:p w14:paraId="2BD0CE12" w14:textId="7C04E173" w:rsidR="00A001E2" w:rsidRPr="00CE28E3" w:rsidRDefault="00A001E2" w:rsidP="00A82191">
            <w:pPr>
              <w:pStyle w:val="TableText"/>
              <w:keepNext/>
            </w:pPr>
            <w:r w:rsidRPr="4C0A0968">
              <w:t>Costs</w:t>
            </w:r>
          </w:p>
        </w:tc>
        <w:tc>
          <w:tcPr>
            <w:tcW w:w="1353" w:type="pct"/>
          </w:tcPr>
          <w:p w14:paraId="047E62D5" w14:textId="694950CB" w:rsidR="00A001E2" w:rsidRPr="00F71EE2" w:rsidRDefault="00C95E30" w:rsidP="00A82191">
            <w:pPr>
              <w:pStyle w:val="TableText"/>
              <w:keepNext/>
              <w:jc w:val="center"/>
              <w:rPr>
                <w:vertAlign w:val="superscript"/>
              </w:rPr>
            </w:pPr>
            <w:r>
              <w:t>$</w:t>
            </w:r>
            <w:r>
              <w:rPr>
                <w:b/>
                <w:bCs/>
              </w:rPr>
              <w:t xml:space="preserve">redacted </w:t>
            </w:r>
            <w:r w:rsidR="00B22D28">
              <w:rPr>
                <w:vertAlign w:val="superscript"/>
              </w:rPr>
              <w:t>#</w:t>
            </w:r>
          </w:p>
        </w:tc>
        <w:tc>
          <w:tcPr>
            <w:tcW w:w="1319" w:type="pct"/>
          </w:tcPr>
          <w:p w14:paraId="7FA23421" w14:textId="10803D8F" w:rsidR="00A001E2" w:rsidRPr="00CE28E3" w:rsidRDefault="00A001E2" w:rsidP="00A82191">
            <w:pPr>
              <w:pStyle w:val="TableText"/>
              <w:keepNext/>
              <w:jc w:val="center"/>
            </w:pPr>
            <w:r w:rsidRPr="00A801A8">
              <w:t>$</w:t>
            </w:r>
            <w:r w:rsidR="00D67183">
              <w:t>7,997</w:t>
            </w:r>
          </w:p>
        </w:tc>
        <w:tc>
          <w:tcPr>
            <w:tcW w:w="1386" w:type="pct"/>
          </w:tcPr>
          <w:p w14:paraId="0CB6E362" w14:textId="681985D5" w:rsidR="00A001E2" w:rsidRPr="00CE28E3" w:rsidRDefault="00C95E30" w:rsidP="00A82191">
            <w:pPr>
              <w:pStyle w:val="TableText"/>
              <w:keepNext/>
              <w:jc w:val="center"/>
            </w:pPr>
            <w:r>
              <w:t>$</w:t>
            </w:r>
            <w:r>
              <w:rPr>
                <w:b/>
                <w:bCs/>
              </w:rPr>
              <w:t>redacted</w:t>
            </w:r>
          </w:p>
        </w:tc>
      </w:tr>
      <w:tr w:rsidR="00A001E2" w:rsidRPr="00CE28E3" w14:paraId="31D5211F" w14:textId="77777777" w:rsidTr="00A82191">
        <w:trPr>
          <w:cantSplit/>
        </w:trPr>
        <w:tc>
          <w:tcPr>
            <w:tcW w:w="942" w:type="pct"/>
          </w:tcPr>
          <w:p w14:paraId="617F92F9" w14:textId="77777777" w:rsidR="00A001E2" w:rsidRPr="00CE28E3" w:rsidRDefault="00A001E2" w:rsidP="00A82191">
            <w:pPr>
              <w:pStyle w:val="TableText"/>
              <w:keepNext/>
            </w:pPr>
            <w:r w:rsidRPr="00CE28E3">
              <w:t>QALY</w:t>
            </w:r>
            <w:r>
              <w:t>s</w:t>
            </w:r>
          </w:p>
        </w:tc>
        <w:tc>
          <w:tcPr>
            <w:tcW w:w="1353" w:type="pct"/>
          </w:tcPr>
          <w:p w14:paraId="76364022" w14:textId="2774B3B3" w:rsidR="00A001E2" w:rsidRPr="00CE28E3" w:rsidRDefault="00D640A6" w:rsidP="00A82191">
            <w:pPr>
              <w:pStyle w:val="TableText"/>
              <w:keepNext/>
              <w:jc w:val="center"/>
            </w:pPr>
            <w:r>
              <w:t>6.2689</w:t>
            </w:r>
          </w:p>
        </w:tc>
        <w:tc>
          <w:tcPr>
            <w:tcW w:w="1319" w:type="pct"/>
          </w:tcPr>
          <w:p w14:paraId="1A4744DA" w14:textId="64DA5EDB" w:rsidR="00A001E2" w:rsidRPr="00CE28E3" w:rsidRDefault="00A001E2" w:rsidP="00A82191">
            <w:pPr>
              <w:pStyle w:val="TableText"/>
              <w:keepNext/>
              <w:jc w:val="center"/>
            </w:pPr>
            <w:r w:rsidRPr="00E2059E">
              <w:t>6.</w:t>
            </w:r>
            <w:r w:rsidR="00C85DE9">
              <w:t>1</w:t>
            </w:r>
            <w:r w:rsidR="00B51464">
              <w:t>858</w:t>
            </w:r>
          </w:p>
        </w:tc>
        <w:tc>
          <w:tcPr>
            <w:tcW w:w="1386" w:type="pct"/>
          </w:tcPr>
          <w:p w14:paraId="3B291345" w14:textId="67E0893F" w:rsidR="00A001E2" w:rsidRPr="00CE28E3" w:rsidRDefault="00A001E2" w:rsidP="00A82191">
            <w:pPr>
              <w:pStyle w:val="TableText"/>
              <w:keepNext/>
              <w:jc w:val="center"/>
            </w:pPr>
            <w:r w:rsidRPr="00E2059E">
              <w:t>0.08</w:t>
            </w:r>
            <w:r w:rsidR="00C24FB0">
              <w:t>32</w:t>
            </w:r>
            <w:r w:rsidRPr="00E2059E">
              <w:t xml:space="preserve"> </w:t>
            </w:r>
          </w:p>
        </w:tc>
      </w:tr>
      <w:tr w:rsidR="00A001E2" w:rsidRPr="00CE28E3" w14:paraId="73E67C12" w14:textId="77777777" w:rsidTr="00A82191">
        <w:trPr>
          <w:cantSplit/>
          <w:trHeight w:val="211"/>
        </w:trPr>
        <w:tc>
          <w:tcPr>
            <w:tcW w:w="3614" w:type="pct"/>
            <w:gridSpan w:val="3"/>
            <w:tcBorders>
              <w:right w:val="single" w:sz="4" w:space="0" w:color="000000" w:themeColor="text1"/>
            </w:tcBorders>
          </w:tcPr>
          <w:p w14:paraId="5864810B" w14:textId="77777777" w:rsidR="00A001E2" w:rsidRPr="000D4419" w:rsidRDefault="00A001E2" w:rsidP="00A82191">
            <w:pPr>
              <w:keepNext/>
              <w:keepLines/>
              <w:rPr>
                <w:rFonts w:ascii="Arial Narrow" w:eastAsia="Calibri" w:hAnsi="Arial Narrow"/>
                <w:b/>
                <w:sz w:val="20"/>
                <w:szCs w:val="20"/>
              </w:rPr>
            </w:pPr>
            <w:r w:rsidRPr="000D4419">
              <w:rPr>
                <w:rFonts w:ascii="Arial Narrow" w:eastAsia="Calibri" w:hAnsi="Arial Narrow"/>
                <w:b/>
                <w:sz w:val="20"/>
                <w:szCs w:val="20"/>
              </w:rPr>
              <w:t>Incremental cost per QALY gained</w:t>
            </w:r>
          </w:p>
        </w:tc>
        <w:tc>
          <w:tcPr>
            <w:tcW w:w="1386" w:type="pct"/>
            <w:tcBorders>
              <w:left w:val="single" w:sz="4" w:space="0" w:color="000000" w:themeColor="text1"/>
            </w:tcBorders>
          </w:tcPr>
          <w:p w14:paraId="22B77A95" w14:textId="36DB1A7B" w:rsidR="00A001E2" w:rsidRPr="00C95E30" w:rsidRDefault="00C95E30" w:rsidP="00A82191">
            <w:pPr>
              <w:keepNext/>
              <w:keepLines/>
              <w:jc w:val="center"/>
              <w:rPr>
                <w:rFonts w:ascii="Arial Narrow" w:eastAsia="Calibri" w:hAnsi="Arial Narrow"/>
                <w:b/>
                <w:sz w:val="20"/>
                <w:szCs w:val="20"/>
              </w:rPr>
            </w:pPr>
            <w:r w:rsidRPr="00FE03AE">
              <w:rPr>
                <w:rFonts w:ascii="Arial Narrow" w:hAnsi="Arial Narrow"/>
                <w:sz w:val="20"/>
                <w:szCs w:val="20"/>
              </w:rPr>
              <w:t>$</w:t>
            </w:r>
            <w:r w:rsidRPr="00FE03AE">
              <w:rPr>
                <w:rFonts w:ascii="Arial Narrow" w:hAnsi="Arial Narrow"/>
                <w:b/>
                <w:bCs/>
                <w:sz w:val="20"/>
                <w:szCs w:val="20"/>
              </w:rPr>
              <w:t>redacted</w:t>
            </w:r>
          </w:p>
        </w:tc>
      </w:tr>
    </w:tbl>
    <w:p w14:paraId="6C32A57D" w14:textId="77777777" w:rsidR="00A001E2" w:rsidRPr="00CD6C60" w:rsidRDefault="00A001E2" w:rsidP="00A001E2">
      <w:pPr>
        <w:pStyle w:val="TableFigureFooter"/>
        <w:spacing w:before="40" w:after="40"/>
        <w:rPr>
          <w:rFonts w:eastAsia="Calibri"/>
          <w:b/>
          <w:bCs/>
          <w:u w:val="single"/>
        </w:rPr>
      </w:pPr>
      <w:r w:rsidRPr="00CD6C60">
        <w:rPr>
          <w:rFonts w:eastAsia="Calibri"/>
          <w:b/>
          <w:bCs/>
          <w:u w:val="single"/>
        </w:rPr>
        <w:t>Abbreviation</w:t>
      </w:r>
    </w:p>
    <w:p w14:paraId="6E039C6D" w14:textId="1606E0AA" w:rsidR="00A001E2" w:rsidRPr="00945A2D" w:rsidRDefault="00AD6DCE" w:rsidP="00A001E2">
      <w:pPr>
        <w:pStyle w:val="TableFigureFooter"/>
        <w:spacing w:before="40" w:after="40"/>
        <w:rPr>
          <w:rFonts w:eastAsia="Calibri"/>
        </w:rPr>
      </w:pPr>
      <w:r>
        <w:rPr>
          <w:rFonts w:eastAsia="Calibri"/>
          <w:b/>
        </w:rPr>
        <w:t>VR</w:t>
      </w:r>
      <w:r w:rsidR="00A001E2" w:rsidRPr="00783F67">
        <w:rPr>
          <w:rFonts w:eastAsia="Calibri"/>
          <w:b/>
        </w:rPr>
        <w:t xml:space="preserve"> </w:t>
      </w:r>
      <w:r w:rsidR="00A001E2" w:rsidRPr="00783F67">
        <w:rPr>
          <w:rFonts w:eastAsia="Calibri"/>
          <w:bCs/>
        </w:rPr>
        <w:t xml:space="preserve">= </w:t>
      </w:r>
      <w:r>
        <w:rPr>
          <w:rFonts w:eastAsia="Calibri"/>
          <w:bCs/>
        </w:rPr>
        <w:t>ventricular</w:t>
      </w:r>
      <w:r w:rsidR="00A001E2" w:rsidRPr="00783F67">
        <w:rPr>
          <w:rFonts w:eastAsia="Calibri"/>
          <w:bCs/>
        </w:rPr>
        <w:t>,</w:t>
      </w:r>
      <w:r>
        <w:rPr>
          <w:rFonts w:eastAsia="Calibri"/>
          <w:bCs/>
        </w:rPr>
        <w:t xml:space="preserve"> </w:t>
      </w:r>
      <w:r w:rsidR="00A001E2" w:rsidRPr="00783F67">
        <w:rPr>
          <w:rFonts w:eastAsia="Calibri"/>
          <w:b/>
        </w:rPr>
        <w:t xml:space="preserve">TVPM </w:t>
      </w:r>
      <w:r w:rsidR="00A001E2" w:rsidRPr="00783F67">
        <w:rPr>
          <w:rFonts w:eastAsia="Calibri"/>
          <w:bCs/>
        </w:rPr>
        <w:t>=</w:t>
      </w:r>
      <w:r>
        <w:rPr>
          <w:rFonts w:eastAsia="Calibri"/>
          <w:bCs/>
        </w:rPr>
        <w:t xml:space="preserve"> </w:t>
      </w:r>
      <w:r w:rsidR="00A001E2" w:rsidRPr="00783F67">
        <w:rPr>
          <w:rFonts w:eastAsia="Calibri"/>
          <w:bCs/>
        </w:rPr>
        <w:t>transvenous pacemaker,</w:t>
      </w:r>
      <w:r w:rsidR="00A001E2" w:rsidRPr="00783F67">
        <w:rPr>
          <w:rFonts w:eastAsia="Calibri"/>
          <w:b/>
        </w:rPr>
        <w:t xml:space="preserve"> </w:t>
      </w:r>
      <w:r w:rsidR="00A001E2" w:rsidRPr="00CD6C60">
        <w:rPr>
          <w:rFonts w:eastAsia="Calibri"/>
          <w:b/>
        </w:rPr>
        <w:t>QALY</w:t>
      </w:r>
      <w:r w:rsidR="00A001E2" w:rsidRPr="00945A2D">
        <w:rPr>
          <w:rFonts w:eastAsia="Calibri"/>
        </w:rPr>
        <w:t xml:space="preserve"> = quality-adjusted life year. </w:t>
      </w:r>
    </w:p>
    <w:p w14:paraId="1B94F0B8" w14:textId="77777777" w:rsidR="00A001E2" w:rsidRDefault="00A001E2" w:rsidP="00A001E2">
      <w:pPr>
        <w:pStyle w:val="TableFigureFooter"/>
        <w:spacing w:before="40" w:after="40"/>
        <w:rPr>
          <w:b/>
          <w:u w:val="single"/>
        </w:rPr>
      </w:pPr>
      <w:r w:rsidRPr="00CD6C60">
        <w:rPr>
          <w:b/>
          <w:u w:val="single"/>
        </w:rPr>
        <w:t>Note</w:t>
      </w:r>
    </w:p>
    <w:p w14:paraId="456E8B10" w14:textId="3DA5B91D" w:rsidR="00B22D28" w:rsidRPr="005E072B" w:rsidRDefault="00B22D28" w:rsidP="00A001E2">
      <w:pPr>
        <w:pStyle w:val="TableFigureFooter"/>
        <w:spacing w:before="40" w:after="40"/>
        <w:rPr>
          <w:bCs/>
        </w:rPr>
      </w:pPr>
      <w:r w:rsidRPr="00EC4401">
        <w:rPr>
          <w:b/>
          <w:vertAlign w:val="superscript"/>
        </w:rPr>
        <w:t xml:space="preserve"># </w:t>
      </w:r>
      <w:r w:rsidRPr="005E072B">
        <w:rPr>
          <w:bCs/>
        </w:rPr>
        <w:t xml:space="preserve"> </w:t>
      </w:r>
      <w:r w:rsidR="00E22C1B" w:rsidRPr="005E072B">
        <w:rPr>
          <w:bCs/>
        </w:rPr>
        <w:t>base-case results adapted to</w:t>
      </w:r>
      <w:r w:rsidR="00DA0473" w:rsidRPr="005E072B">
        <w:rPr>
          <w:bCs/>
        </w:rPr>
        <w:t xml:space="preserve"> inclu</w:t>
      </w:r>
      <w:r w:rsidR="00890E11" w:rsidRPr="005E072B">
        <w:rPr>
          <w:bCs/>
        </w:rPr>
        <w:t>de a</w:t>
      </w:r>
      <w:r w:rsidR="00E560ED" w:rsidRPr="005E072B">
        <w:rPr>
          <w:bCs/>
        </w:rPr>
        <w:t xml:space="preserve"> </w:t>
      </w:r>
      <w:r w:rsidR="00C95E30">
        <w:rPr>
          <w:b/>
        </w:rPr>
        <w:t>redacted</w:t>
      </w:r>
      <w:r w:rsidR="00A967D8" w:rsidRPr="005E072B">
        <w:rPr>
          <w:bCs/>
        </w:rPr>
        <w:t>% reduction in the</w:t>
      </w:r>
      <w:r w:rsidR="00764FAA" w:rsidRPr="005E072B">
        <w:rPr>
          <w:bCs/>
        </w:rPr>
        <w:t xml:space="preserve"> proposed</w:t>
      </w:r>
      <w:r w:rsidR="00885B10" w:rsidRPr="005E072B">
        <w:rPr>
          <w:bCs/>
        </w:rPr>
        <w:t xml:space="preserve"> </w:t>
      </w:r>
      <w:r w:rsidR="00764FAA" w:rsidRPr="005E072B">
        <w:rPr>
          <w:bCs/>
        </w:rPr>
        <w:t xml:space="preserve">Micra VR </w:t>
      </w:r>
      <w:r w:rsidR="00885B10" w:rsidRPr="005E072B">
        <w:rPr>
          <w:bCs/>
        </w:rPr>
        <w:t>device price</w:t>
      </w:r>
      <w:r w:rsidR="00EC4401">
        <w:rPr>
          <w:bCs/>
        </w:rPr>
        <w:t xml:space="preserve"> to </w:t>
      </w:r>
      <w:r w:rsidR="00A4484B" w:rsidRPr="005E072B">
        <w:rPr>
          <w:bCs/>
        </w:rPr>
        <w:t>$</w:t>
      </w:r>
      <w:r w:rsidR="004C3290" w:rsidRPr="005E072B">
        <w:rPr>
          <w:bCs/>
        </w:rPr>
        <w:t>10,083</w:t>
      </w:r>
      <w:r w:rsidR="00EC4401">
        <w:rPr>
          <w:bCs/>
        </w:rPr>
        <w:t>,</w:t>
      </w:r>
      <w:r w:rsidR="00764FAA" w:rsidRPr="005E072B">
        <w:rPr>
          <w:bCs/>
        </w:rPr>
        <w:t xml:space="preserve"> as </w:t>
      </w:r>
      <w:r w:rsidR="00BB4E3B" w:rsidRPr="005E072B">
        <w:rPr>
          <w:bCs/>
        </w:rPr>
        <w:t xml:space="preserve">noted by MSAC </w:t>
      </w:r>
      <w:r w:rsidR="003D21F6" w:rsidRPr="005E072B">
        <w:rPr>
          <w:bCs/>
        </w:rPr>
        <w:t xml:space="preserve">in the Public Summary Document for </w:t>
      </w:r>
      <w:r w:rsidR="00D66AE5" w:rsidRPr="005E072B">
        <w:rPr>
          <w:bCs/>
        </w:rPr>
        <w:t>MSAC Application 1672</w:t>
      </w:r>
      <w:r w:rsidR="00885B10" w:rsidRPr="005E072B">
        <w:rPr>
          <w:bCs/>
        </w:rPr>
        <w:t xml:space="preserve"> </w:t>
      </w:r>
    </w:p>
    <w:p w14:paraId="07632E18" w14:textId="36FC3607" w:rsidR="004E6EAB" w:rsidRPr="00945A2D" w:rsidRDefault="004E6EAB" w:rsidP="00493E5A">
      <w:pPr>
        <w:pStyle w:val="Heading3"/>
      </w:pPr>
      <w:r>
        <w:t>Uncertainty analysis</w:t>
      </w:r>
    </w:p>
    <w:p w14:paraId="57B8196B" w14:textId="681F2A7A" w:rsidR="00BD4C06" w:rsidRDefault="00BD4C06" w:rsidP="00E76AE0">
      <w:pPr>
        <w:pStyle w:val="Instructionaltext"/>
        <w:rPr>
          <w:color w:val="auto"/>
        </w:rPr>
      </w:pPr>
      <w:r w:rsidRPr="00BD4C06">
        <w:rPr>
          <w:color w:val="auto"/>
        </w:rPr>
        <w:t xml:space="preserve">Key drivers of the model are summarised in </w:t>
      </w:r>
      <w:r w:rsidR="007D77F7">
        <w:rPr>
          <w:color w:val="auto"/>
        </w:rPr>
        <w:fldChar w:fldCharType="begin"/>
      </w:r>
      <w:r w:rsidR="007D77F7">
        <w:rPr>
          <w:color w:val="auto"/>
        </w:rPr>
        <w:instrText xml:space="preserve"> REF _Ref187075320 \h  \* MERGEFORMAT </w:instrText>
      </w:r>
      <w:r w:rsidR="007D77F7">
        <w:rPr>
          <w:color w:val="auto"/>
        </w:rPr>
      </w:r>
      <w:r w:rsidR="007D77F7">
        <w:rPr>
          <w:color w:val="auto"/>
        </w:rPr>
        <w:fldChar w:fldCharType="separate"/>
      </w:r>
      <w:r w:rsidR="00F71EE2" w:rsidRPr="00F71EE2">
        <w:rPr>
          <w:color w:val="auto"/>
        </w:rPr>
        <w:t xml:space="preserve">Table </w:t>
      </w:r>
      <w:r w:rsidR="00F71EE2" w:rsidRPr="008743A6">
        <w:rPr>
          <w:noProof/>
          <w:color w:val="auto"/>
        </w:rPr>
        <w:t>15</w:t>
      </w:r>
      <w:r w:rsidR="007D77F7">
        <w:rPr>
          <w:color w:val="auto"/>
        </w:rPr>
        <w:fldChar w:fldCharType="end"/>
      </w:r>
      <w:r w:rsidRPr="00BD4C06">
        <w:rPr>
          <w:color w:val="auto"/>
        </w:rPr>
        <w:fldChar w:fldCharType="begin"/>
      </w:r>
      <w:r w:rsidRPr="00BD4C06">
        <w:rPr>
          <w:color w:val="auto"/>
        </w:rPr>
        <w:fldChar w:fldCharType="separate"/>
      </w:r>
      <w:r w:rsidR="00552B8F" w:rsidRPr="0045028B">
        <w:rPr>
          <w:color w:val="auto"/>
        </w:rPr>
        <w:t>Table 14</w:t>
      </w:r>
      <w:r w:rsidRPr="00BD4C06">
        <w:rPr>
          <w:color w:val="auto"/>
        </w:rPr>
        <w:fldChar w:fldCharType="end"/>
      </w:r>
      <w:r w:rsidRPr="00BD4C06">
        <w:rPr>
          <w:color w:val="auto"/>
        </w:rPr>
        <w:t>.</w:t>
      </w:r>
    </w:p>
    <w:p w14:paraId="3349F3DE" w14:textId="3E9EC759" w:rsidR="005711AD" w:rsidRDefault="005711AD" w:rsidP="00E76AE0">
      <w:pPr>
        <w:pStyle w:val="Instructionaltext"/>
        <w:rPr>
          <w:color w:val="auto"/>
        </w:rPr>
      </w:pPr>
      <w:r w:rsidRPr="00DC21B5">
        <w:rPr>
          <w:color w:val="auto"/>
        </w:rPr>
        <w:t>There are uncertainties</w:t>
      </w:r>
      <w:r w:rsidR="00551BBB" w:rsidRPr="00F0030E">
        <w:rPr>
          <w:color w:val="auto"/>
        </w:rPr>
        <w:t xml:space="preserve"> </w:t>
      </w:r>
      <w:r w:rsidR="00551BBB" w:rsidRPr="00551BBB">
        <w:rPr>
          <w:color w:val="auto"/>
        </w:rPr>
        <w:t xml:space="preserve">associated with the </w:t>
      </w:r>
      <w:r w:rsidR="00461513">
        <w:rPr>
          <w:color w:val="auto"/>
        </w:rPr>
        <w:t>model</w:t>
      </w:r>
      <w:r w:rsidR="00551BBB" w:rsidRPr="00551BBB">
        <w:rPr>
          <w:color w:val="auto"/>
        </w:rPr>
        <w:t xml:space="preserve"> inputs and </w:t>
      </w:r>
      <w:r w:rsidR="00461513">
        <w:rPr>
          <w:color w:val="auto"/>
        </w:rPr>
        <w:t>evidence gaps</w:t>
      </w:r>
      <w:r w:rsidR="008F7DD4">
        <w:rPr>
          <w:color w:val="auto"/>
        </w:rPr>
        <w:t xml:space="preserve">, including the </w:t>
      </w:r>
      <w:r w:rsidR="00825FFE">
        <w:rPr>
          <w:color w:val="auto"/>
        </w:rPr>
        <w:t>model duration</w:t>
      </w:r>
      <w:r w:rsidR="0043377C">
        <w:rPr>
          <w:color w:val="auto"/>
        </w:rPr>
        <w:t xml:space="preserve">. </w:t>
      </w:r>
      <w:r w:rsidR="00C21887">
        <w:rPr>
          <w:color w:val="auto"/>
        </w:rPr>
        <w:t xml:space="preserve">A stepped </w:t>
      </w:r>
      <w:r w:rsidR="00877DA8">
        <w:rPr>
          <w:color w:val="auto"/>
        </w:rPr>
        <w:t>sensitivity analysis</w:t>
      </w:r>
      <w:r w:rsidR="00687174">
        <w:rPr>
          <w:color w:val="auto"/>
        </w:rPr>
        <w:t xml:space="preserve"> was </w:t>
      </w:r>
      <w:r w:rsidR="00584F8B" w:rsidRPr="00584F8B">
        <w:rPr>
          <w:color w:val="auto"/>
        </w:rPr>
        <w:t>conducted</w:t>
      </w:r>
      <w:r w:rsidR="00584F8B">
        <w:rPr>
          <w:color w:val="auto"/>
        </w:rPr>
        <w:t xml:space="preserve"> </w:t>
      </w:r>
      <w:r w:rsidR="00687174">
        <w:rPr>
          <w:color w:val="auto"/>
        </w:rPr>
        <w:t xml:space="preserve">in the </w:t>
      </w:r>
      <w:r w:rsidR="001E2895">
        <w:rPr>
          <w:color w:val="auto"/>
        </w:rPr>
        <w:t>ADAR</w:t>
      </w:r>
      <w:r w:rsidR="000F26F0">
        <w:rPr>
          <w:color w:val="auto"/>
        </w:rPr>
        <w:t>,</w:t>
      </w:r>
      <w:r w:rsidR="004C5E8E" w:rsidRPr="00F0030E">
        <w:rPr>
          <w:color w:val="auto"/>
        </w:rPr>
        <w:t xml:space="preserve"> </w:t>
      </w:r>
      <w:r w:rsidR="00DA4A84" w:rsidRPr="00DA4A84">
        <w:rPr>
          <w:color w:val="auto"/>
        </w:rPr>
        <w:t>varying the model duration from 2 to 16 years</w:t>
      </w:r>
      <w:r w:rsidR="00770497">
        <w:rPr>
          <w:color w:val="auto"/>
        </w:rPr>
        <w:t>.</w:t>
      </w:r>
      <w:r w:rsidR="00F613DF">
        <w:rPr>
          <w:color w:val="auto"/>
        </w:rPr>
        <w:t xml:space="preserve"> </w:t>
      </w:r>
      <w:r w:rsidR="009E3F97">
        <w:rPr>
          <w:color w:val="auto"/>
        </w:rPr>
        <w:t xml:space="preserve">The maximum </w:t>
      </w:r>
      <w:r w:rsidR="00EC65CA">
        <w:rPr>
          <w:color w:val="auto"/>
        </w:rPr>
        <w:t>duration of 16 years</w:t>
      </w:r>
      <w:r w:rsidR="00191FEB">
        <w:rPr>
          <w:color w:val="auto"/>
        </w:rPr>
        <w:t xml:space="preserve">, </w:t>
      </w:r>
      <w:r w:rsidR="0087090C">
        <w:rPr>
          <w:color w:val="auto"/>
        </w:rPr>
        <w:t>based on the e</w:t>
      </w:r>
      <w:r w:rsidR="006A3BDE">
        <w:rPr>
          <w:color w:val="auto"/>
        </w:rPr>
        <w:t>stimated battery life,</w:t>
      </w:r>
      <w:r w:rsidR="00EC65CA">
        <w:rPr>
          <w:color w:val="auto"/>
        </w:rPr>
        <w:t xml:space="preserve"> was </w:t>
      </w:r>
      <w:r w:rsidR="00B86ECD">
        <w:rPr>
          <w:color w:val="auto"/>
        </w:rPr>
        <w:t xml:space="preserve">highly </w:t>
      </w:r>
      <w:r w:rsidR="00EC65CA">
        <w:rPr>
          <w:color w:val="auto"/>
        </w:rPr>
        <w:t>uncertain</w:t>
      </w:r>
      <w:r w:rsidR="00FB03D9">
        <w:rPr>
          <w:color w:val="auto"/>
        </w:rPr>
        <w:t>,</w:t>
      </w:r>
      <w:r w:rsidR="007477DE">
        <w:rPr>
          <w:color w:val="auto"/>
        </w:rPr>
        <w:t xml:space="preserve"> due to the </w:t>
      </w:r>
      <w:r w:rsidR="00A10BC8" w:rsidRPr="00A10BC8">
        <w:rPr>
          <w:color w:val="auto"/>
        </w:rPr>
        <w:t>study reporting data for a minimum of 6 months only</w:t>
      </w:r>
      <w:r w:rsidR="00B810FE">
        <w:rPr>
          <w:color w:val="auto"/>
        </w:rPr>
        <w:t xml:space="preserve">. </w:t>
      </w:r>
      <w:r w:rsidR="00357FA7" w:rsidRPr="00357FA7">
        <w:rPr>
          <w:color w:val="auto"/>
        </w:rPr>
        <w:t xml:space="preserve">The </w:t>
      </w:r>
      <w:r w:rsidR="00841F6B">
        <w:rPr>
          <w:color w:val="auto"/>
        </w:rPr>
        <w:t>resulting</w:t>
      </w:r>
      <w:r w:rsidR="00357FA7" w:rsidRPr="00357FA7">
        <w:rPr>
          <w:color w:val="auto"/>
        </w:rPr>
        <w:t xml:space="preserve"> ICERs are sensitive to this assumption, as </w:t>
      </w:r>
      <w:r w:rsidR="00841F6B" w:rsidRPr="00841F6B">
        <w:rPr>
          <w:color w:val="auto"/>
        </w:rPr>
        <w:t>detail</w:t>
      </w:r>
      <w:r w:rsidR="00841F6B" w:rsidRPr="00532F8A">
        <w:rPr>
          <w:color w:val="auto"/>
        </w:rPr>
        <w:t xml:space="preserve">ed </w:t>
      </w:r>
      <w:r w:rsidR="00357FA7" w:rsidRPr="00532F8A">
        <w:rPr>
          <w:color w:val="auto"/>
        </w:rPr>
        <w:t xml:space="preserve">in </w:t>
      </w:r>
      <w:r w:rsidR="00C41468" w:rsidRPr="00A57A5D">
        <w:rPr>
          <w:color w:val="auto"/>
        </w:rPr>
        <w:fldChar w:fldCharType="begin"/>
      </w:r>
      <w:r w:rsidR="00C41468" w:rsidRPr="00A57A5D">
        <w:rPr>
          <w:color w:val="auto"/>
        </w:rPr>
        <w:instrText xml:space="preserve"> REF _Ref187073379 \h </w:instrText>
      </w:r>
      <w:r w:rsidR="00C41468" w:rsidRPr="00A57A5D">
        <w:rPr>
          <w:color w:val="auto"/>
        </w:rPr>
      </w:r>
      <w:r w:rsidR="00C41468" w:rsidRPr="00A57A5D">
        <w:rPr>
          <w:color w:val="auto"/>
        </w:rPr>
        <w:fldChar w:fldCharType="separate"/>
      </w:r>
      <w:r w:rsidR="00D96B61" w:rsidRPr="00A57A5D">
        <w:rPr>
          <w:color w:val="auto"/>
        </w:rPr>
        <w:t>Table </w:t>
      </w:r>
      <w:r w:rsidR="00D96B61" w:rsidRPr="00A57A5D">
        <w:rPr>
          <w:noProof/>
          <w:color w:val="auto"/>
        </w:rPr>
        <w:t>12</w:t>
      </w:r>
      <w:r w:rsidR="00C41468" w:rsidRPr="00A57A5D">
        <w:rPr>
          <w:color w:val="auto"/>
        </w:rPr>
        <w:fldChar w:fldCharType="end"/>
      </w:r>
      <w:r w:rsidR="00F0030E" w:rsidRPr="00A57A5D">
        <w:rPr>
          <w:color w:val="auto"/>
        </w:rPr>
        <w:fldChar w:fldCharType="begin"/>
      </w:r>
      <w:r w:rsidR="00F0030E" w:rsidRPr="00A57A5D">
        <w:rPr>
          <w:color w:val="auto"/>
        </w:rPr>
        <w:fldChar w:fldCharType="separate"/>
      </w:r>
      <w:r w:rsidR="00552B8F" w:rsidRPr="00A57A5D">
        <w:rPr>
          <w:color w:val="auto"/>
        </w:rPr>
        <w:t>Table 12</w:t>
      </w:r>
      <w:r w:rsidR="00F0030E" w:rsidRPr="00A57A5D">
        <w:rPr>
          <w:color w:val="auto"/>
        </w:rPr>
        <w:fldChar w:fldCharType="end"/>
      </w:r>
      <w:r w:rsidR="00F0030E" w:rsidRPr="00A57A5D">
        <w:rPr>
          <w:color w:val="auto"/>
        </w:rPr>
        <w:t>.</w:t>
      </w:r>
    </w:p>
    <w:p w14:paraId="7317FD8E" w14:textId="000ABF20" w:rsidR="00375FD4" w:rsidRDefault="00105E8D" w:rsidP="00E76AE0">
      <w:pPr>
        <w:pStyle w:val="Instructionaltext"/>
        <w:rPr>
          <w:color w:val="auto"/>
        </w:rPr>
      </w:pPr>
      <w:r>
        <w:rPr>
          <w:color w:val="auto"/>
        </w:rPr>
        <w:t>The absence</w:t>
      </w:r>
      <w:r w:rsidR="007343DE" w:rsidRPr="007343DE">
        <w:rPr>
          <w:color w:val="auto"/>
        </w:rPr>
        <w:t xml:space="preserve"> of lead and pocket </w:t>
      </w:r>
      <w:r w:rsidR="00080810">
        <w:rPr>
          <w:color w:val="auto"/>
        </w:rPr>
        <w:t xml:space="preserve">was assumed </w:t>
      </w:r>
      <w:r w:rsidR="001E2895">
        <w:rPr>
          <w:color w:val="auto"/>
        </w:rPr>
        <w:t xml:space="preserve">by the ADAR </w:t>
      </w:r>
      <w:r w:rsidR="00080810">
        <w:rPr>
          <w:color w:val="auto"/>
        </w:rPr>
        <w:t xml:space="preserve">to </w:t>
      </w:r>
      <w:r w:rsidR="007343DE">
        <w:rPr>
          <w:color w:val="auto"/>
        </w:rPr>
        <w:t>improve</w:t>
      </w:r>
      <w:r w:rsidR="00080810">
        <w:rPr>
          <w:color w:val="auto"/>
        </w:rPr>
        <w:t xml:space="preserve"> </w:t>
      </w:r>
      <w:r w:rsidR="007343DE">
        <w:rPr>
          <w:color w:val="auto"/>
        </w:rPr>
        <w:t>the</w:t>
      </w:r>
      <w:r w:rsidR="00761ECA">
        <w:rPr>
          <w:color w:val="auto"/>
        </w:rPr>
        <w:t xml:space="preserve"> l</w:t>
      </w:r>
      <w:r w:rsidR="002051FC">
        <w:rPr>
          <w:color w:val="auto"/>
        </w:rPr>
        <w:t>ong-term</w:t>
      </w:r>
      <w:r w:rsidR="00375FD4" w:rsidRPr="00375FD4">
        <w:rPr>
          <w:color w:val="auto"/>
        </w:rPr>
        <w:t xml:space="preserve"> QoL </w:t>
      </w:r>
      <w:r w:rsidR="00080810">
        <w:rPr>
          <w:color w:val="auto"/>
        </w:rPr>
        <w:t xml:space="preserve">in </w:t>
      </w:r>
      <w:r w:rsidR="00710BFC">
        <w:rPr>
          <w:color w:val="auto"/>
        </w:rPr>
        <w:t xml:space="preserve">patients with </w:t>
      </w:r>
      <w:r w:rsidR="00080810">
        <w:rPr>
          <w:color w:val="auto"/>
        </w:rPr>
        <w:t>Micra AV</w:t>
      </w:r>
      <w:r w:rsidR="00A7402F">
        <w:rPr>
          <w:color w:val="auto"/>
        </w:rPr>
        <w:t xml:space="preserve">, although there is little evidence to </w:t>
      </w:r>
      <w:r w:rsidR="00FE2E4C">
        <w:rPr>
          <w:color w:val="auto"/>
        </w:rPr>
        <w:t>support</w:t>
      </w:r>
      <w:r w:rsidR="00E46C52">
        <w:rPr>
          <w:color w:val="auto"/>
        </w:rPr>
        <w:t xml:space="preserve"> this</w:t>
      </w:r>
      <w:r w:rsidR="00600348">
        <w:rPr>
          <w:color w:val="auto"/>
        </w:rPr>
        <w:t xml:space="preserve">. </w:t>
      </w:r>
      <w:r w:rsidR="00756CB2">
        <w:rPr>
          <w:color w:val="auto"/>
        </w:rPr>
        <w:t>This assumption</w:t>
      </w:r>
      <w:r w:rsidR="00817E86">
        <w:rPr>
          <w:color w:val="auto"/>
        </w:rPr>
        <w:t xml:space="preserve"> has </w:t>
      </w:r>
      <w:r w:rsidR="004C5765">
        <w:rPr>
          <w:color w:val="auto"/>
        </w:rPr>
        <w:t xml:space="preserve">been shown to </w:t>
      </w:r>
      <w:r w:rsidR="00367E84">
        <w:rPr>
          <w:color w:val="auto"/>
        </w:rPr>
        <w:t xml:space="preserve">have a key impact on the overall </w:t>
      </w:r>
      <w:r w:rsidR="008C4D4E">
        <w:rPr>
          <w:color w:val="auto"/>
        </w:rPr>
        <w:t>results</w:t>
      </w:r>
      <w:r w:rsidR="007A6C2E">
        <w:rPr>
          <w:color w:val="auto"/>
        </w:rPr>
        <w:t xml:space="preserve">, accounting for </w:t>
      </w:r>
      <w:r w:rsidR="008F7BA6">
        <w:rPr>
          <w:color w:val="auto"/>
        </w:rPr>
        <w:t>46</w:t>
      </w:r>
      <w:r w:rsidR="007A6C2E">
        <w:rPr>
          <w:color w:val="auto"/>
        </w:rPr>
        <w:t>% of the total QALY benefits</w:t>
      </w:r>
      <w:r w:rsidR="008C4D4E">
        <w:rPr>
          <w:color w:val="auto"/>
        </w:rPr>
        <w:t>.</w:t>
      </w:r>
    </w:p>
    <w:p w14:paraId="1055D696" w14:textId="39524CD4" w:rsidR="00AE4A6F" w:rsidRPr="00CE28E3" w:rsidRDefault="00AE4A6F" w:rsidP="00AE4A6F">
      <w:pPr>
        <w:pStyle w:val="Caption"/>
      </w:pPr>
      <w:bookmarkStart w:id="52" w:name="_Ref187075320"/>
      <w:bookmarkStart w:id="53" w:name="_Ref69726321"/>
      <w:r w:rsidRPr="001C3536">
        <w:t>Table</w:t>
      </w:r>
      <w:r w:rsidR="007D77F7">
        <w:t xml:space="preserve"> </w:t>
      </w:r>
      <w:r w:rsidR="00F71EE2">
        <w:fldChar w:fldCharType="begin"/>
      </w:r>
      <w:r w:rsidR="00F71EE2">
        <w:instrText xml:space="preserve"> SEQ Table \* ARABIC </w:instrText>
      </w:r>
      <w:r w:rsidR="00F71EE2">
        <w:fldChar w:fldCharType="separate"/>
      </w:r>
      <w:r w:rsidR="00F71EE2">
        <w:rPr>
          <w:noProof/>
        </w:rPr>
        <w:t>15</w:t>
      </w:r>
      <w:r w:rsidR="00F71EE2">
        <w:rPr>
          <w:noProof/>
        </w:rPr>
        <w:fldChar w:fldCharType="end"/>
      </w:r>
      <w:bookmarkEnd w:id="52"/>
      <w:bookmarkEnd w:id="53"/>
      <w:r w:rsidR="00F71EE2">
        <w:t xml:space="preserve"> </w:t>
      </w:r>
      <w:r w:rsidR="00F71EE2" w:rsidRPr="001C3536">
        <w:t>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5103"/>
        <w:gridCol w:w="2784"/>
      </w:tblGrid>
      <w:tr w:rsidR="00AE4A6F" w:rsidRPr="00CE28E3" w14:paraId="42618316" w14:textId="77777777" w:rsidTr="00175AB0">
        <w:trPr>
          <w:tblHeader/>
        </w:trPr>
        <w:tc>
          <w:tcPr>
            <w:tcW w:w="626" w:type="pct"/>
          </w:tcPr>
          <w:p w14:paraId="4815E84C" w14:textId="77777777" w:rsidR="00AE4A6F" w:rsidRPr="00CE28E3" w:rsidRDefault="00AE4A6F" w:rsidP="00175AB0">
            <w:pPr>
              <w:pStyle w:val="In-tableHeading"/>
            </w:pPr>
            <w:bookmarkStart w:id="54" w:name="Title_Table10" w:colFirst="0" w:colLast="0"/>
            <w:bookmarkStart w:id="55" w:name="_Hlk68276626"/>
            <w:r w:rsidRPr="00CE28E3">
              <w:t>Description</w:t>
            </w:r>
          </w:p>
        </w:tc>
        <w:tc>
          <w:tcPr>
            <w:tcW w:w="2830" w:type="pct"/>
          </w:tcPr>
          <w:p w14:paraId="0B7D811B" w14:textId="5E3126A0" w:rsidR="00AE4A6F" w:rsidRPr="00CE28E3" w:rsidRDefault="00AE4A6F" w:rsidP="00175AB0">
            <w:pPr>
              <w:pStyle w:val="In-tableHeading"/>
            </w:pPr>
            <w:r w:rsidRPr="00CE28E3">
              <w:t>Method/</w:t>
            </w:r>
            <w:r w:rsidR="00FE2AC2">
              <w:t>v</w:t>
            </w:r>
            <w:r w:rsidRPr="00CE28E3">
              <w:t>alue</w:t>
            </w:r>
          </w:p>
        </w:tc>
        <w:tc>
          <w:tcPr>
            <w:tcW w:w="1544" w:type="pct"/>
          </w:tcPr>
          <w:p w14:paraId="68CEA5F3" w14:textId="77777777" w:rsidR="00AE4A6F" w:rsidRPr="00CE28E3" w:rsidRDefault="00AE4A6F" w:rsidP="00175AB0">
            <w:pPr>
              <w:pStyle w:val="In-tableHeading"/>
            </w:pPr>
            <w:r w:rsidRPr="00CE28E3">
              <w:t>Impact</w:t>
            </w:r>
          </w:p>
          <w:p w14:paraId="5AC13D82" w14:textId="1BAC98BA" w:rsidR="00AE4A6F" w:rsidRPr="00CE28E3" w:rsidRDefault="00AE4A6F" w:rsidP="00FE2AC2">
            <w:pPr>
              <w:pStyle w:val="In-tableHeading"/>
              <w:spacing w:after="160"/>
            </w:pPr>
            <w:r w:rsidRPr="00CE28E3">
              <w:rPr>
                <w:rFonts w:cs="Arial"/>
                <w:szCs w:val="20"/>
              </w:rPr>
              <w:t>Base case</w:t>
            </w:r>
            <w:r>
              <w:rPr>
                <w:rFonts w:cs="Arial"/>
                <w:szCs w:val="20"/>
              </w:rPr>
              <w:t xml:space="preserve"> ICER</w:t>
            </w:r>
            <w:r w:rsidRPr="00CE28E3">
              <w:rPr>
                <w:rFonts w:cs="Arial"/>
                <w:szCs w:val="20"/>
              </w:rPr>
              <w:t xml:space="preserve">: </w:t>
            </w:r>
            <w:r w:rsidR="00F12CFC">
              <w:rPr>
                <w:rFonts w:cs="Arial"/>
                <w:szCs w:val="20"/>
              </w:rPr>
              <w:t>$</w:t>
            </w:r>
            <w:r w:rsidR="00F12CFC" w:rsidRPr="005F0E3E">
              <w:rPr>
                <w:rFonts w:cs="Arial"/>
                <w:szCs w:val="20"/>
              </w:rPr>
              <w:t>redacted</w:t>
            </w:r>
            <w:r w:rsidRPr="00CE28E3">
              <w:rPr>
                <w:rFonts w:cs="Arial"/>
                <w:szCs w:val="20"/>
              </w:rPr>
              <w:t>/QALY gained</w:t>
            </w:r>
          </w:p>
        </w:tc>
      </w:tr>
      <w:bookmarkEnd w:id="54"/>
      <w:tr w:rsidR="00AE4A6F" w:rsidRPr="00CE28E3" w14:paraId="5D83A979" w14:textId="77777777" w:rsidTr="00175AB0">
        <w:tc>
          <w:tcPr>
            <w:tcW w:w="626" w:type="pct"/>
          </w:tcPr>
          <w:p w14:paraId="31EEBB2F" w14:textId="77777777" w:rsidR="00AE4A6F" w:rsidRPr="001A4803" w:rsidRDefault="00AE4A6F">
            <w:pPr>
              <w:pStyle w:val="TableText"/>
              <w:jc w:val="center"/>
              <w:rPr>
                <w:lang w:val="en-US"/>
              </w:rPr>
            </w:pPr>
            <w:r w:rsidRPr="001A4803">
              <w:rPr>
                <w:lang w:val="en-US"/>
              </w:rPr>
              <w:t>Extrapolation</w:t>
            </w:r>
          </w:p>
        </w:tc>
        <w:tc>
          <w:tcPr>
            <w:tcW w:w="2830" w:type="pct"/>
          </w:tcPr>
          <w:p w14:paraId="2E8FCBE6" w14:textId="0D9C6A2C" w:rsidR="00AE4A6F" w:rsidRPr="001A4803" w:rsidRDefault="00E0174E">
            <w:pPr>
              <w:pStyle w:val="TableText"/>
              <w:rPr>
                <w:rFonts w:eastAsiaTheme="minorEastAsia"/>
                <w:lang w:val="en-US" w:eastAsia="zh-CN"/>
              </w:rPr>
            </w:pPr>
            <w:r>
              <w:rPr>
                <w:lang w:val="en-US"/>
              </w:rPr>
              <w:t>R</w:t>
            </w:r>
            <w:r w:rsidR="00DC4FEF" w:rsidRPr="00DC4FEF">
              <w:rPr>
                <w:lang w:val="en-US"/>
              </w:rPr>
              <w:t>e-estimat</w:t>
            </w:r>
            <w:r>
              <w:rPr>
                <w:lang w:val="en-US"/>
              </w:rPr>
              <w:t>ion of</w:t>
            </w:r>
            <w:r w:rsidR="00DC4FEF" w:rsidRPr="00DC4FEF">
              <w:rPr>
                <w:lang w:val="en-US"/>
              </w:rPr>
              <w:t xml:space="preserve"> costs and outcomes </w:t>
            </w:r>
            <w:r w:rsidR="00AE4A6F" w:rsidRPr="001A4803">
              <w:rPr>
                <w:lang w:val="en-US"/>
              </w:rPr>
              <w:t>continued beyond 2</w:t>
            </w:r>
            <w:r w:rsidR="00217C21">
              <w:rPr>
                <w:lang w:val="en-US"/>
              </w:rPr>
              <w:t xml:space="preserve"> </w:t>
            </w:r>
            <w:r w:rsidR="00AE4A6F" w:rsidRPr="001A4803">
              <w:rPr>
                <w:lang w:val="en-US"/>
              </w:rPr>
              <w:t>year</w:t>
            </w:r>
            <w:r w:rsidR="00217C21">
              <w:rPr>
                <w:lang w:val="en-US"/>
              </w:rPr>
              <w:t>s</w:t>
            </w:r>
            <w:r w:rsidR="00AE4A6F" w:rsidRPr="001A4803">
              <w:rPr>
                <w:lang w:val="en-US"/>
              </w:rPr>
              <w:t xml:space="preserve"> for up to 16 years, the expected battery life of the Micra AV LPM predicted by supportive evidence.</w:t>
            </w:r>
            <w:r w:rsidR="00E752BD">
              <w:rPr>
                <w:lang w:val="en-US"/>
              </w:rPr>
              <w:t xml:space="preserve"> </w:t>
            </w:r>
            <w:r w:rsidR="00AE4A6F" w:rsidRPr="001A4803">
              <w:rPr>
                <w:lang w:val="en-US"/>
              </w:rPr>
              <w:t>There are uncertainties around this extrapolation, as the expected median battery life of 15.6 years</w:t>
            </w:r>
            <w:r w:rsidR="00AE4A6F">
              <w:t xml:space="preserve"> </w:t>
            </w:r>
            <w:r w:rsidR="004460F4" w:rsidRPr="004460F4">
              <w:rPr>
                <w:lang w:val="en-US"/>
              </w:rPr>
              <w:t>of the Micra AV LPM</w:t>
            </w:r>
            <w:r w:rsidR="00AE4A6F" w:rsidRPr="001A4803">
              <w:rPr>
                <w:lang w:val="en-US"/>
              </w:rPr>
              <w:t xml:space="preserve"> was predicted using virtual patient simulations, rather than real-world observational data. These simulations were based on real-world pacing parameters derived from a deidentified </w:t>
            </w:r>
            <w:proofErr w:type="spellStart"/>
            <w:r w:rsidR="00AE4A6F" w:rsidRPr="001A4803">
              <w:rPr>
                <w:lang w:val="en-US"/>
              </w:rPr>
              <w:t>CareLink</w:t>
            </w:r>
            <w:proofErr w:type="spellEnd"/>
            <w:r w:rsidR="00AE4A6F" w:rsidRPr="001A4803">
              <w:rPr>
                <w:lang w:val="en-US"/>
              </w:rPr>
              <w:t xml:space="preserve"> analysis of 999 </w:t>
            </w:r>
            <w:r w:rsidR="00AE4A6F" w:rsidRPr="00E50838">
              <w:rPr>
                <w:lang w:val="en-US"/>
              </w:rPr>
              <w:t>Micra AV patients.</w:t>
            </w:r>
            <w:r w:rsidR="006A7EAF" w:rsidRPr="00E50838">
              <w:rPr>
                <w:rStyle w:val="FootnoteReference"/>
                <w:lang w:val="en-US"/>
              </w:rPr>
              <w:footnoteReference w:id="19"/>
            </w:r>
            <w:r w:rsidR="00AE4A6F" w:rsidRPr="00E50838">
              <w:rPr>
                <w:lang w:val="en-US"/>
              </w:rPr>
              <w:t xml:space="preserve"> The minimum</w:t>
            </w:r>
            <w:r w:rsidR="00AE4A6F" w:rsidRPr="001A4803">
              <w:rPr>
                <w:lang w:val="en-US"/>
              </w:rPr>
              <w:t xml:space="preserve"> device implantation time was 6 months.</w:t>
            </w:r>
            <w:r w:rsidR="003070E4">
              <w:rPr>
                <w:lang w:val="en-US"/>
              </w:rPr>
              <w:t xml:space="preserve"> </w:t>
            </w:r>
            <w:r w:rsidR="00467C71" w:rsidRPr="00467C71">
              <w:rPr>
                <w:lang w:val="en-US"/>
              </w:rPr>
              <w:t>It is also noted that the TVPM appears to have a shorter expected battery life (</w:t>
            </w:r>
            <w:r w:rsidR="00E570CE">
              <w:rPr>
                <w:lang w:val="en-US"/>
              </w:rPr>
              <w:t>approximately 10</w:t>
            </w:r>
            <w:r w:rsidR="000C305E">
              <w:rPr>
                <w:lang w:val="en-US"/>
              </w:rPr>
              <w:t>–</w:t>
            </w:r>
            <w:r w:rsidR="001D2C69">
              <w:rPr>
                <w:lang w:val="en-US"/>
              </w:rPr>
              <w:t>12</w:t>
            </w:r>
            <w:r w:rsidR="00467C71" w:rsidRPr="00467C71">
              <w:rPr>
                <w:lang w:val="en-US"/>
              </w:rPr>
              <w:t xml:space="preserve"> years)</w:t>
            </w:r>
            <w:r w:rsidR="003D56D9">
              <w:rPr>
                <w:rStyle w:val="FootnoteReference"/>
                <w:lang w:val="en-US"/>
              </w:rPr>
              <w:footnoteReference w:id="20"/>
            </w:r>
            <w:r w:rsidR="00D203AD">
              <w:rPr>
                <w:lang w:val="en-US"/>
              </w:rPr>
              <w:t xml:space="preserve"> </w:t>
            </w:r>
            <w:r w:rsidR="00785E58">
              <w:rPr>
                <w:rStyle w:val="FootnoteReference"/>
                <w:lang w:val="en-US"/>
              </w:rPr>
              <w:footnoteReference w:id="21"/>
            </w:r>
            <w:r w:rsidR="00467C71" w:rsidRPr="00467C71">
              <w:rPr>
                <w:lang w:val="en-US"/>
              </w:rPr>
              <w:t xml:space="preserve"> compared to the LPM. As a result, patients implanted with the TVPM may require</w:t>
            </w:r>
            <w:r w:rsidR="00EE4E27">
              <w:rPr>
                <w:lang w:val="en-US"/>
              </w:rPr>
              <w:t xml:space="preserve"> a</w:t>
            </w:r>
            <w:r w:rsidR="00467C71" w:rsidRPr="00467C71">
              <w:rPr>
                <w:lang w:val="en-US"/>
              </w:rPr>
              <w:t xml:space="preserve"> device replacement </w:t>
            </w:r>
            <w:r w:rsidR="00D634E8" w:rsidRPr="00D634E8">
              <w:rPr>
                <w:lang w:val="en-US"/>
              </w:rPr>
              <w:t xml:space="preserve">due to battery failure </w:t>
            </w:r>
            <w:r w:rsidR="00467C71" w:rsidRPr="00467C71">
              <w:rPr>
                <w:lang w:val="en-US"/>
              </w:rPr>
              <w:t xml:space="preserve">within the 16-year time horizon, potentially leading to additional </w:t>
            </w:r>
            <w:r w:rsidR="00AF5EC8">
              <w:rPr>
                <w:lang w:val="en-US"/>
              </w:rPr>
              <w:t xml:space="preserve">impact on </w:t>
            </w:r>
            <w:r w:rsidR="00467C71" w:rsidRPr="00467C71">
              <w:rPr>
                <w:lang w:val="en-US"/>
              </w:rPr>
              <w:t>costs</w:t>
            </w:r>
            <w:r w:rsidR="00AF5EC8">
              <w:rPr>
                <w:lang w:val="en-US"/>
              </w:rPr>
              <w:t xml:space="preserve"> and QALYs</w:t>
            </w:r>
            <w:r w:rsidR="00467C71" w:rsidRPr="00467C71">
              <w:rPr>
                <w:lang w:val="en-US"/>
              </w:rPr>
              <w:t>.</w:t>
            </w:r>
          </w:p>
        </w:tc>
        <w:tc>
          <w:tcPr>
            <w:tcW w:w="1544" w:type="pct"/>
          </w:tcPr>
          <w:p w14:paraId="5D8DF784" w14:textId="77777777" w:rsidR="00AE4A6F" w:rsidRPr="001A4803" w:rsidRDefault="00AE4A6F">
            <w:pPr>
              <w:pStyle w:val="TableText"/>
            </w:pPr>
            <w:r w:rsidRPr="001A4803">
              <w:rPr>
                <w:lang w:val="en-US"/>
              </w:rPr>
              <w:t xml:space="preserve">High, </w:t>
            </w:r>
            <w:bookmarkStart w:id="56" w:name="OLE_LINK2"/>
            <w:proofErr w:type="spellStart"/>
            <w:r w:rsidRPr="001A4803">
              <w:rPr>
                <w:lang w:val="en-US"/>
              </w:rPr>
              <w:t>favours</w:t>
            </w:r>
            <w:proofErr w:type="spellEnd"/>
            <w:r w:rsidRPr="001A4803">
              <w:rPr>
                <w:lang w:val="en-US"/>
              </w:rPr>
              <w:t xml:space="preserve"> </w:t>
            </w:r>
            <w:bookmarkEnd w:id="56"/>
            <w:r w:rsidRPr="001A4803">
              <w:rPr>
                <w:lang w:val="en-US"/>
              </w:rPr>
              <w:t>Micra AV</w:t>
            </w:r>
          </w:p>
          <w:p w14:paraId="2A5D6F4D" w14:textId="38BF5519" w:rsidR="00AE4A6F" w:rsidRPr="001A4803" w:rsidRDefault="00AE4A6F">
            <w:pPr>
              <w:pStyle w:val="TableText"/>
              <w:spacing w:after="160"/>
              <w:rPr>
                <w:lang w:val="en-US"/>
              </w:rPr>
            </w:pPr>
            <w:r w:rsidRPr="001A4803">
              <w:rPr>
                <w:lang w:val="en-US"/>
              </w:rPr>
              <w:t xml:space="preserve">Use of a stepped approach decreased the ICER from </w:t>
            </w:r>
            <w:r w:rsidR="00F6799B">
              <w:rPr>
                <w:lang w:val="en-US"/>
              </w:rPr>
              <w:t>$</w:t>
            </w:r>
            <w:r w:rsidR="00F6799B">
              <w:rPr>
                <w:b/>
                <w:bCs/>
                <w:lang w:val="en-US"/>
              </w:rPr>
              <w:t>redacted</w:t>
            </w:r>
            <w:r w:rsidRPr="001A4803">
              <w:rPr>
                <w:lang w:val="en-US"/>
              </w:rPr>
              <w:t xml:space="preserve">/QALY gained for 2-year horizon to </w:t>
            </w:r>
            <w:r w:rsidR="005038B4">
              <w:rPr>
                <w:lang w:val="en-US"/>
              </w:rPr>
              <w:t>$</w:t>
            </w:r>
            <w:r w:rsidR="005038B4">
              <w:rPr>
                <w:b/>
                <w:bCs/>
                <w:lang w:val="en-US"/>
              </w:rPr>
              <w:t>redacted</w:t>
            </w:r>
            <w:r w:rsidR="005038B4" w:rsidRPr="001A4803" w:rsidDel="005038B4">
              <w:rPr>
                <w:lang w:val="en-US"/>
              </w:rPr>
              <w:t xml:space="preserve"> </w:t>
            </w:r>
            <w:r w:rsidRPr="001A4803">
              <w:rPr>
                <w:lang w:val="en-US"/>
              </w:rPr>
              <w:t xml:space="preserve">/QALY gained for 16-year horizon (base case). A significant amount of QALYs gained (0.0390/0.0863, 45.2%) occurred in the first </w:t>
            </w:r>
            <w:r w:rsidR="0084628F">
              <w:rPr>
                <w:lang w:val="en-US"/>
              </w:rPr>
              <w:t>2</w:t>
            </w:r>
            <w:r w:rsidR="0084628F" w:rsidRPr="001A4803">
              <w:rPr>
                <w:lang w:val="en-US"/>
              </w:rPr>
              <w:t xml:space="preserve"> </w:t>
            </w:r>
            <w:r w:rsidRPr="001A4803">
              <w:rPr>
                <w:lang w:val="en-US"/>
              </w:rPr>
              <w:t>years.</w:t>
            </w:r>
          </w:p>
        </w:tc>
      </w:tr>
      <w:tr w:rsidR="00AE4A6F" w:rsidRPr="00CE28E3" w14:paraId="77DB4710" w14:textId="77777777" w:rsidTr="00175AB0">
        <w:tc>
          <w:tcPr>
            <w:tcW w:w="626" w:type="pct"/>
          </w:tcPr>
          <w:p w14:paraId="487105A6" w14:textId="08F4C71E" w:rsidR="00AE4A6F" w:rsidRPr="004B04E4" w:rsidRDefault="00AE4A6F" w:rsidP="005D140A">
            <w:pPr>
              <w:pStyle w:val="TableText"/>
              <w:rPr>
                <w:highlight w:val="yellow"/>
                <w:lang w:val="en-US"/>
              </w:rPr>
            </w:pPr>
            <w:r w:rsidRPr="00995562">
              <w:rPr>
                <w:lang w:val="en-US"/>
              </w:rPr>
              <w:t>Ongoing QoL impact due to TV</w:t>
            </w:r>
            <w:r w:rsidR="00757D73" w:rsidRPr="00995562">
              <w:rPr>
                <w:lang w:val="en-US"/>
              </w:rPr>
              <w:t>PM</w:t>
            </w:r>
          </w:p>
        </w:tc>
        <w:tc>
          <w:tcPr>
            <w:tcW w:w="2830" w:type="pct"/>
          </w:tcPr>
          <w:p w14:paraId="32F28992" w14:textId="0E61FBE3" w:rsidR="00AE4A6F" w:rsidRPr="001A4803" w:rsidRDefault="00AE4A6F">
            <w:pPr>
              <w:pStyle w:val="TableText"/>
              <w:rPr>
                <w:lang w:val="en-US"/>
              </w:rPr>
            </w:pPr>
            <w:r w:rsidRPr="001A4803">
              <w:rPr>
                <w:lang w:val="en-US"/>
              </w:rPr>
              <w:t xml:space="preserve">The long-term impact on QoL </w:t>
            </w:r>
            <w:proofErr w:type="gramStart"/>
            <w:r w:rsidRPr="001A4803">
              <w:rPr>
                <w:lang w:val="en-US"/>
              </w:rPr>
              <w:t>mainly</w:t>
            </w:r>
            <w:proofErr w:type="gramEnd"/>
            <w:r w:rsidRPr="001A4803">
              <w:rPr>
                <w:lang w:val="en-US"/>
              </w:rPr>
              <w:t xml:space="preserve"> due to the absence of lead and pocket, but there is no clear evidence to support it. The same disutility value from </w:t>
            </w:r>
            <w:proofErr w:type="gramStart"/>
            <w:r w:rsidRPr="001A4803">
              <w:rPr>
                <w:lang w:val="en-US"/>
              </w:rPr>
              <w:t>the March</w:t>
            </w:r>
            <w:proofErr w:type="gramEnd"/>
            <w:r w:rsidRPr="001A4803">
              <w:rPr>
                <w:lang w:val="en-US"/>
              </w:rPr>
              <w:t xml:space="preserve"> 2022 CUA model was applied to this model </w:t>
            </w:r>
            <w:proofErr w:type="gramStart"/>
            <w:r w:rsidRPr="001A4803">
              <w:rPr>
                <w:lang w:val="en-US"/>
              </w:rPr>
              <w:t>and also</w:t>
            </w:r>
            <w:proofErr w:type="gramEnd"/>
            <w:r w:rsidRPr="001A4803">
              <w:rPr>
                <w:lang w:val="en-US"/>
              </w:rPr>
              <w:t xml:space="preserve"> applied to DC-TVPM only, equivalent to a patient experiencing approximately one month of post-procedural QoL decrement (0.0608 ÷ 12). </w:t>
            </w:r>
            <w:r w:rsidR="00F25A0E">
              <w:rPr>
                <w:lang w:val="en-US"/>
              </w:rPr>
              <w:t>C</w:t>
            </w:r>
            <w:r w:rsidR="00C522CF" w:rsidRPr="001A4803">
              <w:rPr>
                <w:lang w:val="en-US"/>
              </w:rPr>
              <w:t>ompared with TVPM</w:t>
            </w:r>
            <w:r w:rsidR="00F25A0E">
              <w:rPr>
                <w:lang w:val="en-US"/>
              </w:rPr>
              <w:t>,</w:t>
            </w:r>
            <w:r w:rsidR="00C522CF" w:rsidRPr="001A4803">
              <w:rPr>
                <w:lang w:val="en-US"/>
              </w:rPr>
              <w:t xml:space="preserve"> </w:t>
            </w:r>
            <w:r w:rsidR="00F25A0E">
              <w:rPr>
                <w:lang w:val="en-US"/>
              </w:rPr>
              <w:t>t</w:t>
            </w:r>
            <w:r w:rsidRPr="001A4803">
              <w:rPr>
                <w:lang w:val="en-US"/>
              </w:rPr>
              <w:t xml:space="preserve">o what degree the AV </w:t>
            </w:r>
            <w:r w:rsidR="00F25A0E">
              <w:rPr>
                <w:lang w:val="en-US"/>
              </w:rPr>
              <w:t>improving</w:t>
            </w:r>
            <w:r w:rsidRPr="001A4803">
              <w:rPr>
                <w:lang w:val="en-US"/>
              </w:rPr>
              <w:t xml:space="preserve"> QoL </w:t>
            </w:r>
            <w:r w:rsidR="00785C9C" w:rsidRPr="00785C9C">
              <w:rPr>
                <w:lang w:val="en-US"/>
              </w:rPr>
              <w:t xml:space="preserve">remains </w:t>
            </w:r>
            <w:r w:rsidRPr="001A4803">
              <w:rPr>
                <w:lang w:val="en-US"/>
              </w:rPr>
              <w:t>unclear.</w:t>
            </w:r>
          </w:p>
        </w:tc>
        <w:tc>
          <w:tcPr>
            <w:tcW w:w="1544" w:type="pct"/>
          </w:tcPr>
          <w:p w14:paraId="1D947ED5" w14:textId="77777777" w:rsidR="00AE4A6F" w:rsidRPr="001A4803" w:rsidRDefault="00AE4A6F">
            <w:pPr>
              <w:pStyle w:val="TableText"/>
            </w:pPr>
            <w:r w:rsidRPr="001A4803">
              <w:rPr>
                <w:lang w:val="en-US"/>
              </w:rPr>
              <w:t>High, the direction is unclear</w:t>
            </w:r>
          </w:p>
          <w:p w14:paraId="64D26E38" w14:textId="4E394E3B" w:rsidR="00AE4A6F" w:rsidRPr="001A4803" w:rsidRDefault="00AE4A6F">
            <w:pPr>
              <w:pStyle w:val="TableText"/>
              <w:rPr>
                <w:lang w:val="en-US"/>
              </w:rPr>
            </w:pPr>
            <w:bookmarkStart w:id="57" w:name="OLE_LINK1"/>
            <w:r w:rsidRPr="001A4803">
              <w:rPr>
                <w:lang w:val="en-US"/>
              </w:rPr>
              <w:t xml:space="preserve">If limiting the ongoing impact of DC-TVPM to </w:t>
            </w:r>
            <w:r w:rsidR="001B3985">
              <w:rPr>
                <w:lang w:val="en-US"/>
              </w:rPr>
              <w:t>2</w:t>
            </w:r>
            <w:r w:rsidR="001B3985" w:rsidRPr="001A4803">
              <w:rPr>
                <w:lang w:val="en-US"/>
              </w:rPr>
              <w:t xml:space="preserve"> </w:t>
            </w:r>
            <w:r w:rsidRPr="001A4803">
              <w:rPr>
                <w:lang w:val="en-US"/>
              </w:rPr>
              <w:t xml:space="preserve">years, the ICER could reach as high as </w:t>
            </w:r>
            <w:r w:rsidR="00F7659C">
              <w:rPr>
                <w:lang w:val="en-US"/>
              </w:rPr>
              <w:t>$</w:t>
            </w:r>
            <w:r w:rsidR="00F7659C">
              <w:rPr>
                <w:b/>
                <w:bCs/>
                <w:lang w:val="en-US"/>
              </w:rPr>
              <w:t>redacted</w:t>
            </w:r>
            <w:r w:rsidRPr="001A4803">
              <w:rPr>
                <w:lang w:val="en-US"/>
              </w:rPr>
              <w:t>/QALY gained; while double the disutility for DC-TVPM result</w:t>
            </w:r>
            <w:r>
              <w:rPr>
                <w:lang w:val="en-US"/>
              </w:rPr>
              <w:t>ed</w:t>
            </w:r>
            <w:r w:rsidRPr="001A4803">
              <w:rPr>
                <w:lang w:val="en-US"/>
              </w:rPr>
              <w:t xml:space="preserve"> in the ICER decreasing to </w:t>
            </w:r>
            <w:r w:rsidR="00F7659C">
              <w:rPr>
                <w:lang w:val="en-US"/>
              </w:rPr>
              <w:t>$</w:t>
            </w:r>
            <w:r w:rsidR="00F7659C">
              <w:rPr>
                <w:b/>
                <w:bCs/>
                <w:lang w:val="en-US"/>
              </w:rPr>
              <w:t>redacted</w:t>
            </w:r>
            <w:r w:rsidRPr="001A4803">
              <w:rPr>
                <w:lang w:val="en-US"/>
              </w:rPr>
              <w:t>/QALY gained.</w:t>
            </w:r>
            <w:bookmarkEnd w:id="57"/>
          </w:p>
        </w:tc>
      </w:tr>
      <w:tr w:rsidR="00AE4A6F" w:rsidRPr="00CE28E3" w14:paraId="7FD24557" w14:textId="77777777" w:rsidTr="00175AB0">
        <w:trPr>
          <w:trHeight w:val="1503"/>
        </w:trPr>
        <w:tc>
          <w:tcPr>
            <w:tcW w:w="626" w:type="pct"/>
          </w:tcPr>
          <w:p w14:paraId="32422028" w14:textId="0263B588" w:rsidR="00AE4A6F" w:rsidRPr="004B04E4" w:rsidRDefault="00AE4A6F">
            <w:pPr>
              <w:pStyle w:val="TableText"/>
              <w:rPr>
                <w:highlight w:val="yellow"/>
                <w:lang w:val="en-US"/>
              </w:rPr>
            </w:pPr>
            <w:r w:rsidRPr="00995562">
              <w:rPr>
                <w:lang w:val="en-US"/>
              </w:rPr>
              <w:t xml:space="preserve">Post-procedural disutility </w:t>
            </w:r>
          </w:p>
        </w:tc>
        <w:tc>
          <w:tcPr>
            <w:tcW w:w="2830" w:type="pct"/>
          </w:tcPr>
          <w:p w14:paraId="2DD87560" w14:textId="6727626F" w:rsidR="00AE4A6F" w:rsidRPr="001A4803" w:rsidRDefault="00AE4A6F">
            <w:pPr>
              <w:pStyle w:val="TableText"/>
              <w:rPr>
                <w:lang w:val="en-US"/>
              </w:rPr>
            </w:pPr>
            <w:r w:rsidRPr="001A4803">
              <w:rPr>
                <w:rFonts w:hint="eastAsia"/>
                <w:lang w:val="en-US"/>
              </w:rPr>
              <w:t>The -0.0304 disutility was derived from Palmisano (2021). The submission selected this study over Cabanas</w:t>
            </w:r>
            <w:r w:rsidR="004339CD">
              <w:rPr>
                <w:lang w:val="en-US"/>
              </w:rPr>
              <w:noBreakHyphen/>
            </w:r>
            <w:proofErr w:type="spellStart"/>
            <w:r w:rsidRPr="001A4803">
              <w:rPr>
                <w:rFonts w:hint="eastAsia"/>
                <w:lang w:val="en-US"/>
              </w:rPr>
              <w:t>Grandío</w:t>
            </w:r>
            <w:proofErr w:type="spellEnd"/>
            <w:r w:rsidRPr="001A4803">
              <w:rPr>
                <w:rFonts w:hint="eastAsia"/>
                <w:lang w:val="en-US"/>
              </w:rPr>
              <w:t xml:space="preserve"> (2019) to derive the estimated disutility for TVPM because it used propensity score matching.</w:t>
            </w:r>
          </w:p>
        </w:tc>
        <w:tc>
          <w:tcPr>
            <w:tcW w:w="1544" w:type="pct"/>
          </w:tcPr>
          <w:p w14:paraId="641BAB5B" w14:textId="77777777" w:rsidR="00AE4A6F" w:rsidRPr="001A4803" w:rsidRDefault="00AE4A6F">
            <w:pPr>
              <w:pStyle w:val="TableText"/>
              <w:rPr>
                <w:lang w:val="en-US"/>
              </w:rPr>
            </w:pPr>
            <w:r w:rsidRPr="001A4803">
              <w:rPr>
                <w:lang w:val="en-US"/>
              </w:rPr>
              <w:t>High, the direction is unclear</w:t>
            </w:r>
          </w:p>
          <w:p w14:paraId="1489A6D7" w14:textId="508946EE" w:rsidR="00AE4A6F" w:rsidRPr="001A4803" w:rsidRDefault="0005448F">
            <w:pPr>
              <w:pStyle w:val="TableText"/>
              <w:rPr>
                <w:lang w:val="en-US"/>
              </w:rPr>
            </w:pPr>
            <w:r w:rsidRPr="0005448F">
              <w:rPr>
                <w:lang w:val="en-US"/>
              </w:rPr>
              <w:t xml:space="preserve">Doubling the disutility </w:t>
            </w:r>
            <w:r w:rsidR="00611FD8">
              <w:rPr>
                <w:lang w:val="en-US"/>
              </w:rPr>
              <w:t xml:space="preserve">value </w:t>
            </w:r>
            <w:r w:rsidRPr="0005448F">
              <w:rPr>
                <w:lang w:val="en-US"/>
              </w:rPr>
              <w:t>for DC-TVPM reduce</w:t>
            </w:r>
            <w:r w:rsidR="00611FD8">
              <w:rPr>
                <w:lang w:val="en-US"/>
              </w:rPr>
              <w:t>d</w:t>
            </w:r>
            <w:r w:rsidRPr="0005448F">
              <w:rPr>
                <w:lang w:val="en-US"/>
              </w:rPr>
              <w:t xml:space="preserve"> the ICER to </w:t>
            </w:r>
            <w:r w:rsidR="004F0C8C">
              <w:rPr>
                <w:lang w:val="en-US"/>
              </w:rPr>
              <w:t>$</w:t>
            </w:r>
            <w:r w:rsidR="004F0C8C">
              <w:rPr>
                <w:b/>
                <w:bCs/>
                <w:lang w:val="en-US"/>
              </w:rPr>
              <w:t>redacted</w:t>
            </w:r>
            <w:r w:rsidRPr="0005448F">
              <w:rPr>
                <w:lang w:val="en-US"/>
              </w:rPr>
              <w:t>/QALY gained, while removing it entirely increase</w:t>
            </w:r>
            <w:r w:rsidR="00791448">
              <w:rPr>
                <w:lang w:val="en-US"/>
              </w:rPr>
              <w:t>d</w:t>
            </w:r>
            <w:r w:rsidRPr="0005448F">
              <w:rPr>
                <w:lang w:val="en-US"/>
              </w:rPr>
              <w:t xml:space="preserve"> the ICER to </w:t>
            </w:r>
            <w:r w:rsidR="00213512">
              <w:rPr>
                <w:lang w:val="en-US"/>
              </w:rPr>
              <w:t>$</w:t>
            </w:r>
            <w:r w:rsidR="00213512">
              <w:rPr>
                <w:b/>
                <w:bCs/>
                <w:lang w:val="en-US"/>
              </w:rPr>
              <w:t>redacted</w:t>
            </w:r>
            <w:r w:rsidRPr="0005448F">
              <w:rPr>
                <w:lang w:val="en-US"/>
              </w:rPr>
              <w:t>/QALY gained.</w:t>
            </w:r>
          </w:p>
        </w:tc>
      </w:tr>
      <w:tr w:rsidR="00AE4A6F" w:rsidRPr="00CE28E3" w14:paraId="778E0875" w14:textId="77777777" w:rsidTr="00175AB0">
        <w:tc>
          <w:tcPr>
            <w:tcW w:w="626" w:type="pct"/>
          </w:tcPr>
          <w:p w14:paraId="40BB267F" w14:textId="647D0EA6" w:rsidR="00AE4A6F" w:rsidRPr="001A4803" w:rsidRDefault="00AE4A6F">
            <w:pPr>
              <w:pStyle w:val="TableText"/>
              <w:rPr>
                <w:lang w:val="en-US"/>
              </w:rPr>
            </w:pPr>
            <w:r w:rsidRPr="001A4803">
              <w:rPr>
                <w:lang w:val="en-US"/>
              </w:rPr>
              <w:t>Infection cost</w:t>
            </w:r>
          </w:p>
        </w:tc>
        <w:tc>
          <w:tcPr>
            <w:tcW w:w="2830" w:type="pct"/>
          </w:tcPr>
          <w:p w14:paraId="66C0B4C5" w14:textId="346C8A8B" w:rsidR="00AE4A6F" w:rsidRPr="001A4803" w:rsidRDefault="00AE4A6F">
            <w:pPr>
              <w:pStyle w:val="TableText"/>
              <w:rPr>
                <w:lang w:val="en-US"/>
              </w:rPr>
            </w:pPr>
            <w:r w:rsidRPr="001A4803">
              <w:rPr>
                <w:lang w:val="en-US"/>
              </w:rPr>
              <w:t xml:space="preserve">The base-case analysis used an inflation-adjusted cost ($125,630) of $98,097 from </w:t>
            </w:r>
            <w:r w:rsidR="004A6C88" w:rsidRPr="001A4803">
              <w:rPr>
                <w:lang w:val="en-US"/>
              </w:rPr>
              <w:t>an</w:t>
            </w:r>
            <w:r w:rsidRPr="001A4803">
              <w:rPr>
                <w:lang w:val="en-US"/>
              </w:rPr>
              <w:t xml:space="preserve"> Australian costing study,</w:t>
            </w:r>
            <w:r w:rsidR="00056F77">
              <w:rPr>
                <w:rStyle w:val="FootnoteReference"/>
                <w:lang w:val="en-US"/>
              </w:rPr>
              <w:footnoteReference w:id="22"/>
            </w:r>
            <w:r w:rsidRPr="001A4803">
              <w:rPr>
                <w:lang w:val="en-US"/>
              </w:rPr>
              <w:t xml:space="preserve"> a retrospective review of hospital records for CIED infections in Geelong, Victoria.</w:t>
            </w:r>
            <w:r w:rsidRPr="001A4803">
              <w:t xml:space="preserve"> </w:t>
            </w:r>
            <w:r w:rsidRPr="001A4803">
              <w:rPr>
                <w:lang w:val="en-US"/>
              </w:rPr>
              <w:t xml:space="preserve">A lower estimate of $89,273 from unpublished Medtronic studies, which rely on expert inputs and public unit costs, supports the base-case results. However, the small numbers in the </w:t>
            </w:r>
            <w:r>
              <w:rPr>
                <w:lang w:val="en-US"/>
              </w:rPr>
              <w:t>Roer 2019</w:t>
            </w:r>
            <w:r w:rsidRPr="001A4803">
              <w:rPr>
                <w:lang w:val="en-US"/>
              </w:rPr>
              <w:t xml:space="preserve"> cohort </w:t>
            </w:r>
            <w:r>
              <w:rPr>
                <w:lang w:val="en-US"/>
              </w:rPr>
              <w:t>(</w:t>
            </w:r>
            <w:r w:rsidRPr="00DD64F5">
              <w:rPr>
                <w:lang w:val="en-US"/>
              </w:rPr>
              <w:t>41 admissions</w:t>
            </w:r>
            <w:r>
              <w:rPr>
                <w:lang w:val="en-US"/>
              </w:rPr>
              <w:t xml:space="preserve"> for </w:t>
            </w:r>
            <w:r w:rsidRPr="00DD64F5">
              <w:rPr>
                <w:lang w:val="en-US"/>
              </w:rPr>
              <w:t xml:space="preserve">21 cases </w:t>
            </w:r>
            <w:r w:rsidRPr="001A4803">
              <w:rPr>
                <w:lang w:val="en-US"/>
              </w:rPr>
              <w:t xml:space="preserve">suffering </w:t>
            </w:r>
            <w:r>
              <w:rPr>
                <w:lang w:val="en-US"/>
              </w:rPr>
              <w:t xml:space="preserve">from </w:t>
            </w:r>
            <w:r w:rsidRPr="005F2FD9">
              <w:rPr>
                <w:lang w:val="en-US"/>
              </w:rPr>
              <w:t>C</w:t>
            </w:r>
            <w:r w:rsidR="009C145B">
              <w:rPr>
                <w:lang w:val="en-US"/>
              </w:rPr>
              <w:t>I</w:t>
            </w:r>
            <w:r w:rsidRPr="005F2FD9">
              <w:rPr>
                <w:lang w:val="en-US"/>
              </w:rPr>
              <w:t>ED</w:t>
            </w:r>
            <w:r w:rsidRPr="00DD64F5">
              <w:rPr>
                <w:lang w:val="en-US"/>
              </w:rPr>
              <w:t xml:space="preserve"> infection</w:t>
            </w:r>
            <w:r>
              <w:rPr>
                <w:lang w:val="en-US"/>
              </w:rPr>
              <w:t xml:space="preserve">s) </w:t>
            </w:r>
            <w:r w:rsidRPr="001A4803">
              <w:rPr>
                <w:lang w:val="en-US"/>
              </w:rPr>
              <w:t>create uncertainty</w:t>
            </w:r>
            <w:r>
              <w:rPr>
                <w:lang w:val="en-US"/>
              </w:rPr>
              <w:t>.</w:t>
            </w:r>
            <w:r w:rsidR="006D04F4">
              <w:t xml:space="preserve"> </w:t>
            </w:r>
            <w:r w:rsidR="006D04F4" w:rsidRPr="006D04F4">
              <w:rPr>
                <w:lang w:val="en-US"/>
              </w:rPr>
              <w:t xml:space="preserve">Additionally, it is important to note that </w:t>
            </w:r>
            <w:proofErr w:type="gramStart"/>
            <w:r w:rsidR="00415EE6" w:rsidRPr="00415EE6">
              <w:rPr>
                <w:lang w:val="en-US"/>
              </w:rPr>
              <w:t>average</w:t>
            </w:r>
            <w:proofErr w:type="gramEnd"/>
            <w:r w:rsidR="00415EE6" w:rsidRPr="00415EE6">
              <w:rPr>
                <w:lang w:val="en-US"/>
              </w:rPr>
              <w:t xml:space="preserve"> number of admissions was 2 per infection</w:t>
            </w:r>
            <w:r w:rsidR="006D04F4" w:rsidRPr="006D04F4">
              <w:rPr>
                <w:lang w:val="en-US"/>
              </w:rPr>
              <w:t xml:space="preserve">, potentially doubling the </w:t>
            </w:r>
            <w:r w:rsidR="00D81224" w:rsidRPr="006D04F4">
              <w:rPr>
                <w:lang w:val="en-US"/>
              </w:rPr>
              <w:t xml:space="preserve">associated </w:t>
            </w:r>
            <w:r w:rsidR="006D04F4" w:rsidRPr="006D04F4">
              <w:rPr>
                <w:lang w:val="en-US"/>
              </w:rPr>
              <w:t>costs</w:t>
            </w:r>
            <w:r w:rsidR="00D81224">
              <w:rPr>
                <w:lang w:val="en-US"/>
              </w:rPr>
              <w:t>.</w:t>
            </w:r>
          </w:p>
        </w:tc>
        <w:tc>
          <w:tcPr>
            <w:tcW w:w="1544" w:type="pct"/>
          </w:tcPr>
          <w:p w14:paraId="09E3D338" w14:textId="77777777" w:rsidR="00AE4A6F" w:rsidRPr="001A4803" w:rsidRDefault="00AE4A6F">
            <w:pPr>
              <w:pStyle w:val="TableText"/>
              <w:rPr>
                <w:lang w:val="en-US"/>
              </w:rPr>
            </w:pPr>
            <w:r w:rsidRPr="008B34F3">
              <w:rPr>
                <w:lang w:val="en-US"/>
              </w:rPr>
              <w:t>Moderate</w:t>
            </w:r>
            <w:r w:rsidRPr="001A4803">
              <w:rPr>
                <w:lang w:val="en-US"/>
              </w:rPr>
              <w:t xml:space="preserve">, </w:t>
            </w:r>
            <w:proofErr w:type="spellStart"/>
            <w:r w:rsidRPr="001A4803">
              <w:rPr>
                <w:lang w:val="en-US"/>
              </w:rPr>
              <w:t>favours</w:t>
            </w:r>
            <w:proofErr w:type="spellEnd"/>
            <w:r w:rsidRPr="001A4803">
              <w:rPr>
                <w:lang w:val="en-US"/>
              </w:rPr>
              <w:t xml:space="preserve"> DC-TVPM</w:t>
            </w:r>
          </w:p>
          <w:p w14:paraId="042AC32B" w14:textId="5D47828A" w:rsidR="00AE4A6F" w:rsidRPr="001A4803" w:rsidRDefault="00AE4A6F">
            <w:pPr>
              <w:pStyle w:val="TableText"/>
              <w:rPr>
                <w:lang w:val="en-US"/>
              </w:rPr>
            </w:pPr>
            <w:r w:rsidRPr="001A4803">
              <w:rPr>
                <w:lang w:val="en-US"/>
              </w:rPr>
              <w:t>If the cost of infection treatment</w:t>
            </w:r>
            <w:r w:rsidR="00247AB9">
              <w:rPr>
                <w:lang w:val="en-US"/>
              </w:rPr>
              <w:t xml:space="preserve"> is doubled</w:t>
            </w:r>
            <w:r w:rsidRPr="001A4803">
              <w:rPr>
                <w:lang w:val="en-US"/>
              </w:rPr>
              <w:t xml:space="preserve">, the ICER </w:t>
            </w:r>
            <w:r>
              <w:rPr>
                <w:lang w:val="en-US"/>
              </w:rPr>
              <w:t>was</w:t>
            </w:r>
            <w:r w:rsidRPr="001A4803">
              <w:rPr>
                <w:lang w:val="en-US"/>
              </w:rPr>
              <w:t xml:space="preserve"> calculated to be </w:t>
            </w:r>
            <w:r w:rsidR="00213512">
              <w:rPr>
                <w:lang w:val="en-US"/>
              </w:rPr>
              <w:t>$</w:t>
            </w:r>
            <w:r w:rsidR="00213512">
              <w:rPr>
                <w:b/>
                <w:bCs/>
                <w:lang w:val="en-US"/>
              </w:rPr>
              <w:t>redacted</w:t>
            </w:r>
            <w:r w:rsidRPr="001A4803">
              <w:rPr>
                <w:lang w:val="en-US"/>
              </w:rPr>
              <w:t>/QALY gained.</w:t>
            </w:r>
          </w:p>
        </w:tc>
      </w:tr>
      <w:tr w:rsidR="00AE4A6F" w:rsidRPr="00CE28E3" w14:paraId="302423EA" w14:textId="77777777" w:rsidTr="00175AB0">
        <w:tc>
          <w:tcPr>
            <w:tcW w:w="626" w:type="pct"/>
          </w:tcPr>
          <w:p w14:paraId="1EE7676B" w14:textId="3454EF65" w:rsidR="00AE4A6F" w:rsidRPr="001A4803" w:rsidRDefault="00AE4A6F">
            <w:pPr>
              <w:pStyle w:val="TableText"/>
              <w:rPr>
                <w:lang w:val="en-US"/>
              </w:rPr>
            </w:pPr>
            <w:r w:rsidRPr="001A4803">
              <w:rPr>
                <w:lang w:val="en-US"/>
              </w:rPr>
              <w:t>Infection mortality</w:t>
            </w:r>
          </w:p>
        </w:tc>
        <w:tc>
          <w:tcPr>
            <w:tcW w:w="2830" w:type="pct"/>
          </w:tcPr>
          <w:p w14:paraId="2E77318A" w14:textId="0EC70A6F" w:rsidR="00AE4A6F" w:rsidRPr="001A4803" w:rsidRDefault="00AE4A6F">
            <w:pPr>
              <w:pStyle w:val="TableText"/>
              <w:rPr>
                <w:lang w:val="en-US"/>
              </w:rPr>
            </w:pPr>
            <w:r>
              <w:rPr>
                <w:lang w:val="en-US"/>
              </w:rPr>
              <w:t>A</w:t>
            </w:r>
            <w:r w:rsidRPr="00F445ED">
              <w:rPr>
                <w:lang w:val="en-US"/>
              </w:rPr>
              <w:t xml:space="preserve"> 12-month mortality rate of 36% for patients with infections</w:t>
            </w:r>
            <w:r>
              <w:rPr>
                <w:lang w:val="en-US"/>
              </w:rPr>
              <w:t xml:space="preserve"> was used in the base</w:t>
            </w:r>
            <w:r w:rsidR="00CC0D43">
              <w:rPr>
                <w:lang w:val="en-US"/>
              </w:rPr>
              <w:t xml:space="preserve"> </w:t>
            </w:r>
            <w:r>
              <w:rPr>
                <w:lang w:val="en-US"/>
              </w:rPr>
              <w:t>case</w:t>
            </w:r>
            <w:r w:rsidRPr="00F445ED">
              <w:rPr>
                <w:lang w:val="en-US"/>
              </w:rPr>
              <w:t xml:space="preserve">, based on </w:t>
            </w:r>
            <w:r w:rsidRPr="00EF15EE">
              <w:rPr>
                <w:lang w:val="en-US"/>
              </w:rPr>
              <w:t>Sohail 2015,</w:t>
            </w:r>
            <w:r w:rsidR="00E50838" w:rsidRPr="00EF15EE">
              <w:rPr>
                <w:rStyle w:val="FootnoteReference"/>
                <w:lang w:val="en-US"/>
              </w:rPr>
              <w:footnoteReference w:id="23"/>
            </w:r>
            <w:r w:rsidRPr="00EF15EE">
              <w:rPr>
                <w:lang w:val="en-US"/>
              </w:rPr>
              <w:t xml:space="preserve"> with mortality risk reverting to baseline after 12 months. This was applied to DC-TVPM, as the infection rate for LPM was zero.</w:t>
            </w:r>
          </w:p>
        </w:tc>
        <w:tc>
          <w:tcPr>
            <w:tcW w:w="1544" w:type="pct"/>
          </w:tcPr>
          <w:p w14:paraId="2DB4416B" w14:textId="77777777" w:rsidR="00AE4A6F" w:rsidRPr="00DC66BC" w:rsidRDefault="00AE4A6F">
            <w:pPr>
              <w:pStyle w:val="TableText"/>
              <w:rPr>
                <w:lang w:val="en-US"/>
              </w:rPr>
            </w:pPr>
            <w:r w:rsidRPr="008B34F3">
              <w:rPr>
                <w:lang w:val="en-US"/>
              </w:rPr>
              <w:t>Moderate</w:t>
            </w:r>
            <w:r w:rsidRPr="001A4803">
              <w:rPr>
                <w:lang w:val="en-US"/>
              </w:rPr>
              <w:t xml:space="preserve">, </w:t>
            </w:r>
            <w:proofErr w:type="spellStart"/>
            <w:r w:rsidRPr="001A4803">
              <w:rPr>
                <w:lang w:val="en-US"/>
              </w:rPr>
              <w:t>favours</w:t>
            </w:r>
            <w:proofErr w:type="spellEnd"/>
            <w:r w:rsidRPr="001A4803">
              <w:rPr>
                <w:lang w:val="en-US"/>
              </w:rPr>
              <w:t xml:space="preserve"> Micra AV</w:t>
            </w:r>
          </w:p>
          <w:p w14:paraId="773E67E1" w14:textId="656E39B2" w:rsidR="00AE4A6F" w:rsidRPr="001A4803" w:rsidRDefault="00AE4A6F">
            <w:pPr>
              <w:pStyle w:val="TableText"/>
              <w:rPr>
                <w:lang w:val="en-US"/>
              </w:rPr>
            </w:pPr>
            <w:r w:rsidRPr="00F77FBF">
              <w:rPr>
                <w:lang w:val="en-US"/>
              </w:rPr>
              <w:t>When infection mortality was reduced</w:t>
            </w:r>
            <w:r>
              <w:rPr>
                <w:lang w:val="en-US"/>
              </w:rPr>
              <w:t xml:space="preserve"> </w:t>
            </w:r>
            <w:r w:rsidRPr="00F77FBF">
              <w:rPr>
                <w:lang w:val="en-US"/>
              </w:rPr>
              <w:t xml:space="preserve">to one-fourth (9%), the ICER rose to </w:t>
            </w:r>
            <w:r w:rsidR="00213512">
              <w:rPr>
                <w:lang w:val="en-US"/>
              </w:rPr>
              <w:t>$</w:t>
            </w:r>
            <w:r w:rsidR="00213512">
              <w:rPr>
                <w:b/>
                <w:bCs/>
                <w:lang w:val="en-US"/>
              </w:rPr>
              <w:t>redacted</w:t>
            </w:r>
            <w:r w:rsidRPr="00F77FBF">
              <w:rPr>
                <w:lang w:val="en-US"/>
              </w:rPr>
              <w:t>/QALY gained</w:t>
            </w:r>
            <w:r>
              <w:rPr>
                <w:lang w:val="en-US"/>
              </w:rPr>
              <w:t>;</w:t>
            </w:r>
            <w:r w:rsidRPr="00F77FBF">
              <w:rPr>
                <w:lang w:val="en-US"/>
              </w:rPr>
              <w:t xml:space="preserve"> </w:t>
            </w:r>
            <w:r>
              <w:rPr>
                <w:lang w:val="en-US"/>
              </w:rPr>
              <w:t>i</w:t>
            </w:r>
            <w:r w:rsidRPr="00F77FBF">
              <w:rPr>
                <w:lang w:val="en-US"/>
              </w:rPr>
              <w:t xml:space="preserve">f infection mortality was excluded, the ICER increased further to </w:t>
            </w:r>
            <w:r w:rsidR="00213512">
              <w:rPr>
                <w:lang w:val="en-US"/>
              </w:rPr>
              <w:t>$</w:t>
            </w:r>
            <w:proofErr w:type="gramStart"/>
            <w:r w:rsidR="00213512">
              <w:rPr>
                <w:b/>
                <w:bCs/>
                <w:lang w:val="en-US"/>
              </w:rPr>
              <w:t>redacted</w:t>
            </w:r>
            <w:r w:rsidR="00213512" w:rsidRPr="00F77FBF" w:rsidDel="00213512">
              <w:rPr>
                <w:lang w:val="en-US"/>
              </w:rPr>
              <w:t xml:space="preserve"> </w:t>
            </w:r>
            <w:r w:rsidRPr="00F77FBF">
              <w:rPr>
                <w:lang w:val="en-US"/>
              </w:rPr>
              <w:t>/</w:t>
            </w:r>
            <w:proofErr w:type="gramEnd"/>
            <w:r w:rsidRPr="00F77FBF">
              <w:rPr>
                <w:lang w:val="en-US"/>
              </w:rPr>
              <w:t>QALY gained.</w:t>
            </w:r>
          </w:p>
        </w:tc>
      </w:tr>
      <w:tr w:rsidR="00AE4A6F" w:rsidRPr="00CE28E3" w14:paraId="730583AE" w14:textId="77777777" w:rsidTr="00175AB0">
        <w:tc>
          <w:tcPr>
            <w:tcW w:w="626" w:type="pct"/>
          </w:tcPr>
          <w:p w14:paraId="7582A78A" w14:textId="5CAF3126" w:rsidR="00AE4A6F" w:rsidRPr="001A4803" w:rsidRDefault="00AE4A6F">
            <w:pPr>
              <w:pStyle w:val="TableText"/>
              <w:rPr>
                <w:lang w:val="en-US"/>
              </w:rPr>
            </w:pPr>
            <w:r w:rsidRPr="001A4803">
              <w:rPr>
                <w:lang w:val="en-US"/>
              </w:rPr>
              <w:t>Complication risks</w:t>
            </w:r>
          </w:p>
        </w:tc>
        <w:tc>
          <w:tcPr>
            <w:tcW w:w="2830" w:type="pct"/>
          </w:tcPr>
          <w:p w14:paraId="306249AD" w14:textId="0D8D61C5" w:rsidR="00AE4A6F" w:rsidRPr="001A4803" w:rsidRDefault="00AE4A6F">
            <w:pPr>
              <w:pStyle w:val="TableText"/>
              <w:rPr>
                <w:lang w:val="en-US"/>
              </w:rPr>
            </w:pPr>
            <w:r w:rsidRPr="002934FE">
              <w:rPr>
                <w:lang w:val="en-US"/>
              </w:rPr>
              <w:t xml:space="preserve">The complication risks were taken from the CED study for AV block and normal sinus rhythm subgroup </w:t>
            </w:r>
            <w:r w:rsidR="0043217D">
              <w:rPr>
                <w:lang w:val="en-US"/>
              </w:rPr>
              <w:t>(</w:t>
            </w:r>
            <w:r w:rsidRPr="002934FE">
              <w:rPr>
                <w:lang w:val="en-US"/>
              </w:rPr>
              <w:t>2</w:t>
            </w:r>
            <w:r w:rsidR="0043217D">
              <w:rPr>
                <w:lang w:val="en-US"/>
              </w:rPr>
              <w:t>-</w:t>
            </w:r>
            <w:r w:rsidRPr="002934FE">
              <w:rPr>
                <w:lang w:val="en-US"/>
              </w:rPr>
              <w:t>year</w:t>
            </w:r>
            <w:r w:rsidR="00827280">
              <w:rPr>
                <w:lang w:val="en-US"/>
              </w:rPr>
              <w:t xml:space="preserve"> follow-up)</w:t>
            </w:r>
            <w:r w:rsidRPr="002934FE">
              <w:rPr>
                <w:lang w:val="en-US"/>
              </w:rPr>
              <w:t>, so it</w:t>
            </w:r>
            <w:r>
              <w:rPr>
                <w:lang w:val="en-US"/>
              </w:rPr>
              <w:t xml:space="preserve"> is unclear that the model correctly extend</w:t>
            </w:r>
            <w:r w:rsidR="00827280">
              <w:rPr>
                <w:lang w:val="en-US"/>
              </w:rPr>
              <w:t>ed</w:t>
            </w:r>
            <w:r>
              <w:rPr>
                <w:lang w:val="en-US"/>
              </w:rPr>
              <w:t xml:space="preserve"> the same risk rate over a device lifetime.</w:t>
            </w:r>
          </w:p>
        </w:tc>
        <w:tc>
          <w:tcPr>
            <w:tcW w:w="1544" w:type="pct"/>
          </w:tcPr>
          <w:p w14:paraId="45B14518" w14:textId="77777777" w:rsidR="00AE4A6F" w:rsidRPr="00E30F05" w:rsidRDefault="00AE4A6F">
            <w:pPr>
              <w:pStyle w:val="TableText"/>
              <w:rPr>
                <w:lang w:val="en-US"/>
              </w:rPr>
            </w:pPr>
            <w:r w:rsidRPr="008B34F3">
              <w:rPr>
                <w:lang w:val="en-US"/>
              </w:rPr>
              <w:t>Moderate</w:t>
            </w:r>
            <w:r w:rsidRPr="001A4803">
              <w:rPr>
                <w:lang w:val="en-US"/>
              </w:rPr>
              <w:t xml:space="preserve">, </w:t>
            </w:r>
            <w:proofErr w:type="spellStart"/>
            <w:r w:rsidRPr="001A4803">
              <w:rPr>
                <w:lang w:val="en-US"/>
              </w:rPr>
              <w:t>favours</w:t>
            </w:r>
            <w:proofErr w:type="spellEnd"/>
            <w:r w:rsidRPr="001A4803">
              <w:rPr>
                <w:lang w:val="en-US"/>
              </w:rPr>
              <w:t xml:space="preserve"> Micra AV</w:t>
            </w:r>
          </w:p>
          <w:p w14:paraId="3CB47BFE" w14:textId="270D765C" w:rsidR="00AE4A6F" w:rsidRPr="001A4803" w:rsidRDefault="00AE4A6F">
            <w:pPr>
              <w:pStyle w:val="TableText"/>
              <w:rPr>
                <w:lang w:val="en-US"/>
              </w:rPr>
            </w:pPr>
            <w:r>
              <w:rPr>
                <w:lang w:val="en-US"/>
              </w:rPr>
              <w:t>Not considering the risks after 2 years</w:t>
            </w:r>
            <w:r w:rsidRPr="00F73671">
              <w:rPr>
                <w:lang w:val="en-US"/>
              </w:rPr>
              <w:t xml:space="preserve"> increased the ICER to </w:t>
            </w:r>
            <w:r w:rsidRPr="00E30F05">
              <w:rPr>
                <w:lang w:val="en-US"/>
              </w:rPr>
              <w:t>$</w:t>
            </w:r>
            <w:r w:rsidR="00F07ADB">
              <w:rPr>
                <w:b/>
                <w:bCs/>
                <w:lang w:val="en-US"/>
              </w:rPr>
              <w:t>redacted</w:t>
            </w:r>
            <w:r w:rsidRPr="00F73671">
              <w:rPr>
                <w:lang w:val="en-US"/>
              </w:rPr>
              <w:t>/QALY gained.</w:t>
            </w:r>
            <w:r>
              <w:rPr>
                <w:lang w:val="en-US"/>
              </w:rPr>
              <w:t xml:space="preserve"> However, </w:t>
            </w:r>
            <w:r w:rsidRPr="00E30F05">
              <w:rPr>
                <w:lang w:val="en-US"/>
              </w:rPr>
              <w:t>evidence from long-term studies</w:t>
            </w:r>
            <w:r>
              <w:rPr>
                <w:lang w:val="en-US"/>
              </w:rPr>
              <w:t xml:space="preserve"> supported that </w:t>
            </w:r>
            <w:r w:rsidRPr="00E30F05">
              <w:rPr>
                <w:lang w:val="en-US"/>
              </w:rPr>
              <w:t xml:space="preserve">complication risks extend beyond the initial </w:t>
            </w:r>
            <w:r w:rsidR="00827280">
              <w:rPr>
                <w:lang w:val="en-US"/>
              </w:rPr>
              <w:t>2</w:t>
            </w:r>
            <w:r w:rsidR="00827280" w:rsidRPr="00E30F05">
              <w:rPr>
                <w:lang w:val="en-US"/>
              </w:rPr>
              <w:t xml:space="preserve"> </w:t>
            </w:r>
            <w:r w:rsidRPr="00E30F05">
              <w:rPr>
                <w:lang w:val="en-US"/>
              </w:rPr>
              <w:t xml:space="preserve">years post-implantation and </w:t>
            </w:r>
            <w:r>
              <w:rPr>
                <w:lang w:val="en-US"/>
              </w:rPr>
              <w:t>were</w:t>
            </w:r>
            <w:r w:rsidRPr="00E30F05">
              <w:rPr>
                <w:lang w:val="en-US"/>
              </w:rPr>
              <w:t xml:space="preserve"> sustained or even </w:t>
            </w:r>
            <w:r w:rsidR="00247AB9">
              <w:rPr>
                <w:lang w:val="en-US"/>
              </w:rPr>
              <w:t>increased</w:t>
            </w:r>
            <w:r w:rsidRPr="00B710A5">
              <w:rPr>
                <w:lang w:val="en-US"/>
              </w:rPr>
              <w:t xml:space="preserve"> over time (</w:t>
            </w:r>
            <w:r w:rsidR="009A4C31" w:rsidRPr="00B710A5">
              <w:rPr>
                <w:lang w:val="en-US"/>
              </w:rPr>
              <w:t xml:space="preserve">as detailed in </w:t>
            </w:r>
            <w:r w:rsidRPr="00B710A5">
              <w:rPr>
                <w:lang w:val="en-US"/>
              </w:rPr>
              <w:t xml:space="preserve">Section 3A.2.4 in the </w:t>
            </w:r>
            <w:r w:rsidR="00DF66DB">
              <w:rPr>
                <w:lang w:val="en-US"/>
              </w:rPr>
              <w:t>ADAR</w:t>
            </w:r>
            <w:r w:rsidRPr="00B710A5">
              <w:rPr>
                <w:lang w:val="en-US"/>
              </w:rPr>
              <w:t xml:space="preserve"> document).</w:t>
            </w:r>
          </w:p>
        </w:tc>
      </w:tr>
    </w:tbl>
    <w:p w14:paraId="4497B913" w14:textId="77777777" w:rsidR="00E1106A" w:rsidRDefault="003A0F4F" w:rsidP="003A0F4F">
      <w:pPr>
        <w:pStyle w:val="TableFigureFooter"/>
        <w:spacing w:before="40" w:after="40"/>
      </w:pPr>
      <w:bookmarkStart w:id="58" w:name="_Hlk68276635"/>
      <w:bookmarkEnd w:id="55"/>
      <w:r w:rsidRPr="00357EA5">
        <w:rPr>
          <w:b/>
          <w:bCs/>
          <w:u w:val="single"/>
        </w:rPr>
        <w:t>Abbreviations</w:t>
      </w:r>
      <w:r w:rsidR="000275E7">
        <w:t xml:space="preserve"> </w:t>
      </w:r>
    </w:p>
    <w:p w14:paraId="3599A432" w14:textId="0EC0B638" w:rsidR="0045093D" w:rsidRPr="00CE28E3" w:rsidRDefault="000C703F" w:rsidP="00357EA5">
      <w:pPr>
        <w:pStyle w:val="TableFigureFooter"/>
        <w:spacing w:before="40" w:after="40"/>
      </w:pPr>
      <w:r w:rsidRPr="00783F67">
        <w:rPr>
          <w:rFonts w:eastAsia="Calibri"/>
          <w:b/>
        </w:rPr>
        <w:t xml:space="preserve">AV </w:t>
      </w:r>
      <w:r w:rsidRPr="00783F67">
        <w:rPr>
          <w:rFonts w:eastAsia="Calibri"/>
          <w:bCs/>
        </w:rPr>
        <w:t>= atrioventricular,</w:t>
      </w:r>
      <w:r w:rsidRPr="00783F67">
        <w:rPr>
          <w:rFonts w:eastAsia="Calibri"/>
          <w:b/>
        </w:rPr>
        <w:t xml:space="preserve"> </w:t>
      </w:r>
      <w:r w:rsidR="00BD20A0" w:rsidRPr="00DF4F17">
        <w:rPr>
          <w:b/>
        </w:rPr>
        <w:t>CED</w:t>
      </w:r>
      <w:r w:rsidR="00BD20A0" w:rsidRPr="00DF4F17">
        <w:rPr>
          <w:bCs/>
        </w:rPr>
        <w:t xml:space="preserve"> = coverage with evidence development, </w:t>
      </w:r>
      <w:r w:rsidR="000C3EAD" w:rsidRPr="00B6382D">
        <w:rPr>
          <w:b/>
        </w:rPr>
        <w:t>CIED</w:t>
      </w:r>
      <w:r w:rsidR="000C3EAD">
        <w:t xml:space="preserve"> =</w:t>
      </w:r>
      <w:r w:rsidR="000C3EAD" w:rsidRPr="00B6382D">
        <w:t xml:space="preserve"> cardiovascular implantable electronic device</w:t>
      </w:r>
      <w:r w:rsidR="000C3EAD">
        <w:t xml:space="preserve">, </w:t>
      </w:r>
      <w:r w:rsidR="00972BAB">
        <w:rPr>
          <w:rFonts w:eastAsia="Calibri"/>
          <w:b/>
        </w:rPr>
        <w:t xml:space="preserve">CUA </w:t>
      </w:r>
      <w:r w:rsidR="00972BAB" w:rsidRPr="00BD20A0">
        <w:rPr>
          <w:rFonts w:eastAsia="Calibri"/>
          <w:bCs/>
        </w:rPr>
        <w:t xml:space="preserve">= </w:t>
      </w:r>
      <w:r w:rsidR="00BD20A0" w:rsidRPr="00BD20A0">
        <w:rPr>
          <w:rFonts w:eastAsia="Calibri"/>
          <w:bCs/>
        </w:rPr>
        <w:t>cost–utility analysis</w:t>
      </w:r>
      <w:r w:rsidR="00972BAB" w:rsidRPr="00BD20A0">
        <w:rPr>
          <w:rFonts w:eastAsia="Calibri"/>
          <w:bCs/>
        </w:rPr>
        <w:t xml:space="preserve">, </w:t>
      </w:r>
      <w:r w:rsidRPr="00783F67">
        <w:rPr>
          <w:rFonts w:eastAsia="Calibri"/>
          <w:b/>
        </w:rPr>
        <w:t xml:space="preserve">DC-TVPM </w:t>
      </w:r>
      <w:r w:rsidRPr="00783F67">
        <w:rPr>
          <w:rFonts w:eastAsia="Calibri"/>
          <w:bCs/>
        </w:rPr>
        <w:t>= dual-chamber transvenous pacemaker,</w:t>
      </w:r>
      <w:r w:rsidRPr="00783F67">
        <w:rPr>
          <w:rFonts w:eastAsia="Calibri"/>
          <w:b/>
        </w:rPr>
        <w:t xml:space="preserve"> </w:t>
      </w:r>
      <w:r w:rsidR="0045093D" w:rsidRPr="00357EA5">
        <w:rPr>
          <w:b/>
        </w:rPr>
        <w:t>ICER</w:t>
      </w:r>
      <w:r w:rsidR="0045093D" w:rsidRPr="00CE28E3">
        <w:t xml:space="preserve"> = incremental cost-effectiveness ratio</w:t>
      </w:r>
      <w:r w:rsidR="00AE0D71">
        <w:t>,</w:t>
      </w:r>
      <w:r w:rsidR="0045093D" w:rsidRPr="00CE28E3">
        <w:t xml:space="preserve"> </w:t>
      </w:r>
      <w:r w:rsidR="000C3EAD" w:rsidRPr="000C3EAD">
        <w:rPr>
          <w:b/>
          <w:bCs/>
        </w:rPr>
        <w:t>LPM</w:t>
      </w:r>
      <w:r w:rsidR="000C3EAD" w:rsidRPr="000C3EAD">
        <w:t xml:space="preserve"> = leadless pacemaker</w:t>
      </w:r>
      <w:r w:rsidR="00972BAB">
        <w:t xml:space="preserve">, </w:t>
      </w:r>
      <w:r w:rsidR="0045093D" w:rsidRPr="00357EA5">
        <w:rPr>
          <w:b/>
        </w:rPr>
        <w:t>QALY</w:t>
      </w:r>
      <w:r w:rsidR="0045093D" w:rsidRPr="00CE28E3">
        <w:t xml:space="preserve"> = quality-adjusted life year</w:t>
      </w:r>
      <w:r w:rsidR="002A72B1">
        <w:t xml:space="preserve">, </w:t>
      </w:r>
      <w:r w:rsidR="00651561" w:rsidRPr="001E7BE9">
        <w:rPr>
          <w:b/>
        </w:rPr>
        <w:t>QoL</w:t>
      </w:r>
      <w:r w:rsidR="00651561">
        <w:t xml:space="preserve"> =</w:t>
      </w:r>
      <w:r w:rsidR="00651561" w:rsidRPr="001E7BE9">
        <w:t xml:space="preserve"> quality of life</w:t>
      </w:r>
      <w:r w:rsidR="0045093D">
        <w:t>.</w:t>
      </w:r>
      <w:r w:rsidR="0045093D" w:rsidRPr="00CE28E3">
        <w:t xml:space="preserve"> </w:t>
      </w:r>
    </w:p>
    <w:p w14:paraId="56EB7C23" w14:textId="09081CF5" w:rsidR="00610ABA" w:rsidRPr="00286D05" w:rsidRDefault="008B5B67" w:rsidP="00286D05">
      <w:pPr>
        <w:pStyle w:val="Instructionaltext"/>
        <w:rPr>
          <w:color w:val="auto"/>
        </w:rPr>
      </w:pPr>
      <w:bookmarkStart w:id="59" w:name="OLE_LINK4"/>
      <w:bookmarkEnd w:id="58"/>
      <w:r w:rsidRPr="00286D05">
        <w:rPr>
          <w:color w:val="auto"/>
        </w:rPr>
        <w:t xml:space="preserve">The results of key </w:t>
      </w:r>
      <w:r w:rsidRPr="00CD290B">
        <w:rPr>
          <w:color w:val="auto"/>
        </w:rPr>
        <w:t>univariate</w:t>
      </w:r>
      <w:r w:rsidRPr="00286D05">
        <w:rPr>
          <w:color w:val="auto"/>
        </w:rPr>
        <w:t xml:space="preserve"> sensitivity analyses are summarised </w:t>
      </w:r>
      <w:r w:rsidR="00286D05" w:rsidRPr="00286D05">
        <w:rPr>
          <w:color w:val="auto"/>
        </w:rPr>
        <w:t xml:space="preserve">in </w:t>
      </w:r>
      <w:r w:rsidR="007D77F7">
        <w:rPr>
          <w:color w:val="auto"/>
        </w:rPr>
        <w:fldChar w:fldCharType="begin"/>
      </w:r>
      <w:r w:rsidR="007D77F7">
        <w:rPr>
          <w:color w:val="auto"/>
        </w:rPr>
        <w:instrText xml:space="preserve"> REF _Ref187075349 \h  \* MERGEFORMAT </w:instrText>
      </w:r>
      <w:r w:rsidR="007D77F7">
        <w:rPr>
          <w:color w:val="auto"/>
        </w:rPr>
      </w:r>
      <w:r w:rsidR="007D77F7">
        <w:rPr>
          <w:color w:val="auto"/>
        </w:rPr>
        <w:fldChar w:fldCharType="separate"/>
      </w:r>
      <w:r w:rsidR="00D96B61" w:rsidRPr="00D96B61">
        <w:rPr>
          <w:color w:val="auto"/>
        </w:rPr>
        <w:t>Table 15</w:t>
      </w:r>
      <w:r w:rsidR="007D77F7">
        <w:rPr>
          <w:color w:val="auto"/>
        </w:rPr>
        <w:fldChar w:fldCharType="end"/>
      </w:r>
      <w:r w:rsidR="00286D05" w:rsidRPr="00286D05">
        <w:rPr>
          <w:color w:val="auto"/>
        </w:rPr>
        <w:fldChar w:fldCharType="begin"/>
      </w:r>
      <w:r w:rsidR="00286D05" w:rsidRPr="00286D05">
        <w:rPr>
          <w:color w:val="auto"/>
        </w:rPr>
        <w:fldChar w:fldCharType="separate"/>
      </w:r>
      <w:r w:rsidR="00552B8F" w:rsidRPr="0045028B">
        <w:rPr>
          <w:color w:val="auto"/>
        </w:rPr>
        <w:t>Table 15</w:t>
      </w:r>
      <w:r w:rsidR="00286D05" w:rsidRPr="00286D05">
        <w:rPr>
          <w:color w:val="auto"/>
        </w:rPr>
        <w:fldChar w:fldCharType="end"/>
      </w:r>
      <w:r w:rsidRPr="00286D05">
        <w:rPr>
          <w:color w:val="auto"/>
        </w:rPr>
        <w:t xml:space="preserve">. </w:t>
      </w:r>
      <w:r w:rsidR="00FC5019" w:rsidRPr="00FC5019">
        <w:rPr>
          <w:color w:val="auto"/>
        </w:rPr>
        <w:t xml:space="preserve">Sensitivity analysis results for the time horizon were previously </w:t>
      </w:r>
      <w:r w:rsidR="00FC5019" w:rsidRPr="00532F8A">
        <w:rPr>
          <w:color w:val="auto"/>
        </w:rPr>
        <w:t xml:space="preserve">reported in </w:t>
      </w:r>
      <w:r w:rsidR="00282E5B" w:rsidRPr="00F31A7F">
        <w:rPr>
          <w:color w:val="auto"/>
        </w:rPr>
        <w:fldChar w:fldCharType="begin"/>
      </w:r>
      <w:r w:rsidR="00282E5B" w:rsidRPr="00F31A7F">
        <w:rPr>
          <w:color w:val="auto"/>
        </w:rPr>
        <w:instrText xml:space="preserve"> REF _Ref187073379 \h </w:instrText>
      </w:r>
      <w:r w:rsidR="00282E5B" w:rsidRPr="00532F8A">
        <w:rPr>
          <w:color w:val="auto"/>
        </w:rPr>
        <w:instrText xml:space="preserve"> \* MERGEFORMAT </w:instrText>
      </w:r>
      <w:r w:rsidR="00282E5B" w:rsidRPr="00F31A7F">
        <w:rPr>
          <w:color w:val="auto"/>
        </w:rPr>
      </w:r>
      <w:r w:rsidR="00282E5B" w:rsidRPr="00F31A7F">
        <w:rPr>
          <w:color w:val="auto"/>
        </w:rPr>
        <w:fldChar w:fldCharType="separate"/>
      </w:r>
      <w:r w:rsidR="00D96B61" w:rsidRPr="00D96B61">
        <w:rPr>
          <w:color w:val="auto"/>
        </w:rPr>
        <w:t>Table 12</w:t>
      </w:r>
      <w:r w:rsidR="00282E5B" w:rsidRPr="00F31A7F">
        <w:rPr>
          <w:color w:val="auto"/>
        </w:rPr>
        <w:fldChar w:fldCharType="end"/>
      </w:r>
      <w:r w:rsidR="00D1733D" w:rsidRPr="00532F8A">
        <w:rPr>
          <w:color w:val="auto"/>
        </w:rPr>
        <w:fldChar w:fldCharType="begin"/>
      </w:r>
      <w:r w:rsidR="00D1733D" w:rsidRPr="00532F8A">
        <w:rPr>
          <w:color w:val="auto"/>
        </w:rPr>
        <w:fldChar w:fldCharType="separate"/>
      </w:r>
      <w:r w:rsidR="00552B8F" w:rsidRPr="00F31A7F">
        <w:rPr>
          <w:color w:val="auto"/>
        </w:rPr>
        <w:t>Table </w:t>
      </w:r>
      <w:r w:rsidR="00552B8F" w:rsidRPr="00F31A7F">
        <w:rPr>
          <w:noProof/>
          <w:color w:val="auto"/>
        </w:rPr>
        <w:t>12</w:t>
      </w:r>
      <w:r w:rsidR="00D1733D" w:rsidRPr="00532F8A">
        <w:rPr>
          <w:color w:val="auto"/>
        </w:rPr>
        <w:fldChar w:fldCharType="end"/>
      </w:r>
      <w:r w:rsidR="00D1733D" w:rsidRPr="00532F8A">
        <w:rPr>
          <w:color w:val="auto"/>
        </w:rPr>
        <w:t xml:space="preserve"> </w:t>
      </w:r>
      <w:r w:rsidR="00FC5019" w:rsidRPr="00FC5019">
        <w:rPr>
          <w:color w:val="auto"/>
        </w:rPr>
        <w:t>and are therefore not included here.</w:t>
      </w:r>
    </w:p>
    <w:p w14:paraId="2C785A4C" w14:textId="6890F44A" w:rsidR="008B5B67" w:rsidRPr="00CE28E3" w:rsidRDefault="008B5B67" w:rsidP="00135FC9">
      <w:pPr>
        <w:pStyle w:val="Caption"/>
      </w:pPr>
      <w:bookmarkStart w:id="60" w:name="_Ref187075349"/>
      <w:bookmarkStart w:id="61" w:name="_Ref69726347"/>
      <w:bookmarkEnd w:id="59"/>
      <w:r w:rsidRPr="00CE28E3">
        <w:t>Table</w:t>
      </w:r>
      <w:r w:rsidR="007D77F7">
        <w:t xml:space="preserve"> </w:t>
      </w:r>
      <w:r w:rsidR="00F71EE2">
        <w:fldChar w:fldCharType="begin"/>
      </w:r>
      <w:r w:rsidR="00F71EE2">
        <w:instrText xml:space="preserve"> SEQ Table \* ARABIC </w:instrText>
      </w:r>
      <w:r w:rsidR="00F71EE2">
        <w:fldChar w:fldCharType="separate"/>
      </w:r>
      <w:r w:rsidR="00F71EE2">
        <w:rPr>
          <w:noProof/>
        </w:rPr>
        <w:t>16</w:t>
      </w:r>
      <w:r w:rsidR="00F71EE2">
        <w:rPr>
          <w:noProof/>
        </w:rPr>
        <w:fldChar w:fldCharType="end"/>
      </w:r>
      <w:bookmarkEnd w:id="60"/>
      <w:bookmarkEnd w:id="61"/>
      <w:r w:rsidRPr="00CE28E3">
        <w:tab/>
        <w:t>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9"/>
        <w:gridCol w:w="1659"/>
        <w:gridCol w:w="1659"/>
        <w:gridCol w:w="1659"/>
      </w:tblGrid>
      <w:tr w:rsidR="00D83857" w:rsidRPr="00CE28E3" w14:paraId="2CF38BE6" w14:textId="77777777" w:rsidTr="4C0A0968">
        <w:trPr>
          <w:cantSplit/>
          <w:trHeight w:val="420"/>
          <w:tblHeader/>
        </w:trPr>
        <w:tc>
          <w:tcPr>
            <w:tcW w:w="2240" w:type="pct"/>
            <w:vAlign w:val="center"/>
          </w:tcPr>
          <w:p w14:paraId="1667BBE9" w14:textId="77777777" w:rsidR="00D83857" w:rsidRPr="00CE28E3" w:rsidRDefault="00D83857" w:rsidP="00F31A7F">
            <w:pPr>
              <w:pStyle w:val="In-tableHeading"/>
              <w:keepNext w:val="0"/>
            </w:pPr>
            <w:r w:rsidRPr="00CE28E3">
              <w:t>Analyses</w:t>
            </w:r>
          </w:p>
        </w:tc>
        <w:tc>
          <w:tcPr>
            <w:tcW w:w="920" w:type="pct"/>
            <w:vAlign w:val="center"/>
          </w:tcPr>
          <w:p w14:paraId="24A08F98" w14:textId="77777777" w:rsidR="00D83857" w:rsidRPr="00CE28E3" w:rsidRDefault="00D83857" w:rsidP="00F31A7F">
            <w:pPr>
              <w:pStyle w:val="In-tableHeading"/>
              <w:keepNext w:val="0"/>
              <w:jc w:val="center"/>
            </w:pPr>
            <w:r w:rsidRPr="00CE28E3">
              <w:t>Incremental cost</w:t>
            </w:r>
          </w:p>
        </w:tc>
        <w:tc>
          <w:tcPr>
            <w:tcW w:w="920" w:type="pct"/>
            <w:vAlign w:val="center"/>
          </w:tcPr>
          <w:p w14:paraId="3EB18BAB" w14:textId="77777777" w:rsidR="00D83857" w:rsidRPr="00CE28E3" w:rsidRDefault="00D83857" w:rsidP="00F31A7F">
            <w:pPr>
              <w:pStyle w:val="In-tableHeading"/>
              <w:keepNext w:val="0"/>
              <w:jc w:val="center"/>
            </w:pPr>
            <w:r w:rsidRPr="00CE28E3">
              <w:t>Incremental QALY</w:t>
            </w:r>
          </w:p>
        </w:tc>
        <w:tc>
          <w:tcPr>
            <w:tcW w:w="920" w:type="pct"/>
            <w:vAlign w:val="center"/>
          </w:tcPr>
          <w:p w14:paraId="3C47E39B" w14:textId="77777777" w:rsidR="00D83857" w:rsidRPr="00CE28E3" w:rsidRDefault="00D83857" w:rsidP="00F31A7F">
            <w:pPr>
              <w:pStyle w:val="In-tableHeading"/>
              <w:keepNext w:val="0"/>
              <w:jc w:val="center"/>
            </w:pPr>
            <w:r w:rsidRPr="00CE28E3">
              <w:t>ICER</w:t>
            </w:r>
          </w:p>
        </w:tc>
      </w:tr>
      <w:tr w:rsidR="00D83857" w:rsidRPr="00CE28E3" w14:paraId="62D64C3F" w14:textId="77777777" w:rsidTr="4C0A0968">
        <w:trPr>
          <w:cantSplit/>
        </w:trPr>
        <w:tc>
          <w:tcPr>
            <w:tcW w:w="2240" w:type="pct"/>
          </w:tcPr>
          <w:p w14:paraId="164AC130" w14:textId="77777777" w:rsidR="00D83857" w:rsidRPr="00CE28E3" w:rsidRDefault="00D83857" w:rsidP="00F31A7F">
            <w:pPr>
              <w:pStyle w:val="TableText"/>
              <w:rPr>
                <w:b/>
              </w:rPr>
            </w:pPr>
            <w:r w:rsidRPr="00CE28E3">
              <w:rPr>
                <w:b/>
              </w:rPr>
              <w:t>Base case</w:t>
            </w:r>
          </w:p>
        </w:tc>
        <w:tc>
          <w:tcPr>
            <w:tcW w:w="920" w:type="pct"/>
          </w:tcPr>
          <w:p w14:paraId="4CE1FE9E" w14:textId="4F98C99D" w:rsidR="00D83857" w:rsidRPr="00CE28E3" w:rsidRDefault="00F07ADB" w:rsidP="00F31A7F">
            <w:pPr>
              <w:pStyle w:val="TableText"/>
              <w:jc w:val="center"/>
              <w:rPr>
                <w:b/>
                <w:highlight w:val="black"/>
              </w:rPr>
            </w:pPr>
            <w:r w:rsidRPr="005178D1">
              <w:rPr>
                <w:lang w:val="en-US"/>
              </w:rPr>
              <w:t>$</w:t>
            </w:r>
            <w:r w:rsidRPr="005178D1">
              <w:rPr>
                <w:b/>
                <w:bCs/>
                <w:lang w:val="en-US"/>
              </w:rPr>
              <w:t>redacted</w:t>
            </w:r>
            <w:r w:rsidRPr="00DE28A8" w:rsidDel="00532B08">
              <w:t xml:space="preserve"> </w:t>
            </w:r>
          </w:p>
        </w:tc>
        <w:tc>
          <w:tcPr>
            <w:tcW w:w="920" w:type="pct"/>
          </w:tcPr>
          <w:p w14:paraId="14F1C55F" w14:textId="77777777" w:rsidR="00D83857" w:rsidRPr="00CE28E3" w:rsidRDefault="00D83857" w:rsidP="00F31A7F">
            <w:pPr>
              <w:pStyle w:val="TableText"/>
              <w:jc w:val="center"/>
              <w:rPr>
                <w:b/>
              </w:rPr>
            </w:pPr>
            <w:r w:rsidRPr="00DE28A8">
              <w:t xml:space="preserve">0.0863 </w:t>
            </w:r>
          </w:p>
        </w:tc>
        <w:tc>
          <w:tcPr>
            <w:tcW w:w="920" w:type="pct"/>
          </w:tcPr>
          <w:p w14:paraId="1A2D9C6A" w14:textId="6A8AD49B" w:rsidR="00D83857" w:rsidRPr="00CE28E3" w:rsidRDefault="00F07ADB" w:rsidP="00F31A7F">
            <w:pPr>
              <w:pStyle w:val="TableText"/>
              <w:jc w:val="center"/>
              <w:rPr>
                <w:b/>
                <w:highlight w:val="black"/>
              </w:rPr>
            </w:pPr>
            <w:r w:rsidRPr="005178D1">
              <w:rPr>
                <w:lang w:val="en-US"/>
              </w:rPr>
              <w:t>$</w:t>
            </w:r>
            <w:r w:rsidRPr="005178D1">
              <w:rPr>
                <w:b/>
                <w:bCs/>
                <w:lang w:val="en-US"/>
              </w:rPr>
              <w:t>redacted</w:t>
            </w:r>
            <w:r w:rsidRPr="00DE28A8" w:rsidDel="00532B08">
              <w:t xml:space="preserve"> </w:t>
            </w:r>
          </w:p>
        </w:tc>
      </w:tr>
      <w:tr w:rsidR="00D83857" w:rsidRPr="00907D69" w14:paraId="32D180A5" w14:textId="77777777" w:rsidTr="4C0A0968">
        <w:trPr>
          <w:cantSplit/>
          <w:trHeight w:val="283"/>
        </w:trPr>
        <w:tc>
          <w:tcPr>
            <w:tcW w:w="5000" w:type="pct"/>
            <w:gridSpan w:val="4"/>
          </w:tcPr>
          <w:p w14:paraId="43EB3EB5" w14:textId="70FAF1B6" w:rsidR="00D83857" w:rsidRPr="00907D69" w:rsidRDefault="00D83857" w:rsidP="4C0A0968">
            <w:pPr>
              <w:pStyle w:val="TableText"/>
              <w:rPr>
                <w:rFonts w:eastAsia="SimSun"/>
              </w:rPr>
            </w:pPr>
            <w:r w:rsidRPr="4C0A0968">
              <w:t>Ongoing QoL impact due to TV</w:t>
            </w:r>
            <w:r w:rsidR="00231438" w:rsidRPr="4C0A0968">
              <w:t>PM</w:t>
            </w:r>
            <w:r w:rsidRPr="4C0A0968">
              <w:t xml:space="preserve"> (base case -0.0051 per year to the model end)</w:t>
            </w:r>
          </w:p>
        </w:tc>
      </w:tr>
      <w:tr w:rsidR="00E44D74" w:rsidRPr="00CE28E3" w14:paraId="09EA5D7E" w14:textId="77777777" w:rsidTr="4C0A0968">
        <w:trPr>
          <w:cantSplit/>
          <w:trHeight w:val="283"/>
        </w:trPr>
        <w:tc>
          <w:tcPr>
            <w:tcW w:w="2240" w:type="pct"/>
          </w:tcPr>
          <w:p w14:paraId="2A40FA15" w14:textId="3D87AFAA" w:rsidR="00E44D74" w:rsidRDefault="00E44D74" w:rsidP="00E44D74">
            <w:pPr>
              <w:pStyle w:val="TableText"/>
            </w:pPr>
            <w:r>
              <w:t>50%</w:t>
            </w:r>
            <w:r w:rsidRPr="00CA50EE">
              <w:t xml:space="preserve"> </w:t>
            </w:r>
          </w:p>
        </w:tc>
        <w:tc>
          <w:tcPr>
            <w:tcW w:w="920" w:type="pct"/>
          </w:tcPr>
          <w:p w14:paraId="19C6BDB1" w14:textId="28A3FC41" w:rsidR="00E44D74" w:rsidRPr="003273F2" w:rsidRDefault="00E44D74" w:rsidP="00E44D74">
            <w:pPr>
              <w:pStyle w:val="TableText"/>
              <w:jc w:val="center"/>
              <w:rPr>
                <w:rFonts w:eastAsia="Calibri"/>
                <w:szCs w:val="20"/>
              </w:rPr>
            </w:pPr>
            <w:r>
              <w:rPr>
                <w:lang w:val="en-US"/>
              </w:rPr>
              <w:t>$</w:t>
            </w:r>
            <w:r>
              <w:rPr>
                <w:b/>
                <w:bCs/>
                <w:lang w:val="en-US"/>
              </w:rPr>
              <w:t>redacted</w:t>
            </w:r>
          </w:p>
        </w:tc>
        <w:tc>
          <w:tcPr>
            <w:tcW w:w="920" w:type="pct"/>
          </w:tcPr>
          <w:p w14:paraId="7867DC68" w14:textId="77777777" w:rsidR="00E44D74" w:rsidRPr="00CE28E3" w:rsidRDefault="00E44D74" w:rsidP="00E44D74">
            <w:pPr>
              <w:pStyle w:val="TableText"/>
              <w:jc w:val="center"/>
              <w:rPr>
                <w:rFonts w:eastAsia="Calibri"/>
                <w:szCs w:val="20"/>
              </w:rPr>
            </w:pPr>
            <w:r w:rsidRPr="00CA50EE">
              <w:t xml:space="preserve">0.0664 </w:t>
            </w:r>
          </w:p>
        </w:tc>
        <w:tc>
          <w:tcPr>
            <w:tcW w:w="920" w:type="pct"/>
          </w:tcPr>
          <w:p w14:paraId="437F68F5" w14:textId="6E449C42" w:rsidR="00E44D74" w:rsidRPr="003273F2" w:rsidRDefault="00E44D74" w:rsidP="00E44D74">
            <w:pPr>
              <w:pStyle w:val="TableText"/>
              <w:jc w:val="center"/>
              <w:rPr>
                <w:rFonts w:eastAsia="Calibri"/>
                <w:szCs w:val="20"/>
              </w:rPr>
            </w:pPr>
            <w:r w:rsidRPr="00A011D2">
              <w:rPr>
                <w:lang w:val="en-US"/>
              </w:rPr>
              <w:t>$</w:t>
            </w:r>
            <w:r w:rsidRPr="00A011D2">
              <w:rPr>
                <w:b/>
                <w:bCs/>
                <w:lang w:val="en-US"/>
              </w:rPr>
              <w:t>redacted</w:t>
            </w:r>
          </w:p>
        </w:tc>
      </w:tr>
      <w:tr w:rsidR="00E44D74" w:rsidRPr="00CE28E3" w14:paraId="56697310" w14:textId="77777777" w:rsidTr="4C0A0968">
        <w:trPr>
          <w:cantSplit/>
          <w:trHeight w:val="283"/>
        </w:trPr>
        <w:tc>
          <w:tcPr>
            <w:tcW w:w="2240" w:type="pct"/>
          </w:tcPr>
          <w:p w14:paraId="7F11601E" w14:textId="3667DE62" w:rsidR="00E44D74" w:rsidRDefault="00E44D74" w:rsidP="00E44D74">
            <w:pPr>
              <w:pStyle w:val="TableText"/>
            </w:pPr>
            <w:r>
              <w:t>25%</w:t>
            </w:r>
          </w:p>
        </w:tc>
        <w:tc>
          <w:tcPr>
            <w:tcW w:w="920" w:type="pct"/>
          </w:tcPr>
          <w:p w14:paraId="58A16BB0" w14:textId="6DA7908C" w:rsidR="00E44D74" w:rsidRPr="003273F2" w:rsidRDefault="00E44D74" w:rsidP="00E44D74">
            <w:pPr>
              <w:pStyle w:val="TableText"/>
              <w:jc w:val="center"/>
              <w:rPr>
                <w:rFonts w:eastAsia="Calibri"/>
                <w:szCs w:val="20"/>
              </w:rPr>
            </w:pPr>
            <w:r>
              <w:rPr>
                <w:lang w:val="en-US"/>
              </w:rPr>
              <w:t>$</w:t>
            </w:r>
            <w:r>
              <w:rPr>
                <w:b/>
                <w:bCs/>
                <w:lang w:val="en-US"/>
              </w:rPr>
              <w:t>redacted</w:t>
            </w:r>
          </w:p>
        </w:tc>
        <w:tc>
          <w:tcPr>
            <w:tcW w:w="920" w:type="pct"/>
          </w:tcPr>
          <w:p w14:paraId="43AD2477" w14:textId="77777777" w:rsidR="00E44D74" w:rsidRPr="00CE28E3" w:rsidRDefault="00E44D74" w:rsidP="00E44D74">
            <w:pPr>
              <w:pStyle w:val="TableText"/>
              <w:jc w:val="center"/>
              <w:rPr>
                <w:rFonts w:eastAsia="Calibri"/>
                <w:szCs w:val="20"/>
              </w:rPr>
            </w:pPr>
            <w:r w:rsidRPr="00CA50EE">
              <w:t xml:space="preserve">0.0598 </w:t>
            </w:r>
          </w:p>
        </w:tc>
        <w:tc>
          <w:tcPr>
            <w:tcW w:w="920" w:type="pct"/>
          </w:tcPr>
          <w:p w14:paraId="645CC7CA" w14:textId="24039214" w:rsidR="00E44D74" w:rsidRPr="004F530B" w:rsidRDefault="00E44D74" w:rsidP="00E44D74">
            <w:pPr>
              <w:pStyle w:val="TableText"/>
              <w:jc w:val="center"/>
              <w:rPr>
                <w:rFonts w:eastAsia="Calibri"/>
                <w:szCs w:val="20"/>
              </w:rPr>
            </w:pPr>
            <w:r w:rsidRPr="00A011D2">
              <w:rPr>
                <w:lang w:val="en-US"/>
              </w:rPr>
              <w:t>$</w:t>
            </w:r>
            <w:r w:rsidRPr="00A011D2">
              <w:rPr>
                <w:b/>
                <w:bCs/>
                <w:lang w:val="en-US"/>
              </w:rPr>
              <w:t>redacted</w:t>
            </w:r>
          </w:p>
        </w:tc>
      </w:tr>
      <w:tr w:rsidR="00E44D74" w:rsidRPr="00CE28E3" w14:paraId="51D5FEBC" w14:textId="77777777" w:rsidTr="4C0A0968">
        <w:trPr>
          <w:cantSplit/>
          <w:trHeight w:val="283"/>
        </w:trPr>
        <w:tc>
          <w:tcPr>
            <w:tcW w:w="2240" w:type="pct"/>
          </w:tcPr>
          <w:p w14:paraId="26700F1F" w14:textId="49CB216E" w:rsidR="00E44D74" w:rsidRDefault="00E44D74" w:rsidP="00E44D74">
            <w:pPr>
              <w:pStyle w:val="TableText"/>
            </w:pPr>
            <w:r>
              <w:t>200%</w:t>
            </w:r>
          </w:p>
        </w:tc>
        <w:tc>
          <w:tcPr>
            <w:tcW w:w="920" w:type="pct"/>
          </w:tcPr>
          <w:p w14:paraId="3400D7BA" w14:textId="47085CFF" w:rsidR="00E44D74" w:rsidRPr="004F530B" w:rsidRDefault="00E44D74" w:rsidP="00E44D74">
            <w:pPr>
              <w:pStyle w:val="TableText"/>
              <w:jc w:val="center"/>
              <w:rPr>
                <w:rFonts w:eastAsia="Calibri"/>
                <w:szCs w:val="20"/>
              </w:rPr>
            </w:pPr>
            <w:r w:rsidRPr="00522D42">
              <w:rPr>
                <w:lang w:val="en-US"/>
              </w:rPr>
              <w:t>$</w:t>
            </w:r>
            <w:r w:rsidRPr="00522D42">
              <w:rPr>
                <w:b/>
                <w:bCs/>
                <w:lang w:val="en-US"/>
              </w:rPr>
              <w:t>redacted</w:t>
            </w:r>
          </w:p>
        </w:tc>
        <w:tc>
          <w:tcPr>
            <w:tcW w:w="920" w:type="pct"/>
          </w:tcPr>
          <w:p w14:paraId="1F60CEA4" w14:textId="77777777" w:rsidR="00E44D74" w:rsidRPr="00CE28E3" w:rsidRDefault="00E44D74" w:rsidP="00E44D74">
            <w:pPr>
              <w:pStyle w:val="TableText"/>
              <w:jc w:val="center"/>
              <w:rPr>
                <w:rFonts w:eastAsia="Calibri"/>
                <w:szCs w:val="20"/>
              </w:rPr>
            </w:pPr>
            <w:r w:rsidRPr="00CA50EE">
              <w:t xml:space="preserve">0.1260 </w:t>
            </w:r>
          </w:p>
        </w:tc>
        <w:tc>
          <w:tcPr>
            <w:tcW w:w="920" w:type="pct"/>
          </w:tcPr>
          <w:p w14:paraId="5FE43BC6" w14:textId="087B9F50" w:rsidR="00E44D74" w:rsidRPr="004F530B" w:rsidRDefault="00E44D74" w:rsidP="00E44D74">
            <w:pPr>
              <w:pStyle w:val="TableText"/>
              <w:jc w:val="center"/>
              <w:rPr>
                <w:rFonts w:eastAsia="Calibri"/>
                <w:szCs w:val="20"/>
              </w:rPr>
            </w:pPr>
            <w:r w:rsidRPr="00A011D2">
              <w:rPr>
                <w:lang w:val="en-US"/>
              </w:rPr>
              <w:t>$</w:t>
            </w:r>
            <w:r w:rsidRPr="00A011D2">
              <w:rPr>
                <w:b/>
                <w:bCs/>
                <w:lang w:val="en-US"/>
              </w:rPr>
              <w:t>redacted</w:t>
            </w:r>
          </w:p>
        </w:tc>
      </w:tr>
      <w:tr w:rsidR="00E44D74" w:rsidRPr="00CE28E3" w14:paraId="4036FDF1" w14:textId="77777777" w:rsidTr="4C0A0968">
        <w:trPr>
          <w:cantSplit/>
          <w:trHeight w:val="283"/>
        </w:trPr>
        <w:tc>
          <w:tcPr>
            <w:tcW w:w="2240" w:type="pct"/>
          </w:tcPr>
          <w:p w14:paraId="199A4A0A" w14:textId="77777777" w:rsidR="00E44D74" w:rsidRDefault="00E44D74" w:rsidP="00E44D74">
            <w:pPr>
              <w:pStyle w:val="TableText"/>
            </w:pPr>
            <w:r w:rsidRPr="00CA50EE">
              <w:t xml:space="preserve">-0.0051 per year for 2 years </w:t>
            </w:r>
          </w:p>
        </w:tc>
        <w:tc>
          <w:tcPr>
            <w:tcW w:w="920" w:type="pct"/>
          </w:tcPr>
          <w:p w14:paraId="4F173002" w14:textId="79CD9381" w:rsidR="00E44D74" w:rsidRPr="004F530B" w:rsidRDefault="00E44D74" w:rsidP="00E44D74">
            <w:pPr>
              <w:pStyle w:val="TableText"/>
              <w:jc w:val="center"/>
              <w:rPr>
                <w:rFonts w:eastAsia="Calibri"/>
                <w:szCs w:val="20"/>
              </w:rPr>
            </w:pPr>
            <w:r w:rsidRPr="00522D42">
              <w:rPr>
                <w:lang w:val="en-US"/>
              </w:rPr>
              <w:t>$</w:t>
            </w:r>
            <w:r w:rsidRPr="00522D42">
              <w:rPr>
                <w:b/>
                <w:bCs/>
                <w:lang w:val="en-US"/>
              </w:rPr>
              <w:t>redacted</w:t>
            </w:r>
          </w:p>
        </w:tc>
        <w:tc>
          <w:tcPr>
            <w:tcW w:w="920" w:type="pct"/>
          </w:tcPr>
          <w:p w14:paraId="4799966A" w14:textId="77777777" w:rsidR="00E44D74" w:rsidRPr="00CE28E3" w:rsidRDefault="00E44D74" w:rsidP="00E44D74">
            <w:pPr>
              <w:pStyle w:val="TableText"/>
              <w:jc w:val="center"/>
              <w:rPr>
                <w:rFonts w:eastAsia="Calibri"/>
                <w:szCs w:val="20"/>
              </w:rPr>
            </w:pPr>
            <w:r w:rsidRPr="00CA50EE">
              <w:t xml:space="preserve">0.0579 </w:t>
            </w:r>
          </w:p>
        </w:tc>
        <w:tc>
          <w:tcPr>
            <w:tcW w:w="920" w:type="pct"/>
          </w:tcPr>
          <w:p w14:paraId="6A2C4A9B" w14:textId="4EEDD3CF" w:rsidR="00E44D74" w:rsidRPr="004F530B" w:rsidRDefault="00E44D74" w:rsidP="00E44D74">
            <w:pPr>
              <w:pStyle w:val="TableText"/>
              <w:jc w:val="center"/>
              <w:rPr>
                <w:rFonts w:eastAsia="Calibri"/>
                <w:szCs w:val="20"/>
              </w:rPr>
            </w:pPr>
            <w:r w:rsidRPr="00A011D2">
              <w:rPr>
                <w:lang w:val="en-US"/>
              </w:rPr>
              <w:t>$</w:t>
            </w:r>
            <w:r w:rsidRPr="00A011D2">
              <w:rPr>
                <w:b/>
                <w:bCs/>
                <w:lang w:val="en-US"/>
              </w:rPr>
              <w:t>redacted</w:t>
            </w:r>
          </w:p>
        </w:tc>
      </w:tr>
      <w:tr w:rsidR="00E44D74" w:rsidRPr="00CE28E3" w14:paraId="0A60EC75" w14:textId="77777777" w:rsidTr="4C0A0968">
        <w:trPr>
          <w:cantSplit/>
          <w:trHeight w:val="283"/>
        </w:trPr>
        <w:tc>
          <w:tcPr>
            <w:tcW w:w="2240" w:type="pct"/>
          </w:tcPr>
          <w:p w14:paraId="18B8D408" w14:textId="77777777" w:rsidR="00E44D74" w:rsidRDefault="00E44D74" w:rsidP="00E44D74">
            <w:pPr>
              <w:pStyle w:val="TableText"/>
            </w:pPr>
            <w:r w:rsidRPr="00CA50EE">
              <w:t xml:space="preserve">-0.0051 per year for 5 years </w:t>
            </w:r>
          </w:p>
        </w:tc>
        <w:tc>
          <w:tcPr>
            <w:tcW w:w="920" w:type="pct"/>
          </w:tcPr>
          <w:p w14:paraId="05AAE358" w14:textId="5C46B34B" w:rsidR="00E44D74" w:rsidRPr="004F530B" w:rsidRDefault="00E44D74" w:rsidP="00E44D74">
            <w:pPr>
              <w:pStyle w:val="TableText"/>
              <w:jc w:val="center"/>
              <w:rPr>
                <w:rFonts w:eastAsia="Calibri"/>
                <w:szCs w:val="20"/>
              </w:rPr>
            </w:pPr>
            <w:r w:rsidRPr="00522D42">
              <w:rPr>
                <w:lang w:val="en-US"/>
              </w:rPr>
              <w:t>$</w:t>
            </w:r>
            <w:r w:rsidRPr="00522D42">
              <w:rPr>
                <w:b/>
                <w:bCs/>
                <w:lang w:val="en-US"/>
              </w:rPr>
              <w:t>redacted</w:t>
            </w:r>
          </w:p>
        </w:tc>
        <w:tc>
          <w:tcPr>
            <w:tcW w:w="920" w:type="pct"/>
          </w:tcPr>
          <w:p w14:paraId="07E04F6F" w14:textId="77777777" w:rsidR="00E44D74" w:rsidRPr="00CE28E3" w:rsidRDefault="00E44D74" w:rsidP="00E44D74">
            <w:pPr>
              <w:pStyle w:val="TableText"/>
              <w:jc w:val="center"/>
              <w:rPr>
                <w:rFonts w:eastAsia="Calibri"/>
                <w:szCs w:val="20"/>
              </w:rPr>
            </w:pPr>
            <w:r w:rsidRPr="00CA50EE">
              <w:t xml:space="preserve">0.0687 </w:t>
            </w:r>
          </w:p>
        </w:tc>
        <w:tc>
          <w:tcPr>
            <w:tcW w:w="920" w:type="pct"/>
          </w:tcPr>
          <w:p w14:paraId="43540C19" w14:textId="06C29FFC" w:rsidR="00E44D74" w:rsidRPr="004F530B" w:rsidRDefault="00E44D74" w:rsidP="00E44D74">
            <w:pPr>
              <w:pStyle w:val="TableText"/>
              <w:jc w:val="center"/>
              <w:rPr>
                <w:rFonts w:eastAsia="Calibri"/>
                <w:szCs w:val="20"/>
              </w:rPr>
            </w:pPr>
            <w:r w:rsidRPr="00A011D2">
              <w:rPr>
                <w:lang w:val="en-US"/>
              </w:rPr>
              <w:t>$</w:t>
            </w:r>
            <w:r w:rsidRPr="00A011D2">
              <w:rPr>
                <w:b/>
                <w:bCs/>
                <w:lang w:val="en-US"/>
              </w:rPr>
              <w:t>redacted</w:t>
            </w:r>
          </w:p>
        </w:tc>
      </w:tr>
      <w:tr w:rsidR="00D83857" w:rsidRPr="00907D69" w14:paraId="3F8DC474" w14:textId="77777777" w:rsidTr="4C0A0968">
        <w:trPr>
          <w:cantSplit/>
          <w:trHeight w:val="283"/>
        </w:trPr>
        <w:tc>
          <w:tcPr>
            <w:tcW w:w="5000" w:type="pct"/>
            <w:gridSpan w:val="4"/>
            <w:tcBorders>
              <w:top w:val="single" w:sz="4" w:space="0" w:color="auto"/>
              <w:left w:val="single" w:sz="4" w:space="0" w:color="auto"/>
              <w:bottom w:val="single" w:sz="4" w:space="0" w:color="auto"/>
              <w:right w:val="single" w:sz="4" w:space="0" w:color="auto"/>
            </w:tcBorders>
          </w:tcPr>
          <w:p w14:paraId="70BDE1D6" w14:textId="77777777" w:rsidR="00D83857" w:rsidRPr="00907D69" w:rsidRDefault="00D83857" w:rsidP="00F31A7F">
            <w:pPr>
              <w:pStyle w:val="TableText"/>
              <w:rPr>
                <w:rFonts w:eastAsia="SimSun"/>
              </w:rPr>
            </w:pPr>
            <w:r w:rsidRPr="00907D69">
              <w:t>Post-procedural disutility (</w:t>
            </w:r>
            <w:r w:rsidRPr="00287F53">
              <w:t xml:space="preserve">base case </w:t>
            </w:r>
            <w:r w:rsidRPr="00907D69">
              <w:t>-0.0304)</w:t>
            </w:r>
          </w:p>
        </w:tc>
      </w:tr>
      <w:tr w:rsidR="00E44D74" w:rsidRPr="00CE28E3" w14:paraId="60CE8382" w14:textId="77777777" w:rsidTr="4C0A0968">
        <w:trPr>
          <w:cantSplit/>
          <w:trHeight w:val="283"/>
        </w:trPr>
        <w:tc>
          <w:tcPr>
            <w:tcW w:w="2240" w:type="pct"/>
            <w:tcBorders>
              <w:top w:val="single" w:sz="4" w:space="0" w:color="auto"/>
              <w:left w:val="single" w:sz="4" w:space="0" w:color="auto"/>
              <w:bottom w:val="single" w:sz="4" w:space="0" w:color="auto"/>
              <w:right w:val="single" w:sz="4" w:space="0" w:color="auto"/>
            </w:tcBorders>
          </w:tcPr>
          <w:p w14:paraId="3CB67DC4" w14:textId="5542E00B" w:rsidR="00E44D74" w:rsidRDefault="00E44D74" w:rsidP="00E44D74">
            <w:pPr>
              <w:pStyle w:val="TableText"/>
            </w:pPr>
            <w:r>
              <w:t>50%</w:t>
            </w:r>
            <w:r w:rsidRPr="00D347FF">
              <w:t xml:space="preserve"> </w:t>
            </w:r>
          </w:p>
        </w:tc>
        <w:tc>
          <w:tcPr>
            <w:tcW w:w="920" w:type="pct"/>
            <w:tcBorders>
              <w:top w:val="single" w:sz="4" w:space="0" w:color="auto"/>
              <w:left w:val="single" w:sz="4" w:space="0" w:color="auto"/>
              <w:bottom w:val="single" w:sz="4" w:space="0" w:color="auto"/>
              <w:right w:val="single" w:sz="4" w:space="0" w:color="auto"/>
            </w:tcBorders>
          </w:tcPr>
          <w:p w14:paraId="4003AA0F" w14:textId="67FC84CC" w:rsidR="00E44D74" w:rsidRPr="004F530B" w:rsidRDefault="00E44D74" w:rsidP="00E44D74">
            <w:pPr>
              <w:pStyle w:val="TableText"/>
              <w:jc w:val="center"/>
              <w:rPr>
                <w:rFonts w:eastAsia="Calibri"/>
                <w:strike/>
                <w:szCs w:val="20"/>
              </w:rPr>
            </w:pPr>
            <w:r w:rsidRPr="005178D1">
              <w:rPr>
                <w:lang w:val="en-US"/>
              </w:rPr>
              <w:t>$</w:t>
            </w:r>
            <w:r w:rsidRPr="005178D1">
              <w:rPr>
                <w:b/>
                <w:bCs/>
                <w:lang w:val="en-US"/>
              </w:rPr>
              <w:t>redacted</w:t>
            </w:r>
          </w:p>
        </w:tc>
        <w:tc>
          <w:tcPr>
            <w:tcW w:w="920" w:type="pct"/>
            <w:tcBorders>
              <w:top w:val="single" w:sz="4" w:space="0" w:color="auto"/>
              <w:left w:val="single" w:sz="4" w:space="0" w:color="auto"/>
              <w:bottom w:val="single" w:sz="4" w:space="0" w:color="auto"/>
              <w:right w:val="single" w:sz="4" w:space="0" w:color="auto"/>
            </w:tcBorders>
          </w:tcPr>
          <w:p w14:paraId="679FE3D4" w14:textId="77777777" w:rsidR="00E44D74" w:rsidRPr="00CE28E3" w:rsidRDefault="00E44D74" w:rsidP="00E44D74">
            <w:pPr>
              <w:pStyle w:val="TableText"/>
              <w:jc w:val="center"/>
              <w:rPr>
                <w:rFonts w:eastAsia="Calibri"/>
                <w:szCs w:val="20"/>
              </w:rPr>
            </w:pPr>
            <w:r w:rsidRPr="00D347FF">
              <w:t xml:space="preserve">0.0725 </w:t>
            </w:r>
          </w:p>
        </w:tc>
        <w:tc>
          <w:tcPr>
            <w:tcW w:w="920" w:type="pct"/>
            <w:tcBorders>
              <w:top w:val="single" w:sz="4" w:space="0" w:color="auto"/>
              <w:left w:val="single" w:sz="4" w:space="0" w:color="auto"/>
              <w:bottom w:val="single" w:sz="4" w:space="0" w:color="auto"/>
              <w:right w:val="single" w:sz="4" w:space="0" w:color="auto"/>
            </w:tcBorders>
          </w:tcPr>
          <w:p w14:paraId="7BF428CF" w14:textId="0E6616A9" w:rsidR="00E44D74" w:rsidRPr="004F530B" w:rsidRDefault="00E44D74" w:rsidP="00E44D74">
            <w:pPr>
              <w:pStyle w:val="TableText"/>
              <w:jc w:val="center"/>
              <w:rPr>
                <w:rFonts w:eastAsia="Calibri"/>
                <w:szCs w:val="20"/>
              </w:rPr>
            </w:pPr>
            <w:r w:rsidRPr="00434278">
              <w:rPr>
                <w:lang w:val="en-US"/>
              </w:rPr>
              <w:t>$</w:t>
            </w:r>
            <w:r w:rsidRPr="00434278">
              <w:rPr>
                <w:b/>
                <w:bCs/>
                <w:lang w:val="en-US"/>
              </w:rPr>
              <w:t>redacted</w:t>
            </w:r>
          </w:p>
        </w:tc>
      </w:tr>
      <w:tr w:rsidR="00E44D74" w:rsidRPr="00CE28E3" w14:paraId="7DE48CBA" w14:textId="77777777" w:rsidTr="4C0A0968">
        <w:trPr>
          <w:cantSplit/>
          <w:trHeight w:val="283"/>
        </w:trPr>
        <w:tc>
          <w:tcPr>
            <w:tcW w:w="2240" w:type="pct"/>
            <w:tcBorders>
              <w:top w:val="single" w:sz="4" w:space="0" w:color="auto"/>
              <w:left w:val="single" w:sz="4" w:space="0" w:color="auto"/>
              <w:bottom w:val="single" w:sz="4" w:space="0" w:color="auto"/>
              <w:right w:val="single" w:sz="4" w:space="0" w:color="auto"/>
            </w:tcBorders>
          </w:tcPr>
          <w:p w14:paraId="6D980B3C" w14:textId="066F2EF4" w:rsidR="00E44D74" w:rsidRDefault="00E44D74" w:rsidP="00E44D74">
            <w:pPr>
              <w:pStyle w:val="TableText"/>
            </w:pPr>
            <w:r>
              <w:t>200%</w:t>
            </w:r>
          </w:p>
        </w:tc>
        <w:tc>
          <w:tcPr>
            <w:tcW w:w="920" w:type="pct"/>
            <w:tcBorders>
              <w:top w:val="single" w:sz="4" w:space="0" w:color="auto"/>
              <w:left w:val="single" w:sz="4" w:space="0" w:color="auto"/>
              <w:bottom w:val="single" w:sz="4" w:space="0" w:color="auto"/>
              <w:right w:val="single" w:sz="4" w:space="0" w:color="auto"/>
            </w:tcBorders>
          </w:tcPr>
          <w:p w14:paraId="7CF3E40B" w14:textId="787205DA" w:rsidR="00E44D74" w:rsidRPr="004F530B" w:rsidRDefault="00E44D74" w:rsidP="00E44D74">
            <w:pPr>
              <w:pStyle w:val="TableText"/>
              <w:jc w:val="center"/>
              <w:rPr>
                <w:rFonts w:eastAsia="Calibri"/>
                <w:strike/>
                <w:szCs w:val="20"/>
              </w:rPr>
            </w:pPr>
            <w:r w:rsidRPr="005178D1">
              <w:rPr>
                <w:lang w:val="en-US"/>
              </w:rPr>
              <w:t>$</w:t>
            </w:r>
            <w:r w:rsidRPr="005178D1">
              <w:rPr>
                <w:b/>
                <w:bCs/>
                <w:lang w:val="en-US"/>
              </w:rPr>
              <w:t>redacted</w:t>
            </w:r>
          </w:p>
        </w:tc>
        <w:tc>
          <w:tcPr>
            <w:tcW w:w="920" w:type="pct"/>
            <w:tcBorders>
              <w:top w:val="single" w:sz="4" w:space="0" w:color="auto"/>
              <w:left w:val="single" w:sz="4" w:space="0" w:color="auto"/>
              <w:bottom w:val="single" w:sz="4" w:space="0" w:color="auto"/>
              <w:right w:val="single" w:sz="4" w:space="0" w:color="auto"/>
            </w:tcBorders>
          </w:tcPr>
          <w:p w14:paraId="338085E3" w14:textId="77777777" w:rsidR="00E44D74" w:rsidRPr="00CE28E3" w:rsidRDefault="00E44D74" w:rsidP="00E44D74">
            <w:pPr>
              <w:pStyle w:val="TableText"/>
              <w:jc w:val="center"/>
              <w:rPr>
                <w:rFonts w:eastAsia="Calibri"/>
                <w:szCs w:val="20"/>
              </w:rPr>
            </w:pPr>
            <w:r w:rsidRPr="00D347FF">
              <w:t xml:space="preserve">0.1137 </w:t>
            </w:r>
          </w:p>
        </w:tc>
        <w:tc>
          <w:tcPr>
            <w:tcW w:w="920" w:type="pct"/>
            <w:tcBorders>
              <w:top w:val="single" w:sz="4" w:space="0" w:color="auto"/>
              <w:left w:val="single" w:sz="4" w:space="0" w:color="auto"/>
              <w:bottom w:val="single" w:sz="4" w:space="0" w:color="auto"/>
              <w:right w:val="single" w:sz="4" w:space="0" w:color="auto"/>
            </w:tcBorders>
          </w:tcPr>
          <w:p w14:paraId="649D3419" w14:textId="4F40AB64" w:rsidR="00E44D74" w:rsidRPr="004F530B" w:rsidRDefault="00E44D74" w:rsidP="00E44D74">
            <w:pPr>
              <w:pStyle w:val="TableText"/>
              <w:jc w:val="center"/>
              <w:rPr>
                <w:rFonts w:eastAsia="Calibri"/>
                <w:strike/>
                <w:szCs w:val="20"/>
              </w:rPr>
            </w:pPr>
            <w:r w:rsidRPr="00434278">
              <w:rPr>
                <w:lang w:val="en-US"/>
              </w:rPr>
              <w:t>$</w:t>
            </w:r>
            <w:r w:rsidRPr="00434278">
              <w:rPr>
                <w:b/>
                <w:bCs/>
                <w:lang w:val="en-US"/>
              </w:rPr>
              <w:t>redacted</w:t>
            </w:r>
          </w:p>
        </w:tc>
      </w:tr>
      <w:tr w:rsidR="00E44D74" w:rsidRPr="00CE28E3" w14:paraId="399E60F4" w14:textId="77777777" w:rsidTr="4C0A0968">
        <w:trPr>
          <w:cantSplit/>
          <w:trHeight w:val="283"/>
        </w:trPr>
        <w:tc>
          <w:tcPr>
            <w:tcW w:w="2240" w:type="pct"/>
            <w:tcBorders>
              <w:top w:val="single" w:sz="4" w:space="0" w:color="auto"/>
              <w:left w:val="single" w:sz="4" w:space="0" w:color="auto"/>
              <w:bottom w:val="single" w:sz="4" w:space="0" w:color="auto"/>
              <w:right w:val="single" w:sz="4" w:space="0" w:color="auto"/>
            </w:tcBorders>
          </w:tcPr>
          <w:p w14:paraId="43F7C01E" w14:textId="77777777" w:rsidR="00E44D74" w:rsidRDefault="00E44D74" w:rsidP="00E44D74">
            <w:pPr>
              <w:pStyle w:val="TableText"/>
            </w:pPr>
            <w:r w:rsidRPr="00D347FF">
              <w:t>Taken out</w:t>
            </w:r>
          </w:p>
        </w:tc>
        <w:tc>
          <w:tcPr>
            <w:tcW w:w="920" w:type="pct"/>
            <w:tcBorders>
              <w:top w:val="single" w:sz="4" w:space="0" w:color="auto"/>
              <w:left w:val="single" w:sz="4" w:space="0" w:color="auto"/>
              <w:bottom w:val="single" w:sz="4" w:space="0" w:color="auto"/>
              <w:right w:val="single" w:sz="4" w:space="0" w:color="auto"/>
            </w:tcBorders>
          </w:tcPr>
          <w:p w14:paraId="1292252E" w14:textId="0DAED118" w:rsidR="00E44D74" w:rsidRPr="004F530B" w:rsidRDefault="00E44D74" w:rsidP="00E44D74">
            <w:pPr>
              <w:pStyle w:val="TableText"/>
              <w:jc w:val="center"/>
              <w:rPr>
                <w:rFonts w:eastAsia="Calibri"/>
                <w:strike/>
                <w:szCs w:val="20"/>
              </w:rPr>
            </w:pPr>
            <w:r w:rsidRPr="005178D1">
              <w:rPr>
                <w:lang w:val="en-US"/>
              </w:rPr>
              <w:t>$</w:t>
            </w:r>
            <w:r w:rsidRPr="005178D1">
              <w:rPr>
                <w:b/>
                <w:bCs/>
                <w:lang w:val="en-US"/>
              </w:rPr>
              <w:t>redacted</w:t>
            </w:r>
          </w:p>
        </w:tc>
        <w:tc>
          <w:tcPr>
            <w:tcW w:w="920" w:type="pct"/>
            <w:tcBorders>
              <w:top w:val="single" w:sz="4" w:space="0" w:color="auto"/>
              <w:left w:val="single" w:sz="4" w:space="0" w:color="auto"/>
              <w:bottom w:val="single" w:sz="4" w:space="0" w:color="auto"/>
              <w:right w:val="single" w:sz="4" w:space="0" w:color="auto"/>
            </w:tcBorders>
          </w:tcPr>
          <w:p w14:paraId="0BA906DE" w14:textId="77777777" w:rsidR="00E44D74" w:rsidRPr="00CE28E3" w:rsidRDefault="00E44D74" w:rsidP="00E44D74">
            <w:pPr>
              <w:pStyle w:val="TableText"/>
              <w:jc w:val="center"/>
              <w:rPr>
                <w:rFonts w:eastAsia="Calibri"/>
                <w:szCs w:val="20"/>
              </w:rPr>
            </w:pPr>
            <w:r w:rsidRPr="00D347FF">
              <w:t xml:space="preserve">0.0588 </w:t>
            </w:r>
          </w:p>
        </w:tc>
        <w:tc>
          <w:tcPr>
            <w:tcW w:w="920" w:type="pct"/>
            <w:tcBorders>
              <w:top w:val="single" w:sz="4" w:space="0" w:color="auto"/>
              <w:left w:val="single" w:sz="4" w:space="0" w:color="auto"/>
              <w:bottom w:val="single" w:sz="4" w:space="0" w:color="auto"/>
              <w:right w:val="single" w:sz="4" w:space="0" w:color="auto"/>
            </w:tcBorders>
          </w:tcPr>
          <w:p w14:paraId="6E792C1E" w14:textId="21DD5BB9" w:rsidR="00E44D74" w:rsidRPr="004F530B" w:rsidRDefault="00E44D74" w:rsidP="00E44D74">
            <w:pPr>
              <w:pStyle w:val="TableText"/>
              <w:jc w:val="center"/>
              <w:rPr>
                <w:rFonts w:eastAsia="Calibri"/>
                <w:strike/>
                <w:szCs w:val="20"/>
              </w:rPr>
            </w:pPr>
            <w:r w:rsidRPr="00434278">
              <w:rPr>
                <w:lang w:val="en-US"/>
              </w:rPr>
              <w:t>$</w:t>
            </w:r>
            <w:r w:rsidRPr="00434278">
              <w:rPr>
                <w:b/>
                <w:bCs/>
                <w:lang w:val="en-US"/>
              </w:rPr>
              <w:t>redacted</w:t>
            </w:r>
          </w:p>
        </w:tc>
      </w:tr>
      <w:tr w:rsidR="00D83857" w:rsidRPr="00907D69" w14:paraId="1892CA31" w14:textId="77777777" w:rsidTr="4C0A0968">
        <w:trPr>
          <w:cantSplit/>
          <w:trHeight w:val="283"/>
        </w:trPr>
        <w:tc>
          <w:tcPr>
            <w:tcW w:w="5000" w:type="pct"/>
            <w:gridSpan w:val="4"/>
            <w:tcBorders>
              <w:top w:val="single" w:sz="4" w:space="0" w:color="auto"/>
              <w:left w:val="single" w:sz="4" w:space="0" w:color="auto"/>
              <w:bottom w:val="single" w:sz="4" w:space="0" w:color="auto"/>
              <w:right w:val="single" w:sz="4" w:space="0" w:color="auto"/>
            </w:tcBorders>
          </w:tcPr>
          <w:p w14:paraId="0BFA3368" w14:textId="77777777" w:rsidR="00D83857" w:rsidRPr="00907D69" w:rsidRDefault="00D83857" w:rsidP="00F31A7F">
            <w:pPr>
              <w:pStyle w:val="TableText"/>
              <w:rPr>
                <w:rFonts w:eastAsia="SimSun"/>
              </w:rPr>
            </w:pPr>
            <w:r w:rsidRPr="00907D69">
              <w:t>Infection cost (</w:t>
            </w:r>
            <w:r w:rsidRPr="00287F53">
              <w:t xml:space="preserve">base case </w:t>
            </w:r>
            <w:r w:rsidRPr="00907D69">
              <w:t>$125,630)</w:t>
            </w:r>
          </w:p>
        </w:tc>
      </w:tr>
      <w:tr w:rsidR="00D83857" w:rsidRPr="00CE28E3" w14:paraId="70B4CEC0" w14:textId="77777777" w:rsidTr="4C0A0968">
        <w:trPr>
          <w:cantSplit/>
          <w:trHeight w:val="283"/>
        </w:trPr>
        <w:tc>
          <w:tcPr>
            <w:tcW w:w="2240" w:type="pct"/>
            <w:tcBorders>
              <w:top w:val="single" w:sz="4" w:space="0" w:color="auto"/>
              <w:left w:val="single" w:sz="4" w:space="0" w:color="auto"/>
              <w:bottom w:val="single" w:sz="4" w:space="0" w:color="auto"/>
              <w:right w:val="single" w:sz="4" w:space="0" w:color="auto"/>
            </w:tcBorders>
          </w:tcPr>
          <w:p w14:paraId="6FCEFE78" w14:textId="40C328E5" w:rsidR="00D83857" w:rsidRPr="00907D69" w:rsidRDefault="00C145F2" w:rsidP="00F31A7F">
            <w:pPr>
              <w:pStyle w:val="TableText"/>
            </w:pPr>
            <w:r>
              <w:t>200%</w:t>
            </w:r>
          </w:p>
        </w:tc>
        <w:tc>
          <w:tcPr>
            <w:tcW w:w="920" w:type="pct"/>
            <w:tcBorders>
              <w:top w:val="single" w:sz="4" w:space="0" w:color="auto"/>
              <w:left w:val="single" w:sz="4" w:space="0" w:color="auto"/>
              <w:bottom w:val="single" w:sz="4" w:space="0" w:color="auto"/>
              <w:right w:val="single" w:sz="4" w:space="0" w:color="auto"/>
            </w:tcBorders>
          </w:tcPr>
          <w:p w14:paraId="730541F1" w14:textId="40259D67" w:rsidR="00D83857" w:rsidRPr="00CE28E3" w:rsidRDefault="00CB50D4" w:rsidP="00F31A7F">
            <w:pPr>
              <w:pStyle w:val="TableText"/>
              <w:jc w:val="center"/>
              <w:rPr>
                <w:rFonts w:eastAsia="Calibri"/>
                <w:szCs w:val="20"/>
              </w:rPr>
            </w:pPr>
            <w:r w:rsidRPr="005178D1">
              <w:rPr>
                <w:lang w:val="en-US"/>
              </w:rPr>
              <w:t>$</w:t>
            </w:r>
            <w:r w:rsidRPr="005178D1">
              <w:rPr>
                <w:b/>
                <w:bCs/>
                <w:lang w:val="en-US"/>
              </w:rPr>
              <w:t>redacted</w:t>
            </w:r>
            <w:r w:rsidRPr="00B46014" w:rsidDel="00532B08">
              <w:t xml:space="preserve"> </w:t>
            </w:r>
          </w:p>
        </w:tc>
        <w:tc>
          <w:tcPr>
            <w:tcW w:w="920" w:type="pct"/>
            <w:tcBorders>
              <w:top w:val="single" w:sz="4" w:space="0" w:color="auto"/>
              <w:left w:val="single" w:sz="4" w:space="0" w:color="auto"/>
              <w:bottom w:val="single" w:sz="4" w:space="0" w:color="auto"/>
              <w:right w:val="single" w:sz="4" w:space="0" w:color="auto"/>
            </w:tcBorders>
          </w:tcPr>
          <w:p w14:paraId="2BBFC099" w14:textId="77777777" w:rsidR="00D83857" w:rsidRPr="00CE28E3" w:rsidRDefault="00D83857" w:rsidP="00F31A7F">
            <w:pPr>
              <w:pStyle w:val="TableText"/>
              <w:jc w:val="center"/>
              <w:rPr>
                <w:rFonts w:eastAsia="Calibri"/>
                <w:szCs w:val="20"/>
              </w:rPr>
            </w:pPr>
            <w:r w:rsidRPr="00B46014">
              <w:t xml:space="preserve">0.0863 </w:t>
            </w:r>
          </w:p>
        </w:tc>
        <w:tc>
          <w:tcPr>
            <w:tcW w:w="920" w:type="pct"/>
            <w:tcBorders>
              <w:top w:val="single" w:sz="4" w:space="0" w:color="auto"/>
              <w:left w:val="single" w:sz="4" w:space="0" w:color="auto"/>
              <w:bottom w:val="single" w:sz="4" w:space="0" w:color="auto"/>
              <w:right w:val="single" w:sz="4" w:space="0" w:color="auto"/>
            </w:tcBorders>
          </w:tcPr>
          <w:p w14:paraId="764C85C5" w14:textId="17E66B3A" w:rsidR="00D83857" w:rsidRPr="00CE28E3" w:rsidRDefault="00CB50D4" w:rsidP="00F31A7F">
            <w:pPr>
              <w:pStyle w:val="TableText"/>
              <w:jc w:val="center"/>
              <w:rPr>
                <w:rFonts w:eastAsia="Calibri"/>
                <w:szCs w:val="20"/>
              </w:rPr>
            </w:pPr>
            <w:r w:rsidRPr="005178D1">
              <w:rPr>
                <w:lang w:val="en-US"/>
              </w:rPr>
              <w:t>$</w:t>
            </w:r>
            <w:r w:rsidRPr="005178D1">
              <w:rPr>
                <w:b/>
                <w:bCs/>
                <w:lang w:val="en-US"/>
              </w:rPr>
              <w:t>redacted</w:t>
            </w:r>
            <w:r w:rsidRPr="00B46014" w:rsidDel="00532B08">
              <w:t xml:space="preserve"> </w:t>
            </w:r>
          </w:p>
        </w:tc>
      </w:tr>
      <w:tr w:rsidR="00D83857" w:rsidRPr="002723E5" w14:paraId="54ED5C53" w14:textId="77777777" w:rsidTr="4C0A0968">
        <w:trPr>
          <w:cantSplit/>
          <w:trHeight w:val="283"/>
        </w:trPr>
        <w:tc>
          <w:tcPr>
            <w:tcW w:w="5000" w:type="pct"/>
            <w:gridSpan w:val="4"/>
            <w:tcBorders>
              <w:top w:val="single" w:sz="4" w:space="0" w:color="auto"/>
              <w:left w:val="single" w:sz="4" w:space="0" w:color="auto"/>
              <w:bottom w:val="single" w:sz="4" w:space="0" w:color="auto"/>
              <w:right w:val="single" w:sz="4" w:space="0" w:color="auto"/>
            </w:tcBorders>
          </w:tcPr>
          <w:p w14:paraId="636C8313" w14:textId="77777777" w:rsidR="00D83857" w:rsidRPr="002723E5" w:rsidRDefault="00D83857">
            <w:pPr>
              <w:pStyle w:val="TableText"/>
              <w:keepNext/>
              <w:rPr>
                <w:rFonts w:eastAsia="SimSun"/>
              </w:rPr>
            </w:pPr>
            <w:r w:rsidRPr="00907D69">
              <w:t>Infection mortality (</w:t>
            </w:r>
            <w:r w:rsidRPr="00287F53">
              <w:t xml:space="preserve">base case </w:t>
            </w:r>
            <w:r w:rsidRPr="00907D69">
              <w:t>36%)</w:t>
            </w:r>
          </w:p>
        </w:tc>
      </w:tr>
      <w:tr w:rsidR="00D83857" w:rsidRPr="00CE28E3" w14:paraId="03841D4B" w14:textId="77777777" w:rsidTr="4C0A0968">
        <w:trPr>
          <w:cantSplit/>
          <w:trHeight w:val="283"/>
        </w:trPr>
        <w:tc>
          <w:tcPr>
            <w:tcW w:w="2240" w:type="pct"/>
            <w:tcBorders>
              <w:top w:val="single" w:sz="4" w:space="0" w:color="auto"/>
              <w:left w:val="single" w:sz="4" w:space="0" w:color="auto"/>
              <w:bottom w:val="single" w:sz="4" w:space="0" w:color="auto"/>
              <w:right w:val="single" w:sz="4" w:space="0" w:color="auto"/>
            </w:tcBorders>
          </w:tcPr>
          <w:p w14:paraId="36B9C21B" w14:textId="409D13DB" w:rsidR="00D83857" w:rsidRPr="00907D69" w:rsidRDefault="00B874F1" w:rsidP="00F31A7F">
            <w:pPr>
              <w:pStyle w:val="TableText"/>
            </w:pPr>
            <w:r>
              <w:t>25%</w:t>
            </w:r>
          </w:p>
        </w:tc>
        <w:tc>
          <w:tcPr>
            <w:tcW w:w="920" w:type="pct"/>
            <w:tcBorders>
              <w:top w:val="single" w:sz="4" w:space="0" w:color="auto"/>
              <w:left w:val="single" w:sz="4" w:space="0" w:color="auto"/>
              <w:bottom w:val="single" w:sz="4" w:space="0" w:color="auto"/>
              <w:right w:val="single" w:sz="4" w:space="0" w:color="auto"/>
            </w:tcBorders>
          </w:tcPr>
          <w:p w14:paraId="0F5860ED" w14:textId="078E376F" w:rsidR="00D83857" w:rsidRPr="00CE28E3" w:rsidRDefault="00CB50D4" w:rsidP="00F31A7F">
            <w:pPr>
              <w:pStyle w:val="TableText"/>
              <w:jc w:val="center"/>
              <w:rPr>
                <w:rFonts w:eastAsia="Calibri"/>
                <w:szCs w:val="20"/>
              </w:rPr>
            </w:pPr>
            <w:r w:rsidRPr="005178D1">
              <w:rPr>
                <w:lang w:val="en-US"/>
              </w:rPr>
              <w:t>$</w:t>
            </w:r>
            <w:r w:rsidRPr="005178D1">
              <w:rPr>
                <w:b/>
                <w:bCs/>
                <w:lang w:val="en-US"/>
              </w:rPr>
              <w:t>redacted</w:t>
            </w:r>
            <w:r w:rsidRPr="00EB1505" w:rsidDel="00532B08">
              <w:t xml:space="preserve"> </w:t>
            </w:r>
          </w:p>
        </w:tc>
        <w:tc>
          <w:tcPr>
            <w:tcW w:w="920" w:type="pct"/>
            <w:tcBorders>
              <w:top w:val="single" w:sz="4" w:space="0" w:color="auto"/>
              <w:left w:val="single" w:sz="4" w:space="0" w:color="auto"/>
              <w:bottom w:val="single" w:sz="4" w:space="0" w:color="auto"/>
              <w:right w:val="single" w:sz="4" w:space="0" w:color="auto"/>
            </w:tcBorders>
          </w:tcPr>
          <w:p w14:paraId="4C8B12C7" w14:textId="77777777" w:rsidR="00D83857" w:rsidRPr="00CE28E3" w:rsidRDefault="00D83857" w:rsidP="00F31A7F">
            <w:pPr>
              <w:pStyle w:val="TableText"/>
              <w:jc w:val="center"/>
              <w:rPr>
                <w:rFonts w:eastAsia="Calibri"/>
                <w:szCs w:val="20"/>
              </w:rPr>
            </w:pPr>
            <w:r w:rsidRPr="00EB1505">
              <w:t xml:space="preserve">0.0729 </w:t>
            </w:r>
          </w:p>
        </w:tc>
        <w:tc>
          <w:tcPr>
            <w:tcW w:w="920" w:type="pct"/>
            <w:tcBorders>
              <w:top w:val="single" w:sz="4" w:space="0" w:color="auto"/>
              <w:left w:val="single" w:sz="4" w:space="0" w:color="auto"/>
              <w:bottom w:val="single" w:sz="4" w:space="0" w:color="auto"/>
              <w:right w:val="single" w:sz="4" w:space="0" w:color="auto"/>
            </w:tcBorders>
          </w:tcPr>
          <w:p w14:paraId="0E5C3C5B" w14:textId="4EFFDC35" w:rsidR="00D83857" w:rsidRPr="00CE28E3" w:rsidRDefault="00CB50D4" w:rsidP="00F31A7F">
            <w:pPr>
              <w:pStyle w:val="TableText"/>
              <w:jc w:val="center"/>
              <w:rPr>
                <w:rFonts w:eastAsia="Calibri"/>
                <w:szCs w:val="20"/>
              </w:rPr>
            </w:pPr>
            <w:r w:rsidRPr="005178D1">
              <w:rPr>
                <w:lang w:val="en-US"/>
              </w:rPr>
              <w:t>$</w:t>
            </w:r>
            <w:r w:rsidRPr="005178D1">
              <w:rPr>
                <w:b/>
                <w:bCs/>
                <w:lang w:val="en-US"/>
              </w:rPr>
              <w:t>redacted</w:t>
            </w:r>
            <w:r w:rsidRPr="00EB1505" w:rsidDel="00532B08">
              <w:t xml:space="preserve"> </w:t>
            </w:r>
          </w:p>
        </w:tc>
      </w:tr>
      <w:tr w:rsidR="00D83857" w:rsidRPr="00CE28E3" w14:paraId="0C7D8827" w14:textId="77777777" w:rsidTr="4C0A0968">
        <w:trPr>
          <w:cantSplit/>
          <w:trHeight w:val="283"/>
        </w:trPr>
        <w:tc>
          <w:tcPr>
            <w:tcW w:w="2240" w:type="pct"/>
            <w:tcBorders>
              <w:top w:val="single" w:sz="4" w:space="0" w:color="auto"/>
              <w:left w:val="single" w:sz="4" w:space="0" w:color="auto"/>
              <w:bottom w:val="single" w:sz="4" w:space="0" w:color="auto"/>
              <w:right w:val="single" w:sz="4" w:space="0" w:color="auto"/>
            </w:tcBorders>
          </w:tcPr>
          <w:p w14:paraId="7E647C7E" w14:textId="77777777" w:rsidR="00D83857" w:rsidRPr="00907D69" w:rsidRDefault="00D83857" w:rsidP="00F31A7F">
            <w:pPr>
              <w:pStyle w:val="TableText"/>
            </w:pPr>
            <w:r w:rsidRPr="00EB1505">
              <w:t>Taken out</w:t>
            </w:r>
          </w:p>
        </w:tc>
        <w:tc>
          <w:tcPr>
            <w:tcW w:w="920" w:type="pct"/>
            <w:tcBorders>
              <w:top w:val="single" w:sz="4" w:space="0" w:color="auto"/>
              <w:left w:val="single" w:sz="4" w:space="0" w:color="auto"/>
              <w:bottom w:val="single" w:sz="4" w:space="0" w:color="auto"/>
              <w:right w:val="single" w:sz="4" w:space="0" w:color="auto"/>
            </w:tcBorders>
          </w:tcPr>
          <w:p w14:paraId="7008DB17" w14:textId="2A23D533" w:rsidR="00D83857" w:rsidRPr="00CE28E3" w:rsidRDefault="00CB50D4" w:rsidP="00F31A7F">
            <w:pPr>
              <w:pStyle w:val="TableText"/>
              <w:jc w:val="center"/>
              <w:rPr>
                <w:rFonts w:eastAsia="Calibri"/>
                <w:szCs w:val="20"/>
              </w:rPr>
            </w:pPr>
            <w:r w:rsidRPr="005178D1">
              <w:rPr>
                <w:lang w:val="en-US"/>
              </w:rPr>
              <w:t>$</w:t>
            </w:r>
            <w:r w:rsidRPr="005178D1">
              <w:rPr>
                <w:b/>
                <w:bCs/>
                <w:lang w:val="en-US"/>
              </w:rPr>
              <w:t>redacted</w:t>
            </w:r>
            <w:r w:rsidRPr="00EB1505" w:rsidDel="00532B08">
              <w:t xml:space="preserve"> </w:t>
            </w:r>
          </w:p>
        </w:tc>
        <w:tc>
          <w:tcPr>
            <w:tcW w:w="920" w:type="pct"/>
            <w:tcBorders>
              <w:top w:val="single" w:sz="4" w:space="0" w:color="auto"/>
              <w:left w:val="single" w:sz="4" w:space="0" w:color="auto"/>
              <w:bottom w:val="single" w:sz="4" w:space="0" w:color="auto"/>
              <w:right w:val="single" w:sz="4" w:space="0" w:color="auto"/>
            </w:tcBorders>
          </w:tcPr>
          <w:p w14:paraId="1ECA0229" w14:textId="77777777" w:rsidR="00D83857" w:rsidRPr="00CE28E3" w:rsidRDefault="00D83857" w:rsidP="00F31A7F">
            <w:pPr>
              <w:pStyle w:val="TableText"/>
              <w:jc w:val="center"/>
              <w:rPr>
                <w:rFonts w:eastAsia="Calibri"/>
                <w:szCs w:val="20"/>
              </w:rPr>
            </w:pPr>
            <w:r w:rsidRPr="00EB1505">
              <w:t xml:space="preserve">0.0703 </w:t>
            </w:r>
          </w:p>
        </w:tc>
        <w:tc>
          <w:tcPr>
            <w:tcW w:w="920" w:type="pct"/>
            <w:tcBorders>
              <w:top w:val="single" w:sz="4" w:space="0" w:color="auto"/>
              <w:left w:val="single" w:sz="4" w:space="0" w:color="auto"/>
              <w:bottom w:val="single" w:sz="4" w:space="0" w:color="auto"/>
              <w:right w:val="single" w:sz="4" w:space="0" w:color="auto"/>
            </w:tcBorders>
          </w:tcPr>
          <w:p w14:paraId="46C19BA9" w14:textId="4CF374D9" w:rsidR="00D83857" w:rsidRPr="00CE28E3" w:rsidRDefault="00CB50D4" w:rsidP="00F31A7F">
            <w:pPr>
              <w:pStyle w:val="TableText"/>
              <w:jc w:val="center"/>
              <w:rPr>
                <w:rFonts w:eastAsia="Calibri"/>
                <w:szCs w:val="20"/>
              </w:rPr>
            </w:pPr>
            <w:r w:rsidRPr="005178D1">
              <w:rPr>
                <w:lang w:val="en-US"/>
              </w:rPr>
              <w:t>$</w:t>
            </w:r>
            <w:r w:rsidRPr="005178D1">
              <w:rPr>
                <w:b/>
                <w:bCs/>
                <w:lang w:val="en-US"/>
              </w:rPr>
              <w:t>redacted</w:t>
            </w:r>
            <w:r w:rsidRPr="00EB1505" w:rsidDel="00532B08">
              <w:t xml:space="preserve"> </w:t>
            </w:r>
          </w:p>
        </w:tc>
      </w:tr>
      <w:tr w:rsidR="00D83857" w:rsidRPr="00907D69" w14:paraId="2393289A" w14:textId="77777777" w:rsidTr="4C0A0968">
        <w:trPr>
          <w:cantSplit/>
          <w:trHeight w:val="283"/>
        </w:trPr>
        <w:tc>
          <w:tcPr>
            <w:tcW w:w="5000" w:type="pct"/>
            <w:gridSpan w:val="4"/>
            <w:tcBorders>
              <w:top w:val="single" w:sz="4" w:space="0" w:color="auto"/>
              <w:left w:val="single" w:sz="4" w:space="0" w:color="auto"/>
              <w:bottom w:val="single" w:sz="4" w:space="0" w:color="auto"/>
              <w:right w:val="single" w:sz="4" w:space="0" w:color="auto"/>
            </w:tcBorders>
          </w:tcPr>
          <w:p w14:paraId="46DCE6E8" w14:textId="77777777" w:rsidR="00D83857" w:rsidRPr="00907D69" w:rsidRDefault="00D83857" w:rsidP="00F31A7F">
            <w:pPr>
              <w:pStyle w:val="TableText"/>
              <w:rPr>
                <w:rFonts w:eastAsia="SimSun"/>
              </w:rPr>
            </w:pPr>
            <w:r w:rsidRPr="00907D69">
              <w:t>Complication risks</w:t>
            </w:r>
          </w:p>
        </w:tc>
      </w:tr>
      <w:tr w:rsidR="00D83857" w:rsidRPr="00CE28E3" w14:paraId="724E4919" w14:textId="77777777" w:rsidTr="4C0A0968">
        <w:trPr>
          <w:cantSplit/>
          <w:trHeight w:val="283"/>
        </w:trPr>
        <w:tc>
          <w:tcPr>
            <w:tcW w:w="2240" w:type="pct"/>
            <w:tcBorders>
              <w:top w:val="single" w:sz="4" w:space="0" w:color="auto"/>
              <w:left w:val="single" w:sz="4" w:space="0" w:color="auto"/>
              <w:bottom w:val="single" w:sz="4" w:space="0" w:color="auto"/>
              <w:right w:val="single" w:sz="4" w:space="0" w:color="auto"/>
            </w:tcBorders>
          </w:tcPr>
          <w:p w14:paraId="5F895903" w14:textId="77777777" w:rsidR="00D83857" w:rsidRPr="00907D69" w:rsidRDefault="00D83857" w:rsidP="00F31A7F">
            <w:pPr>
              <w:pStyle w:val="TableText"/>
            </w:pPr>
            <w:r w:rsidRPr="0063566A">
              <w:t>No risks after 2 years</w:t>
            </w:r>
          </w:p>
        </w:tc>
        <w:tc>
          <w:tcPr>
            <w:tcW w:w="920" w:type="pct"/>
            <w:tcBorders>
              <w:top w:val="single" w:sz="4" w:space="0" w:color="auto"/>
              <w:left w:val="single" w:sz="4" w:space="0" w:color="auto"/>
              <w:bottom w:val="single" w:sz="4" w:space="0" w:color="auto"/>
              <w:right w:val="single" w:sz="4" w:space="0" w:color="auto"/>
            </w:tcBorders>
          </w:tcPr>
          <w:p w14:paraId="3328A35B" w14:textId="79303F28" w:rsidR="00D83857" w:rsidRPr="00CE28E3" w:rsidRDefault="00CB50D4" w:rsidP="00F31A7F">
            <w:pPr>
              <w:pStyle w:val="TableText"/>
              <w:jc w:val="center"/>
              <w:rPr>
                <w:rFonts w:eastAsia="Calibri"/>
                <w:szCs w:val="20"/>
              </w:rPr>
            </w:pPr>
            <w:r w:rsidRPr="005178D1">
              <w:rPr>
                <w:lang w:val="en-US"/>
              </w:rPr>
              <w:t>$</w:t>
            </w:r>
            <w:r w:rsidRPr="005178D1">
              <w:rPr>
                <w:b/>
                <w:bCs/>
                <w:lang w:val="en-US"/>
              </w:rPr>
              <w:t>redacted</w:t>
            </w:r>
            <w:r w:rsidRPr="0063566A" w:rsidDel="00532B08">
              <w:t xml:space="preserve"> </w:t>
            </w:r>
          </w:p>
        </w:tc>
        <w:tc>
          <w:tcPr>
            <w:tcW w:w="920" w:type="pct"/>
            <w:tcBorders>
              <w:top w:val="single" w:sz="4" w:space="0" w:color="auto"/>
              <w:left w:val="single" w:sz="4" w:space="0" w:color="auto"/>
              <w:bottom w:val="single" w:sz="4" w:space="0" w:color="auto"/>
              <w:right w:val="single" w:sz="4" w:space="0" w:color="auto"/>
            </w:tcBorders>
          </w:tcPr>
          <w:p w14:paraId="390F96AD" w14:textId="77777777" w:rsidR="00D83857" w:rsidRPr="00CE28E3" w:rsidRDefault="00D83857" w:rsidP="00F31A7F">
            <w:pPr>
              <w:pStyle w:val="TableText"/>
              <w:jc w:val="center"/>
              <w:rPr>
                <w:rFonts w:eastAsia="Calibri"/>
                <w:szCs w:val="20"/>
              </w:rPr>
            </w:pPr>
            <w:r w:rsidRPr="0063566A">
              <w:t xml:space="preserve">0.0800 </w:t>
            </w:r>
          </w:p>
        </w:tc>
        <w:tc>
          <w:tcPr>
            <w:tcW w:w="920" w:type="pct"/>
            <w:tcBorders>
              <w:top w:val="single" w:sz="4" w:space="0" w:color="auto"/>
              <w:left w:val="single" w:sz="4" w:space="0" w:color="auto"/>
              <w:bottom w:val="single" w:sz="4" w:space="0" w:color="auto"/>
              <w:right w:val="single" w:sz="4" w:space="0" w:color="auto"/>
            </w:tcBorders>
          </w:tcPr>
          <w:p w14:paraId="261442AA" w14:textId="07FD73E2" w:rsidR="00D83857" w:rsidRPr="00CE28E3" w:rsidRDefault="00CB50D4" w:rsidP="00F31A7F">
            <w:pPr>
              <w:pStyle w:val="TableText"/>
              <w:jc w:val="center"/>
              <w:rPr>
                <w:rFonts w:eastAsia="Calibri"/>
                <w:szCs w:val="20"/>
              </w:rPr>
            </w:pPr>
            <w:r w:rsidRPr="005178D1">
              <w:rPr>
                <w:lang w:val="en-US"/>
              </w:rPr>
              <w:t>$</w:t>
            </w:r>
            <w:r w:rsidRPr="005178D1">
              <w:rPr>
                <w:b/>
                <w:bCs/>
                <w:lang w:val="en-US"/>
              </w:rPr>
              <w:t>redacted</w:t>
            </w:r>
            <w:r w:rsidRPr="0063566A" w:rsidDel="00532B08">
              <w:t xml:space="preserve"> </w:t>
            </w:r>
          </w:p>
        </w:tc>
      </w:tr>
      <w:tr w:rsidR="00FB2B0D" w:rsidRPr="00CE28E3" w14:paraId="1DC57EFB" w14:textId="77777777" w:rsidTr="4C0A0968">
        <w:trPr>
          <w:cantSplit/>
          <w:trHeight w:val="283"/>
        </w:trPr>
        <w:tc>
          <w:tcPr>
            <w:tcW w:w="2240" w:type="pct"/>
            <w:tcBorders>
              <w:top w:val="single" w:sz="4" w:space="0" w:color="auto"/>
              <w:left w:val="single" w:sz="4" w:space="0" w:color="auto"/>
              <w:bottom w:val="single" w:sz="4" w:space="0" w:color="auto"/>
              <w:right w:val="single" w:sz="4" w:space="0" w:color="auto"/>
            </w:tcBorders>
          </w:tcPr>
          <w:p w14:paraId="409842F0" w14:textId="600B35D8" w:rsidR="00FB2B0D" w:rsidRPr="00F71EE2" w:rsidRDefault="00D67793" w:rsidP="00F71EE2">
            <w:pPr>
              <w:pStyle w:val="Tabletext0"/>
              <w:jc w:val="left"/>
              <w:rPr>
                <w:i/>
              </w:rPr>
            </w:pPr>
            <w:r w:rsidRPr="00F71EE2">
              <w:rPr>
                <w:i/>
              </w:rPr>
              <w:t xml:space="preserve">Pre-ESC </w:t>
            </w:r>
            <w:r w:rsidR="00F57B57" w:rsidRPr="00F71EE2">
              <w:rPr>
                <w:i/>
              </w:rPr>
              <w:t>response</w:t>
            </w:r>
            <w:r w:rsidR="00456B02" w:rsidRPr="00F71EE2">
              <w:rPr>
                <w:i/>
              </w:rPr>
              <w:t>:</w:t>
            </w:r>
            <w:r w:rsidR="00906928" w:rsidRPr="00F71EE2">
              <w:rPr>
                <w:i/>
              </w:rPr>
              <w:t xml:space="preserve"> TV-PM battery depletion/ replacement at 11 years</w:t>
            </w:r>
          </w:p>
        </w:tc>
        <w:tc>
          <w:tcPr>
            <w:tcW w:w="920" w:type="pct"/>
            <w:tcBorders>
              <w:top w:val="single" w:sz="4" w:space="0" w:color="auto"/>
              <w:left w:val="single" w:sz="4" w:space="0" w:color="auto"/>
              <w:bottom w:val="single" w:sz="4" w:space="0" w:color="auto"/>
              <w:right w:val="single" w:sz="4" w:space="0" w:color="auto"/>
            </w:tcBorders>
          </w:tcPr>
          <w:p w14:paraId="2C4CC6AF" w14:textId="0296B1B6" w:rsidR="00FB2B0D" w:rsidRPr="004F530B" w:rsidRDefault="00CB50D4" w:rsidP="00F31A7F">
            <w:pPr>
              <w:pStyle w:val="TableText"/>
              <w:jc w:val="center"/>
              <w:rPr>
                <w:i/>
                <w:iCs/>
              </w:rPr>
            </w:pPr>
            <w:r w:rsidRPr="004F530B">
              <w:rPr>
                <w:i/>
                <w:iCs/>
                <w:lang w:val="en-US"/>
              </w:rPr>
              <w:t>$</w:t>
            </w:r>
            <w:r w:rsidRPr="004F530B">
              <w:rPr>
                <w:b/>
                <w:bCs/>
                <w:i/>
                <w:iCs/>
                <w:lang w:val="en-US"/>
              </w:rPr>
              <w:t>redacted</w:t>
            </w:r>
            <w:r w:rsidRPr="004F530B" w:rsidDel="00532B08">
              <w:rPr>
                <w:i/>
                <w:iCs/>
              </w:rPr>
              <w:t xml:space="preserve"> </w:t>
            </w:r>
          </w:p>
        </w:tc>
        <w:tc>
          <w:tcPr>
            <w:tcW w:w="920" w:type="pct"/>
            <w:tcBorders>
              <w:top w:val="single" w:sz="4" w:space="0" w:color="auto"/>
              <w:left w:val="single" w:sz="4" w:space="0" w:color="auto"/>
              <w:bottom w:val="single" w:sz="4" w:space="0" w:color="auto"/>
              <w:right w:val="single" w:sz="4" w:space="0" w:color="auto"/>
            </w:tcBorders>
          </w:tcPr>
          <w:p w14:paraId="186EE4B8" w14:textId="3529ECB1" w:rsidR="00FB2B0D" w:rsidRPr="00F71EE2" w:rsidRDefault="00FA0C3E" w:rsidP="00F31A7F">
            <w:pPr>
              <w:pStyle w:val="TableText"/>
              <w:jc w:val="center"/>
              <w:rPr>
                <w:i/>
              </w:rPr>
            </w:pPr>
            <w:r w:rsidRPr="00F71EE2">
              <w:rPr>
                <w:i/>
                <w:lang w:val="en-GB"/>
              </w:rPr>
              <w:t>0.0863 </w:t>
            </w:r>
            <w:r w:rsidRPr="00F71EE2">
              <w:rPr>
                <w:i/>
              </w:rPr>
              <w:t> </w:t>
            </w:r>
          </w:p>
        </w:tc>
        <w:tc>
          <w:tcPr>
            <w:tcW w:w="920" w:type="pct"/>
            <w:tcBorders>
              <w:top w:val="single" w:sz="4" w:space="0" w:color="auto"/>
              <w:left w:val="single" w:sz="4" w:space="0" w:color="auto"/>
              <w:bottom w:val="single" w:sz="4" w:space="0" w:color="auto"/>
              <w:right w:val="single" w:sz="4" w:space="0" w:color="auto"/>
            </w:tcBorders>
          </w:tcPr>
          <w:p w14:paraId="714922B5" w14:textId="34974101" w:rsidR="00FB2B0D" w:rsidRPr="004F530B" w:rsidRDefault="00CB50D4" w:rsidP="00F31A7F">
            <w:pPr>
              <w:pStyle w:val="TableText"/>
              <w:jc w:val="center"/>
              <w:rPr>
                <w:i/>
                <w:iCs/>
              </w:rPr>
            </w:pPr>
            <w:r w:rsidRPr="004F530B">
              <w:rPr>
                <w:i/>
                <w:iCs/>
                <w:lang w:val="en-US"/>
              </w:rPr>
              <w:t>$</w:t>
            </w:r>
            <w:r w:rsidRPr="004F530B">
              <w:rPr>
                <w:b/>
                <w:bCs/>
                <w:i/>
                <w:iCs/>
                <w:lang w:val="en-US"/>
              </w:rPr>
              <w:t>redacted</w:t>
            </w:r>
            <w:r w:rsidRPr="004F530B" w:rsidDel="00532B08">
              <w:rPr>
                <w:i/>
                <w:iCs/>
                <w:lang w:val="en-GB"/>
              </w:rPr>
              <w:t xml:space="preserve"> </w:t>
            </w:r>
          </w:p>
        </w:tc>
      </w:tr>
    </w:tbl>
    <w:p w14:paraId="6B7D0094" w14:textId="77777777" w:rsidR="00870DFE" w:rsidRDefault="000275E7" w:rsidP="008A7487">
      <w:pPr>
        <w:pStyle w:val="TableFigureFooter"/>
        <w:spacing w:before="40" w:after="40"/>
        <w:rPr>
          <w:rFonts w:eastAsia="Calibri"/>
          <w:szCs w:val="20"/>
        </w:rPr>
      </w:pPr>
      <w:bookmarkStart w:id="62" w:name="_Hlk68276759"/>
      <w:r w:rsidRPr="008A7487">
        <w:rPr>
          <w:rFonts w:eastAsia="Calibri"/>
          <w:b/>
          <w:bCs/>
          <w:szCs w:val="20"/>
          <w:u w:val="single"/>
        </w:rPr>
        <w:t>Abbreviations</w:t>
      </w:r>
    </w:p>
    <w:p w14:paraId="1449AA11" w14:textId="22576254" w:rsidR="008B5B67" w:rsidRPr="00CE28E3" w:rsidRDefault="0045093D" w:rsidP="008A7487">
      <w:pPr>
        <w:pStyle w:val="TableFigureFooter"/>
        <w:spacing w:before="40" w:after="40"/>
        <w:rPr>
          <w:rFonts w:eastAsia="Calibri"/>
          <w:szCs w:val="20"/>
        </w:rPr>
      </w:pPr>
      <w:r w:rsidRPr="008A7487">
        <w:rPr>
          <w:rFonts w:eastAsia="Calibri"/>
          <w:b/>
        </w:rPr>
        <w:t>ICER</w:t>
      </w:r>
      <w:r w:rsidRPr="0045093D">
        <w:rPr>
          <w:rFonts w:eastAsia="Calibri"/>
          <w:szCs w:val="20"/>
        </w:rPr>
        <w:t xml:space="preserve"> = incremental cost-effectiveness ratio</w:t>
      </w:r>
      <w:r w:rsidR="000275E7">
        <w:rPr>
          <w:rFonts w:eastAsia="Calibri"/>
          <w:szCs w:val="20"/>
        </w:rPr>
        <w:t>,</w:t>
      </w:r>
      <w:r w:rsidRPr="0045093D">
        <w:rPr>
          <w:rFonts w:eastAsia="Calibri"/>
          <w:szCs w:val="20"/>
        </w:rPr>
        <w:t xml:space="preserve"> </w:t>
      </w:r>
      <w:r w:rsidR="008B5B67" w:rsidRPr="008A7487">
        <w:rPr>
          <w:rFonts w:eastAsia="Calibri"/>
          <w:b/>
        </w:rPr>
        <w:t>QALY</w:t>
      </w:r>
      <w:r w:rsidR="008B5B67" w:rsidRPr="00CE28E3">
        <w:rPr>
          <w:rFonts w:eastAsia="Calibri"/>
          <w:szCs w:val="20"/>
        </w:rPr>
        <w:t xml:space="preserve"> = quality</w:t>
      </w:r>
      <w:r w:rsidR="000674B7">
        <w:rPr>
          <w:rFonts w:eastAsia="Calibri"/>
          <w:szCs w:val="20"/>
        </w:rPr>
        <w:t>-</w:t>
      </w:r>
      <w:r w:rsidR="008B5B67" w:rsidRPr="00CE28E3">
        <w:rPr>
          <w:rFonts w:eastAsia="Calibri"/>
          <w:szCs w:val="20"/>
        </w:rPr>
        <w:t>adjusted life year</w:t>
      </w:r>
      <w:r w:rsidR="003507F9">
        <w:rPr>
          <w:rFonts w:eastAsia="Calibri"/>
          <w:szCs w:val="20"/>
        </w:rPr>
        <w:t xml:space="preserve">, </w:t>
      </w:r>
      <w:r w:rsidR="003507F9" w:rsidRPr="003507F9">
        <w:rPr>
          <w:rFonts w:eastAsia="Calibri"/>
          <w:b/>
          <w:bCs/>
          <w:szCs w:val="20"/>
        </w:rPr>
        <w:t>TVPM</w:t>
      </w:r>
      <w:r w:rsidR="003507F9">
        <w:rPr>
          <w:rFonts w:eastAsia="Calibri"/>
          <w:szCs w:val="20"/>
        </w:rPr>
        <w:t xml:space="preserve"> = </w:t>
      </w:r>
      <w:r w:rsidR="003507F9" w:rsidRPr="003507F9">
        <w:rPr>
          <w:rFonts w:eastAsia="Calibri"/>
          <w:szCs w:val="20"/>
        </w:rPr>
        <w:t>transvenous pacemaker</w:t>
      </w:r>
      <w:r w:rsidR="008B5B67" w:rsidRPr="00CE28E3">
        <w:rPr>
          <w:rFonts w:eastAsia="Calibri"/>
          <w:szCs w:val="20"/>
        </w:rPr>
        <w:t>.</w:t>
      </w:r>
      <w:r>
        <w:rPr>
          <w:rFonts w:eastAsia="Calibri"/>
          <w:szCs w:val="20"/>
        </w:rPr>
        <w:t xml:space="preserve"> </w:t>
      </w:r>
    </w:p>
    <w:p w14:paraId="25AE2BAC" w14:textId="5FB9E8CF" w:rsidR="00772829" w:rsidRPr="00CE28E3" w:rsidRDefault="00772829" w:rsidP="004167A0">
      <w:pPr>
        <w:pStyle w:val="Heading2"/>
        <w:numPr>
          <w:ilvl w:val="0"/>
          <w:numId w:val="27"/>
        </w:numPr>
        <w:ind w:hanging="720"/>
      </w:pPr>
      <w:bookmarkStart w:id="63" w:name="_Toc69491426"/>
      <w:bookmarkEnd w:id="62"/>
      <w:r w:rsidRPr="00CE28E3">
        <w:t>Financial/budgetary impacts</w:t>
      </w:r>
      <w:bookmarkEnd w:id="63"/>
    </w:p>
    <w:p w14:paraId="6D93900C" w14:textId="008733D9" w:rsidR="00207363" w:rsidRDefault="00207363" w:rsidP="00330A0A">
      <w:r w:rsidRPr="4C0A0968">
        <w:t>The financial impact analysis took a market</w:t>
      </w:r>
      <w:r w:rsidR="001B5790" w:rsidRPr="4C0A0968">
        <w:t xml:space="preserve"> share</w:t>
      </w:r>
      <w:r w:rsidRPr="4C0A0968">
        <w:t xml:space="preserve"> approach</w:t>
      </w:r>
      <w:r w:rsidR="00995C5D" w:rsidRPr="4C0A0968">
        <w:t>.</w:t>
      </w:r>
      <w:r w:rsidR="00AA3C8E" w:rsidRPr="4C0A0968">
        <w:t xml:space="preserve"> The</w:t>
      </w:r>
      <w:r w:rsidR="00337F92" w:rsidRPr="4C0A0968">
        <w:t xml:space="preserve"> number of</w:t>
      </w:r>
      <w:r w:rsidR="00AA3C8E" w:rsidRPr="4C0A0968">
        <w:t xml:space="preserve"> D</w:t>
      </w:r>
      <w:r w:rsidR="00337F92" w:rsidRPr="4C0A0968">
        <w:t>C</w:t>
      </w:r>
      <w:r w:rsidR="00AA3C8E" w:rsidRPr="4C0A0968">
        <w:t xml:space="preserve">-TVPM </w:t>
      </w:r>
      <w:r w:rsidR="00337F92" w:rsidRPr="4C0A0968">
        <w:t xml:space="preserve">implants </w:t>
      </w:r>
      <w:r w:rsidR="00AD25C6" w:rsidRPr="4C0A0968">
        <w:t>was estimated based on claims for MBS item 38356</w:t>
      </w:r>
      <w:r w:rsidR="00C832CA" w:rsidRPr="4C0A0968">
        <w:t xml:space="preserve">, extrapolated </w:t>
      </w:r>
      <w:r w:rsidR="00E143C4" w:rsidRPr="4C0A0968">
        <w:t>over the analysis period by</w:t>
      </w:r>
      <w:r w:rsidR="00AA3C8E" w:rsidRPr="4C0A0968">
        <w:t xml:space="preserve"> assum</w:t>
      </w:r>
      <w:r w:rsidR="00E143C4" w:rsidRPr="4C0A0968">
        <w:t>ing</w:t>
      </w:r>
      <w:r w:rsidR="00AA3C8E" w:rsidRPr="4C0A0968">
        <w:t xml:space="preserve"> a line</w:t>
      </w:r>
      <w:r w:rsidR="00665EC6" w:rsidRPr="4C0A0968">
        <w:t>a</w:t>
      </w:r>
      <w:r w:rsidR="00AA3C8E" w:rsidRPr="4C0A0968">
        <w:t>r</w:t>
      </w:r>
      <w:r w:rsidR="00665EC6" w:rsidRPr="4C0A0968">
        <w:t xml:space="preserve"> growth</w:t>
      </w:r>
      <w:r w:rsidR="00AA3C8E" w:rsidRPr="4C0A0968">
        <w:t xml:space="preserve"> trend. </w:t>
      </w:r>
      <w:r w:rsidR="00016AD2" w:rsidRPr="4C0A0968">
        <w:t>The number of eligible patients was derived from these estimates, based on the assumption that 35% of projected DC-TVPM implant procedures would be in patients who meet the proposed eligibility criteria for Micra AV</w:t>
      </w:r>
      <w:r w:rsidR="003C425D" w:rsidRPr="4C0A0968">
        <w:t xml:space="preserve">. This </w:t>
      </w:r>
      <w:r w:rsidR="004E11F7" w:rsidRPr="4C0A0968">
        <w:t>assumption</w:t>
      </w:r>
      <w:r w:rsidR="003C425D" w:rsidRPr="4C0A0968">
        <w:t xml:space="preserve"> was</w:t>
      </w:r>
      <w:r w:rsidR="006B3B94" w:rsidRPr="4C0A0968">
        <w:t xml:space="preserve"> based on</w:t>
      </w:r>
      <w:r w:rsidR="003C7106" w:rsidRPr="4C0A0968">
        <w:t xml:space="preserve"> characteristics of a</w:t>
      </w:r>
      <w:r w:rsidR="006B3B94" w:rsidRPr="4C0A0968">
        <w:t xml:space="preserve"> Department of Vet</w:t>
      </w:r>
      <w:r w:rsidR="00AC4609" w:rsidRPr="4C0A0968">
        <w:t xml:space="preserve">erans’ Affairs </w:t>
      </w:r>
      <w:r w:rsidR="003C7106" w:rsidRPr="4C0A0968">
        <w:t>cohort who received</w:t>
      </w:r>
      <w:r w:rsidR="00AD0D9B" w:rsidRPr="4C0A0968">
        <w:t xml:space="preserve"> a pacemaker between </w:t>
      </w:r>
      <w:r w:rsidR="00103AE1" w:rsidRPr="4C0A0968">
        <w:t>2005</w:t>
      </w:r>
      <w:r w:rsidR="00E914B0" w:rsidRPr="4C0A0968">
        <w:t xml:space="preserve"> and </w:t>
      </w:r>
      <w:r w:rsidR="00103AE1" w:rsidRPr="4C0A0968">
        <w:t>2014</w:t>
      </w:r>
      <w:r w:rsidR="00016AD2" w:rsidRPr="4C0A0968">
        <w:t>.</w:t>
      </w:r>
      <w:bookmarkStart w:id="64" w:name="_Ref186723443"/>
      <w:r w:rsidR="00103AE1" w:rsidRPr="4C0A0968">
        <w:rPr>
          <w:rStyle w:val="FootnoteReference"/>
        </w:rPr>
        <w:footnoteReference w:id="24"/>
      </w:r>
      <w:bookmarkEnd w:id="64"/>
      <w:r w:rsidR="006D71DF" w:rsidRPr="4C0A0968">
        <w:t xml:space="preserve"> </w:t>
      </w:r>
      <w:r w:rsidR="00D15955" w:rsidRPr="4C0A0968">
        <w:t xml:space="preserve">It was </w:t>
      </w:r>
      <w:r w:rsidRPr="4C0A0968">
        <w:t>estimated</w:t>
      </w:r>
      <w:r w:rsidR="00D15955" w:rsidRPr="4C0A0968">
        <w:t xml:space="preserve"> that</w:t>
      </w:r>
      <w:r w:rsidRPr="4C0A0968">
        <w:t xml:space="preserve"> the uptake of Micra AV would be </w:t>
      </w:r>
      <w:r w:rsidR="000F1DA2">
        <w:rPr>
          <w:b/>
          <w:bCs/>
        </w:rPr>
        <w:t>redacted</w:t>
      </w:r>
      <w:r w:rsidR="000F1DA2">
        <w:t>%</w:t>
      </w:r>
      <w:r w:rsidRPr="4C0A0968">
        <w:t xml:space="preserve"> </w:t>
      </w:r>
      <w:r w:rsidR="00B01114" w:rsidRPr="4C0A0968">
        <w:t>of the eligible patient</w:t>
      </w:r>
      <w:r w:rsidR="00665EC6" w:rsidRPr="4C0A0968">
        <w:t xml:space="preserve"> population</w:t>
      </w:r>
      <w:r w:rsidR="00B01114" w:rsidRPr="4C0A0968">
        <w:t xml:space="preserve"> </w:t>
      </w:r>
      <w:r w:rsidRPr="4C0A0968">
        <w:t xml:space="preserve">in 2025 </w:t>
      </w:r>
      <w:r w:rsidR="000B0F89" w:rsidRPr="4C0A0968">
        <w:t>(Year 1)</w:t>
      </w:r>
      <w:r w:rsidR="00F82B66" w:rsidRPr="4C0A0968">
        <w:t xml:space="preserve">, </w:t>
      </w:r>
      <w:r w:rsidRPr="4C0A0968">
        <w:t>grow</w:t>
      </w:r>
      <w:r w:rsidR="00F82B66" w:rsidRPr="4C0A0968">
        <w:t>ing</w:t>
      </w:r>
      <w:r w:rsidRPr="4C0A0968">
        <w:t xml:space="preserve"> to </w:t>
      </w:r>
      <w:r w:rsidR="00D4108A">
        <w:rPr>
          <w:b/>
          <w:bCs/>
        </w:rPr>
        <w:t>redacted</w:t>
      </w:r>
      <w:r w:rsidRPr="4C0A0968">
        <w:t xml:space="preserve">% </w:t>
      </w:r>
      <w:r w:rsidR="00F82B66" w:rsidRPr="4C0A0968">
        <w:t xml:space="preserve">by </w:t>
      </w:r>
      <w:r w:rsidRPr="4C0A0968">
        <w:t xml:space="preserve">2030 </w:t>
      </w:r>
      <w:r w:rsidR="00F82B66" w:rsidRPr="4C0A0968">
        <w:t>(Year 6).</w:t>
      </w:r>
      <w:r w:rsidRPr="4C0A0968">
        <w:t xml:space="preserve"> </w:t>
      </w:r>
    </w:p>
    <w:p w14:paraId="4B95B623" w14:textId="0CA0CFA6" w:rsidR="00C4620B" w:rsidRDefault="59BBB736" w:rsidP="00330A0A">
      <w:r w:rsidRPr="4C0A0968">
        <w:t xml:space="preserve">A new item </w:t>
      </w:r>
      <w:r w:rsidR="0391E684" w:rsidRPr="4C0A0968">
        <w:t xml:space="preserve">is </w:t>
      </w:r>
      <w:r w:rsidRPr="4C0A0968">
        <w:t xml:space="preserve">requested </w:t>
      </w:r>
      <w:r w:rsidR="675F54B0" w:rsidRPr="4C0A0968">
        <w:t>for</w:t>
      </w:r>
      <w:r w:rsidR="0391E684" w:rsidRPr="4C0A0968">
        <w:t xml:space="preserve"> transcatheter insertion</w:t>
      </w:r>
      <w:r w:rsidRPr="4C0A0968">
        <w:t xml:space="preserve"> of Micra AV</w:t>
      </w:r>
      <w:r w:rsidR="675F54B0" w:rsidRPr="4C0A0968">
        <w:t xml:space="preserve"> based on MBS item 38372</w:t>
      </w:r>
      <w:r w:rsidR="7CE9B6DA" w:rsidRPr="4C0A0968">
        <w:t xml:space="preserve"> </w:t>
      </w:r>
      <w:r w:rsidRPr="4C0A0968">
        <w:t xml:space="preserve">(current fee $859.35, </w:t>
      </w:r>
      <w:r w:rsidR="7CE9B6DA" w:rsidRPr="4C0A0968">
        <w:t>$644.55</w:t>
      </w:r>
      <w:r w:rsidR="6E365034" w:rsidRPr="4C0A0968">
        <w:t xml:space="preserve"> at 75% benefit</w:t>
      </w:r>
      <w:r w:rsidR="5C744BD7" w:rsidRPr="4C0A0968">
        <w:t>)</w:t>
      </w:r>
      <w:r w:rsidR="009056B1">
        <w:t xml:space="preserve">. </w:t>
      </w:r>
      <w:r w:rsidRPr="4C0A0968">
        <w:t>Replace</w:t>
      </w:r>
      <w:r w:rsidR="1E3F62EC" w:rsidRPr="4C0A0968">
        <w:t>ment</w:t>
      </w:r>
      <w:r w:rsidRPr="4C0A0968">
        <w:t xml:space="preserve"> and removal will use the same respective items for </w:t>
      </w:r>
      <w:r w:rsidR="0CA9CBD2" w:rsidRPr="4C0A0968">
        <w:t xml:space="preserve">the </w:t>
      </w:r>
      <w:r w:rsidRPr="4C0A0968">
        <w:t>Micra VR (38373</w:t>
      </w:r>
      <w:r w:rsidR="0CA9CBD2" w:rsidRPr="4C0A0968">
        <w:t xml:space="preserve"> and</w:t>
      </w:r>
      <w:r w:rsidR="176FF3AA" w:rsidRPr="4C0A0968">
        <w:t xml:space="preserve"> </w:t>
      </w:r>
      <w:r w:rsidRPr="4C0A0968">
        <w:t>38374</w:t>
      </w:r>
      <w:r w:rsidR="0CA9CBD2" w:rsidRPr="4C0A0968">
        <w:t>;</w:t>
      </w:r>
      <w:r w:rsidRPr="4C0A0968">
        <w:t xml:space="preserve"> costs identical to 38372).</w:t>
      </w:r>
      <w:r w:rsidR="4331F862" w:rsidRPr="4C0A0968">
        <w:t xml:space="preserve"> Costs</w:t>
      </w:r>
      <w:r w:rsidRPr="4C0A0968">
        <w:t xml:space="preserve"> of Micra AV</w:t>
      </w:r>
      <w:r w:rsidR="675F54B0" w:rsidRPr="4C0A0968">
        <w:t xml:space="preserve"> </w:t>
      </w:r>
      <w:r w:rsidRPr="4C0A0968">
        <w:t xml:space="preserve">will replace </w:t>
      </w:r>
      <w:r w:rsidR="572B870B" w:rsidRPr="4C0A0968">
        <w:t>the costs of D</w:t>
      </w:r>
      <w:r w:rsidR="4331F862" w:rsidRPr="4C0A0968">
        <w:t>C</w:t>
      </w:r>
      <w:r w:rsidR="572B870B" w:rsidRPr="4C0A0968">
        <w:t>-TVPM, which includes</w:t>
      </w:r>
      <w:r w:rsidR="0391E684" w:rsidRPr="4C0A0968">
        <w:t xml:space="preserve"> </w:t>
      </w:r>
      <w:r w:rsidR="25237ABF" w:rsidRPr="4C0A0968">
        <w:t>MBS item 3835</w:t>
      </w:r>
      <w:r w:rsidR="2017C8A2" w:rsidRPr="4C0A0968">
        <w:t>6</w:t>
      </w:r>
      <w:r w:rsidR="25237ABF" w:rsidRPr="4C0A0968">
        <w:t xml:space="preserve"> for insertion, replacement or removal of lead </w:t>
      </w:r>
      <w:r w:rsidR="1C09D3D4" w:rsidRPr="4C0A0968">
        <w:t>and</w:t>
      </w:r>
      <w:r w:rsidR="25237ABF" w:rsidRPr="4C0A0968">
        <w:t xml:space="preserve"> MBS item 38353 for insertion, replacement or removal of pacing device</w:t>
      </w:r>
      <w:r w:rsidR="1C09D3D4" w:rsidRPr="4C0A0968">
        <w:t>.</w:t>
      </w:r>
      <w:r w:rsidR="25237ABF" w:rsidRPr="4C0A0968">
        <w:t xml:space="preserve"> MBS item 60503 for fluoroscopy </w:t>
      </w:r>
      <w:r w:rsidR="319A2FFC" w:rsidRPr="4C0A0968">
        <w:t xml:space="preserve">was included </w:t>
      </w:r>
      <w:r w:rsidR="6E365034" w:rsidRPr="4C0A0968">
        <w:t xml:space="preserve">once </w:t>
      </w:r>
      <w:r w:rsidR="319A2FFC" w:rsidRPr="4C0A0968">
        <w:t>as a co-claimed item for both procedure</w:t>
      </w:r>
      <w:r w:rsidR="6E365034" w:rsidRPr="4C0A0968">
        <w:t>s</w:t>
      </w:r>
      <w:r w:rsidR="319A2FFC" w:rsidRPr="4C0A0968">
        <w:t>.</w:t>
      </w:r>
      <w:r w:rsidR="1D14C3BC" w:rsidRPr="4C0A0968">
        <w:t xml:space="preserve"> It was unclear whether the financial/economic considerations, or both, included the relevant </w:t>
      </w:r>
      <w:r w:rsidR="5CFFE142" w:rsidRPr="4C0A0968">
        <w:t>anaesthesia</w:t>
      </w:r>
      <w:r w:rsidR="1D14C3BC" w:rsidRPr="4C0A0968">
        <w:t xml:space="preserve"> costs for the insertion procedure. The applicant may wish to clarify the type and costs of </w:t>
      </w:r>
      <w:r w:rsidR="46298B3E" w:rsidRPr="4C0A0968">
        <w:t>anaesthesia</w:t>
      </w:r>
      <w:r w:rsidR="1D14C3BC" w:rsidRPr="4C0A0968">
        <w:t xml:space="preserve"> required for the pr</w:t>
      </w:r>
      <w:r w:rsidR="172CDD60" w:rsidRPr="4C0A0968">
        <w:t>ocedure.</w:t>
      </w:r>
      <w:r w:rsidR="4AD23895" w:rsidRPr="4C0A0968">
        <w:t xml:space="preserve"> A summary of the cost inputs included in the fi</w:t>
      </w:r>
      <w:r w:rsidR="14F6217E" w:rsidRPr="4C0A0968">
        <w:t>nancial analysis is provided in</w:t>
      </w:r>
      <w:r w:rsidR="0F8EB276" w:rsidRPr="4C0A0968">
        <w:t xml:space="preserve"> </w:t>
      </w:r>
      <w:r>
        <w:fldChar w:fldCharType="begin"/>
      </w:r>
      <w:r>
        <w:instrText xml:space="preserve"> REF _Ref186726925 \h </w:instrText>
      </w:r>
      <w:r>
        <w:fldChar w:fldCharType="separate"/>
      </w:r>
      <w:r w:rsidR="00F71EE2" w:rsidRPr="4C0A0968">
        <w:t xml:space="preserve">Table </w:t>
      </w:r>
      <w:r w:rsidR="00F71EE2">
        <w:rPr>
          <w:noProof/>
        </w:rPr>
        <w:t>17</w:t>
      </w:r>
      <w:r>
        <w:fldChar w:fldCharType="end"/>
      </w:r>
      <w:r w:rsidR="0F8EB276" w:rsidRPr="4C0A0968">
        <w:t>.</w:t>
      </w:r>
    </w:p>
    <w:p w14:paraId="1DE39237" w14:textId="5C637036" w:rsidR="00377501" w:rsidRDefault="00377501" w:rsidP="00603D0C">
      <w:pPr>
        <w:pStyle w:val="Caption"/>
        <w:spacing w:before="240"/>
      </w:pPr>
      <w:bookmarkStart w:id="65" w:name="_Ref186726925"/>
      <w:r w:rsidRPr="4C0A0968">
        <w:t xml:space="preserve">Table </w:t>
      </w:r>
      <w:r w:rsidR="00F71EE2">
        <w:fldChar w:fldCharType="begin"/>
      </w:r>
      <w:r w:rsidR="00F71EE2">
        <w:instrText xml:space="preserve"> SEQ Table \* ARABIC </w:instrText>
      </w:r>
      <w:r w:rsidR="00F71EE2">
        <w:fldChar w:fldCharType="separate"/>
      </w:r>
      <w:r w:rsidR="00F71EE2">
        <w:rPr>
          <w:noProof/>
        </w:rPr>
        <w:t>17</w:t>
      </w:r>
      <w:r w:rsidR="00F71EE2">
        <w:rPr>
          <w:noProof/>
        </w:rPr>
        <w:fldChar w:fldCharType="end"/>
      </w:r>
      <w:bookmarkEnd w:id="65"/>
      <w:r>
        <w:tab/>
      </w:r>
      <w:r w:rsidR="00C06B5C" w:rsidRPr="4C0A0968">
        <w:t>Cost inputs included in the financial impact analysis</w:t>
      </w:r>
    </w:p>
    <w:tbl>
      <w:tblPr>
        <w:tblStyle w:val="TableGrid"/>
        <w:tblW w:w="5000" w:type="pct"/>
        <w:tblLook w:val="04A0" w:firstRow="1" w:lastRow="0" w:firstColumn="1" w:lastColumn="0" w:noHBand="0" w:noVBand="1"/>
      </w:tblPr>
      <w:tblGrid>
        <w:gridCol w:w="2406"/>
        <w:gridCol w:w="1985"/>
        <w:gridCol w:w="1134"/>
        <w:gridCol w:w="2268"/>
        <w:gridCol w:w="1223"/>
      </w:tblGrid>
      <w:tr w:rsidR="00EA68B2" w:rsidRPr="00FF3478" w14:paraId="3886CE32" w14:textId="77777777" w:rsidTr="5C2A1D94">
        <w:trPr>
          <w:tblHeader/>
        </w:trPr>
        <w:tc>
          <w:tcPr>
            <w:tcW w:w="1334" w:type="pct"/>
            <w:tcBorders>
              <w:bottom w:val="single" w:sz="4" w:space="0" w:color="auto"/>
            </w:tcBorders>
          </w:tcPr>
          <w:p w14:paraId="0EA72952" w14:textId="1A6F313E" w:rsidR="00EA68B2" w:rsidRPr="00FF3478" w:rsidRDefault="00366C70" w:rsidP="00F633E8">
            <w:pPr>
              <w:pStyle w:val="TableText"/>
              <w:rPr>
                <w:b/>
                <w:bCs/>
              </w:rPr>
            </w:pPr>
            <w:r>
              <w:rPr>
                <w:b/>
                <w:bCs/>
              </w:rPr>
              <w:t>Cost category</w:t>
            </w:r>
          </w:p>
        </w:tc>
        <w:tc>
          <w:tcPr>
            <w:tcW w:w="1730" w:type="pct"/>
            <w:gridSpan w:val="2"/>
            <w:tcBorders>
              <w:bottom w:val="single" w:sz="4" w:space="0" w:color="auto"/>
            </w:tcBorders>
          </w:tcPr>
          <w:p w14:paraId="5C347BC0" w14:textId="032675EF" w:rsidR="00EA68B2" w:rsidRPr="00FF3478" w:rsidRDefault="00773F84" w:rsidP="006031CC">
            <w:pPr>
              <w:pStyle w:val="TableText"/>
              <w:jc w:val="center"/>
              <w:rPr>
                <w:b/>
                <w:bCs/>
              </w:rPr>
            </w:pPr>
            <w:r>
              <w:rPr>
                <w:b/>
                <w:bCs/>
              </w:rPr>
              <w:t xml:space="preserve">Micra </w:t>
            </w:r>
            <w:r w:rsidR="00EA68B2">
              <w:rPr>
                <w:b/>
                <w:bCs/>
              </w:rPr>
              <w:t>AV</w:t>
            </w:r>
            <w:r>
              <w:rPr>
                <w:b/>
                <w:bCs/>
              </w:rPr>
              <w:t xml:space="preserve"> </w:t>
            </w:r>
            <w:r w:rsidR="00EA68B2">
              <w:rPr>
                <w:b/>
                <w:bCs/>
              </w:rPr>
              <w:t>LPM</w:t>
            </w:r>
          </w:p>
        </w:tc>
        <w:tc>
          <w:tcPr>
            <w:tcW w:w="1936" w:type="pct"/>
            <w:gridSpan w:val="2"/>
            <w:tcBorders>
              <w:bottom w:val="single" w:sz="4" w:space="0" w:color="auto"/>
            </w:tcBorders>
          </w:tcPr>
          <w:p w14:paraId="4B73F4FB" w14:textId="40FA155A" w:rsidR="00EA68B2" w:rsidRPr="00FF3478" w:rsidRDefault="00EA68B2" w:rsidP="006031CC">
            <w:pPr>
              <w:pStyle w:val="TableText"/>
              <w:jc w:val="center"/>
              <w:rPr>
                <w:b/>
                <w:bCs/>
              </w:rPr>
            </w:pPr>
            <w:r w:rsidRPr="00FF3478">
              <w:rPr>
                <w:b/>
                <w:bCs/>
              </w:rPr>
              <w:t>DC-TVPM</w:t>
            </w:r>
          </w:p>
        </w:tc>
      </w:tr>
      <w:tr w:rsidR="00366C70" w14:paraId="011D8BEE" w14:textId="77777777" w:rsidTr="5C2A1D94">
        <w:tc>
          <w:tcPr>
            <w:tcW w:w="1334" w:type="pct"/>
            <w:tcBorders>
              <w:bottom w:val="nil"/>
            </w:tcBorders>
          </w:tcPr>
          <w:p w14:paraId="084F3517" w14:textId="3003037B" w:rsidR="000B0D29" w:rsidRDefault="000B0D29" w:rsidP="00F633E8">
            <w:pPr>
              <w:pStyle w:val="TableText"/>
            </w:pPr>
            <w:r>
              <w:t>MBS costs</w:t>
            </w:r>
          </w:p>
        </w:tc>
        <w:tc>
          <w:tcPr>
            <w:tcW w:w="1101" w:type="pct"/>
            <w:tcBorders>
              <w:right w:val="single" w:sz="4" w:space="0" w:color="auto"/>
            </w:tcBorders>
          </w:tcPr>
          <w:p w14:paraId="14331F77" w14:textId="77777777" w:rsidR="000B0D29" w:rsidRDefault="000B0D29" w:rsidP="006031CC">
            <w:pPr>
              <w:pStyle w:val="TableText"/>
            </w:pPr>
            <w:r>
              <w:t>Transcatheter insertion</w:t>
            </w:r>
          </w:p>
          <w:p w14:paraId="61B45BBD" w14:textId="299C4338" w:rsidR="001531D1" w:rsidRDefault="001531D1" w:rsidP="006031CC">
            <w:pPr>
              <w:pStyle w:val="TableText"/>
            </w:pPr>
            <w:r>
              <w:t>(100% fee)</w:t>
            </w:r>
          </w:p>
        </w:tc>
        <w:tc>
          <w:tcPr>
            <w:tcW w:w="629" w:type="pct"/>
            <w:tcBorders>
              <w:left w:val="single" w:sz="4" w:space="0" w:color="auto"/>
            </w:tcBorders>
          </w:tcPr>
          <w:p w14:paraId="346D2AC8" w14:textId="735C86C3" w:rsidR="000B0D29" w:rsidRDefault="000B0D29" w:rsidP="006031CC">
            <w:pPr>
              <w:pStyle w:val="TableText"/>
              <w:jc w:val="center"/>
            </w:pPr>
            <w:r>
              <w:t>$859.35</w:t>
            </w:r>
          </w:p>
        </w:tc>
        <w:tc>
          <w:tcPr>
            <w:tcW w:w="1258" w:type="pct"/>
            <w:tcBorders>
              <w:right w:val="single" w:sz="4" w:space="0" w:color="auto"/>
            </w:tcBorders>
          </w:tcPr>
          <w:p w14:paraId="502FE4DE" w14:textId="77777777" w:rsidR="00F23604" w:rsidRDefault="000B0D29" w:rsidP="006031CC">
            <w:pPr>
              <w:pStyle w:val="TableText"/>
            </w:pPr>
            <w:r>
              <w:t xml:space="preserve">Insertion of lead </w:t>
            </w:r>
          </w:p>
          <w:p w14:paraId="5F305E30" w14:textId="09905D81" w:rsidR="000B0D29" w:rsidRDefault="00063071" w:rsidP="006031CC">
            <w:pPr>
              <w:pStyle w:val="TableText"/>
            </w:pPr>
            <w:r>
              <w:t>(</w:t>
            </w:r>
            <w:r w:rsidR="00BB35BE">
              <w:t>i</w:t>
            </w:r>
            <w:r>
              <w:t>tem 38356</w:t>
            </w:r>
            <w:r w:rsidR="001531D1">
              <w:t>; 100% fee)</w:t>
            </w:r>
          </w:p>
        </w:tc>
        <w:tc>
          <w:tcPr>
            <w:tcW w:w="678" w:type="pct"/>
            <w:tcBorders>
              <w:left w:val="single" w:sz="4" w:space="0" w:color="auto"/>
            </w:tcBorders>
          </w:tcPr>
          <w:p w14:paraId="6EB9E349" w14:textId="2C0965D7" w:rsidR="007654A3" w:rsidRDefault="00E84423" w:rsidP="006031CC">
            <w:pPr>
              <w:pStyle w:val="TableText"/>
              <w:jc w:val="center"/>
            </w:pPr>
            <w:r>
              <w:t>953.90</w:t>
            </w:r>
          </w:p>
        </w:tc>
      </w:tr>
      <w:tr w:rsidR="00366C70" w14:paraId="0C405D0C" w14:textId="77777777" w:rsidTr="5C2A1D94">
        <w:tc>
          <w:tcPr>
            <w:tcW w:w="1334" w:type="pct"/>
            <w:tcBorders>
              <w:top w:val="nil"/>
              <w:bottom w:val="nil"/>
            </w:tcBorders>
          </w:tcPr>
          <w:p w14:paraId="5263B47D" w14:textId="77777777" w:rsidR="000B0D29" w:rsidRDefault="000B0D29" w:rsidP="00F633E8">
            <w:pPr>
              <w:pStyle w:val="TableText"/>
            </w:pPr>
          </w:p>
        </w:tc>
        <w:tc>
          <w:tcPr>
            <w:tcW w:w="1101" w:type="pct"/>
            <w:tcBorders>
              <w:bottom w:val="single" w:sz="4" w:space="0" w:color="auto"/>
              <w:right w:val="single" w:sz="4" w:space="0" w:color="auto"/>
            </w:tcBorders>
          </w:tcPr>
          <w:p w14:paraId="0C09D061" w14:textId="77777777" w:rsidR="001531D1" w:rsidRDefault="000B0D29" w:rsidP="006031CC">
            <w:pPr>
              <w:pStyle w:val="TableText"/>
            </w:pPr>
            <w:r>
              <w:t>Fluoroscopy</w:t>
            </w:r>
            <w:r w:rsidR="00063071">
              <w:t xml:space="preserve"> </w:t>
            </w:r>
          </w:p>
          <w:p w14:paraId="56100E87" w14:textId="025FC761" w:rsidR="000B0D29" w:rsidRDefault="00063071" w:rsidP="006031CC">
            <w:pPr>
              <w:pStyle w:val="TableText"/>
            </w:pPr>
            <w:r>
              <w:t>(</w:t>
            </w:r>
            <w:r w:rsidR="00BB35BE">
              <w:t>i</w:t>
            </w:r>
            <w:r>
              <w:t>tem 60503</w:t>
            </w:r>
            <w:r w:rsidR="001531D1">
              <w:t>; 100% fee</w:t>
            </w:r>
            <w:r>
              <w:t>)</w:t>
            </w:r>
          </w:p>
        </w:tc>
        <w:tc>
          <w:tcPr>
            <w:tcW w:w="629" w:type="pct"/>
            <w:tcBorders>
              <w:left w:val="single" w:sz="4" w:space="0" w:color="auto"/>
              <w:bottom w:val="single" w:sz="4" w:space="0" w:color="auto"/>
            </w:tcBorders>
          </w:tcPr>
          <w:p w14:paraId="6B0E811F" w14:textId="3FAAEB63" w:rsidR="007654A3" w:rsidRDefault="000B0D29" w:rsidP="006031CC">
            <w:pPr>
              <w:pStyle w:val="TableText"/>
              <w:jc w:val="center"/>
            </w:pPr>
            <w:r>
              <w:t>$33.35</w:t>
            </w:r>
          </w:p>
          <w:p w14:paraId="410A3932" w14:textId="63ADFFC5" w:rsidR="000B0D29" w:rsidRDefault="000B0D29" w:rsidP="006031CC">
            <w:pPr>
              <w:pStyle w:val="TableText"/>
              <w:jc w:val="center"/>
            </w:pPr>
          </w:p>
        </w:tc>
        <w:tc>
          <w:tcPr>
            <w:tcW w:w="1258" w:type="pct"/>
            <w:tcBorders>
              <w:right w:val="single" w:sz="4" w:space="0" w:color="auto"/>
            </w:tcBorders>
          </w:tcPr>
          <w:p w14:paraId="17A01370" w14:textId="485B6286" w:rsidR="000B0D29" w:rsidRDefault="000B0D29" w:rsidP="006031CC">
            <w:pPr>
              <w:pStyle w:val="TableText"/>
            </w:pPr>
            <w:r>
              <w:t>Insertion of pacing device</w:t>
            </w:r>
            <w:r w:rsidR="00063071">
              <w:t xml:space="preserve"> (item 38353</w:t>
            </w:r>
            <w:r w:rsidR="001531D1">
              <w:t>; 100% fee)</w:t>
            </w:r>
          </w:p>
        </w:tc>
        <w:tc>
          <w:tcPr>
            <w:tcW w:w="678" w:type="pct"/>
            <w:tcBorders>
              <w:left w:val="single" w:sz="4" w:space="0" w:color="auto"/>
            </w:tcBorders>
          </w:tcPr>
          <w:p w14:paraId="731678BD" w14:textId="2D878710" w:rsidR="007654A3" w:rsidRDefault="00E84423" w:rsidP="006031CC">
            <w:pPr>
              <w:pStyle w:val="TableText"/>
              <w:jc w:val="center"/>
            </w:pPr>
            <w:r>
              <w:t>$291 × 50%</w:t>
            </w:r>
            <w:r w:rsidR="00837490">
              <w:t xml:space="preserve"> = $145.50</w:t>
            </w:r>
            <w:r w:rsidR="00FC302F" w:rsidRPr="009C553D">
              <w:rPr>
                <w:vertAlign w:val="superscript"/>
              </w:rPr>
              <w:t>a</w:t>
            </w:r>
          </w:p>
        </w:tc>
      </w:tr>
      <w:tr w:rsidR="00366C70" w14:paraId="68B4F513" w14:textId="77777777" w:rsidTr="5C2A1D94">
        <w:tc>
          <w:tcPr>
            <w:tcW w:w="1334" w:type="pct"/>
            <w:tcBorders>
              <w:top w:val="nil"/>
              <w:bottom w:val="single" w:sz="4" w:space="0" w:color="auto"/>
            </w:tcBorders>
          </w:tcPr>
          <w:p w14:paraId="61E3D47F" w14:textId="77777777" w:rsidR="000B0D29" w:rsidRDefault="000B0D29" w:rsidP="00E8215B">
            <w:pPr>
              <w:pStyle w:val="TableText"/>
            </w:pPr>
          </w:p>
        </w:tc>
        <w:tc>
          <w:tcPr>
            <w:tcW w:w="1101" w:type="pct"/>
            <w:tcBorders>
              <w:bottom w:val="single" w:sz="4" w:space="0" w:color="auto"/>
              <w:right w:val="single" w:sz="4" w:space="0" w:color="auto"/>
            </w:tcBorders>
          </w:tcPr>
          <w:p w14:paraId="7C5BEC7E" w14:textId="77777777" w:rsidR="000B0D29" w:rsidRDefault="000B0D29" w:rsidP="006031CC">
            <w:pPr>
              <w:pStyle w:val="TableText"/>
            </w:pPr>
          </w:p>
        </w:tc>
        <w:tc>
          <w:tcPr>
            <w:tcW w:w="629" w:type="pct"/>
            <w:tcBorders>
              <w:left w:val="single" w:sz="4" w:space="0" w:color="auto"/>
              <w:bottom w:val="single" w:sz="4" w:space="0" w:color="auto"/>
            </w:tcBorders>
          </w:tcPr>
          <w:p w14:paraId="6D8C8E3D" w14:textId="77777777" w:rsidR="000B0D29" w:rsidRDefault="000B0D29" w:rsidP="006031CC">
            <w:pPr>
              <w:pStyle w:val="TableText"/>
              <w:jc w:val="center"/>
            </w:pPr>
          </w:p>
        </w:tc>
        <w:tc>
          <w:tcPr>
            <w:tcW w:w="1258" w:type="pct"/>
            <w:tcBorders>
              <w:bottom w:val="single" w:sz="4" w:space="0" w:color="auto"/>
              <w:right w:val="single" w:sz="4" w:space="0" w:color="auto"/>
            </w:tcBorders>
          </w:tcPr>
          <w:p w14:paraId="5F12E999" w14:textId="77777777" w:rsidR="001531D1" w:rsidRDefault="000B0D29" w:rsidP="006031CC">
            <w:pPr>
              <w:pStyle w:val="TableText"/>
            </w:pPr>
            <w:r>
              <w:t>Fluoroscopy</w:t>
            </w:r>
            <w:r w:rsidR="00063071">
              <w:t xml:space="preserve"> </w:t>
            </w:r>
          </w:p>
          <w:p w14:paraId="73A42B11" w14:textId="564FE58A" w:rsidR="000B0D29" w:rsidRDefault="00063071" w:rsidP="006031CC">
            <w:pPr>
              <w:pStyle w:val="TableText"/>
            </w:pPr>
            <w:r>
              <w:t>(</w:t>
            </w:r>
            <w:r w:rsidR="00BB35BE">
              <w:t>i</w:t>
            </w:r>
            <w:r>
              <w:t>tem 60503</w:t>
            </w:r>
            <w:r w:rsidR="00C4473F">
              <w:t>;</w:t>
            </w:r>
            <w:r w:rsidR="001531D1">
              <w:t xml:space="preserve"> 100% fee</w:t>
            </w:r>
            <w:r>
              <w:t>)</w:t>
            </w:r>
          </w:p>
        </w:tc>
        <w:tc>
          <w:tcPr>
            <w:tcW w:w="678" w:type="pct"/>
            <w:tcBorders>
              <w:left w:val="single" w:sz="4" w:space="0" w:color="auto"/>
              <w:bottom w:val="single" w:sz="4" w:space="0" w:color="auto"/>
            </w:tcBorders>
          </w:tcPr>
          <w:p w14:paraId="7C1520A9" w14:textId="03DE13B5" w:rsidR="007654A3" w:rsidRDefault="000B0D29" w:rsidP="006031CC">
            <w:pPr>
              <w:pStyle w:val="TableText"/>
              <w:jc w:val="center"/>
            </w:pPr>
            <w:r>
              <w:t>$33.35</w:t>
            </w:r>
          </w:p>
        </w:tc>
      </w:tr>
      <w:tr w:rsidR="00B762EA" w14:paraId="20A06C8E" w14:textId="77777777" w:rsidTr="5C2A1D94">
        <w:tc>
          <w:tcPr>
            <w:tcW w:w="1334" w:type="pct"/>
            <w:tcBorders>
              <w:top w:val="single" w:sz="4" w:space="0" w:color="auto"/>
              <w:bottom w:val="single" w:sz="4" w:space="0" w:color="auto"/>
            </w:tcBorders>
          </w:tcPr>
          <w:p w14:paraId="7FB4F18E" w14:textId="77777777" w:rsidR="00B762EA" w:rsidRDefault="00B762EA" w:rsidP="00E8215B">
            <w:pPr>
              <w:pStyle w:val="TableText"/>
              <w:rPr>
                <w:i/>
                <w:iCs/>
              </w:rPr>
            </w:pPr>
            <w:r>
              <w:rPr>
                <w:i/>
                <w:iCs/>
              </w:rPr>
              <w:t xml:space="preserve">Total MBS costs </w:t>
            </w:r>
          </w:p>
          <w:p w14:paraId="11EB4FFF" w14:textId="2BEB5F54" w:rsidR="00B762EA" w:rsidRPr="005D2E1D" w:rsidRDefault="00B762EA" w:rsidP="00E8215B">
            <w:pPr>
              <w:pStyle w:val="TableText"/>
              <w:rPr>
                <w:i/>
                <w:iCs/>
              </w:rPr>
            </w:pPr>
            <w:r>
              <w:rPr>
                <w:i/>
                <w:iCs/>
              </w:rPr>
              <w:t>(75% benefit)</w:t>
            </w:r>
          </w:p>
        </w:tc>
        <w:tc>
          <w:tcPr>
            <w:tcW w:w="1101" w:type="pct"/>
            <w:tcBorders>
              <w:bottom w:val="single" w:sz="4" w:space="0" w:color="auto"/>
              <w:right w:val="nil"/>
            </w:tcBorders>
          </w:tcPr>
          <w:p w14:paraId="4CEB7A23" w14:textId="48D3E30F" w:rsidR="00B762EA" w:rsidRPr="008202F7" w:rsidRDefault="00B762EA" w:rsidP="006031CC">
            <w:pPr>
              <w:pStyle w:val="TableText"/>
              <w:rPr>
                <w:i/>
                <w:iCs/>
              </w:rPr>
            </w:pPr>
          </w:p>
        </w:tc>
        <w:tc>
          <w:tcPr>
            <w:tcW w:w="629" w:type="pct"/>
            <w:tcBorders>
              <w:left w:val="nil"/>
              <w:bottom w:val="single" w:sz="4" w:space="0" w:color="auto"/>
            </w:tcBorders>
          </w:tcPr>
          <w:p w14:paraId="4AEC8A57" w14:textId="756FE7F7" w:rsidR="00B762EA" w:rsidRPr="008202F7" w:rsidRDefault="00B762EA" w:rsidP="006031CC">
            <w:pPr>
              <w:pStyle w:val="TableText"/>
              <w:jc w:val="center"/>
              <w:rPr>
                <w:i/>
                <w:iCs/>
              </w:rPr>
            </w:pPr>
            <w:r>
              <w:rPr>
                <w:i/>
                <w:iCs/>
              </w:rPr>
              <w:t>$669.53</w:t>
            </w:r>
          </w:p>
        </w:tc>
        <w:tc>
          <w:tcPr>
            <w:tcW w:w="1258" w:type="pct"/>
            <w:tcBorders>
              <w:bottom w:val="single" w:sz="4" w:space="0" w:color="auto"/>
              <w:right w:val="nil"/>
            </w:tcBorders>
          </w:tcPr>
          <w:p w14:paraId="74ABB3FF" w14:textId="4A0D81D7" w:rsidR="00B762EA" w:rsidRPr="008202F7" w:rsidRDefault="00B762EA" w:rsidP="006031CC">
            <w:pPr>
              <w:pStyle w:val="TableText"/>
              <w:rPr>
                <w:i/>
                <w:iCs/>
              </w:rPr>
            </w:pPr>
          </w:p>
        </w:tc>
        <w:tc>
          <w:tcPr>
            <w:tcW w:w="678" w:type="pct"/>
            <w:tcBorders>
              <w:left w:val="nil"/>
              <w:bottom w:val="single" w:sz="4" w:space="0" w:color="auto"/>
            </w:tcBorders>
          </w:tcPr>
          <w:p w14:paraId="3710F53E" w14:textId="57606149" w:rsidR="00B762EA" w:rsidRPr="008202F7" w:rsidRDefault="00B762EA" w:rsidP="006031CC">
            <w:pPr>
              <w:pStyle w:val="TableText"/>
              <w:jc w:val="center"/>
              <w:rPr>
                <w:i/>
                <w:iCs/>
              </w:rPr>
            </w:pPr>
            <w:r>
              <w:rPr>
                <w:i/>
                <w:iCs/>
              </w:rPr>
              <w:t>$849.56</w:t>
            </w:r>
          </w:p>
        </w:tc>
      </w:tr>
      <w:tr w:rsidR="00366C70" w14:paraId="4AA80C30" w14:textId="77E58524" w:rsidTr="5C2A1D94">
        <w:tc>
          <w:tcPr>
            <w:tcW w:w="1334" w:type="pct"/>
            <w:tcBorders>
              <w:bottom w:val="nil"/>
            </w:tcBorders>
          </w:tcPr>
          <w:p w14:paraId="047A47C1" w14:textId="00825081" w:rsidR="000B0D29" w:rsidRDefault="000B0D29" w:rsidP="00E8215B">
            <w:pPr>
              <w:pStyle w:val="TableText"/>
            </w:pPr>
            <w:r>
              <w:t>Other resource use</w:t>
            </w:r>
          </w:p>
        </w:tc>
        <w:tc>
          <w:tcPr>
            <w:tcW w:w="1101" w:type="pct"/>
            <w:tcBorders>
              <w:right w:val="single" w:sz="4" w:space="0" w:color="auto"/>
            </w:tcBorders>
          </w:tcPr>
          <w:p w14:paraId="621F72FB" w14:textId="57F74DF0" w:rsidR="000B0D29" w:rsidRDefault="000B0D29" w:rsidP="006031CC">
            <w:pPr>
              <w:pStyle w:val="TableText"/>
            </w:pPr>
            <w:r>
              <w:t>Prosthesis costs</w:t>
            </w:r>
          </w:p>
        </w:tc>
        <w:tc>
          <w:tcPr>
            <w:tcW w:w="629" w:type="pct"/>
            <w:tcBorders>
              <w:left w:val="single" w:sz="4" w:space="0" w:color="auto"/>
            </w:tcBorders>
          </w:tcPr>
          <w:p w14:paraId="48D93B56" w14:textId="6F40B9C9" w:rsidR="000B0D29" w:rsidRDefault="00F34DF2" w:rsidP="006031CC">
            <w:pPr>
              <w:pStyle w:val="TableText"/>
              <w:jc w:val="center"/>
            </w:pPr>
            <w:r>
              <w:rPr>
                <w:lang w:val="en-US"/>
              </w:rPr>
              <w:t>$</w:t>
            </w:r>
            <w:r>
              <w:rPr>
                <w:b/>
                <w:bCs/>
                <w:lang w:val="en-US"/>
              </w:rPr>
              <w:t>redacted</w:t>
            </w:r>
          </w:p>
        </w:tc>
        <w:tc>
          <w:tcPr>
            <w:tcW w:w="1258" w:type="pct"/>
            <w:tcBorders>
              <w:right w:val="single" w:sz="4" w:space="0" w:color="auto"/>
            </w:tcBorders>
          </w:tcPr>
          <w:p w14:paraId="6B8AE60A" w14:textId="0846DE71" w:rsidR="000B0D29" w:rsidRDefault="000B0D29" w:rsidP="006031CC">
            <w:pPr>
              <w:pStyle w:val="TableText"/>
            </w:pPr>
            <w:r>
              <w:t>Prosthesis cost for leads</w:t>
            </w:r>
            <w:r w:rsidR="00063071">
              <w:t xml:space="preserve"> (</w:t>
            </w:r>
            <w:r w:rsidR="002C18AE">
              <w:t>PL 08.08.09)</w:t>
            </w:r>
          </w:p>
        </w:tc>
        <w:tc>
          <w:tcPr>
            <w:tcW w:w="678" w:type="pct"/>
            <w:tcBorders>
              <w:left w:val="single" w:sz="4" w:space="0" w:color="auto"/>
            </w:tcBorders>
          </w:tcPr>
          <w:p w14:paraId="4C206BB0" w14:textId="548A6C03" w:rsidR="000B0D29" w:rsidRDefault="000B0D29" w:rsidP="006031CC">
            <w:pPr>
              <w:pStyle w:val="TableText"/>
              <w:jc w:val="center"/>
            </w:pPr>
            <w:r>
              <w:t>$6,870</w:t>
            </w:r>
          </w:p>
        </w:tc>
      </w:tr>
      <w:tr w:rsidR="00366C70" w14:paraId="5852827E" w14:textId="0FEFB908" w:rsidTr="5C2A1D94">
        <w:tc>
          <w:tcPr>
            <w:tcW w:w="1334" w:type="pct"/>
            <w:tcBorders>
              <w:top w:val="nil"/>
              <w:bottom w:val="nil"/>
            </w:tcBorders>
          </w:tcPr>
          <w:p w14:paraId="2BE85F56" w14:textId="672735CC" w:rsidR="000B0D29" w:rsidRDefault="000B0D29" w:rsidP="00E8215B">
            <w:pPr>
              <w:pStyle w:val="TableText"/>
            </w:pPr>
          </w:p>
        </w:tc>
        <w:tc>
          <w:tcPr>
            <w:tcW w:w="1101" w:type="pct"/>
            <w:tcBorders>
              <w:right w:val="single" w:sz="4" w:space="0" w:color="auto"/>
            </w:tcBorders>
          </w:tcPr>
          <w:p w14:paraId="0C9E2E2D" w14:textId="77777777" w:rsidR="000B0D29" w:rsidRDefault="000B0D29" w:rsidP="006031CC">
            <w:pPr>
              <w:pStyle w:val="TableText"/>
            </w:pPr>
          </w:p>
        </w:tc>
        <w:tc>
          <w:tcPr>
            <w:tcW w:w="629" w:type="pct"/>
            <w:tcBorders>
              <w:left w:val="single" w:sz="4" w:space="0" w:color="auto"/>
            </w:tcBorders>
          </w:tcPr>
          <w:p w14:paraId="055237E3" w14:textId="77777777" w:rsidR="000B0D29" w:rsidRDefault="000B0D29" w:rsidP="006031CC">
            <w:pPr>
              <w:pStyle w:val="TableText"/>
              <w:jc w:val="center"/>
            </w:pPr>
          </w:p>
        </w:tc>
        <w:tc>
          <w:tcPr>
            <w:tcW w:w="1258" w:type="pct"/>
            <w:tcBorders>
              <w:right w:val="single" w:sz="4" w:space="0" w:color="auto"/>
            </w:tcBorders>
          </w:tcPr>
          <w:p w14:paraId="2B5E3636" w14:textId="0F4212AC" w:rsidR="000B0D29" w:rsidRDefault="000B0D29" w:rsidP="006031CC">
            <w:pPr>
              <w:pStyle w:val="TableText"/>
            </w:pPr>
            <w:r>
              <w:t>Prosthesis for pacing device</w:t>
            </w:r>
            <w:r w:rsidR="002C18AE">
              <w:t xml:space="preserve"> (PL 08.04.04)</w:t>
            </w:r>
          </w:p>
        </w:tc>
        <w:tc>
          <w:tcPr>
            <w:tcW w:w="678" w:type="pct"/>
            <w:tcBorders>
              <w:left w:val="single" w:sz="4" w:space="0" w:color="auto"/>
            </w:tcBorders>
          </w:tcPr>
          <w:p w14:paraId="502D13F2" w14:textId="0A2B000C" w:rsidR="000B0D29" w:rsidRDefault="000B0D29" w:rsidP="006031CC">
            <w:pPr>
              <w:pStyle w:val="TableText"/>
              <w:jc w:val="center"/>
            </w:pPr>
            <w:r>
              <w:t>$1,072</w:t>
            </w:r>
          </w:p>
        </w:tc>
      </w:tr>
      <w:tr w:rsidR="00366C70" w14:paraId="19E1F575" w14:textId="767DB6D5" w:rsidTr="5C2A1D94">
        <w:tc>
          <w:tcPr>
            <w:tcW w:w="1334" w:type="pct"/>
            <w:tcBorders>
              <w:top w:val="nil"/>
            </w:tcBorders>
          </w:tcPr>
          <w:p w14:paraId="7065038C" w14:textId="37A7F314" w:rsidR="000B0D29" w:rsidRDefault="000B0D29" w:rsidP="00984391">
            <w:pPr>
              <w:pStyle w:val="TableText"/>
            </w:pPr>
          </w:p>
        </w:tc>
        <w:tc>
          <w:tcPr>
            <w:tcW w:w="1101" w:type="pct"/>
            <w:tcBorders>
              <w:bottom w:val="single" w:sz="4" w:space="0" w:color="auto"/>
              <w:right w:val="single" w:sz="4" w:space="0" w:color="auto"/>
            </w:tcBorders>
          </w:tcPr>
          <w:p w14:paraId="6E4601A6" w14:textId="104AD060" w:rsidR="000B0D29" w:rsidRDefault="000B0D29" w:rsidP="006031CC">
            <w:pPr>
              <w:pStyle w:val="TableText"/>
            </w:pPr>
            <w:r>
              <w:t>2-day hospital stay</w:t>
            </w:r>
          </w:p>
        </w:tc>
        <w:tc>
          <w:tcPr>
            <w:tcW w:w="629" w:type="pct"/>
            <w:tcBorders>
              <w:left w:val="single" w:sz="4" w:space="0" w:color="auto"/>
              <w:bottom w:val="single" w:sz="4" w:space="0" w:color="auto"/>
            </w:tcBorders>
          </w:tcPr>
          <w:p w14:paraId="2502E448" w14:textId="445DB1A9" w:rsidR="000B0D29" w:rsidRDefault="000B0D29" w:rsidP="006031CC">
            <w:pPr>
              <w:pStyle w:val="TableText"/>
              <w:jc w:val="center"/>
            </w:pPr>
            <w:r>
              <w:t>$4,552</w:t>
            </w:r>
          </w:p>
        </w:tc>
        <w:tc>
          <w:tcPr>
            <w:tcW w:w="1258" w:type="pct"/>
            <w:tcBorders>
              <w:bottom w:val="single" w:sz="4" w:space="0" w:color="auto"/>
              <w:right w:val="single" w:sz="4" w:space="0" w:color="auto"/>
            </w:tcBorders>
          </w:tcPr>
          <w:p w14:paraId="0EBA3DCF" w14:textId="75840C08" w:rsidR="000B0D29" w:rsidRDefault="000B0D29" w:rsidP="006031CC">
            <w:pPr>
              <w:pStyle w:val="TableText"/>
            </w:pPr>
            <w:r>
              <w:t>2-day hospital stay</w:t>
            </w:r>
          </w:p>
        </w:tc>
        <w:tc>
          <w:tcPr>
            <w:tcW w:w="678" w:type="pct"/>
            <w:tcBorders>
              <w:left w:val="single" w:sz="4" w:space="0" w:color="auto"/>
              <w:bottom w:val="single" w:sz="4" w:space="0" w:color="auto"/>
            </w:tcBorders>
          </w:tcPr>
          <w:p w14:paraId="52807B0A" w14:textId="1365B221" w:rsidR="000B0D29" w:rsidRDefault="000B0D29" w:rsidP="006031CC">
            <w:pPr>
              <w:pStyle w:val="TableText"/>
              <w:jc w:val="center"/>
            </w:pPr>
            <w:r>
              <w:t>$4,552</w:t>
            </w:r>
          </w:p>
        </w:tc>
      </w:tr>
      <w:tr w:rsidR="00B762EA" w14:paraId="1E5DA156" w14:textId="77777777" w:rsidTr="5C2A1D94">
        <w:tc>
          <w:tcPr>
            <w:tcW w:w="1334" w:type="pct"/>
          </w:tcPr>
          <w:p w14:paraId="051FAD87" w14:textId="48F66E16" w:rsidR="00B762EA" w:rsidRPr="005D2E1D" w:rsidRDefault="7EB94F84" w:rsidP="5C2A1D94">
            <w:pPr>
              <w:pStyle w:val="TableText"/>
              <w:rPr>
                <w:i/>
                <w:iCs/>
              </w:rPr>
            </w:pPr>
            <w:r w:rsidRPr="5C2A1D94">
              <w:rPr>
                <w:i/>
                <w:iCs/>
              </w:rPr>
              <w:t>Total cost per patient (75% benefit)</w:t>
            </w:r>
          </w:p>
        </w:tc>
        <w:tc>
          <w:tcPr>
            <w:tcW w:w="1101" w:type="pct"/>
            <w:tcBorders>
              <w:right w:val="nil"/>
            </w:tcBorders>
          </w:tcPr>
          <w:p w14:paraId="0DCCC325" w14:textId="4F0497D5" w:rsidR="00B762EA" w:rsidRPr="008202F7" w:rsidRDefault="00B762EA" w:rsidP="006031CC">
            <w:pPr>
              <w:pStyle w:val="TableText"/>
              <w:rPr>
                <w:i/>
                <w:iCs/>
              </w:rPr>
            </w:pPr>
          </w:p>
        </w:tc>
        <w:tc>
          <w:tcPr>
            <w:tcW w:w="629" w:type="pct"/>
            <w:tcBorders>
              <w:left w:val="nil"/>
            </w:tcBorders>
          </w:tcPr>
          <w:p w14:paraId="56141EB4" w14:textId="0ABA6ACA" w:rsidR="00B762EA" w:rsidRPr="008202F7" w:rsidRDefault="00F34DF2" w:rsidP="006031CC">
            <w:pPr>
              <w:pStyle w:val="TableText"/>
              <w:jc w:val="center"/>
              <w:rPr>
                <w:i/>
                <w:iCs/>
              </w:rPr>
            </w:pPr>
            <w:r>
              <w:rPr>
                <w:lang w:val="en-US"/>
              </w:rPr>
              <w:t>$</w:t>
            </w:r>
            <w:r>
              <w:rPr>
                <w:b/>
                <w:bCs/>
                <w:lang w:val="en-US"/>
              </w:rPr>
              <w:t>redacted</w:t>
            </w:r>
          </w:p>
        </w:tc>
        <w:tc>
          <w:tcPr>
            <w:tcW w:w="1258" w:type="pct"/>
            <w:tcBorders>
              <w:right w:val="nil"/>
            </w:tcBorders>
          </w:tcPr>
          <w:p w14:paraId="50D8F7A2" w14:textId="4C7C422F" w:rsidR="00B762EA" w:rsidRPr="008202F7" w:rsidRDefault="00B762EA" w:rsidP="006031CC">
            <w:pPr>
              <w:pStyle w:val="TableText"/>
              <w:rPr>
                <w:i/>
                <w:iCs/>
              </w:rPr>
            </w:pPr>
          </w:p>
        </w:tc>
        <w:tc>
          <w:tcPr>
            <w:tcW w:w="678" w:type="pct"/>
            <w:tcBorders>
              <w:left w:val="nil"/>
            </w:tcBorders>
          </w:tcPr>
          <w:p w14:paraId="3291CC76" w14:textId="45FE6B3D" w:rsidR="00B762EA" w:rsidRPr="008202F7" w:rsidRDefault="7EB94F84" w:rsidP="5C2A1D94">
            <w:pPr>
              <w:pStyle w:val="TableText"/>
              <w:jc w:val="center"/>
              <w:rPr>
                <w:i/>
                <w:iCs/>
              </w:rPr>
            </w:pPr>
            <w:r w:rsidRPr="5C2A1D94">
              <w:rPr>
                <w:i/>
                <w:iCs/>
              </w:rPr>
              <w:t>$13,343.56</w:t>
            </w:r>
          </w:p>
        </w:tc>
      </w:tr>
    </w:tbl>
    <w:p w14:paraId="372AE784" w14:textId="77777777" w:rsidR="002805FF" w:rsidRPr="006031CC" w:rsidRDefault="002805FF" w:rsidP="002805FF">
      <w:pPr>
        <w:pStyle w:val="TableFigureFooter"/>
        <w:contextualSpacing/>
        <w:rPr>
          <w:b/>
          <w:bCs/>
          <w:snapToGrid/>
          <w:u w:val="single"/>
        </w:rPr>
      </w:pPr>
      <w:r w:rsidRPr="006031CC">
        <w:rPr>
          <w:b/>
          <w:bCs/>
          <w:snapToGrid/>
          <w:u w:val="single"/>
        </w:rPr>
        <w:t>Abbreviations:</w:t>
      </w:r>
    </w:p>
    <w:p w14:paraId="48B93875" w14:textId="54338163" w:rsidR="00DB411B" w:rsidRDefault="002805FF" w:rsidP="00377501">
      <w:pPr>
        <w:pStyle w:val="TableFigureFooter"/>
        <w:contextualSpacing/>
      </w:pPr>
      <w:r w:rsidRPr="00E070E0">
        <w:rPr>
          <w:b/>
        </w:rPr>
        <w:t>DC-TVPM</w:t>
      </w:r>
      <w:r>
        <w:t xml:space="preserve"> = d</w:t>
      </w:r>
      <w:r w:rsidRPr="00211F3D">
        <w:t>ual-</w:t>
      </w:r>
      <w:r>
        <w:t>c</w:t>
      </w:r>
      <w:r w:rsidRPr="00211F3D">
        <w:t xml:space="preserve">hamber </w:t>
      </w:r>
      <w:r>
        <w:t>t</w:t>
      </w:r>
      <w:r w:rsidRPr="00211F3D">
        <w:t xml:space="preserve">ransvenous </w:t>
      </w:r>
      <w:r>
        <w:t>p</w:t>
      </w:r>
      <w:r w:rsidRPr="00211F3D">
        <w:t>acemaker</w:t>
      </w:r>
      <w:r>
        <w:t>,</w:t>
      </w:r>
      <w:r w:rsidR="00773F84">
        <w:t xml:space="preserve"> </w:t>
      </w:r>
      <w:r w:rsidR="00773F84" w:rsidRPr="00E070E0">
        <w:rPr>
          <w:b/>
        </w:rPr>
        <w:t>LPM</w:t>
      </w:r>
      <w:r w:rsidR="00773F84">
        <w:t xml:space="preserve"> = l</w:t>
      </w:r>
      <w:r w:rsidR="00773F84" w:rsidRPr="00211F3D">
        <w:t xml:space="preserve">eadless </w:t>
      </w:r>
      <w:r w:rsidR="00773F84">
        <w:t>p</w:t>
      </w:r>
      <w:r w:rsidR="00773F84" w:rsidRPr="00211F3D">
        <w:t>acemaker</w:t>
      </w:r>
      <w:r w:rsidR="00773F84">
        <w:t xml:space="preserve">, </w:t>
      </w:r>
      <w:r w:rsidRPr="00E070E0">
        <w:rPr>
          <w:b/>
        </w:rPr>
        <w:t>MBS</w:t>
      </w:r>
      <w:r>
        <w:t xml:space="preserve"> = </w:t>
      </w:r>
      <w:r w:rsidRPr="00211F3D">
        <w:t>Medicare Benefits Schedule</w:t>
      </w:r>
      <w:r>
        <w:t xml:space="preserve">, </w:t>
      </w:r>
      <w:r w:rsidRPr="00F31A7F">
        <w:rPr>
          <w:b/>
          <w:bCs/>
        </w:rPr>
        <w:t>PL</w:t>
      </w:r>
      <w:r>
        <w:t xml:space="preserve"> = Prescribed List.</w:t>
      </w:r>
    </w:p>
    <w:p w14:paraId="710911E0" w14:textId="6EAD48B4" w:rsidR="00E13838" w:rsidRDefault="00E13838" w:rsidP="00377501">
      <w:pPr>
        <w:pStyle w:val="TableFigureFooter"/>
        <w:contextualSpacing/>
        <w:rPr>
          <w:b/>
          <w:bCs/>
          <w:u w:val="single"/>
        </w:rPr>
      </w:pPr>
      <w:r>
        <w:rPr>
          <w:b/>
          <w:bCs/>
          <w:u w:val="single"/>
        </w:rPr>
        <w:t>Notes:</w:t>
      </w:r>
    </w:p>
    <w:p w14:paraId="07D19FCD" w14:textId="56F7945F" w:rsidR="00E13838" w:rsidRPr="009C553D" w:rsidRDefault="00FC302F" w:rsidP="00E13838">
      <w:pPr>
        <w:pStyle w:val="TableFigureFooter"/>
        <w:contextualSpacing/>
      </w:pPr>
      <w:r w:rsidRPr="009C553D">
        <w:rPr>
          <w:b/>
        </w:rPr>
        <w:t>a</w:t>
      </w:r>
      <w:r w:rsidR="00E13838">
        <w:t xml:space="preserve"> = </w:t>
      </w:r>
      <w:r w:rsidR="00C4473F">
        <w:t>C</w:t>
      </w:r>
      <w:r w:rsidR="00BF2E32" w:rsidRPr="00277E84">
        <w:t>urrent MBS fee</w:t>
      </w:r>
      <w:r w:rsidR="00BF2E32">
        <w:t xml:space="preserve"> of </w:t>
      </w:r>
      <w:r w:rsidR="00BF2E32" w:rsidRPr="00277E84">
        <w:t>$2</w:t>
      </w:r>
      <w:r w:rsidR="00BF2E32">
        <w:t>91</w:t>
      </w:r>
      <w:r w:rsidR="00BF2E32" w:rsidRPr="00277E84">
        <w:t xml:space="preserve"> adjusted for multiple operation rule x 50%</w:t>
      </w:r>
    </w:p>
    <w:p w14:paraId="481AF8B0" w14:textId="16A27256" w:rsidR="00C06B5C" w:rsidRDefault="00C06B5C" w:rsidP="00377501">
      <w:pPr>
        <w:pStyle w:val="TableFigureFooter"/>
        <w:contextualSpacing/>
        <w:rPr>
          <w:b/>
          <w:bCs/>
          <w:u w:val="single"/>
        </w:rPr>
      </w:pPr>
      <w:r>
        <w:rPr>
          <w:b/>
          <w:bCs/>
          <w:u w:val="single"/>
        </w:rPr>
        <w:t>Source:</w:t>
      </w:r>
    </w:p>
    <w:p w14:paraId="31A4DD20" w14:textId="0AC86598" w:rsidR="00C06B5C" w:rsidRPr="00954191" w:rsidRDefault="00954191" w:rsidP="00377501">
      <w:pPr>
        <w:pStyle w:val="TableFigureFooter"/>
        <w:contextualSpacing/>
      </w:pPr>
      <w:r>
        <w:t>Compiled during the commentary using data from Table 59 and Table 60 of the ADAR</w:t>
      </w:r>
      <w:r w:rsidR="001F2A82">
        <w:t>.</w:t>
      </w:r>
    </w:p>
    <w:p w14:paraId="1D895F98" w14:textId="34EDE56B" w:rsidR="008C0270" w:rsidRDefault="008C0270" w:rsidP="008C0270">
      <w:r w:rsidRPr="4C0A0968">
        <w:t>The total market</w:t>
      </w:r>
      <w:r w:rsidR="006F6E94" w:rsidRPr="4C0A0968">
        <w:t>-</w:t>
      </w:r>
      <w:r w:rsidRPr="4C0A0968">
        <w:t xml:space="preserve">size estimate based on MBS item 38356 </w:t>
      </w:r>
      <w:r w:rsidR="003F0280">
        <w:t>includes</w:t>
      </w:r>
      <w:r w:rsidRPr="4C0A0968">
        <w:t xml:space="preserve"> retrieval as well as replacement items. The submission</w:t>
      </w:r>
      <w:r w:rsidR="003F0280">
        <w:t>,</w:t>
      </w:r>
      <w:r w:rsidRPr="4C0A0968">
        <w:t xml:space="preserve"> </w:t>
      </w:r>
      <w:r w:rsidRPr="4C0A0968" w:rsidDel="003F0280">
        <w:t>therefore</w:t>
      </w:r>
      <w:r w:rsidR="003F0280" w:rsidRPr="4C0A0968">
        <w:t>,</w:t>
      </w:r>
      <w:r w:rsidRPr="4C0A0968">
        <w:t xml:space="preserve"> suggests the estimates presented are inclusive of the newly requested insertion item and the 2 existing items for retrieval and replacement (items 38373 and 38374), which carry the same MBS fee</w:t>
      </w:r>
      <w:r w:rsidR="00650B15">
        <w:t>. However,</w:t>
      </w:r>
      <w:r w:rsidRPr="4C0A0968">
        <w:t xml:space="preserve"> </w:t>
      </w:r>
      <w:r w:rsidR="00650B15">
        <w:t>the submission also</w:t>
      </w:r>
      <w:r w:rsidRPr="4C0A0968">
        <w:t xml:space="preserve"> notes that most Micra AV-related procedures during the first 6 years would be expected to be for the insertion procedure. </w:t>
      </w:r>
      <w:r w:rsidR="00AF2728" w:rsidRPr="4C0A0968">
        <w:t xml:space="preserve">However, </w:t>
      </w:r>
      <w:r w:rsidR="00C66747" w:rsidRPr="4C0A0968">
        <w:t xml:space="preserve">claiming of MBS item 90300 by a cardiothoracic surgeon is also required &gt;4 weeks after the insertion of a leadless pacemaker when an interventional cardiologist is undertaking the services under items 38373 and 38374 for retrieval or replacement. </w:t>
      </w:r>
      <w:r w:rsidRPr="4C0A0968">
        <w:t xml:space="preserve">As of November 2024, no claims for MBS items 38373 or 38374 </w:t>
      </w:r>
      <w:r w:rsidR="00650B15">
        <w:t xml:space="preserve">were </w:t>
      </w:r>
      <w:r w:rsidRPr="4C0A0968">
        <w:t xml:space="preserve">associated with the Micra VR device. </w:t>
      </w:r>
    </w:p>
    <w:p w14:paraId="1BD22DAD" w14:textId="4A177E45" w:rsidR="00780DB7" w:rsidRDefault="00780DB7" w:rsidP="008C0270">
      <w:r>
        <w:t xml:space="preserve">The applicant assumed </w:t>
      </w:r>
      <w:r w:rsidR="008A15B6">
        <w:t>fewer</w:t>
      </w:r>
      <w:r>
        <w:t xml:space="preserve"> costs of complications for Micra AV than DC-TVPM,</w:t>
      </w:r>
      <w:r w:rsidDel="000D027C">
        <w:t xml:space="preserve"> </w:t>
      </w:r>
      <w:r>
        <w:t xml:space="preserve">and the </w:t>
      </w:r>
      <w:r w:rsidR="00650B15">
        <w:t>associated costs</w:t>
      </w:r>
      <w:r>
        <w:t xml:space="preserve"> were excluded from the analysis. No sensitivity analysis was conducted.</w:t>
      </w:r>
    </w:p>
    <w:p w14:paraId="4FE2390F" w14:textId="55AD3FC5" w:rsidR="0072578A" w:rsidRDefault="00D428B9" w:rsidP="00330A0A">
      <w:r w:rsidRPr="4C0A0968">
        <w:t xml:space="preserve">The financial implications to the </w:t>
      </w:r>
      <w:r w:rsidR="00207363" w:rsidRPr="4C0A0968">
        <w:t xml:space="preserve">MBS </w:t>
      </w:r>
      <w:r w:rsidRPr="4C0A0968">
        <w:t xml:space="preserve">resulting from the proposed listing of </w:t>
      </w:r>
      <w:r w:rsidR="00A86EFB" w:rsidRPr="4C0A0968">
        <w:t xml:space="preserve">the </w:t>
      </w:r>
      <w:r w:rsidR="00050E60" w:rsidRPr="4C0A0968">
        <w:t xml:space="preserve">Micra </w:t>
      </w:r>
      <w:r w:rsidR="00207363" w:rsidRPr="4C0A0968">
        <w:t>AV</w:t>
      </w:r>
      <w:r w:rsidR="006A1211" w:rsidRPr="4C0A0968">
        <w:t xml:space="preserve"> </w:t>
      </w:r>
      <w:r w:rsidR="00207363" w:rsidRPr="4C0A0968">
        <w:t>LPM</w:t>
      </w:r>
      <w:r w:rsidRPr="4C0A0968">
        <w:t xml:space="preserve"> are summarised in </w:t>
      </w:r>
      <w:r>
        <w:fldChar w:fldCharType="begin"/>
      </w:r>
      <w:r>
        <w:instrText xml:space="preserve"> REF _Ref69726382 \h </w:instrText>
      </w:r>
      <w:r>
        <w:fldChar w:fldCharType="separate"/>
      </w:r>
      <w:r w:rsidR="00F71EE2" w:rsidRPr="00CE28E3">
        <w:t>Table</w:t>
      </w:r>
      <w:r w:rsidR="00F71EE2">
        <w:t> </w:t>
      </w:r>
      <w:r w:rsidR="00F71EE2">
        <w:rPr>
          <w:noProof/>
        </w:rPr>
        <w:t>18</w:t>
      </w:r>
      <w:r>
        <w:fldChar w:fldCharType="end"/>
      </w:r>
      <w:r w:rsidRPr="4C0A0968">
        <w:t xml:space="preserve">. </w:t>
      </w:r>
      <w:r w:rsidR="00407256" w:rsidRPr="4C0A0968">
        <w:t xml:space="preserve">The submission calculated the new item to have a cost-saving impact on the MBS. The projected cost saving was </w:t>
      </w:r>
      <w:r w:rsidR="001A66F1">
        <w:rPr>
          <w:lang w:val="en-US"/>
        </w:rPr>
        <w:t>$</w:t>
      </w:r>
      <w:r w:rsidR="001A66F1">
        <w:rPr>
          <w:b/>
          <w:bCs/>
          <w:lang w:val="en-US"/>
        </w:rPr>
        <w:t>redacted</w:t>
      </w:r>
      <w:r w:rsidR="001A66F1" w:rsidRPr="4C0A0968" w:rsidDel="001A66F1">
        <w:t xml:space="preserve"> </w:t>
      </w:r>
      <w:r w:rsidR="00407256" w:rsidRPr="4C0A0968">
        <w:t xml:space="preserve">in 2025 and grew linearly to </w:t>
      </w:r>
      <w:r w:rsidR="001A66F1">
        <w:rPr>
          <w:lang w:val="en-US"/>
        </w:rPr>
        <w:t>$</w:t>
      </w:r>
      <w:r w:rsidR="001A66F1">
        <w:rPr>
          <w:b/>
          <w:bCs/>
          <w:lang w:val="en-US"/>
        </w:rPr>
        <w:t>redacted</w:t>
      </w:r>
      <w:r w:rsidR="001A66F1" w:rsidRPr="4C0A0968" w:rsidDel="001A66F1">
        <w:t xml:space="preserve"> </w:t>
      </w:r>
      <w:r w:rsidR="00407256" w:rsidRPr="4C0A0968">
        <w:t>in 2030 at 75% benefit.</w:t>
      </w:r>
    </w:p>
    <w:p w14:paraId="33FCA9D4" w14:textId="3E5BF6E1" w:rsidR="00D428B9" w:rsidRDefault="00D428B9" w:rsidP="00603D0C">
      <w:pPr>
        <w:pStyle w:val="Caption"/>
        <w:keepLines/>
      </w:pPr>
      <w:bookmarkStart w:id="66" w:name="_Ref69726382"/>
      <w:r w:rsidRPr="00CE28E3">
        <w:t>Table</w:t>
      </w:r>
      <w:r w:rsidR="003571C2">
        <w:t> </w:t>
      </w:r>
      <w:r w:rsidR="00F71EE2">
        <w:fldChar w:fldCharType="begin"/>
      </w:r>
      <w:r w:rsidR="00F71EE2">
        <w:instrText xml:space="preserve"> SEQ Table \* ARABIC </w:instrText>
      </w:r>
      <w:r w:rsidR="00F71EE2">
        <w:fldChar w:fldCharType="separate"/>
      </w:r>
      <w:r w:rsidR="00F71EE2">
        <w:rPr>
          <w:noProof/>
        </w:rPr>
        <w:t>18</w:t>
      </w:r>
      <w:r w:rsidR="00F71EE2">
        <w:rPr>
          <w:noProof/>
        </w:rPr>
        <w:fldChar w:fldCharType="end"/>
      </w:r>
      <w:bookmarkEnd w:id="66"/>
      <w:r w:rsidRPr="00CE28E3">
        <w:tab/>
        <w:t>Net financial implications of</w:t>
      </w:r>
      <w:r w:rsidR="003E244A">
        <w:t xml:space="preserve"> </w:t>
      </w:r>
      <w:r w:rsidR="00773F84">
        <w:t xml:space="preserve">Micra </w:t>
      </w:r>
      <w:r w:rsidR="003E244A">
        <w:t>AV</w:t>
      </w:r>
      <w:r w:rsidR="00773F84">
        <w:t xml:space="preserve"> </w:t>
      </w:r>
      <w:r w:rsidR="003E244A">
        <w:t>LPM</w:t>
      </w:r>
      <w:r w:rsidRPr="00CE28E3">
        <w:t xml:space="preserve"> to the</w:t>
      </w:r>
      <w:r w:rsidR="003E244A">
        <w:t xml:space="preserve"> MBS</w:t>
      </w:r>
    </w:p>
    <w:tbl>
      <w:tblPr>
        <w:tblW w:w="9488" w:type="dxa"/>
        <w:tblCellMar>
          <w:left w:w="0" w:type="dxa"/>
          <w:right w:w="0" w:type="dxa"/>
        </w:tblCellMar>
        <w:tblLook w:val="04A0" w:firstRow="1" w:lastRow="0" w:firstColumn="1" w:lastColumn="0" w:noHBand="0" w:noVBand="1"/>
      </w:tblPr>
      <w:tblGrid>
        <w:gridCol w:w="2684"/>
        <w:gridCol w:w="1134"/>
        <w:gridCol w:w="1134"/>
        <w:gridCol w:w="1134"/>
        <w:gridCol w:w="1134"/>
        <w:gridCol w:w="1134"/>
        <w:gridCol w:w="1134"/>
      </w:tblGrid>
      <w:tr w:rsidR="0006423F" w:rsidRPr="00CE28E3" w14:paraId="67F081DC" w14:textId="77777777" w:rsidTr="00F82AD6">
        <w:trPr>
          <w:tblHeader/>
        </w:trPr>
        <w:tc>
          <w:tcPr>
            <w:tcW w:w="268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222176B" w14:textId="77777777" w:rsidR="0006423F" w:rsidRPr="00CE28E3" w:rsidRDefault="0006423F" w:rsidP="00603D0C">
            <w:pPr>
              <w:pStyle w:val="TableText"/>
              <w:keepNext/>
              <w:keepLines/>
              <w:rPr>
                <w:b/>
                <w:bCs/>
              </w:rPr>
            </w:pPr>
            <w:r>
              <w:rPr>
                <w:b/>
                <w:bCs/>
              </w:rPr>
              <w:t xml:space="preserve">Parameter </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30E93266" w14:textId="77777777" w:rsidR="0006423F" w:rsidRPr="00CE28E3" w:rsidRDefault="0006423F" w:rsidP="00603D0C">
            <w:pPr>
              <w:pStyle w:val="TableText"/>
              <w:keepNext/>
              <w:keepLines/>
              <w:jc w:val="center"/>
              <w:rPr>
                <w:b/>
                <w:bCs/>
              </w:rPr>
            </w:pPr>
            <w:r w:rsidRPr="00CE28E3">
              <w:rPr>
                <w:b/>
                <w:bCs/>
              </w:rPr>
              <w:t>Year 1</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7D3F3450" w14:textId="77777777" w:rsidR="0006423F" w:rsidRPr="00CE28E3" w:rsidRDefault="0006423F" w:rsidP="00603D0C">
            <w:pPr>
              <w:pStyle w:val="TableText"/>
              <w:keepNext/>
              <w:keepLines/>
              <w:jc w:val="center"/>
              <w:rPr>
                <w:b/>
                <w:bCs/>
              </w:rPr>
            </w:pPr>
            <w:r w:rsidRPr="00CE28E3">
              <w:rPr>
                <w:b/>
                <w:bCs/>
              </w:rPr>
              <w:t>Year 2</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7CC6E947" w14:textId="77777777" w:rsidR="0006423F" w:rsidRPr="00CE28E3" w:rsidRDefault="0006423F" w:rsidP="00603D0C">
            <w:pPr>
              <w:pStyle w:val="TableText"/>
              <w:keepNext/>
              <w:keepLines/>
              <w:jc w:val="center"/>
              <w:rPr>
                <w:b/>
                <w:bCs/>
              </w:rPr>
            </w:pPr>
            <w:r w:rsidRPr="00CE28E3">
              <w:rPr>
                <w:b/>
                <w:bCs/>
              </w:rPr>
              <w:t>Year 3</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75F051AF" w14:textId="77777777" w:rsidR="0006423F" w:rsidRPr="00CE28E3" w:rsidRDefault="0006423F" w:rsidP="00603D0C">
            <w:pPr>
              <w:pStyle w:val="TableText"/>
              <w:keepNext/>
              <w:keepLines/>
              <w:jc w:val="center"/>
              <w:rPr>
                <w:b/>
                <w:bCs/>
              </w:rPr>
            </w:pPr>
            <w:r w:rsidRPr="00CE28E3">
              <w:rPr>
                <w:b/>
                <w:bCs/>
              </w:rPr>
              <w:t>Year 4</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F7AA162" w14:textId="77777777" w:rsidR="0006423F" w:rsidRPr="00CE28E3" w:rsidRDefault="0006423F" w:rsidP="00603D0C">
            <w:pPr>
              <w:pStyle w:val="TableText"/>
              <w:keepNext/>
              <w:keepLines/>
              <w:jc w:val="center"/>
              <w:rPr>
                <w:b/>
                <w:bCs/>
              </w:rPr>
            </w:pPr>
            <w:r w:rsidRPr="00CE28E3">
              <w:rPr>
                <w:b/>
                <w:bCs/>
              </w:rPr>
              <w:t>Year 5</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3E8DFB5A" w14:textId="77777777" w:rsidR="0006423F" w:rsidRPr="00CE28E3" w:rsidRDefault="0006423F" w:rsidP="00603D0C">
            <w:pPr>
              <w:pStyle w:val="TableText"/>
              <w:keepNext/>
              <w:keepLines/>
              <w:jc w:val="center"/>
              <w:rPr>
                <w:b/>
                <w:bCs/>
              </w:rPr>
            </w:pPr>
            <w:r w:rsidRPr="00CE28E3">
              <w:rPr>
                <w:b/>
                <w:bCs/>
              </w:rPr>
              <w:t>Year 6</w:t>
            </w:r>
          </w:p>
        </w:tc>
      </w:tr>
      <w:tr w:rsidR="0006423F" w:rsidRPr="00CE28E3" w14:paraId="370045CC" w14:textId="77777777" w:rsidTr="00893342">
        <w:tc>
          <w:tcPr>
            <w:tcW w:w="9488" w:type="dxa"/>
            <w:gridSpan w:val="7"/>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B2D0C8" w14:textId="409F41E1" w:rsidR="0006423F" w:rsidRPr="00CE28E3" w:rsidRDefault="0006423F" w:rsidP="00603D0C">
            <w:pPr>
              <w:pStyle w:val="TableText"/>
              <w:keepNext/>
              <w:keepLines/>
              <w:rPr>
                <w:b/>
                <w:bCs/>
              </w:rPr>
            </w:pPr>
            <w:r w:rsidRPr="00CE28E3">
              <w:rPr>
                <w:b/>
                <w:bCs/>
              </w:rPr>
              <w:t xml:space="preserve">Estimated use and cost of </w:t>
            </w:r>
            <w:r w:rsidR="00773F84">
              <w:rPr>
                <w:b/>
                <w:bCs/>
              </w:rPr>
              <w:t xml:space="preserve">Micra </w:t>
            </w:r>
            <w:r w:rsidR="00607B5F">
              <w:rPr>
                <w:b/>
                <w:bCs/>
              </w:rPr>
              <w:t>AV</w:t>
            </w:r>
            <w:r w:rsidR="00773F84">
              <w:rPr>
                <w:b/>
                <w:bCs/>
              </w:rPr>
              <w:t xml:space="preserve"> L</w:t>
            </w:r>
            <w:r>
              <w:rPr>
                <w:b/>
                <w:bCs/>
              </w:rPr>
              <w:t>PM</w:t>
            </w:r>
          </w:p>
        </w:tc>
      </w:tr>
      <w:tr w:rsidR="008B6AE9" w:rsidRPr="00CE28E3" w14:paraId="0494D179" w14:textId="77777777" w:rsidTr="00F82AD6">
        <w:tc>
          <w:tcPr>
            <w:tcW w:w="268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20828558" w14:textId="38AF346C" w:rsidR="008B6AE9" w:rsidRPr="00CE28E3" w:rsidRDefault="008B6AE9" w:rsidP="00603D0C">
            <w:pPr>
              <w:pStyle w:val="TableText"/>
              <w:keepNext/>
              <w:keepLines/>
            </w:pPr>
            <w:r w:rsidRPr="0006423F">
              <w:t xml:space="preserve">Number of people eligible for </w:t>
            </w:r>
            <w:r w:rsidR="002330CC">
              <w:t xml:space="preserve">Micra </w:t>
            </w:r>
            <w:r w:rsidRPr="0006423F">
              <w:t>AV</w:t>
            </w:r>
            <w:r w:rsidR="002330CC">
              <w:t xml:space="preserve"> </w:t>
            </w:r>
            <w:r w:rsidRPr="0006423F">
              <w:t>LPM</w:t>
            </w:r>
          </w:p>
        </w:tc>
        <w:tc>
          <w:tcPr>
            <w:tcW w:w="1134" w:type="dxa"/>
            <w:tcBorders>
              <w:top w:val="nil"/>
              <w:left w:val="nil"/>
              <w:bottom w:val="single" w:sz="4" w:space="0" w:color="auto"/>
              <w:right w:val="single" w:sz="8" w:space="0" w:color="auto"/>
            </w:tcBorders>
            <w:tcMar>
              <w:top w:w="0" w:type="dxa"/>
              <w:left w:w="108" w:type="dxa"/>
              <w:bottom w:w="0" w:type="dxa"/>
              <w:right w:w="108" w:type="dxa"/>
            </w:tcMar>
          </w:tcPr>
          <w:p w14:paraId="4A423977" w14:textId="746BE36A" w:rsidR="008B6AE9" w:rsidRPr="00CE28E3" w:rsidRDefault="008B6AE9" w:rsidP="00603D0C">
            <w:pPr>
              <w:pStyle w:val="TableText"/>
              <w:keepNext/>
              <w:keepLines/>
              <w:jc w:val="center"/>
            </w:pPr>
            <w:r w:rsidRPr="00961957">
              <w:t>3,217</w:t>
            </w:r>
          </w:p>
        </w:tc>
        <w:tc>
          <w:tcPr>
            <w:tcW w:w="1134" w:type="dxa"/>
            <w:tcBorders>
              <w:top w:val="nil"/>
              <w:left w:val="nil"/>
              <w:bottom w:val="single" w:sz="4" w:space="0" w:color="auto"/>
              <w:right w:val="single" w:sz="8" w:space="0" w:color="auto"/>
            </w:tcBorders>
            <w:tcMar>
              <w:top w:w="0" w:type="dxa"/>
              <w:left w:w="108" w:type="dxa"/>
              <w:bottom w:w="0" w:type="dxa"/>
              <w:right w:w="108" w:type="dxa"/>
            </w:tcMar>
          </w:tcPr>
          <w:p w14:paraId="69A3626B" w14:textId="494EF077" w:rsidR="008B6AE9" w:rsidRPr="00CE28E3" w:rsidRDefault="008B6AE9" w:rsidP="00603D0C">
            <w:pPr>
              <w:pStyle w:val="TableText"/>
              <w:keepNext/>
              <w:keepLines/>
              <w:jc w:val="center"/>
            </w:pPr>
            <w:r w:rsidRPr="00961957">
              <w:t>3,308</w:t>
            </w:r>
          </w:p>
        </w:tc>
        <w:tc>
          <w:tcPr>
            <w:tcW w:w="1134" w:type="dxa"/>
            <w:tcBorders>
              <w:top w:val="nil"/>
              <w:left w:val="nil"/>
              <w:bottom w:val="single" w:sz="4" w:space="0" w:color="auto"/>
              <w:right w:val="single" w:sz="8" w:space="0" w:color="auto"/>
            </w:tcBorders>
            <w:tcMar>
              <w:top w:w="0" w:type="dxa"/>
              <w:left w:w="108" w:type="dxa"/>
              <w:bottom w:w="0" w:type="dxa"/>
              <w:right w:w="108" w:type="dxa"/>
            </w:tcMar>
          </w:tcPr>
          <w:p w14:paraId="3C039B0E" w14:textId="05C3F306" w:rsidR="008B6AE9" w:rsidRPr="00CE28E3" w:rsidRDefault="008B6AE9" w:rsidP="00603D0C">
            <w:pPr>
              <w:pStyle w:val="TableText"/>
              <w:keepNext/>
              <w:keepLines/>
              <w:jc w:val="center"/>
            </w:pPr>
            <w:r w:rsidRPr="00961957">
              <w:t>3,398</w:t>
            </w:r>
          </w:p>
        </w:tc>
        <w:tc>
          <w:tcPr>
            <w:tcW w:w="1134" w:type="dxa"/>
            <w:tcBorders>
              <w:top w:val="nil"/>
              <w:left w:val="nil"/>
              <w:bottom w:val="single" w:sz="4" w:space="0" w:color="auto"/>
              <w:right w:val="single" w:sz="8" w:space="0" w:color="auto"/>
            </w:tcBorders>
            <w:tcMar>
              <w:top w:w="0" w:type="dxa"/>
              <w:left w:w="108" w:type="dxa"/>
              <w:bottom w:w="0" w:type="dxa"/>
              <w:right w:w="108" w:type="dxa"/>
            </w:tcMar>
          </w:tcPr>
          <w:p w14:paraId="71604F69" w14:textId="31D2F9BF" w:rsidR="008B6AE9" w:rsidRPr="00CE28E3" w:rsidRDefault="008B6AE9" w:rsidP="00603D0C">
            <w:pPr>
              <w:pStyle w:val="TableText"/>
              <w:keepNext/>
              <w:keepLines/>
              <w:jc w:val="center"/>
            </w:pPr>
            <w:r w:rsidRPr="00961957">
              <w:t>3,489</w:t>
            </w:r>
          </w:p>
        </w:tc>
        <w:tc>
          <w:tcPr>
            <w:tcW w:w="1134" w:type="dxa"/>
            <w:tcBorders>
              <w:top w:val="nil"/>
              <w:left w:val="nil"/>
              <w:bottom w:val="single" w:sz="4" w:space="0" w:color="auto"/>
              <w:right w:val="single" w:sz="8" w:space="0" w:color="auto"/>
            </w:tcBorders>
            <w:tcMar>
              <w:top w:w="0" w:type="dxa"/>
              <w:left w:w="108" w:type="dxa"/>
              <w:bottom w:w="0" w:type="dxa"/>
              <w:right w:w="108" w:type="dxa"/>
            </w:tcMar>
          </w:tcPr>
          <w:p w14:paraId="16D35B7E" w14:textId="5B67A287" w:rsidR="008B6AE9" w:rsidRPr="00CE28E3" w:rsidRDefault="008B6AE9" w:rsidP="00603D0C">
            <w:pPr>
              <w:pStyle w:val="TableText"/>
              <w:keepNext/>
              <w:keepLines/>
              <w:jc w:val="center"/>
            </w:pPr>
            <w:r w:rsidRPr="00961957">
              <w:t>3,580</w:t>
            </w:r>
          </w:p>
        </w:tc>
        <w:tc>
          <w:tcPr>
            <w:tcW w:w="1134" w:type="dxa"/>
            <w:tcBorders>
              <w:top w:val="nil"/>
              <w:left w:val="nil"/>
              <w:bottom w:val="single" w:sz="4" w:space="0" w:color="auto"/>
              <w:right w:val="single" w:sz="8" w:space="0" w:color="auto"/>
            </w:tcBorders>
            <w:tcMar>
              <w:top w:w="0" w:type="dxa"/>
              <w:left w:w="108" w:type="dxa"/>
              <w:bottom w:w="0" w:type="dxa"/>
              <w:right w:w="108" w:type="dxa"/>
            </w:tcMar>
          </w:tcPr>
          <w:p w14:paraId="4569BD6D" w14:textId="4C6F0D8C" w:rsidR="008B6AE9" w:rsidRPr="00CE28E3" w:rsidRDefault="008B6AE9" w:rsidP="00603D0C">
            <w:pPr>
              <w:pStyle w:val="TableText"/>
              <w:keepNext/>
              <w:keepLines/>
              <w:jc w:val="center"/>
            </w:pPr>
            <w:r w:rsidRPr="00961957">
              <w:t>3,670</w:t>
            </w:r>
          </w:p>
        </w:tc>
      </w:tr>
      <w:tr w:rsidR="008754BE" w:rsidRPr="00CE28E3" w14:paraId="6216BF08" w14:textId="77777777" w:rsidTr="00F82AD6">
        <w:tc>
          <w:tcPr>
            <w:tcW w:w="2684"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hideMark/>
          </w:tcPr>
          <w:p w14:paraId="5C34BE63" w14:textId="6AA3A68C" w:rsidR="00100013" w:rsidRPr="00CE28E3" w:rsidRDefault="00100013" w:rsidP="00603D0C">
            <w:pPr>
              <w:pStyle w:val="TableText"/>
              <w:keepNext/>
              <w:keepLines/>
            </w:pPr>
            <w:r w:rsidRPr="00CE28E3">
              <w:t xml:space="preserve">Number of people who receive </w:t>
            </w:r>
            <w:r>
              <w:t>a Micra AV LPM</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8B4FA" w14:textId="607BCD55" w:rsidR="00100013" w:rsidRPr="00893342" w:rsidRDefault="00100013" w:rsidP="00603D0C">
            <w:pPr>
              <w:pStyle w:val="TableText"/>
              <w:keepNext/>
              <w:keepLines/>
              <w:jc w:val="center"/>
              <w:rPr>
                <w:b/>
                <w:bCs/>
              </w:rPr>
            </w:pPr>
            <w:r w:rsidRPr="00F37A51">
              <w:rPr>
                <w:b/>
                <w:bCs/>
              </w:rPr>
              <w:t>redacted</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3D2EF" w14:textId="3331D405" w:rsidR="00100013" w:rsidRPr="00CE28E3" w:rsidRDefault="00100013" w:rsidP="00603D0C">
            <w:pPr>
              <w:pStyle w:val="TableText"/>
              <w:keepNext/>
              <w:keepLines/>
              <w:jc w:val="center"/>
            </w:pPr>
            <w:r w:rsidRPr="00F37A51">
              <w:rPr>
                <w:b/>
                <w:bCs/>
              </w:rPr>
              <w:t>redacted</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7FD4E5" w14:textId="10B5473A" w:rsidR="00100013" w:rsidRPr="00CE28E3" w:rsidRDefault="00100013" w:rsidP="00603D0C">
            <w:pPr>
              <w:pStyle w:val="TableText"/>
              <w:keepNext/>
              <w:keepLines/>
              <w:jc w:val="center"/>
            </w:pPr>
            <w:r w:rsidRPr="00F37A51">
              <w:rPr>
                <w:b/>
                <w:bCs/>
              </w:rPr>
              <w:t>redacted</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72644" w14:textId="6D6150A7" w:rsidR="00100013" w:rsidRPr="00CE28E3" w:rsidRDefault="00100013" w:rsidP="00603D0C">
            <w:pPr>
              <w:pStyle w:val="TableText"/>
              <w:keepNext/>
              <w:keepLines/>
              <w:jc w:val="center"/>
            </w:pPr>
            <w:r w:rsidRPr="00F37A51">
              <w:rPr>
                <w:b/>
                <w:bCs/>
              </w:rPr>
              <w:t>redacted</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23C6B5" w14:textId="46A3CF35" w:rsidR="00100013" w:rsidRPr="00893342" w:rsidRDefault="00100013" w:rsidP="00603D0C">
            <w:pPr>
              <w:pStyle w:val="TableText"/>
              <w:keepNext/>
              <w:keepLines/>
              <w:jc w:val="center"/>
              <w:rPr>
                <w:b/>
                <w:bCs/>
              </w:rPr>
            </w:pPr>
            <w:r w:rsidRPr="00F37A51">
              <w:rPr>
                <w:b/>
                <w:bCs/>
              </w:rPr>
              <w:t>redacted</w:t>
            </w:r>
          </w:p>
        </w:tc>
        <w:tc>
          <w:tcPr>
            <w:tcW w:w="113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F8AFCF3" w14:textId="1D2AB6FA" w:rsidR="00100013" w:rsidRPr="00CE28E3" w:rsidRDefault="00100013" w:rsidP="00603D0C">
            <w:pPr>
              <w:pStyle w:val="TableText"/>
              <w:keepNext/>
              <w:keepLines/>
              <w:jc w:val="center"/>
            </w:pPr>
            <w:r w:rsidRPr="00F37A51">
              <w:rPr>
                <w:b/>
                <w:bCs/>
              </w:rPr>
              <w:t>redacted</w:t>
            </w:r>
          </w:p>
        </w:tc>
      </w:tr>
      <w:tr w:rsidR="008B6AE9" w:rsidRPr="00CE28E3" w14:paraId="27AE4D63" w14:textId="77777777" w:rsidTr="00F82AD6">
        <w:tc>
          <w:tcPr>
            <w:tcW w:w="2684"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1DAB7E0F" w14:textId="497F26B9" w:rsidR="008B6AE9" w:rsidRPr="00CE28E3" w:rsidRDefault="008B6AE9" w:rsidP="00603D0C">
            <w:pPr>
              <w:pStyle w:val="TableText"/>
              <w:keepNext/>
              <w:keepLines/>
            </w:pPr>
            <w:r>
              <w:t>LPM</w:t>
            </w:r>
            <w:r w:rsidRPr="00377E6B">
              <w:t xml:space="preserve"> costs, </w:t>
            </w:r>
            <w:r w:rsidR="00FE7C49">
              <w:t>proposed MBS item</w:t>
            </w:r>
            <w:r>
              <w:t xml:space="preserve">, </w:t>
            </w:r>
            <w:r w:rsidRPr="00377E6B">
              <w:t xml:space="preserve">75% benefit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FCB5B" w14:textId="3B5DF845" w:rsidR="008B6AE9" w:rsidRPr="00CE28E3" w:rsidRDefault="00100013" w:rsidP="00603D0C">
            <w:pPr>
              <w:pStyle w:val="TableText"/>
              <w:keepNext/>
              <w:keepLines/>
              <w:jc w:val="center"/>
            </w:pPr>
            <w:r w:rsidRPr="00893342">
              <w:t>$</w:t>
            </w:r>
            <w:r>
              <w:rPr>
                <w:b/>
                <w:bCs/>
              </w:rPr>
              <w:t>redacted</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94DF5" w14:textId="66ACB483" w:rsidR="008B6AE9" w:rsidRPr="00CE28E3" w:rsidRDefault="00100013" w:rsidP="00603D0C">
            <w:pPr>
              <w:pStyle w:val="TableText"/>
              <w:keepNext/>
              <w:keepLines/>
              <w:jc w:val="center"/>
            </w:pPr>
            <w:r w:rsidRPr="007D60FE">
              <w:t>$</w:t>
            </w:r>
            <w:r>
              <w:rPr>
                <w:b/>
                <w:bCs/>
              </w:rPr>
              <w:t>redacted</w:t>
            </w:r>
            <w:r w:rsidRPr="00F1668E" w:rsidDel="00A2188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0790F" w14:textId="340B5B11" w:rsidR="008B6AE9" w:rsidRPr="00CE28E3" w:rsidRDefault="00100013" w:rsidP="00603D0C">
            <w:pPr>
              <w:pStyle w:val="TableText"/>
              <w:keepNext/>
              <w:keepLines/>
              <w:jc w:val="center"/>
            </w:pPr>
            <w:r w:rsidRPr="007D60FE">
              <w:t>$</w:t>
            </w:r>
            <w:r>
              <w:rPr>
                <w:b/>
                <w:bCs/>
              </w:rPr>
              <w:t>redacted</w:t>
            </w:r>
            <w:r w:rsidRPr="00F1668E" w:rsidDel="00A2188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1121D" w14:textId="0909B14C" w:rsidR="008B6AE9" w:rsidRPr="00CE28E3" w:rsidRDefault="00100013" w:rsidP="00603D0C">
            <w:pPr>
              <w:pStyle w:val="TableText"/>
              <w:keepNext/>
              <w:keepLines/>
              <w:jc w:val="center"/>
            </w:pPr>
            <w:r w:rsidRPr="007D60FE">
              <w:t>$</w:t>
            </w:r>
            <w:r>
              <w:rPr>
                <w:b/>
                <w:bCs/>
              </w:rPr>
              <w:t>redacted</w:t>
            </w:r>
            <w:r w:rsidRPr="00F1668E" w:rsidDel="00A2188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097F6" w14:textId="5F7736ED" w:rsidR="008B6AE9" w:rsidRPr="00CE28E3" w:rsidRDefault="00100013" w:rsidP="00603D0C">
            <w:pPr>
              <w:pStyle w:val="TableText"/>
              <w:keepNext/>
              <w:keepLines/>
              <w:jc w:val="center"/>
            </w:pPr>
            <w:r w:rsidRPr="007D60FE">
              <w:t>$</w:t>
            </w:r>
            <w:r>
              <w:rPr>
                <w:b/>
                <w:bCs/>
              </w:rPr>
              <w:t>redacted</w:t>
            </w:r>
            <w:r w:rsidRPr="00F1668E" w:rsidDel="00A2188A">
              <w:t xml:space="preserve"> </w:t>
            </w:r>
          </w:p>
        </w:tc>
        <w:tc>
          <w:tcPr>
            <w:tcW w:w="113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3127F65" w14:textId="7B038620" w:rsidR="008B6AE9" w:rsidRPr="00CE28E3" w:rsidRDefault="00100013" w:rsidP="00603D0C">
            <w:pPr>
              <w:pStyle w:val="TableText"/>
              <w:keepNext/>
              <w:keepLines/>
              <w:jc w:val="center"/>
            </w:pPr>
            <w:r w:rsidRPr="007D60FE">
              <w:t>$</w:t>
            </w:r>
            <w:r>
              <w:rPr>
                <w:b/>
                <w:bCs/>
              </w:rPr>
              <w:t>redacted</w:t>
            </w:r>
            <w:r w:rsidRPr="00F1668E" w:rsidDel="00A2188A">
              <w:t xml:space="preserve"> </w:t>
            </w:r>
          </w:p>
        </w:tc>
      </w:tr>
      <w:tr w:rsidR="00607B5F" w:rsidRPr="00CE28E3" w14:paraId="44946226" w14:textId="77777777" w:rsidTr="00F82AD6">
        <w:tc>
          <w:tcPr>
            <w:tcW w:w="2684"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tcPr>
          <w:p w14:paraId="64DBA701" w14:textId="77777777" w:rsidR="00607B5F" w:rsidRPr="00CE28E3" w:rsidRDefault="00607B5F" w:rsidP="00603D0C">
            <w:pPr>
              <w:pStyle w:val="TableText"/>
              <w:keepNext/>
              <w:keepLines/>
            </w:pPr>
            <w:r>
              <w:t xml:space="preserve">Fluoroscopy costs (MBS item </w:t>
            </w:r>
            <w:r w:rsidRPr="001F697C">
              <w:t>60503</w:t>
            </w:r>
            <w:r>
              <w:t>)</w:t>
            </w:r>
            <w:r w:rsidRPr="00377E6B">
              <w:t>, 75% benefit</w:t>
            </w:r>
          </w:p>
        </w:tc>
        <w:tc>
          <w:tcPr>
            <w:tcW w:w="1134"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tcPr>
          <w:p w14:paraId="59A2BB9C" w14:textId="2349BC0C" w:rsidR="00607B5F" w:rsidRPr="00CE28E3" w:rsidRDefault="00100013" w:rsidP="00603D0C">
            <w:pPr>
              <w:pStyle w:val="TableText"/>
              <w:keepNext/>
              <w:keepLines/>
              <w:jc w:val="center"/>
            </w:pPr>
            <w:r w:rsidRPr="007D60FE">
              <w:t>$</w:t>
            </w:r>
            <w:r>
              <w:rPr>
                <w:b/>
                <w:bCs/>
              </w:rPr>
              <w:t>redacted</w:t>
            </w:r>
            <w:r w:rsidRPr="00D04649" w:rsidDel="00A2188A">
              <w:t xml:space="preserve"> </w:t>
            </w:r>
          </w:p>
        </w:tc>
        <w:tc>
          <w:tcPr>
            <w:tcW w:w="1134"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tcPr>
          <w:p w14:paraId="53043F3D" w14:textId="69C682C9" w:rsidR="00607B5F" w:rsidRPr="00CE28E3" w:rsidRDefault="00100013" w:rsidP="00603D0C">
            <w:pPr>
              <w:pStyle w:val="TableText"/>
              <w:keepNext/>
              <w:keepLines/>
              <w:jc w:val="center"/>
            </w:pPr>
            <w:r w:rsidRPr="007D60FE">
              <w:t>$</w:t>
            </w:r>
            <w:r>
              <w:rPr>
                <w:b/>
                <w:bCs/>
              </w:rPr>
              <w:t>redacted</w:t>
            </w:r>
            <w:r w:rsidRPr="00D04649" w:rsidDel="00A2188A">
              <w:t xml:space="preserve"> </w:t>
            </w:r>
          </w:p>
        </w:tc>
        <w:tc>
          <w:tcPr>
            <w:tcW w:w="1134"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tcPr>
          <w:p w14:paraId="64FAF2C1" w14:textId="3063D56D" w:rsidR="00607B5F" w:rsidRPr="00CE28E3" w:rsidRDefault="00100013" w:rsidP="00603D0C">
            <w:pPr>
              <w:pStyle w:val="TableText"/>
              <w:keepNext/>
              <w:keepLines/>
              <w:jc w:val="center"/>
            </w:pPr>
            <w:r w:rsidRPr="007D60FE">
              <w:t>$</w:t>
            </w:r>
            <w:r>
              <w:rPr>
                <w:b/>
                <w:bCs/>
              </w:rPr>
              <w:t>redacted</w:t>
            </w:r>
            <w:r w:rsidRPr="00D04649" w:rsidDel="00A2188A">
              <w:t xml:space="preserve"> </w:t>
            </w:r>
          </w:p>
        </w:tc>
        <w:tc>
          <w:tcPr>
            <w:tcW w:w="1134"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tcPr>
          <w:p w14:paraId="0A3FD006" w14:textId="766C1F0F" w:rsidR="00607B5F" w:rsidRPr="00CE28E3" w:rsidRDefault="00100013" w:rsidP="00603D0C">
            <w:pPr>
              <w:pStyle w:val="TableText"/>
              <w:keepNext/>
              <w:keepLines/>
              <w:jc w:val="center"/>
            </w:pPr>
            <w:r w:rsidRPr="007D60FE">
              <w:t>$</w:t>
            </w:r>
            <w:r>
              <w:rPr>
                <w:b/>
                <w:bCs/>
              </w:rPr>
              <w:t>redacted</w:t>
            </w:r>
            <w:r w:rsidRPr="00D04649" w:rsidDel="00A2188A">
              <w:t xml:space="preserve"> </w:t>
            </w:r>
          </w:p>
        </w:tc>
        <w:tc>
          <w:tcPr>
            <w:tcW w:w="1134"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tcPr>
          <w:p w14:paraId="4D1C3DF6" w14:textId="710A28DC" w:rsidR="00607B5F" w:rsidRPr="00CE28E3" w:rsidRDefault="00100013" w:rsidP="00603D0C">
            <w:pPr>
              <w:pStyle w:val="TableText"/>
              <w:keepNext/>
              <w:keepLines/>
              <w:jc w:val="center"/>
            </w:pPr>
            <w:r w:rsidRPr="007D60FE">
              <w:t>$</w:t>
            </w:r>
            <w:r>
              <w:rPr>
                <w:b/>
                <w:bCs/>
              </w:rPr>
              <w:t>redacted</w:t>
            </w:r>
            <w:r w:rsidRPr="00D04649" w:rsidDel="00A2188A">
              <w:t xml:space="preserve"> </w:t>
            </w:r>
          </w:p>
        </w:tc>
        <w:tc>
          <w:tcPr>
            <w:tcW w:w="113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4F81E0A8" w14:textId="52F2C104" w:rsidR="00607B5F" w:rsidRPr="00CE28E3" w:rsidRDefault="00100013" w:rsidP="00603D0C">
            <w:pPr>
              <w:pStyle w:val="TableText"/>
              <w:keepNext/>
              <w:keepLines/>
              <w:jc w:val="center"/>
            </w:pPr>
            <w:r w:rsidRPr="007D60FE">
              <w:t>$</w:t>
            </w:r>
            <w:r>
              <w:rPr>
                <w:b/>
                <w:bCs/>
              </w:rPr>
              <w:t>redacted</w:t>
            </w:r>
            <w:r w:rsidRPr="00D04649" w:rsidDel="00A2188A">
              <w:t xml:space="preserve"> </w:t>
            </w:r>
          </w:p>
        </w:tc>
      </w:tr>
      <w:tr w:rsidR="00607B5F" w:rsidRPr="00CE28E3" w14:paraId="0BD61169" w14:textId="77777777" w:rsidTr="00F82AD6">
        <w:tc>
          <w:tcPr>
            <w:tcW w:w="26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B8632D6" w14:textId="380ED8E5" w:rsidR="00607B5F" w:rsidRPr="00CE28E3" w:rsidRDefault="00607B5F" w:rsidP="00603D0C">
            <w:pPr>
              <w:pStyle w:val="TableText"/>
              <w:keepNext/>
              <w:keepLines/>
            </w:pPr>
            <w:r w:rsidRPr="00CE28E3">
              <w:t xml:space="preserve">Cost to the </w:t>
            </w:r>
            <w:r>
              <w:t>MBS</w:t>
            </w:r>
          </w:p>
        </w:tc>
        <w:tc>
          <w:tcPr>
            <w:tcW w:w="1134" w:type="dxa"/>
            <w:tcBorders>
              <w:top w:val="nil"/>
              <w:left w:val="nil"/>
              <w:bottom w:val="single" w:sz="4" w:space="0" w:color="auto"/>
              <w:right w:val="single" w:sz="8" w:space="0" w:color="auto"/>
            </w:tcBorders>
            <w:tcMar>
              <w:top w:w="0" w:type="dxa"/>
              <w:left w:w="108" w:type="dxa"/>
              <w:bottom w:w="0" w:type="dxa"/>
              <w:right w:w="108" w:type="dxa"/>
            </w:tcMar>
          </w:tcPr>
          <w:p w14:paraId="3658E5DA" w14:textId="13C26756" w:rsidR="00607B5F" w:rsidRPr="00CE28E3" w:rsidRDefault="006E630D" w:rsidP="00603D0C">
            <w:pPr>
              <w:pStyle w:val="TableText"/>
              <w:keepNext/>
              <w:keepLines/>
              <w:jc w:val="center"/>
            </w:pPr>
            <w:r w:rsidRPr="007D60FE">
              <w:t>$</w:t>
            </w:r>
            <w:r>
              <w:rPr>
                <w:b/>
                <w:bCs/>
              </w:rPr>
              <w:t>redacted</w:t>
            </w:r>
          </w:p>
        </w:tc>
        <w:tc>
          <w:tcPr>
            <w:tcW w:w="1134" w:type="dxa"/>
            <w:tcBorders>
              <w:top w:val="nil"/>
              <w:left w:val="nil"/>
              <w:bottom w:val="single" w:sz="4" w:space="0" w:color="auto"/>
              <w:right w:val="single" w:sz="8" w:space="0" w:color="auto"/>
            </w:tcBorders>
            <w:tcMar>
              <w:top w:w="0" w:type="dxa"/>
              <w:left w:w="108" w:type="dxa"/>
              <w:bottom w:w="0" w:type="dxa"/>
              <w:right w:w="108" w:type="dxa"/>
            </w:tcMar>
          </w:tcPr>
          <w:p w14:paraId="0B76B92F" w14:textId="26954E0B" w:rsidR="00607B5F" w:rsidRPr="00CE28E3" w:rsidRDefault="004C5A4B" w:rsidP="00603D0C">
            <w:pPr>
              <w:pStyle w:val="TableText"/>
              <w:keepNext/>
              <w:keepLines/>
              <w:jc w:val="center"/>
            </w:pPr>
            <w:r w:rsidRPr="007D60FE">
              <w:t>$</w:t>
            </w:r>
            <w:r>
              <w:rPr>
                <w:b/>
                <w:bCs/>
              </w:rPr>
              <w:t>redacted</w:t>
            </w:r>
            <w:r w:rsidRPr="00F1668E" w:rsidDel="00A2188A">
              <w:t xml:space="preserve"> </w:t>
            </w:r>
          </w:p>
        </w:tc>
        <w:tc>
          <w:tcPr>
            <w:tcW w:w="1134" w:type="dxa"/>
            <w:tcBorders>
              <w:top w:val="nil"/>
              <w:left w:val="nil"/>
              <w:bottom w:val="single" w:sz="4" w:space="0" w:color="auto"/>
              <w:right w:val="single" w:sz="8" w:space="0" w:color="auto"/>
            </w:tcBorders>
            <w:tcMar>
              <w:top w:w="0" w:type="dxa"/>
              <w:left w:w="108" w:type="dxa"/>
              <w:bottom w:w="0" w:type="dxa"/>
              <w:right w:w="108" w:type="dxa"/>
            </w:tcMar>
          </w:tcPr>
          <w:p w14:paraId="64AB0382" w14:textId="583CA6E9" w:rsidR="00607B5F" w:rsidRPr="00CE28E3" w:rsidRDefault="004C5A4B" w:rsidP="00603D0C">
            <w:pPr>
              <w:pStyle w:val="TableText"/>
              <w:keepNext/>
              <w:keepLines/>
              <w:jc w:val="center"/>
            </w:pPr>
            <w:r w:rsidRPr="007D60FE">
              <w:t>$</w:t>
            </w:r>
            <w:r>
              <w:rPr>
                <w:b/>
                <w:bCs/>
              </w:rPr>
              <w:t>redacted</w:t>
            </w:r>
            <w:r w:rsidRPr="00F1668E" w:rsidDel="00A2188A">
              <w:t xml:space="preserve"> </w:t>
            </w:r>
          </w:p>
        </w:tc>
        <w:tc>
          <w:tcPr>
            <w:tcW w:w="1134" w:type="dxa"/>
            <w:tcBorders>
              <w:top w:val="nil"/>
              <w:left w:val="nil"/>
              <w:bottom w:val="single" w:sz="4" w:space="0" w:color="auto"/>
              <w:right w:val="single" w:sz="8" w:space="0" w:color="auto"/>
            </w:tcBorders>
            <w:tcMar>
              <w:top w:w="0" w:type="dxa"/>
              <w:left w:w="108" w:type="dxa"/>
              <w:bottom w:w="0" w:type="dxa"/>
              <w:right w:w="108" w:type="dxa"/>
            </w:tcMar>
          </w:tcPr>
          <w:p w14:paraId="0FB27E5A" w14:textId="164D7837" w:rsidR="00607B5F" w:rsidRPr="00CE28E3" w:rsidRDefault="004C5A4B" w:rsidP="00603D0C">
            <w:pPr>
              <w:pStyle w:val="TableText"/>
              <w:keepNext/>
              <w:keepLines/>
              <w:jc w:val="center"/>
            </w:pPr>
            <w:r w:rsidRPr="007D60FE">
              <w:t>$</w:t>
            </w:r>
            <w:r>
              <w:rPr>
                <w:b/>
                <w:bCs/>
              </w:rPr>
              <w:t>redacted</w:t>
            </w:r>
            <w:r w:rsidRPr="00F1668E" w:rsidDel="00A2188A">
              <w:t xml:space="preserve"> </w:t>
            </w:r>
          </w:p>
        </w:tc>
        <w:tc>
          <w:tcPr>
            <w:tcW w:w="1134" w:type="dxa"/>
            <w:tcBorders>
              <w:top w:val="nil"/>
              <w:left w:val="nil"/>
              <w:bottom w:val="single" w:sz="4" w:space="0" w:color="auto"/>
              <w:right w:val="single" w:sz="8" w:space="0" w:color="auto"/>
            </w:tcBorders>
            <w:tcMar>
              <w:top w:w="0" w:type="dxa"/>
              <w:left w:w="108" w:type="dxa"/>
              <w:bottom w:w="0" w:type="dxa"/>
              <w:right w:w="108" w:type="dxa"/>
            </w:tcMar>
          </w:tcPr>
          <w:p w14:paraId="4DA5FA4B" w14:textId="3EAE6C83" w:rsidR="00607B5F" w:rsidRPr="00CE28E3" w:rsidRDefault="006E630D" w:rsidP="00603D0C">
            <w:pPr>
              <w:pStyle w:val="TableText"/>
              <w:keepNext/>
              <w:keepLines/>
              <w:jc w:val="center"/>
            </w:pPr>
            <w:r w:rsidRPr="007D60FE">
              <w:t>$</w:t>
            </w:r>
            <w:r>
              <w:rPr>
                <w:b/>
                <w:bCs/>
              </w:rPr>
              <w:t>redacted</w:t>
            </w:r>
          </w:p>
        </w:tc>
        <w:tc>
          <w:tcPr>
            <w:tcW w:w="1134" w:type="dxa"/>
            <w:tcBorders>
              <w:top w:val="nil"/>
              <w:left w:val="nil"/>
              <w:bottom w:val="single" w:sz="4" w:space="0" w:color="auto"/>
              <w:right w:val="single" w:sz="8" w:space="0" w:color="auto"/>
            </w:tcBorders>
            <w:tcMar>
              <w:top w:w="0" w:type="dxa"/>
              <w:left w:w="108" w:type="dxa"/>
              <w:bottom w:w="0" w:type="dxa"/>
              <w:right w:w="108" w:type="dxa"/>
            </w:tcMar>
          </w:tcPr>
          <w:p w14:paraId="737FE08A" w14:textId="441089F6" w:rsidR="00607B5F" w:rsidRPr="00CE28E3" w:rsidRDefault="006E630D" w:rsidP="00603D0C">
            <w:pPr>
              <w:pStyle w:val="TableText"/>
              <w:keepNext/>
              <w:keepLines/>
              <w:jc w:val="center"/>
            </w:pPr>
            <w:r w:rsidRPr="007D60FE">
              <w:t>$</w:t>
            </w:r>
            <w:r>
              <w:rPr>
                <w:b/>
                <w:bCs/>
              </w:rPr>
              <w:t>redacted</w:t>
            </w:r>
          </w:p>
        </w:tc>
      </w:tr>
      <w:tr w:rsidR="008B6AE9" w:rsidRPr="00CE28E3" w14:paraId="32EC41EA" w14:textId="77777777" w:rsidTr="00893342">
        <w:tc>
          <w:tcPr>
            <w:tcW w:w="9488" w:type="dxa"/>
            <w:gridSpan w:val="7"/>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E66A59D" w14:textId="30CEB1C8" w:rsidR="008B6AE9" w:rsidRPr="00607B5F" w:rsidRDefault="008B6AE9" w:rsidP="00603D0C">
            <w:pPr>
              <w:pStyle w:val="TableText"/>
              <w:keepNext/>
              <w:keepLines/>
              <w:rPr>
                <w:b/>
                <w:bCs/>
              </w:rPr>
            </w:pPr>
            <w:r w:rsidRPr="00607B5F">
              <w:rPr>
                <w:b/>
                <w:bCs/>
              </w:rPr>
              <w:t xml:space="preserve">Change in use </w:t>
            </w:r>
            <w:r w:rsidRPr="00493E5A">
              <w:rPr>
                <w:b/>
                <w:bCs/>
              </w:rPr>
              <w:t>and cost of DC-TVPM</w:t>
            </w:r>
          </w:p>
        </w:tc>
      </w:tr>
      <w:tr w:rsidR="00607B5F" w:rsidRPr="00CE28E3" w14:paraId="0E81BA84" w14:textId="77777777" w:rsidTr="00F82AD6">
        <w:tc>
          <w:tcPr>
            <w:tcW w:w="2684"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hideMark/>
          </w:tcPr>
          <w:p w14:paraId="2CA98B98" w14:textId="4ADE8757" w:rsidR="00607B5F" w:rsidRPr="00CE28E3" w:rsidRDefault="00607B5F" w:rsidP="00603D0C">
            <w:pPr>
              <w:pStyle w:val="TableText"/>
              <w:keepNext/>
              <w:keepLines/>
            </w:pPr>
            <w:r w:rsidRPr="00CE28E3">
              <w:t>Change in use of</w:t>
            </w:r>
            <w:r>
              <w:t xml:space="preserve"> DC-TVPM</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D1B09" w14:textId="77C52E18" w:rsidR="00607B5F" w:rsidRPr="00CE28E3" w:rsidRDefault="008754BE" w:rsidP="00603D0C">
            <w:pPr>
              <w:pStyle w:val="TableText"/>
              <w:keepNext/>
              <w:keepLines/>
              <w:jc w:val="center"/>
            </w:pPr>
            <w:r>
              <w:rPr>
                <w:b/>
                <w:bCs/>
              </w:rPr>
              <w:t>redacted</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19C9" w14:textId="211A0C33" w:rsidR="00607B5F" w:rsidRPr="00CE28E3" w:rsidRDefault="008754BE" w:rsidP="00603D0C">
            <w:pPr>
              <w:pStyle w:val="TableText"/>
              <w:keepNext/>
              <w:keepLines/>
              <w:jc w:val="center"/>
            </w:pPr>
            <w:r>
              <w:rPr>
                <w:b/>
                <w:bCs/>
              </w:rPr>
              <w:t>redacted</w:t>
            </w:r>
            <w:r w:rsidRPr="00283556" w:rsidDel="00A2188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1150D" w14:textId="01EEB2EC" w:rsidR="00607B5F" w:rsidRPr="00CE28E3" w:rsidRDefault="008754BE" w:rsidP="00603D0C">
            <w:pPr>
              <w:pStyle w:val="TableText"/>
              <w:keepNext/>
              <w:keepLines/>
              <w:jc w:val="center"/>
            </w:pPr>
            <w:r>
              <w:rPr>
                <w:b/>
                <w:bCs/>
              </w:rPr>
              <w:t>redacted</w:t>
            </w:r>
            <w:r w:rsidRPr="00283556" w:rsidDel="00A2188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1762D" w14:textId="198331AB" w:rsidR="00607B5F" w:rsidRPr="00CE28E3" w:rsidRDefault="008754BE" w:rsidP="00603D0C">
            <w:pPr>
              <w:pStyle w:val="TableText"/>
              <w:keepNext/>
              <w:keepLines/>
              <w:jc w:val="center"/>
            </w:pPr>
            <w:r>
              <w:rPr>
                <w:b/>
                <w:bCs/>
              </w:rPr>
              <w:t>redacted</w:t>
            </w:r>
            <w:r w:rsidRPr="00283556" w:rsidDel="00A2188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F9043" w14:textId="373FB395" w:rsidR="00607B5F" w:rsidRPr="00CE28E3" w:rsidRDefault="008754BE" w:rsidP="00603D0C">
            <w:pPr>
              <w:pStyle w:val="TableText"/>
              <w:keepNext/>
              <w:keepLines/>
              <w:jc w:val="center"/>
            </w:pPr>
            <w:r>
              <w:rPr>
                <w:b/>
                <w:bCs/>
              </w:rPr>
              <w:t>redacted</w:t>
            </w:r>
            <w:r w:rsidRPr="00283556" w:rsidDel="00A2188A">
              <w:t xml:space="preserve"> </w:t>
            </w:r>
          </w:p>
        </w:tc>
        <w:tc>
          <w:tcPr>
            <w:tcW w:w="113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3DE341A" w14:textId="1334CF7B" w:rsidR="00607B5F" w:rsidRPr="00CE28E3" w:rsidRDefault="008754BE" w:rsidP="00603D0C">
            <w:pPr>
              <w:pStyle w:val="TableText"/>
              <w:keepNext/>
              <w:keepLines/>
              <w:jc w:val="center"/>
            </w:pPr>
            <w:r>
              <w:rPr>
                <w:b/>
                <w:bCs/>
              </w:rPr>
              <w:t>redacted</w:t>
            </w:r>
            <w:r w:rsidRPr="00283556" w:rsidDel="00A2188A">
              <w:t xml:space="preserve"> </w:t>
            </w:r>
          </w:p>
        </w:tc>
      </w:tr>
      <w:tr w:rsidR="00607B5F" w:rsidRPr="00CE28E3" w14:paraId="0B3752D1" w14:textId="77777777" w:rsidTr="00F82AD6">
        <w:tc>
          <w:tcPr>
            <w:tcW w:w="2684"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hideMark/>
          </w:tcPr>
          <w:p w14:paraId="21DD111A" w14:textId="02540C57" w:rsidR="00607B5F" w:rsidRPr="00CE28E3" w:rsidRDefault="00607B5F" w:rsidP="00603D0C">
            <w:pPr>
              <w:pStyle w:val="TableText"/>
              <w:keepNext/>
              <w:keepLines/>
            </w:pPr>
            <w:r>
              <w:t>DC-TVPM</w:t>
            </w:r>
            <w:r w:rsidRPr="00BB71CD">
              <w:t xml:space="preserve"> </w:t>
            </w:r>
            <w:r>
              <w:t>costs (</w:t>
            </w:r>
            <w:r w:rsidRPr="00BB71CD">
              <w:t xml:space="preserve">MBS </w:t>
            </w:r>
            <w:r w:rsidR="008A15B6">
              <w:t>items</w:t>
            </w:r>
            <w:r w:rsidRPr="00BB71CD">
              <w:t xml:space="preserve"> 3835</w:t>
            </w:r>
            <w:r>
              <w:t>6</w:t>
            </w:r>
            <w:r w:rsidRPr="00BB71CD">
              <w:t xml:space="preserve"> </w:t>
            </w:r>
            <w:r>
              <w:t>and 38353)</w:t>
            </w:r>
            <w:r w:rsidR="00F47F6E">
              <w:t>,</w:t>
            </w:r>
            <w:r>
              <w:t xml:space="preserve"> 75% benefit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E5E04C" w14:textId="65D1A795" w:rsidR="00607B5F" w:rsidRPr="00CE28E3" w:rsidRDefault="004C5A4B" w:rsidP="00603D0C">
            <w:pPr>
              <w:pStyle w:val="TableText"/>
              <w:keepNext/>
              <w:keepLines/>
              <w:jc w:val="center"/>
            </w:pPr>
            <w:r w:rsidRPr="007D60FE">
              <w:t>$</w:t>
            </w:r>
            <w:r>
              <w:rPr>
                <w:b/>
                <w:bCs/>
              </w:rPr>
              <w:t>redacted</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DA92E2" w14:textId="707EBF66" w:rsidR="00607B5F" w:rsidRPr="00CE28E3" w:rsidRDefault="00A96188" w:rsidP="00603D0C">
            <w:pPr>
              <w:pStyle w:val="TableText"/>
              <w:keepNext/>
              <w:keepLines/>
              <w:jc w:val="center"/>
            </w:pPr>
            <w:r w:rsidRPr="007D60FE">
              <w:t>$</w:t>
            </w:r>
            <w:r>
              <w:rPr>
                <w:b/>
                <w:bCs/>
              </w:rPr>
              <w:t>redacted</w:t>
            </w:r>
            <w:r w:rsidRPr="00283556" w:rsidDel="00A2188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41C8B0" w14:textId="6156D4C6" w:rsidR="00607B5F" w:rsidRPr="00CE28E3" w:rsidRDefault="00A96188" w:rsidP="00603D0C">
            <w:pPr>
              <w:pStyle w:val="TableText"/>
              <w:keepNext/>
              <w:keepLines/>
              <w:jc w:val="center"/>
            </w:pPr>
            <w:r w:rsidRPr="007D60FE">
              <w:t>$</w:t>
            </w:r>
            <w:r>
              <w:rPr>
                <w:b/>
                <w:bCs/>
              </w:rPr>
              <w:t>redacted</w:t>
            </w:r>
            <w:r w:rsidRPr="00283556" w:rsidDel="00A2188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BCC096" w14:textId="5F88EB36" w:rsidR="00607B5F" w:rsidRPr="00CE28E3" w:rsidRDefault="00A96188" w:rsidP="00603D0C">
            <w:pPr>
              <w:pStyle w:val="TableText"/>
              <w:keepNext/>
              <w:keepLines/>
              <w:jc w:val="center"/>
            </w:pPr>
            <w:r w:rsidRPr="007D60FE">
              <w:t>$</w:t>
            </w:r>
            <w:r>
              <w:rPr>
                <w:b/>
                <w:bCs/>
              </w:rPr>
              <w:t>redacted</w:t>
            </w:r>
            <w:r w:rsidRPr="00283556" w:rsidDel="00A2188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34FA41" w14:textId="6DA58DC0" w:rsidR="00607B5F" w:rsidRPr="00CE28E3" w:rsidRDefault="00A96188" w:rsidP="00603D0C">
            <w:pPr>
              <w:pStyle w:val="TableText"/>
              <w:keepNext/>
              <w:keepLines/>
              <w:jc w:val="center"/>
            </w:pPr>
            <w:r w:rsidRPr="007D60FE">
              <w:t>$</w:t>
            </w:r>
            <w:r>
              <w:rPr>
                <w:b/>
                <w:bCs/>
              </w:rPr>
              <w:t>redacted</w:t>
            </w:r>
            <w:r w:rsidRPr="00283556" w:rsidDel="00A2188A">
              <w:t xml:space="preserve"> </w:t>
            </w:r>
          </w:p>
        </w:tc>
        <w:tc>
          <w:tcPr>
            <w:tcW w:w="113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46717F8E" w14:textId="18E87E3A" w:rsidR="00607B5F" w:rsidRPr="00CE28E3" w:rsidRDefault="00A96188" w:rsidP="00603D0C">
            <w:pPr>
              <w:pStyle w:val="TableText"/>
              <w:keepNext/>
              <w:keepLines/>
              <w:jc w:val="center"/>
            </w:pPr>
            <w:r w:rsidRPr="007D60FE">
              <w:t>$</w:t>
            </w:r>
            <w:r>
              <w:rPr>
                <w:b/>
                <w:bCs/>
              </w:rPr>
              <w:t>redacted</w:t>
            </w:r>
            <w:r w:rsidRPr="00283556" w:rsidDel="00A2188A">
              <w:t xml:space="preserve"> </w:t>
            </w:r>
          </w:p>
        </w:tc>
      </w:tr>
      <w:tr w:rsidR="00607B5F" w:rsidRPr="00CE28E3" w14:paraId="6A96CFDA" w14:textId="77777777" w:rsidTr="00F82AD6">
        <w:tc>
          <w:tcPr>
            <w:tcW w:w="2684"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14:paraId="6B9C7195" w14:textId="40E4E10E" w:rsidR="00607B5F" w:rsidRPr="00CE28E3" w:rsidRDefault="00607B5F" w:rsidP="00603D0C">
            <w:pPr>
              <w:pStyle w:val="TableText"/>
              <w:keepNext/>
              <w:keepLines/>
            </w:pPr>
            <w:r>
              <w:t xml:space="preserve">Fluoroscopy costs (MBS item </w:t>
            </w:r>
            <w:r w:rsidRPr="001F697C">
              <w:t>60503</w:t>
            </w:r>
            <w:r>
              <w:t>)</w:t>
            </w:r>
            <w:r w:rsidRPr="00377E6B">
              <w:t>, 75% benefit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BE4275" w14:textId="77334588" w:rsidR="00607B5F" w:rsidRPr="00CE28E3" w:rsidRDefault="00A96188" w:rsidP="00603D0C">
            <w:pPr>
              <w:pStyle w:val="TableText"/>
              <w:keepNext/>
              <w:keepLines/>
              <w:jc w:val="center"/>
            </w:pPr>
            <w:r w:rsidRPr="007D60FE">
              <w:t>$</w:t>
            </w:r>
            <w:r>
              <w:rPr>
                <w:b/>
                <w:bCs/>
              </w:rPr>
              <w:t>redacted</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0880E8" w14:textId="208449C3" w:rsidR="00607B5F" w:rsidRPr="00CE28E3" w:rsidRDefault="00A96188" w:rsidP="00603D0C">
            <w:pPr>
              <w:pStyle w:val="TableText"/>
              <w:keepNext/>
              <w:keepLines/>
              <w:jc w:val="center"/>
            </w:pPr>
            <w:r w:rsidRPr="007D60FE">
              <w:t>$</w:t>
            </w:r>
            <w:r>
              <w:rPr>
                <w:b/>
                <w:bCs/>
              </w:rPr>
              <w:t>redacted</w:t>
            </w:r>
            <w:r w:rsidRPr="00283556" w:rsidDel="00A2188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462E9B" w14:textId="49A795C1" w:rsidR="00607B5F" w:rsidRPr="00CE28E3" w:rsidRDefault="00A96188" w:rsidP="00603D0C">
            <w:pPr>
              <w:pStyle w:val="TableText"/>
              <w:keepNext/>
              <w:keepLines/>
              <w:jc w:val="center"/>
            </w:pPr>
            <w:r w:rsidRPr="007D60FE">
              <w:t>$</w:t>
            </w:r>
            <w:r>
              <w:rPr>
                <w:b/>
                <w:bCs/>
              </w:rPr>
              <w:t>redacted</w:t>
            </w:r>
            <w:r w:rsidRPr="00283556" w:rsidDel="00A2188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76C090" w14:textId="09569EBE" w:rsidR="00607B5F" w:rsidRPr="00CE28E3" w:rsidRDefault="00A96188" w:rsidP="00603D0C">
            <w:pPr>
              <w:pStyle w:val="TableText"/>
              <w:keepNext/>
              <w:keepLines/>
              <w:jc w:val="center"/>
            </w:pPr>
            <w:r w:rsidRPr="007D60FE">
              <w:t>$</w:t>
            </w:r>
            <w:r>
              <w:rPr>
                <w:b/>
                <w:bCs/>
              </w:rPr>
              <w:t>redacted</w:t>
            </w:r>
            <w:r w:rsidRPr="00283556" w:rsidDel="00A2188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C5F608" w14:textId="637B88E7" w:rsidR="00607B5F" w:rsidRPr="00CE28E3" w:rsidRDefault="008754BE" w:rsidP="00603D0C">
            <w:pPr>
              <w:pStyle w:val="TableText"/>
              <w:keepNext/>
              <w:keepLines/>
              <w:jc w:val="center"/>
            </w:pPr>
            <w:r w:rsidRPr="007D60FE">
              <w:t>$</w:t>
            </w:r>
            <w:r>
              <w:rPr>
                <w:b/>
                <w:bCs/>
              </w:rPr>
              <w:t>redacted</w:t>
            </w:r>
            <w:r w:rsidRPr="00283556" w:rsidDel="00A2188A">
              <w:t xml:space="preserve"> </w:t>
            </w:r>
          </w:p>
        </w:tc>
        <w:tc>
          <w:tcPr>
            <w:tcW w:w="113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1C7C60B5" w14:textId="2AFD7333" w:rsidR="00607B5F" w:rsidRPr="00CE28E3" w:rsidRDefault="008754BE" w:rsidP="00603D0C">
            <w:pPr>
              <w:pStyle w:val="TableText"/>
              <w:keepNext/>
              <w:keepLines/>
              <w:jc w:val="center"/>
            </w:pPr>
            <w:r w:rsidRPr="007D60FE">
              <w:t>$</w:t>
            </w:r>
            <w:r>
              <w:rPr>
                <w:b/>
                <w:bCs/>
              </w:rPr>
              <w:t>redacted</w:t>
            </w:r>
            <w:r w:rsidRPr="00283556" w:rsidDel="00A2188A">
              <w:t xml:space="preserve"> </w:t>
            </w:r>
          </w:p>
        </w:tc>
      </w:tr>
      <w:tr w:rsidR="00607B5F" w:rsidRPr="00CE28E3" w14:paraId="6D2D2B4C" w14:textId="77777777" w:rsidTr="00F82AD6">
        <w:tc>
          <w:tcPr>
            <w:tcW w:w="268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6B0BEB4" w14:textId="4659C72C" w:rsidR="00607B5F" w:rsidRPr="00CE28E3" w:rsidRDefault="00607B5F" w:rsidP="00603D0C">
            <w:pPr>
              <w:pStyle w:val="TableText"/>
              <w:keepNext/>
              <w:keepLines/>
            </w:pPr>
            <w:r w:rsidRPr="00222B72">
              <w:t xml:space="preserve">Change in </w:t>
            </w:r>
            <w:r>
              <w:t>MBS cost for</w:t>
            </w:r>
            <w:r w:rsidRPr="00222B72">
              <w:t xml:space="preserve"> </w:t>
            </w:r>
            <w:r>
              <w:t>DC-TVPM</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590D76F" w14:textId="24C18681" w:rsidR="00607B5F" w:rsidRPr="00CE28E3" w:rsidRDefault="00A96188" w:rsidP="00603D0C">
            <w:pPr>
              <w:pStyle w:val="TableText"/>
              <w:keepNext/>
              <w:keepLines/>
              <w:jc w:val="center"/>
            </w:pPr>
            <w:r w:rsidRPr="007D60FE">
              <w:t>$</w:t>
            </w:r>
            <w:r>
              <w:rPr>
                <w:b/>
                <w:bCs/>
              </w:rPr>
              <w:t>redacted</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0A58136" w14:textId="59CF2585" w:rsidR="00607B5F" w:rsidRPr="00CE28E3" w:rsidRDefault="00A96188" w:rsidP="00603D0C">
            <w:pPr>
              <w:pStyle w:val="TableText"/>
              <w:keepNext/>
              <w:keepLines/>
              <w:jc w:val="center"/>
            </w:pPr>
            <w:r w:rsidRPr="007D60FE">
              <w:t>$</w:t>
            </w:r>
            <w:r>
              <w:rPr>
                <w:b/>
                <w:bCs/>
              </w:rPr>
              <w:t>redacted</w:t>
            </w:r>
            <w:r w:rsidRPr="00283556" w:rsidDel="00A2188A">
              <w:t xml:space="preserve"> </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85ABDD3" w14:textId="4FF5B6CD" w:rsidR="00607B5F" w:rsidRPr="00CE28E3" w:rsidRDefault="00A96188" w:rsidP="00603D0C">
            <w:pPr>
              <w:pStyle w:val="TableText"/>
              <w:keepNext/>
              <w:keepLines/>
              <w:jc w:val="center"/>
            </w:pPr>
            <w:r w:rsidRPr="007D60FE">
              <w:t>$</w:t>
            </w:r>
            <w:r>
              <w:rPr>
                <w:b/>
                <w:bCs/>
              </w:rPr>
              <w:t>redacted</w:t>
            </w:r>
            <w:r w:rsidRPr="00283556" w:rsidDel="00A2188A">
              <w:t xml:space="preserve"> </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310CE4" w14:textId="28AF68CA" w:rsidR="00607B5F" w:rsidRPr="00CE28E3" w:rsidRDefault="008754BE" w:rsidP="00603D0C">
            <w:pPr>
              <w:pStyle w:val="TableText"/>
              <w:keepNext/>
              <w:keepLines/>
              <w:jc w:val="center"/>
            </w:pPr>
            <w:r w:rsidRPr="007D60FE">
              <w:t>$</w:t>
            </w:r>
            <w:r>
              <w:rPr>
                <w:b/>
                <w:bCs/>
              </w:rPr>
              <w:t>redacted</w:t>
            </w:r>
            <w:r w:rsidRPr="00283556" w:rsidDel="00A2188A">
              <w:t xml:space="preserve"> </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0C83402" w14:textId="2CEB702F" w:rsidR="00607B5F" w:rsidRPr="00CE28E3" w:rsidRDefault="008754BE" w:rsidP="00603D0C">
            <w:pPr>
              <w:pStyle w:val="TableText"/>
              <w:keepNext/>
              <w:keepLines/>
              <w:jc w:val="center"/>
            </w:pPr>
            <w:r w:rsidRPr="007D60FE">
              <w:t>$</w:t>
            </w:r>
            <w:r>
              <w:rPr>
                <w:b/>
                <w:bCs/>
              </w:rPr>
              <w:t>redacted</w:t>
            </w:r>
            <w:r w:rsidRPr="00283556" w:rsidDel="00A2188A">
              <w:t xml:space="preserve"> </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801EDF" w14:textId="1369FA7C" w:rsidR="00607B5F" w:rsidRPr="00CE28E3" w:rsidRDefault="008754BE" w:rsidP="00603D0C">
            <w:pPr>
              <w:pStyle w:val="TableText"/>
              <w:keepNext/>
              <w:keepLines/>
              <w:jc w:val="center"/>
            </w:pPr>
            <w:r w:rsidRPr="007D60FE">
              <w:t>$</w:t>
            </w:r>
            <w:r>
              <w:rPr>
                <w:b/>
                <w:bCs/>
              </w:rPr>
              <w:t>redacted</w:t>
            </w:r>
            <w:r w:rsidRPr="00283556" w:rsidDel="00A2188A">
              <w:t xml:space="preserve"> </w:t>
            </w:r>
          </w:p>
        </w:tc>
      </w:tr>
      <w:tr w:rsidR="00607B5F" w:rsidRPr="00CE28E3" w14:paraId="6D25B935" w14:textId="77777777" w:rsidTr="00F82AD6">
        <w:tc>
          <w:tcPr>
            <w:tcW w:w="268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B73C21" w14:textId="77777777" w:rsidR="00607B5F" w:rsidRPr="00CE28E3" w:rsidRDefault="00607B5F" w:rsidP="00603D0C">
            <w:pPr>
              <w:pStyle w:val="TableText"/>
              <w:keepNext/>
              <w:keepLines/>
              <w:rPr>
                <w:b/>
                <w:bCs/>
              </w:rPr>
            </w:pPr>
            <w:r w:rsidRPr="4C0A0968">
              <w:rPr>
                <w:b/>
                <w:bCs/>
              </w:rPr>
              <w:t>Net financial impact to the MBS</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18A8F37" w14:textId="5FA56011" w:rsidR="00607B5F" w:rsidRPr="00CE28E3" w:rsidRDefault="00A96188" w:rsidP="00603D0C">
            <w:pPr>
              <w:pStyle w:val="TableText"/>
              <w:keepNext/>
              <w:keepLines/>
              <w:jc w:val="center"/>
              <w:rPr>
                <w:b/>
                <w:bCs/>
              </w:rPr>
            </w:pPr>
            <w:r w:rsidRPr="007D60FE">
              <w:t>$</w:t>
            </w:r>
            <w:r>
              <w:rPr>
                <w:b/>
                <w:bCs/>
              </w:rPr>
              <w:t>redacted</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BA4E08F" w14:textId="04A56E4E" w:rsidR="00607B5F" w:rsidRPr="00CE28E3" w:rsidRDefault="00A96188" w:rsidP="00603D0C">
            <w:pPr>
              <w:pStyle w:val="TableText"/>
              <w:keepNext/>
              <w:keepLines/>
              <w:jc w:val="center"/>
              <w:rPr>
                <w:b/>
                <w:bCs/>
              </w:rPr>
            </w:pPr>
            <w:r w:rsidRPr="007D60FE">
              <w:t>$</w:t>
            </w:r>
            <w:r>
              <w:rPr>
                <w:b/>
                <w:bCs/>
              </w:rPr>
              <w:t>redacted</w:t>
            </w:r>
            <w:r w:rsidRPr="00143CCA" w:rsidDel="00A2188A">
              <w:rPr>
                <w:b/>
                <w:bCs/>
              </w:rPr>
              <w:t xml:space="preserve"> </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F47B4E7" w14:textId="5F0215C1" w:rsidR="00607B5F" w:rsidRPr="00CE28E3" w:rsidRDefault="008754BE" w:rsidP="00603D0C">
            <w:pPr>
              <w:pStyle w:val="TableText"/>
              <w:keepNext/>
              <w:keepLines/>
              <w:jc w:val="center"/>
              <w:rPr>
                <w:b/>
                <w:bCs/>
              </w:rPr>
            </w:pPr>
            <w:r w:rsidRPr="007D60FE">
              <w:t>$</w:t>
            </w:r>
            <w:r>
              <w:rPr>
                <w:b/>
                <w:bCs/>
              </w:rPr>
              <w:t>redacted</w:t>
            </w:r>
            <w:r w:rsidRPr="00143CCA" w:rsidDel="00A2188A">
              <w:rPr>
                <w:b/>
                <w:bCs/>
              </w:rPr>
              <w:t xml:space="preserve"> </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CF3D6E3" w14:textId="24F2939D" w:rsidR="00607B5F" w:rsidRPr="00CE28E3" w:rsidRDefault="00A96188" w:rsidP="00603D0C">
            <w:pPr>
              <w:pStyle w:val="TableText"/>
              <w:keepNext/>
              <w:keepLines/>
              <w:jc w:val="center"/>
              <w:rPr>
                <w:b/>
                <w:bCs/>
              </w:rPr>
            </w:pPr>
            <w:r w:rsidRPr="007D60FE">
              <w:t>$</w:t>
            </w:r>
            <w:r>
              <w:rPr>
                <w:b/>
                <w:bCs/>
              </w:rPr>
              <w:t>redacted</w:t>
            </w:r>
            <w:r w:rsidRPr="00143CCA" w:rsidDel="00A2188A">
              <w:rPr>
                <w:b/>
                <w:bCs/>
              </w:rPr>
              <w:t xml:space="preserve"> </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1879B8D" w14:textId="3567ABA5" w:rsidR="00607B5F" w:rsidRPr="00CE28E3" w:rsidRDefault="008754BE" w:rsidP="00603D0C">
            <w:pPr>
              <w:pStyle w:val="TableText"/>
              <w:keepNext/>
              <w:keepLines/>
              <w:jc w:val="center"/>
              <w:rPr>
                <w:b/>
                <w:bCs/>
              </w:rPr>
            </w:pPr>
            <w:r w:rsidRPr="007D60FE">
              <w:t>$</w:t>
            </w:r>
            <w:r>
              <w:rPr>
                <w:b/>
                <w:bCs/>
              </w:rPr>
              <w:t>redacted</w:t>
            </w:r>
            <w:r w:rsidRPr="00143CCA" w:rsidDel="00A2188A">
              <w:rPr>
                <w:b/>
                <w:bCs/>
              </w:rPr>
              <w:t xml:space="preserve"> </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A676F4C" w14:textId="7E7F86B7" w:rsidR="00607B5F" w:rsidRPr="00CE28E3" w:rsidRDefault="008754BE" w:rsidP="00603D0C">
            <w:pPr>
              <w:pStyle w:val="TableText"/>
              <w:keepNext/>
              <w:keepLines/>
              <w:jc w:val="center"/>
              <w:rPr>
                <w:b/>
                <w:bCs/>
              </w:rPr>
            </w:pPr>
            <w:r w:rsidRPr="007D60FE">
              <w:t>$</w:t>
            </w:r>
            <w:r>
              <w:rPr>
                <w:b/>
                <w:bCs/>
              </w:rPr>
              <w:t>redacted</w:t>
            </w:r>
            <w:r w:rsidRPr="00143CCA" w:rsidDel="00A2188A">
              <w:rPr>
                <w:b/>
                <w:bCs/>
              </w:rPr>
              <w:t xml:space="preserve"> </w:t>
            </w:r>
          </w:p>
        </w:tc>
      </w:tr>
    </w:tbl>
    <w:p w14:paraId="1631ACAF" w14:textId="77777777" w:rsidR="000275E7" w:rsidRPr="00E070E0" w:rsidRDefault="00083806" w:rsidP="00603D0C">
      <w:pPr>
        <w:pStyle w:val="TableFigureFooter"/>
        <w:keepNext/>
        <w:keepLines/>
        <w:spacing w:before="40" w:after="40"/>
        <w:rPr>
          <w:b/>
          <w:bCs/>
          <w:u w:val="single"/>
        </w:rPr>
      </w:pPr>
      <w:bookmarkStart w:id="67" w:name="_Hlk68276814"/>
      <w:r w:rsidRPr="00E070E0">
        <w:rPr>
          <w:b/>
          <w:u w:val="single"/>
        </w:rPr>
        <w:t>Abbreviations</w:t>
      </w:r>
    </w:p>
    <w:p w14:paraId="4084BF7F" w14:textId="55A51FBF" w:rsidR="000275E7" w:rsidRDefault="00083806" w:rsidP="00603D0C">
      <w:pPr>
        <w:pStyle w:val="TableFigureFooter"/>
        <w:keepNext/>
        <w:keepLines/>
        <w:spacing w:before="40" w:after="40"/>
      </w:pPr>
      <w:r w:rsidRPr="00E070E0">
        <w:rPr>
          <w:b/>
        </w:rPr>
        <w:t>D</w:t>
      </w:r>
      <w:r w:rsidR="00211F3D" w:rsidRPr="00E070E0">
        <w:rPr>
          <w:b/>
        </w:rPr>
        <w:t>C</w:t>
      </w:r>
      <w:r w:rsidRPr="00E070E0">
        <w:rPr>
          <w:b/>
        </w:rPr>
        <w:t>-TVPM</w:t>
      </w:r>
      <w:r w:rsidR="00870DFE">
        <w:t xml:space="preserve"> =</w:t>
      </w:r>
      <w:r w:rsidR="00211F3D">
        <w:t xml:space="preserve"> </w:t>
      </w:r>
      <w:r w:rsidR="003F7E3A">
        <w:t>d</w:t>
      </w:r>
      <w:r w:rsidR="00211F3D" w:rsidRPr="00211F3D">
        <w:t>ual-</w:t>
      </w:r>
      <w:r w:rsidR="003F7E3A">
        <w:t>c</w:t>
      </w:r>
      <w:r w:rsidR="00211F3D" w:rsidRPr="00211F3D">
        <w:t xml:space="preserve">hamber </w:t>
      </w:r>
      <w:r w:rsidR="003F7E3A">
        <w:t>t</w:t>
      </w:r>
      <w:r w:rsidR="00211F3D" w:rsidRPr="00211F3D">
        <w:t xml:space="preserve">ransvenous </w:t>
      </w:r>
      <w:r w:rsidR="003F7E3A">
        <w:t>p</w:t>
      </w:r>
      <w:r w:rsidR="00211F3D" w:rsidRPr="00211F3D">
        <w:t>acemaker</w:t>
      </w:r>
      <w:r w:rsidR="00870DFE">
        <w:t>,</w:t>
      </w:r>
      <w:r w:rsidR="00211F3D">
        <w:t xml:space="preserve"> </w:t>
      </w:r>
      <w:r w:rsidR="00211F3D" w:rsidRPr="00E070E0">
        <w:rPr>
          <w:b/>
        </w:rPr>
        <w:t>MBS</w:t>
      </w:r>
      <w:r w:rsidR="00870DFE">
        <w:t xml:space="preserve"> =</w:t>
      </w:r>
      <w:r w:rsidR="00211F3D">
        <w:t xml:space="preserve"> </w:t>
      </w:r>
      <w:r w:rsidR="00211F3D" w:rsidRPr="00211F3D">
        <w:t>Medicare Benefits Schedule</w:t>
      </w:r>
      <w:r w:rsidR="002330CC">
        <w:t xml:space="preserve">, </w:t>
      </w:r>
      <w:r w:rsidR="002330CC" w:rsidRPr="00E070E0">
        <w:rPr>
          <w:b/>
        </w:rPr>
        <w:t>LPM</w:t>
      </w:r>
      <w:r w:rsidR="002330CC">
        <w:t xml:space="preserve"> = l</w:t>
      </w:r>
      <w:r w:rsidR="002330CC" w:rsidRPr="00211F3D">
        <w:t xml:space="preserve">eadless </w:t>
      </w:r>
      <w:r w:rsidR="002330CC">
        <w:t>p</w:t>
      </w:r>
      <w:r w:rsidR="002330CC" w:rsidRPr="00211F3D">
        <w:t>acemaker</w:t>
      </w:r>
      <w:r w:rsidR="00211F3D">
        <w:t>.</w:t>
      </w:r>
    </w:p>
    <w:p w14:paraId="5624589F" w14:textId="77777777" w:rsidR="000275E7" w:rsidRPr="00E070E0" w:rsidRDefault="000275E7" w:rsidP="00603D0C">
      <w:pPr>
        <w:pStyle w:val="TableFigureFooter"/>
        <w:keepNext/>
        <w:keepLines/>
        <w:spacing w:before="40" w:after="40"/>
        <w:rPr>
          <w:b/>
          <w:bCs/>
          <w:u w:val="single"/>
        </w:rPr>
      </w:pPr>
      <w:r w:rsidRPr="00E070E0">
        <w:rPr>
          <w:b/>
          <w:bCs/>
          <w:u w:val="single"/>
        </w:rPr>
        <w:t>Notes</w:t>
      </w:r>
    </w:p>
    <w:p w14:paraId="6D5C0A83" w14:textId="37095376" w:rsidR="00083806" w:rsidRPr="00083806" w:rsidRDefault="00211F3D" w:rsidP="00603D0C">
      <w:pPr>
        <w:pStyle w:val="TableFigureFooter"/>
        <w:keepNext/>
        <w:keepLines/>
        <w:spacing w:before="40" w:after="40"/>
      </w:pPr>
      <w:r>
        <w:t xml:space="preserve">MBS costs are calculated as </w:t>
      </w:r>
      <w:r w:rsidR="008A15B6">
        <w:t xml:space="preserve">a </w:t>
      </w:r>
      <w:r>
        <w:t xml:space="preserve">75% benefit of </w:t>
      </w:r>
      <w:r w:rsidR="008A15B6">
        <w:t xml:space="preserve">the </w:t>
      </w:r>
      <w:r>
        <w:t>listed fee.</w:t>
      </w:r>
    </w:p>
    <w:bookmarkEnd w:id="67"/>
    <w:p w14:paraId="49DF325F" w14:textId="131B27C4" w:rsidR="002E5473" w:rsidRDefault="002E5473" w:rsidP="00603D0C">
      <w:pPr>
        <w:spacing w:before="240"/>
      </w:pPr>
      <w:r>
        <w:t xml:space="preserve">One of the concerns is the number of eligible patients </w:t>
      </w:r>
      <w:r w:rsidR="0046121D">
        <w:t>was estimated based on a veteran population,</w:t>
      </w:r>
      <w:r w:rsidR="00103AE1" w:rsidRPr="009C553D">
        <w:rPr>
          <w:vertAlign w:val="superscript"/>
        </w:rPr>
        <w:fldChar w:fldCharType="begin"/>
      </w:r>
      <w:r w:rsidR="00103AE1" w:rsidRPr="009C553D">
        <w:rPr>
          <w:vertAlign w:val="superscript"/>
        </w:rPr>
        <w:instrText xml:space="preserve"> NOTEREF _Ref186723443 \h </w:instrText>
      </w:r>
      <w:r w:rsidR="00103AE1">
        <w:rPr>
          <w:vertAlign w:val="superscript"/>
        </w:rPr>
        <w:instrText xml:space="preserve"> \* MERGEFORMAT </w:instrText>
      </w:r>
      <w:r w:rsidR="00103AE1" w:rsidRPr="009C553D">
        <w:rPr>
          <w:vertAlign w:val="superscript"/>
        </w:rPr>
      </w:r>
      <w:r w:rsidR="00103AE1" w:rsidRPr="009C553D">
        <w:rPr>
          <w:vertAlign w:val="superscript"/>
        </w:rPr>
        <w:fldChar w:fldCharType="separate"/>
      </w:r>
      <w:r w:rsidR="00D96B61">
        <w:rPr>
          <w:vertAlign w:val="superscript"/>
        </w:rPr>
        <w:t>21</w:t>
      </w:r>
      <w:r w:rsidR="00103AE1" w:rsidRPr="009C553D">
        <w:rPr>
          <w:vertAlign w:val="superscript"/>
        </w:rPr>
        <w:fldChar w:fldCharType="end"/>
      </w:r>
      <w:r w:rsidR="007B05CF">
        <w:t xml:space="preserve"> </w:t>
      </w:r>
      <w:r w:rsidR="00CC781E">
        <w:t>of which characteristics d</w:t>
      </w:r>
      <w:r w:rsidR="00DC537E">
        <w:t>iffer</w:t>
      </w:r>
      <w:r w:rsidR="00CC781E">
        <w:t xml:space="preserve"> </w:t>
      </w:r>
      <w:r w:rsidR="00DC537E">
        <w:t xml:space="preserve">from </w:t>
      </w:r>
      <w:r w:rsidR="0046121D">
        <w:t xml:space="preserve">the </w:t>
      </w:r>
      <w:r w:rsidR="00470BAB">
        <w:t>population</w:t>
      </w:r>
      <w:r w:rsidR="00CC781E">
        <w:t xml:space="preserve"> </w:t>
      </w:r>
      <w:r w:rsidR="00470BAB">
        <w:t>of interest</w:t>
      </w:r>
      <w:r>
        <w:t xml:space="preserve">. </w:t>
      </w:r>
      <w:r w:rsidR="0046121D">
        <w:t>The</w:t>
      </w:r>
      <w:r>
        <w:t xml:space="preserve"> estimate</w:t>
      </w:r>
      <w:r w:rsidR="0046121D">
        <w:t xml:space="preserve"> </w:t>
      </w:r>
      <w:r w:rsidR="00CC781E">
        <w:t xml:space="preserve">of 35% of DC-TVPM patients </w:t>
      </w:r>
      <w:r w:rsidR="00857410">
        <w:t>being eligible for the Micra AV</w:t>
      </w:r>
      <w:r w:rsidR="00CC781E">
        <w:t xml:space="preserve"> </w:t>
      </w:r>
      <w:r w:rsidR="0046121D">
        <w:t>was derived from</w:t>
      </w:r>
      <w:r>
        <w:t xml:space="preserve"> 39% of DC-TVPM patients having AV block</w:t>
      </w:r>
      <w:r w:rsidR="00416A54">
        <w:t>. In comparison,</w:t>
      </w:r>
      <w:r w:rsidR="0046121D">
        <w:t xml:space="preserve"> t</w:t>
      </w:r>
      <w:r w:rsidRPr="002E5473">
        <w:t xml:space="preserve">he Micra AV CED study reported </w:t>
      </w:r>
      <w:r w:rsidR="00416A54">
        <w:t xml:space="preserve">that </w:t>
      </w:r>
      <w:r w:rsidRPr="002E5473">
        <w:t>47.6% of patients using DC-TVPM have AV block</w:t>
      </w:r>
      <w:r w:rsidR="0046121D">
        <w:t>,</w:t>
      </w:r>
      <w:r w:rsidR="00A37973" w:rsidRPr="009C553D">
        <w:rPr>
          <w:vertAlign w:val="superscript"/>
        </w:rPr>
        <w:fldChar w:fldCharType="begin"/>
      </w:r>
      <w:r w:rsidR="00A37973" w:rsidRPr="009C553D">
        <w:rPr>
          <w:vertAlign w:val="superscript"/>
        </w:rPr>
        <w:instrText xml:space="preserve"> NOTEREF _Ref186811063 \h </w:instrText>
      </w:r>
      <w:r w:rsidR="00A37973">
        <w:rPr>
          <w:vertAlign w:val="superscript"/>
        </w:rPr>
        <w:instrText xml:space="preserve"> \* MERGEFORMAT </w:instrText>
      </w:r>
      <w:r w:rsidR="00A37973" w:rsidRPr="009C553D">
        <w:rPr>
          <w:vertAlign w:val="superscript"/>
        </w:rPr>
      </w:r>
      <w:r w:rsidR="00A37973" w:rsidRPr="009C553D">
        <w:rPr>
          <w:vertAlign w:val="superscript"/>
        </w:rPr>
        <w:fldChar w:fldCharType="separate"/>
      </w:r>
      <w:r w:rsidR="00D96B61">
        <w:rPr>
          <w:vertAlign w:val="superscript"/>
        </w:rPr>
        <w:t>9</w:t>
      </w:r>
      <w:r w:rsidR="00A37973" w:rsidRPr="009C553D">
        <w:rPr>
          <w:vertAlign w:val="superscript"/>
        </w:rPr>
        <w:fldChar w:fldCharType="end"/>
      </w:r>
      <w:r w:rsidR="0046121D">
        <w:t xml:space="preserve"> indicating </w:t>
      </w:r>
      <w:r w:rsidR="00416A54">
        <w:t xml:space="preserve">that </w:t>
      </w:r>
      <w:r w:rsidR="0046121D">
        <w:t xml:space="preserve">the number of eligible patients could </w:t>
      </w:r>
      <w:r w:rsidR="00B761B0">
        <w:t>be</w:t>
      </w:r>
      <w:r w:rsidR="0046121D">
        <w:t xml:space="preserve"> underestimated</w:t>
      </w:r>
      <w:r w:rsidR="001F7D98">
        <w:t xml:space="preserve"> (although this include</w:t>
      </w:r>
      <w:r w:rsidR="0072243B">
        <w:t>s</w:t>
      </w:r>
      <w:r w:rsidR="001F7D98">
        <w:t xml:space="preserve"> patients with </w:t>
      </w:r>
      <w:r w:rsidR="0072243B">
        <w:t>or</w:t>
      </w:r>
      <w:r w:rsidR="001F7D98">
        <w:t xml:space="preserve"> without AF)</w:t>
      </w:r>
      <w:r w:rsidR="0046121D">
        <w:t>.</w:t>
      </w:r>
      <w:r w:rsidR="00012B8A">
        <w:t xml:space="preserve"> </w:t>
      </w:r>
      <w:r w:rsidR="001F7D98">
        <w:t>Of the</w:t>
      </w:r>
      <w:r w:rsidR="00303748">
        <w:t xml:space="preserve"> 110,558 DC-TVPM patients in the Micra AV study, 38,077</w:t>
      </w:r>
      <w:r w:rsidR="008001F3">
        <w:t xml:space="preserve"> (34.4%)</w:t>
      </w:r>
      <w:r w:rsidR="00303748">
        <w:t xml:space="preserve"> </w:t>
      </w:r>
      <w:r w:rsidR="001D2AF7">
        <w:t>ha</w:t>
      </w:r>
      <w:r w:rsidR="001F7D98">
        <w:t>d</w:t>
      </w:r>
      <w:r w:rsidR="001D2AF7">
        <w:t xml:space="preserve"> AV block without AF </w:t>
      </w:r>
      <w:r w:rsidR="001F7D98">
        <w:t>and were included in the ADAR’s clinical analys</w:t>
      </w:r>
      <w:r w:rsidR="0072243B">
        <w:t xml:space="preserve">is (ADAR Table 13, p58). </w:t>
      </w:r>
    </w:p>
    <w:p w14:paraId="3987EBFE" w14:textId="32356E18" w:rsidR="00CA1AEE" w:rsidRDefault="002E5473" w:rsidP="00211F3D">
      <w:r>
        <w:t>Another</w:t>
      </w:r>
      <w:r w:rsidR="00CA1AEE">
        <w:t xml:space="preserve"> concern of the financial impact analysis is the uncertainty </w:t>
      </w:r>
      <w:r w:rsidR="00A96B3A">
        <w:t xml:space="preserve">in </w:t>
      </w:r>
      <w:r w:rsidR="00CA1AEE">
        <w:t xml:space="preserve">the uptake of Micra AV. </w:t>
      </w:r>
      <w:r w:rsidR="00184EAC">
        <w:t xml:space="preserve">The </w:t>
      </w:r>
      <w:r w:rsidR="00CA1AEE">
        <w:t xml:space="preserve">uptake was estimated at </w:t>
      </w:r>
      <w:r w:rsidR="00775592">
        <w:rPr>
          <w:b/>
          <w:bCs/>
        </w:rPr>
        <w:t>redacted</w:t>
      </w:r>
      <w:r w:rsidR="00775592">
        <w:t>%</w:t>
      </w:r>
      <w:r w:rsidR="003C358D">
        <w:t xml:space="preserve"> of eligible patients</w:t>
      </w:r>
      <w:r w:rsidR="00CA1AEE">
        <w:t xml:space="preserve"> </w:t>
      </w:r>
      <w:r w:rsidR="007E5D7C">
        <w:t xml:space="preserve">in the </w:t>
      </w:r>
      <w:r w:rsidR="00CA1AEE">
        <w:t>first year</w:t>
      </w:r>
      <w:r w:rsidR="00184EAC">
        <w:t xml:space="preserve"> in</w:t>
      </w:r>
      <w:r w:rsidR="007E5D7C">
        <w:t xml:space="preserve"> the ADAR</w:t>
      </w:r>
      <w:r w:rsidR="00184EAC">
        <w:t xml:space="preserve"> text</w:t>
      </w:r>
      <w:r w:rsidR="00645542">
        <w:t>, with detailed reasoning</w:t>
      </w:r>
      <w:r w:rsidR="00F10426">
        <w:t>.</w:t>
      </w:r>
      <w:r w:rsidR="00952068">
        <w:t xml:space="preserve"> </w:t>
      </w:r>
      <w:r w:rsidR="00F10426">
        <w:t xml:space="preserve">The </w:t>
      </w:r>
      <w:r w:rsidR="00775592">
        <w:rPr>
          <w:b/>
          <w:bCs/>
        </w:rPr>
        <w:t>redacted</w:t>
      </w:r>
      <w:r w:rsidR="00775592">
        <w:t>%</w:t>
      </w:r>
      <w:r w:rsidR="00F10426">
        <w:t xml:space="preserve"> figure </w:t>
      </w:r>
      <w:r w:rsidR="00CA1AEE">
        <w:t xml:space="preserve">is consistent with </w:t>
      </w:r>
      <w:r w:rsidR="00184EAC">
        <w:t xml:space="preserve">the estimation </w:t>
      </w:r>
      <w:r w:rsidR="00256760">
        <w:t xml:space="preserve">provided by </w:t>
      </w:r>
      <w:r w:rsidR="00827C29">
        <w:t>3</w:t>
      </w:r>
      <w:r w:rsidR="00184EAC">
        <w:t xml:space="preserve"> experts consulted by the applicant</w:t>
      </w:r>
      <w:r w:rsidR="00827C29">
        <w:t xml:space="preserve">, </w:t>
      </w:r>
      <w:r w:rsidR="004D0C8B">
        <w:t xml:space="preserve">who indicated </w:t>
      </w:r>
      <w:r w:rsidR="00827C29">
        <w:t xml:space="preserve">that </w:t>
      </w:r>
      <w:r w:rsidR="00827C29" w:rsidRPr="00827C29">
        <w:rPr>
          <w:lang w:val="en"/>
        </w:rPr>
        <w:t>currently</w:t>
      </w:r>
      <w:r w:rsidR="00416A54">
        <w:rPr>
          <w:lang w:val="en"/>
        </w:rPr>
        <w:t>,</w:t>
      </w:r>
      <w:r w:rsidR="00827C29" w:rsidRPr="00827C29">
        <w:rPr>
          <w:lang w:val="en"/>
        </w:rPr>
        <w:t xml:space="preserve"> ≤5% of patients with AV</w:t>
      </w:r>
      <w:r w:rsidR="001D5EF6">
        <w:rPr>
          <w:lang w:val="en"/>
        </w:rPr>
        <w:t xml:space="preserve"> block</w:t>
      </w:r>
      <w:r w:rsidR="00827C29" w:rsidRPr="00827C29">
        <w:rPr>
          <w:lang w:val="en"/>
        </w:rPr>
        <w:t xml:space="preserve"> in sinus rhythm are contraindicated for a </w:t>
      </w:r>
      <w:r w:rsidR="00570046">
        <w:rPr>
          <w:lang w:val="en"/>
        </w:rPr>
        <w:t>transvenous</w:t>
      </w:r>
      <w:r w:rsidR="00827C29" w:rsidRPr="00827C29">
        <w:rPr>
          <w:lang w:val="en"/>
        </w:rPr>
        <w:t xml:space="preserve"> option or have a very high clinical need for a leadless option</w:t>
      </w:r>
      <w:r w:rsidR="00FF4DE2">
        <w:t>.</w:t>
      </w:r>
      <w:r w:rsidR="00264EA8">
        <w:t xml:space="preserve"> </w:t>
      </w:r>
      <w:r w:rsidR="00FF4DE2">
        <w:t>H</w:t>
      </w:r>
      <w:r w:rsidR="00CA1AEE">
        <w:t xml:space="preserve">owever, </w:t>
      </w:r>
      <w:r w:rsidR="00EE0E2A">
        <w:t xml:space="preserve">a Year 1 uptake rate of </w:t>
      </w:r>
      <w:r w:rsidR="00FC7821">
        <w:rPr>
          <w:b/>
          <w:bCs/>
        </w:rPr>
        <w:t>redacted</w:t>
      </w:r>
      <w:r w:rsidR="00CA1AEE">
        <w:t xml:space="preserve">% </w:t>
      </w:r>
      <w:r w:rsidR="00184EAC">
        <w:t xml:space="preserve">was </w:t>
      </w:r>
      <w:r w:rsidR="00832349">
        <w:t>used in the calculations</w:t>
      </w:r>
      <w:r w:rsidR="00CA1AEE">
        <w:t>.</w:t>
      </w:r>
      <w:r w:rsidR="00827C29">
        <w:t xml:space="preserve"> </w:t>
      </w:r>
    </w:p>
    <w:p w14:paraId="6CDDB8FA" w14:textId="2E320448" w:rsidR="00AF2699" w:rsidRDefault="00645542" w:rsidP="00211F3D">
      <w:r>
        <w:t>T</w:t>
      </w:r>
      <w:r w:rsidR="00917F7F">
        <w:t>he advisory board</w:t>
      </w:r>
      <w:r w:rsidR="005D293A">
        <w:t>, which</w:t>
      </w:r>
      <w:r w:rsidR="00917F7F">
        <w:t xml:space="preserve"> the applicant consulted with</w:t>
      </w:r>
      <w:r w:rsidR="005D293A">
        <w:t>,</w:t>
      </w:r>
      <w:r w:rsidR="00917F7F">
        <w:t xml:space="preserve"> indicated </w:t>
      </w:r>
      <w:r w:rsidR="005D293A">
        <w:t xml:space="preserve">that </w:t>
      </w:r>
      <w:r w:rsidR="00917F7F">
        <w:t xml:space="preserve">they would only use Micra AV for patients </w:t>
      </w:r>
      <w:r w:rsidR="005D293A">
        <w:t xml:space="preserve">with a clinical need for </w:t>
      </w:r>
      <w:r w:rsidR="000A11E2">
        <w:t xml:space="preserve">a </w:t>
      </w:r>
      <w:r w:rsidR="005D293A">
        <w:t>leadless option</w:t>
      </w:r>
      <w:r w:rsidR="00F744FF">
        <w:t xml:space="preserve">; </w:t>
      </w:r>
      <w:r w:rsidRPr="00645542">
        <w:rPr>
          <w:lang w:val="en"/>
        </w:rPr>
        <w:t>3 clinical experts suggested that currently ≤5% of patients with AV</w:t>
      </w:r>
      <w:r w:rsidR="001D5EF6">
        <w:rPr>
          <w:lang w:val="en"/>
        </w:rPr>
        <w:t xml:space="preserve"> block</w:t>
      </w:r>
      <w:r w:rsidRPr="00645542">
        <w:rPr>
          <w:lang w:val="en"/>
        </w:rPr>
        <w:t xml:space="preserve"> in sinus rhythm are contraindicated for a </w:t>
      </w:r>
      <w:r w:rsidR="00570046">
        <w:rPr>
          <w:lang w:val="en"/>
        </w:rPr>
        <w:t>transvenous</w:t>
      </w:r>
      <w:r w:rsidRPr="00645542">
        <w:rPr>
          <w:lang w:val="en"/>
        </w:rPr>
        <w:t xml:space="preserve"> option or have a very high clinical need for a leadless option</w:t>
      </w:r>
      <w:r w:rsidR="00546FAC">
        <w:t>.</w:t>
      </w:r>
      <w:r w:rsidR="005D293A">
        <w:t xml:space="preserve"> </w:t>
      </w:r>
      <w:r w:rsidR="00F415B8">
        <w:t>B</w:t>
      </w:r>
      <w:r w:rsidR="00546FAC">
        <w:t xml:space="preserve">ased on this assessment, </w:t>
      </w:r>
      <w:r w:rsidR="00832349">
        <w:t xml:space="preserve">a Year 1 uptake rate of </w:t>
      </w:r>
      <w:r w:rsidR="00775592">
        <w:rPr>
          <w:b/>
          <w:bCs/>
        </w:rPr>
        <w:t>redacted</w:t>
      </w:r>
      <w:r w:rsidR="00775592">
        <w:t xml:space="preserve">% </w:t>
      </w:r>
      <w:r w:rsidR="00546FAC">
        <w:t xml:space="preserve">is more plausible than </w:t>
      </w:r>
      <w:r w:rsidR="00FC7821">
        <w:rPr>
          <w:b/>
          <w:bCs/>
        </w:rPr>
        <w:t>redacted</w:t>
      </w:r>
      <w:r w:rsidR="00546FAC">
        <w:t xml:space="preserve">%. </w:t>
      </w:r>
      <w:r w:rsidR="001E4912">
        <w:t xml:space="preserve">The </w:t>
      </w:r>
      <w:r w:rsidR="003346B9">
        <w:rPr>
          <w:b/>
          <w:bCs/>
        </w:rPr>
        <w:t>redacted</w:t>
      </w:r>
      <w:r w:rsidR="001E4912">
        <w:t xml:space="preserve">% </w:t>
      </w:r>
      <w:r w:rsidR="00C521BA">
        <w:t>starting point</w:t>
      </w:r>
      <w:r w:rsidR="001E4912">
        <w:t xml:space="preserve"> also </w:t>
      </w:r>
      <w:r w:rsidR="00870719">
        <w:t xml:space="preserve">aligns with </w:t>
      </w:r>
      <w:r w:rsidR="001E4912">
        <w:t xml:space="preserve">historical data </w:t>
      </w:r>
      <w:r w:rsidR="00627746">
        <w:t xml:space="preserve">on </w:t>
      </w:r>
      <w:r w:rsidR="001E4912">
        <w:t xml:space="preserve">Micra VR initial </w:t>
      </w:r>
      <w:r w:rsidR="00C521BA">
        <w:t>uptake</w:t>
      </w:r>
      <w:r w:rsidR="00F415B8">
        <w:t xml:space="preserve">, </w:t>
      </w:r>
      <w:r w:rsidR="006B3418">
        <w:t xml:space="preserve">extracted from </w:t>
      </w:r>
      <w:r w:rsidR="00F415B8">
        <w:t>MBS</w:t>
      </w:r>
      <w:r w:rsidR="00F415B8" w:rsidRPr="00F415B8">
        <w:t xml:space="preserve"> </w:t>
      </w:r>
      <w:r w:rsidR="00526B0B">
        <w:t>i</w:t>
      </w:r>
      <w:r w:rsidR="00273B8F">
        <w:t xml:space="preserve">tem </w:t>
      </w:r>
      <w:r w:rsidR="00526B0B">
        <w:t>reports</w:t>
      </w:r>
      <w:r w:rsidR="00F415B8">
        <w:t>.</w:t>
      </w:r>
      <w:r w:rsidR="00526B0B">
        <w:rPr>
          <w:rStyle w:val="FootnoteReference"/>
        </w:rPr>
        <w:footnoteReference w:id="25"/>
      </w:r>
      <w:r w:rsidR="001E4912">
        <w:t xml:space="preserve"> </w:t>
      </w:r>
      <w:r w:rsidR="00546FAC">
        <w:t>MBS item 38372 (available</w:t>
      </w:r>
      <w:r w:rsidR="00526B0B">
        <w:t xml:space="preserve"> from</w:t>
      </w:r>
      <w:r w:rsidR="00546FAC">
        <w:t xml:space="preserve"> Nov</w:t>
      </w:r>
      <w:r w:rsidR="00526B0B">
        <w:t>ember</w:t>
      </w:r>
      <w:r w:rsidR="00546FAC">
        <w:t xml:space="preserve"> 2023) </w:t>
      </w:r>
      <w:r w:rsidR="00AF2699">
        <w:t xml:space="preserve">is </w:t>
      </w:r>
      <w:r w:rsidR="000A11E2">
        <w:t>currently used solely</w:t>
      </w:r>
      <w:r w:rsidR="00AF2699">
        <w:t xml:space="preserve"> for</w:t>
      </w:r>
      <w:r w:rsidR="00546FAC">
        <w:t xml:space="preserve"> Micra VR</w:t>
      </w:r>
      <w:r w:rsidR="00F415B8">
        <w:t>; its 10</w:t>
      </w:r>
      <w:r w:rsidR="0064657E">
        <w:t>-</w:t>
      </w:r>
      <w:r w:rsidR="00F415B8">
        <w:t xml:space="preserve">month usage </w:t>
      </w:r>
      <w:r w:rsidR="00526B0B">
        <w:t>(Nov 2023 – Sep 2024)</w:t>
      </w:r>
      <w:r w:rsidR="00952068">
        <w:t xml:space="preserve"> </w:t>
      </w:r>
      <w:r w:rsidR="00526B0B">
        <w:t xml:space="preserve">was </w:t>
      </w:r>
      <w:r w:rsidR="001E4912">
        <w:t>139 services</w:t>
      </w:r>
      <w:r w:rsidR="00F415B8">
        <w:t>.</w:t>
      </w:r>
      <w:r w:rsidR="001E4912">
        <w:t xml:space="preserve"> </w:t>
      </w:r>
      <w:r w:rsidR="00F415B8">
        <w:t>MBS item</w:t>
      </w:r>
      <w:r w:rsidR="008F447A">
        <w:t xml:space="preserve"> </w:t>
      </w:r>
      <w:r w:rsidR="00546FAC">
        <w:t>38350</w:t>
      </w:r>
      <w:r w:rsidR="00AF2699">
        <w:t xml:space="preserve"> </w:t>
      </w:r>
      <w:r w:rsidR="00F415B8">
        <w:t xml:space="preserve">is used for </w:t>
      </w:r>
      <w:r w:rsidR="006132D0">
        <w:t xml:space="preserve">the </w:t>
      </w:r>
      <w:r w:rsidR="006132D0" w:rsidRPr="006132D0">
        <w:t>insertion, removal or replacement of</w:t>
      </w:r>
      <w:r w:rsidR="006132D0" w:rsidRPr="006132D0" w:rsidDel="006132D0">
        <w:t xml:space="preserve"> </w:t>
      </w:r>
      <w:r w:rsidR="00656940" w:rsidRPr="00ED7BBB">
        <w:rPr>
          <w:rFonts w:eastAsia="Calibri"/>
        </w:rPr>
        <w:t xml:space="preserve">transvenous leads </w:t>
      </w:r>
      <w:r w:rsidR="00656940">
        <w:rPr>
          <w:rFonts w:eastAsia="Calibri"/>
        </w:rPr>
        <w:t xml:space="preserve">associated with </w:t>
      </w:r>
      <w:r w:rsidR="00656940" w:rsidRPr="001E6FFE">
        <w:rPr>
          <w:rFonts w:eastAsia="Calibri"/>
        </w:rPr>
        <w:t xml:space="preserve">single-chamber </w:t>
      </w:r>
      <w:r w:rsidR="00656940">
        <w:rPr>
          <w:rFonts w:eastAsia="Calibri"/>
        </w:rPr>
        <w:t>pacemakers</w:t>
      </w:r>
      <w:r w:rsidR="00F415B8">
        <w:t>,</w:t>
      </w:r>
      <w:r w:rsidR="00912716">
        <w:t xml:space="preserve"> </w:t>
      </w:r>
      <w:r w:rsidR="00F415B8">
        <w:t>the comparator of Micra VR</w:t>
      </w:r>
      <w:r w:rsidR="00912716">
        <w:t>.</w:t>
      </w:r>
      <w:r w:rsidR="00F415B8">
        <w:t xml:space="preserve"> </w:t>
      </w:r>
      <w:r w:rsidR="005C59FC">
        <w:t>I</w:t>
      </w:r>
      <w:r w:rsidR="00F415B8">
        <w:t xml:space="preserve">ts </w:t>
      </w:r>
      <w:r w:rsidR="00AF2699">
        <w:t>usage</w:t>
      </w:r>
      <w:r w:rsidR="001E4912">
        <w:t xml:space="preserve"> in the same period</w:t>
      </w:r>
      <w:r w:rsidR="00F415B8">
        <w:t xml:space="preserve"> </w:t>
      </w:r>
      <w:r w:rsidR="005C59FC">
        <w:t>was</w:t>
      </w:r>
      <w:r w:rsidR="00F415B8">
        <w:t xml:space="preserve"> 3</w:t>
      </w:r>
      <w:r w:rsidR="00636080">
        <w:t>,</w:t>
      </w:r>
      <w:r w:rsidR="00F415B8">
        <w:t>126</w:t>
      </w:r>
      <w:r w:rsidR="00C42155">
        <w:t xml:space="preserve"> services</w:t>
      </w:r>
      <w:r w:rsidR="00F415B8">
        <w:t xml:space="preserve">. </w:t>
      </w:r>
      <w:r w:rsidR="0062610F">
        <w:t>Based on these figures, t</w:t>
      </w:r>
      <w:r w:rsidR="00F415B8">
        <w:t xml:space="preserve">he uptake of Micra VR </w:t>
      </w:r>
      <w:r w:rsidR="0062610F">
        <w:t>was</w:t>
      </w:r>
      <w:r w:rsidR="00F415B8">
        <w:t xml:space="preserve"> 4.26% </w:t>
      </w:r>
      <w:r w:rsidR="0062610F">
        <w:t>in</w:t>
      </w:r>
      <w:r w:rsidR="00F415B8">
        <w:t xml:space="preserve"> the first 10 months</w:t>
      </w:r>
      <w:r w:rsidR="00522352">
        <w:t xml:space="preserve"> of listing</w:t>
      </w:r>
      <w:r w:rsidR="00F415B8">
        <w:t>.</w:t>
      </w:r>
      <w:r w:rsidR="00546FAC">
        <w:t xml:space="preserve"> </w:t>
      </w:r>
      <w:r w:rsidR="00EE465C">
        <w:t xml:space="preserve">The Year 1 </w:t>
      </w:r>
      <w:r w:rsidR="00A32DE5">
        <w:t>uptake</w:t>
      </w:r>
      <w:r w:rsidR="00EE465C">
        <w:t xml:space="preserve"> of Mi</w:t>
      </w:r>
      <w:r w:rsidR="009974C4">
        <w:t>c</w:t>
      </w:r>
      <w:r w:rsidR="00EE465C">
        <w:t xml:space="preserve">ra VR was projected </w:t>
      </w:r>
      <w:r w:rsidR="006B3418">
        <w:t>by the assessment group</w:t>
      </w:r>
      <w:r w:rsidR="00B355B3">
        <w:t xml:space="preserve"> as</w:t>
      </w:r>
      <w:r w:rsidR="00EE465C">
        <w:t xml:space="preserve"> unlikely to exceed</w:t>
      </w:r>
      <w:r w:rsidR="00563901">
        <w:t xml:space="preserve"> </w:t>
      </w:r>
      <w:r w:rsidR="00494E81">
        <w:rPr>
          <w:b/>
          <w:bCs/>
        </w:rPr>
        <w:t>redacted</w:t>
      </w:r>
      <w:r w:rsidR="00494E81">
        <w:t>%</w:t>
      </w:r>
      <w:r w:rsidR="00EE465C">
        <w:t>.</w:t>
      </w:r>
      <w:r w:rsidR="00DB63CC">
        <w:t xml:space="preserve"> </w:t>
      </w:r>
      <w:r w:rsidR="00CC3CD3">
        <w:t xml:space="preserve">Reducing the </w:t>
      </w:r>
      <w:r w:rsidR="00554492">
        <w:t>Micra A</w:t>
      </w:r>
      <w:r w:rsidR="005519AE">
        <w:t>V</w:t>
      </w:r>
      <w:r w:rsidR="00554492">
        <w:t xml:space="preserve"> </w:t>
      </w:r>
      <w:r w:rsidR="00CC3CD3">
        <w:t xml:space="preserve">Year 1 </w:t>
      </w:r>
      <w:r w:rsidR="00554492">
        <w:t>uptake</w:t>
      </w:r>
      <w:r w:rsidR="00CC3CD3">
        <w:t xml:space="preserve"> to </w:t>
      </w:r>
      <w:r w:rsidR="00505C2D">
        <w:rPr>
          <w:b/>
          <w:bCs/>
        </w:rPr>
        <w:t>redacted</w:t>
      </w:r>
      <w:r w:rsidR="00505C2D" w:rsidRPr="00B7630A">
        <w:t>%</w:t>
      </w:r>
      <w:r w:rsidR="00913DB6">
        <w:t xml:space="preserve"> </w:t>
      </w:r>
      <w:r w:rsidR="008D16CD">
        <w:t>reduces the estimated cost to the MBS of the proposed item over the 6</w:t>
      </w:r>
      <w:r w:rsidR="000A11E2">
        <w:t xml:space="preserve"> years</w:t>
      </w:r>
      <w:r w:rsidR="008D16CD">
        <w:t xml:space="preserve"> by </w:t>
      </w:r>
      <w:r w:rsidR="00913DB6">
        <w:rPr>
          <w:b/>
          <w:bCs/>
        </w:rPr>
        <w:t>redacted</w:t>
      </w:r>
      <w:r w:rsidR="00913DB6" w:rsidRPr="007D60FE">
        <w:t>%</w:t>
      </w:r>
      <w:r w:rsidR="00494E81">
        <w:t xml:space="preserve">, </w:t>
      </w:r>
      <w:r w:rsidR="00A36A9C">
        <w:t xml:space="preserve">while also reducing the estimated cost savings by </w:t>
      </w:r>
      <w:r w:rsidR="00913DB6">
        <w:rPr>
          <w:b/>
          <w:bCs/>
        </w:rPr>
        <w:t>redacted</w:t>
      </w:r>
      <w:r w:rsidR="00913DB6" w:rsidRPr="007D60FE">
        <w:t>%</w:t>
      </w:r>
      <w:r w:rsidR="00913DB6" w:rsidDel="00913DB6">
        <w:t xml:space="preserve"> </w:t>
      </w:r>
      <w:r w:rsidR="00A36A9C">
        <w:t xml:space="preserve">(i.e. the net cost estimate becomes less negative). </w:t>
      </w:r>
      <w:r w:rsidR="00DB63CC">
        <w:t xml:space="preserve">Nevertheless, the </w:t>
      </w:r>
      <w:r w:rsidR="00DC3589">
        <w:rPr>
          <w:b/>
          <w:bCs/>
        </w:rPr>
        <w:t>redacted</w:t>
      </w:r>
      <w:r w:rsidR="00DC3589" w:rsidRPr="007D60FE">
        <w:t>%</w:t>
      </w:r>
      <w:r w:rsidR="00DC3589">
        <w:t xml:space="preserve"> </w:t>
      </w:r>
      <w:r w:rsidR="00DB63CC">
        <w:t>uptake rate may be</w:t>
      </w:r>
      <w:r w:rsidR="001E2CB5">
        <w:t xml:space="preserve"> considered the more conservative estimate</w:t>
      </w:r>
      <w:r w:rsidR="000A11E2">
        <w:t xml:space="preserve"> for the current assessment</w:t>
      </w:r>
      <w:r w:rsidR="001E2CB5">
        <w:t>.</w:t>
      </w:r>
      <w:r w:rsidR="007661FD">
        <w:t xml:space="preserve"> Of patients with AV block without AF </w:t>
      </w:r>
      <w:r w:rsidR="00A41D56">
        <w:t>from</w:t>
      </w:r>
      <w:r w:rsidR="007661FD">
        <w:t xml:space="preserve"> the Micra AV CED study</w:t>
      </w:r>
      <w:r w:rsidR="00A41D56">
        <w:t xml:space="preserve"> included in the ADAR’s clinical analysis</w:t>
      </w:r>
      <w:r w:rsidR="007661FD">
        <w:t xml:space="preserve">, </w:t>
      </w:r>
      <w:r w:rsidR="00AC18FF">
        <w:t>9.3%</w:t>
      </w:r>
      <w:r w:rsidR="00A41D56">
        <w:t xml:space="preserve"> received the Micra AV</w:t>
      </w:r>
      <w:r w:rsidR="000A11E2">
        <w:t>,</w:t>
      </w:r>
      <w:r w:rsidR="00A41D56">
        <w:t xml:space="preserve"> </w:t>
      </w:r>
      <w:r w:rsidR="00EB62C1">
        <w:t>while 90.7% received a DC-TVPM.</w:t>
      </w:r>
      <w:r w:rsidR="00AC18FF">
        <w:t xml:space="preserve"> </w:t>
      </w:r>
    </w:p>
    <w:p w14:paraId="1714F7DE" w14:textId="17CF91A8" w:rsidR="00BB71DD" w:rsidRDefault="00D25E35" w:rsidP="00543B02">
      <w:r w:rsidRPr="4C0A0968">
        <w:t>The</w:t>
      </w:r>
      <w:r w:rsidR="00BB71DD" w:rsidRPr="4C0A0968">
        <w:t xml:space="preserve"> market </w:t>
      </w:r>
      <w:r w:rsidR="007055D3" w:rsidRPr="4C0A0968">
        <w:t>estimate</w:t>
      </w:r>
      <w:r w:rsidRPr="4C0A0968">
        <w:t>s</w:t>
      </w:r>
      <w:r w:rsidR="00300286" w:rsidRPr="4C0A0968">
        <w:t xml:space="preserve">, which were </w:t>
      </w:r>
      <w:r w:rsidRPr="4C0A0968">
        <w:t>based on DC-TVPM usage,</w:t>
      </w:r>
      <w:r w:rsidR="007055D3" w:rsidRPr="4C0A0968">
        <w:t xml:space="preserve"> do</w:t>
      </w:r>
      <w:r w:rsidR="001C02D0" w:rsidRPr="4C0A0968">
        <w:t xml:space="preserve"> </w:t>
      </w:r>
      <w:r w:rsidR="00BB71DD" w:rsidRPr="4C0A0968">
        <w:t>not capture patients who are ineligible for DC-TVPMs</w:t>
      </w:r>
      <w:r w:rsidR="00163C5B" w:rsidRPr="4C0A0968">
        <w:t>, would otherwise receive a Micra VR, or</w:t>
      </w:r>
      <w:r w:rsidR="002B4BB2" w:rsidRPr="4C0A0968">
        <w:t xml:space="preserve"> currently have a Micra VR implant but might benefit from switching to the Micra AV</w:t>
      </w:r>
      <w:r w:rsidR="007103D3" w:rsidRPr="4C0A0968">
        <w:t>.</w:t>
      </w:r>
      <w:r w:rsidR="00C2076F" w:rsidRPr="4C0A0968">
        <w:t xml:space="preserve"> </w:t>
      </w:r>
      <w:r w:rsidR="006F5DA4" w:rsidRPr="4C0A0968">
        <w:t>W</w:t>
      </w:r>
      <w:r w:rsidR="004D52B9" w:rsidRPr="4C0A0968">
        <w:t xml:space="preserve">hile only a small </w:t>
      </w:r>
      <w:r w:rsidR="00373C86" w:rsidRPr="4C0A0968">
        <w:t>proportion of the overall eligible population,</w:t>
      </w:r>
      <w:r w:rsidR="005A6F8F" w:rsidRPr="4C0A0968">
        <w:t xml:space="preserve"> </w:t>
      </w:r>
      <w:r w:rsidR="006F5DA4" w:rsidRPr="4C0A0968">
        <w:t xml:space="preserve">these subgroups </w:t>
      </w:r>
      <w:r w:rsidR="005A6F8F" w:rsidRPr="4C0A0968">
        <w:t>appear to</w:t>
      </w:r>
      <w:r w:rsidR="00C2076F" w:rsidRPr="4C0A0968">
        <w:t xml:space="preserve"> overlap with a large proportion of the </w:t>
      </w:r>
      <w:r w:rsidR="003749CD" w:rsidRPr="4C0A0968">
        <w:t>predicted</w:t>
      </w:r>
      <w:r w:rsidR="00C2076F" w:rsidRPr="4C0A0968">
        <w:t xml:space="preserve"> Micra AV LPM</w:t>
      </w:r>
      <w:r w:rsidR="00956BEE" w:rsidRPr="4C0A0968">
        <w:t xml:space="preserve"> uptake</w:t>
      </w:r>
      <w:r w:rsidR="00C2076F" w:rsidRPr="4C0A0968">
        <w:t xml:space="preserve"> in </w:t>
      </w:r>
      <w:r w:rsidR="003749CD" w:rsidRPr="4C0A0968">
        <w:t>Y</w:t>
      </w:r>
      <w:r w:rsidR="00C2076F" w:rsidRPr="4C0A0968">
        <w:t>ear 1</w:t>
      </w:r>
      <w:r w:rsidR="007C1C53" w:rsidRPr="4C0A0968">
        <w:t>.</w:t>
      </w:r>
      <w:r w:rsidR="00CC587C" w:rsidRPr="4C0A0968">
        <w:t xml:space="preserve"> </w:t>
      </w:r>
      <w:r w:rsidR="008363C3" w:rsidRPr="4C0A0968">
        <w:t>W</w:t>
      </w:r>
      <w:r w:rsidR="005D68F6" w:rsidRPr="4C0A0968">
        <w:t>hile</w:t>
      </w:r>
      <w:r w:rsidR="00255E28" w:rsidRPr="4C0A0968">
        <w:t xml:space="preserve"> </w:t>
      </w:r>
      <w:r w:rsidR="00711820">
        <w:t xml:space="preserve">DC-TVPM costs in all patients offset Micra AV </w:t>
      </w:r>
      <w:r w:rsidR="00255E28" w:rsidRPr="4C0A0968">
        <w:t xml:space="preserve">costs, these offsets may be irrelevant </w:t>
      </w:r>
      <w:r w:rsidR="003D0D28" w:rsidRPr="4C0A0968">
        <w:t>in</w:t>
      </w:r>
      <w:r w:rsidR="00255E28" w:rsidRPr="4C0A0968">
        <w:t xml:space="preserve"> a </w:t>
      </w:r>
      <w:r w:rsidR="00004A7E" w:rsidRPr="4C0A0968">
        <w:t>significant</w:t>
      </w:r>
      <w:r w:rsidR="00255E28" w:rsidRPr="4C0A0968">
        <w:t xml:space="preserve"> proportion of the projected </w:t>
      </w:r>
      <w:r w:rsidR="003D0D28" w:rsidRPr="4C0A0968">
        <w:t>cases</w:t>
      </w:r>
      <w:r w:rsidR="00255E28" w:rsidRPr="4C0A0968">
        <w:t>.</w:t>
      </w:r>
      <w:r w:rsidR="007969FD" w:rsidRPr="4C0A0968">
        <w:t xml:space="preserve"> </w:t>
      </w:r>
      <w:r w:rsidR="0025667C" w:rsidRPr="4C0A0968">
        <w:t xml:space="preserve">In </w:t>
      </w:r>
      <w:r w:rsidR="008363C3" w:rsidRPr="4C0A0968">
        <w:t xml:space="preserve">some </w:t>
      </w:r>
      <w:r w:rsidR="0025667C" w:rsidRPr="4C0A0968">
        <w:t>patients,</w:t>
      </w:r>
      <w:r w:rsidR="00CA561F" w:rsidRPr="4C0A0968">
        <w:t xml:space="preserve"> a surgically implanted (epicardial) pacemaker or Micra VR </w:t>
      </w:r>
      <w:r w:rsidR="00F4781B" w:rsidRPr="4C0A0968">
        <w:t>may be</w:t>
      </w:r>
      <w:r w:rsidR="00365427" w:rsidRPr="4C0A0968">
        <w:t xml:space="preserve"> the</w:t>
      </w:r>
      <w:r w:rsidR="00F4781B" w:rsidRPr="4C0A0968">
        <w:t xml:space="preserve"> more appropriate comparator</w:t>
      </w:r>
      <w:r w:rsidR="008363C3" w:rsidRPr="4C0A0968">
        <w:t xml:space="preserve">, with the DC-TVPM being the relevant comparator only in patients </w:t>
      </w:r>
      <w:r w:rsidR="00D94BE2" w:rsidRPr="4C0A0968">
        <w:t xml:space="preserve">for whom dual-chamber transvenous pacing is an option but is not necessary for effective therapy. </w:t>
      </w:r>
      <w:r w:rsidR="007841CF" w:rsidRPr="4C0A0968">
        <w:t xml:space="preserve">Across the entire Micra AV </w:t>
      </w:r>
      <w:r w:rsidR="00AE7BA2" w:rsidRPr="4C0A0968">
        <w:t xml:space="preserve">CED cohort, 23% of patients </w:t>
      </w:r>
      <w:r w:rsidR="00D67F06" w:rsidRPr="4C0A0968">
        <w:t>who received</w:t>
      </w:r>
      <w:r w:rsidR="00AE7BA2" w:rsidRPr="4C0A0968">
        <w:t xml:space="preserve"> the LPM would have been ineligible for the DC-TVPM</w:t>
      </w:r>
      <w:r w:rsidR="00D3409A" w:rsidRPr="4C0A0968">
        <w:t xml:space="preserve"> (it is unclear how many of these patients were in the AV block without AF subgroup </w:t>
      </w:r>
      <w:r w:rsidR="00325E2E" w:rsidRPr="4C0A0968">
        <w:t>analysed in</w:t>
      </w:r>
      <w:r w:rsidR="00D3409A" w:rsidRPr="4C0A0968">
        <w:t xml:space="preserve"> the submission)</w:t>
      </w:r>
      <w:r w:rsidR="00AE7BA2" w:rsidRPr="4C0A0968">
        <w:t>.</w:t>
      </w:r>
      <w:r w:rsidR="00AE7BA2" w:rsidRPr="009C553D">
        <w:rPr>
          <w:vertAlign w:val="superscript"/>
        </w:rPr>
        <w:fldChar w:fldCharType="begin"/>
      </w:r>
      <w:r w:rsidR="00AE7BA2" w:rsidRPr="009C553D">
        <w:rPr>
          <w:vertAlign w:val="superscript"/>
        </w:rPr>
        <w:instrText xml:space="preserve"> NOTEREF _Ref182572066 \h </w:instrText>
      </w:r>
      <w:r w:rsidR="00AE7BA2">
        <w:rPr>
          <w:vertAlign w:val="superscript"/>
        </w:rPr>
        <w:instrText xml:space="preserve"> \* MERGEFORMAT </w:instrText>
      </w:r>
      <w:r w:rsidR="00AE7BA2" w:rsidRPr="009C553D">
        <w:rPr>
          <w:vertAlign w:val="superscript"/>
        </w:rPr>
      </w:r>
      <w:r w:rsidR="00AE7BA2" w:rsidRPr="009C553D">
        <w:rPr>
          <w:vertAlign w:val="superscript"/>
        </w:rPr>
        <w:fldChar w:fldCharType="separate"/>
      </w:r>
      <w:r w:rsidR="00D96B61" w:rsidRPr="4C0A0968">
        <w:rPr>
          <w:vertAlign w:val="superscript"/>
        </w:rPr>
        <w:t>8</w:t>
      </w:r>
      <w:r w:rsidR="00AE7BA2" w:rsidRPr="009C553D">
        <w:rPr>
          <w:vertAlign w:val="superscript"/>
        </w:rPr>
        <w:fldChar w:fldCharType="end"/>
      </w:r>
      <w:r w:rsidR="00AE7BA2" w:rsidRPr="4C0A0968">
        <w:t xml:space="preserve"> </w:t>
      </w:r>
      <w:r w:rsidR="00F80E1D" w:rsidRPr="4C0A0968">
        <w:t xml:space="preserve">Expert advice received during the commentary </w:t>
      </w:r>
      <w:r w:rsidR="005A6602" w:rsidRPr="4C0A0968">
        <w:t>suggest</w:t>
      </w:r>
      <w:r w:rsidR="00325E2E" w:rsidRPr="4C0A0968">
        <w:t>s</w:t>
      </w:r>
      <w:r w:rsidR="005A6602" w:rsidRPr="4C0A0968">
        <w:t xml:space="preserve"> a switch from the Micra VR to the Micra AV </w:t>
      </w:r>
      <w:r w:rsidR="00A96D90" w:rsidRPr="4C0A0968">
        <w:t xml:space="preserve">could be </w:t>
      </w:r>
      <w:r w:rsidR="00A9461E" w:rsidRPr="4C0A0968">
        <w:t>considered if clinically significant symptoms of a lack of AV synchrony were problematic</w:t>
      </w:r>
      <w:r w:rsidR="000C04BA">
        <w:t>. However,</w:t>
      </w:r>
      <w:r w:rsidR="00A9461E" w:rsidRPr="4C0A0968">
        <w:t xml:space="preserve"> </w:t>
      </w:r>
      <w:r w:rsidR="00711820">
        <w:t>it</w:t>
      </w:r>
      <w:r w:rsidR="00A9461E" w:rsidRPr="4C0A0968">
        <w:t xml:space="preserve"> would</w:t>
      </w:r>
      <w:r w:rsidR="00386EC8" w:rsidRPr="4C0A0968">
        <w:t xml:space="preserve"> </w:t>
      </w:r>
      <w:r w:rsidR="00A9461E" w:rsidRPr="4C0A0968">
        <w:t xml:space="preserve">be rare </w:t>
      </w:r>
      <w:r w:rsidR="00D67F06" w:rsidRPr="4C0A0968">
        <w:t xml:space="preserve">in practice </w:t>
      </w:r>
      <w:r w:rsidR="00A9461E" w:rsidRPr="4C0A0968">
        <w:t>(personal communication,</w:t>
      </w:r>
      <w:r w:rsidR="00386EC8" w:rsidRPr="4C0A0968">
        <w:t xml:space="preserve"> expert cardiologist and electrophysiologist,</w:t>
      </w:r>
      <w:r w:rsidR="00A9461E" w:rsidRPr="4C0A0968">
        <w:t xml:space="preserve"> </w:t>
      </w:r>
      <w:r w:rsidR="00A84C16" w:rsidRPr="4C0A0968">
        <w:t>14 December 2024)</w:t>
      </w:r>
      <w:r w:rsidR="00A9461E" w:rsidRPr="4C0A0968">
        <w:t>.</w:t>
      </w:r>
    </w:p>
    <w:p w14:paraId="080575C2" w14:textId="526EA849" w:rsidR="00211F3D" w:rsidRDefault="00B307D3" w:rsidP="00211F3D">
      <w:r w:rsidRPr="4C0A0968">
        <w:t xml:space="preserve">Additionally, the reason </w:t>
      </w:r>
      <w:r w:rsidR="00C340D8" w:rsidRPr="4C0A0968">
        <w:t xml:space="preserve">for the </w:t>
      </w:r>
      <w:r w:rsidR="00A83B31">
        <w:rPr>
          <w:b/>
          <w:bCs/>
        </w:rPr>
        <w:t>redacted</w:t>
      </w:r>
      <w:r w:rsidR="00A83B31" w:rsidRPr="007D60FE">
        <w:t>%</w:t>
      </w:r>
      <w:r w:rsidR="00A83B31">
        <w:t xml:space="preserve"> </w:t>
      </w:r>
      <w:r w:rsidRPr="4C0A0968">
        <w:t xml:space="preserve">uptake estimate in Year 6 is not provided. The ADAR mentioned </w:t>
      </w:r>
      <w:r w:rsidR="00E3528A" w:rsidRPr="4C0A0968">
        <w:t xml:space="preserve">a </w:t>
      </w:r>
      <w:r w:rsidRPr="4C0A0968">
        <w:t xml:space="preserve">large range in reported </w:t>
      </w:r>
      <w:r w:rsidR="00DC479F" w:rsidRPr="4C0A0968">
        <w:t>use of</w:t>
      </w:r>
      <w:r w:rsidRPr="4C0A0968">
        <w:t xml:space="preserve"> VDD </w:t>
      </w:r>
      <w:r w:rsidR="00DC479F" w:rsidRPr="4C0A0968">
        <w:t xml:space="preserve">pacing </w:t>
      </w:r>
      <w:r w:rsidR="003814A7" w:rsidRPr="4C0A0968">
        <w:t xml:space="preserve">(i.e. </w:t>
      </w:r>
      <w:r w:rsidR="00941316" w:rsidRPr="4C0A0968">
        <w:t>pacing to the ventricle and sensing in both the atrium and ventricle</w:t>
      </w:r>
      <w:r w:rsidR="00954869" w:rsidRPr="4C0A0968">
        <w:t>)</w:t>
      </w:r>
      <w:r w:rsidRPr="4C0A0968">
        <w:t>, from 0% to 65.8% of all implantable cardiac devices.</w:t>
      </w:r>
      <w:r w:rsidR="000740FC" w:rsidRPr="4C0A0968">
        <w:t xml:space="preserve"> Given the wide range of ad</w:t>
      </w:r>
      <w:r w:rsidR="004C4504" w:rsidRPr="4C0A0968">
        <w:t>o</w:t>
      </w:r>
      <w:r w:rsidR="000740FC" w:rsidRPr="4C0A0968">
        <w:t xml:space="preserve">ption of VDD </w:t>
      </w:r>
      <w:proofErr w:type="gramStart"/>
      <w:r w:rsidR="000C04BA">
        <w:t>worldwide</w:t>
      </w:r>
      <w:r w:rsidR="000740FC" w:rsidRPr="4C0A0968">
        <w:t>, and</w:t>
      </w:r>
      <w:proofErr w:type="gramEnd"/>
      <w:r w:rsidR="000740FC" w:rsidRPr="4C0A0968">
        <w:t xml:space="preserve"> considering </w:t>
      </w:r>
      <w:r w:rsidR="000C04BA">
        <w:t xml:space="preserve">that </w:t>
      </w:r>
      <w:r w:rsidR="000740FC" w:rsidRPr="4C0A0968">
        <w:t>LPM has advantages</w:t>
      </w:r>
      <w:r w:rsidR="001F25A2" w:rsidRPr="4C0A0968">
        <w:t xml:space="preserve"> but lacks</w:t>
      </w:r>
      <w:r w:rsidR="000740FC" w:rsidRPr="4C0A0968">
        <w:t xml:space="preserve"> data support</w:t>
      </w:r>
      <w:r w:rsidR="001F25A2" w:rsidRPr="4C0A0968">
        <w:t>ing</w:t>
      </w:r>
      <w:r w:rsidR="000740FC" w:rsidRPr="4C0A0968">
        <w:t xml:space="preserve"> </w:t>
      </w:r>
      <w:r w:rsidR="00DD4854" w:rsidRPr="4C0A0968">
        <w:t xml:space="preserve">its </w:t>
      </w:r>
      <w:r w:rsidR="000740FC" w:rsidRPr="4C0A0968">
        <w:t xml:space="preserve">long-term effects and acceptance, </w:t>
      </w:r>
      <w:r w:rsidR="008F7454" w:rsidRPr="4C0A0968">
        <w:t>future uptake is un</w:t>
      </w:r>
      <w:r w:rsidR="00BC45B8" w:rsidRPr="4C0A0968">
        <w:t>certain</w:t>
      </w:r>
      <w:r w:rsidR="007D4641" w:rsidRPr="4C0A0968">
        <w:t>.</w:t>
      </w:r>
    </w:p>
    <w:p w14:paraId="296A5377" w14:textId="62DA5D8C" w:rsidR="00DB1C25" w:rsidRDefault="00B72274" w:rsidP="00211F3D">
      <w:r>
        <w:t xml:space="preserve">No breakdown of the costs and </w:t>
      </w:r>
      <w:r w:rsidR="000C04BA">
        <w:t>severity</w:t>
      </w:r>
      <w:r>
        <w:t xml:space="preserve"> of complications also contribute</w:t>
      </w:r>
      <w:r w:rsidR="002F16A9">
        <w:t>s</w:t>
      </w:r>
      <w:r>
        <w:t xml:space="preserve"> to uncertainty. Although the total </w:t>
      </w:r>
      <w:r w:rsidR="003C4212">
        <w:t>adjusted</w:t>
      </w:r>
      <w:r w:rsidR="00B2139A">
        <w:t xml:space="preserve"> acute</w:t>
      </w:r>
      <w:r w:rsidR="003C4212">
        <w:t xml:space="preserve"> </w:t>
      </w:r>
      <w:r>
        <w:t xml:space="preserve">complication rate </w:t>
      </w:r>
      <w:r w:rsidR="001F33B3">
        <w:t>within</w:t>
      </w:r>
      <w:r w:rsidR="001E113F">
        <w:t xml:space="preserve"> 30 </w:t>
      </w:r>
      <w:r w:rsidR="0072059A">
        <w:t>days</w:t>
      </w:r>
      <w:r>
        <w:t xml:space="preserve"> </w:t>
      </w:r>
      <w:r w:rsidR="001F33B3">
        <w:t>w</w:t>
      </w:r>
      <w:r w:rsidR="00BC1684">
        <w:t>as</w:t>
      </w:r>
      <w:r w:rsidR="001F33B3">
        <w:t xml:space="preserve"> lower </w:t>
      </w:r>
      <w:r w:rsidR="00D01731">
        <w:t xml:space="preserve">for </w:t>
      </w:r>
      <w:r w:rsidR="0079572C">
        <w:t>patients implanted with a</w:t>
      </w:r>
      <w:r w:rsidR="00D01731">
        <w:t xml:space="preserve"> Micra AV</w:t>
      </w:r>
      <w:r w:rsidR="00314A1A">
        <w:t xml:space="preserve"> </w:t>
      </w:r>
      <w:r w:rsidR="0079572C">
        <w:t>compared to those who received a</w:t>
      </w:r>
      <w:r w:rsidR="00314A1A">
        <w:t xml:space="preserve"> DC-TVPM</w:t>
      </w:r>
      <w:r w:rsidR="0072059A">
        <w:t xml:space="preserve"> (</w:t>
      </w:r>
      <w:r w:rsidR="0072059A">
        <w:fldChar w:fldCharType="begin"/>
      </w:r>
      <w:r w:rsidR="0072059A">
        <w:instrText xml:space="preserve"> REF _Ref183613143 \h </w:instrText>
      </w:r>
      <w:r w:rsidR="0072059A">
        <w:fldChar w:fldCharType="separate"/>
      </w:r>
      <w:r w:rsidR="00D96B61">
        <w:t xml:space="preserve">Table </w:t>
      </w:r>
      <w:r w:rsidR="00D96B61">
        <w:rPr>
          <w:noProof/>
        </w:rPr>
        <w:t>7</w:t>
      </w:r>
      <w:r w:rsidR="0072059A">
        <w:fldChar w:fldCharType="end"/>
      </w:r>
      <w:r w:rsidR="0072059A">
        <w:t>)</w:t>
      </w:r>
      <w:r>
        <w:t>, the</w:t>
      </w:r>
      <w:r w:rsidR="00B121E6">
        <w:t>re</w:t>
      </w:r>
      <w:r>
        <w:t xml:space="preserve"> </w:t>
      </w:r>
      <w:r w:rsidR="00932395">
        <w:t xml:space="preserve">were </w:t>
      </w:r>
      <w:r w:rsidR="00B121E6">
        <w:t xml:space="preserve">differences </w:t>
      </w:r>
      <w:r>
        <w:t xml:space="preserve">in the types of </w:t>
      </w:r>
      <w:r w:rsidR="002C54B0">
        <w:t xml:space="preserve">acute </w:t>
      </w:r>
      <w:r>
        <w:t>complications</w:t>
      </w:r>
      <w:r w:rsidR="00716486">
        <w:t xml:space="preserve"> </w:t>
      </w:r>
      <w:r w:rsidR="002B3794">
        <w:t>that</w:t>
      </w:r>
      <w:r w:rsidR="00CE75A7">
        <w:t xml:space="preserve"> </w:t>
      </w:r>
      <w:r w:rsidR="00AD27B9">
        <w:t>occurred</w:t>
      </w:r>
      <w:r>
        <w:t xml:space="preserve">. </w:t>
      </w:r>
      <w:r w:rsidR="001E113F">
        <w:t xml:space="preserve">The </w:t>
      </w:r>
      <w:r w:rsidR="003C4212">
        <w:t xml:space="preserve">adjusted </w:t>
      </w:r>
      <w:r w:rsidR="001E113F">
        <w:t xml:space="preserve">complications </w:t>
      </w:r>
      <w:r w:rsidR="00CC6833">
        <w:t xml:space="preserve">at </w:t>
      </w:r>
      <w:r w:rsidR="00461CFF">
        <w:t>2</w:t>
      </w:r>
      <w:r w:rsidR="00603D0C">
        <w:t> </w:t>
      </w:r>
      <w:r w:rsidR="001E113F">
        <w:t xml:space="preserve">years </w:t>
      </w:r>
      <w:r w:rsidR="00AD27B9">
        <w:t>were</w:t>
      </w:r>
      <w:r w:rsidR="00AB1532">
        <w:t xml:space="preserve"> also</w:t>
      </w:r>
      <w:r w:rsidR="00AD27B9">
        <w:t xml:space="preserve"> </w:t>
      </w:r>
      <w:r w:rsidR="001E113F">
        <w:t xml:space="preserve">lower for </w:t>
      </w:r>
      <w:r w:rsidR="004F11E4">
        <w:t>patients implanted with a</w:t>
      </w:r>
      <w:r w:rsidR="00AB1532">
        <w:t xml:space="preserve"> </w:t>
      </w:r>
      <w:r w:rsidR="001E113F">
        <w:t>Mi</w:t>
      </w:r>
      <w:r w:rsidR="00AF11F1">
        <w:t>c</w:t>
      </w:r>
      <w:r w:rsidR="001E113F">
        <w:t>ra AV</w:t>
      </w:r>
      <w:r w:rsidR="00AB1532">
        <w:t xml:space="preserve"> </w:t>
      </w:r>
      <w:r w:rsidR="00A70535">
        <w:t>than</w:t>
      </w:r>
      <w:r w:rsidR="00AB1532">
        <w:t xml:space="preserve"> th</w:t>
      </w:r>
      <w:r w:rsidR="004F11E4">
        <w:t>ose who received a</w:t>
      </w:r>
      <w:r w:rsidR="00AB1532">
        <w:t xml:space="preserve"> DC-TVPM</w:t>
      </w:r>
      <w:r w:rsidR="0072059A">
        <w:t xml:space="preserve"> (</w:t>
      </w:r>
      <w:r w:rsidR="0072059A">
        <w:fldChar w:fldCharType="begin"/>
      </w:r>
      <w:r w:rsidR="0072059A">
        <w:instrText xml:space="preserve"> REF _Ref183613148 \h </w:instrText>
      </w:r>
      <w:r w:rsidR="0072059A">
        <w:fldChar w:fldCharType="separate"/>
      </w:r>
      <w:r w:rsidR="00D96B61">
        <w:t xml:space="preserve">Table </w:t>
      </w:r>
      <w:r w:rsidR="00D96B61">
        <w:rPr>
          <w:noProof/>
        </w:rPr>
        <w:t>8</w:t>
      </w:r>
      <w:r w:rsidR="0072059A">
        <w:fldChar w:fldCharType="end"/>
      </w:r>
      <w:r w:rsidR="0072059A">
        <w:t>)</w:t>
      </w:r>
      <w:r w:rsidR="00016B3D">
        <w:t xml:space="preserve">. </w:t>
      </w:r>
      <w:r w:rsidR="00031848">
        <w:t>T</w:t>
      </w:r>
      <w:r w:rsidR="00300989">
        <w:t xml:space="preserve">he </w:t>
      </w:r>
      <w:r w:rsidR="000E766E">
        <w:t xml:space="preserve">comparative </w:t>
      </w:r>
      <w:r w:rsidR="00300989">
        <w:t xml:space="preserve">severity and costs of the complications </w:t>
      </w:r>
      <w:r w:rsidR="000E766E">
        <w:t xml:space="preserve">across arms is </w:t>
      </w:r>
      <w:r w:rsidR="00300989">
        <w:t>unclear.</w:t>
      </w:r>
      <w:r w:rsidR="00016B3D">
        <w:t xml:space="preserve"> </w:t>
      </w:r>
    </w:p>
    <w:p w14:paraId="676155AF" w14:textId="70E1A8D4" w:rsidR="00B72274" w:rsidRDefault="00BC6FE2" w:rsidP="00211F3D">
      <w:r w:rsidRPr="4C0A0968">
        <w:t xml:space="preserve">The economic model accounted for </w:t>
      </w:r>
      <w:r w:rsidR="006623F8" w:rsidRPr="4C0A0968">
        <w:t>infection</w:t>
      </w:r>
      <w:r w:rsidR="00AA2645" w:rsidRPr="4C0A0968">
        <w:t>s</w:t>
      </w:r>
      <w:r w:rsidR="00337FC3" w:rsidRPr="4C0A0968">
        <w:t>, revision</w:t>
      </w:r>
      <w:r w:rsidR="00AA2645" w:rsidRPr="4C0A0968">
        <w:t>s</w:t>
      </w:r>
      <w:r w:rsidR="00337FC3" w:rsidRPr="4C0A0968">
        <w:t>, lead-related reintervention</w:t>
      </w:r>
      <w:r w:rsidR="00AA2645" w:rsidRPr="4C0A0968">
        <w:t>s</w:t>
      </w:r>
      <w:r w:rsidR="00337FC3" w:rsidRPr="4C0A0968">
        <w:t>, replacement</w:t>
      </w:r>
      <w:r w:rsidR="00AA2645" w:rsidRPr="4C0A0968">
        <w:t>s</w:t>
      </w:r>
      <w:r w:rsidR="00337FC3" w:rsidRPr="4C0A0968">
        <w:t xml:space="preserve"> and removal</w:t>
      </w:r>
      <w:r w:rsidR="00AA2645" w:rsidRPr="4C0A0968">
        <w:t>s when costing complications</w:t>
      </w:r>
      <w:r w:rsidR="00337FC3" w:rsidRPr="4C0A0968">
        <w:t>,</w:t>
      </w:r>
      <w:r w:rsidR="001F5EDA" w:rsidRPr="4C0A0968">
        <w:t xml:space="preserve"> and</w:t>
      </w:r>
      <w:r w:rsidR="00337FC3" w:rsidRPr="4C0A0968">
        <w:t xml:space="preserve"> </w:t>
      </w:r>
      <w:r w:rsidR="00A7628A" w:rsidRPr="4C0A0968">
        <w:t>report</w:t>
      </w:r>
      <w:r w:rsidR="001F5EDA" w:rsidRPr="4C0A0968">
        <w:t>ed</w:t>
      </w:r>
      <w:r w:rsidR="00A7628A" w:rsidRPr="4C0A0968">
        <w:t xml:space="preserve"> higher complication</w:t>
      </w:r>
      <w:r w:rsidR="0056361A" w:rsidRPr="4C0A0968">
        <w:t xml:space="preserve"> costs associated with DC-TVPM</w:t>
      </w:r>
      <w:r w:rsidR="00ED2C27" w:rsidRPr="4C0A0968">
        <w:t>.</w:t>
      </w:r>
      <w:r w:rsidR="00627941" w:rsidRPr="4C0A0968">
        <w:t xml:space="preserve"> </w:t>
      </w:r>
      <w:r w:rsidR="001F5EDA" w:rsidRPr="4C0A0968">
        <w:t>Considering this</w:t>
      </w:r>
      <w:r w:rsidR="00627941" w:rsidRPr="4C0A0968">
        <w:t xml:space="preserve">, the exclusion of complications costs </w:t>
      </w:r>
      <w:r w:rsidR="00631C3F" w:rsidRPr="4C0A0968">
        <w:t xml:space="preserve">may be conservative. </w:t>
      </w:r>
      <w:r w:rsidR="00234B01" w:rsidRPr="4C0A0968">
        <w:t xml:space="preserve">Nevertheless, </w:t>
      </w:r>
      <w:r w:rsidR="004E5DC5" w:rsidRPr="4C0A0968">
        <w:t xml:space="preserve">costs for surgical explantation, </w:t>
      </w:r>
      <w:r w:rsidR="0089279F" w:rsidRPr="4C0A0968">
        <w:t xml:space="preserve">although </w:t>
      </w:r>
      <w:r w:rsidR="00707AFD" w:rsidRPr="4C0A0968">
        <w:t xml:space="preserve">likely rare according to the </w:t>
      </w:r>
      <w:r w:rsidR="007731E7" w:rsidRPr="4C0A0968">
        <w:t>ADAR</w:t>
      </w:r>
      <w:r w:rsidR="00707AFD" w:rsidRPr="4C0A0968">
        <w:t xml:space="preserve">, </w:t>
      </w:r>
      <w:r w:rsidR="00484466" w:rsidRPr="4C0A0968">
        <w:t>were not captured in the modelling</w:t>
      </w:r>
      <w:r w:rsidR="0037492F" w:rsidRPr="4C0A0968">
        <w:t>, and remain an area of uncertainty</w:t>
      </w:r>
      <w:r w:rsidR="00484466" w:rsidRPr="4C0A0968">
        <w:t>.</w:t>
      </w:r>
    </w:p>
    <w:p w14:paraId="57A17D31" w14:textId="6E43A3FD" w:rsidR="001039A1" w:rsidRDefault="001039A1" w:rsidP="00211F3D">
      <w:r w:rsidRPr="4C0A0968">
        <w:t xml:space="preserve">The real-world cost of </w:t>
      </w:r>
      <w:r w:rsidR="00A70535">
        <w:t xml:space="preserve">the </w:t>
      </w:r>
      <w:r w:rsidRPr="4C0A0968">
        <w:t xml:space="preserve">explantation of Micra AV is uncertain. </w:t>
      </w:r>
      <w:r w:rsidR="00D03A0A" w:rsidRPr="4C0A0968">
        <w:t xml:space="preserve">The </w:t>
      </w:r>
      <w:r w:rsidR="004F11E4" w:rsidRPr="4C0A0968">
        <w:t>Public Summary Document (</w:t>
      </w:r>
      <w:r w:rsidRPr="4C0A0968">
        <w:t>PSD</w:t>
      </w:r>
      <w:r w:rsidR="004F11E4" w:rsidRPr="4C0A0968">
        <w:t>)</w:t>
      </w:r>
      <w:r w:rsidR="00A47528" w:rsidRPr="4C0A0968">
        <w:t xml:space="preserve"> </w:t>
      </w:r>
      <w:r w:rsidR="00D078F7" w:rsidRPr="4C0A0968">
        <w:t xml:space="preserve">for MASC application </w:t>
      </w:r>
      <w:r w:rsidRPr="4C0A0968">
        <w:t>1672 has pointed out</w:t>
      </w:r>
      <w:r w:rsidR="00CE75A7" w:rsidRPr="4C0A0968">
        <w:t xml:space="preserve"> </w:t>
      </w:r>
      <w:r w:rsidR="00250EB1">
        <w:t xml:space="preserve">that </w:t>
      </w:r>
      <w:r w:rsidR="00C52B95" w:rsidRPr="4C0A0968">
        <w:t>explantation is</w:t>
      </w:r>
      <w:r w:rsidR="00BD4D76" w:rsidRPr="4C0A0968">
        <w:t xml:space="preserve"> unlikely</w:t>
      </w:r>
      <w:r w:rsidR="00C52B95" w:rsidRPr="4C0A0968">
        <w:t xml:space="preserve"> due to </w:t>
      </w:r>
      <w:r w:rsidR="00250EB1">
        <w:t>clinicians'</w:t>
      </w:r>
      <w:r w:rsidR="00C52B95" w:rsidRPr="4C0A0968">
        <w:t xml:space="preserve"> unwillingness </w:t>
      </w:r>
      <w:r w:rsidR="00250EB1">
        <w:t>to deal</w:t>
      </w:r>
      <w:r w:rsidR="00C52B95" w:rsidRPr="4C0A0968">
        <w:t xml:space="preserve"> </w:t>
      </w:r>
      <w:r w:rsidR="00250EB1">
        <w:t>with</w:t>
      </w:r>
      <w:r w:rsidR="00C52B95" w:rsidRPr="4C0A0968">
        <w:t xml:space="preserve"> the difficulty of removing encapsulated LPM</w:t>
      </w:r>
      <w:r w:rsidR="004945AD" w:rsidRPr="4C0A0968">
        <w:t>s</w:t>
      </w:r>
      <w:r w:rsidR="00C52B95" w:rsidRPr="4C0A0968">
        <w:t>.</w:t>
      </w:r>
      <w:r w:rsidRPr="4C0A0968">
        <w:t xml:space="preserve"> </w:t>
      </w:r>
      <w:r w:rsidR="00C52B95" w:rsidRPr="4C0A0968">
        <w:t xml:space="preserve">The claim </w:t>
      </w:r>
      <w:r w:rsidR="00CA21E0" w:rsidRPr="4C0A0968">
        <w:t xml:space="preserve">that </w:t>
      </w:r>
      <w:r w:rsidR="00C52B95" w:rsidRPr="4C0A0968">
        <w:t xml:space="preserve">the chamber can hold 3 devices is not supported; the </w:t>
      </w:r>
      <w:r w:rsidR="001D5255" w:rsidRPr="4C0A0968">
        <w:t xml:space="preserve">supporting study referred to in the </w:t>
      </w:r>
      <w:r w:rsidR="00C52B95" w:rsidRPr="4C0A0968">
        <w:t xml:space="preserve">ADAR only mentioned </w:t>
      </w:r>
      <w:r w:rsidR="0017485A" w:rsidRPr="4C0A0968">
        <w:t>‘</w:t>
      </w:r>
      <w:r w:rsidR="00C52B95" w:rsidRPr="4C0A0968">
        <w:t>up to 3 devices</w:t>
      </w:r>
      <w:r w:rsidR="0017485A" w:rsidRPr="4C0A0968">
        <w:t>’</w:t>
      </w:r>
      <w:r w:rsidR="00C52B95" w:rsidRPr="4C0A0968">
        <w:t xml:space="preserve"> as </w:t>
      </w:r>
      <w:r w:rsidR="001D5255" w:rsidRPr="4C0A0968">
        <w:t xml:space="preserve">the </w:t>
      </w:r>
      <w:r w:rsidR="00C52B95" w:rsidRPr="4C0A0968">
        <w:t>submitter’s claim</w:t>
      </w:r>
      <w:r w:rsidR="00162E32" w:rsidRPr="4C0A0968">
        <w:rPr>
          <w:rStyle w:val="FootnoteReference"/>
        </w:rPr>
        <w:footnoteReference w:id="26"/>
      </w:r>
      <w:r w:rsidR="00C52B95" w:rsidRPr="4C0A0968">
        <w:t xml:space="preserve">. </w:t>
      </w:r>
      <w:r w:rsidR="00162E32" w:rsidRPr="4C0A0968">
        <w:t>According to the post</w:t>
      </w:r>
      <w:r w:rsidR="00097DE0" w:rsidRPr="4C0A0968">
        <w:t xml:space="preserve"> </w:t>
      </w:r>
      <w:r w:rsidR="00162E32" w:rsidRPr="4C0A0968">
        <w:t xml:space="preserve">hoc analysis, the </w:t>
      </w:r>
      <w:r w:rsidR="00603D0C">
        <w:br/>
      </w:r>
      <w:r w:rsidR="00162E32" w:rsidRPr="4C0A0968">
        <w:t>2-year replacement rate of Mi</w:t>
      </w:r>
      <w:r w:rsidR="00610F48" w:rsidRPr="4C0A0968">
        <w:t>c</w:t>
      </w:r>
      <w:r w:rsidR="00162E32" w:rsidRPr="4C0A0968">
        <w:t xml:space="preserve">ra AV is 5 times </w:t>
      </w:r>
      <w:r w:rsidR="004D6ADE" w:rsidRPr="4C0A0968">
        <w:t xml:space="preserve">that </w:t>
      </w:r>
      <w:r w:rsidR="00162E32" w:rsidRPr="4C0A0968">
        <w:t>of DC-TVPM</w:t>
      </w:r>
      <w:r w:rsidR="0056457D" w:rsidRPr="4C0A0968">
        <w:t xml:space="preserve"> (</w:t>
      </w:r>
      <w:r w:rsidR="00D75479" w:rsidRPr="4C0A0968">
        <w:t>2-year risks: 0</w:t>
      </w:r>
      <w:r w:rsidR="0056457D" w:rsidRPr="4C0A0968">
        <w:t>.5% versus 0.1%</w:t>
      </w:r>
      <w:r w:rsidR="00D75479" w:rsidRPr="4C0A0968">
        <w:t>, respectively</w:t>
      </w:r>
      <w:r w:rsidR="0056457D" w:rsidRPr="4C0A0968">
        <w:t>)</w:t>
      </w:r>
      <w:r w:rsidR="00162E32" w:rsidRPr="4C0A0968">
        <w:t>. In the future, some patients may need explantation of multiple devices.</w:t>
      </w:r>
    </w:p>
    <w:p w14:paraId="0E08A87A" w14:textId="34590294" w:rsidR="00AF2699" w:rsidRDefault="00AF2699" w:rsidP="00211F3D">
      <w:r>
        <w:t xml:space="preserve">There is also concern </w:t>
      </w:r>
      <w:r w:rsidR="00250EB1">
        <w:t>about</w:t>
      </w:r>
      <w:r>
        <w:t xml:space="preserve"> leakage</w:t>
      </w:r>
      <w:r w:rsidR="0019483B">
        <w:t xml:space="preserve"> beyond the </w:t>
      </w:r>
      <w:r w:rsidR="00FC564E">
        <w:t>proposed population</w:t>
      </w:r>
      <w:r>
        <w:t xml:space="preserve">. Micra </w:t>
      </w:r>
      <w:r w:rsidR="009D03E7">
        <w:t xml:space="preserve">AV can </w:t>
      </w:r>
      <w:r w:rsidR="002E6ED3">
        <w:t xml:space="preserve">be used in </w:t>
      </w:r>
      <w:r w:rsidR="00F81FF7">
        <w:t xml:space="preserve">broader </w:t>
      </w:r>
      <w:r w:rsidR="002E6ED3">
        <w:t>patient</w:t>
      </w:r>
      <w:r w:rsidR="00776022">
        <w:t xml:space="preserve"> groups</w:t>
      </w:r>
      <w:r w:rsidR="002E6ED3">
        <w:t xml:space="preserve"> </w:t>
      </w:r>
      <w:r w:rsidR="004540D7">
        <w:t>than</w:t>
      </w:r>
      <w:r w:rsidR="002E6ED3">
        <w:t xml:space="preserve"> the targeted population.</w:t>
      </w:r>
      <w:r w:rsidR="00EA5246">
        <w:t xml:space="preserve"> </w:t>
      </w:r>
      <w:r w:rsidR="000D0E98">
        <w:t xml:space="preserve">The </w:t>
      </w:r>
      <w:r w:rsidR="00EA5246">
        <w:t xml:space="preserve">population </w:t>
      </w:r>
      <w:r w:rsidR="000D0E98">
        <w:t>covered in</w:t>
      </w:r>
      <w:r w:rsidR="0024726F">
        <w:t xml:space="preserve"> Micra AV’s</w:t>
      </w:r>
      <w:r w:rsidR="000D0E98">
        <w:t xml:space="preserve"> </w:t>
      </w:r>
      <w:r w:rsidR="00EA5246">
        <w:t>ARTG</w:t>
      </w:r>
      <w:r w:rsidR="000D0E98">
        <w:t xml:space="preserve"> listing</w:t>
      </w:r>
      <w:r w:rsidR="00EA5246">
        <w:t xml:space="preserve"> includ</w:t>
      </w:r>
      <w:r w:rsidR="00851942">
        <w:t>es</w:t>
      </w:r>
      <w:r w:rsidR="00EA5246">
        <w:t xml:space="preserve"> </w:t>
      </w:r>
      <w:r w:rsidR="002C1493">
        <w:t xml:space="preserve">patients with </w:t>
      </w:r>
      <w:r w:rsidR="00EA5246">
        <w:t>AV block</w:t>
      </w:r>
      <w:r w:rsidR="00EA5246" w:rsidRPr="00EA5246">
        <w:t xml:space="preserve"> </w:t>
      </w:r>
      <w:r w:rsidR="00EA5246">
        <w:t>with or without AF.</w:t>
      </w:r>
      <w:r w:rsidR="00F7138F">
        <w:t xml:space="preserve"> </w:t>
      </w:r>
      <w:r w:rsidR="00B307D3">
        <w:t xml:space="preserve">Furthermore, </w:t>
      </w:r>
      <w:r w:rsidR="00654A23">
        <w:t xml:space="preserve">in the </w:t>
      </w:r>
      <w:r w:rsidR="00B307D3">
        <w:t>Micra AV CED study</w:t>
      </w:r>
      <w:r w:rsidR="00654A23">
        <w:t xml:space="preserve">, </w:t>
      </w:r>
      <w:r w:rsidR="00B307D3">
        <w:t xml:space="preserve">only 74% of </w:t>
      </w:r>
      <w:r w:rsidR="00516D24">
        <w:t xml:space="preserve">patients </w:t>
      </w:r>
      <w:r w:rsidR="00654A23">
        <w:t xml:space="preserve">who received a </w:t>
      </w:r>
      <w:r w:rsidR="00B307D3">
        <w:t xml:space="preserve">Micra AV </w:t>
      </w:r>
      <w:r w:rsidR="00654A23">
        <w:t xml:space="preserve">device </w:t>
      </w:r>
      <w:r w:rsidR="00B307D3">
        <w:t>ha</w:t>
      </w:r>
      <w:r w:rsidR="00654A23">
        <w:t>d</w:t>
      </w:r>
      <w:r w:rsidR="00B307D3">
        <w:t xml:space="preserve"> AV block. </w:t>
      </w:r>
      <w:r w:rsidR="00CB6ABF">
        <w:t>The ADAR mentioned</w:t>
      </w:r>
      <w:r w:rsidR="006655EB">
        <w:t xml:space="preserve"> the</w:t>
      </w:r>
      <w:r w:rsidR="00CB6ABF">
        <w:t xml:space="preserve"> market share of VDD has a wide range, up to 65.8% of total ICDs. Micra AV is a leadless VDD device, suggesting a potentially large leakage.</w:t>
      </w:r>
    </w:p>
    <w:p w14:paraId="303F784F" w14:textId="0D24713B" w:rsidR="002C39CD" w:rsidRDefault="00045EE0" w:rsidP="0023288C">
      <w:pPr>
        <w:spacing w:before="0"/>
      </w:pPr>
      <w:r w:rsidRPr="4C0A0968">
        <w:t>For the impact on other health resources, t</w:t>
      </w:r>
      <w:r w:rsidR="004D608F" w:rsidRPr="4C0A0968">
        <w:t>he</w:t>
      </w:r>
      <w:r w:rsidR="0023288C" w:rsidRPr="4C0A0968">
        <w:t xml:space="preserve"> submission estimated 2 days of hospital stay per procedure ($4,552)</w:t>
      </w:r>
      <w:r w:rsidR="00250EB1">
        <w:t>,</w:t>
      </w:r>
      <w:r w:rsidR="0023288C" w:rsidRPr="4C0A0968">
        <w:t xml:space="preserve"> </w:t>
      </w:r>
      <w:r w:rsidR="004D608F" w:rsidRPr="4C0A0968">
        <w:t>identical to D</w:t>
      </w:r>
      <w:r w:rsidR="00E070E0" w:rsidRPr="4C0A0968">
        <w:t>C</w:t>
      </w:r>
      <w:r w:rsidR="004D608F" w:rsidRPr="4C0A0968">
        <w:t>-TVPM</w:t>
      </w:r>
      <w:r w:rsidR="00DF21CA" w:rsidRPr="4C0A0968">
        <w:t xml:space="preserve"> (</w:t>
      </w:r>
      <w:r>
        <w:fldChar w:fldCharType="begin"/>
      </w:r>
      <w:r>
        <w:instrText xml:space="preserve"> REF _Ref186726925 \h </w:instrText>
      </w:r>
      <w:r>
        <w:fldChar w:fldCharType="separate"/>
      </w:r>
      <w:r w:rsidR="0050150B" w:rsidRPr="4C0A0968">
        <w:t xml:space="preserve">Table </w:t>
      </w:r>
      <w:r w:rsidR="0050150B">
        <w:rPr>
          <w:noProof/>
        </w:rPr>
        <w:t>17</w:t>
      </w:r>
      <w:r>
        <w:fldChar w:fldCharType="end"/>
      </w:r>
      <w:r w:rsidR="00DF21CA" w:rsidRPr="4C0A0968">
        <w:t>)</w:t>
      </w:r>
      <w:r w:rsidR="0023288C" w:rsidRPr="4C0A0968">
        <w:t>, expecting no financial impact</w:t>
      </w:r>
      <w:r w:rsidR="00DF21CA" w:rsidRPr="4C0A0968">
        <w:t xml:space="preserve"> (</w:t>
      </w:r>
      <w:r>
        <w:fldChar w:fldCharType="begin"/>
      </w:r>
      <w:r>
        <w:instrText xml:space="preserve"> REF _Ref186730130 \h </w:instrText>
      </w:r>
      <w:r>
        <w:fldChar w:fldCharType="separate"/>
      </w:r>
      <w:r w:rsidR="0050150B">
        <w:t xml:space="preserve">Table </w:t>
      </w:r>
      <w:r>
        <w:fldChar w:fldCharType="end"/>
      </w:r>
      <w:r w:rsidR="00511008">
        <w:t>19</w:t>
      </w:r>
      <w:r w:rsidR="00DF21CA" w:rsidRPr="4C0A0968">
        <w:t>)</w:t>
      </w:r>
      <w:r w:rsidR="004D608F" w:rsidRPr="4C0A0968">
        <w:t xml:space="preserve">. The cost of </w:t>
      </w:r>
      <w:r w:rsidR="00042A30">
        <w:t>the medical device</w:t>
      </w:r>
      <w:r w:rsidR="004D608F" w:rsidRPr="4C0A0968">
        <w:t xml:space="preserve"> for AV LPMs </w:t>
      </w:r>
      <w:r w:rsidR="00241932">
        <w:t>has</w:t>
      </w:r>
      <w:r w:rsidR="004D608F" w:rsidRPr="4C0A0968">
        <w:t xml:space="preserve"> the major impact </w:t>
      </w:r>
      <w:r w:rsidR="00250EB1">
        <w:t>on</w:t>
      </w:r>
      <w:r w:rsidR="004D608F" w:rsidRPr="4C0A0968">
        <w:t xml:space="preserve"> private health insurers. </w:t>
      </w:r>
      <w:r w:rsidR="00063067" w:rsidRPr="4C0A0968">
        <w:t xml:space="preserve">The proposed cost of </w:t>
      </w:r>
      <w:r w:rsidR="00241932">
        <w:t>pacemakers</w:t>
      </w:r>
      <w:r w:rsidR="00063067" w:rsidRPr="4C0A0968">
        <w:t xml:space="preserve"> and consumable</w:t>
      </w:r>
      <w:r w:rsidR="00CD12C0" w:rsidRPr="4C0A0968">
        <w:t>s</w:t>
      </w:r>
      <w:r w:rsidR="00063067" w:rsidRPr="4C0A0968">
        <w:t xml:space="preserve"> for AV </w:t>
      </w:r>
      <w:r w:rsidR="004D608F" w:rsidRPr="4C0A0968">
        <w:t>LPM</w:t>
      </w:r>
      <w:r w:rsidR="00063067" w:rsidRPr="4C0A0968">
        <w:t xml:space="preserve"> is </w:t>
      </w:r>
      <w:r w:rsidR="00C21DE4" w:rsidRPr="4C0A0968">
        <w:t>$</w:t>
      </w:r>
      <w:r w:rsidR="00C21DE4">
        <w:rPr>
          <w:b/>
          <w:bCs/>
        </w:rPr>
        <w:t>redacted</w:t>
      </w:r>
      <w:r w:rsidR="00241932">
        <w:t>, higher</w:t>
      </w:r>
      <w:r w:rsidR="00132ADE" w:rsidRPr="4C0A0968">
        <w:t xml:space="preserve"> than</w:t>
      </w:r>
      <w:r w:rsidR="004D608F" w:rsidRPr="4C0A0968">
        <w:t xml:space="preserve"> unit costs </w:t>
      </w:r>
      <w:r w:rsidR="00132ADE" w:rsidRPr="4C0A0968">
        <w:t>of $7,942.00 for D</w:t>
      </w:r>
      <w:r w:rsidR="00E070E0" w:rsidRPr="4C0A0968">
        <w:t>C</w:t>
      </w:r>
      <w:r w:rsidR="00132ADE" w:rsidRPr="4C0A0968">
        <w:t>-TVPM (</w:t>
      </w:r>
      <w:r>
        <w:fldChar w:fldCharType="begin"/>
      </w:r>
      <w:r>
        <w:instrText xml:space="preserve"> REF _Ref186726925 \h </w:instrText>
      </w:r>
      <w:r>
        <w:fldChar w:fldCharType="separate"/>
      </w:r>
      <w:r w:rsidR="0050150B" w:rsidRPr="4C0A0968">
        <w:t xml:space="preserve">Table </w:t>
      </w:r>
      <w:r>
        <w:fldChar w:fldCharType="end"/>
      </w:r>
      <w:r w:rsidR="00A41B07">
        <w:t>1</w:t>
      </w:r>
      <w:r w:rsidR="00B23202">
        <w:t>7</w:t>
      </w:r>
      <w:r w:rsidR="00A4760A" w:rsidRPr="4C0A0968">
        <w:t>)</w:t>
      </w:r>
      <w:r w:rsidR="00132ADE" w:rsidRPr="4C0A0968">
        <w:t>.</w:t>
      </w:r>
      <w:r w:rsidR="004D608F" w:rsidRPr="4C0A0968">
        <w:t xml:space="preserve"> The </w:t>
      </w:r>
      <w:r w:rsidR="00132ADE" w:rsidRPr="4C0A0968">
        <w:t xml:space="preserve">increased financial </w:t>
      </w:r>
      <w:r w:rsidR="004D608F" w:rsidRPr="4C0A0968">
        <w:t xml:space="preserve">costs to health insurers are </w:t>
      </w:r>
      <w:r w:rsidR="00132ADE" w:rsidRPr="4C0A0968">
        <w:t>projected</w:t>
      </w:r>
      <w:r w:rsidR="004D608F" w:rsidRPr="4C0A0968">
        <w:t xml:space="preserve"> to </w:t>
      </w:r>
      <w:r w:rsidR="00132ADE" w:rsidRPr="4C0A0968">
        <w:t>be</w:t>
      </w:r>
      <w:r w:rsidR="004D608F" w:rsidRPr="4C0A0968">
        <w:t xml:space="preserve"> </w:t>
      </w:r>
      <w:r w:rsidR="00C21DE4" w:rsidRPr="4C0A0968">
        <w:t>$</w:t>
      </w:r>
      <w:r w:rsidR="00C21DE4">
        <w:rPr>
          <w:b/>
          <w:bCs/>
        </w:rPr>
        <w:t>redacted</w:t>
      </w:r>
      <w:r w:rsidR="00C21DE4" w:rsidRPr="4C0A0968" w:rsidDel="00401FD9">
        <w:t xml:space="preserve"> </w:t>
      </w:r>
      <w:r w:rsidR="004D608F" w:rsidRPr="4C0A0968">
        <w:t xml:space="preserve">in </w:t>
      </w:r>
      <w:r w:rsidR="00132ADE" w:rsidRPr="4C0A0968">
        <w:t>2025</w:t>
      </w:r>
      <w:r w:rsidR="004D608F" w:rsidRPr="4C0A0968">
        <w:t xml:space="preserve">, rising to </w:t>
      </w:r>
      <w:r w:rsidR="00C21DE4" w:rsidRPr="4C0A0968">
        <w:t>$</w:t>
      </w:r>
      <w:r w:rsidR="00C21DE4">
        <w:rPr>
          <w:b/>
          <w:bCs/>
        </w:rPr>
        <w:t>redacted</w:t>
      </w:r>
      <w:r w:rsidR="00C21DE4" w:rsidRPr="4C0A0968" w:rsidDel="00401FD9">
        <w:t xml:space="preserve"> </w:t>
      </w:r>
      <w:r w:rsidR="004D608F" w:rsidRPr="4C0A0968">
        <w:t xml:space="preserve">in </w:t>
      </w:r>
      <w:r w:rsidR="00132ADE" w:rsidRPr="4C0A0968">
        <w:t>2030</w:t>
      </w:r>
      <w:r w:rsidR="002C39CD" w:rsidRPr="4C0A0968">
        <w:t xml:space="preserve"> (</w:t>
      </w:r>
      <w:r>
        <w:fldChar w:fldCharType="begin"/>
      </w:r>
      <w:r>
        <w:instrText xml:space="preserve"> REF _Ref186730130 \h </w:instrText>
      </w:r>
      <w:r>
        <w:fldChar w:fldCharType="separate"/>
      </w:r>
      <w:r w:rsidR="00A74201">
        <w:t xml:space="preserve">Table </w:t>
      </w:r>
      <w:r w:rsidR="00A74201">
        <w:rPr>
          <w:noProof/>
        </w:rPr>
        <w:t>19</w:t>
      </w:r>
      <w:r>
        <w:fldChar w:fldCharType="end"/>
      </w:r>
      <w:r w:rsidR="002C39CD" w:rsidRPr="4C0A0968">
        <w:t>)</w:t>
      </w:r>
      <w:r w:rsidR="00132ADE" w:rsidRPr="4C0A0968">
        <w:t>.</w:t>
      </w:r>
      <w:r w:rsidR="00CC3521" w:rsidRPr="4C0A0968">
        <w:t xml:space="preserve"> </w:t>
      </w:r>
    </w:p>
    <w:p w14:paraId="261AEE1D" w14:textId="6CC01DEF" w:rsidR="004D608F" w:rsidRDefault="00CC3521" w:rsidP="0023288C">
      <w:pPr>
        <w:spacing w:before="0"/>
      </w:pPr>
      <w:r w:rsidRPr="4C0A0968">
        <w:t xml:space="preserve">The overall </w:t>
      </w:r>
      <w:r w:rsidR="006C08D0" w:rsidRPr="4C0A0968">
        <w:t xml:space="preserve">financial </w:t>
      </w:r>
      <w:r w:rsidRPr="4C0A0968">
        <w:t xml:space="preserve">impact to the healthcare system is projected to be </w:t>
      </w:r>
      <w:r w:rsidR="00C21DE4" w:rsidRPr="4C0A0968">
        <w:t>$</w:t>
      </w:r>
      <w:r w:rsidR="00C21DE4">
        <w:rPr>
          <w:b/>
          <w:bCs/>
        </w:rPr>
        <w:t>redacted</w:t>
      </w:r>
      <w:r w:rsidR="00C21DE4" w:rsidRPr="4C0A0968" w:rsidDel="00401FD9">
        <w:t xml:space="preserve"> </w:t>
      </w:r>
      <w:r w:rsidRPr="4C0A0968">
        <w:t xml:space="preserve">in 2025 to </w:t>
      </w:r>
      <w:r w:rsidR="00C21DE4" w:rsidRPr="4C0A0968">
        <w:t>$</w:t>
      </w:r>
      <w:r w:rsidR="00C21DE4">
        <w:rPr>
          <w:b/>
          <w:bCs/>
        </w:rPr>
        <w:t>redacted</w:t>
      </w:r>
      <w:r w:rsidR="00C21DE4" w:rsidRPr="4C0A0968" w:rsidDel="00401FD9">
        <w:t xml:space="preserve"> </w:t>
      </w:r>
      <w:r w:rsidR="006B3418" w:rsidRPr="4C0A0968">
        <w:t>in 2030</w:t>
      </w:r>
      <w:r w:rsidRPr="4C0A0968">
        <w:t>.</w:t>
      </w:r>
    </w:p>
    <w:p w14:paraId="7C1CBD67" w14:textId="12B86102" w:rsidR="00A4760A" w:rsidRDefault="00A4760A" w:rsidP="00603D0C">
      <w:pPr>
        <w:pStyle w:val="Caption"/>
        <w:keepLines/>
      </w:pPr>
      <w:bookmarkStart w:id="68" w:name="_Ref186730130"/>
      <w:r>
        <w:t xml:space="preserve">Table </w:t>
      </w:r>
      <w:r w:rsidR="00F71EE2">
        <w:fldChar w:fldCharType="begin"/>
      </w:r>
      <w:r w:rsidR="00F71EE2">
        <w:instrText xml:space="preserve"> SEQ Table \* ARABIC </w:instrText>
      </w:r>
      <w:r w:rsidR="00F71EE2">
        <w:fldChar w:fldCharType="separate"/>
      </w:r>
      <w:r w:rsidR="00F71EE2">
        <w:rPr>
          <w:noProof/>
        </w:rPr>
        <w:t>19</w:t>
      </w:r>
      <w:r w:rsidR="00F71EE2">
        <w:rPr>
          <w:noProof/>
        </w:rPr>
        <w:fldChar w:fldCharType="end"/>
      </w:r>
      <w:bookmarkEnd w:id="68"/>
      <w:r>
        <w:tab/>
        <w:t xml:space="preserve">Net financial implications of the proposed listing in terms of other hospital resources, </w:t>
      </w:r>
      <w:r w:rsidR="005220DE">
        <w:t>prosthesis costs and total impact to the Australian healthcare system</w:t>
      </w:r>
    </w:p>
    <w:tbl>
      <w:tblPr>
        <w:tblStyle w:val="TableGrid"/>
        <w:tblW w:w="0" w:type="auto"/>
        <w:tblLook w:val="04A0" w:firstRow="1" w:lastRow="0" w:firstColumn="1" w:lastColumn="0" w:noHBand="0" w:noVBand="1"/>
      </w:tblPr>
      <w:tblGrid>
        <w:gridCol w:w="2830"/>
        <w:gridCol w:w="1237"/>
        <w:gridCol w:w="1237"/>
        <w:gridCol w:w="1237"/>
        <w:gridCol w:w="1237"/>
        <w:gridCol w:w="1238"/>
      </w:tblGrid>
      <w:tr w:rsidR="005220DE" w:rsidRPr="005220DE" w14:paraId="064A98D1" w14:textId="77777777" w:rsidTr="4C0A0968">
        <w:trPr>
          <w:tblHeader/>
        </w:trPr>
        <w:tc>
          <w:tcPr>
            <w:tcW w:w="2830" w:type="dxa"/>
          </w:tcPr>
          <w:p w14:paraId="5A4D35D4" w14:textId="246D5D56" w:rsidR="00762D42" w:rsidRPr="009C553D" w:rsidRDefault="005220DE" w:rsidP="00603D0C">
            <w:pPr>
              <w:pStyle w:val="TableText"/>
              <w:keepNext/>
              <w:keepLines/>
              <w:rPr>
                <w:b/>
              </w:rPr>
            </w:pPr>
            <w:r>
              <w:rPr>
                <w:b/>
                <w:bCs/>
              </w:rPr>
              <w:t>Parameter</w:t>
            </w:r>
          </w:p>
        </w:tc>
        <w:tc>
          <w:tcPr>
            <w:tcW w:w="1237" w:type="dxa"/>
          </w:tcPr>
          <w:p w14:paraId="5F16FAAD" w14:textId="0664512D" w:rsidR="00762D42" w:rsidRPr="009C553D" w:rsidRDefault="00762D42" w:rsidP="00603D0C">
            <w:pPr>
              <w:pStyle w:val="TableText"/>
              <w:keepNext/>
              <w:keepLines/>
              <w:rPr>
                <w:b/>
              </w:rPr>
            </w:pPr>
            <w:r w:rsidRPr="009C553D">
              <w:rPr>
                <w:b/>
              </w:rPr>
              <w:t>Year 1</w:t>
            </w:r>
          </w:p>
        </w:tc>
        <w:tc>
          <w:tcPr>
            <w:tcW w:w="1237" w:type="dxa"/>
          </w:tcPr>
          <w:p w14:paraId="0F9BB7EF" w14:textId="049C089C" w:rsidR="00762D42" w:rsidRPr="009C553D" w:rsidRDefault="00762D42" w:rsidP="00603D0C">
            <w:pPr>
              <w:pStyle w:val="TableText"/>
              <w:keepNext/>
              <w:keepLines/>
              <w:rPr>
                <w:b/>
              </w:rPr>
            </w:pPr>
            <w:r w:rsidRPr="009C553D">
              <w:rPr>
                <w:b/>
              </w:rPr>
              <w:t>Year 2</w:t>
            </w:r>
          </w:p>
        </w:tc>
        <w:tc>
          <w:tcPr>
            <w:tcW w:w="1237" w:type="dxa"/>
          </w:tcPr>
          <w:p w14:paraId="63EC13AE" w14:textId="01CE185D" w:rsidR="00762D42" w:rsidRPr="009C553D" w:rsidRDefault="00762D42" w:rsidP="00603D0C">
            <w:pPr>
              <w:pStyle w:val="TableText"/>
              <w:keepNext/>
              <w:keepLines/>
              <w:rPr>
                <w:b/>
              </w:rPr>
            </w:pPr>
            <w:r w:rsidRPr="009C553D">
              <w:rPr>
                <w:b/>
              </w:rPr>
              <w:t>Year 3</w:t>
            </w:r>
          </w:p>
        </w:tc>
        <w:tc>
          <w:tcPr>
            <w:tcW w:w="1237" w:type="dxa"/>
          </w:tcPr>
          <w:p w14:paraId="72BBDB77" w14:textId="0916952F" w:rsidR="00762D42" w:rsidRPr="009C553D" w:rsidRDefault="00762D42" w:rsidP="00603D0C">
            <w:pPr>
              <w:pStyle w:val="TableText"/>
              <w:keepNext/>
              <w:keepLines/>
              <w:rPr>
                <w:b/>
              </w:rPr>
            </w:pPr>
            <w:r w:rsidRPr="009C553D">
              <w:rPr>
                <w:b/>
              </w:rPr>
              <w:t>Year 4</w:t>
            </w:r>
          </w:p>
        </w:tc>
        <w:tc>
          <w:tcPr>
            <w:tcW w:w="1238" w:type="dxa"/>
          </w:tcPr>
          <w:p w14:paraId="2BDF5B98" w14:textId="30AF74B0" w:rsidR="00762D42" w:rsidRPr="009C553D" w:rsidRDefault="00762D42" w:rsidP="00603D0C">
            <w:pPr>
              <w:pStyle w:val="TableText"/>
              <w:keepNext/>
              <w:keepLines/>
              <w:rPr>
                <w:b/>
              </w:rPr>
            </w:pPr>
            <w:r w:rsidRPr="009C553D">
              <w:rPr>
                <w:b/>
              </w:rPr>
              <w:t>Year 5</w:t>
            </w:r>
          </w:p>
        </w:tc>
      </w:tr>
      <w:tr w:rsidR="002E34B4" w14:paraId="0D3B7B31" w14:textId="77777777" w:rsidTr="4C0A0968">
        <w:tc>
          <w:tcPr>
            <w:tcW w:w="2830" w:type="dxa"/>
          </w:tcPr>
          <w:p w14:paraId="7ABF6BCC" w14:textId="606D6130" w:rsidR="00744F59" w:rsidRDefault="00744F59" w:rsidP="00603D0C">
            <w:pPr>
              <w:pStyle w:val="TableText"/>
              <w:keepNext/>
              <w:keepLines/>
            </w:pPr>
            <w:r>
              <w:t>Hospital costs with Micra AV</w:t>
            </w:r>
          </w:p>
        </w:tc>
        <w:tc>
          <w:tcPr>
            <w:tcW w:w="1237" w:type="dxa"/>
          </w:tcPr>
          <w:p w14:paraId="1C975BBC" w14:textId="1FB44643" w:rsidR="00744F59" w:rsidRPr="00B7630A" w:rsidRDefault="0089436B" w:rsidP="00603D0C">
            <w:pPr>
              <w:pStyle w:val="TableText"/>
              <w:keepNext/>
              <w:keepLines/>
              <w:rPr>
                <w:strike/>
              </w:rPr>
            </w:pPr>
            <w:r w:rsidRPr="007D60FE">
              <w:t>$</w:t>
            </w:r>
            <w:r w:rsidRPr="007D60FE">
              <w:rPr>
                <w:b/>
                <w:bCs/>
              </w:rPr>
              <w:t>redacted</w:t>
            </w:r>
            <w:r w:rsidRPr="0089436B" w:rsidDel="0089436B">
              <w:rPr>
                <w:strike/>
              </w:rPr>
              <w:t xml:space="preserve"> </w:t>
            </w:r>
          </w:p>
        </w:tc>
        <w:tc>
          <w:tcPr>
            <w:tcW w:w="1237" w:type="dxa"/>
          </w:tcPr>
          <w:p w14:paraId="75A7010D" w14:textId="569ACB75" w:rsidR="00744F59" w:rsidRPr="00B7630A" w:rsidRDefault="0089436B" w:rsidP="00603D0C">
            <w:pPr>
              <w:pStyle w:val="TableText"/>
              <w:keepNext/>
              <w:keepLines/>
              <w:rPr>
                <w:strike/>
              </w:rPr>
            </w:pPr>
            <w:r w:rsidRPr="007D60FE">
              <w:t>$</w:t>
            </w:r>
            <w:r w:rsidRPr="007D60FE">
              <w:rPr>
                <w:b/>
                <w:bCs/>
              </w:rPr>
              <w:t>redacted</w:t>
            </w:r>
            <w:r w:rsidRPr="0089436B" w:rsidDel="0089436B">
              <w:rPr>
                <w:strike/>
              </w:rPr>
              <w:t xml:space="preserve"> </w:t>
            </w:r>
          </w:p>
        </w:tc>
        <w:tc>
          <w:tcPr>
            <w:tcW w:w="1237" w:type="dxa"/>
          </w:tcPr>
          <w:p w14:paraId="22E0540C" w14:textId="00611009" w:rsidR="00744F59" w:rsidRPr="00B7630A" w:rsidRDefault="0089436B" w:rsidP="00603D0C">
            <w:pPr>
              <w:pStyle w:val="TableText"/>
              <w:keepNext/>
              <w:keepLines/>
              <w:rPr>
                <w:strike/>
              </w:rPr>
            </w:pPr>
            <w:r w:rsidRPr="007D60FE">
              <w:t>$</w:t>
            </w:r>
            <w:r w:rsidRPr="007D60FE">
              <w:rPr>
                <w:b/>
                <w:bCs/>
              </w:rPr>
              <w:t>redacted</w:t>
            </w:r>
            <w:r w:rsidRPr="0089436B" w:rsidDel="0089436B">
              <w:rPr>
                <w:strike/>
              </w:rPr>
              <w:t xml:space="preserve"> </w:t>
            </w:r>
          </w:p>
        </w:tc>
        <w:tc>
          <w:tcPr>
            <w:tcW w:w="1237" w:type="dxa"/>
          </w:tcPr>
          <w:p w14:paraId="130521CF" w14:textId="3B640E86" w:rsidR="00744F59" w:rsidRPr="00B7630A" w:rsidRDefault="0089436B" w:rsidP="00603D0C">
            <w:pPr>
              <w:pStyle w:val="TableText"/>
              <w:keepNext/>
              <w:keepLines/>
              <w:rPr>
                <w:strike/>
              </w:rPr>
            </w:pPr>
            <w:r w:rsidRPr="007D60FE">
              <w:t>$</w:t>
            </w:r>
            <w:r w:rsidRPr="007D60FE">
              <w:rPr>
                <w:b/>
                <w:bCs/>
              </w:rPr>
              <w:t>redacted</w:t>
            </w:r>
            <w:r w:rsidRPr="0089436B" w:rsidDel="0089436B">
              <w:rPr>
                <w:strike/>
              </w:rPr>
              <w:t xml:space="preserve"> </w:t>
            </w:r>
          </w:p>
        </w:tc>
        <w:tc>
          <w:tcPr>
            <w:tcW w:w="1238" w:type="dxa"/>
          </w:tcPr>
          <w:p w14:paraId="46EEC6AF" w14:textId="64321459" w:rsidR="00744F59" w:rsidRPr="00B7630A" w:rsidRDefault="0089436B" w:rsidP="00603D0C">
            <w:pPr>
              <w:pStyle w:val="TableText"/>
              <w:keepNext/>
              <w:keepLines/>
              <w:rPr>
                <w:strike/>
              </w:rPr>
            </w:pPr>
            <w:r w:rsidRPr="007D60FE">
              <w:t>$</w:t>
            </w:r>
            <w:r w:rsidRPr="007D60FE">
              <w:rPr>
                <w:b/>
                <w:bCs/>
              </w:rPr>
              <w:t>redacted</w:t>
            </w:r>
            <w:r w:rsidRPr="0089436B" w:rsidDel="0089436B">
              <w:rPr>
                <w:strike/>
              </w:rPr>
              <w:t xml:space="preserve"> </w:t>
            </w:r>
          </w:p>
        </w:tc>
      </w:tr>
      <w:tr w:rsidR="002E34B4" w14:paraId="0DF71409" w14:textId="77777777" w:rsidTr="4C0A0968">
        <w:tc>
          <w:tcPr>
            <w:tcW w:w="2830" w:type="dxa"/>
          </w:tcPr>
          <w:p w14:paraId="78E4CFE2" w14:textId="3D346ABD" w:rsidR="00744F59" w:rsidRDefault="00744F59" w:rsidP="00603D0C">
            <w:pPr>
              <w:pStyle w:val="TableText"/>
              <w:keepNext/>
              <w:keepLines/>
            </w:pPr>
            <w:r>
              <w:t>Change in hospital costs</w:t>
            </w:r>
          </w:p>
        </w:tc>
        <w:tc>
          <w:tcPr>
            <w:tcW w:w="1237" w:type="dxa"/>
          </w:tcPr>
          <w:p w14:paraId="7D080E01" w14:textId="6C926A00" w:rsidR="00744F59" w:rsidRPr="000305B3" w:rsidRDefault="0089436B" w:rsidP="00603D0C">
            <w:pPr>
              <w:pStyle w:val="TableText"/>
              <w:keepNext/>
              <w:keepLines/>
              <w:rPr>
                <w:strike/>
              </w:rPr>
            </w:pPr>
            <w:r w:rsidRPr="007D60FE">
              <w:t>$</w:t>
            </w:r>
            <w:r w:rsidRPr="007D60FE">
              <w:rPr>
                <w:b/>
                <w:bCs/>
              </w:rPr>
              <w:t>redacted</w:t>
            </w:r>
            <w:r w:rsidRPr="0089436B" w:rsidDel="0089436B">
              <w:rPr>
                <w:strike/>
              </w:rPr>
              <w:t xml:space="preserve"> </w:t>
            </w:r>
          </w:p>
        </w:tc>
        <w:tc>
          <w:tcPr>
            <w:tcW w:w="1237" w:type="dxa"/>
          </w:tcPr>
          <w:p w14:paraId="390E34C6" w14:textId="138636F7" w:rsidR="00744F59" w:rsidRPr="00B7630A" w:rsidRDefault="0089436B" w:rsidP="00603D0C">
            <w:pPr>
              <w:pStyle w:val="TableText"/>
              <w:keepNext/>
              <w:keepLines/>
              <w:rPr>
                <w:strike/>
              </w:rPr>
            </w:pPr>
            <w:r w:rsidRPr="007D60FE">
              <w:t>$</w:t>
            </w:r>
            <w:r w:rsidRPr="007D60FE">
              <w:rPr>
                <w:b/>
                <w:bCs/>
              </w:rPr>
              <w:t>redacted</w:t>
            </w:r>
            <w:r w:rsidRPr="0089436B" w:rsidDel="0089436B">
              <w:rPr>
                <w:strike/>
              </w:rPr>
              <w:t xml:space="preserve"> </w:t>
            </w:r>
          </w:p>
        </w:tc>
        <w:tc>
          <w:tcPr>
            <w:tcW w:w="1237" w:type="dxa"/>
          </w:tcPr>
          <w:p w14:paraId="710B65DF" w14:textId="6575D749" w:rsidR="00744F59" w:rsidRPr="000305B3" w:rsidRDefault="0089436B" w:rsidP="00603D0C">
            <w:pPr>
              <w:pStyle w:val="TableText"/>
              <w:keepNext/>
              <w:keepLines/>
              <w:rPr>
                <w:strike/>
              </w:rPr>
            </w:pPr>
            <w:r w:rsidRPr="007D60FE">
              <w:t>$</w:t>
            </w:r>
            <w:r w:rsidRPr="007D60FE">
              <w:rPr>
                <w:b/>
                <w:bCs/>
              </w:rPr>
              <w:t>redacted</w:t>
            </w:r>
            <w:r w:rsidRPr="0089436B" w:rsidDel="0089436B">
              <w:rPr>
                <w:strike/>
              </w:rPr>
              <w:t xml:space="preserve"> </w:t>
            </w:r>
          </w:p>
        </w:tc>
        <w:tc>
          <w:tcPr>
            <w:tcW w:w="1237" w:type="dxa"/>
          </w:tcPr>
          <w:p w14:paraId="5D5002F6" w14:textId="1461211F" w:rsidR="00744F59" w:rsidRPr="000305B3" w:rsidRDefault="0089436B" w:rsidP="00603D0C">
            <w:pPr>
              <w:pStyle w:val="TableText"/>
              <w:keepNext/>
              <w:keepLines/>
              <w:rPr>
                <w:strike/>
              </w:rPr>
            </w:pPr>
            <w:r w:rsidRPr="007D60FE">
              <w:t>$</w:t>
            </w:r>
            <w:r w:rsidRPr="007D60FE">
              <w:rPr>
                <w:b/>
                <w:bCs/>
              </w:rPr>
              <w:t>redacted</w:t>
            </w:r>
            <w:r w:rsidRPr="0089436B" w:rsidDel="0089436B">
              <w:rPr>
                <w:strike/>
              </w:rPr>
              <w:t xml:space="preserve"> </w:t>
            </w:r>
          </w:p>
        </w:tc>
        <w:tc>
          <w:tcPr>
            <w:tcW w:w="1238" w:type="dxa"/>
          </w:tcPr>
          <w:p w14:paraId="618E8762" w14:textId="1FF9E65A" w:rsidR="00744F59" w:rsidRPr="000305B3" w:rsidRDefault="0089436B" w:rsidP="00603D0C">
            <w:pPr>
              <w:pStyle w:val="TableText"/>
              <w:keepNext/>
              <w:keepLines/>
              <w:rPr>
                <w:strike/>
              </w:rPr>
            </w:pPr>
            <w:r w:rsidRPr="007D60FE">
              <w:t>$</w:t>
            </w:r>
            <w:r w:rsidRPr="007D60FE">
              <w:rPr>
                <w:b/>
                <w:bCs/>
              </w:rPr>
              <w:t>redacted</w:t>
            </w:r>
            <w:r w:rsidRPr="0089436B" w:rsidDel="0089436B">
              <w:rPr>
                <w:strike/>
              </w:rPr>
              <w:t xml:space="preserve"> </w:t>
            </w:r>
          </w:p>
        </w:tc>
      </w:tr>
      <w:tr w:rsidR="002E34B4" w14:paraId="468836B2" w14:textId="77777777" w:rsidTr="4C0A0968">
        <w:tc>
          <w:tcPr>
            <w:tcW w:w="2830" w:type="dxa"/>
          </w:tcPr>
          <w:p w14:paraId="19350020" w14:textId="0BAFB6E6" w:rsidR="00744F59" w:rsidRPr="009C553D" w:rsidRDefault="00744F59" w:rsidP="00603D0C">
            <w:pPr>
              <w:pStyle w:val="TableText"/>
              <w:keepNext/>
              <w:keepLines/>
              <w:rPr>
                <w:i/>
              </w:rPr>
            </w:pPr>
            <w:r w:rsidRPr="009C553D">
              <w:rPr>
                <w:i/>
              </w:rPr>
              <w:t>Net hospital costs</w:t>
            </w:r>
          </w:p>
        </w:tc>
        <w:tc>
          <w:tcPr>
            <w:tcW w:w="1237" w:type="dxa"/>
          </w:tcPr>
          <w:p w14:paraId="215295A8" w14:textId="7E2034B4" w:rsidR="00744F59" w:rsidRPr="009C553D" w:rsidRDefault="00744F59" w:rsidP="00603D0C">
            <w:pPr>
              <w:pStyle w:val="TableText"/>
              <w:keepNext/>
              <w:keepLines/>
              <w:rPr>
                <w:i/>
              </w:rPr>
            </w:pPr>
            <w:r w:rsidRPr="009C553D">
              <w:rPr>
                <w:i/>
              </w:rPr>
              <w:t>$0</w:t>
            </w:r>
          </w:p>
        </w:tc>
        <w:tc>
          <w:tcPr>
            <w:tcW w:w="1237" w:type="dxa"/>
          </w:tcPr>
          <w:p w14:paraId="78441330" w14:textId="3492E011" w:rsidR="00744F59" w:rsidRPr="009C553D" w:rsidRDefault="00744F59" w:rsidP="00603D0C">
            <w:pPr>
              <w:pStyle w:val="TableText"/>
              <w:keepNext/>
              <w:keepLines/>
              <w:rPr>
                <w:i/>
              </w:rPr>
            </w:pPr>
            <w:r w:rsidRPr="009C553D">
              <w:rPr>
                <w:i/>
              </w:rPr>
              <w:t>$0</w:t>
            </w:r>
          </w:p>
        </w:tc>
        <w:tc>
          <w:tcPr>
            <w:tcW w:w="1237" w:type="dxa"/>
          </w:tcPr>
          <w:p w14:paraId="66A10B60" w14:textId="01AABDA1" w:rsidR="00744F59" w:rsidRPr="009C553D" w:rsidRDefault="00744F59" w:rsidP="00603D0C">
            <w:pPr>
              <w:pStyle w:val="TableText"/>
              <w:keepNext/>
              <w:keepLines/>
              <w:rPr>
                <w:i/>
              </w:rPr>
            </w:pPr>
            <w:r w:rsidRPr="009C553D">
              <w:rPr>
                <w:i/>
              </w:rPr>
              <w:t>$0</w:t>
            </w:r>
          </w:p>
        </w:tc>
        <w:tc>
          <w:tcPr>
            <w:tcW w:w="1237" w:type="dxa"/>
          </w:tcPr>
          <w:p w14:paraId="4B3E544A" w14:textId="0E39679D" w:rsidR="00744F59" w:rsidRPr="009C553D" w:rsidRDefault="00744F59" w:rsidP="00603D0C">
            <w:pPr>
              <w:pStyle w:val="TableText"/>
              <w:keepNext/>
              <w:keepLines/>
              <w:rPr>
                <w:i/>
              </w:rPr>
            </w:pPr>
            <w:r w:rsidRPr="009C553D">
              <w:rPr>
                <w:i/>
              </w:rPr>
              <w:t>$0</w:t>
            </w:r>
          </w:p>
        </w:tc>
        <w:tc>
          <w:tcPr>
            <w:tcW w:w="1238" w:type="dxa"/>
          </w:tcPr>
          <w:p w14:paraId="313482BC" w14:textId="4B48A643" w:rsidR="00744F59" w:rsidRPr="009C553D" w:rsidRDefault="00744F59" w:rsidP="00603D0C">
            <w:pPr>
              <w:pStyle w:val="TableText"/>
              <w:keepNext/>
              <w:keepLines/>
              <w:rPr>
                <w:i/>
              </w:rPr>
            </w:pPr>
            <w:r w:rsidRPr="009C553D">
              <w:rPr>
                <w:i/>
              </w:rPr>
              <w:t>$0</w:t>
            </w:r>
          </w:p>
        </w:tc>
      </w:tr>
      <w:tr w:rsidR="002E34B4" w14:paraId="467A65E8" w14:textId="77777777" w:rsidTr="4C0A0968">
        <w:tc>
          <w:tcPr>
            <w:tcW w:w="2830" w:type="dxa"/>
          </w:tcPr>
          <w:p w14:paraId="72A720AE" w14:textId="566F6DE2" w:rsidR="00BE6805" w:rsidRDefault="00BE6805" w:rsidP="00603D0C">
            <w:pPr>
              <w:pStyle w:val="TableText"/>
              <w:keepNext/>
              <w:keepLines/>
            </w:pPr>
            <w:r>
              <w:t>Prosthesis costs with Micra AV</w:t>
            </w:r>
          </w:p>
        </w:tc>
        <w:tc>
          <w:tcPr>
            <w:tcW w:w="1237" w:type="dxa"/>
          </w:tcPr>
          <w:p w14:paraId="109DA122" w14:textId="1671ED9E" w:rsidR="00BE6805" w:rsidRPr="00B7630A" w:rsidRDefault="0089436B" w:rsidP="00603D0C">
            <w:pPr>
              <w:pStyle w:val="TableText"/>
              <w:keepNext/>
              <w:keepLines/>
              <w:rPr>
                <w:strike/>
              </w:rPr>
            </w:pPr>
            <w:r w:rsidRPr="007D60FE">
              <w:t>$</w:t>
            </w:r>
            <w:r w:rsidRPr="007D60FE">
              <w:rPr>
                <w:b/>
                <w:bCs/>
              </w:rPr>
              <w:t>redacted</w:t>
            </w:r>
            <w:r w:rsidRPr="0089436B" w:rsidDel="0089436B">
              <w:rPr>
                <w:strike/>
              </w:rPr>
              <w:t xml:space="preserve"> </w:t>
            </w:r>
          </w:p>
        </w:tc>
        <w:tc>
          <w:tcPr>
            <w:tcW w:w="1237" w:type="dxa"/>
          </w:tcPr>
          <w:p w14:paraId="0A3B5AD0" w14:textId="740158FC" w:rsidR="00BE6805" w:rsidRPr="00B7630A" w:rsidRDefault="0089436B" w:rsidP="00603D0C">
            <w:pPr>
              <w:pStyle w:val="TableText"/>
              <w:keepNext/>
              <w:keepLines/>
              <w:rPr>
                <w:strike/>
              </w:rPr>
            </w:pPr>
            <w:r w:rsidRPr="007D60FE">
              <w:t>$</w:t>
            </w:r>
            <w:r w:rsidRPr="007D60FE">
              <w:rPr>
                <w:b/>
                <w:bCs/>
              </w:rPr>
              <w:t>redacted</w:t>
            </w:r>
            <w:r w:rsidRPr="0089436B" w:rsidDel="0089436B">
              <w:rPr>
                <w:strike/>
              </w:rPr>
              <w:t xml:space="preserve"> </w:t>
            </w:r>
          </w:p>
        </w:tc>
        <w:tc>
          <w:tcPr>
            <w:tcW w:w="1237" w:type="dxa"/>
          </w:tcPr>
          <w:p w14:paraId="22179FA7" w14:textId="498F866E" w:rsidR="00BE6805" w:rsidRPr="00B7630A" w:rsidRDefault="0089436B" w:rsidP="00603D0C">
            <w:pPr>
              <w:pStyle w:val="TableText"/>
              <w:keepNext/>
              <w:keepLines/>
              <w:rPr>
                <w:strike/>
              </w:rPr>
            </w:pPr>
            <w:r w:rsidRPr="007D60FE">
              <w:t>$</w:t>
            </w:r>
            <w:r w:rsidRPr="007D60FE">
              <w:rPr>
                <w:b/>
                <w:bCs/>
              </w:rPr>
              <w:t>redacted</w:t>
            </w:r>
            <w:r w:rsidRPr="0089436B" w:rsidDel="0089436B">
              <w:rPr>
                <w:strike/>
              </w:rPr>
              <w:t xml:space="preserve"> </w:t>
            </w:r>
          </w:p>
        </w:tc>
        <w:tc>
          <w:tcPr>
            <w:tcW w:w="1237" w:type="dxa"/>
          </w:tcPr>
          <w:p w14:paraId="7F548515" w14:textId="5FD6DA79" w:rsidR="00BE6805" w:rsidRPr="00B7630A" w:rsidRDefault="0089436B" w:rsidP="00603D0C">
            <w:pPr>
              <w:pStyle w:val="TableText"/>
              <w:keepNext/>
              <w:keepLines/>
              <w:rPr>
                <w:strike/>
              </w:rPr>
            </w:pPr>
            <w:r w:rsidRPr="007D60FE">
              <w:t>$</w:t>
            </w:r>
            <w:r w:rsidRPr="007D60FE">
              <w:rPr>
                <w:b/>
                <w:bCs/>
              </w:rPr>
              <w:t>redacted</w:t>
            </w:r>
            <w:r w:rsidRPr="0089436B" w:rsidDel="0089436B">
              <w:rPr>
                <w:strike/>
              </w:rPr>
              <w:t xml:space="preserve"> </w:t>
            </w:r>
          </w:p>
        </w:tc>
        <w:tc>
          <w:tcPr>
            <w:tcW w:w="1238" w:type="dxa"/>
          </w:tcPr>
          <w:p w14:paraId="68827867" w14:textId="4EF41AF4" w:rsidR="00BE6805" w:rsidRPr="00B7630A" w:rsidRDefault="0089436B" w:rsidP="00603D0C">
            <w:pPr>
              <w:pStyle w:val="TableText"/>
              <w:keepNext/>
              <w:keepLines/>
              <w:rPr>
                <w:strike/>
              </w:rPr>
            </w:pPr>
            <w:r w:rsidRPr="007D60FE">
              <w:t>$</w:t>
            </w:r>
            <w:r w:rsidRPr="007D60FE">
              <w:rPr>
                <w:b/>
                <w:bCs/>
              </w:rPr>
              <w:t>redacted</w:t>
            </w:r>
            <w:r w:rsidRPr="0089436B" w:rsidDel="0089436B">
              <w:rPr>
                <w:strike/>
              </w:rPr>
              <w:t xml:space="preserve"> </w:t>
            </w:r>
          </w:p>
        </w:tc>
      </w:tr>
      <w:tr w:rsidR="002E34B4" w14:paraId="4994CF77" w14:textId="77777777" w:rsidTr="4C0A0968">
        <w:tc>
          <w:tcPr>
            <w:tcW w:w="2830" w:type="dxa"/>
          </w:tcPr>
          <w:p w14:paraId="13B0CAD2" w14:textId="00C1E5FC" w:rsidR="00BE6805" w:rsidRDefault="00BE6805" w:rsidP="00603D0C">
            <w:pPr>
              <w:pStyle w:val="TableText"/>
              <w:keepNext/>
              <w:keepLines/>
            </w:pPr>
            <w:r>
              <w:t>Change in prosthesis costs</w:t>
            </w:r>
          </w:p>
        </w:tc>
        <w:tc>
          <w:tcPr>
            <w:tcW w:w="1237" w:type="dxa"/>
          </w:tcPr>
          <w:p w14:paraId="00618A2C" w14:textId="137B651D" w:rsidR="00BE6805" w:rsidRDefault="0089436B" w:rsidP="00603D0C">
            <w:pPr>
              <w:pStyle w:val="TableText"/>
              <w:keepNext/>
              <w:keepLines/>
            </w:pPr>
            <w:r w:rsidRPr="007D60FE">
              <w:t>$</w:t>
            </w:r>
            <w:r w:rsidRPr="007D60FE">
              <w:rPr>
                <w:b/>
                <w:bCs/>
              </w:rPr>
              <w:t>redacted</w:t>
            </w:r>
            <w:r w:rsidRPr="00283556" w:rsidDel="00A2188A">
              <w:t xml:space="preserve"> </w:t>
            </w:r>
          </w:p>
        </w:tc>
        <w:tc>
          <w:tcPr>
            <w:tcW w:w="1237" w:type="dxa"/>
          </w:tcPr>
          <w:p w14:paraId="38FE7015" w14:textId="4E339E5F" w:rsidR="00BE6805" w:rsidRDefault="0089436B" w:rsidP="00603D0C">
            <w:pPr>
              <w:pStyle w:val="TableText"/>
              <w:keepNext/>
              <w:keepLines/>
            </w:pPr>
            <w:r w:rsidRPr="007D60FE">
              <w:t>$</w:t>
            </w:r>
            <w:r w:rsidRPr="007D60FE">
              <w:rPr>
                <w:b/>
                <w:bCs/>
              </w:rPr>
              <w:t>redacted</w:t>
            </w:r>
            <w:r w:rsidRPr="00283556" w:rsidDel="00A2188A">
              <w:t xml:space="preserve"> </w:t>
            </w:r>
          </w:p>
        </w:tc>
        <w:tc>
          <w:tcPr>
            <w:tcW w:w="1237" w:type="dxa"/>
          </w:tcPr>
          <w:p w14:paraId="141EB504" w14:textId="7AEF65AF" w:rsidR="00BE6805" w:rsidRDefault="0089436B" w:rsidP="00603D0C">
            <w:pPr>
              <w:pStyle w:val="TableText"/>
              <w:keepNext/>
              <w:keepLines/>
            </w:pPr>
            <w:r w:rsidRPr="007D60FE">
              <w:t>$</w:t>
            </w:r>
            <w:r w:rsidRPr="007D60FE">
              <w:rPr>
                <w:b/>
                <w:bCs/>
              </w:rPr>
              <w:t>redacted</w:t>
            </w:r>
            <w:r w:rsidRPr="00283556" w:rsidDel="00A2188A">
              <w:t xml:space="preserve"> </w:t>
            </w:r>
          </w:p>
        </w:tc>
        <w:tc>
          <w:tcPr>
            <w:tcW w:w="1237" w:type="dxa"/>
          </w:tcPr>
          <w:p w14:paraId="79132514" w14:textId="78051DCC" w:rsidR="00BE6805" w:rsidRDefault="0089436B" w:rsidP="00603D0C">
            <w:pPr>
              <w:pStyle w:val="TableText"/>
              <w:keepNext/>
              <w:keepLines/>
            </w:pPr>
            <w:r w:rsidRPr="007D60FE">
              <w:t>$</w:t>
            </w:r>
            <w:r w:rsidRPr="007D60FE">
              <w:rPr>
                <w:b/>
                <w:bCs/>
              </w:rPr>
              <w:t>redacted</w:t>
            </w:r>
            <w:r w:rsidRPr="00283556" w:rsidDel="00A2188A">
              <w:t xml:space="preserve"> </w:t>
            </w:r>
          </w:p>
        </w:tc>
        <w:tc>
          <w:tcPr>
            <w:tcW w:w="1238" w:type="dxa"/>
          </w:tcPr>
          <w:p w14:paraId="6E826D2B" w14:textId="2961E6B8" w:rsidR="00BE6805" w:rsidRDefault="0089436B" w:rsidP="00603D0C">
            <w:pPr>
              <w:pStyle w:val="TableText"/>
              <w:keepNext/>
              <w:keepLines/>
            </w:pPr>
            <w:r w:rsidRPr="007D60FE">
              <w:t>$</w:t>
            </w:r>
            <w:r w:rsidRPr="007D60FE">
              <w:rPr>
                <w:b/>
                <w:bCs/>
              </w:rPr>
              <w:t>redacted</w:t>
            </w:r>
            <w:r w:rsidRPr="00283556" w:rsidDel="00A2188A">
              <w:t xml:space="preserve"> </w:t>
            </w:r>
          </w:p>
        </w:tc>
      </w:tr>
      <w:tr w:rsidR="002E34B4" w14:paraId="34E08DBD" w14:textId="77777777" w:rsidTr="4C0A0968">
        <w:tc>
          <w:tcPr>
            <w:tcW w:w="2830" w:type="dxa"/>
          </w:tcPr>
          <w:p w14:paraId="34B81FDA" w14:textId="09FC8CCA" w:rsidR="00BE6805" w:rsidRPr="009C553D" w:rsidRDefault="00BE6805" w:rsidP="00603D0C">
            <w:pPr>
              <w:pStyle w:val="TableText"/>
              <w:keepNext/>
              <w:keepLines/>
              <w:rPr>
                <w:i/>
              </w:rPr>
            </w:pPr>
            <w:r w:rsidRPr="009C553D">
              <w:rPr>
                <w:i/>
              </w:rPr>
              <w:t>Net prosthesis costs</w:t>
            </w:r>
          </w:p>
        </w:tc>
        <w:tc>
          <w:tcPr>
            <w:tcW w:w="1237" w:type="dxa"/>
          </w:tcPr>
          <w:p w14:paraId="16AAAEC9" w14:textId="6A67E45B" w:rsidR="00BE6805" w:rsidRPr="009C553D" w:rsidRDefault="0089436B" w:rsidP="00603D0C">
            <w:pPr>
              <w:pStyle w:val="TableText"/>
              <w:keepNext/>
              <w:keepLines/>
              <w:rPr>
                <w:i/>
              </w:rPr>
            </w:pPr>
            <w:r w:rsidRPr="007D60FE">
              <w:t>$</w:t>
            </w:r>
            <w:r w:rsidRPr="007D60FE">
              <w:rPr>
                <w:b/>
                <w:bCs/>
              </w:rPr>
              <w:t>redacted</w:t>
            </w:r>
            <w:r w:rsidRPr="009C553D" w:rsidDel="00A2188A">
              <w:rPr>
                <w:i/>
              </w:rPr>
              <w:t xml:space="preserve"> </w:t>
            </w:r>
          </w:p>
        </w:tc>
        <w:tc>
          <w:tcPr>
            <w:tcW w:w="1237" w:type="dxa"/>
          </w:tcPr>
          <w:p w14:paraId="2D001E87" w14:textId="6A928AF3" w:rsidR="00BE6805" w:rsidRPr="009C553D" w:rsidRDefault="0089436B" w:rsidP="00603D0C">
            <w:pPr>
              <w:pStyle w:val="TableText"/>
              <w:keepNext/>
              <w:keepLines/>
              <w:rPr>
                <w:i/>
              </w:rPr>
            </w:pPr>
            <w:r w:rsidRPr="007D60FE">
              <w:t>$</w:t>
            </w:r>
            <w:r w:rsidRPr="007D60FE">
              <w:rPr>
                <w:b/>
                <w:bCs/>
              </w:rPr>
              <w:t>redacted</w:t>
            </w:r>
            <w:r w:rsidRPr="009C553D" w:rsidDel="00A2188A">
              <w:rPr>
                <w:i/>
              </w:rPr>
              <w:t xml:space="preserve"> </w:t>
            </w:r>
          </w:p>
        </w:tc>
        <w:tc>
          <w:tcPr>
            <w:tcW w:w="1237" w:type="dxa"/>
          </w:tcPr>
          <w:p w14:paraId="789FDBC9" w14:textId="296C67A5" w:rsidR="00BE6805" w:rsidRPr="009C553D" w:rsidRDefault="0089436B" w:rsidP="00603D0C">
            <w:pPr>
              <w:pStyle w:val="TableText"/>
              <w:keepNext/>
              <w:keepLines/>
              <w:rPr>
                <w:i/>
              </w:rPr>
            </w:pPr>
            <w:r w:rsidRPr="007D60FE">
              <w:t>$</w:t>
            </w:r>
            <w:r w:rsidRPr="007D60FE">
              <w:rPr>
                <w:b/>
                <w:bCs/>
              </w:rPr>
              <w:t>redacted</w:t>
            </w:r>
            <w:r w:rsidRPr="009C553D" w:rsidDel="00A2188A">
              <w:rPr>
                <w:i/>
              </w:rPr>
              <w:t xml:space="preserve"> </w:t>
            </w:r>
          </w:p>
        </w:tc>
        <w:tc>
          <w:tcPr>
            <w:tcW w:w="1237" w:type="dxa"/>
          </w:tcPr>
          <w:p w14:paraId="27BF9772" w14:textId="60B8A0D3" w:rsidR="00BE6805" w:rsidRPr="009C553D" w:rsidRDefault="0089436B" w:rsidP="00603D0C">
            <w:pPr>
              <w:pStyle w:val="TableText"/>
              <w:keepNext/>
              <w:keepLines/>
              <w:rPr>
                <w:i/>
              </w:rPr>
            </w:pPr>
            <w:r w:rsidRPr="007D60FE">
              <w:t>$</w:t>
            </w:r>
            <w:r w:rsidRPr="007D60FE">
              <w:rPr>
                <w:b/>
                <w:bCs/>
              </w:rPr>
              <w:t>redacted</w:t>
            </w:r>
            <w:r w:rsidRPr="009C553D" w:rsidDel="00A2188A">
              <w:rPr>
                <w:i/>
              </w:rPr>
              <w:t xml:space="preserve"> </w:t>
            </w:r>
          </w:p>
        </w:tc>
        <w:tc>
          <w:tcPr>
            <w:tcW w:w="1238" w:type="dxa"/>
          </w:tcPr>
          <w:p w14:paraId="7C21B9C4" w14:textId="5C075633" w:rsidR="00BE6805" w:rsidRPr="009C553D" w:rsidRDefault="0089436B" w:rsidP="00603D0C">
            <w:pPr>
              <w:pStyle w:val="TableText"/>
              <w:keepNext/>
              <w:keepLines/>
              <w:rPr>
                <w:i/>
              </w:rPr>
            </w:pPr>
            <w:r w:rsidRPr="007D60FE">
              <w:t>$</w:t>
            </w:r>
            <w:r w:rsidRPr="007D60FE">
              <w:rPr>
                <w:b/>
                <w:bCs/>
              </w:rPr>
              <w:t>redacted</w:t>
            </w:r>
            <w:r w:rsidRPr="009C553D" w:rsidDel="00A2188A">
              <w:rPr>
                <w:i/>
              </w:rPr>
              <w:t xml:space="preserve"> </w:t>
            </w:r>
          </w:p>
        </w:tc>
      </w:tr>
      <w:tr w:rsidR="002E34B4" w14:paraId="37DED417" w14:textId="77777777" w:rsidTr="4C0A0968">
        <w:tc>
          <w:tcPr>
            <w:tcW w:w="2830" w:type="dxa"/>
          </w:tcPr>
          <w:p w14:paraId="25AA571D" w14:textId="2F6882D7" w:rsidR="00B57EAD" w:rsidRPr="009C553D" w:rsidRDefault="00B57EAD" w:rsidP="00603D0C">
            <w:pPr>
              <w:pStyle w:val="TableText"/>
              <w:keepNext/>
              <w:keepLines/>
              <w:rPr>
                <w:b/>
                <w:bCs/>
              </w:rPr>
            </w:pPr>
            <w:r w:rsidRPr="4C0A0968">
              <w:rPr>
                <w:b/>
                <w:bCs/>
              </w:rPr>
              <w:t>Overall net financial impact to Australian healthcare system</w:t>
            </w:r>
          </w:p>
        </w:tc>
        <w:tc>
          <w:tcPr>
            <w:tcW w:w="1237" w:type="dxa"/>
          </w:tcPr>
          <w:p w14:paraId="12DCCA01" w14:textId="14056EBA" w:rsidR="00B57EAD" w:rsidRPr="00FF4755" w:rsidRDefault="0089436B" w:rsidP="00603D0C">
            <w:pPr>
              <w:pStyle w:val="TableText"/>
              <w:keepNext/>
              <w:keepLines/>
              <w:rPr>
                <w:b/>
                <w:bCs/>
              </w:rPr>
            </w:pPr>
            <w:r w:rsidRPr="00B7630A">
              <w:rPr>
                <w:b/>
                <w:bCs/>
              </w:rPr>
              <w:t>$</w:t>
            </w:r>
            <w:r w:rsidRPr="00FF4755">
              <w:rPr>
                <w:b/>
                <w:bCs/>
              </w:rPr>
              <w:t>redacted</w:t>
            </w:r>
            <w:r w:rsidRPr="00FF4755" w:rsidDel="00A2188A">
              <w:rPr>
                <w:b/>
                <w:bCs/>
              </w:rPr>
              <w:t xml:space="preserve"> </w:t>
            </w:r>
          </w:p>
        </w:tc>
        <w:tc>
          <w:tcPr>
            <w:tcW w:w="1237" w:type="dxa"/>
          </w:tcPr>
          <w:p w14:paraId="3B3E535E" w14:textId="15A3FD64" w:rsidR="00B57EAD" w:rsidRPr="00FF4755" w:rsidRDefault="0089436B" w:rsidP="00603D0C">
            <w:pPr>
              <w:pStyle w:val="TableText"/>
              <w:keepNext/>
              <w:keepLines/>
              <w:rPr>
                <w:b/>
                <w:bCs/>
              </w:rPr>
            </w:pPr>
            <w:r w:rsidRPr="00B7630A">
              <w:rPr>
                <w:b/>
                <w:bCs/>
              </w:rPr>
              <w:t>$</w:t>
            </w:r>
            <w:r w:rsidRPr="00FF4755">
              <w:rPr>
                <w:b/>
                <w:bCs/>
              </w:rPr>
              <w:t>redacted</w:t>
            </w:r>
            <w:r w:rsidRPr="00FF4755" w:rsidDel="00A2188A">
              <w:rPr>
                <w:b/>
                <w:bCs/>
              </w:rPr>
              <w:t xml:space="preserve"> </w:t>
            </w:r>
          </w:p>
        </w:tc>
        <w:tc>
          <w:tcPr>
            <w:tcW w:w="1237" w:type="dxa"/>
          </w:tcPr>
          <w:p w14:paraId="6111102B" w14:textId="0DDB871D" w:rsidR="00B57EAD" w:rsidRPr="00FF4755" w:rsidRDefault="0089436B" w:rsidP="00603D0C">
            <w:pPr>
              <w:pStyle w:val="TableText"/>
              <w:keepNext/>
              <w:keepLines/>
              <w:rPr>
                <w:b/>
                <w:bCs/>
              </w:rPr>
            </w:pPr>
            <w:r w:rsidRPr="00B7630A">
              <w:rPr>
                <w:b/>
                <w:bCs/>
              </w:rPr>
              <w:t>$</w:t>
            </w:r>
            <w:r w:rsidRPr="00FF4755">
              <w:rPr>
                <w:b/>
                <w:bCs/>
              </w:rPr>
              <w:t>redacted</w:t>
            </w:r>
            <w:r w:rsidRPr="00FF4755" w:rsidDel="00A2188A">
              <w:rPr>
                <w:b/>
                <w:bCs/>
              </w:rPr>
              <w:t xml:space="preserve"> </w:t>
            </w:r>
          </w:p>
        </w:tc>
        <w:tc>
          <w:tcPr>
            <w:tcW w:w="1237" w:type="dxa"/>
          </w:tcPr>
          <w:p w14:paraId="66A62559" w14:textId="46D061DE" w:rsidR="00B57EAD" w:rsidRPr="00FF4755" w:rsidRDefault="0089436B" w:rsidP="00603D0C">
            <w:pPr>
              <w:pStyle w:val="TableText"/>
              <w:keepNext/>
              <w:keepLines/>
              <w:rPr>
                <w:b/>
                <w:bCs/>
              </w:rPr>
            </w:pPr>
            <w:r w:rsidRPr="00B7630A">
              <w:rPr>
                <w:b/>
                <w:bCs/>
              </w:rPr>
              <w:t>$</w:t>
            </w:r>
            <w:r w:rsidRPr="00FF4755">
              <w:rPr>
                <w:b/>
                <w:bCs/>
              </w:rPr>
              <w:t>redacted</w:t>
            </w:r>
            <w:r w:rsidRPr="00FF4755" w:rsidDel="00A2188A">
              <w:rPr>
                <w:b/>
                <w:bCs/>
              </w:rPr>
              <w:t xml:space="preserve"> </w:t>
            </w:r>
          </w:p>
        </w:tc>
        <w:tc>
          <w:tcPr>
            <w:tcW w:w="1238" w:type="dxa"/>
          </w:tcPr>
          <w:p w14:paraId="0EF3BE79" w14:textId="73CAFC34" w:rsidR="00B57EAD" w:rsidRPr="00FF4755" w:rsidRDefault="0089436B" w:rsidP="00603D0C">
            <w:pPr>
              <w:pStyle w:val="TableText"/>
              <w:keepNext/>
              <w:keepLines/>
              <w:rPr>
                <w:b/>
                <w:bCs/>
              </w:rPr>
            </w:pPr>
            <w:r w:rsidRPr="00B7630A">
              <w:rPr>
                <w:b/>
                <w:bCs/>
              </w:rPr>
              <w:t>$</w:t>
            </w:r>
            <w:r w:rsidRPr="00FF4755">
              <w:rPr>
                <w:b/>
                <w:bCs/>
              </w:rPr>
              <w:t>redacted</w:t>
            </w:r>
            <w:r w:rsidRPr="00FF4755" w:rsidDel="00A2188A">
              <w:rPr>
                <w:b/>
                <w:bCs/>
              </w:rPr>
              <w:t xml:space="preserve"> </w:t>
            </w:r>
          </w:p>
        </w:tc>
      </w:tr>
    </w:tbl>
    <w:p w14:paraId="1DA7DC4A" w14:textId="77777777" w:rsidR="00F47F6E" w:rsidRDefault="00F47F6E" w:rsidP="00603D0C">
      <w:pPr>
        <w:pStyle w:val="TableFigureFooter"/>
        <w:keepNext/>
        <w:keepLines/>
        <w:spacing w:before="40" w:after="40"/>
        <w:rPr>
          <w:b/>
          <w:bCs/>
          <w:u w:val="single"/>
        </w:rPr>
      </w:pPr>
      <w:r w:rsidRPr="00E070E0">
        <w:rPr>
          <w:b/>
          <w:bCs/>
          <w:u w:val="single"/>
        </w:rPr>
        <w:t>Notes</w:t>
      </w:r>
    </w:p>
    <w:p w14:paraId="5A76FB62" w14:textId="3DA9C460" w:rsidR="001F2A82" w:rsidRPr="00954191" w:rsidRDefault="001F2A82" w:rsidP="00603D0C">
      <w:pPr>
        <w:pStyle w:val="TableFigureFooter"/>
        <w:keepNext/>
        <w:keepLines/>
        <w:contextualSpacing/>
      </w:pPr>
      <w:r w:rsidRPr="4C0A0968">
        <w:t xml:space="preserve">Compiled during the commentary using data from Table </w:t>
      </w:r>
      <w:r w:rsidR="000E51B2" w:rsidRPr="4C0A0968">
        <w:t>65, Table 66</w:t>
      </w:r>
      <w:r w:rsidRPr="4C0A0968">
        <w:t xml:space="preserve"> and Table 67 of the ADAR.</w:t>
      </w:r>
    </w:p>
    <w:p w14:paraId="7F9BCD62" w14:textId="5A9467B1" w:rsidR="008109C8" w:rsidRPr="009C553D" w:rsidRDefault="00A97A11" w:rsidP="009C553D">
      <w:r w:rsidRPr="4C0A0968">
        <w:t>In summary, t</w:t>
      </w:r>
      <w:r w:rsidR="00CC7C19" w:rsidRPr="4C0A0968">
        <w:t xml:space="preserve">he financial impact of the Micra AV </w:t>
      </w:r>
      <w:r w:rsidR="00B61C72">
        <w:t>on</w:t>
      </w:r>
      <w:r w:rsidR="00CC7C19" w:rsidRPr="4C0A0968">
        <w:t xml:space="preserve"> </w:t>
      </w:r>
      <w:r w:rsidRPr="4C0A0968">
        <w:t xml:space="preserve">the </w:t>
      </w:r>
      <w:r w:rsidR="00CC7C19" w:rsidRPr="4C0A0968">
        <w:t xml:space="preserve">MBS was estimated to be </w:t>
      </w:r>
      <w:proofErr w:type="gramStart"/>
      <w:r w:rsidR="00CC7C19" w:rsidRPr="4C0A0968">
        <w:t>cost</w:t>
      </w:r>
      <w:r w:rsidR="00B61C72">
        <w:t>-</w:t>
      </w:r>
      <w:r w:rsidR="00CC7C19" w:rsidRPr="4C0A0968">
        <w:t>saving</w:t>
      </w:r>
      <w:proofErr w:type="gramEnd"/>
      <w:r w:rsidR="00CC7C19" w:rsidRPr="4C0A0968">
        <w:t xml:space="preserve">. However, the amount of cost savings is uncertain. </w:t>
      </w:r>
      <w:r w:rsidR="008109C8" w:rsidRPr="4C0A0968">
        <w:t xml:space="preserve">Overall, the major concerns include </w:t>
      </w:r>
      <w:r w:rsidR="00B61C72">
        <w:t xml:space="preserve">an </w:t>
      </w:r>
      <w:r w:rsidR="008109C8" w:rsidRPr="4C0A0968">
        <w:t xml:space="preserve">underestimated number of eligible patients, overestimated Year 1 </w:t>
      </w:r>
      <w:r w:rsidR="005802B0" w:rsidRPr="4C0A0968">
        <w:t>up</w:t>
      </w:r>
      <w:r w:rsidR="008109C8" w:rsidRPr="4C0A0968">
        <w:t xml:space="preserve">take, high uncertainty </w:t>
      </w:r>
      <w:r w:rsidR="00D95AB9" w:rsidRPr="4C0A0968">
        <w:t xml:space="preserve">in the </w:t>
      </w:r>
      <w:r w:rsidR="008109C8" w:rsidRPr="4C0A0968">
        <w:t xml:space="preserve">Year 6 </w:t>
      </w:r>
      <w:r w:rsidR="00D95AB9" w:rsidRPr="4C0A0968">
        <w:t>uptake</w:t>
      </w:r>
      <w:r w:rsidR="008109C8" w:rsidRPr="4C0A0968">
        <w:t>,</w:t>
      </w:r>
      <w:r w:rsidR="00A74201">
        <w:t xml:space="preserve"> </w:t>
      </w:r>
      <w:r w:rsidR="008109C8" w:rsidRPr="4C0A0968">
        <w:t xml:space="preserve">uncertainty of costs for </w:t>
      </w:r>
      <w:r w:rsidR="001A6189" w:rsidRPr="4C0A0968">
        <w:t xml:space="preserve">managing </w:t>
      </w:r>
      <w:r w:rsidR="008109C8" w:rsidRPr="4C0A0968">
        <w:t>complications</w:t>
      </w:r>
      <w:r w:rsidR="005802B0" w:rsidRPr="4C0A0968">
        <w:t>,</w:t>
      </w:r>
      <w:r w:rsidR="008109C8" w:rsidRPr="4C0A0968">
        <w:t xml:space="preserve"> and </w:t>
      </w:r>
      <w:r w:rsidR="00102406" w:rsidRPr="4C0A0968">
        <w:t xml:space="preserve">uncertainty of future </w:t>
      </w:r>
      <w:r w:rsidR="008109C8" w:rsidRPr="4C0A0968">
        <w:t>explantation</w:t>
      </w:r>
      <w:r w:rsidR="00DF7E60" w:rsidRPr="4C0A0968">
        <w:t xml:space="preserve"> costs</w:t>
      </w:r>
      <w:r w:rsidR="008109C8" w:rsidRPr="4C0A0968">
        <w:t>.</w:t>
      </w:r>
    </w:p>
    <w:p w14:paraId="7838A9FF" w14:textId="00B09AB3" w:rsidR="00772829" w:rsidRPr="00CE28E3" w:rsidRDefault="00772829" w:rsidP="004167A0">
      <w:pPr>
        <w:pStyle w:val="Heading2"/>
        <w:numPr>
          <w:ilvl w:val="0"/>
          <w:numId w:val="27"/>
        </w:numPr>
        <w:ind w:hanging="720"/>
      </w:pPr>
      <w:bookmarkStart w:id="69" w:name="_Toc69491427"/>
      <w:r w:rsidRPr="00CE28E3">
        <w:t xml:space="preserve">Other relevant </w:t>
      </w:r>
      <w:bookmarkEnd w:id="69"/>
      <w:r w:rsidR="00FA5766">
        <w:t>information</w:t>
      </w:r>
    </w:p>
    <w:p w14:paraId="4B8005A8" w14:textId="405D57ED" w:rsidR="000E7810" w:rsidRDefault="0055204C" w:rsidP="000E7810">
      <w:bookmarkStart w:id="70" w:name="_Toc69491428"/>
      <w:r>
        <w:t>Nil.</w:t>
      </w:r>
      <w:bookmarkEnd w:id="70"/>
    </w:p>
    <w:p w14:paraId="54F44812" w14:textId="720F4F06" w:rsidR="004167A0" w:rsidRDefault="004167A0" w:rsidP="004167A0">
      <w:pPr>
        <w:pStyle w:val="Heading2"/>
        <w:numPr>
          <w:ilvl w:val="0"/>
          <w:numId w:val="27"/>
        </w:numPr>
        <w:ind w:hanging="720"/>
      </w:pPr>
      <w:bookmarkStart w:id="71" w:name="_Toc145678765"/>
      <w:bookmarkStart w:id="72" w:name="_Toc150172410"/>
      <w:bookmarkStart w:id="73" w:name="_Toc153462785"/>
      <w:r w:rsidRPr="003A793E">
        <w:t>Key issues from ESC to MSAC</w:t>
      </w:r>
      <w:bookmarkEnd w:id="71"/>
      <w:bookmarkEnd w:id="72"/>
      <w:bookmarkEnd w:id="73"/>
    </w:p>
    <w:p w14:paraId="58089737" w14:textId="77777777" w:rsidR="004167A0" w:rsidRPr="001322DD" w:rsidRDefault="004167A0" w:rsidP="004167A0">
      <w:pPr>
        <w:pStyle w:val="BoxName0"/>
      </w:pPr>
      <w:r w:rsidRPr="4C0A0968">
        <w:t>Main issues for MSAC consideration</w:t>
      </w:r>
    </w:p>
    <w:p w14:paraId="5C9E0D31" w14:textId="77777777" w:rsidR="004167A0" w:rsidRPr="001322DD" w:rsidRDefault="004167A0" w:rsidP="004167A0">
      <w:pPr>
        <w:pStyle w:val="BoxName0"/>
      </w:pPr>
      <w:r w:rsidRPr="001322DD">
        <w:t>Clinical issues:</w:t>
      </w:r>
    </w:p>
    <w:p w14:paraId="366D0670" w14:textId="77777777" w:rsidR="004167A0" w:rsidRPr="00AC573E" w:rsidRDefault="004167A0" w:rsidP="004167A0">
      <w:pPr>
        <w:pStyle w:val="BoxBullet"/>
        <w:rPr>
          <w:b/>
          <w:bCs/>
        </w:rPr>
      </w:pPr>
      <w:r w:rsidRPr="4C0A0968">
        <w:t xml:space="preserve">The criteria for the eligible population should be more accurately defined, as well as the degree of </w:t>
      </w:r>
      <w:r>
        <w:t>atrioventricular synchrony (</w:t>
      </w:r>
      <w:r w:rsidRPr="4C0A0968">
        <w:t>AVS</w:t>
      </w:r>
      <w:r>
        <w:t>)</w:t>
      </w:r>
      <w:r w:rsidRPr="4C0A0968">
        <w:t xml:space="preserve"> required vs ventricular pacing. Expert consensus is required to determine whether the population should be limited to patients in sinus rhythm, as this device can potentially be used for </w:t>
      </w:r>
      <w:r>
        <w:t xml:space="preserve">patients with </w:t>
      </w:r>
      <w:r w:rsidRPr="4C0A0968">
        <w:t xml:space="preserve">paroxysmal </w:t>
      </w:r>
      <w:r>
        <w:t>atrial fibrillation (</w:t>
      </w:r>
      <w:r w:rsidRPr="4C0A0968">
        <w:t>AF</w:t>
      </w:r>
      <w:r>
        <w:t>)</w:t>
      </w:r>
      <w:r w:rsidRPr="4C0A0968">
        <w:t xml:space="preserve"> or </w:t>
      </w:r>
      <w:r>
        <w:t>patients with</w:t>
      </w:r>
      <w:r w:rsidRPr="4C0A0968">
        <w:t xml:space="preserve"> AF awaiting reversion to sinus rhythm.</w:t>
      </w:r>
    </w:p>
    <w:p w14:paraId="0F9CD746" w14:textId="77777777" w:rsidR="004167A0" w:rsidRDefault="004167A0" w:rsidP="004167A0">
      <w:pPr>
        <w:pStyle w:val="BoxBullet"/>
      </w:pPr>
      <w:r>
        <w:t>There was n</w:t>
      </w:r>
      <w:r w:rsidRPr="4C0A0968">
        <w:t xml:space="preserve">o </w:t>
      </w:r>
      <w:r>
        <w:t xml:space="preserve">clinical </w:t>
      </w:r>
      <w:r w:rsidRPr="4C0A0968">
        <w:t xml:space="preserve">comparison </w:t>
      </w:r>
      <w:r>
        <w:t>presented</w:t>
      </w:r>
      <w:r w:rsidRPr="4C0A0968">
        <w:t xml:space="preserve"> </w:t>
      </w:r>
      <w:r>
        <w:t xml:space="preserve">between the proposed intervention, </w:t>
      </w:r>
      <w:r w:rsidRPr="4C0A0968">
        <w:t>Micra™ AV</w:t>
      </w:r>
      <w:r>
        <w:t xml:space="preserve"> (atrioventricular), and the PASC-nominated secondary comparator relevant for some of the population, </w:t>
      </w:r>
      <w:r w:rsidRPr="4C0A0968">
        <w:t>Micra™ VR</w:t>
      </w:r>
      <w:r>
        <w:t xml:space="preserve"> (ventricular), to enable an </w:t>
      </w:r>
      <w:r w:rsidRPr="009E7002">
        <w:t>assessment of the</w:t>
      </w:r>
      <w:r>
        <w:t>ir</w:t>
      </w:r>
      <w:r w:rsidRPr="009E7002">
        <w:t xml:space="preserve"> </w:t>
      </w:r>
      <w:r>
        <w:t xml:space="preserve">comparative </w:t>
      </w:r>
      <w:r w:rsidRPr="009E7002">
        <w:t>safety</w:t>
      </w:r>
      <w:r>
        <w:t xml:space="preserve"> and</w:t>
      </w:r>
      <w:r w:rsidRPr="009E7002">
        <w:t xml:space="preserve"> clinical effectiveness</w:t>
      </w:r>
      <w:r w:rsidRPr="4C0A0968">
        <w:t xml:space="preserve">. </w:t>
      </w:r>
      <w:r>
        <w:t>ESC considered that additional data to make this comparison would be necessary to justify the greater Prescribed List (PL)</w:t>
      </w:r>
      <w:r w:rsidRPr="4C0A0968">
        <w:t xml:space="preserve"> benefit </w:t>
      </w:r>
      <w:r>
        <w:t xml:space="preserve">being </w:t>
      </w:r>
      <w:r w:rsidRPr="4C0A0968">
        <w:t xml:space="preserve">sought for </w:t>
      </w:r>
      <w:r>
        <w:t>the Micra</w:t>
      </w:r>
      <w:r w:rsidRPr="4C0A0968">
        <w:t xml:space="preserve"> AV </w:t>
      </w:r>
      <w:r>
        <w:t xml:space="preserve">device relative to the Micra VR device, </w:t>
      </w:r>
      <w:proofErr w:type="gramStart"/>
      <w:r>
        <w:t>namely</w:t>
      </w:r>
      <w:proofErr w:type="gramEnd"/>
      <w:r>
        <w:t xml:space="preserve"> to justify supporting a higher PL benefit. </w:t>
      </w:r>
      <w:r w:rsidRPr="4C0A0968">
        <w:t>ESC did not consider there to be sufficient evidence</w:t>
      </w:r>
      <w:r>
        <w:t xml:space="preserve"> to demonstrate a meaningful </w:t>
      </w:r>
      <w:r w:rsidRPr="4C0A0968">
        <w:t xml:space="preserve">difference </w:t>
      </w:r>
      <w:r>
        <w:t xml:space="preserve">in effectiveness </w:t>
      </w:r>
      <w:r w:rsidRPr="4C0A0968">
        <w:t xml:space="preserve">between </w:t>
      </w:r>
      <w:r>
        <w:t>the</w:t>
      </w:r>
      <w:r w:rsidRPr="4C0A0968">
        <w:t xml:space="preserve"> </w:t>
      </w:r>
      <w:r>
        <w:t>Micra AV and the Micra VR.</w:t>
      </w:r>
    </w:p>
    <w:p w14:paraId="0EFB5114" w14:textId="77777777" w:rsidR="004167A0" w:rsidRPr="00036842" w:rsidRDefault="004167A0" w:rsidP="004167A0">
      <w:pPr>
        <w:pStyle w:val="BoxBullet"/>
      </w:pPr>
      <w:r w:rsidRPr="4C0A0968">
        <w:t xml:space="preserve">The application </w:t>
      </w:r>
      <w:r>
        <w:t>presented</w:t>
      </w:r>
      <w:r w:rsidRPr="4C0A0968">
        <w:t xml:space="preserve"> </w:t>
      </w:r>
      <w:r>
        <w:t>in</w:t>
      </w:r>
      <w:r w:rsidRPr="4C0A0968">
        <w:t xml:space="preserve">sufficient evidence related to the efficacy of </w:t>
      </w:r>
      <w:r>
        <w:t xml:space="preserve">Micra AV </w:t>
      </w:r>
      <w:r w:rsidRPr="4C0A0968">
        <w:t xml:space="preserve">vs </w:t>
      </w:r>
      <w:r>
        <w:t>dual chamber transvenous pacemaker</w:t>
      </w:r>
      <w:r w:rsidRPr="4C0A0968">
        <w:t xml:space="preserve"> </w:t>
      </w:r>
      <w:r>
        <w:t>(</w:t>
      </w:r>
      <w:r w:rsidRPr="4C0A0968">
        <w:t>DC-TVPM</w:t>
      </w:r>
      <w:r>
        <w:t>). Additional evidence regarding</w:t>
      </w:r>
      <w:r w:rsidRPr="4C0A0968">
        <w:t xml:space="preserve"> the specific predefined criteria for which </w:t>
      </w:r>
      <w:r>
        <w:t>Micra AV</w:t>
      </w:r>
      <w:r w:rsidRPr="4C0A0968">
        <w:t xml:space="preserve"> is appropriate</w:t>
      </w:r>
      <w:r>
        <w:t xml:space="preserve"> and</w:t>
      </w:r>
      <w:r w:rsidRPr="4C0A0968">
        <w:t xml:space="preserve"> the predefined population specified for the device (younger age, prior VR </w:t>
      </w:r>
      <w:r>
        <w:t>leadless pacemaker</w:t>
      </w:r>
      <w:r w:rsidRPr="4C0A0968">
        <w:t>, etc.)</w:t>
      </w:r>
      <w:r>
        <w:t xml:space="preserve"> would be useful</w:t>
      </w:r>
      <w:r w:rsidRPr="4C0A0968">
        <w:t>,</w:t>
      </w:r>
      <w:r>
        <w:t xml:space="preserve"> in addition to the</w:t>
      </w:r>
      <w:r w:rsidRPr="4C0A0968">
        <w:t xml:space="preserve"> compar</w:t>
      </w:r>
      <w:r>
        <w:t xml:space="preserve">ison </w:t>
      </w:r>
      <w:r w:rsidRPr="4C0A0968">
        <w:t xml:space="preserve">of </w:t>
      </w:r>
      <w:r>
        <w:t xml:space="preserve">Micra </w:t>
      </w:r>
      <w:r w:rsidRPr="4C0A0968">
        <w:t xml:space="preserve">VR vs </w:t>
      </w:r>
      <w:r>
        <w:t xml:space="preserve">Micra </w:t>
      </w:r>
      <w:r w:rsidRPr="4C0A0968">
        <w:t>AV. The MBS item descriptor will require revisions to include these points once the evidence is available.</w:t>
      </w:r>
    </w:p>
    <w:p w14:paraId="5A622C07" w14:textId="77777777" w:rsidR="004167A0" w:rsidRPr="001322DD" w:rsidRDefault="004167A0" w:rsidP="004167A0">
      <w:pPr>
        <w:pStyle w:val="BoxHeading"/>
      </w:pPr>
      <w:r w:rsidRPr="001322DD">
        <w:t>Economic issues:</w:t>
      </w:r>
    </w:p>
    <w:p w14:paraId="033FF87D" w14:textId="774AFB30" w:rsidR="004167A0" w:rsidRDefault="004167A0" w:rsidP="004167A0">
      <w:pPr>
        <w:pStyle w:val="BoxBullet"/>
      </w:pPr>
      <w:r>
        <w:t>There was no economic evaluation comparing Micra AV and Micra VR to enable an assessment of the relative cost-effectiveness of the higher benefit of Micra AV (</w:t>
      </w:r>
      <w:r w:rsidR="00D7683F" w:rsidRPr="4C0A0968">
        <w:t>$</w:t>
      </w:r>
      <w:r w:rsidR="00D7683F">
        <w:rPr>
          <w:b/>
          <w:bCs/>
        </w:rPr>
        <w:t>redacted</w:t>
      </w:r>
      <w:r w:rsidR="00D7683F" w:rsidRPr="4C0A0968" w:rsidDel="00401FD9">
        <w:t xml:space="preserve"> </w:t>
      </w:r>
      <w:r>
        <w:t xml:space="preserve">proposed PL benefit) versus Micra VR (current PL benefit of $10,083). </w:t>
      </w:r>
    </w:p>
    <w:p w14:paraId="482C951F" w14:textId="02E21B57" w:rsidR="004167A0" w:rsidRDefault="004167A0" w:rsidP="004167A0">
      <w:pPr>
        <w:pStyle w:val="BoxBullet"/>
      </w:pPr>
      <w:r w:rsidRPr="4C0A0968">
        <w:t>The applicant</w:t>
      </w:r>
      <w:r>
        <w:t xml:space="preserve"> supplied a revised incremental cost-effectiveness ratio (ICER)</w:t>
      </w:r>
      <w:r w:rsidRPr="4C0A0968">
        <w:t xml:space="preserve"> to include replacement costs for DC-TVPM (after approximately 11 years), which </w:t>
      </w:r>
      <w:r>
        <w:t>reduced</w:t>
      </w:r>
      <w:r w:rsidRPr="4C0A0968">
        <w:t xml:space="preserve"> the ICER to </w:t>
      </w:r>
      <w:r w:rsidR="004C5471" w:rsidRPr="4C0A0968">
        <w:t>$</w:t>
      </w:r>
      <w:r w:rsidR="004C5471">
        <w:rPr>
          <w:b/>
          <w:bCs/>
        </w:rPr>
        <w:t>redacted</w:t>
      </w:r>
      <w:r w:rsidRPr="4C0A0968">
        <w:t>/QALY.</w:t>
      </w:r>
      <w:r>
        <w:t xml:space="preserve"> ESC noted that the applicant submitted no updated model, and the ICER could not be independently verified. ESC considered that the impact of the time horizon in the updated ICER was inappropriately favourable to Micra AV by implying that Micra AV does not need replacing and, therefore the updated ICER is not informative for decision-making.</w:t>
      </w:r>
      <w:r w:rsidRPr="009C5BAB">
        <w:t xml:space="preserve"> </w:t>
      </w:r>
      <w:r>
        <w:t xml:space="preserve">ESC considered that additional sensitivity analyses across a range of time horizons that capture replacement costs for both </w:t>
      </w:r>
      <w:r w:rsidRPr="00E32AFE">
        <w:rPr>
          <w:rStyle w:val="Strong"/>
          <w:b w:val="0"/>
          <w:bCs w:val="0"/>
        </w:rPr>
        <w:t>DC-TVPM and Micra AV LPM</w:t>
      </w:r>
      <w:r>
        <w:t xml:space="preserve"> would be more helpful for MSAC for interpreting the reliability of the ICER.</w:t>
      </w:r>
    </w:p>
    <w:p w14:paraId="7161AB90" w14:textId="77777777" w:rsidR="004167A0" w:rsidRPr="001322DD" w:rsidRDefault="004167A0" w:rsidP="004167A0">
      <w:pPr>
        <w:pStyle w:val="BoxHeading"/>
      </w:pPr>
      <w:r w:rsidRPr="001322DD">
        <w:t>Financial issues:</w:t>
      </w:r>
    </w:p>
    <w:p w14:paraId="4AFFBA55" w14:textId="77777777" w:rsidR="004167A0" w:rsidRDefault="004167A0" w:rsidP="004167A0">
      <w:pPr>
        <w:pStyle w:val="BoxBullet"/>
      </w:pPr>
      <w:r w:rsidRPr="4C0A0968">
        <w:t xml:space="preserve">The </w:t>
      </w:r>
      <w:r>
        <w:t>estimated ESC considered that t</w:t>
      </w:r>
      <w:r w:rsidRPr="4C0A0968">
        <w:t xml:space="preserve">he cost offsets for DC-TVPM substitution may not materialise, as clinical feedback indicates that ≤5% of </w:t>
      </w:r>
      <w:r>
        <w:t>atrioventricular block (</w:t>
      </w:r>
      <w:r w:rsidRPr="4C0A0968">
        <w:t>AVB</w:t>
      </w:r>
      <w:r>
        <w:t>)</w:t>
      </w:r>
      <w:r w:rsidRPr="4C0A0968">
        <w:t xml:space="preserve"> patients are contraindicated for transvenous options</w:t>
      </w:r>
      <w:r>
        <w:t>.</w:t>
      </w:r>
    </w:p>
    <w:p w14:paraId="4F9C3501" w14:textId="77777777" w:rsidR="004167A0" w:rsidRDefault="004167A0" w:rsidP="004167A0">
      <w:pPr>
        <w:pStyle w:val="BoxBullet"/>
      </w:pPr>
      <w:r>
        <w:t xml:space="preserve">If Micra VR is also a relevant second comparator then the impact of the Micra AV on the Micra VR market share should also be considered. </w:t>
      </w:r>
    </w:p>
    <w:p w14:paraId="3FE43369" w14:textId="77777777" w:rsidR="004167A0" w:rsidRDefault="004167A0" w:rsidP="004167A0">
      <w:pPr>
        <w:spacing w:before="240"/>
        <w:rPr>
          <w:rStyle w:val="Strong"/>
        </w:rPr>
      </w:pPr>
      <w:r w:rsidRPr="00194327">
        <w:rPr>
          <w:rStyle w:val="Strong"/>
        </w:rPr>
        <w:t>ESC discussion</w:t>
      </w:r>
    </w:p>
    <w:p w14:paraId="30952873" w14:textId="77777777" w:rsidR="004167A0" w:rsidRDefault="004167A0" w:rsidP="004167A0">
      <w:r w:rsidRPr="4C0A0968">
        <w:t xml:space="preserve">ESC noted that this application from Medtronic Australasia </w:t>
      </w:r>
      <w:r>
        <w:t>seeks</w:t>
      </w:r>
      <w:r w:rsidRPr="4C0A0968">
        <w:t xml:space="preserve"> to facilitate the listing of the Micra™ AV (atrioventricular) device on the Prescribed List of Medical Devices and Human Tissue Products (PL). The applicant intends to apply for PL listing of the Micra AV device following MSAC consideration.</w:t>
      </w:r>
    </w:p>
    <w:p w14:paraId="653D8D6E" w14:textId="77777777" w:rsidR="004167A0" w:rsidRPr="00413999" w:rsidRDefault="004167A0" w:rsidP="004167A0">
      <w:r w:rsidRPr="4C0A0968">
        <w:t xml:space="preserve">ESC </w:t>
      </w:r>
      <w:r>
        <w:t>acknowledged</w:t>
      </w:r>
      <w:r w:rsidRPr="4C0A0968">
        <w:t xml:space="preserve"> consultation feedback from </w:t>
      </w:r>
      <w:r>
        <w:t xml:space="preserve">2 organisations. </w:t>
      </w:r>
      <w:r w:rsidRPr="4C0A0968">
        <w:t xml:space="preserve">Hearts 4 Heart feedback was supportive, highlighting that </w:t>
      </w:r>
      <w:r>
        <w:t>a leadless pacemaker (</w:t>
      </w:r>
      <w:r w:rsidRPr="4C0A0968">
        <w:t>LPM</w:t>
      </w:r>
      <w:r>
        <w:t>)</w:t>
      </w:r>
      <w:r w:rsidRPr="4C0A0968">
        <w:t xml:space="preserve"> is a </w:t>
      </w:r>
      <w:r>
        <w:t>suitable</w:t>
      </w:r>
      <w:r w:rsidRPr="4C0A0968">
        <w:t xml:space="preserve"> option for patients who would otherwise be restricted by </w:t>
      </w:r>
      <w:r>
        <w:t xml:space="preserve">the </w:t>
      </w:r>
      <w:r w:rsidRPr="4C0A0968">
        <w:t>leads</w:t>
      </w:r>
      <w:r>
        <w:t xml:space="preserve"> associated with traditional pacemakers</w:t>
      </w:r>
      <w:r w:rsidRPr="4C0A0968">
        <w:t xml:space="preserve">, notably </w:t>
      </w:r>
      <w:r>
        <w:t xml:space="preserve">physically </w:t>
      </w:r>
      <w:r w:rsidRPr="4C0A0968">
        <w:t>active people and those with cognitive disability</w:t>
      </w:r>
      <w:r>
        <w:t>, who could benefit from LPMs</w:t>
      </w:r>
      <w:r w:rsidRPr="4C0A0968" w:rsidDel="00F71DD6">
        <w:t>.</w:t>
      </w:r>
      <w:r w:rsidRPr="4C0A0968">
        <w:t xml:space="preserve"> LPM removes the risk of leads breaking or being pulled out, which can cause infections.</w:t>
      </w:r>
      <w:r>
        <w:t xml:space="preserve"> Feedback from Abbott, whilst supportive in general terms of MBS items allowing patient access to leadless cardiac devices, argued that using DC-TVPM as the comparator was not appropriate due to limitations of the Micra AV, and that a more appropriate comparator for the proposed patient population would be a ventricular single-lead VDD pacemaker. However, ESC noted PASC advice </w:t>
      </w:r>
      <w:r w:rsidRPr="00CB1EB8">
        <w:t>that the use of VDD TVPM technology is no longer relevant in current Australian clinical practice</w:t>
      </w:r>
      <w:r>
        <w:t xml:space="preserve"> as</w:t>
      </w:r>
      <w:r w:rsidRPr="00CB1EB8">
        <w:t xml:space="preserve"> VDD TVPM devices are not listed on the PL and are no longer sold in Australia</w:t>
      </w:r>
      <w:r>
        <w:t>.</w:t>
      </w:r>
      <w:r w:rsidRPr="00E74840">
        <w:t xml:space="preserve"> </w:t>
      </w:r>
      <w:r>
        <w:t xml:space="preserve">ESC noted PASC’s position </w:t>
      </w:r>
      <w:r w:rsidRPr="007B1FFF">
        <w:t>maintain</w:t>
      </w:r>
      <w:r>
        <w:t xml:space="preserve">ing </w:t>
      </w:r>
      <w:r w:rsidRPr="007B1FFF">
        <w:t xml:space="preserve">DC-TVPM </w:t>
      </w:r>
      <w:r>
        <w:t xml:space="preserve">as </w:t>
      </w:r>
      <w:r w:rsidRPr="007B1FFF">
        <w:t>the most appropriate comparator</w:t>
      </w:r>
      <w:r>
        <w:t>,</w:t>
      </w:r>
      <w:r w:rsidRPr="007B1FFF">
        <w:t xml:space="preserve"> given its availability and current clinical use in Australia</w:t>
      </w:r>
      <w:r>
        <w:t>.</w:t>
      </w:r>
    </w:p>
    <w:p w14:paraId="0567A402" w14:textId="77777777" w:rsidR="004167A0" w:rsidRDefault="004167A0" w:rsidP="004167A0">
      <w:r w:rsidRPr="4C0A0968">
        <w:t xml:space="preserve">Regarding the </w:t>
      </w:r>
      <w:r>
        <w:t xml:space="preserve">proposed </w:t>
      </w:r>
      <w:r w:rsidRPr="4C0A0968">
        <w:t xml:space="preserve">population, ESC considered the populations that should be excluded </w:t>
      </w:r>
      <w:r>
        <w:t xml:space="preserve">as ineligible for Micra AV </w:t>
      </w:r>
      <w:r w:rsidRPr="4C0A0968">
        <w:t xml:space="preserve">should be clearly defined in the </w:t>
      </w:r>
      <w:r>
        <w:t xml:space="preserve">proposed </w:t>
      </w:r>
      <w:r w:rsidRPr="4C0A0968">
        <w:t xml:space="preserve">MBS item descriptor </w:t>
      </w:r>
      <w:r>
        <w:t xml:space="preserve">for percutaneous insertion </w:t>
      </w:r>
      <w:r w:rsidRPr="4C0A0968">
        <w:t>rather than in a</w:t>
      </w:r>
      <w:r>
        <w:t>n</w:t>
      </w:r>
      <w:r w:rsidRPr="4C0A0968">
        <w:t xml:space="preserve"> explanatory note</w:t>
      </w:r>
      <w:r>
        <w:t>, which is not subject to regulation</w:t>
      </w:r>
      <w:r w:rsidRPr="4C0A0968">
        <w:t>.</w:t>
      </w:r>
      <w:r>
        <w:t xml:space="preserve"> </w:t>
      </w:r>
      <w:r w:rsidRPr="4C0A0968">
        <w:t xml:space="preserve">ESC </w:t>
      </w:r>
      <w:r>
        <w:t xml:space="preserve">first </w:t>
      </w:r>
      <w:r w:rsidRPr="4C0A0968">
        <w:t xml:space="preserve">considered that </w:t>
      </w:r>
      <w:r>
        <w:t>the eligibility</w:t>
      </w:r>
      <w:r w:rsidRPr="4C0A0968">
        <w:t xml:space="preserve"> criteria should be more accurately defined</w:t>
      </w:r>
      <w:r>
        <w:t xml:space="preserve"> in terms of </w:t>
      </w:r>
      <w:r w:rsidRPr="4C0A0968">
        <w:t xml:space="preserve">the degree of </w:t>
      </w:r>
      <w:r>
        <w:t>atrioventricular synchrony (</w:t>
      </w:r>
      <w:r w:rsidRPr="4C0A0968">
        <w:t>AVS</w:t>
      </w:r>
      <w:r>
        <w:t>)</w:t>
      </w:r>
      <w:r w:rsidRPr="4C0A0968">
        <w:t xml:space="preserve"> required vs ventricular pacing. </w:t>
      </w:r>
      <w:r>
        <w:t xml:space="preserve">ESC noted that the device cannot provide 100% AVS and that AVS becomes less reliable when patients’ heart rates are above 100 beats per minute. Therefore, ESC considered the device most suitable for patients who are not physically active, such as older people with co-morbidities and restricted physical activity. ESC considered that the eligibility criteria should specify the age and heart rate of eligible patients, to ensure that the population is limited to those who would most benefit from the device. </w:t>
      </w:r>
    </w:p>
    <w:p w14:paraId="740B9B8B" w14:textId="77777777" w:rsidR="004167A0" w:rsidRDefault="004167A0" w:rsidP="004167A0">
      <w:r>
        <w:t>ESC also considered that expert consensus may be informative in determining</w:t>
      </w:r>
      <w:r w:rsidRPr="4C0A0968">
        <w:t xml:space="preserve"> whether the population should be limited to patients </w:t>
      </w:r>
      <w:r>
        <w:t>with</w:t>
      </w:r>
      <w:r w:rsidRPr="4C0A0968">
        <w:t xml:space="preserve"> sinus rhythm</w:t>
      </w:r>
      <w:r>
        <w:t>,</w:t>
      </w:r>
      <w:r w:rsidRPr="4C0A0968">
        <w:t xml:space="preserve"> as this device can potentially be used for </w:t>
      </w:r>
      <w:r>
        <w:t xml:space="preserve">patients with </w:t>
      </w:r>
      <w:r w:rsidRPr="4C0A0968">
        <w:t xml:space="preserve">paroxysmal atrial fibrillation (AF) or </w:t>
      </w:r>
      <w:r>
        <w:t xml:space="preserve">patients with </w:t>
      </w:r>
      <w:r w:rsidRPr="4C0A0968">
        <w:t xml:space="preserve">AF awaiting reversion to sinus rhythm. </w:t>
      </w:r>
    </w:p>
    <w:p w14:paraId="7C5B13E3" w14:textId="77777777" w:rsidR="004167A0" w:rsidRDefault="004167A0" w:rsidP="004167A0">
      <w:r w:rsidRPr="4C0A0968">
        <w:t xml:space="preserve">ESC agreed in principle with the amendments proposed to the </w:t>
      </w:r>
      <w:r w:rsidRPr="00621EE9">
        <w:t>MBS item descriptor</w:t>
      </w:r>
      <w:r w:rsidRPr="4C0A0968">
        <w:t xml:space="preserve"> by </w:t>
      </w:r>
      <w:r>
        <w:t>the department</w:t>
      </w:r>
      <w:r w:rsidRPr="4C0A0968">
        <w:t xml:space="preserve">. However, it </w:t>
      </w:r>
      <w:r>
        <w:t>is</w:t>
      </w:r>
      <w:r w:rsidRPr="4C0A0968">
        <w:t xml:space="preserve"> considered that more prescriptive criteria are required to avoid clinical misinterpretation.</w:t>
      </w:r>
    </w:p>
    <w:p w14:paraId="4D16D6FD" w14:textId="77777777" w:rsidR="004167A0" w:rsidRDefault="004167A0" w:rsidP="004167A0">
      <w:r w:rsidRPr="4C0A0968">
        <w:t xml:space="preserve">ESC noted </w:t>
      </w:r>
      <w:r>
        <w:t xml:space="preserve">that </w:t>
      </w:r>
      <w:r w:rsidRPr="4C0A0968">
        <w:t>the proposed clinical management algorithm</w:t>
      </w:r>
      <w:r w:rsidRPr="002D73DD">
        <w:t xml:space="preserve"> </w:t>
      </w:r>
      <w:r>
        <w:t>was</w:t>
      </w:r>
      <w:r w:rsidRPr="4C0A0968">
        <w:t xml:space="preserve"> appropriate. </w:t>
      </w:r>
    </w:p>
    <w:p w14:paraId="00427491" w14:textId="77777777" w:rsidR="004167A0" w:rsidRDefault="004167A0" w:rsidP="004167A0">
      <w:r w:rsidRPr="4C0A0968">
        <w:t xml:space="preserve">ESC noted that existing MBS items for leadless pacemaker (LPM) – </w:t>
      </w:r>
      <w:hyperlink r:id="rId20">
        <w:r w:rsidRPr="4C0A0968">
          <w:rPr>
            <w:rStyle w:val="Hyperlink"/>
          </w:rPr>
          <w:t>38372</w:t>
        </w:r>
      </w:hyperlink>
      <w:r w:rsidRPr="4C0A0968">
        <w:t xml:space="preserve"> (insertion), </w:t>
      </w:r>
      <w:hyperlink r:id="rId21">
        <w:r w:rsidRPr="4C0A0968">
          <w:rPr>
            <w:rStyle w:val="Hyperlink"/>
          </w:rPr>
          <w:t>38373</w:t>
        </w:r>
      </w:hyperlink>
      <w:r w:rsidRPr="4C0A0968">
        <w:t xml:space="preserve"> (retrieval and replacement), </w:t>
      </w:r>
      <w:hyperlink r:id="rId22">
        <w:r w:rsidRPr="4C0A0968">
          <w:rPr>
            <w:rStyle w:val="Hyperlink"/>
          </w:rPr>
          <w:t>38374</w:t>
        </w:r>
      </w:hyperlink>
      <w:r w:rsidRPr="4C0A0968">
        <w:t xml:space="preserve"> (retrieval) and </w:t>
      </w:r>
      <w:hyperlink r:id="rId23">
        <w:r w:rsidRPr="4C0A0968">
          <w:rPr>
            <w:rStyle w:val="Hyperlink"/>
          </w:rPr>
          <w:t>38375</w:t>
        </w:r>
      </w:hyperlink>
      <w:r w:rsidRPr="4C0A0968">
        <w:t xml:space="preserve"> (explanation) – can be claimed for services associated with the use of the Micra AV device without amendment. </w:t>
      </w:r>
      <w:r>
        <w:t xml:space="preserve">However, ESC acknowledged that PASC had raised concerns about the broad nature of the MBS items proposed for use with the Micra AV and the potential for the device to be used beyond its intended population, which could lead to increased costs to the MBS. ESC also recognised that </w:t>
      </w:r>
      <w:r w:rsidRPr="4C0A0968">
        <w:t xml:space="preserve">PASC considered </w:t>
      </w:r>
      <w:r>
        <w:t>the need for a new</w:t>
      </w:r>
      <w:r w:rsidRPr="4C0A0968">
        <w:t xml:space="preserve"> MBS item for the insertion of the device, specifying that patients must be in sinus rhythm</w:t>
      </w:r>
      <w:r>
        <w:t xml:space="preserve">. Additionally, ESC also acknowledged </w:t>
      </w:r>
      <w:r w:rsidRPr="4C0A0968">
        <w:t>PASC</w:t>
      </w:r>
      <w:r>
        <w:t>’s</w:t>
      </w:r>
      <w:r w:rsidRPr="4C0A0968">
        <w:t xml:space="preserve"> recommend</w:t>
      </w:r>
      <w:r>
        <w:t>ation,</w:t>
      </w:r>
      <w:r w:rsidRPr="4C0A0968">
        <w:t xml:space="preserve"> </w:t>
      </w:r>
      <w:r>
        <w:t>including</w:t>
      </w:r>
      <w:r w:rsidRPr="4C0A0968">
        <w:t xml:space="preserve"> an explanatory note </w:t>
      </w:r>
      <w:r>
        <w:t>with</w:t>
      </w:r>
      <w:r w:rsidRPr="4C0A0968">
        <w:t xml:space="preserve"> the proposed MBS item to </w:t>
      </w:r>
      <w:r>
        <w:t>specify</w:t>
      </w:r>
      <w:r w:rsidRPr="4C0A0968">
        <w:t xml:space="preserve"> the patients </w:t>
      </w:r>
      <w:r>
        <w:t>for</w:t>
      </w:r>
      <w:r w:rsidRPr="4C0A0968">
        <w:t xml:space="preserve"> whom the device is not recommended (that is, </w:t>
      </w:r>
      <w:r>
        <w:t>patients with</w:t>
      </w:r>
      <w:r w:rsidRPr="4C0A0968">
        <w:t xml:space="preserve"> sinus bradycardia with or without chronotropic incompetence). </w:t>
      </w:r>
      <w:r>
        <w:t xml:space="preserve">ESC noted the PASC emphasis on creating a new item with a more restricted population if the Micra AV is listed on the PL with a greater benefit than the Micra VR. </w:t>
      </w:r>
      <w:r w:rsidRPr="4C0A0968">
        <w:t>This application propose</w:t>
      </w:r>
      <w:r>
        <w:t>d</w:t>
      </w:r>
      <w:r w:rsidRPr="4C0A0968">
        <w:t xml:space="preserve"> a new MBS item for the insertion of a LPM providing AVS at the same fee as </w:t>
      </w:r>
      <w:r>
        <w:t xml:space="preserve">the </w:t>
      </w:r>
      <w:r w:rsidRPr="4C0A0968">
        <w:t xml:space="preserve">current MBS item 38372 </w:t>
      </w:r>
      <w:r>
        <w:t xml:space="preserve">for insertion of Micra VR </w:t>
      </w:r>
      <w:r w:rsidRPr="4C0A0968">
        <w:t xml:space="preserve">($859.35), and an explanatory note as per PASC </w:t>
      </w:r>
      <w:r>
        <w:t>advice</w:t>
      </w:r>
      <w:r w:rsidRPr="4C0A0968">
        <w:t xml:space="preserve">. </w:t>
      </w:r>
      <w:r>
        <w:t>ESC noted no</w:t>
      </w:r>
      <w:r w:rsidRPr="4C0A0968">
        <w:t xml:space="preserve"> changes </w:t>
      </w:r>
      <w:r>
        <w:t>were</w:t>
      </w:r>
      <w:r w:rsidRPr="4C0A0968">
        <w:t xml:space="preserve"> </w:t>
      </w:r>
      <w:r>
        <w:t>proposed to the</w:t>
      </w:r>
      <w:r w:rsidRPr="4C0A0968">
        <w:t xml:space="preserve"> existing MBS items 38373, 38374</w:t>
      </w:r>
      <w:r>
        <w:t>,</w:t>
      </w:r>
      <w:r w:rsidRPr="4C0A0968">
        <w:t xml:space="preserve"> and 38375</w:t>
      </w:r>
      <w:r>
        <w:t>.</w:t>
      </w:r>
    </w:p>
    <w:p w14:paraId="107E8B30" w14:textId="77777777" w:rsidR="004167A0" w:rsidRDefault="004167A0" w:rsidP="004167A0">
      <w:r w:rsidRPr="4C0A0968">
        <w:t xml:space="preserve">ESC </w:t>
      </w:r>
      <w:r>
        <w:t>also considered</w:t>
      </w:r>
      <w:r w:rsidRPr="4C0A0968">
        <w:t xml:space="preserve"> that a new MBS item would need to be created with a more restricted patient population </w:t>
      </w:r>
      <w:r>
        <w:t>than the related Micra VR. MSAC previously considered and supported the MBS listing of the insertion or removal of a permanent leadless pacemaker (Micra VR) for treating bradyarrhythmia that requires single-chamber ventricular pacing (</w:t>
      </w:r>
      <w:hyperlink r:id="rId24" w:history="1">
        <w:r w:rsidRPr="007C4CA5">
          <w:rPr>
            <w:rStyle w:val="Hyperlink"/>
          </w:rPr>
          <w:t>MSAC Application 1672</w:t>
        </w:r>
      </w:hyperlink>
      <w:r>
        <w:t>). ESC considered this would be important</w:t>
      </w:r>
      <w:r w:rsidRPr="4C0A0968">
        <w:t xml:space="preserve"> </w:t>
      </w:r>
      <w:r>
        <w:t xml:space="preserve">given the request to list </w:t>
      </w:r>
      <w:r w:rsidRPr="4C0A0968">
        <w:t xml:space="preserve">Micra AV on the PL at a </w:t>
      </w:r>
      <w:r>
        <w:t xml:space="preserve">greater </w:t>
      </w:r>
      <w:r w:rsidRPr="4C0A0968">
        <w:t xml:space="preserve">benefit than the VR </w:t>
      </w:r>
      <w:r>
        <w:t>model</w:t>
      </w:r>
      <w:r w:rsidRPr="4C0A0968">
        <w:t xml:space="preserve">, but this </w:t>
      </w:r>
      <w:r>
        <w:t>request</w:t>
      </w:r>
      <w:r w:rsidRPr="4C0A0968">
        <w:t xml:space="preserve"> </w:t>
      </w:r>
      <w:r>
        <w:t>is not supported by</w:t>
      </w:r>
      <w:r w:rsidRPr="4C0A0968">
        <w:t xml:space="preserve"> data on </w:t>
      </w:r>
      <w:r>
        <w:t>the incremental effectiveness of the Micra AV compared to the Micra VR</w:t>
      </w:r>
      <w:r w:rsidRPr="4C0A0968">
        <w:t xml:space="preserve">. Additionally, </w:t>
      </w:r>
      <w:r>
        <w:t xml:space="preserve">ESC noted that </w:t>
      </w:r>
      <w:r w:rsidRPr="4C0A0968">
        <w:t xml:space="preserve">if Micra AV is listed on the PL, existing MBS item 38372 will need to be amended to </w:t>
      </w:r>
      <w:r>
        <w:t>restrict</w:t>
      </w:r>
      <w:r w:rsidRPr="4C0A0968">
        <w:t xml:space="preserve"> </w:t>
      </w:r>
      <w:r>
        <w:t xml:space="preserve">the </w:t>
      </w:r>
      <w:r w:rsidRPr="4C0A0968">
        <w:t>use</w:t>
      </w:r>
      <w:r>
        <w:t xml:space="preserve"> of this item only to patients where a sufficient degree of AVS is not required.  </w:t>
      </w:r>
    </w:p>
    <w:p w14:paraId="61AE5FDE" w14:textId="77777777" w:rsidR="004167A0" w:rsidRDefault="004167A0" w:rsidP="004167A0">
      <w:r w:rsidRPr="4C0A0968">
        <w:t xml:space="preserve">ESC noted that the </w:t>
      </w:r>
      <w:r>
        <w:t xml:space="preserve">proposed </w:t>
      </w:r>
      <w:r w:rsidRPr="4C0A0968">
        <w:t xml:space="preserve">comparator is </w:t>
      </w:r>
      <w:r>
        <w:t>a</w:t>
      </w:r>
      <w:r w:rsidRPr="4C0A0968">
        <w:t xml:space="preserve"> standard </w:t>
      </w:r>
      <w:r>
        <w:t>dual chamber transvenous pacemaker (</w:t>
      </w:r>
      <w:r w:rsidRPr="4C0A0968">
        <w:t>DC-TVPM</w:t>
      </w:r>
      <w:r>
        <w:t>)</w:t>
      </w:r>
      <w:r w:rsidRPr="4C0A0968">
        <w:t>.</w:t>
      </w:r>
      <w:r>
        <w:t xml:space="preserve"> </w:t>
      </w:r>
      <w:r w:rsidRPr="4C0A0968">
        <w:t xml:space="preserve">ESC noted that </w:t>
      </w:r>
      <w:proofErr w:type="gramStart"/>
      <w:r>
        <w:t>similar to</w:t>
      </w:r>
      <w:proofErr w:type="gramEnd"/>
      <w:r>
        <w:t xml:space="preserve"> single chamber TVPMs, Micra AV has </w:t>
      </w:r>
      <w:r w:rsidRPr="00E44DF0">
        <w:t>traditional remote monitoring capabilities</w:t>
      </w:r>
      <w:r>
        <w:t xml:space="preserve"> (via a physical monitor)</w:t>
      </w:r>
      <w:r w:rsidRPr="00E44DF0">
        <w:t>, but it is not capable of Bluetooth monitoring due to its small size.</w:t>
      </w:r>
      <w:r>
        <w:t xml:space="preserve"> However, consistent with PASC, ESC considered that Micra VR was also a relevant secondary comparator because of the overlap in eligible population</w:t>
      </w:r>
      <w:r w:rsidRPr="005656D1">
        <w:t xml:space="preserve"> for the Micra AV and Micra VR for</w:t>
      </w:r>
      <w:r>
        <w:t xml:space="preserve"> patients with</w:t>
      </w:r>
      <w:r w:rsidRPr="005656D1">
        <w:t xml:space="preserve"> paroxysmal or permanent high-grade AV block in the absence of </w:t>
      </w:r>
      <w:r>
        <w:t xml:space="preserve">atrial fibrillation. </w:t>
      </w:r>
    </w:p>
    <w:p w14:paraId="79A0AF07" w14:textId="77777777" w:rsidR="004167A0" w:rsidRPr="008531F2" w:rsidRDefault="004167A0" w:rsidP="004167A0">
      <w:r w:rsidRPr="008531F2">
        <w:t>ESC noted that the p</w:t>
      </w:r>
      <w:r>
        <w:t>ot</w:t>
      </w:r>
      <w:r w:rsidRPr="008531F2">
        <w:t>e</w:t>
      </w:r>
      <w:r>
        <w:t xml:space="preserve">ntial </w:t>
      </w:r>
      <w:r w:rsidRPr="008531F2">
        <w:t>advantages of leadless pacing compared to conventional dual-chamber pacing are based on:</w:t>
      </w:r>
    </w:p>
    <w:p w14:paraId="24679ABA" w14:textId="77777777" w:rsidR="004167A0" w:rsidRPr="00277221" w:rsidRDefault="004167A0" w:rsidP="004167A0">
      <w:pPr>
        <w:pStyle w:val="ListParagraph"/>
        <w:numPr>
          <w:ilvl w:val="0"/>
          <w:numId w:val="23"/>
        </w:numPr>
        <w:spacing w:before="0" w:after="240" w:line="240" w:lineRule="auto"/>
      </w:pPr>
      <w:r>
        <w:t>E</w:t>
      </w:r>
      <w:r w:rsidRPr="4C0A0968">
        <w:t>liminating lead and pocket complications, thereby presenting advantages from a safety perspective</w:t>
      </w:r>
      <w:r>
        <w:t>.</w:t>
      </w:r>
    </w:p>
    <w:p w14:paraId="35A79CB9" w14:textId="77777777" w:rsidR="004167A0" w:rsidRPr="00277221" w:rsidRDefault="004167A0" w:rsidP="004167A0">
      <w:pPr>
        <w:pStyle w:val="ListParagraph"/>
        <w:numPr>
          <w:ilvl w:val="0"/>
          <w:numId w:val="23"/>
        </w:numPr>
        <w:spacing w:before="0" w:after="240" w:line="240" w:lineRule="auto"/>
      </w:pPr>
      <w:r>
        <w:t xml:space="preserve">Reductions in </w:t>
      </w:r>
      <w:r w:rsidRPr="4C0A0968">
        <w:t>pacemaker-related infections</w:t>
      </w:r>
      <w:r>
        <w:t xml:space="preserve"> (mainly related to TVPM subcutaneous pocket and lead infections)</w:t>
      </w:r>
      <w:r w:rsidRPr="4C0A0968">
        <w:t xml:space="preserve"> </w:t>
      </w:r>
      <w:r>
        <w:t>which are</w:t>
      </w:r>
      <w:r w:rsidRPr="4C0A0968">
        <w:t xml:space="preserve"> a significant concern due to increased risk of morbidity and mortality and the high cost to the healthcare system of treating a pacemaker</w:t>
      </w:r>
      <w:r>
        <w:t>-related</w:t>
      </w:r>
      <w:r w:rsidRPr="4C0A0968">
        <w:t xml:space="preserve"> infection</w:t>
      </w:r>
      <w:r>
        <w:t>.</w:t>
      </w:r>
    </w:p>
    <w:p w14:paraId="7A344629" w14:textId="77777777" w:rsidR="004167A0" w:rsidRPr="00277221" w:rsidRDefault="004167A0" w:rsidP="004167A0">
      <w:pPr>
        <w:pStyle w:val="ListParagraph"/>
        <w:numPr>
          <w:ilvl w:val="0"/>
          <w:numId w:val="23"/>
        </w:numPr>
        <w:spacing w:before="0" w:after="240" w:line="240" w:lineRule="auto"/>
      </w:pPr>
      <w:r>
        <w:t>I</w:t>
      </w:r>
      <w:r w:rsidRPr="00277221">
        <w:t>mprove</w:t>
      </w:r>
      <w:r w:rsidRPr="008531F2">
        <w:t>d</w:t>
      </w:r>
      <w:r w:rsidRPr="00277221">
        <w:t xml:space="preserve"> </w:t>
      </w:r>
      <w:r w:rsidRPr="008531F2">
        <w:t>quality of life (</w:t>
      </w:r>
      <w:r w:rsidRPr="00277221">
        <w:t>Q</w:t>
      </w:r>
      <w:r w:rsidRPr="008531F2">
        <w:t>o</w:t>
      </w:r>
      <w:r w:rsidRPr="00277221">
        <w:t>L</w:t>
      </w:r>
      <w:r w:rsidRPr="008531F2">
        <w:t>)</w:t>
      </w:r>
      <w:r w:rsidRPr="00277221">
        <w:t xml:space="preserve"> due to earlier return to activities of daily living and independence</w:t>
      </w:r>
      <w:r>
        <w:t>.</w:t>
      </w:r>
    </w:p>
    <w:p w14:paraId="427494BF" w14:textId="77777777" w:rsidR="004167A0" w:rsidRPr="00413999" w:rsidRDefault="004167A0" w:rsidP="004167A0">
      <w:pPr>
        <w:pStyle w:val="ListParagraph"/>
        <w:numPr>
          <w:ilvl w:val="0"/>
          <w:numId w:val="23"/>
        </w:numPr>
        <w:spacing w:before="0" w:after="240" w:line="240" w:lineRule="auto"/>
      </w:pPr>
      <w:r>
        <w:t>T</w:t>
      </w:r>
      <w:r w:rsidRPr="4C0A0968">
        <w:t>he omission of pain, discomfort and aesthetic issues pertaining to the subcutaneous pocket required for a transvenous pacemaker (TVPM).</w:t>
      </w:r>
    </w:p>
    <w:p w14:paraId="0D7B34FD" w14:textId="77777777" w:rsidR="004167A0" w:rsidRPr="00BC401B" w:rsidRDefault="004167A0" w:rsidP="004167A0">
      <w:r w:rsidRPr="4C0A0968">
        <w:t xml:space="preserve">ESC noted that the </w:t>
      </w:r>
      <w:r>
        <w:t xml:space="preserve">pivotal study for the current </w:t>
      </w:r>
      <w:r w:rsidRPr="4C0A0968">
        <w:t xml:space="preserve">application </w:t>
      </w:r>
      <w:r>
        <w:t>was a predefined post hoc subgroup analysis of the Micra AV ‘coverage with evidence development’ (CED) study</w:t>
      </w:r>
      <w:r w:rsidRPr="4C0A0968">
        <w:t xml:space="preserve">. The </w:t>
      </w:r>
      <w:r>
        <w:t>study</w:t>
      </w:r>
      <w:r w:rsidRPr="4C0A0968">
        <w:t xml:space="preserve"> </w:t>
      </w:r>
      <w:r>
        <w:t xml:space="preserve">included </w:t>
      </w:r>
      <w:r w:rsidRPr="4C0A0968">
        <w:t>a large</w:t>
      </w:r>
      <w:r>
        <w:t xml:space="preserve"> non-randomised</w:t>
      </w:r>
      <w:r w:rsidRPr="4C0A0968">
        <w:t xml:space="preserve"> cohort </w:t>
      </w:r>
      <w:r>
        <w:t>which of</w:t>
      </w:r>
      <w:r w:rsidRPr="4C0A0968">
        <w:t xml:space="preserve"> 118,110 patients </w:t>
      </w:r>
      <w:r>
        <w:t>who had</w:t>
      </w:r>
      <w:r w:rsidRPr="4C0A0968">
        <w:t xml:space="preserve"> a Micra AV device or a DC-TVPM</w:t>
      </w:r>
      <w:r>
        <w:t xml:space="preserve"> implanted. ESC noted that the study used</w:t>
      </w:r>
      <w:r w:rsidRPr="4C0A0968">
        <w:t xml:space="preserve"> US claims dat</w:t>
      </w:r>
      <w:r>
        <w:t xml:space="preserve">a and included a </w:t>
      </w:r>
      <w:r w:rsidRPr="4C0A0968">
        <w:t>24</w:t>
      </w:r>
      <w:r>
        <w:t>-</w:t>
      </w:r>
      <w:r w:rsidRPr="4C0A0968">
        <w:t>month</w:t>
      </w:r>
      <w:r w:rsidRPr="008C7390">
        <w:t xml:space="preserve"> </w:t>
      </w:r>
      <w:r w:rsidRPr="4C0A0968">
        <w:t>follow-up</w:t>
      </w:r>
      <w:r>
        <w:t xml:space="preserve"> period</w:t>
      </w:r>
      <w:r w:rsidRPr="4C0A0968">
        <w:t xml:space="preserve">. </w:t>
      </w:r>
      <w:r>
        <w:t>ESC noted that the p</w:t>
      </w:r>
      <w:r w:rsidRPr="4C0A0968">
        <w:t>ost-hoc subgroup analyses were conducted to evaluate the effectiveness and safety of the Micra AV device v</w:t>
      </w:r>
      <w:r>
        <w:t>er</w:t>
      </w:r>
      <w:r w:rsidRPr="4C0A0968">
        <w:t>s</w:t>
      </w:r>
      <w:r>
        <w:t>us</w:t>
      </w:r>
      <w:r w:rsidRPr="4C0A0968">
        <w:t xml:space="preserve"> DC-TVPM in patients with AV block (AVB) and who are in sinus rhythm (subgroup referred to as ‘AVB without AF’; </w:t>
      </w:r>
      <w:r w:rsidRPr="4C0A0968">
        <w:rPr>
          <w:i/>
          <w:iCs/>
        </w:rPr>
        <w:t>N</w:t>
      </w:r>
      <w:r w:rsidRPr="4C0A0968">
        <w:t xml:space="preserve"> = 41,979)</w:t>
      </w:r>
      <w:r>
        <w:t>,</w:t>
      </w:r>
      <w:r w:rsidRPr="4C0A0968">
        <w:t xml:space="preserve"> as a proxy for the proposed population. Propensity </w:t>
      </w:r>
      <w:proofErr w:type="gramStart"/>
      <w:r w:rsidRPr="4C0A0968">
        <w:t>score</w:t>
      </w:r>
      <w:proofErr w:type="gramEnd"/>
      <w:r w:rsidRPr="4C0A0968">
        <w:t xml:space="preserve"> overlap weights were used to construct a weighted cohort of patients </w:t>
      </w:r>
      <w:r>
        <w:t xml:space="preserve">with different </w:t>
      </w:r>
      <w:r w:rsidRPr="4C0A0968">
        <w:t>pacemaker type</w:t>
      </w:r>
      <w:r>
        <w:t>s</w:t>
      </w:r>
      <w:r w:rsidRPr="4C0A0968">
        <w:t xml:space="preserve"> (</w:t>
      </w:r>
      <w:r>
        <w:t xml:space="preserve">i.e. </w:t>
      </w:r>
      <w:r w:rsidRPr="4C0A0968">
        <w:t xml:space="preserve">LPM vs TVPM). However, ESC </w:t>
      </w:r>
      <w:r>
        <w:t>noted</w:t>
      </w:r>
      <w:r w:rsidRPr="4C0A0968">
        <w:t xml:space="preserve"> that patients receiving </w:t>
      </w:r>
      <w:r>
        <w:t xml:space="preserve">a </w:t>
      </w:r>
      <w:r w:rsidRPr="4C0A0968">
        <w:t xml:space="preserve">LPM </w:t>
      </w:r>
      <w:r>
        <w:t xml:space="preserve">appeared to have </w:t>
      </w:r>
      <w:r w:rsidRPr="4C0A0968">
        <w:t>more comorbidities</w:t>
      </w:r>
      <w:r>
        <w:t xml:space="preserve"> than the DC-TVPM group</w:t>
      </w:r>
      <w:r w:rsidRPr="4C0A0968">
        <w:t xml:space="preserve">, </w:t>
      </w:r>
      <w:r>
        <w:t xml:space="preserve">which was potentially a source of confounding which may have contributed to the higher </w:t>
      </w:r>
      <w:r w:rsidRPr="4C0A0968">
        <w:t>all-cause mortality</w:t>
      </w:r>
      <w:r>
        <w:t xml:space="preserve"> found in the LPM group compared to the DC-TVPM group.</w:t>
      </w:r>
      <w:r w:rsidRPr="4C0A0968">
        <w:t xml:space="preserve">  </w:t>
      </w:r>
    </w:p>
    <w:p w14:paraId="4AAC79F8" w14:textId="77777777" w:rsidR="004167A0" w:rsidRPr="00413999" w:rsidRDefault="004167A0" w:rsidP="004167A0">
      <w:r w:rsidRPr="4C0A0968">
        <w:t xml:space="preserve">ESC agreed with </w:t>
      </w:r>
      <w:r>
        <w:t xml:space="preserve">concerns </w:t>
      </w:r>
      <w:r w:rsidRPr="4C0A0968">
        <w:t xml:space="preserve">regarding the </w:t>
      </w:r>
      <w:r>
        <w:t xml:space="preserve">weak </w:t>
      </w:r>
      <w:r w:rsidRPr="4C0A0968">
        <w:t>evidence for superior safety</w:t>
      </w:r>
      <w:r>
        <w:t>, as it</w:t>
      </w:r>
      <w:r w:rsidRPr="4C0A0968">
        <w:t xml:space="preserve"> relie</w:t>
      </w:r>
      <w:r>
        <w:t>d</w:t>
      </w:r>
      <w:r w:rsidRPr="4C0A0968">
        <w:t xml:space="preserve"> </w:t>
      </w:r>
      <w:r>
        <w:t xml:space="preserve">entirely </w:t>
      </w:r>
      <w:r w:rsidRPr="4C0A0968">
        <w:t>on single-arm and real-world studies.</w:t>
      </w:r>
      <w:r>
        <w:t xml:space="preserve"> </w:t>
      </w:r>
      <w:r w:rsidRPr="4C0A0968">
        <w:t>ESC noted that both the Micra AV device and DC-TVPM have acute implantation risk</w:t>
      </w:r>
      <w:r>
        <w:t>s</w:t>
      </w:r>
      <w:r w:rsidRPr="4C0A0968">
        <w:t xml:space="preserve">. </w:t>
      </w:r>
      <w:r>
        <w:t xml:space="preserve">However, ESC acknowledged that </w:t>
      </w:r>
      <w:r w:rsidRPr="4C0A0968">
        <w:t xml:space="preserve">LPM technology </w:t>
      </w:r>
      <w:r>
        <w:t xml:space="preserve">in general </w:t>
      </w:r>
      <w:r w:rsidRPr="4C0A0968">
        <w:t xml:space="preserve">significantly reduces the risk of lead and pocket infection </w:t>
      </w:r>
      <w:r>
        <w:t>c</w:t>
      </w:r>
      <w:r w:rsidRPr="4C0A0968">
        <w:t xml:space="preserve">ompared </w:t>
      </w:r>
      <w:r>
        <w:t>to</w:t>
      </w:r>
      <w:r w:rsidRPr="4C0A0968">
        <w:t xml:space="preserve"> DC-TVPM</w:t>
      </w:r>
      <w:r>
        <w:t>.</w:t>
      </w:r>
    </w:p>
    <w:p w14:paraId="55CFF170" w14:textId="77777777" w:rsidR="004167A0" w:rsidRDefault="004167A0" w:rsidP="004167A0">
      <w:r>
        <w:t xml:space="preserve">ESC further noted that the evidence base included 5 additional studies as supportive evidence reporting QoL outcomes. ESC noted that the Micra AV device significantly improves QoL related to aesthetics and thrombosis. However, these studies did not consider that unlike DC-TVPM, the Micra AV device does not require surgical excision and therefore patients may be able to be discharged following implantation either on the same or next day. ESC considered that this would have likely contributed to improved QoL compared to DC-TVPM. Additionally, ESC noted that there was selection bias within these studies, as patients who received Micra AV were ineligible for DC-TVPM. </w:t>
      </w:r>
    </w:p>
    <w:p w14:paraId="256E476E" w14:textId="77777777" w:rsidR="004167A0" w:rsidRPr="00413999" w:rsidRDefault="004167A0" w:rsidP="004167A0">
      <w:r w:rsidRPr="4C0A0968">
        <w:t>ESC also noted issues with the evidence base</w:t>
      </w:r>
      <w:r>
        <w:t>, particularly the limited</w:t>
      </w:r>
      <w:r w:rsidRPr="4C0A0968">
        <w:t xml:space="preserve"> evidence for the Micr</w:t>
      </w:r>
      <w:r>
        <w:t>a</w:t>
      </w:r>
      <w:r w:rsidRPr="4C0A0968">
        <w:t xml:space="preserve"> AV vs DC-TVPM comparator. There </w:t>
      </w:r>
      <w:r>
        <w:t>was</w:t>
      </w:r>
      <w:r w:rsidRPr="4C0A0968">
        <w:t xml:space="preserve"> no analysis </w:t>
      </w:r>
      <w:r>
        <w:t xml:space="preserve">of </w:t>
      </w:r>
      <w:r w:rsidRPr="4C0A0968">
        <w:t>Micr</w:t>
      </w:r>
      <w:r>
        <w:t>a</w:t>
      </w:r>
      <w:r w:rsidRPr="4C0A0968">
        <w:t xml:space="preserve"> AV vs the secondary comparator (Micra™ VR)</w:t>
      </w:r>
      <w:r>
        <w:t xml:space="preserve">. </w:t>
      </w:r>
      <w:r w:rsidRPr="4C0A0968">
        <w:t xml:space="preserve">ESC agreed with PASC </w:t>
      </w:r>
      <w:r>
        <w:t>advice</w:t>
      </w:r>
      <w:r w:rsidRPr="4C0A0968">
        <w:t xml:space="preserve"> that comparative clinical evidence should </w:t>
      </w:r>
      <w:r>
        <w:t xml:space="preserve">have </w:t>
      </w:r>
      <w:r w:rsidRPr="4C0A0968">
        <w:t>be</w:t>
      </w:r>
      <w:r>
        <w:t>en</w:t>
      </w:r>
      <w:r w:rsidRPr="4C0A0968">
        <w:t xml:space="preserve"> presented in the applicant-developed assessment report (ADAR) to identify additional benefit of the Micr</w:t>
      </w:r>
      <w:r>
        <w:t>a</w:t>
      </w:r>
      <w:r w:rsidRPr="4C0A0968">
        <w:t xml:space="preserve"> AV device over the </w:t>
      </w:r>
      <w:r>
        <w:t xml:space="preserve">Micra </w:t>
      </w:r>
      <w:r w:rsidRPr="4C0A0968">
        <w:t xml:space="preserve">VR </w:t>
      </w:r>
      <w:r>
        <w:t xml:space="preserve">model, especially </w:t>
      </w:r>
      <w:r w:rsidRPr="4C0A0968">
        <w:t xml:space="preserve">if a </w:t>
      </w:r>
      <w:r>
        <w:t>greater</w:t>
      </w:r>
      <w:r w:rsidRPr="4C0A0968">
        <w:t xml:space="preserve"> </w:t>
      </w:r>
      <w:r>
        <w:t xml:space="preserve">PL </w:t>
      </w:r>
      <w:r w:rsidRPr="4C0A0968">
        <w:t xml:space="preserve">benefit is sought for the </w:t>
      </w:r>
      <w:r>
        <w:t xml:space="preserve">Micra </w:t>
      </w:r>
      <w:r w:rsidRPr="4C0A0968">
        <w:t>AV</w:t>
      </w:r>
      <w:r>
        <w:t xml:space="preserve"> device</w:t>
      </w:r>
      <w:r w:rsidRPr="4C0A0968">
        <w:t xml:space="preserve">. </w:t>
      </w:r>
      <w:r>
        <w:t>Furthermore, ESC noted that there is limited evidence regarding the efficacy of the Micra AV’s sensing capability over DC-TVPM, its effectiveness</w:t>
      </w:r>
      <w:r w:rsidRPr="4C0A0968">
        <w:t xml:space="preserve"> in different population groups is not available</w:t>
      </w:r>
      <w:r>
        <w:t xml:space="preserve">, and the </w:t>
      </w:r>
      <w:r w:rsidRPr="4C0A0968">
        <w:t xml:space="preserve">data </w:t>
      </w:r>
      <w:r>
        <w:t>has</w:t>
      </w:r>
      <w:r w:rsidRPr="4C0A0968">
        <w:t xml:space="preserve"> been extrapolated from studies with low </w:t>
      </w:r>
      <w:r>
        <w:t>sample sizes</w:t>
      </w:r>
      <w:r w:rsidRPr="4C0A0968">
        <w:t>, which is suboptimal.</w:t>
      </w:r>
    </w:p>
    <w:p w14:paraId="12B71677" w14:textId="77777777" w:rsidR="004167A0" w:rsidRDefault="004167A0" w:rsidP="004167A0">
      <w:r w:rsidRPr="4C0A0968">
        <w:t xml:space="preserve">ESC noted that the economic evaluation was a cost-utility analysis, based on the clinical claims of superior safety and non-inferior efficacy (including mortality) and superior QoL. The time horizon was 16 years, based on the expected battery life of the Micra AV device. </w:t>
      </w:r>
      <w:r>
        <w:t xml:space="preserve">However, </w:t>
      </w:r>
      <w:r w:rsidRPr="4C0A0968">
        <w:t>ESC noted discrepancy in the reported expected battery life</w:t>
      </w:r>
      <w:r>
        <w:t>:</w:t>
      </w:r>
      <w:r w:rsidRPr="4C0A0968">
        <w:t xml:space="preserve"> the PICO</w:t>
      </w:r>
      <w:r>
        <w:t xml:space="preserve"> stated</w:t>
      </w:r>
      <w:r w:rsidRPr="4C0A0968">
        <w:t xml:space="preserve"> </w:t>
      </w:r>
      <w:r>
        <w:t>it was</w:t>
      </w:r>
      <w:r w:rsidRPr="4C0A0968">
        <w:t xml:space="preserve"> 8–13 years, while a single modelling study of the Micra™ AV2 device (included in the ADAR) projected a median life of 15.6 years. </w:t>
      </w:r>
      <w:r>
        <w:t>Additionally, ESC noted that the capability of the device to provide AVS pacing affects battery life (range of 8–15 years), and battery depletion requires implantation of another device.</w:t>
      </w:r>
      <w:r w:rsidRPr="4C0A0968">
        <w:t xml:space="preserve"> ESC </w:t>
      </w:r>
      <w:r>
        <w:t>requested the applicant address</w:t>
      </w:r>
      <w:r w:rsidRPr="4C0A0968">
        <w:t xml:space="preserve"> </w:t>
      </w:r>
      <w:r>
        <w:t>the effect</w:t>
      </w:r>
      <w:r w:rsidRPr="4C0A0968">
        <w:t xml:space="preserve"> </w:t>
      </w:r>
      <w:r>
        <w:t>of</w:t>
      </w:r>
      <w:r w:rsidRPr="4C0A0968">
        <w:t xml:space="preserve"> AVS pacing on </w:t>
      </w:r>
      <w:r>
        <w:t xml:space="preserve">the </w:t>
      </w:r>
      <w:r w:rsidRPr="4C0A0968">
        <w:t>battery life</w:t>
      </w:r>
      <w:r>
        <w:t xml:space="preserve"> of the device. ESC considered this should be incorporated in the economic model. </w:t>
      </w:r>
    </w:p>
    <w:p w14:paraId="14E57BFF" w14:textId="77777777" w:rsidR="004167A0" w:rsidRDefault="004167A0" w:rsidP="004167A0">
      <w:r w:rsidRPr="4C0A0968">
        <w:t xml:space="preserve">ESC </w:t>
      </w:r>
      <w:r>
        <w:t xml:space="preserve">noted that while the economic </w:t>
      </w:r>
      <w:r w:rsidRPr="4C0A0968">
        <w:t>model</w:t>
      </w:r>
      <w:r>
        <w:t xml:space="preserve"> had </w:t>
      </w:r>
      <w:r w:rsidRPr="4C0A0968">
        <w:t xml:space="preserve">no major structural issues, it </w:t>
      </w:r>
      <w:r>
        <w:t>was based</w:t>
      </w:r>
      <w:r w:rsidRPr="4C0A0968">
        <w:t xml:space="preserve"> on uncertain clinical evidence. ESC </w:t>
      </w:r>
      <w:r>
        <w:t>raised concerns about</w:t>
      </w:r>
      <w:r w:rsidRPr="4C0A0968">
        <w:t xml:space="preserve"> the applicability of the QoL data and </w:t>
      </w:r>
      <w:r>
        <w:t>considered that it was reasonable to assume</w:t>
      </w:r>
      <w:r w:rsidRPr="4C0A0968">
        <w:t xml:space="preserve"> that Micra AV </w:t>
      </w:r>
      <w:r>
        <w:t>offers</w:t>
      </w:r>
      <w:r w:rsidRPr="4C0A0968">
        <w:t xml:space="preserve"> ongoing utility improvements over DC-TVPM due to the absence of leads and a chest pocket</w:t>
      </w:r>
      <w:r>
        <w:t>, despite the</w:t>
      </w:r>
      <w:r w:rsidRPr="4C0A0968">
        <w:t xml:space="preserve"> lack</w:t>
      </w:r>
      <w:r>
        <w:t xml:space="preserve"> of </w:t>
      </w:r>
      <w:r w:rsidRPr="4C0A0968">
        <w:t xml:space="preserve">supporting evidence. ESC noted from the </w:t>
      </w:r>
      <w:r>
        <w:t xml:space="preserve">applicant’s </w:t>
      </w:r>
      <w:r w:rsidRPr="4C0A0968">
        <w:t>pre-ESC response that MSAC had previously accepted</w:t>
      </w:r>
      <w:r>
        <w:t xml:space="preserve"> maintenance of</w:t>
      </w:r>
      <w:r w:rsidRPr="4C0A0968">
        <w:t xml:space="preserve"> long-term QoL benefits for the leadless technology in its assessment of </w:t>
      </w:r>
      <w:hyperlink r:id="rId25">
        <w:r w:rsidRPr="4C0A0968">
          <w:rPr>
            <w:rStyle w:val="Hyperlink"/>
          </w:rPr>
          <w:t>MSAC Application 1672</w:t>
        </w:r>
      </w:hyperlink>
      <w:r w:rsidRPr="4C0A0968">
        <w:t xml:space="preserve"> (for single-chamber LPM vs Micra VR pacing)</w:t>
      </w:r>
      <w:r>
        <w:t>, hence the applicant applied the same assumption in this application</w:t>
      </w:r>
      <w:r w:rsidRPr="4C0A0968">
        <w:t xml:space="preserve">.  </w:t>
      </w:r>
      <w:r>
        <w:t xml:space="preserve">Nonetheless, </w:t>
      </w:r>
      <w:r w:rsidRPr="4C0A0968">
        <w:t xml:space="preserve">ESC </w:t>
      </w:r>
      <w:r>
        <w:t>suggested</w:t>
      </w:r>
      <w:r w:rsidRPr="4C0A0968">
        <w:t xml:space="preserve"> that sensitivity analyses were needed that focus on reducing QoL effectiveness. ESC also considered it </w:t>
      </w:r>
      <w:r>
        <w:t xml:space="preserve">was </w:t>
      </w:r>
      <w:r w:rsidRPr="4C0A0968">
        <w:t xml:space="preserve">unclear whether disease progression </w:t>
      </w:r>
      <w:r>
        <w:t>and</w:t>
      </w:r>
      <w:r w:rsidRPr="4C0A0968">
        <w:t xml:space="preserve"> reversion to a conventional lead PM</w:t>
      </w:r>
      <w:r w:rsidRPr="00A43478">
        <w:t xml:space="preserve"> </w:t>
      </w:r>
      <w:r>
        <w:t>was incorporated into the economic model.</w:t>
      </w:r>
    </w:p>
    <w:p w14:paraId="42D291EB" w14:textId="77777777" w:rsidR="004167A0" w:rsidRDefault="004167A0" w:rsidP="004167A0">
      <w:r>
        <w:t xml:space="preserve">ESC noted that the model used a Markov analysis with two health states, adapting the cost-utility analysis model developed for </w:t>
      </w:r>
      <w:r w:rsidRPr="00DA37D7">
        <w:t>MSAC Application 1672</w:t>
      </w:r>
      <w:r>
        <w:t xml:space="preserve"> to assess the Micra AV LPM. Most inputs were from the original model, with revisions made to the comparator risks and baseline based on literature. The base-case results from MSAC Application 1672 are provided in </w:t>
      </w:r>
      <w:r>
        <w:fldChar w:fldCharType="begin"/>
      </w:r>
      <w:r>
        <w:instrText xml:space="preserve"> REF _Ref191633442 \h </w:instrText>
      </w:r>
      <w:r>
        <w:fldChar w:fldCharType="separate"/>
      </w:r>
      <w:r>
        <w:t xml:space="preserve">Table </w:t>
      </w:r>
      <w:r>
        <w:rPr>
          <w:noProof/>
        </w:rPr>
        <w:t>14</w:t>
      </w:r>
      <w:r>
        <w:fldChar w:fldCharType="end"/>
      </w:r>
      <w:r>
        <w:t xml:space="preserve">. </w:t>
      </w:r>
    </w:p>
    <w:p w14:paraId="2334CBA0" w14:textId="25E62C8E" w:rsidR="004167A0" w:rsidRDefault="004167A0" w:rsidP="004167A0">
      <w:r w:rsidRPr="4C0A0968">
        <w:t xml:space="preserve">ESC noted </w:t>
      </w:r>
      <w:r>
        <w:t>that</w:t>
      </w:r>
      <w:r w:rsidRPr="4C0A0968">
        <w:t xml:space="preserve"> the stepped analysis was modelled over 16 years, with step 5</w:t>
      </w:r>
      <w:r>
        <w:t xml:space="preserve"> as </w:t>
      </w:r>
      <w:r w:rsidRPr="4C0A0968">
        <w:t xml:space="preserve">the base case. The base case incremental cost-effectiveness ratio (ICER) was </w:t>
      </w:r>
      <w:r w:rsidR="001F11FD" w:rsidRPr="007D60FE">
        <w:t>$</w:t>
      </w:r>
      <w:r w:rsidR="001F11FD" w:rsidRPr="007D60FE">
        <w:rPr>
          <w:b/>
          <w:bCs/>
        </w:rPr>
        <w:t>redacted</w:t>
      </w:r>
      <w:r w:rsidR="001F11FD" w:rsidRPr="4C0A0968" w:rsidDel="001F11FD">
        <w:t xml:space="preserve"> </w:t>
      </w:r>
      <w:r w:rsidRPr="4C0A0968">
        <w:t xml:space="preserve">per quality-adjusted life year (QALY). ESC noted that the commentary highlighted uncertainties regarding the 16-year extrapolation time, due to the estimated shorter battery life of DC-TVPM (10–12 years) potentially leading to </w:t>
      </w:r>
      <w:r>
        <w:t xml:space="preserve">earlier replacement costs and health </w:t>
      </w:r>
      <w:r w:rsidRPr="4C0A0968">
        <w:t xml:space="preserve">outcomes. </w:t>
      </w:r>
      <w:r>
        <w:t>In the pre-ESC response, the applicant provided revised estimates that</w:t>
      </w:r>
      <w:r w:rsidRPr="4C0A0968">
        <w:t xml:space="preserve"> include</w:t>
      </w:r>
      <w:r>
        <w:t>d</w:t>
      </w:r>
      <w:r w:rsidRPr="4C0A0968">
        <w:t xml:space="preserve"> replacement costs for DC-TVPM after approximately 11 years, </w:t>
      </w:r>
      <w:r>
        <w:t>reducing</w:t>
      </w:r>
      <w:r w:rsidRPr="4C0A0968">
        <w:t xml:space="preserve"> </w:t>
      </w:r>
      <w:r>
        <w:t>the</w:t>
      </w:r>
      <w:r w:rsidRPr="4C0A0968">
        <w:t xml:space="preserve"> ICER to $</w:t>
      </w:r>
      <w:r w:rsidR="00523277">
        <w:rPr>
          <w:b/>
          <w:bCs/>
        </w:rPr>
        <w:t>redacted</w:t>
      </w:r>
      <w:r w:rsidRPr="4C0A0968">
        <w:t xml:space="preserve">/QALY. </w:t>
      </w:r>
      <w:r>
        <w:t xml:space="preserve">ESC noted that the applicant did not submit an updated model and this ICER could not be independently verified. ESC noted the revised ICER </w:t>
      </w:r>
      <w:r w:rsidRPr="007B714D">
        <w:t xml:space="preserve">accounts for the replacement costs of DC-TVPM after 11 years but does not consider the </w:t>
      </w:r>
      <w:r>
        <w:t xml:space="preserve">later </w:t>
      </w:r>
      <w:r w:rsidRPr="007B714D">
        <w:t xml:space="preserve">replacement </w:t>
      </w:r>
      <w:r>
        <w:t xml:space="preserve">of </w:t>
      </w:r>
      <w:r w:rsidRPr="007B714D">
        <w:t>Micra AV</w:t>
      </w:r>
      <w:r>
        <w:t xml:space="preserve">. Estimates for the battery life varied between 8-13 years for the Mica AV as noted in the PICO confirmation, and a median battery life of 15.6 years used by the ADAR for the Micra AV2 model. ESC considered that the selected time horizon of the updated ICER lacked face validity and therefore the updated ICER is not informative for decision-making. The </w:t>
      </w:r>
      <w:r w:rsidRPr="00DA765F">
        <w:t>cost advantage reflected in the 11th to 12th year may be temporary or inaccurate</w:t>
      </w:r>
      <w:r>
        <w:t>, and o</w:t>
      </w:r>
      <w:r w:rsidRPr="00DA765F">
        <w:t>ver a longer time horizon, both technologies would require replacement, potentially altering the ICER</w:t>
      </w:r>
      <w:r>
        <w:t xml:space="preserve">. ESC considered that additional sensitivity analyses across a range of time horizons that capture replacement costs for both </w:t>
      </w:r>
      <w:r w:rsidRPr="00E32AFE">
        <w:rPr>
          <w:rStyle w:val="Strong"/>
          <w:b w:val="0"/>
          <w:bCs w:val="0"/>
        </w:rPr>
        <w:t>DC-TVPM and Micra AV LPM</w:t>
      </w:r>
      <w:r>
        <w:t xml:space="preserve"> would be useful to improve the robustness of the ICER.</w:t>
      </w:r>
    </w:p>
    <w:p w14:paraId="3B747824" w14:textId="77777777" w:rsidR="004167A0" w:rsidRDefault="004167A0" w:rsidP="004167A0">
      <w:r>
        <w:t>ESC noted that a Markov trace was used for model validation, comparing the incidence of the modelled clinical events in the Micra AV and DC-TVPM cohorts over the 16-year analysis period. The traces crudely align with recent NSW data reporting a 1.3% rate of cardiac implantable electronic device–related infections at a median of 26 months follow-up.</w:t>
      </w:r>
    </w:p>
    <w:p w14:paraId="7E31CDB3" w14:textId="4368C52A" w:rsidR="004167A0" w:rsidRDefault="004167A0" w:rsidP="004167A0">
      <w:r w:rsidRPr="4C0A0968">
        <w:t xml:space="preserve">ESC noted that the key drivers of the model were </w:t>
      </w:r>
      <w:r>
        <w:t>extension of the time horizon</w:t>
      </w:r>
      <w:r w:rsidRPr="4C0A0968">
        <w:t xml:space="preserve"> beyond 2 years to 16 years, the ongoing </w:t>
      </w:r>
      <w:r>
        <w:t>QALY difference vs</w:t>
      </w:r>
      <w:r w:rsidRPr="4C0A0968">
        <w:t xml:space="preserve"> DC-TVPM, and post-procedural disutility. These drivers changed the base case ICER by 18–49% in both directions. Notably, </w:t>
      </w:r>
      <w:r>
        <w:t xml:space="preserve">extending the timeline alone </w:t>
      </w:r>
      <w:r w:rsidRPr="4C0A0968">
        <w:t>reduce</w:t>
      </w:r>
      <w:r>
        <w:t>d</w:t>
      </w:r>
      <w:r w:rsidRPr="4C0A0968">
        <w:t xml:space="preserve"> the ICER from $</w:t>
      </w:r>
      <w:r w:rsidR="00523277">
        <w:rPr>
          <w:b/>
          <w:bCs/>
        </w:rPr>
        <w:t>redacted</w:t>
      </w:r>
      <w:r w:rsidRPr="4C0A0968">
        <w:t xml:space="preserve">/QALY over 2 years to </w:t>
      </w:r>
      <w:r w:rsidR="007D2324" w:rsidRPr="007D60FE">
        <w:t>$</w:t>
      </w:r>
      <w:r w:rsidR="007D2324" w:rsidRPr="007D60FE">
        <w:rPr>
          <w:b/>
          <w:bCs/>
        </w:rPr>
        <w:t>redacted</w:t>
      </w:r>
      <w:r w:rsidRPr="4C0A0968">
        <w:t>/QALY over 16 years. Infection cost, infection mortality and complication risks all had moderate impacts on the ICER.</w:t>
      </w:r>
      <w:r w:rsidRPr="00940320">
        <w:t xml:space="preserve"> </w:t>
      </w:r>
      <w:r>
        <w:t>ESC considered that additional sensitivity analyses varying the utility weights would aid decision-making.</w:t>
      </w:r>
    </w:p>
    <w:p w14:paraId="57AD36F3" w14:textId="77777777" w:rsidR="004167A0" w:rsidRDefault="004167A0" w:rsidP="004167A0">
      <w:r>
        <w:t xml:space="preserve">ESC noted PASC advice that insertion of a Micra VR device should be included as a secondary comparator if the applicant intends to seek a higher PL benefit for the Micra AV.  ESC noted that the proposed higher PL benefit for Micra AV was not supported by the evidence or analyses presented in the ADAR. </w:t>
      </w:r>
    </w:p>
    <w:p w14:paraId="2B21E9E9" w14:textId="19BCEEDA" w:rsidR="004167A0" w:rsidRDefault="004167A0" w:rsidP="004167A0">
      <w:r w:rsidRPr="4C0A0968">
        <w:t xml:space="preserve">ESC </w:t>
      </w:r>
      <w:r>
        <w:t>considered</w:t>
      </w:r>
      <w:r w:rsidRPr="4C0A0968">
        <w:t xml:space="preserve"> that </w:t>
      </w:r>
      <w:r>
        <w:t xml:space="preserve">the use of </w:t>
      </w:r>
      <w:r w:rsidRPr="4C0A0968">
        <w:t>a market share approach to estimate the financial impacts</w:t>
      </w:r>
      <w:r>
        <w:t xml:space="preserve"> was </w:t>
      </w:r>
      <w:r w:rsidRPr="4C0A0968">
        <w:t xml:space="preserve">appropriate. The number of Micra AV </w:t>
      </w:r>
      <w:r>
        <w:t xml:space="preserve">device implantations </w:t>
      </w:r>
      <w:r w:rsidRPr="4C0A0968">
        <w:t xml:space="preserve">was estimated based on the usage of </w:t>
      </w:r>
      <w:hyperlink r:id="rId26">
        <w:r w:rsidRPr="4C0A0968">
          <w:rPr>
            <w:rStyle w:val="Hyperlink"/>
          </w:rPr>
          <w:t>MBS item 38356</w:t>
        </w:r>
      </w:hyperlink>
      <w:r w:rsidRPr="4C0A0968">
        <w:t xml:space="preserve"> (insertion, removal or replacement of DC permanent transvenous electrodes), extrapolated over 16 years using a linear growth trend. ESC noted that 35% of DC-TVPM implants are projected to be used in patients </w:t>
      </w:r>
      <w:r>
        <w:t xml:space="preserve">who are also </w:t>
      </w:r>
      <w:r w:rsidRPr="4C0A0968">
        <w:t xml:space="preserve">eligible for Micra AV, based on a Department of Veterans’ Affairs (DVA) cohort (2005–2014). </w:t>
      </w:r>
      <w:r>
        <w:t xml:space="preserve">While </w:t>
      </w:r>
      <w:r w:rsidRPr="4C0A0968">
        <w:t xml:space="preserve">ESC </w:t>
      </w:r>
      <w:r>
        <w:t>acknowledged</w:t>
      </w:r>
      <w:r w:rsidRPr="4C0A0968">
        <w:t xml:space="preserve"> concern</w:t>
      </w:r>
      <w:r>
        <w:t>s</w:t>
      </w:r>
      <w:r w:rsidRPr="4C0A0968">
        <w:t xml:space="preserve"> from the commentary about whether the DVA cohort was representative of the general population, ESC considered </w:t>
      </w:r>
      <w:r>
        <w:t>the</w:t>
      </w:r>
      <w:r w:rsidRPr="4C0A0968">
        <w:t xml:space="preserve"> cohort reasonable in the absence of other data. ESC noted that Micra AV uptake is estimated </w:t>
      </w:r>
      <w:r w:rsidRPr="007757B0">
        <w:t>at</w:t>
      </w:r>
      <w:r w:rsidRPr="4C0A0968">
        <w:t xml:space="preserve"> </w:t>
      </w:r>
      <w:r w:rsidR="007757B0">
        <w:rPr>
          <w:b/>
          <w:bCs/>
        </w:rPr>
        <w:t>redacted</w:t>
      </w:r>
      <w:r w:rsidR="007757B0" w:rsidRPr="00F76B3D">
        <w:t>%</w:t>
      </w:r>
      <w:r w:rsidRPr="4C0A0968">
        <w:t xml:space="preserve"> of </w:t>
      </w:r>
      <w:r>
        <w:t xml:space="preserve">these </w:t>
      </w:r>
      <w:r w:rsidRPr="4C0A0968">
        <w:t xml:space="preserve">eligible patients in year 1, </w:t>
      </w:r>
      <w:r>
        <w:t>growing</w:t>
      </w:r>
      <w:r w:rsidRPr="4C0A0968">
        <w:t xml:space="preserve"> to </w:t>
      </w:r>
      <w:r w:rsidR="007757B0">
        <w:rPr>
          <w:b/>
          <w:bCs/>
        </w:rPr>
        <w:t>redacted</w:t>
      </w:r>
      <w:r w:rsidRPr="4C0A0968">
        <w:t xml:space="preserve">% by year 6, </w:t>
      </w:r>
      <w:r>
        <w:t>though</w:t>
      </w:r>
      <w:r w:rsidRPr="4C0A0968">
        <w:t xml:space="preserve"> ESC considered these </w:t>
      </w:r>
      <w:r>
        <w:t xml:space="preserve">uptake </w:t>
      </w:r>
      <w:r w:rsidRPr="4C0A0968">
        <w:t xml:space="preserve">rates to be uncertain. ESC </w:t>
      </w:r>
      <w:r>
        <w:t>noted</w:t>
      </w:r>
      <w:r w:rsidRPr="4C0A0968">
        <w:t xml:space="preserve"> that the </w:t>
      </w:r>
      <w:r>
        <w:t xml:space="preserve">estimated </w:t>
      </w:r>
      <w:r w:rsidRPr="4C0A0968">
        <w:t xml:space="preserve">cost offsets for DC-TVPM substitution may not materialise, as clinical feedback </w:t>
      </w:r>
      <w:r>
        <w:t>suggests</w:t>
      </w:r>
      <w:r w:rsidRPr="4C0A0968">
        <w:t xml:space="preserve"> that ≤5% of AVB patients are contraindicated for transvenous options.</w:t>
      </w:r>
    </w:p>
    <w:p w14:paraId="4F175D1F" w14:textId="0B4E8504" w:rsidR="004167A0" w:rsidRDefault="004167A0" w:rsidP="004167A0">
      <w:r w:rsidRPr="4C0A0968">
        <w:t xml:space="preserve">ESC noted that the net financial impact to the Medicare Benefits Schedule (MBS) </w:t>
      </w:r>
      <w:r>
        <w:t>was</w:t>
      </w:r>
      <w:r w:rsidRPr="4C0A0968">
        <w:t xml:space="preserve"> estimated </w:t>
      </w:r>
      <w:r>
        <w:t xml:space="preserve">in the ADAR </w:t>
      </w:r>
      <w:r w:rsidRPr="4C0A0968">
        <w:t xml:space="preserve">to be a cost saving of </w:t>
      </w:r>
      <w:r w:rsidR="00401FD9" w:rsidRPr="4C0A0968">
        <w:t>$</w:t>
      </w:r>
      <w:r w:rsidR="00401FD9">
        <w:rPr>
          <w:b/>
          <w:bCs/>
        </w:rPr>
        <w:t>redacted</w:t>
      </w:r>
      <w:r w:rsidR="00401FD9" w:rsidRPr="4C0A0968" w:rsidDel="00401FD9">
        <w:t xml:space="preserve"> </w:t>
      </w:r>
      <w:r w:rsidRPr="4C0A0968">
        <w:t xml:space="preserve">in year 1 increasing to a cost saving of </w:t>
      </w:r>
      <w:r w:rsidR="00401FD9" w:rsidRPr="4C0A0968">
        <w:t>$</w:t>
      </w:r>
      <w:r w:rsidR="00401FD9">
        <w:rPr>
          <w:b/>
          <w:bCs/>
        </w:rPr>
        <w:t>redacted</w:t>
      </w:r>
      <w:r w:rsidR="00401FD9" w:rsidRPr="4C0A0968" w:rsidDel="00401FD9">
        <w:t xml:space="preserve"> </w:t>
      </w:r>
      <w:r w:rsidRPr="4C0A0968">
        <w:t xml:space="preserve">by year 6. The overall net financial impact to the Australian healthcare system </w:t>
      </w:r>
      <w:r>
        <w:t>was</w:t>
      </w:r>
      <w:r w:rsidRPr="4C0A0968">
        <w:t xml:space="preserve"> estimated </w:t>
      </w:r>
      <w:r>
        <w:t xml:space="preserve">by the ADAR </w:t>
      </w:r>
      <w:r w:rsidRPr="4C0A0968">
        <w:t xml:space="preserve">to be </w:t>
      </w:r>
      <w:r w:rsidR="00401FD9" w:rsidRPr="4C0A0968">
        <w:t>$</w:t>
      </w:r>
      <w:r w:rsidR="00401FD9">
        <w:rPr>
          <w:b/>
          <w:bCs/>
        </w:rPr>
        <w:t>redacted</w:t>
      </w:r>
      <w:r w:rsidR="00401FD9" w:rsidRPr="4C0A0968" w:rsidDel="00401FD9">
        <w:t xml:space="preserve"> </w:t>
      </w:r>
      <w:r w:rsidRPr="4C0A0968">
        <w:t>in year 1 increasing to $</w:t>
      </w:r>
      <w:r w:rsidR="00401FD9">
        <w:rPr>
          <w:b/>
          <w:bCs/>
        </w:rPr>
        <w:t>redacted</w:t>
      </w:r>
      <w:r w:rsidR="00401FD9" w:rsidRPr="4C0A0968" w:rsidDel="00401FD9">
        <w:t xml:space="preserve"> </w:t>
      </w:r>
      <w:r w:rsidRPr="4C0A0968">
        <w:t>in year 5.</w:t>
      </w:r>
      <w:r>
        <w:t xml:space="preserve"> ESC noted that if the</w:t>
      </w:r>
      <w:r w:rsidRPr="00FD5789">
        <w:t xml:space="preserve"> Micra VR is also a relevant second comparator then the impact of the Micra AV on the Micra VR market share should also be considered.</w:t>
      </w:r>
    </w:p>
    <w:p w14:paraId="4E5C410F" w14:textId="77777777" w:rsidR="004167A0" w:rsidRPr="00D02F17" w:rsidRDefault="004167A0" w:rsidP="004167A0">
      <w:r w:rsidRPr="4C0A0968">
        <w:t xml:space="preserve">ESC noted that the </w:t>
      </w:r>
      <w:r>
        <w:t>department</w:t>
      </w:r>
      <w:r w:rsidRPr="4C0A0968">
        <w:t xml:space="preserve"> </w:t>
      </w:r>
      <w:r>
        <w:t>suggested</w:t>
      </w:r>
      <w:r w:rsidRPr="4C0A0968">
        <w:t xml:space="preserve"> this application be reviewed by the Medical Devices and Human Tissue Advisory Committee (MDHTAC) Cardiovascular Expert Clinical Advisory Group</w:t>
      </w:r>
      <w:r>
        <w:t xml:space="preserve"> (CVECAG)</w:t>
      </w:r>
      <w:r w:rsidRPr="4C0A0968">
        <w:t xml:space="preserve"> before MSAC consideration.</w:t>
      </w:r>
      <w:r>
        <w:t xml:space="preserve"> ESC noted that the CVECAG may provide additional clinical expertise regarding the comparative clinical performance of the devices however,</w:t>
      </w:r>
      <w:r w:rsidRPr="4C0A0968">
        <w:t xml:space="preserve"> </w:t>
      </w:r>
      <w:r>
        <w:t>ESC considered that the current application should proceed to MSAC via the standard processes.</w:t>
      </w:r>
      <w:r w:rsidRPr="4C0A0968">
        <w:t xml:space="preserve"> </w:t>
      </w:r>
    </w:p>
    <w:p w14:paraId="3BAB3162" w14:textId="77777777" w:rsidR="004167A0" w:rsidRDefault="004167A0" w:rsidP="004167A0">
      <w:pPr>
        <w:pStyle w:val="Heading2"/>
        <w:numPr>
          <w:ilvl w:val="0"/>
          <w:numId w:val="27"/>
        </w:numPr>
        <w:ind w:hanging="720"/>
      </w:pPr>
      <w:bookmarkStart w:id="74" w:name="_Hlk193984667"/>
      <w:r w:rsidRPr="003A793E">
        <w:t>Applicant comments on MSAC’s Public Summary Document</w:t>
      </w:r>
    </w:p>
    <w:p w14:paraId="152E8576" w14:textId="1FC447A8" w:rsidR="00B7630A" w:rsidRPr="00B7630A" w:rsidRDefault="00B7630A" w:rsidP="00B7630A">
      <w:r>
        <w:t>Nil.</w:t>
      </w:r>
    </w:p>
    <w:p w14:paraId="53BAD95D" w14:textId="0826CB65" w:rsidR="004167A0" w:rsidRPr="00A737D1" w:rsidRDefault="004167A0" w:rsidP="004167A0">
      <w:pPr>
        <w:pStyle w:val="Heading2"/>
        <w:numPr>
          <w:ilvl w:val="0"/>
          <w:numId w:val="27"/>
        </w:numPr>
        <w:ind w:hanging="720"/>
      </w:pPr>
      <w:r w:rsidRPr="003A793E">
        <w:t>Further information on MSAC</w:t>
      </w:r>
    </w:p>
    <w:p w14:paraId="70250A49" w14:textId="5827FCB0" w:rsidR="004167A0" w:rsidRPr="004167A0" w:rsidRDefault="004167A0" w:rsidP="004167A0">
      <w:pPr>
        <w:pStyle w:val="BodyText"/>
        <w:rPr>
          <w:b/>
          <w:bCs/>
          <w:i/>
          <w:iCs/>
        </w:rPr>
      </w:pPr>
      <w:r w:rsidRPr="00F309FA">
        <w:rPr>
          <w:bCs/>
          <w:iCs/>
        </w:rPr>
        <w:t xml:space="preserve">MSAC Terms of Reference and other information are available on the MSAC Website: </w:t>
      </w:r>
      <w:hyperlink r:id="rId27" w:tooltip="Link to the MSAC website" w:history="1">
        <w:r w:rsidRPr="000D2098">
          <w:rPr>
            <w:rStyle w:val="Hyperlink"/>
            <w:iCs/>
            <w:color w:val="007BB8"/>
          </w:rPr>
          <w:t>visit the MSAC website</w:t>
        </w:r>
      </w:hyperlink>
      <w:bookmarkEnd w:id="74"/>
    </w:p>
    <w:sectPr w:rsidR="004167A0" w:rsidRPr="004167A0" w:rsidSect="00784341">
      <w:type w:val="oddPag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6D6FC" w14:textId="77777777" w:rsidR="00637AE3" w:rsidRDefault="00637AE3" w:rsidP="00B62DF2">
      <w:pPr>
        <w:spacing w:after="0" w:line="240" w:lineRule="auto"/>
      </w:pPr>
      <w:r>
        <w:separator/>
      </w:r>
    </w:p>
  </w:endnote>
  <w:endnote w:type="continuationSeparator" w:id="0">
    <w:p w14:paraId="3791A2DE" w14:textId="77777777" w:rsidR="00637AE3" w:rsidRDefault="00637AE3" w:rsidP="00B62DF2">
      <w:pPr>
        <w:spacing w:after="0" w:line="240" w:lineRule="auto"/>
      </w:pPr>
      <w:r>
        <w:continuationSeparator/>
      </w:r>
    </w:p>
  </w:endnote>
  <w:endnote w:type="continuationNotice" w:id="1">
    <w:p w14:paraId="55B43730" w14:textId="77777777" w:rsidR="00637AE3" w:rsidRDefault="00637AE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altName w:val="Cambria"/>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altName w:val="Calibri"/>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altName w:val="Arial"/>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5460831"/>
      <w:docPartObj>
        <w:docPartGallery w:val="Page Numbers (Bottom of Page)"/>
        <w:docPartUnique/>
      </w:docPartObj>
    </w:sdtPr>
    <w:sdtEndPr>
      <w:rPr>
        <w:noProof/>
      </w:rPr>
    </w:sdtEndPr>
    <w:sdtContent>
      <w:p w14:paraId="6E76D499" w14:textId="395018F3" w:rsidR="005947B5" w:rsidRDefault="005947B5" w:rsidP="00054D83">
        <w:pPr>
          <w:pStyle w:val="Footer"/>
          <w:jc w:val="right"/>
        </w:pPr>
        <w:r>
          <w:fldChar w:fldCharType="begin"/>
        </w:r>
        <w:r>
          <w:instrText xml:space="preserve"> PAGE   \* MERGEFORMAT </w:instrText>
        </w:r>
        <w:r>
          <w:fldChar w:fldCharType="separate"/>
        </w:r>
        <w:r w:rsidR="00120BD3">
          <w:rPr>
            <w:noProof/>
          </w:rPr>
          <w:t>22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44847"/>
      <w:docPartObj>
        <w:docPartGallery w:val="Page Numbers (Bottom of Page)"/>
        <w:docPartUnique/>
      </w:docPartObj>
    </w:sdtPr>
    <w:sdtEndPr>
      <w:rPr>
        <w:noProof/>
      </w:rPr>
    </w:sdtEndPr>
    <w:sdtContent>
      <w:p w14:paraId="6BE9385A" w14:textId="39581B7D" w:rsidR="005947B5" w:rsidRDefault="005947B5" w:rsidP="00054D83">
        <w:pPr>
          <w:pStyle w:val="Footer"/>
          <w:jc w:val="right"/>
        </w:pPr>
        <w:r>
          <w:fldChar w:fldCharType="begin"/>
        </w:r>
        <w:r>
          <w:instrText xml:space="preserve"> PAGE   \* MERGEFORMAT </w:instrText>
        </w:r>
        <w:r>
          <w:fldChar w:fldCharType="separate"/>
        </w:r>
        <w:r w:rsidR="00120BD3">
          <w:rPr>
            <w:noProof/>
          </w:rPr>
          <w:t>21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A062E" w14:textId="77777777" w:rsidR="00BB4E3B" w:rsidRDefault="00BB4E3B"/>
  <w:p w14:paraId="371A1668" w14:textId="77777777" w:rsidR="003E1AD0" w:rsidRDefault="003E1AD0"/>
  <w:p w14:paraId="65BC9AD0" w14:textId="22C52E54" w:rsidR="00C87CEA" w:rsidRDefault="00790CF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0C80C" w14:textId="77777777" w:rsidR="00637AE3" w:rsidRDefault="00637AE3" w:rsidP="00B62DF2">
      <w:pPr>
        <w:spacing w:after="0" w:line="240" w:lineRule="auto"/>
      </w:pPr>
      <w:r>
        <w:separator/>
      </w:r>
    </w:p>
  </w:footnote>
  <w:footnote w:type="continuationSeparator" w:id="0">
    <w:p w14:paraId="2B053B13" w14:textId="77777777" w:rsidR="00637AE3" w:rsidRDefault="00637AE3" w:rsidP="00B62DF2">
      <w:pPr>
        <w:spacing w:after="0" w:line="240" w:lineRule="auto"/>
      </w:pPr>
      <w:r>
        <w:continuationSeparator/>
      </w:r>
    </w:p>
  </w:footnote>
  <w:footnote w:type="continuationNotice" w:id="1">
    <w:p w14:paraId="692A9347" w14:textId="77777777" w:rsidR="00637AE3" w:rsidRDefault="00637AE3">
      <w:pPr>
        <w:spacing w:before="0" w:after="0" w:line="240" w:lineRule="auto"/>
      </w:pPr>
    </w:p>
  </w:footnote>
  <w:footnote w:id="2">
    <w:p w14:paraId="5853B1A0" w14:textId="1D2AB471" w:rsidR="00EC7CCE" w:rsidRDefault="00EC7CCE">
      <w:pPr>
        <w:pStyle w:val="FootnoteText"/>
      </w:pPr>
      <w:r>
        <w:rPr>
          <w:rStyle w:val="FootnoteReference"/>
        </w:rPr>
        <w:footnoteRef/>
      </w:r>
      <w:r>
        <w:t xml:space="preserve"> </w:t>
      </w:r>
      <w:r w:rsidR="007A2521">
        <w:t>MSAC Application</w:t>
      </w:r>
      <w:r w:rsidR="002C7C08">
        <w:t xml:space="preserve"> </w:t>
      </w:r>
      <w:r w:rsidR="003D720B">
        <w:t>1672</w:t>
      </w:r>
      <w:r w:rsidR="002C7C08">
        <w:t>:</w:t>
      </w:r>
      <w:r w:rsidR="003D720B">
        <w:t xml:space="preserve"> </w:t>
      </w:r>
      <w:hyperlink r:id="rId1" w:history="1">
        <w:r w:rsidR="003D720B" w:rsidRPr="00A33549">
          <w:rPr>
            <w:rStyle w:val="Hyperlink"/>
          </w:rPr>
          <w:t>Ratified PICO</w:t>
        </w:r>
        <w:r w:rsidR="007A2521" w:rsidRPr="00A33549">
          <w:rPr>
            <w:rStyle w:val="Hyperlink"/>
          </w:rPr>
          <w:t xml:space="preserve"> Confirmation</w:t>
        </w:r>
      </w:hyperlink>
      <w:r w:rsidR="003D720B">
        <w:t>,</w:t>
      </w:r>
      <w:r w:rsidR="00A33549">
        <w:t xml:space="preserve"> </w:t>
      </w:r>
      <w:r w:rsidR="005B0A08" w:rsidRPr="005B0A08">
        <w:t>https://www.msac.gov.au/sites/default/files/documents/1672%2520Ratified%2520PICO.pdf</w:t>
      </w:r>
    </w:p>
  </w:footnote>
  <w:footnote w:id="3">
    <w:p w14:paraId="58F8543F" w14:textId="76BD3B58" w:rsidR="007370D9" w:rsidRDefault="007370D9">
      <w:pPr>
        <w:pStyle w:val="FootnoteText"/>
      </w:pPr>
      <w:r>
        <w:rPr>
          <w:rStyle w:val="FootnoteReference"/>
        </w:rPr>
        <w:footnoteRef/>
      </w:r>
      <w:r>
        <w:t xml:space="preserve"> </w:t>
      </w:r>
      <w:proofErr w:type="spellStart"/>
      <w:r w:rsidRPr="007370D9">
        <w:t>Kusomoto</w:t>
      </w:r>
      <w:proofErr w:type="spellEnd"/>
      <w:r w:rsidRPr="007370D9">
        <w:t xml:space="preserve">, FM, et al. 2019, ‘2018 ACC/AHA/HRS guideline on the evaluation and management of patients with bradycardia and cardiac conduction delay. A report of the American College of Cardiology/American Heart Association Task Force on Clinical Practice Guidelines and the Heart Rhythm Society’, </w:t>
      </w:r>
      <w:r w:rsidRPr="00E95A1D">
        <w:rPr>
          <w:i/>
          <w:iCs/>
        </w:rPr>
        <w:t>Circulation</w:t>
      </w:r>
      <w:r w:rsidRPr="007370D9">
        <w:t>, vol. 140, no. 8, pp. e382-e482.</w:t>
      </w:r>
    </w:p>
  </w:footnote>
  <w:footnote w:id="4">
    <w:p w14:paraId="24C28A7A" w14:textId="5861D9DE" w:rsidR="00F8789A" w:rsidRPr="00D17882" w:rsidRDefault="00F8789A" w:rsidP="00F8789A">
      <w:pPr>
        <w:pStyle w:val="FootnoteText"/>
        <w:rPr>
          <w:lang w:val="en-US"/>
        </w:rPr>
      </w:pPr>
      <w:r>
        <w:rPr>
          <w:rStyle w:val="FootnoteReference"/>
        </w:rPr>
        <w:footnoteRef/>
      </w:r>
      <w:r>
        <w:t xml:space="preserve"> Medtronic (2024). </w:t>
      </w:r>
      <w:r w:rsidRPr="00FE5EB0">
        <w:rPr>
          <w:rFonts w:ascii="Calibri" w:hAnsi="Calibri"/>
          <w:i/>
          <w:iCs/>
        </w:rPr>
        <w:t>Micra</w:t>
      </w:r>
      <w:r w:rsidRPr="00FE5EB0">
        <w:rPr>
          <w:rFonts w:ascii="Calibri" w:hAnsi="Calibri" w:cs="Calibri"/>
          <w:i/>
          <w:iCs/>
        </w:rPr>
        <w:t>™</w:t>
      </w:r>
      <w:r w:rsidRPr="00FE5EB0">
        <w:rPr>
          <w:rFonts w:ascii="Calibri" w:hAnsi="Calibri"/>
          <w:i/>
          <w:iCs/>
        </w:rPr>
        <w:t xml:space="preserve"> leadless pacemakers</w:t>
      </w:r>
      <w:r w:rsidR="004E1585">
        <w:rPr>
          <w:rFonts w:ascii="Calibri" w:hAnsi="Calibri"/>
          <w:i/>
          <w:iCs/>
        </w:rPr>
        <w:t xml:space="preserve">, </w:t>
      </w:r>
      <w:r w:rsidR="004E1585" w:rsidRPr="0086093C">
        <w:t xml:space="preserve">accessed </w:t>
      </w:r>
      <w:r w:rsidR="004E1585">
        <w:t>13 November</w:t>
      </w:r>
      <w:r w:rsidR="004E1585" w:rsidRPr="0086093C">
        <w:t xml:space="preserve"> 2024</w:t>
      </w:r>
      <w:r w:rsidR="007D4900">
        <w:t xml:space="preserve">, </w:t>
      </w:r>
      <w:r w:rsidRPr="00DF3EDD">
        <w:t>https://www.medtronic.com/content/dam/medtronic-wide/public/canada/products/cardiac-vascular/cardiac-rhythm/pacing-systems/micra-vr2-av2-portfolio-brochure.pdf</w:t>
      </w:r>
      <w:r>
        <w:t>.</w:t>
      </w:r>
    </w:p>
  </w:footnote>
  <w:footnote w:id="5">
    <w:p w14:paraId="56473EC3" w14:textId="75938997" w:rsidR="00F8789A" w:rsidRPr="00E12402" w:rsidRDefault="00F8789A" w:rsidP="00F8789A">
      <w:pPr>
        <w:pStyle w:val="FootnoteText"/>
        <w:rPr>
          <w:lang w:val="en-US"/>
        </w:rPr>
      </w:pPr>
      <w:r>
        <w:rPr>
          <w:rStyle w:val="FootnoteReference"/>
        </w:rPr>
        <w:footnoteRef/>
      </w:r>
      <w:r>
        <w:t xml:space="preserve"> U.S. Food and Drug Administration (2023). </w:t>
      </w:r>
      <w:proofErr w:type="gramStart"/>
      <w:r w:rsidRPr="00926328">
        <w:rPr>
          <w:i/>
          <w:iCs/>
        </w:rPr>
        <w:t>Premarket approv</w:t>
      </w:r>
      <w:r w:rsidR="00CA64AE">
        <w:rPr>
          <w:i/>
          <w:iCs/>
        </w:rPr>
        <w:t>al,</w:t>
      </w:r>
      <w:proofErr w:type="gramEnd"/>
      <w:r>
        <w:rPr>
          <w:i/>
          <w:iCs/>
        </w:rPr>
        <w:t xml:space="preserve"> </w:t>
      </w:r>
      <w:r w:rsidR="00CA64AE" w:rsidRPr="0086093C">
        <w:t xml:space="preserve">accessed </w:t>
      </w:r>
      <w:r w:rsidR="00CA64AE">
        <w:t>13 November</w:t>
      </w:r>
      <w:r w:rsidR="00CA64AE" w:rsidRPr="0086093C">
        <w:t xml:space="preserve"> 2024</w:t>
      </w:r>
      <w:r w:rsidR="00CA64AE">
        <w:t xml:space="preserve">, </w:t>
      </w:r>
      <w:r w:rsidR="00CA64AE" w:rsidRPr="00CA64AE">
        <w:t>https://www.accessdata.fda.gov/scripts/cdrh/cfdocs/cfpma/pma.cfm?id=P150035S003</w:t>
      </w:r>
      <w:r>
        <w:t>.</w:t>
      </w:r>
    </w:p>
  </w:footnote>
  <w:footnote w:id="6">
    <w:p w14:paraId="5BF319A5" w14:textId="5A00E81E" w:rsidR="008F17ED" w:rsidRPr="003945C2" w:rsidRDefault="008F17ED" w:rsidP="008F17ED">
      <w:pPr>
        <w:pStyle w:val="FootnoteText"/>
        <w:rPr>
          <w:lang w:val="en-US"/>
        </w:rPr>
      </w:pPr>
      <w:r>
        <w:rPr>
          <w:rStyle w:val="FootnoteReference"/>
        </w:rPr>
        <w:footnoteRef/>
      </w:r>
      <w:r>
        <w:t xml:space="preserve"> Medtronic, Inc. (2020). </w:t>
      </w:r>
      <w:r w:rsidRPr="00F35BEB">
        <w:rPr>
          <w:i/>
          <w:iCs/>
        </w:rPr>
        <w:t>Medtronic Micra™ AV MC1AVR1</w:t>
      </w:r>
      <w:r w:rsidR="00086DF1">
        <w:t>,</w:t>
      </w:r>
      <w:r>
        <w:t xml:space="preserve"> </w:t>
      </w:r>
      <w:r w:rsidR="00086DF1" w:rsidRPr="0086093C">
        <w:t xml:space="preserve">accessed </w:t>
      </w:r>
      <w:r w:rsidR="00086DF1">
        <w:t>13 November</w:t>
      </w:r>
      <w:r w:rsidR="00086DF1" w:rsidRPr="0086093C">
        <w:t xml:space="preserve"> 2024</w:t>
      </w:r>
      <w:r w:rsidR="00086DF1">
        <w:t xml:space="preserve">, </w:t>
      </w:r>
      <w:r w:rsidRPr="00086DF1">
        <w:t>https://wwwp.medtronic.com/crs-upload/letters/401/401_Micra_AV_Implant_Manual_with_Medical_Procedure_and_EMI_Precautions.pdf</w:t>
      </w:r>
      <w:r>
        <w:t>.</w:t>
      </w:r>
    </w:p>
  </w:footnote>
  <w:footnote w:id="7">
    <w:p w14:paraId="182BA736" w14:textId="184993A9" w:rsidR="008F17ED" w:rsidRPr="00637A3D" w:rsidRDefault="008F17ED" w:rsidP="008F17ED">
      <w:pPr>
        <w:pStyle w:val="FootnoteText"/>
        <w:rPr>
          <w:rFonts w:ascii="Calibri" w:hAnsi="Calibri" w:cs="Calibri"/>
          <w:szCs w:val="18"/>
        </w:rPr>
      </w:pPr>
      <w:r w:rsidRPr="00637A3D">
        <w:rPr>
          <w:rStyle w:val="FootnoteReference"/>
          <w:rFonts w:ascii="Calibri" w:hAnsi="Calibri" w:cs="Calibri"/>
          <w:szCs w:val="18"/>
        </w:rPr>
        <w:footnoteRef/>
      </w:r>
      <w:r w:rsidRPr="00637A3D">
        <w:rPr>
          <w:rFonts w:ascii="Calibri" w:hAnsi="Calibri" w:cs="Calibri"/>
          <w:szCs w:val="18"/>
        </w:rPr>
        <w:t xml:space="preserve"> </w:t>
      </w:r>
      <w:proofErr w:type="spellStart"/>
      <w:r w:rsidRPr="00637A3D">
        <w:rPr>
          <w:rFonts w:ascii="Calibri" w:hAnsi="Calibri" w:cs="Calibri"/>
          <w:szCs w:val="18"/>
        </w:rPr>
        <w:t>Kusomoto</w:t>
      </w:r>
      <w:proofErr w:type="spellEnd"/>
      <w:r w:rsidRPr="00637A3D">
        <w:rPr>
          <w:rFonts w:ascii="Calibri" w:hAnsi="Calibri" w:cs="Calibri"/>
          <w:szCs w:val="18"/>
        </w:rPr>
        <w:t xml:space="preserve"> FM, et al. </w:t>
      </w:r>
      <w:r w:rsidR="0093512F">
        <w:rPr>
          <w:rFonts w:ascii="Calibri" w:hAnsi="Calibri" w:cs="Calibri"/>
          <w:szCs w:val="18"/>
        </w:rPr>
        <w:t>(</w:t>
      </w:r>
      <w:r w:rsidRPr="00E5777A">
        <w:rPr>
          <w:rFonts w:cstheme="minorHAnsi"/>
        </w:rPr>
        <w:t>2019)</w:t>
      </w:r>
      <w:r w:rsidR="006D012F">
        <w:rPr>
          <w:rFonts w:cstheme="minorHAnsi"/>
        </w:rPr>
        <w:t>.</w:t>
      </w:r>
      <w:r w:rsidRPr="00E5777A">
        <w:rPr>
          <w:rFonts w:cstheme="minorHAnsi"/>
        </w:rPr>
        <w:t xml:space="preserve"> 2018 ACC/AHA/HRS guideline on the evaluation and management of patients with bradycardia and cardiac conduction delay. A report of the American College of Cardiology/American Heart Association Task Force on Clinical Practice Guidelines and the Heart Rhythm Society. </w:t>
      </w:r>
      <w:r w:rsidRPr="0007393B">
        <w:rPr>
          <w:rFonts w:cstheme="minorHAnsi"/>
          <w:i/>
        </w:rPr>
        <w:t>Circulation</w:t>
      </w:r>
      <w:r w:rsidRPr="00E5777A">
        <w:rPr>
          <w:rFonts w:cstheme="minorHAnsi"/>
        </w:rPr>
        <w:t xml:space="preserve"> 140(8</w:t>
      </w:r>
      <w:proofErr w:type="gramStart"/>
      <w:r w:rsidRPr="00E5777A">
        <w:rPr>
          <w:rFonts w:cstheme="minorHAnsi"/>
        </w:rPr>
        <w:t>):e</w:t>
      </w:r>
      <w:proofErr w:type="gramEnd"/>
      <w:r w:rsidRPr="00E5777A">
        <w:rPr>
          <w:rFonts w:cstheme="minorHAnsi"/>
        </w:rPr>
        <w:t>382-e482.</w:t>
      </w:r>
    </w:p>
  </w:footnote>
  <w:footnote w:id="8">
    <w:p w14:paraId="5DBA750B" w14:textId="39443FBF" w:rsidR="008F17ED" w:rsidRPr="00637A3D" w:rsidRDefault="008F17ED" w:rsidP="008F17ED">
      <w:pPr>
        <w:pStyle w:val="FootnoteText"/>
        <w:rPr>
          <w:rFonts w:ascii="Calibri" w:hAnsi="Calibri" w:cs="Calibri"/>
          <w:szCs w:val="18"/>
        </w:rPr>
      </w:pPr>
      <w:r w:rsidRPr="00637A3D">
        <w:rPr>
          <w:rStyle w:val="FootnoteReference"/>
          <w:rFonts w:ascii="Calibri" w:hAnsi="Calibri" w:cs="Calibri"/>
          <w:szCs w:val="18"/>
        </w:rPr>
        <w:footnoteRef/>
      </w:r>
      <w:r w:rsidRPr="00637A3D">
        <w:rPr>
          <w:rFonts w:ascii="Calibri" w:hAnsi="Calibri" w:cs="Calibri"/>
          <w:szCs w:val="18"/>
        </w:rPr>
        <w:t xml:space="preserve"> </w:t>
      </w:r>
      <w:r w:rsidRPr="00E5777A">
        <w:rPr>
          <w:rFonts w:cstheme="minorHAnsi"/>
        </w:rPr>
        <w:t xml:space="preserve">Denman RA, </w:t>
      </w:r>
      <w:r w:rsidR="00E749B2">
        <w:rPr>
          <w:rFonts w:cstheme="minorHAnsi"/>
        </w:rPr>
        <w:t>et al.</w:t>
      </w:r>
      <w:r w:rsidRPr="00E5777A">
        <w:rPr>
          <w:rFonts w:cstheme="minorHAnsi"/>
        </w:rPr>
        <w:t xml:space="preserve"> (2019)</w:t>
      </w:r>
      <w:r w:rsidR="007A457B">
        <w:rPr>
          <w:rFonts w:cstheme="minorHAnsi"/>
        </w:rPr>
        <w:t>.</w:t>
      </w:r>
      <w:r w:rsidRPr="00E5777A">
        <w:rPr>
          <w:rFonts w:cstheme="minorHAnsi"/>
        </w:rPr>
        <w:t xml:space="preserve"> Leadless permanent pacing: A single centre Australian experience. </w:t>
      </w:r>
      <w:r w:rsidRPr="00E749B2">
        <w:rPr>
          <w:rFonts w:cstheme="minorHAnsi"/>
          <w:i/>
        </w:rPr>
        <w:t xml:space="preserve">Heart Lung </w:t>
      </w:r>
      <w:r w:rsidR="003D1BE5">
        <w:rPr>
          <w:rFonts w:cstheme="minorHAnsi"/>
          <w:i/>
          <w:iCs/>
        </w:rPr>
        <w:t>Circ</w:t>
      </w:r>
      <w:r w:rsidRPr="00E5777A">
        <w:rPr>
          <w:rFonts w:cstheme="minorHAnsi"/>
        </w:rPr>
        <w:t xml:space="preserve"> 28</w:t>
      </w:r>
      <w:r w:rsidR="003D1BE5">
        <w:rPr>
          <w:rFonts w:cstheme="minorHAnsi"/>
        </w:rPr>
        <w:t>(11)</w:t>
      </w:r>
      <w:r w:rsidR="00E749B2">
        <w:rPr>
          <w:rFonts w:cstheme="minorHAnsi"/>
        </w:rPr>
        <w:t>:</w:t>
      </w:r>
      <w:r w:rsidRPr="00E5777A">
        <w:rPr>
          <w:rFonts w:cstheme="minorHAnsi"/>
        </w:rPr>
        <w:t>1677</w:t>
      </w:r>
      <w:r w:rsidR="0066247F">
        <w:rPr>
          <w:rFonts w:cstheme="minorHAnsi"/>
        </w:rPr>
        <w:t>-</w:t>
      </w:r>
      <w:r w:rsidR="00E749B2">
        <w:rPr>
          <w:rFonts w:cstheme="minorHAnsi"/>
        </w:rPr>
        <w:t>16</w:t>
      </w:r>
      <w:r w:rsidRPr="00E5777A">
        <w:rPr>
          <w:rFonts w:cstheme="minorHAnsi"/>
        </w:rPr>
        <w:t>82.</w:t>
      </w:r>
    </w:p>
  </w:footnote>
  <w:footnote w:id="9">
    <w:p w14:paraId="55290A33" w14:textId="7E5D2445" w:rsidR="008F17ED" w:rsidRPr="001910BB" w:rsidRDefault="008F17ED" w:rsidP="008F17ED">
      <w:pPr>
        <w:pStyle w:val="FootnoteText"/>
        <w:rPr>
          <w:lang w:val="en-US"/>
        </w:rPr>
      </w:pPr>
      <w:r>
        <w:rPr>
          <w:rStyle w:val="FootnoteReference"/>
        </w:rPr>
        <w:footnoteRef/>
      </w:r>
      <w:r>
        <w:t xml:space="preserve"> </w:t>
      </w:r>
      <w:r w:rsidRPr="00E5777A">
        <w:rPr>
          <w:rFonts w:cstheme="minorHAnsi"/>
        </w:rPr>
        <w:t xml:space="preserve">Palmisano P, et al. (2021). Leadless pacemaker versus transvenous single-chamber pacemaker therapy: peri-procedural aspects, utilization of medical resources and patient acceptance. </w:t>
      </w:r>
      <w:r w:rsidRPr="003E3708">
        <w:rPr>
          <w:rFonts w:cstheme="minorHAnsi"/>
          <w:i/>
        </w:rPr>
        <w:t xml:space="preserve">Expert </w:t>
      </w:r>
      <w:r w:rsidRPr="003E3708">
        <w:rPr>
          <w:rFonts w:cstheme="minorHAnsi"/>
          <w:i/>
          <w:iCs/>
        </w:rPr>
        <w:t>Rev</w:t>
      </w:r>
      <w:r w:rsidR="003E3708" w:rsidRPr="003E3708">
        <w:rPr>
          <w:rFonts w:cstheme="minorHAnsi"/>
          <w:i/>
          <w:iCs/>
        </w:rPr>
        <w:t xml:space="preserve"> </w:t>
      </w:r>
      <w:r w:rsidRPr="003E3708">
        <w:rPr>
          <w:rFonts w:cstheme="minorHAnsi"/>
          <w:i/>
          <w:iCs/>
        </w:rPr>
        <w:t>Med</w:t>
      </w:r>
      <w:r w:rsidRPr="003E3708">
        <w:rPr>
          <w:rFonts w:cstheme="minorHAnsi"/>
          <w:i/>
        </w:rPr>
        <w:t xml:space="preserve"> Devices</w:t>
      </w:r>
      <w:r w:rsidRPr="00E5777A">
        <w:rPr>
          <w:rFonts w:cstheme="minorHAnsi"/>
        </w:rPr>
        <w:t xml:space="preserve"> 18(5):483-491.</w:t>
      </w:r>
    </w:p>
  </w:footnote>
  <w:footnote w:id="10">
    <w:p w14:paraId="22793340" w14:textId="26893A35" w:rsidR="008F17ED" w:rsidRPr="00637A3D" w:rsidRDefault="008F17ED" w:rsidP="008F17ED">
      <w:pPr>
        <w:pStyle w:val="FootnoteText"/>
        <w:rPr>
          <w:rFonts w:ascii="Calibri" w:hAnsi="Calibri" w:cs="Calibri"/>
          <w:szCs w:val="18"/>
        </w:rPr>
      </w:pPr>
      <w:r w:rsidRPr="00637A3D">
        <w:rPr>
          <w:rStyle w:val="FootnoteReference"/>
          <w:rFonts w:ascii="Calibri" w:hAnsi="Calibri" w:cs="Calibri"/>
          <w:szCs w:val="18"/>
        </w:rPr>
        <w:footnoteRef/>
      </w:r>
      <w:r w:rsidRPr="00637A3D">
        <w:rPr>
          <w:rFonts w:ascii="Calibri" w:hAnsi="Calibri" w:cs="Calibri"/>
          <w:szCs w:val="18"/>
        </w:rPr>
        <w:t xml:space="preserve"> </w:t>
      </w:r>
      <w:proofErr w:type="spellStart"/>
      <w:r w:rsidRPr="00637A3D">
        <w:rPr>
          <w:rFonts w:ascii="Calibri" w:hAnsi="Calibri" w:cs="Calibri"/>
          <w:szCs w:val="18"/>
        </w:rPr>
        <w:t>Glikson</w:t>
      </w:r>
      <w:proofErr w:type="spellEnd"/>
      <w:r w:rsidRPr="00637A3D">
        <w:rPr>
          <w:rFonts w:ascii="Calibri" w:hAnsi="Calibri" w:cs="Calibri"/>
          <w:szCs w:val="18"/>
        </w:rPr>
        <w:t xml:space="preserve"> M, et al. </w:t>
      </w:r>
      <w:r w:rsidR="003E3708">
        <w:rPr>
          <w:rFonts w:ascii="Calibri" w:hAnsi="Calibri" w:cs="Calibri"/>
          <w:szCs w:val="18"/>
        </w:rPr>
        <w:t>(</w:t>
      </w:r>
      <w:r w:rsidRPr="00637A3D">
        <w:rPr>
          <w:rFonts w:ascii="Calibri" w:hAnsi="Calibri" w:cs="Calibri"/>
          <w:szCs w:val="18"/>
        </w:rPr>
        <w:t>2021</w:t>
      </w:r>
      <w:r w:rsidR="003E3708">
        <w:rPr>
          <w:rFonts w:ascii="Calibri" w:hAnsi="Calibri" w:cs="Calibri"/>
          <w:szCs w:val="18"/>
        </w:rPr>
        <w:t>)</w:t>
      </w:r>
      <w:r w:rsidRPr="00637A3D">
        <w:rPr>
          <w:rFonts w:ascii="Calibri" w:hAnsi="Calibri" w:cs="Calibri"/>
          <w:szCs w:val="18"/>
        </w:rPr>
        <w:t>, 2021 ESC Guidelines on cardiac pacing and cardiac resynchronization therapy</w:t>
      </w:r>
      <w:r w:rsidR="003E3708">
        <w:rPr>
          <w:rFonts w:ascii="Calibri" w:hAnsi="Calibri" w:cs="Calibri"/>
          <w:szCs w:val="18"/>
        </w:rPr>
        <w:t>.</w:t>
      </w:r>
      <w:r w:rsidRPr="00637A3D">
        <w:rPr>
          <w:rFonts w:ascii="Calibri" w:hAnsi="Calibri" w:cs="Calibri"/>
          <w:szCs w:val="18"/>
        </w:rPr>
        <w:t xml:space="preserve"> </w:t>
      </w:r>
      <w:proofErr w:type="spellStart"/>
      <w:r w:rsidRPr="00637A3D">
        <w:rPr>
          <w:rFonts w:ascii="Calibri" w:hAnsi="Calibri" w:cs="Calibri"/>
          <w:i/>
          <w:iCs/>
          <w:szCs w:val="18"/>
        </w:rPr>
        <w:t>Eur</w:t>
      </w:r>
      <w:proofErr w:type="spellEnd"/>
      <w:r w:rsidRPr="00637A3D">
        <w:rPr>
          <w:rFonts w:ascii="Calibri" w:hAnsi="Calibri" w:cs="Calibri"/>
          <w:i/>
          <w:iCs/>
          <w:szCs w:val="18"/>
        </w:rPr>
        <w:t xml:space="preserve"> Heart J</w:t>
      </w:r>
      <w:r w:rsidRPr="00637A3D">
        <w:rPr>
          <w:rFonts w:ascii="Calibri" w:hAnsi="Calibri" w:cs="Calibri"/>
          <w:szCs w:val="18"/>
        </w:rPr>
        <w:t xml:space="preserve"> 42</w:t>
      </w:r>
      <w:r w:rsidR="00AD5DD0">
        <w:rPr>
          <w:rFonts w:ascii="Calibri" w:hAnsi="Calibri" w:cs="Calibri"/>
          <w:szCs w:val="18"/>
        </w:rPr>
        <w:t>(</w:t>
      </w:r>
      <w:r w:rsidRPr="00637A3D">
        <w:rPr>
          <w:rFonts w:ascii="Calibri" w:hAnsi="Calibri" w:cs="Calibri"/>
          <w:szCs w:val="18"/>
        </w:rPr>
        <w:t>35</w:t>
      </w:r>
      <w:r w:rsidR="00AD5DD0">
        <w:rPr>
          <w:rFonts w:ascii="Calibri" w:hAnsi="Calibri" w:cs="Calibri"/>
          <w:szCs w:val="18"/>
        </w:rPr>
        <w:t>):</w:t>
      </w:r>
      <w:r w:rsidRPr="00637A3D">
        <w:rPr>
          <w:rFonts w:ascii="Calibri" w:hAnsi="Calibri" w:cs="Calibri"/>
          <w:szCs w:val="18"/>
        </w:rPr>
        <w:t>3427-3520.</w:t>
      </w:r>
    </w:p>
  </w:footnote>
  <w:footnote w:id="11">
    <w:p w14:paraId="76B5930C" w14:textId="3C160B83" w:rsidR="00883C94" w:rsidRPr="00A607C7" w:rsidRDefault="00883C94" w:rsidP="00883C94">
      <w:pPr>
        <w:pStyle w:val="FootnoteText"/>
        <w:rPr>
          <w:lang w:val="en-US"/>
        </w:rPr>
      </w:pPr>
      <w:r>
        <w:rPr>
          <w:rStyle w:val="FootnoteReference"/>
        </w:rPr>
        <w:footnoteRef/>
      </w:r>
      <w:r>
        <w:t xml:space="preserve"> </w:t>
      </w:r>
      <w:r w:rsidRPr="0002411A">
        <w:t xml:space="preserve">Crossley GH, et al. </w:t>
      </w:r>
      <w:r w:rsidR="001D2F18">
        <w:t>(2024)</w:t>
      </w:r>
      <w:r w:rsidR="007A457B">
        <w:t>.</w:t>
      </w:r>
      <w:r w:rsidRPr="0002411A">
        <w:t xml:space="preserve"> Outcomes of patients implanted with an atrio</w:t>
      </w:r>
      <w:r>
        <w:t>-ventricular</w:t>
      </w:r>
      <w:r w:rsidRPr="0002411A">
        <w:t xml:space="preserve"> synchronous leadless ventricular pacemaker in the Medicare population. </w:t>
      </w:r>
      <w:r w:rsidRPr="00993394">
        <w:rPr>
          <w:i/>
        </w:rPr>
        <w:t>Heart Rhythm</w:t>
      </w:r>
      <w:r w:rsidRPr="0002411A">
        <w:t xml:space="preserve"> 2024;21(1):66-</w:t>
      </w:r>
      <w:r>
        <w:t>73.</w:t>
      </w:r>
    </w:p>
  </w:footnote>
  <w:footnote w:id="12">
    <w:p w14:paraId="2ED726D3" w14:textId="42B9FA12" w:rsidR="00883C94" w:rsidRPr="00D93034" w:rsidRDefault="00883C94" w:rsidP="00883C94">
      <w:pPr>
        <w:pStyle w:val="FootnoteText"/>
        <w:rPr>
          <w:lang w:val="en-US"/>
        </w:rPr>
      </w:pPr>
      <w:r>
        <w:rPr>
          <w:rStyle w:val="FootnoteReference"/>
        </w:rPr>
        <w:footnoteRef/>
      </w:r>
      <w:r w:rsidRPr="00B7630A">
        <w:t xml:space="preserve"> </w:t>
      </w:r>
      <w:r w:rsidRPr="00B7630A">
        <w:rPr>
          <w:rFonts w:cstheme="minorHAnsi"/>
        </w:rPr>
        <w:t xml:space="preserve">El-Chami M, </w:t>
      </w:r>
      <w:r w:rsidR="00993394" w:rsidRPr="00B7630A">
        <w:rPr>
          <w:rFonts w:cstheme="minorHAnsi"/>
        </w:rPr>
        <w:t>et al</w:t>
      </w:r>
      <w:r w:rsidRPr="00B7630A">
        <w:rPr>
          <w:rFonts w:cstheme="minorHAnsi"/>
        </w:rPr>
        <w:t xml:space="preserve">. </w:t>
      </w:r>
      <w:r w:rsidR="00993394">
        <w:rPr>
          <w:rFonts w:cstheme="minorHAnsi"/>
        </w:rPr>
        <w:t>(</w:t>
      </w:r>
      <w:r w:rsidRPr="00086598">
        <w:rPr>
          <w:rFonts w:cstheme="minorHAnsi"/>
        </w:rPr>
        <w:t>2024</w:t>
      </w:r>
      <w:r w:rsidR="00993394">
        <w:rPr>
          <w:rFonts w:cstheme="minorHAnsi"/>
        </w:rPr>
        <w:t>)</w:t>
      </w:r>
      <w:r w:rsidRPr="00086598">
        <w:rPr>
          <w:rFonts w:cstheme="minorHAnsi"/>
        </w:rPr>
        <w:t xml:space="preserve">. Two-year outcomes of Micra AV leadless pacemakers in the Micra AV CED </w:t>
      </w:r>
      <w:r>
        <w:rPr>
          <w:rFonts w:cstheme="minorHAnsi"/>
        </w:rPr>
        <w:t>s</w:t>
      </w:r>
      <w:r w:rsidRPr="00086598">
        <w:rPr>
          <w:rFonts w:cstheme="minorHAnsi"/>
        </w:rPr>
        <w:t>tudy.</w:t>
      </w:r>
      <w:r>
        <w:rPr>
          <w:rFonts w:cstheme="minorHAnsi"/>
        </w:rPr>
        <w:t xml:space="preserve"> </w:t>
      </w:r>
      <w:proofErr w:type="spellStart"/>
      <w:r w:rsidRPr="00993394">
        <w:rPr>
          <w:rFonts w:cstheme="minorHAnsi"/>
          <w:i/>
        </w:rPr>
        <w:t>Europace</w:t>
      </w:r>
      <w:proofErr w:type="spellEnd"/>
      <w:r w:rsidRPr="00993394">
        <w:rPr>
          <w:rFonts w:cstheme="minorHAnsi"/>
          <w:i/>
        </w:rPr>
        <w:t xml:space="preserve"> </w:t>
      </w:r>
      <w:r>
        <w:rPr>
          <w:rFonts w:cstheme="minorHAnsi"/>
        </w:rPr>
        <w:t>26(11</w:t>
      </w:r>
      <w:proofErr w:type="gramStart"/>
      <w:r>
        <w:rPr>
          <w:rFonts w:cstheme="minorHAnsi"/>
        </w:rPr>
        <w:t>):</w:t>
      </w:r>
      <w:r w:rsidRPr="00C75086">
        <w:rPr>
          <w:rFonts w:cstheme="minorHAnsi"/>
        </w:rPr>
        <w:t>euae</w:t>
      </w:r>
      <w:proofErr w:type="gramEnd"/>
      <w:r w:rsidRPr="00C75086">
        <w:rPr>
          <w:rFonts w:cstheme="minorHAnsi"/>
        </w:rPr>
        <w:t>273</w:t>
      </w:r>
      <w:r>
        <w:rPr>
          <w:rFonts w:cstheme="minorHAnsi"/>
        </w:rPr>
        <w:t>.</w:t>
      </w:r>
    </w:p>
  </w:footnote>
  <w:footnote w:id="13">
    <w:p w14:paraId="0EF9430C" w14:textId="3F49B0A8" w:rsidR="00883C94" w:rsidRPr="000A4A4B" w:rsidRDefault="00883C94" w:rsidP="00883C94">
      <w:pPr>
        <w:pStyle w:val="FootnoteText"/>
        <w:rPr>
          <w:lang w:val="en-US"/>
        </w:rPr>
      </w:pPr>
      <w:r>
        <w:rPr>
          <w:rStyle w:val="FootnoteReference"/>
        </w:rPr>
        <w:footnoteRef/>
      </w:r>
      <w:r>
        <w:t xml:space="preserve"> </w:t>
      </w:r>
      <w:r w:rsidRPr="00E5777A">
        <w:rPr>
          <w:rFonts w:cstheme="minorHAnsi"/>
        </w:rPr>
        <w:t xml:space="preserve">Chinitz LA, </w:t>
      </w:r>
      <w:r>
        <w:rPr>
          <w:rFonts w:cstheme="minorHAnsi"/>
        </w:rPr>
        <w:t>et al</w:t>
      </w:r>
      <w:r w:rsidRPr="00E5777A">
        <w:rPr>
          <w:rFonts w:cstheme="minorHAnsi"/>
        </w:rPr>
        <w:t xml:space="preserve">. (2023). </w:t>
      </w:r>
      <w:r w:rsidR="00777C0D" w:rsidRPr="00E5777A">
        <w:rPr>
          <w:rFonts w:cstheme="minorHAnsi"/>
        </w:rPr>
        <w:t xml:space="preserve">Ambulatory atrioventricular synchronous pacing over time using a leadless ventricular pacemaker: </w:t>
      </w:r>
      <w:r w:rsidR="00DE0604">
        <w:rPr>
          <w:rFonts w:cstheme="minorHAnsi"/>
        </w:rPr>
        <w:t>p</w:t>
      </w:r>
      <w:r w:rsidR="00777C0D" w:rsidRPr="00E5777A">
        <w:rPr>
          <w:rFonts w:cstheme="minorHAnsi"/>
        </w:rPr>
        <w:t xml:space="preserve">rimary results from the </w:t>
      </w:r>
      <w:proofErr w:type="spellStart"/>
      <w:r w:rsidR="00777C0D" w:rsidRPr="00E5777A">
        <w:rPr>
          <w:rFonts w:cstheme="minorHAnsi"/>
        </w:rPr>
        <w:t>AccelAV</w:t>
      </w:r>
      <w:proofErr w:type="spellEnd"/>
      <w:r w:rsidR="00777C0D" w:rsidRPr="00E5777A">
        <w:rPr>
          <w:rFonts w:cstheme="minorHAnsi"/>
        </w:rPr>
        <w:t xml:space="preserve"> study</w:t>
      </w:r>
      <w:r w:rsidR="00777C0D">
        <w:rPr>
          <w:rFonts w:cstheme="minorHAnsi"/>
        </w:rPr>
        <w:t xml:space="preserve">. </w:t>
      </w:r>
      <w:r w:rsidRPr="00777C0D">
        <w:rPr>
          <w:rFonts w:cstheme="minorHAnsi"/>
          <w:i/>
        </w:rPr>
        <w:t xml:space="preserve">Heart </w:t>
      </w:r>
      <w:r w:rsidR="00777C0D" w:rsidRPr="00777C0D">
        <w:rPr>
          <w:rFonts w:cstheme="minorHAnsi"/>
          <w:i/>
          <w:iCs/>
        </w:rPr>
        <w:t>R</w:t>
      </w:r>
      <w:r w:rsidRPr="00777C0D">
        <w:rPr>
          <w:rFonts w:cstheme="minorHAnsi"/>
          <w:i/>
          <w:iCs/>
        </w:rPr>
        <w:t>hythm</w:t>
      </w:r>
      <w:r w:rsidR="00777C0D">
        <w:rPr>
          <w:rFonts w:cstheme="minorHAnsi"/>
        </w:rPr>
        <w:t xml:space="preserve"> </w:t>
      </w:r>
      <w:r w:rsidRPr="00E5777A">
        <w:rPr>
          <w:rFonts w:cstheme="minorHAnsi"/>
        </w:rPr>
        <w:t>20(1)</w:t>
      </w:r>
      <w:r w:rsidR="00777C0D">
        <w:rPr>
          <w:rFonts w:cstheme="minorHAnsi"/>
        </w:rPr>
        <w:t>:</w:t>
      </w:r>
      <w:r w:rsidRPr="00E5777A">
        <w:rPr>
          <w:rFonts w:cstheme="minorHAnsi"/>
        </w:rPr>
        <w:t>46</w:t>
      </w:r>
      <w:r w:rsidR="00777C0D">
        <w:rPr>
          <w:rFonts w:cstheme="minorHAnsi"/>
        </w:rPr>
        <w:t>-</w:t>
      </w:r>
      <w:r w:rsidRPr="00E5777A">
        <w:rPr>
          <w:rFonts w:cstheme="minorHAnsi"/>
        </w:rPr>
        <w:t>54</w:t>
      </w:r>
      <w:r>
        <w:rPr>
          <w:rFonts w:cstheme="minorHAnsi"/>
        </w:rPr>
        <w:t xml:space="preserve">; </w:t>
      </w:r>
      <w:proofErr w:type="spellStart"/>
      <w:r w:rsidRPr="00E5777A">
        <w:rPr>
          <w:rFonts w:cstheme="minorHAnsi"/>
        </w:rPr>
        <w:t>Garweg</w:t>
      </w:r>
      <w:proofErr w:type="spellEnd"/>
      <w:r w:rsidRPr="00E5777A">
        <w:rPr>
          <w:rFonts w:cstheme="minorHAnsi"/>
        </w:rPr>
        <w:t xml:space="preserve">, C., </w:t>
      </w:r>
      <w:r>
        <w:rPr>
          <w:rFonts w:cstheme="minorHAnsi"/>
        </w:rPr>
        <w:t>et al</w:t>
      </w:r>
      <w:r w:rsidRPr="00E5777A">
        <w:rPr>
          <w:rFonts w:cstheme="minorHAnsi"/>
        </w:rPr>
        <w:t xml:space="preserve">. (2024). </w:t>
      </w:r>
      <w:r w:rsidR="009A3D29" w:rsidRPr="00E5777A">
        <w:rPr>
          <w:rFonts w:cstheme="minorHAnsi"/>
        </w:rPr>
        <w:t>A leadless ventricular pacemaker providing atrioventricular synchronous pacing in the real-world setting: 12-</w:t>
      </w:r>
      <w:r w:rsidR="00CD6C68">
        <w:rPr>
          <w:rFonts w:cstheme="minorHAnsi"/>
        </w:rPr>
        <w:t>m</w:t>
      </w:r>
      <w:r w:rsidR="009A3D29" w:rsidRPr="00E5777A">
        <w:rPr>
          <w:rFonts w:cstheme="minorHAnsi"/>
        </w:rPr>
        <w:t>onth results from the Micra AV post-approval registry</w:t>
      </w:r>
      <w:r w:rsidR="009A3D29">
        <w:rPr>
          <w:rFonts w:cstheme="minorHAnsi"/>
        </w:rPr>
        <w:t xml:space="preserve">. </w:t>
      </w:r>
      <w:r w:rsidRPr="009A3D29">
        <w:rPr>
          <w:rFonts w:cstheme="minorHAnsi"/>
          <w:i/>
        </w:rPr>
        <w:t xml:space="preserve">Heart </w:t>
      </w:r>
      <w:r w:rsidR="009A3D29">
        <w:rPr>
          <w:rFonts w:cstheme="minorHAnsi"/>
          <w:i/>
          <w:iCs/>
        </w:rPr>
        <w:t>R</w:t>
      </w:r>
      <w:r w:rsidRPr="009A3D29">
        <w:rPr>
          <w:rFonts w:cstheme="minorHAnsi"/>
          <w:i/>
          <w:iCs/>
        </w:rPr>
        <w:t>hythm</w:t>
      </w:r>
      <w:r w:rsidRPr="00E5777A">
        <w:rPr>
          <w:rFonts w:cstheme="minorHAnsi"/>
        </w:rPr>
        <w:t xml:space="preserve"> </w:t>
      </w:r>
      <w:r w:rsidR="00CD6C68" w:rsidRPr="00CD6C68">
        <w:rPr>
          <w:rFonts w:cstheme="minorHAnsi"/>
        </w:rPr>
        <w:t>21(10):1939-1947</w:t>
      </w:r>
      <w:r>
        <w:rPr>
          <w:rFonts w:cstheme="minorHAnsi"/>
        </w:rPr>
        <w:t xml:space="preserve">; </w:t>
      </w:r>
      <w:r w:rsidRPr="0060188C">
        <w:rPr>
          <w:rFonts w:cstheme="minorHAnsi"/>
        </w:rPr>
        <w:t>Leal</w:t>
      </w:r>
      <w:r>
        <w:rPr>
          <w:rFonts w:cstheme="minorHAnsi"/>
        </w:rPr>
        <w:t xml:space="preserve"> M,</w:t>
      </w:r>
      <w:r w:rsidRPr="0060188C">
        <w:rPr>
          <w:rFonts w:cstheme="minorHAnsi"/>
        </w:rPr>
        <w:t xml:space="preserve"> </w:t>
      </w:r>
      <w:r>
        <w:rPr>
          <w:rFonts w:cstheme="minorHAnsi"/>
        </w:rPr>
        <w:t xml:space="preserve">et al. (2024). </w:t>
      </w:r>
      <w:r w:rsidRPr="005C55FB">
        <w:rPr>
          <w:rFonts w:cstheme="minorHAnsi"/>
        </w:rPr>
        <w:t xml:space="preserve">Device </w:t>
      </w:r>
      <w:r w:rsidR="000C492D" w:rsidRPr="005C55FB">
        <w:rPr>
          <w:rFonts w:cstheme="minorHAnsi"/>
        </w:rPr>
        <w:t>longevity an</w:t>
      </w:r>
      <w:r w:rsidRPr="005C55FB">
        <w:rPr>
          <w:rFonts w:cstheme="minorHAnsi"/>
        </w:rPr>
        <w:t xml:space="preserve">d AV </w:t>
      </w:r>
      <w:r w:rsidR="000C492D" w:rsidRPr="005C55FB">
        <w:rPr>
          <w:rFonts w:cstheme="minorHAnsi"/>
        </w:rPr>
        <w:t xml:space="preserve">synchrony algorithm </w:t>
      </w:r>
      <w:proofErr w:type="spellStart"/>
      <w:r w:rsidR="000C492D" w:rsidRPr="005C55FB">
        <w:rPr>
          <w:rFonts w:cstheme="minorHAnsi"/>
        </w:rPr>
        <w:t>modeling</w:t>
      </w:r>
      <w:proofErr w:type="spellEnd"/>
      <w:r w:rsidR="000C492D" w:rsidRPr="005C55FB">
        <w:rPr>
          <w:rFonts w:cstheme="minorHAnsi"/>
        </w:rPr>
        <w:t xml:space="preserve"> of a leadless pacemaker 1 family</w:t>
      </w:r>
      <w:r w:rsidRPr="005C55FB">
        <w:rPr>
          <w:rFonts w:cstheme="minorHAnsi"/>
        </w:rPr>
        <w:t xml:space="preserve">: </w:t>
      </w:r>
      <w:r w:rsidR="00CB1A90">
        <w:rPr>
          <w:rFonts w:cstheme="minorHAnsi"/>
        </w:rPr>
        <w:t>a</w:t>
      </w:r>
      <w:r w:rsidRPr="005C55FB">
        <w:rPr>
          <w:rFonts w:cstheme="minorHAnsi"/>
        </w:rPr>
        <w:t xml:space="preserve"> </w:t>
      </w:r>
      <w:r w:rsidR="000C492D" w:rsidRPr="005C55FB">
        <w:rPr>
          <w:rFonts w:cstheme="minorHAnsi"/>
        </w:rPr>
        <w:t>virtual patient analysis</w:t>
      </w:r>
      <w:r>
        <w:rPr>
          <w:rFonts w:cstheme="minorHAnsi"/>
        </w:rPr>
        <w:t>.</w:t>
      </w:r>
    </w:p>
  </w:footnote>
  <w:footnote w:id="14">
    <w:p w14:paraId="0B8DE766" w14:textId="090AE27E" w:rsidR="00883C94" w:rsidRPr="000473C7" w:rsidRDefault="00883C94" w:rsidP="00883C94">
      <w:pPr>
        <w:pStyle w:val="FootnoteText"/>
        <w:rPr>
          <w:lang w:val="en-US"/>
        </w:rPr>
      </w:pPr>
      <w:r>
        <w:rPr>
          <w:rStyle w:val="FootnoteReference"/>
        </w:rPr>
        <w:footnoteRef/>
      </w:r>
      <w:r w:rsidRPr="00601B20">
        <w:rPr>
          <w:lang w:val="fr-CH"/>
        </w:rPr>
        <w:t xml:space="preserve"> </w:t>
      </w:r>
      <w:r w:rsidRPr="00601B20">
        <w:rPr>
          <w:rFonts w:cstheme="minorHAnsi"/>
          <w:lang w:val="fr-CH"/>
        </w:rPr>
        <w:t>Cabanas-</w:t>
      </w:r>
      <w:proofErr w:type="spellStart"/>
      <w:r w:rsidRPr="00601B20">
        <w:rPr>
          <w:rFonts w:cstheme="minorHAnsi"/>
          <w:lang w:val="fr-CH"/>
        </w:rPr>
        <w:t>Grandío</w:t>
      </w:r>
      <w:proofErr w:type="spellEnd"/>
      <w:r w:rsidRPr="00601B20">
        <w:rPr>
          <w:rFonts w:cstheme="minorHAnsi"/>
          <w:lang w:val="fr-CH"/>
        </w:rPr>
        <w:t xml:space="preserve"> P, et al. </w:t>
      </w:r>
      <w:r w:rsidRPr="00E5777A">
        <w:rPr>
          <w:rFonts w:cstheme="minorHAnsi"/>
        </w:rPr>
        <w:t xml:space="preserve">(2020). Quality of life of patients undergoing conventional vs leadless pacemaker implantation: </w:t>
      </w:r>
      <w:r w:rsidR="00CB1A90">
        <w:rPr>
          <w:rFonts w:cstheme="minorHAnsi"/>
        </w:rPr>
        <w:t>a</w:t>
      </w:r>
      <w:r w:rsidRPr="00E5777A">
        <w:rPr>
          <w:rFonts w:cstheme="minorHAnsi"/>
        </w:rPr>
        <w:t xml:space="preserve"> </w:t>
      </w:r>
      <w:proofErr w:type="spellStart"/>
      <w:r w:rsidRPr="00E5777A">
        <w:rPr>
          <w:rFonts w:cstheme="minorHAnsi"/>
        </w:rPr>
        <w:t>multicenter</w:t>
      </w:r>
      <w:proofErr w:type="spellEnd"/>
      <w:r w:rsidRPr="00E5777A">
        <w:rPr>
          <w:rFonts w:cstheme="minorHAnsi"/>
        </w:rPr>
        <w:t xml:space="preserve"> observational study. J Cardiovasc </w:t>
      </w:r>
      <w:proofErr w:type="spellStart"/>
      <w:r w:rsidRPr="00E5777A">
        <w:rPr>
          <w:rFonts w:cstheme="minorHAnsi"/>
        </w:rPr>
        <w:t>Electrophysiol</w:t>
      </w:r>
      <w:proofErr w:type="spellEnd"/>
      <w:r w:rsidRPr="00E5777A">
        <w:rPr>
          <w:rFonts w:cstheme="minorHAnsi"/>
        </w:rPr>
        <w:t xml:space="preserve"> 31(1):330-336.</w:t>
      </w:r>
    </w:p>
  </w:footnote>
  <w:footnote w:id="15">
    <w:p w14:paraId="52883E15" w14:textId="7C717CF3" w:rsidR="007D4F22" w:rsidRPr="00870A56" w:rsidRDefault="007D4F22" w:rsidP="007D4F22">
      <w:pPr>
        <w:pStyle w:val="FootnoteText"/>
        <w:rPr>
          <w:lang w:val="en-US"/>
        </w:rPr>
      </w:pPr>
      <w:r>
        <w:rPr>
          <w:rStyle w:val="FootnoteReference"/>
        </w:rPr>
        <w:footnoteRef/>
      </w:r>
      <w:r>
        <w:t xml:space="preserve"> </w:t>
      </w:r>
      <w:r w:rsidRPr="00637A3D">
        <w:rPr>
          <w:rFonts w:ascii="Calibri" w:hAnsi="Calibri" w:cs="Calibri"/>
          <w:szCs w:val="18"/>
        </w:rPr>
        <w:t>U.S. FDA</w:t>
      </w:r>
      <w:r>
        <w:rPr>
          <w:rFonts w:ascii="Calibri" w:hAnsi="Calibri" w:cs="Calibri"/>
          <w:szCs w:val="18"/>
        </w:rPr>
        <w:t xml:space="preserve"> </w:t>
      </w:r>
      <w:r w:rsidR="00CC029D">
        <w:rPr>
          <w:rFonts w:ascii="Calibri" w:hAnsi="Calibri" w:cs="Calibri"/>
          <w:szCs w:val="18"/>
        </w:rPr>
        <w:t>(</w:t>
      </w:r>
      <w:r w:rsidRPr="00637A3D">
        <w:rPr>
          <w:rFonts w:ascii="Calibri" w:hAnsi="Calibri" w:cs="Calibri"/>
          <w:szCs w:val="18"/>
        </w:rPr>
        <w:t>2021</w:t>
      </w:r>
      <w:r w:rsidR="00CC029D">
        <w:rPr>
          <w:rFonts w:ascii="Calibri" w:hAnsi="Calibri" w:cs="Calibri"/>
          <w:szCs w:val="18"/>
        </w:rPr>
        <w:t>).</w:t>
      </w:r>
      <w:r w:rsidRPr="00637A3D">
        <w:rPr>
          <w:rFonts w:ascii="Calibri" w:hAnsi="Calibri" w:cs="Calibri"/>
          <w:szCs w:val="18"/>
        </w:rPr>
        <w:t xml:space="preserve"> </w:t>
      </w:r>
      <w:r w:rsidRPr="00637A3D">
        <w:rPr>
          <w:rFonts w:ascii="Calibri" w:hAnsi="Calibri" w:cs="Calibri"/>
          <w:i/>
          <w:iCs/>
          <w:szCs w:val="18"/>
        </w:rPr>
        <w:t>Leadless pacing systems: Risk of major complications related to cardiac perforation during implantation – Letter to health care providers</w:t>
      </w:r>
      <w:r w:rsidR="003B3766">
        <w:rPr>
          <w:rFonts w:ascii="Calibri" w:hAnsi="Calibri" w:cs="Calibri"/>
          <w:szCs w:val="18"/>
        </w:rPr>
        <w:t>, a</w:t>
      </w:r>
      <w:r w:rsidR="003B3766" w:rsidRPr="00637A3D">
        <w:rPr>
          <w:rFonts w:ascii="Calibri" w:hAnsi="Calibri" w:cs="Calibri"/>
          <w:szCs w:val="18"/>
        </w:rPr>
        <w:t xml:space="preserve">ccessed </w:t>
      </w:r>
      <w:r w:rsidR="003B3766">
        <w:rPr>
          <w:rFonts w:ascii="Calibri" w:hAnsi="Calibri" w:cs="Calibri"/>
          <w:szCs w:val="18"/>
        </w:rPr>
        <w:t>13 November 2024,</w:t>
      </w:r>
      <w:r w:rsidRPr="00637A3D">
        <w:rPr>
          <w:rFonts w:ascii="Calibri" w:hAnsi="Calibri" w:cs="Calibri"/>
          <w:szCs w:val="18"/>
        </w:rPr>
        <w:t xml:space="preserve"> </w:t>
      </w:r>
      <w:r w:rsidRPr="00874A2A">
        <w:t>https://www.fda.gov/media/154761/download</w:t>
      </w:r>
      <w:r>
        <w:rPr>
          <w:rFonts w:ascii="Calibri" w:hAnsi="Calibri" w:cs="Calibri"/>
          <w:szCs w:val="18"/>
        </w:rPr>
        <w:t xml:space="preserve">; Hauser RG, et al. (2022). </w:t>
      </w:r>
      <w:r w:rsidRPr="00984E1A">
        <w:rPr>
          <w:rFonts w:eastAsia="Calibri" w:cs="Arial"/>
        </w:rPr>
        <w:t>Leadless pacemaker perforations: Clinical consequences and related device and user problems</w:t>
      </w:r>
      <w:r>
        <w:rPr>
          <w:rFonts w:eastAsia="Calibri" w:cs="Arial"/>
        </w:rPr>
        <w:t xml:space="preserve">. </w:t>
      </w:r>
      <w:r w:rsidRPr="00DB3059">
        <w:rPr>
          <w:rFonts w:eastAsia="Calibri" w:cs="Arial"/>
          <w:i/>
          <w:lang w:val="en-CA"/>
        </w:rPr>
        <w:t xml:space="preserve">J Cardiovasc </w:t>
      </w:r>
      <w:proofErr w:type="spellStart"/>
      <w:r w:rsidRPr="00DB3059">
        <w:rPr>
          <w:rFonts w:eastAsia="Calibri" w:cs="Arial"/>
          <w:i/>
          <w:lang w:val="en-CA"/>
        </w:rPr>
        <w:t>Electrophysiol</w:t>
      </w:r>
      <w:proofErr w:type="spellEnd"/>
      <w:r w:rsidRPr="00FA4E54">
        <w:rPr>
          <w:rFonts w:eastAsia="Calibri" w:cs="Arial"/>
          <w:lang w:val="en-CA"/>
        </w:rPr>
        <w:t xml:space="preserve"> 2022 33(2):154</w:t>
      </w:r>
      <w:r>
        <w:rPr>
          <w:rFonts w:eastAsia="Calibri" w:cs="Arial"/>
          <w:lang w:val="en-CA"/>
        </w:rPr>
        <w:t>-</w:t>
      </w:r>
      <w:r w:rsidRPr="00FA4E54">
        <w:rPr>
          <w:rFonts w:eastAsia="Calibri" w:cs="Arial"/>
          <w:lang w:val="en-CA"/>
        </w:rPr>
        <w:t>159</w:t>
      </w:r>
      <w:r>
        <w:rPr>
          <w:rFonts w:eastAsia="Calibri" w:cs="Arial"/>
          <w:lang w:val="en-CA"/>
        </w:rPr>
        <w:t>.</w:t>
      </w:r>
    </w:p>
  </w:footnote>
  <w:footnote w:id="16">
    <w:p w14:paraId="2F0B4872" w14:textId="77777777" w:rsidR="001139A0" w:rsidRPr="00832D4F" w:rsidRDefault="001139A0" w:rsidP="001139A0">
      <w:pPr>
        <w:rPr>
          <w:rFonts w:asciiTheme="minorHAnsi" w:hAnsiTheme="minorHAnsi" w:cstheme="minorHAnsi"/>
          <w:sz w:val="18"/>
          <w:szCs w:val="18"/>
        </w:rPr>
      </w:pPr>
      <w:r w:rsidRPr="00832D4F">
        <w:rPr>
          <w:rStyle w:val="FootnoteReference"/>
          <w:rFonts w:asciiTheme="minorHAnsi" w:hAnsiTheme="minorHAnsi" w:cstheme="minorHAnsi"/>
          <w:sz w:val="18"/>
          <w:szCs w:val="18"/>
        </w:rPr>
        <w:footnoteRef/>
      </w:r>
      <w:r w:rsidRPr="00832D4F">
        <w:rPr>
          <w:rFonts w:asciiTheme="minorHAnsi" w:hAnsiTheme="minorHAnsi" w:cstheme="minorHAnsi"/>
          <w:sz w:val="18"/>
          <w:szCs w:val="18"/>
        </w:rPr>
        <w:t xml:space="preserve"> Omdahl P, et al. </w:t>
      </w:r>
      <w:r>
        <w:rPr>
          <w:rFonts w:asciiTheme="minorHAnsi" w:hAnsiTheme="minorHAnsi" w:cstheme="minorHAnsi"/>
          <w:sz w:val="18"/>
          <w:szCs w:val="18"/>
        </w:rPr>
        <w:t>(</w:t>
      </w:r>
      <w:r w:rsidRPr="00832D4F">
        <w:rPr>
          <w:rFonts w:asciiTheme="minorHAnsi" w:hAnsiTheme="minorHAnsi" w:cstheme="minorHAnsi"/>
          <w:sz w:val="18"/>
          <w:szCs w:val="18"/>
        </w:rPr>
        <w:t>2016</w:t>
      </w:r>
      <w:r>
        <w:rPr>
          <w:rFonts w:asciiTheme="minorHAnsi" w:hAnsiTheme="minorHAnsi" w:cstheme="minorHAnsi"/>
          <w:sz w:val="18"/>
          <w:szCs w:val="18"/>
        </w:rPr>
        <w:t>)</w:t>
      </w:r>
      <w:r w:rsidRPr="00832D4F">
        <w:rPr>
          <w:rFonts w:asciiTheme="minorHAnsi" w:hAnsiTheme="minorHAnsi" w:cstheme="minorHAnsi"/>
          <w:sz w:val="18"/>
          <w:szCs w:val="18"/>
        </w:rPr>
        <w:t xml:space="preserve">. Right ventricular anatomy can accommodate multiple Micra Transcatheter Pacemakers. </w:t>
      </w:r>
      <w:r w:rsidRPr="005B0F68">
        <w:rPr>
          <w:rFonts w:asciiTheme="minorHAnsi" w:hAnsiTheme="minorHAnsi" w:cstheme="minorHAnsi"/>
          <w:i/>
          <w:sz w:val="18"/>
          <w:szCs w:val="18"/>
        </w:rPr>
        <w:t xml:space="preserve">Pacing Clin </w:t>
      </w:r>
      <w:proofErr w:type="spellStart"/>
      <w:r w:rsidRPr="005B0F68">
        <w:rPr>
          <w:rFonts w:asciiTheme="minorHAnsi" w:hAnsiTheme="minorHAnsi" w:cstheme="minorHAnsi"/>
          <w:i/>
          <w:sz w:val="18"/>
          <w:szCs w:val="18"/>
        </w:rPr>
        <w:t>Electrophysiol</w:t>
      </w:r>
      <w:proofErr w:type="spellEnd"/>
      <w:r w:rsidRPr="00832D4F">
        <w:rPr>
          <w:rFonts w:asciiTheme="minorHAnsi" w:hAnsiTheme="minorHAnsi" w:cstheme="minorHAnsi"/>
          <w:sz w:val="18"/>
          <w:szCs w:val="18"/>
        </w:rPr>
        <w:t xml:space="preserve"> 39(4):393-</w:t>
      </w:r>
      <w:r>
        <w:rPr>
          <w:rFonts w:asciiTheme="minorHAnsi" w:hAnsiTheme="minorHAnsi" w:cstheme="minorHAnsi"/>
          <w:sz w:val="18"/>
          <w:szCs w:val="18"/>
        </w:rPr>
        <w:t>39</w:t>
      </w:r>
      <w:r w:rsidRPr="00832D4F">
        <w:rPr>
          <w:rFonts w:asciiTheme="minorHAnsi" w:hAnsiTheme="minorHAnsi" w:cstheme="minorHAnsi"/>
          <w:sz w:val="18"/>
          <w:szCs w:val="18"/>
        </w:rPr>
        <w:t>7.</w:t>
      </w:r>
    </w:p>
  </w:footnote>
  <w:footnote w:id="17">
    <w:p w14:paraId="3E34FB6B" w14:textId="019FBDDD" w:rsidR="00F42D17" w:rsidRPr="003B6C7D" w:rsidRDefault="00F42D17" w:rsidP="00F42D17">
      <w:pPr>
        <w:pStyle w:val="FootnoteText"/>
        <w:rPr>
          <w:lang w:val="en-US"/>
        </w:rPr>
      </w:pPr>
      <w:r>
        <w:rPr>
          <w:rStyle w:val="FootnoteReference"/>
        </w:rPr>
        <w:footnoteRef/>
      </w:r>
      <w:r>
        <w:t xml:space="preserve"> </w:t>
      </w:r>
      <w:r w:rsidRPr="0060188C">
        <w:rPr>
          <w:rFonts w:cstheme="minorHAnsi"/>
        </w:rPr>
        <w:t>Leal</w:t>
      </w:r>
      <w:r>
        <w:rPr>
          <w:rFonts w:cstheme="minorHAnsi"/>
        </w:rPr>
        <w:t xml:space="preserve"> M</w:t>
      </w:r>
      <w:r w:rsidR="00EA60E9">
        <w:rPr>
          <w:rFonts w:cstheme="minorHAnsi"/>
        </w:rPr>
        <w:t>,</w:t>
      </w:r>
      <w:r w:rsidRPr="0060188C">
        <w:rPr>
          <w:rFonts w:cstheme="minorHAnsi"/>
        </w:rPr>
        <w:t xml:space="preserve"> </w:t>
      </w:r>
      <w:r>
        <w:rPr>
          <w:rFonts w:cstheme="minorHAnsi"/>
        </w:rPr>
        <w:t xml:space="preserve">et al. (2024). </w:t>
      </w:r>
      <w:r w:rsidR="00EA60E9" w:rsidRPr="005C55FB">
        <w:rPr>
          <w:rFonts w:cstheme="minorHAnsi"/>
        </w:rPr>
        <w:t xml:space="preserve">Device longevity and AV synchrony algorithm </w:t>
      </w:r>
      <w:proofErr w:type="spellStart"/>
      <w:r w:rsidR="00EA60E9" w:rsidRPr="005C55FB">
        <w:rPr>
          <w:rFonts w:cstheme="minorHAnsi"/>
        </w:rPr>
        <w:t>modeling</w:t>
      </w:r>
      <w:proofErr w:type="spellEnd"/>
      <w:r w:rsidR="00EA60E9" w:rsidRPr="005C55FB">
        <w:rPr>
          <w:rFonts w:cstheme="minorHAnsi"/>
        </w:rPr>
        <w:t xml:space="preserve"> of a leadless pacemaker 1 family: </w:t>
      </w:r>
      <w:r w:rsidR="000F7532">
        <w:rPr>
          <w:rFonts w:cstheme="minorHAnsi"/>
        </w:rPr>
        <w:t>a</w:t>
      </w:r>
      <w:r w:rsidR="00EA60E9" w:rsidRPr="005C55FB">
        <w:rPr>
          <w:rFonts w:cstheme="minorHAnsi"/>
        </w:rPr>
        <w:t xml:space="preserve"> virtual patient analysis</w:t>
      </w:r>
      <w:r w:rsidR="00EA60E9">
        <w:rPr>
          <w:rFonts w:cstheme="minorHAnsi"/>
        </w:rPr>
        <w:t>.</w:t>
      </w:r>
    </w:p>
  </w:footnote>
  <w:footnote w:id="18">
    <w:p w14:paraId="119E07F9" w14:textId="10BA7735" w:rsidR="00F42D17" w:rsidRPr="00BB5771" w:rsidRDefault="00F42D17" w:rsidP="00F42D17">
      <w:pPr>
        <w:pStyle w:val="FootnoteText"/>
        <w:rPr>
          <w:lang w:val="en-US"/>
        </w:rPr>
      </w:pPr>
      <w:r>
        <w:rPr>
          <w:rStyle w:val="FootnoteReference"/>
        </w:rPr>
        <w:footnoteRef/>
      </w:r>
      <w:r>
        <w:t xml:space="preserve"> </w:t>
      </w:r>
      <w:proofErr w:type="spellStart"/>
      <w:r w:rsidRPr="00E5777A">
        <w:rPr>
          <w:rFonts w:cstheme="minorHAnsi"/>
        </w:rPr>
        <w:t>Garweg</w:t>
      </w:r>
      <w:proofErr w:type="spellEnd"/>
      <w:r w:rsidRPr="00E5777A">
        <w:rPr>
          <w:rFonts w:cstheme="minorHAnsi"/>
        </w:rPr>
        <w:t xml:space="preserve">, C., </w:t>
      </w:r>
      <w:r>
        <w:rPr>
          <w:rFonts w:cstheme="minorHAnsi"/>
        </w:rPr>
        <w:t xml:space="preserve">et al. </w:t>
      </w:r>
      <w:r w:rsidRPr="00E5777A">
        <w:rPr>
          <w:rFonts w:cstheme="minorHAnsi"/>
        </w:rPr>
        <w:t>(2024). A leadless ventricular pacemaker providing atrioventricular synchronous pacing in the real-world setting: 12-</w:t>
      </w:r>
      <w:r w:rsidR="00EA60E9">
        <w:rPr>
          <w:rFonts w:cstheme="minorHAnsi"/>
        </w:rPr>
        <w:t>m</w:t>
      </w:r>
      <w:r w:rsidR="00EA60E9" w:rsidRPr="00E5777A">
        <w:rPr>
          <w:rFonts w:cstheme="minorHAnsi"/>
        </w:rPr>
        <w:t>onth</w:t>
      </w:r>
      <w:r w:rsidRPr="00E5777A">
        <w:rPr>
          <w:rFonts w:cstheme="minorHAnsi"/>
        </w:rPr>
        <w:t xml:space="preserve"> results from the Micra AV post-approval registry. </w:t>
      </w:r>
      <w:r w:rsidR="00EA60E9" w:rsidRPr="009A3D29">
        <w:rPr>
          <w:rFonts w:cstheme="minorHAnsi"/>
          <w:i/>
          <w:iCs/>
        </w:rPr>
        <w:t xml:space="preserve">Heart </w:t>
      </w:r>
      <w:r w:rsidR="00EA60E9">
        <w:rPr>
          <w:rFonts w:cstheme="minorHAnsi"/>
          <w:i/>
          <w:iCs/>
        </w:rPr>
        <w:t>R</w:t>
      </w:r>
      <w:r w:rsidR="00EA60E9" w:rsidRPr="009A3D29">
        <w:rPr>
          <w:rFonts w:cstheme="minorHAnsi"/>
          <w:i/>
          <w:iCs/>
        </w:rPr>
        <w:t>hythm</w:t>
      </w:r>
      <w:r w:rsidR="00EA60E9" w:rsidRPr="00E5777A">
        <w:rPr>
          <w:rFonts w:cstheme="minorHAnsi"/>
        </w:rPr>
        <w:t xml:space="preserve"> </w:t>
      </w:r>
      <w:r w:rsidR="00EA60E9" w:rsidRPr="00CD6C68">
        <w:rPr>
          <w:rFonts w:cstheme="minorHAnsi"/>
        </w:rPr>
        <w:t>21(10):1939-1947</w:t>
      </w:r>
      <w:r w:rsidR="00EA60E9">
        <w:rPr>
          <w:rFonts w:cstheme="minorHAnsi"/>
        </w:rPr>
        <w:t>.</w:t>
      </w:r>
    </w:p>
  </w:footnote>
  <w:footnote w:id="19">
    <w:p w14:paraId="1DB0CE10" w14:textId="215919D4" w:rsidR="006A7EAF" w:rsidRDefault="006A7EAF">
      <w:pPr>
        <w:pStyle w:val="FootnoteText"/>
      </w:pPr>
      <w:r>
        <w:rPr>
          <w:rStyle w:val="FootnoteReference"/>
        </w:rPr>
        <w:footnoteRef/>
      </w:r>
      <w:r>
        <w:t xml:space="preserve"> </w:t>
      </w:r>
      <w:r w:rsidR="003D56D9" w:rsidRPr="00EB6736">
        <w:t xml:space="preserve">Leal M, et al. (2024). Device longevity and AV synchrony algorithm </w:t>
      </w:r>
      <w:proofErr w:type="spellStart"/>
      <w:r w:rsidR="003D56D9" w:rsidRPr="00EB6736">
        <w:t>modeling</w:t>
      </w:r>
      <w:proofErr w:type="spellEnd"/>
      <w:r w:rsidR="003D56D9" w:rsidRPr="00EB6736">
        <w:t xml:space="preserve"> of a leadless pacemaker 1 family: </w:t>
      </w:r>
      <w:proofErr w:type="spellStart"/>
      <w:r w:rsidR="003D56D9" w:rsidRPr="00EB6736">
        <w:t>aA</w:t>
      </w:r>
      <w:proofErr w:type="spellEnd"/>
      <w:r w:rsidR="003D56D9" w:rsidRPr="00EB6736">
        <w:t xml:space="preserve"> virtual patient analysis.</w:t>
      </w:r>
    </w:p>
  </w:footnote>
  <w:footnote w:id="20">
    <w:p w14:paraId="2C1284CD" w14:textId="1DD7C0EE" w:rsidR="003D56D9" w:rsidRDefault="003D56D9">
      <w:pPr>
        <w:pStyle w:val="FootnoteText"/>
      </w:pPr>
      <w:r>
        <w:rPr>
          <w:rStyle w:val="FootnoteReference"/>
        </w:rPr>
        <w:footnoteRef/>
      </w:r>
      <w:r>
        <w:t xml:space="preserve"> </w:t>
      </w:r>
      <w:r w:rsidR="00785E58" w:rsidRPr="00EB6736">
        <w:t xml:space="preserve">Moerke, C, Wolff, A, Ince, H, </w:t>
      </w:r>
      <w:proofErr w:type="spellStart"/>
      <w:r w:rsidR="00785E58" w:rsidRPr="00EB6736">
        <w:t>Ortak</w:t>
      </w:r>
      <w:proofErr w:type="spellEnd"/>
      <w:r w:rsidR="00785E58" w:rsidRPr="00EB6736">
        <w:t xml:space="preserve">, J &amp; Oner, A 2022, 'New strategies for energy supply of cardiac implantable devices', </w:t>
      </w:r>
      <w:proofErr w:type="spellStart"/>
      <w:r w:rsidR="00785E58" w:rsidRPr="00EB6736">
        <w:t>Herzschrittmacherther</w:t>
      </w:r>
      <w:proofErr w:type="spellEnd"/>
      <w:r w:rsidR="00785E58" w:rsidRPr="00EB6736">
        <w:t xml:space="preserve"> </w:t>
      </w:r>
      <w:proofErr w:type="spellStart"/>
      <w:r w:rsidR="00785E58" w:rsidRPr="00EB6736">
        <w:t>Elektrophysiol</w:t>
      </w:r>
      <w:proofErr w:type="spellEnd"/>
      <w:r w:rsidR="00785E58" w:rsidRPr="00EB6736">
        <w:t>, vol. 33, no. 2, pp. 224-31.</w:t>
      </w:r>
    </w:p>
  </w:footnote>
  <w:footnote w:id="21">
    <w:p w14:paraId="19ABAA5A" w14:textId="71C27E3F" w:rsidR="00785E58" w:rsidRDefault="00785E58">
      <w:pPr>
        <w:pStyle w:val="FootnoteText"/>
      </w:pPr>
      <w:r>
        <w:rPr>
          <w:rStyle w:val="FootnoteReference"/>
        </w:rPr>
        <w:footnoteRef/>
      </w:r>
      <w:r>
        <w:t xml:space="preserve"> </w:t>
      </w:r>
      <w:r w:rsidR="00382653" w:rsidRPr="00EB6736">
        <w:t xml:space="preserve">Munawar, DA, Mahajan, R, Linz, D, Wong, GR, Khokhar, KB, </w:t>
      </w:r>
      <w:proofErr w:type="spellStart"/>
      <w:r w:rsidR="00382653" w:rsidRPr="00EB6736">
        <w:t>Thiyagarajah</w:t>
      </w:r>
      <w:proofErr w:type="spellEnd"/>
      <w:r w:rsidR="00382653" w:rsidRPr="00EB6736">
        <w:t xml:space="preserve">, A, Kadhim, K, Emami, M, Mishima, R, Elliott, AD, </w:t>
      </w:r>
      <w:proofErr w:type="spellStart"/>
      <w:r w:rsidR="00382653" w:rsidRPr="00EB6736">
        <w:t>Middeldorp</w:t>
      </w:r>
      <w:proofErr w:type="spellEnd"/>
      <w:r w:rsidR="00382653" w:rsidRPr="00EB6736">
        <w:t>, ME, Roberts-Thompson, KC, Young, GD, Sanders, P &amp; Lau, DH 2018, 'Predicted longevity of contemporary cardiac implantable electronic devices: A call for industry-wide "standardized" reporting', Heart Rhythm, vol. 15, no. 12, pp. 1756-63.</w:t>
      </w:r>
    </w:p>
  </w:footnote>
  <w:footnote w:id="22">
    <w:p w14:paraId="3EF2DF1B" w14:textId="67132869" w:rsidR="00056F77" w:rsidRDefault="00056F77">
      <w:pPr>
        <w:pStyle w:val="FootnoteText"/>
      </w:pPr>
      <w:r>
        <w:rPr>
          <w:rStyle w:val="FootnoteReference"/>
        </w:rPr>
        <w:footnoteRef/>
      </w:r>
      <w:r>
        <w:t xml:space="preserve"> </w:t>
      </w:r>
      <w:proofErr w:type="spellStart"/>
      <w:r w:rsidR="00F017E8" w:rsidRPr="00EB6736">
        <w:t>Roder</w:t>
      </w:r>
      <w:proofErr w:type="spellEnd"/>
      <w:r w:rsidR="00F017E8" w:rsidRPr="00EB6736">
        <w:t xml:space="preserve">, C, </w:t>
      </w:r>
      <w:proofErr w:type="spellStart"/>
      <w:r w:rsidR="00F017E8" w:rsidRPr="00EB6736">
        <w:t>Gunjaca</w:t>
      </w:r>
      <w:proofErr w:type="spellEnd"/>
      <w:r w:rsidR="00F017E8" w:rsidRPr="00EB6736">
        <w:t xml:space="preserve">, V, Otome, O, </w:t>
      </w:r>
      <w:proofErr w:type="spellStart"/>
      <w:r w:rsidR="00F017E8" w:rsidRPr="00EB6736">
        <w:t>Gwini</w:t>
      </w:r>
      <w:proofErr w:type="spellEnd"/>
      <w:r w:rsidR="00F017E8" w:rsidRPr="00EB6736">
        <w:t>, SM &amp; Athan, E 2020, 'Cost and Outcomes of Implantable Cardiac Electronic Device Infections in Victoria, Australia', Heart Lung Circ, vol. 29, no. 7, pp. e140-e6.</w:t>
      </w:r>
    </w:p>
  </w:footnote>
  <w:footnote w:id="23">
    <w:p w14:paraId="5A167F00" w14:textId="77B24CB9" w:rsidR="00E50838" w:rsidRDefault="00E50838">
      <w:pPr>
        <w:pStyle w:val="FootnoteText"/>
      </w:pPr>
      <w:r>
        <w:rPr>
          <w:rStyle w:val="FootnoteReference"/>
        </w:rPr>
        <w:footnoteRef/>
      </w:r>
      <w:r>
        <w:t xml:space="preserve"> </w:t>
      </w:r>
      <w:r w:rsidR="00EF15EE" w:rsidRPr="00EB6736">
        <w:t xml:space="preserve">Rizwan Sohail, M, Henrikson, CA, Jo Braid-Forbes, M, Forbes, KF &amp; Lerner, DJ 2015, 'Increased long-term mortality in patients with cardiovascular implantable electronic device infections', Pacing Clin </w:t>
      </w:r>
      <w:proofErr w:type="spellStart"/>
      <w:r w:rsidR="00EF15EE" w:rsidRPr="00EB6736">
        <w:t>Electrophysiol</w:t>
      </w:r>
      <w:proofErr w:type="spellEnd"/>
      <w:r w:rsidR="00EF15EE" w:rsidRPr="00EB6736">
        <w:t>, vol. 38, no. 2, pp. 231-9.</w:t>
      </w:r>
    </w:p>
  </w:footnote>
  <w:footnote w:id="24">
    <w:p w14:paraId="5C7DA2AC" w14:textId="7C9D297E" w:rsidR="00103AE1" w:rsidRPr="009C553D" w:rsidRDefault="00103AE1">
      <w:pPr>
        <w:pStyle w:val="FootnoteText"/>
        <w:rPr>
          <w:lang w:val="en-US"/>
        </w:rPr>
      </w:pPr>
      <w:r>
        <w:rPr>
          <w:rStyle w:val="FootnoteReference"/>
        </w:rPr>
        <w:footnoteRef/>
      </w:r>
      <w:r>
        <w:t xml:space="preserve"> </w:t>
      </w:r>
      <w:r w:rsidRPr="0046121D">
        <w:t xml:space="preserve">Gillam, MH, Pratt, NL, Inacio, MC, Shakib, S, Sanders, P, Lau, DH &amp; Roughead, EE 2018, 'Rehospitalizations for complications and mortality following pacemaker implantation: A retrospective cohort study in an older population', </w:t>
      </w:r>
      <w:r w:rsidRPr="0046121D">
        <w:rPr>
          <w:i/>
          <w:iCs/>
        </w:rPr>
        <w:t>Clinical cardiology</w:t>
      </w:r>
      <w:r w:rsidRPr="0046121D">
        <w:t>, vol. 41, no. 11, pp. 1480-6.</w:t>
      </w:r>
    </w:p>
  </w:footnote>
  <w:footnote w:id="25">
    <w:p w14:paraId="0CD976FF" w14:textId="37188814" w:rsidR="00526B0B" w:rsidRPr="00526B0B" w:rsidRDefault="00526B0B">
      <w:pPr>
        <w:pStyle w:val="FootnoteText"/>
        <w:rPr>
          <w:lang w:val="en-US"/>
        </w:rPr>
      </w:pPr>
      <w:r>
        <w:rPr>
          <w:rStyle w:val="FootnoteReference"/>
        </w:rPr>
        <w:footnoteRef/>
      </w:r>
      <w:r>
        <w:t xml:space="preserve"> </w:t>
      </w:r>
      <w:r w:rsidRPr="00526B0B">
        <w:t xml:space="preserve">Services Australia 2024, </w:t>
      </w:r>
      <w:r w:rsidRPr="00526B0B">
        <w:rPr>
          <w:i/>
          <w:iCs/>
        </w:rPr>
        <w:t>Medicare Item Reports</w:t>
      </w:r>
      <w:r w:rsidRPr="00526B0B">
        <w:t>, http://medicarestatistics.humanservices.gov.au/statistics/mbs_item.jsp.</w:t>
      </w:r>
    </w:p>
  </w:footnote>
  <w:footnote w:id="26">
    <w:p w14:paraId="5427CC42" w14:textId="743C28B6" w:rsidR="00162E32" w:rsidRDefault="00162E32">
      <w:pPr>
        <w:pStyle w:val="FootnoteText"/>
      </w:pPr>
      <w:r>
        <w:rPr>
          <w:rStyle w:val="FootnoteReference"/>
        </w:rPr>
        <w:footnoteRef/>
      </w:r>
      <w:r>
        <w:t xml:space="preserve"> </w:t>
      </w:r>
      <w:r w:rsidRPr="00570438">
        <w:rPr>
          <w:rFonts w:cstheme="minorHAnsi"/>
          <w:lang w:val="sv-SE"/>
        </w:rPr>
        <w:t xml:space="preserve">Fagerlund BC, Harboe I, Giske L, Movik E, Ørjasæter IK, Tjelle TE. </w:t>
      </w:r>
      <w:r w:rsidRPr="00E5777A">
        <w:rPr>
          <w:rFonts w:cstheme="minorHAnsi"/>
        </w:rPr>
        <w:t>The Micra TM Transcatheter Pacing System, a leadless pacemaker, in patients indicated for single chamber ventricular pacemaker implantation: A single technology assessment from the Norwegian Institute of Public Health (</w:t>
      </w:r>
      <w:proofErr w:type="spellStart"/>
      <w:r w:rsidRPr="00E5777A">
        <w:rPr>
          <w:rFonts w:cstheme="minorHAnsi"/>
        </w:rPr>
        <w:t>Folkehelseinstituttet</w:t>
      </w:r>
      <w:proofErr w:type="spellEnd"/>
      <w:r w:rsidRPr="00E5777A">
        <w:rPr>
          <w:rFonts w:cstheme="minorHAnsi"/>
        </w:rPr>
        <w:t>). Oslo: Norwegian Institute of Public Health,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37498" w14:textId="77777777" w:rsidR="00BB4E3B" w:rsidRDefault="00BB4E3B"/>
  <w:p w14:paraId="6910D86F" w14:textId="77777777" w:rsidR="003E1AD0" w:rsidRDefault="003E1AD0"/>
  <w:p w14:paraId="2F3D824D" w14:textId="5E634E71" w:rsidR="00C87CEA" w:rsidRDefault="00790CF5">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2906"/>
    <w:multiLevelType w:val="hybridMultilevel"/>
    <w:tmpl w:val="23782E64"/>
    <w:lvl w:ilvl="0" w:tplc="63E4B06C">
      <w:start w:val="1"/>
      <w:numFmt w:val="bullet"/>
      <w:lvlText w:val="-"/>
      <w:lvlJc w:val="left"/>
      <w:pPr>
        <w:ind w:left="720" w:hanging="360"/>
      </w:pPr>
      <w:rPr>
        <w:rFonts w:ascii="Garamond" w:hAnsi="Garamond"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873D1E"/>
    <w:multiLevelType w:val="hybridMultilevel"/>
    <w:tmpl w:val="3C5862D0"/>
    <w:lvl w:ilvl="0" w:tplc="63E4B06C">
      <w:start w:val="1"/>
      <w:numFmt w:val="bullet"/>
      <w:lvlText w:val="-"/>
      <w:lvlJc w:val="left"/>
      <w:pPr>
        <w:ind w:left="360" w:hanging="360"/>
      </w:pPr>
      <w:rPr>
        <w:rFonts w:ascii="Garamond" w:hAnsi="Garamond"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ED06F20"/>
    <w:multiLevelType w:val="hybridMultilevel"/>
    <w:tmpl w:val="F794A6C4"/>
    <w:lvl w:ilvl="0" w:tplc="63E4B06C">
      <w:start w:val="1"/>
      <w:numFmt w:val="bullet"/>
      <w:lvlText w:val="-"/>
      <w:lvlJc w:val="left"/>
      <w:pPr>
        <w:ind w:left="720" w:hanging="360"/>
      </w:pPr>
      <w:rPr>
        <w:rFonts w:ascii="Garamond" w:hAnsi="Garamond"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1F2CB1"/>
    <w:multiLevelType w:val="hybridMultilevel"/>
    <w:tmpl w:val="861A23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6BB4224"/>
    <w:multiLevelType w:val="hybridMultilevel"/>
    <w:tmpl w:val="60D8A2DC"/>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FA0746"/>
    <w:multiLevelType w:val="hybridMultilevel"/>
    <w:tmpl w:val="2A0679B4"/>
    <w:lvl w:ilvl="0" w:tplc="725A728C">
      <w:start w:val="1"/>
      <w:numFmt w:val="bullet"/>
      <w:lvlText w:val=""/>
      <w:lvlJc w:val="left"/>
      <w:pPr>
        <w:ind w:left="360" w:hanging="360"/>
      </w:pPr>
      <w:rPr>
        <w:rFonts w:ascii="Symbol" w:hAnsi="Symbol" w:hint="default"/>
      </w:rPr>
    </w:lvl>
    <w:lvl w:ilvl="1" w:tplc="C4580608">
      <w:start w:val="1"/>
      <w:numFmt w:val="bullet"/>
      <w:lvlText w:val="o"/>
      <w:lvlJc w:val="left"/>
      <w:pPr>
        <w:ind w:left="1440" w:hanging="360"/>
      </w:pPr>
      <w:rPr>
        <w:rFonts w:ascii="Courier New" w:hAnsi="Courier New" w:hint="default"/>
      </w:rPr>
    </w:lvl>
    <w:lvl w:ilvl="2" w:tplc="BA724032">
      <w:start w:val="1"/>
      <w:numFmt w:val="bullet"/>
      <w:lvlText w:val=""/>
      <w:lvlJc w:val="left"/>
      <w:pPr>
        <w:ind w:left="2160" w:hanging="360"/>
      </w:pPr>
      <w:rPr>
        <w:rFonts w:ascii="Wingdings" w:hAnsi="Wingdings" w:hint="default"/>
      </w:rPr>
    </w:lvl>
    <w:lvl w:ilvl="3" w:tplc="398E73AC">
      <w:start w:val="1"/>
      <w:numFmt w:val="bullet"/>
      <w:lvlText w:val=""/>
      <w:lvlJc w:val="left"/>
      <w:pPr>
        <w:ind w:left="2880" w:hanging="360"/>
      </w:pPr>
      <w:rPr>
        <w:rFonts w:ascii="Symbol" w:hAnsi="Symbol" w:hint="default"/>
      </w:rPr>
    </w:lvl>
    <w:lvl w:ilvl="4" w:tplc="273438DE">
      <w:start w:val="1"/>
      <w:numFmt w:val="bullet"/>
      <w:lvlText w:val="o"/>
      <w:lvlJc w:val="left"/>
      <w:pPr>
        <w:ind w:left="3600" w:hanging="360"/>
      </w:pPr>
      <w:rPr>
        <w:rFonts w:ascii="Courier New" w:hAnsi="Courier New" w:hint="default"/>
      </w:rPr>
    </w:lvl>
    <w:lvl w:ilvl="5" w:tplc="18528342">
      <w:start w:val="1"/>
      <w:numFmt w:val="bullet"/>
      <w:lvlText w:val=""/>
      <w:lvlJc w:val="left"/>
      <w:pPr>
        <w:ind w:left="4320" w:hanging="360"/>
      </w:pPr>
      <w:rPr>
        <w:rFonts w:ascii="Wingdings" w:hAnsi="Wingdings" w:hint="default"/>
      </w:rPr>
    </w:lvl>
    <w:lvl w:ilvl="6" w:tplc="1EB68FD8">
      <w:start w:val="1"/>
      <w:numFmt w:val="bullet"/>
      <w:lvlText w:val=""/>
      <w:lvlJc w:val="left"/>
      <w:pPr>
        <w:ind w:left="5040" w:hanging="360"/>
      </w:pPr>
      <w:rPr>
        <w:rFonts w:ascii="Symbol" w:hAnsi="Symbol" w:hint="default"/>
      </w:rPr>
    </w:lvl>
    <w:lvl w:ilvl="7" w:tplc="D0001656">
      <w:start w:val="1"/>
      <w:numFmt w:val="bullet"/>
      <w:lvlText w:val="o"/>
      <w:lvlJc w:val="left"/>
      <w:pPr>
        <w:ind w:left="5760" w:hanging="360"/>
      </w:pPr>
      <w:rPr>
        <w:rFonts w:ascii="Courier New" w:hAnsi="Courier New" w:hint="default"/>
      </w:rPr>
    </w:lvl>
    <w:lvl w:ilvl="8" w:tplc="1F6CFB80">
      <w:start w:val="1"/>
      <w:numFmt w:val="bullet"/>
      <w:lvlText w:val=""/>
      <w:lvlJc w:val="left"/>
      <w:pPr>
        <w:ind w:left="6480" w:hanging="360"/>
      </w:pPr>
      <w:rPr>
        <w:rFonts w:ascii="Wingdings" w:hAnsi="Wingdings" w:hint="default"/>
      </w:rPr>
    </w:lvl>
  </w:abstractNum>
  <w:abstractNum w:abstractNumId="7"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44212FE"/>
    <w:multiLevelType w:val="hybridMultilevel"/>
    <w:tmpl w:val="830E11B6"/>
    <w:styleLink w:val="ESSectionheading-numbered"/>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E91510"/>
    <w:multiLevelType w:val="hybridMultilevel"/>
    <w:tmpl w:val="853249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4869E4"/>
    <w:multiLevelType w:val="hybridMultilevel"/>
    <w:tmpl w:val="38BAA55E"/>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3A98222C"/>
    <w:multiLevelType w:val="hybridMultilevel"/>
    <w:tmpl w:val="572C8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B34ADC"/>
    <w:multiLevelType w:val="hybridMultilevel"/>
    <w:tmpl w:val="8BB4FD2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7D323B8"/>
    <w:multiLevelType w:val="hybridMultilevel"/>
    <w:tmpl w:val="1388A8C8"/>
    <w:lvl w:ilvl="0" w:tplc="B2CE1BE4">
      <w:start w:val="1"/>
      <w:numFmt w:val="bullet"/>
      <w:lvlText w:val=""/>
      <w:lvlJc w:val="left"/>
      <w:pPr>
        <w:ind w:left="1760" w:hanging="360"/>
      </w:pPr>
      <w:rPr>
        <w:rFonts w:ascii="Symbol" w:hAnsi="Symbol"/>
      </w:rPr>
    </w:lvl>
    <w:lvl w:ilvl="1" w:tplc="5998B4C4">
      <w:start w:val="1"/>
      <w:numFmt w:val="bullet"/>
      <w:lvlText w:val=""/>
      <w:lvlJc w:val="left"/>
      <w:pPr>
        <w:ind w:left="1760" w:hanging="360"/>
      </w:pPr>
      <w:rPr>
        <w:rFonts w:ascii="Symbol" w:hAnsi="Symbol"/>
      </w:rPr>
    </w:lvl>
    <w:lvl w:ilvl="2" w:tplc="35EE335E">
      <w:start w:val="1"/>
      <w:numFmt w:val="bullet"/>
      <w:lvlText w:val=""/>
      <w:lvlJc w:val="left"/>
      <w:pPr>
        <w:ind w:left="1760" w:hanging="360"/>
      </w:pPr>
      <w:rPr>
        <w:rFonts w:ascii="Symbol" w:hAnsi="Symbol"/>
      </w:rPr>
    </w:lvl>
    <w:lvl w:ilvl="3" w:tplc="EF24DCCE">
      <w:start w:val="1"/>
      <w:numFmt w:val="bullet"/>
      <w:lvlText w:val=""/>
      <w:lvlJc w:val="left"/>
      <w:pPr>
        <w:ind w:left="1760" w:hanging="360"/>
      </w:pPr>
      <w:rPr>
        <w:rFonts w:ascii="Symbol" w:hAnsi="Symbol"/>
      </w:rPr>
    </w:lvl>
    <w:lvl w:ilvl="4" w:tplc="49826730">
      <w:start w:val="1"/>
      <w:numFmt w:val="bullet"/>
      <w:lvlText w:val=""/>
      <w:lvlJc w:val="left"/>
      <w:pPr>
        <w:ind w:left="1760" w:hanging="360"/>
      </w:pPr>
      <w:rPr>
        <w:rFonts w:ascii="Symbol" w:hAnsi="Symbol"/>
      </w:rPr>
    </w:lvl>
    <w:lvl w:ilvl="5" w:tplc="1EC24390">
      <w:start w:val="1"/>
      <w:numFmt w:val="bullet"/>
      <w:lvlText w:val=""/>
      <w:lvlJc w:val="left"/>
      <w:pPr>
        <w:ind w:left="1760" w:hanging="360"/>
      </w:pPr>
      <w:rPr>
        <w:rFonts w:ascii="Symbol" w:hAnsi="Symbol"/>
      </w:rPr>
    </w:lvl>
    <w:lvl w:ilvl="6" w:tplc="57887566">
      <w:start w:val="1"/>
      <w:numFmt w:val="bullet"/>
      <w:lvlText w:val=""/>
      <w:lvlJc w:val="left"/>
      <w:pPr>
        <w:ind w:left="1760" w:hanging="360"/>
      </w:pPr>
      <w:rPr>
        <w:rFonts w:ascii="Symbol" w:hAnsi="Symbol"/>
      </w:rPr>
    </w:lvl>
    <w:lvl w:ilvl="7" w:tplc="6116F596">
      <w:start w:val="1"/>
      <w:numFmt w:val="bullet"/>
      <w:lvlText w:val=""/>
      <w:lvlJc w:val="left"/>
      <w:pPr>
        <w:ind w:left="1760" w:hanging="360"/>
      </w:pPr>
      <w:rPr>
        <w:rFonts w:ascii="Symbol" w:hAnsi="Symbol"/>
      </w:rPr>
    </w:lvl>
    <w:lvl w:ilvl="8" w:tplc="3E9AFFDE">
      <w:start w:val="1"/>
      <w:numFmt w:val="bullet"/>
      <w:lvlText w:val=""/>
      <w:lvlJc w:val="left"/>
      <w:pPr>
        <w:ind w:left="1760" w:hanging="360"/>
      </w:pPr>
      <w:rPr>
        <w:rFonts w:ascii="Symbol" w:hAnsi="Symbol"/>
      </w:rPr>
    </w:lvl>
  </w:abstractNum>
  <w:abstractNum w:abstractNumId="18" w15:restartNumberingAfterBreak="0">
    <w:nsid w:val="481F1482"/>
    <w:multiLevelType w:val="hybridMultilevel"/>
    <w:tmpl w:val="DDE426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474F55"/>
    <w:multiLevelType w:val="hybridMultilevel"/>
    <w:tmpl w:val="68E82832"/>
    <w:lvl w:ilvl="0" w:tplc="7ECCD6B8">
      <w:start w:val="1"/>
      <w:numFmt w:val="bullet"/>
      <w:lvlText w:val=""/>
      <w:lvlJc w:val="left"/>
      <w:pPr>
        <w:ind w:left="2320" w:hanging="360"/>
      </w:pPr>
      <w:rPr>
        <w:rFonts w:ascii="Symbol" w:hAnsi="Symbol"/>
      </w:rPr>
    </w:lvl>
    <w:lvl w:ilvl="1" w:tplc="D6007086">
      <w:start w:val="1"/>
      <w:numFmt w:val="bullet"/>
      <w:lvlText w:val=""/>
      <w:lvlJc w:val="left"/>
      <w:pPr>
        <w:ind w:left="2320" w:hanging="360"/>
      </w:pPr>
      <w:rPr>
        <w:rFonts w:ascii="Symbol" w:hAnsi="Symbol"/>
      </w:rPr>
    </w:lvl>
    <w:lvl w:ilvl="2" w:tplc="3B66114E">
      <w:start w:val="1"/>
      <w:numFmt w:val="bullet"/>
      <w:lvlText w:val=""/>
      <w:lvlJc w:val="left"/>
      <w:pPr>
        <w:ind w:left="2320" w:hanging="360"/>
      </w:pPr>
      <w:rPr>
        <w:rFonts w:ascii="Symbol" w:hAnsi="Symbol"/>
      </w:rPr>
    </w:lvl>
    <w:lvl w:ilvl="3" w:tplc="1C4035B2">
      <w:start w:val="1"/>
      <w:numFmt w:val="bullet"/>
      <w:lvlText w:val=""/>
      <w:lvlJc w:val="left"/>
      <w:pPr>
        <w:ind w:left="2320" w:hanging="360"/>
      </w:pPr>
      <w:rPr>
        <w:rFonts w:ascii="Symbol" w:hAnsi="Symbol"/>
      </w:rPr>
    </w:lvl>
    <w:lvl w:ilvl="4" w:tplc="76D2B52C">
      <w:start w:val="1"/>
      <w:numFmt w:val="bullet"/>
      <w:lvlText w:val=""/>
      <w:lvlJc w:val="left"/>
      <w:pPr>
        <w:ind w:left="2320" w:hanging="360"/>
      </w:pPr>
      <w:rPr>
        <w:rFonts w:ascii="Symbol" w:hAnsi="Symbol"/>
      </w:rPr>
    </w:lvl>
    <w:lvl w:ilvl="5" w:tplc="E67A5EFE">
      <w:start w:val="1"/>
      <w:numFmt w:val="bullet"/>
      <w:lvlText w:val=""/>
      <w:lvlJc w:val="left"/>
      <w:pPr>
        <w:ind w:left="2320" w:hanging="360"/>
      </w:pPr>
      <w:rPr>
        <w:rFonts w:ascii="Symbol" w:hAnsi="Symbol"/>
      </w:rPr>
    </w:lvl>
    <w:lvl w:ilvl="6" w:tplc="BAC00EC0">
      <w:start w:val="1"/>
      <w:numFmt w:val="bullet"/>
      <w:lvlText w:val=""/>
      <w:lvlJc w:val="left"/>
      <w:pPr>
        <w:ind w:left="2320" w:hanging="360"/>
      </w:pPr>
      <w:rPr>
        <w:rFonts w:ascii="Symbol" w:hAnsi="Symbol"/>
      </w:rPr>
    </w:lvl>
    <w:lvl w:ilvl="7" w:tplc="3A5EB4E8">
      <w:start w:val="1"/>
      <w:numFmt w:val="bullet"/>
      <w:lvlText w:val=""/>
      <w:lvlJc w:val="left"/>
      <w:pPr>
        <w:ind w:left="2320" w:hanging="360"/>
      </w:pPr>
      <w:rPr>
        <w:rFonts w:ascii="Symbol" w:hAnsi="Symbol"/>
      </w:rPr>
    </w:lvl>
    <w:lvl w:ilvl="8" w:tplc="C9EA8BB0">
      <w:start w:val="1"/>
      <w:numFmt w:val="bullet"/>
      <w:lvlText w:val=""/>
      <w:lvlJc w:val="left"/>
      <w:pPr>
        <w:ind w:left="2320" w:hanging="360"/>
      </w:pPr>
      <w:rPr>
        <w:rFonts w:ascii="Symbol" w:hAnsi="Symbol"/>
      </w:rPr>
    </w:lvl>
  </w:abstractNum>
  <w:abstractNum w:abstractNumId="20" w15:restartNumberingAfterBreak="0">
    <w:nsid w:val="5AE99865"/>
    <w:multiLevelType w:val="hybridMultilevel"/>
    <w:tmpl w:val="42C020E6"/>
    <w:lvl w:ilvl="0" w:tplc="87287FB2">
      <w:start w:val="6"/>
      <w:numFmt w:val="bullet"/>
      <w:lvlText w:val=""/>
      <w:lvlJc w:val="left"/>
      <w:pPr>
        <w:ind w:left="720" w:hanging="360"/>
      </w:pPr>
      <w:rPr>
        <w:rFonts w:ascii="Symbol" w:hAnsi="Symbol" w:hint="default"/>
      </w:rPr>
    </w:lvl>
    <w:lvl w:ilvl="1" w:tplc="63728340">
      <w:start w:val="1"/>
      <w:numFmt w:val="bullet"/>
      <w:lvlText w:val="o"/>
      <w:lvlJc w:val="left"/>
      <w:pPr>
        <w:ind w:left="1440" w:hanging="360"/>
      </w:pPr>
      <w:rPr>
        <w:rFonts w:ascii="Courier New" w:hAnsi="Courier New" w:hint="default"/>
      </w:rPr>
    </w:lvl>
    <w:lvl w:ilvl="2" w:tplc="A73ACC90">
      <w:start w:val="1"/>
      <w:numFmt w:val="bullet"/>
      <w:lvlText w:val=""/>
      <w:lvlJc w:val="left"/>
      <w:pPr>
        <w:ind w:left="2160" w:hanging="360"/>
      </w:pPr>
      <w:rPr>
        <w:rFonts w:ascii="Wingdings" w:hAnsi="Wingdings" w:hint="default"/>
      </w:rPr>
    </w:lvl>
    <w:lvl w:ilvl="3" w:tplc="6554B0EC">
      <w:start w:val="1"/>
      <w:numFmt w:val="bullet"/>
      <w:lvlText w:val=""/>
      <w:lvlJc w:val="left"/>
      <w:pPr>
        <w:ind w:left="2880" w:hanging="360"/>
      </w:pPr>
      <w:rPr>
        <w:rFonts w:ascii="Symbol" w:hAnsi="Symbol" w:hint="default"/>
      </w:rPr>
    </w:lvl>
    <w:lvl w:ilvl="4" w:tplc="E6C6E516">
      <w:start w:val="1"/>
      <w:numFmt w:val="bullet"/>
      <w:lvlText w:val="o"/>
      <w:lvlJc w:val="left"/>
      <w:pPr>
        <w:ind w:left="3600" w:hanging="360"/>
      </w:pPr>
      <w:rPr>
        <w:rFonts w:ascii="Courier New" w:hAnsi="Courier New" w:hint="default"/>
      </w:rPr>
    </w:lvl>
    <w:lvl w:ilvl="5" w:tplc="1AA8E422">
      <w:start w:val="1"/>
      <w:numFmt w:val="bullet"/>
      <w:lvlText w:val=""/>
      <w:lvlJc w:val="left"/>
      <w:pPr>
        <w:ind w:left="4320" w:hanging="360"/>
      </w:pPr>
      <w:rPr>
        <w:rFonts w:ascii="Wingdings" w:hAnsi="Wingdings" w:hint="default"/>
      </w:rPr>
    </w:lvl>
    <w:lvl w:ilvl="6" w:tplc="9420F72E">
      <w:start w:val="1"/>
      <w:numFmt w:val="bullet"/>
      <w:lvlText w:val=""/>
      <w:lvlJc w:val="left"/>
      <w:pPr>
        <w:ind w:left="5040" w:hanging="360"/>
      </w:pPr>
      <w:rPr>
        <w:rFonts w:ascii="Symbol" w:hAnsi="Symbol" w:hint="default"/>
      </w:rPr>
    </w:lvl>
    <w:lvl w:ilvl="7" w:tplc="40C2BAF4">
      <w:start w:val="1"/>
      <w:numFmt w:val="bullet"/>
      <w:lvlText w:val="o"/>
      <w:lvlJc w:val="left"/>
      <w:pPr>
        <w:ind w:left="5760" w:hanging="360"/>
      </w:pPr>
      <w:rPr>
        <w:rFonts w:ascii="Courier New" w:hAnsi="Courier New" w:hint="default"/>
      </w:rPr>
    </w:lvl>
    <w:lvl w:ilvl="8" w:tplc="A20655E8">
      <w:start w:val="1"/>
      <w:numFmt w:val="bullet"/>
      <w:lvlText w:val=""/>
      <w:lvlJc w:val="left"/>
      <w:pPr>
        <w:ind w:left="6480" w:hanging="360"/>
      </w:pPr>
      <w:rPr>
        <w:rFonts w:ascii="Wingdings" w:hAnsi="Wingdings" w:hint="default"/>
      </w:rPr>
    </w:lvl>
  </w:abstractNum>
  <w:abstractNum w:abstractNumId="21"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FF42B2"/>
    <w:multiLevelType w:val="hybridMultilevel"/>
    <w:tmpl w:val="310AD8D0"/>
    <w:lvl w:ilvl="0" w:tplc="2E527E28">
      <w:start w:val="1"/>
      <w:numFmt w:val="bullet"/>
      <w:lvlText w:val=""/>
      <w:lvlJc w:val="left"/>
      <w:pPr>
        <w:ind w:left="360" w:hanging="360"/>
      </w:pPr>
      <w:rPr>
        <w:rFonts w:ascii="Symbol" w:hAnsi="Symbol" w:hint="default"/>
      </w:rPr>
    </w:lvl>
    <w:lvl w:ilvl="1" w:tplc="459498F0">
      <w:start w:val="1"/>
      <w:numFmt w:val="bullet"/>
      <w:lvlText w:val="o"/>
      <w:lvlJc w:val="left"/>
      <w:pPr>
        <w:ind w:left="1440" w:hanging="360"/>
      </w:pPr>
      <w:rPr>
        <w:rFonts w:ascii="Courier New" w:hAnsi="Courier New" w:hint="default"/>
      </w:rPr>
    </w:lvl>
    <w:lvl w:ilvl="2" w:tplc="AE6CD87E">
      <w:start w:val="1"/>
      <w:numFmt w:val="bullet"/>
      <w:lvlText w:val=""/>
      <w:lvlJc w:val="left"/>
      <w:pPr>
        <w:ind w:left="2160" w:hanging="360"/>
      </w:pPr>
      <w:rPr>
        <w:rFonts w:ascii="Wingdings" w:hAnsi="Wingdings" w:hint="default"/>
      </w:rPr>
    </w:lvl>
    <w:lvl w:ilvl="3" w:tplc="0850331E">
      <w:start w:val="1"/>
      <w:numFmt w:val="bullet"/>
      <w:lvlText w:val=""/>
      <w:lvlJc w:val="left"/>
      <w:pPr>
        <w:ind w:left="2880" w:hanging="360"/>
      </w:pPr>
      <w:rPr>
        <w:rFonts w:ascii="Symbol" w:hAnsi="Symbol" w:hint="default"/>
      </w:rPr>
    </w:lvl>
    <w:lvl w:ilvl="4" w:tplc="4F9EF7EA">
      <w:start w:val="1"/>
      <w:numFmt w:val="bullet"/>
      <w:lvlText w:val="o"/>
      <w:lvlJc w:val="left"/>
      <w:pPr>
        <w:ind w:left="3600" w:hanging="360"/>
      </w:pPr>
      <w:rPr>
        <w:rFonts w:ascii="Courier New" w:hAnsi="Courier New" w:hint="default"/>
      </w:rPr>
    </w:lvl>
    <w:lvl w:ilvl="5" w:tplc="545CD624">
      <w:start w:val="1"/>
      <w:numFmt w:val="bullet"/>
      <w:lvlText w:val=""/>
      <w:lvlJc w:val="left"/>
      <w:pPr>
        <w:ind w:left="4320" w:hanging="360"/>
      </w:pPr>
      <w:rPr>
        <w:rFonts w:ascii="Wingdings" w:hAnsi="Wingdings" w:hint="default"/>
      </w:rPr>
    </w:lvl>
    <w:lvl w:ilvl="6" w:tplc="9A6E038A">
      <w:start w:val="1"/>
      <w:numFmt w:val="bullet"/>
      <w:lvlText w:val=""/>
      <w:lvlJc w:val="left"/>
      <w:pPr>
        <w:ind w:left="5040" w:hanging="360"/>
      </w:pPr>
      <w:rPr>
        <w:rFonts w:ascii="Symbol" w:hAnsi="Symbol" w:hint="default"/>
      </w:rPr>
    </w:lvl>
    <w:lvl w:ilvl="7" w:tplc="013464E2">
      <w:start w:val="1"/>
      <w:numFmt w:val="bullet"/>
      <w:lvlText w:val="o"/>
      <w:lvlJc w:val="left"/>
      <w:pPr>
        <w:ind w:left="5760" w:hanging="360"/>
      </w:pPr>
      <w:rPr>
        <w:rFonts w:ascii="Courier New" w:hAnsi="Courier New" w:hint="default"/>
      </w:rPr>
    </w:lvl>
    <w:lvl w:ilvl="8" w:tplc="889A1D24">
      <w:start w:val="1"/>
      <w:numFmt w:val="bullet"/>
      <w:lvlText w:val=""/>
      <w:lvlJc w:val="left"/>
      <w:pPr>
        <w:ind w:left="6480" w:hanging="360"/>
      </w:pPr>
      <w:rPr>
        <w:rFonts w:ascii="Wingdings" w:hAnsi="Wingdings" w:hint="default"/>
      </w:rPr>
    </w:lvl>
  </w:abstractNum>
  <w:abstractNum w:abstractNumId="23" w15:restartNumberingAfterBreak="0">
    <w:nsid w:val="62A0725B"/>
    <w:multiLevelType w:val="hybridMultilevel"/>
    <w:tmpl w:val="D538615C"/>
    <w:lvl w:ilvl="0" w:tplc="610EE6DE">
      <w:start w:val="1"/>
      <w:numFmt w:val="bullet"/>
      <w:lvlText w:val=""/>
      <w:lvlJc w:val="left"/>
      <w:pPr>
        <w:ind w:left="1260" w:hanging="360"/>
      </w:pPr>
      <w:rPr>
        <w:rFonts w:ascii="Symbol" w:hAnsi="Symbol"/>
      </w:rPr>
    </w:lvl>
    <w:lvl w:ilvl="1" w:tplc="77824BBC">
      <w:start w:val="1"/>
      <w:numFmt w:val="bullet"/>
      <w:lvlText w:val=""/>
      <w:lvlJc w:val="left"/>
      <w:pPr>
        <w:ind w:left="1260" w:hanging="360"/>
      </w:pPr>
      <w:rPr>
        <w:rFonts w:ascii="Symbol" w:hAnsi="Symbol"/>
      </w:rPr>
    </w:lvl>
    <w:lvl w:ilvl="2" w:tplc="C08A1BB8">
      <w:start w:val="1"/>
      <w:numFmt w:val="bullet"/>
      <w:lvlText w:val=""/>
      <w:lvlJc w:val="left"/>
      <w:pPr>
        <w:ind w:left="1260" w:hanging="360"/>
      </w:pPr>
      <w:rPr>
        <w:rFonts w:ascii="Symbol" w:hAnsi="Symbol"/>
      </w:rPr>
    </w:lvl>
    <w:lvl w:ilvl="3" w:tplc="A9CA3408">
      <w:start w:val="1"/>
      <w:numFmt w:val="bullet"/>
      <w:lvlText w:val=""/>
      <w:lvlJc w:val="left"/>
      <w:pPr>
        <w:ind w:left="1260" w:hanging="360"/>
      </w:pPr>
      <w:rPr>
        <w:rFonts w:ascii="Symbol" w:hAnsi="Symbol"/>
      </w:rPr>
    </w:lvl>
    <w:lvl w:ilvl="4" w:tplc="6E622DA4">
      <w:start w:val="1"/>
      <w:numFmt w:val="bullet"/>
      <w:lvlText w:val=""/>
      <w:lvlJc w:val="left"/>
      <w:pPr>
        <w:ind w:left="1260" w:hanging="360"/>
      </w:pPr>
      <w:rPr>
        <w:rFonts w:ascii="Symbol" w:hAnsi="Symbol"/>
      </w:rPr>
    </w:lvl>
    <w:lvl w:ilvl="5" w:tplc="6AFEEE84">
      <w:start w:val="1"/>
      <w:numFmt w:val="bullet"/>
      <w:lvlText w:val=""/>
      <w:lvlJc w:val="left"/>
      <w:pPr>
        <w:ind w:left="1260" w:hanging="360"/>
      </w:pPr>
      <w:rPr>
        <w:rFonts w:ascii="Symbol" w:hAnsi="Symbol"/>
      </w:rPr>
    </w:lvl>
    <w:lvl w:ilvl="6" w:tplc="D9181940">
      <w:start w:val="1"/>
      <w:numFmt w:val="bullet"/>
      <w:lvlText w:val=""/>
      <w:lvlJc w:val="left"/>
      <w:pPr>
        <w:ind w:left="1260" w:hanging="360"/>
      </w:pPr>
      <w:rPr>
        <w:rFonts w:ascii="Symbol" w:hAnsi="Symbol"/>
      </w:rPr>
    </w:lvl>
    <w:lvl w:ilvl="7" w:tplc="1FAC7CCE">
      <w:start w:val="1"/>
      <w:numFmt w:val="bullet"/>
      <w:lvlText w:val=""/>
      <w:lvlJc w:val="left"/>
      <w:pPr>
        <w:ind w:left="1260" w:hanging="360"/>
      </w:pPr>
      <w:rPr>
        <w:rFonts w:ascii="Symbol" w:hAnsi="Symbol"/>
      </w:rPr>
    </w:lvl>
    <w:lvl w:ilvl="8" w:tplc="8C369710">
      <w:start w:val="1"/>
      <w:numFmt w:val="bullet"/>
      <w:lvlText w:val=""/>
      <w:lvlJc w:val="left"/>
      <w:pPr>
        <w:ind w:left="1260" w:hanging="360"/>
      </w:pPr>
      <w:rPr>
        <w:rFonts w:ascii="Symbol" w:hAnsi="Symbol"/>
      </w:rPr>
    </w:lvl>
  </w:abstractNum>
  <w:abstractNum w:abstractNumId="24" w15:restartNumberingAfterBreak="0">
    <w:nsid w:val="6701F69A"/>
    <w:multiLevelType w:val="hybridMultilevel"/>
    <w:tmpl w:val="E340C4CC"/>
    <w:lvl w:ilvl="0" w:tplc="71B4A670">
      <w:start w:val="6"/>
      <w:numFmt w:val="bullet"/>
      <w:lvlText w:val=""/>
      <w:lvlJc w:val="left"/>
      <w:pPr>
        <w:ind w:left="720" w:hanging="360"/>
      </w:pPr>
      <w:rPr>
        <w:rFonts w:ascii="Symbol" w:hAnsi="Symbol" w:hint="default"/>
      </w:rPr>
    </w:lvl>
    <w:lvl w:ilvl="1" w:tplc="986C0222">
      <w:start w:val="1"/>
      <w:numFmt w:val="bullet"/>
      <w:lvlText w:val="o"/>
      <w:lvlJc w:val="left"/>
      <w:pPr>
        <w:ind w:left="1440" w:hanging="360"/>
      </w:pPr>
      <w:rPr>
        <w:rFonts w:ascii="Courier New" w:hAnsi="Courier New" w:hint="default"/>
      </w:rPr>
    </w:lvl>
    <w:lvl w:ilvl="2" w:tplc="40D0E8E2">
      <w:start w:val="1"/>
      <w:numFmt w:val="bullet"/>
      <w:lvlText w:val=""/>
      <w:lvlJc w:val="left"/>
      <w:pPr>
        <w:ind w:left="2160" w:hanging="360"/>
      </w:pPr>
      <w:rPr>
        <w:rFonts w:ascii="Wingdings" w:hAnsi="Wingdings" w:hint="default"/>
      </w:rPr>
    </w:lvl>
    <w:lvl w:ilvl="3" w:tplc="B6C2DF32">
      <w:start w:val="1"/>
      <w:numFmt w:val="bullet"/>
      <w:lvlText w:val=""/>
      <w:lvlJc w:val="left"/>
      <w:pPr>
        <w:ind w:left="2880" w:hanging="360"/>
      </w:pPr>
      <w:rPr>
        <w:rFonts w:ascii="Symbol" w:hAnsi="Symbol" w:hint="default"/>
      </w:rPr>
    </w:lvl>
    <w:lvl w:ilvl="4" w:tplc="268E82BC">
      <w:start w:val="1"/>
      <w:numFmt w:val="bullet"/>
      <w:lvlText w:val="o"/>
      <w:lvlJc w:val="left"/>
      <w:pPr>
        <w:ind w:left="3600" w:hanging="360"/>
      </w:pPr>
      <w:rPr>
        <w:rFonts w:ascii="Courier New" w:hAnsi="Courier New" w:hint="default"/>
      </w:rPr>
    </w:lvl>
    <w:lvl w:ilvl="5" w:tplc="0B589EEA">
      <w:start w:val="1"/>
      <w:numFmt w:val="bullet"/>
      <w:lvlText w:val=""/>
      <w:lvlJc w:val="left"/>
      <w:pPr>
        <w:ind w:left="4320" w:hanging="360"/>
      </w:pPr>
      <w:rPr>
        <w:rFonts w:ascii="Wingdings" w:hAnsi="Wingdings" w:hint="default"/>
      </w:rPr>
    </w:lvl>
    <w:lvl w:ilvl="6" w:tplc="FFBC6420">
      <w:start w:val="1"/>
      <w:numFmt w:val="bullet"/>
      <w:lvlText w:val=""/>
      <w:lvlJc w:val="left"/>
      <w:pPr>
        <w:ind w:left="5040" w:hanging="360"/>
      </w:pPr>
      <w:rPr>
        <w:rFonts w:ascii="Symbol" w:hAnsi="Symbol" w:hint="default"/>
      </w:rPr>
    </w:lvl>
    <w:lvl w:ilvl="7" w:tplc="8DC2DA84">
      <w:start w:val="1"/>
      <w:numFmt w:val="bullet"/>
      <w:lvlText w:val="o"/>
      <w:lvlJc w:val="left"/>
      <w:pPr>
        <w:ind w:left="5760" w:hanging="360"/>
      </w:pPr>
      <w:rPr>
        <w:rFonts w:ascii="Courier New" w:hAnsi="Courier New" w:hint="default"/>
      </w:rPr>
    </w:lvl>
    <w:lvl w:ilvl="8" w:tplc="B81EFBF2">
      <w:start w:val="1"/>
      <w:numFmt w:val="bullet"/>
      <w:lvlText w:val=""/>
      <w:lvlJc w:val="left"/>
      <w:pPr>
        <w:ind w:left="6480" w:hanging="360"/>
      </w:pPr>
      <w:rPr>
        <w:rFonts w:ascii="Wingdings" w:hAnsi="Wingdings" w:hint="default"/>
      </w:rPr>
    </w:lvl>
  </w:abstractNum>
  <w:abstractNum w:abstractNumId="25" w15:restartNumberingAfterBreak="0">
    <w:nsid w:val="6CA00B40"/>
    <w:multiLevelType w:val="hybridMultilevel"/>
    <w:tmpl w:val="9E964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083D88"/>
    <w:multiLevelType w:val="hybridMultilevel"/>
    <w:tmpl w:val="7BF602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D3942ED"/>
    <w:multiLevelType w:val="hybridMultilevel"/>
    <w:tmpl w:val="718EB2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16cid:durableId="560480983">
    <w:abstractNumId w:val="22"/>
  </w:num>
  <w:num w:numId="2" w16cid:durableId="846750388">
    <w:abstractNumId w:val="24"/>
  </w:num>
  <w:num w:numId="3" w16cid:durableId="660499870">
    <w:abstractNumId w:val="6"/>
  </w:num>
  <w:num w:numId="4" w16cid:durableId="2025403478">
    <w:abstractNumId w:val="20"/>
  </w:num>
  <w:num w:numId="5" w16cid:durableId="1749109160">
    <w:abstractNumId w:val="10"/>
  </w:num>
  <w:num w:numId="6" w16cid:durableId="1270162788">
    <w:abstractNumId w:val="30"/>
  </w:num>
  <w:num w:numId="7" w16cid:durableId="404036336">
    <w:abstractNumId w:val="11"/>
  </w:num>
  <w:num w:numId="8" w16cid:durableId="1754930659">
    <w:abstractNumId w:val="3"/>
  </w:num>
  <w:num w:numId="9" w16cid:durableId="1821774551">
    <w:abstractNumId w:val="26"/>
  </w:num>
  <w:num w:numId="10" w16cid:durableId="758334604">
    <w:abstractNumId w:val="7"/>
  </w:num>
  <w:num w:numId="11" w16cid:durableId="1414619933">
    <w:abstractNumId w:val="8"/>
  </w:num>
  <w:num w:numId="12" w16cid:durableId="747844684">
    <w:abstractNumId w:val="9"/>
  </w:num>
  <w:num w:numId="13" w16cid:durableId="1180662619">
    <w:abstractNumId w:val="16"/>
  </w:num>
  <w:num w:numId="14" w16cid:durableId="1982073660">
    <w:abstractNumId w:val="1"/>
  </w:num>
  <w:num w:numId="15" w16cid:durableId="279655172">
    <w:abstractNumId w:val="25"/>
  </w:num>
  <w:num w:numId="16" w16cid:durableId="936399970">
    <w:abstractNumId w:val="29"/>
  </w:num>
  <w:num w:numId="17" w16cid:durableId="1740790916">
    <w:abstractNumId w:val="28"/>
  </w:num>
  <w:num w:numId="18" w16cid:durableId="1089500216">
    <w:abstractNumId w:val="18"/>
  </w:num>
  <w:num w:numId="19" w16cid:durableId="1934320269">
    <w:abstractNumId w:val="2"/>
  </w:num>
  <w:num w:numId="20" w16cid:durableId="1394308980">
    <w:abstractNumId w:val="0"/>
  </w:num>
  <w:num w:numId="21" w16cid:durableId="836460951">
    <w:abstractNumId w:val="21"/>
  </w:num>
  <w:num w:numId="22" w16cid:durableId="1689479852">
    <w:abstractNumId w:val="5"/>
  </w:num>
  <w:num w:numId="23" w16cid:durableId="2104060599">
    <w:abstractNumId w:val="14"/>
  </w:num>
  <w:num w:numId="24" w16cid:durableId="1451827458">
    <w:abstractNumId w:val="4"/>
  </w:num>
  <w:num w:numId="25" w16cid:durableId="1755082990">
    <w:abstractNumId w:val="13"/>
  </w:num>
  <w:num w:numId="26" w16cid:durableId="1555196646">
    <w:abstractNumId w:val="15"/>
  </w:num>
  <w:num w:numId="27" w16cid:durableId="307169287">
    <w:abstractNumId w:val="12"/>
  </w:num>
  <w:num w:numId="28" w16cid:durableId="814759832">
    <w:abstractNumId w:val="27"/>
  </w:num>
  <w:num w:numId="29" w16cid:durableId="1487475278">
    <w:abstractNumId w:val="23"/>
  </w:num>
  <w:num w:numId="30" w16cid:durableId="1326282441">
    <w:abstractNumId w:val="17"/>
  </w:num>
  <w:num w:numId="31" w16cid:durableId="873463920">
    <w:abstractNumId w:val="19"/>
  </w:num>
  <w:num w:numId="32" w16cid:durableId="1668364050">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Franklin Gothic Book&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5sadsapz9xttgea9agpxwzrdsfzffstaxrp&quot;&gt;ADAR 1772 report library&lt;record-ids&gt;&lt;item&gt;2&lt;/item&gt;&lt;/record-ids&gt;&lt;/item&gt;&lt;/Libraries&gt;"/>
  </w:docVars>
  <w:rsids>
    <w:rsidRoot w:val="008157F1"/>
    <w:rsid w:val="000000ED"/>
    <w:rsid w:val="000001F4"/>
    <w:rsid w:val="0000080B"/>
    <w:rsid w:val="00000A18"/>
    <w:rsid w:val="0000109A"/>
    <w:rsid w:val="000011FA"/>
    <w:rsid w:val="0000162D"/>
    <w:rsid w:val="00001AE6"/>
    <w:rsid w:val="00001BCD"/>
    <w:rsid w:val="00001D55"/>
    <w:rsid w:val="00002402"/>
    <w:rsid w:val="00002913"/>
    <w:rsid w:val="00002CD1"/>
    <w:rsid w:val="00003A50"/>
    <w:rsid w:val="00003B58"/>
    <w:rsid w:val="00003D53"/>
    <w:rsid w:val="00004A7E"/>
    <w:rsid w:val="00004D69"/>
    <w:rsid w:val="00004EB8"/>
    <w:rsid w:val="00004F1A"/>
    <w:rsid w:val="00004F7F"/>
    <w:rsid w:val="00004FC9"/>
    <w:rsid w:val="0000528D"/>
    <w:rsid w:val="000054C9"/>
    <w:rsid w:val="000057EA"/>
    <w:rsid w:val="000058F5"/>
    <w:rsid w:val="0000604B"/>
    <w:rsid w:val="00006C09"/>
    <w:rsid w:val="00006CD8"/>
    <w:rsid w:val="0000703C"/>
    <w:rsid w:val="00007B6F"/>
    <w:rsid w:val="0001024B"/>
    <w:rsid w:val="000104B2"/>
    <w:rsid w:val="00010AE2"/>
    <w:rsid w:val="00011568"/>
    <w:rsid w:val="00011593"/>
    <w:rsid w:val="00011AFC"/>
    <w:rsid w:val="0001229A"/>
    <w:rsid w:val="000124E4"/>
    <w:rsid w:val="00012811"/>
    <w:rsid w:val="00012882"/>
    <w:rsid w:val="00012B8A"/>
    <w:rsid w:val="00012C75"/>
    <w:rsid w:val="00012F1A"/>
    <w:rsid w:val="000138A8"/>
    <w:rsid w:val="00013DE7"/>
    <w:rsid w:val="0001406F"/>
    <w:rsid w:val="00014974"/>
    <w:rsid w:val="00014E77"/>
    <w:rsid w:val="000152ED"/>
    <w:rsid w:val="00015AC9"/>
    <w:rsid w:val="00015D53"/>
    <w:rsid w:val="00016049"/>
    <w:rsid w:val="00016145"/>
    <w:rsid w:val="000165C0"/>
    <w:rsid w:val="00016973"/>
    <w:rsid w:val="000169C2"/>
    <w:rsid w:val="00016AD2"/>
    <w:rsid w:val="00016B3D"/>
    <w:rsid w:val="00016CB7"/>
    <w:rsid w:val="0001723B"/>
    <w:rsid w:val="00017377"/>
    <w:rsid w:val="000175E7"/>
    <w:rsid w:val="00017722"/>
    <w:rsid w:val="00020362"/>
    <w:rsid w:val="00022066"/>
    <w:rsid w:val="0002240F"/>
    <w:rsid w:val="0002257D"/>
    <w:rsid w:val="0002281D"/>
    <w:rsid w:val="000228B8"/>
    <w:rsid w:val="000228F9"/>
    <w:rsid w:val="00022CE0"/>
    <w:rsid w:val="000232BB"/>
    <w:rsid w:val="00023422"/>
    <w:rsid w:val="0002381B"/>
    <w:rsid w:val="00023A78"/>
    <w:rsid w:val="00023DCA"/>
    <w:rsid w:val="00023F1D"/>
    <w:rsid w:val="00024008"/>
    <w:rsid w:val="000244A2"/>
    <w:rsid w:val="00024767"/>
    <w:rsid w:val="0002494E"/>
    <w:rsid w:val="00024EA5"/>
    <w:rsid w:val="0002523D"/>
    <w:rsid w:val="00025424"/>
    <w:rsid w:val="000254E9"/>
    <w:rsid w:val="0002594F"/>
    <w:rsid w:val="00025D13"/>
    <w:rsid w:val="00025F84"/>
    <w:rsid w:val="00026451"/>
    <w:rsid w:val="0002688A"/>
    <w:rsid w:val="00026C8E"/>
    <w:rsid w:val="000272C1"/>
    <w:rsid w:val="000272E7"/>
    <w:rsid w:val="0002755F"/>
    <w:rsid w:val="000275E7"/>
    <w:rsid w:val="000279D9"/>
    <w:rsid w:val="00027FF7"/>
    <w:rsid w:val="00030037"/>
    <w:rsid w:val="0003047D"/>
    <w:rsid w:val="000305B3"/>
    <w:rsid w:val="00030D23"/>
    <w:rsid w:val="00030DDF"/>
    <w:rsid w:val="000317A4"/>
    <w:rsid w:val="0003181A"/>
    <w:rsid w:val="00031848"/>
    <w:rsid w:val="00031F26"/>
    <w:rsid w:val="00032445"/>
    <w:rsid w:val="000324AF"/>
    <w:rsid w:val="00032652"/>
    <w:rsid w:val="00032694"/>
    <w:rsid w:val="00032D2E"/>
    <w:rsid w:val="00033FF4"/>
    <w:rsid w:val="00034012"/>
    <w:rsid w:val="0003423A"/>
    <w:rsid w:val="0003428E"/>
    <w:rsid w:val="0003450E"/>
    <w:rsid w:val="0003477F"/>
    <w:rsid w:val="000355E7"/>
    <w:rsid w:val="00035A60"/>
    <w:rsid w:val="00035C99"/>
    <w:rsid w:val="00035E04"/>
    <w:rsid w:val="000363D5"/>
    <w:rsid w:val="00036765"/>
    <w:rsid w:val="00036A63"/>
    <w:rsid w:val="00036AD8"/>
    <w:rsid w:val="00036AFD"/>
    <w:rsid w:val="00036E43"/>
    <w:rsid w:val="00036E48"/>
    <w:rsid w:val="00037017"/>
    <w:rsid w:val="00037037"/>
    <w:rsid w:val="00037302"/>
    <w:rsid w:val="0003742A"/>
    <w:rsid w:val="00037ADF"/>
    <w:rsid w:val="00037BE5"/>
    <w:rsid w:val="00037BE7"/>
    <w:rsid w:val="0004005D"/>
    <w:rsid w:val="00040ADF"/>
    <w:rsid w:val="00040FB4"/>
    <w:rsid w:val="000413D6"/>
    <w:rsid w:val="000416E8"/>
    <w:rsid w:val="0004178C"/>
    <w:rsid w:val="00041A94"/>
    <w:rsid w:val="00041F5D"/>
    <w:rsid w:val="000428CB"/>
    <w:rsid w:val="000428E9"/>
    <w:rsid w:val="00042A30"/>
    <w:rsid w:val="00043447"/>
    <w:rsid w:val="000438E0"/>
    <w:rsid w:val="00043942"/>
    <w:rsid w:val="00043F89"/>
    <w:rsid w:val="0004436F"/>
    <w:rsid w:val="000443A6"/>
    <w:rsid w:val="000445E1"/>
    <w:rsid w:val="00044685"/>
    <w:rsid w:val="000449D1"/>
    <w:rsid w:val="00044CD5"/>
    <w:rsid w:val="00045566"/>
    <w:rsid w:val="0004577C"/>
    <w:rsid w:val="00045B8D"/>
    <w:rsid w:val="00045CC5"/>
    <w:rsid w:val="00045EE0"/>
    <w:rsid w:val="00046330"/>
    <w:rsid w:val="00046B64"/>
    <w:rsid w:val="00046B6A"/>
    <w:rsid w:val="000472D4"/>
    <w:rsid w:val="00047326"/>
    <w:rsid w:val="000476DD"/>
    <w:rsid w:val="00050202"/>
    <w:rsid w:val="00050AED"/>
    <w:rsid w:val="00050BF7"/>
    <w:rsid w:val="00050CA2"/>
    <w:rsid w:val="00050E60"/>
    <w:rsid w:val="000512B2"/>
    <w:rsid w:val="00051624"/>
    <w:rsid w:val="000516D0"/>
    <w:rsid w:val="00051725"/>
    <w:rsid w:val="0005205D"/>
    <w:rsid w:val="0005297F"/>
    <w:rsid w:val="00052DB7"/>
    <w:rsid w:val="00052DD3"/>
    <w:rsid w:val="0005326D"/>
    <w:rsid w:val="0005368C"/>
    <w:rsid w:val="00053EF1"/>
    <w:rsid w:val="00053F6C"/>
    <w:rsid w:val="00054104"/>
    <w:rsid w:val="0005448F"/>
    <w:rsid w:val="0005459C"/>
    <w:rsid w:val="00054936"/>
    <w:rsid w:val="00054D83"/>
    <w:rsid w:val="00054E9C"/>
    <w:rsid w:val="00055070"/>
    <w:rsid w:val="000556ED"/>
    <w:rsid w:val="00055727"/>
    <w:rsid w:val="00056212"/>
    <w:rsid w:val="000564B9"/>
    <w:rsid w:val="00056F08"/>
    <w:rsid w:val="00056F77"/>
    <w:rsid w:val="00057138"/>
    <w:rsid w:val="00057670"/>
    <w:rsid w:val="00057A5B"/>
    <w:rsid w:val="00057CAD"/>
    <w:rsid w:val="00060247"/>
    <w:rsid w:val="00060394"/>
    <w:rsid w:val="00060871"/>
    <w:rsid w:val="000608A3"/>
    <w:rsid w:val="000608CE"/>
    <w:rsid w:val="00060BD5"/>
    <w:rsid w:val="00060DC5"/>
    <w:rsid w:val="00060F0B"/>
    <w:rsid w:val="0006187E"/>
    <w:rsid w:val="00061C50"/>
    <w:rsid w:val="00061E6F"/>
    <w:rsid w:val="0006236E"/>
    <w:rsid w:val="00062A83"/>
    <w:rsid w:val="00063067"/>
    <w:rsid w:val="00063071"/>
    <w:rsid w:val="000632E2"/>
    <w:rsid w:val="0006339C"/>
    <w:rsid w:val="00063EA9"/>
    <w:rsid w:val="0006412F"/>
    <w:rsid w:val="0006423F"/>
    <w:rsid w:val="000642FC"/>
    <w:rsid w:val="0006459A"/>
    <w:rsid w:val="000645C5"/>
    <w:rsid w:val="000646BA"/>
    <w:rsid w:val="00064783"/>
    <w:rsid w:val="000647C2"/>
    <w:rsid w:val="00064ABC"/>
    <w:rsid w:val="00064CD7"/>
    <w:rsid w:val="00065031"/>
    <w:rsid w:val="000657C9"/>
    <w:rsid w:val="00065D63"/>
    <w:rsid w:val="000662BB"/>
    <w:rsid w:val="000668CA"/>
    <w:rsid w:val="000669E6"/>
    <w:rsid w:val="00066BC7"/>
    <w:rsid w:val="00066BF1"/>
    <w:rsid w:val="00066C9E"/>
    <w:rsid w:val="00066D99"/>
    <w:rsid w:val="000674B7"/>
    <w:rsid w:val="00067563"/>
    <w:rsid w:val="00067F45"/>
    <w:rsid w:val="0007009B"/>
    <w:rsid w:val="000701C8"/>
    <w:rsid w:val="0007021F"/>
    <w:rsid w:val="000708F8"/>
    <w:rsid w:val="000709A0"/>
    <w:rsid w:val="000709B1"/>
    <w:rsid w:val="00070E03"/>
    <w:rsid w:val="0007113A"/>
    <w:rsid w:val="00071329"/>
    <w:rsid w:val="00071942"/>
    <w:rsid w:val="00071FD1"/>
    <w:rsid w:val="000726D5"/>
    <w:rsid w:val="00072795"/>
    <w:rsid w:val="00072980"/>
    <w:rsid w:val="000733B0"/>
    <w:rsid w:val="0007393B"/>
    <w:rsid w:val="0007398C"/>
    <w:rsid w:val="00073A6E"/>
    <w:rsid w:val="000740FC"/>
    <w:rsid w:val="00074199"/>
    <w:rsid w:val="0007449C"/>
    <w:rsid w:val="000745DE"/>
    <w:rsid w:val="000747A9"/>
    <w:rsid w:val="00074A4E"/>
    <w:rsid w:val="00074E57"/>
    <w:rsid w:val="0007506C"/>
    <w:rsid w:val="000753E0"/>
    <w:rsid w:val="000754E3"/>
    <w:rsid w:val="00075E0C"/>
    <w:rsid w:val="0007637A"/>
    <w:rsid w:val="00076D0D"/>
    <w:rsid w:val="00077357"/>
    <w:rsid w:val="000776D7"/>
    <w:rsid w:val="00077B3F"/>
    <w:rsid w:val="00077B54"/>
    <w:rsid w:val="00077E89"/>
    <w:rsid w:val="00080241"/>
    <w:rsid w:val="000805AC"/>
    <w:rsid w:val="00080810"/>
    <w:rsid w:val="00080A0A"/>
    <w:rsid w:val="00080B96"/>
    <w:rsid w:val="00080FBC"/>
    <w:rsid w:val="0008161E"/>
    <w:rsid w:val="00081660"/>
    <w:rsid w:val="00081778"/>
    <w:rsid w:val="000818C0"/>
    <w:rsid w:val="00081A49"/>
    <w:rsid w:val="0008203F"/>
    <w:rsid w:val="00082340"/>
    <w:rsid w:val="0008292D"/>
    <w:rsid w:val="0008296F"/>
    <w:rsid w:val="000831E5"/>
    <w:rsid w:val="00083806"/>
    <w:rsid w:val="00083F1D"/>
    <w:rsid w:val="00084031"/>
    <w:rsid w:val="00084063"/>
    <w:rsid w:val="000840BC"/>
    <w:rsid w:val="000840BE"/>
    <w:rsid w:val="000842E5"/>
    <w:rsid w:val="00084544"/>
    <w:rsid w:val="00084678"/>
    <w:rsid w:val="00084891"/>
    <w:rsid w:val="00084B5E"/>
    <w:rsid w:val="00085CC1"/>
    <w:rsid w:val="00085D7C"/>
    <w:rsid w:val="00085F0A"/>
    <w:rsid w:val="00086785"/>
    <w:rsid w:val="000869EB"/>
    <w:rsid w:val="00086CAB"/>
    <w:rsid w:val="00086DF1"/>
    <w:rsid w:val="00086FDC"/>
    <w:rsid w:val="000870B6"/>
    <w:rsid w:val="00090613"/>
    <w:rsid w:val="00090AE5"/>
    <w:rsid w:val="00090BD1"/>
    <w:rsid w:val="00091626"/>
    <w:rsid w:val="0009168C"/>
    <w:rsid w:val="00091830"/>
    <w:rsid w:val="00091857"/>
    <w:rsid w:val="00091C59"/>
    <w:rsid w:val="00091D6E"/>
    <w:rsid w:val="00091E3D"/>
    <w:rsid w:val="00092298"/>
    <w:rsid w:val="000927F6"/>
    <w:rsid w:val="00092815"/>
    <w:rsid w:val="0009287F"/>
    <w:rsid w:val="000928B9"/>
    <w:rsid w:val="00092A21"/>
    <w:rsid w:val="00092C95"/>
    <w:rsid w:val="00092CB3"/>
    <w:rsid w:val="00092F3D"/>
    <w:rsid w:val="00093539"/>
    <w:rsid w:val="00093A4B"/>
    <w:rsid w:val="00093D9A"/>
    <w:rsid w:val="0009406F"/>
    <w:rsid w:val="000943BE"/>
    <w:rsid w:val="00094656"/>
    <w:rsid w:val="000946AB"/>
    <w:rsid w:val="000947B5"/>
    <w:rsid w:val="00094A7F"/>
    <w:rsid w:val="00095368"/>
    <w:rsid w:val="000954BB"/>
    <w:rsid w:val="00095908"/>
    <w:rsid w:val="00095B19"/>
    <w:rsid w:val="00095B5B"/>
    <w:rsid w:val="00095B68"/>
    <w:rsid w:val="00095F65"/>
    <w:rsid w:val="00096822"/>
    <w:rsid w:val="00096B52"/>
    <w:rsid w:val="00096E1E"/>
    <w:rsid w:val="00097227"/>
    <w:rsid w:val="000973D5"/>
    <w:rsid w:val="00097724"/>
    <w:rsid w:val="000977DC"/>
    <w:rsid w:val="00097DE0"/>
    <w:rsid w:val="00097E48"/>
    <w:rsid w:val="000A0016"/>
    <w:rsid w:val="000A0058"/>
    <w:rsid w:val="000A0945"/>
    <w:rsid w:val="000A0B65"/>
    <w:rsid w:val="000A0B66"/>
    <w:rsid w:val="000A0BA0"/>
    <w:rsid w:val="000A10BF"/>
    <w:rsid w:val="000A11E2"/>
    <w:rsid w:val="000A1DFD"/>
    <w:rsid w:val="000A1FD9"/>
    <w:rsid w:val="000A20FE"/>
    <w:rsid w:val="000A2970"/>
    <w:rsid w:val="000A2ACD"/>
    <w:rsid w:val="000A2B65"/>
    <w:rsid w:val="000A2DA8"/>
    <w:rsid w:val="000A3193"/>
    <w:rsid w:val="000A39DE"/>
    <w:rsid w:val="000A3BBD"/>
    <w:rsid w:val="000A3FA4"/>
    <w:rsid w:val="000A4DAC"/>
    <w:rsid w:val="000A4FED"/>
    <w:rsid w:val="000A5379"/>
    <w:rsid w:val="000A55A5"/>
    <w:rsid w:val="000A572E"/>
    <w:rsid w:val="000A59BB"/>
    <w:rsid w:val="000A5AB6"/>
    <w:rsid w:val="000A5AC3"/>
    <w:rsid w:val="000A5C47"/>
    <w:rsid w:val="000A5E90"/>
    <w:rsid w:val="000A5F14"/>
    <w:rsid w:val="000A60DD"/>
    <w:rsid w:val="000A61ED"/>
    <w:rsid w:val="000A6296"/>
    <w:rsid w:val="000A629E"/>
    <w:rsid w:val="000A6AC6"/>
    <w:rsid w:val="000A6B30"/>
    <w:rsid w:val="000A7826"/>
    <w:rsid w:val="000A7C36"/>
    <w:rsid w:val="000B018E"/>
    <w:rsid w:val="000B0303"/>
    <w:rsid w:val="000B035F"/>
    <w:rsid w:val="000B0D29"/>
    <w:rsid w:val="000B0F89"/>
    <w:rsid w:val="000B1567"/>
    <w:rsid w:val="000B17A3"/>
    <w:rsid w:val="000B17D1"/>
    <w:rsid w:val="000B1E42"/>
    <w:rsid w:val="000B2CBB"/>
    <w:rsid w:val="000B2F87"/>
    <w:rsid w:val="000B3330"/>
    <w:rsid w:val="000B3493"/>
    <w:rsid w:val="000B356A"/>
    <w:rsid w:val="000B364E"/>
    <w:rsid w:val="000B38CF"/>
    <w:rsid w:val="000B395C"/>
    <w:rsid w:val="000B3D9E"/>
    <w:rsid w:val="000B429C"/>
    <w:rsid w:val="000B4769"/>
    <w:rsid w:val="000B578F"/>
    <w:rsid w:val="000B5B2D"/>
    <w:rsid w:val="000B5E6D"/>
    <w:rsid w:val="000B617E"/>
    <w:rsid w:val="000B668E"/>
    <w:rsid w:val="000B67B7"/>
    <w:rsid w:val="000B6CF0"/>
    <w:rsid w:val="000B6DDC"/>
    <w:rsid w:val="000B6EFD"/>
    <w:rsid w:val="000B720C"/>
    <w:rsid w:val="000B7665"/>
    <w:rsid w:val="000B7947"/>
    <w:rsid w:val="000B7AA6"/>
    <w:rsid w:val="000B7E38"/>
    <w:rsid w:val="000B7E4A"/>
    <w:rsid w:val="000C04BA"/>
    <w:rsid w:val="000C0951"/>
    <w:rsid w:val="000C0DB6"/>
    <w:rsid w:val="000C0FCB"/>
    <w:rsid w:val="000C1179"/>
    <w:rsid w:val="000C1318"/>
    <w:rsid w:val="000C1515"/>
    <w:rsid w:val="000C167B"/>
    <w:rsid w:val="000C18DA"/>
    <w:rsid w:val="000C1BBA"/>
    <w:rsid w:val="000C1C39"/>
    <w:rsid w:val="000C2564"/>
    <w:rsid w:val="000C2840"/>
    <w:rsid w:val="000C2957"/>
    <w:rsid w:val="000C305E"/>
    <w:rsid w:val="000C37FE"/>
    <w:rsid w:val="000C3CD2"/>
    <w:rsid w:val="000C3E7F"/>
    <w:rsid w:val="000C3EAD"/>
    <w:rsid w:val="000C3EDF"/>
    <w:rsid w:val="000C4042"/>
    <w:rsid w:val="000C492D"/>
    <w:rsid w:val="000C4BC4"/>
    <w:rsid w:val="000C506F"/>
    <w:rsid w:val="000C50D8"/>
    <w:rsid w:val="000C5122"/>
    <w:rsid w:val="000C5192"/>
    <w:rsid w:val="000C5A9A"/>
    <w:rsid w:val="000C5C40"/>
    <w:rsid w:val="000C5C41"/>
    <w:rsid w:val="000C5F58"/>
    <w:rsid w:val="000C5FA0"/>
    <w:rsid w:val="000C67DA"/>
    <w:rsid w:val="000C6AFB"/>
    <w:rsid w:val="000C6BBE"/>
    <w:rsid w:val="000C6C66"/>
    <w:rsid w:val="000C6C95"/>
    <w:rsid w:val="000C6D21"/>
    <w:rsid w:val="000C703F"/>
    <w:rsid w:val="000C7214"/>
    <w:rsid w:val="000C7304"/>
    <w:rsid w:val="000C73FC"/>
    <w:rsid w:val="000C7478"/>
    <w:rsid w:val="000C74F5"/>
    <w:rsid w:val="000C77F7"/>
    <w:rsid w:val="000C7961"/>
    <w:rsid w:val="000C7C46"/>
    <w:rsid w:val="000C7C4F"/>
    <w:rsid w:val="000D027C"/>
    <w:rsid w:val="000D0CE9"/>
    <w:rsid w:val="000D0CEA"/>
    <w:rsid w:val="000D0E98"/>
    <w:rsid w:val="000D0F63"/>
    <w:rsid w:val="000D0FFA"/>
    <w:rsid w:val="000D1B52"/>
    <w:rsid w:val="000D1B84"/>
    <w:rsid w:val="000D1DCD"/>
    <w:rsid w:val="000D204E"/>
    <w:rsid w:val="000D2400"/>
    <w:rsid w:val="000D25F5"/>
    <w:rsid w:val="000D2AF3"/>
    <w:rsid w:val="000D2F1A"/>
    <w:rsid w:val="000D32B5"/>
    <w:rsid w:val="000D397B"/>
    <w:rsid w:val="000D4050"/>
    <w:rsid w:val="000D4051"/>
    <w:rsid w:val="000D4368"/>
    <w:rsid w:val="000D43DE"/>
    <w:rsid w:val="000D4BC1"/>
    <w:rsid w:val="000D4C1B"/>
    <w:rsid w:val="000D5208"/>
    <w:rsid w:val="000D5523"/>
    <w:rsid w:val="000D60FC"/>
    <w:rsid w:val="000D665F"/>
    <w:rsid w:val="000D668F"/>
    <w:rsid w:val="000D66A1"/>
    <w:rsid w:val="000D6818"/>
    <w:rsid w:val="000D6BDC"/>
    <w:rsid w:val="000D6C7B"/>
    <w:rsid w:val="000D6CF6"/>
    <w:rsid w:val="000D73D1"/>
    <w:rsid w:val="000D75E5"/>
    <w:rsid w:val="000D79D1"/>
    <w:rsid w:val="000D7AE1"/>
    <w:rsid w:val="000D7FE1"/>
    <w:rsid w:val="000E00DD"/>
    <w:rsid w:val="000E03DC"/>
    <w:rsid w:val="000E06F0"/>
    <w:rsid w:val="000E07B6"/>
    <w:rsid w:val="000E07B7"/>
    <w:rsid w:val="000E10A9"/>
    <w:rsid w:val="000E1124"/>
    <w:rsid w:val="000E17C3"/>
    <w:rsid w:val="000E249B"/>
    <w:rsid w:val="000E25A5"/>
    <w:rsid w:val="000E32AB"/>
    <w:rsid w:val="000E3677"/>
    <w:rsid w:val="000E3DCB"/>
    <w:rsid w:val="000E4471"/>
    <w:rsid w:val="000E4886"/>
    <w:rsid w:val="000E4DF4"/>
    <w:rsid w:val="000E51B2"/>
    <w:rsid w:val="000E535C"/>
    <w:rsid w:val="000E5531"/>
    <w:rsid w:val="000E5ECA"/>
    <w:rsid w:val="000E623C"/>
    <w:rsid w:val="000E6410"/>
    <w:rsid w:val="000E660B"/>
    <w:rsid w:val="000E678B"/>
    <w:rsid w:val="000E766E"/>
    <w:rsid w:val="000E7810"/>
    <w:rsid w:val="000F0574"/>
    <w:rsid w:val="000F0621"/>
    <w:rsid w:val="000F0998"/>
    <w:rsid w:val="000F0D7A"/>
    <w:rsid w:val="000F11D0"/>
    <w:rsid w:val="000F17DF"/>
    <w:rsid w:val="000F1A32"/>
    <w:rsid w:val="000F1DA2"/>
    <w:rsid w:val="000F22F5"/>
    <w:rsid w:val="000F2456"/>
    <w:rsid w:val="000F26F0"/>
    <w:rsid w:val="000F2D60"/>
    <w:rsid w:val="000F2E01"/>
    <w:rsid w:val="000F2FB3"/>
    <w:rsid w:val="000F335B"/>
    <w:rsid w:val="000F383E"/>
    <w:rsid w:val="000F3880"/>
    <w:rsid w:val="000F4234"/>
    <w:rsid w:val="000F5120"/>
    <w:rsid w:val="000F57D5"/>
    <w:rsid w:val="000F5A54"/>
    <w:rsid w:val="000F6555"/>
    <w:rsid w:val="000F686B"/>
    <w:rsid w:val="000F6B2D"/>
    <w:rsid w:val="000F7109"/>
    <w:rsid w:val="000F7532"/>
    <w:rsid w:val="000F76B1"/>
    <w:rsid w:val="000F76FA"/>
    <w:rsid w:val="000F7987"/>
    <w:rsid w:val="000F7C9A"/>
    <w:rsid w:val="000F7CC4"/>
    <w:rsid w:val="00100013"/>
    <w:rsid w:val="00100205"/>
    <w:rsid w:val="00100213"/>
    <w:rsid w:val="001003F3"/>
    <w:rsid w:val="0010051C"/>
    <w:rsid w:val="00100D35"/>
    <w:rsid w:val="001013FB"/>
    <w:rsid w:val="001014F4"/>
    <w:rsid w:val="001019E4"/>
    <w:rsid w:val="00101C16"/>
    <w:rsid w:val="00101D69"/>
    <w:rsid w:val="001022B5"/>
    <w:rsid w:val="00102406"/>
    <w:rsid w:val="001024AC"/>
    <w:rsid w:val="00102695"/>
    <w:rsid w:val="001026D9"/>
    <w:rsid w:val="001027C2"/>
    <w:rsid w:val="001039A1"/>
    <w:rsid w:val="00103AE1"/>
    <w:rsid w:val="001043D6"/>
    <w:rsid w:val="001043F7"/>
    <w:rsid w:val="0010448B"/>
    <w:rsid w:val="001049E3"/>
    <w:rsid w:val="00104B2A"/>
    <w:rsid w:val="00104C36"/>
    <w:rsid w:val="001050F5"/>
    <w:rsid w:val="0010521F"/>
    <w:rsid w:val="001054A9"/>
    <w:rsid w:val="00105691"/>
    <w:rsid w:val="00105E8D"/>
    <w:rsid w:val="0010625A"/>
    <w:rsid w:val="001066DC"/>
    <w:rsid w:val="00106AF6"/>
    <w:rsid w:val="00106C7E"/>
    <w:rsid w:val="00106FAB"/>
    <w:rsid w:val="001071E4"/>
    <w:rsid w:val="0010739C"/>
    <w:rsid w:val="00107524"/>
    <w:rsid w:val="001075DD"/>
    <w:rsid w:val="001075F6"/>
    <w:rsid w:val="001076ED"/>
    <w:rsid w:val="001078C4"/>
    <w:rsid w:val="00107DCD"/>
    <w:rsid w:val="00107EE2"/>
    <w:rsid w:val="00107EF0"/>
    <w:rsid w:val="00110193"/>
    <w:rsid w:val="00110210"/>
    <w:rsid w:val="0011037D"/>
    <w:rsid w:val="0011063F"/>
    <w:rsid w:val="0011084B"/>
    <w:rsid w:val="00110B0F"/>
    <w:rsid w:val="00110B4C"/>
    <w:rsid w:val="00110C2C"/>
    <w:rsid w:val="00111056"/>
    <w:rsid w:val="0011118C"/>
    <w:rsid w:val="00111417"/>
    <w:rsid w:val="00111839"/>
    <w:rsid w:val="00112251"/>
    <w:rsid w:val="001122D7"/>
    <w:rsid w:val="001124FB"/>
    <w:rsid w:val="00112679"/>
    <w:rsid w:val="00112714"/>
    <w:rsid w:val="00112753"/>
    <w:rsid w:val="00112B3E"/>
    <w:rsid w:val="00112C2A"/>
    <w:rsid w:val="00112C94"/>
    <w:rsid w:val="00112D85"/>
    <w:rsid w:val="001139A0"/>
    <w:rsid w:val="00113A4E"/>
    <w:rsid w:val="00113B51"/>
    <w:rsid w:val="00113BA3"/>
    <w:rsid w:val="00113C60"/>
    <w:rsid w:val="00113D1E"/>
    <w:rsid w:val="00113D6D"/>
    <w:rsid w:val="00113EE7"/>
    <w:rsid w:val="00114086"/>
    <w:rsid w:val="001141D3"/>
    <w:rsid w:val="001147A3"/>
    <w:rsid w:val="001147DE"/>
    <w:rsid w:val="001149EE"/>
    <w:rsid w:val="00114AAA"/>
    <w:rsid w:val="00114ADA"/>
    <w:rsid w:val="00114C3B"/>
    <w:rsid w:val="00114D5E"/>
    <w:rsid w:val="00115074"/>
    <w:rsid w:val="0011548D"/>
    <w:rsid w:val="0011559E"/>
    <w:rsid w:val="00115691"/>
    <w:rsid w:val="00115AC9"/>
    <w:rsid w:val="00115D18"/>
    <w:rsid w:val="00115EE5"/>
    <w:rsid w:val="001163F0"/>
    <w:rsid w:val="0011647D"/>
    <w:rsid w:val="00116C34"/>
    <w:rsid w:val="00116C78"/>
    <w:rsid w:val="00117039"/>
    <w:rsid w:val="0011704E"/>
    <w:rsid w:val="0011743C"/>
    <w:rsid w:val="001174A9"/>
    <w:rsid w:val="0011773A"/>
    <w:rsid w:val="00117CFF"/>
    <w:rsid w:val="00117F04"/>
    <w:rsid w:val="00120271"/>
    <w:rsid w:val="0012038D"/>
    <w:rsid w:val="00120BD3"/>
    <w:rsid w:val="00120DE0"/>
    <w:rsid w:val="00120E47"/>
    <w:rsid w:val="00120F14"/>
    <w:rsid w:val="001211EB"/>
    <w:rsid w:val="00121455"/>
    <w:rsid w:val="0012175D"/>
    <w:rsid w:val="0012231D"/>
    <w:rsid w:val="00122397"/>
    <w:rsid w:val="00122AE3"/>
    <w:rsid w:val="00122E97"/>
    <w:rsid w:val="00122EE1"/>
    <w:rsid w:val="00123658"/>
    <w:rsid w:val="001237AF"/>
    <w:rsid w:val="001239F0"/>
    <w:rsid w:val="00123FBD"/>
    <w:rsid w:val="0012439F"/>
    <w:rsid w:val="001243EF"/>
    <w:rsid w:val="001247EB"/>
    <w:rsid w:val="001248A2"/>
    <w:rsid w:val="00124967"/>
    <w:rsid w:val="00124F3C"/>
    <w:rsid w:val="00125189"/>
    <w:rsid w:val="00125642"/>
    <w:rsid w:val="0012575A"/>
    <w:rsid w:val="001257CC"/>
    <w:rsid w:val="00125B61"/>
    <w:rsid w:val="00126109"/>
    <w:rsid w:val="00126122"/>
    <w:rsid w:val="0012637E"/>
    <w:rsid w:val="0012645A"/>
    <w:rsid w:val="001264B4"/>
    <w:rsid w:val="00126572"/>
    <w:rsid w:val="001267DA"/>
    <w:rsid w:val="00126B81"/>
    <w:rsid w:val="00126E71"/>
    <w:rsid w:val="0012700E"/>
    <w:rsid w:val="001271C4"/>
    <w:rsid w:val="001277B2"/>
    <w:rsid w:val="001277D6"/>
    <w:rsid w:val="00127AB1"/>
    <w:rsid w:val="00127CA3"/>
    <w:rsid w:val="00130C06"/>
    <w:rsid w:val="00130DE5"/>
    <w:rsid w:val="00130E4F"/>
    <w:rsid w:val="00130F96"/>
    <w:rsid w:val="00131893"/>
    <w:rsid w:val="00131D45"/>
    <w:rsid w:val="001320F0"/>
    <w:rsid w:val="001321E7"/>
    <w:rsid w:val="0013270A"/>
    <w:rsid w:val="00132ADE"/>
    <w:rsid w:val="00132B80"/>
    <w:rsid w:val="00132BD9"/>
    <w:rsid w:val="001336BC"/>
    <w:rsid w:val="001336E0"/>
    <w:rsid w:val="00133AA4"/>
    <w:rsid w:val="00133CD6"/>
    <w:rsid w:val="00133E67"/>
    <w:rsid w:val="00133F34"/>
    <w:rsid w:val="00134056"/>
    <w:rsid w:val="001341AE"/>
    <w:rsid w:val="001348F5"/>
    <w:rsid w:val="00135273"/>
    <w:rsid w:val="00135701"/>
    <w:rsid w:val="00135FC9"/>
    <w:rsid w:val="0013663E"/>
    <w:rsid w:val="00136867"/>
    <w:rsid w:val="00136C31"/>
    <w:rsid w:val="00137469"/>
    <w:rsid w:val="001377DA"/>
    <w:rsid w:val="001378B7"/>
    <w:rsid w:val="001378F1"/>
    <w:rsid w:val="00137FA9"/>
    <w:rsid w:val="00140738"/>
    <w:rsid w:val="001407E7"/>
    <w:rsid w:val="001409EA"/>
    <w:rsid w:val="00140D8C"/>
    <w:rsid w:val="00141204"/>
    <w:rsid w:val="0014127A"/>
    <w:rsid w:val="00141657"/>
    <w:rsid w:val="00141961"/>
    <w:rsid w:val="00141E4B"/>
    <w:rsid w:val="0014230A"/>
    <w:rsid w:val="001427DD"/>
    <w:rsid w:val="001428F5"/>
    <w:rsid w:val="00142A0A"/>
    <w:rsid w:val="00142BE8"/>
    <w:rsid w:val="00142D06"/>
    <w:rsid w:val="00142D6D"/>
    <w:rsid w:val="00142FBE"/>
    <w:rsid w:val="0014320F"/>
    <w:rsid w:val="00143478"/>
    <w:rsid w:val="00143CCA"/>
    <w:rsid w:val="00143F2F"/>
    <w:rsid w:val="001440DC"/>
    <w:rsid w:val="00144292"/>
    <w:rsid w:val="001442E7"/>
    <w:rsid w:val="00144CCF"/>
    <w:rsid w:val="00144EE4"/>
    <w:rsid w:val="00144FCC"/>
    <w:rsid w:val="0014501F"/>
    <w:rsid w:val="00145323"/>
    <w:rsid w:val="00145496"/>
    <w:rsid w:val="00145566"/>
    <w:rsid w:val="001457B9"/>
    <w:rsid w:val="00145E78"/>
    <w:rsid w:val="0014613A"/>
    <w:rsid w:val="00146439"/>
    <w:rsid w:val="00146624"/>
    <w:rsid w:val="001466B0"/>
    <w:rsid w:val="00146983"/>
    <w:rsid w:val="00146CED"/>
    <w:rsid w:val="00147B05"/>
    <w:rsid w:val="00150178"/>
    <w:rsid w:val="00150228"/>
    <w:rsid w:val="00150376"/>
    <w:rsid w:val="00150AA8"/>
    <w:rsid w:val="00150DEC"/>
    <w:rsid w:val="001511AC"/>
    <w:rsid w:val="001515C0"/>
    <w:rsid w:val="00151D0E"/>
    <w:rsid w:val="00151DBD"/>
    <w:rsid w:val="00151E1E"/>
    <w:rsid w:val="00152049"/>
    <w:rsid w:val="0015217D"/>
    <w:rsid w:val="0015225D"/>
    <w:rsid w:val="001525F6"/>
    <w:rsid w:val="0015275C"/>
    <w:rsid w:val="0015279C"/>
    <w:rsid w:val="0015280C"/>
    <w:rsid w:val="001529B7"/>
    <w:rsid w:val="00152FCB"/>
    <w:rsid w:val="001531D1"/>
    <w:rsid w:val="001531D6"/>
    <w:rsid w:val="001533DD"/>
    <w:rsid w:val="00153D5A"/>
    <w:rsid w:val="00153F1F"/>
    <w:rsid w:val="00154068"/>
    <w:rsid w:val="00154628"/>
    <w:rsid w:val="0015471E"/>
    <w:rsid w:val="00154BBB"/>
    <w:rsid w:val="00154C01"/>
    <w:rsid w:val="00155434"/>
    <w:rsid w:val="00155BDA"/>
    <w:rsid w:val="001564DC"/>
    <w:rsid w:val="00156FA7"/>
    <w:rsid w:val="001572EF"/>
    <w:rsid w:val="00157F7A"/>
    <w:rsid w:val="00157F93"/>
    <w:rsid w:val="0016023A"/>
    <w:rsid w:val="001612EE"/>
    <w:rsid w:val="001614E2"/>
    <w:rsid w:val="001617EC"/>
    <w:rsid w:val="001617F9"/>
    <w:rsid w:val="00161964"/>
    <w:rsid w:val="00161C83"/>
    <w:rsid w:val="00161DCB"/>
    <w:rsid w:val="00161E1E"/>
    <w:rsid w:val="00161E8C"/>
    <w:rsid w:val="00161E91"/>
    <w:rsid w:val="00162091"/>
    <w:rsid w:val="00162691"/>
    <w:rsid w:val="00162DBF"/>
    <w:rsid w:val="00162E32"/>
    <w:rsid w:val="0016300F"/>
    <w:rsid w:val="001630FD"/>
    <w:rsid w:val="0016325A"/>
    <w:rsid w:val="00163A0A"/>
    <w:rsid w:val="00163BE8"/>
    <w:rsid w:val="00163C5B"/>
    <w:rsid w:val="00163E0A"/>
    <w:rsid w:val="00164048"/>
    <w:rsid w:val="001640DF"/>
    <w:rsid w:val="0016418D"/>
    <w:rsid w:val="00164CF8"/>
    <w:rsid w:val="0016509D"/>
    <w:rsid w:val="001653AE"/>
    <w:rsid w:val="00165512"/>
    <w:rsid w:val="00165627"/>
    <w:rsid w:val="0016564A"/>
    <w:rsid w:val="001657D3"/>
    <w:rsid w:val="001659AC"/>
    <w:rsid w:val="00165E2E"/>
    <w:rsid w:val="00165E95"/>
    <w:rsid w:val="00165FA2"/>
    <w:rsid w:val="001663F2"/>
    <w:rsid w:val="00166AEA"/>
    <w:rsid w:val="0016744C"/>
    <w:rsid w:val="00167931"/>
    <w:rsid w:val="00167C23"/>
    <w:rsid w:val="00167D11"/>
    <w:rsid w:val="001701D6"/>
    <w:rsid w:val="00170BF8"/>
    <w:rsid w:val="00170D5B"/>
    <w:rsid w:val="001711DC"/>
    <w:rsid w:val="001712CD"/>
    <w:rsid w:val="00171463"/>
    <w:rsid w:val="001717E9"/>
    <w:rsid w:val="00171938"/>
    <w:rsid w:val="0017197A"/>
    <w:rsid w:val="001719D6"/>
    <w:rsid w:val="001719E4"/>
    <w:rsid w:val="00171CBE"/>
    <w:rsid w:val="001720E6"/>
    <w:rsid w:val="00172504"/>
    <w:rsid w:val="001725FB"/>
    <w:rsid w:val="00172B8F"/>
    <w:rsid w:val="00172D26"/>
    <w:rsid w:val="00173306"/>
    <w:rsid w:val="00173329"/>
    <w:rsid w:val="001736F8"/>
    <w:rsid w:val="00173A6E"/>
    <w:rsid w:val="00173AF0"/>
    <w:rsid w:val="00173B92"/>
    <w:rsid w:val="00173BF3"/>
    <w:rsid w:val="00173D85"/>
    <w:rsid w:val="00173E62"/>
    <w:rsid w:val="00173E84"/>
    <w:rsid w:val="00174029"/>
    <w:rsid w:val="0017485A"/>
    <w:rsid w:val="0017492E"/>
    <w:rsid w:val="001749ED"/>
    <w:rsid w:val="00174A79"/>
    <w:rsid w:val="00174FD4"/>
    <w:rsid w:val="001753B1"/>
    <w:rsid w:val="00175926"/>
    <w:rsid w:val="00175AB0"/>
    <w:rsid w:val="00175CAB"/>
    <w:rsid w:val="00175CB1"/>
    <w:rsid w:val="001760E1"/>
    <w:rsid w:val="001761A6"/>
    <w:rsid w:val="001762E6"/>
    <w:rsid w:val="00176432"/>
    <w:rsid w:val="0017679D"/>
    <w:rsid w:val="00176869"/>
    <w:rsid w:val="001774C5"/>
    <w:rsid w:val="00177974"/>
    <w:rsid w:val="00177F68"/>
    <w:rsid w:val="0018045D"/>
    <w:rsid w:val="001809E4"/>
    <w:rsid w:val="0018121A"/>
    <w:rsid w:val="001814ED"/>
    <w:rsid w:val="001816B2"/>
    <w:rsid w:val="00181FB9"/>
    <w:rsid w:val="001822E3"/>
    <w:rsid w:val="001826DF"/>
    <w:rsid w:val="00182A03"/>
    <w:rsid w:val="00182B82"/>
    <w:rsid w:val="00182D8C"/>
    <w:rsid w:val="00183526"/>
    <w:rsid w:val="00183801"/>
    <w:rsid w:val="00183A29"/>
    <w:rsid w:val="00183E0B"/>
    <w:rsid w:val="00183E25"/>
    <w:rsid w:val="0018441E"/>
    <w:rsid w:val="0018491E"/>
    <w:rsid w:val="00184983"/>
    <w:rsid w:val="00184BAE"/>
    <w:rsid w:val="00184C59"/>
    <w:rsid w:val="00184D42"/>
    <w:rsid w:val="00184EAC"/>
    <w:rsid w:val="0018568A"/>
    <w:rsid w:val="00185849"/>
    <w:rsid w:val="001859BD"/>
    <w:rsid w:val="001859D6"/>
    <w:rsid w:val="0018603D"/>
    <w:rsid w:val="001861A4"/>
    <w:rsid w:val="00186701"/>
    <w:rsid w:val="001872B2"/>
    <w:rsid w:val="001875F4"/>
    <w:rsid w:val="001876F9"/>
    <w:rsid w:val="001877F0"/>
    <w:rsid w:val="00187A20"/>
    <w:rsid w:val="00187A3E"/>
    <w:rsid w:val="00187ED3"/>
    <w:rsid w:val="0019052D"/>
    <w:rsid w:val="0019086B"/>
    <w:rsid w:val="00190C0C"/>
    <w:rsid w:val="00191013"/>
    <w:rsid w:val="001910CD"/>
    <w:rsid w:val="00191859"/>
    <w:rsid w:val="00191880"/>
    <w:rsid w:val="0019197F"/>
    <w:rsid w:val="00191AB5"/>
    <w:rsid w:val="00191B26"/>
    <w:rsid w:val="00191B90"/>
    <w:rsid w:val="00191FEB"/>
    <w:rsid w:val="001921D0"/>
    <w:rsid w:val="0019246D"/>
    <w:rsid w:val="0019269C"/>
    <w:rsid w:val="00192CEA"/>
    <w:rsid w:val="00192D9C"/>
    <w:rsid w:val="0019300C"/>
    <w:rsid w:val="00193254"/>
    <w:rsid w:val="0019339B"/>
    <w:rsid w:val="0019362A"/>
    <w:rsid w:val="0019369A"/>
    <w:rsid w:val="00193DA2"/>
    <w:rsid w:val="00193F58"/>
    <w:rsid w:val="0019474E"/>
    <w:rsid w:val="0019483B"/>
    <w:rsid w:val="00194946"/>
    <w:rsid w:val="001949C9"/>
    <w:rsid w:val="00194BD6"/>
    <w:rsid w:val="00194D5F"/>
    <w:rsid w:val="00194E3A"/>
    <w:rsid w:val="00195134"/>
    <w:rsid w:val="00195728"/>
    <w:rsid w:val="0019574C"/>
    <w:rsid w:val="001964F4"/>
    <w:rsid w:val="0019691F"/>
    <w:rsid w:val="00196A36"/>
    <w:rsid w:val="00196D57"/>
    <w:rsid w:val="00196F60"/>
    <w:rsid w:val="00197064"/>
    <w:rsid w:val="001970C0"/>
    <w:rsid w:val="001976ED"/>
    <w:rsid w:val="001978E9"/>
    <w:rsid w:val="00197C69"/>
    <w:rsid w:val="001A002B"/>
    <w:rsid w:val="001A0196"/>
    <w:rsid w:val="001A09D0"/>
    <w:rsid w:val="001A0B71"/>
    <w:rsid w:val="001A1B21"/>
    <w:rsid w:val="001A1CB7"/>
    <w:rsid w:val="001A2210"/>
    <w:rsid w:val="001A23B9"/>
    <w:rsid w:val="001A24AC"/>
    <w:rsid w:val="001A27F3"/>
    <w:rsid w:val="001A2DE1"/>
    <w:rsid w:val="001A2F35"/>
    <w:rsid w:val="001A322C"/>
    <w:rsid w:val="001A3280"/>
    <w:rsid w:val="001A37C0"/>
    <w:rsid w:val="001A3D96"/>
    <w:rsid w:val="001A3DA9"/>
    <w:rsid w:val="001A3DC3"/>
    <w:rsid w:val="001A3DF1"/>
    <w:rsid w:val="001A420B"/>
    <w:rsid w:val="001A4B97"/>
    <w:rsid w:val="001A4F7D"/>
    <w:rsid w:val="001A5550"/>
    <w:rsid w:val="001A565F"/>
    <w:rsid w:val="001A5679"/>
    <w:rsid w:val="001A5CAD"/>
    <w:rsid w:val="001A5EE9"/>
    <w:rsid w:val="001A6189"/>
    <w:rsid w:val="001A66F1"/>
    <w:rsid w:val="001A6CC2"/>
    <w:rsid w:val="001A6D21"/>
    <w:rsid w:val="001A6DE0"/>
    <w:rsid w:val="001A6EA1"/>
    <w:rsid w:val="001A6EE5"/>
    <w:rsid w:val="001A6F46"/>
    <w:rsid w:val="001A6FBB"/>
    <w:rsid w:val="001A7B42"/>
    <w:rsid w:val="001A7D21"/>
    <w:rsid w:val="001A7D8F"/>
    <w:rsid w:val="001B0626"/>
    <w:rsid w:val="001B0D8F"/>
    <w:rsid w:val="001B0F23"/>
    <w:rsid w:val="001B1293"/>
    <w:rsid w:val="001B1415"/>
    <w:rsid w:val="001B1BA3"/>
    <w:rsid w:val="001B1DF1"/>
    <w:rsid w:val="001B2207"/>
    <w:rsid w:val="001B2730"/>
    <w:rsid w:val="001B274C"/>
    <w:rsid w:val="001B2A97"/>
    <w:rsid w:val="001B2CD4"/>
    <w:rsid w:val="001B2FF5"/>
    <w:rsid w:val="001B31B2"/>
    <w:rsid w:val="001B3581"/>
    <w:rsid w:val="001B3613"/>
    <w:rsid w:val="001B3675"/>
    <w:rsid w:val="001B3985"/>
    <w:rsid w:val="001B3AA2"/>
    <w:rsid w:val="001B3BD7"/>
    <w:rsid w:val="001B4959"/>
    <w:rsid w:val="001B55C8"/>
    <w:rsid w:val="001B5790"/>
    <w:rsid w:val="001B57AD"/>
    <w:rsid w:val="001B6377"/>
    <w:rsid w:val="001B66E0"/>
    <w:rsid w:val="001B692D"/>
    <w:rsid w:val="001B6B6A"/>
    <w:rsid w:val="001B6CA4"/>
    <w:rsid w:val="001B7329"/>
    <w:rsid w:val="001B7459"/>
    <w:rsid w:val="001B78C9"/>
    <w:rsid w:val="001B7B82"/>
    <w:rsid w:val="001B7C54"/>
    <w:rsid w:val="001B7E34"/>
    <w:rsid w:val="001B7E3E"/>
    <w:rsid w:val="001C02D0"/>
    <w:rsid w:val="001C075C"/>
    <w:rsid w:val="001C07F1"/>
    <w:rsid w:val="001C1628"/>
    <w:rsid w:val="001C174A"/>
    <w:rsid w:val="001C195B"/>
    <w:rsid w:val="001C1984"/>
    <w:rsid w:val="001C1C05"/>
    <w:rsid w:val="001C1D05"/>
    <w:rsid w:val="001C2A48"/>
    <w:rsid w:val="001C311E"/>
    <w:rsid w:val="001C3E8F"/>
    <w:rsid w:val="001C3FCD"/>
    <w:rsid w:val="001C4404"/>
    <w:rsid w:val="001C4859"/>
    <w:rsid w:val="001C4868"/>
    <w:rsid w:val="001C4924"/>
    <w:rsid w:val="001C4A5B"/>
    <w:rsid w:val="001C4CCC"/>
    <w:rsid w:val="001C4F06"/>
    <w:rsid w:val="001C51B0"/>
    <w:rsid w:val="001C529D"/>
    <w:rsid w:val="001C54C2"/>
    <w:rsid w:val="001C54D3"/>
    <w:rsid w:val="001C57F1"/>
    <w:rsid w:val="001C62CB"/>
    <w:rsid w:val="001C63CE"/>
    <w:rsid w:val="001C65FE"/>
    <w:rsid w:val="001C69E3"/>
    <w:rsid w:val="001C6A37"/>
    <w:rsid w:val="001C6C4B"/>
    <w:rsid w:val="001C6DFD"/>
    <w:rsid w:val="001C6EEE"/>
    <w:rsid w:val="001C7016"/>
    <w:rsid w:val="001C74B0"/>
    <w:rsid w:val="001C781D"/>
    <w:rsid w:val="001C7A54"/>
    <w:rsid w:val="001D02AC"/>
    <w:rsid w:val="001D057B"/>
    <w:rsid w:val="001D065C"/>
    <w:rsid w:val="001D0A08"/>
    <w:rsid w:val="001D0B69"/>
    <w:rsid w:val="001D15DF"/>
    <w:rsid w:val="001D1684"/>
    <w:rsid w:val="001D23DE"/>
    <w:rsid w:val="001D270E"/>
    <w:rsid w:val="001D2909"/>
    <w:rsid w:val="001D2990"/>
    <w:rsid w:val="001D2AF7"/>
    <w:rsid w:val="001D2C69"/>
    <w:rsid w:val="001D2F18"/>
    <w:rsid w:val="001D2FF7"/>
    <w:rsid w:val="001D32C0"/>
    <w:rsid w:val="001D36FB"/>
    <w:rsid w:val="001D3A00"/>
    <w:rsid w:val="001D3A64"/>
    <w:rsid w:val="001D3BF2"/>
    <w:rsid w:val="001D3C84"/>
    <w:rsid w:val="001D3CE0"/>
    <w:rsid w:val="001D3F01"/>
    <w:rsid w:val="001D45DB"/>
    <w:rsid w:val="001D491D"/>
    <w:rsid w:val="001D4A6C"/>
    <w:rsid w:val="001D4D2D"/>
    <w:rsid w:val="001D4F90"/>
    <w:rsid w:val="001D500E"/>
    <w:rsid w:val="001D50F8"/>
    <w:rsid w:val="001D5193"/>
    <w:rsid w:val="001D51DC"/>
    <w:rsid w:val="001D5255"/>
    <w:rsid w:val="001D5793"/>
    <w:rsid w:val="001D5885"/>
    <w:rsid w:val="001D58BC"/>
    <w:rsid w:val="001D5EF6"/>
    <w:rsid w:val="001D5FE7"/>
    <w:rsid w:val="001D6126"/>
    <w:rsid w:val="001D666A"/>
    <w:rsid w:val="001D6963"/>
    <w:rsid w:val="001D6AC4"/>
    <w:rsid w:val="001D6BEC"/>
    <w:rsid w:val="001D6DC3"/>
    <w:rsid w:val="001D6DC4"/>
    <w:rsid w:val="001D6E06"/>
    <w:rsid w:val="001D6FBF"/>
    <w:rsid w:val="001D6FF2"/>
    <w:rsid w:val="001D70A3"/>
    <w:rsid w:val="001D70FF"/>
    <w:rsid w:val="001D74A7"/>
    <w:rsid w:val="001D7B1D"/>
    <w:rsid w:val="001D7F36"/>
    <w:rsid w:val="001E012C"/>
    <w:rsid w:val="001E01F5"/>
    <w:rsid w:val="001E06DE"/>
    <w:rsid w:val="001E0877"/>
    <w:rsid w:val="001E0F02"/>
    <w:rsid w:val="001E113F"/>
    <w:rsid w:val="001E117D"/>
    <w:rsid w:val="001E15F2"/>
    <w:rsid w:val="001E2204"/>
    <w:rsid w:val="001E22F4"/>
    <w:rsid w:val="001E22F7"/>
    <w:rsid w:val="001E2895"/>
    <w:rsid w:val="001E2B21"/>
    <w:rsid w:val="001E2CB5"/>
    <w:rsid w:val="001E307F"/>
    <w:rsid w:val="001E3143"/>
    <w:rsid w:val="001E3736"/>
    <w:rsid w:val="001E3C7B"/>
    <w:rsid w:val="001E4508"/>
    <w:rsid w:val="001E4652"/>
    <w:rsid w:val="001E465F"/>
    <w:rsid w:val="001E4799"/>
    <w:rsid w:val="001E4912"/>
    <w:rsid w:val="001E4D7E"/>
    <w:rsid w:val="001E5031"/>
    <w:rsid w:val="001E5205"/>
    <w:rsid w:val="001E5779"/>
    <w:rsid w:val="001E63C4"/>
    <w:rsid w:val="001E73F7"/>
    <w:rsid w:val="001E76F2"/>
    <w:rsid w:val="001E7A5C"/>
    <w:rsid w:val="001E7BE9"/>
    <w:rsid w:val="001E7C36"/>
    <w:rsid w:val="001F0296"/>
    <w:rsid w:val="001F041B"/>
    <w:rsid w:val="001F067C"/>
    <w:rsid w:val="001F08E5"/>
    <w:rsid w:val="001F1125"/>
    <w:rsid w:val="001F11FD"/>
    <w:rsid w:val="001F15D1"/>
    <w:rsid w:val="001F188A"/>
    <w:rsid w:val="001F1D12"/>
    <w:rsid w:val="001F1F8A"/>
    <w:rsid w:val="001F25A2"/>
    <w:rsid w:val="001F2792"/>
    <w:rsid w:val="001F2902"/>
    <w:rsid w:val="001F293C"/>
    <w:rsid w:val="001F2A82"/>
    <w:rsid w:val="001F2D3D"/>
    <w:rsid w:val="001F2D9B"/>
    <w:rsid w:val="001F3063"/>
    <w:rsid w:val="001F33B3"/>
    <w:rsid w:val="001F372C"/>
    <w:rsid w:val="001F3AF2"/>
    <w:rsid w:val="001F3D00"/>
    <w:rsid w:val="001F3F36"/>
    <w:rsid w:val="001F42EB"/>
    <w:rsid w:val="001F4710"/>
    <w:rsid w:val="001F47F1"/>
    <w:rsid w:val="001F4AB9"/>
    <w:rsid w:val="001F4BEF"/>
    <w:rsid w:val="001F4D0F"/>
    <w:rsid w:val="001F563C"/>
    <w:rsid w:val="001F5ECD"/>
    <w:rsid w:val="001F5EDA"/>
    <w:rsid w:val="001F5F53"/>
    <w:rsid w:val="001F658C"/>
    <w:rsid w:val="001F66CF"/>
    <w:rsid w:val="001F670D"/>
    <w:rsid w:val="001F675C"/>
    <w:rsid w:val="001F6D50"/>
    <w:rsid w:val="001F6F44"/>
    <w:rsid w:val="001F7563"/>
    <w:rsid w:val="001F7A2D"/>
    <w:rsid w:val="001F7D98"/>
    <w:rsid w:val="001F7DA3"/>
    <w:rsid w:val="001F7E0E"/>
    <w:rsid w:val="001F7E5D"/>
    <w:rsid w:val="002002F2"/>
    <w:rsid w:val="0020033C"/>
    <w:rsid w:val="00200FAC"/>
    <w:rsid w:val="0020103A"/>
    <w:rsid w:val="00201366"/>
    <w:rsid w:val="002018CA"/>
    <w:rsid w:val="00201BB7"/>
    <w:rsid w:val="00201BD7"/>
    <w:rsid w:val="00201F42"/>
    <w:rsid w:val="00202176"/>
    <w:rsid w:val="00202621"/>
    <w:rsid w:val="002033D8"/>
    <w:rsid w:val="0020344A"/>
    <w:rsid w:val="00203454"/>
    <w:rsid w:val="00203CEF"/>
    <w:rsid w:val="00203D3A"/>
    <w:rsid w:val="002047A7"/>
    <w:rsid w:val="00204957"/>
    <w:rsid w:val="002051FC"/>
    <w:rsid w:val="002053BF"/>
    <w:rsid w:val="002060DD"/>
    <w:rsid w:val="002061C7"/>
    <w:rsid w:val="00206249"/>
    <w:rsid w:val="0020707B"/>
    <w:rsid w:val="00207363"/>
    <w:rsid w:val="002076CF"/>
    <w:rsid w:val="002077D4"/>
    <w:rsid w:val="002078C5"/>
    <w:rsid w:val="00207DE4"/>
    <w:rsid w:val="00207F59"/>
    <w:rsid w:val="00210779"/>
    <w:rsid w:val="00210D00"/>
    <w:rsid w:val="002114DA"/>
    <w:rsid w:val="0021164F"/>
    <w:rsid w:val="00211DC3"/>
    <w:rsid w:val="00211F3D"/>
    <w:rsid w:val="002126D3"/>
    <w:rsid w:val="00212BAA"/>
    <w:rsid w:val="00213011"/>
    <w:rsid w:val="002130C5"/>
    <w:rsid w:val="002131CA"/>
    <w:rsid w:val="00213512"/>
    <w:rsid w:val="00213636"/>
    <w:rsid w:val="002146BF"/>
    <w:rsid w:val="00214CCB"/>
    <w:rsid w:val="00214EF3"/>
    <w:rsid w:val="00215111"/>
    <w:rsid w:val="00215442"/>
    <w:rsid w:val="002155B6"/>
    <w:rsid w:val="002157E4"/>
    <w:rsid w:val="00215AFB"/>
    <w:rsid w:val="00215BDF"/>
    <w:rsid w:val="00215DEA"/>
    <w:rsid w:val="00215EDB"/>
    <w:rsid w:val="00215F2C"/>
    <w:rsid w:val="002174CA"/>
    <w:rsid w:val="002177EF"/>
    <w:rsid w:val="002178C2"/>
    <w:rsid w:val="002178F0"/>
    <w:rsid w:val="00217C0B"/>
    <w:rsid w:val="00217C21"/>
    <w:rsid w:val="00217C59"/>
    <w:rsid w:val="002200D8"/>
    <w:rsid w:val="002207C7"/>
    <w:rsid w:val="002208D9"/>
    <w:rsid w:val="0022138A"/>
    <w:rsid w:val="0022142C"/>
    <w:rsid w:val="00222142"/>
    <w:rsid w:val="00222995"/>
    <w:rsid w:val="00222B72"/>
    <w:rsid w:val="00222B92"/>
    <w:rsid w:val="00222E9D"/>
    <w:rsid w:val="00223341"/>
    <w:rsid w:val="002234B0"/>
    <w:rsid w:val="002235AC"/>
    <w:rsid w:val="00223664"/>
    <w:rsid w:val="00223A56"/>
    <w:rsid w:val="00223D21"/>
    <w:rsid w:val="00223E17"/>
    <w:rsid w:val="00223ECE"/>
    <w:rsid w:val="00224149"/>
    <w:rsid w:val="00224858"/>
    <w:rsid w:val="002248AC"/>
    <w:rsid w:val="00224A75"/>
    <w:rsid w:val="00225343"/>
    <w:rsid w:val="002253C8"/>
    <w:rsid w:val="0022561C"/>
    <w:rsid w:val="00225833"/>
    <w:rsid w:val="00225A41"/>
    <w:rsid w:val="00225C40"/>
    <w:rsid w:val="00225FFA"/>
    <w:rsid w:val="0022608B"/>
    <w:rsid w:val="00226095"/>
    <w:rsid w:val="002260D9"/>
    <w:rsid w:val="002261C3"/>
    <w:rsid w:val="00226514"/>
    <w:rsid w:val="002265C2"/>
    <w:rsid w:val="002268A3"/>
    <w:rsid w:val="00227B89"/>
    <w:rsid w:val="00227C9B"/>
    <w:rsid w:val="00227D1D"/>
    <w:rsid w:val="00227D72"/>
    <w:rsid w:val="00227DC1"/>
    <w:rsid w:val="00227E0E"/>
    <w:rsid w:val="00227F43"/>
    <w:rsid w:val="00230343"/>
    <w:rsid w:val="0023060A"/>
    <w:rsid w:val="00230890"/>
    <w:rsid w:val="002312E6"/>
    <w:rsid w:val="00231438"/>
    <w:rsid w:val="002314E8"/>
    <w:rsid w:val="0023172D"/>
    <w:rsid w:val="002322B0"/>
    <w:rsid w:val="00232643"/>
    <w:rsid w:val="002326A5"/>
    <w:rsid w:val="0023283C"/>
    <w:rsid w:val="0023288C"/>
    <w:rsid w:val="00232C75"/>
    <w:rsid w:val="00232D76"/>
    <w:rsid w:val="00232E12"/>
    <w:rsid w:val="002330CC"/>
    <w:rsid w:val="00233844"/>
    <w:rsid w:val="00233868"/>
    <w:rsid w:val="00233A6A"/>
    <w:rsid w:val="002340F0"/>
    <w:rsid w:val="00234640"/>
    <w:rsid w:val="00234916"/>
    <w:rsid w:val="00234B01"/>
    <w:rsid w:val="00234C6D"/>
    <w:rsid w:val="00234D62"/>
    <w:rsid w:val="002350D1"/>
    <w:rsid w:val="002353B2"/>
    <w:rsid w:val="00235B8B"/>
    <w:rsid w:val="00235DA9"/>
    <w:rsid w:val="00235DC8"/>
    <w:rsid w:val="00236010"/>
    <w:rsid w:val="0023621E"/>
    <w:rsid w:val="00236453"/>
    <w:rsid w:val="00236509"/>
    <w:rsid w:val="00236683"/>
    <w:rsid w:val="002366E2"/>
    <w:rsid w:val="002374BB"/>
    <w:rsid w:val="00237763"/>
    <w:rsid w:val="00237A0C"/>
    <w:rsid w:val="00237EDE"/>
    <w:rsid w:val="00240011"/>
    <w:rsid w:val="002400C7"/>
    <w:rsid w:val="00240106"/>
    <w:rsid w:val="002403B1"/>
    <w:rsid w:val="0024065E"/>
    <w:rsid w:val="002411C7"/>
    <w:rsid w:val="0024139F"/>
    <w:rsid w:val="00241521"/>
    <w:rsid w:val="00241803"/>
    <w:rsid w:val="00241932"/>
    <w:rsid w:val="00241D34"/>
    <w:rsid w:val="00241E2A"/>
    <w:rsid w:val="0024235E"/>
    <w:rsid w:val="00242F4E"/>
    <w:rsid w:val="0024305E"/>
    <w:rsid w:val="00243116"/>
    <w:rsid w:val="00243661"/>
    <w:rsid w:val="0024412F"/>
    <w:rsid w:val="00245268"/>
    <w:rsid w:val="0024527B"/>
    <w:rsid w:val="002452A0"/>
    <w:rsid w:val="002463A6"/>
    <w:rsid w:val="0024688E"/>
    <w:rsid w:val="00246ADB"/>
    <w:rsid w:val="00246C46"/>
    <w:rsid w:val="00246D83"/>
    <w:rsid w:val="00246FB1"/>
    <w:rsid w:val="00246FBF"/>
    <w:rsid w:val="0024703A"/>
    <w:rsid w:val="0024718F"/>
    <w:rsid w:val="0024726F"/>
    <w:rsid w:val="002474A5"/>
    <w:rsid w:val="0024784F"/>
    <w:rsid w:val="00247AB9"/>
    <w:rsid w:val="00247FF9"/>
    <w:rsid w:val="0025004B"/>
    <w:rsid w:val="00250110"/>
    <w:rsid w:val="002501A5"/>
    <w:rsid w:val="0025049D"/>
    <w:rsid w:val="00250C1B"/>
    <w:rsid w:val="00250CBE"/>
    <w:rsid w:val="00250EB1"/>
    <w:rsid w:val="00250ED9"/>
    <w:rsid w:val="00251570"/>
    <w:rsid w:val="002517A5"/>
    <w:rsid w:val="00251A2B"/>
    <w:rsid w:val="00251EDD"/>
    <w:rsid w:val="00251F6C"/>
    <w:rsid w:val="002520A2"/>
    <w:rsid w:val="0025249C"/>
    <w:rsid w:val="002526FE"/>
    <w:rsid w:val="00252E6E"/>
    <w:rsid w:val="00252E86"/>
    <w:rsid w:val="00253042"/>
    <w:rsid w:val="0025308E"/>
    <w:rsid w:val="00253212"/>
    <w:rsid w:val="0025341F"/>
    <w:rsid w:val="002539ED"/>
    <w:rsid w:val="00253F1F"/>
    <w:rsid w:val="00253FB8"/>
    <w:rsid w:val="0025400C"/>
    <w:rsid w:val="0025440D"/>
    <w:rsid w:val="0025450E"/>
    <w:rsid w:val="00254D1F"/>
    <w:rsid w:val="00254ECB"/>
    <w:rsid w:val="00254FBA"/>
    <w:rsid w:val="00255152"/>
    <w:rsid w:val="0025554E"/>
    <w:rsid w:val="00255876"/>
    <w:rsid w:val="00255A0D"/>
    <w:rsid w:val="00255A19"/>
    <w:rsid w:val="00255E28"/>
    <w:rsid w:val="00256594"/>
    <w:rsid w:val="0025667C"/>
    <w:rsid w:val="00256760"/>
    <w:rsid w:val="00256ADD"/>
    <w:rsid w:val="00257534"/>
    <w:rsid w:val="002603E6"/>
    <w:rsid w:val="00260455"/>
    <w:rsid w:val="002607FD"/>
    <w:rsid w:val="00260C0D"/>
    <w:rsid w:val="00260E26"/>
    <w:rsid w:val="00261080"/>
    <w:rsid w:val="002611D1"/>
    <w:rsid w:val="00261A65"/>
    <w:rsid w:val="00261E36"/>
    <w:rsid w:val="00261E68"/>
    <w:rsid w:val="0026200A"/>
    <w:rsid w:val="00262135"/>
    <w:rsid w:val="002622F6"/>
    <w:rsid w:val="00262423"/>
    <w:rsid w:val="0026291C"/>
    <w:rsid w:val="00262ACE"/>
    <w:rsid w:val="00262CDA"/>
    <w:rsid w:val="00262F4C"/>
    <w:rsid w:val="00263100"/>
    <w:rsid w:val="002633B8"/>
    <w:rsid w:val="00263509"/>
    <w:rsid w:val="002638F4"/>
    <w:rsid w:val="00264550"/>
    <w:rsid w:val="00264829"/>
    <w:rsid w:val="00264EA8"/>
    <w:rsid w:val="002651C8"/>
    <w:rsid w:val="002658D0"/>
    <w:rsid w:val="00265DAB"/>
    <w:rsid w:val="00267151"/>
    <w:rsid w:val="00267792"/>
    <w:rsid w:val="0026782A"/>
    <w:rsid w:val="00267907"/>
    <w:rsid w:val="00267BEF"/>
    <w:rsid w:val="00267CAA"/>
    <w:rsid w:val="002704E9"/>
    <w:rsid w:val="0027062C"/>
    <w:rsid w:val="00270B08"/>
    <w:rsid w:val="00270C8D"/>
    <w:rsid w:val="00271274"/>
    <w:rsid w:val="002712B0"/>
    <w:rsid w:val="002715EA"/>
    <w:rsid w:val="0027160C"/>
    <w:rsid w:val="002716A0"/>
    <w:rsid w:val="002716CF"/>
    <w:rsid w:val="002720BF"/>
    <w:rsid w:val="00272BA1"/>
    <w:rsid w:val="00272D78"/>
    <w:rsid w:val="00273B8F"/>
    <w:rsid w:val="0027446B"/>
    <w:rsid w:val="002744E8"/>
    <w:rsid w:val="00274924"/>
    <w:rsid w:val="00274B32"/>
    <w:rsid w:val="002751D1"/>
    <w:rsid w:val="00275209"/>
    <w:rsid w:val="002755D7"/>
    <w:rsid w:val="00275723"/>
    <w:rsid w:val="00275A98"/>
    <w:rsid w:val="00275D18"/>
    <w:rsid w:val="00275D34"/>
    <w:rsid w:val="00276217"/>
    <w:rsid w:val="002765BD"/>
    <w:rsid w:val="00276FA6"/>
    <w:rsid w:val="00277156"/>
    <w:rsid w:val="00277287"/>
    <w:rsid w:val="00277647"/>
    <w:rsid w:val="00277C21"/>
    <w:rsid w:val="002805FF"/>
    <w:rsid w:val="00280755"/>
    <w:rsid w:val="00280DBE"/>
    <w:rsid w:val="00281588"/>
    <w:rsid w:val="002816D8"/>
    <w:rsid w:val="00281A26"/>
    <w:rsid w:val="00281B09"/>
    <w:rsid w:val="00281ECA"/>
    <w:rsid w:val="0028225E"/>
    <w:rsid w:val="0028234A"/>
    <w:rsid w:val="0028250C"/>
    <w:rsid w:val="002827F0"/>
    <w:rsid w:val="00282806"/>
    <w:rsid w:val="00282C3E"/>
    <w:rsid w:val="00282E5B"/>
    <w:rsid w:val="00282F51"/>
    <w:rsid w:val="002830C0"/>
    <w:rsid w:val="00283548"/>
    <w:rsid w:val="00283556"/>
    <w:rsid w:val="002835A9"/>
    <w:rsid w:val="0028386A"/>
    <w:rsid w:val="00283D62"/>
    <w:rsid w:val="00284340"/>
    <w:rsid w:val="002843A4"/>
    <w:rsid w:val="002844A5"/>
    <w:rsid w:val="002844CB"/>
    <w:rsid w:val="002844E1"/>
    <w:rsid w:val="00284AE9"/>
    <w:rsid w:val="00285933"/>
    <w:rsid w:val="00285B04"/>
    <w:rsid w:val="00285D6E"/>
    <w:rsid w:val="002863DA"/>
    <w:rsid w:val="00286517"/>
    <w:rsid w:val="0028677D"/>
    <w:rsid w:val="00286B20"/>
    <w:rsid w:val="00286D05"/>
    <w:rsid w:val="00286EF0"/>
    <w:rsid w:val="002870DA"/>
    <w:rsid w:val="002871FE"/>
    <w:rsid w:val="00287C60"/>
    <w:rsid w:val="00287E78"/>
    <w:rsid w:val="00287F35"/>
    <w:rsid w:val="00290676"/>
    <w:rsid w:val="0029099A"/>
    <w:rsid w:val="00290DC7"/>
    <w:rsid w:val="00290FD7"/>
    <w:rsid w:val="002910CD"/>
    <w:rsid w:val="00291462"/>
    <w:rsid w:val="00291572"/>
    <w:rsid w:val="00291774"/>
    <w:rsid w:val="002918DC"/>
    <w:rsid w:val="00291B21"/>
    <w:rsid w:val="00292B5E"/>
    <w:rsid w:val="00292EA1"/>
    <w:rsid w:val="002931FF"/>
    <w:rsid w:val="002939F3"/>
    <w:rsid w:val="002949A9"/>
    <w:rsid w:val="00294D28"/>
    <w:rsid w:val="00294FDE"/>
    <w:rsid w:val="00295644"/>
    <w:rsid w:val="00295B4B"/>
    <w:rsid w:val="00295CA0"/>
    <w:rsid w:val="00296215"/>
    <w:rsid w:val="00296EA5"/>
    <w:rsid w:val="00297100"/>
    <w:rsid w:val="002972C1"/>
    <w:rsid w:val="00297799"/>
    <w:rsid w:val="002A00A1"/>
    <w:rsid w:val="002A01E9"/>
    <w:rsid w:val="002A027F"/>
    <w:rsid w:val="002A04B4"/>
    <w:rsid w:val="002A09D2"/>
    <w:rsid w:val="002A145B"/>
    <w:rsid w:val="002A18BE"/>
    <w:rsid w:val="002A217E"/>
    <w:rsid w:val="002A220A"/>
    <w:rsid w:val="002A2305"/>
    <w:rsid w:val="002A24A7"/>
    <w:rsid w:val="002A25BF"/>
    <w:rsid w:val="002A3036"/>
    <w:rsid w:val="002A327C"/>
    <w:rsid w:val="002A36F6"/>
    <w:rsid w:val="002A374A"/>
    <w:rsid w:val="002A3CF8"/>
    <w:rsid w:val="002A3E52"/>
    <w:rsid w:val="002A3ED9"/>
    <w:rsid w:val="002A4084"/>
    <w:rsid w:val="002A415D"/>
    <w:rsid w:val="002A472F"/>
    <w:rsid w:val="002A498A"/>
    <w:rsid w:val="002A4AD6"/>
    <w:rsid w:val="002A4E41"/>
    <w:rsid w:val="002A50E2"/>
    <w:rsid w:val="002A5160"/>
    <w:rsid w:val="002A5B3C"/>
    <w:rsid w:val="002A5E46"/>
    <w:rsid w:val="002A6068"/>
    <w:rsid w:val="002A63CC"/>
    <w:rsid w:val="002A6635"/>
    <w:rsid w:val="002A688A"/>
    <w:rsid w:val="002A68A4"/>
    <w:rsid w:val="002A6C02"/>
    <w:rsid w:val="002A6C4B"/>
    <w:rsid w:val="002A7196"/>
    <w:rsid w:val="002A72B1"/>
    <w:rsid w:val="002A7651"/>
    <w:rsid w:val="002A76AE"/>
    <w:rsid w:val="002A7B1C"/>
    <w:rsid w:val="002A7B46"/>
    <w:rsid w:val="002B01C2"/>
    <w:rsid w:val="002B0340"/>
    <w:rsid w:val="002B0501"/>
    <w:rsid w:val="002B0BDF"/>
    <w:rsid w:val="002B0E91"/>
    <w:rsid w:val="002B10FE"/>
    <w:rsid w:val="002B1384"/>
    <w:rsid w:val="002B1997"/>
    <w:rsid w:val="002B19B1"/>
    <w:rsid w:val="002B1BF3"/>
    <w:rsid w:val="002B1C80"/>
    <w:rsid w:val="002B2196"/>
    <w:rsid w:val="002B2DAB"/>
    <w:rsid w:val="002B2DD9"/>
    <w:rsid w:val="002B30CE"/>
    <w:rsid w:val="002B357F"/>
    <w:rsid w:val="002B3681"/>
    <w:rsid w:val="002B3794"/>
    <w:rsid w:val="002B3985"/>
    <w:rsid w:val="002B3A8E"/>
    <w:rsid w:val="002B4BB2"/>
    <w:rsid w:val="002B4F45"/>
    <w:rsid w:val="002B55CA"/>
    <w:rsid w:val="002B5954"/>
    <w:rsid w:val="002B5F36"/>
    <w:rsid w:val="002B611C"/>
    <w:rsid w:val="002B6226"/>
    <w:rsid w:val="002B64E8"/>
    <w:rsid w:val="002B6637"/>
    <w:rsid w:val="002B667C"/>
    <w:rsid w:val="002B6838"/>
    <w:rsid w:val="002B6C9E"/>
    <w:rsid w:val="002B6CEB"/>
    <w:rsid w:val="002B71B9"/>
    <w:rsid w:val="002B72F6"/>
    <w:rsid w:val="002B7427"/>
    <w:rsid w:val="002B79B2"/>
    <w:rsid w:val="002B7C77"/>
    <w:rsid w:val="002C0155"/>
    <w:rsid w:val="002C063F"/>
    <w:rsid w:val="002C0725"/>
    <w:rsid w:val="002C0EC8"/>
    <w:rsid w:val="002C11CA"/>
    <w:rsid w:val="002C1493"/>
    <w:rsid w:val="002C170D"/>
    <w:rsid w:val="002C188B"/>
    <w:rsid w:val="002C18AE"/>
    <w:rsid w:val="002C1B3F"/>
    <w:rsid w:val="002C1CD1"/>
    <w:rsid w:val="002C27FD"/>
    <w:rsid w:val="002C2BDB"/>
    <w:rsid w:val="002C2D27"/>
    <w:rsid w:val="002C2FE2"/>
    <w:rsid w:val="002C32AD"/>
    <w:rsid w:val="002C3667"/>
    <w:rsid w:val="002C3701"/>
    <w:rsid w:val="002C3920"/>
    <w:rsid w:val="002C39CD"/>
    <w:rsid w:val="002C433D"/>
    <w:rsid w:val="002C45E8"/>
    <w:rsid w:val="002C46D0"/>
    <w:rsid w:val="002C4805"/>
    <w:rsid w:val="002C4B64"/>
    <w:rsid w:val="002C4CCC"/>
    <w:rsid w:val="002C54B0"/>
    <w:rsid w:val="002C56C9"/>
    <w:rsid w:val="002C57F0"/>
    <w:rsid w:val="002C59F6"/>
    <w:rsid w:val="002C6417"/>
    <w:rsid w:val="002C6E20"/>
    <w:rsid w:val="002C6EFD"/>
    <w:rsid w:val="002C70CE"/>
    <w:rsid w:val="002C787E"/>
    <w:rsid w:val="002C7BF6"/>
    <w:rsid w:val="002C7C08"/>
    <w:rsid w:val="002D0503"/>
    <w:rsid w:val="002D05F3"/>
    <w:rsid w:val="002D06A9"/>
    <w:rsid w:val="002D0842"/>
    <w:rsid w:val="002D0D03"/>
    <w:rsid w:val="002D103A"/>
    <w:rsid w:val="002D1694"/>
    <w:rsid w:val="002D1BE8"/>
    <w:rsid w:val="002D1D59"/>
    <w:rsid w:val="002D1F10"/>
    <w:rsid w:val="002D243E"/>
    <w:rsid w:val="002D2932"/>
    <w:rsid w:val="002D3A97"/>
    <w:rsid w:val="002D3ACE"/>
    <w:rsid w:val="002D4551"/>
    <w:rsid w:val="002D4743"/>
    <w:rsid w:val="002D4ABE"/>
    <w:rsid w:val="002D4BC6"/>
    <w:rsid w:val="002D4BEC"/>
    <w:rsid w:val="002D4BF7"/>
    <w:rsid w:val="002D5097"/>
    <w:rsid w:val="002D5218"/>
    <w:rsid w:val="002D55E4"/>
    <w:rsid w:val="002D59EB"/>
    <w:rsid w:val="002D5B0A"/>
    <w:rsid w:val="002D5DDE"/>
    <w:rsid w:val="002D640D"/>
    <w:rsid w:val="002D690D"/>
    <w:rsid w:val="002D69C3"/>
    <w:rsid w:val="002D6B3B"/>
    <w:rsid w:val="002D73DD"/>
    <w:rsid w:val="002D73FB"/>
    <w:rsid w:val="002D749A"/>
    <w:rsid w:val="002D74C3"/>
    <w:rsid w:val="002D762F"/>
    <w:rsid w:val="002D7A8C"/>
    <w:rsid w:val="002D7B04"/>
    <w:rsid w:val="002D7BC7"/>
    <w:rsid w:val="002E056D"/>
    <w:rsid w:val="002E06FE"/>
    <w:rsid w:val="002E0B8F"/>
    <w:rsid w:val="002E0BE8"/>
    <w:rsid w:val="002E1195"/>
    <w:rsid w:val="002E12F2"/>
    <w:rsid w:val="002E15C3"/>
    <w:rsid w:val="002E1620"/>
    <w:rsid w:val="002E1FA8"/>
    <w:rsid w:val="002E2167"/>
    <w:rsid w:val="002E21E9"/>
    <w:rsid w:val="002E28F7"/>
    <w:rsid w:val="002E294D"/>
    <w:rsid w:val="002E2A6E"/>
    <w:rsid w:val="002E2F7E"/>
    <w:rsid w:val="002E34B4"/>
    <w:rsid w:val="002E3753"/>
    <w:rsid w:val="002E3F27"/>
    <w:rsid w:val="002E4018"/>
    <w:rsid w:val="002E427F"/>
    <w:rsid w:val="002E4751"/>
    <w:rsid w:val="002E4870"/>
    <w:rsid w:val="002E4B23"/>
    <w:rsid w:val="002E4BE8"/>
    <w:rsid w:val="002E5142"/>
    <w:rsid w:val="002E51E9"/>
    <w:rsid w:val="002E5218"/>
    <w:rsid w:val="002E5473"/>
    <w:rsid w:val="002E5FA1"/>
    <w:rsid w:val="002E616D"/>
    <w:rsid w:val="002E63BE"/>
    <w:rsid w:val="002E680C"/>
    <w:rsid w:val="002E6ED3"/>
    <w:rsid w:val="002E6F8F"/>
    <w:rsid w:val="002E7257"/>
    <w:rsid w:val="002E731B"/>
    <w:rsid w:val="002E731F"/>
    <w:rsid w:val="002E7402"/>
    <w:rsid w:val="002E7775"/>
    <w:rsid w:val="002E77F8"/>
    <w:rsid w:val="002E79E7"/>
    <w:rsid w:val="002E7AD2"/>
    <w:rsid w:val="002E7F54"/>
    <w:rsid w:val="002F02AB"/>
    <w:rsid w:val="002F0451"/>
    <w:rsid w:val="002F0629"/>
    <w:rsid w:val="002F0642"/>
    <w:rsid w:val="002F0A5F"/>
    <w:rsid w:val="002F1102"/>
    <w:rsid w:val="002F1399"/>
    <w:rsid w:val="002F14F0"/>
    <w:rsid w:val="002F150A"/>
    <w:rsid w:val="002F16A9"/>
    <w:rsid w:val="002F1709"/>
    <w:rsid w:val="002F186F"/>
    <w:rsid w:val="002F206B"/>
    <w:rsid w:val="002F23BC"/>
    <w:rsid w:val="002F2608"/>
    <w:rsid w:val="002F2FCD"/>
    <w:rsid w:val="002F32FB"/>
    <w:rsid w:val="002F35BE"/>
    <w:rsid w:val="002F3AD8"/>
    <w:rsid w:val="002F416E"/>
    <w:rsid w:val="002F4C18"/>
    <w:rsid w:val="002F5075"/>
    <w:rsid w:val="002F5611"/>
    <w:rsid w:val="002F5A99"/>
    <w:rsid w:val="002F5D01"/>
    <w:rsid w:val="002F5F5E"/>
    <w:rsid w:val="002F5F85"/>
    <w:rsid w:val="002F6291"/>
    <w:rsid w:val="002F6562"/>
    <w:rsid w:val="002F677D"/>
    <w:rsid w:val="002F687B"/>
    <w:rsid w:val="002F693F"/>
    <w:rsid w:val="002F6B83"/>
    <w:rsid w:val="002F6E47"/>
    <w:rsid w:val="002F7AD0"/>
    <w:rsid w:val="002F7B03"/>
    <w:rsid w:val="00300186"/>
    <w:rsid w:val="003001B2"/>
    <w:rsid w:val="00300286"/>
    <w:rsid w:val="0030046C"/>
    <w:rsid w:val="00300573"/>
    <w:rsid w:val="003008CC"/>
    <w:rsid w:val="00300989"/>
    <w:rsid w:val="00300D68"/>
    <w:rsid w:val="00300E1D"/>
    <w:rsid w:val="00300F2E"/>
    <w:rsid w:val="00301698"/>
    <w:rsid w:val="00301763"/>
    <w:rsid w:val="00301DCB"/>
    <w:rsid w:val="00301EB5"/>
    <w:rsid w:val="00302252"/>
    <w:rsid w:val="003025F7"/>
    <w:rsid w:val="003027E3"/>
    <w:rsid w:val="00302C1E"/>
    <w:rsid w:val="00302E9D"/>
    <w:rsid w:val="00302F91"/>
    <w:rsid w:val="00303748"/>
    <w:rsid w:val="00303910"/>
    <w:rsid w:val="00303C60"/>
    <w:rsid w:val="00303DF4"/>
    <w:rsid w:val="00303EF4"/>
    <w:rsid w:val="003042AA"/>
    <w:rsid w:val="003043FF"/>
    <w:rsid w:val="003047CD"/>
    <w:rsid w:val="00304920"/>
    <w:rsid w:val="00304BDA"/>
    <w:rsid w:val="00304BE1"/>
    <w:rsid w:val="00304E60"/>
    <w:rsid w:val="00304F58"/>
    <w:rsid w:val="00304FB8"/>
    <w:rsid w:val="0030562F"/>
    <w:rsid w:val="00305751"/>
    <w:rsid w:val="00305849"/>
    <w:rsid w:val="003061D9"/>
    <w:rsid w:val="0030628C"/>
    <w:rsid w:val="00306352"/>
    <w:rsid w:val="003067E3"/>
    <w:rsid w:val="003068D3"/>
    <w:rsid w:val="00306935"/>
    <w:rsid w:val="00306C4A"/>
    <w:rsid w:val="003070E4"/>
    <w:rsid w:val="00307299"/>
    <w:rsid w:val="00307309"/>
    <w:rsid w:val="0030748B"/>
    <w:rsid w:val="0030759B"/>
    <w:rsid w:val="003077D5"/>
    <w:rsid w:val="00307F7E"/>
    <w:rsid w:val="0031062B"/>
    <w:rsid w:val="0031075B"/>
    <w:rsid w:val="00310B9B"/>
    <w:rsid w:val="00310C3F"/>
    <w:rsid w:val="00310FC1"/>
    <w:rsid w:val="003114A4"/>
    <w:rsid w:val="0031186A"/>
    <w:rsid w:val="00311BA2"/>
    <w:rsid w:val="00311C6E"/>
    <w:rsid w:val="00311EA6"/>
    <w:rsid w:val="00312481"/>
    <w:rsid w:val="003126CE"/>
    <w:rsid w:val="003129B9"/>
    <w:rsid w:val="00312A3E"/>
    <w:rsid w:val="0031339F"/>
    <w:rsid w:val="003134E0"/>
    <w:rsid w:val="00313979"/>
    <w:rsid w:val="00313A8E"/>
    <w:rsid w:val="00313DB1"/>
    <w:rsid w:val="003140D2"/>
    <w:rsid w:val="00314508"/>
    <w:rsid w:val="00314741"/>
    <w:rsid w:val="00314842"/>
    <w:rsid w:val="00314893"/>
    <w:rsid w:val="00314A1A"/>
    <w:rsid w:val="00315036"/>
    <w:rsid w:val="0031510F"/>
    <w:rsid w:val="0031520B"/>
    <w:rsid w:val="00315C78"/>
    <w:rsid w:val="00315F0C"/>
    <w:rsid w:val="003160CF"/>
    <w:rsid w:val="00316849"/>
    <w:rsid w:val="00316B35"/>
    <w:rsid w:val="003171DD"/>
    <w:rsid w:val="00317714"/>
    <w:rsid w:val="00320622"/>
    <w:rsid w:val="00320A17"/>
    <w:rsid w:val="00320CCB"/>
    <w:rsid w:val="00320D64"/>
    <w:rsid w:val="00321062"/>
    <w:rsid w:val="00321250"/>
    <w:rsid w:val="00321932"/>
    <w:rsid w:val="003219D1"/>
    <w:rsid w:val="00321BFE"/>
    <w:rsid w:val="00321C08"/>
    <w:rsid w:val="00321EC5"/>
    <w:rsid w:val="00322428"/>
    <w:rsid w:val="00322705"/>
    <w:rsid w:val="00322C99"/>
    <w:rsid w:val="00322D25"/>
    <w:rsid w:val="00322DA9"/>
    <w:rsid w:val="00323080"/>
    <w:rsid w:val="00323AF6"/>
    <w:rsid w:val="00323CD8"/>
    <w:rsid w:val="003241E3"/>
    <w:rsid w:val="0032427D"/>
    <w:rsid w:val="00325177"/>
    <w:rsid w:val="003251C2"/>
    <w:rsid w:val="003254BF"/>
    <w:rsid w:val="0032551F"/>
    <w:rsid w:val="0032591E"/>
    <w:rsid w:val="0032599A"/>
    <w:rsid w:val="00325BED"/>
    <w:rsid w:val="00325E2E"/>
    <w:rsid w:val="00325FA0"/>
    <w:rsid w:val="00326039"/>
    <w:rsid w:val="003261E3"/>
    <w:rsid w:val="00326205"/>
    <w:rsid w:val="003264AD"/>
    <w:rsid w:val="003267A0"/>
    <w:rsid w:val="00326A87"/>
    <w:rsid w:val="00326AAD"/>
    <w:rsid w:val="00326DBD"/>
    <w:rsid w:val="00326F03"/>
    <w:rsid w:val="00326F1C"/>
    <w:rsid w:val="0032700E"/>
    <w:rsid w:val="00327074"/>
    <w:rsid w:val="00327162"/>
    <w:rsid w:val="003271FA"/>
    <w:rsid w:val="00327323"/>
    <w:rsid w:val="003273F2"/>
    <w:rsid w:val="0032746F"/>
    <w:rsid w:val="003277DB"/>
    <w:rsid w:val="003278CB"/>
    <w:rsid w:val="00327AC7"/>
    <w:rsid w:val="00330A0A"/>
    <w:rsid w:val="00330E0C"/>
    <w:rsid w:val="003312B4"/>
    <w:rsid w:val="00331B74"/>
    <w:rsid w:val="00331EDF"/>
    <w:rsid w:val="00332177"/>
    <w:rsid w:val="00332184"/>
    <w:rsid w:val="0033267C"/>
    <w:rsid w:val="00332874"/>
    <w:rsid w:val="003328A9"/>
    <w:rsid w:val="003329D7"/>
    <w:rsid w:val="00332DFD"/>
    <w:rsid w:val="00332E8E"/>
    <w:rsid w:val="00332EAB"/>
    <w:rsid w:val="003339F2"/>
    <w:rsid w:val="00333D0F"/>
    <w:rsid w:val="00333DE5"/>
    <w:rsid w:val="00333F9E"/>
    <w:rsid w:val="00333FF7"/>
    <w:rsid w:val="00334228"/>
    <w:rsid w:val="00334265"/>
    <w:rsid w:val="003346B9"/>
    <w:rsid w:val="00334784"/>
    <w:rsid w:val="00334B79"/>
    <w:rsid w:val="00334DE4"/>
    <w:rsid w:val="00334F5A"/>
    <w:rsid w:val="00335A35"/>
    <w:rsid w:val="00335BF9"/>
    <w:rsid w:val="0033627C"/>
    <w:rsid w:val="0033671F"/>
    <w:rsid w:val="003369AF"/>
    <w:rsid w:val="00336C16"/>
    <w:rsid w:val="003371B5"/>
    <w:rsid w:val="00337282"/>
    <w:rsid w:val="003374CA"/>
    <w:rsid w:val="00337760"/>
    <w:rsid w:val="003378AE"/>
    <w:rsid w:val="00337989"/>
    <w:rsid w:val="00337BAF"/>
    <w:rsid w:val="00337DD5"/>
    <w:rsid w:val="00337F2B"/>
    <w:rsid w:val="00337F92"/>
    <w:rsid w:val="00337FC3"/>
    <w:rsid w:val="0034015D"/>
    <w:rsid w:val="00340167"/>
    <w:rsid w:val="00340209"/>
    <w:rsid w:val="00340341"/>
    <w:rsid w:val="00340578"/>
    <w:rsid w:val="00340A1A"/>
    <w:rsid w:val="00340BA7"/>
    <w:rsid w:val="00341275"/>
    <w:rsid w:val="00341381"/>
    <w:rsid w:val="003417CB"/>
    <w:rsid w:val="003422BE"/>
    <w:rsid w:val="003432AF"/>
    <w:rsid w:val="003435A9"/>
    <w:rsid w:val="00343903"/>
    <w:rsid w:val="00343D12"/>
    <w:rsid w:val="00343DE7"/>
    <w:rsid w:val="00344135"/>
    <w:rsid w:val="00344218"/>
    <w:rsid w:val="00344649"/>
    <w:rsid w:val="003447E7"/>
    <w:rsid w:val="00344A81"/>
    <w:rsid w:val="00344D64"/>
    <w:rsid w:val="003450B9"/>
    <w:rsid w:val="00345172"/>
    <w:rsid w:val="003451D6"/>
    <w:rsid w:val="00345378"/>
    <w:rsid w:val="00345496"/>
    <w:rsid w:val="00345BCF"/>
    <w:rsid w:val="00345EDC"/>
    <w:rsid w:val="003466F9"/>
    <w:rsid w:val="00346A9F"/>
    <w:rsid w:val="00346C97"/>
    <w:rsid w:val="00346EAB"/>
    <w:rsid w:val="00346F18"/>
    <w:rsid w:val="00350092"/>
    <w:rsid w:val="00350167"/>
    <w:rsid w:val="003507C1"/>
    <w:rsid w:val="003507F9"/>
    <w:rsid w:val="00350911"/>
    <w:rsid w:val="00350B62"/>
    <w:rsid w:val="00350C2D"/>
    <w:rsid w:val="00350EE9"/>
    <w:rsid w:val="003513A6"/>
    <w:rsid w:val="003518BE"/>
    <w:rsid w:val="003519AD"/>
    <w:rsid w:val="00351E0E"/>
    <w:rsid w:val="0035212A"/>
    <w:rsid w:val="0035273C"/>
    <w:rsid w:val="0035287D"/>
    <w:rsid w:val="00352897"/>
    <w:rsid w:val="00352A15"/>
    <w:rsid w:val="00352D42"/>
    <w:rsid w:val="00352FD9"/>
    <w:rsid w:val="0035314A"/>
    <w:rsid w:val="00353541"/>
    <w:rsid w:val="0035367F"/>
    <w:rsid w:val="003538CC"/>
    <w:rsid w:val="0035418F"/>
    <w:rsid w:val="003541F8"/>
    <w:rsid w:val="00354AFD"/>
    <w:rsid w:val="00354EB4"/>
    <w:rsid w:val="0035610E"/>
    <w:rsid w:val="00356194"/>
    <w:rsid w:val="003568A1"/>
    <w:rsid w:val="00356D29"/>
    <w:rsid w:val="003571C2"/>
    <w:rsid w:val="003574B9"/>
    <w:rsid w:val="0035765E"/>
    <w:rsid w:val="00357A3C"/>
    <w:rsid w:val="00357AE8"/>
    <w:rsid w:val="00357EA5"/>
    <w:rsid w:val="00357FA7"/>
    <w:rsid w:val="00360733"/>
    <w:rsid w:val="0036167C"/>
    <w:rsid w:val="0036182E"/>
    <w:rsid w:val="00361A1D"/>
    <w:rsid w:val="00361E81"/>
    <w:rsid w:val="00362082"/>
    <w:rsid w:val="003627AA"/>
    <w:rsid w:val="00362A21"/>
    <w:rsid w:val="00362C5B"/>
    <w:rsid w:val="00362C61"/>
    <w:rsid w:val="00362D12"/>
    <w:rsid w:val="00363074"/>
    <w:rsid w:val="00363281"/>
    <w:rsid w:val="00363304"/>
    <w:rsid w:val="00363342"/>
    <w:rsid w:val="003633E4"/>
    <w:rsid w:val="00363688"/>
    <w:rsid w:val="0036388A"/>
    <w:rsid w:val="003640A7"/>
    <w:rsid w:val="003641D0"/>
    <w:rsid w:val="003642ED"/>
    <w:rsid w:val="00364397"/>
    <w:rsid w:val="003647DC"/>
    <w:rsid w:val="0036508E"/>
    <w:rsid w:val="00365097"/>
    <w:rsid w:val="00365427"/>
    <w:rsid w:val="00365447"/>
    <w:rsid w:val="0036592D"/>
    <w:rsid w:val="00365963"/>
    <w:rsid w:val="00366660"/>
    <w:rsid w:val="003666F6"/>
    <w:rsid w:val="00366B61"/>
    <w:rsid w:val="00366C70"/>
    <w:rsid w:val="0036794E"/>
    <w:rsid w:val="00367A28"/>
    <w:rsid w:val="00367E84"/>
    <w:rsid w:val="0037014D"/>
    <w:rsid w:val="0037016A"/>
    <w:rsid w:val="00371279"/>
    <w:rsid w:val="003713B6"/>
    <w:rsid w:val="00371436"/>
    <w:rsid w:val="003714AE"/>
    <w:rsid w:val="00371CD4"/>
    <w:rsid w:val="00371DF0"/>
    <w:rsid w:val="003722F6"/>
    <w:rsid w:val="003724F2"/>
    <w:rsid w:val="00372557"/>
    <w:rsid w:val="003728F3"/>
    <w:rsid w:val="00372A36"/>
    <w:rsid w:val="00372ABE"/>
    <w:rsid w:val="00372B2F"/>
    <w:rsid w:val="00372C17"/>
    <w:rsid w:val="00372C7B"/>
    <w:rsid w:val="00373150"/>
    <w:rsid w:val="00373C86"/>
    <w:rsid w:val="00373E80"/>
    <w:rsid w:val="003745D2"/>
    <w:rsid w:val="0037492F"/>
    <w:rsid w:val="003749CD"/>
    <w:rsid w:val="003749F9"/>
    <w:rsid w:val="00374CA1"/>
    <w:rsid w:val="00374DEB"/>
    <w:rsid w:val="00374F0D"/>
    <w:rsid w:val="00375FD4"/>
    <w:rsid w:val="0037668A"/>
    <w:rsid w:val="00376ACB"/>
    <w:rsid w:val="00376DF8"/>
    <w:rsid w:val="00376F15"/>
    <w:rsid w:val="00377501"/>
    <w:rsid w:val="003776ED"/>
    <w:rsid w:val="00377B4F"/>
    <w:rsid w:val="00380CE7"/>
    <w:rsid w:val="00381088"/>
    <w:rsid w:val="00381295"/>
    <w:rsid w:val="0038146C"/>
    <w:rsid w:val="003814A7"/>
    <w:rsid w:val="003814B2"/>
    <w:rsid w:val="003819B1"/>
    <w:rsid w:val="003819EB"/>
    <w:rsid w:val="00381F34"/>
    <w:rsid w:val="00381F73"/>
    <w:rsid w:val="00382381"/>
    <w:rsid w:val="00382609"/>
    <w:rsid w:val="00382653"/>
    <w:rsid w:val="0038298F"/>
    <w:rsid w:val="00382C36"/>
    <w:rsid w:val="00382E1C"/>
    <w:rsid w:val="00384FCE"/>
    <w:rsid w:val="00385ABF"/>
    <w:rsid w:val="00385B8E"/>
    <w:rsid w:val="00386124"/>
    <w:rsid w:val="003864D5"/>
    <w:rsid w:val="00386EC8"/>
    <w:rsid w:val="003870B5"/>
    <w:rsid w:val="0038719D"/>
    <w:rsid w:val="00387953"/>
    <w:rsid w:val="003900AE"/>
    <w:rsid w:val="00390567"/>
    <w:rsid w:val="003907E8"/>
    <w:rsid w:val="00390AF0"/>
    <w:rsid w:val="00390B4E"/>
    <w:rsid w:val="0039114D"/>
    <w:rsid w:val="003911D5"/>
    <w:rsid w:val="003912EA"/>
    <w:rsid w:val="003912F1"/>
    <w:rsid w:val="00391A5B"/>
    <w:rsid w:val="00392699"/>
    <w:rsid w:val="0039269C"/>
    <w:rsid w:val="003926D7"/>
    <w:rsid w:val="00393007"/>
    <w:rsid w:val="003932A3"/>
    <w:rsid w:val="003934FE"/>
    <w:rsid w:val="00393769"/>
    <w:rsid w:val="00393A7C"/>
    <w:rsid w:val="00393E7D"/>
    <w:rsid w:val="00393F00"/>
    <w:rsid w:val="00394A04"/>
    <w:rsid w:val="00394E57"/>
    <w:rsid w:val="003950D4"/>
    <w:rsid w:val="003952AA"/>
    <w:rsid w:val="003956DF"/>
    <w:rsid w:val="00395C71"/>
    <w:rsid w:val="003960D2"/>
    <w:rsid w:val="00396341"/>
    <w:rsid w:val="003966F6"/>
    <w:rsid w:val="0039677D"/>
    <w:rsid w:val="003979AF"/>
    <w:rsid w:val="00397B03"/>
    <w:rsid w:val="00397B77"/>
    <w:rsid w:val="00397E9A"/>
    <w:rsid w:val="003A0660"/>
    <w:rsid w:val="003A07C4"/>
    <w:rsid w:val="003A0D52"/>
    <w:rsid w:val="003A0F4F"/>
    <w:rsid w:val="003A189F"/>
    <w:rsid w:val="003A1927"/>
    <w:rsid w:val="003A214E"/>
    <w:rsid w:val="003A2308"/>
    <w:rsid w:val="003A292A"/>
    <w:rsid w:val="003A2ED1"/>
    <w:rsid w:val="003A3956"/>
    <w:rsid w:val="003A3A5A"/>
    <w:rsid w:val="003A3E2D"/>
    <w:rsid w:val="003A3F22"/>
    <w:rsid w:val="003A400F"/>
    <w:rsid w:val="003A4C47"/>
    <w:rsid w:val="003A4D3D"/>
    <w:rsid w:val="003A4F05"/>
    <w:rsid w:val="003A53BE"/>
    <w:rsid w:val="003A66DC"/>
    <w:rsid w:val="003A6724"/>
    <w:rsid w:val="003A6A37"/>
    <w:rsid w:val="003A6D9B"/>
    <w:rsid w:val="003A6E1A"/>
    <w:rsid w:val="003A755F"/>
    <w:rsid w:val="003A79CC"/>
    <w:rsid w:val="003A7A81"/>
    <w:rsid w:val="003A7F20"/>
    <w:rsid w:val="003A7FA9"/>
    <w:rsid w:val="003B0081"/>
    <w:rsid w:val="003B00CD"/>
    <w:rsid w:val="003B027F"/>
    <w:rsid w:val="003B0BA1"/>
    <w:rsid w:val="003B0CEA"/>
    <w:rsid w:val="003B0F71"/>
    <w:rsid w:val="003B12D4"/>
    <w:rsid w:val="003B1548"/>
    <w:rsid w:val="003B1805"/>
    <w:rsid w:val="003B1D73"/>
    <w:rsid w:val="003B26CD"/>
    <w:rsid w:val="003B2B88"/>
    <w:rsid w:val="003B2BD2"/>
    <w:rsid w:val="003B2CE9"/>
    <w:rsid w:val="003B2DD2"/>
    <w:rsid w:val="003B350F"/>
    <w:rsid w:val="003B3766"/>
    <w:rsid w:val="003B38F7"/>
    <w:rsid w:val="003B3A7E"/>
    <w:rsid w:val="003B3C1E"/>
    <w:rsid w:val="003B3EFF"/>
    <w:rsid w:val="003B3FC8"/>
    <w:rsid w:val="003B40D2"/>
    <w:rsid w:val="003B4599"/>
    <w:rsid w:val="003B469F"/>
    <w:rsid w:val="003B49A7"/>
    <w:rsid w:val="003B4C24"/>
    <w:rsid w:val="003B4EFC"/>
    <w:rsid w:val="003B4F2E"/>
    <w:rsid w:val="003B5027"/>
    <w:rsid w:val="003B54D5"/>
    <w:rsid w:val="003B5625"/>
    <w:rsid w:val="003B595C"/>
    <w:rsid w:val="003B5A49"/>
    <w:rsid w:val="003B5E88"/>
    <w:rsid w:val="003B61B7"/>
    <w:rsid w:val="003B62A6"/>
    <w:rsid w:val="003B6322"/>
    <w:rsid w:val="003B6743"/>
    <w:rsid w:val="003B6BEA"/>
    <w:rsid w:val="003B78B5"/>
    <w:rsid w:val="003C0422"/>
    <w:rsid w:val="003C06CF"/>
    <w:rsid w:val="003C07A1"/>
    <w:rsid w:val="003C0861"/>
    <w:rsid w:val="003C0E0B"/>
    <w:rsid w:val="003C1145"/>
    <w:rsid w:val="003C154D"/>
    <w:rsid w:val="003C1611"/>
    <w:rsid w:val="003C1930"/>
    <w:rsid w:val="003C1AE2"/>
    <w:rsid w:val="003C1E75"/>
    <w:rsid w:val="003C226B"/>
    <w:rsid w:val="003C2631"/>
    <w:rsid w:val="003C2B7A"/>
    <w:rsid w:val="003C3548"/>
    <w:rsid w:val="003C358D"/>
    <w:rsid w:val="003C3729"/>
    <w:rsid w:val="003C3BF9"/>
    <w:rsid w:val="003C3C13"/>
    <w:rsid w:val="003C3D1A"/>
    <w:rsid w:val="003C3DAF"/>
    <w:rsid w:val="003C4212"/>
    <w:rsid w:val="003C425D"/>
    <w:rsid w:val="003C42DB"/>
    <w:rsid w:val="003C450F"/>
    <w:rsid w:val="003C4B85"/>
    <w:rsid w:val="003C4F8F"/>
    <w:rsid w:val="003C5196"/>
    <w:rsid w:val="003C5988"/>
    <w:rsid w:val="003C5B93"/>
    <w:rsid w:val="003C663A"/>
    <w:rsid w:val="003C6B59"/>
    <w:rsid w:val="003C7106"/>
    <w:rsid w:val="003C717C"/>
    <w:rsid w:val="003C7CD9"/>
    <w:rsid w:val="003C7EFD"/>
    <w:rsid w:val="003D0013"/>
    <w:rsid w:val="003D007B"/>
    <w:rsid w:val="003D0A89"/>
    <w:rsid w:val="003D0ADC"/>
    <w:rsid w:val="003D0D28"/>
    <w:rsid w:val="003D1069"/>
    <w:rsid w:val="003D1313"/>
    <w:rsid w:val="003D1BE5"/>
    <w:rsid w:val="003D21F6"/>
    <w:rsid w:val="003D22A3"/>
    <w:rsid w:val="003D23BA"/>
    <w:rsid w:val="003D241D"/>
    <w:rsid w:val="003D26F2"/>
    <w:rsid w:val="003D299E"/>
    <w:rsid w:val="003D2B84"/>
    <w:rsid w:val="003D2E90"/>
    <w:rsid w:val="003D3501"/>
    <w:rsid w:val="003D3C1B"/>
    <w:rsid w:val="003D40AE"/>
    <w:rsid w:val="003D498D"/>
    <w:rsid w:val="003D4A53"/>
    <w:rsid w:val="003D5456"/>
    <w:rsid w:val="003D556B"/>
    <w:rsid w:val="003D55E1"/>
    <w:rsid w:val="003D56D9"/>
    <w:rsid w:val="003D5886"/>
    <w:rsid w:val="003D5C72"/>
    <w:rsid w:val="003D5D26"/>
    <w:rsid w:val="003D5D7C"/>
    <w:rsid w:val="003D5F1D"/>
    <w:rsid w:val="003D6039"/>
    <w:rsid w:val="003D635A"/>
    <w:rsid w:val="003D641A"/>
    <w:rsid w:val="003D6817"/>
    <w:rsid w:val="003D6897"/>
    <w:rsid w:val="003D71EB"/>
    <w:rsid w:val="003D720B"/>
    <w:rsid w:val="003E0004"/>
    <w:rsid w:val="003E0923"/>
    <w:rsid w:val="003E0932"/>
    <w:rsid w:val="003E0B2F"/>
    <w:rsid w:val="003E1018"/>
    <w:rsid w:val="003E106B"/>
    <w:rsid w:val="003E1258"/>
    <w:rsid w:val="003E1627"/>
    <w:rsid w:val="003E189C"/>
    <w:rsid w:val="003E19CE"/>
    <w:rsid w:val="003E1A46"/>
    <w:rsid w:val="003E1AD0"/>
    <w:rsid w:val="003E2252"/>
    <w:rsid w:val="003E22CB"/>
    <w:rsid w:val="003E2343"/>
    <w:rsid w:val="003E244A"/>
    <w:rsid w:val="003E24AB"/>
    <w:rsid w:val="003E272E"/>
    <w:rsid w:val="003E2876"/>
    <w:rsid w:val="003E2B46"/>
    <w:rsid w:val="003E3202"/>
    <w:rsid w:val="003E3708"/>
    <w:rsid w:val="003E381B"/>
    <w:rsid w:val="003E3C24"/>
    <w:rsid w:val="003E3DC7"/>
    <w:rsid w:val="003E3E9E"/>
    <w:rsid w:val="003E406B"/>
    <w:rsid w:val="003E44A0"/>
    <w:rsid w:val="003E48DC"/>
    <w:rsid w:val="003E4F96"/>
    <w:rsid w:val="003E5CCA"/>
    <w:rsid w:val="003E6C37"/>
    <w:rsid w:val="003E755A"/>
    <w:rsid w:val="003E7773"/>
    <w:rsid w:val="003E7AB0"/>
    <w:rsid w:val="003E7D76"/>
    <w:rsid w:val="003E7DBB"/>
    <w:rsid w:val="003E7E41"/>
    <w:rsid w:val="003F0280"/>
    <w:rsid w:val="003F0381"/>
    <w:rsid w:val="003F0D65"/>
    <w:rsid w:val="003F0F62"/>
    <w:rsid w:val="003F1011"/>
    <w:rsid w:val="003F115E"/>
    <w:rsid w:val="003F12F7"/>
    <w:rsid w:val="003F14C2"/>
    <w:rsid w:val="003F2210"/>
    <w:rsid w:val="003F2340"/>
    <w:rsid w:val="003F244E"/>
    <w:rsid w:val="003F2492"/>
    <w:rsid w:val="003F369F"/>
    <w:rsid w:val="003F3F52"/>
    <w:rsid w:val="003F4104"/>
    <w:rsid w:val="003F4EE8"/>
    <w:rsid w:val="003F535C"/>
    <w:rsid w:val="003F54DE"/>
    <w:rsid w:val="003F5B7E"/>
    <w:rsid w:val="003F605F"/>
    <w:rsid w:val="003F6295"/>
    <w:rsid w:val="003F6331"/>
    <w:rsid w:val="003F63E4"/>
    <w:rsid w:val="003F6452"/>
    <w:rsid w:val="003F65BC"/>
    <w:rsid w:val="003F672A"/>
    <w:rsid w:val="003F69CF"/>
    <w:rsid w:val="003F6B0B"/>
    <w:rsid w:val="003F6B2D"/>
    <w:rsid w:val="003F6F38"/>
    <w:rsid w:val="003F702E"/>
    <w:rsid w:val="003F7196"/>
    <w:rsid w:val="003F73C8"/>
    <w:rsid w:val="003F79CA"/>
    <w:rsid w:val="003F7CD9"/>
    <w:rsid w:val="003F7E3A"/>
    <w:rsid w:val="00400573"/>
    <w:rsid w:val="004008AF"/>
    <w:rsid w:val="00400B5F"/>
    <w:rsid w:val="00400C15"/>
    <w:rsid w:val="00401B0A"/>
    <w:rsid w:val="00401C6B"/>
    <w:rsid w:val="00401DBF"/>
    <w:rsid w:val="00401FD9"/>
    <w:rsid w:val="0040248D"/>
    <w:rsid w:val="004033D9"/>
    <w:rsid w:val="00404844"/>
    <w:rsid w:val="00404A94"/>
    <w:rsid w:val="00404BD4"/>
    <w:rsid w:val="00404CDB"/>
    <w:rsid w:val="00404E8E"/>
    <w:rsid w:val="00405056"/>
    <w:rsid w:val="00405248"/>
    <w:rsid w:val="0040546B"/>
    <w:rsid w:val="0040551F"/>
    <w:rsid w:val="00405571"/>
    <w:rsid w:val="00405612"/>
    <w:rsid w:val="00406233"/>
    <w:rsid w:val="00406674"/>
    <w:rsid w:val="00407256"/>
    <w:rsid w:val="0040771F"/>
    <w:rsid w:val="00407756"/>
    <w:rsid w:val="00407AFA"/>
    <w:rsid w:val="00407DCE"/>
    <w:rsid w:val="00407DF1"/>
    <w:rsid w:val="00407EFD"/>
    <w:rsid w:val="00407F38"/>
    <w:rsid w:val="004100AC"/>
    <w:rsid w:val="0041091B"/>
    <w:rsid w:val="004111F7"/>
    <w:rsid w:val="004117A2"/>
    <w:rsid w:val="00411CF3"/>
    <w:rsid w:val="00412068"/>
    <w:rsid w:val="0041217D"/>
    <w:rsid w:val="00412537"/>
    <w:rsid w:val="004125C6"/>
    <w:rsid w:val="0041275F"/>
    <w:rsid w:val="00412E1D"/>
    <w:rsid w:val="00412E47"/>
    <w:rsid w:val="00413199"/>
    <w:rsid w:val="004132D2"/>
    <w:rsid w:val="004136FE"/>
    <w:rsid w:val="0041384B"/>
    <w:rsid w:val="00413FBC"/>
    <w:rsid w:val="004140FD"/>
    <w:rsid w:val="00414D58"/>
    <w:rsid w:val="00415235"/>
    <w:rsid w:val="00415DE9"/>
    <w:rsid w:val="00415EE6"/>
    <w:rsid w:val="00416614"/>
    <w:rsid w:val="004167A0"/>
    <w:rsid w:val="00416A54"/>
    <w:rsid w:val="00416E09"/>
    <w:rsid w:val="00416E77"/>
    <w:rsid w:val="00416F82"/>
    <w:rsid w:val="0041747A"/>
    <w:rsid w:val="00417F06"/>
    <w:rsid w:val="0042017D"/>
    <w:rsid w:val="004201A7"/>
    <w:rsid w:val="004202BF"/>
    <w:rsid w:val="00420BF4"/>
    <w:rsid w:val="00420C50"/>
    <w:rsid w:val="004211C6"/>
    <w:rsid w:val="00421A89"/>
    <w:rsid w:val="00421EBC"/>
    <w:rsid w:val="00421FAE"/>
    <w:rsid w:val="004224B9"/>
    <w:rsid w:val="00422771"/>
    <w:rsid w:val="00422873"/>
    <w:rsid w:val="0042304B"/>
    <w:rsid w:val="004231CD"/>
    <w:rsid w:val="00423204"/>
    <w:rsid w:val="00423B0F"/>
    <w:rsid w:val="00424084"/>
    <w:rsid w:val="004244BC"/>
    <w:rsid w:val="00424C59"/>
    <w:rsid w:val="00424FEB"/>
    <w:rsid w:val="004257DD"/>
    <w:rsid w:val="00425F0B"/>
    <w:rsid w:val="004268D1"/>
    <w:rsid w:val="0042720E"/>
    <w:rsid w:val="004273AD"/>
    <w:rsid w:val="004273E9"/>
    <w:rsid w:val="00427B4A"/>
    <w:rsid w:val="0043020E"/>
    <w:rsid w:val="0043036A"/>
    <w:rsid w:val="004303B8"/>
    <w:rsid w:val="004305AE"/>
    <w:rsid w:val="00430A0C"/>
    <w:rsid w:val="00431180"/>
    <w:rsid w:val="00431297"/>
    <w:rsid w:val="0043129E"/>
    <w:rsid w:val="004314B7"/>
    <w:rsid w:val="00431615"/>
    <w:rsid w:val="00431800"/>
    <w:rsid w:val="00431EC6"/>
    <w:rsid w:val="00431ECB"/>
    <w:rsid w:val="0043217D"/>
    <w:rsid w:val="00432385"/>
    <w:rsid w:val="0043280C"/>
    <w:rsid w:val="00432C75"/>
    <w:rsid w:val="00432E48"/>
    <w:rsid w:val="00433511"/>
    <w:rsid w:val="00433541"/>
    <w:rsid w:val="004335B3"/>
    <w:rsid w:val="0043377C"/>
    <w:rsid w:val="0043385A"/>
    <w:rsid w:val="004339CD"/>
    <w:rsid w:val="00433BDF"/>
    <w:rsid w:val="00433D4F"/>
    <w:rsid w:val="00434711"/>
    <w:rsid w:val="00434AFE"/>
    <w:rsid w:val="00434B15"/>
    <w:rsid w:val="00434CC3"/>
    <w:rsid w:val="004352E4"/>
    <w:rsid w:val="00435345"/>
    <w:rsid w:val="00435CCB"/>
    <w:rsid w:val="00436514"/>
    <w:rsid w:val="00436569"/>
    <w:rsid w:val="0043685F"/>
    <w:rsid w:val="00436A50"/>
    <w:rsid w:val="00436B10"/>
    <w:rsid w:val="004379A2"/>
    <w:rsid w:val="00437F48"/>
    <w:rsid w:val="0044002F"/>
    <w:rsid w:val="00440501"/>
    <w:rsid w:val="00440B86"/>
    <w:rsid w:val="00440E08"/>
    <w:rsid w:val="00441096"/>
    <w:rsid w:val="004413C8"/>
    <w:rsid w:val="00441446"/>
    <w:rsid w:val="00441637"/>
    <w:rsid w:val="004423F7"/>
    <w:rsid w:val="00442449"/>
    <w:rsid w:val="00442695"/>
    <w:rsid w:val="00442943"/>
    <w:rsid w:val="004429B9"/>
    <w:rsid w:val="00442A49"/>
    <w:rsid w:val="00442E40"/>
    <w:rsid w:val="00442E94"/>
    <w:rsid w:val="004430E4"/>
    <w:rsid w:val="0044427C"/>
    <w:rsid w:val="0044442A"/>
    <w:rsid w:val="00445177"/>
    <w:rsid w:val="00445982"/>
    <w:rsid w:val="00445BCE"/>
    <w:rsid w:val="00445E90"/>
    <w:rsid w:val="004460F4"/>
    <w:rsid w:val="0044620F"/>
    <w:rsid w:val="00446301"/>
    <w:rsid w:val="00446383"/>
    <w:rsid w:val="0044690B"/>
    <w:rsid w:val="00446BBE"/>
    <w:rsid w:val="00446C3E"/>
    <w:rsid w:val="00446C90"/>
    <w:rsid w:val="0044702A"/>
    <w:rsid w:val="004471A0"/>
    <w:rsid w:val="0044782C"/>
    <w:rsid w:val="0044784E"/>
    <w:rsid w:val="004478E8"/>
    <w:rsid w:val="00447AC7"/>
    <w:rsid w:val="00447B08"/>
    <w:rsid w:val="0045028B"/>
    <w:rsid w:val="0045053B"/>
    <w:rsid w:val="00450725"/>
    <w:rsid w:val="0045093D"/>
    <w:rsid w:val="00450C04"/>
    <w:rsid w:val="00450CCC"/>
    <w:rsid w:val="004515F2"/>
    <w:rsid w:val="00451645"/>
    <w:rsid w:val="00451AC2"/>
    <w:rsid w:val="00451CB2"/>
    <w:rsid w:val="004524DB"/>
    <w:rsid w:val="00452D9C"/>
    <w:rsid w:val="00452F6F"/>
    <w:rsid w:val="0045367C"/>
    <w:rsid w:val="00453A71"/>
    <w:rsid w:val="004540D7"/>
    <w:rsid w:val="0045413D"/>
    <w:rsid w:val="00454679"/>
    <w:rsid w:val="00454690"/>
    <w:rsid w:val="004546F0"/>
    <w:rsid w:val="00454A3D"/>
    <w:rsid w:val="00454BD9"/>
    <w:rsid w:val="00454F07"/>
    <w:rsid w:val="00454F8E"/>
    <w:rsid w:val="00456012"/>
    <w:rsid w:val="004561D9"/>
    <w:rsid w:val="00456303"/>
    <w:rsid w:val="00456603"/>
    <w:rsid w:val="004566F5"/>
    <w:rsid w:val="004567D0"/>
    <w:rsid w:val="00456B02"/>
    <w:rsid w:val="00456CCB"/>
    <w:rsid w:val="004572DC"/>
    <w:rsid w:val="00457339"/>
    <w:rsid w:val="0045744D"/>
    <w:rsid w:val="0045DD91"/>
    <w:rsid w:val="0046021E"/>
    <w:rsid w:val="004604AF"/>
    <w:rsid w:val="0046087E"/>
    <w:rsid w:val="00460CC4"/>
    <w:rsid w:val="00460D5F"/>
    <w:rsid w:val="00460DDF"/>
    <w:rsid w:val="0046121D"/>
    <w:rsid w:val="00461513"/>
    <w:rsid w:val="0046160F"/>
    <w:rsid w:val="0046180A"/>
    <w:rsid w:val="004619CE"/>
    <w:rsid w:val="00461A5C"/>
    <w:rsid w:val="00461C5F"/>
    <w:rsid w:val="00461CFF"/>
    <w:rsid w:val="00461E7F"/>
    <w:rsid w:val="004624BB"/>
    <w:rsid w:val="0046254F"/>
    <w:rsid w:val="004626F4"/>
    <w:rsid w:val="00462778"/>
    <w:rsid w:val="00462BBE"/>
    <w:rsid w:val="00462E92"/>
    <w:rsid w:val="00463386"/>
    <w:rsid w:val="004636C3"/>
    <w:rsid w:val="00464290"/>
    <w:rsid w:val="004642B8"/>
    <w:rsid w:val="00464495"/>
    <w:rsid w:val="0046483D"/>
    <w:rsid w:val="00464CF0"/>
    <w:rsid w:val="00464F6C"/>
    <w:rsid w:val="004652DF"/>
    <w:rsid w:val="004654AC"/>
    <w:rsid w:val="00465525"/>
    <w:rsid w:val="00465A8A"/>
    <w:rsid w:val="00465F6C"/>
    <w:rsid w:val="00466A45"/>
    <w:rsid w:val="00466EC4"/>
    <w:rsid w:val="004672B9"/>
    <w:rsid w:val="0046773E"/>
    <w:rsid w:val="00467A75"/>
    <w:rsid w:val="00467C00"/>
    <w:rsid w:val="00467C71"/>
    <w:rsid w:val="00470ADE"/>
    <w:rsid w:val="00470BAB"/>
    <w:rsid w:val="00470BC4"/>
    <w:rsid w:val="0047100E"/>
    <w:rsid w:val="00471162"/>
    <w:rsid w:val="004711DE"/>
    <w:rsid w:val="00471A61"/>
    <w:rsid w:val="00471B09"/>
    <w:rsid w:val="00471B80"/>
    <w:rsid w:val="00471D0D"/>
    <w:rsid w:val="00471E54"/>
    <w:rsid w:val="00472D14"/>
    <w:rsid w:val="00472D26"/>
    <w:rsid w:val="00472D27"/>
    <w:rsid w:val="00472E10"/>
    <w:rsid w:val="00473538"/>
    <w:rsid w:val="004737E5"/>
    <w:rsid w:val="00473918"/>
    <w:rsid w:val="004739B3"/>
    <w:rsid w:val="004748A0"/>
    <w:rsid w:val="00474B68"/>
    <w:rsid w:val="00474D77"/>
    <w:rsid w:val="00474E01"/>
    <w:rsid w:val="00474EED"/>
    <w:rsid w:val="00475444"/>
    <w:rsid w:val="00475681"/>
    <w:rsid w:val="00475718"/>
    <w:rsid w:val="004758EB"/>
    <w:rsid w:val="004759CB"/>
    <w:rsid w:val="00475BDD"/>
    <w:rsid w:val="00475E87"/>
    <w:rsid w:val="00476282"/>
    <w:rsid w:val="00476831"/>
    <w:rsid w:val="00476996"/>
    <w:rsid w:val="00476DC6"/>
    <w:rsid w:val="00477051"/>
    <w:rsid w:val="00480343"/>
    <w:rsid w:val="004804C2"/>
    <w:rsid w:val="00481E96"/>
    <w:rsid w:val="00481EF7"/>
    <w:rsid w:val="00482311"/>
    <w:rsid w:val="00482619"/>
    <w:rsid w:val="00482804"/>
    <w:rsid w:val="00482B47"/>
    <w:rsid w:val="00482F8D"/>
    <w:rsid w:val="0048323E"/>
    <w:rsid w:val="004836FA"/>
    <w:rsid w:val="00484466"/>
    <w:rsid w:val="00484518"/>
    <w:rsid w:val="0048464F"/>
    <w:rsid w:val="004847BE"/>
    <w:rsid w:val="00484DC5"/>
    <w:rsid w:val="00484FE7"/>
    <w:rsid w:val="00485675"/>
    <w:rsid w:val="00485DC3"/>
    <w:rsid w:val="00485DE8"/>
    <w:rsid w:val="0048639C"/>
    <w:rsid w:val="004864AC"/>
    <w:rsid w:val="0048662E"/>
    <w:rsid w:val="00486652"/>
    <w:rsid w:val="00486B6D"/>
    <w:rsid w:val="00486BBE"/>
    <w:rsid w:val="00486C57"/>
    <w:rsid w:val="00486CA9"/>
    <w:rsid w:val="00486EE9"/>
    <w:rsid w:val="00486FF3"/>
    <w:rsid w:val="00487395"/>
    <w:rsid w:val="0048752E"/>
    <w:rsid w:val="00487C85"/>
    <w:rsid w:val="00487F44"/>
    <w:rsid w:val="00490DC4"/>
    <w:rsid w:val="00490E71"/>
    <w:rsid w:val="00490FE4"/>
    <w:rsid w:val="004910B9"/>
    <w:rsid w:val="004910BB"/>
    <w:rsid w:val="00491631"/>
    <w:rsid w:val="004917D8"/>
    <w:rsid w:val="00491880"/>
    <w:rsid w:val="00491980"/>
    <w:rsid w:val="00491E08"/>
    <w:rsid w:val="00491F91"/>
    <w:rsid w:val="00492177"/>
    <w:rsid w:val="004921A5"/>
    <w:rsid w:val="004928D6"/>
    <w:rsid w:val="00493AC4"/>
    <w:rsid w:val="00493E5A"/>
    <w:rsid w:val="00493EAA"/>
    <w:rsid w:val="00494026"/>
    <w:rsid w:val="00494115"/>
    <w:rsid w:val="00494452"/>
    <w:rsid w:val="00494486"/>
    <w:rsid w:val="004945AD"/>
    <w:rsid w:val="00494721"/>
    <w:rsid w:val="004949C9"/>
    <w:rsid w:val="00494CB2"/>
    <w:rsid w:val="00494DB4"/>
    <w:rsid w:val="00494E81"/>
    <w:rsid w:val="00494F64"/>
    <w:rsid w:val="00495B80"/>
    <w:rsid w:val="00496395"/>
    <w:rsid w:val="0049642B"/>
    <w:rsid w:val="00496BA1"/>
    <w:rsid w:val="00497848"/>
    <w:rsid w:val="0049787A"/>
    <w:rsid w:val="00497B9F"/>
    <w:rsid w:val="00497DAC"/>
    <w:rsid w:val="004A0739"/>
    <w:rsid w:val="004A0CF7"/>
    <w:rsid w:val="004A1341"/>
    <w:rsid w:val="004A154C"/>
    <w:rsid w:val="004A16D5"/>
    <w:rsid w:val="004A179D"/>
    <w:rsid w:val="004A17B2"/>
    <w:rsid w:val="004A2084"/>
    <w:rsid w:val="004A211F"/>
    <w:rsid w:val="004A24BB"/>
    <w:rsid w:val="004A24C6"/>
    <w:rsid w:val="004A256B"/>
    <w:rsid w:val="004A2E9E"/>
    <w:rsid w:val="004A39EB"/>
    <w:rsid w:val="004A3CEE"/>
    <w:rsid w:val="004A4360"/>
    <w:rsid w:val="004A4430"/>
    <w:rsid w:val="004A447A"/>
    <w:rsid w:val="004A44B1"/>
    <w:rsid w:val="004A4978"/>
    <w:rsid w:val="004A4FDF"/>
    <w:rsid w:val="004A5311"/>
    <w:rsid w:val="004A5489"/>
    <w:rsid w:val="004A5679"/>
    <w:rsid w:val="004A57C2"/>
    <w:rsid w:val="004A5A21"/>
    <w:rsid w:val="004A5E73"/>
    <w:rsid w:val="004A5F27"/>
    <w:rsid w:val="004A60EC"/>
    <w:rsid w:val="004A6213"/>
    <w:rsid w:val="004A63D3"/>
    <w:rsid w:val="004A648F"/>
    <w:rsid w:val="004A64C3"/>
    <w:rsid w:val="004A659B"/>
    <w:rsid w:val="004A65CB"/>
    <w:rsid w:val="004A6C88"/>
    <w:rsid w:val="004A6F56"/>
    <w:rsid w:val="004A76F2"/>
    <w:rsid w:val="004A777A"/>
    <w:rsid w:val="004A7A52"/>
    <w:rsid w:val="004A7F7C"/>
    <w:rsid w:val="004B00E3"/>
    <w:rsid w:val="004B04BD"/>
    <w:rsid w:val="004B04E4"/>
    <w:rsid w:val="004B0533"/>
    <w:rsid w:val="004B06F8"/>
    <w:rsid w:val="004B09B8"/>
    <w:rsid w:val="004B1268"/>
    <w:rsid w:val="004B12D6"/>
    <w:rsid w:val="004B148A"/>
    <w:rsid w:val="004B1939"/>
    <w:rsid w:val="004B19FE"/>
    <w:rsid w:val="004B1A0F"/>
    <w:rsid w:val="004B1C12"/>
    <w:rsid w:val="004B1C6E"/>
    <w:rsid w:val="004B21B2"/>
    <w:rsid w:val="004B24AA"/>
    <w:rsid w:val="004B25BC"/>
    <w:rsid w:val="004B27CA"/>
    <w:rsid w:val="004B2A4D"/>
    <w:rsid w:val="004B2B63"/>
    <w:rsid w:val="004B2F45"/>
    <w:rsid w:val="004B3214"/>
    <w:rsid w:val="004B321E"/>
    <w:rsid w:val="004B33C2"/>
    <w:rsid w:val="004B359A"/>
    <w:rsid w:val="004B3681"/>
    <w:rsid w:val="004B3685"/>
    <w:rsid w:val="004B39A0"/>
    <w:rsid w:val="004B4214"/>
    <w:rsid w:val="004B4ADF"/>
    <w:rsid w:val="004B4EB0"/>
    <w:rsid w:val="004B5103"/>
    <w:rsid w:val="004B5569"/>
    <w:rsid w:val="004B5A8F"/>
    <w:rsid w:val="004B604D"/>
    <w:rsid w:val="004B612C"/>
    <w:rsid w:val="004B689D"/>
    <w:rsid w:val="004B710B"/>
    <w:rsid w:val="004B7647"/>
    <w:rsid w:val="004B7899"/>
    <w:rsid w:val="004B7C07"/>
    <w:rsid w:val="004C07CD"/>
    <w:rsid w:val="004C0D0A"/>
    <w:rsid w:val="004C0E97"/>
    <w:rsid w:val="004C1139"/>
    <w:rsid w:val="004C133F"/>
    <w:rsid w:val="004C14E9"/>
    <w:rsid w:val="004C1824"/>
    <w:rsid w:val="004C1A6A"/>
    <w:rsid w:val="004C1E12"/>
    <w:rsid w:val="004C2AE1"/>
    <w:rsid w:val="004C2F38"/>
    <w:rsid w:val="004C2F3D"/>
    <w:rsid w:val="004C3290"/>
    <w:rsid w:val="004C34AF"/>
    <w:rsid w:val="004C397C"/>
    <w:rsid w:val="004C3DCF"/>
    <w:rsid w:val="004C449F"/>
    <w:rsid w:val="004C4504"/>
    <w:rsid w:val="004C48C8"/>
    <w:rsid w:val="004C5228"/>
    <w:rsid w:val="004C5471"/>
    <w:rsid w:val="004C564A"/>
    <w:rsid w:val="004C5765"/>
    <w:rsid w:val="004C592A"/>
    <w:rsid w:val="004C598D"/>
    <w:rsid w:val="004C5A4B"/>
    <w:rsid w:val="004C5CF8"/>
    <w:rsid w:val="004C5E8E"/>
    <w:rsid w:val="004C6166"/>
    <w:rsid w:val="004C6267"/>
    <w:rsid w:val="004C6378"/>
    <w:rsid w:val="004C6398"/>
    <w:rsid w:val="004C63C5"/>
    <w:rsid w:val="004C672C"/>
    <w:rsid w:val="004C6D92"/>
    <w:rsid w:val="004C7085"/>
    <w:rsid w:val="004C721A"/>
    <w:rsid w:val="004C72C5"/>
    <w:rsid w:val="004C7727"/>
    <w:rsid w:val="004C7F1D"/>
    <w:rsid w:val="004D0309"/>
    <w:rsid w:val="004D07AA"/>
    <w:rsid w:val="004D0C8B"/>
    <w:rsid w:val="004D145D"/>
    <w:rsid w:val="004D15C4"/>
    <w:rsid w:val="004D15C8"/>
    <w:rsid w:val="004D1C4C"/>
    <w:rsid w:val="004D243D"/>
    <w:rsid w:val="004D3048"/>
    <w:rsid w:val="004D30A2"/>
    <w:rsid w:val="004D3897"/>
    <w:rsid w:val="004D3B70"/>
    <w:rsid w:val="004D4362"/>
    <w:rsid w:val="004D4425"/>
    <w:rsid w:val="004D4734"/>
    <w:rsid w:val="004D4D5A"/>
    <w:rsid w:val="004D4D9D"/>
    <w:rsid w:val="004D4DA2"/>
    <w:rsid w:val="004D52B9"/>
    <w:rsid w:val="004D5884"/>
    <w:rsid w:val="004D608F"/>
    <w:rsid w:val="004D66C4"/>
    <w:rsid w:val="004D66C6"/>
    <w:rsid w:val="004D66F5"/>
    <w:rsid w:val="004D6ADE"/>
    <w:rsid w:val="004D6F18"/>
    <w:rsid w:val="004D70F7"/>
    <w:rsid w:val="004D72D4"/>
    <w:rsid w:val="004D7893"/>
    <w:rsid w:val="004D7961"/>
    <w:rsid w:val="004E01D0"/>
    <w:rsid w:val="004E078E"/>
    <w:rsid w:val="004E0C06"/>
    <w:rsid w:val="004E0C75"/>
    <w:rsid w:val="004E107D"/>
    <w:rsid w:val="004E11F7"/>
    <w:rsid w:val="004E1578"/>
    <w:rsid w:val="004E1585"/>
    <w:rsid w:val="004E17D5"/>
    <w:rsid w:val="004E17F1"/>
    <w:rsid w:val="004E19B9"/>
    <w:rsid w:val="004E1B0B"/>
    <w:rsid w:val="004E1C3D"/>
    <w:rsid w:val="004E1DCD"/>
    <w:rsid w:val="004E1F64"/>
    <w:rsid w:val="004E2B64"/>
    <w:rsid w:val="004E2BD6"/>
    <w:rsid w:val="004E385A"/>
    <w:rsid w:val="004E3987"/>
    <w:rsid w:val="004E3AAE"/>
    <w:rsid w:val="004E4A19"/>
    <w:rsid w:val="004E4EBE"/>
    <w:rsid w:val="004E53BE"/>
    <w:rsid w:val="004E558A"/>
    <w:rsid w:val="004E5CFA"/>
    <w:rsid w:val="004E5DC5"/>
    <w:rsid w:val="004E61FF"/>
    <w:rsid w:val="004E6262"/>
    <w:rsid w:val="004E640E"/>
    <w:rsid w:val="004E6BF9"/>
    <w:rsid w:val="004E6C3F"/>
    <w:rsid w:val="004E6EAB"/>
    <w:rsid w:val="004E7094"/>
    <w:rsid w:val="004F0C8C"/>
    <w:rsid w:val="004F0DD0"/>
    <w:rsid w:val="004F11E4"/>
    <w:rsid w:val="004F14E8"/>
    <w:rsid w:val="004F1DFB"/>
    <w:rsid w:val="004F24E9"/>
    <w:rsid w:val="004F2AC1"/>
    <w:rsid w:val="004F2ADC"/>
    <w:rsid w:val="004F2E7B"/>
    <w:rsid w:val="004F3703"/>
    <w:rsid w:val="004F3814"/>
    <w:rsid w:val="004F3A34"/>
    <w:rsid w:val="004F3C40"/>
    <w:rsid w:val="004F530B"/>
    <w:rsid w:val="004F5AAA"/>
    <w:rsid w:val="004F5B30"/>
    <w:rsid w:val="004F5C94"/>
    <w:rsid w:val="004F5DCE"/>
    <w:rsid w:val="004F5ECB"/>
    <w:rsid w:val="004F646B"/>
    <w:rsid w:val="004F6A42"/>
    <w:rsid w:val="004F6AD3"/>
    <w:rsid w:val="004F6E9D"/>
    <w:rsid w:val="004F78FF"/>
    <w:rsid w:val="004F7C68"/>
    <w:rsid w:val="004F7FA3"/>
    <w:rsid w:val="0050028B"/>
    <w:rsid w:val="0050054F"/>
    <w:rsid w:val="00500C18"/>
    <w:rsid w:val="00500FD2"/>
    <w:rsid w:val="00501386"/>
    <w:rsid w:val="0050150B"/>
    <w:rsid w:val="005018A2"/>
    <w:rsid w:val="00501B06"/>
    <w:rsid w:val="00501BD9"/>
    <w:rsid w:val="00501C25"/>
    <w:rsid w:val="00501C76"/>
    <w:rsid w:val="00501D3D"/>
    <w:rsid w:val="00502073"/>
    <w:rsid w:val="005020E5"/>
    <w:rsid w:val="00502265"/>
    <w:rsid w:val="00502742"/>
    <w:rsid w:val="005027A6"/>
    <w:rsid w:val="005029F1"/>
    <w:rsid w:val="00502DAE"/>
    <w:rsid w:val="00502E72"/>
    <w:rsid w:val="00502FFB"/>
    <w:rsid w:val="005033F6"/>
    <w:rsid w:val="005034E2"/>
    <w:rsid w:val="005038A0"/>
    <w:rsid w:val="005038B4"/>
    <w:rsid w:val="00503CE6"/>
    <w:rsid w:val="00503F55"/>
    <w:rsid w:val="005044B3"/>
    <w:rsid w:val="00504987"/>
    <w:rsid w:val="00504A82"/>
    <w:rsid w:val="00504B84"/>
    <w:rsid w:val="00504B90"/>
    <w:rsid w:val="00504C83"/>
    <w:rsid w:val="00504E7A"/>
    <w:rsid w:val="0050539C"/>
    <w:rsid w:val="00505C2D"/>
    <w:rsid w:val="00505E19"/>
    <w:rsid w:val="005063AC"/>
    <w:rsid w:val="00506504"/>
    <w:rsid w:val="00506843"/>
    <w:rsid w:val="00506C6E"/>
    <w:rsid w:val="00506D10"/>
    <w:rsid w:val="00507BF0"/>
    <w:rsid w:val="00507EF1"/>
    <w:rsid w:val="0051011C"/>
    <w:rsid w:val="005103C5"/>
    <w:rsid w:val="0051046D"/>
    <w:rsid w:val="00510505"/>
    <w:rsid w:val="00510EA7"/>
    <w:rsid w:val="00510ED9"/>
    <w:rsid w:val="00511008"/>
    <w:rsid w:val="005114EB"/>
    <w:rsid w:val="00511884"/>
    <w:rsid w:val="005119CB"/>
    <w:rsid w:val="00512093"/>
    <w:rsid w:val="005122EA"/>
    <w:rsid w:val="00512B6F"/>
    <w:rsid w:val="00512E90"/>
    <w:rsid w:val="005130B6"/>
    <w:rsid w:val="005131D3"/>
    <w:rsid w:val="00513337"/>
    <w:rsid w:val="0051352C"/>
    <w:rsid w:val="005138D0"/>
    <w:rsid w:val="00513B5C"/>
    <w:rsid w:val="00513BDA"/>
    <w:rsid w:val="00514020"/>
    <w:rsid w:val="005141F3"/>
    <w:rsid w:val="00514275"/>
    <w:rsid w:val="005146BB"/>
    <w:rsid w:val="0051470F"/>
    <w:rsid w:val="00514EFB"/>
    <w:rsid w:val="00514F9F"/>
    <w:rsid w:val="00514FC2"/>
    <w:rsid w:val="005155DC"/>
    <w:rsid w:val="005157D1"/>
    <w:rsid w:val="0051583F"/>
    <w:rsid w:val="00515913"/>
    <w:rsid w:val="00515947"/>
    <w:rsid w:val="00515AEB"/>
    <w:rsid w:val="00515BFA"/>
    <w:rsid w:val="00515E62"/>
    <w:rsid w:val="00515FD8"/>
    <w:rsid w:val="0051640B"/>
    <w:rsid w:val="00516501"/>
    <w:rsid w:val="00516905"/>
    <w:rsid w:val="00516D24"/>
    <w:rsid w:val="0051724C"/>
    <w:rsid w:val="005173C6"/>
    <w:rsid w:val="00517828"/>
    <w:rsid w:val="00517A86"/>
    <w:rsid w:val="00517CE9"/>
    <w:rsid w:val="00517F7A"/>
    <w:rsid w:val="005207AD"/>
    <w:rsid w:val="005207E0"/>
    <w:rsid w:val="00520BE3"/>
    <w:rsid w:val="005216F8"/>
    <w:rsid w:val="005217F3"/>
    <w:rsid w:val="00521DC4"/>
    <w:rsid w:val="005220DE"/>
    <w:rsid w:val="0052234E"/>
    <w:rsid w:val="00522352"/>
    <w:rsid w:val="00522B1A"/>
    <w:rsid w:val="00522C6C"/>
    <w:rsid w:val="00522E87"/>
    <w:rsid w:val="00523277"/>
    <w:rsid w:val="0052349D"/>
    <w:rsid w:val="005237EF"/>
    <w:rsid w:val="00523834"/>
    <w:rsid w:val="00523905"/>
    <w:rsid w:val="00523BB3"/>
    <w:rsid w:val="00523E4E"/>
    <w:rsid w:val="00523EA2"/>
    <w:rsid w:val="005240B2"/>
    <w:rsid w:val="0052415E"/>
    <w:rsid w:val="005247C0"/>
    <w:rsid w:val="005248F1"/>
    <w:rsid w:val="00524B9B"/>
    <w:rsid w:val="00524BE8"/>
    <w:rsid w:val="00524D36"/>
    <w:rsid w:val="005250E6"/>
    <w:rsid w:val="0052522B"/>
    <w:rsid w:val="0052575D"/>
    <w:rsid w:val="00525B7B"/>
    <w:rsid w:val="00526353"/>
    <w:rsid w:val="00526439"/>
    <w:rsid w:val="005267A1"/>
    <w:rsid w:val="005267D6"/>
    <w:rsid w:val="00526B05"/>
    <w:rsid w:val="00526B0B"/>
    <w:rsid w:val="00526C92"/>
    <w:rsid w:val="00526F79"/>
    <w:rsid w:val="005275FC"/>
    <w:rsid w:val="0052768C"/>
    <w:rsid w:val="00527E66"/>
    <w:rsid w:val="005300A7"/>
    <w:rsid w:val="0053036A"/>
    <w:rsid w:val="00530549"/>
    <w:rsid w:val="00530896"/>
    <w:rsid w:val="005310AF"/>
    <w:rsid w:val="0053110D"/>
    <w:rsid w:val="005313AF"/>
    <w:rsid w:val="00531857"/>
    <w:rsid w:val="0053190C"/>
    <w:rsid w:val="005319DB"/>
    <w:rsid w:val="00531E6D"/>
    <w:rsid w:val="00532018"/>
    <w:rsid w:val="00532173"/>
    <w:rsid w:val="00532564"/>
    <w:rsid w:val="00532B08"/>
    <w:rsid w:val="00532F8A"/>
    <w:rsid w:val="00532FE3"/>
    <w:rsid w:val="005342C3"/>
    <w:rsid w:val="00534484"/>
    <w:rsid w:val="00534A68"/>
    <w:rsid w:val="00534C24"/>
    <w:rsid w:val="00534C76"/>
    <w:rsid w:val="00535162"/>
    <w:rsid w:val="00535230"/>
    <w:rsid w:val="005352A1"/>
    <w:rsid w:val="00535A41"/>
    <w:rsid w:val="00535AB4"/>
    <w:rsid w:val="00535BFE"/>
    <w:rsid w:val="00536272"/>
    <w:rsid w:val="00536296"/>
    <w:rsid w:val="005362F5"/>
    <w:rsid w:val="00536583"/>
    <w:rsid w:val="00536BD6"/>
    <w:rsid w:val="0053725B"/>
    <w:rsid w:val="00537BB1"/>
    <w:rsid w:val="00537DA9"/>
    <w:rsid w:val="005402C8"/>
    <w:rsid w:val="00540602"/>
    <w:rsid w:val="005407B1"/>
    <w:rsid w:val="00540A59"/>
    <w:rsid w:val="00540A6C"/>
    <w:rsid w:val="00540C57"/>
    <w:rsid w:val="00541136"/>
    <w:rsid w:val="0054115B"/>
    <w:rsid w:val="00541196"/>
    <w:rsid w:val="005416F6"/>
    <w:rsid w:val="00541725"/>
    <w:rsid w:val="00541E23"/>
    <w:rsid w:val="00541EE5"/>
    <w:rsid w:val="00542049"/>
    <w:rsid w:val="005431CE"/>
    <w:rsid w:val="0054378A"/>
    <w:rsid w:val="00543B02"/>
    <w:rsid w:val="00543B68"/>
    <w:rsid w:val="00543E27"/>
    <w:rsid w:val="00543FFE"/>
    <w:rsid w:val="00544C81"/>
    <w:rsid w:val="00544DB2"/>
    <w:rsid w:val="00544DC8"/>
    <w:rsid w:val="00545A25"/>
    <w:rsid w:val="005460B3"/>
    <w:rsid w:val="00546AD8"/>
    <w:rsid w:val="00546CD4"/>
    <w:rsid w:val="00546DD0"/>
    <w:rsid w:val="00546EB1"/>
    <w:rsid w:val="00546FAC"/>
    <w:rsid w:val="005471D1"/>
    <w:rsid w:val="005473E2"/>
    <w:rsid w:val="0054763C"/>
    <w:rsid w:val="00547CAC"/>
    <w:rsid w:val="00550A95"/>
    <w:rsid w:val="00551120"/>
    <w:rsid w:val="005513E6"/>
    <w:rsid w:val="005519AE"/>
    <w:rsid w:val="00551BBB"/>
    <w:rsid w:val="0055204C"/>
    <w:rsid w:val="0055220A"/>
    <w:rsid w:val="005523B0"/>
    <w:rsid w:val="00552B8F"/>
    <w:rsid w:val="005531BD"/>
    <w:rsid w:val="0055359E"/>
    <w:rsid w:val="00553E11"/>
    <w:rsid w:val="00553F80"/>
    <w:rsid w:val="0055435D"/>
    <w:rsid w:val="00554492"/>
    <w:rsid w:val="00554981"/>
    <w:rsid w:val="00554BDC"/>
    <w:rsid w:val="00554E23"/>
    <w:rsid w:val="00554E41"/>
    <w:rsid w:val="00554EAD"/>
    <w:rsid w:val="005550C8"/>
    <w:rsid w:val="00555272"/>
    <w:rsid w:val="00555686"/>
    <w:rsid w:val="00555AB9"/>
    <w:rsid w:val="00555FE0"/>
    <w:rsid w:val="0055649E"/>
    <w:rsid w:val="005567B2"/>
    <w:rsid w:val="00556ADA"/>
    <w:rsid w:val="00556E8E"/>
    <w:rsid w:val="00557125"/>
    <w:rsid w:val="00557870"/>
    <w:rsid w:val="00557994"/>
    <w:rsid w:val="00557C0A"/>
    <w:rsid w:val="00557E69"/>
    <w:rsid w:val="005600F7"/>
    <w:rsid w:val="00560170"/>
    <w:rsid w:val="00560177"/>
    <w:rsid w:val="00560277"/>
    <w:rsid w:val="005602D9"/>
    <w:rsid w:val="005602F6"/>
    <w:rsid w:val="00560348"/>
    <w:rsid w:val="00560562"/>
    <w:rsid w:val="00560587"/>
    <w:rsid w:val="00560938"/>
    <w:rsid w:val="005609EB"/>
    <w:rsid w:val="00560A46"/>
    <w:rsid w:val="00560AF1"/>
    <w:rsid w:val="00560D68"/>
    <w:rsid w:val="005613E3"/>
    <w:rsid w:val="00561562"/>
    <w:rsid w:val="005617C2"/>
    <w:rsid w:val="005618FD"/>
    <w:rsid w:val="00561BB1"/>
    <w:rsid w:val="00561CAC"/>
    <w:rsid w:val="005621FA"/>
    <w:rsid w:val="005629FF"/>
    <w:rsid w:val="00562B58"/>
    <w:rsid w:val="00563150"/>
    <w:rsid w:val="0056318A"/>
    <w:rsid w:val="00563500"/>
    <w:rsid w:val="0056361A"/>
    <w:rsid w:val="00563901"/>
    <w:rsid w:val="00563ADC"/>
    <w:rsid w:val="00563DE6"/>
    <w:rsid w:val="005642A0"/>
    <w:rsid w:val="00564369"/>
    <w:rsid w:val="0056439C"/>
    <w:rsid w:val="0056457D"/>
    <w:rsid w:val="00565166"/>
    <w:rsid w:val="0056528D"/>
    <w:rsid w:val="005656D1"/>
    <w:rsid w:val="00565B6B"/>
    <w:rsid w:val="0056628B"/>
    <w:rsid w:val="00566298"/>
    <w:rsid w:val="0056655F"/>
    <w:rsid w:val="00566631"/>
    <w:rsid w:val="00566CC7"/>
    <w:rsid w:val="00566F3E"/>
    <w:rsid w:val="00567CDF"/>
    <w:rsid w:val="00570046"/>
    <w:rsid w:val="00570148"/>
    <w:rsid w:val="005704F2"/>
    <w:rsid w:val="0057091E"/>
    <w:rsid w:val="00570B2C"/>
    <w:rsid w:val="00570C6F"/>
    <w:rsid w:val="00570EEB"/>
    <w:rsid w:val="005711AD"/>
    <w:rsid w:val="0057176A"/>
    <w:rsid w:val="0057192D"/>
    <w:rsid w:val="00571D3A"/>
    <w:rsid w:val="00572083"/>
    <w:rsid w:val="005723D6"/>
    <w:rsid w:val="005728BB"/>
    <w:rsid w:val="005728F3"/>
    <w:rsid w:val="0057291C"/>
    <w:rsid w:val="00572BB3"/>
    <w:rsid w:val="00572C9A"/>
    <w:rsid w:val="00572EB6"/>
    <w:rsid w:val="00573013"/>
    <w:rsid w:val="00573444"/>
    <w:rsid w:val="005734D3"/>
    <w:rsid w:val="0057368E"/>
    <w:rsid w:val="00573DE5"/>
    <w:rsid w:val="00574052"/>
    <w:rsid w:val="0057420B"/>
    <w:rsid w:val="0057478C"/>
    <w:rsid w:val="00574A6E"/>
    <w:rsid w:val="00574D96"/>
    <w:rsid w:val="00574F85"/>
    <w:rsid w:val="0057509F"/>
    <w:rsid w:val="005757A2"/>
    <w:rsid w:val="005757CD"/>
    <w:rsid w:val="00575DCF"/>
    <w:rsid w:val="00575F04"/>
    <w:rsid w:val="00575FD6"/>
    <w:rsid w:val="005762BC"/>
    <w:rsid w:val="00576734"/>
    <w:rsid w:val="005768DA"/>
    <w:rsid w:val="00576CE9"/>
    <w:rsid w:val="00577006"/>
    <w:rsid w:val="00577145"/>
    <w:rsid w:val="005772BD"/>
    <w:rsid w:val="005772EE"/>
    <w:rsid w:val="005773BE"/>
    <w:rsid w:val="00577768"/>
    <w:rsid w:val="00577BF1"/>
    <w:rsid w:val="00580162"/>
    <w:rsid w:val="005802B0"/>
    <w:rsid w:val="005802F2"/>
    <w:rsid w:val="005808BC"/>
    <w:rsid w:val="00580A86"/>
    <w:rsid w:val="00580C19"/>
    <w:rsid w:val="00580E3D"/>
    <w:rsid w:val="005814CF"/>
    <w:rsid w:val="005816D4"/>
    <w:rsid w:val="00581A92"/>
    <w:rsid w:val="00582365"/>
    <w:rsid w:val="005823D3"/>
    <w:rsid w:val="0058253A"/>
    <w:rsid w:val="005825BD"/>
    <w:rsid w:val="00582639"/>
    <w:rsid w:val="0058285D"/>
    <w:rsid w:val="00582AA4"/>
    <w:rsid w:val="0058378F"/>
    <w:rsid w:val="00583DBF"/>
    <w:rsid w:val="005841A0"/>
    <w:rsid w:val="0058422B"/>
    <w:rsid w:val="00584464"/>
    <w:rsid w:val="00584670"/>
    <w:rsid w:val="00584D93"/>
    <w:rsid w:val="00584E6A"/>
    <w:rsid w:val="00584F8B"/>
    <w:rsid w:val="00585248"/>
    <w:rsid w:val="0058582A"/>
    <w:rsid w:val="00585C1B"/>
    <w:rsid w:val="00585DAE"/>
    <w:rsid w:val="00585E20"/>
    <w:rsid w:val="00585E24"/>
    <w:rsid w:val="005868F9"/>
    <w:rsid w:val="00586C93"/>
    <w:rsid w:val="00586D83"/>
    <w:rsid w:val="00587384"/>
    <w:rsid w:val="00587639"/>
    <w:rsid w:val="00587799"/>
    <w:rsid w:val="005878A9"/>
    <w:rsid w:val="0058791D"/>
    <w:rsid w:val="00587F95"/>
    <w:rsid w:val="005905C8"/>
    <w:rsid w:val="00591032"/>
    <w:rsid w:val="00591414"/>
    <w:rsid w:val="00591632"/>
    <w:rsid w:val="00591899"/>
    <w:rsid w:val="005919CD"/>
    <w:rsid w:val="00591D18"/>
    <w:rsid w:val="00591D8E"/>
    <w:rsid w:val="00591D98"/>
    <w:rsid w:val="00591E53"/>
    <w:rsid w:val="00592638"/>
    <w:rsid w:val="00592FFC"/>
    <w:rsid w:val="0059308A"/>
    <w:rsid w:val="00593138"/>
    <w:rsid w:val="00593A32"/>
    <w:rsid w:val="00593A33"/>
    <w:rsid w:val="00593B25"/>
    <w:rsid w:val="00593F0E"/>
    <w:rsid w:val="0059411D"/>
    <w:rsid w:val="00594149"/>
    <w:rsid w:val="0059429F"/>
    <w:rsid w:val="005942FC"/>
    <w:rsid w:val="0059458D"/>
    <w:rsid w:val="005947B5"/>
    <w:rsid w:val="00594A00"/>
    <w:rsid w:val="00594CFB"/>
    <w:rsid w:val="0059536B"/>
    <w:rsid w:val="00595431"/>
    <w:rsid w:val="005957E0"/>
    <w:rsid w:val="0059600E"/>
    <w:rsid w:val="005960BB"/>
    <w:rsid w:val="0059643E"/>
    <w:rsid w:val="00596CDA"/>
    <w:rsid w:val="00596D23"/>
    <w:rsid w:val="00596EFB"/>
    <w:rsid w:val="00596F0C"/>
    <w:rsid w:val="0059710F"/>
    <w:rsid w:val="00597407"/>
    <w:rsid w:val="005A0496"/>
    <w:rsid w:val="005A11DB"/>
    <w:rsid w:val="005A126E"/>
    <w:rsid w:val="005A151C"/>
    <w:rsid w:val="005A1E86"/>
    <w:rsid w:val="005A2188"/>
    <w:rsid w:val="005A26FC"/>
    <w:rsid w:val="005A31A7"/>
    <w:rsid w:val="005A35FB"/>
    <w:rsid w:val="005A3741"/>
    <w:rsid w:val="005A3C13"/>
    <w:rsid w:val="005A3CD3"/>
    <w:rsid w:val="005A3D12"/>
    <w:rsid w:val="005A3EA6"/>
    <w:rsid w:val="005A4047"/>
    <w:rsid w:val="005A4063"/>
    <w:rsid w:val="005A40C9"/>
    <w:rsid w:val="005A4384"/>
    <w:rsid w:val="005A449A"/>
    <w:rsid w:val="005A45DA"/>
    <w:rsid w:val="005A47B8"/>
    <w:rsid w:val="005A4BE6"/>
    <w:rsid w:val="005A4F6C"/>
    <w:rsid w:val="005A53B4"/>
    <w:rsid w:val="005A58F3"/>
    <w:rsid w:val="005A5976"/>
    <w:rsid w:val="005A5B39"/>
    <w:rsid w:val="005A5BCE"/>
    <w:rsid w:val="005A6165"/>
    <w:rsid w:val="005A6169"/>
    <w:rsid w:val="005A6364"/>
    <w:rsid w:val="005A65C9"/>
    <w:rsid w:val="005A6602"/>
    <w:rsid w:val="005A6720"/>
    <w:rsid w:val="005A69EF"/>
    <w:rsid w:val="005A6D87"/>
    <w:rsid w:val="005A6F50"/>
    <w:rsid w:val="005A6F8F"/>
    <w:rsid w:val="005A7012"/>
    <w:rsid w:val="005A76C0"/>
    <w:rsid w:val="005A7A5E"/>
    <w:rsid w:val="005A7A8C"/>
    <w:rsid w:val="005B0461"/>
    <w:rsid w:val="005B0A08"/>
    <w:rsid w:val="005B0C90"/>
    <w:rsid w:val="005B0D08"/>
    <w:rsid w:val="005B0F68"/>
    <w:rsid w:val="005B1044"/>
    <w:rsid w:val="005B1576"/>
    <w:rsid w:val="005B1C07"/>
    <w:rsid w:val="005B2004"/>
    <w:rsid w:val="005B223E"/>
    <w:rsid w:val="005B25B2"/>
    <w:rsid w:val="005B2771"/>
    <w:rsid w:val="005B29F2"/>
    <w:rsid w:val="005B2B7A"/>
    <w:rsid w:val="005B306D"/>
    <w:rsid w:val="005B31F0"/>
    <w:rsid w:val="005B3432"/>
    <w:rsid w:val="005B359E"/>
    <w:rsid w:val="005B3BD6"/>
    <w:rsid w:val="005B411A"/>
    <w:rsid w:val="005B41EB"/>
    <w:rsid w:val="005B43B6"/>
    <w:rsid w:val="005B469A"/>
    <w:rsid w:val="005B49B8"/>
    <w:rsid w:val="005B4CF0"/>
    <w:rsid w:val="005B5084"/>
    <w:rsid w:val="005B522F"/>
    <w:rsid w:val="005B5262"/>
    <w:rsid w:val="005B5709"/>
    <w:rsid w:val="005B5A09"/>
    <w:rsid w:val="005B5A7C"/>
    <w:rsid w:val="005B5D33"/>
    <w:rsid w:val="005B617A"/>
    <w:rsid w:val="005B657A"/>
    <w:rsid w:val="005B66EA"/>
    <w:rsid w:val="005B6D86"/>
    <w:rsid w:val="005B7362"/>
    <w:rsid w:val="005B7B3D"/>
    <w:rsid w:val="005B7BF5"/>
    <w:rsid w:val="005B7C21"/>
    <w:rsid w:val="005B7D6C"/>
    <w:rsid w:val="005C00D0"/>
    <w:rsid w:val="005C01B6"/>
    <w:rsid w:val="005C0213"/>
    <w:rsid w:val="005C0D19"/>
    <w:rsid w:val="005C118C"/>
    <w:rsid w:val="005C1368"/>
    <w:rsid w:val="005C13F5"/>
    <w:rsid w:val="005C1996"/>
    <w:rsid w:val="005C1D3A"/>
    <w:rsid w:val="005C1D7A"/>
    <w:rsid w:val="005C2216"/>
    <w:rsid w:val="005C22E1"/>
    <w:rsid w:val="005C274B"/>
    <w:rsid w:val="005C2935"/>
    <w:rsid w:val="005C2F95"/>
    <w:rsid w:val="005C35F2"/>
    <w:rsid w:val="005C3A49"/>
    <w:rsid w:val="005C3BCE"/>
    <w:rsid w:val="005C41B0"/>
    <w:rsid w:val="005C42FE"/>
    <w:rsid w:val="005C4374"/>
    <w:rsid w:val="005C45F3"/>
    <w:rsid w:val="005C4FC2"/>
    <w:rsid w:val="005C5057"/>
    <w:rsid w:val="005C546C"/>
    <w:rsid w:val="005C59FC"/>
    <w:rsid w:val="005C5D74"/>
    <w:rsid w:val="005C5FB7"/>
    <w:rsid w:val="005C6094"/>
    <w:rsid w:val="005C635D"/>
    <w:rsid w:val="005C67DB"/>
    <w:rsid w:val="005C696C"/>
    <w:rsid w:val="005C71C3"/>
    <w:rsid w:val="005C7215"/>
    <w:rsid w:val="005C73C4"/>
    <w:rsid w:val="005C76DA"/>
    <w:rsid w:val="005C7EAB"/>
    <w:rsid w:val="005D003C"/>
    <w:rsid w:val="005D00EA"/>
    <w:rsid w:val="005D01C5"/>
    <w:rsid w:val="005D023B"/>
    <w:rsid w:val="005D02C4"/>
    <w:rsid w:val="005D066C"/>
    <w:rsid w:val="005D140A"/>
    <w:rsid w:val="005D16FA"/>
    <w:rsid w:val="005D1718"/>
    <w:rsid w:val="005D17E1"/>
    <w:rsid w:val="005D2272"/>
    <w:rsid w:val="005D2304"/>
    <w:rsid w:val="005D24D4"/>
    <w:rsid w:val="005D293A"/>
    <w:rsid w:val="005D2968"/>
    <w:rsid w:val="005D2C15"/>
    <w:rsid w:val="005D2C51"/>
    <w:rsid w:val="005D2E1D"/>
    <w:rsid w:val="005D2FC7"/>
    <w:rsid w:val="005D31AC"/>
    <w:rsid w:val="005D32B9"/>
    <w:rsid w:val="005D3A04"/>
    <w:rsid w:val="005D4168"/>
    <w:rsid w:val="005D48FE"/>
    <w:rsid w:val="005D4B90"/>
    <w:rsid w:val="005D5158"/>
    <w:rsid w:val="005D5162"/>
    <w:rsid w:val="005D5581"/>
    <w:rsid w:val="005D5855"/>
    <w:rsid w:val="005D5AAC"/>
    <w:rsid w:val="005D5C7D"/>
    <w:rsid w:val="005D5CD9"/>
    <w:rsid w:val="005D5D25"/>
    <w:rsid w:val="005D5F34"/>
    <w:rsid w:val="005D61A7"/>
    <w:rsid w:val="005D68F6"/>
    <w:rsid w:val="005D6910"/>
    <w:rsid w:val="005D6D41"/>
    <w:rsid w:val="005D708F"/>
    <w:rsid w:val="005D7271"/>
    <w:rsid w:val="005D73F9"/>
    <w:rsid w:val="005D7471"/>
    <w:rsid w:val="005D749D"/>
    <w:rsid w:val="005D7972"/>
    <w:rsid w:val="005D79E5"/>
    <w:rsid w:val="005D7A49"/>
    <w:rsid w:val="005D7CDF"/>
    <w:rsid w:val="005D7D1B"/>
    <w:rsid w:val="005D7E57"/>
    <w:rsid w:val="005E01C7"/>
    <w:rsid w:val="005E072B"/>
    <w:rsid w:val="005E092D"/>
    <w:rsid w:val="005E09E2"/>
    <w:rsid w:val="005E126E"/>
    <w:rsid w:val="005E1555"/>
    <w:rsid w:val="005E188C"/>
    <w:rsid w:val="005E1910"/>
    <w:rsid w:val="005E19D1"/>
    <w:rsid w:val="005E21E6"/>
    <w:rsid w:val="005E257D"/>
    <w:rsid w:val="005E2702"/>
    <w:rsid w:val="005E291B"/>
    <w:rsid w:val="005E2AE8"/>
    <w:rsid w:val="005E2F44"/>
    <w:rsid w:val="005E3B37"/>
    <w:rsid w:val="005E3EFB"/>
    <w:rsid w:val="005E3FAD"/>
    <w:rsid w:val="005E4A1F"/>
    <w:rsid w:val="005E4E6A"/>
    <w:rsid w:val="005E5377"/>
    <w:rsid w:val="005E551E"/>
    <w:rsid w:val="005E55D8"/>
    <w:rsid w:val="005E5612"/>
    <w:rsid w:val="005E56D6"/>
    <w:rsid w:val="005E5874"/>
    <w:rsid w:val="005E5CB7"/>
    <w:rsid w:val="005E6D9E"/>
    <w:rsid w:val="005E6F8C"/>
    <w:rsid w:val="005E70EB"/>
    <w:rsid w:val="005E74FB"/>
    <w:rsid w:val="005E75D5"/>
    <w:rsid w:val="005E7C15"/>
    <w:rsid w:val="005E7FDF"/>
    <w:rsid w:val="005F023F"/>
    <w:rsid w:val="005F05E5"/>
    <w:rsid w:val="005F09C3"/>
    <w:rsid w:val="005F0E3E"/>
    <w:rsid w:val="005F1555"/>
    <w:rsid w:val="005F15B0"/>
    <w:rsid w:val="005F164B"/>
    <w:rsid w:val="005F1699"/>
    <w:rsid w:val="005F1B64"/>
    <w:rsid w:val="005F1C8F"/>
    <w:rsid w:val="005F1CB1"/>
    <w:rsid w:val="005F2845"/>
    <w:rsid w:val="005F2978"/>
    <w:rsid w:val="005F2BAA"/>
    <w:rsid w:val="005F2FD9"/>
    <w:rsid w:val="005F31A5"/>
    <w:rsid w:val="005F39ED"/>
    <w:rsid w:val="005F3BD0"/>
    <w:rsid w:val="005F3FB2"/>
    <w:rsid w:val="005F422F"/>
    <w:rsid w:val="005F4721"/>
    <w:rsid w:val="005F47D4"/>
    <w:rsid w:val="005F523E"/>
    <w:rsid w:val="005F55A0"/>
    <w:rsid w:val="005F5A35"/>
    <w:rsid w:val="005F5FB3"/>
    <w:rsid w:val="005F6248"/>
    <w:rsid w:val="005F698E"/>
    <w:rsid w:val="005F720A"/>
    <w:rsid w:val="005F7C4E"/>
    <w:rsid w:val="005F7D61"/>
    <w:rsid w:val="00600348"/>
    <w:rsid w:val="00601396"/>
    <w:rsid w:val="006016CB"/>
    <w:rsid w:val="00601700"/>
    <w:rsid w:val="00601ACE"/>
    <w:rsid w:val="00601B20"/>
    <w:rsid w:val="00601E00"/>
    <w:rsid w:val="00601F06"/>
    <w:rsid w:val="00602429"/>
    <w:rsid w:val="00602663"/>
    <w:rsid w:val="0060286C"/>
    <w:rsid w:val="00602AC5"/>
    <w:rsid w:val="00602F43"/>
    <w:rsid w:val="006031CC"/>
    <w:rsid w:val="006036A6"/>
    <w:rsid w:val="006038B0"/>
    <w:rsid w:val="006039F7"/>
    <w:rsid w:val="00603B08"/>
    <w:rsid w:val="00603D0C"/>
    <w:rsid w:val="00603F2B"/>
    <w:rsid w:val="00604417"/>
    <w:rsid w:val="006048CD"/>
    <w:rsid w:val="00604996"/>
    <w:rsid w:val="00604A27"/>
    <w:rsid w:val="00604C66"/>
    <w:rsid w:val="00604CA6"/>
    <w:rsid w:val="00604E1B"/>
    <w:rsid w:val="006055D2"/>
    <w:rsid w:val="00605776"/>
    <w:rsid w:val="00605EE9"/>
    <w:rsid w:val="006067A4"/>
    <w:rsid w:val="0060722F"/>
    <w:rsid w:val="0060788E"/>
    <w:rsid w:val="0060790E"/>
    <w:rsid w:val="00607A19"/>
    <w:rsid w:val="00607B5F"/>
    <w:rsid w:val="00607F57"/>
    <w:rsid w:val="00610162"/>
    <w:rsid w:val="006107A6"/>
    <w:rsid w:val="00610ABA"/>
    <w:rsid w:val="00610C69"/>
    <w:rsid w:val="00610F48"/>
    <w:rsid w:val="00610F57"/>
    <w:rsid w:val="00610FC1"/>
    <w:rsid w:val="006116AF"/>
    <w:rsid w:val="00611B22"/>
    <w:rsid w:val="00611D21"/>
    <w:rsid w:val="00611D56"/>
    <w:rsid w:val="00611EDA"/>
    <w:rsid w:val="00611FD8"/>
    <w:rsid w:val="006121FE"/>
    <w:rsid w:val="00612314"/>
    <w:rsid w:val="0061282C"/>
    <w:rsid w:val="00612B15"/>
    <w:rsid w:val="00612C97"/>
    <w:rsid w:val="00612CAD"/>
    <w:rsid w:val="00613037"/>
    <w:rsid w:val="006132D0"/>
    <w:rsid w:val="006135AB"/>
    <w:rsid w:val="00613711"/>
    <w:rsid w:val="0061377C"/>
    <w:rsid w:val="00613877"/>
    <w:rsid w:val="006138E4"/>
    <w:rsid w:val="00614446"/>
    <w:rsid w:val="006144F6"/>
    <w:rsid w:val="006148F8"/>
    <w:rsid w:val="006157A1"/>
    <w:rsid w:val="00615E66"/>
    <w:rsid w:val="00615FA2"/>
    <w:rsid w:val="00616407"/>
    <w:rsid w:val="0061657D"/>
    <w:rsid w:val="0061676D"/>
    <w:rsid w:val="00616771"/>
    <w:rsid w:val="006168B5"/>
    <w:rsid w:val="00616AD1"/>
    <w:rsid w:val="00616B20"/>
    <w:rsid w:val="00616C13"/>
    <w:rsid w:val="00616CA2"/>
    <w:rsid w:val="00616E82"/>
    <w:rsid w:val="0061731D"/>
    <w:rsid w:val="00617457"/>
    <w:rsid w:val="006176DE"/>
    <w:rsid w:val="00617944"/>
    <w:rsid w:val="00617A7B"/>
    <w:rsid w:val="00620E5A"/>
    <w:rsid w:val="00620F8B"/>
    <w:rsid w:val="00621079"/>
    <w:rsid w:val="0062138E"/>
    <w:rsid w:val="00621A0E"/>
    <w:rsid w:val="00621EE9"/>
    <w:rsid w:val="006226BE"/>
    <w:rsid w:val="0062285E"/>
    <w:rsid w:val="00622AB1"/>
    <w:rsid w:val="00622B40"/>
    <w:rsid w:val="00622BA4"/>
    <w:rsid w:val="00623018"/>
    <w:rsid w:val="006232D0"/>
    <w:rsid w:val="006235E9"/>
    <w:rsid w:val="006245A7"/>
    <w:rsid w:val="00624893"/>
    <w:rsid w:val="00624CB5"/>
    <w:rsid w:val="006250E9"/>
    <w:rsid w:val="0062538D"/>
    <w:rsid w:val="00625B55"/>
    <w:rsid w:val="0062610F"/>
    <w:rsid w:val="006261E9"/>
    <w:rsid w:val="0062669C"/>
    <w:rsid w:val="00626946"/>
    <w:rsid w:val="006271AC"/>
    <w:rsid w:val="006272FA"/>
    <w:rsid w:val="0062750E"/>
    <w:rsid w:val="00627746"/>
    <w:rsid w:val="00627941"/>
    <w:rsid w:val="00627974"/>
    <w:rsid w:val="00627ABA"/>
    <w:rsid w:val="00627D3D"/>
    <w:rsid w:val="00627D85"/>
    <w:rsid w:val="00627FB5"/>
    <w:rsid w:val="006303E0"/>
    <w:rsid w:val="00630644"/>
    <w:rsid w:val="0063193B"/>
    <w:rsid w:val="00631C3F"/>
    <w:rsid w:val="00632233"/>
    <w:rsid w:val="00632468"/>
    <w:rsid w:val="006326B7"/>
    <w:rsid w:val="00632A1F"/>
    <w:rsid w:val="00633B2F"/>
    <w:rsid w:val="00633B44"/>
    <w:rsid w:val="00634349"/>
    <w:rsid w:val="006345CE"/>
    <w:rsid w:val="00634C1A"/>
    <w:rsid w:val="0063518F"/>
    <w:rsid w:val="00635353"/>
    <w:rsid w:val="0063538C"/>
    <w:rsid w:val="00635548"/>
    <w:rsid w:val="00635A31"/>
    <w:rsid w:val="00636080"/>
    <w:rsid w:val="00636162"/>
    <w:rsid w:val="00636A76"/>
    <w:rsid w:val="00636B8E"/>
    <w:rsid w:val="00636C5E"/>
    <w:rsid w:val="00636C60"/>
    <w:rsid w:val="006371B0"/>
    <w:rsid w:val="006373A1"/>
    <w:rsid w:val="00637AE3"/>
    <w:rsid w:val="00637D53"/>
    <w:rsid w:val="00637F69"/>
    <w:rsid w:val="00640296"/>
    <w:rsid w:val="00640C31"/>
    <w:rsid w:val="00640DD8"/>
    <w:rsid w:val="00640E1B"/>
    <w:rsid w:val="00641EC2"/>
    <w:rsid w:val="006422AA"/>
    <w:rsid w:val="00642C5F"/>
    <w:rsid w:val="006430B4"/>
    <w:rsid w:val="00643226"/>
    <w:rsid w:val="006432D0"/>
    <w:rsid w:val="0064369E"/>
    <w:rsid w:val="006436DD"/>
    <w:rsid w:val="0064375A"/>
    <w:rsid w:val="00643930"/>
    <w:rsid w:val="00643D02"/>
    <w:rsid w:val="006445A4"/>
    <w:rsid w:val="00644846"/>
    <w:rsid w:val="00644853"/>
    <w:rsid w:val="00644C8A"/>
    <w:rsid w:val="00644E4C"/>
    <w:rsid w:val="00645230"/>
    <w:rsid w:val="0064528B"/>
    <w:rsid w:val="00645542"/>
    <w:rsid w:val="006459EF"/>
    <w:rsid w:val="00645ADB"/>
    <w:rsid w:val="00645B8C"/>
    <w:rsid w:val="00645C30"/>
    <w:rsid w:val="00645DA9"/>
    <w:rsid w:val="0064653E"/>
    <w:rsid w:val="0064657E"/>
    <w:rsid w:val="006465F3"/>
    <w:rsid w:val="00646C3A"/>
    <w:rsid w:val="0064712B"/>
    <w:rsid w:val="006471A2"/>
    <w:rsid w:val="0064771F"/>
    <w:rsid w:val="00647B84"/>
    <w:rsid w:val="00647D83"/>
    <w:rsid w:val="006501DC"/>
    <w:rsid w:val="00650B15"/>
    <w:rsid w:val="0065103E"/>
    <w:rsid w:val="00651343"/>
    <w:rsid w:val="00651561"/>
    <w:rsid w:val="006518BC"/>
    <w:rsid w:val="006519A7"/>
    <w:rsid w:val="00652000"/>
    <w:rsid w:val="006521E6"/>
    <w:rsid w:val="00652238"/>
    <w:rsid w:val="00652918"/>
    <w:rsid w:val="006534BF"/>
    <w:rsid w:val="0065368F"/>
    <w:rsid w:val="006537D7"/>
    <w:rsid w:val="00653952"/>
    <w:rsid w:val="00653A8A"/>
    <w:rsid w:val="00653AA6"/>
    <w:rsid w:val="006541CB"/>
    <w:rsid w:val="006543E7"/>
    <w:rsid w:val="0065444A"/>
    <w:rsid w:val="00654579"/>
    <w:rsid w:val="00654764"/>
    <w:rsid w:val="00654A23"/>
    <w:rsid w:val="00654F68"/>
    <w:rsid w:val="00654FA7"/>
    <w:rsid w:val="00655158"/>
    <w:rsid w:val="0065583D"/>
    <w:rsid w:val="00655C1B"/>
    <w:rsid w:val="00655CF9"/>
    <w:rsid w:val="00655D45"/>
    <w:rsid w:val="00656070"/>
    <w:rsid w:val="006562D2"/>
    <w:rsid w:val="00656940"/>
    <w:rsid w:val="00656F2F"/>
    <w:rsid w:val="00656F99"/>
    <w:rsid w:val="00657121"/>
    <w:rsid w:val="0065714C"/>
    <w:rsid w:val="00657284"/>
    <w:rsid w:val="00657C11"/>
    <w:rsid w:val="00657D62"/>
    <w:rsid w:val="00657EC9"/>
    <w:rsid w:val="00660A74"/>
    <w:rsid w:val="00660BF2"/>
    <w:rsid w:val="00660F5D"/>
    <w:rsid w:val="006610D6"/>
    <w:rsid w:val="006611BC"/>
    <w:rsid w:val="006618E9"/>
    <w:rsid w:val="00661F39"/>
    <w:rsid w:val="00662058"/>
    <w:rsid w:val="006623F8"/>
    <w:rsid w:val="0066247F"/>
    <w:rsid w:val="006626C2"/>
    <w:rsid w:val="00662E5F"/>
    <w:rsid w:val="00662F4E"/>
    <w:rsid w:val="00662FCD"/>
    <w:rsid w:val="006633D9"/>
    <w:rsid w:val="006635B8"/>
    <w:rsid w:val="00663C2B"/>
    <w:rsid w:val="00663D6D"/>
    <w:rsid w:val="00663FB1"/>
    <w:rsid w:val="00664434"/>
    <w:rsid w:val="00664485"/>
    <w:rsid w:val="0066465F"/>
    <w:rsid w:val="0066470D"/>
    <w:rsid w:val="00664E51"/>
    <w:rsid w:val="00665283"/>
    <w:rsid w:val="00665345"/>
    <w:rsid w:val="006655EB"/>
    <w:rsid w:val="0066561F"/>
    <w:rsid w:val="006658BA"/>
    <w:rsid w:val="00665EC6"/>
    <w:rsid w:val="006661F1"/>
    <w:rsid w:val="00666A58"/>
    <w:rsid w:val="006671B9"/>
    <w:rsid w:val="00667622"/>
    <w:rsid w:val="00667844"/>
    <w:rsid w:val="00667942"/>
    <w:rsid w:val="0067042A"/>
    <w:rsid w:val="00670650"/>
    <w:rsid w:val="00670F38"/>
    <w:rsid w:val="006712C0"/>
    <w:rsid w:val="0067166C"/>
    <w:rsid w:val="006721F9"/>
    <w:rsid w:val="00672484"/>
    <w:rsid w:val="00672A56"/>
    <w:rsid w:val="00673448"/>
    <w:rsid w:val="006737EB"/>
    <w:rsid w:val="00673825"/>
    <w:rsid w:val="00673E5E"/>
    <w:rsid w:val="00673F21"/>
    <w:rsid w:val="00674158"/>
    <w:rsid w:val="00674481"/>
    <w:rsid w:val="006744AC"/>
    <w:rsid w:val="00674682"/>
    <w:rsid w:val="006746FC"/>
    <w:rsid w:val="006748B1"/>
    <w:rsid w:val="00674A68"/>
    <w:rsid w:val="00674C7D"/>
    <w:rsid w:val="00674F4F"/>
    <w:rsid w:val="0067522B"/>
    <w:rsid w:val="006754B6"/>
    <w:rsid w:val="00675701"/>
    <w:rsid w:val="006767E1"/>
    <w:rsid w:val="00677874"/>
    <w:rsid w:val="006801A1"/>
    <w:rsid w:val="00680A96"/>
    <w:rsid w:val="00680B40"/>
    <w:rsid w:val="00680C08"/>
    <w:rsid w:val="0068131D"/>
    <w:rsid w:val="00681676"/>
    <w:rsid w:val="00681991"/>
    <w:rsid w:val="00681EC9"/>
    <w:rsid w:val="006822FA"/>
    <w:rsid w:val="00682382"/>
    <w:rsid w:val="00682467"/>
    <w:rsid w:val="006825B9"/>
    <w:rsid w:val="0068260B"/>
    <w:rsid w:val="00682704"/>
    <w:rsid w:val="00682821"/>
    <w:rsid w:val="0068288C"/>
    <w:rsid w:val="00682E34"/>
    <w:rsid w:val="00682FDC"/>
    <w:rsid w:val="006833A3"/>
    <w:rsid w:val="0068342A"/>
    <w:rsid w:val="006835B0"/>
    <w:rsid w:val="00683AA8"/>
    <w:rsid w:val="00683E28"/>
    <w:rsid w:val="00683EDB"/>
    <w:rsid w:val="00683F36"/>
    <w:rsid w:val="00684189"/>
    <w:rsid w:val="006842FE"/>
    <w:rsid w:val="00684B30"/>
    <w:rsid w:val="00684BB9"/>
    <w:rsid w:val="00684C86"/>
    <w:rsid w:val="00684CD7"/>
    <w:rsid w:val="00685589"/>
    <w:rsid w:val="00685B36"/>
    <w:rsid w:val="00685F28"/>
    <w:rsid w:val="00686022"/>
    <w:rsid w:val="0068608E"/>
    <w:rsid w:val="0068621A"/>
    <w:rsid w:val="0068627D"/>
    <w:rsid w:val="006865AB"/>
    <w:rsid w:val="0068682C"/>
    <w:rsid w:val="00687174"/>
    <w:rsid w:val="006878A2"/>
    <w:rsid w:val="00687D3E"/>
    <w:rsid w:val="0069092D"/>
    <w:rsid w:val="00692319"/>
    <w:rsid w:val="006924E6"/>
    <w:rsid w:val="0069283C"/>
    <w:rsid w:val="00692B84"/>
    <w:rsid w:val="00692C6D"/>
    <w:rsid w:val="00692EF9"/>
    <w:rsid w:val="00693214"/>
    <w:rsid w:val="00693292"/>
    <w:rsid w:val="006938AA"/>
    <w:rsid w:val="00693BCF"/>
    <w:rsid w:val="00693BDD"/>
    <w:rsid w:val="00693C85"/>
    <w:rsid w:val="0069474B"/>
    <w:rsid w:val="0069475B"/>
    <w:rsid w:val="0069475D"/>
    <w:rsid w:val="00694788"/>
    <w:rsid w:val="00695157"/>
    <w:rsid w:val="0069546F"/>
    <w:rsid w:val="00695A77"/>
    <w:rsid w:val="00695B67"/>
    <w:rsid w:val="00695CF2"/>
    <w:rsid w:val="006960D2"/>
    <w:rsid w:val="006962D2"/>
    <w:rsid w:val="00696786"/>
    <w:rsid w:val="00696B3E"/>
    <w:rsid w:val="0069707A"/>
    <w:rsid w:val="006971C1"/>
    <w:rsid w:val="0069723F"/>
    <w:rsid w:val="00697966"/>
    <w:rsid w:val="00697CD2"/>
    <w:rsid w:val="00697DDA"/>
    <w:rsid w:val="00697E7A"/>
    <w:rsid w:val="006A01E1"/>
    <w:rsid w:val="006A026B"/>
    <w:rsid w:val="006A05A2"/>
    <w:rsid w:val="006A05CF"/>
    <w:rsid w:val="006A06FF"/>
    <w:rsid w:val="006A0805"/>
    <w:rsid w:val="006A0B67"/>
    <w:rsid w:val="006A0D31"/>
    <w:rsid w:val="006A1211"/>
    <w:rsid w:val="006A12DC"/>
    <w:rsid w:val="006A132A"/>
    <w:rsid w:val="006A1662"/>
    <w:rsid w:val="006A1D4F"/>
    <w:rsid w:val="006A204A"/>
    <w:rsid w:val="006A2440"/>
    <w:rsid w:val="006A2537"/>
    <w:rsid w:val="006A26F3"/>
    <w:rsid w:val="006A2958"/>
    <w:rsid w:val="006A2E41"/>
    <w:rsid w:val="006A3383"/>
    <w:rsid w:val="006A3A2B"/>
    <w:rsid w:val="006A3BDE"/>
    <w:rsid w:val="006A3EB2"/>
    <w:rsid w:val="006A40E5"/>
    <w:rsid w:val="006A54C6"/>
    <w:rsid w:val="006A552F"/>
    <w:rsid w:val="006A58CF"/>
    <w:rsid w:val="006A5AB5"/>
    <w:rsid w:val="006A5B39"/>
    <w:rsid w:val="006A5BFD"/>
    <w:rsid w:val="006A5E1C"/>
    <w:rsid w:val="006A5F29"/>
    <w:rsid w:val="006A60A1"/>
    <w:rsid w:val="006A637E"/>
    <w:rsid w:val="006A6BF1"/>
    <w:rsid w:val="006A6DE5"/>
    <w:rsid w:val="006A706B"/>
    <w:rsid w:val="006A7709"/>
    <w:rsid w:val="006A7C32"/>
    <w:rsid w:val="006A7EAF"/>
    <w:rsid w:val="006B0104"/>
    <w:rsid w:val="006B03EB"/>
    <w:rsid w:val="006B05F8"/>
    <w:rsid w:val="006B07AB"/>
    <w:rsid w:val="006B0830"/>
    <w:rsid w:val="006B0BBD"/>
    <w:rsid w:val="006B1278"/>
    <w:rsid w:val="006B19F4"/>
    <w:rsid w:val="006B1E75"/>
    <w:rsid w:val="006B2911"/>
    <w:rsid w:val="006B2960"/>
    <w:rsid w:val="006B3032"/>
    <w:rsid w:val="006B3418"/>
    <w:rsid w:val="006B3A8A"/>
    <w:rsid w:val="006B3B94"/>
    <w:rsid w:val="006B3DAC"/>
    <w:rsid w:val="006B3F05"/>
    <w:rsid w:val="006B4469"/>
    <w:rsid w:val="006B4726"/>
    <w:rsid w:val="006B4B4A"/>
    <w:rsid w:val="006B505A"/>
    <w:rsid w:val="006B50D4"/>
    <w:rsid w:val="006B52E6"/>
    <w:rsid w:val="006B5E53"/>
    <w:rsid w:val="006B6582"/>
    <w:rsid w:val="006B65B7"/>
    <w:rsid w:val="006B6D99"/>
    <w:rsid w:val="006B75C6"/>
    <w:rsid w:val="006B7829"/>
    <w:rsid w:val="006B7AB1"/>
    <w:rsid w:val="006B7CF3"/>
    <w:rsid w:val="006B7FC0"/>
    <w:rsid w:val="006C040B"/>
    <w:rsid w:val="006C0651"/>
    <w:rsid w:val="006C08D0"/>
    <w:rsid w:val="006C0E5F"/>
    <w:rsid w:val="006C116E"/>
    <w:rsid w:val="006C15EF"/>
    <w:rsid w:val="006C1787"/>
    <w:rsid w:val="006C196C"/>
    <w:rsid w:val="006C1C50"/>
    <w:rsid w:val="006C298C"/>
    <w:rsid w:val="006C2CA6"/>
    <w:rsid w:val="006C2D71"/>
    <w:rsid w:val="006C32DA"/>
    <w:rsid w:val="006C33E7"/>
    <w:rsid w:val="006C3481"/>
    <w:rsid w:val="006C354C"/>
    <w:rsid w:val="006C3688"/>
    <w:rsid w:val="006C3B76"/>
    <w:rsid w:val="006C3C84"/>
    <w:rsid w:val="006C40DA"/>
    <w:rsid w:val="006C4126"/>
    <w:rsid w:val="006C440D"/>
    <w:rsid w:val="006C4572"/>
    <w:rsid w:val="006C5CD7"/>
    <w:rsid w:val="006C5D2B"/>
    <w:rsid w:val="006C5F90"/>
    <w:rsid w:val="006C6098"/>
    <w:rsid w:val="006C6182"/>
    <w:rsid w:val="006C66E5"/>
    <w:rsid w:val="006C6C6F"/>
    <w:rsid w:val="006C6E14"/>
    <w:rsid w:val="006C71FA"/>
    <w:rsid w:val="006C7494"/>
    <w:rsid w:val="006C770F"/>
    <w:rsid w:val="006C7B03"/>
    <w:rsid w:val="006C7DEB"/>
    <w:rsid w:val="006D012F"/>
    <w:rsid w:val="006D04F4"/>
    <w:rsid w:val="006D0509"/>
    <w:rsid w:val="006D07C6"/>
    <w:rsid w:val="006D0892"/>
    <w:rsid w:val="006D08B7"/>
    <w:rsid w:val="006D0EC2"/>
    <w:rsid w:val="006D1034"/>
    <w:rsid w:val="006D1DA2"/>
    <w:rsid w:val="006D2C35"/>
    <w:rsid w:val="006D2EEB"/>
    <w:rsid w:val="006D3004"/>
    <w:rsid w:val="006D351B"/>
    <w:rsid w:val="006D3542"/>
    <w:rsid w:val="006D3797"/>
    <w:rsid w:val="006D37C2"/>
    <w:rsid w:val="006D3B2B"/>
    <w:rsid w:val="006D3D50"/>
    <w:rsid w:val="006D3EAE"/>
    <w:rsid w:val="006D3FB9"/>
    <w:rsid w:val="006D40FF"/>
    <w:rsid w:val="006D4231"/>
    <w:rsid w:val="006D429D"/>
    <w:rsid w:val="006D42C9"/>
    <w:rsid w:val="006D4331"/>
    <w:rsid w:val="006D4343"/>
    <w:rsid w:val="006D4734"/>
    <w:rsid w:val="006D4B4F"/>
    <w:rsid w:val="006D4C72"/>
    <w:rsid w:val="006D4E4C"/>
    <w:rsid w:val="006D4F48"/>
    <w:rsid w:val="006D4F7B"/>
    <w:rsid w:val="006D5585"/>
    <w:rsid w:val="006D5BB9"/>
    <w:rsid w:val="006D5F76"/>
    <w:rsid w:val="006D6279"/>
    <w:rsid w:val="006D631B"/>
    <w:rsid w:val="006D6D96"/>
    <w:rsid w:val="006D7017"/>
    <w:rsid w:val="006D708D"/>
    <w:rsid w:val="006D71DF"/>
    <w:rsid w:val="006D7211"/>
    <w:rsid w:val="006D75C8"/>
    <w:rsid w:val="006D791D"/>
    <w:rsid w:val="006D7948"/>
    <w:rsid w:val="006D7AE5"/>
    <w:rsid w:val="006D7CB0"/>
    <w:rsid w:val="006E033B"/>
    <w:rsid w:val="006E0F89"/>
    <w:rsid w:val="006E1177"/>
    <w:rsid w:val="006E15A1"/>
    <w:rsid w:val="006E184D"/>
    <w:rsid w:val="006E1E8E"/>
    <w:rsid w:val="006E1FD6"/>
    <w:rsid w:val="006E2EE9"/>
    <w:rsid w:val="006E408B"/>
    <w:rsid w:val="006E4533"/>
    <w:rsid w:val="006E47F3"/>
    <w:rsid w:val="006E4A8B"/>
    <w:rsid w:val="006E5159"/>
    <w:rsid w:val="006E5B96"/>
    <w:rsid w:val="006E5BEC"/>
    <w:rsid w:val="006E630D"/>
    <w:rsid w:val="006E67A3"/>
    <w:rsid w:val="006E6838"/>
    <w:rsid w:val="006E6A08"/>
    <w:rsid w:val="006E6E92"/>
    <w:rsid w:val="006E7036"/>
    <w:rsid w:val="006E70AE"/>
    <w:rsid w:val="006E714F"/>
    <w:rsid w:val="006E75A9"/>
    <w:rsid w:val="006E7A92"/>
    <w:rsid w:val="006E7F3E"/>
    <w:rsid w:val="006F0220"/>
    <w:rsid w:val="006F0D46"/>
    <w:rsid w:val="006F0E71"/>
    <w:rsid w:val="006F1219"/>
    <w:rsid w:val="006F173C"/>
    <w:rsid w:val="006F18E3"/>
    <w:rsid w:val="006F199C"/>
    <w:rsid w:val="006F1C9A"/>
    <w:rsid w:val="006F1C9E"/>
    <w:rsid w:val="006F219D"/>
    <w:rsid w:val="006F2218"/>
    <w:rsid w:val="006F23DD"/>
    <w:rsid w:val="006F25DC"/>
    <w:rsid w:val="006F2FB6"/>
    <w:rsid w:val="006F305B"/>
    <w:rsid w:val="006F3152"/>
    <w:rsid w:val="006F31C0"/>
    <w:rsid w:val="006F3A03"/>
    <w:rsid w:val="006F5158"/>
    <w:rsid w:val="006F5D6E"/>
    <w:rsid w:val="006F5DA4"/>
    <w:rsid w:val="006F62EB"/>
    <w:rsid w:val="006F641C"/>
    <w:rsid w:val="006F64F3"/>
    <w:rsid w:val="006F6E94"/>
    <w:rsid w:val="006F705B"/>
    <w:rsid w:val="006F7D79"/>
    <w:rsid w:val="006F7E20"/>
    <w:rsid w:val="006F7F7A"/>
    <w:rsid w:val="007001F8"/>
    <w:rsid w:val="007003C9"/>
    <w:rsid w:val="00700950"/>
    <w:rsid w:val="00700F1B"/>
    <w:rsid w:val="00701136"/>
    <w:rsid w:val="00701376"/>
    <w:rsid w:val="0070179E"/>
    <w:rsid w:val="007019A8"/>
    <w:rsid w:val="007029A6"/>
    <w:rsid w:val="007030B4"/>
    <w:rsid w:val="0070319A"/>
    <w:rsid w:val="007038B4"/>
    <w:rsid w:val="00703B1B"/>
    <w:rsid w:val="00703B60"/>
    <w:rsid w:val="00703CB4"/>
    <w:rsid w:val="00703DC4"/>
    <w:rsid w:val="00704433"/>
    <w:rsid w:val="00704455"/>
    <w:rsid w:val="00704723"/>
    <w:rsid w:val="00704727"/>
    <w:rsid w:val="0070495D"/>
    <w:rsid w:val="00705149"/>
    <w:rsid w:val="007055AF"/>
    <w:rsid w:val="007055BC"/>
    <w:rsid w:val="007055D3"/>
    <w:rsid w:val="00706484"/>
    <w:rsid w:val="00706642"/>
    <w:rsid w:val="007067B9"/>
    <w:rsid w:val="007076F1"/>
    <w:rsid w:val="007078AD"/>
    <w:rsid w:val="00707AFD"/>
    <w:rsid w:val="00707C18"/>
    <w:rsid w:val="00707C9C"/>
    <w:rsid w:val="00707E69"/>
    <w:rsid w:val="00707EDF"/>
    <w:rsid w:val="00707F54"/>
    <w:rsid w:val="007103A9"/>
    <w:rsid w:val="007103D3"/>
    <w:rsid w:val="00710AFF"/>
    <w:rsid w:val="00710B0E"/>
    <w:rsid w:val="00710BFC"/>
    <w:rsid w:val="00710F9F"/>
    <w:rsid w:val="00711682"/>
    <w:rsid w:val="00711820"/>
    <w:rsid w:val="00711863"/>
    <w:rsid w:val="00711EF6"/>
    <w:rsid w:val="0071235F"/>
    <w:rsid w:val="00712FAF"/>
    <w:rsid w:val="007138B9"/>
    <w:rsid w:val="00713CE7"/>
    <w:rsid w:val="00713DFC"/>
    <w:rsid w:val="00713E56"/>
    <w:rsid w:val="00714A81"/>
    <w:rsid w:val="00714F9F"/>
    <w:rsid w:val="00715E94"/>
    <w:rsid w:val="00716486"/>
    <w:rsid w:val="00716A8A"/>
    <w:rsid w:val="00716AD2"/>
    <w:rsid w:val="00716EF1"/>
    <w:rsid w:val="00717120"/>
    <w:rsid w:val="007171A1"/>
    <w:rsid w:val="0071751E"/>
    <w:rsid w:val="0071771B"/>
    <w:rsid w:val="00717D17"/>
    <w:rsid w:val="007202FA"/>
    <w:rsid w:val="007203CA"/>
    <w:rsid w:val="0072059A"/>
    <w:rsid w:val="00720906"/>
    <w:rsid w:val="007209D7"/>
    <w:rsid w:val="00720F03"/>
    <w:rsid w:val="00720F9B"/>
    <w:rsid w:val="0072132B"/>
    <w:rsid w:val="00721347"/>
    <w:rsid w:val="007213C1"/>
    <w:rsid w:val="00721E57"/>
    <w:rsid w:val="00721F30"/>
    <w:rsid w:val="00722060"/>
    <w:rsid w:val="0072226A"/>
    <w:rsid w:val="00722315"/>
    <w:rsid w:val="0072243B"/>
    <w:rsid w:val="007226F5"/>
    <w:rsid w:val="00722B5F"/>
    <w:rsid w:val="00722BAB"/>
    <w:rsid w:val="00722BDD"/>
    <w:rsid w:val="00722FFF"/>
    <w:rsid w:val="007231A9"/>
    <w:rsid w:val="007234E4"/>
    <w:rsid w:val="00723B2C"/>
    <w:rsid w:val="00723FB6"/>
    <w:rsid w:val="0072405D"/>
    <w:rsid w:val="00724721"/>
    <w:rsid w:val="00724ED0"/>
    <w:rsid w:val="00724F92"/>
    <w:rsid w:val="0072509C"/>
    <w:rsid w:val="0072517D"/>
    <w:rsid w:val="007253D6"/>
    <w:rsid w:val="007256B9"/>
    <w:rsid w:val="0072578A"/>
    <w:rsid w:val="0072597A"/>
    <w:rsid w:val="00725C3C"/>
    <w:rsid w:val="00725EC0"/>
    <w:rsid w:val="00726B83"/>
    <w:rsid w:val="007277BB"/>
    <w:rsid w:val="00727A2B"/>
    <w:rsid w:val="00727C2B"/>
    <w:rsid w:val="00727C41"/>
    <w:rsid w:val="00730363"/>
    <w:rsid w:val="007307A7"/>
    <w:rsid w:val="00731173"/>
    <w:rsid w:val="00731529"/>
    <w:rsid w:val="00731A80"/>
    <w:rsid w:val="00731BA3"/>
    <w:rsid w:val="00731C0A"/>
    <w:rsid w:val="00731EFC"/>
    <w:rsid w:val="0073229C"/>
    <w:rsid w:val="00732787"/>
    <w:rsid w:val="00733373"/>
    <w:rsid w:val="00733381"/>
    <w:rsid w:val="00733CF9"/>
    <w:rsid w:val="007343DE"/>
    <w:rsid w:val="0073448F"/>
    <w:rsid w:val="00734FFE"/>
    <w:rsid w:val="00735340"/>
    <w:rsid w:val="007354B4"/>
    <w:rsid w:val="00735562"/>
    <w:rsid w:val="00735799"/>
    <w:rsid w:val="00735BB7"/>
    <w:rsid w:val="007364AA"/>
    <w:rsid w:val="007364C0"/>
    <w:rsid w:val="00737059"/>
    <w:rsid w:val="007370D9"/>
    <w:rsid w:val="007371EB"/>
    <w:rsid w:val="0073724D"/>
    <w:rsid w:val="007373CF"/>
    <w:rsid w:val="007378A7"/>
    <w:rsid w:val="007378B9"/>
    <w:rsid w:val="0073792C"/>
    <w:rsid w:val="00737AC6"/>
    <w:rsid w:val="00737C10"/>
    <w:rsid w:val="00737E3A"/>
    <w:rsid w:val="00740079"/>
    <w:rsid w:val="007400F3"/>
    <w:rsid w:val="00740841"/>
    <w:rsid w:val="00740E24"/>
    <w:rsid w:val="00741211"/>
    <w:rsid w:val="00741357"/>
    <w:rsid w:val="00741B1D"/>
    <w:rsid w:val="00741D0C"/>
    <w:rsid w:val="00741DF7"/>
    <w:rsid w:val="00741F03"/>
    <w:rsid w:val="0074213C"/>
    <w:rsid w:val="00742352"/>
    <w:rsid w:val="0074257A"/>
    <w:rsid w:val="0074333A"/>
    <w:rsid w:val="00743603"/>
    <w:rsid w:val="007437E2"/>
    <w:rsid w:val="0074387A"/>
    <w:rsid w:val="007439EB"/>
    <w:rsid w:val="00744383"/>
    <w:rsid w:val="0074468E"/>
    <w:rsid w:val="00744C70"/>
    <w:rsid w:val="00744DD3"/>
    <w:rsid w:val="00744F59"/>
    <w:rsid w:val="00745C54"/>
    <w:rsid w:val="00745DC1"/>
    <w:rsid w:val="00746481"/>
    <w:rsid w:val="0074662C"/>
    <w:rsid w:val="0074668E"/>
    <w:rsid w:val="00747019"/>
    <w:rsid w:val="00747185"/>
    <w:rsid w:val="00747434"/>
    <w:rsid w:val="007477B4"/>
    <w:rsid w:val="007477DE"/>
    <w:rsid w:val="0074788B"/>
    <w:rsid w:val="0074792B"/>
    <w:rsid w:val="00747C5A"/>
    <w:rsid w:val="00747D9A"/>
    <w:rsid w:val="00750713"/>
    <w:rsid w:val="0075075B"/>
    <w:rsid w:val="00750A5F"/>
    <w:rsid w:val="00751012"/>
    <w:rsid w:val="0075137C"/>
    <w:rsid w:val="007516BA"/>
    <w:rsid w:val="00751983"/>
    <w:rsid w:val="007519EA"/>
    <w:rsid w:val="00751A2B"/>
    <w:rsid w:val="00751B9D"/>
    <w:rsid w:val="00751D6E"/>
    <w:rsid w:val="00751EFC"/>
    <w:rsid w:val="007524EF"/>
    <w:rsid w:val="0075253F"/>
    <w:rsid w:val="007525A4"/>
    <w:rsid w:val="007528CA"/>
    <w:rsid w:val="00753019"/>
    <w:rsid w:val="007532CD"/>
    <w:rsid w:val="007538C6"/>
    <w:rsid w:val="007538EC"/>
    <w:rsid w:val="00753DC6"/>
    <w:rsid w:val="0075418A"/>
    <w:rsid w:val="007545C4"/>
    <w:rsid w:val="00754666"/>
    <w:rsid w:val="00754740"/>
    <w:rsid w:val="007548A2"/>
    <w:rsid w:val="00754E39"/>
    <w:rsid w:val="00755817"/>
    <w:rsid w:val="007558C4"/>
    <w:rsid w:val="007563A1"/>
    <w:rsid w:val="00756C22"/>
    <w:rsid w:val="00756CB2"/>
    <w:rsid w:val="00756FE7"/>
    <w:rsid w:val="007570C7"/>
    <w:rsid w:val="007572C1"/>
    <w:rsid w:val="00757591"/>
    <w:rsid w:val="0075761A"/>
    <w:rsid w:val="00757734"/>
    <w:rsid w:val="0075776A"/>
    <w:rsid w:val="00757D73"/>
    <w:rsid w:val="007601D2"/>
    <w:rsid w:val="007603EB"/>
    <w:rsid w:val="007605D0"/>
    <w:rsid w:val="0076099D"/>
    <w:rsid w:val="00761127"/>
    <w:rsid w:val="00761297"/>
    <w:rsid w:val="00761440"/>
    <w:rsid w:val="00761748"/>
    <w:rsid w:val="00761ECA"/>
    <w:rsid w:val="0076260D"/>
    <w:rsid w:val="00762B9F"/>
    <w:rsid w:val="00762D42"/>
    <w:rsid w:val="007632F5"/>
    <w:rsid w:val="00763B77"/>
    <w:rsid w:val="00763F6F"/>
    <w:rsid w:val="00763F8E"/>
    <w:rsid w:val="00763F9A"/>
    <w:rsid w:val="0076420A"/>
    <w:rsid w:val="0076458B"/>
    <w:rsid w:val="007645C5"/>
    <w:rsid w:val="007648A8"/>
    <w:rsid w:val="007649B2"/>
    <w:rsid w:val="007649E2"/>
    <w:rsid w:val="00764D55"/>
    <w:rsid w:val="00764FA9"/>
    <w:rsid w:val="00764FAA"/>
    <w:rsid w:val="00765016"/>
    <w:rsid w:val="007653D9"/>
    <w:rsid w:val="007654A3"/>
    <w:rsid w:val="007655B1"/>
    <w:rsid w:val="007661FD"/>
    <w:rsid w:val="007664CB"/>
    <w:rsid w:val="00766963"/>
    <w:rsid w:val="0076702C"/>
    <w:rsid w:val="00767174"/>
    <w:rsid w:val="007676D7"/>
    <w:rsid w:val="00767761"/>
    <w:rsid w:val="007677F3"/>
    <w:rsid w:val="00767B2A"/>
    <w:rsid w:val="00767D2A"/>
    <w:rsid w:val="00767EA8"/>
    <w:rsid w:val="00767F6C"/>
    <w:rsid w:val="00770497"/>
    <w:rsid w:val="007705E5"/>
    <w:rsid w:val="007706E0"/>
    <w:rsid w:val="00770A89"/>
    <w:rsid w:val="00770E2A"/>
    <w:rsid w:val="007713C6"/>
    <w:rsid w:val="00771517"/>
    <w:rsid w:val="00771579"/>
    <w:rsid w:val="0077162E"/>
    <w:rsid w:val="00771D37"/>
    <w:rsid w:val="00771DAD"/>
    <w:rsid w:val="00771F14"/>
    <w:rsid w:val="00771F91"/>
    <w:rsid w:val="007722ED"/>
    <w:rsid w:val="007727D9"/>
    <w:rsid w:val="00772829"/>
    <w:rsid w:val="007728B1"/>
    <w:rsid w:val="0077306B"/>
    <w:rsid w:val="007731CE"/>
    <w:rsid w:val="007731E7"/>
    <w:rsid w:val="007734F6"/>
    <w:rsid w:val="00773F84"/>
    <w:rsid w:val="00774653"/>
    <w:rsid w:val="0077484D"/>
    <w:rsid w:val="00775592"/>
    <w:rsid w:val="00775635"/>
    <w:rsid w:val="0077571B"/>
    <w:rsid w:val="007757B0"/>
    <w:rsid w:val="00775B86"/>
    <w:rsid w:val="00775BE9"/>
    <w:rsid w:val="00775EA4"/>
    <w:rsid w:val="00776022"/>
    <w:rsid w:val="007762C5"/>
    <w:rsid w:val="00776321"/>
    <w:rsid w:val="007764C5"/>
    <w:rsid w:val="007764CB"/>
    <w:rsid w:val="00776ABB"/>
    <w:rsid w:val="00776BF0"/>
    <w:rsid w:val="00776C63"/>
    <w:rsid w:val="00776CA2"/>
    <w:rsid w:val="007776BE"/>
    <w:rsid w:val="007777B8"/>
    <w:rsid w:val="0077783A"/>
    <w:rsid w:val="00777848"/>
    <w:rsid w:val="00777893"/>
    <w:rsid w:val="00777BDA"/>
    <w:rsid w:val="00777C0D"/>
    <w:rsid w:val="00777D16"/>
    <w:rsid w:val="00777D58"/>
    <w:rsid w:val="00777F66"/>
    <w:rsid w:val="00777F75"/>
    <w:rsid w:val="007801AC"/>
    <w:rsid w:val="00780312"/>
    <w:rsid w:val="00780736"/>
    <w:rsid w:val="0078080E"/>
    <w:rsid w:val="00780B80"/>
    <w:rsid w:val="00780DB7"/>
    <w:rsid w:val="00780EE2"/>
    <w:rsid w:val="007826BC"/>
    <w:rsid w:val="00782DF1"/>
    <w:rsid w:val="00783027"/>
    <w:rsid w:val="0078302B"/>
    <w:rsid w:val="00783836"/>
    <w:rsid w:val="00783F67"/>
    <w:rsid w:val="007840DC"/>
    <w:rsid w:val="007841CF"/>
    <w:rsid w:val="00784341"/>
    <w:rsid w:val="00784344"/>
    <w:rsid w:val="00784A35"/>
    <w:rsid w:val="00784A85"/>
    <w:rsid w:val="007852E9"/>
    <w:rsid w:val="007853A3"/>
    <w:rsid w:val="00785C1B"/>
    <w:rsid w:val="00785C59"/>
    <w:rsid w:val="00785C6E"/>
    <w:rsid w:val="00785C9C"/>
    <w:rsid w:val="00785E58"/>
    <w:rsid w:val="0078635F"/>
    <w:rsid w:val="0078665D"/>
    <w:rsid w:val="00786996"/>
    <w:rsid w:val="00786DF4"/>
    <w:rsid w:val="0078719A"/>
    <w:rsid w:val="007873B6"/>
    <w:rsid w:val="007876DF"/>
    <w:rsid w:val="00787C69"/>
    <w:rsid w:val="00787F9A"/>
    <w:rsid w:val="0079001F"/>
    <w:rsid w:val="0079015F"/>
    <w:rsid w:val="00790346"/>
    <w:rsid w:val="0079074C"/>
    <w:rsid w:val="0079083A"/>
    <w:rsid w:val="00790B15"/>
    <w:rsid w:val="00790CF5"/>
    <w:rsid w:val="00790F49"/>
    <w:rsid w:val="00791448"/>
    <w:rsid w:val="007920A5"/>
    <w:rsid w:val="00792289"/>
    <w:rsid w:val="00792C55"/>
    <w:rsid w:val="007931CB"/>
    <w:rsid w:val="0079322C"/>
    <w:rsid w:val="00793BA4"/>
    <w:rsid w:val="00794066"/>
    <w:rsid w:val="007940F3"/>
    <w:rsid w:val="007942EA"/>
    <w:rsid w:val="00794592"/>
    <w:rsid w:val="00794889"/>
    <w:rsid w:val="00795054"/>
    <w:rsid w:val="007951D4"/>
    <w:rsid w:val="007955A4"/>
    <w:rsid w:val="0079572C"/>
    <w:rsid w:val="00795816"/>
    <w:rsid w:val="0079585A"/>
    <w:rsid w:val="007958B5"/>
    <w:rsid w:val="00795947"/>
    <w:rsid w:val="00795C82"/>
    <w:rsid w:val="00796461"/>
    <w:rsid w:val="007969D1"/>
    <w:rsid w:val="007969FD"/>
    <w:rsid w:val="00796A7F"/>
    <w:rsid w:val="00796DD2"/>
    <w:rsid w:val="007971C2"/>
    <w:rsid w:val="00797974"/>
    <w:rsid w:val="007979A4"/>
    <w:rsid w:val="00797C46"/>
    <w:rsid w:val="00797CAA"/>
    <w:rsid w:val="007A013E"/>
    <w:rsid w:val="007A05D3"/>
    <w:rsid w:val="007A0621"/>
    <w:rsid w:val="007A0749"/>
    <w:rsid w:val="007A09DD"/>
    <w:rsid w:val="007A0C53"/>
    <w:rsid w:val="007A0F7D"/>
    <w:rsid w:val="007A1253"/>
    <w:rsid w:val="007A1560"/>
    <w:rsid w:val="007A1652"/>
    <w:rsid w:val="007A19F6"/>
    <w:rsid w:val="007A1AEE"/>
    <w:rsid w:val="007A1D9D"/>
    <w:rsid w:val="007A2198"/>
    <w:rsid w:val="007A23B7"/>
    <w:rsid w:val="007A23D1"/>
    <w:rsid w:val="007A2521"/>
    <w:rsid w:val="007A2541"/>
    <w:rsid w:val="007A2A37"/>
    <w:rsid w:val="007A2B31"/>
    <w:rsid w:val="007A2B65"/>
    <w:rsid w:val="007A2C77"/>
    <w:rsid w:val="007A348D"/>
    <w:rsid w:val="007A38BF"/>
    <w:rsid w:val="007A4269"/>
    <w:rsid w:val="007A4547"/>
    <w:rsid w:val="007A457B"/>
    <w:rsid w:val="007A48AA"/>
    <w:rsid w:val="007A4FCD"/>
    <w:rsid w:val="007A5236"/>
    <w:rsid w:val="007A5395"/>
    <w:rsid w:val="007A5442"/>
    <w:rsid w:val="007A5617"/>
    <w:rsid w:val="007A5693"/>
    <w:rsid w:val="007A5BB4"/>
    <w:rsid w:val="007A5EAF"/>
    <w:rsid w:val="007A5F92"/>
    <w:rsid w:val="007A6069"/>
    <w:rsid w:val="007A65EF"/>
    <w:rsid w:val="007A6810"/>
    <w:rsid w:val="007A6B5C"/>
    <w:rsid w:val="007A6C2E"/>
    <w:rsid w:val="007A71EE"/>
    <w:rsid w:val="007A7442"/>
    <w:rsid w:val="007A775F"/>
    <w:rsid w:val="007A778F"/>
    <w:rsid w:val="007A7807"/>
    <w:rsid w:val="007A7F57"/>
    <w:rsid w:val="007B0245"/>
    <w:rsid w:val="007B0583"/>
    <w:rsid w:val="007B05CF"/>
    <w:rsid w:val="007B05DD"/>
    <w:rsid w:val="007B083F"/>
    <w:rsid w:val="007B0880"/>
    <w:rsid w:val="007B0A6C"/>
    <w:rsid w:val="007B0BCF"/>
    <w:rsid w:val="007B0C37"/>
    <w:rsid w:val="007B0D01"/>
    <w:rsid w:val="007B0DCA"/>
    <w:rsid w:val="007B1085"/>
    <w:rsid w:val="007B11BE"/>
    <w:rsid w:val="007B18B0"/>
    <w:rsid w:val="007B2085"/>
    <w:rsid w:val="007B22AB"/>
    <w:rsid w:val="007B2324"/>
    <w:rsid w:val="007B27A8"/>
    <w:rsid w:val="007B28FD"/>
    <w:rsid w:val="007B2CB7"/>
    <w:rsid w:val="007B2FDC"/>
    <w:rsid w:val="007B34F5"/>
    <w:rsid w:val="007B38A0"/>
    <w:rsid w:val="007B38B7"/>
    <w:rsid w:val="007B3EE9"/>
    <w:rsid w:val="007B3EF8"/>
    <w:rsid w:val="007B40C8"/>
    <w:rsid w:val="007B453C"/>
    <w:rsid w:val="007B46BC"/>
    <w:rsid w:val="007B47AE"/>
    <w:rsid w:val="007B4E5C"/>
    <w:rsid w:val="007B4F7B"/>
    <w:rsid w:val="007B54A6"/>
    <w:rsid w:val="007B583D"/>
    <w:rsid w:val="007B6095"/>
    <w:rsid w:val="007B6499"/>
    <w:rsid w:val="007B64E1"/>
    <w:rsid w:val="007B6684"/>
    <w:rsid w:val="007B69E9"/>
    <w:rsid w:val="007B6B21"/>
    <w:rsid w:val="007B6D58"/>
    <w:rsid w:val="007B7018"/>
    <w:rsid w:val="007B7024"/>
    <w:rsid w:val="007B714D"/>
    <w:rsid w:val="007B75A7"/>
    <w:rsid w:val="007B7CF7"/>
    <w:rsid w:val="007B7F51"/>
    <w:rsid w:val="007C01B7"/>
    <w:rsid w:val="007C0390"/>
    <w:rsid w:val="007C0757"/>
    <w:rsid w:val="007C08A4"/>
    <w:rsid w:val="007C0DF2"/>
    <w:rsid w:val="007C13FE"/>
    <w:rsid w:val="007C1460"/>
    <w:rsid w:val="007C14A2"/>
    <w:rsid w:val="007C1C53"/>
    <w:rsid w:val="007C26AA"/>
    <w:rsid w:val="007C2996"/>
    <w:rsid w:val="007C2A16"/>
    <w:rsid w:val="007C2ABF"/>
    <w:rsid w:val="007C300E"/>
    <w:rsid w:val="007C3110"/>
    <w:rsid w:val="007C328D"/>
    <w:rsid w:val="007C336F"/>
    <w:rsid w:val="007C3E9A"/>
    <w:rsid w:val="007C41B1"/>
    <w:rsid w:val="007C426B"/>
    <w:rsid w:val="007C456D"/>
    <w:rsid w:val="007C4830"/>
    <w:rsid w:val="007C4C81"/>
    <w:rsid w:val="007C4CA5"/>
    <w:rsid w:val="007C4CF5"/>
    <w:rsid w:val="007C53A5"/>
    <w:rsid w:val="007C6B3F"/>
    <w:rsid w:val="007C6F02"/>
    <w:rsid w:val="007C7B71"/>
    <w:rsid w:val="007D048C"/>
    <w:rsid w:val="007D065A"/>
    <w:rsid w:val="007D083D"/>
    <w:rsid w:val="007D0B1E"/>
    <w:rsid w:val="007D114E"/>
    <w:rsid w:val="007D122D"/>
    <w:rsid w:val="007D1562"/>
    <w:rsid w:val="007D1CBE"/>
    <w:rsid w:val="007D1EEF"/>
    <w:rsid w:val="007D2324"/>
    <w:rsid w:val="007D251B"/>
    <w:rsid w:val="007D25C9"/>
    <w:rsid w:val="007D25D8"/>
    <w:rsid w:val="007D2F87"/>
    <w:rsid w:val="007D30B7"/>
    <w:rsid w:val="007D332E"/>
    <w:rsid w:val="007D3623"/>
    <w:rsid w:val="007D3D73"/>
    <w:rsid w:val="007D4165"/>
    <w:rsid w:val="007D41D5"/>
    <w:rsid w:val="007D4641"/>
    <w:rsid w:val="007D4900"/>
    <w:rsid w:val="007D49A1"/>
    <w:rsid w:val="007D4AE6"/>
    <w:rsid w:val="007D4D55"/>
    <w:rsid w:val="007D4F22"/>
    <w:rsid w:val="007D5237"/>
    <w:rsid w:val="007D5840"/>
    <w:rsid w:val="007D597A"/>
    <w:rsid w:val="007D6D78"/>
    <w:rsid w:val="007D6D7B"/>
    <w:rsid w:val="007D73DC"/>
    <w:rsid w:val="007D77F7"/>
    <w:rsid w:val="007E0091"/>
    <w:rsid w:val="007E00A8"/>
    <w:rsid w:val="007E01BF"/>
    <w:rsid w:val="007E03D1"/>
    <w:rsid w:val="007E0935"/>
    <w:rsid w:val="007E1468"/>
    <w:rsid w:val="007E15AD"/>
    <w:rsid w:val="007E1CF0"/>
    <w:rsid w:val="007E1F2B"/>
    <w:rsid w:val="007E25ED"/>
    <w:rsid w:val="007E274A"/>
    <w:rsid w:val="007E2A1E"/>
    <w:rsid w:val="007E2BC0"/>
    <w:rsid w:val="007E37D8"/>
    <w:rsid w:val="007E3DE2"/>
    <w:rsid w:val="007E43F6"/>
    <w:rsid w:val="007E4546"/>
    <w:rsid w:val="007E45E3"/>
    <w:rsid w:val="007E49E3"/>
    <w:rsid w:val="007E4D5B"/>
    <w:rsid w:val="007E4EEA"/>
    <w:rsid w:val="007E5089"/>
    <w:rsid w:val="007E55F0"/>
    <w:rsid w:val="007E57DB"/>
    <w:rsid w:val="007E5B97"/>
    <w:rsid w:val="007E5D7C"/>
    <w:rsid w:val="007E62BD"/>
    <w:rsid w:val="007E65AF"/>
    <w:rsid w:val="007E75BD"/>
    <w:rsid w:val="007E7C3A"/>
    <w:rsid w:val="007E7EB9"/>
    <w:rsid w:val="007F08BF"/>
    <w:rsid w:val="007F0C73"/>
    <w:rsid w:val="007F0EA2"/>
    <w:rsid w:val="007F10B6"/>
    <w:rsid w:val="007F11FF"/>
    <w:rsid w:val="007F1E79"/>
    <w:rsid w:val="007F2158"/>
    <w:rsid w:val="007F236D"/>
    <w:rsid w:val="007F2591"/>
    <w:rsid w:val="007F2B24"/>
    <w:rsid w:val="007F316A"/>
    <w:rsid w:val="007F34A2"/>
    <w:rsid w:val="007F4135"/>
    <w:rsid w:val="007F498F"/>
    <w:rsid w:val="007F4A84"/>
    <w:rsid w:val="007F4B40"/>
    <w:rsid w:val="007F4D05"/>
    <w:rsid w:val="007F510A"/>
    <w:rsid w:val="007F5272"/>
    <w:rsid w:val="007F5568"/>
    <w:rsid w:val="007F5D73"/>
    <w:rsid w:val="007F62C9"/>
    <w:rsid w:val="007F636D"/>
    <w:rsid w:val="007F667B"/>
    <w:rsid w:val="007F676E"/>
    <w:rsid w:val="007F67E9"/>
    <w:rsid w:val="007F69D7"/>
    <w:rsid w:val="007F6C4A"/>
    <w:rsid w:val="007F7718"/>
    <w:rsid w:val="007F7882"/>
    <w:rsid w:val="007F79F6"/>
    <w:rsid w:val="007F7C7B"/>
    <w:rsid w:val="008001F3"/>
    <w:rsid w:val="008004D8"/>
    <w:rsid w:val="008006A3"/>
    <w:rsid w:val="00800D4C"/>
    <w:rsid w:val="0080108E"/>
    <w:rsid w:val="00801412"/>
    <w:rsid w:val="008020B1"/>
    <w:rsid w:val="00802363"/>
    <w:rsid w:val="00803336"/>
    <w:rsid w:val="00803383"/>
    <w:rsid w:val="0080358A"/>
    <w:rsid w:val="00803EA6"/>
    <w:rsid w:val="00803F53"/>
    <w:rsid w:val="0080409C"/>
    <w:rsid w:val="008040A2"/>
    <w:rsid w:val="00804632"/>
    <w:rsid w:val="0080463A"/>
    <w:rsid w:val="00804FCE"/>
    <w:rsid w:val="00805453"/>
    <w:rsid w:val="008054D9"/>
    <w:rsid w:val="008056B3"/>
    <w:rsid w:val="00806688"/>
    <w:rsid w:val="0080742D"/>
    <w:rsid w:val="0080777A"/>
    <w:rsid w:val="00807A3E"/>
    <w:rsid w:val="00807BE1"/>
    <w:rsid w:val="00807D22"/>
    <w:rsid w:val="00810338"/>
    <w:rsid w:val="00810717"/>
    <w:rsid w:val="008107A7"/>
    <w:rsid w:val="008109C8"/>
    <w:rsid w:val="00810D70"/>
    <w:rsid w:val="00810E20"/>
    <w:rsid w:val="008113E9"/>
    <w:rsid w:val="00811771"/>
    <w:rsid w:val="00811A9A"/>
    <w:rsid w:val="00811CEB"/>
    <w:rsid w:val="00811F67"/>
    <w:rsid w:val="0081208C"/>
    <w:rsid w:val="00812166"/>
    <w:rsid w:val="00812282"/>
    <w:rsid w:val="0081373B"/>
    <w:rsid w:val="00813BB6"/>
    <w:rsid w:val="00813F03"/>
    <w:rsid w:val="00813F26"/>
    <w:rsid w:val="00813FE8"/>
    <w:rsid w:val="008148E4"/>
    <w:rsid w:val="00814C8D"/>
    <w:rsid w:val="00815390"/>
    <w:rsid w:val="008157F1"/>
    <w:rsid w:val="0081587F"/>
    <w:rsid w:val="00815948"/>
    <w:rsid w:val="00816928"/>
    <w:rsid w:val="00816D92"/>
    <w:rsid w:val="00816DAA"/>
    <w:rsid w:val="00816EC2"/>
    <w:rsid w:val="008177F1"/>
    <w:rsid w:val="00817A47"/>
    <w:rsid w:val="00817E86"/>
    <w:rsid w:val="00817FF6"/>
    <w:rsid w:val="0082025E"/>
    <w:rsid w:val="008202F7"/>
    <w:rsid w:val="00820A2E"/>
    <w:rsid w:val="008212F8"/>
    <w:rsid w:val="0082190E"/>
    <w:rsid w:val="0082191A"/>
    <w:rsid w:val="008219C4"/>
    <w:rsid w:val="00821E2D"/>
    <w:rsid w:val="00822264"/>
    <w:rsid w:val="008228D6"/>
    <w:rsid w:val="008229C8"/>
    <w:rsid w:val="00822CBE"/>
    <w:rsid w:val="00822E4A"/>
    <w:rsid w:val="00823057"/>
    <w:rsid w:val="00823231"/>
    <w:rsid w:val="008236E1"/>
    <w:rsid w:val="00823A58"/>
    <w:rsid w:val="00824148"/>
    <w:rsid w:val="00824458"/>
    <w:rsid w:val="0082448C"/>
    <w:rsid w:val="008247A2"/>
    <w:rsid w:val="008249F7"/>
    <w:rsid w:val="00824B74"/>
    <w:rsid w:val="00825305"/>
    <w:rsid w:val="0082555E"/>
    <w:rsid w:val="00825671"/>
    <w:rsid w:val="008258CB"/>
    <w:rsid w:val="00825ADE"/>
    <w:rsid w:val="00825B81"/>
    <w:rsid w:val="00825FFE"/>
    <w:rsid w:val="00826B12"/>
    <w:rsid w:val="00826C48"/>
    <w:rsid w:val="00826E32"/>
    <w:rsid w:val="00827027"/>
    <w:rsid w:val="00827280"/>
    <w:rsid w:val="0082747E"/>
    <w:rsid w:val="00827B25"/>
    <w:rsid w:val="00827B93"/>
    <w:rsid w:val="00827C29"/>
    <w:rsid w:val="00827CD5"/>
    <w:rsid w:val="0083012B"/>
    <w:rsid w:val="00830517"/>
    <w:rsid w:val="008305D7"/>
    <w:rsid w:val="00830779"/>
    <w:rsid w:val="00831038"/>
    <w:rsid w:val="00831143"/>
    <w:rsid w:val="00831497"/>
    <w:rsid w:val="0083161B"/>
    <w:rsid w:val="00831781"/>
    <w:rsid w:val="008318E5"/>
    <w:rsid w:val="00832349"/>
    <w:rsid w:val="0083280A"/>
    <w:rsid w:val="00832BEA"/>
    <w:rsid w:val="00832D4F"/>
    <w:rsid w:val="00832E17"/>
    <w:rsid w:val="0083309B"/>
    <w:rsid w:val="0083331C"/>
    <w:rsid w:val="00833D44"/>
    <w:rsid w:val="00833F95"/>
    <w:rsid w:val="00833FD1"/>
    <w:rsid w:val="008345EF"/>
    <w:rsid w:val="00834CD0"/>
    <w:rsid w:val="00835639"/>
    <w:rsid w:val="00835EC9"/>
    <w:rsid w:val="00835F07"/>
    <w:rsid w:val="00835F73"/>
    <w:rsid w:val="008361F7"/>
    <w:rsid w:val="008363C3"/>
    <w:rsid w:val="00836AA0"/>
    <w:rsid w:val="00836CA5"/>
    <w:rsid w:val="00837377"/>
    <w:rsid w:val="00837490"/>
    <w:rsid w:val="00837E12"/>
    <w:rsid w:val="00841388"/>
    <w:rsid w:val="00841EFB"/>
    <w:rsid w:val="00841F44"/>
    <w:rsid w:val="00841F6B"/>
    <w:rsid w:val="0084201B"/>
    <w:rsid w:val="00842133"/>
    <w:rsid w:val="008423A1"/>
    <w:rsid w:val="00842891"/>
    <w:rsid w:val="00842896"/>
    <w:rsid w:val="00842C82"/>
    <w:rsid w:val="00842CD9"/>
    <w:rsid w:val="00843548"/>
    <w:rsid w:val="0084366E"/>
    <w:rsid w:val="008436D7"/>
    <w:rsid w:val="00843AC5"/>
    <w:rsid w:val="00843B75"/>
    <w:rsid w:val="00843DE3"/>
    <w:rsid w:val="008440FE"/>
    <w:rsid w:val="0084424E"/>
    <w:rsid w:val="00844423"/>
    <w:rsid w:val="00844816"/>
    <w:rsid w:val="00844907"/>
    <w:rsid w:val="00844A0F"/>
    <w:rsid w:val="00844A64"/>
    <w:rsid w:val="00844FB4"/>
    <w:rsid w:val="008451D0"/>
    <w:rsid w:val="00845272"/>
    <w:rsid w:val="008452CF"/>
    <w:rsid w:val="008454D3"/>
    <w:rsid w:val="00845C98"/>
    <w:rsid w:val="00845F2B"/>
    <w:rsid w:val="00846119"/>
    <w:rsid w:val="0084628F"/>
    <w:rsid w:val="00846643"/>
    <w:rsid w:val="00846900"/>
    <w:rsid w:val="00846F69"/>
    <w:rsid w:val="0084721E"/>
    <w:rsid w:val="008474E3"/>
    <w:rsid w:val="00847CD0"/>
    <w:rsid w:val="00847F08"/>
    <w:rsid w:val="00850070"/>
    <w:rsid w:val="008500B0"/>
    <w:rsid w:val="0085028E"/>
    <w:rsid w:val="0085040A"/>
    <w:rsid w:val="00851936"/>
    <w:rsid w:val="00851942"/>
    <w:rsid w:val="008522EA"/>
    <w:rsid w:val="0085239E"/>
    <w:rsid w:val="008525B1"/>
    <w:rsid w:val="008527ED"/>
    <w:rsid w:val="00852F00"/>
    <w:rsid w:val="008530E1"/>
    <w:rsid w:val="008537F7"/>
    <w:rsid w:val="00853925"/>
    <w:rsid w:val="00853ADE"/>
    <w:rsid w:val="00853C89"/>
    <w:rsid w:val="00853D41"/>
    <w:rsid w:val="008541E0"/>
    <w:rsid w:val="00854337"/>
    <w:rsid w:val="00854546"/>
    <w:rsid w:val="008546BE"/>
    <w:rsid w:val="00854A91"/>
    <w:rsid w:val="00854C66"/>
    <w:rsid w:val="00855057"/>
    <w:rsid w:val="008550C8"/>
    <w:rsid w:val="008551FB"/>
    <w:rsid w:val="00855362"/>
    <w:rsid w:val="00855729"/>
    <w:rsid w:val="008558EA"/>
    <w:rsid w:val="00855C16"/>
    <w:rsid w:val="00855D8B"/>
    <w:rsid w:val="00856074"/>
    <w:rsid w:val="0085697E"/>
    <w:rsid w:val="00856ADD"/>
    <w:rsid w:val="00857298"/>
    <w:rsid w:val="00857410"/>
    <w:rsid w:val="00857576"/>
    <w:rsid w:val="00857949"/>
    <w:rsid w:val="00857B42"/>
    <w:rsid w:val="00857D58"/>
    <w:rsid w:val="008603EA"/>
    <w:rsid w:val="008608EB"/>
    <w:rsid w:val="00860E0B"/>
    <w:rsid w:val="00860EE9"/>
    <w:rsid w:val="00860FCD"/>
    <w:rsid w:val="0086129F"/>
    <w:rsid w:val="00861377"/>
    <w:rsid w:val="008613B2"/>
    <w:rsid w:val="00861E71"/>
    <w:rsid w:val="00862608"/>
    <w:rsid w:val="00862885"/>
    <w:rsid w:val="008628D8"/>
    <w:rsid w:val="008630AF"/>
    <w:rsid w:val="0086366B"/>
    <w:rsid w:val="0086389D"/>
    <w:rsid w:val="00863B1D"/>
    <w:rsid w:val="00863EF3"/>
    <w:rsid w:val="00864963"/>
    <w:rsid w:val="00864A23"/>
    <w:rsid w:val="00864ADD"/>
    <w:rsid w:val="00865068"/>
    <w:rsid w:val="008653C3"/>
    <w:rsid w:val="00865A37"/>
    <w:rsid w:val="00866D61"/>
    <w:rsid w:val="00866DE9"/>
    <w:rsid w:val="00867199"/>
    <w:rsid w:val="00867687"/>
    <w:rsid w:val="00867B3A"/>
    <w:rsid w:val="00867E9D"/>
    <w:rsid w:val="00870258"/>
    <w:rsid w:val="008705B8"/>
    <w:rsid w:val="00870719"/>
    <w:rsid w:val="0087090C"/>
    <w:rsid w:val="00870DFE"/>
    <w:rsid w:val="00870E8A"/>
    <w:rsid w:val="00870E9D"/>
    <w:rsid w:val="0087145E"/>
    <w:rsid w:val="0087181F"/>
    <w:rsid w:val="0087197D"/>
    <w:rsid w:val="008719C2"/>
    <w:rsid w:val="00871A00"/>
    <w:rsid w:val="00871D45"/>
    <w:rsid w:val="00871FA4"/>
    <w:rsid w:val="0087234C"/>
    <w:rsid w:val="0087275A"/>
    <w:rsid w:val="0087277A"/>
    <w:rsid w:val="00872862"/>
    <w:rsid w:val="00872A47"/>
    <w:rsid w:val="00872C67"/>
    <w:rsid w:val="00872E29"/>
    <w:rsid w:val="008731C4"/>
    <w:rsid w:val="008735D7"/>
    <w:rsid w:val="008736E2"/>
    <w:rsid w:val="00873D12"/>
    <w:rsid w:val="00873ECB"/>
    <w:rsid w:val="00874140"/>
    <w:rsid w:val="0087418A"/>
    <w:rsid w:val="00874383"/>
    <w:rsid w:val="008743A6"/>
    <w:rsid w:val="00874565"/>
    <w:rsid w:val="0087506A"/>
    <w:rsid w:val="008754BE"/>
    <w:rsid w:val="00875555"/>
    <w:rsid w:val="00875601"/>
    <w:rsid w:val="00875A1E"/>
    <w:rsid w:val="00875CD7"/>
    <w:rsid w:val="00875DEC"/>
    <w:rsid w:val="00875F97"/>
    <w:rsid w:val="00876D89"/>
    <w:rsid w:val="00877077"/>
    <w:rsid w:val="0087721F"/>
    <w:rsid w:val="00877247"/>
    <w:rsid w:val="0087741C"/>
    <w:rsid w:val="00877576"/>
    <w:rsid w:val="00877C3D"/>
    <w:rsid w:val="00877DA8"/>
    <w:rsid w:val="00877FFE"/>
    <w:rsid w:val="00880002"/>
    <w:rsid w:val="00880130"/>
    <w:rsid w:val="008801AE"/>
    <w:rsid w:val="008809C7"/>
    <w:rsid w:val="00880AA3"/>
    <w:rsid w:val="00880B13"/>
    <w:rsid w:val="00880C33"/>
    <w:rsid w:val="00880CC7"/>
    <w:rsid w:val="0088122E"/>
    <w:rsid w:val="008815A9"/>
    <w:rsid w:val="00881AE8"/>
    <w:rsid w:val="00882ADF"/>
    <w:rsid w:val="00883457"/>
    <w:rsid w:val="00883C94"/>
    <w:rsid w:val="0088421C"/>
    <w:rsid w:val="0088445B"/>
    <w:rsid w:val="008844D4"/>
    <w:rsid w:val="0088484D"/>
    <w:rsid w:val="008850FB"/>
    <w:rsid w:val="00885B10"/>
    <w:rsid w:val="00886196"/>
    <w:rsid w:val="008861C8"/>
    <w:rsid w:val="008863C0"/>
    <w:rsid w:val="00886FAF"/>
    <w:rsid w:val="0088701D"/>
    <w:rsid w:val="00887487"/>
    <w:rsid w:val="0088753C"/>
    <w:rsid w:val="00887659"/>
    <w:rsid w:val="00887C60"/>
    <w:rsid w:val="0089050B"/>
    <w:rsid w:val="008908D8"/>
    <w:rsid w:val="00890E11"/>
    <w:rsid w:val="00890F0F"/>
    <w:rsid w:val="008910AB"/>
    <w:rsid w:val="008912E0"/>
    <w:rsid w:val="008912E9"/>
    <w:rsid w:val="0089154B"/>
    <w:rsid w:val="008915EB"/>
    <w:rsid w:val="00891AF6"/>
    <w:rsid w:val="00891BC3"/>
    <w:rsid w:val="00891D07"/>
    <w:rsid w:val="0089279F"/>
    <w:rsid w:val="008927A8"/>
    <w:rsid w:val="00892AE5"/>
    <w:rsid w:val="00892D0E"/>
    <w:rsid w:val="00892D9A"/>
    <w:rsid w:val="00892F57"/>
    <w:rsid w:val="0089324A"/>
    <w:rsid w:val="00893276"/>
    <w:rsid w:val="00893342"/>
    <w:rsid w:val="008936F3"/>
    <w:rsid w:val="008937C8"/>
    <w:rsid w:val="00893905"/>
    <w:rsid w:val="00893BC3"/>
    <w:rsid w:val="00893BE3"/>
    <w:rsid w:val="00893F4F"/>
    <w:rsid w:val="0089436B"/>
    <w:rsid w:val="008949B8"/>
    <w:rsid w:val="00894C14"/>
    <w:rsid w:val="00894DB4"/>
    <w:rsid w:val="0089586A"/>
    <w:rsid w:val="0089613E"/>
    <w:rsid w:val="008961A8"/>
    <w:rsid w:val="008965DC"/>
    <w:rsid w:val="008967C4"/>
    <w:rsid w:val="00896803"/>
    <w:rsid w:val="00897660"/>
    <w:rsid w:val="0089782F"/>
    <w:rsid w:val="0089789A"/>
    <w:rsid w:val="00897C5F"/>
    <w:rsid w:val="008A0D2A"/>
    <w:rsid w:val="008A15B6"/>
    <w:rsid w:val="008A1693"/>
    <w:rsid w:val="008A19BD"/>
    <w:rsid w:val="008A1B38"/>
    <w:rsid w:val="008A1EEE"/>
    <w:rsid w:val="008A21AC"/>
    <w:rsid w:val="008A254F"/>
    <w:rsid w:val="008A25A0"/>
    <w:rsid w:val="008A2630"/>
    <w:rsid w:val="008A2A10"/>
    <w:rsid w:val="008A2BF4"/>
    <w:rsid w:val="008A2C60"/>
    <w:rsid w:val="008A2EAC"/>
    <w:rsid w:val="008A30B2"/>
    <w:rsid w:val="008A36B6"/>
    <w:rsid w:val="008A3795"/>
    <w:rsid w:val="008A390D"/>
    <w:rsid w:val="008A4511"/>
    <w:rsid w:val="008A4EA8"/>
    <w:rsid w:val="008A4FE0"/>
    <w:rsid w:val="008A5471"/>
    <w:rsid w:val="008A557B"/>
    <w:rsid w:val="008A5833"/>
    <w:rsid w:val="008A58BF"/>
    <w:rsid w:val="008A58E9"/>
    <w:rsid w:val="008A5A0F"/>
    <w:rsid w:val="008A5A9D"/>
    <w:rsid w:val="008A6447"/>
    <w:rsid w:val="008A6D13"/>
    <w:rsid w:val="008A6DE5"/>
    <w:rsid w:val="008A7212"/>
    <w:rsid w:val="008A7487"/>
    <w:rsid w:val="008A75F4"/>
    <w:rsid w:val="008A7647"/>
    <w:rsid w:val="008A7B80"/>
    <w:rsid w:val="008A7D0E"/>
    <w:rsid w:val="008A7E21"/>
    <w:rsid w:val="008B02D0"/>
    <w:rsid w:val="008B046E"/>
    <w:rsid w:val="008B07B7"/>
    <w:rsid w:val="008B0819"/>
    <w:rsid w:val="008B098E"/>
    <w:rsid w:val="008B0AEF"/>
    <w:rsid w:val="008B0E6E"/>
    <w:rsid w:val="008B10AC"/>
    <w:rsid w:val="008B1508"/>
    <w:rsid w:val="008B1CD5"/>
    <w:rsid w:val="008B2067"/>
    <w:rsid w:val="008B2743"/>
    <w:rsid w:val="008B3072"/>
    <w:rsid w:val="008B3A36"/>
    <w:rsid w:val="008B3A88"/>
    <w:rsid w:val="008B3E7C"/>
    <w:rsid w:val="008B4206"/>
    <w:rsid w:val="008B4355"/>
    <w:rsid w:val="008B4595"/>
    <w:rsid w:val="008B4770"/>
    <w:rsid w:val="008B4B5E"/>
    <w:rsid w:val="008B4BFC"/>
    <w:rsid w:val="008B5054"/>
    <w:rsid w:val="008B51B4"/>
    <w:rsid w:val="008B59FE"/>
    <w:rsid w:val="008B5B67"/>
    <w:rsid w:val="008B5D7A"/>
    <w:rsid w:val="008B63C5"/>
    <w:rsid w:val="008B66E3"/>
    <w:rsid w:val="008B6723"/>
    <w:rsid w:val="008B672D"/>
    <w:rsid w:val="008B6AE9"/>
    <w:rsid w:val="008B6FF5"/>
    <w:rsid w:val="008B72E2"/>
    <w:rsid w:val="008B761A"/>
    <w:rsid w:val="008B76F5"/>
    <w:rsid w:val="008B7848"/>
    <w:rsid w:val="008B79EC"/>
    <w:rsid w:val="008C01B2"/>
    <w:rsid w:val="008C0270"/>
    <w:rsid w:val="008C0385"/>
    <w:rsid w:val="008C06CA"/>
    <w:rsid w:val="008C0807"/>
    <w:rsid w:val="008C0D6E"/>
    <w:rsid w:val="008C110A"/>
    <w:rsid w:val="008C168F"/>
    <w:rsid w:val="008C16AA"/>
    <w:rsid w:val="008C1DFF"/>
    <w:rsid w:val="008C1E05"/>
    <w:rsid w:val="008C2246"/>
    <w:rsid w:val="008C2917"/>
    <w:rsid w:val="008C3166"/>
    <w:rsid w:val="008C34BB"/>
    <w:rsid w:val="008C3643"/>
    <w:rsid w:val="008C37AE"/>
    <w:rsid w:val="008C3BE7"/>
    <w:rsid w:val="008C4388"/>
    <w:rsid w:val="008C44D3"/>
    <w:rsid w:val="008C44DA"/>
    <w:rsid w:val="008C45E2"/>
    <w:rsid w:val="008C4C2C"/>
    <w:rsid w:val="008C4D4D"/>
    <w:rsid w:val="008C4D4E"/>
    <w:rsid w:val="008C4FF9"/>
    <w:rsid w:val="008C55A4"/>
    <w:rsid w:val="008C5A3A"/>
    <w:rsid w:val="008C609B"/>
    <w:rsid w:val="008C68F4"/>
    <w:rsid w:val="008C6E91"/>
    <w:rsid w:val="008C712D"/>
    <w:rsid w:val="008C7390"/>
    <w:rsid w:val="008C7BA7"/>
    <w:rsid w:val="008C7E59"/>
    <w:rsid w:val="008C7ECC"/>
    <w:rsid w:val="008D0247"/>
    <w:rsid w:val="008D027F"/>
    <w:rsid w:val="008D0C26"/>
    <w:rsid w:val="008D1164"/>
    <w:rsid w:val="008D1521"/>
    <w:rsid w:val="008D16CD"/>
    <w:rsid w:val="008D1825"/>
    <w:rsid w:val="008D1904"/>
    <w:rsid w:val="008D1BC9"/>
    <w:rsid w:val="008D1E97"/>
    <w:rsid w:val="008D20B5"/>
    <w:rsid w:val="008D2915"/>
    <w:rsid w:val="008D2A67"/>
    <w:rsid w:val="008D3726"/>
    <w:rsid w:val="008D3A5D"/>
    <w:rsid w:val="008D41A3"/>
    <w:rsid w:val="008D41A6"/>
    <w:rsid w:val="008D4274"/>
    <w:rsid w:val="008D43B5"/>
    <w:rsid w:val="008D4589"/>
    <w:rsid w:val="008D479B"/>
    <w:rsid w:val="008D4C88"/>
    <w:rsid w:val="008D4CB0"/>
    <w:rsid w:val="008D5144"/>
    <w:rsid w:val="008D567D"/>
    <w:rsid w:val="008D5F0D"/>
    <w:rsid w:val="008D6397"/>
    <w:rsid w:val="008D6663"/>
    <w:rsid w:val="008D6806"/>
    <w:rsid w:val="008D6E70"/>
    <w:rsid w:val="008D707C"/>
    <w:rsid w:val="008D73C9"/>
    <w:rsid w:val="008D741B"/>
    <w:rsid w:val="008D74DE"/>
    <w:rsid w:val="008D7629"/>
    <w:rsid w:val="008D7A28"/>
    <w:rsid w:val="008D7AD2"/>
    <w:rsid w:val="008D7C81"/>
    <w:rsid w:val="008D7D0D"/>
    <w:rsid w:val="008D7EF0"/>
    <w:rsid w:val="008E0C45"/>
    <w:rsid w:val="008E0EB2"/>
    <w:rsid w:val="008E136B"/>
    <w:rsid w:val="008E1433"/>
    <w:rsid w:val="008E1577"/>
    <w:rsid w:val="008E16BF"/>
    <w:rsid w:val="008E2220"/>
    <w:rsid w:val="008E2384"/>
    <w:rsid w:val="008E240A"/>
    <w:rsid w:val="008E25D4"/>
    <w:rsid w:val="008E28B3"/>
    <w:rsid w:val="008E3049"/>
    <w:rsid w:val="008E31BF"/>
    <w:rsid w:val="008E31D1"/>
    <w:rsid w:val="008E35A3"/>
    <w:rsid w:val="008E4B8D"/>
    <w:rsid w:val="008E4D1E"/>
    <w:rsid w:val="008E4E94"/>
    <w:rsid w:val="008E51B6"/>
    <w:rsid w:val="008E5358"/>
    <w:rsid w:val="008E54D0"/>
    <w:rsid w:val="008E57C1"/>
    <w:rsid w:val="008E58BA"/>
    <w:rsid w:val="008E6C4F"/>
    <w:rsid w:val="008E7274"/>
    <w:rsid w:val="008E7435"/>
    <w:rsid w:val="008E7C81"/>
    <w:rsid w:val="008F00F1"/>
    <w:rsid w:val="008F0158"/>
    <w:rsid w:val="008F0336"/>
    <w:rsid w:val="008F0338"/>
    <w:rsid w:val="008F0562"/>
    <w:rsid w:val="008F1005"/>
    <w:rsid w:val="008F1379"/>
    <w:rsid w:val="008F14C1"/>
    <w:rsid w:val="008F17ED"/>
    <w:rsid w:val="008F1CC4"/>
    <w:rsid w:val="008F1E12"/>
    <w:rsid w:val="008F24C0"/>
    <w:rsid w:val="008F24CA"/>
    <w:rsid w:val="008F260B"/>
    <w:rsid w:val="008F29B5"/>
    <w:rsid w:val="008F2FF8"/>
    <w:rsid w:val="008F3080"/>
    <w:rsid w:val="008F3D08"/>
    <w:rsid w:val="008F447A"/>
    <w:rsid w:val="008F4925"/>
    <w:rsid w:val="008F4990"/>
    <w:rsid w:val="008F4C9D"/>
    <w:rsid w:val="008F52C1"/>
    <w:rsid w:val="008F5863"/>
    <w:rsid w:val="008F5C6C"/>
    <w:rsid w:val="008F6029"/>
    <w:rsid w:val="008F6F56"/>
    <w:rsid w:val="008F7312"/>
    <w:rsid w:val="008F7454"/>
    <w:rsid w:val="008F765F"/>
    <w:rsid w:val="008F796D"/>
    <w:rsid w:val="008F7BA6"/>
    <w:rsid w:val="008F7DD4"/>
    <w:rsid w:val="009001E0"/>
    <w:rsid w:val="00900362"/>
    <w:rsid w:val="009005E1"/>
    <w:rsid w:val="00900801"/>
    <w:rsid w:val="00900A30"/>
    <w:rsid w:val="00900CC0"/>
    <w:rsid w:val="00900E3B"/>
    <w:rsid w:val="00900FA8"/>
    <w:rsid w:val="009013AE"/>
    <w:rsid w:val="00901627"/>
    <w:rsid w:val="00901A05"/>
    <w:rsid w:val="009020C3"/>
    <w:rsid w:val="009023AC"/>
    <w:rsid w:val="0090251F"/>
    <w:rsid w:val="00902586"/>
    <w:rsid w:val="009026D5"/>
    <w:rsid w:val="00902942"/>
    <w:rsid w:val="00902A13"/>
    <w:rsid w:val="00902ACF"/>
    <w:rsid w:val="00902FE1"/>
    <w:rsid w:val="00903423"/>
    <w:rsid w:val="00903606"/>
    <w:rsid w:val="00903828"/>
    <w:rsid w:val="00903EE4"/>
    <w:rsid w:val="009040BA"/>
    <w:rsid w:val="00904200"/>
    <w:rsid w:val="00904C58"/>
    <w:rsid w:val="00904C78"/>
    <w:rsid w:val="0090514F"/>
    <w:rsid w:val="0090538D"/>
    <w:rsid w:val="009056B1"/>
    <w:rsid w:val="0090582A"/>
    <w:rsid w:val="00905AAB"/>
    <w:rsid w:val="00906216"/>
    <w:rsid w:val="00906821"/>
    <w:rsid w:val="00906928"/>
    <w:rsid w:val="00906A90"/>
    <w:rsid w:val="00906E65"/>
    <w:rsid w:val="0090724D"/>
    <w:rsid w:val="009072F8"/>
    <w:rsid w:val="009073A7"/>
    <w:rsid w:val="009073DD"/>
    <w:rsid w:val="009077B7"/>
    <w:rsid w:val="00907ABB"/>
    <w:rsid w:val="009102CD"/>
    <w:rsid w:val="00910500"/>
    <w:rsid w:val="00910D47"/>
    <w:rsid w:val="009113CE"/>
    <w:rsid w:val="009114B8"/>
    <w:rsid w:val="009120C9"/>
    <w:rsid w:val="009120E2"/>
    <w:rsid w:val="009121A6"/>
    <w:rsid w:val="00912418"/>
    <w:rsid w:val="0091260B"/>
    <w:rsid w:val="00912716"/>
    <w:rsid w:val="00912A93"/>
    <w:rsid w:val="00912BAB"/>
    <w:rsid w:val="00912D2C"/>
    <w:rsid w:val="00912E49"/>
    <w:rsid w:val="00913DB6"/>
    <w:rsid w:val="0091435B"/>
    <w:rsid w:val="009143AC"/>
    <w:rsid w:val="009144D5"/>
    <w:rsid w:val="009148BB"/>
    <w:rsid w:val="00914CF9"/>
    <w:rsid w:val="00915306"/>
    <w:rsid w:val="0091578B"/>
    <w:rsid w:val="00915B53"/>
    <w:rsid w:val="00915C44"/>
    <w:rsid w:val="00915CED"/>
    <w:rsid w:val="00915F98"/>
    <w:rsid w:val="00915FA3"/>
    <w:rsid w:val="00916643"/>
    <w:rsid w:val="009167B4"/>
    <w:rsid w:val="00916C86"/>
    <w:rsid w:val="00916E6A"/>
    <w:rsid w:val="0091795F"/>
    <w:rsid w:val="00917B5E"/>
    <w:rsid w:val="00917D39"/>
    <w:rsid w:val="00917F7F"/>
    <w:rsid w:val="00920426"/>
    <w:rsid w:val="00920917"/>
    <w:rsid w:val="00920996"/>
    <w:rsid w:val="00920FCA"/>
    <w:rsid w:val="009217F8"/>
    <w:rsid w:val="00921959"/>
    <w:rsid w:val="009224E0"/>
    <w:rsid w:val="009226CA"/>
    <w:rsid w:val="00922AA9"/>
    <w:rsid w:val="00922C2A"/>
    <w:rsid w:val="00922C87"/>
    <w:rsid w:val="00922E24"/>
    <w:rsid w:val="00922F89"/>
    <w:rsid w:val="009237C5"/>
    <w:rsid w:val="009241F8"/>
    <w:rsid w:val="0092447A"/>
    <w:rsid w:val="0092470E"/>
    <w:rsid w:val="0092483F"/>
    <w:rsid w:val="00924A47"/>
    <w:rsid w:val="00924AE1"/>
    <w:rsid w:val="00925187"/>
    <w:rsid w:val="00925555"/>
    <w:rsid w:val="00925674"/>
    <w:rsid w:val="009259CD"/>
    <w:rsid w:val="00925B23"/>
    <w:rsid w:val="00925F39"/>
    <w:rsid w:val="009261D0"/>
    <w:rsid w:val="009261EB"/>
    <w:rsid w:val="0092620D"/>
    <w:rsid w:val="009266D6"/>
    <w:rsid w:val="00926883"/>
    <w:rsid w:val="00926F76"/>
    <w:rsid w:val="0092709C"/>
    <w:rsid w:val="009270AE"/>
    <w:rsid w:val="0092717F"/>
    <w:rsid w:val="00927478"/>
    <w:rsid w:val="009274EC"/>
    <w:rsid w:val="0092773C"/>
    <w:rsid w:val="00927744"/>
    <w:rsid w:val="00927B05"/>
    <w:rsid w:val="00930093"/>
    <w:rsid w:val="00930264"/>
    <w:rsid w:val="00930497"/>
    <w:rsid w:val="00930860"/>
    <w:rsid w:val="00930F4E"/>
    <w:rsid w:val="0093103D"/>
    <w:rsid w:val="00931145"/>
    <w:rsid w:val="009311A8"/>
    <w:rsid w:val="009320BF"/>
    <w:rsid w:val="009322C2"/>
    <w:rsid w:val="00932395"/>
    <w:rsid w:val="009323B5"/>
    <w:rsid w:val="00932CAF"/>
    <w:rsid w:val="00932D27"/>
    <w:rsid w:val="00933496"/>
    <w:rsid w:val="009334DB"/>
    <w:rsid w:val="00933523"/>
    <w:rsid w:val="00933EAD"/>
    <w:rsid w:val="00933F0B"/>
    <w:rsid w:val="009342BC"/>
    <w:rsid w:val="00934318"/>
    <w:rsid w:val="0093435C"/>
    <w:rsid w:val="0093447D"/>
    <w:rsid w:val="00934695"/>
    <w:rsid w:val="009348A0"/>
    <w:rsid w:val="00934A73"/>
    <w:rsid w:val="00934AE3"/>
    <w:rsid w:val="0093512F"/>
    <w:rsid w:val="00935181"/>
    <w:rsid w:val="00935A55"/>
    <w:rsid w:val="00935A77"/>
    <w:rsid w:val="00935E2C"/>
    <w:rsid w:val="00935ED5"/>
    <w:rsid w:val="00935FE3"/>
    <w:rsid w:val="00936062"/>
    <w:rsid w:val="009368B3"/>
    <w:rsid w:val="009368E9"/>
    <w:rsid w:val="009368FA"/>
    <w:rsid w:val="00936D19"/>
    <w:rsid w:val="00936E09"/>
    <w:rsid w:val="009371EA"/>
    <w:rsid w:val="0093783A"/>
    <w:rsid w:val="00937A61"/>
    <w:rsid w:val="00937CBE"/>
    <w:rsid w:val="00937E4E"/>
    <w:rsid w:val="00937E6A"/>
    <w:rsid w:val="0094000C"/>
    <w:rsid w:val="00940320"/>
    <w:rsid w:val="00941316"/>
    <w:rsid w:val="00941375"/>
    <w:rsid w:val="0094142A"/>
    <w:rsid w:val="0094150B"/>
    <w:rsid w:val="009415BE"/>
    <w:rsid w:val="00941D59"/>
    <w:rsid w:val="00942027"/>
    <w:rsid w:val="009426C0"/>
    <w:rsid w:val="0094277F"/>
    <w:rsid w:val="00942C39"/>
    <w:rsid w:val="00942CD5"/>
    <w:rsid w:val="00942E7F"/>
    <w:rsid w:val="00943224"/>
    <w:rsid w:val="00943444"/>
    <w:rsid w:val="00943705"/>
    <w:rsid w:val="00943843"/>
    <w:rsid w:val="009439B0"/>
    <w:rsid w:val="00943A9A"/>
    <w:rsid w:val="00943C24"/>
    <w:rsid w:val="00943E54"/>
    <w:rsid w:val="00944087"/>
    <w:rsid w:val="00944228"/>
    <w:rsid w:val="0094424B"/>
    <w:rsid w:val="00944254"/>
    <w:rsid w:val="00944712"/>
    <w:rsid w:val="0094474E"/>
    <w:rsid w:val="00944E74"/>
    <w:rsid w:val="00945064"/>
    <w:rsid w:val="00945646"/>
    <w:rsid w:val="009459DB"/>
    <w:rsid w:val="00945AB3"/>
    <w:rsid w:val="00945B3B"/>
    <w:rsid w:val="009467EC"/>
    <w:rsid w:val="00946D6D"/>
    <w:rsid w:val="00946DB7"/>
    <w:rsid w:val="00947062"/>
    <w:rsid w:val="0094739E"/>
    <w:rsid w:val="00947974"/>
    <w:rsid w:val="00947C17"/>
    <w:rsid w:val="00947F46"/>
    <w:rsid w:val="00950009"/>
    <w:rsid w:val="0095012E"/>
    <w:rsid w:val="009507FB"/>
    <w:rsid w:val="00950CFB"/>
    <w:rsid w:val="00951124"/>
    <w:rsid w:val="0095145E"/>
    <w:rsid w:val="00951934"/>
    <w:rsid w:val="00951940"/>
    <w:rsid w:val="00951A94"/>
    <w:rsid w:val="00951DBF"/>
    <w:rsid w:val="00952068"/>
    <w:rsid w:val="0095207B"/>
    <w:rsid w:val="009529EA"/>
    <w:rsid w:val="00952B31"/>
    <w:rsid w:val="009535FF"/>
    <w:rsid w:val="00954191"/>
    <w:rsid w:val="00954514"/>
    <w:rsid w:val="009547CA"/>
    <w:rsid w:val="00954869"/>
    <w:rsid w:val="00954B7B"/>
    <w:rsid w:val="00954C58"/>
    <w:rsid w:val="00954C8C"/>
    <w:rsid w:val="00954D39"/>
    <w:rsid w:val="00955125"/>
    <w:rsid w:val="009556E9"/>
    <w:rsid w:val="00955AC9"/>
    <w:rsid w:val="00955E05"/>
    <w:rsid w:val="00955E2A"/>
    <w:rsid w:val="00955F57"/>
    <w:rsid w:val="0095601B"/>
    <w:rsid w:val="009561F6"/>
    <w:rsid w:val="00956569"/>
    <w:rsid w:val="00956986"/>
    <w:rsid w:val="00956ACE"/>
    <w:rsid w:val="00956B3F"/>
    <w:rsid w:val="00956BBE"/>
    <w:rsid w:val="00956BEE"/>
    <w:rsid w:val="00956D0D"/>
    <w:rsid w:val="00956F55"/>
    <w:rsid w:val="00956F67"/>
    <w:rsid w:val="009572A0"/>
    <w:rsid w:val="009575E4"/>
    <w:rsid w:val="0095762D"/>
    <w:rsid w:val="009578F2"/>
    <w:rsid w:val="00957D06"/>
    <w:rsid w:val="00957D24"/>
    <w:rsid w:val="00960AC7"/>
    <w:rsid w:val="00960C08"/>
    <w:rsid w:val="00960DCF"/>
    <w:rsid w:val="00960E08"/>
    <w:rsid w:val="00960E5C"/>
    <w:rsid w:val="00960E9F"/>
    <w:rsid w:val="00961351"/>
    <w:rsid w:val="009615B4"/>
    <w:rsid w:val="009616A5"/>
    <w:rsid w:val="00961752"/>
    <w:rsid w:val="00961756"/>
    <w:rsid w:val="009617B9"/>
    <w:rsid w:val="0096183B"/>
    <w:rsid w:val="00961ACC"/>
    <w:rsid w:val="00961B53"/>
    <w:rsid w:val="00961DF1"/>
    <w:rsid w:val="00962117"/>
    <w:rsid w:val="009624A6"/>
    <w:rsid w:val="0096264B"/>
    <w:rsid w:val="00962C69"/>
    <w:rsid w:val="00963159"/>
    <w:rsid w:val="00963264"/>
    <w:rsid w:val="0096366C"/>
    <w:rsid w:val="009637D4"/>
    <w:rsid w:val="0096389D"/>
    <w:rsid w:val="009639DA"/>
    <w:rsid w:val="00963FBB"/>
    <w:rsid w:val="0096411C"/>
    <w:rsid w:val="00964160"/>
    <w:rsid w:val="00964659"/>
    <w:rsid w:val="00964765"/>
    <w:rsid w:val="00964E10"/>
    <w:rsid w:val="00965AE9"/>
    <w:rsid w:val="009662C2"/>
    <w:rsid w:val="00966338"/>
    <w:rsid w:val="00966602"/>
    <w:rsid w:val="00966C92"/>
    <w:rsid w:val="009674C9"/>
    <w:rsid w:val="009676C0"/>
    <w:rsid w:val="009678C0"/>
    <w:rsid w:val="00967CBC"/>
    <w:rsid w:val="009701BE"/>
    <w:rsid w:val="009703D5"/>
    <w:rsid w:val="009705BB"/>
    <w:rsid w:val="009707D4"/>
    <w:rsid w:val="009709C8"/>
    <w:rsid w:val="009709D2"/>
    <w:rsid w:val="00970C37"/>
    <w:rsid w:val="00970CD3"/>
    <w:rsid w:val="009710FE"/>
    <w:rsid w:val="009719E2"/>
    <w:rsid w:val="00971A79"/>
    <w:rsid w:val="00971CC4"/>
    <w:rsid w:val="0097274D"/>
    <w:rsid w:val="0097294D"/>
    <w:rsid w:val="009729D3"/>
    <w:rsid w:val="00972BAB"/>
    <w:rsid w:val="00972E67"/>
    <w:rsid w:val="009734FA"/>
    <w:rsid w:val="00973729"/>
    <w:rsid w:val="009738E7"/>
    <w:rsid w:val="00973A09"/>
    <w:rsid w:val="00974610"/>
    <w:rsid w:val="00974728"/>
    <w:rsid w:val="00974A57"/>
    <w:rsid w:val="00974C61"/>
    <w:rsid w:val="00974C91"/>
    <w:rsid w:val="009756B0"/>
    <w:rsid w:val="00976095"/>
    <w:rsid w:val="00976172"/>
    <w:rsid w:val="009763E4"/>
    <w:rsid w:val="00976841"/>
    <w:rsid w:val="009768DB"/>
    <w:rsid w:val="00976C93"/>
    <w:rsid w:val="00976CC9"/>
    <w:rsid w:val="00976D44"/>
    <w:rsid w:val="00976D9C"/>
    <w:rsid w:val="00976E20"/>
    <w:rsid w:val="00977DB1"/>
    <w:rsid w:val="00977FBF"/>
    <w:rsid w:val="009801FB"/>
    <w:rsid w:val="009802CE"/>
    <w:rsid w:val="009803A9"/>
    <w:rsid w:val="009803CB"/>
    <w:rsid w:val="009803D4"/>
    <w:rsid w:val="00980675"/>
    <w:rsid w:val="009807A2"/>
    <w:rsid w:val="00980ABE"/>
    <w:rsid w:val="00980B67"/>
    <w:rsid w:val="00981374"/>
    <w:rsid w:val="00981866"/>
    <w:rsid w:val="0098199C"/>
    <w:rsid w:val="009825FC"/>
    <w:rsid w:val="00983390"/>
    <w:rsid w:val="009840B6"/>
    <w:rsid w:val="009841B8"/>
    <w:rsid w:val="00984391"/>
    <w:rsid w:val="00984490"/>
    <w:rsid w:val="0098460A"/>
    <w:rsid w:val="009848E2"/>
    <w:rsid w:val="00984977"/>
    <w:rsid w:val="00984D2E"/>
    <w:rsid w:val="00985472"/>
    <w:rsid w:val="00985EF0"/>
    <w:rsid w:val="0098649E"/>
    <w:rsid w:val="00986CF4"/>
    <w:rsid w:val="00986D8F"/>
    <w:rsid w:val="00986F24"/>
    <w:rsid w:val="00987127"/>
    <w:rsid w:val="009873F3"/>
    <w:rsid w:val="0098748B"/>
    <w:rsid w:val="0098791A"/>
    <w:rsid w:val="00987AA9"/>
    <w:rsid w:val="00987C64"/>
    <w:rsid w:val="00987CA8"/>
    <w:rsid w:val="00987CFB"/>
    <w:rsid w:val="00987DE0"/>
    <w:rsid w:val="00990319"/>
    <w:rsid w:val="0099088A"/>
    <w:rsid w:val="00991CC5"/>
    <w:rsid w:val="00992588"/>
    <w:rsid w:val="00992FC1"/>
    <w:rsid w:val="00993394"/>
    <w:rsid w:val="0099369B"/>
    <w:rsid w:val="009939ED"/>
    <w:rsid w:val="00993A96"/>
    <w:rsid w:val="00994581"/>
    <w:rsid w:val="00995562"/>
    <w:rsid w:val="0099576B"/>
    <w:rsid w:val="009957A8"/>
    <w:rsid w:val="0099593C"/>
    <w:rsid w:val="00995C5D"/>
    <w:rsid w:val="00995E98"/>
    <w:rsid w:val="0099614D"/>
    <w:rsid w:val="00996464"/>
    <w:rsid w:val="00996EE0"/>
    <w:rsid w:val="00996F15"/>
    <w:rsid w:val="009974C4"/>
    <w:rsid w:val="009976F3"/>
    <w:rsid w:val="00997925"/>
    <w:rsid w:val="00997BA8"/>
    <w:rsid w:val="00997DDF"/>
    <w:rsid w:val="009A022E"/>
    <w:rsid w:val="009A068F"/>
    <w:rsid w:val="009A06F4"/>
    <w:rsid w:val="009A0929"/>
    <w:rsid w:val="009A120D"/>
    <w:rsid w:val="009A1301"/>
    <w:rsid w:val="009A184C"/>
    <w:rsid w:val="009A1A2C"/>
    <w:rsid w:val="009A1DD4"/>
    <w:rsid w:val="009A1E2F"/>
    <w:rsid w:val="009A306E"/>
    <w:rsid w:val="009A3406"/>
    <w:rsid w:val="009A3419"/>
    <w:rsid w:val="009A3517"/>
    <w:rsid w:val="009A3778"/>
    <w:rsid w:val="009A3D29"/>
    <w:rsid w:val="009A3E2E"/>
    <w:rsid w:val="009A4522"/>
    <w:rsid w:val="009A46C2"/>
    <w:rsid w:val="009A4C31"/>
    <w:rsid w:val="009A4C83"/>
    <w:rsid w:val="009A5177"/>
    <w:rsid w:val="009A573B"/>
    <w:rsid w:val="009A5C0F"/>
    <w:rsid w:val="009A60B0"/>
    <w:rsid w:val="009A6988"/>
    <w:rsid w:val="009A6A54"/>
    <w:rsid w:val="009A6BF0"/>
    <w:rsid w:val="009A6CA3"/>
    <w:rsid w:val="009A701C"/>
    <w:rsid w:val="009A7370"/>
    <w:rsid w:val="009A7DCA"/>
    <w:rsid w:val="009A7E5C"/>
    <w:rsid w:val="009A7F34"/>
    <w:rsid w:val="009B002D"/>
    <w:rsid w:val="009B026E"/>
    <w:rsid w:val="009B0BA4"/>
    <w:rsid w:val="009B0E84"/>
    <w:rsid w:val="009B118D"/>
    <w:rsid w:val="009B126B"/>
    <w:rsid w:val="009B16DE"/>
    <w:rsid w:val="009B1A0A"/>
    <w:rsid w:val="009B1E17"/>
    <w:rsid w:val="009B1F59"/>
    <w:rsid w:val="009B2245"/>
    <w:rsid w:val="009B258E"/>
    <w:rsid w:val="009B3524"/>
    <w:rsid w:val="009B3820"/>
    <w:rsid w:val="009B3A14"/>
    <w:rsid w:val="009B3A23"/>
    <w:rsid w:val="009B3A6A"/>
    <w:rsid w:val="009B3D66"/>
    <w:rsid w:val="009B41D9"/>
    <w:rsid w:val="009B5996"/>
    <w:rsid w:val="009B5997"/>
    <w:rsid w:val="009B5B71"/>
    <w:rsid w:val="009B5C29"/>
    <w:rsid w:val="009B5E5A"/>
    <w:rsid w:val="009B650B"/>
    <w:rsid w:val="009B6704"/>
    <w:rsid w:val="009B6AFF"/>
    <w:rsid w:val="009B6B23"/>
    <w:rsid w:val="009B6CD5"/>
    <w:rsid w:val="009B6D15"/>
    <w:rsid w:val="009B76FF"/>
    <w:rsid w:val="009B7ABD"/>
    <w:rsid w:val="009C001C"/>
    <w:rsid w:val="009C017C"/>
    <w:rsid w:val="009C02FF"/>
    <w:rsid w:val="009C0780"/>
    <w:rsid w:val="009C094C"/>
    <w:rsid w:val="009C145B"/>
    <w:rsid w:val="009C147A"/>
    <w:rsid w:val="009C15C9"/>
    <w:rsid w:val="009C1D27"/>
    <w:rsid w:val="009C1DDC"/>
    <w:rsid w:val="009C28F4"/>
    <w:rsid w:val="009C2F0A"/>
    <w:rsid w:val="009C3BD9"/>
    <w:rsid w:val="009C410F"/>
    <w:rsid w:val="009C42AF"/>
    <w:rsid w:val="009C46D5"/>
    <w:rsid w:val="009C4F32"/>
    <w:rsid w:val="009C4F5B"/>
    <w:rsid w:val="009C553D"/>
    <w:rsid w:val="009C556F"/>
    <w:rsid w:val="009C5B82"/>
    <w:rsid w:val="009C5BAB"/>
    <w:rsid w:val="009C5E5B"/>
    <w:rsid w:val="009C5FC3"/>
    <w:rsid w:val="009C63FE"/>
    <w:rsid w:val="009C6813"/>
    <w:rsid w:val="009C68D5"/>
    <w:rsid w:val="009C6924"/>
    <w:rsid w:val="009C6930"/>
    <w:rsid w:val="009C695B"/>
    <w:rsid w:val="009C6AF5"/>
    <w:rsid w:val="009C6CF2"/>
    <w:rsid w:val="009C756E"/>
    <w:rsid w:val="009C7B9C"/>
    <w:rsid w:val="009D03E7"/>
    <w:rsid w:val="009D04AF"/>
    <w:rsid w:val="009D19A6"/>
    <w:rsid w:val="009D1ED1"/>
    <w:rsid w:val="009D21BE"/>
    <w:rsid w:val="009D2714"/>
    <w:rsid w:val="009D3129"/>
    <w:rsid w:val="009D3343"/>
    <w:rsid w:val="009D35B9"/>
    <w:rsid w:val="009D391D"/>
    <w:rsid w:val="009D3C3D"/>
    <w:rsid w:val="009D3C57"/>
    <w:rsid w:val="009D3F53"/>
    <w:rsid w:val="009D3FF8"/>
    <w:rsid w:val="009D41C8"/>
    <w:rsid w:val="009D4201"/>
    <w:rsid w:val="009D44B5"/>
    <w:rsid w:val="009D4B16"/>
    <w:rsid w:val="009D4F48"/>
    <w:rsid w:val="009D5288"/>
    <w:rsid w:val="009D53C1"/>
    <w:rsid w:val="009D55A2"/>
    <w:rsid w:val="009D62EF"/>
    <w:rsid w:val="009D660C"/>
    <w:rsid w:val="009D725A"/>
    <w:rsid w:val="009D7378"/>
    <w:rsid w:val="009D76E5"/>
    <w:rsid w:val="009D7D51"/>
    <w:rsid w:val="009E0370"/>
    <w:rsid w:val="009E071F"/>
    <w:rsid w:val="009E0CC6"/>
    <w:rsid w:val="009E12E9"/>
    <w:rsid w:val="009E13AB"/>
    <w:rsid w:val="009E14EB"/>
    <w:rsid w:val="009E1900"/>
    <w:rsid w:val="009E1D12"/>
    <w:rsid w:val="009E2481"/>
    <w:rsid w:val="009E2761"/>
    <w:rsid w:val="009E27AA"/>
    <w:rsid w:val="009E2AD3"/>
    <w:rsid w:val="009E2BC6"/>
    <w:rsid w:val="009E2E11"/>
    <w:rsid w:val="009E2E44"/>
    <w:rsid w:val="009E2FCB"/>
    <w:rsid w:val="009E3151"/>
    <w:rsid w:val="009E33ED"/>
    <w:rsid w:val="009E35E6"/>
    <w:rsid w:val="009E3C12"/>
    <w:rsid w:val="009E3D4A"/>
    <w:rsid w:val="009E3DAF"/>
    <w:rsid w:val="009E3DC2"/>
    <w:rsid w:val="009E3F97"/>
    <w:rsid w:val="009E40CE"/>
    <w:rsid w:val="009E47E5"/>
    <w:rsid w:val="009E5690"/>
    <w:rsid w:val="009E5799"/>
    <w:rsid w:val="009E5ABE"/>
    <w:rsid w:val="009E5FF3"/>
    <w:rsid w:val="009E600E"/>
    <w:rsid w:val="009E63DE"/>
    <w:rsid w:val="009E7002"/>
    <w:rsid w:val="009E728B"/>
    <w:rsid w:val="009E7467"/>
    <w:rsid w:val="009E74EE"/>
    <w:rsid w:val="009E75AF"/>
    <w:rsid w:val="009E7FA9"/>
    <w:rsid w:val="009F0280"/>
    <w:rsid w:val="009F0E2C"/>
    <w:rsid w:val="009F0E40"/>
    <w:rsid w:val="009F0E5C"/>
    <w:rsid w:val="009F146F"/>
    <w:rsid w:val="009F1598"/>
    <w:rsid w:val="009F17C7"/>
    <w:rsid w:val="009F1FC1"/>
    <w:rsid w:val="009F241C"/>
    <w:rsid w:val="009F29CB"/>
    <w:rsid w:val="009F2BD3"/>
    <w:rsid w:val="009F2E95"/>
    <w:rsid w:val="009F3232"/>
    <w:rsid w:val="009F32EA"/>
    <w:rsid w:val="009F375C"/>
    <w:rsid w:val="009F3C75"/>
    <w:rsid w:val="009F444E"/>
    <w:rsid w:val="009F45F2"/>
    <w:rsid w:val="009F4B05"/>
    <w:rsid w:val="009F4C88"/>
    <w:rsid w:val="009F68BE"/>
    <w:rsid w:val="009F6912"/>
    <w:rsid w:val="009F6E06"/>
    <w:rsid w:val="009F6F4C"/>
    <w:rsid w:val="009F7866"/>
    <w:rsid w:val="009F7DCD"/>
    <w:rsid w:val="00A0016A"/>
    <w:rsid w:val="00A001E2"/>
    <w:rsid w:val="00A00268"/>
    <w:rsid w:val="00A0037E"/>
    <w:rsid w:val="00A00A00"/>
    <w:rsid w:val="00A0126C"/>
    <w:rsid w:val="00A01303"/>
    <w:rsid w:val="00A020D1"/>
    <w:rsid w:val="00A02966"/>
    <w:rsid w:val="00A02C4F"/>
    <w:rsid w:val="00A02CAD"/>
    <w:rsid w:val="00A03BA6"/>
    <w:rsid w:val="00A03E04"/>
    <w:rsid w:val="00A03E7D"/>
    <w:rsid w:val="00A0474F"/>
    <w:rsid w:val="00A04A01"/>
    <w:rsid w:val="00A04A09"/>
    <w:rsid w:val="00A04BA3"/>
    <w:rsid w:val="00A051D1"/>
    <w:rsid w:val="00A05287"/>
    <w:rsid w:val="00A0543A"/>
    <w:rsid w:val="00A05821"/>
    <w:rsid w:val="00A05857"/>
    <w:rsid w:val="00A05D1D"/>
    <w:rsid w:val="00A05EA2"/>
    <w:rsid w:val="00A064D4"/>
    <w:rsid w:val="00A0709D"/>
    <w:rsid w:val="00A074E0"/>
    <w:rsid w:val="00A07560"/>
    <w:rsid w:val="00A076CC"/>
    <w:rsid w:val="00A07861"/>
    <w:rsid w:val="00A1018C"/>
    <w:rsid w:val="00A103F9"/>
    <w:rsid w:val="00A10768"/>
    <w:rsid w:val="00A10BC8"/>
    <w:rsid w:val="00A10BE2"/>
    <w:rsid w:val="00A10EA0"/>
    <w:rsid w:val="00A110EF"/>
    <w:rsid w:val="00A112EC"/>
    <w:rsid w:val="00A1145C"/>
    <w:rsid w:val="00A1165C"/>
    <w:rsid w:val="00A11947"/>
    <w:rsid w:val="00A11B2B"/>
    <w:rsid w:val="00A121BA"/>
    <w:rsid w:val="00A125D6"/>
    <w:rsid w:val="00A12FDA"/>
    <w:rsid w:val="00A1362B"/>
    <w:rsid w:val="00A1382F"/>
    <w:rsid w:val="00A139C7"/>
    <w:rsid w:val="00A13C50"/>
    <w:rsid w:val="00A13EB7"/>
    <w:rsid w:val="00A1439C"/>
    <w:rsid w:val="00A144BC"/>
    <w:rsid w:val="00A14A52"/>
    <w:rsid w:val="00A14E53"/>
    <w:rsid w:val="00A15199"/>
    <w:rsid w:val="00A154DE"/>
    <w:rsid w:val="00A15580"/>
    <w:rsid w:val="00A160F1"/>
    <w:rsid w:val="00A160FC"/>
    <w:rsid w:val="00A16449"/>
    <w:rsid w:val="00A16605"/>
    <w:rsid w:val="00A166DD"/>
    <w:rsid w:val="00A169FC"/>
    <w:rsid w:val="00A16E05"/>
    <w:rsid w:val="00A171B9"/>
    <w:rsid w:val="00A171FC"/>
    <w:rsid w:val="00A1747A"/>
    <w:rsid w:val="00A17612"/>
    <w:rsid w:val="00A178D3"/>
    <w:rsid w:val="00A179F2"/>
    <w:rsid w:val="00A17FEF"/>
    <w:rsid w:val="00A20058"/>
    <w:rsid w:val="00A20059"/>
    <w:rsid w:val="00A20165"/>
    <w:rsid w:val="00A202A1"/>
    <w:rsid w:val="00A203E2"/>
    <w:rsid w:val="00A2049C"/>
    <w:rsid w:val="00A20565"/>
    <w:rsid w:val="00A20741"/>
    <w:rsid w:val="00A20DFF"/>
    <w:rsid w:val="00A20FC7"/>
    <w:rsid w:val="00A210E8"/>
    <w:rsid w:val="00A2111F"/>
    <w:rsid w:val="00A2188A"/>
    <w:rsid w:val="00A21FD7"/>
    <w:rsid w:val="00A227EA"/>
    <w:rsid w:val="00A22A02"/>
    <w:rsid w:val="00A22DCA"/>
    <w:rsid w:val="00A22EFC"/>
    <w:rsid w:val="00A233C0"/>
    <w:rsid w:val="00A2369A"/>
    <w:rsid w:val="00A2369B"/>
    <w:rsid w:val="00A236FC"/>
    <w:rsid w:val="00A23C5F"/>
    <w:rsid w:val="00A23CD7"/>
    <w:rsid w:val="00A24A99"/>
    <w:rsid w:val="00A24AE5"/>
    <w:rsid w:val="00A24EBB"/>
    <w:rsid w:val="00A24EFE"/>
    <w:rsid w:val="00A25270"/>
    <w:rsid w:val="00A2573E"/>
    <w:rsid w:val="00A257C0"/>
    <w:rsid w:val="00A25A57"/>
    <w:rsid w:val="00A26389"/>
    <w:rsid w:val="00A2661A"/>
    <w:rsid w:val="00A2670C"/>
    <w:rsid w:val="00A267D0"/>
    <w:rsid w:val="00A268F2"/>
    <w:rsid w:val="00A269AA"/>
    <w:rsid w:val="00A269AC"/>
    <w:rsid w:val="00A26CA2"/>
    <w:rsid w:val="00A26DFE"/>
    <w:rsid w:val="00A275EA"/>
    <w:rsid w:val="00A27E8E"/>
    <w:rsid w:val="00A27EDD"/>
    <w:rsid w:val="00A27F45"/>
    <w:rsid w:val="00A30254"/>
    <w:rsid w:val="00A303B8"/>
    <w:rsid w:val="00A30495"/>
    <w:rsid w:val="00A30872"/>
    <w:rsid w:val="00A30C1A"/>
    <w:rsid w:val="00A30CE6"/>
    <w:rsid w:val="00A30E13"/>
    <w:rsid w:val="00A314D7"/>
    <w:rsid w:val="00A319F2"/>
    <w:rsid w:val="00A3222C"/>
    <w:rsid w:val="00A325DF"/>
    <w:rsid w:val="00A32DE5"/>
    <w:rsid w:val="00A33062"/>
    <w:rsid w:val="00A33549"/>
    <w:rsid w:val="00A337D7"/>
    <w:rsid w:val="00A33FA6"/>
    <w:rsid w:val="00A34244"/>
    <w:rsid w:val="00A344D8"/>
    <w:rsid w:val="00A34735"/>
    <w:rsid w:val="00A35013"/>
    <w:rsid w:val="00A35350"/>
    <w:rsid w:val="00A355F5"/>
    <w:rsid w:val="00A356AA"/>
    <w:rsid w:val="00A35765"/>
    <w:rsid w:val="00A357EE"/>
    <w:rsid w:val="00A3580E"/>
    <w:rsid w:val="00A35909"/>
    <w:rsid w:val="00A35C24"/>
    <w:rsid w:val="00A35DDA"/>
    <w:rsid w:val="00A36195"/>
    <w:rsid w:val="00A361C3"/>
    <w:rsid w:val="00A3690A"/>
    <w:rsid w:val="00A36A9C"/>
    <w:rsid w:val="00A37973"/>
    <w:rsid w:val="00A4076E"/>
    <w:rsid w:val="00A40DF7"/>
    <w:rsid w:val="00A41056"/>
    <w:rsid w:val="00A411FA"/>
    <w:rsid w:val="00A41B07"/>
    <w:rsid w:val="00A41B9D"/>
    <w:rsid w:val="00A41D56"/>
    <w:rsid w:val="00A42624"/>
    <w:rsid w:val="00A4288E"/>
    <w:rsid w:val="00A42DA5"/>
    <w:rsid w:val="00A42F4D"/>
    <w:rsid w:val="00A4313F"/>
    <w:rsid w:val="00A43478"/>
    <w:rsid w:val="00A4361D"/>
    <w:rsid w:val="00A43755"/>
    <w:rsid w:val="00A438CC"/>
    <w:rsid w:val="00A43E8F"/>
    <w:rsid w:val="00A44059"/>
    <w:rsid w:val="00A4436D"/>
    <w:rsid w:val="00A444E8"/>
    <w:rsid w:val="00A445FC"/>
    <w:rsid w:val="00A4484B"/>
    <w:rsid w:val="00A44B22"/>
    <w:rsid w:val="00A44CBB"/>
    <w:rsid w:val="00A44EC1"/>
    <w:rsid w:val="00A4545E"/>
    <w:rsid w:val="00A454B3"/>
    <w:rsid w:val="00A454B8"/>
    <w:rsid w:val="00A45735"/>
    <w:rsid w:val="00A457C9"/>
    <w:rsid w:val="00A45921"/>
    <w:rsid w:val="00A45B06"/>
    <w:rsid w:val="00A45D55"/>
    <w:rsid w:val="00A45E52"/>
    <w:rsid w:val="00A45F91"/>
    <w:rsid w:val="00A4603E"/>
    <w:rsid w:val="00A4611A"/>
    <w:rsid w:val="00A46440"/>
    <w:rsid w:val="00A46652"/>
    <w:rsid w:val="00A46D15"/>
    <w:rsid w:val="00A47032"/>
    <w:rsid w:val="00A4713D"/>
    <w:rsid w:val="00A47179"/>
    <w:rsid w:val="00A473AF"/>
    <w:rsid w:val="00A474E1"/>
    <w:rsid w:val="00A47528"/>
    <w:rsid w:val="00A4760A"/>
    <w:rsid w:val="00A47669"/>
    <w:rsid w:val="00A477D0"/>
    <w:rsid w:val="00A47A50"/>
    <w:rsid w:val="00A47D0E"/>
    <w:rsid w:val="00A5005E"/>
    <w:rsid w:val="00A502F2"/>
    <w:rsid w:val="00A504D8"/>
    <w:rsid w:val="00A50C7F"/>
    <w:rsid w:val="00A50E29"/>
    <w:rsid w:val="00A511D1"/>
    <w:rsid w:val="00A511E9"/>
    <w:rsid w:val="00A51661"/>
    <w:rsid w:val="00A51F96"/>
    <w:rsid w:val="00A5214F"/>
    <w:rsid w:val="00A52C94"/>
    <w:rsid w:val="00A52D86"/>
    <w:rsid w:val="00A5323B"/>
    <w:rsid w:val="00A53ADF"/>
    <w:rsid w:val="00A54116"/>
    <w:rsid w:val="00A541E1"/>
    <w:rsid w:val="00A549BF"/>
    <w:rsid w:val="00A54FB4"/>
    <w:rsid w:val="00A55530"/>
    <w:rsid w:val="00A55B21"/>
    <w:rsid w:val="00A55DA0"/>
    <w:rsid w:val="00A5619D"/>
    <w:rsid w:val="00A5629F"/>
    <w:rsid w:val="00A562E7"/>
    <w:rsid w:val="00A56952"/>
    <w:rsid w:val="00A569BE"/>
    <w:rsid w:val="00A56B67"/>
    <w:rsid w:val="00A56DE0"/>
    <w:rsid w:val="00A57333"/>
    <w:rsid w:val="00A57728"/>
    <w:rsid w:val="00A57A50"/>
    <w:rsid w:val="00A57A5D"/>
    <w:rsid w:val="00A57B57"/>
    <w:rsid w:val="00A57C27"/>
    <w:rsid w:val="00A57D07"/>
    <w:rsid w:val="00A57E5E"/>
    <w:rsid w:val="00A60CD0"/>
    <w:rsid w:val="00A60DF5"/>
    <w:rsid w:val="00A61029"/>
    <w:rsid w:val="00A616E8"/>
    <w:rsid w:val="00A61D9C"/>
    <w:rsid w:val="00A62B9F"/>
    <w:rsid w:val="00A62F65"/>
    <w:rsid w:val="00A630F0"/>
    <w:rsid w:val="00A63B42"/>
    <w:rsid w:val="00A63C18"/>
    <w:rsid w:val="00A6423D"/>
    <w:rsid w:val="00A64609"/>
    <w:rsid w:val="00A64756"/>
    <w:rsid w:val="00A650CB"/>
    <w:rsid w:val="00A65CEF"/>
    <w:rsid w:val="00A65EDB"/>
    <w:rsid w:val="00A66106"/>
    <w:rsid w:val="00A662A7"/>
    <w:rsid w:val="00A662DC"/>
    <w:rsid w:val="00A66E94"/>
    <w:rsid w:val="00A671A4"/>
    <w:rsid w:val="00A6741B"/>
    <w:rsid w:val="00A676E0"/>
    <w:rsid w:val="00A67755"/>
    <w:rsid w:val="00A67BD7"/>
    <w:rsid w:val="00A70058"/>
    <w:rsid w:val="00A70535"/>
    <w:rsid w:val="00A70701"/>
    <w:rsid w:val="00A709AA"/>
    <w:rsid w:val="00A70D9E"/>
    <w:rsid w:val="00A70F14"/>
    <w:rsid w:val="00A71623"/>
    <w:rsid w:val="00A71863"/>
    <w:rsid w:val="00A71923"/>
    <w:rsid w:val="00A71D64"/>
    <w:rsid w:val="00A71FB8"/>
    <w:rsid w:val="00A7269F"/>
    <w:rsid w:val="00A7293E"/>
    <w:rsid w:val="00A72E27"/>
    <w:rsid w:val="00A735EC"/>
    <w:rsid w:val="00A736C7"/>
    <w:rsid w:val="00A7402F"/>
    <w:rsid w:val="00A74201"/>
    <w:rsid w:val="00A74226"/>
    <w:rsid w:val="00A74632"/>
    <w:rsid w:val="00A74804"/>
    <w:rsid w:val="00A749F4"/>
    <w:rsid w:val="00A757B0"/>
    <w:rsid w:val="00A76145"/>
    <w:rsid w:val="00A7622C"/>
    <w:rsid w:val="00A7628A"/>
    <w:rsid w:val="00A76374"/>
    <w:rsid w:val="00A763CD"/>
    <w:rsid w:val="00A764D1"/>
    <w:rsid w:val="00A76B40"/>
    <w:rsid w:val="00A776A4"/>
    <w:rsid w:val="00A77831"/>
    <w:rsid w:val="00A7787E"/>
    <w:rsid w:val="00A77DA0"/>
    <w:rsid w:val="00A80024"/>
    <w:rsid w:val="00A80364"/>
    <w:rsid w:val="00A8049D"/>
    <w:rsid w:val="00A80828"/>
    <w:rsid w:val="00A80A49"/>
    <w:rsid w:val="00A8112D"/>
    <w:rsid w:val="00A8148A"/>
    <w:rsid w:val="00A8149C"/>
    <w:rsid w:val="00A81628"/>
    <w:rsid w:val="00A818C1"/>
    <w:rsid w:val="00A819D0"/>
    <w:rsid w:val="00A81D60"/>
    <w:rsid w:val="00A82191"/>
    <w:rsid w:val="00A821C2"/>
    <w:rsid w:val="00A822C2"/>
    <w:rsid w:val="00A82940"/>
    <w:rsid w:val="00A82990"/>
    <w:rsid w:val="00A82E47"/>
    <w:rsid w:val="00A8330D"/>
    <w:rsid w:val="00A83680"/>
    <w:rsid w:val="00A837F3"/>
    <w:rsid w:val="00A837FB"/>
    <w:rsid w:val="00A83A75"/>
    <w:rsid w:val="00A83B31"/>
    <w:rsid w:val="00A83BD6"/>
    <w:rsid w:val="00A83CB7"/>
    <w:rsid w:val="00A842CA"/>
    <w:rsid w:val="00A847B3"/>
    <w:rsid w:val="00A848F0"/>
    <w:rsid w:val="00A84C16"/>
    <w:rsid w:val="00A84D3B"/>
    <w:rsid w:val="00A850F4"/>
    <w:rsid w:val="00A85F1D"/>
    <w:rsid w:val="00A8615C"/>
    <w:rsid w:val="00A863B1"/>
    <w:rsid w:val="00A86EFB"/>
    <w:rsid w:val="00A8745B"/>
    <w:rsid w:val="00A9020D"/>
    <w:rsid w:val="00A9022C"/>
    <w:rsid w:val="00A90269"/>
    <w:rsid w:val="00A90304"/>
    <w:rsid w:val="00A90401"/>
    <w:rsid w:val="00A9084E"/>
    <w:rsid w:val="00A90C6E"/>
    <w:rsid w:val="00A91376"/>
    <w:rsid w:val="00A913F0"/>
    <w:rsid w:val="00A91681"/>
    <w:rsid w:val="00A91B6A"/>
    <w:rsid w:val="00A91FAC"/>
    <w:rsid w:val="00A92017"/>
    <w:rsid w:val="00A921E3"/>
    <w:rsid w:val="00A92659"/>
    <w:rsid w:val="00A92C51"/>
    <w:rsid w:val="00A92E61"/>
    <w:rsid w:val="00A934AF"/>
    <w:rsid w:val="00A9355C"/>
    <w:rsid w:val="00A9368A"/>
    <w:rsid w:val="00A939DB"/>
    <w:rsid w:val="00A94547"/>
    <w:rsid w:val="00A9461E"/>
    <w:rsid w:val="00A94A43"/>
    <w:rsid w:val="00A94B68"/>
    <w:rsid w:val="00A94D20"/>
    <w:rsid w:val="00A95080"/>
    <w:rsid w:val="00A95160"/>
    <w:rsid w:val="00A951DB"/>
    <w:rsid w:val="00A95386"/>
    <w:rsid w:val="00A959DA"/>
    <w:rsid w:val="00A95D7F"/>
    <w:rsid w:val="00A96188"/>
    <w:rsid w:val="00A965DA"/>
    <w:rsid w:val="00A96643"/>
    <w:rsid w:val="00A967D8"/>
    <w:rsid w:val="00A96A0F"/>
    <w:rsid w:val="00A96AC2"/>
    <w:rsid w:val="00A96B3A"/>
    <w:rsid w:val="00A96D51"/>
    <w:rsid w:val="00A96D90"/>
    <w:rsid w:val="00A96DB4"/>
    <w:rsid w:val="00A97057"/>
    <w:rsid w:val="00A9735A"/>
    <w:rsid w:val="00A97402"/>
    <w:rsid w:val="00A9752B"/>
    <w:rsid w:val="00A97A11"/>
    <w:rsid w:val="00A97C6D"/>
    <w:rsid w:val="00A97DD2"/>
    <w:rsid w:val="00AA000E"/>
    <w:rsid w:val="00AA0050"/>
    <w:rsid w:val="00AA02CC"/>
    <w:rsid w:val="00AA0911"/>
    <w:rsid w:val="00AA0981"/>
    <w:rsid w:val="00AA0A8A"/>
    <w:rsid w:val="00AA0AE1"/>
    <w:rsid w:val="00AA0F1A"/>
    <w:rsid w:val="00AA106C"/>
    <w:rsid w:val="00AA1173"/>
    <w:rsid w:val="00AA1198"/>
    <w:rsid w:val="00AA13F3"/>
    <w:rsid w:val="00AA1682"/>
    <w:rsid w:val="00AA176A"/>
    <w:rsid w:val="00AA2461"/>
    <w:rsid w:val="00AA2574"/>
    <w:rsid w:val="00AA261D"/>
    <w:rsid w:val="00AA2645"/>
    <w:rsid w:val="00AA2865"/>
    <w:rsid w:val="00AA299B"/>
    <w:rsid w:val="00AA2A22"/>
    <w:rsid w:val="00AA2C22"/>
    <w:rsid w:val="00AA2C23"/>
    <w:rsid w:val="00AA35C1"/>
    <w:rsid w:val="00AA38C5"/>
    <w:rsid w:val="00AA3A16"/>
    <w:rsid w:val="00AA3A9B"/>
    <w:rsid w:val="00AA3BF1"/>
    <w:rsid w:val="00AA3C8E"/>
    <w:rsid w:val="00AA3E28"/>
    <w:rsid w:val="00AA416C"/>
    <w:rsid w:val="00AA42D7"/>
    <w:rsid w:val="00AA447F"/>
    <w:rsid w:val="00AA481D"/>
    <w:rsid w:val="00AA52B6"/>
    <w:rsid w:val="00AA5410"/>
    <w:rsid w:val="00AA5AA5"/>
    <w:rsid w:val="00AA5F7B"/>
    <w:rsid w:val="00AA6520"/>
    <w:rsid w:val="00AA73AA"/>
    <w:rsid w:val="00AA74F7"/>
    <w:rsid w:val="00AA7597"/>
    <w:rsid w:val="00AA78ED"/>
    <w:rsid w:val="00AB0494"/>
    <w:rsid w:val="00AB0602"/>
    <w:rsid w:val="00AB1532"/>
    <w:rsid w:val="00AB158A"/>
    <w:rsid w:val="00AB15DA"/>
    <w:rsid w:val="00AB1611"/>
    <w:rsid w:val="00AB1A55"/>
    <w:rsid w:val="00AB21C6"/>
    <w:rsid w:val="00AB2515"/>
    <w:rsid w:val="00AB25CB"/>
    <w:rsid w:val="00AB2840"/>
    <w:rsid w:val="00AB2841"/>
    <w:rsid w:val="00AB2C08"/>
    <w:rsid w:val="00AB2EB0"/>
    <w:rsid w:val="00AB3760"/>
    <w:rsid w:val="00AB3C65"/>
    <w:rsid w:val="00AB445A"/>
    <w:rsid w:val="00AB467C"/>
    <w:rsid w:val="00AB4A25"/>
    <w:rsid w:val="00AB5798"/>
    <w:rsid w:val="00AB5B19"/>
    <w:rsid w:val="00AB5CE8"/>
    <w:rsid w:val="00AB5E52"/>
    <w:rsid w:val="00AB5EF3"/>
    <w:rsid w:val="00AB60B0"/>
    <w:rsid w:val="00AB60F0"/>
    <w:rsid w:val="00AB656F"/>
    <w:rsid w:val="00AB6799"/>
    <w:rsid w:val="00AB6B76"/>
    <w:rsid w:val="00AB7869"/>
    <w:rsid w:val="00AB7B01"/>
    <w:rsid w:val="00AB7DD2"/>
    <w:rsid w:val="00AB7F52"/>
    <w:rsid w:val="00AB7FC8"/>
    <w:rsid w:val="00AC0141"/>
    <w:rsid w:val="00AC02CD"/>
    <w:rsid w:val="00AC0B13"/>
    <w:rsid w:val="00AC0C54"/>
    <w:rsid w:val="00AC17B7"/>
    <w:rsid w:val="00AC18FF"/>
    <w:rsid w:val="00AC197D"/>
    <w:rsid w:val="00AC1AE2"/>
    <w:rsid w:val="00AC1C7D"/>
    <w:rsid w:val="00AC21A2"/>
    <w:rsid w:val="00AC2338"/>
    <w:rsid w:val="00AC234C"/>
    <w:rsid w:val="00AC2777"/>
    <w:rsid w:val="00AC2874"/>
    <w:rsid w:val="00AC2B10"/>
    <w:rsid w:val="00AC3106"/>
    <w:rsid w:val="00AC332E"/>
    <w:rsid w:val="00AC3A4B"/>
    <w:rsid w:val="00AC3BFA"/>
    <w:rsid w:val="00AC3E18"/>
    <w:rsid w:val="00AC406D"/>
    <w:rsid w:val="00AC4262"/>
    <w:rsid w:val="00AC450F"/>
    <w:rsid w:val="00AC4609"/>
    <w:rsid w:val="00AC4889"/>
    <w:rsid w:val="00AC4A87"/>
    <w:rsid w:val="00AC4B00"/>
    <w:rsid w:val="00AC4C82"/>
    <w:rsid w:val="00AC4E7A"/>
    <w:rsid w:val="00AC4F10"/>
    <w:rsid w:val="00AC6061"/>
    <w:rsid w:val="00AC623E"/>
    <w:rsid w:val="00AC62A1"/>
    <w:rsid w:val="00AC6974"/>
    <w:rsid w:val="00AC6B06"/>
    <w:rsid w:val="00AC6B10"/>
    <w:rsid w:val="00AC6CC8"/>
    <w:rsid w:val="00AC6D8E"/>
    <w:rsid w:val="00AC6F7D"/>
    <w:rsid w:val="00AC720A"/>
    <w:rsid w:val="00AC7B03"/>
    <w:rsid w:val="00AD01AB"/>
    <w:rsid w:val="00AD0462"/>
    <w:rsid w:val="00AD0A0E"/>
    <w:rsid w:val="00AD0BCB"/>
    <w:rsid w:val="00AD0D9B"/>
    <w:rsid w:val="00AD12A6"/>
    <w:rsid w:val="00AD14B1"/>
    <w:rsid w:val="00AD1F31"/>
    <w:rsid w:val="00AD25C6"/>
    <w:rsid w:val="00AD25D4"/>
    <w:rsid w:val="00AD27B9"/>
    <w:rsid w:val="00AD2A30"/>
    <w:rsid w:val="00AD2FB3"/>
    <w:rsid w:val="00AD388D"/>
    <w:rsid w:val="00AD39A3"/>
    <w:rsid w:val="00AD5052"/>
    <w:rsid w:val="00AD5B50"/>
    <w:rsid w:val="00AD5C16"/>
    <w:rsid w:val="00AD5C8C"/>
    <w:rsid w:val="00AD5DB1"/>
    <w:rsid w:val="00AD5DD0"/>
    <w:rsid w:val="00AD60EA"/>
    <w:rsid w:val="00AD67D4"/>
    <w:rsid w:val="00AD67DD"/>
    <w:rsid w:val="00AD68E3"/>
    <w:rsid w:val="00AD6DCE"/>
    <w:rsid w:val="00AD7103"/>
    <w:rsid w:val="00AD7276"/>
    <w:rsid w:val="00AD765B"/>
    <w:rsid w:val="00AD7FD5"/>
    <w:rsid w:val="00AE014F"/>
    <w:rsid w:val="00AE02EF"/>
    <w:rsid w:val="00AE0D71"/>
    <w:rsid w:val="00AE182F"/>
    <w:rsid w:val="00AE1C2F"/>
    <w:rsid w:val="00AE219F"/>
    <w:rsid w:val="00AE2CF5"/>
    <w:rsid w:val="00AE2E52"/>
    <w:rsid w:val="00AE3370"/>
    <w:rsid w:val="00AE3779"/>
    <w:rsid w:val="00AE3944"/>
    <w:rsid w:val="00AE3D8D"/>
    <w:rsid w:val="00AE409D"/>
    <w:rsid w:val="00AE4331"/>
    <w:rsid w:val="00AE4A6F"/>
    <w:rsid w:val="00AE5A28"/>
    <w:rsid w:val="00AE5BE0"/>
    <w:rsid w:val="00AE6129"/>
    <w:rsid w:val="00AE614D"/>
    <w:rsid w:val="00AE61AA"/>
    <w:rsid w:val="00AE64AA"/>
    <w:rsid w:val="00AE666C"/>
    <w:rsid w:val="00AE6B3B"/>
    <w:rsid w:val="00AE6C4A"/>
    <w:rsid w:val="00AE70DC"/>
    <w:rsid w:val="00AE7849"/>
    <w:rsid w:val="00AE78F5"/>
    <w:rsid w:val="00AE7977"/>
    <w:rsid w:val="00AE7B82"/>
    <w:rsid w:val="00AE7BA2"/>
    <w:rsid w:val="00AE7F02"/>
    <w:rsid w:val="00AF0888"/>
    <w:rsid w:val="00AF11F1"/>
    <w:rsid w:val="00AF1381"/>
    <w:rsid w:val="00AF1CCE"/>
    <w:rsid w:val="00AF1DF3"/>
    <w:rsid w:val="00AF1F10"/>
    <w:rsid w:val="00AF2005"/>
    <w:rsid w:val="00AF253C"/>
    <w:rsid w:val="00AF2699"/>
    <w:rsid w:val="00AF2728"/>
    <w:rsid w:val="00AF2929"/>
    <w:rsid w:val="00AF2CEF"/>
    <w:rsid w:val="00AF302F"/>
    <w:rsid w:val="00AF325A"/>
    <w:rsid w:val="00AF3D39"/>
    <w:rsid w:val="00AF408A"/>
    <w:rsid w:val="00AF47E7"/>
    <w:rsid w:val="00AF4902"/>
    <w:rsid w:val="00AF497B"/>
    <w:rsid w:val="00AF49C1"/>
    <w:rsid w:val="00AF4B46"/>
    <w:rsid w:val="00AF4D4B"/>
    <w:rsid w:val="00AF517A"/>
    <w:rsid w:val="00AF537E"/>
    <w:rsid w:val="00AF5382"/>
    <w:rsid w:val="00AF5660"/>
    <w:rsid w:val="00AF5726"/>
    <w:rsid w:val="00AF5AC4"/>
    <w:rsid w:val="00AF5EC8"/>
    <w:rsid w:val="00AF60B6"/>
    <w:rsid w:val="00AF6286"/>
    <w:rsid w:val="00AF64B6"/>
    <w:rsid w:val="00AF66C7"/>
    <w:rsid w:val="00AF698E"/>
    <w:rsid w:val="00AF6A4C"/>
    <w:rsid w:val="00AF6D75"/>
    <w:rsid w:val="00AF73DC"/>
    <w:rsid w:val="00AF78F0"/>
    <w:rsid w:val="00AF7B28"/>
    <w:rsid w:val="00AF7CE5"/>
    <w:rsid w:val="00AF7D2F"/>
    <w:rsid w:val="00B0028A"/>
    <w:rsid w:val="00B002C1"/>
    <w:rsid w:val="00B004A8"/>
    <w:rsid w:val="00B004B0"/>
    <w:rsid w:val="00B00A00"/>
    <w:rsid w:val="00B00A5A"/>
    <w:rsid w:val="00B00BEC"/>
    <w:rsid w:val="00B01002"/>
    <w:rsid w:val="00B01114"/>
    <w:rsid w:val="00B0117B"/>
    <w:rsid w:val="00B01374"/>
    <w:rsid w:val="00B01434"/>
    <w:rsid w:val="00B01CE7"/>
    <w:rsid w:val="00B02183"/>
    <w:rsid w:val="00B022C1"/>
    <w:rsid w:val="00B022D0"/>
    <w:rsid w:val="00B023CA"/>
    <w:rsid w:val="00B02976"/>
    <w:rsid w:val="00B029B1"/>
    <w:rsid w:val="00B03105"/>
    <w:rsid w:val="00B032E8"/>
    <w:rsid w:val="00B03452"/>
    <w:rsid w:val="00B03B50"/>
    <w:rsid w:val="00B03BAB"/>
    <w:rsid w:val="00B04774"/>
    <w:rsid w:val="00B047C2"/>
    <w:rsid w:val="00B04917"/>
    <w:rsid w:val="00B04CB1"/>
    <w:rsid w:val="00B04CE6"/>
    <w:rsid w:val="00B04DFD"/>
    <w:rsid w:val="00B05357"/>
    <w:rsid w:val="00B05635"/>
    <w:rsid w:val="00B05BF6"/>
    <w:rsid w:val="00B05DA0"/>
    <w:rsid w:val="00B062B6"/>
    <w:rsid w:val="00B06361"/>
    <w:rsid w:val="00B064C1"/>
    <w:rsid w:val="00B065CA"/>
    <w:rsid w:val="00B0677A"/>
    <w:rsid w:val="00B068B6"/>
    <w:rsid w:val="00B07449"/>
    <w:rsid w:val="00B07620"/>
    <w:rsid w:val="00B07773"/>
    <w:rsid w:val="00B07B2E"/>
    <w:rsid w:val="00B07B78"/>
    <w:rsid w:val="00B07FDA"/>
    <w:rsid w:val="00B10070"/>
    <w:rsid w:val="00B1070A"/>
    <w:rsid w:val="00B107AB"/>
    <w:rsid w:val="00B10D64"/>
    <w:rsid w:val="00B11815"/>
    <w:rsid w:val="00B118A7"/>
    <w:rsid w:val="00B11ADA"/>
    <w:rsid w:val="00B11CE3"/>
    <w:rsid w:val="00B11FF0"/>
    <w:rsid w:val="00B12186"/>
    <w:rsid w:val="00B121E6"/>
    <w:rsid w:val="00B1314F"/>
    <w:rsid w:val="00B13357"/>
    <w:rsid w:val="00B1349C"/>
    <w:rsid w:val="00B136C4"/>
    <w:rsid w:val="00B14249"/>
    <w:rsid w:val="00B14344"/>
    <w:rsid w:val="00B14826"/>
    <w:rsid w:val="00B149A0"/>
    <w:rsid w:val="00B14AB6"/>
    <w:rsid w:val="00B14FAF"/>
    <w:rsid w:val="00B1510D"/>
    <w:rsid w:val="00B151CF"/>
    <w:rsid w:val="00B1528A"/>
    <w:rsid w:val="00B15543"/>
    <w:rsid w:val="00B15CC2"/>
    <w:rsid w:val="00B1622E"/>
    <w:rsid w:val="00B16479"/>
    <w:rsid w:val="00B1652F"/>
    <w:rsid w:val="00B16808"/>
    <w:rsid w:val="00B16D38"/>
    <w:rsid w:val="00B17170"/>
    <w:rsid w:val="00B17F21"/>
    <w:rsid w:val="00B20055"/>
    <w:rsid w:val="00B20445"/>
    <w:rsid w:val="00B20E33"/>
    <w:rsid w:val="00B21154"/>
    <w:rsid w:val="00B2139A"/>
    <w:rsid w:val="00B21915"/>
    <w:rsid w:val="00B21B8F"/>
    <w:rsid w:val="00B21BF9"/>
    <w:rsid w:val="00B21E08"/>
    <w:rsid w:val="00B224FF"/>
    <w:rsid w:val="00B2276F"/>
    <w:rsid w:val="00B22C9F"/>
    <w:rsid w:val="00B22D28"/>
    <w:rsid w:val="00B22EB5"/>
    <w:rsid w:val="00B23163"/>
    <w:rsid w:val="00B23191"/>
    <w:rsid w:val="00B23202"/>
    <w:rsid w:val="00B23485"/>
    <w:rsid w:val="00B237C0"/>
    <w:rsid w:val="00B2429D"/>
    <w:rsid w:val="00B24789"/>
    <w:rsid w:val="00B247AD"/>
    <w:rsid w:val="00B255D9"/>
    <w:rsid w:val="00B25B6E"/>
    <w:rsid w:val="00B25CFC"/>
    <w:rsid w:val="00B25D05"/>
    <w:rsid w:val="00B26603"/>
    <w:rsid w:val="00B26622"/>
    <w:rsid w:val="00B26669"/>
    <w:rsid w:val="00B26863"/>
    <w:rsid w:val="00B2748F"/>
    <w:rsid w:val="00B2758E"/>
    <w:rsid w:val="00B276B4"/>
    <w:rsid w:val="00B27795"/>
    <w:rsid w:val="00B303F6"/>
    <w:rsid w:val="00B307B7"/>
    <w:rsid w:val="00B307D3"/>
    <w:rsid w:val="00B30957"/>
    <w:rsid w:val="00B30F6B"/>
    <w:rsid w:val="00B312E3"/>
    <w:rsid w:val="00B31BB5"/>
    <w:rsid w:val="00B31CBA"/>
    <w:rsid w:val="00B320AA"/>
    <w:rsid w:val="00B3255A"/>
    <w:rsid w:val="00B32A73"/>
    <w:rsid w:val="00B32BDD"/>
    <w:rsid w:val="00B33157"/>
    <w:rsid w:val="00B33618"/>
    <w:rsid w:val="00B3364D"/>
    <w:rsid w:val="00B336AA"/>
    <w:rsid w:val="00B33774"/>
    <w:rsid w:val="00B339C2"/>
    <w:rsid w:val="00B33B96"/>
    <w:rsid w:val="00B34150"/>
    <w:rsid w:val="00B34300"/>
    <w:rsid w:val="00B3470F"/>
    <w:rsid w:val="00B349AE"/>
    <w:rsid w:val="00B34EA4"/>
    <w:rsid w:val="00B353F5"/>
    <w:rsid w:val="00B3540B"/>
    <w:rsid w:val="00B3540F"/>
    <w:rsid w:val="00B355B3"/>
    <w:rsid w:val="00B356E3"/>
    <w:rsid w:val="00B35D3F"/>
    <w:rsid w:val="00B36028"/>
    <w:rsid w:val="00B36958"/>
    <w:rsid w:val="00B36CDC"/>
    <w:rsid w:val="00B36E2D"/>
    <w:rsid w:val="00B36E6D"/>
    <w:rsid w:val="00B37569"/>
    <w:rsid w:val="00B377BF"/>
    <w:rsid w:val="00B37926"/>
    <w:rsid w:val="00B37C58"/>
    <w:rsid w:val="00B37E88"/>
    <w:rsid w:val="00B40064"/>
    <w:rsid w:val="00B40075"/>
    <w:rsid w:val="00B400EE"/>
    <w:rsid w:val="00B402EB"/>
    <w:rsid w:val="00B40703"/>
    <w:rsid w:val="00B408C8"/>
    <w:rsid w:val="00B414D6"/>
    <w:rsid w:val="00B41545"/>
    <w:rsid w:val="00B41636"/>
    <w:rsid w:val="00B41800"/>
    <w:rsid w:val="00B41ACB"/>
    <w:rsid w:val="00B41C5D"/>
    <w:rsid w:val="00B41D76"/>
    <w:rsid w:val="00B41E62"/>
    <w:rsid w:val="00B42AC3"/>
    <w:rsid w:val="00B42DB5"/>
    <w:rsid w:val="00B43242"/>
    <w:rsid w:val="00B433C6"/>
    <w:rsid w:val="00B43752"/>
    <w:rsid w:val="00B43C7A"/>
    <w:rsid w:val="00B44CCA"/>
    <w:rsid w:val="00B4611B"/>
    <w:rsid w:val="00B47168"/>
    <w:rsid w:val="00B47506"/>
    <w:rsid w:val="00B476D3"/>
    <w:rsid w:val="00B47912"/>
    <w:rsid w:val="00B50142"/>
    <w:rsid w:val="00B50A44"/>
    <w:rsid w:val="00B50E34"/>
    <w:rsid w:val="00B50F41"/>
    <w:rsid w:val="00B512B2"/>
    <w:rsid w:val="00B51421"/>
    <w:rsid w:val="00B51464"/>
    <w:rsid w:val="00B514A3"/>
    <w:rsid w:val="00B51860"/>
    <w:rsid w:val="00B51AD9"/>
    <w:rsid w:val="00B51B35"/>
    <w:rsid w:val="00B51CA3"/>
    <w:rsid w:val="00B52A2E"/>
    <w:rsid w:val="00B5429E"/>
    <w:rsid w:val="00B54DCC"/>
    <w:rsid w:val="00B55524"/>
    <w:rsid w:val="00B55F77"/>
    <w:rsid w:val="00B569E1"/>
    <w:rsid w:val="00B56CBE"/>
    <w:rsid w:val="00B56ECF"/>
    <w:rsid w:val="00B570F4"/>
    <w:rsid w:val="00B575BF"/>
    <w:rsid w:val="00B575FC"/>
    <w:rsid w:val="00B57D83"/>
    <w:rsid w:val="00B57EAD"/>
    <w:rsid w:val="00B60361"/>
    <w:rsid w:val="00B603AE"/>
    <w:rsid w:val="00B60684"/>
    <w:rsid w:val="00B60715"/>
    <w:rsid w:val="00B60993"/>
    <w:rsid w:val="00B609A8"/>
    <w:rsid w:val="00B610CD"/>
    <w:rsid w:val="00B612EA"/>
    <w:rsid w:val="00B616FC"/>
    <w:rsid w:val="00B6191C"/>
    <w:rsid w:val="00B6193C"/>
    <w:rsid w:val="00B61998"/>
    <w:rsid w:val="00B61C66"/>
    <w:rsid w:val="00B61C72"/>
    <w:rsid w:val="00B6247C"/>
    <w:rsid w:val="00B624ED"/>
    <w:rsid w:val="00B62604"/>
    <w:rsid w:val="00B62AE0"/>
    <w:rsid w:val="00B62C4A"/>
    <w:rsid w:val="00B62DE9"/>
    <w:rsid w:val="00B62DF2"/>
    <w:rsid w:val="00B63470"/>
    <w:rsid w:val="00B63667"/>
    <w:rsid w:val="00B636FF"/>
    <w:rsid w:val="00B6382D"/>
    <w:rsid w:val="00B63991"/>
    <w:rsid w:val="00B6427E"/>
    <w:rsid w:val="00B6436B"/>
    <w:rsid w:val="00B6441B"/>
    <w:rsid w:val="00B64B15"/>
    <w:rsid w:val="00B64BBD"/>
    <w:rsid w:val="00B650CE"/>
    <w:rsid w:val="00B651D2"/>
    <w:rsid w:val="00B6549D"/>
    <w:rsid w:val="00B655BD"/>
    <w:rsid w:val="00B65E20"/>
    <w:rsid w:val="00B6615D"/>
    <w:rsid w:val="00B6616B"/>
    <w:rsid w:val="00B66A87"/>
    <w:rsid w:val="00B67F0E"/>
    <w:rsid w:val="00B705CF"/>
    <w:rsid w:val="00B70846"/>
    <w:rsid w:val="00B710A5"/>
    <w:rsid w:val="00B712D0"/>
    <w:rsid w:val="00B712F6"/>
    <w:rsid w:val="00B71329"/>
    <w:rsid w:val="00B71436"/>
    <w:rsid w:val="00B71778"/>
    <w:rsid w:val="00B71A36"/>
    <w:rsid w:val="00B71B43"/>
    <w:rsid w:val="00B72075"/>
    <w:rsid w:val="00B72259"/>
    <w:rsid w:val="00B72274"/>
    <w:rsid w:val="00B728DE"/>
    <w:rsid w:val="00B72EF2"/>
    <w:rsid w:val="00B73150"/>
    <w:rsid w:val="00B731F9"/>
    <w:rsid w:val="00B7326E"/>
    <w:rsid w:val="00B73389"/>
    <w:rsid w:val="00B737C7"/>
    <w:rsid w:val="00B738A5"/>
    <w:rsid w:val="00B738DC"/>
    <w:rsid w:val="00B739B4"/>
    <w:rsid w:val="00B73FB9"/>
    <w:rsid w:val="00B74103"/>
    <w:rsid w:val="00B741DB"/>
    <w:rsid w:val="00B7425B"/>
    <w:rsid w:val="00B74D3C"/>
    <w:rsid w:val="00B750BA"/>
    <w:rsid w:val="00B7517C"/>
    <w:rsid w:val="00B757E5"/>
    <w:rsid w:val="00B759F0"/>
    <w:rsid w:val="00B761B0"/>
    <w:rsid w:val="00B762EA"/>
    <w:rsid w:val="00B7630A"/>
    <w:rsid w:val="00B7689C"/>
    <w:rsid w:val="00B76D7B"/>
    <w:rsid w:val="00B7702E"/>
    <w:rsid w:val="00B7703C"/>
    <w:rsid w:val="00B7753A"/>
    <w:rsid w:val="00B77A52"/>
    <w:rsid w:val="00B77A7E"/>
    <w:rsid w:val="00B77AD6"/>
    <w:rsid w:val="00B77B4E"/>
    <w:rsid w:val="00B77F91"/>
    <w:rsid w:val="00B8064A"/>
    <w:rsid w:val="00B80713"/>
    <w:rsid w:val="00B810FE"/>
    <w:rsid w:val="00B8149E"/>
    <w:rsid w:val="00B81592"/>
    <w:rsid w:val="00B81856"/>
    <w:rsid w:val="00B81F38"/>
    <w:rsid w:val="00B821DC"/>
    <w:rsid w:val="00B8226C"/>
    <w:rsid w:val="00B8227C"/>
    <w:rsid w:val="00B82D81"/>
    <w:rsid w:val="00B82EDE"/>
    <w:rsid w:val="00B8311D"/>
    <w:rsid w:val="00B832C4"/>
    <w:rsid w:val="00B833AC"/>
    <w:rsid w:val="00B839DD"/>
    <w:rsid w:val="00B83B62"/>
    <w:rsid w:val="00B83E20"/>
    <w:rsid w:val="00B83E47"/>
    <w:rsid w:val="00B8448B"/>
    <w:rsid w:val="00B84527"/>
    <w:rsid w:val="00B8496C"/>
    <w:rsid w:val="00B84B95"/>
    <w:rsid w:val="00B85065"/>
    <w:rsid w:val="00B850BE"/>
    <w:rsid w:val="00B8535F"/>
    <w:rsid w:val="00B8570F"/>
    <w:rsid w:val="00B8587B"/>
    <w:rsid w:val="00B86075"/>
    <w:rsid w:val="00B86223"/>
    <w:rsid w:val="00B868AE"/>
    <w:rsid w:val="00B868EE"/>
    <w:rsid w:val="00B86B7E"/>
    <w:rsid w:val="00B86ECD"/>
    <w:rsid w:val="00B871F3"/>
    <w:rsid w:val="00B87476"/>
    <w:rsid w:val="00B874F1"/>
    <w:rsid w:val="00B878CD"/>
    <w:rsid w:val="00B87AC7"/>
    <w:rsid w:val="00B87E15"/>
    <w:rsid w:val="00B87E35"/>
    <w:rsid w:val="00B90065"/>
    <w:rsid w:val="00B90123"/>
    <w:rsid w:val="00B90511"/>
    <w:rsid w:val="00B90844"/>
    <w:rsid w:val="00B90860"/>
    <w:rsid w:val="00B9098F"/>
    <w:rsid w:val="00B90B40"/>
    <w:rsid w:val="00B9148C"/>
    <w:rsid w:val="00B91749"/>
    <w:rsid w:val="00B91890"/>
    <w:rsid w:val="00B91CB1"/>
    <w:rsid w:val="00B91F12"/>
    <w:rsid w:val="00B92409"/>
    <w:rsid w:val="00B92450"/>
    <w:rsid w:val="00B9249B"/>
    <w:rsid w:val="00B929C7"/>
    <w:rsid w:val="00B92A34"/>
    <w:rsid w:val="00B92B74"/>
    <w:rsid w:val="00B92F34"/>
    <w:rsid w:val="00B92F7A"/>
    <w:rsid w:val="00B930A2"/>
    <w:rsid w:val="00B93516"/>
    <w:rsid w:val="00B935E1"/>
    <w:rsid w:val="00B939C1"/>
    <w:rsid w:val="00B947E3"/>
    <w:rsid w:val="00B94A5D"/>
    <w:rsid w:val="00B94DA0"/>
    <w:rsid w:val="00B9530A"/>
    <w:rsid w:val="00B9536C"/>
    <w:rsid w:val="00B957EB"/>
    <w:rsid w:val="00B960FC"/>
    <w:rsid w:val="00B969A5"/>
    <w:rsid w:val="00B96F25"/>
    <w:rsid w:val="00B97012"/>
    <w:rsid w:val="00B97214"/>
    <w:rsid w:val="00B979BF"/>
    <w:rsid w:val="00B97AF7"/>
    <w:rsid w:val="00B97FF0"/>
    <w:rsid w:val="00BA067C"/>
    <w:rsid w:val="00BA07EF"/>
    <w:rsid w:val="00BA0861"/>
    <w:rsid w:val="00BA0AE5"/>
    <w:rsid w:val="00BA10D5"/>
    <w:rsid w:val="00BA14AE"/>
    <w:rsid w:val="00BA1EFC"/>
    <w:rsid w:val="00BA1FFB"/>
    <w:rsid w:val="00BA2083"/>
    <w:rsid w:val="00BA2098"/>
    <w:rsid w:val="00BA2343"/>
    <w:rsid w:val="00BA28A8"/>
    <w:rsid w:val="00BA28B0"/>
    <w:rsid w:val="00BA2B3F"/>
    <w:rsid w:val="00BA2C2F"/>
    <w:rsid w:val="00BA33AF"/>
    <w:rsid w:val="00BA37E8"/>
    <w:rsid w:val="00BA3A74"/>
    <w:rsid w:val="00BA3C5A"/>
    <w:rsid w:val="00BA3D44"/>
    <w:rsid w:val="00BA4AD2"/>
    <w:rsid w:val="00BA4B48"/>
    <w:rsid w:val="00BA4E45"/>
    <w:rsid w:val="00BA581D"/>
    <w:rsid w:val="00BA5852"/>
    <w:rsid w:val="00BA59FB"/>
    <w:rsid w:val="00BA5F11"/>
    <w:rsid w:val="00BA6017"/>
    <w:rsid w:val="00BA6612"/>
    <w:rsid w:val="00BA6F0C"/>
    <w:rsid w:val="00BA76A8"/>
    <w:rsid w:val="00BA7BAA"/>
    <w:rsid w:val="00BA7CAB"/>
    <w:rsid w:val="00BA7D73"/>
    <w:rsid w:val="00BB0445"/>
    <w:rsid w:val="00BB0748"/>
    <w:rsid w:val="00BB1017"/>
    <w:rsid w:val="00BB103F"/>
    <w:rsid w:val="00BB10A0"/>
    <w:rsid w:val="00BB10FB"/>
    <w:rsid w:val="00BB14A3"/>
    <w:rsid w:val="00BB1583"/>
    <w:rsid w:val="00BB1957"/>
    <w:rsid w:val="00BB1A9E"/>
    <w:rsid w:val="00BB2045"/>
    <w:rsid w:val="00BB2153"/>
    <w:rsid w:val="00BB297E"/>
    <w:rsid w:val="00BB2A1B"/>
    <w:rsid w:val="00BB2E2B"/>
    <w:rsid w:val="00BB33B9"/>
    <w:rsid w:val="00BB35BE"/>
    <w:rsid w:val="00BB3B67"/>
    <w:rsid w:val="00BB3B99"/>
    <w:rsid w:val="00BB4CB5"/>
    <w:rsid w:val="00BB4D8F"/>
    <w:rsid w:val="00BB4E3B"/>
    <w:rsid w:val="00BB50A6"/>
    <w:rsid w:val="00BB523F"/>
    <w:rsid w:val="00BB56DE"/>
    <w:rsid w:val="00BB56F7"/>
    <w:rsid w:val="00BB5814"/>
    <w:rsid w:val="00BB59B2"/>
    <w:rsid w:val="00BB5CA8"/>
    <w:rsid w:val="00BB5E71"/>
    <w:rsid w:val="00BB6085"/>
    <w:rsid w:val="00BB615D"/>
    <w:rsid w:val="00BB6AC8"/>
    <w:rsid w:val="00BB6E97"/>
    <w:rsid w:val="00BB71DD"/>
    <w:rsid w:val="00BB754B"/>
    <w:rsid w:val="00BB762C"/>
    <w:rsid w:val="00BB76E3"/>
    <w:rsid w:val="00BB7D8F"/>
    <w:rsid w:val="00BC028D"/>
    <w:rsid w:val="00BC051F"/>
    <w:rsid w:val="00BC0A32"/>
    <w:rsid w:val="00BC0D32"/>
    <w:rsid w:val="00BC0E12"/>
    <w:rsid w:val="00BC12CC"/>
    <w:rsid w:val="00BC15DE"/>
    <w:rsid w:val="00BC1684"/>
    <w:rsid w:val="00BC17C8"/>
    <w:rsid w:val="00BC191F"/>
    <w:rsid w:val="00BC1C09"/>
    <w:rsid w:val="00BC1FBB"/>
    <w:rsid w:val="00BC2372"/>
    <w:rsid w:val="00BC25CC"/>
    <w:rsid w:val="00BC2BA0"/>
    <w:rsid w:val="00BC3471"/>
    <w:rsid w:val="00BC3561"/>
    <w:rsid w:val="00BC369C"/>
    <w:rsid w:val="00BC45B8"/>
    <w:rsid w:val="00BC4972"/>
    <w:rsid w:val="00BC4CA2"/>
    <w:rsid w:val="00BC4D16"/>
    <w:rsid w:val="00BC50ED"/>
    <w:rsid w:val="00BC54FB"/>
    <w:rsid w:val="00BC5881"/>
    <w:rsid w:val="00BC590A"/>
    <w:rsid w:val="00BC603B"/>
    <w:rsid w:val="00BC6058"/>
    <w:rsid w:val="00BC6897"/>
    <w:rsid w:val="00BC6C72"/>
    <w:rsid w:val="00BC6F21"/>
    <w:rsid w:val="00BC6FE2"/>
    <w:rsid w:val="00BC74AA"/>
    <w:rsid w:val="00BC769E"/>
    <w:rsid w:val="00BC7A09"/>
    <w:rsid w:val="00BC7F1D"/>
    <w:rsid w:val="00BD0368"/>
    <w:rsid w:val="00BD09D8"/>
    <w:rsid w:val="00BD0CEF"/>
    <w:rsid w:val="00BD0E80"/>
    <w:rsid w:val="00BD0E83"/>
    <w:rsid w:val="00BD0FAE"/>
    <w:rsid w:val="00BD12C7"/>
    <w:rsid w:val="00BD141D"/>
    <w:rsid w:val="00BD1703"/>
    <w:rsid w:val="00BD177A"/>
    <w:rsid w:val="00BD17B6"/>
    <w:rsid w:val="00BD1B8D"/>
    <w:rsid w:val="00BD20A0"/>
    <w:rsid w:val="00BD2253"/>
    <w:rsid w:val="00BD249F"/>
    <w:rsid w:val="00BD2783"/>
    <w:rsid w:val="00BD27F7"/>
    <w:rsid w:val="00BD33D4"/>
    <w:rsid w:val="00BD3438"/>
    <w:rsid w:val="00BD37AF"/>
    <w:rsid w:val="00BD3845"/>
    <w:rsid w:val="00BD3C2F"/>
    <w:rsid w:val="00BD3DC8"/>
    <w:rsid w:val="00BD40B1"/>
    <w:rsid w:val="00BD40C1"/>
    <w:rsid w:val="00BD4139"/>
    <w:rsid w:val="00BD4561"/>
    <w:rsid w:val="00BD4C06"/>
    <w:rsid w:val="00BD4D76"/>
    <w:rsid w:val="00BD5667"/>
    <w:rsid w:val="00BD618B"/>
    <w:rsid w:val="00BD68E3"/>
    <w:rsid w:val="00BD6ADD"/>
    <w:rsid w:val="00BD7BF4"/>
    <w:rsid w:val="00BE0440"/>
    <w:rsid w:val="00BE06CB"/>
    <w:rsid w:val="00BE08CA"/>
    <w:rsid w:val="00BE096B"/>
    <w:rsid w:val="00BE09BA"/>
    <w:rsid w:val="00BE0D8D"/>
    <w:rsid w:val="00BE0E7A"/>
    <w:rsid w:val="00BE21C5"/>
    <w:rsid w:val="00BE22DC"/>
    <w:rsid w:val="00BE23B7"/>
    <w:rsid w:val="00BE2886"/>
    <w:rsid w:val="00BE293F"/>
    <w:rsid w:val="00BE2D17"/>
    <w:rsid w:val="00BE2E06"/>
    <w:rsid w:val="00BE31CE"/>
    <w:rsid w:val="00BE33AD"/>
    <w:rsid w:val="00BE35EB"/>
    <w:rsid w:val="00BE386E"/>
    <w:rsid w:val="00BE39C1"/>
    <w:rsid w:val="00BE42B8"/>
    <w:rsid w:val="00BE4698"/>
    <w:rsid w:val="00BE47BF"/>
    <w:rsid w:val="00BE50D4"/>
    <w:rsid w:val="00BE5180"/>
    <w:rsid w:val="00BE5374"/>
    <w:rsid w:val="00BE5786"/>
    <w:rsid w:val="00BE5D3B"/>
    <w:rsid w:val="00BE61B3"/>
    <w:rsid w:val="00BE627A"/>
    <w:rsid w:val="00BE6334"/>
    <w:rsid w:val="00BE65B0"/>
    <w:rsid w:val="00BE66AC"/>
    <w:rsid w:val="00BE6805"/>
    <w:rsid w:val="00BE6C20"/>
    <w:rsid w:val="00BE6C90"/>
    <w:rsid w:val="00BE6CE8"/>
    <w:rsid w:val="00BE74F8"/>
    <w:rsid w:val="00BE7DFB"/>
    <w:rsid w:val="00BF0123"/>
    <w:rsid w:val="00BF03FB"/>
    <w:rsid w:val="00BF047C"/>
    <w:rsid w:val="00BF1312"/>
    <w:rsid w:val="00BF1A5D"/>
    <w:rsid w:val="00BF1BA8"/>
    <w:rsid w:val="00BF1C9D"/>
    <w:rsid w:val="00BF20E8"/>
    <w:rsid w:val="00BF2264"/>
    <w:rsid w:val="00BF2E32"/>
    <w:rsid w:val="00BF2F0C"/>
    <w:rsid w:val="00BF2FDE"/>
    <w:rsid w:val="00BF326E"/>
    <w:rsid w:val="00BF39B5"/>
    <w:rsid w:val="00BF49CF"/>
    <w:rsid w:val="00BF4A0F"/>
    <w:rsid w:val="00BF4AA2"/>
    <w:rsid w:val="00BF4ABB"/>
    <w:rsid w:val="00BF5429"/>
    <w:rsid w:val="00BF551E"/>
    <w:rsid w:val="00BF553B"/>
    <w:rsid w:val="00BF55A6"/>
    <w:rsid w:val="00BF56ED"/>
    <w:rsid w:val="00BF57FE"/>
    <w:rsid w:val="00BF585B"/>
    <w:rsid w:val="00BF5A11"/>
    <w:rsid w:val="00BF5A39"/>
    <w:rsid w:val="00BF5AD4"/>
    <w:rsid w:val="00BF6801"/>
    <w:rsid w:val="00BF6951"/>
    <w:rsid w:val="00BF7071"/>
    <w:rsid w:val="00BF72E0"/>
    <w:rsid w:val="00BF7715"/>
    <w:rsid w:val="00BF7A6D"/>
    <w:rsid w:val="00BF7C15"/>
    <w:rsid w:val="00BF7C2A"/>
    <w:rsid w:val="00BF7C54"/>
    <w:rsid w:val="00C00E80"/>
    <w:rsid w:val="00C01364"/>
    <w:rsid w:val="00C01563"/>
    <w:rsid w:val="00C016E3"/>
    <w:rsid w:val="00C01D5F"/>
    <w:rsid w:val="00C01DDA"/>
    <w:rsid w:val="00C01E4A"/>
    <w:rsid w:val="00C01ECE"/>
    <w:rsid w:val="00C02D9B"/>
    <w:rsid w:val="00C031EF"/>
    <w:rsid w:val="00C0324D"/>
    <w:rsid w:val="00C0345A"/>
    <w:rsid w:val="00C03511"/>
    <w:rsid w:val="00C03B8C"/>
    <w:rsid w:val="00C03C94"/>
    <w:rsid w:val="00C0422A"/>
    <w:rsid w:val="00C04839"/>
    <w:rsid w:val="00C04C3A"/>
    <w:rsid w:val="00C05087"/>
    <w:rsid w:val="00C05452"/>
    <w:rsid w:val="00C05700"/>
    <w:rsid w:val="00C05877"/>
    <w:rsid w:val="00C05B04"/>
    <w:rsid w:val="00C06138"/>
    <w:rsid w:val="00C06953"/>
    <w:rsid w:val="00C06AA0"/>
    <w:rsid w:val="00C06B5C"/>
    <w:rsid w:val="00C074CD"/>
    <w:rsid w:val="00C107C3"/>
    <w:rsid w:val="00C10A87"/>
    <w:rsid w:val="00C10AEF"/>
    <w:rsid w:val="00C10F26"/>
    <w:rsid w:val="00C10F6A"/>
    <w:rsid w:val="00C11260"/>
    <w:rsid w:val="00C12047"/>
    <w:rsid w:val="00C12E05"/>
    <w:rsid w:val="00C13520"/>
    <w:rsid w:val="00C1388F"/>
    <w:rsid w:val="00C13AAC"/>
    <w:rsid w:val="00C13C17"/>
    <w:rsid w:val="00C13D94"/>
    <w:rsid w:val="00C14055"/>
    <w:rsid w:val="00C14470"/>
    <w:rsid w:val="00C145F2"/>
    <w:rsid w:val="00C14884"/>
    <w:rsid w:val="00C14CEF"/>
    <w:rsid w:val="00C14F48"/>
    <w:rsid w:val="00C14F9B"/>
    <w:rsid w:val="00C14FAB"/>
    <w:rsid w:val="00C15F42"/>
    <w:rsid w:val="00C160FE"/>
    <w:rsid w:val="00C1610B"/>
    <w:rsid w:val="00C1611D"/>
    <w:rsid w:val="00C16C9A"/>
    <w:rsid w:val="00C175E4"/>
    <w:rsid w:val="00C1780B"/>
    <w:rsid w:val="00C17ECE"/>
    <w:rsid w:val="00C2076F"/>
    <w:rsid w:val="00C20948"/>
    <w:rsid w:val="00C20A80"/>
    <w:rsid w:val="00C21469"/>
    <w:rsid w:val="00C2167B"/>
    <w:rsid w:val="00C21887"/>
    <w:rsid w:val="00C21A07"/>
    <w:rsid w:val="00C21DE4"/>
    <w:rsid w:val="00C2220A"/>
    <w:rsid w:val="00C22337"/>
    <w:rsid w:val="00C22B9D"/>
    <w:rsid w:val="00C2309D"/>
    <w:rsid w:val="00C230F6"/>
    <w:rsid w:val="00C232E0"/>
    <w:rsid w:val="00C232F5"/>
    <w:rsid w:val="00C234D9"/>
    <w:rsid w:val="00C23631"/>
    <w:rsid w:val="00C23B06"/>
    <w:rsid w:val="00C23D27"/>
    <w:rsid w:val="00C24408"/>
    <w:rsid w:val="00C2462E"/>
    <w:rsid w:val="00C24649"/>
    <w:rsid w:val="00C24B5E"/>
    <w:rsid w:val="00C24B65"/>
    <w:rsid w:val="00C24FB0"/>
    <w:rsid w:val="00C2534F"/>
    <w:rsid w:val="00C256A8"/>
    <w:rsid w:val="00C25DB7"/>
    <w:rsid w:val="00C25EDA"/>
    <w:rsid w:val="00C26AB7"/>
    <w:rsid w:val="00C27011"/>
    <w:rsid w:val="00C278FB"/>
    <w:rsid w:val="00C30058"/>
    <w:rsid w:val="00C30308"/>
    <w:rsid w:val="00C3049C"/>
    <w:rsid w:val="00C304F0"/>
    <w:rsid w:val="00C30642"/>
    <w:rsid w:val="00C30ADA"/>
    <w:rsid w:val="00C30DD1"/>
    <w:rsid w:val="00C30FDF"/>
    <w:rsid w:val="00C311C6"/>
    <w:rsid w:val="00C3123C"/>
    <w:rsid w:val="00C312D5"/>
    <w:rsid w:val="00C317A2"/>
    <w:rsid w:val="00C32559"/>
    <w:rsid w:val="00C32A9B"/>
    <w:rsid w:val="00C32B64"/>
    <w:rsid w:val="00C32C8F"/>
    <w:rsid w:val="00C33A2A"/>
    <w:rsid w:val="00C33F38"/>
    <w:rsid w:val="00C33FCB"/>
    <w:rsid w:val="00C340D8"/>
    <w:rsid w:val="00C3438A"/>
    <w:rsid w:val="00C343FC"/>
    <w:rsid w:val="00C346E0"/>
    <w:rsid w:val="00C34911"/>
    <w:rsid w:val="00C34C9D"/>
    <w:rsid w:val="00C353CA"/>
    <w:rsid w:val="00C3569E"/>
    <w:rsid w:val="00C35B2D"/>
    <w:rsid w:val="00C362C2"/>
    <w:rsid w:val="00C363AB"/>
    <w:rsid w:val="00C3651F"/>
    <w:rsid w:val="00C36633"/>
    <w:rsid w:val="00C36AF1"/>
    <w:rsid w:val="00C36BBC"/>
    <w:rsid w:val="00C36CA1"/>
    <w:rsid w:val="00C36E9D"/>
    <w:rsid w:val="00C36EF7"/>
    <w:rsid w:val="00C371D8"/>
    <w:rsid w:val="00C374DC"/>
    <w:rsid w:val="00C37AFF"/>
    <w:rsid w:val="00C37C86"/>
    <w:rsid w:val="00C40333"/>
    <w:rsid w:val="00C40DF9"/>
    <w:rsid w:val="00C410E0"/>
    <w:rsid w:val="00C412B1"/>
    <w:rsid w:val="00C41468"/>
    <w:rsid w:val="00C416D4"/>
    <w:rsid w:val="00C41A83"/>
    <w:rsid w:val="00C41C06"/>
    <w:rsid w:val="00C41C6F"/>
    <w:rsid w:val="00C41C9B"/>
    <w:rsid w:val="00C41EDE"/>
    <w:rsid w:val="00C42039"/>
    <w:rsid w:val="00C42155"/>
    <w:rsid w:val="00C421EB"/>
    <w:rsid w:val="00C42528"/>
    <w:rsid w:val="00C4278A"/>
    <w:rsid w:val="00C42DC8"/>
    <w:rsid w:val="00C43016"/>
    <w:rsid w:val="00C43A83"/>
    <w:rsid w:val="00C43D15"/>
    <w:rsid w:val="00C43F5C"/>
    <w:rsid w:val="00C44339"/>
    <w:rsid w:val="00C4436C"/>
    <w:rsid w:val="00C4473F"/>
    <w:rsid w:val="00C44A49"/>
    <w:rsid w:val="00C44AB8"/>
    <w:rsid w:val="00C44B74"/>
    <w:rsid w:val="00C44F7D"/>
    <w:rsid w:val="00C44F8A"/>
    <w:rsid w:val="00C4516D"/>
    <w:rsid w:val="00C4554C"/>
    <w:rsid w:val="00C457CA"/>
    <w:rsid w:val="00C458D6"/>
    <w:rsid w:val="00C45E7A"/>
    <w:rsid w:val="00C461B2"/>
    <w:rsid w:val="00C4620B"/>
    <w:rsid w:val="00C467AA"/>
    <w:rsid w:val="00C467D1"/>
    <w:rsid w:val="00C46961"/>
    <w:rsid w:val="00C46E92"/>
    <w:rsid w:val="00C46F95"/>
    <w:rsid w:val="00C47C8E"/>
    <w:rsid w:val="00C50550"/>
    <w:rsid w:val="00C50E73"/>
    <w:rsid w:val="00C50EC6"/>
    <w:rsid w:val="00C521BA"/>
    <w:rsid w:val="00C522CF"/>
    <w:rsid w:val="00C5231F"/>
    <w:rsid w:val="00C52B95"/>
    <w:rsid w:val="00C52E08"/>
    <w:rsid w:val="00C52EF1"/>
    <w:rsid w:val="00C52FD1"/>
    <w:rsid w:val="00C530FC"/>
    <w:rsid w:val="00C53281"/>
    <w:rsid w:val="00C534B4"/>
    <w:rsid w:val="00C5359B"/>
    <w:rsid w:val="00C5382C"/>
    <w:rsid w:val="00C539C6"/>
    <w:rsid w:val="00C53A88"/>
    <w:rsid w:val="00C53AF7"/>
    <w:rsid w:val="00C54B49"/>
    <w:rsid w:val="00C554B5"/>
    <w:rsid w:val="00C55563"/>
    <w:rsid w:val="00C556C4"/>
    <w:rsid w:val="00C55E06"/>
    <w:rsid w:val="00C55F57"/>
    <w:rsid w:val="00C562D9"/>
    <w:rsid w:val="00C56C4C"/>
    <w:rsid w:val="00C56CCB"/>
    <w:rsid w:val="00C56EDD"/>
    <w:rsid w:val="00C56EF2"/>
    <w:rsid w:val="00C5700E"/>
    <w:rsid w:val="00C570A6"/>
    <w:rsid w:val="00C5730E"/>
    <w:rsid w:val="00C574F7"/>
    <w:rsid w:val="00C57569"/>
    <w:rsid w:val="00C579F3"/>
    <w:rsid w:val="00C57BBA"/>
    <w:rsid w:val="00C57E40"/>
    <w:rsid w:val="00C57E62"/>
    <w:rsid w:val="00C600B3"/>
    <w:rsid w:val="00C60351"/>
    <w:rsid w:val="00C60AAE"/>
    <w:rsid w:val="00C60DE1"/>
    <w:rsid w:val="00C60FBE"/>
    <w:rsid w:val="00C613B8"/>
    <w:rsid w:val="00C61464"/>
    <w:rsid w:val="00C61495"/>
    <w:rsid w:val="00C61643"/>
    <w:rsid w:val="00C61755"/>
    <w:rsid w:val="00C6179C"/>
    <w:rsid w:val="00C6224B"/>
    <w:rsid w:val="00C62631"/>
    <w:rsid w:val="00C62B8E"/>
    <w:rsid w:val="00C6302F"/>
    <w:rsid w:val="00C63235"/>
    <w:rsid w:val="00C632B9"/>
    <w:rsid w:val="00C6390C"/>
    <w:rsid w:val="00C6441B"/>
    <w:rsid w:val="00C64571"/>
    <w:rsid w:val="00C64E36"/>
    <w:rsid w:val="00C64F5B"/>
    <w:rsid w:val="00C64F82"/>
    <w:rsid w:val="00C65ECE"/>
    <w:rsid w:val="00C66747"/>
    <w:rsid w:val="00C66E29"/>
    <w:rsid w:val="00C66F46"/>
    <w:rsid w:val="00C6755A"/>
    <w:rsid w:val="00C67E8E"/>
    <w:rsid w:val="00C67F3E"/>
    <w:rsid w:val="00C70042"/>
    <w:rsid w:val="00C70D9E"/>
    <w:rsid w:val="00C7167C"/>
    <w:rsid w:val="00C71761"/>
    <w:rsid w:val="00C71BD4"/>
    <w:rsid w:val="00C72177"/>
    <w:rsid w:val="00C72F6C"/>
    <w:rsid w:val="00C73B28"/>
    <w:rsid w:val="00C73DBC"/>
    <w:rsid w:val="00C741D9"/>
    <w:rsid w:val="00C74A38"/>
    <w:rsid w:val="00C74B8C"/>
    <w:rsid w:val="00C7505F"/>
    <w:rsid w:val="00C761F6"/>
    <w:rsid w:val="00C763F2"/>
    <w:rsid w:val="00C765B0"/>
    <w:rsid w:val="00C766CC"/>
    <w:rsid w:val="00C767C3"/>
    <w:rsid w:val="00C77430"/>
    <w:rsid w:val="00C77573"/>
    <w:rsid w:val="00C778B8"/>
    <w:rsid w:val="00C8082C"/>
    <w:rsid w:val="00C80CC8"/>
    <w:rsid w:val="00C811D5"/>
    <w:rsid w:val="00C81352"/>
    <w:rsid w:val="00C8187C"/>
    <w:rsid w:val="00C81CBD"/>
    <w:rsid w:val="00C81E3C"/>
    <w:rsid w:val="00C82316"/>
    <w:rsid w:val="00C824F4"/>
    <w:rsid w:val="00C8268A"/>
    <w:rsid w:val="00C8268F"/>
    <w:rsid w:val="00C828DD"/>
    <w:rsid w:val="00C828FD"/>
    <w:rsid w:val="00C82DED"/>
    <w:rsid w:val="00C8303A"/>
    <w:rsid w:val="00C832CA"/>
    <w:rsid w:val="00C8332E"/>
    <w:rsid w:val="00C83535"/>
    <w:rsid w:val="00C835DF"/>
    <w:rsid w:val="00C83767"/>
    <w:rsid w:val="00C83CFD"/>
    <w:rsid w:val="00C83D84"/>
    <w:rsid w:val="00C8414D"/>
    <w:rsid w:val="00C846E3"/>
    <w:rsid w:val="00C84B98"/>
    <w:rsid w:val="00C84D5A"/>
    <w:rsid w:val="00C84EE0"/>
    <w:rsid w:val="00C8548C"/>
    <w:rsid w:val="00C85592"/>
    <w:rsid w:val="00C85A7E"/>
    <w:rsid w:val="00C85BBD"/>
    <w:rsid w:val="00C85DE9"/>
    <w:rsid w:val="00C8717B"/>
    <w:rsid w:val="00C87436"/>
    <w:rsid w:val="00C8745A"/>
    <w:rsid w:val="00C87C52"/>
    <w:rsid w:val="00C87CEA"/>
    <w:rsid w:val="00C902DF"/>
    <w:rsid w:val="00C904A4"/>
    <w:rsid w:val="00C904CE"/>
    <w:rsid w:val="00C90610"/>
    <w:rsid w:val="00C9100D"/>
    <w:rsid w:val="00C9119E"/>
    <w:rsid w:val="00C91651"/>
    <w:rsid w:val="00C917A4"/>
    <w:rsid w:val="00C91850"/>
    <w:rsid w:val="00C91DB7"/>
    <w:rsid w:val="00C922A2"/>
    <w:rsid w:val="00C926A9"/>
    <w:rsid w:val="00C92B2E"/>
    <w:rsid w:val="00C92B65"/>
    <w:rsid w:val="00C93665"/>
    <w:rsid w:val="00C93764"/>
    <w:rsid w:val="00C93F02"/>
    <w:rsid w:val="00C9423E"/>
    <w:rsid w:val="00C94778"/>
    <w:rsid w:val="00C947BD"/>
    <w:rsid w:val="00C94A28"/>
    <w:rsid w:val="00C955C3"/>
    <w:rsid w:val="00C956C6"/>
    <w:rsid w:val="00C958D4"/>
    <w:rsid w:val="00C95D1B"/>
    <w:rsid w:val="00C95E30"/>
    <w:rsid w:val="00C96571"/>
    <w:rsid w:val="00C965EF"/>
    <w:rsid w:val="00C9691D"/>
    <w:rsid w:val="00C96943"/>
    <w:rsid w:val="00C96B1B"/>
    <w:rsid w:val="00C96BF1"/>
    <w:rsid w:val="00C97CEE"/>
    <w:rsid w:val="00CA020A"/>
    <w:rsid w:val="00CA06ED"/>
    <w:rsid w:val="00CA12A2"/>
    <w:rsid w:val="00CA1AEE"/>
    <w:rsid w:val="00CA1D9F"/>
    <w:rsid w:val="00CA21E0"/>
    <w:rsid w:val="00CA2348"/>
    <w:rsid w:val="00CA26DD"/>
    <w:rsid w:val="00CA26EA"/>
    <w:rsid w:val="00CA299C"/>
    <w:rsid w:val="00CA2A7F"/>
    <w:rsid w:val="00CA2BB5"/>
    <w:rsid w:val="00CA2CAA"/>
    <w:rsid w:val="00CA2FB2"/>
    <w:rsid w:val="00CA301B"/>
    <w:rsid w:val="00CA3307"/>
    <w:rsid w:val="00CA337A"/>
    <w:rsid w:val="00CA34ED"/>
    <w:rsid w:val="00CA35BB"/>
    <w:rsid w:val="00CA3D3A"/>
    <w:rsid w:val="00CA3F3F"/>
    <w:rsid w:val="00CA42D6"/>
    <w:rsid w:val="00CA4785"/>
    <w:rsid w:val="00CA478D"/>
    <w:rsid w:val="00CA4B2C"/>
    <w:rsid w:val="00CA4E25"/>
    <w:rsid w:val="00CA4FE1"/>
    <w:rsid w:val="00CA5206"/>
    <w:rsid w:val="00CA5218"/>
    <w:rsid w:val="00CA528A"/>
    <w:rsid w:val="00CA561F"/>
    <w:rsid w:val="00CA64AE"/>
    <w:rsid w:val="00CA64B9"/>
    <w:rsid w:val="00CA6AE5"/>
    <w:rsid w:val="00CA6F84"/>
    <w:rsid w:val="00CA72F5"/>
    <w:rsid w:val="00CA75D3"/>
    <w:rsid w:val="00CA7748"/>
    <w:rsid w:val="00CA79B2"/>
    <w:rsid w:val="00CA7E94"/>
    <w:rsid w:val="00CA7EB0"/>
    <w:rsid w:val="00CB00BE"/>
    <w:rsid w:val="00CB00BF"/>
    <w:rsid w:val="00CB0120"/>
    <w:rsid w:val="00CB038D"/>
    <w:rsid w:val="00CB05E5"/>
    <w:rsid w:val="00CB06B1"/>
    <w:rsid w:val="00CB09A7"/>
    <w:rsid w:val="00CB0A92"/>
    <w:rsid w:val="00CB0B22"/>
    <w:rsid w:val="00CB1267"/>
    <w:rsid w:val="00CB15E9"/>
    <w:rsid w:val="00CB17B7"/>
    <w:rsid w:val="00CB1844"/>
    <w:rsid w:val="00CB19F8"/>
    <w:rsid w:val="00CB1A90"/>
    <w:rsid w:val="00CB1B82"/>
    <w:rsid w:val="00CB1EB8"/>
    <w:rsid w:val="00CB1FDF"/>
    <w:rsid w:val="00CB2123"/>
    <w:rsid w:val="00CB2758"/>
    <w:rsid w:val="00CB27EF"/>
    <w:rsid w:val="00CB2924"/>
    <w:rsid w:val="00CB29AE"/>
    <w:rsid w:val="00CB2BAB"/>
    <w:rsid w:val="00CB2BD5"/>
    <w:rsid w:val="00CB3071"/>
    <w:rsid w:val="00CB30EA"/>
    <w:rsid w:val="00CB3206"/>
    <w:rsid w:val="00CB40B6"/>
    <w:rsid w:val="00CB429C"/>
    <w:rsid w:val="00CB42BE"/>
    <w:rsid w:val="00CB4352"/>
    <w:rsid w:val="00CB462C"/>
    <w:rsid w:val="00CB4FED"/>
    <w:rsid w:val="00CB4FF7"/>
    <w:rsid w:val="00CB50D4"/>
    <w:rsid w:val="00CB533C"/>
    <w:rsid w:val="00CB56B2"/>
    <w:rsid w:val="00CB5BA6"/>
    <w:rsid w:val="00CB5C55"/>
    <w:rsid w:val="00CB6613"/>
    <w:rsid w:val="00CB695D"/>
    <w:rsid w:val="00CB6ABF"/>
    <w:rsid w:val="00CB6D8C"/>
    <w:rsid w:val="00CB6F0F"/>
    <w:rsid w:val="00CB7DD5"/>
    <w:rsid w:val="00CC01C1"/>
    <w:rsid w:val="00CC029D"/>
    <w:rsid w:val="00CC05BC"/>
    <w:rsid w:val="00CC071D"/>
    <w:rsid w:val="00CC097D"/>
    <w:rsid w:val="00CC0D43"/>
    <w:rsid w:val="00CC1415"/>
    <w:rsid w:val="00CC166F"/>
    <w:rsid w:val="00CC17F2"/>
    <w:rsid w:val="00CC1D1A"/>
    <w:rsid w:val="00CC1E34"/>
    <w:rsid w:val="00CC2169"/>
    <w:rsid w:val="00CC24E7"/>
    <w:rsid w:val="00CC2684"/>
    <w:rsid w:val="00CC2722"/>
    <w:rsid w:val="00CC298A"/>
    <w:rsid w:val="00CC2A9A"/>
    <w:rsid w:val="00CC305C"/>
    <w:rsid w:val="00CC3342"/>
    <w:rsid w:val="00CC3521"/>
    <w:rsid w:val="00CC3CD3"/>
    <w:rsid w:val="00CC3CD7"/>
    <w:rsid w:val="00CC468D"/>
    <w:rsid w:val="00CC4CBF"/>
    <w:rsid w:val="00CC4FBD"/>
    <w:rsid w:val="00CC51A1"/>
    <w:rsid w:val="00CC520F"/>
    <w:rsid w:val="00CC5567"/>
    <w:rsid w:val="00CC587C"/>
    <w:rsid w:val="00CC5956"/>
    <w:rsid w:val="00CC5B56"/>
    <w:rsid w:val="00CC605B"/>
    <w:rsid w:val="00CC618A"/>
    <w:rsid w:val="00CC6260"/>
    <w:rsid w:val="00CC65B2"/>
    <w:rsid w:val="00CC673D"/>
    <w:rsid w:val="00CC6833"/>
    <w:rsid w:val="00CC7192"/>
    <w:rsid w:val="00CC764D"/>
    <w:rsid w:val="00CC781E"/>
    <w:rsid w:val="00CC7B9A"/>
    <w:rsid w:val="00CC7C19"/>
    <w:rsid w:val="00CC7C63"/>
    <w:rsid w:val="00CC7E23"/>
    <w:rsid w:val="00CD04B1"/>
    <w:rsid w:val="00CD06DD"/>
    <w:rsid w:val="00CD06E4"/>
    <w:rsid w:val="00CD080D"/>
    <w:rsid w:val="00CD0A0D"/>
    <w:rsid w:val="00CD12C0"/>
    <w:rsid w:val="00CD1333"/>
    <w:rsid w:val="00CD1404"/>
    <w:rsid w:val="00CD15CC"/>
    <w:rsid w:val="00CD1BA4"/>
    <w:rsid w:val="00CD1C62"/>
    <w:rsid w:val="00CD1DD0"/>
    <w:rsid w:val="00CD1FCC"/>
    <w:rsid w:val="00CD213F"/>
    <w:rsid w:val="00CD21C5"/>
    <w:rsid w:val="00CD290B"/>
    <w:rsid w:val="00CD2A72"/>
    <w:rsid w:val="00CD3C4F"/>
    <w:rsid w:val="00CD4A96"/>
    <w:rsid w:val="00CD4EF3"/>
    <w:rsid w:val="00CD51C4"/>
    <w:rsid w:val="00CD5396"/>
    <w:rsid w:val="00CD55F6"/>
    <w:rsid w:val="00CD6353"/>
    <w:rsid w:val="00CD6495"/>
    <w:rsid w:val="00CD66B7"/>
    <w:rsid w:val="00CD6AF0"/>
    <w:rsid w:val="00CD6C60"/>
    <w:rsid w:val="00CD6C68"/>
    <w:rsid w:val="00CD6C86"/>
    <w:rsid w:val="00CD6CF7"/>
    <w:rsid w:val="00CE00EB"/>
    <w:rsid w:val="00CE04D0"/>
    <w:rsid w:val="00CE0EDE"/>
    <w:rsid w:val="00CE132A"/>
    <w:rsid w:val="00CE28E3"/>
    <w:rsid w:val="00CE2D9D"/>
    <w:rsid w:val="00CE38C2"/>
    <w:rsid w:val="00CE3FBF"/>
    <w:rsid w:val="00CE495A"/>
    <w:rsid w:val="00CE49D9"/>
    <w:rsid w:val="00CE4D3A"/>
    <w:rsid w:val="00CE4DAC"/>
    <w:rsid w:val="00CE5050"/>
    <w:rsid w:val="00CE50A9"/>
    <w:rsid w:val="00CE52A8"/>
    <w:rsid w:val="00CE5460"/>
    <w:rsid w:val="00CE56B6"/>
    <w:rsid w:val="00CE62C7"/>
    <w:rsid w:val="00CE643B"/>
    <w:rsid w:val="00CE6A75"/>
    <w:rsid w:val="00CE6D49"/>
    <w:rsid w:val="00CE7188"/>
    <w:rsid w:val="00CE75A7"/>
    <w:rsid w:val="00CE7BC8"/>
    <w:rsid w:val="00CE7F89"/>
    <w:rsid w:val="00CE7FDA"/>
    <w:rsid w:val="00CF0F8E"/>
    <w:rsid w:val="00CF1203"/>
    <w:rsid w:val="00CF1A2D"/>
    <w:rsid w:val="00CF1D99"/>
    <w:rsid w:val="00CF21DC"/>
    <w:rsid w:val="00CF25BA"/>
    <w:rsid w:val="00CF2613"/>
    <w:rsid w:val="00CF2913"/>
    <w:rsid w:val="00CF32E8"/>
    <w:rsid w:val="00CF3D20"/>
    <w:rsid w:val="00CF439F"/>
    <w:rsid w:val="00CF5049"/>
    <w:rsid w:val="00CF515D"/>
    <w:rsid w:val="00CF57E6"/>
    <w:rsid w:val="00CF5A7D"/>
    <w:rsid w:val="00CF5AB4"/>
    <w:rsid w:val="00CF60EE"/>
    <w:rsid w:val="00CF626F"/>
    <w:rsid w:val="00CF6309"/>
    <w:rsid w:val="00CF6998"/>
    <w:rsid w:val="00CF6BFA"/>
    <w:rsid w:val="00CF70FF"/>
    <w:rsid w:val="00CF7120"/>
    <w:rsid w:val="00CF724C"/>
    <w:rsid w:val="00CF7712"/>
    <w:rsid w:val="00CF7CB1"/>
    <w:rsid w:val="00CF7FFC"/>
    <w:rsid w:val="00D001B4"/>
    <w:rsid w:val="00D003B7"/>
    <w:rsid w:val="00D008E9"/>
    <w:rsid w:val="00D00E36"/>
    <w:rsid w:val="00D00E55"/>
    <w:rsid w:val="00D00F70"/>
    <w:rsid w:val="00D01392"/>
    <w:rsid w:val="00D01458"/>
    <w:rsid w:val="00D01731"/>
    <w:rsid w:val="00D01930"/>
    <w:rsid w:val="00D01B40"/>
    <w:rsid w:val="00D01E41"/>
    <w:rsid w:val="00D01F84"/>
    <w:rsid w:val="00D0286E"/>
    <w:rsid w:val="00D02B65"/>
    <w:rsid w:val="00D02F4F"/>
    <w:rsid w:val="00D032A3"/>
    <w:rsid w:val="00D03590"/>
    <w:rsid w:val="00D035A8"/>
    <w:rsid w:val="00D03636"/>
    <w:rsid w:val="00D038F1"/>
    <w:rsid w:val="00D03A0A"/>
    <w:rsid w:val="00D03E62"/>
    <w:rsid w:val="00D04511"/>
    <w:rsid w:val="00D04851"/>
    <w:rsid w:val="00D04C0D"/>
    <w:rsid w:val="00D04CB3"/>
    <w:rsid w:val="00D05660"/>
    <w:rsid w:val="00D057A0"/>
    <w:rsid w:val="00D05A2D"/>
    <w:rsid w:val="00D05E39"/>
    <w:rsid w:val="00D062EE"/>
    <w:rsid w:val="00D065D1"/>
    <w:rsid w:val="00D069E7"/>
    <w:rsid w:val="00D06F87"/>
    <w:rsid w:val="00D07708"/>
    <w:rsid w:val="00D0788A"/>
    <w:rsid w:val="00D078F7"/>
    <w:rsid w:val="00D07E7E"/>
    <w:rsid w:val="00D07F80"/>
    <w:rsid w:val="00D10221"/>
    <w:rsid w:val="00D1026A"/>
    <w:rsid w:val="00D103E7"/>
    <w:rsid w:val="00D104DE"/>
    <w:rsid w:val="00D10C2F"/>
    <w:rsid w:val="00D13315"/>
    <w:rsid w:val="00D13613"/>
    <w:rsid w:val="00D13678"/>
    <w:rsid w:val="00D13937"/>
    <w:rsid w:val="00D13F23"/>
    <w:rsid w:val="00D14274"/>
    <w:rsid w:val="00D14BC3"/>
    <w:rsid w:val="00D14D35"/>
    <w:rsid w:val="00D14E59"/>
    <w:rsid w:val="00D155C0"/>
    <w:rsid w:val="00D15955"/>
    <w:rsid w:val="00D15C29"/>
    <w:rsid w:val="00D163E2"/>
    <w:rsid w:val="00D164D1"/>
    <w:rsid w:val="00D16AAE"/>
    <w:rsid w:val="00D16E2F"/>
    <w:rsid w:val="00D16E6F"/>
    <w:rsid w:val="00D1733D"/>
    <w:rsid w:val="00D17E04"/>
    <w:rsid w:val="00D17E14"/>
    <w:rsid w:val="00D20031"/>
    <w:rsid w:val="00D203AD"/>
    <w:rsid w:val="00D203C2"/>
    <w:rsid w:val="00D20CEB"/>
    <w:rsid w:val="00D20F2C"/>
    <w:rsid w:val="00D21162"/>
    <w:rsid w:val="00D21407"/>
    <w:rsid w:val="00D214BC"/>
    <w:rsid w:val="00D22058"/>
    <w:rsid w:val="00D220D4"/>
    <w:rsid w:val="00D22395"/>
    <w:rsid w:val="00D22798"/>
    <w:rsid w:val="00D22FE5"/>
    <w:rsid w:val="00D232FC"/>
    <w:rsid w:val="00D23B7E"/>
    <w:rsid w:val="00D241DC"/>
    <w:rsid w:val="00D244BC"/>
    <w:rsid w:val="00D24FF1"/>
    <w:rsid w:val="00D2502C"/>
    <w:rsid w:val="00D2523F"/>
    <w:rsid w:val="00D256CF"/>
    <w:rsid w:val="00D25E35"/>
    <w:rsid w:val="00D2630F"/>
    <w:rsid w:val="00D266CD"/>
    <w:rsid w:val="00D26D01"/>
    <w:rsid w:val="00D270B1"/>
    <w:rsid w:val="00D2710A"/>
    <w:rsid w:val="00D272FA"/>
    <w:rsid w:val="00D273A4"/>
    <w:rsid w:val="00D27581"/>
    <w:rsid w:val="00D27653"/>
    <w:rsid w:val="00D2774D"/>
    <w:rsid w:val="00D278CA"/>
    <w:rsid w:val="00D279E0"/>
    <w:rsid w:val="00D27AF1"/>
    <w:rsid w:val="00D31142"/>
    <w:rsid w:val="00D313B3"/>
    <w:rsid w:val="00D31BF0"/>
    <w:rsid w:val="00D31C1B"/>
    <w:rsid w:val="00D323A4"/>
    <w:rsid w:val="00D324D5"/>
    <w:rsid w:val="00D3292B"/>
    <w:rsid w:val="00D32B2B"/>
    <w:rsid w:val="00D32D8E"/>
    <w:rsid w:val="00D32D96"/>
    <w:rsid w:val="00D33196"/>
    <w:rsid w:val="00D33791"/>
    <w:rsid w:val="00D33B97"/>
    <w:rsid w:val="00D33BA7"/>
    <w:rsid w:val="00D33D65"/>
    <w:rsid w:val="00D33F02"/>
    <w:rsid w:val="00D33F0A"/>
    <w:rsid w:val="00D3409A"/>
    <w:rsid w:val="00D346B8"/>
    <w:rsid w:val="00D346D4"/>
    <w:rsid w:val="00D34AC2"/>
    <w:rsid w:val="00D3516C"/>
    <w:rsid w:val="00D35519"/>
    <w:rsid w:val="00D355D7"/>
    <w:rsid w:val="00D358F7"/>
    <w:rsid w:val="00D3597E"/>
    <w:rsid w:val="00D35D8C"/>
    <w:rsid w:val="00D35F5D"/>
    <w:rsid w:val="00D35F6A"/>
    <w:rsid w:val="00D36249"/>
    <w:rsid w:val="00D36376"/>
    <w:rsid w:val="00D3661C"/>
    <w:rsid w:val="00D36C4F"/>
    <w:rsid w:val="00D36D97"/>
    <w:rsid w:val="00D36E67"/>
    <w:rsid w:val="00D36FDA"/>
    <w:rsid w:val="00D372C4"/>
    <w:rsid w:val="00D376A3"/>
    <w:rsid w:val="00D37EF5"/>
    <w:rsid w:val="00D409AA"/>
    <w:rsid w:val="00D40A8F"/>
    <w:rsid w:val="00D4108A"/>
    <w:rsid w:val="00D415CB"/>
    <w:rsid w:val="00D419C9"/>
    <w:rsid w:val="00D421DF"/>
    <w:rsid w:val="00D424EF"/>
    <w:rsid w:val="00D42858"/>
    <w:rsid w:val="00D428B9"/>
    <w:rsid w:val="00D43246"/>
    <w:rsid w:val="00D43264"/>
    <w:rsid w:val="00D43274"/>
    <w:rsid w:val="00D43725"/>
    <w:rsid w:val="00D43D44"/>
    <w:rsid w:val="00D442AE"/>
    <w:rsid w:val="00D4459C"/>
    <w:rsid w:val="00D44876"/>
    <w:rsid w:val="00D44B80"/>
    <w:rsid w:val="00D45105"/>
    <w:rsid w:val="00D454C1"/>
    <w:rsid w:val="00D45750"/>
    <w:rsid w:val="00D457EA"/>
    <w:rsid w:val="00D45C42"/>
    <w:rsid w:val="00D45ED5"/>
    <w:rsid w:val="00D46390"/>
    <w:rsid w:val="00D474D4"/>
    <w:rsid w:val="00D477C9"/>
    <w:rsid w:val="00D4781B"/>
    <w:rsid w:val="00D50567"/>
    <w:rsid w:val="00D50584"/>
    <w:rsid w:val="00D5082B"/>
    <w:rsid w:val="00D51455"/>
    <w:rsid w:val="00D5151C"/>
    <w:rsid w:val="00D51592"/>
    <w:rsid w:val="00D51709"/>
    <w:rsid w:val="00D51773"/>
    <w:rsid w:val="00D518A8"/>
    <w:rsid w:val="00D51941"/>
    <w:rsid w:val="00D52473"/>
    <w:rsid w:val="00D52B82"/>
    <w:rsid w:val="00D52E54"/>
    <w:rsid w:val="00D52EFE"/>
    <w:rsid w:val="00D52FF5"/>
    <w:rsid w:val="00D5451B"/>
    <w:rsid w:val="00D54AA1"/>
    <w:rsid w:val="00D54F9D"/>
    <w:rsid w:val="00D552ED"/>
    <w:rsid w:val="00D55EC3"/>
    <w:rsid w:val="00D5627E"/>
    <w:rsid w:val="00D56337"/>
    <w:rsid w:val="00D564CC"/>
    <w:rsid w:val="00D56803"/>
    <w:rsid w:val="00D56C04"/>
    <w:rsid w:val="00D56DFA"/>
    <w:rsid w:val="00D572B0"/>
    <w:rsid w:val="00D5773E"/>
    <w:rsid w:val="00D57E3F"/>
    <w:rsid w:val="00D601E3"/>
    <w:rsid w:val="00D6038F"/>
    <w:rsid w:val="00D606EA"/>
    <w:rsid w:val="00D60BA5"/>
    <w:rsid w:val="00D60BB2"/>
    <w:rsid w:val="00D60D9F"/>
    <w:rsid w:val="00D60E22"/>
    <w:rsid w:val="00D61302"/>
    <w:rsid w:val="00D61463"/>
    <w:rsid w:val="00D61595"/>
    <w:rsid w:val="00D6172A"/>
    <w:rsid w:val="00D6173C"/>
    <w:rsid w:val="00D6203F"/>
    <w:rsid w:val="00D622F2"/>
    <w:rsid w:val="00D6277E"/>
    <w:rsid w:val="00D62AA7"/>
    <w:rsid w:val="00D62D29"/>
    <w:rsid w:val="00D62DFB"/>
    <w:rsid w:val="00D62F4D"/>
    <w:rsid w:val="00D63032"/>
    <w:rsid w:val="00D634E8"/>
    <w:rsid w:val="00D63AA8"/>
    <w:rsid w:val="00D63C23"/>
    <w:rsid w:val="00D63C9C"/>
    <w:rsid w:val="00D63FC8"/>
    <w:rsid w:val="00D640A6"/>
    <w:rsid w:val="00D64100"/>
    <w:rsid w:val="00D64345"/>
    <w:rsid w:val="00D6456B"/>
    <w:rsid w:val="00D64647"/>
    <w:rsid w:val="00D64906"/>
    <w:rsid w:val="00D652D9"/>
    <w:rsid w:val="00D657E6"/>
    <w:rsid w:val="00D658D0"/>
    <w:rsid w:val="00D659BA"/>
    <w:rsid w:val="00D65BC1"/>
    <w:rsid w:val="00D66808"/>
    <w:rsid w:val="00D66985"/>
    <w:rsid w:val="00D66AE5"/>
    <w:rsid w:val="00D66B96"/>
    <w:rsid w:val="00D67183"/>
    <w:rsid w:val="00D67793"/>
    <w:rsid w:val="00D679B5"/>
    <w:rsid w:val="00D67E35"/>
    <w:rsid w:val="00D67F06"/>
    <w:rsid w:val="00D67F3A"/>
    <w:rsid w:val="00D67F6F"/>
    <w:rsid w:val="00D70621"/>
    <w:rsid w:val="00D70686"/>
    <w:rsid w:val="00D707A9"/>
    <w:rsid w:val="00D70842"/>
    <w:rsid w:val="00D70B50"/>
    <w:rsid w:val="00D70B53"/>
    <w:rsid w:val="00D70DDA"/>
    <w:rsid w:val="00D70E50"/>
    <w:rsid w:val="00D715B7"/>
    <w:rsid w:val="00D72CFF"/>
    <w:rsid w:val="00D72D96"/>
    <w:rsid w:val="00D734A2"/>
    <w:rsid w:val="00D73AD9"/>
    <w:rsid w:val="00D73B10"/>
    <w:rsid w:val="00D74CF5"/>
    <w:rsid w:val="00D74D2E"/>
    <w:rsid w:val="00D74DB6"/>
    <w:rsid w:val="00D74E32"/>
    <w:rsid w:val="00D75479"/>
    <w:rsid w:val="00D7683F"/>
    <w:rsid w:val="00D768FD"/>
    <w:rsid w:val="00D76DA2"/>
    <w:rsid w:val="00D77182"/>
    <w:rsid w:val="00D772C5"/>
    <w:rsid w:val="00D77B20"/>
    <w:rsid w:val="00D77D8F"/>
    <w:rsid w:val="00D802D1"/>
    <w:rsid w:val="00D80388"/>
    <w:rsid w:val="00D80C29"/>
    <w:rsid w:val="00D80C5D"/>
    <w:rsid w:val="00D81124"/>
    <w:rsid w:val="00D81224"/>
    <w:rsid w:val="00D81994"/>
    <w:rsid w:val="00D82B06"/>
    <w:rsid w:val="00D82B3C"/>
    <w:rsid w:val="00D82BF1"/>
    <w:rsid w:val="00D82ED3"/>
    <w:rsid w:val="00D82F33"/>
    <w:rsid w:val="00D8316D"/>
    <w:rsid w:val="00D8358F"/>
    <w:rsid w:val="00D83758"/>
    <w:rsid w:val="00D83820"/>
    <w:rsid w:val="00D8384E"/>
    <w:rsid w:val="00D83857"/>
    <w:rsid w:val="00D8391F"/>
    <w:rsid w:val="00D83B51"/>
    <w:rsid w:val="00D83C27"/>
    <w:rsid w:val="00D83F70"/>
    <w:rsid w:val="00D8416F"/>
    <w:rsid w:val="00D84A3E"/>
    <w:rsid w:val="00D84ECA"/>
    <w:rsid w:val="00D8511E"/>
    <w:rsid w:val="00D8525E"/>
    <w:rsid w:val="00D85A30"/>
    <w:rsid w:val="00D85B56"/>
    <w:rsid w:val="00D86695"/>
    <w:rsid w:val="00D871CB"/>
    <w:rsid w:val="00D872C0"/>
    <w:rsid w:val="00D87B2E"/>
    <w:rsid w:val="00D87F4A"/>
    <w:rsid w:val="00D900B8"/>
    <w:rsid w:val="00D9041B"/>
    <w:rsid w:val="00D90557"/>
    <w:rsid w:val="00D90567"/>
    <w:rsid w:val="00D90897"/>
    <w:rsid w:val="00D90DBB"/>
    <w:rsid w:val="00D9141D"/>
    <w:rsid w:val="00D9145B"/>
    <w:rsid w:val="00D9160E"/>
    <w:rsid w:val="00D916AE"/>
    <w:rsid w:val="00D917F6"/>
    <w:rsid w:val="00D92046"/>
    <w:rsid w:val="00D9297A"/>
    <w:rsid w:val="00D92EB1"/>
    <w:rsid w:val="00D92F6D"/>
    <w:rsid w:val="00D93019"/>
    <w:rsid w:val="00D93443"/>
    <w:rsid w:val="00D93479"/>
    <w:rsid w:val="00D9367B"/>
    <w:rsid w:val="00D93993"/>
    <w:rsid w:val="00D939A8"/>
    <w:rsid w:val="00D93A1A"/>
    <w:rsid w:val="00D94009"/>
    <w:rsid w:val="00D94268"/>
    <w:rsid w:val="00D946C9"/>
    <w:rsid w:val="00D94BE2"/>
    <w:rsid w:val="00D94CF3"/>
    <w:rsid w:val="00D95627"/>
    <w:rsid w:val="00D95AB9"/>
    <w:rsid w:val="00D95C61"/>
    <w:rsid w:val="00D95E98"/>
    <w:rsid w:val="00D95FE6"/>
    <w:rsid w:val="00D96151"/>
    <w:rsid w:val="00D96417"/>
    <w:rsid w:val="00D9667F"/>
    <w:rsid w:val="00D967A8"/>
    <w:rsid w:val="00D96B61"/>
    <w:rsid w:val="00D96CC5"/>
    <w:rsid w:val="00D96DB6"/>
    <w:rsid w:val="00D97299"/>
    <w:rsid w:val="00D97B51"/>
    <w:rsid w:val="00DA00E5"/>
    <w:rsid w:val="00DA01E2"/>
    <w:rsid w:val="00DA0312"/>
    <w:rsid w:val="00DA0473"/>
    <w:rsid w:val="00DA058E"/>
    <w:rsid w:val="00DA0785"/>
    <w:rsid w:val="00DA09CF"/>
    <w:rsid w:val="00DA0D7C"/>
    <w:rsid w:val="00DA17E6"/>
    <w:rsid w:val="00DA1C17"/>
    <w:rsid w:val="00DA27DB"/>
    <w:rsid w:val="00DA27F5"/>
    <w:rsid w:val="00DA2809"/>
    <w:rsid w:val="00DA293C"/>
    <w:rsid w:val="00DA2AE3"/>
    <w:rsid w:val="00DA3A27"/>
    <w:rsid w:val="00DA3A76"/>
    <w:rsid w:val="00DA3AC6"/>
    <w:rsid w:val="00DA3CD0"/>
    <w:rsid w:val="00DA42FD"/>
    <w:rsid w:val="00DA44E5"/>
    <w:rsid w:val="00DA48B2"/>
    <w:rsid w:val="00DA4A84"/>
    <w:rsid w:val="00DA4C43"/>
    <w:rsid w:val="00DA4C88"/>
    <w:rsid w:val="00DA4ECA"/>
    <w:rsid w:val="00DA512C"/>
    <w:rsid w:val="00DA59F8"/>
    <w:rsid w:val="00DA5D75"/>
    <w:rsid w:val="00DA5E22"/>
    <w:rsid w:val="00DA5FA4"/>
    <w:rsid w:val="00DA5FD2"/>
    <w:rsid w:val="00DA61B0"/>
    <w:rsid w:val="00DA61D1"/>
    <w:rsid w:val="00DA6765"/>
    <w:rsid w:val="00DA6F4E"/>
    <w:rsid w:val="00DA7053"/>
    <w:rsid w:val="00DA7210"/>
    <w:rsid w:val="00DA75EF"/>
    <w:rsid w:val="00DA765F"/>
    <w:rsid w:val="00DA76EC"/>
    <w:rsid w:val="00DB003C"/>
    <w:rsid w:val="00DB0043"/>
    <w:rsid w:val="00DB020C"/>
    <w:rsid w:val="00DB0B20"/>
    <w:rsid w:val="00DB0CEC"/>
    <w:rsid w:val="00DB0EDA"/>
    <w:rsid w:val="00DB12F8"/>
    <w:rsid w:val="00DB1C25"/>
    <w:rsid w:val="00DB1DA5"/>
    <w:rsid w:val="00DB1E0A"/>
    <w:rsid w:val="00DB1E91"/>
    <w:rsid w:val="00DB20F2"/>
    <w:rsid w:val="00DB2361"/>
    <w:rsid w:val="00DB2A10"/>
    <w:rsid w:val="00DB2B04"/>
    <w:rsid w:val="00DB3059"/>
    <w:rsid w:val="00DB3495"/>
    <w:rsid w:val="00DB367B"/>
    <w:rsid w:val="00DB3B88"/>
    <w:rsid w:val="00DB3DAC"/>
    <w:rsid w:val="00DB3F21"/>
    <w:rsid w:val="00DB411B"/>
    <w:rsid w:val="00DB4206"/>
    <w:rsid w:val="00DB4410"/>
    <w:rsid w:val="00DB454F"/>
    <w:rsid w:val="00DB48C5"/>
    <w:rsid w:val="00DB4AB9"/>
    <w:rsid w:val="00DB4AFE"/>
    <w:rsid w:val="00DB4E81"/>
    <w:rsid w:val="00DB5117"/>
    <w:rsid w:val="00DB5158"/>
    <w:rsid w:val="00DB51B2"/>
    <w:rsid w:val="00DB587D"/>
    <w:rsid w:val="00DB6031"/>
    <w:rsid w:val="00DB63CC"/>
    <w:rsid w:val="00DB655B"/>
    <w:rsid w:val="00DB6571"/>
    <w:rsid w:val="00DB664A"/>
    <w:rsid w:val="00DB6C76"/>
    <w:rsid w:val="00DB6F15"/>
    <w:rsid w:val="00DB73D9"/>
    <w:rsid w:val="00DB7463"/>
    <w:rsid w:val="00DB7516"/>
    <w:rsid w:val="00DB7668"/>
    <w:rsid w:val="00DB7CF5"/>
    <w:rsid w:val="00DB7EB9"/>
    <w:rsid w:val="00DB7F74"/>
    <w:rsid w:val="00DB7FD7"/>
    <w:rsid w:val="00DC14AF"/>
    <w:rsid w:val="00DC156C"/>
    <w:rsid w:val="00DC1720"/>
    <w:rsid w:val="00DC181C"/>
    <w:rsid w:val="00DC1B5A"/>
    <w:rsid w:val="00DC1F9B"/>
    <w:rsid w:val="00DC2169"/>
    <w:rsid w:val="00DC21B5"/>
    <w:rsid w:val="00DC23D7"/>
    <w:rsid w:val="00DC267D"/>
    <w:rsid w:val="00DC27FD"/>
    <w:rsid w:val="00DC2FE0"/>
    <w:rsid w:val="00DC31C1"/>
    <w:rsid w:val="00DC3434"/>
    <w:rsid w:val="00DC3438"/>
    <w:rsid w:val="00DC356D"/>
    <w:rsid w:val="00DC3589"/>
    <w:rsid w:val="00DC35E4"/>
    <w:rsid w:val="00DC3633"/>
    <w:rsid w:val="00DC381B"/>
    <w:rsid w:val="00DC3AF4"/>
    <w:rsid w:val="00DC3BAC"/>
    <w:rsid w:val="00DC4108"/>
    <w:rsid w:val="00DC43BB"/>
    <w:rsid w:val="00DC479F"/>
    <w:rsid w:val="00DC4AB4"/>
    <w:rsid w:val="00DC4EC7"/>
    <w:rsid w:val="00DC4F23"/>
    <w:rsid w:val="00DC4F64"/>
    <w:rsid w:val="00DC4FEF"/>
    <w:rsid w:val="00DC50C5"/>
    <w:rsid w:val="00DC51BF"/>
    <w:rsid w:val="00DC537E"/>
    <w:rsid w:val="00DC5576"/>
    <w:rsid w:val="00DC5C5B"/>
    <w:rsid w:val="00DC600B"/>
    <w:rsid w:val="00DC6040"/>
    <w:rsid w:val="00DC61D1"/>
    <w:rsid w:val="00DC64A7"/>
    <w:rsid w:val="00DC68E5"/>
    <w:rsid w:val="00DC6D3C"/>
    <w:rsid w:val="00DC71ED"/>
    <w:rsid w:val="00DC773A"/>
    <w:rsid w:val="00DC7B96"/>
    <w:rsid w:val="00DC7FFA"/>
    <w:rsid w:val="00DD081E"/>
    <w:rsid w:val="00DD0953"/>
    <w:rsid w:val="00DD0A3A"/>
    <w:rsid w:val="00DD101F"/>
    <w:rsid w:val="00DD11B6"/>
    <w:rsid w:val="00DD13AC"/>
    <w:rsid w:val="00DD1A95"/>
    <w:rsid w:val="00DD1BDC"/>
    <w:rsid w:val="00DD1D3B"/>
    <w:rsid w:val="00DD228A"/>
    <w:rsid w:val="00DD230B"/>
    <w:rsid w:val="00DD253C"/>
    <w:rsid w:val="00DD2635"/>
    <w:rsid w:val="00DD2C81"/>
    <w:rsid w:val="00DD2D31"/>
    <w:rsid w:val="00DD35A0"/>
    <w:rsid w:val="00DD3BFE"/>
    <w:rsid w:val="00DD3C1F"/>
    <w:rsid w:val="00DD3E17"/>
    <w:rsid w:val="00DD3E78"/>
    <w:rsid w:val="00DD4468"/>
    <w:rsid w:val="00DD45E8"/>
    <w:rsid w:val="00DD4854"/>
    <w:rsid w:val="00DD494C"/>
    <w:rsid w:val="00DD4A10"/>
    <w:rsid w:val="00DD4E58"/>
    <w:rsid w:val="00DD514C"/>
    <w:rsid w:val="00DD55F7"/>
    <w:rsid w:val="00DD5700"/>
    <w:rsid w:val="00DD5C64"/>
    <w:rsid w:val="00DD63A0"/>
    <w:rsid w:val="00DD642F"/>
    <w:rsid w:val="00DD65E9"/>
    <w:rsid w:val="00DD665D"/>
    <w:rsid w:val="00DD6E0B"/>
    <w:rsid w:val="00DD6FC5"/>
    <w:rsid w:val="00DD7165"/>
    <w:rsid w:val="00DD737F"/>
    <w:rsid w:val="00DD77A1"/>
    <w:rsid w:val="00DD79A6"/>
    <w:rsid w:val="00DE012B"/>
    <w:rsid w:val="00DE0604"/>
    <w:rsid w:val="00DE06AF"/>
    <w:rsid w:val="00DE0B24"/>
    <w:rsid w:val="00DE0D49"/>
    <w:rsid w:val="00DE1838"/>
    <w:rsid w:val="00DE1FDC"/>
    <w:rsid w:val="00DE2012"/>
    <w:rsid w:val="00DE2496"/>
    <w:rsid w:val="00DE267C"/>
    <w:rsid w:val="00DE2955"/>
    <w:rsid w:val="00DE2F07"/>
    <w:rsid w:val="00DE31F1"/>
    <w:rsid w:val="00DE33CB"/>
    <w:rsid w:val="00DE3BEA"/>
    <w:rsid w:val="00DE3E9C"/>
    <w:rsid w:val="00DE3EDC"/>
    <w:rsid w:val="00DE4E66"/>
    <w:rsid w:val="00DE4FB0"/>
    <w:rsid w:val="00DE501F"/>
    <w:rsid w:val="00DE5A5E"/>
    <w:rsid w:val="00DE659F"/>
    <w:rsid w:val="00DE6D23"/>
    <w:rsid w:val="00DE7099"/>
    <w:rsid w:val="00DE71A9"/>
    <w:rsid w:val="00DE7438"/>
    <w:rsid w:val="00DE7D70"/>
    <w:rsid w:val="00DF037B"/>
    <w:rsid w:val="00DF03A4"/>
    <w:rsid w:val="00DF0608"/>
    <w:rsid w:val="00DF0FAA"/>
    <w:rsid w:val="00DF18F4"/>
    <w:rsid w:val="00DF21CA"/>
    <w:rsid w:val="00DF2546"/>
    <w:rsid w:val="00DF284B"/>
    <w:rsid w:val="00DF2AA7"/>
    <w:rsid w:val="00DF341B"/>
    <w:rsid w:val="00DF376D"/>
    <w:rsid w:val="00DF39E9"/>
    <w:rsid w:val="00DF3C4C"/>
    <w:rsid w:val="00DF3E9D"/>
    <w:rsid w:val="00DF3EDD"/>
    <w:rsid w:val="00DF431B"/>
    <w:rsid w:val="00DF47E3"/>
    <w:rsid w:val="00DF4904"/>
    <w:rsid w:val="00DF4B1E"/>
    <w:rsid w:val="00DF4F17"/>
    <w:rsid w:val="00DF5330"/>
    <w:rsid w:val="00DF54C6"/>
    <w:rsid w:val="00DF54FF"/>
    <w:rsid w:val="00DF6307"/>
    <w:rsid w:val="00DF63EE"/>
    <w:rsid w:val="00DF66DB"/>
    <w:rsid w:val="00DF6E5E"/>
    <w:rsid w:val="00DF74D9"/>
    <w:rsid w:val="00DF787E"/>
    <w:rsid w:val="00DF7C27"/>
    <w:rsid w:val="00DF7CF3"/>
    <w:rsid w:val="00DF7E60"/>
    <w:rsid w:val="00E0011C"/>
    <w:rsid w:val="00E00148"/>
    <w:rsid w:val="00E00393"/>
    <w:rsid w:val="00E004EF"/>
    <w:rsid w:val="00E00809"/>
    <w:rsid w:val="00E00C49"/>
    <w:rsid w:val="00E00F23"/>
    <w:rsid w:val="00E0134A"/>
    <w:rsid w:val="00E0174E"/>
    <w:rsid w:val="00E02616"/>
    <w:rsid w:val="00E02618"/>
    <w:rsid w:val="00E0352B"/>
    <w:rsid w:val="00E0358B"/>
    <w:rsid w:val="00E035D0"/>
    <w:rsid w:val="00E0360B"/>
    <w:rsid w:val="00E03A96"/>
    <w:rsid w:val="00E041FD"/>
    <w:rsid w:val="00E042D1"/>
    <w:rsid w:val="00E045E3"/>
    <w:rsid w:val="00E04A66"/>
    <w:rsid w:val="00E04AEB"/>
    <w:rsid w:val="00E05D56"/>
    <w:rsid w:val="00E05EA1"/>
    <w:rsid w:val="00E060F5"/>
    <w:rsid w:val="00E06255"/>
    <w:rsid w:val="00E0639F"/>
    <w:rsid w:val="00E06821"/>
    <w:rsid w:val="00E070E0"/>
    <w:rsid w:val="00E07730"/>
    <w:rsid w:val="00E079AA"/>
    <w:rsid w:val="00E079B8"/>
    <w:rsid w:val="00E07F9F"/>
    <w:rsid w:val="00E10024"/>
    <w:rsid w:val="00E102BB"/>
    <w:rsid w:val="00E1050C"/>
    <w:rsid w:val="00E105A9"/>
    <w:rsid w:val="00E105CB"/>
    <w:rsid w:val="00E1106A"/>
    <w:rsid w:val="00E11722"/>
    <w:rsid w:val="00E11757"/>
    <w:rsid w:val="00E11EA6"/>
    <w:rsid w:val="00E1212F"/>
    <w:rsid w:val="00E127A8"/>
    <w:rsid w:val="00E12DFD"/>
    <w:rsid w:val="00E13170"/>
    <w:rsid w:val="00E136F9"/>
    <w:rsid w:val="00E13838"/>
    <w:rsid w:val="00E13A23"/>
    <w:rsid w:val="00E13EF7"/>
    <w:rsid w:val="00E1436D"/>
    <w:rsid w:val="00E143C4"/>
    <w:rsid w:val="00E14958"/>
    <w:rsid w:val="00E14E8C"/>
    <w:rsid w:val="00E15056"/>
    <w:rsid w:val="00E1507B"/>
    <w:rsid w:val="00E15315"/>
    <w:rsid w:val="00E15C23"/>
    <w:rsid w:val="00E15D76"/>
    <w:rsid w:val="00E15DB1"/>
    <w:rsid w:val="00E16004"/>
    <w:rsid w:val="00E16035"/>
    <w:rsid w:val="00E1636C"/>
    <w:rsid w:val="00E164E2"/>
    <w:rsid w:val="00E164F9"/>
    <w:rsid w:val="00E168DF"/>
    <w:rsid w:val="00E17552"/>
    <w:rsid w:val="00E178C2"/>
    <w:rsid w:val="00E17D34"/>
    <w:rsid w:val="00E17DFF"/>
    <w:rsid w:val="00E201AA"/>
    <w:rsid w:val="00E20223"/>
    <w:rsid w:val="00E202CA"/>
    <w:rsid w:val="00E2070D"/>
    <w:rsid w:val="00E20832"/>
    <w:rsid w:val="00E20E62"/>
    <w:rsid w:val="00E20EBC"/>
    <w:rsid w:val="00E210FB"/>
    <w:rsid w:val="00E21B03"/>
    <w:rsid w:val="00E21D33"/>
    <w:rsid w:val="00E22129"/>
    <w:rsid w:val="00E2242C"/>
    <w:rsid w:val="00E22445"/>
    <w:rsid w:val="00E22B17"/>
    <w:rsid w:val="00E22B8D"/>
    <w:rsid w:val="00E22C0D"/>
    <w:rsid w:val="00E22C1B"/>
    <w:rsid w:val="00E22C38"/>
    <w:rsid w:val="00E23747"/>
    <w:rsid w:val="00E23794"/>
    <w:rsid w:val="00E23B00"/>
    <w:rsid w:val="00E23C94"/>
    <w:rsid w:val="00E23FE4"/>
    <w:rsid w:val="00E24027"/>
    <w:rsid w:val="00E2449F"/>
    <w:rsid w:val="00E24769"/>
    <w:rsid w:val="00E24C2A"/>
    <w:rsid w:val="00E252D7"/>
    <w:rsid w:val="00E25A16"/>
    <w:rsid w:val="00E25C07"/>
    <w:rsid w:val="00E260A3"/>
    <w:rsid w:val="00E2623A"/>
    <w:rsid w:val="00E2647B"/>
    <w:rsid w:val="00E26562"/>
    <w:rsid w:val="00E26D15"/>
    <w:rsid w:val="00E26ED7"/>
    <w:rsid w:val="00E274E2"/>
    <w:rsid w:val="00E27586"/>
    <w:rsid w:val="00E27B43"/>
    <w:rsid w:val="00E27B77"/>
    <w:rsid w:val="00E27DDB"/>
    <w:rsid w:val="00E27EA5"/>
    <w:rsid w:val="00E27EDF"/>
    <w:rsid w:val="00E30067"/>
    <w:rsid w:val="00E304CF"/>
    <w:rsid w:val="00E3050F"/>
    <w:rsid w:val="00E30815"/>
    <w:rsid w:val="00E30B3D"/>
    <w:rsid w:val="00E30E23"/>
    <w:rsid w:val="00E31121"/>
    <w:rsid w:val="00E312AB"/>
    <w:rsid w:val="00E31702"/>
    <w:rsid w:val="00E31B75"/>
    <w:rsid w:val="00E31BBC"/>
    <w:rsid w:val="00E31FB2"/>
    <w:rsid w:val="00E323EA"/>
    <w:rsid w:val="00E3242E"/>
    <w:rsid w:val="00E324AF"/>
    <w:rsid w:val="00E325E0"/>
    <w:rsid w:val="00E327EA"/>
    <w:rsid w:val="00E32AFE"/>
    <w:rsid w:val="00E330C9"/>
    <w:rsid w:val="00E33251"/>
    <w:rsid w:val="00E3329B"/>
    <w:rsid w:val="00E3330E"/>
    <w:rsid w:val="00E3351F"/>
    <w:rsid w:val="00E33992"/>
    <w:rsid w:val="00E33AAC"/>
    <w:rsid w:val="00E34033"/>
    <w:rsid w:val="00E34A95"/>
    <w:rsid w:val="00E3528A"/>
    <w:rsid w:val="00E35C41"/>
    <w:rsid w:val="00E362D9"/>
    <w:rsid w:val="00E36520"/>
    <w:rsid w:val="00E36882"/>
    <w:rsid w:val="00E3689A"/>
    <w:rsid w:val="00E36A9B"/>
    <w:rsid w:val="00E370D6"/>
    <w:rsid w:val="00E372A7"/>
    <w:rsid w:val="00E37643"/>
    <w:rsid w:val="00E37685"/>
    <w:rsid w:val="00E3768E"/>
    <w:rsid w:val="00E37771"/>
    <w:rsid w:val="00E37CE5"/>
    <w:rsid w:val="00E4058A"/>
    <w:rsid w:val="00E40634"/>
    <w:rsid w:val="00E406CB"/>
    <w:rsid w:val="00E408AB"/>
    <w:rsid w:val="00E40BF9"/>
    <w:rsid w:val="00E40D01"/>
    <w:rsid w:val="00E40D71"/>
    <w:rsid w:val="00E40DAE"/>
    <w:rsid w:val="00E40F62"/>
    <w:rsid w:val="00E41248"/>
    <w:rsid w:val="00E4185C"/>
    <w:rsid w:val="00E41C87"/>
    <w:rsid w:val="00E42CB6"/>
    <w:rsid w:val="00E43036"/>
    <w:rsid w:val="00E43061"/>
    <w:rsid w:val="00E430D9"/>
    <w:rsid w:val="00E43249"/>
    <w:rsid w:val="00E436A2"/>
    <w:rsid w:val="00E43741"/>
    <w:rsid w:val="00E43E39"/>
    <w:rsid w:val="00E44117"/>
    <w:rsid w:val="00E44692"/>
    <w:rsid w:val="00E44801"/>
    <w:rsid w:val="00E44D74"/>
    <w:rsid w:val="00E44DF0"/>
    <w:rsid w:val="00E44EC7"/>
    <w:rsid w:val="00E455AD"/>
    <w:rsid w:val="00E458D8"/>
    <w:rsid w:val="00E4592E"/>
    <w:rsid w:val="00E459F4"/>
    <w:rsid w:val="00E462BD"/>
    <w:rsid w:val="00E46836"/>
    <w:rsid w:val="00E46A01"/>
    <w:rsid w:val="00E46C52"/>
    <w:rsid w:val="00E46D85"/>
    <w:rsid w:val="00E46DE4"/>
    <w:rsid w:val="00E470E7"/>
    <w:rsid w:val="00E500A1"/>
    <w:rsid w:val="00E506DF"/>
    <w:rsid w:val="00E50758"/>
    <w:rsid w:val="00E50838"/>
    <w:rsid w:val="00E518A7"/>
    <w:rsid w:val="00E51936"/>
    <w:rsid w:val="00E51A47"/>
    <w:rsid w:val="00E529F5"/>
    <w:rsid w:val="00E529FB"/>
    <w:rsid w:val="00E52C66"/>
    <w:rsid w:val="00E5356B"/>
    <w:rsid w:val="00E53617"/>
    <w:rsid w:val="00E536C7"/>
    <w:rsid w:val="00E53CBE"/>
    <w:rsid w:val="00E53E00"/>
    <w:rsid w:val="00E54066"/>
    <w:rsid w:val="00E540A1"/>
    <w:rsid w:val="00E5410F"/>
    <w:rsid w:val="00E54221"/>
    <w:rsid w:val="00E54256"/>
    <w:rsid w:val="00E54821"/>
    <w:rsid w:val="00E54F2D"/>
    <w:rsid w:val="00E551F3"/>
    <w:rsid w:val="00E5521A"/>
    <w:rsid w:val="00E560ED"/>
    <w:rsid w:val="00E5650A"/>
    <w:rsid w:val="00E5662B"/>
    <w:rsid w:val="00E566C4"/>
    <w:rsid w:val="00E56859"/>
    <w:rsid w:val="00E56F68"/>
    <w:rsid w:val="00E570CE"/>
    <w:rsid w:val="00E570D9"/>
    <w:rsid w:val="00E5728B"/>
    <w:rsid w:val="00E574EC"/>
    <w:rsid w:val="00E574FD"/>
    <w:rsid w:val="00E576B9"/>
    <w:rsid w:val="00E57E25"/>
    <w:rsid w:val="00E57F9C"/>
    <w:rsid w:val="00E602F0"/>
    <w:rsid w:val="00E6042C"/>
    <w:rsid w:val="00E6072D"/>
    <w:rsid w:val="00E60AB8"/>
    <w:rsid w:val="00E60C48"/>
    <w:rsid w:val="00E60D52"/>
    <w:rsid w:val="00E60E81"/>
    <w:rsid w:val="00E60FE7"/>
    <w:rsid w:val="00E615F9"/>
    <w:rsid w:val="00E617D5"/>
    <w:rsid w:val="00E61812"/>
    <w:rsid w:val="00E6193C"/>
    <w:rsid w:val="00E619DF"/>
    <w:rsid w:val="00E61ACF"/>
    <w:rsid w:val="00E61AE9"/>
    <w:rsid w:val="00E6238F"/>
    <w:rsid w:val="00E62458"/>
    <w:rsid w:val="00E62BC2"/>
    <w:rsid w:val="00E62E2D"/>
    <w:rsid w:val="00E63706"/>
    <w:rsid w:val="00E63DAA"/>
    <w:rsid w:val="00E644D8"/>
    <w:rsid w:val="00E646BC"/>
    <w:rsid w:val="00E65852"/>
    <w:rsid w:val="00E65DF8"/>
    <w:rsid w:val="00E66258"/>
    <w:rsid w:val="00E663B7"/>
    <w:rsid w:val="00E6648B"/>
    <w:rsid w:val="00E66598"/>
    <w:rsid w:val="00E6665E"/>
    <w:rsid w:val="00E66FF9"/>
    <w:rsid w:val="00E6732D"/>
    <w:rsid w:val="00E6799A"/>
    <w:rsid w:val="00E67AF7"/>
    <w:rsid w:val="00E67DB6"/>
    <w:rsid w:val="00E67F18"/>
    <w:rsid w:val="00E700AD"/>
    <w:rsid w:val="00E7069F"/>
    <w:rsid w:val="00E70981"/>
    <w:rsid w:val="00E709F4"/>
    <w:rsid w:val="00E7121E"/>
    <w:rsid w:val="00E71510"/>
    <w:rsid w:val="00E718FD"/>
    <w:rsid w:val="00E71B08"/>
    <w:rsid w:val="00E71BA9"/>
    <w:rsid w:val="00E7221D"/>
    <w:rsid w:val="00E728B0"/>
    <w:rsid w:val="00E72C61"/>
    <w:rsid w:val="00E72DA0"/>
    <w:rsid w:val="00E74840"/>
    <w:rsid w:val="00E749B2"/>
    <w:rsid w:val="00E749C2"/>
    <w:rsid w:val="00E74BAA"/>
    <w:rsid w:val="00E75000"/>
    <w:rsid w:val="00E752B8"/>
    <w:rsid w:val="00E752BD"/>
    <w:rsid w:val="00E75E91"/>
    <w:rsid w:val="00E75EB9"/>
    <w:rsid w:val="00E7615F"/>
    <w:rsid w:val="00E7623E"/>
    <w:rsid w:val="00E766BB"/>
    <w:rsid w:val="00E76718"/>
    <w:rsid w:val="00E76753"/>
    <w:rsid w:val="00E76AE0"/>
    <w:rsid w:val="00E76ECA"/>
    <w:rsid w:val="00E77C41"/>
    <w:rsid w:val="00E77EDB"/>
    <w:rsid w:val="00E8028A"/>
    <w:rsid w:val="00E80742"/>
    <w:rsid w:val="00E8078C"/>
    <w:rsid w:val="00E809FE"/>
    <w:rsid w:val="00E81097"/>
    <w:rsid w:val="00E813CA"/>
    <w:rsid w:val="00E8149B"/>
    <w:rsid w:val="00E81686"/>
    <w:rsid w:val="00E81A18"/>
    <w:rsid w:val="00E81A55"/>
    <w:rsid w:val="00E81A87"/>
    <w:rsid w:val="00E8215B"/>
    <w:rsid w:val="00E82F7B"/>
    <w:rsid w:val="00E8304E"/>
    <w:rsid w:val="00E835D0"/>
    <w:rsid w:val="00E837B3"/>
    <w:rsid w:val="00E838CF"/>
    <w:rsid w:val="00E83948"/>
    <w:rsid w:val="00E839FB"/>
    <w:rsid w:val="00E83CF9"/>
    <w:rsid w:val="00E841C8"/>
    <w:rsid w:val="00E843FE"/>
    <w:rsid w:val="00E84423"/>
    <w:rsid w:val="00E853DF"/>
    <w:rsid w:val="00E855F6"/>
    <w:rsid w:val="00E85C15"/>
    <w:rsid w:val="00E86220"/>
    <w:rsid w:val="00E868D6"/>
    <w:rsid w:val="00E86E18"/>
    <w:rsid w:val="00E872F2"/>
    <w:rsid w:val="00E879AD"/>
    <w:rsid w:val="00E87A4C"/>
    <w:rsid w:val="00E87D76"/>
    <w:rsid w:val="00E87EC9"/>
    <w:rsid w:val="00E9035C"/>
    <w:rsid w:val="00E90609"/>
    <w:rsid w:val="00E90E13"/>
    <w:rsid w:val="00E90EC5"/>
    <w:rsid w:val="00E91103"/>
    <w:rsid w:val="00E914B0"/>
    <w:rsid w:val="00E91512"/>
    <w:rsid w:val="00E918A0"/>
    <w:rsid w:val="00E91970"/>
    <w:rsid w:val="00E91A4F"/>
    <w:rsid w:val="00E92170"/>
    <w:rsid w:val="00E92258"/>
    <w:rsid w:val="00E922F5"/>
    <w:rsid w:val="00E92974"/>
    <w:rsid w:val="00E92976"/>
    <w:rsid w:val="00E92F98"/>
    <w:rsid w:val="00E9331D"/>
    <w:rsid w:val="00E939DC"/>
    <w:rsid w:val="00E93A0F"/>
    <w:rsid w:val="00E93DD0"/>
    <w:rsid w:val="00E943B5"/>
    <w:rsid w:val="00E943D7"/>
    <w:rsid w:val="00E9440E"/>
    <w:rsid w:val="00E94630"/>
    <w:rsid w:val="00E9488E"/>
    <w:rsid w:val="00E94BFF"/>
    <w:rsid w:val="00E94EC1"/>
    <w:rsid w:val="00E94FEE"/>
    <w:rsid w:val="00E952C1"/>
    <w:rsid w:val="00E95322"/>
    <w:rsid w:val="00E95490"/>
    <w:rsid w:val="00E95832"/>
    <w:rsid w:val="00E95A1D"/>
    <w:rsid w:val="00E95BF7"/>
    <w:rsid w:val="00E95DF4"/>
    <w:rsid w:val="00E96168"/>
    <w:rsid w:val="00E9616E"/>
    <w:rsid w:val="00E968C1"/>
    <w:rsid w:val="00E969B6"/>
    <w:rsid w:val="00E969F6"/>
    <w:rsid w:val="00E96C1A"/>
    <w:rsid w:val="00E971F6"/>
    <w:rsid w:val="00E972FC"/>
    <w:rsid w:val="00E97636"/>
    <w:rsid w:val="00E976AD"/>
    <w:rsid w:val="00E97781"/>
    <w:rsid w:val="00E978DC"/>
    <w:rsid w:val="00E97962"/>
    <w:rsid w:val="00E97AFB"/>
    <w:rsid w:val="00EA00D3"/>
    <w:rsid w:val="00EA0E54"/>
    <w:rsid w:val="00EA1726"/>
    <w:rsid w:val="00EA1769"/>
    <w:rsid w:val="00EA17D9"/>
    <w:rsid w:val="00EA1B0E"/>
    <w:rsid w:val="00EA20C5"/>
    <w:rsid w:val="00EA29B6"/>
    <w:rsid w:val="00EA2A5A"/>
    <w:rsid w:val="00EA2F30"/>
    <w:rsid w:val="00EA3034"/>
    <w:rsid w:val="00EA32BC"/>
    <w:rsid w:val="00EA3530"/>
    <w:rsid w:val="00EA3671"/>
    <w:rsid w:val="00EA3A1C"/>
    <w:rsid w:val="00EA4384"/>
    <w:rsid w:val="00EA468A"/>
    <w:rsid w:val="00EA5246"/>
    <w:rsid w:val="00EA548F"/>
    <w:rsid w:val="00EA5E2E"/>
    <w:rsid w:val="00EA60E9"/>
    <w:rsid w:val="00EA68B2"/>
    <w:rsid w:val="00EA6AD8"/>
    <w:rsid w:val="00EA76F7"/>
    <w:rsid w:val="00EA773D"/>
    <w:rsid w:val="00EA7F4A"/>
    <w:rsid w:val="00EA7F66"/>
    <w:rsid w:val="00EB07AA"/>
    <w:rsid w:val="00EB08CD"/>
    <w:rsid w:val="00EB0A67"/>
    <w:rsid w:val="00EB0C6B"/>
    <w:rsid w:val="00EB0DEA"/>
    <w:rsid w:val="00EB0EA0"/>
    <w:rsid w:val="00EB1033"/>
    <w:rsid w:val="00EB11E9"/>
    <w:rsid w:val="00EB12FB"/>
    <w:rsid w:val="00EB13CC"/>
    <w:rsid w:val="00EB14C7"/>
    <w:rsid w:val="00EB1556"/>
    <w:rsid w:val="00EB18D8"/>
    <w:rsid w:val="00EB1F63"/>
    <w:rsid w:val="00EB20F4"/>
    <w:rsid w:val="00EB239C"/>
    <w:rsid w:val="00EB24E9"/>
    <w:rsid w:val="00EB27BC"/>
    <w:rsid w:val="00EB2A21"/>
    <w:rsid w:val="00EB2BBA"/>
    <w:rsid w:val="00EB2CE0"/>
    <w:rsid w:val="00EB2EEC"/>
    <w:rsid w:val="00EB33E1"/>
    <w:rsid w:val="00EB3402"/>
    <w:rsid w:val="00EB3799"/>
    <w:rsid w:val="00EB3C98"/>
    <w:rsid w:val="00EB4459"/>
    <w:rsid w:val="00EB4A28"/>
    <w:rsid w:val="00EB5023"/>
    <w:rsid w:val="00EB5132"/>
    <w:rsid w:val="00EB5283"/>
    <w:rsid w:val="00EB5A8D"/>
    <w:rsid w:val="00EB5CFC"/>
    <w:rsid w:val="00EB5E10"/>
    <w:rsid w:val="00EB62C1"/>
    <w:rsid w:val="00EB654E"/>
    <w:rsid w:val="00EB6603"/>
    <w:rsid w:val="00EB6A32"/>
    <w:rsid w:val="00EB7009"/>
    <w:rsid w:val="00EB70A1"/>
    <w:rsid w:val="00EB7786"/>
    <w:rsid w:val="00EC00F9"/>
    <w:rsid w:val="00EC01BD"/>
    <w:rsid w:val="00EC03B4"/>
    <w:rsid w:val="00EC0507"/>
    <w:rsid w:val="00EC0DDA"/>
    <w:rsid w:val="00EC1226"/>
    <w:rsid w:val="00EC1392"/>
    <w:rsid w:val="00EC168D"/>
    <w:rsid w:val="00EC16B7"/>
    <w:rsid w:val="00EC16BC"/>
    <w:rsid w:val="00EC1B5E"/>
    <w:rsid w:val="00EC1FB7"/>
    <w:rsid w:val="00EC282B"/>
    <w:rsid w:val="00EC2A73"/>
    <w:rsid w:val="00EC2F7F"/>
    <w:rsid w:val="00EC310C"/>
    <w:rsid w:val="00EC33A0"/>
    <w:rsid w:val="00EC3765"/>
    <w:rsid w:val="00EC3EC9"/>
    <w:rsid w:val="00EC4394"/>
    <w:rsid w:val="00EC4401"/>
    <w:rsid w:val="00EC4616"/>
    <w:rsid w:val="00EC4813"/>
    <w:rsid w:val="00EC4836"/>
    <w:rsid w:val="00EC497A"/>
    <w:rsid w:val="00EC4D99"/>
    <w:rsid w:val="00EC5088"/>
    <w:rsid w:val="00EC5816"/>
    <w:rsid w:val="00EC5868"/>
    <w:rsid w:val="00EC593A"/>
    <w:rsid w:val="00EC5AB3"/>
    <w:rsid w:val="00EC5D3C"/>
    <w:rsid w:val="00EC5EFC"/>
    <w:rsid w:val="00EC5FA6"/>
    <w:rsid w:val="00EC60F8"/>
    <w:rsid w:val="00EC61EF"/>
    <w:rsid w:val="00EC62E4"/>
    <w:rsid w:val="00EC6348"/>
    <w:rsid w:val="00EC65CA"/>
    <w:rsid w:val="00EC65CF"/>
    <w:rsid w:val="00EC6723"/>
    <w:rsid w:val="00EC6AE0"/>
    <w:rsid w:val="00EC74DB"/>
    <w:rsid w:val="00EC7CCE"/>
    <w:rsid w:val="00EC7E6E"/>
    <w:rsid w:val="00ED0036"/>
    <w:rsid w:val="00ED011D"/>
    <w:rsid w:val="00ED0D9E"/>
    <w:rsid w:val="00ED1458"/>
    <w:rsid w:val="00ED14F2"/>
    <w:rsid w:val="00ED175E"/>
    <w:rsid w:val="00ED2133"/>
    <w:rsid w:val="00ED2255"/>
    <w:rsid w:val="00ED245C"/>
    <w:rsid w:val="00ED2706"/>
    <w:rsid w:val="00ED2C27"/>
    <w:rsid w:val="00ED2D36"/>
    <w:rsid w:val="00ED35EB"/>
    <w:rsid w:val="00ED3628"/>
    <w:rsid w:val="00ED37B0"/>
    <w:rsid w:val="00ED39FF"/>
    <w:rsid w:val="00ED3A2C"/>
    <w:rsid w:val="00ED3E82"/>
    <w:rsid w:val="00ED4055"/>
    <w:rsid w:val="00ED41C2"/>
    <w:rsid w:val="00ED43B0"/>
    <w:rsid w:val="00ED45AE"/>
    <w:rsid w:val="00ED45C1"/>
    <w:rsid w:val="00ED4912"/>
    <w:rsid w:val="00ED52E0"/>
    <w:rsid w:val="00ED5E38"/>
    <w:rsid w:val="00ED62DE"/>
    <w:rsid w:val="00ED6DF1"/>
    <w:rsid w:val="00ED7099"/>
    <w:rsid w:val="00ED72BD"/>
    <w:rsid w:val="00ED7869"/>
    <w:rsid w:val="00ED7B9F"/>
    <w:rsid w:val="00EE0485"/>
    <w:rsid w:val="00EE0E20"/>
    <w:rsid w:val="00EE0E2A"/>
    <w:rsid w:val="00EE1440"/>
    <w:rsid w:val="00EE1AD4"/>
    <w:rsid w:val="00EE201C"/>
    <w:rsid w:val="00EE23AF"/>
    <w:rsid w:val="00EE2896"/>
    <w:rsid w:val="00EE370F"/>
    <w:rsid w:val="00EE3BE7"/>
    <w:rsid w:val="00EE3C54"/>
    <w:rsid w:val="00EE4490"/>
    <w:rsid w:val="00EE465C"/>
    <w:rsid w:val="00EE46A0"/>
    <w:rsid w:val="00EE4CEB"/>
    <w:rsid w:val="00EE4E27"/>
    <w:rsid w:val="00EE4EEF"/>
    <w:rsid w:val="00EE5A0A"/>
    <w:rsid w:val="00EE614F"/>
    <w:rsid w:val="00EE623F"/>
    <w:rsid w:val="00EE624C"/>
    <w:rsid w:val="00EE6832"/>
    <w:rsid w:val="00EE694E"/>
    <w:rsid w:val="00EE6A50"/>
    <w:rsid w:val="00EE7126"/>
    <w:rsid w:val="00EE7512"/>
    <w:rsid w:val="00EE7C4F"/>
    <w:rsid w:val="00EE7C6F"/>
    <w:rsid w:val="00EE7CD3"/>
    <w:rsid w:val="00EF0241"/>
    <w:rsid w:val="00EF0814"/>
    <w:rsid w:val="00EF0F22"/>
    <w:rsid w:val="00EF1171"/>
    <w:rsid w:val="00EF15EE"/>
    <w:rsid w:val="00EF1755"/>
    <w:rsid w:val="00EF1957"/>
    <w:rsid w:val="00EF1D27"/>
    <w:rsid w:val="00EF23D5"/>
    <w:rsid w:val="00EF23D7"/>
    <w:rsid w:val="00EF26BA"/>
    <w:rsid w:val="00EF2FC7"/>
    <w:rsid w:val="00EF38BE"/>
    <w:rsid w:val="00EF3C2F"/>
    <w:rsid w:val="00EF3D58"/>
    <w:rsid w:val="00EF4719"/>
    <w:rsid w:val="00EF4BEB"/>
    <w:rsid w:val="00EF4F44"/>
    <w:rsid w:val="00EF4F50"/>
    <w:rsid w:val="00EF5097"/>
    <w:rsid w:val="00EF52DB"/>
    <w:rsid w:val="00EF57D2"/>
    <w:rsid w:val="00EF59C5"/>
    <w:rsid w:val="00EF5A72"/>
    <w:rsid w:val="00EF5BCA"/>
    <w:rsid w:val="00EF652F"/>
    <w:rsid w:val="00EF65CA"/>
    <w:rsid w:val="00EF7063"/>
    <w:rsid w:val="00EF7084"/>
    <w:rsid w:val="00EF7894"/>
    <w:rsid w:val="00F00266"/>
    <w:rsid w:val="00F0030E"/>
    <w:rsid w:val="00F0032D"/>
    <w:rsid w:val="00F003E5"/>
    <w:rsid w:val="00F00611"/>
    <w:rsid w:val="00F0176A"/>
    <w:rsid w:val="00F017E8"/>
    <w:rsid w:val="00F02CBD"/>
    <w:rsid w:val="00F032F4"/>
    <w:rsid w:val="00F0377F"/>
    <w:rsid w:val="00F03B39"/>
    <w:rsid w:val="00F04032"/>
    <w:rsid w:val="00F04052"/>
    <w:rsid w:val="00F04446"/>
    <w:rsid w:val="00F044F2"/>
    <w:rsid w:val="00F0457B"/>
    <w:rsid w:val="00F04873"/>
    <w:rsid w:val="00F048F6"/>
    <w:rsid w:val="00F04DA4"/>
    <w:rsid w:val="00F04EE0"/>
    <w:rsid w:val="00F04FED"/>
    <w:rsid w:val="00F0514B"/>
    <w:rsid w:val="00F05155"/>
    <w:rsid w:val="00F05C11"/>
    <w:rsid w:val="00F05F09"/>
    <w:rsid w:val="00F05F38"/>
    <w:rsid w:val="00F06258"/>
    <w:rsid w:val="00F062FB"/>
    <w:rsid w:val="00F06516"/>
    <w:rsid w:val="00F06673"/>
    <w:rsid w:val="00F0668D"/>
    <w:rsid w:val="00F06961"/>
    <w:rsid w:val="00F07048"/>
    <w:rsid w:val="00F0732F"/>
    <w:rsid w:val="00F0741D"/>
    <w:rsid w:val="00F07ABB"/>
    <w:rsid w:val="00F07ADB"/>
    <w:rsid w:val="00F10189"/>
    <w:rsid w:val="00F10426"/>
    <w:rsid w:val="00F105C0"/>
    <w:rsid w:val="00F1066F"/>
    <w:rsid w:val="00F10734"/>
    <w:rsid w:val="00F10775"/>
    <w:rsid w:val="00F109CD"/>
    <w:rsid w:val="00F10B58"/>
    <w:rsid w:val="00F10B96"/>
    <w:rsid w:val="00F12029"/>
    <w:rsid w:val="00F1289D"/>
    <w:rsid w:val="00F12CFC"/>
    <w:rsid w:val="00F13109"/>
    <w:rsid w:val="00F137DC"/>
    <w:rsid w:val="00F1415F"/>
    <w:rsid w:val="00F14201"/>
    <w:rsid w:val="00F14847"/>
    <w:rsid w:val="00F14A1A"/>
    <w:rsid w:val="00F14B8B"/>
    <w:rsid w:val="00F14FDC"/>
    <w:rsid w:val="00F1508C"/>
    <w:rsid w:val="00F15111"/>
    <w:rsid w:val="00F153C6"/>
    <w:rsid w:val="00F15444"/>
    <w:rsid w:val="00F155C2"/>
    <w:rsid w:val="00F155CB"/>
    <w:rsid w:val="00F1571B"/>
    <w:rsid w:val="00F15727"/>
    <w:rsid w:val="00F1578E"/>
    <w:rsid w:val="00F168A6"/>
    <w:rsid w:val="00F17104"/>
    <w:rsid w:val="00F17383"/>
    <w:rsid w:val="00F1795F"/>
    <w:rsid w:val="00F17E50"/>
    <w:rsid w:val="00F20763"/>
    <w:rsid w:val="00F20971"/>
    <w:rsid w:val="00F2178F"/>
    <w:rsid w:val="00F21A28"/>
    <w:rsid w:val="00F21B8C"/>
    <w:rsid w:val="00F21C17"/>
    <w:rsid w:val="00F21FBA"/>
    <w:rsid w:val="00F22089"/>
    <w:rsid w:val="00F2209C"/>
    <w:rsid w:val="00F227C8"/>
    <w:rsid w:val="00F2298B"/>
    <w:rsid w:val="00F233CE"/>
    <w:rsid w:val="00F23604"/>
    <w:rsid w:val="00F23B77"/>
    <w:rsid w:val="00F23C3C"/>
    <w:rsid w:val="00F23C6D"/>
    <w:rsid w:val="00F23CB7"/>
    <w:rsid w:val="00F242D9"/>
    <w:rsid w:val="00F249A3"/>
    <w:rsid w:val="00F255A6"/>
    <w:rsid w:val="00F25695"/>
    <w:rsid w:val="00F25723"/>
    <w:rsid w:val="00F257B5"/>
    <w:rsid w:val="00F257D3"/>
    <w:rsid w:val="00F25A0E"/>
    <w:rsid w:val="00F26036"/>
    <w:rsid w:val="00F265F7"/>
    <w:rsid w:val="00F26679"/>
    <w:rsid w:val="00F26961"/>
    <w:rsid w:val="00F2718C"/>
    <w:rsid w:val="00F271B0"/>
    <w:rsid w:val="00F271F6"/>
    <w:rsid w:val="00F2720E"/>
    <w:rsid w:val="00F2776D"/>
    <w:rsid w:val="00F27814"/>
    <w:rsid w:val="00F2789D"/>
    <w:rsid w:val="00F27BDC"/>
    <w:rsid w:val="00F27C9A"/>
    <w:rsid w:val="00F27E8B"/>
    <w:rsid w:val="00F30277"/>
    <w:rsid w:val="00F30863"/>
    <w:rsid w:val="00F314A9"/>
    <w:rsid w:val="00F316DA"/>
    <w:rsid w:val="00F3171A"/>
    <w:rsid w:val="00F317E0"/>
    <w:rsid w:val="00F31A7F"/>
    <w:rsid w:val="00F31CAA"/>
    <w:rsid w:val="00F31FBE"/>
    <w:rsid w:val="00F324F5"/>
    <w:rsid w:val="00F32CC6"/>
    <w:rsid w:val="00F32FE4"/>
    <w:rsid w:val="00F330CA"/>
    <w:rsid w:val="00F332F9"/>
    <w:rsid w:val="00F33AFF"/>
    <w:rsid w:val="00F344F7"/>
    <w:rsid w:val="00F345A8"/>
    <w:rsid w:val="00F346E6"/>
    <w:rsid w:val="00F3485D"/>
    <w:rsid w:val="00F34DF2"/>
    <w:rsid w:val="00F35105"/>
    <w:rsid w:val="00F35415"/>
    <w:rsid w:val="00F35A2E"/>
    <w:rsid w:val="00F35D64"/>
    <w:rsid w:val="00F35F36"/>
    <w:rsid w:val="00F36743"/>
    <w:rsid w:val="00F36ED5"/>
    <w:rsid w:val="00F3707A"/>
    <w:rsid w:val="00F37653"/>
    <w:rsid w:val="00F37750"/>
    <w:rsid w:val="00F377FC"/>
    <w:rsid w:val="00F37AFE"/>
    <w:rsid w:val="00F402EC"/>
    <w:rsid w:val="00F40864"/>
    <w:rsid w:val="00F40AF5"/>
    <w:rsid w:val="00F41054"/>
    <w:rsid w:val="00F4155A"/>
    <w:rsid w:val="00F415B8"/>
    <w:rsid w:val="00F418EA"/>
    <w:rsid w:val="00F41F74"/>
    <w:rsid w:val="00F426BD"/>
    <w:rsid w:val="00F42B63"/>
    <w:rsid w:val="00F42D17"/>
    <w:rsid w:val="00F4302E"/>
    <w:rsid w:val="00F43541"/>
    <w:rsid w:val="00F43B37"/>
    <w:rsid w:val="00F43B64"/>
    <w:rsid w:val="00F43D37"/>
    <w:rsid w:val="00F44143"/>
    <w:rsid w:val="00F443B8"/>
    <w:rsid w:val="00F44895"/>
    <w:rsid w:val="00F44F9E"/>
    <w:rsid w:val="00F45011"/>
    <w:rsid w:val="00F45286"/>
    <w:rsid w:val="00F4585B"/>
    <w:rsid w:val="00F45A8E"/>
    <w:rsid w:val="00F45AE2"/>
    <w:rsid w:val="00F4622A"/>
    <w:rsid w:val="00F46637"/>
    <w:rsid w:val="00F46FD0"/>
    <w:rsid w:val="00F470E5"/>
    <w:rsid w:val="00F47482"/>
    <w:rsid w:val="00F474D8"/>
    <w:rsid w:val="00F475F5"/>
    <w:rsid w:val="00F4781B"/>
    <w:rsid w:val="00F47F6E"/>
    <w:rsid w:val="00F50422"/>
    <w:rsid w:val="00F504B7"/>
    <w:rsid w:val="00F50585"/>
    <w:rsid w:val="00F50B26"/>
    <w:rsid w:val="00F5100F"/>
    <w:rsid w:val="00F5108F"/>
    <w:rsid w:val="00F51109"/>
    <w:rsid w:val="00F51147"/>
    <w:rsid w:val="00F516E3"/>
    <w:rsid w:val="00F518D5"/>
    <w:rsid w:val="00F5193D"/>
    <w:rsid w:val="00F51D81"/>
    <w:rsid w:val="00F51D98"/>
    <w:rsid w:val="00F51EBE"/>
    <w:rsid w:val="00F51F86"/>
    <w:rsid w:val="00F52017"/>
    <w:rsid w:val="00F5288E"/>
    <w:rsid w:val="00F52C24"/>
    <w:rsid w:val="00F539DE"/>
    <w:rsid w:val="00F53A7D"/>
    <w:rsid w:val="00F54570"/>
    <w:rsid w:val="00F545F5"/>
    <w:rsid w:val="00F54832"/>
    <w:rsid w:val="00F54921"/>
    <w:rsid w:val="00F54B72"/>
    <w:rsid w:val="00F54E52"/>
    <w:rsid w:val="00F54F63"/>
    <w:rsid w:val="00F5518B"/>
    <w:rsid w:val="00F554DC"/>
    <w:rsid w:val="00F55B17"/>
    <w:rsid w:val="00F55B54"/>
    <w:rsid w:val="00F55BAC"/>
    <w:rsid w:val="00F55BD0"/>
    <w:rsid w:val="00F56545"/>
    <w:rsid w:val="00F567D8"/>
    <w:rsid w:val="00F56856"/>
    <w:rsid w:val="00F57550"/>
    <w:rsid w:val="00F576AE"/>
    <w:rsid w:val="00F57885"/>
    <w:rsid w:val="00F578A3"/>
    <w:rsid w:val="00F57995"/>
    <w:rsid w:val="00F57A54"/>
    <w:rsid w:val="00F57B57"/>
    <w:rsid w:val="00F600E5"/>
    <w:rsid w:val="00F603C3"/>
    <w:rsid w:val="00F60514"/>
    <w:rsid w:val="00F605BB"/>
    <w:rsid w:val="00F60EDE"/>
    <w:rsid w:val="00F61274"/>
    <w:rsid w:val="00F613DF"/>
    <w:rsid w:val="00F615A9"/>
    <w:rsid w:val="00F61749"/>
    <w:rsid w:val="00F61CF3"/>
    <w:rsid w:val="00F61DF4"/>
    <w:rsid w:val="00F625E7"/>
    <w:rsid w:val="00F627DB"/>
    <w:rsid w:val="00F6286B"/>
    <w:rsid w:val="00F62998"/>
    <w:rsid w:val="00F62AF3"/>
    <w:rsid w:val="00F62F09"/>
    <w:rsid w:val="00F63064"/>
    <w:rsid w:val="00F63095"/>
    <w:rsid w:val="00F633DD"/>
    <w:rsid w:val="00F633E8"/>
    <w:rsid w:val="00F63407"/>
    <w:rsid w:val="00F63583"/>
    <w:rsid w:val="00F63662"/>
    <w:rsid w:val="00F637D5"/>
    <w:rsid w:val="00F64491"/>
    <w:rsid w:val="00F64B2B"/>
    <w:rsid w:val="00F655DB"/>
    <w:rsid w:val="00F6589F"/>
    <w:rsid w:val="00F65925"/>
    <w:rsid w:val="00F65D71"/>
    <w:rsid w:val="00F660DE"/>
    <w:rsid w:val="00F66144"/>
    <w:rsid w:val="00F6616B"/>
    <w:rsid w:val="00F662DE"/>
    <w:rsid w:val="00F66546"/>
    <w:rsid w:val="00F6672F"/>
    <w:rsid w:val="00F6673A"/>
    <w:rsid w:val="00F669E6"/>
    <w:rsid w:val="00F67047"/>
    <w:rsid w:val="00F6713F"/>
    <w:rsid w:val="00F672C8"/>
    <w:rsid w:val="00F673FF"/>
    <w:rsid w:val="00F6799B"/>
    <w:rsid w:val="00F7006A"/>
    <w:rsid w:val="00F703D4"/>
    <w:rsid w:val="00F7063C"/>
    <w:rsid w:val="00F710DF"/>
    <w:rsid w:val="00F71158"/>
    <w:rsid w:val="00F7123E"/>
    <w:rsid w:val="00F7138F"/>
    <w:rsid w:val="00F71557"/>
    <w:rsid w:val="00F71A5D"/>
    <w:rsid w:val="00F71AFB"/>
    <w:rsid w:val="00F71DD6"/>
    <w:rsid w:val="00F71EE2"/>
    <w:rsid w:val="00F72A03"/>
    <w:rsid w:val="00F72AE9"/>
    <w:rsid w:val="00F72CE5"/>
    <w:rsid w:val="00F72D8A"/>
    <w:rsid w:val="00F73024"/>
    <w:rsid w:val="00F73B8E"/>
    <w:rsid w:val="00F73C78"/>
    <w:rsid w:val="00F74097"/>
    <w:rsid w:val="00F744AD"/>
    <w:rsid w:val="00F744FF"/>
    <w:rsid w:val="00F74B51"/>
    <w:rsid w:val="00F75131"/>
    <w:rsid w:val="00F75BCF"/>
    <w:rsid w:val="00F76392"/>
    <w:rsid w:val="00F7659C"/>
    <w:rsid w:val="00F766B6"/>
    <w:rsid w:val="00F76B3D"/>
    <w:rsid w:val="00F774C3"/>
    <w:rsid w:val="00F778FB"/>
    <w:rsid w:val="00F7798A"/>
    <w:rsid w:val="00F77B25"/>
    <w:rsid w:val="00F80A2F"/>
    <w:rsid w:val="00F80E1D"/>
    <w:rsid w:val="00F81362"/>
    <w:rsid w:val="00F815D3"/>
    <w:rsid w:val="00F815DB"/>
    <w:rsid w:val="00F81693"/>
    <w:rsid w:val="00F81A05"/>
    <w:rsid w:val="00F81C7D"/>
    <w:rsid w:val="00F81FF7"/>
    <w:rsid w:val="00F82506"/>
    <w:rsid w:val="00F829A1"/>
    <w:rsid w:val="00F82A63"/>
    <w:rsid w:val="00F82AD6"/>
    <w:rsid w:val="00F82B1E"/>
    <w:rsid w:val="00F82B66"/>
    <w:rsid w:val="00F82E8E"/>
    <w:rsid w:val="00F833AF"/>
    <w:rsid w:val="00F83C4C"/>
    <w:rsid w:val="00F83CBA"/>
    <w:rsid w:val="00F84083"/>
    <w:rsid w:val="00F84199"/>
    <w:rsid w:val="00F8458E"/>
    <w:rsid w:val="00F84700"/>
    <w:rsid w:val="00F849B3"/>
    <w:rsid w:val="00F84BDD"/>
    <w:rsid w:val="00F84D33"/>
    <w:rsid w:val="00F84E64"/>
    <w:rsid w:val="00F8539F"/>
    <w:rsid w:val="00F854EE"/>
    <w:rsid w:val="00F85CB9"/>
    <w:rsid w:val="00F860ED"/>
    <w:rsid w:val="00F86D5D"/>
    <w:rsid w:val="00F86E3A"/>
    <w:rsid w:val="00F86FE4"/>
    <w:rsid w:val="00F8787B"/>
    <w:rsid w:val="00F8789A"/>
    <w:rsid w:val="00F87A1B"/>
    <w:rsid w:val="00F87D38"/>
    <w:rsid w:val="00F87ED5"/>
    <w:rsid w:val="00F90106"/>
    <w:rsid w:val="00F90131"/>
    <w:rsid w:val="00F9017E"/>
    <w:rsid w:val="00F90680"/>
    <w:rsid w:val="00F90EE8"/>
    <w:rsid w:val="00F91353"/>
    <w:rsid w:val="00F91565"/>
    <w:rsid w:val="00F918B1"/>
    <w:rsid w:val="00F91B15"/>
    <w:rsid w:val="00F91BA1"/>
    <w:rsid w:val="00F91D00"/>
    <w:rsid w:val="00F92751"/>
    <w:rsid w:val="00F9292D"/>
    <w:rsid w:val="00F9351B"/>
    <w:rsid w:val="00F9375E"/>
    <w:rsid w:val="00F938FA"/>
    <w:rsid w:val="00F93BB6"/>
    <w:rsid w:val="00F93E32"/>
    <w:rsid w:val="00F94D36"/>
    <w:rsid w:val="00F9524F"/>
    <w:rsid w:val="00F954F1"/>
    <w:rsid w:val="00F9580C"/>
    <w:rsid w:val="00F95AE6"/>
    <w:rsid w:val="00F95E41"/>
    <w:rsid w:val="00F95F97"/>
    <w:rsid w:val="00F96338"/>
    <w:rsid w:val="00F9659B"/>
    <w:rsid w:val="00F9684A"/>
    <w:rsid w:val="00F968D8"/>
    <w:rsid w:val="00F97331"/>
    <w:rsid w:val="00F97452"/>
    <w:rsid w:val="00F97462"/>
    <w:rsid w:val="00F978E4"/>
    <w:rsid w:val="00F97C6B"/>
    <w:rsid w:val="00F97CBE"/>
    <w:rsid w:val="00F97E17"/>
    <w:rsid w:val="00F97F22"/>
    <w:rsid w:val="00FA0699"/>
    <w:rsid w:val="00FA0825"/>
    <w:rsid w:val="00FA08AD"/>
    <w:rsid w:val="00FA0C3E"/>
    <w:rsid w:val="00FA0D5A"/>
    <w:rsid w:val="00FA0D6F"/>
    <w:rsid w:val="00FA0EAD"/>
    <w:rsid w:val="00FA0FFB"/>
    <w:rsid w:val="00FA1147"/>
    <w:rsid w:val="00FA120C"/>
    <w:rsid w:val="00FA1220"/>
    <w:rsid w:val="00FA1261"/>
    <w:rsid w:val="00FA13BA"/>
    <w:rsid w:val="00FA14DB"/>
    <w:rsid w:val="00FA1532"/>
    <w:rsid w:val="00FA1638"/>
    <w:rsid w:val="00FA1953"/>
    <w:rsid w:val="00FA1AA8"/>
    <w:rsid w:val="00FA1AC2"/>
    <w:rsid w:val="00FA1AEA"/>
    <w:rsid w:val="00FA1D0E"/>
    <w:rsid w:val="00FA29E4"/>
    <w:rsid w:val="00FA2F27"/>
    <w:rsid w:val="00FA31F2"/>
    <w:rsid w:val="00FA32AA"/>
    <w:rsid w:val="00FA37CF"/>
    <w:rsid w:val="00FA3966"/>
    <w:rsid w:val="00FA3A60"/>
    <w:rsid w:val="00FA3B66"/>
    <w:rsid w:val="00FA4150"/>
    <w:rsid w:val="00FA4C8B"/>
    <w:rsid w:val="00FA54B3"/>
    <w:rsid w:val="00FA5572"/>
    <w:rsid w:val="00FA5640"/>
    <w:rsid w:val="00FA5766"/>
    <w:rsid w:val="00FA5968"/>
    <w:rsid w:val="00FA5A73"/>
    <w:rsid w:val="00FA5ACE"/>
    <w:rsid w:val="00FA5B4D"/>
    <w:rsid w:val="00FA5F0F"/>
    <w:rsid w:val="00FA630E"/>
    <w:rsid w:val="00FA698A"/>
    <w:rsid w:val="00FA6B26"/>
    <w:rsid w:val="00FA6CF6"/>
    <w:rsid w:val="00FA6EF0"/>
    <w:rsid w:val="00FA75D0"/>
    <w:rsid w:val="00FA7BA8"/>
    <w:rsid w:val="00FA7D7D"/>
    <w:rsid w:val="00FA7F6C"/>
    <w:rsid w:val="00FA7FA3"/>
    <w:rsid w:val="00FA7FED"/>
    <w:rsid w:val="00FB03D9"/>
    <w:rsid w:val="00FB0459"/>
    <w:rsid w:val="00FB0D55"/>
    <w:rsid w:val="00FB1782"/>
    <w:rsid w:val="00FB1AB0"/>
    <w:rsid w:val="00FB21BC"/>
    <w:rsid w:val="00FB2789"/>
    <w:rsid w:val="00FB295A"/>
    <w:rsid w:val="00FB2B0D"/>
    <w:rsid w:val="00FB2CE8"/>
    <w:rsid w:val="00FB335D"/>
    <w:rsid w:val="00FB3481"/>
    <w:rsid w:val="00FB3888"/>
    <w:rsid w:val="00FB395D"/>
    <w:rsid w:val="00FB3D2B"/>
    <w:rsid w:val="00FB4B6B"/>
    <w:rsid w:val="00FB4D8A"/>
    <w:rsid w:val="00FB4FC7"/>
    <w:rsid w:val="00FB5020"/>
    <w:rsid w:val="00FB54BF"/>
    <w:rsid w:val="00FB5CFD"/>
    <w:rsid w:val="00FB5E9F"/>
    <w:rsid w:val="00FB620D"/>
    <w:rsid w:val="00FB69DC"/>
    <w:rsid w:val="00FB6F67"/>
    <w:rsid w:val="00FB7B18"/>
    <w:rsid w:val="00FB7BF7"/>
    <w:rsid w:val="00FB7D06"/>
    <w:rsid w:val="00FC034C"/>
    <w:rsid w:val="00FC042D"/>
    <w:rsid w:val="00FC0AD7"/>
    <w:rsid w:val="00FC0D04"/>
    <w:rsid w:val="00FC0D7C"/>
    <w:rsid w:val="00FC10DE"/>
    <w:rsid w:val="00FC1229"/>
    <w:rsid w:val="00FC132C"/>
    <w:rsid w:val="00FC1399"/>
    <w:rsid w:val="00FC1413"/>
    <w:rsid w:val="00FC14B0"/>
    <w:rsid w:val="00FC1619"/>
    <w:rsid w:val="00FC167B"/>
    <w:rsid w:val="00FC1C90"/>
    <w:rsid w:val="00FC1E12"/>
    <w:rsid w:val="00FC2D5F"/>
    <w:rsid w:val="00FC2EA5"/>
    <w:rsid w:val="00FC302F"/>
    <w:rsid w:val="00FC3113"/>
    <w:rsid w:val="00FC342A"/>
    <w:rsid w:val="00FC35CB"/>
    <w:rsid w:val="00FC36C9"/>
    <w:rsid w:val="00FC3943"/>
    <w:rsid w:val="00FC45A6"/>
    <w:rsid w:val="00FC4C76"/>
    <w:rsid w:val="00FC4D1B"/>
    <w:rsid w:val="00FC4FE0"/>
    <w:rsid w:val="00FC5019"/>
    <w:rsid w:val="00FC51D6"/>
    <w:rsid w:val="00FC53AF"/>
    <w:rsid w:val="00FC5603"/>
    <w:rsid w:val="00FC564E"/>
    <w:rsid w:val="00FC585E"/>
    <w:rsid w:val="00FC59DC"/>
    <w:rsid w:val="00FC5BD9"/>
    <w:rsid w:val="00FC5EAB"/>
    <w:rsid w:val="00FC6445"/>
    <w:rsid w:val="00FC66EF"/>
    <w:rsid w:val="00FC676B"/>
    <w:rsid w:val="00FC6B07"/>
    <w:rsid w:val="00FC712C"/>
    <w:rsid w:val="00FC7821"/>
    <w:rsid w:val="00FC794C"/>
    <w:rsid w:val="00FC7C2F"/>
    <w:rsid w:val="00FD0564"/>
    <w:rsid w:val="00FD0600"/>
    <w:rsid w:val="00FD0A3F"/>
    <w:rsid w:val="00FD0B28"/>
    <w:rsid w:val="00FD0F4D"/>
    <w:rsid w:val="00FD10E3"/>
    <w:rsid w:val="00FD123A"/>
    <w:rsid w:val="00FD17BA"/>
    <w:rsid w:val="00FD1898"/>
    <w:rsid w:val="00FD1A3E"/>
    <w:rsid w:val="00FD1B24"/>
    <w:rsid w:val="00FD1E1F"/>
    <w:rsid w:val="00FD1FB1"/>
    <w:rsid w:val="00FD2008"/>
    <w:rsid w:val="00FD2121"/>
    <w:rsid w:val="00FD22BF"/>
    <w:rsid w:val="00FD2843"/>
    <w:rsid w:val="00FD2C9D"/>
    <w:rsid w:val="00FD2CCC"/>
    <w:rsid w:val="00FD2F74"/>
    <w:rsid w:val="00FD321D"/>
    <w:rsid w:val="00FD3268"/>
    <w:rsid w:val="00FD33BD"/>
    <w:rsid w:val="00FD375D"/>
    <w:rsid w:val="00FD380D"/>
    <w:rsid w:val="00FD393D"/>
    <w:rsid w:val="00FD3B94"/>
    <w:rsid w:val="00FD3E13"/>
    <w:rsid w:val="00FD40DD"/>
    <w:rsid w:val="00FD416C"/>
    <w:rsid w:val="00FD4256"/>
    <w:rsid w:val="00FD43B3"/>
    <w:rsid w:val="00FD4B83"/>
    <w:rsid w:val="00FD4F88"/>
    <w:rsid w:val="00FD5789"/>
    <w:rsid w:val="00FD5912"/>
    <w:rsid w:val="00FD5A6F"/>
    <w:rsid w:val="00FD5DCA"/>
    <w:rsid w:val="00FD6295"/>
    <w:rsid w:val="00FD6364"/>
    <w:rsid w:val="00FD641D"/>
    <w:rsid w:val="00FD69B9"/>
    <w:rsid w:val="00FD6AE3"/>
    <w:rsid w:val="00FD6C1A"/>
    <w:rsid w:val="00FD6FBC"/>
    <w:rsid w:val="00FD7798"/>
    <w:rsid w:val="00FD7910"/>
    <w:rsid w:val="00FD7C2E"/>
    <w:rsid w:val="00FD7CEA"/>
    <w:rsid w:val="00FE0154"/>
    <w:rsid w:val="00FE03AE"/>
    <w:rsid w:val="00FE046A"/>
    <w:rsid w:val="00FE050B"/>
    <w:rsid w:val="00FE052B"/>
    <w:rsid w:val="00FE0599"/>
    <w:rsid w:val="00FE093F"/>
    <w:rsid w:val="00FE0BA3"/>
    <w:rsid w:val="00FE1118"/>
    <w:rsid w:val="00FE1302"/>
    <w:rsid w:val="00FE197D"/>
    <w:rsid w:val="00FE1E43"/>
    <w:rsid w:val="00FE20DE"/>
    <w:rsid w:val="00FE2653"/>
    <w:rsid w:val="00FE2AC2"/>
    <w:rsid w:val="00FE2BA9"/>
    <w:rsid w:val="00FE2E4C"/>
    <w:rsid w:val="00FE31C2"/>
    <w:rsid w:val="00FE35F8"/>
    <w:rsid w:val="00FE37AD"/>
    <w:rsid w:val="00FE3DC8"/>
    <w:rsid w:val="00FE40E5"/>
    <w:rsid w:val="00FE4392"/>
    <w:rsid w:val="00FE4739"/>
    <w:rsid w:val="00FE4C22"/>
    <w:rsid w:val="00FE4DB2"/>
    <w:rsid w:val="00FE4DD7"/>
    <w:rsid w:val="00FE5638"/>
    <w:rsid w:val="00FE5661"/>
    <w:rsid w:val="00FE580E"/>
    <w:rsid w:val="00FE58B1"/>
    <w:rsid w:val="00FE5A34"/>
    <w:rsid w:val="00FE5A36"/>
    <w:rsid w:val="00FE5E0B"/>
    <w:rsid w:val="00FE656A"/>
    <w:rsid w:val="00FE67DA"/>
    <w:rsid w:val="00FE681D"/>
    <w:rsid w:val="00FE68A3"/>
    <w:rsid w:val="00FE6CC3"/>
    <w:rsid w:val="00FE72B9"/>
    <w:rsid w:val="00FE74DF"/>
    <w:rsid w:val="00FE74EB"/>
    <w:rsid w:val="00FE7592"/>
    <w:rsid w:val="00FE7949"/>
    <w:rsid w:val="00FE7C49"/>
    <w:rsid w:val="00FE7F0F"/>
    <w:rsid w:val="00FF0425"/>
    <w:rsid w:val="00FF0BC4"/>
    <w:rsid w:val="00FF0DBD"/>
    <w:rsid w:val="00FF1B8E"/>
    <w:rsid w:val="00FF2100"/>
    <w:rsid w:val="00FF239C"/>
    <w:rsid w:val="00FF25AB"/>
    <w:rsid w:val="00FF2633"/>
    <w:rsid w:val="00FF2820"/>
    <w:rsid w:val="00FF2883"/>
    <w:rsid w:val="00FF2B4C"/>
    <w:rsid w:val="00FF2FF1"/>
    <w:rsid w:val="00FF30DF"/>
    <w:rsid w:val="00FF323A"/>
    <w:rsid w:val="00FF344B"/>
    <w:rsid w:val="00FF3478"/>
    <w:rsid w:val="00FF375D"/>
    <w:rsid w:val="00FF3A07"/>
    <w:rsid w:val="00FF3BB4"/>
    <w:rsid w:val="00FF3BEF"/>
    <w:rsid w:val="00FF3FEA"/>
    <w:rsid w:val="00FF4246"/>
    <w:rsid w:val="00FF4755"/>
    <w:rsid w:val="00FF48EE"/>
    <w:rsid w:val="00FF4C54"/>
    <w:rsid w:val="00FF4C68"/>
    <w:rsid w:val="00FF4D81"/>
    <w:rsid w:val="00FF4DE2"/>
    <w:rsid w:val="00FF50E2"/>
    <w:rsid w:val="00FF5174"/>
    <w:rsid w:val="00FF517B"/>
    <w:rsid w:val="00FF5438"/>
    <w:rsid w:val="00FF5718"/>
    <w:rsid w:val="00FF5B9C"/>
    <w:rsid w:val="00FF60EC"/>
    <w:rsid w:val="00FF61B6"/>
    <w:rsid w:val="00FF64AE"/>
    <w:rsid w:val="00FF68E4"/>
    <w:rsid w:val="00FF6C1E"/>
    <w:rsid w:val="00FF705F"/>
    <w:rsid w:val="00FF73E8"/>
    <w:rsid w:val="00FF748A"/>
    <w:rsid w:val="00FF74B5"/>
    <w:rsid w:val="00FF7544"/>
    <w:rsid w:val="00FF76C5"/>
    <w:rsid w:val="00FF7776"/>
    <w:rsid w:val="00FF7F6F"/>
    <w:rsid w:val="012B5E3D"/>
    <w:rsid w:val="0156779F"/>
    <w:rsid w:val="0211CFFA"/>
    <w:rsid w:val="02443FA3"/>
    <w:rsid w:val="024B2660"/>
    <w:rsid w:val="0254C9DA"/>
    <w:rsid w:val="02918372"/>
    <w:rsid w:val="02ADF237"/>
    <w:rsid w:val="02BB2864"/>
    <w:rsid w:val="02D019E5"/>
    <w:rsid w:val="02E03387"/>
    <w:rsid w:val="03650F1D"/>
    <w:rsid w:val="03704ED9"/>
    <w:rsid w:val="0391E684"/>
    <w:rsid w:val="04055425"/>
    <w:rsid w:val="0412014E"/>
    <w:rsid w:val="044658CC"/>
    <w:rsid w:val="048FB79F"/>
    <w:rsid w:val="05578793"/>
    <w:rsid w:val="05902A85"/>
    <w:rsid w:val="05A5FB69"/>
    <w:rsid w:val="05E21120"/>
    <w:rsid w:val="05FB01C5"/>
    <w:rsid w:val="05FB09A6"/>
    <w:rsid w:val="05FD51AC"/>
    <w:rsid w:val="0606FB28"/>
    <w:rsid w:val="0639679C"/>
    <w:rsid w:val="06782BD9"/>
    <w:rsid w:val="06F7D346"/>
    <w:rsid w:val="070B56D2"/>
    <w:rsid w:val="0775E857"/>
    <w:rsid w:val="077A8001"/>
    <w:rsid w:val="0784EF86"/>
    <w:rsid w:val="07C8F4E3"/>
    <w:rsid w:val="081D21CE"/>
    <w:rsid w:val="08C051E4"/>
    <w:rsid w:val="08E15230"/>
    <w:rsid w:val="090F49FA"/>
    <w:rsid w:val="0A098860"/>
    <w:rsid w:val="0A7A5FDB"/>
    <w:rsid w:val="0AA9A076"/>
    <w:rsid w:val="0AB606A4"/>
    <w:rsid w:val="0AFB2EE9"/>
    <w:rsid w:val="0B082CE6"/>
    <w:rsid w:val="0C360CB3"/>
    <w:rsid w:val="0C65C678"/>
    <w:rsid w:val="0C765BFC"/>
    <w:rsid w:val="0C891CC9"/>
    <w:rsid w:val="0CA9CBD2"/>
    <w:rsid w:val="0CBB5E17"/>
    <w:rsid w:val="0D165404"/>
    <w:rsid w:val="0D28E0AB"/>
    <w:rsid w:val="0D579E52"/>
    <w:rsid w:val="0DB1F85F"/>
    <w:rsid w:val="0DDA408A"/>
    <w:rsid w:val="0E60ADB1"/>
    <w:rsid w:val="0F2763E8"/>
    <w:rsid w:val="0F3D082E"/>
    <w:rsid w:val="0F8EB276"/>
    <w:rsid w:val="0FF479CA"/>
    <w:rsid w:val="10426C07"/>
    <w:rsid w:val="105CD694"/>
    <w:rsid w:val="10649F60"/>
    <w:rsid w:val="107D564A"/>
    <w:rsid w:val="10858D52"/>
    <w:rsid w:val="10894D89"/>
    <w:rsid w:val="10C76774"/>
    <w:rsid w:val="11078110"/>
    <w:rsid w:val="112C7A3D"/>
    <w:rsid w:val="11681778"/>
    <w:rsid w:val="11B5D100"/>
    <w:rsid w:val="11D6B7B9"/>
    <w:rsid w:val="120831C4"/>
    <w:rsid w:val="1214131C"/>
    <w:rsid w:val="127652B2"/>
    <w:rsid w:val="129E23CD"/>
    <w:rsid w:val="12B28185"/>
    <w:rsid w:val="12C33A97"/>
    <w:rsid w:val="138B51FF"/>
    <w:rsid w:val="144E12EC"/>
    <w:rsid w:val="146E3EE2"/>
    <w:rsid w:val="14F6217E"/>
    <w:rsid w:val="150ACBA4"/>
    <w:rsid w:val="1541388E"/>
    <w:rsid w:val="15901618"/>
    <w:rsid w:val="162A8058"/>
    <w:rsid w:val="16450219"/>
    <w:rsid w:val="168B473A"/>
    <w:rsid w:val="16CB1C28"/>
    <w:rsid w:val="172CDD60"/>
    <w:rsid w:val="176FF3AA"/>
    <w:rsid w:val="178E8A30"/>
    <w:rsid w:val="17CDBCA7"/>
    <w:rsid w:val="17CF7F24"/>
    <w:rsid w:val="17EC9F5B"/>
    <w:rsid w:val="180C66BB"/>
    <w:rsid w:val="180E3FCE"/>
    <w:rsid w:val="1871A05D"/>
    <w:rsid w:val="18AC0223"/>
    <w:rsid w:val="18D12E7A"/>
    <w:rsid w:val="18ECA563"/>
    <w:rsid w:val="19552276"/>
    <w:rsid w:val="1A029D4B"/>
    <w:rsid w:val="1A02CB83"/>
    <w:rsid w:val="1B2A2035"/>
    <w:rsid w:val="1B7899C8"/>
    <w:rsid w:val="1BB47D52"/>
    <w:rsid w:val="1BDA71EE"/>
    <w:rsid w:val="1BDDCAD2"/>
    <w:rsid w:val="1C09D3D4"/>
    <w:rsid w:val="1C6CB7BB"/>
    <w:rsid w:val="1C80E0C6"/>
    <w:rsid w:val="1CA5383C"/>
    <w:rsid w:val="1CCAF560"/>
    <w:rsid w:val="1CEF342D"/>
    <w:rsid w:val="1D14C3BC"/>
    <w:rsid w:val="1D4C3460"/>
    <w:rsid w:val="1D5E2755"/>
    <w:rsid w:val="1D5F9A82"/>
    <w:rsid w:val="1DF9AEF4"/>
    <w:rsid w:val="1E3F62EC"/>
    <w:rsid w:val="1EB76D3C"/>
    <w:rsid w:val="1EC08532"/>
    <w:rsid w:val="1F0E050B"/>
    <w:rsid w:val="1F2B4764"/>
    <w:rsid w:val="1F625528"/>
    <w:rsid w:val="1F8CE22A"/>
    <w:rsid w:val="1FCD26F1"/>
    <w:rsid w:val="2017C8A2"/>
    <w:rsid w:val="2068169F"/>
    <w:rsid w:val="20D241C9"/>
    <w:rsid w:val="2149E426"/>
    <w:rsid w:val="215E8208"/>
    <w:rsid w:val="2183E99D"/>
    <w:rsid w:val="21F0D2F9"/>
    <w:rsid w:val="222303BE"/>
    <w:rsid w:val="22512A60"/>
    <w:rsid w:val="226D2370"/>
    <w:rsid w:val="2288FEDE"/>
    <w:rsid w:val="22D4AF8D"/>
    <w:rsid w:val="22DEA8FB"/>
    <w:rsid w:val="23181678"/>
    <w:rsid w:val="2335D6FC"/>
    <w:rsid w:val="233600AC"/>
    <w:rsid w:val="2434FE95"/>
    <w:rsid w:val="2459C6C7"/>
    <w:rsid w:val="24895B9B"/>
    <w:rsid w:val="2499746E"/>
    <w:rsid w:val="24C98546"/>
    <w:rsid w:val="24D3CDF8"/>
    <w:rsid w:val="24F62B31"/>
    <w:rsid w:val="25237ABF"/>
    <w:rsid w:val="257FEF4B"/>
    <w:rsid w:val="25B5D30A"/>
    <w:rsid w:val="25CFB7CD"/>
    <w:rsid w:val="25D92107"/>
    <w:rsid w:val="25ECA400"/>
    <w:rsid w:val="26997CE7"/>
    <w:rsid w:val="26A16735"/>
    <w:rsid w:val="26FD9ED7"/>
    <w:rsid w:val="2780B009"/>
    <w:rsid w:val="27BF6536"/>
    <w:rsid w:val="27FD18AF"/>
    <w:rsid w:val="2852D6C9"/>
    <w:rsid w:val="285A3767"/>
    <w:rsid w:val="28706CA1"/>
    <w:rsid w:val="2908E970"/>
    <w:rsid w:val="292B7E78"/>
    <w:rsid w:val="2968EEBB"/>
    <w:rsid w:val="29B44E13"/>
    <w:rsid w:val="2A27FA4D"/>
    <w:rsid w:val="2A6E42AB"/>
    <w:rsid w:val="2AB2D29E"/>
    <w:rsid w:val="2B0D06A6"/>
    <w:rsid w:val="2B8378ED"/>
    <w:rsid w:val="2C5EACAD"/>
    <w:rsid w:val="2CAB5862"/>
    <w:rsid w:val="2CAEFB42"/>
    <w:rsid w:val="2CBB24B5"/>
    <w:rsid w:val="2CFFA617"/>
    <w:rsid w:val="2D19ACB2"/>
    <w:rsid w:val="2D78B3EB"/>
    <w:rsid w:val="2D85340C"/>
    <w:rsid w:val="2D8B993A"/>
    <w:rsid w:val="2DD5720C"/>
    <w:rsid w:val="2E778CEC"/>
    <w:rsid w:val="2E912E42"/>
    <w:rsid w:val="2EBBAEBF"/>
    <w:rsid w:val="2EDAE6EC"/>
    <w:rsid w:val="2F263A25"/>
    <w:rsid w:val="2F297AAE"/>
    <w:rsid w:val="2F554C8F"/>
    <w:rsid w:val="2F99494C"/>
    <w:rsid w:val="303FBA21"/>
    <w:rsid w:val="306AFC07"/>
    <w:rsid w:val="30720B68"/>
    <w:rsid w:val="3079686A"/>
    <w:rsid w:val="30A6F76D"/>
    <w:rsid w:val="30C6E4CF"/>
    <w:rsid w:val="31187AAB"/>
    <w:rsid w:val="3122D3E9"/>
    <w:rsid w:val="31320102"/>
    <w:rsid w:val="317BA2D2"/>
    <w:rsid w:val="319A2FFC"/>
    <w:rsid w:val="31F48DEE"/>
    <w:rsid w:val="32202BC8"/>
    <w:rsid w:val="3232F831"/>
    <w:rsid w:val="325B8C7F"/>
    <w:rsid w:val="3278FD43"/>
    <w:rsid w:val="32B25F71"/>
    <w:rsid w:val="333296B7"/>
    <w:rsid w:val="339C8260"/>
    <w:rsid w:val="33C08B9F"/>
    <w:rsid w:val="33E3B91C"/>
    <w:rsid w:val="34529744"/>
    <w:rsid w:val="34CCA179"/>
    <w:rsid w:val="34DD37EE"/>
    <w:rsid w:val="34F90734"/>
    <w:rsid w:val="34FB8865"/>
    <w:rsid w:val="3535233B"/>
    <w:rsid w:val="35410D1D"/>
    <w:rsid w:val="35A7481E"/>
    <w:rsid w:val="361DBF8C"/>
    <w:rsid w:val="362CC7C4"/>
    <w:rsid w:val="364F0C22"/>
    <w:rsid w:val="36607F02"/>
    <w:rsid w:val="36FA0617"/>
    <w:rsid w:val="384CB90C"/>
    <w:rsid w:val="38CE001D"/>
    <w:rsid w:val="392FB97F"/>
    <w:rsid w:val="393F66FB"/>
    <w:rsid w:val="396E75A8"/>
    <w:rsid w:val="398B1DD6"/>
    <w:rsid w:val="3A4F0C8E"/>
    <w:rsid w:val="3A7B09C9"/>
    <w:rsid w:val="3A9A5BE1"/>
    <w:rsid w:val="3AB0AAC5"/>
    <w:rsid w:val="3AB44CF2"/>
    <w:rsid w:val="3AB7BE20"/>
    <w:rsid w:val="3ABCE213"/>
    <w:rsid w:val="3AF6A90E"/>
    <w:rsid w:val="3B090A54"/>
    <w:rsid w:val="3B617704"/>
    <w:rsid w:val="3BCEC86B"/>
    <w:rsid w:val="3BFD1CB9"/>
    <w:rsid w:val="3C548366"/>
    <w:rsid w:val="3C77DD8F"/>
    <w:rsid w:val="3D9AE778"/>
    <w:rsid w:val="3E0D1A21"/>
    <w:rsid w:val="3F40D65F"/>
    <w:rsid w:val="3F557A71"/>
    <w:rsid w:val="3F8D30B2"/>
    <w:rsid w:val="3FE78F8C"/>
    <w:rsid w:val="4028BD7F"/>
    <w:rsid w:val="406A7C1F"/>
    <w:rsid w:val="4086AD99"/>
    <w:rsid w:val="40979723"/>
    <w:rsid w:val="40F7F60F"/>
    <w:rsid w:val="411166EC"/>
    <w:rsid w:val="41634A25"/>
    <w:rsid w:val="41900AD1"/>
    <w:rsid w:val="41FAFA78"/>
    <w:rsid w:val="4200B4C4"/>
    <w:rsid w:val="424ACE50"/>
    <w:rsid w:val="426FADE4"/>
    <w:rsid w:val="42A9C647"/>
    <w:rsid w:val="42AED6BA"/>
    <w:rsid w:val="42BEFD82"/>
    <w:rsid w:val="430803E4"/>
    <w:rsid w:val="430F06E9"/>
    <w:rsid w:val="4331F862"/>
    <w:rsid w:val="43BB0B88"/>
    <w:rsid w:val="43CE1748"/>
    <w:rsid w:val="44011DBC"/>
    <w:rsid w:val="44090C6B"/>
    <w:rsid w:val="443079EA"/>
    <w:rsid w:val="444009C3"/>
    <w:rsid w:val="44A5E37D"/>
    <w:rsid w:val="45288FD3"/>
    <w:rsid w:val="4548637C"/>
    <w:rsid w:val="454D647D"/>
    <w:rsid w:val="4569780C"/>
    <w:rsid w:val="4590AC1B"/>
    <w:rsid w:val="4624C4C5"/>
    <w:rsid w:val="46298B3E"/>
    <w:rsid w:val="465727FC"/>
    <w:rsid w:val="46CFAC4E"/>
    <w:rsid w:val="46FF8A94"/>
    <w:rsid w:val="47176D70"/>
    <w:rsid w:val="478D0ECC"/>
    <w:rsid w:val="47D99D1C"/>
    <w:rsid w:val="4808E00B"/>
    <w:rsid w:val="486609C7"/>
    <w:rsid w:val="49C81433"/>
    <w:rsid w:val="49EEA7CE"/>
    <w:rsid w:val="49F5C238"/>
    <w:rsid w:val="4A59F027"/>
    <w:rsid w:val="4AC3DA75"/>
    <w:rsid w:val="4AD23895"/>
    <w:rsid w:val="4ADC2E5F"/>
    <w:rsid w:val="4B64C468"/>
    <w:rsid w:val="4B8D8748"/>
    <w:rsid w:val="4B9F036D"/>
    <w:rsid w:val="4BE788BA"/>
    <w:rsid w:val="4C0A0968"/>
    <w:rsid w:val="4C3AE2FF"/>
    <w:rsid w:val="4CDD6CD9"/>
    <w:rsid w:val="4CF4B48F"/>
    <w:rsid w:val="4D0614CF"/>
    <w:rsid w:val="4D7BE834"/>
    <w:rsid w:val="4DB80D8D"/>
    <w:rsid w:val="4DC1FC69"/>
    <w:rsid w:val="4DF5F665"/>
    <w:rsid w:val="4E2B47AE"/>
    <w:rsid w:val="4E75A4D2"/>
    <w:rsid w:val="4E8BBB64"/>
    <w:rsid w:val="4F04347F"/>
    <w:rsid w:val="4FC42834"/>
    <w:rsid w:val="4FCD29BA"/>
    <w:rsid w:val="4FFC36CB"/>
    <w:rsid w:val="503CB377"/>
    <w:rsid w:val="5054A381"/>
    <w:rsid w:val="50C05D0B"/>
    <w:rsid w:val="510F9CF2"/>
    <w:rsid w:val="5148E55B"/>
    <w:rsid w:val="515A2944"/>
    <w:rsid w:val="515BE303"/>
    <w:rsid w:val="51BB53EF"/>
    <w:rsid w:val="51DDD759"/>
    <w:rsid w:val="522A0410"/>
    <w:rsid w:val="523B223F"/>
    <w:rsid w:val="525AE281"/>
    <w:rsid w:val="526BFE5D"/>
    <w:rsid w:val="527CE113"/>
    <w:rsid w:val="52DDB869"/>
    <w:rsid w:val="5353B2D7"/>
    <w:rsid w:val="53BBFE2E"/>
    <w:rsid w:val="53C14494"/>
    <w:rsid w:val="53C411E7"/>
    <w:rsid w:val="53DA0DEE"/>
    <w:rsid w:val="53F1E793"/>
    <w:rsid w:val="544178A0"/>
    <w:rsid w:val="54D8C546"/>
    <w:rsid w:val="551B0D94"/>
    <w:rsid w:val="5544344A"/>
    <w:rsid w:val="55502028"/>
    <w:rsid w:val="5581F622"/>
    <w:rsid w:val="55972C30"/>
    <w:rsid w:val="55D1FF2B"/>
    <w:rsid w:val="55DC7D5F"/>
    <w:rsid w:val="55E56929"/>
    <w:rsid w:val="55E596A5"/>
    <w:rsid w:val="56AED931"/>
    <w:rsid w:val="56F4E022"/>
    <w:rsid w:val="572B870B"/>
    <w:rsid w:val="574191CB"/>
    <w:rsid w:val="577848C0"/>
    <w:rsid w:val="57798401"/>
    <w:rsid w:val="577BEF0A"/>
    <w:rsid w:val="57847D84"/>
    <w:rsid w:val="579F9C4B"/>
    <w:rsid w:val="57C6935C"/>
    <w:rsid w:val="57E6B8D6"/>
    <w:rsid w:val="58064900"/>
    <w:rsid w:val="58072ADD"/>
    <w:rsid w:val="5808AE3E"/>
    <w:rsid w:val="5836267F"/>
    <w:rsid w:val="586AD01A"/>
    <w:rsid w:val="5907BD80"/>
    <w:rsid w:val="592D44AB"/>
    <w:rsid w:val="5943275F"/>
    <w:rsid w:val="594C8F24"/>
    <w:rsid w:val="59BBB736"/>
    <w:rsid w:val="5A030318"/>
    <w:rsid w:val="5A732ED4"/>
    <w:rsid w:val="5AA5FEE9"/>
    <w:rsid w:val="5AC36E81"/>
    <w:rsid w:val="5AE5A7A1"/>
    <w:rsid w:val="5AF37989"/>
    <w:rsid w:val="5B774D0E"/>
    <w:rsid w:val="5C1E2370"/>
    <w:rsid w:val="5C2A1D94"/>
    <w:rsid w:val="5C744BD7"/>
    <w:rsid w:val="5CC6148E"/>
    <w:rsid w:val="5CFFE142"/>
    <w:rsid w:val="5D4650BD"/>
    <w:rsid w:val="5D798639"/>
    <w:rsid w:val="5DC924A3"/>
    <w:rsid w:val="5DEB47E1"/>
    <w:rsid w:val="5E54ADA2"/>
    <w:rsid w:val="5E8B6F7F"/>
    <w:rsid w:val="5EDFACB5"/>
    <w:rsid w:val="5F3B1B2D"/>
    <w:rsid w:val="5F5AB831"/>
    <w:rsid w:val="5F5E0D12"/>
    <w:rsid w:val="5F5ECE05"/>
    <w:rsid w:val="5FAB64B0"/>
    <w:rsid w:val="607A6DC6"/>
    <w:rsid w:val="6105AFBC"/>
    <w:rsid w:val="61CBE9AC"/>
    <w:rsid w:val="61CC4741"/>
    <w:rsid w:val="62049814"/>
    <w:rsid w:val="6269B035"/>
    <w:rsid w:val="62BB244A"/>
    <w:rsid w:val="62D0E652"/>
    <w:rsid w:val="63032310"/>
    <w:rsid w:val="634161F4"/>
    <w:rsid w:val="635B269A"/>
    <w:rsid w:val="6411C868"/>
    <w:rsid w:val="6452E600"/>
    <w:rsid w:val="648F7FFB"/>
    <w:rsid w:val="64D92EF5"/>
    <w:rsid w:val="653F9C35"/>
    <w:rsid w:val="658490A2"/>
    <w:rsid w:val="659A5C4B"/>
    <w:rsid w:val="65DDEC17"/>
    <w:rsid w:val="6663662F"/>
    <w:rsid w:val="667F5992"/>
    <w:rsid w:val="669B2485"/>
    <w:rsid w:val="66DFD16A"/>
    <w:rsid w:val="671DD929"/>
    <w:rsid w:val="67434CC6"/>
    <w:rsid w:val="675F54B0"/>
    <w:rsid w:val="67AB379E"/>
    <w:rsid w:val="67D4BFA4"/>
    <w:rsid w:val="67FD62E4"/>
    <w:rsid w:val="6800681F"/>
    <w:rsid w:val="68333504"/>
    <w:rsid w:val="687A755B"/>
    <w:rsid w:val="68BE9443"/>
    <w:rsid w:val="68DEEC08"/>
    <w:rsid w:val="6942BAFE"/>
    <w:rsid w:val="69ADF9A4"/>
    <w:rsid w:val="69CD0DFC"/>
    <w:rsid w:val="69CDF61B"/>
    <w:rsid w:val="6A27C5DB"/>
    <w:rsid w:val="6AA0CEE4"/>
    <w:rsid w:val="6ADA0863"/>
    <w:rsid w:val="6AF25A72"/>
    <w:rsid w:val="6AFD06B5"/>
    <w:rsid w:val="6B7DCDD9"/>
    <w:rsid w:val="6BE02F5E"/>
    <w:rsid w:val="6C721320"/>
    <w:rsid w:val="6C7C10DA"/>
    <w:rsid w:val="6D4C66DA"/>
    <w:rsid w:val="6D4E1DC3"/>
    <w:rsid w:val="6E00EE1E"/>
    <w:rsid w:val="6E07DF45"/>
    <w:rsid w:val="6E365034"/>
    <w:rsid w:val="6E61A04F"/>
    <w:rsid w:val="6ED37B04"/>
    <w:rsid w:val="6FE29209"/>
    <w:rsid w:val="7017F9D9"/>
    <w:rsid w:val="701832E4"/>
    <w:rsid w:val="70FDDE6F"/>
    <w:rsid w:val="719AB0AE"/>
    <w:rsid w:val="71C48FEB"/>
    <w:rsid w:val="71D621E5"/>
    <w:rsid w:val="72196DC9"/>
    <w:rsid w:val="7242C5FF"/>
    <w:rsid w:val="724345D1"/>
    <w:rsid w:val="725242C2"/>
    <w:rsid w:val="727380E0"/>
    <w:rsid w:val="72863F3D"/>
    <w:rsid w:val="72ACEE22"/>
    <w:rsid w:val="72AE3B2A"/>
    <w:rsid w:val="72F62F61"/>
    <w:rsid w:val="73106364"/>
    <w:rsid w:val="7319E2C1"/>
    <w:rsid w:val="732A1F0A"/>
    <w:rsid w:val="732FD67D"/>
    <w:rsid w:val="734908E2"/>
    <w:rsid w:val="734F1827"/>
    <w:rsid w:val="7355EA34"/>
    <w:rsid w:val="737478F4"/>
    <w:rsid w:val="738A33A7"/>
    <w:rsid w:val="740DF726"/>
    <w:rsid w:val="744F2EF9"/>
    <w:rsid w:val="747B50BC"/>
    <w:rsid w:val="751C6822"/>
    <w:rsid w:val="753CF25E"/>
    <w:rsid w:val="753D2B16"/>
    <w:rsid w:val="7548DF0B"/>
    <w:rsid w:val="75DA770F"/>
    <w:rsid w:val="762DCBDA"/>
    <w:rsid w:val="76668320"/>
    <w:rsid w:val="76A2CC41"/>
    <w:rsid w:val="76CCFAA1"/>
    <w:rsid w:val="7790B0B0"/>
    <w:rsid w:val="77C91EEF"/>
    <w:rsid w:val="77CBD943"/>
    <w:rsid w:val="78A1F3B2"/>
    <w:rsid w:val="78AF8F8B"/>
    <w:rsid w:val="78C25724"/>
    <w:rsid w:val="7916E4C7"/>
    <w:rsid w:val="7933CAD0"/>
    <w:rsid w:val="7947327C"/>
    <w:rsid w:val="79E70046"/>
    <w:rsid w:val="79F463E5"/>
    <w:rsid w:val="7A0D37D8"/>
    <w:rsid w:val="7A23CAE1"/>
    <w:rsid w:val="7A2FA85A"/>
    <w:rsid w:val="7A74DA22"/>
    <w:rsid w:val="7AB8BE42"/>
    <w:rsid w:val="7AD124B6"/>
    <w:rsid w:val="7B15D079"/>
    <w:rsid w:val="7B48E944"/>
    <w:rsid w:val="7BA38039"/>
    <w:rsid w:val="7BAC5C01"/>
    <w:rsid w:val="7BEDF0EC"/>
    <w:rsid w:val="7C185E16"/>
    <w:rsid w:val="7C726F1C"/>
    <w:rsid w:val="7C75C4D9"/>
    <w:rsid w:val="7C84CDE5"/>
    <w:rsid w:val="7CE9B6DA"/>
    <w:rsid w:val="7CE9EF04"/>
    <w:rsid w:val="7D7A2C50"/>
    <w:rsid w:val="7D83B29D"/>
    <w:rsid w:val="7DCA177F"/>
    <w:rsid w:val="7E0C1691"/>
    <w:rsid w:val="7E4E5162"/>
    <w:rsid w:val="7E6E3C6A"/>
    <w:rsid w:val="7E9752AB"/>
    <w:rsid w:val="7EB94F84"/>
    <w:rsid w:val="7ECFD7AD"/>
    <w:rsid w:val="7F04DC42"/>
    <w:rsid w:val="7F1A74F2"/>
    <w:rsid w:val="7F590740"/>
    <w:rsid w:val="7FC8338F"/>
    <w:rsid w:val="7FDD8A9C"/>
    <w:rsid w:val="7FDFF5A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E8E"/>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5"/>
      </w:numPr>
      <w:pBdr>
        <w:bottom w:val="single" w:sz="4" w:space="1" w:color="auto"/>
      </w:pBdr>
      <w:spacing w:before="600" w:after="480" w:line="240" w:lineRule="auto"/>
      <w:ind w:left="357" w:hanging="357"/>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5"/>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Q"/>
    <w:basedOn w:val="Normal"/>
    <w:next w:val="Normal"/>
    <w:link w:val="CaptionChar"/>
    <w:qFormat/>
    <w:rsid w:val="009A06F4"/>
    <w:pPr>
      <w:keepNext/>
      <w:spacing w:before="360" w:after="120" w:line="240" w:lineRule="auto"/>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MingLiU-ExtB" w:hAnsi="MingLiU-ExtB"/>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Q Char"/>
    <w:basedOn w:val="DefaultParagraphFont"/>
    <w:link w:val="Caption"/>
    <w:rsid w:val="009A06F4"/>
    <w:rPr>
      <w:rFonts w:ascii="Arial Narrow" w:eastAsia="Times New Roman" w:hAnsi="Arial Narrow" w:cs="Times New Roman"/>
      <w:b/>
      <w:bCs/>
      <w:sz w:val="20"/>
      <w:szCs w:val="20"/>
    </w:rPr>
  </w:style>
  <w:style w:type="table" w:styleId="TableGrid">
    <w:name w:val="Table Grid"/>
    <w:aliases w:val="Summary box,Table Gridbeth,RTI AMCP Table,new style,ASD Table,HealthConsult,Centered text,PBAC table,HTAtableplain,Lash Style Table,CMA Table Template"/>
    <w:basedOn w:val="TableNormal"/>
    <w:uiPriority w:val="59"/>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aliases w:val="Table Legend,Bullet1,Bullet 1,Bullet List,Section 5"/>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6"/>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aliases w:val="Table Legend Char,Bullet1 Char,Bullet 1 Char,Bullet List Char,Section 5 Char"/>
    <w:basedOn w:val="DefaultParagraphFont"/>
    <w:link w:val="ListParagraph"/>
    <w:uiPriority w:val="34"/>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8"/>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7"/>
      </w:numPr>
    </w:pPr>
  </w:style>
  <w:style w:type="paragraph" w:customStyle="1" w:styleId="2-SectionHeading">
    <w:name w:val="2-Section Heading"/>
    <w:qFormat/>
    <w:rsid w:val="005131D3"/>
    <w:pPr>
      <w:keepNext/>
      <w:numPr>
        <w:numId w:val="9"/>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9"/>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10"/>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CA"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MingLiU-ExtB" w:hAnsi="MingLiU-ExtB"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MingLiU-ExtB" w:hAnsi="MingLiU-ExtB"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MingLiU-ExtB" w:hAnsi="MingLiU-ExtB"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iPriority w:val="99"/>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11"/>
      </w:numPr>
      <w:spacing w:before="240"/>
      <w:ind w:left="2154" w:hanging="357"/>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12"/>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13"/>
      </w:numPr>
      <w:spacing w:before="0" w:after="0"/>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table" w:customStyle="1" w:styleId="TableGrid11">
    <w:name w:val="Table Grid11"/>
    <w:basedOn w:val="TableNormal"/>
    <w:next w:val="TableGrid"/>
    <w:locked/>
    <w:rsid w:val="007D4F22"/>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MingLiU-ExtB" w:hAnsi="MingLiU-ExtB"/>
        <w:b w:val="0"/>
        <w:sz w:val="20"/>
      </w:rPr>
    </w:tblStylePr>
  </w:style>
  <w:style w:type="table" w:customStyle="1" w:styleId="PBACTableStyle1">
    <w:name w:val="PBAC Table Style1"/>
    <w:basedOn w:val="TableGrid10"/>
    <w:uiPriority w:val="99"/>
    <w:rsid w:val="007D4F22"/>
    <w:pPr>
      <w:widowControl w:val="0"/>
      <w:spacing w:before="120" w:after="0" w:line="240" w:lineRule="auto"/>
      <w:contextualSpacing/>
      <w:jc w:val="center"/>
    </w:pPr>
    <w:rPr>
      <w:rFonts w:ascii="Arial Narrow" w:hAnsi="Arial Narrow"/>
      <w:color w:val="000000" w:themeColor="text1"/>
      <w:sz w:val="20"/>
      <w:szCs w:val="20"/>
      <w:lang w:val="en-CA"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MingLiU-ExtB" w:hAnsi="MingLiU-ExtB"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MingLiU-ExtB" w:hAnsi="MingLiU-ExtB"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MingLiU-ExtB" w:hAnsi="MingLiU-ExtB"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7D4F22"/>
    <w:rPr>
      <w:color w:val="605E5C"/>
      <w:shd w:val="clear" w:color="auto" w:fill="E1DFDD"/>
    </w:rPr>
  </w:style>
  <w:style w:type="paragraph" w:customStyle="1" w:styleId="Notes-TableFigure">
    <w:name w:val="Notes - Table/Figure"/>
    <w:basedOn w:val="Normal"/>
    <w:link w:val="Notes-TableFigureChar"/>
    <w:qFormat/>
    <w:rsid w:val="007D4F22"/>
    <w:pPr>
      <w:spacing w:after="360" w:line="240" w:lineRule="auto"/>
      <w:contextualSpacing/>
    </w:pPr>
    <w:rPr>
      <w:rFonts w:ascii="Arial Narrow" w:hAnsi="Arial Narrow"/>
      <w:sz w:val="18"/>
      <w:lang w:val="en-US"/>
    </w:rPr>
  </w:style>
  <w:style w:type="character" w:customStyle="1" w:styleId="Notes-TableFigureChar">
    <w:name w:val="Notes - Table/Figure Char"/>
    <w:basedOn w:val="DefaultParagraphFont"/>
    <w:link w:val="Notes-TableFigure"/>
    <w:rsid w:val="007D4F22"/>
    <w:rPr>
      <w:rFonts w:ascii="Arial Narrow" w:hAnsi="Arial Narrow"/>
      <w:sz w:val="18"/>
      <w:lang w:val="en-US"/>
    </w:rPr>
  </w:style>
  <w:style w:type="paragraph" w:customStyle="1" w:styleId="Heading3nonumbers">
    <w:name w:val="Heading 3 no numbers"/>
    <w:basedOn w:val="Heading3"/>
    <w:next w:val="Normal"/>
    <w:link w:val="Heading3nonumbersChar"/>
    <w:qFormat/>
    <w:rsid w:val="007D4F22"/>
    <w:pPr>
      <w:tabs>
        <w:tab w:val="clear" w:pos="851"/>
      </w:tabs>
    </w:pPr>
    <w:rPr>
      <w:color w:val="000000" w:themeColor="text1"/>
      <w:lang w:val="en-US"/>
    </w:rPr>
  </w:style>
  <w:style w:type="character" w:customStyle="1" w:styleId="Heading3nonumbersChar">
    <w:name w:val="Heading 3 no numbers Char"/>
    <w:basedOn w:val="Heading3Char"/>
    <w:link w:val="Heading3nonumbers"/>
    <w:rsid w:val="007D4F22"/>
    <w:rPr>
      <w:rFonts w:ascii="Franklin Gothic Medium" w:eastAsiaTheme="majorEastAsia" w:hAnsi="Franklin Gothic Medium" w:cstheme="majorBidi"/>
      <w:color w:val="000000" w:themeColor="text1"/>
      <w:sz w:val="24"/>
      <w:szCs w:val="24"/>
      <w:lang w:val="en-US"/>
    </w:rPr>
  </w:style>
  <w:style w:type="character" w:customStyle="1" w:styleId="normaltextrun">
    <w:name w:val="normaltextrun"/>
    <w:basedOn w:val="DefaultParagraphFont"/>
    <w:rsid w:val="00312A3E"/>
  </w:style>
  <w:style w:type="character" w:styleId="Mention">
    <w:name w:val="Mention"/>
    <w:basedOn w:val="DefaultParagraphFont"/>
    <w:uiPriority w:val="99"/>
    <w:unhideWhenUsed/>
    <w:rsid w:val="00312A3E"/>
    <w:rPr>
      <w:color w:val="2B579A"/>
      <w:shd w:val="clear" w:color="auto" w:fill="E1DFDD"/>
    </w:rPr>
  </w:style>
  <w:style w:type="paragraph" w:styleId="EndnoteText">
    <w:name w:val="endnote text"/>
    <w:basedOn w:val="Normal"/>
    <w:link w:val="EndnoteTextChar"/>
    <w:uiPriority w:val="99"/>
    <w:semiHidden/>
    <w:unhideWhenUsed/>
    <w:rsid w:val="000D5208"/>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D5208"/>
    <w:rPr>
      <w:rFonts w:ascii="Franklin Gothic Book" w:hAnsi="Franklin Gothic Book"/>
      <w:sz w:val="20"/>
      <w:szCs w:val="20"/>
    </w:rPr>
  </w:style>
  <w:style w:type="character" w:styleId="EndnoteReference">
    <w:name w:val="endnote reference"/>
    <w:basedOn w:val="DefaultParagraphFont"/>
    <w:uiPriority w:val="99"/>
    <w:semiHidden/>
    <w:unhideWhenUsed/>
    <w:rsid w:val="000D5208"/>
    <w:rPr>
      <w:vertAlign w:val="superscript"/>
    </w:rPr>
  </w:style>
  <w:style w:type="paragraph" w:customStyle="1" w:styleId="EndNoteBibliographyTitle">
    <w:name w:val="EndNote Bibliography Title"/>
    <w:basedOn w:val="Normal"/>
    <w:link w:val="EndNoteBibliographyTitleChar"/>
    <w:rsid w:val="000E7810"/>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0E7810"/>
    <w:rPr>
      <w:rFonts w:ascii="Franklin Gothic Book" w:hAnsi="Franklin Gothic Book"/>
      <w:noProof/>
      <w:lang w:val="en-US"/>
    </w:rPr>
  </w:style>
  <w:style w:type="paragraph" w:customStyle="1" w:styleId="EndNoteBibliography">
    <w:name w:val="EndNote Bibliography"/>
    <w:basedOn w:val="Normal"/>
    <w:link w:val="EndNoteBibliographyChar"/>
    <w:rsid w:val="000E7810"/>
    <w:pPr>
      <w:spacing w:line="240" w:lineRule="auto"/>
    </w:pPr>
    <w:rPr>
      <w:noProof/>
      <w:lang w:val="en-US"/>
    </w:rPr>
  </w:style>
  <w:style w:type="character" w:customStyle="1" w:styleId="EndNoteBibliographyChar">
    <w:name w:val="EndNote Bibliography Char"/>
    <w:basedOn w:val="DefaultParagraphFont"/>
    <w:link w:val="EndNoteBibliography"/>
    <w:rsid w:val="000E7810"/>
    <w:rPr>
      <w:rFonts w:ascii="Franklin Gothic Book" w:hAnsi="Franklin Gothic Book"/>
      <w:noProof/>
      <w:lang w:val="en-US"/>
    </w:rPr>
  </w:style>
  <w:style w:type="paragraph" w:customStyle="1" w:styleId="TableDash">
    <w:name w:val="TableDash"/>
    <w:basedOn w:val="TableText1"/>
    <w:rsid w:val="00536BD6"/>
    <w:pPr>
      <w:numPr>
        <w:numId w:val="21"/>
      </w:numPr>
      <w:tabs>
        <w:tab w:val="clear" w:pos="216"/>
        <w:tab w:val="num" w:pos="432"/>
      </w:tabs>
      <w:spacing w:before="60" w:after="60" w:line="240" w:lineRule="auto"/>
      <w:jc w:val="left"/>
    </w:pPr>
    <w:rPr>
      <w:rFonts w:ascii="Franklin Gothic Book" w:hAnsi="Franklin Gothic Book" w:cs="Times New Roman"/>
      <w:color w:val="000000"/>
      <w:sz w:val="21"/>
      <w:szCs w:val="21"/>
    </w:rPr>
  </w:style>
  <w:style w:type="paragraph" w:customStyle="1" w:styleId="BoxName0">
    <w:name w:val="BoxName"/>
    <w:basedOn w:val="Normal"/>
    <w:rsid w:val="00536BD6"/>
    <w:pPr>
      <w:keepNext/>
      <w:pBdr>
        <w:top w:val="single" w:sz="4" w:space="4" w:color="000000"/>
        <w:left w:val="single" w:sz="4" w:space="4" w:color="000000"/>
        <w:bottom w:val="single" w:sz="4" w:space="4" w:color="000000"/>
        <w:right w:val="single" w:sz="4" w:space="4" w:color="000000"/>
      </w:pBdr>
      <w:spacing w:before="240" w:after="240" w:line="240" w:lineRule="auto"/>
      <w:ind w:left="1077" w:hanging="1077"/>
    </w:pPr>
    <w:rPr>
      <w:rFonts w:eastAsia="Times New Roman" w:cs="Times New Roman"/>
      <w:b/>
      <w:bCs/>
      <w:color w:val="000000"/>
      <w:sz w:val="24"/>
      <w:szCs w:val="20"/>
      <w:lang w:eastAsia="en-AU"/>
    </w:rPr>
  </w:style>
  <w:style w:type="paragraph" w:customStyle="1" w:styleId="BoxHeading">
    <w:name w:val="BoxHeading"/>
    <w:basedOn w:val="Normal"/>
    <w:rsid w:val="00536BD6"/>
    <w:pPr>
      <w:keepNext/>
      <w:pBdr>
        <w:top w:val="single" w:sz="4" w:space="4" w:color="000000"/>
        <w:left w:val="single" w:sz="4" w:space="4" w:color="000000"/>
        <w:bottom w:val="single" w:sz="4" w:space="4" w:color="000000"/>
        <w:right w:val="single" w:sz="4" w:space="4" w:color="000000"/>
      </w:pBdr>
      <w:spacing w:after="60" w:line="240" w:lineRule="auto"/>
    </w:pPr>
    <w:rPr>
      <w:rFonts w:eastAsia="Times New Roman" w:cs="Times New Roman"/>
      <w:b/>
      <w:bCs/>
      <w:color w:val="000000"/>
      <w:szCs w:val="20"/>
      <w:lang w:eastAsia="en-AU"/>
    </w:rPr>
  </w:style>
  <w:style w:type="paragraph" w:customStyle="1" w:styleId="BoxBullet">
    <w:name w:val="BoxBullet"/>
    <w:basedOn w:val="Normal"/>
    <w:rsid w:val="00536BD6"/>
    <w:pPr>
      <w:numPr>
        <w:numId w:val="22"/>
      </w:numPr>
      <w:pBdr>
        <w:top w:val="single" w:sz="4" w:space="4" w:color="000000"/>
        <w:left w:val="single" w:sz="4" w:space="4" w:color="000000"/>
        <w:bottom w:val="single" w:sz="4" w:space="4" w:color="000000"/>
        <w:right w:val="single" w:sz="4" w:space="4" w:color="000000"/>
      </w:pBdr>
      <w:spacing w:before="0" w:after="120" w:line="240" w:lineRule="auto"/>
    </w:pPr>
    <w:rPr>
      <w:rFonts w:eastAsia="Times New Roman" w:cs="Times New Roman"/>
      <w:color w:val="000000"/>
      <w:szCs w:val="20"/>
      <w:lang w:eastAsia="en-AU"/>
    </w:rPr>
  </w:style>
  <w:style w:type="table" w:customStyle="1" w:styleId="Section3-footnot1">
    <w:name w:val="Section 3- footnot1"/>
    <w:basedOn w:val="TableNormal"/>
    <w:next w:val="TableGrid"/>
    <w:uiPriority w:val="59"/>
    <w:rsid w:val="00416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4167A0"/>
    <w:pPr>
      <w:spacing w:before="0" w:after="120" w:line="240" w:lineRule="auto"/>
    </w:pPr>
    <w:rPr>
      <w:rFonts w:eastAsia="Times New Roman" w:cs="Times New Roman"/>
      <w:color w:val="000000"/>
      <w:szCs w:val="20"/>
      <w:lang w:eastAsia="en-AU"/>
    </w:rPr>
  </w:style>
  <w:style w:type="character" w:customStyle="1" w:styleId="BodyTextChar">
    <w:name w:val="Body Text Char"/>
    <w:basedOn w:val="DefaultParagraphFont"/>
    <w:link w:val="BodyText"/>
    <w:uiPriority w:val="99"/>
    <w:rsid w:val="004167A0"/>
    <w:rPr>
      <w:rFonts w:ascii="Franklin Gothic Book" w:eastAsia="Times New Roman" w:hAnsi="Franklin Gothic Book" w:cs="Times New Roman"/>
      <w:color w:val="000000"/>
      <w:szCs w:val="20"/>
      <w:lang w:eastAsia="en-AU"/>
    </w:rPr>
  </w:style>
  <w:style w:type="paragraph" w:customStyle="1" w:styleId="BulletBeforeDash">
    <w:name w:val="BulletBeforeDash"/>
    <w:basedOn w:val="Normal"/>
    <w:rsid w:val="00CF21DC"/>
    <w:pPr>
      <w:numPr>
        <w:numId w:val="28"/>
      </w:numPr>
      <w:spacing w:before="0" w:after="0" w:line="240" w:lineRule="auto"/>
      <w:ind w:left="720"/>
    </w:pPr>
    <w:rPr>
      <w:rFonts w:ascii="Times New Roman" w:eastAsia="Times New Roman" w:hAnsi="Times New Roman" w:cs="Times New Roman"/>
      <w:color w:val="000000"/>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45027944">
      <w:bodyDiv w:val="1"/>
      <w:marLeft w:val="0"/>
      <w:marRight w:val="0"/>
      <w:marTop w:val="0"/>
      <w:marBottom w:val="0"/>
      <w:divBdr>
        <w:top w:val="none" w:sz="0" w:space="0" w:color="auto"/>
        <w:left w:val="none" w:sz="0" w:space="0" w:color="auto"/>
        <w:bottom w:val="none" w:sz="0" w:space="0" w:color="auto"/>
        <w:right w:val="none" w:sz="0" w:space="0" w:color="auto"/>
      </w:divBdr>
      <w:divsChild>
        <w:div w:id="758644923">
          <w:marLeft w:val="0"/>
          <w:marRight w:val="0"/>
          <w:marTop w:val="0"/>
          <w:marBottom w:val="0"/>
          <w:divBdr>
            <w:top w:val="none" w:sz="0" w:space="0" w:color="auto"/>
            <w:left w:val="none" w:sz="0" w:space="0" w:color="auto"/>
            <w:bottom w:val="none" w:sz="0" w:space="0" w:color="auto"/>
            <w:right w:val="none" w:sz="0" w:space="0" w:color="auto"/>
          </w:divBdr>
          <w:divsChild>
            <w:div w:id="1294141555">
              <w:marLeft w:val="0"/>
              <w:marRight w:val="0"/>
              <w:marTop w:val="0"/>
              <w:marBottom w:val="0"/>
              <w:divBdr>
                <w:top w:val="none" w:sz="0" w:space="0" w:color="auto"/>
                <w:left w:val="none" w:sz="0" w:space="0" w:color="auto"/>
                <w:bottom w:val="none" w:sz="0" w:space="0" w:color="auto"/>
                <w:right w:val="none" w:sz="0" w:space="0" w:color="auto"/>
              </w:divBdr>
              <w:divsChild>
                <w:div w:id="64838180">
                  <w:marLeft w:val="0"/>
                  <w:marRight w:val="0"/>
                  <w:marTop w:val="0"/>
                  <w:marBottom w:val="0"/>
                  <w:divBdr>
                    <w:top w:val="none" w:sz="0" w:space="0" w:color="auto"/>
                    <w:left w:val="none" w:sz="0" w:space="0" w:color="auto"/>
                    <w:bottom w:val="none" w:sz="0" w:space="0" w:color="auto"/>
                    <w:right w:val="none" w:sz="0" w:space="0" w:color="auto"/>
                  </w:divBdr>
                  <w:divsChild>
                    <w:div w:id="32845867">
                      <w:marLeft w:val="0"/>
                      <w:marRight w:val="0"/>
                      <w:marTop w:val="0"/>
                      <w:marBottom w:val="0"/>
                      <w:divBdr>
                        <w:top w:val="none" w:sz="0" w:space="0" w:color="auto"/>
                        <w:left w:val="none" w:sz="0" w:space="0" w:color="auto"/>
                        <w:bottom w:val="none" w:sz="0" w:space="0" w:color="auto"/>
                        <w:right w:val="none" w:sz="0" w:space="0" w:color="auto"/>
                      </w:divBdr>
                      <w:divsChild>
                        <w:div w:id="403839822">
                          <w:marLeft w:val="0"/>
                          <w:marRight w:val="0"/>
                          <w:marTop w:val="0"/>
                          <w:marBottom w:val="0"/>
                          <w:divBdr>
                            <w:top w:val="none" w:sz="0" w:space="0" w:color="auto"/>
                            <w:left w:val="none" w:sz="0" w:space="0" w:color="auto"/>
                            <w:bottom w:val="none" w:sz="0" w:space="0" w:color="auto"/>
                            <w:right w:val="none" w:sz="0" w:space="0" w:color="auto"/>
                          </w:divBdr>
                          <w:divsChild>
                            <w:div w:id="146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37588">
      <w:bodyDiv w:val="1"/>
      <w:marLeft w:val="0"/>
      <w:marRight w:val="0"/>
      <w:marTop w:val="0"/>
      <w:marBottom w:val="0"/>
      <w:divBdr>
        <w:top w:val="none" w:sz="0" w:space="0" w:color="auto"/>
        <w:left w:val="none" w:sz="0" w:space="0" w:color="auto"/>
        <w:bottom w:val="none" w:sz="0" w:space="0" w:color="auto"/>
        <w:right w:val="none" w:sz="0" w:space="0" w:color="auto"/>
      </w:divBdr>
      <w:divsChild>
        <w:div w:id="1727871253">
          <w:marLeft w:val="0"/>
          <w:marRight w:val="0"/>
          <w:marTop w:val="0"/>
          <w:marBottom w:val="0"/>
          <w:divBdr>
            <w:top w:val="none" w:sz="0" w:space="0" w:color="auto"/>
            <w:left w:val="none" w:sz="0" w:space="0" w:color="auto"/>
            <w:bottom w:val="none" w:sz="0" w:space="0" w:color="auto"/>
            <w:right w:val="none" w:sz="0" w:space="0" w:color="auto"/>
          </w:divBdr>
          <w:divsChild>
            <w:div w:id="21357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161701992">
      <w:bodyDiv w:val="1"/>
      <w:marLeft w:val="0"/>
      <w:marRight w:val="0"/>
      <w:marTop w:val="0"/>
      <w:marBottom w:val="0"/>
      <w:divBdr>
        <w:top w:val="none" w:sz="0" w:space="0" w:color="auto"/>
        <w:left w:val="none" w:sz="0" w:space="0" w:color="auto"/>
        <w:bottom w:val="none" w:sz="0" w:space="0" w:color="auto"/>
        <w:right w:val="none" w:sz="0" w:space="0" w:color="auto"/>
      </w:divBdr>
      <w:divsChild>
        <w:div w:id="2071536452">
          <w:marLeft w:val="0"/>
          <w:marRight w:val="0"/>
          <w:marTop w:val="0"/>
          <w:marBottom w:val="0"/>
          <w:divBdr>
            <w:top w:val="none" w:sz="0" w:space="0" w:color="auto"/>
            <w:left w:val="none" w:sz="0" w:space="0" w:color="auto"/>
            <w:bottom w:val="none" w:sz="0" w:space="0" w:color="auto"/>
            <w:right w:val="none" w:sz="0" w:space="0" w:color="auto"/>
          </w:divBdr>
          <w:divsChild>
            <w:div w:id="2078629437">
              <w:marLeft w:val="0"/>
              <w:marRight w:val="0"/>
              <w:marTop w:val="0"/>
              <w:marBottom w:val="0"/>
              <w:divBdr>
                <w:top w:val="none" w:sz="0" w:space="0" w:color="auto"/>
                <w:left w:val="none" w:sz="0" w:space="0" w:color="auto"/>
                <w:bottom w:val="none" w:sz="0" w:space="0" w:color="auto"/>
                <w:right w:val="none" w:sz="0" w:space="0" w:color="auto"/>
              </w:divBdr>
              <w:divsChild>
                <w:div w:id="296959587">
                  <w:marLeft w:val="0"/>
                  <w:marRight w:val="0"/>
                  <w:marTop w:val="0"/>
                  <w:marBottom w:val="0"/>
                  <w:divBdr>
                    <w:top w:val="none" w:sz="0" w:space="0" w:color="auto"/>
                    <w:left w:val="none" w:sz="0" w:space="0" w:color="auto"/>
                    <w:bottom w:val="none" w:sz="0" w:space="0" w:color="auto"/>
                    <w:right w:val="none" w:sz="0" w:space="0" w:color="auto"/>
                  </w:divBdr>
                  <w:divsChild>
                    <w:div w:id="74278559">
                      <w:marLeft w:val="0"/>
                      <w:marRight w:val="0"/>
                      <w:marTop w:val="0"/>
                      <w:marBottom w:val="0"/>
                      <w:divBdr>
                        <w:top w:val="none" w:sz="0" w:space="0" w:color="auto"/>
                        <w:left w:val="none" w:sz="0" w:space="0" w:color="auto"/>
                        <w:bottom w:val="none" w:sz="0" w:space="0" w:color="auto"/>
                        <w:right w:val="none" w:sz="0" w:space="0" w:color="auto"/>
                      </w:divBdr>
                      <w:divsChild>
                        <w:div w:id="1234966817">
                          <w:marLeft w:val="0"/>
                          <w:marRight w:val="0"/>
                          <w:marTop w:val="0"/>
                          <w:marBottom w:val="0"/>
                          <w:divBdr>
                            <w:top w:val="none" w:sz="0" w:space="0" w:color="auto"/>
                            <w:left w:val="none" w:sz="0" w:space="0" w:color="auto"/>
                            <w:bottom w:val="none" w:sz="0" w:space="0" w:color="auto"/>
                            <w:right w:val="none" w:sz="0" w:space="0" w:color="auto"/>
                          </w:divBdr>
                          <w:divsChild>
                            <w:div w:id="183429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0510786">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29282687">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79425871">
      <w:bodyDiv w:val="1"/>
      <w:marLeft w:val="0"/>
      <w:marRight w:val="0"/>
      <w:marTop w:val="0"/>
      <w:marBottom w:val="0"/>
      <w:divBdr>
        <w:top w:val="none" w:sz="0" w:space="0" w:color="auto"/>
        <w:left w:val="none" w:sz="0" w:space="0" w:color="auto"/>
        <w:bottom w:val="none" w:sz="0" w:space="0" w:color="auto"/>
        <w:right w:val="none" w:sz="0" w:space="0" w:color="auto"/>
      </w:divBdr>
      <w:divsChild>
        <w:div w:id="562570236">
          <w:marLeft w:val="0"/>
          <w:marRight w:val="0"/>
          <w:marTop w:val="0"/>
          <w:marBottom w:val="0"/>
          <w:divBdr>
            <w:top w:val="none" w:sz="0" w:space="0" w:color="auto"/>
            <w:left w:val="none" w:sz="0" w:space="0" w:color="auto"/>
            <w:bottom w:val="none" w:sz="0" w:space="0" w:color="auto"/>
            <w:right w:val="none" w:sz="0" w:space="0" w:color="auto"/>
          </w:divBdr>
          <w:divsChild>
            <w:div w:id="10767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619068325">
      <w:bodyDiv w:val="1"/>
      <w:marLeft w:val="0"/>
      <w:marRight w:val="0"/>
      <w:marTop w:val="0"/>
      <w:marBottom w:val="0"/>
      <w:divBdr>
        <w:top w:val="none" w:sz="0" w:space="0" w:color="auto"/>
        <w:left w:val="none" w:sz="0" w:space="0" w:color="auto"/>
        <w:bottom w:val="none" w:sz="0" w:space="0" w:color="auto"/>
        <w:right w:val="none" w:sz="0" w:space="0" w:color="auto"/>
      </w:divBdr>
    </w:div>
    <w:div w:id="619074704">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810757254">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14365657">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61115925">
      <w:bodyDiv w:val="1"/>
      <w:marLeft w:val="0"/>
      <w:marRight w:val="0"/>
      <w:marTop w:val="0"/>
      <w:marBottom w:val="0"/>
      <w:divBdr>
        <w:top w:val="none" w:sz="0" w:space="0" w:color="auto"/>
        <w:left w:val="none" w:sz="0" w:space="0" w:color="auto"/>
        <w:bottom w:val="none" w:sz="0" w:space="0" w:color="auto"/>
        <w:right w:val="none" w:sz="0" w:space="0" w:color="auto"/>
      </w:divBdr>
    </w:div>
    <w:div w:id="973564115">
      <w:bodyDiv w:val="1"/>
      <w:marLeft w:val="0"/>
      <w:marRight w:val="0"/>
      <w:marTop w:val="0"/>
      <w:marBottom w:val="0"/>
      <w:divBdr>
        <w:top w:val="none" w:sz="0" w:space="0" w:color="auto"/>
        <w:left w:val="none" w:sz="0" w:space="0" w:color="auto"/>
        <w:bottom w:val="none" w:sz="0" w:space="0" w:color="auto"/>
        <w:right w:val="none" w:sz="0" w:space="0" w:color="auto"/>
      </w:divBdr>
      <w:divsChild>
        <w:div w:id="1816293205">
          <w:marLeft w:val="0"/>
          <w:marRight w:val="0"/>
          <w:marTop w:val="0"/>
          <w:marBottom w:val="0"/>
          <w:divBdr>
            <w:top w:val="none" w:sz="0" w:space="0" w:color="auto"/>
            <w:left w:val="none" w:sz="0" w:space="0" w:color="auto"/>
            <w:bottom w:val="none" w:sz="0" w:space="0" w:color="auto"/>
            <w:right w:val="none" w:sz="0" w:space="0" w:color="auto"/>
          </w:divBdr>
          <w:divsChild>
            <w:div w:id="2110663195">
              <w:marLeft w:val="0"/>
              <w:marRight w:val="0"/>
              <w:marTop w:val="0"/>
              <w:marBottom w:val="0"/>
              <w:divBdr>
                <w:top w:val="none" w:sz="0" w:space="0" w:color="auto"/>
                <w:left w:val="none" w:sz="0" w:space="0" w:color="auto"/>
                <w:bottom w:val="none" w:sz="0" w:space="0" w:color="auto"/>
                <w:right w:val="none" w:sz="0" w:space="0" w:color="auto"/>
              </w:divBdr>
              <w:divsChild>
                <w:div w:id="1978758732">
                  <w:marLeft w:val="0"/>
                  <w:marRight w:val="0"/>
                  <w:marTop w:val="0"/>
                  <w:marBottom w:val="0"/>
                  <w:divBdr>
                    <w:top w:val="none" w:sz="0" w:space="0" w:color="auto"/>
                    <w:left w:val="none" w:sz="0" w:space="0" w:color="auto"/>
                    <w:bottom w:val="none" w:sz="0" w:space="0" w:color="auto"/>
                    <w:right w:val="none" w:sz="0" w:space="0" w:color="auto"/>
                  </w:divBdr>
                  <w:divsChild>
                    <w:div w:id="751658004">
                      <w:marLeft w:val="0"/>
                      <w:marRight w:val="0"/>
                      <w:marTop w:val="0"/>
                      <w:marBottom w:val="0"/>
                      <w:divBdr>
                        <w:top w:val="none" w:sz="0" w:space="0" w:color="auto"/>
                        <w:left w:val="none" w:sz="0" w:space="0" w:color="auto"/>
                        <w:bottom w:val="none" w:sz="0" w:space="0" w:color="auto"/>
                        <w:right w:val="none" w:sz="0" w:space="0" w:color="auto"/>
                      </w:divBdr>
                      <w:divsChild>
                        <w:div w:id="671764944">
                          <w:marLeft w:val="0"/>
                          <w:marRight w:val="0"/>
                          <w:marTop w:val="0"/>
                          <w:marBottom w:val="0"/>
                          <w:divBdr>
                            <w:top w:val="none" w:sz="0" w:space="0" w:color="auto"/>
                            <w:left w:val="none" w:sz="0" w:space="0" w:color="auto"/>
                            <w:bottom w:val="none" w:sz="0" w:space="0" w:color="auto"/>
                            <w:right w:val="none" w:sz="0" w:space="0" w:color="auto"/>
                          </w:divBdr>
                          <w:divsChild>
                            <w:div w:id="117244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355107060">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38984073">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693145029">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2685990">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21616132">
      <w:bodyDiv w:val="1"/>
      <w:marLeft w:val="0"/>
      <w:marRight w:val="0"/>
      <w:marTop w:val="0"/>
      <w:marBottom w:val="0"/>
      <w:divBdr>
        <w:top w:val="none" w:sz="0" w:space="0" w:color="auto"/>
        <w:left w:val="none" w:sz="0" w:space="0" w:color="auto"/>
        <w:bottom w:val="none" w:sz="0" w:space="0" w:color="auto"/>
        <w:right w:val="none" w:sz="0" w:space="0" w:color="auto"/>
      </w:divBdr>
    </w:div>
    <w:div w:id="2053192596">
      <w:bodyDiv w:val="1"/>
      <w:marLeft w:val="0"/>
      <w:marRight w:val="0"/>
      <w:marTop w:val="0"/>
      <w:marBottom w:val="0"/>
      <w:divBdr>
        <w:top w:val="none" w:sz="0" w:space="0" w:color="auto"/>
        <w:left w:val="none" w:sz="0" w:space="0" w:color="auto"/>
        <w:bottom w:val="none" w:sz="0" w:space="0" w:color="auto"/>
        <w:right w:val="none" w:sz="0" w:space="0" w:color="auto"/>
      </w:divBdr>
      <w:divsChild>
        <w:div w:id="810903679">
          <w:marLeft w:val="0"/>
          <w:marRight w:val="0"/>
          <w:marTop w:val="0"/>
          <w:marBottom w:val="0"/>
          <w:divBdr>
            <w:top w:val="none" w:sz="0" w:space="0" w:color="auto"/>
            <w:left w:val="none" w:sz="0" w:space="0" w:color="auto"/>
            <w:bottom w:val="none" w:sz="0" w:space="0" w:color="auto"/>
            <w:right w:val="none" w:sz="0" w:space="0" w:color="auto"/>
          </w:divBdr>
          <w:divsChild>
            <w:div w:id="1129280495">
              <w:marLeft w:val="0"/>
              <w:marRight w:val="0"/>
              <w:marTop w:val="0"/>
              <w:marBottom w:val="0"/>
              <w:divBdr>
                <w:top w:val="none" w:sz="0" w:space="0" w:color="auto"/>
                <w:left w:val="none" w:sz="0" w:space="0" w:color="auto"/>
                <w:bottom w:val="none" w:sz="0" w:space="0" w:color="auto"/>
                <w:right w:val="none" w:sz="0" w:space="0" w:color="auto"/>
              </w:divBdr>
              <w:divsChild>
                <w:div w:id="335114833">
                  <w:marLeft w:val="0"/>
                  <w:marRight w:val="0"/>
                  <w:marTop w:val="0"/>
                  <w:marBottom w:val="0"/>
                  <w:divBdr>
                    <w:top w:val="none" w:sz="0" w:space="0" w:color="auto"/>
                    <w:left w:val="none" w:sz="0" w:space="0" w:color="auto"/>
                    <w:bottom w:val="none" w:sz="0" w:space="0" w:color="auto"/>
                    <w:right w:val="none" w:sz="0" w:space="0" w:color="auto"/>
                  </w:divBdr>
                  <w:divsChild>
                    <w:div w:id="869686379">
                      <w:marLeft w:val="0"/>
                      <w:marRight w:val="0"/>
                      <w:marTop w:val="0"/>
                      <w:marBottom w:val="0"/>
                      <w:divBdr>
                        <w:top w:val="none" w:sz="0" w:space="0" w:color="auto"/>
                        <w:left w:val="none" w:sz="0" w:space="0" w:color="auto"/>
                        <w:bottom w:val="none" w:sz="0" w:space="0" w:color="auto"/>
                        <w:right w:val="none" w:sz="0" w:space="0" w:color="auto"/>
                      </w:divBdr>
                      <w:divsChild>
                        <w:div w:id="1255749237">
                          <w:marLeft w:val="0"/>
                          <w:marRight w:val="0"/>
                          <w:marTop w:val="0"/>
                          <w:marBottom w:val="0"/>
                          <w:divBdr>
                            <w:top w:val="none" w:sz="0" w:space="0" w:color="auto"/>
                            <w:left w:val="none" w:sz="0" w:space="0" w:color="auto"/>
                            <w:bottom w:val="none" w:sz="0" w:space="0" w:color="auto"/>
                            <w:right w:val="none" w:sz="0" w:space="0" w:color="auto"/>
                          </w:divBdr>
                          <w:divsChild>
                            <w:div w:id="12140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sac.gov.au/applications/1672" TargetMode="External"/><Relationship Id="rId18" Type="http://schemas.openxmlformats.org/officeDocument/2006/relationships/header" Target="header1.xml"/><Relationship Id="rId26" Type="http://schemas.openxmlformats.org/officeDocument/2006/relationships/hyperlink" Target="https://www9.health.gov.au/mbs/fullDisplay.cfm?type=item&amp;q=38356&amp;qt=item&amp;criteria=38356" TargetMode="External"/><Relationship Id="rId3" Type="http://schemas.openxmlformats.org/officeDocument/2006/relationships/customXml" Target="../customXml/item3.xml"/><Relationship Id="rId21" Type="http://schemas.openxmlformats.org/officeDocument/2006/relationships/hyperlink" Target="https://www9.health.gov.au/mbs/fullDisplay.cfm?type=item&amp;q=38373&amp;qt=item&amp;criteria=38373" TargetMode="External"/><Relationship Id="rId7" Type="http://schemas.openxmlformats.org/officeDocument/2006/relationships/settings" Target="settings.xml"/><Relationship Id="rId12" Type="http://schemas.openxmlformats.org/officeDocument/2006/relationships/hyperlink" Target="https://www9.health.gov.au/mbs/fullDisplay.cfm?type=item&amp;q=38372&amp;qt=item&amp;criteria=38372" TargetMode="External"/><Relationship Id="rId17" Type="http://schemas.openxmlformats.org/officeDocument/2006/relationships/footer" Target="footer2.xml"/><Relationship Id="rId25" Type="http://schemas.openxmlformats.org/officeDocument/2006/relationships/hyperlink" Target="https://www.msac.gov.au/applications/1672"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9.health.gov.au/mbs/fullDisplay.cfm?type=item&amp;q=38372&amp;qt=item&amp;criteria=3837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sac.gov.au/" TargetMode="External"/><Relationship Id="rId24" Type="http://schemas.openxmlformats.org/officeDocument/2006/relationships/hyperlink" Target="https://www.msac.gov.au/sites/default/files/documents/1672%2520Final%2520PSD_Jul2022%2520-%2520redacted.pdf"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9.health.gov.au/mbs/fullDisplay.cfm?type=item&amp;q=38375&amp;qt=item&amp;criteria=38375"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sac.gov.au/applications/1672" TargetMode="External"/><Relationship Id="rId22" Type="http://schemas.openxmlformats.org/officeDocument/2006/relationships/hyperlink" Target="https://www9.health.gov.au/mbs/fullDisplay.cfm?type=item&amp;q=38374&amp;qt=item&amp;criteria=38374" TargetMode="External"/><Relationship Id="rId27" Type="http://schemas.openxmlformats.org/officeDocument/2006/relationships/hyperlink" Target="http://msac.gov.au/internet/msac/publishing.nsf/Content/Home-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sac.gov.au/sites/default/files/documents/1672%2520Ratified%2520PIC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13b557-581c-46d3-8cc7-77c65017dc6f">
      <Terms xmlns="http://schemas.microsoft.com/office/infopath/2007/PartnerControls"/>
    </lcf76f155ced4ddcb4097134ff3c332f>
    <TaxCatchAll xmlns="e7d54a9e-4aca-451b-99db-b94fe438e98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4A37BE997BE34FBB7D5057D341D123" ma:contentTypeVersion="13" ma:contentTypeDescription="Create a new document." ma:contentTypeScope="" ma:versionID="b67814db4cbf52fde07137e7d49b245e">
  <xsd:schema xmlns:xsd="http://www.w3.org/2001/XMLSchema" xmlns:xs="http://www.w3.org/2001/XMLSchema" xmlns:p="http://schemas.microsoft.com/office/2006/metadata/properties" xmlns:ns2="7513b557-581c-46d3-8cc7-77c65017dc6f" xmlns:ns3="e7d54a9e-4aca-451b-99db-b94fe438e987" targetNamespace="http://schemas.microsoft.com/office/2006/metadata/properties" ma:root="true" ma:fieldsID="dea1ae2ed431f796c5177aed60a9a2d6" ns2:_="" ns3:_="">
    <xsd:import namespace="7513b557-581c-46d3-8cc7-77c65017dc6f"/>
    <xsd:import namespace="e7d54a9e-4aca-451b-99db-b94fe438e9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3b557-581c-46d3-8cc7-77c65017d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54a9e-4aca-451b-99db-b94fe438e9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b094059-5103-4cd0-8820-a17a44f45f06}" ma:internalName="TaxCatchAll" ma:showField="CatchAllData" ma:web="e7d54a9e-4aca-451b-99db-b94fe438e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2E7703-A24C-4C87-98C7-16C364BB0774}">
  <ds:schemaRefs>
    <ds:schemaRef ds:uri="http://schemas.openxmlformats.org/officeDocument/2006/bibliography"/>
  </ds:schemaRefs>
</ds:datastoreItem>
</file>

<file path=customXml/itemProps2.xml><?xml version="1.0" encoding="utf-8"?>
<ds:datastoreItem xmlns:ds="http://schemas.openxmlformats.org/officeDocument/2006/customXml" ds:itemID="{6BEBD265-A2AB-4B79-8E3D-CFF9EF749486}">
  <ds:schemaRefs>
    <ds:schemaRef ds:uri="http://purl.org/dc/terms/"/>
    <ds:schemaRef ds:uri="http://schemas.microsoft.com/office/infopath/2007/PartnerControls"/>
    <ds:schemaRef ds:uri="e7d54a9e-4aca-451b-99db-b94fe438e987"/>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7513b557-581c-46d3-8cc7-77c65017dc6f"/>
    <ds:schemaRef ds:uri="http://www.w3.org/XML/1998/namespace"/>
    <ds:schemaRef ds:uri="http://purl.org/dc/dcmitype/"/>
  </ds:schemaRefs>
</ds:datastoreItem>
</file>

<file path=customXml/itemProps3.xml><?xml version="1.0" encoding="utf-8"?>
<ds:datastoreItem xmlns:ds="http://schemas.openxmlformats.org/officeDocument/2006/customXml" ds:itemID="{90A5C2BF-F080-46F4-AE22-EDD79160AF4F}">
  <ds:schemaRefs>
    <ds:schemaRef ds:uri="http://schemas.microsoft.com/sharepoint/v3/contenttype/forms"/>
  </ds:schemaRefs>
</ds:datastoreItem>
</file>

<file path=customXml/itemProps4.xml><?xml version="1.0" encoding="utf-8"?>
<ds:datastoreItem xmlns:ds="http://schemas.openxmlformats.org/officeDocument/2006/customXml" ds:itemID="{BC9D9D86-FE5E-4112-9497-0A47DDDF1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3b557-581c-46d3-8cc7-77c65017dc6f"/>
    <ds:schemaRef ds:uri="e7d54a9e-4aca-451b-99db-b94fe438e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21592</Words>
  <Characters>120754</Characters>
  <Application>Microsoft Office Word</Application>
  <DocSecurity>0</DocSecurity>
  <Lines>1006</Lines>
  <Paragraphs>284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142062</CharactersWithSpaces>
  <SharedDoc>false</SharedDoc>
  <HyperlinkBase/>
  <HLinks>
    <vt:vector size="84" baseType="variant">
      <vt:variant>
        <vt:i4>6684716</vt:i4>
      </vt:variant>
      <vt:variant>
        <vt:i4>231</vt:i4>
      </vt:variant>
      <vt:variant>
        <vt:i4>0</vt:i4>
      </vt:variant>
      <vt:variant>
        <vt:i4>5</vt:i4>
      </vt:variant>
      <vt:variant>
        <vt:lpwstr>http://msac.gov.au/internet/msac/publishing.nsf/Content/Home-1</vt:lpwstr>
      </vt:variant>
      <vt:variant>
        <vt:lpwstr/>
      </vt:variant>
      <vt:variant>
        <vt:i4>2359392</vt:i4>
      </vt:variant>
      <vt:variant>
        <vt:i4>228</vt:i4>
      </vt:variant>
      <vt:variant>
        <vt:i4>0</vt:i4>
      </vt:variant>
      <vt:variant>
        <vt:i4>5</vt:i4>
      </vt:variant>
      <vt:variant>
        <vt:lpwstr>https://www9.health.gov.au/mbs/fullDisplay.cfm?type=item&amp;q=38356&amp;qt=item&amp;criteria=38356</vt:lpwstr>
      </vt:variant>
      <vt:variant>
        <vt:lpwstr/>
      </vt:variant>
      <vt:variant>
        <vt:i4>1441873</vt:i4>
      </vt:variant>
      <vt:variant>
        <vt:i4>222</vt:i4>
      </vt:variant>
      <vt:variant>
        <vt:i4>0</vt:i4>
      </vt:variant>
      <vt:variant>
        <vt:i4>5</vt:i4>
      </vt:variant>
      <vt:variant>
        <vt:lpwstr>https://www.msac.gov.au/applications/1672</vt:lpwstr>
      </vt:variant>
      <vt:variant>
        <vt:lpwstr/>
      </vt:variant>
      <vt:variant>
        <vt:i4>6488092</vt:i4>
      </vt:variant>
      <vt:variant>
        <vt:i4>219</vt:i4>
      </vt:variant>
      <vt:variant>
        <vt:i4>0</vt:i4>
      </vt:variant>
      <vt:variant>
        <vt:i4>5</vt:i4>
      </vt:variant>
      <vt:variant>
        <vt:lpwstr>https://www.msac.gov.au/sites/default/files/documents/1672%2520Final%2520PSD_Jul2022%2520-%2520redacted.pdf</vt:lpwstr>
      </vt:variant>
      <vt:variant>
        <vt:lpwstr/>
      </vt:variant>
      <vt:variant>
        <vt:i4>2424930</vt:i4>
      </vt:variant>
      <vt:variant>
        <vt:i4>216</vt:i4>
      </vt:variant>
      <vt:variant>
        <vt:i4>0</vt:i4>
      </vt:variant>
      <vt:variant>
        <vt:i4>5</vt:i4>
      </vt:variant>
      <vt:variant>
        <vt:lpwstr>https://www9.health.gov.au/mbs/fullDisplay.cfm?type=item&amp;q=38375&amp;qt=item&amp;criteria=38375</vt:lpwstr>
      </vt:variant>
      <vt:variant>
        <vt:lpwstr/>
      </vt:variant>
      <vt:variant>
        <vt:i4>2359394</vt:i4>
      </vt:variant>
      <vt:variant>
        <vt:i4>213</vt:i4>
      </vt:variant>
      <vt:variant>
        <vt:i4>0</vt:i4>
      </vt:variant>
      <vt:variant>
        <vt:i4>5</vt:i4>
      </vt:variant>
      <vt:variant>
        <vt:lpwstr>https://www9.health.gov.au/mbs/fullDisplay.cfm?type=item&amp;q=38374&amp;qt=item&amp;criteria=38374</vt:lpwstr>
      </vt:variant>
      <vt:variant>
        <vt:lpwstr/>
      </vt:variant>
      <vt:variant>
        <vt:i4>2293858</vt:i4>
      </vt:variant>
      <vt:variant>
        <vt:i4>210</vt:i4>
      </vt:variant>
      <vt:variant>
        <vt:i4>0</vt:i4>
      </vt:variant>
      <vt:variant>
        <vt:i4>5</vt:i4>
      </vt:variant>
      <vt:variant>
        <vt:lpwstr>https://www9.health.gov.au/mbs/fullDisplay.cfm?type=item&amp;q=38373&amp;qt=item&amp;criteria=38373</vt:lpwstr>
      </vt:variant>
      <vt:variant>
        <vt:lpwstr/>
      </vt:variant>
      <vt:variant>
        <vt:i4>2228322</vt:i4>
      </vt:variant>
      <vt:variant>
        <vt:i4>207</vt:i4>
      </vt:variant>
      <vt:variant>
        <vt:i4>0</vt:i4>
      </vt:variant>
      <vt:variant>
        <vt:i4>5</vt:i4>
      </vt:variant>
      <vt:variant>
        <vt:lpwstr>https://www9.health.gov.au/mbs/fullDisplay.cfm?type=item&amp;q=38372&amp;qt=item&amp;criteria=38372</vt:lpwstr>
      </vt:variant>
      <vt:variant>
        <vt:lpwstr/>
      </vt:variant>
      <vt:variant>
        <vt:i4>1441873</vt:i4>
      </vt:variant>
      <vt:variant>
        <vt:i4>9</vt:i4>
      </vt:variant>
      <vt:variant>
        <vt:i4>0</vt:i4>
      </vt:variant>
      <vt:variant>
        <vt:i4>5</vt:i4>
      </vt:variant>
      <vt:variant>
        <vt:lpwstr>https://www.msac.gov.au/applications/1672</vt:lpwstr>
      </vt:variant>
      <vt:variant>
        <vt:lpwstr/>
      </vt:variant>
      <vt:variant>
        <vt:i4>1441873</vt:i4>
      </vt:variant>
      <vt:variant>
        <vt:i4>6</vt:i4>
      </vt:variant>
      <vt:variant>
        <vt:i4>0</vt:i4>
      </vt:variant>
      <vt:variant>
        <vt:i4>5</vt:i4>
      </vt:variant>
      <vt:variant>
        <vt:lpwstr>https://www.msac.gov.au/applications/1672</vt:lpwstr>
      </vt:variant>
      <vt:variant>
        <vt:lpwstr/>
      </vt:variant>
      <vt:variant>
        <vt:i4>2228322</vt:i4>
      </vt:variant>
      <vt:variant>
        <vt:i4>3</vt:i4>
      </vt:variant>
      <vt:variant>
        <vt:i4>0</vt:i4>
      </vt:variant>
      <vt:variant>
        <vt:i4>5</vt:i4>
      </vt:variant>
      <vt:variant>
        <vt:lpwstr>https://www9.health.gov.au/mbs/fullDisplay.cfm?type=item&amp;q=38372&amp;qt=item&amp;criteria=38372</vt:lpwstr>
      </vt:variant>
      <vt:variant>
        <vt:lpwstr/>
      </vt:variant>
      <vt:variant>
        <vt:i4>3997744</vt:i4>
      </vt:variant>
      <vt:variant>
        <vt:i4>0</vt:i4>
      </vt:variant>
      <vt:variant>
        <vt:i4>0</vt:i4>
      </vt:variant>
      <vt:variant>
        <vt:i4>5</vt:i4>
      </vt:variant>
      <vt:variant>
        <vt:lpwstr>http://www.msac.gov.au/</vt:lpwstr>
      </vt:variant>
      <vt:variant>
        <vt:lpwstr/>
      </vt:variant>
      <vt:variant>
        <vt:i4>5570645</vt:i4>
      </vt:variant>
      <vt:variant>
        <vt:i4>0</vt:i4>
      </vt:variant>
      <vt:variant>
        <vt:i4>0</vt:i4>
      </vt:variant>
      <vt:variant>
        <vt:i4>5</vt:i4>
      </vt:variant>
      <vt:variant>
        <vt:lpwstr>https://www.msac.gov.au/sites/default/files/documents/1672%2520Ratified%2520PICO.pdf</vt:lpwstr>
      </vt:variant>
      <vt:variant>
        <vt:lpwstr/>
      </vt:variant>
      <vt:variant>
        <vt:i4>4194424</vt:i4>
      </vt:variant>
      <vt:variant>
        <vt:i4>0</vt:i4>
      </vt:variant>
      <vt:variant>
        <vt:i4>0</vt:i4>
      </vt:variant>
      <vt:variant>
        <vt:i4>5</vt:i4>
      </vt:variant>
      <vt:variant>
        <vt:lpwstr>mailto:Padraig.OAKLEY@Health.gov.au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2025-06-27T00:06:00Z</dcterms:created>
  <dcterms:modified xsi:type="dcterms:W3CDTF">2025-06-27T00:25:00Z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grammarly_documentId">
    <vt:lpwstr>documentId_1973</vt:lpwstr>
  </property>
  <property fmtid="{D5CDD505-2E9C-101B-9397-08002B2CF9AE}" pid="4" name="grammarly_documentContext">
    <vt:lpwstr>{"goals":[],"domain":"general","emotions":[],"dialect":"british"}</vt:lpwstr>
  </property>
  <property fmtid="{D5CDD505-2E9C-101B-9397-08002B2CF9AE}" pid="5" name="MediaServiceImageTags">
    <vt:lpwstr/>
  </property>
  <property fmtid="{D5CDD505-2E9C-101B-9397-08002B2CF9AE}" pid="6" name="MSIP_Label_69af8531-eb46-4968-8cb3-105d2f5ea87e_ActionId">
    <vt:lpwstr>e19fbf30-91b4-4ecc-9517-c4982967d75f</vt:lpwstr>
  </property>
  <property fmtid="{D5CDD505-2E9C-101B-9397-08002B2CF9AE}" pid="7" name="MSIP_Label_69af8531-eb46-4968-8cb3-105d2f5ea87e_Tag">
    <vt:lpwstr>50, 3, 0, 1</vt:lpwstr>
  </property>
  <property fmtid="{D5CDD505-2E9C-101B-9397-08002B2CF9AE}" pid="8" name="ContentTypeId">
    <vt:lpwstr>0x0101005E4A37BE997BE34FBB7D5057D341D123</vt:lpwstr>
  </property>
  <property fmtid="{D5CDD505-2E9C-101B-9397-08002B2CF9AE}" pid="9" name="MSIP_Label_69af8531-eb46-4968-8cb3-105d2f5ea87e_SetDate">
    <vt:lpwstr>2025-05-15T01:18:54Z</vt:lpwstr>
  </property>
  <property fmtid="{D5CDD505-2E9C-101B-9397-08002B2CF9AE}" pid="10" name="MSIP_Label_69af8531-eb46-4968-8cb3-105d2f5ea87e_SiteId">
    <vt:lpwstr>b46c1908-0334-4236-b978-585ee88e4199</vt:lpwstr>
  </property>
  <property fmtid="{D5CDD505-2E9C-101B-9397-08002B2CF9AE}" pid="11" name="MSIP_Label_69af8531-eb46-4968-8cb3-105d2f5ea87e_Method">
    <vt:lpwstr>Standard</vt:lpwstr>
  </property>
  <property fmtid="{D5CDD505-2E9C-101B-9397-08002B2CF9AE}" pid="12" name="MSIP_Label_69af8531-eb46-4968-8cb3-105d2f5ea87e_Name">
    <vt:lpwstr>Official - No Marking</vt:lpwstr>
  </property>
  <property fmtid="{D5CDD505-2E9C-101B-9397-08002B2CF9AE}" pid="13" name="MSIP_Label_69af8531-eb46-4968-8cb3-105d2f5ea87e_ContentBits">
    <vt:lpwstr>0</vt:lpwstr>
  </property>
  <property fmtid="{D5CDD505-2E9C-101B-9397-08002B2CF9AE}" pid="14" name="GrammarlyDocumentId">
    <vt:lpwstr>239fd4d1-cde2-46ea-8303-62365918f11a</vt:lpwstr>
  </property>
</Properties>
</file>